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Ansi="宋体" w:cs="宋体"/>
          <w:b/>
          <w:bCs/>
          <w:color w:val="auto"/>
          <w:spacing w:val="80"/>
          <w:sz w:val="64"/>
        </w:rPr>
      </w:pPr>
      <w:bookmarkStart w:id="343" w:name="_GoBack"/>
    </w:p>
    <w:p>
      <w:pPr>
        <w:pStyle w:val="16"/>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6"/>
        <w:jc w:val="center"/>
        <w:rPr>
          <w:rFonts w:hAnsi="宋体" w:cs="宋体"/>
          <w:b/>
          <w:bCs/>
          <w:color w:val="auto"/>
          <w:spacing w:val="80"/>
          <w:sz w:val="72"/>
        </w:rPr>
      </w:pPr>
    </w:p>
    <w:p>
      <w:pPr>
        <w:pStyle w:val="16"/>
        <w:jc w:val="center"/>
        <w:rPr>
          <w:rFonts w:hAnsi="宋体" w:cs="宋体"/>
          <w:b/>
          <w:bCs/>
          <w:color w:val="auto"/>
          <w:sz w:val="72"/>
        </w:rPr>
      </w:pPr>
    </w:p>
    <w:p>
      <w:pPr>
        <w:pStyle w:val="16"/>
        <w:jc w:val="center"/>
        <w:rPr>
          <w:rFonts w:hAnsi="宋体" w:cs="宋体"/>
          <w:color w:val="auto"/>
        </w:rPr>
      </w:pPr>
    </w:p>
    <w:p>
      <w:pPr>
        <w:spacing w:line="1400" w:lineRule="exact"/>
        <w:jc w:val="center"/>
        <w:rPr>
          <w:rFonts w:ascii="宋体" w:hAnsi="宋体" w:cs="宋体"/>
          <w:b/>
          <w:color w:val="auto"/>
          <w:spacing w:val="60"/>
          <w:sz w:val="112"/>
          <w:szCs w:val="112"/>
        </w:rPr>
      </w:pPr>
      <w:r>
        <w:rPr>
          <w:rFonts w:hint="eastAsia" w:ascii="宋体" w:hAnsi="宋体" w:cs="宋体"/>
          <w:b/>
          <w:color w:val="auto"/>
          <w:spacing w:val="60"/>
          <w:sz w:val="112"/>
          <w:szCs w:val="112"/>
        </w:rPr>
        <w:t>招标文件</w:t>
      </w:r>
    </w:p>
    <w:p>
      <w:pPr>
        <w:pStyle w:val="16"/>
        <w:rPr>
          <w:rFonts w:hAnsi="宋体" w:cs="宋体"/>
          <w:color w:val="auto"/>
        </w:rPr>
      </w:pPr>
    </w:p>
    <w:p>
      <w:pPr>
        <w:pStyle w:val="16"/>
        <w:ind w:firstLine="3885" w:firstLineChars="1850"/>
        <w:rPr>
          <w:rFonts w:hAnsi="宋体" w:cs="宋体"/>
          <w:color w:val="auto"/>
        </w:rPr>
      </w:pPr>
    </w:p>
    <w:p>
      <w:pPr>
        <w:pStyle w:val="16"/>
        <w:rPr>
          <w:rFonts w:hAnsi="宋体" w:cs="宋体"/>
          <w:color w:val="auto"/>
        </w:rPr>
      </w:pPr>
    </w:p>
    <w:p>
      <w:pPr>
        <w:pStyle w:val="16"/>
        <w:rPr>
          <w:rFonts w:hAnsi="宋体" w:cs="宋体"/>
          <w:color w:val="auto"/>
        </w:rPr>
      </w:pPr>
    </w:p>
    <w:p>
      <w:pPr>
        <w:pStyle w:val="16"/>
        <w:rPr>
          <w:rFonts w:hAnsi="宋体" w:cs="宋体"/>
          <w:color w:val="auto"/>
        </w:rPr>
      </w:pPr>
    </w:p>
    <w:p>
      <w:pPr>
        <w:jc w:val="center"/>
        <w:rPr>
          <w:rFonts w:ascii="宋体" w:hAnsi="宋体" w:cs="宋体"/>
          <w:b/>
          <w:bCs/>
          <w:color w:val="auto"/>
          <w:spacing w:val="-36"/>
          <w:w w:val="90"/>
          <w:sz w:val="32"/>
        </w:rPr>
      </w:pPr>
      <w:r>
        <w:rPr>
          <w:rFonts w:hint="eastAsia" w:ascii="宋体" w:hAnsi="宋体" w:cs="宋体"/>
          <w:b/>
          <w:bCs/>
          <w:color w:val="auto"/>
          <w:spacing w:val="40"/>
          <w:sz w:val="32"/>
        </w:rPr>
        <w:t>项目名称：临桂新校区53#、54#、55#宿舍楼及地下公共停车库工程钢架床采购</w:t>
      </w:r>
    </w:p>
    <w:p>
      <w:pPr>
        <w:jc w:val="center"/>
        <w:rPr>
          <w:rFonts w:ascii="宋体" w:hAnsi="宋体" w:cs="宋体"/>
          <w:b/>
          <w:bCs/>
          <w:color w:val="auto"/>
          <w:sz w:val="32"/>
        </w:rPr>
      </w:pPr>
      <w:r>
        <w:rPr>
          <w:rFonts w:hint="eastAsia" w:ascii="宋体" w:hAnsi="宋体" w:cs="宋体"/>
          <w:b/>
          <w:bCs/>
          <w:color w:val="auto"/>
          <w:spacing w:val="40"/>
          <w:sz w:val="32"/>
        </w:rPr>
        <w:t>项目编号：GLZC2022-G1-990409-GLJC</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2022年</w:t>
      </w:r>
      <w:r>
        <w:rPr>
          <w:rFonts w:hint="eastAsia" w:ascii="宋体" w:hAnsi="宋体" w:cs="宋体"/>
          <w:b/>
          <w:bCs/>
          <w:color w:val="auto"/>
          <w:sz w:val="32"/>
          <w:lang w:val="en-US" w:eastAsia="zh-CN"/>
        </w:rPr>
        <w:t>9</w:t>
      </w:r>
      <w:r>
        <w:rPr>
          <w:rFonts w:hint="eastAsia" w:ascii="宋体" w:hAnsi="宋体" w:cs="宋体"/>
          <w:b/>
          <w:bCs/>
          <w:color w:val="auto"/>
          <w:sz w:val="32"/>
        </w:rPr>
        <w:t>月</w:t>
      </w:r>
      <w:r>
        <w:rPr>
          <w:rFonts w:hint="eastAsia" w:ascii="宋体" w:hAnsi="宋体" w:cs="宋体"/>
          <w:b/>
          <w:bCs/>
          <w:color w:val="auto"/>
          <w:sz w:val="32"/>
          <w:lang w:val="en-US" w:eastAsia="zh-CN"/>
        </w:rPr>
        <w:t>28</w:t>
      </w:r>
      <w:r>
        <w:rPr>
          <w:rFonts w:hint="eastAsia" w:ascii="宋体" w:hAnsi="宋体" w:cs="宋体"/>
          <w:b/>
          <w:bCs/>
          <w:color w:val="auto"/>
          <w:sz w:val="32"/>
        </w:rPr>
        <w:t>日</w:t>
      </w:r>
    </w:p>
    <w:p>
      <w:pPr>
        <w:jc w:val="center"/>
        <w:rPr>
          <w:rFonts w:ascii="宋体" w:hAnsi="宋体" w:cs="宋体"/>
          <w:bCs/>
          <w:color w:val="auto"/>
          <w:sz w:val="30"/>
          <w:szCs w:val="30"/>
        </w:rPr>
      </w:pPr>
    </w:p>
    <w:p>
      <w:pPr>
        <w:pStyle w:val="97"/>
        <w:jc w:val="center"/>
        <w:rPr>
          <w:rFonts w:ascii="宋体" w:hAnsi="宋体" w:eastAsia="宋体" w:cs="宋体"/>
          <w:color w:val="auto"/>
          <w:lang w:val="zh-CN"/>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jc w:val="center"/>
        <w:rPr>
          <w:rFonts w:ascii="宋体" w:hAnsi="宋体" w:cs="宋体"/>
          <w:b/>
          <w:bCs/>
          <w:color w:val="auto"/>
        </w:rPr>
      </w:pPr>
      <w:r>
        <w:rPr>
          <w:rFonts w:hint="eastAsia" w:ascii="宋体" w:hAnsi="宋体" w:cs="宋体"/>
          <w:b/>
          <w:bCs/>
          <w:color w:val="auto"/>
        </w:rPr>
        <w:t>目 录</w:t>
      </w:r>
    </w:p>
    <w:p>
      <w:pPr>
        <w:rPr>
          <w:rFonts w:ascii="宋体" w:hAnsi="宋体" w:cs="宋体"/>
          <w:color w:val="auto"/>
          <w:szCs w:val="21"/>
        </w:rPr>
      </w:pP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color w:val="auto"/>
        </w:rPr>
        <w:fldChar w:fldCharType="begin"/>
      </w:r>
      <w:r>
        <w:rPr>
          <w:color w:val="auto"/>
        </w:rPr>
        <w:instrText xml:space="preserve"> HYPERLINK \l "_Toc15058" </w:instrText>
      </w:r>
      <w:r>
        <w:rPr>
          <w:color w:val="auto"/>
        </w:rPr>
        <w:fldChar w:fldCharType="separate"/>
      </w:r>
      <w:r>
        <w:rPr>
          <w:rFonts w:hint="eastAsia" w:ascii="宋体" w:hAnsi="宋体" w:cs="宋体"/>
          <w:color w:val="auto"/>
          <w:szCs w:val="32"/>
        </w:rPr>
        <w:t>第一章 公开招标公告</w:t>
      </w:r>
      <w:r>
        <w:rPr>
          <w:color w:val="auto"/>
        </w:rPr>
        <w:tab/>
      </w:r>
      <w:r>
        <w:rPr>
          <w:color w:val="auto"/>
        </w:rPr>
        <w:fldChar w:fldCharType="begin"/>
      </w:r>
      <w:r>
        <w:rPr>
          <w:color w:val="auto"/>
        </w:rPr>
        <w:instrText xml:space="preserve"> PAGEREF _Toc15058 \h </w:instrText>
      </w:r>
      <w:r>
        <w:rPr>
          <w:color w:val="auto"/>
        </w:rPr>
        <w:fldChar w:fldCharType="separate"/>
      </w:r>
      <w:r>
        <w:rPr>
          <w:color w:val="auto"/>
        </w:rPr>
        <w:t>- 1 -</w:t>
      </w:r>
      <w:r>
        <w:rPr>
          <w:color w:val="auto"/>
        </w:rPr>
        <w:fldChar w:fldCharType="end"/>
      </w:r>
      <w:r>
        <w:rPr>
          <w:color w:val="auto"/>
        </w:rPr>
        <w:fldChar w:fldCharType="end"/>
      </w:r>
    </w:p>
    <w:p>
      <w:pPr>
        <w:pStyle w:val="22"/>
        <w:tabs>
          <w:tab w:val="right" w:leader="dot" w:pos="9746"/>
        </w:tabs>
        <w:rPr>
          <w:color w:val="auto"/>
        </w:rPr>
      </w:pPr>
      <w:r>
        <w:rPr>
          <w:color w:val="auto"/>
        </w:rPr>
        <w:fldChar w:fldCharType="begin"/>
      </w:r>
      <w:r>
        <w:rPr>
          <w:color w:val="auto"/>
        </w:rPr>
        <w:instrText xml:space="preserve"> HYPERLINK \l "_Toc5932" </w:instrText>
      </w:r>
      <w:r>
        <w:rPr>
          <w:color w:val="auto"/>
        </w:rPr>
        <w:fldChar w:fldCharType="separate"/>
      </w:r>
      <w:r>
        <w:rPr>
          <w:rFonts w:hint="eastAsia" w:ascii="宋体" w:hAnsi="宋体" w:cs="宋体"/>
          <w:bCs/>
          <w:color w:val="auto"/>
          <w:kern w:val="44"/>
          <w:szCs w:val="32"/>
        </w:rPr>
        <w:t>第二章  投标人须知</w:t>
      </w:r>
      <w:r>
        <w:rPr>
          <w:color w:val="auto"/>
        </w:rPr>
        <w:tab/>
      </w:r>
      <w:r>
        <w:rPr>
          <w:color w:val="auto"/>
        </w:rPr>
        <w:fldChar w:fldCharType="begin"/>
      </w:r>
      <w:r>
        <w:rPr>
          <w:color w:val="auto"/>
        </w:rPr>
        <w:instrText xml:space="preserve"> PAGEREF _Toc5932 \h </w:instrText>
      </w:r>
      <w:r>
        <w:rPr>
          <w:color w:val="auto"/>
        </w:rPr>
        <w:fldChar w:fldCharType="separate"/>
      </w:r>
      <w:r>
        <w:rPr>
          <w:color w:val="auto"/>
        </w:rPr>
        <w:t>- 4 -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"_Toc13996" </w:instrText>
      </w:r>
      <w:r>
        <w:rPr>
          <w:color w:val="auto"/>
        </w:rPr>
        <w:fldChar w:fldCharType="separate"/>
      </w:r>
      <w:r>
        <w:rPr>
          <w:rFonts w:hint="eastAsia" w:ascii="宋体" w:hAnsi="宋体" w:cs="宋体"/>
          <w:color w:val="auto"/>
        </w:rPr>
        <w:t>投标人须知前附表</w:t>
      </w:r>
      <w:r>
        <w:rPr>
          <w:color w:val="auto"/>
        </w:rPr>
        <w:tab/>
      </w:r>
      <w:r>
        <w:rPr>
          <w:color w:val="auto"/>
        </w:rPr>
        <w:fldChar w:fldCharType="begin"/>
      </w:r>
      <w:r>
        <w:rPr>
          <w:color w:val="auto"/>
        </w:rPr>
        <w:instrText xml:space="preserve"> PAGEREF _Toc13996 \h </w:instrText>
      </w:r>
      <w:r>
        <w:rPr>
          <w:color w:val="auto"/>
        </w:rPr>
        <w:fldChar w:fldCharType="separate"/>
      </w:r>
      <w:r>
        <w:rPr>
          <w:color w:val="auto"/>
        </w:rPr>
        <w:t>- 4 -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"_Toc5235" </w:instrText>
      </w:r>
      <w:r>
        <w:rPr>
          <w:color w:val="auto"/>
        </w:rPr>
        <w:fldChar w:fldCharType="separate"/>
      </w:r>
      <w:r>
        <w:rPr>
          <w:rFonts w:hint="eastAsia" w:ascii="宋体" w:hAnsi="宋体" w:cs="宋体"/>
          <w:color w:val="auto"/>
          <w:szCs w:val="28"/>
        </w:rPr>
        <w:t>一、总则</w:t>
      </w:r>
      <w:r>
        <w:rPr>
          <w:color w:val="auto"/>
        </w:rPr>
        <w:tab/>
      </w:r>
      <w:r>
        <w:rPr>
          <w:color w:val="auto"/>
        </w:rPr>
        <w:fldChar w:fldCharType="begin"/>
      </w:r>
      <w:r>
        <w:rPr>
          <w:color w:val="auto"/>
        </w:rPr>
        <w:instrText xml:space="preserve"> PAGEREF _Toc5235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"_Toc30841" </w:instrText>
      </w:r>
      <w:r>
        <w:rPr>
          <w:color w:val="auto"/>
        </w:rPr>
        <w:fldChar w:fldCharType="separate"/>
      </w:r>
      <w:r>
        <w:rPr>
          <w:rFonts w:hint="eastAsia" w:ascii="宋体" w:hAnsi="宋体" w:cs="宋体"/>
          <w:color w:val="auto"/>
          <w:szCs w:val="21"/>
        </w:rPr>
        <w:t>1. 项目名称及项目编号</w:t>
      </w:r>
      <w:r>
        <w:rPr>
          <w:color w:val="auto"/>
        </w:rPr>
        <w:tab/>
      </w:r>
      <w:r>
        <w:rPr>
          <w:color w:val="auto"/>
        </w:rPr>
        <w:fldChar w:fldCharType="begin"/>
      </w:r>
      <w:r>
        <w:rPr>
          <w:color w:val="auto"/>
        </w:rPr>
        <w:instrText xml:space="preserve"> PAGEREF _Toc30841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"_Toc32195" </w:instrText>
      </w:r>
      <w:r>
        <w:rPr>
          <w:color w:val="auto"/>
        </w:rPr>
        <w:fldChar w:fldCharType="separate"/>
      </w:r>
      <w:r>
        <w:rPr>
          <w:rFonts w:hint="eastAsia" w:ascii="宋体" w:hAnsi="宋体" w:cs="宋体"/>
          <w:color w:val="auto"/>
          <w:szCs w:val="21"/>
        </w:rPr>
        <w:t>2. 适应范围</w:t>
      </w:r>
      <w:r>
        <w:rPr>
          <w:color w:val="auto"/>
        </w:rPr>
        <w:tab/>
      </w:r>
      <w:r>
        <w:rPr>
          <w:color w:val="auto"/>
        </w:rPr>
        <w:fldChar w:fldCharType="begin"/>
      </w:r>
      <w:r>
        <w:rPr>
          <w:color w:val="auto"/>
        </w:rPr>
        <w:instrText xml:space="preserve"> PAGEREF _Toc32195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"_Toc7551" </w:instrText>
      </w:r>
      <w:r>
        <w:rPr>
          <w:color w:val="auto"/>
        </w:rPr>
        <w:fldChar w:fldCharType="separate"/>
      </w:r>
      <w:r>
        <w:rPr>
          <w:rFonts w:hint="eastAsia" w:ascii="宋体" w:hAnsi="宋体" w:cs="宋体"/>
          <w:color w:val="auto"/>
          <w:szCs w:val="21"/>
        </w:rPr>
        <w:t>3. 定义</w:t>
      </w:r>
      <w:r>
        <w:rPr>
          <w:color w:val="auto"/>
        </w:rPr>
        <w:tab/>
      </w:r>
      <w:r>
        <w:rPr>
          <w:color w:val="auto"/>
        </w:rPr>
        <w:fldChar w:fldCharType="begin"/>
      </w:r>
      <w:r>
        <w:rPr>
          <w:color w:val="auto"/>
        </w:rPr>
        <w:instrText xml:space="preserve"> PAGEREF _Toc7551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"_Toc9331" </w:instrText>
      </w:r>
      <w:r>
        <w:rPr>
          <w:color w:val="auto"/>
        </w:rPr>
        <w:fldChar w:fldCharType="separate"/>
      </w:r>
      <w:r>
        <w:rPr>
          <w:rFonts w:hint="eastAsia" w:ascii="宋体" w:hAnsi="宋体" w:cs="宋体"/>
          <w:color w:val="auto"/>
          <w:szCs w:val="21"/>
        </w:rPr>
        <w:t>4. 招标方式、评分办法</w:t>
      </w:r>
      <w:r>
        <w:rPr>
          <w:color w:val="auto"/>
        </w:rPr>
        <w:tab/>
      </w:r>
      <w:r>
        <w:rPr>
          <w:color w:val="auto"/>
        </w:rPr>
        <w:fldChar w:fldCharType="begin"/>
      </w:r>
      <w:r>
        <w:rPr>
          <w:color w:val="auto"/>
        </w:rPr>
        <w:instrText xml:space="preserve"> PAGEREF _Toc9331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"_Toc15954" </w:instrText>
      </w:r>
      <w:r>
        <w:rPr>
          <w:color w:val="auto"/>
        </w:rPr>
        <w:fldChar w:fldCharType="separate"/>
      </w:r>
      <w:r>
        <w:rPr>
          <w:rFonts w:hint="eastAsia" w:ascii="宋体" w:hAnsi="宋体" w:cs="宋体"/>
          <w:color w:val="auto"/>
          <w:szCs w:val="21"/>
        </w:rPr>
        <w:t>5. 投标人资格</w:t>
      </w:r>
      <w:r>
        <w:rPr>
          <w:color w:val="auto"/>
        </w:rPr>
        <w:tab/>
      </w:r>
      <w:r>
        <w:rPr>
          <w:color w:val="auto"/>
        </w:rPr>
        <w:fldChar w:fldCharType="begin"/>
      </w:r>
      <w:r>
        <w:rPr>
          <w:color w:val="auto"/>
        </w:rPr>
        <w:instrText xml:space="preserve"> PAGEREF _Toc15954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"_Toc240" </w:instrText>
      </w:r>
      <w:r>
        <w:rPr>
          <w:color w:val="auto"/>
        </w:rPr>
        <w:fldChar w:fldCharType="separate"/>
      </w:r>
      <w:r>
        <w:rPr>
          <w:rFonts w:hint="eastAsia" w:ascii="宋体" w:hAnsi="宋体" w:cs="宋体"/>
          <w:color w:val="auto"/>
          <w:szCs w:val="21"/>
        </w:rPr>
        <w:t>6. 投标费用</w:t>
      </w:r>
      <w:r>
        <w:rPr>
          <w:color w:val="auto"/>
        </w:rPr>
        <w:tab/>
      </w:r>
      <w:r>
        <w:rPr>
          <w:color w:val="auto"/>
        </w:rPr>
        <w:fldChar w:fldCharType="begin"/>
      </w:r>
      <w:r>
        <w:rPr>
          <w:color w:val="auto"/>
        </w:rPr>
        <w:instrText xml:space="preserve"> PAGEREF _Toc240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"_Toc29462" </w:instrText>
      </w:r>
      <w:r>
        <w:rPr>
          <w:color w:val="auto"/>
        </w:rPr>
        <w:fldChar w:fldCharType="separate"/>
      </w:r>
      <w:r>
        <w:rPr>
          <w:rFonts w:hint="eastAsia" w:ascii="宋体" w:hAnsi="宋体" w:cs="宋体"/>
          <w:color w:val="auto"/>
          <w:szCs w:val="21"/>
        </w:rPr>
        <w:t>7. 联合体投标要求</w:t>
      </w:r>
      <w:r>
        <w:rPr>
          <w:color w:val="auto"/>
        </w:rPr>
        <w:tab/>
      </w:r>
      <w:r>
        <w:rPr>
          <w:color w:val="auto"/>
        </w:rPr>
        <w:fldChar w:fldCharType="begin"/>
      </w:r>
      <w:r>
        <w:rPr>
          <w:color w:val="auto"/>
        </w:rPr>
        <w:instrText xml:space="preserve"> PAGEREF _Toc29462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"_Toc28309" </w:instrText>
      </w:r>
      <w:r>
        <w:rPr>
          <w:color w:val="auto"/>
        </w:rPr>
        <w:fldChar w:fldCharType="separate"/>
      </w:r>
      <w:r>
        <w:rPr>
          <w:rFonts w:hint="eastAsia" w:ascii="宋体" w:hAnsi="宋体" w:cs="宋体"/>
          <w:color w:val="auto"/>
          <w:szCs w:val="21"/>
        </w:rPr>
        <w:t>8. 转包与分包</w:t>
      </w:r>
      <w:r>
        <w:rPr>
          <w:color w:val="auto"/>
        </w:rPr>
        <w:tab/>
      </w:r>
      <w:r>
        <w:rPr>
          <w:color w:val="auto"/>
        </w:rPr>
        <w:fldChar w:fldCharType="begin"/>
      </w:r>
      <w:r>
        <w:rPr>
          <w:color w:val="auto"/>
        </w:rPr>
        <w:instrText xml:space="preserve"> PAGEREF _Toc28309 \h </w:instrText>
      </w:r>
      <w:r>
        <w:rPr>
          <w:color w:val="auto"/>
        </w:rPr>
        <w:fldChar w:fldCharType="separate"/>
      </w:r>
      <w:r>
        <w:rPr>
          <w:color w:val="auto"/>
        </w:rPr>
        <w:t>- 7 -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"_Toc18033" </w:instrText>
      </w:r>
      <w:r>
        <w:rPr>
          <w:color w:val="auto"/>
        </w:rPr>
        <w:fldChar w:fldCharType="separate"/>
      </w:r>
      <w:r>
        <w:rPr>
          <w:rFonts w:hint="eastAsia" w:ascii="宋体" w:hAnsi="宋体" w:cs="宋体"/>
          <w:color w:val="auto"/>
          <w:szCs w:val="21"/>
        </w:rPr>
        <w:t>9. 特别说明</w:t>
      </w:r>
      <w:r>
        <w:rPr>
          <w:color w:val="auto"/>
        </w:rPr>
        <w:tab/>
      </w:r>
      <w:r>
        <w:rPr>
          <w:color w:val="auto"/>
        </w:rPr>
        <w:fldChar w:fldCharType="begin"/>
      </w:r>
      <w:r>
        <w:rPr>
          <w:color w:val="auto"/>
        </w:rPr>
        <w:instrText xml:space="preserve"> PAGEREF _Toc18033 \h </w:instrText>
      </w:r>
      <w:r>
        <w:rPr>
          <w:color w:val="auto"/>
        </w:rPr>
        <w:fldChar w:fldCharType="separate"/>
      </w:r>
      <w:r>
        <w:rPr>
          <w:color w:val="auto"/>
        </w:rPr>
        <w:t>- 8 -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"_Toc24387" </w:instrText>
      </w:r>
      <w:r>
        <w:rPr>
          <w:color w:val="auto"/>
        </w:rPr>
        <w:fldChar w:fldCharType="separate"/>
      </w:r>
      <w:r>
        <w:rPr>
          <w:rFonts w:hint="eastAsia" w:ascii="宋体" w:hAnsi="宋体" w:cs="宋体"/>
          <w:color w:val="auto"/>
          <w:szCs w:val="21"/>
        </w:rPr>
        <w:t>10. 质疑和投诉</w:t>
      </w:r>
      <w:r>
        <w:rPr>
          <w:color w:val="auto"/>
        </w:rPr>
        <w:tab/>
      </w:r>
      <w:r>
        <w:rPr>
          <w:color w:val="auto"/>
        </w:rPr>
        <w:fldChar w:fldCharType="begin"/>
      </w:r>
      <w:r>
        <w:rPr>
          <w:color w:val="auto"/>
        </w:rPr>
        <w:instrText xml:space="preserve"> PAGEREF _Toc24387 \h </w:instrText>
      </w:r>
      <w:r>
        <w:rPr>
          <w:color w:val="auto"/>
        </w:rPr>
        <w:fldChar w:fldCharType="separate"/>
      </w:r>
      <w:r>
        <w:rPr>
          <w:color w:val="auto"/>
        </w:rPr>
        <w:t>- 8 -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"_Toc30031" </w:instrText>
      </w:r>
      <w:r>
        <w:rPr>
          <w:color w:val="auto"/>
        </w:rPr>
        <w:fldChar w:fldCharType="separate"/>
      </w:r>
      <w:r>
        <w:rPr>
          <w:rFonts w:hint="eastAsia" w:ascii="宋体" w:hAnsi="宋体" w:cs="宋体"/>
          <w:color w:val="auto"/>
          <w:szCs w:val="28"/>
        </w:rPr>
        <w:t>二、招标文件</w:t>
      </w:r>
      <w:r>
        <w:rPr>
          <w:color w:val="auto"/>
        </w:rPr>
        <w:tab/>
      </w:r>
      <w:r>
        <w:rPr>
          <w:color w:val="auto"/>
        </w:rPr>
        <w:fldChar w:fldCharType="begin"/>
      </w:r>
      <w:r>
        <w:rPr>
          <w:color w:val="auto"/>
        </w:rPr>
        <w:instrText xml:space="preserve"> PAGEREF _Toc30031 \h </w:instrText>
      </w:r>
      <w:r>
        <w:rPr>
          <w:color w:val="auto"/>
        </w:rPr>
        <w:fldChar w:fldCharType="separate"/>
      </w:r>
      <w:r>
        <w:rPr>
          <w:color w:val="auto"/>
        </w:rPr>
        <w:t>- 9 -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"_Toc3220" </w:instrText>
      </w:r>
      <w:r>
        <w:rPr>
          <w:color w:val="auto"/>
        </w:rPr>
        <w:fldChar w:fldCharType="separate"/>
      </w:r>
      <w:r>
        <w:rPr>
          <w:rFonts w:hint="eastAsia" w:ascii="宋体" w:hAnsi="宋体" w:cs="宋体"/>
          <w:color w:val="auto"/>
          <w:szCs w:val="21"/>
        </w:rPr>
        <w:t>11. 招标文件的构成</w:t>
      </w:r>
      <w:r>
        <w:rPr>
          <w:color w:val="auto"/>
        </w:rPr>
        <w:tab/>
      </w:r>
      <w:r>
        <w:rPr>
          <w:color w:val="auto"/>
        </w:rPr>
        <w:fldChar w:fldCharType="begin"/>
      </w:r>
      <w:r>
        <w:rPr>
          <w:color w:val="auto"/>
        </w:rPr>
        <w:instrText xml:space="preserve"> PAGEREF _Toc3220 \h </w:instrText>
      </w:r>
      <w:r>
        <w:rPr>
          <w:color w:val="auto"/>
        </w:rPr>
        <w:fldChar w:fldCharType="separate"/>
      </w:r>
      <w:r>
        <w:rPr>
          <w:color w:val="auto"/>
        </w:rPr>
        <w:t>- 9 -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"_Toc2487" </w:instrText>
      </w:r>
      <w:r>
        <w:rPr>
          <w:color w:val="auto"/>
        </w:rPr>
        <w:fldChar w:fldCharType="separate"/>
      </w:r>
      <w:r>
        <w:rPr>
          <w:rFonts w:hint="eastAsia" w:ascii="宋体" w:hAnsi="宋体" w:cs="宋体"/>
          <w:color w:val="auto"/>
          <w:szCs w:val="21"/>
        </w:rPr>
        <w:t>12. 招标文件的澄清与修改</w:t>
      </w:r>
      <w:r>
        <w:rPr>
          <w:color w:val="auto"/>
        </w:rPr>
        <w:tab/>
      </w:r>
      <w:r>
        <w:rPr>
          <w:color w:val="auto"/>
        </w:rPr>
        <w:fldChar w:fldCharType="begin"/>
      </w:r>
      <w:r>
        <w:rPr>
          <w:color w:val="auto"/>
        </w:rPr>
        <w:instrText xml:space="preserve"> PAGEREF _Toc2487 \h </w:instrText>
      </w:r>
      <w:r>
        <w:rPr>
          <w:color w:val="auto"/>
        </w:rPr>
        <w:fldChar w:fldCharType="separate"/>
      </w:r>
      <w:r>
        <w:rPr>
          <w:color w:val="auto"/>
        </w:rPr>
        <w:t>- 9 -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"_Toc7145" </w:instrText>
      </w:r>
      <w:r>
        <w:rPr>
          <w:color w:val="auto"/>
        </w:rPr>
        <w:fldChar w:fldCharType="separate"/>
      </w:r>
      <w:r>
        <w:rPr>
          <w:rFonts w:hint="eastAsia" w:ascii="宋体" w:hAnsi="宋体" w:cs="宋体"/>
          <w:color w:val="auto"/>
          <w:szCs w:val="28"/>
        </w:rPr>
        <w:t>三、投标文件的编制</w:t>
      </w:r>
      <w:r>
        <w:rPr>
          <w:color w:val="auto"/>
        </w:rPr>
        <w:tab/>
      </w:r>
      <w:r>
        <w:rPr>
          <w:color w:val="auto"/>
        </w:rPr>
        <w:fldChar w:fldCharType="begin"/>
      </w:r>
      <w:r>
        <w:rPr>
          <w:color w:val="auto"/>
        </w:rPr>
        <w:instrText xml:space="preserve"> PAGEREF _Toc7145 \h </w:instrText>
      </w:r>
      <w:r>
        <w:rPr>
          <w:color w:val="auto"/>
        </w:rPr>
        <w:fldChar w:fldCharType="separate"/>
      </w:r>
      <w:r>
        <w:rPr>
          <w:color w:val="auto"/>
        </w:rPr>
        <w:t>- 9 -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"_Toc4404" </w:instrText>
      </w:r>
      <w:r>
        <w:rPr>
          <w:color w:val="auto"/>
        </w:rPr>
        <w:fldChar w:fldCharType="separate"/>
      </w:r>
      <w:r>
        <w:rPr>
          <w:rFonts w:hint="eastAsia" w:ascii="宋体" w:hAnsi="宋体" w:cs="宋体"/>
          <w:color w:val="auto"/>
          <w:szCs w:val="21"/>
        </w:rPr>
        <w:t>13. 投标文件的组成及要求</w:t>
      </w:r>
      <w:r>
        <w:rPr>
          <w:color w:val="auto"/>
        </w:rPr>
        <w:tab/>
      </w:r>
      <w:r>
        <w:rPr>
          <w:color w:val="auto"/>
        </w:rPr>
        <w:fldChar w:fldCharType="begin"/>
      </w:r>
      <w:r>
        <w:rPr>
          <w:color w:val="auto"/>
        </w:rPr>
        <w:instrText xml:space="preserve"> PAGEREF _Toc4404 \h </w:instrText>
      </w:r>
      <w:r>
        <w:rPr>
          <w:color w:val="auto"/>
        </w:rPr>
        <w:fldChar w:fldCharType="separate"/>
      </w:r>
      <w:r>
        <w:rPr>
          <w:color w:val="auto"/>
        </w:rPr>
        <w:t>- 9 -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"_Toc5023" </w:instrText>
      </w:r>
      <w:r>
        <w:rPr>
          <w:color w:val="auto"/>
        </w:rPr>
        <w:fldChar w:fldCharType="separate"/>
      </w:r>
      <w:r>
        <w:rPr>
          <w:rFonts w:hint="eastAsia" w:ascii="宋体" w:hAnsi="宋体" w:cs="宋体"/>
          <w:color w:val="auto"/>
          <w:szCs w:val="21"/>
        </w:rPr>
        <w:t>14. 投标文件的语言及计量</w:t>
      </w:r>
      <w:r>
        <w:rPr>
          <w:color w:val="auto"/>
        </w:rPr>
        <w:tab/>
      </w:r>
      <w:r>
        <w:rPr>
          <w:color w:val="auto"/>
        </w:rPr>
        <w:fldChar w:fldCharType="begin"/>
      </w:r>
      <w:r>
        <w:rPr>
          <w:color w:val="auto"/>
        </w:rPr>
        <w:instrText xml:space="preserve"> PAGEREF _Toc5023 \h </w:instrText>
      </w:r>
      <w:r>
        <w:rPr>
          <w:color w:val="auto"/>
        </w:rPr>
        <w:fldChar w:fldCharType="separate"/>
      </w:r>
      <w:r>
        <w:rPr>
          <w:color w:val="auto"/>
        </w:rPr>
        <w:t>- 11 -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"_Toc29606" </w:instrText>
      </w:r>
      <w:r>
        <w:rPr>
          <w:color w:val="auto"/>
        </w:rPr>
        <w:fldChar w:fldCharType="separate"/>
      </w:r>
      <w:r>
        <w:rPr>
          <w:rFonts w:ascii="宋体" w:hAnsi="宋体" w:cs="宋体"/>
          <w:color w:val="auto"/>
          <w:szCs w:val="21"/>
        </w:rPr>
        <w:t xml:space="preserve">15. </w:t>
      </w:r>
      <w:r>
        <w:rPr>
          <w:rFonts w:hint="eastAsia" w:ascii="宋体" w:hAnsi="宋体" w:cs="宋体"/>
          <w:color w:val="auto"/>
          <w:szCs w:val="21"/>
        </w:rPr>
        <w:t>投标报价</w:t>
      </w:r>
      <w:r>
        <w:rPr>
          <w:color w:val="auto"/>
        </w:rPr>
        <w:tab/>
      </w:r>
      <w:r>
        <w:rPr>
          <w:color w:val="auto"/>
        </w:rPr>
        <w:fldChar w:fldCharType="begin"/>
      </w:r>
      <w:r>
        <w:rPr>
          <w:color w:val="auto"/>
        </w:rPr>
        <w:instrText xml:space="preserve"> PAGEREF _Toc29606 \h </w:instrText>
      </w:r>
      <w:r>
        <w:rPr>
          <w:color w:val="auto"/>
        </w:rPr>
        <w:fldChar w:fldCharType="separate"/>
      </w:r>
      <w:r>
        <w:rPr>
          <w:color w:val="auto"/>
        </w:rPr>
        <w:t>- 12 -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"_Toc13101" </w:instrText>
      </w:r>
      <w:r>
        <w:rPr>
          <w:color w:val="auto"/>
        </w:rPr>
        <w:fldChar w:fldCharType="separate"/>
      </w:r>
      <w:r>
        <w:rPr>
          <w:rFonts w:hint="eastAsia" w:ascii="宋体" w:hAnsi="宋体" w:cs="宋体"/>
          <w:color w:val="auto"/>
          <w:szCs w:val="21"/>
        </w:rPr>
        <w:t>16. 投标有效期</w:t>
      </w:r>
      <w:r>
        <w:rPr>
          <w:color w:val="auto"/>
        </w:rPr>
        <w:tab/>
      </w:r>
      <w:r>
        <w:rPr>
          <w:color w:val="auto"/>
        </w:rPr>
        <w:fldChar w:fldCharType="begin"/>
      </w:r>
      <w:r>
        <w:rPr>
          <w:color w:val="auto"/>
        </w:rPr>
        <w:instrText xml:space="preserve"> PAGEREF _Toc13101 \h </w:instrText>
      </w:r>
      <w:r>
        <w:rPr>
          <w:color w:val="auto"/>
        </w:rPr>
        <w:fldChar w:fldCharType="separate"/>
      </w:r>
      <w:r>
        <w:rPr>
          <w:color w:val="auto"/>
        </w:rPr>
        <w:t>- 12 -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"_Toc21875" </w:instrText>
      </w:r>
      <w:r>
        <w:rPr>
          <w:color w:val="auto"/>
        </w:rPr>
        <w:fldChar w:fldCharType="separate"/>
      </w:r>
      <w:r>
        <w:rPr>
          <w:rFonts w:hint="eastAsia" w:ascii="宋体" w:hAnsi="宋体" w:cs="宋体"/>
          <w:color w:val="auto"/>
          <w:szCs w:val="21"/>
        </w:rPr>
        <w:t>17. 投标保证金</w:t>
      </w:r>
      <w:r>
        <w:rPr>
          <w:color w:val="auto"/>
        </w:rPr>
        <w:tab/>
      </w:r>
      <w:r>
        <w:rPr>
          <w:color w:val="auto"/>
        </w:rPr>
        <w:fldChar w:fldCharType="begin"/>
      </w:r>
      <w:r>
        <w:rPr>
          <w:color w:val="auto"/>
        </w:rPr>
        <w:instrText xml:space="preserve"> PAGEREF _Toc21875 \h </w:instrText>
      </w:r>
      <w:r>
        <w:rPr>
          <w:color w:val="auto"/>
        </w:rPr>
        <w:fldChar w:fldCharType="separate"/>
      </w:r>
      <w:r>
        <w:rPr>
          <w:color w:val="auto"/>
        </w:rPr>
        <w:t>- 12 -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"_Toc3327" </w:instrText>
      </w:r>
      <w:r>
        <w:rPr>
          <w:color w:val="auto"/>
        </w:rPr>
        <w:fldChar w:fldCharType="separate"/>
      </w:r>
      <w:r>
        <w:rPr>
          <w:rFonts w:hint="eastAsia" w:ascii="宋体" w:hAnsi="宋体" w:cs="宋体"/>
          <w:color w:val="auto"/>
          <w:szCs w:val="21"/>
        </w:rPr>
        <w:t>18. 投标文件的制作</w:t>
      </w:r>
      <w:r>
        <w:rPr>
          <w:color w:val="auto"/>
        </w:rPr>
        <w:tab/>
      </w:r>
      <w:r>
        <w:rPr>
          <w:color w:val="auto"/>
        </w:rPr>
        <w:fldChar w:fldCharType="begin"/>
      </w:r>
      <w:r>
        <w:rPr>
          <w:color w:val="auto"/>
        </w:rPr>
        <w:instrText xml:space="preserve"> PAGEREF _Toc3327 \h </w:instrText>
      </w:r>
      <w:r>
        <w:rPr>
          <w:color w:val="auto"/>
        </w:rPr>
        <w:fldChar w:fldCharType="separate"/>
      </w:r>
      <w:r>
        <w:rPr>
          <w:color w:val="auto"/>
        </w:rPr>
        <w:t>- 12 -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"_Toc2163" </w:instrText>
      </w:r>
      <w:r>
        <w:rPr>
          <w:color w:val="auto"/>
        </w:rPr>
        <w:fldChar w:fldCharType="separate"/>
      </w:r>
      <w:r>
        <w:rPr>
          <w:rFonts w:hint="eastAsia" w:ascii="宋体" w:hAnsi="宋体" w:cs="宋体"/>
          <w:color w:val="auto"/>
          <w:szCs w:val="21"/>
        </w:rPr>
        <w:t>19. 投标文件的补充、修改和撤回</w:t>
      </w:r>
      <w:r>
        <w:rPr>
          <w:color w:val="auto"/>
        </w:rPr>
        <w:tab/>
      </w:r>
      <w:r>
        <w:rPr>
          <w:color w:val="auto"/>
        </w:rPr>
        <w:fldChar w:fldCharType="begin"/>
      </w:r>
      <w:r>
        <w:rPr>
          <w:color w:val="auto"/>
        </w:rPr>
        <w:instrText xml:space="preserve"> PAGEREF _Toc2163 \h </w:instrText>
      </w:r>
      <w:r>
        <w:rPr>
          <w:color w:val="auto"/>
        </w:rPr>
        <w:fldChar w:fldCharType="separate"/>
      </w:r>
      <w:r>
        <w:rPr>
          <w:color w:val="auto"/>
        </w:rPr>
        <w:t>- 13 -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"_Toc30783" </w:instrText>
      </w:r>
      <w:r>
        <w:rPr>
          <w:color w:val="auto"/>
        </w:rPr>
        <w:fldChar w:fldCharType="separate"/>
      </w:r>
      <w:r>
        <w:rPr>
          <w:rFonts w:hint="eastAsia" w:ascii="宋体" w:hAnsi="宋体" w:cs="宋体"/>
          <w:color w:val="auto"/>
          <w:szCs w:val="21"/>
        </w:rPr>
        <w:t>20. 投标文件的递交和解密</w:t>
      </w:r>
      <w:r>
        <w:rPr>
          <w:color w:val="auto"/>
        </w:rPr>
        <w:tab/>
      </w:r>
      <w:r>
        <w:rPr>
          <w:color w:val="auto"/>
        </w:rPr>
        <w:fldChar w:fldCharType="begin"/>
      </w:r>
      <w:r>
        <w:rPr>
          <w:color w:val="auto"/>
        </w:rPr>
        <w:instrText xml:space="preserve"> PAGEREF _Toc30783 \h </w:instrText>
      </w:r>
      <w:r>
        <w:rPr>
          <w:color w:val="auto"/>
        </w:rPr>
        <w:fldChar w:fldCharType="separate"/>
      </w:r>
      <w:r>
        <w:rPr>
          <w:color w:val="auto"/>
        </w:rPr>
        <w:t>- 13 -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"_Toc26895" </w:instrText>
      </w:r>
      <w:r>
        <w:rPr>
          <w:color w:val="auto"/>
        </w:rPr>
        <w:fldChar w:fldCharType="separate"/>
      </w:r>
      <w:r>
        <w:rPr>
          <w:rFonts w:hint="eastAsia" w:ascii="宋体" w:hAnsi="宋体" w:cs="宋体"/>
          <w:color w:val="auto"/>
          <w:szCs w:val="28"/>
        </w:rPr>
        <w:t>四、开标</w:t>
      </w:r>
      <w:r>
        <w:rPr>
          <w:color w:val="auto"/>
        </w:rPr>
        <w:tab/>
      </w:r>
      <w:r>
        <w:rPr>
          <w:color w:val="auto"/>
        </w:rPr>
        <w:fldChar w:fldCharType="begin"/>
      </w:r>
      <w:r>
        <w:rPr>
          <w:color w:val="auto"/>
        </w:rPr>
        <w:instrText xml:space="preserve"> PAGEREF _Toc26895 \h </w:instrText>
      </w:r>
      <w:r>
        <w:rPr>
          <w:color w:val="auto"/>
        </w:rPr>
        <w:fldChar w:fldCharType="separate"/>
      </w:r>
      <w:r>
        <w:rPr>
          <w:color w:val="auto"/>
        </w:rPr>
        <w:t>- 13 -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"_Toc25081" </w:instrText>
      </w:r>
      <w:r>
        <w:rPr>
          <w:color w:val="auto"/>
        </w:rPr>
        <w:fldChar w:fldCharType="separate"/>
      </w:r>
      <w:r>
        <w:rPr>
          <w:rFonts w:hint="eastAsia" w:ascii="宋体" w:hAnsi="宋体" w:cs="宋体"/>
          <w:color w:val="auto"/>
          <w:szCs w:val="21"/>
        </w:rPr>
        <w:t>21. 开标时间及地点</w:t>
      </w:r>
      <w:r>
        <w:rPr>
          <w:color w:val="auto"/>
        </w:rPr>
        <w:tab/>
      </w:r>
      <w:r>
        <w:rPr>
          <w:color w:val="auto"/>
        </w:rPr>
        <w:fldChar w:fldCharType="begin"/>
      </w:r>
      <w:r>
        <w:rPr>
          <w:color w:val="auto"/>
        </w:rPr>
        <w:instrText xml:space="preserve"> PAGEREF _Toc25081 \h </w:instrText>
      </w:r>
      <w:r>
        <w:rPr>
          <w:color w:val="auto"/>
        </w:rPr>
        <w:fldChar w:fldCharType="separate"/>
      </w:r>
      <w:r>
        <w:rPr>
          <w:color w:val="auto"/>
        </w:rPr>
        <w:t>- 13 -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"_Toc12637" </w:instrText>
      </w:r>
      <w:r>
        <w:rPr>
          <w:color w:val="auto"/>
        </w:rPr>
        <w:fldChar w:fldCharType="separate"/>
      </w:r>
      <w:r>
        <w:rPr>
          <w:rFonts w:hint="eastAsia" w:ascii="宋体" w:hAnsi="宋体" w:cs="宋体"/>
          <w:bCs/>
          <w:color w:val="auto"/>
          <w:szCs w:val="21"/>
        </w:rPr>
        <w:t>22. 开标程序</w:t>
      </w:r>
      <w:r>
        <w:rPr>
          <w:color w:val="auto"/>
        </w:rPr>
        <w:tab/>
      </w:r>
      <w:r>
        <w:rPr>
          <w:color w:val="auto"/>
        </w:rPr>
        <w:fldChar w:fldCharType="begin"/>
      </w:r>
      <w:r>
        <w:rPr>
          <w:color w:val="auto"/>
        </w:rPr>
        <w:instrText xml:space="preserve"> PAGEREF _Toc12637 \h </w:instrText>
      </w:r>
      <w:r>
        <w:rPr>
          <w:color w:val="auto"/>
        </w:rPr>
        <w:fldChar w:fldCharType="separate"/>
      </w:r>
      <w:r>
        <w:rPr>
          <w:color w:val="auto"/>
        </w:rPr>
        <w:t>- 14 -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"_Toc52" </w:instrText>
      </w:r>
      <w:r>
        <w:rPr>
          <w:color w:val="auto"/>
        </w:rPr>
        <w:fldChar w:fldCharType="separate"/>
      </w:r>
      <w:r>
        <w:rPr>
          <w:rFonts w:hint="eastAsia" w:ascii="宋体" w:hAnsi="宋体" w:cs="宋体"/>
          <w:color w:val="auto"/>
          <w:szCs w:val="28"/>
        </w:rPr>
        <w:t>五、资格性审查</w:t>
      </w:r>
      <w:r>
        <w:rPr>
          <w:color w:val="auto"/>
        </w:rPr>
        <w:tab/>
      </w:r>
      <w:r>
        <w:rPr>
          <w:color w:val="auto"/>
        </w:rPr>
        <w:fldChar w:fldCharType="begin"/>
      </w:r>
      <w:r>
        <w:rPr>
          <w:color w:val="auto"/>
        </w:rPr>
        <w:instrText xml:space="preserve"> PAGEREF _Toc52 \h </w:instrText>
      </w:r>
      <w:r>
        <w:rPr>
          <w:color w:val="auto"/>
        </w:rPr>
        <w:fldChar w:fldCharType="separate"/>
      </w:r>
      <w:r>
        <w:rPr>
          <w:color w:val="auto"/>
        </w:rPr>
        <w:t>- 14 -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"_Toc23124" </w:instrText>
      </w:r>
      <w:r>
        <w:rPr>
          <w:color w:val="auto"/>
        </w:rPr>
        <w:fldChar w:fldCharType="separate"/>
      </w:r>
      <w:r>
        <w:rPr>
          <w:rFonts w:hint="eastAsia" w:ascii="宋体" w:hAnsi="宋体" w:cs="宋体"/>
          <w:color w:val="auto"/>
          <w:szCs w:val="21"/>
        </w:rPr>
        <w:t>23. 资格性审查</w:t>
      </w:r>
      <w:r>
        <w:rPr>
          <w:color w:val="auto"/>
        </w:rPr>
        <w:tab/>
      </w:r>
      <w:r>
        <w:rPr>
          <w:color w:val="auto"/>
        </w:rPr>
        <w:fldChar w:fldCharType="begin"/>
      </w:r>
      <w:r>
        <w:rPr>
          <w:color w:val="auto"/>
        </w:rPr>
        <w:instrText xml:space="preserve"> PAGEREF _Toc23124 \h </w:instrText>
      </w:r>
      <w:r>
        <w:rPr>
          <w:color w:val="auto"/>
        </w:rPr>
        <w:fldChar w:fldCharType="separate"/>
      </w:r>
      <w:r>
        <w:rPr>
          <w:color w:val="auto"/>
        </w:rPr>
        <w:t>- 14 -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"_Toc16118" </w:instrText>
      </w:r>
      <w:r>
        <w:rPr>
          <w:color w:val="auto"/>
        </w:rPr>
        <w:fldChar w:fldCharType="separate"/>
      </w:r>
      <w:r>
        <w:rPr>
          <w:rFonts w:hint="eastAsia" w:ascii="宋体" w:hAnsi="宋体" w:cs="宋体"/>
          <w:color w:val="auto"/>
          <w:szCs w:val="28"/>
        </w:rPr>
        <w:t>六、评标</w:t>
      </w:r>
      <w:r>
        <w:rPr>
          <w:color w:val="auto"/>
        </w:rPr>
        <w:tab/>
      </w:r>
      <w:r>
        <w:rPr>
          <w:color w:val="auto"/>
        </w:rPr>
        <w:fldChar w:fldCharType="begin"/>
      </w:r>
      <w:r>
        <w:rPr>
          <w:color w:val="auto"/>
        </w:rPr>
        <w:instrText xml:space="preserve"> PAGEREF _Toc16118 \h </w:instrText>
      </w:r>
      <w:r>
        <w:rPr>
          <w:color w:val="auto"/>
        </w:rPr>
        <w:fldChar w:fldCharType="separate"/>
      </w:r>
      <w:r>
        <w:rPr>
          <w:color w:val="auto"/>
        </w:rPr>
        <w:t>- 15 -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"_Toc9022" </w:instrText>
      </w:r>
      <w:r>
        <w:rPr>
          <w:color w:val="auto"/>
        </w:rPr>
        <w:fldChar w:fldCharType="separate"/>
      </w:r>
      <w:r>
        <w:rPr>
          <w:rFonts w:hint="eastAsia" w:ascii="宋体" w:hAnsi="宋体" w:cs="宋体"/>
          <w:color w:val="auto"/>
          <w:szCs w:val="21"/>
        </w:rPr>
        <w:t>24. 评标委员会组成</w:t>
      </w:r>
      <w:r>
        <w:rPr>
          <w:color w:val="auto"/>
        </w:rPr>
        <w:tab/>
      </w:r>
      <w:r>
        <w:rPr>
          <w:color w:val="auto"/>
        </w:rPr>
        <w:fldChar w:fldCharType="begin"/>
      </w:r>
      <w:r>
        <w:rPr>
          <w:color w:val="auto"/>
        </w:rPr>
        <w:instrText xml:space="preserve"> PAGEREF _Toc9022 \h </w:instrText>
      </w:r>
      <w:r>
        <w:rPr>
          <w:color w:val="auto"/>
        </w:rPr>
        <w:fldChar w:fldCharType="separate"/>
      </w:r>
      <w:r>
        <w:rPr>
          <w:color w:val="auto"/>
        </w:rPr>
        <w:t>- 15 -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"_Toc15951" </w:instrText>
      </w:r>
      <w:r>
        <w:rPr>
          <w:color w:val="auto"/>
        </w:rPr>
        <w:fldChar w:fldCharType="separate"/>
      </w:r>
      <w:r>
        <w:rPr>
          <w:rFonts w:hint="eastAsia" w:ascii="宋体" w:hAnsi="宋体" w:cs="宋体"/>
          <w:color w:val="auto"/>
          <w:szCs w:val="21"/>
        </w:rPr>
        <w:t>25. 评标原则</w:t>
      </w:r>
      <w:r>
        <w:rPr>
          <w:color w:val="auto"/>
        </w:rPr>
        <w:tab/>
      </w:r>
      <w:r>
        <w:rPr>
          <w:color w:val="auto"/>
        </w:rPr>
        <w:fldChar w:fldCharType="begin"/>
      </w:r>
      <w:r>
        <w:rPr>
          <w:color w:val="auto"/>
        </w:rPr>
        <w:instrText xml:space="preserve"> PAGEREF _Toc15951 \h </w:instrText>
      </w:r>
      <w:r>
        <w:rPr>
          <w:color w:val="auto"/>
        </w:rPr>
        <w:fldChar w:fldCharType="separate"/>
      </w:r>
      <w:r>
        <w:rPr>
          <w:color w:val="auto"/>
        </w:rPr>
        <w:t>- 15 -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"_Toc23056" </w:instrText>
      </w:r>
      <w:r>
        <w:rPr>
          <w:color w:val="auto"/>
        </w:rPr>
        <w:fldChar w:fldCharType="separate"/>
      </w:r>
      <w:r>
        <w:rPr>
          <w:rFonts w:hint="eastAsia" w:ascii="宋体" w:hAnsi="宋体" w:cs="宋体"/>
          <w:color w:val="auto"/>
          <w:szCs w:val="21"/>
        </w:rPr>
        <w:t>26. 评标</w:t>
      </w:r>
      <w:r>
        <w:rPr>
          <w:color w:val="auto"/>
        </w:rPr>
        <w:tab/>
      </w:r>
      <w:r>
        <w:rPr>
          <w:color w:val="auto"/>
        </w:rPr>
        <w:fldChar w:fldCharType="begin"/>
      </w:r>
      <w:r>
        <w:rPr>
          <w:color w:val="auto"/>
        </w:rPr>
        <w:instrText xml:space="preserve"> PAGEREF _Toc23056 \h </w:instrText>
      </w:r>
      <w:r>
        <w:rPr>
          <w:color w:val="auto"/>
        </w:rPr>
        <w:fldChar w:fldCharType="separate"/>
      </w:r>
      <w:r>
        <w:rPr>
          <w:color w:val="auto"/>
        </w:rPr>
        <w:t>- 15 -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"_Toc12769" </w:instrText>
      </w:r>
      <w:r>
        <w:rPr>
          <w:color w:val="auto"/>
        </w:rPr>
        <w:fldChar w:fldCharType="separate"/>
      </w:r>
      <w:r>
        <w:rPr>
          <w:rFonts w:hint="eastAsia" w:ascii="宋体" w:hAnsi="宋体" w:cs="宋体"/>
          <w:color w:val="auto"/>
          <w:szCs w:val="21"/>
        </w:rPr>
        <w:t>27. 推荐及确定中标候选供应商原则</w:t>
      </w:r>
      <w:r>
        <w:rPr>
          <w:color w:val="auto"/>
        </w:rPr>
        <w:tab/>
      </w:r>
      <w:r>
        <w:rPr>
          <w:color w:val="auto"/>
        </w:rPr>
        <w:fldChar w:fldCharType="begin"/>
      </w:r>
      <w:r>
        <w:rPr>
          <w:color w:val="auto"/>
        </w:rPr>
        <w:instrText xml:space="preserve"> PAGEREF _Toc12769 \h </w:instrText>
      </w:r>
      <w:r>
        <w:rPr>
          <w:color w:val="auto"/>
        </w:rPr>
        <w:fldChar w:fldCharType="separate"/>
      </w:r>
      <w:r>
        <w:rPr>
          <w:color w:val="auto"/>
        </w:rPr>
        <w:t>- 16 -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"_Toc4960" </w:instrText>
      </w:r>
      <w:r>
        <w:rPr>
          <w:color w:val="auto"/>
        </w:rPr>
        <w:fldChar w:fldCharType="separate"/>
      </w:r>
      <w:r>
        <w:rPr>
          <w:rFonts w:hint="eastAsia" w:ascii="宋体" w:hAnsi="宋体" w:cs="宋体"/>
          <w:color w:val="auto"/>
          <w:szCs w:val="21"/>
        </w:rPr>
        <w:t>28. 属于下列情况之一者，投标无效</w:t>
      </w:r>
      <w:r>
        <w:rPr>
          <w:color w:val="auto"/>
        </w:rPr>
        <w:tab/>
      </w:r>
      <w:r>
        <w:rPr>
          <w:color w:val="auto"/>
        </w:rPr>
        <w:fldChar w:fldCharType="begin"/>
      </w:r>
      <w:r>
        <w:rPr>
          <w:color w:val="auto"/>
        </w:rPr>
        <w:instrText xml:space="preserve"> PAGEREF _Toc4960 \h </w:instrText>
      </w:r>
      <w:r>
        <w:rPr>
          <w:color w:val="auto"/>
        </w:rPr>
        <w:fldChar w:fldCharType="separate"/>
      </w:r>
      <w:r>
        <w:rPr>
          <w:color w:val="auto"/>
        </w:rPr>
        <w:t>- 16 -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"_Toc13695" </w:instrText>
      </w:r>
      <w:r>
        <w:rPr>
          <w:color w:val="auto"/>
        </w:rPr>
        <w:fldChar w:fldCharType="separate"/>
      </w:r>
      <w:r>
        <w:rPr>
          <w:rFonts w:hint="eastAsia" w:ascii="宋体" w:hAnsi="宋体" w:cs="宋体"/>
          <w:color w:val="auto"/>
          <w:szCs w:val="21"/>
        </w:rPr>
        <w:t>29. 投标人有下列情形之一的，视为串通投标，投标文件将被视为无效</w:t>
      </w:r>
      <w:r>
        <w:rPr>
          <w:color w:val="auto"/>
        </w:rPr>
        <w:tab/>
      </w:r>
      <w:r>
        <w:rPr>
          <w:color w:val="auto"/>
        </w:rPr>
        <w:fldChar w:fldCharType="begin"/>
      </w:r>
      <w:r>
        <w:rPr>
          <w:color w:val="auto"/>
        </w:rPr>
        <w:instrText xml:space="preserve"> PAGEREF _Toc13695 \h </w:instrText>
      </w:r>
      <w:r>
        <w:rPr>
          <w:color w:val="auto"/>
        </w:rPr>
        <w:fldChar w:fldCharType="separate"/>
      </w:r>
      <w:r>
        <w:rPr>
          <w:color w:val="auto"/>
        </w:rPr>
        <w:t>- 16 -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"_Toc14080" </w:instrText>
      </w:r>
      <w:r>
        <w:rPr>
          <w:color w:val="auto"/>
        </w:rPr>
        <w:fldChar w:fldCharType="separate"/>
      </w:r>
      <w:r>
        <w:rPr>
          <w:rFonts w:hint="eastAsia" w:ascii="宋体" w:hAnsi="宋体" w:cs="宋体"/>
          <w:color w:val="auto"/>
          <w:szCs w:val="21"/>
        </w:rPr>
        <w:t>30. 属于下列情形之一的，应予废标</w:t>
      </w:r>
      <w:r>
        <w:rPr>
          <w:color w:val="auto"/>
        </w:rPr>
        <w:tab/>
      </w:r>
      <w:r>
        <w:rPr>
          <w:color w:val="auto"/>
        </w:rPr>
        <w:fldChar w:fldCharType="begin"/>
      </w:r>
      <w:r>
        <w:rPr>
          <w:color w:val="auto"/>
        </w:rPr>
        <w:instrText xml:space="preserve"> PAGEREF _Toc14080 \h </w:instrText>
      </w:r>
      <w:r>
        <w:rPr>
          <w:color w:val="auto"/>
        </w:rPr>
        <w:fldChar w:fldCharType="separate"/>
      </w:r>
      <w:r>
        <w:rPr>
          <w:color w:val="auto"/>
        </w:rPr>
        <w:t>- 17 -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"_Toc2001" </w:instrText>
      </w:r>
      <w:r>
        <w:rPr>
          <w:color w:val="auto"/>
        </w:rPr>
        <w:fldChar w:fldCharType="separate"/>
      </w:r>
      <w:r>
        <w:rPr>
          <w:rFonts w:hint="eastAsia" w:ascii="宋体" w:hAnsi="宋体" w:cs="宋体"/>
          <w:color w:val="auto"/>
          <w:szCs w:val="21"/>
        </w:rPr>
        <w:t>31. 开标、评标过程的监控</w:t>
      </w:r>
      <w:r>
        <w:rPr>
          <w:color w:val="auto"/>
        </w:rPr>
        <w:tab/>
      </w:r>
      <w:r>
        <w:rPr>
          <w:color w:val="auto"/>
        </w:rPr>
        <w:fldChar w:fldCharType="begin"/>
      </w:r>
      <w:r>
        <w:rPr>
          <w:color w:val="auto"/>
        </w:rPr>
        <w:instrText xml:space="preserve"> PAGEREF _Toc2001 \h </w:instrText>
      </w:r>
      <w:r>
        <w:rPr>
          <w:color w:val="auto"/>
        </w:rPr>
        <w:fldChar w:fldCharType="separate"/>
      </w:r>
      <w:r>
        <w:rPr>
          <w:color w:val="auto"/>
        </w:rPr>
        <w:t>- 17 -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"_Toc11921" </w:instrText>
      </w:r>
      <w:r>
        <w:rPr>
          <w:color w:val="auto"/>
        </w:rPr>
        <w:fldChar w:fldCharType="separate"/>
      </w:r>
      <w:r>
        <w:rPr>
          <w:rFonts w:hint="eastAsia" w:ascii="宋体" w:hAnsi="宋体" w:cs="宋体"/>
          <w:color w:val="auto"/>
          <w:szCs w:val="21"/>
        </w:rPr>
        <w:t>32. 信用查询</w:t>
      </w:r>
      <w:r>
        <w:rPr>
          <w:color w:val="auto"/>
        </w:rPr>
        <w:tab/>
      </w:r>
      <w:r>
        <w:rPr>
          <w:color w:val="auto"/>
        </w:rPr>
        <w:fldChar w:fldCharType="begin"/>
      </w:r>
      <w:r>
        <w:rPr>
          <w:color w:val="auto"/>
        </w:rPr>
        <w:instrText xml:space="preserve"> PAGEREF _Toc11921 \h </w:instrText>
      </w:r>
      <w:r>
        <w:rPr>
          <w:color w:val="auto"/>
        </w:rPr>
        <w:fldChar w:fldCharType="separate"/>
      </w:r>
      <w:r>
        <w:rPr>
          <w:color w:val="auto"/>
        </w:rPr>
        <w:t>- 17 -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"_Toc25384" </w:instrText>
      </w:r>
      <w:r>
        <w:rPr>
          <w:color w:val="auto"/>
        </w:rPr>
        <w:fldChar w:fldCharType="separate"/>
      </w:r>
      <w:r>
        <w:rPr>
          <w:rFonts w:hint="eastAsia" w:ascii="宋体" w:hAnsi="宋体" w:cs="宋体"/>
          <w:color w:val="auto"/>
          <w:szCs w:val="21"/>
        </w:rPr>
        <w:t>33. 中标公告及中标通知书</w:t>
      </w:r>
      <w:r>
        <w:rPr>
          <w:color w:val="auto"/>
        </w:rPr>
        <w:tab/>
      </w:r>
      <w:r>
        <w:rPr>
          <w:color w:val="auto"/>
        </w:rPr>
        <w:fldChar w:fldCharType="begin"/>
      </w:r>
      <w:r>
        <w:rPr>
          <w:color w:val="auto"/>
        </w:rPr>
        <w:instrText xml:space="preserve"> PAGEREF _Toc25384 \h </w:instrText>
      </w:r>
      <w:r>
        <w:rPr>
          <w:color w:val="auto"/>
        </w:rPr>
        <w:fldChar w:fldCharType="separate"/>
      </w:r>
      <w:r>
        <w:rPr>
          <w:color w:val="auto"/>
        </w:rPr>
        <w:t>- 17 -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"_Toc11657" </w:instrText>
      </w:r>
      <w:r>
        <w:rPr>
          <w:color w:val="auto"/>
        </w:rPr>
        <w:fldChar w:fldCharType="separate"/>
      </w:r>
      <w:r>
        <w:rPr>
          <w:rFonts w:hint="eastAsia" w:ascii="宋体" w:hAnsi="宋体" w:cs="宋体"/>
          <w:color w:val="auto"/>
          <w:szCs w:val="28"/>
        </w:rPr>
        <w:t>七、履约保证金及签订合同</w:t>
      </w:r>
      <w:r>
        <w:rPr>
          <w:color w:val="auto"/>
        </w:rPr>
        <w:tab/>
      </w:r>
      <w:r>
        <w:rPr>
          <w:color w:val="auto"/>
        </w:rPr>
        <w:fldChar w:fldCharType="begin"/>
      </w:r>
      <w:r>
        <w:rPr>
          <w:color w:val="auto"/>
        </w:rPr>
        <w:instrText xml:space="preserve"> PAGEREF _Toc11657 \h </w:instrText>
      </w:r>
      <w:r>
        <w:rPr>
          <w:color w:val="auto"/>
        </w:rPr>
        <w:fldChar w:fldCharType="separate"/>
      </w:r>
      <w:r>
        <w:rPr>
          <w:color w:val="auto"/>
        </w:rPr>
        <w:t>- 17 -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"_Toc11752" </w:instrText>
      </w:r>
      <w:r>
        <w:rPr>
          <w:color w:val="auto"/>
        </w:rPr>
        <w:fldChar w:fldCharType="separate"/>
      </w:r>
      <w:r>
        <w:rPr>
          <w:rFonts w:hint="eastAsia" w:ascii="宋体" w:hAnsi="宋体" w:cs="宋体"/>
          <w:color w:val="auto"/>
          <w:szCs w:val="21"/>
        </w:rPr>
        <w:t>34. 履约保证金</w:t>
      </w:r>
      <w:r>
        <w:rPr>
          <w:color w:val="auto"/>
        </w:rPr>
        <w:tab/>
      </w:r>
      <w:r>
        <w:rPr>
          <w:color w:val="auto"/>
        </w:rPr>
        <w:fldChar w:fldCharType="begin"/>
      </w:r>
      <w:r>
        <w:rPr>
          <w:color w:val="auto"/>
        </w:rPr>
        <w:instrText xml:space="preserve"> PAGEREF _Toc11752 \h </w:instrText>
      </w:r>
      <w:r>
        <w:rPr>
          <w:color w:val="auto"/>
        </w:rPr>
        <w:fldChar w:fldCharType="separate"/>
      </w:r>
      <w:r>
        <w:rPr>
          <w:color w:val="auto"/>
        </w:rPr>
        <w:t>- 17 -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"_Toc1658" </w:instrText>
      </w:r>
      <w:r>
        <w:rPr>
          <w:color w:val="auto"/>
        </w:rPr>
        <w:fldChar w:fldCharType="separate"/>
      </w:r>
      <w:r>
        <w:rPr>
          <w:rFonts w:hint="eastAsia" w:ascii="宋体" w:hAnsi="宋体" w:cs="宋体"/>
          <w:color w:val="auto"/>
          <w:szCs w:val="21"/>
        </w:rPr>
        <w:t>35. 签订合同</w:t>
      </w:r>
      <w:r>
        <w:rPr>
          <w:color w:val="auto"/>
        </w:rPr>
        <w:tab/>
      </w:r>
      <w:r>
        <w:rPr>
          <w:color w:val="auto"/>
        </w:rPr>
        <w:fldChar w:fldCharType="begin"/>
      </w:r>
      <w:r>
        <w:rPr>
          <w:color w:val="auto"/>
        </w:rPr>
        <w:instrText xml:space="preserve"> PAGEREF _Toc1658 \h </w:instrText>
      </w:r>
      <w:r>
        <w:rPr>
          <w:color w:val="auto"/>
        </w:rPr>
        <w:fldChar w:fldCharType="separate"/>
      </w:r>
      <w:r>
        <w:rPr>
          <w:color w:val="auto"/>
        </w:rPr>
        <w:t>- 17 -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"_Toc18214" </w:instrText>
      </w:r>
      <w:r>
        <w:rPr>
          <w:color w:val="auto"/>
        </w:rPr>
        <w:fldChar w:fldCharType="separate"/>
      </w:r>
      <w:r>
        <w:rPr>
          <w:rFonts w:hint="eastAsia" w:ascii="宋体" w:hAnsi="宋体" w:cs="宋体"/>
          <w:color w:val="auto"/>
          <w:szCs w:val="28"/>
        </w:rPr>
        <w:t>八、其他事项</w:t>
      </w:r>
      <w:r>
        <w:rPr>
          <w:color w:val="auto"/>
        </w:rPr>
        <w:tab/>
      </w:r>
      <w:r>
        <w:rPr>
          <w:color w:val="auto"/>
        </w:rPr>
        <w:fldChar w:fldCharType="begin"/>
      </w:r>
      <w:r>
        <w:rPr>
          <w:color w:val="auto"/>
        </w:rPr>
        <w:instrText xml:space="preserve"> PAGEREF _Toc18214 \h </w:instrText>
      </w:r>
      <w:r>
        <w:rPr>
          <w:color w:val="auto"/>
        </w:rPr>
        <w:fldChar w:fldCharType="separate"/>
      </w:r>
      <w:r>
        <w:rPr>
          <w:color w:val="auto"/>
        </w:rPr>
        <w:t>- 18 -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"_Toc24488" </w:instrText>
      </w:r>
      <w:r>
        <w:rPr>
          <w:color w:val="auto"/>
        </w:rPr>
        <w:fldChar w:fldCharType="separate"/>
      </w:r>
      <w:r>
        <w:rPr>
          <w:rFonts w:hint="eastAsia" w:ascii="宋体" w:hAnsi="宋体" w:cs="宋体"/>
          <w:color w:val="auto"/>
          <w:szCs w:val="21"/>
        </w:rPr>
        <w:t>36. 招标代理服务费</w:t>
      </w:r>
      <w:r>
        <w:rPr>
          <w:color w:val="auto"/>
        </w:rPr>
        <w:tab/>
      </w:r>
      <w:r>
        <w:rPr>
          <w:color w:val="auto"/>
        </w:rPr>
        <w:fldChar w:fldCharType="begin"/>
      </w:r>
      <w:r>
        <w:rPr>
          <w:color w:val="auto"/>
        </w:rPr>
        <w:instrText xml:space="preserve"> PAGEREF _Toc24488 \h </w:instrText>
      </w:r>
      <w:r>
        <w:rPr>
          <w:color w:val="auto"/>
        </w:rPr>
        <w:fldChar w:fldCharType="separate"/>
      </w:r>
      <w:r>
        <w:rPr>
          <w:color w:val="auto"/>
        </w:rPr>
        <w:t>- 18 -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"_Toc6523" </w:instrText>
      </w:r>
      <w:r>
        <w:rPr>
          <w:color w:val="auto"/>
        </w:rPr>
        <w:fldChar w:fldCharType="separate"/>
      </w:r>
      <w:r>
        <w:rPr>
          <w:rFonts w:hint="eastAsia" w:ascii="宋体" w:hAnsi="宋体" w:cs="宋体"/>
          <w:color w:val="auto"/>
          <w:szCs w:val="21"/>
        </w:rPr>
        <w:t>37. 解释权</w:t>
      </w:r>
      <w:r>
        <w:rPr>
          <w:color w:val="auto"/>
        </w:rPr>
        <w:tab/>
      </w:r>
      <w:r>
        <w:rPr>
          <w:color w:val="auto"/>
        </w:rPr>
        <w:fldChar w:fldCharType="begin"/>
      </w:r>
      <w:r>
        <w:rPr>
          <w:color w:val="auto"/>
        </w:rPr>
        <w:instrText xml:space="preserve"> PAGEREF _Toc6523 \h </w:instrText>
      </w:r>
      <w:r>
        <w:rPr>
          <w:color w:val="auto"/>
        </w:rPr>
        <w:fldChar w:fldCharType="separate"/>
      </w:r>
      <w:r>
        <w:rPr>
          <w:color w:val="auto"/>
        </w:rPr>
        <w:t>- 18 -</w:t>
      </w:r>
      <w:r>
        <w:rPr>
          <w:color w:val="auto"/>
        </w:rPr>
        <w:fldChar w:fldCharType="end"/>
      </w:r>
      <w:r>
        <w:rPr>
          <w:color w:val="auto"/>
        </w:rPr>
        <w:fldChar w:fldCharType="end"/>
      </w:r>
    </w:p>
    <w:p>
      <w:pPr>
        <w:pStyle w:val="15"/>
        <w:tabs>
          <w:tab w:val="right" w:leader="dot" w:pos="9746"/>
        </w:tabs>
        <w:rPr>
          <w:color w:val="auto"/>
        </w:rPr>
      </w:pPr>
      <w:r>
        <w:rPr>
          <w:color w:val="auto"/>
        </w:rPr>
        <w:fldChar w:fldCharType="begin"/>
      </w:r>
      <w:r>
        <w:rPr>
          <w:color w:val="auto"/>
        </w:rPr>
        <w:instrText xml:space="preserve"> HYPERLINK \l "_Toc26924" </w:instrText>
      </w:r>
      <w:r>
        <w:rPr>
          <w:color w:val="auto"/>
        </w:rPr>
        <w:fldChar w:fldCharType="separate"/>
      </w:r>
      <w:r>
        <w:rPr>
          <w:rFonts w:hint="eastAsia" w:ascii="宋体" w:hAnsi="宋体" w:cs="宋体"/>
          <w:color w:val="auto"/>
          <w:szCs w:val="21"/>
        </w:rPr>
        <w:t>38. 监督管理机构</w:t>
      </w:r>
      <w:r>
        <w:rPr>
          <w:color w:val="auto"/>
        </w:rPr>
        <w:tab/>
      </w:r>
      <w:r>
        <w:rPr>
          <w:color w:val="auto"/>
        </w:rPr>
        <w:fldChar w:fldCharType="begin"/>
      </w:r>
      <w:r>
        <w:rPr>
          <w:color w:val="auto"/>
        </w:rPr>
        <w:instrText xml:space="preserve"> PAGEREF _Toc26924 \h </w:instrText>
      </w:r>
      <w:r>
        <w:rPr>
          <w:color w:val="auto"/>
        </w:rPr>
        <w:fldChar w:fldCharType="separate"/>
      </w:r>
      <w:r>
        <w:rPr>
          <w:color w:val="auto"/>
        </w:rPr>
        <w:t>- 18 -</w:t>
      </w:r>
      <w:r>
        <w:rPr>
          <w:color w:val="auto"/>
        </w:rPr>
        <w:fldChar w:fldCharType="end"/>
      </w:r>
      <w:r>
        <w:rPr>
          <w:color w:val="auto"/>
        </w:rPr>
        <w:fldChar w:fldCharType="end"/>
      </w:r>
    </w:p>
    <w:p>
      <w:pPr>
        <w:pStyle w:val="22"/>
        <w:tabs>
          <w:tab w:val="right" w:leader="dot" w:pos="9746"/>
        </w:tabs>
        <w:rPr>
          <w:color w:val="auto"/>
        </w:rPr>
      </w:pPr>
      <w:r>
        <w:rPr>
          <w:color w:val="auto"/>
        </w:rPr>
        <w:fldChar w:fldCharType="begin"/>
      </w:r>
      <w:r>
        <w:rPr>
          <w:color w:val="auto"/>
        </w:rPr>
        <w:instrText xml:space="preserve"> HYPERLINK \l "_Toc11536" </w:instrText>
      </w:r>
      <w:r>
        <w:rPr>
          <w:color w:val="auto"/>
        </w:rPr>
        <w:fldChar w:fldCharType="separate"/>
      </w:r>
      <w:r>
        <w:rPr>
          <w:rFonts w:hint="eastAsia"/>
          <w:color w:val="auto"/>
          <w:szCs w:val="32"/>
        </w:rPr>
        <w:t>第三章  货物采购需求</w:t>
      </w:r>
      <w:r>
        <w:rPr>
          <w:color w:val="auto"/>
        </w:rPr>
        <w:tab/>
      </w:r>
      <w:r>
        <w:rPr>
          <w:color w:val="auto"/>
        </w:rPr>
        <w:fldChar w:fldCharType="begin"/>
      </w:r>
      <w:r>
        <w:rPr>
          <w:color w:val="auto"/>
        </w:rPr>
        <w:instrText xml:space="preserve"> PAGEREF _Toc11536 \h </w:instrText>
      </w:r>
      <w:r>
        <w:rPr>
          <w:color w:val="auto"/>
        </w:rPr>
        <w:fldChar w:fldCharType="separate"/>
      </w:r>
      <w:r>
        <w:rPr>
          <w:color w:val="auto"/>
        </w:rPr>
        <w:t>- 19 -</w:t>
      </w:r>
      <w:r>
        <w:rPr>
          <w:color w:val="auto"/>
        </w:rPr>
        <w:fldChar w:fldCharType="end"/>
      </w:r>
      <w:r>
        <w:rPr>
          <w:color w:val="auto"/>
        </w:rPr>
        <w:fldChar w:fldCharType="end"/>
      </w:r>
    </w:p>
    <w:p>
      <w:pPr>
        <w:pStyle w:val="22"/>
        <w:tabs>
          <w:tab w:val="right" w:leader="dot" w:pos="9746"/>
        </w:tabs>
        <w:rPr>
          <w:color w:val="auto"/>
        </w:rPr>
      </w:pPr>
      <w:r>
        <w:rPr>
          <w:color w:val="auto"/>
        </w:rPr>
        <w:fldChar w:fldCharType="begin"/>
      </w:r>
      <w:r>
        <w:rPr>
          <w:color w:val="auto"/>
        </w:rPr>
        <w:instrText xml:space="preserve"> HYPERLINK \l "_Toc2348" </w:instrText>
      </w:r>
      <w:r>
        <w:rPr>
          <w:color w:val="auto"/>
        </w:rPr>
        <w:fldChar w:fldCharType="separate"/>
      </w:r>
      <w:r>
        <w:rPr>
          <w:rFonts w:hint="eastAsia" w:ascii="宋体" w:hAnsi="宋体" w:cs="宋体"/>
          <w:color w:val="auto"/>
          <w:szCs w:val="32"/>
        </w:rPr>
        <w:t>第四章  评标办法</w:t>
      </w:r>
      <w:r>
        <w:rPr>
          <w:color w:val="auto"/>
        </w:rPr>
        <w:tab/>
      </w:r>
      <w:r>
        <w:rPr>
          <w:color w:val="auto"/>
        </w:rPr>
        <w:fldChar w:fldCharType="begin"/>
      </w:r>
      <w:r>
        <w:rPr>
          <w:color w:val="auto"/>
        </w:rPr>
        <w:instrText xml:space="preserve"> PAGEREF _Toc2348 \h </w:instrText>
      </w:r>
      <w:r>
        <w:rPr>
          <w:color w:val="auto"/>
        </w:rPr>
        <w:fldChar w:fldCharType="separate"/>
      </w:r>
      <w:r>
        <w:rPr>
          <w:color w:val="auto"/>
        </w:rPr>
        <w:t>- 34 -</w:t>
      </w:r>
      <w:r>
        <w:rPr>
          <w:color w:val="auto"/>
        </w:rPr>
        <w:fldChar w:fldCharType="end"/>
      </w:r>
      <w:r>
        <w:rPr>
          <w:color w:val="auto"/>
        </w:rPr>
        <w:fldChar w:fldCharType="end"/>
      </w:r>
    </w:p>
    <w:p>
      <w:pPr>
        <w:pStyle w:val="22"/>
        <w:tabs>
          <w:tab w:val="right" w:leader="dot" w:pos="9746"/>
        </w:tabs>
        <w:rPr>
          <w:color w:val="auto"/>
        </w:rPr>
      </w:pPr>
      <w:r>
        <w:rPr>
          <w:color w:val="auto"/>
        </w:rPr>
        <w:fldChar w:fldCharType="begin"/>
      </w:r>
      <w:r>
        <w:rPr>
          <w:color w:val="auto"/>
        </w:rPr>
        <w:instrText xml:space="preserve"> HYPERLINK \l "_Toc31602" </w:instrText>
      </w:r>
      <w:r>
        <w:rPr>
          <w:color w:val="auto"/>
        </w:rPr>
        <w:fldChar w:fldCharType="separate"/>
      </w:r>
      <w:r>
        <w:rPr>
          <w:rFonts w:hint="eastAsia" w:ascii="宋体" w:hAnsi="宋体" w:cs="宋体"/>
          <w:bCs/>
          <w:color w:val="auto"/>
          <w:kern w:val="44"/>
          <w:szCs w:val="32"/>
        </w:rPr>
        <w:t>第五章  采购合同（合同主要条款及格式）</w:t>
      </w:r>
      <w:r>
        <w:rPr>
          <w:color w:val="auto"/>
        </w:rPr>
        <w:tab/>
      </w:r>
      <w:r>
        <w:rPr>
          <w:color w:val="auto"/>
        </w:rPr>
        <w:fldChar w:fldCharType="begin"/>
      </w:r>
      <w:r>
        <w:rPr>
          <w:color w:val="auto"/>
        </w:rPr>
        <w:instrText xml:space="preserve"> PAGEREF _Toc31602 \h </w:instrText>
      </w:r>
      <w:r>
        <w:rPr>
          <w:color w:val="auto"/>
        </w:rPr>
        <w:fldChar w:fldCharType="separate"/>
      </w:r>
      <w:r>
        <w:rPr>
          <w:color w:val="auto"/>
        </w:rPr>
        <w:t>- 43 -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"_Toc22268" </w:instrText>
      </w:r>
      <w:r>
        <w:rPr>
          <w:color w:val="auto"/>
        </w:rPr>
        <w:fldChar w:fldCharType="separate"/>
      </w:r>
      <w:r>
        <w:rPr>
          <w:rFonts w:hint="eastAsia" w:ascii="宋体" w:hAnsi="宋体" w:cs="宋体"/>
          <w:color w:val="auto"/>
          <w:szCs w:val="21"/>
        </w:rPr>
        <w:t>第一条  合同标的及合同金额</w:t>
      </w:r>
      <w:r>
        <w:rPr>
          <w:color w:val="auto"/>
        </w:rPr>
        <w:tab/>
      </w:r>
      <w:r>
        <w:rPr>
          <w:color w:val="auto"/>
        </w:rPr>
        <w:fldChar w:fldCharType="begin"/>
      </w:r>
      <w:r>
        <w:rPr>
          <w:color w:val="auto"/>
        </w:rPr>
        <w:instrText xml:space="preserve"> PAGEREF _Toc22268 \h </w:instrText>
      </w:r>
      <w:r>
        <w:rPr>
          <w:color w:val="auto"/>
        </w:rPr>
        <w:fldChar w:fldCharType="separate"/>
      </w:r>
      <w:r>
        <w:rPr>
          <w:color w:val="auto"/>
        </w:rPr>
        <w:t>- 43 -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"_Toc6841" </w:instrText>
      </w:r>
      <w:r>
        <w:rPr>
          <w:color w:val="auto"/>
        </w:rPr>
        <w:fldChar w:fldCharType="separate"/>
      </w:r>
      <w:r>
        <w:rPr>
          <w:rFonts w:hint="eastAsia" w:ascii="宋体" w:hAnsi="宋体" w:cs="宋体"/>
          <w:color w:val="auto"/>
          <w:szCs w:val="21"/>
        </w:rPr>
        <w:t>第二条  质量保证</w:t>
      </w:r>
      <w:r>
        <w:rPr>
          <w:color w:val="auto"/>
        </w:rPr>
        <w:tab/>
      </w:r>
      <w:r>
        <w:rPr>
          <w:color w:val="auto"/>
        </w:rPr>
        <w:fldChar w:fldCharType="begin"/>
      </w:r>
      <w:r>
        <w:rPr>
          <w:color w:val="auto"/>
        </w:rPr>
        <w:instrText xml:space="preserve"> PAGEREF _Toc6841 \h </w:instrText>
      </w:r>
      <w:r>
        <w:rPr>
          <w:color w:val="auto"/>
        </w:rPr>
        <w:fldChar w:fldCharType="separate"/>
      </w:r>
      <w:r>
        <w:rPr>
          <w:color w:val="auto"/>
        </w:rPr>
        <w:t>- 43 -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"_Toc17443" </w:instrText>
      </w:r>
      <w:r>
        <w:rPr>
          <w:color w:val="auto"/>
        </w:rPr>
        <w:fldChar w:fldCharType="separate"/>
      </w:r>
      <w:r>
        <w:rPr>
          <w:rFonts w:hint="eastAsia" w:ascii="宋体" w:hAnsi="宋体" w:cs="宋体"/>
          <w:color w:val="auto"/>
          <w:szCs w:val="21"/>
        </w:rPr>
        <w:t>第三条  权利保证</w:t>
      </w:r>
      <w:r>
        <w:rPr>
          <w:color w:val="auto"/>
        </w:rPr>
        <w:tab/>
      </w:r>
      <w:r>
        <w:rPr>
          <w:color w:val="auto"/>
        </w:rPr>
        <w:fldChar w:fldCharType="begin"/>
      </w:r>
      <w:r>
        <w:rPr>
          <w:color w:val="auto"/>
        </w:rPr>
        <w:instrText xml:space="preserve"> PAGEREF _Toc17443 \h </w:instrText>
      </w:r>
      <w:r>
        <w:rPr>
          <w:color w:val="auto"/>
        </w:rPr>
        <w:fldChar w:fldCharType="separate"/>
      </w:r>
      <w:r>
        <w:rPr>
          <w:color w:val="auto"/>
        </w:rPr>
        <w:t>- 43 -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"_Toc17138" </w:instrText>
      </w:r>
      <w:r>
        <w:rPr>
          <w:color w:val="auto"/>
        </w:rPr>
        <w:fldChar w:fldCharType="separate"/>
      </w:r>
      <w:r>
        <w:rPr>
          <w:rFonts w:hint="eastAsia" w:ascii="宋体" w:hAnsi="宋体" w:cs="宋体"/>
          <w:color w:val="auto"/>
          <w:szCs w:val="21"/>
        </w:rPr>
        <w:t>第四条  货物包装、运输</w:t>
      </w:r>
      <w:r>
        <w:rPr>
          <w:color w:val="auto"/>
        </w:rPr>
        <w:tab/>
      </w:r>
      <w:r>
        <w:rPr>
          <w:color w:val="auto"/>
        </w:rPr>
        <w:fldChar w:fldCharType="begin"/>
      </w:r>
      <w:r>
        <w:rPr>
          <w:color w:val="auto"/>
        </w:rPr>
        <w:instrText xml:space="preserve"> PAGEREF _Toc17138 \h </w:instrText>
      </w:r>
      <w:r>
        <w:rPr>
          <w:color w:val="auto"/>
        </w:rPr>
        <w:fldChar w:fldCharType="separate"/>
      </w:r>
      <w:r>
        <w:rPr>
          <w:color w:val="auto"/>
        </w:rPr>
        <w:t>- 43 -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"_Toc2705" </w:instrText>
      </w:r>
      <w:r>
        <w:rPr>
          <w:color w:val="auto"/>
        </w:rPr>
        <w:fldChar w:fldCharType="separate"/>
      </w:r>
      <w:r>
        <w:rPr>
          <w:rFonts w:hint="eastAsia" w:ascii="宋体" w:hAnsi="宋体" w:cs="宋体"/>
          <w:color w:val="auto"/>
          <w:szCs w:val="21"/>
        </w:rPr>
        <w:t>第五条  交付</w:t>
      </w:r>
      <w:r>
        <w:rPr>
          <w:color w:val="auto"/>
        </w:rPr>
        <w:tab/>
      </w:r>
      <w:r>
        <w:rPr>
          <w:color w:val="auto"/>
        </w:rPr>
        <w:fldChar w:fldCharType="begin"/>
      </w:r>
      <w:r>
        <w:rPr>
          <w:color w:val="auto"/>
        </w:rPr>
        <w:instrText xml:space="preserve"> PAGEREF _Toc2705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"_Toc2045" </w:instrText>
      </w:r>
      <w:r>
        <w:rPr>
          <w:color w:val="auto"/>
        </w:rPr>
        <w:fldChar w:fldCharType="separate"/>
      </w:r>
      <w:r>
        <w:rPr>
          <w:rFonts w:hint="eastAsia" w:ascii="宋体" w:hAnsi="宋体" w:cs="宋体"/>
          <w:color w:val="auto"/>
          <w:szCs w:val="21"/>
        </w:rPr>
        <w:t>第六条  调试和验收</w:t>
      </w:r>
      <w:r>
        <w:rPr>
          <w:color w:val="auto"/>
        </w:rPr>
        <w:tab/>
      </w:r>
      <w:r>
        <w:rPr>
          <w:color w:val="auto"/>
        </w:rPr>
        <w:fldChar w:fldCharType="begin"/>
      </w:r>
      <w:r>
        <w:rPr>
          <w:color w:val="auto"/>
        </w:rPr>
        <w:instrText xml:space="preserve"> PAGEREF _Toc2045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"_Toc29074" </w:instrText>
      </w:r>
      <w:r>
        <w:rPr>
          <w:color w:val="auto"/>
        </w:rPr>
        <w:fldChar w:fldCharType="separate"/>
      </w:r>
      <w:r>
        <w:rPr>
          <w:rFonts w:hint="eastAsia" w:ascii="宋体" w:hAnsi="宋体" w:cs="宋体"/>
          <w:color w:val="auto"/>
          <w:szCs w:val="21"/>
        </w:rPr>
        <w:t>第七条  安装和培训</w:t>
      </w:r>
      <w:r>
        <w:rPr>
          <w:color w:val="auto"/>
        </w:rPr>
        <w:tab/>
      </w:r>
      <w:r>
        <w:rPr>
          <w:color w:val="auto"/>
        </w:rPr>
        <w:fldChar w:fldCharType="begin"/>
      </w:r>
      <w:r>
        <w:rPr>
          <w:color w:val="auto"/>
        </w:rPr>
        <w:instrText xml:space="preserve"> PAGEREF _Toc29074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"_Toc13114" </w:instrText>
      </w:r>
      <w:r>
        <w:rPr>
          <w:color w:val="auto"/>
        </w:rPr>
        <w:fldChar w:fldCharType="separate"/>
      </w:r>
      <w:r>
        <w:rPr>
          <w:rFonts w:hint="eastAsia" w:ascii="宋体" w:hAnsi="宋体" w:cs="宋体"/>
          <w:color w:val="auto"/>
          <w:szCs w:val="21"/>
        </w:rPr>
        <w:t>第八条  售后服务、保修期</w:t>
      </w:r>
      <w:r>
        <w:rPr>
          <w:color w:val="auto"/>
        </w:rPr>
        <w:tab/>
      </w:r>
      <w:r>
        <w:rPr>
          <w:color w:val="auto"/>
        </w:rPr>
        <w:fldChar w:fldCharType="begin"/>
      </w:r>
      <w:r>
        <w:rPr>
          <w:color w:val="auto"/>
        </w:rPr>
        <w:instrText xml:space="preserve"> PAGEREF _Toc13114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"_Toc18235" </w:instrText>
      </w:r>
      <w:r>
        <w:rPr>
          <w:color w:val="auto"/>
        </w:rPr>
        <w:fldChar w:fldCharType="separate"/>
      </w:r>
      <w:r>
        <w:rPr>
          <w:rFonts w:hint="eastAsia" w:ascii="宋体" w:hAnsi="宋体" w:cs="宋体"/>
          <w:color w:val="auto"/>
          <w:szCs w:val="21"/>
        </w:rPr>
        <w:t>第九条  税费</w:t>
      </w:r>
      <w:r>
        <w:rPr>
          <w:color w:val="auto"/>
        </w:rPr>
        <w:tab/>
      </w:r>
      <w:r>
        <w:rPr>
          <w:color w:val="auto"/>
        </w:rPr>
        <w:fldChar w:fldCharType="begin"/>
      </w:r>
      <w:r>
        <w:rPr>
          <w:color w:val="auto"/>
        </w:rPr>
        <w:instrText xml:space="preserve"> PAGEREF _Toc18235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"_Toc17338" </w:instrText>
      </w:r>
      <w:r>
        <w:rPr>
          <w:color w:val="auto"/>
        </w:rPr>
        <w:fldChar w:fldCharType="separate"/>
      </w:r>
      <w:r>
        <w:rPr>
          <w:rFonts w:hint="eastAsia" w:ascii="宋体" w:hAnsi="宋体" w:cs="宋体"/>
          <w:color w:val="auto"/>
          <w:szCs w:val="21"/>
        </w:rPr>
        <w:t>第十条  付款方式</w:t>
      </w:r>
      <w:r>
        <w:rPr>
          <w:color w:val="auto"/>
        </w:rPr>
        <w:tab/>
      </w:r>
      <w:r>
        <w:rPr>
          <w:color w:val="auto"/>
        </w:rPr>
        <w:fldChar w:fldCharType="begin"/>
      </w:r>
      <w:r>
        <w:rPr>
          <w:color w:val="auto"/>
        </w:rPr>
        <w:instrText xml:space="preserve"> PAGEREF _Toc17338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"_Toc6761" </w:instrText>
      </w:r>
      <w:r>
        <w:rPr>
          <w:color w:val="auto"/>
        </w:rPr>
        <w:fldChar w:fldCharType="separate"/>
      </w:r>
      <w:r>
        <w:rPr>
          <w:rFonts w:hint="eastAsia" w:ascii="宋体" w:hAnsi="宋体" w:cs="宋体"/>
          <w:color w:val="auto"/>
          <w:szCs w:val="21"/>
        </w:rPr>
        <w:t>第十一条  违约责任</w:t>
      </w:r>
      <w:r>
        <w:rPr>
          <w:color w:val="auto"/>
        </w:rPr>
        <w:tab/>
      </w:r>
      <w:r>
        <w:rPr>
          <w:color w:val="auto"/>
        </w:rPr>
        <w:fldChar w:fldCharType="begin"/>
      </w:r>
      <w:r>
        <w:rPr>
          <w:color w:val="auto"/>
        </w:rPr>
        <w:instrText xml:space="preserve"> PAGEREF _Toc6761 \h </w:instrText>
      </w:r>
      <w:r>
        <w:rPr>
          <w:color w:val="auto"/>
        </w:rPr>
        <w:fldChar w:fldCharType="separate"/>
      </w:r>
      <w:r>
        <w:rPr>
          <w:color w:val="auto"/>
        </w:rPr>
        <w:t>- 44 -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"_Toc4299" </w:instrText>
      </w:r>
      <w:r>
        <w:rPr>
          <w:color w:val="auto"/>
        </w:rPr>
        <w:fldChar w:fldCharType="separate"/>
      </w:r>
      <w:r>
        <w:rPr>
          <w:rFonts w:hint="eastAsia" w:ascii="宋体" w:hAnsi="宋体" w:cs="宋体"/>
          <w:color w:val="auto"/>
          <w:szCs w:val="21"/>
        </w:rPr>
        <w:t>第十二条  不可抗力事件处理</w:t>
      </w:r>
      <w:r>
        <w:rPr>
          <w:color w:val="auto"/>
        </w:rPr>
        <w:tab/>
      </w:r>
      <w:r>
        <w:rPr>
          <w:color w:val="auto"/>
        </w:rPr>
        <w:fldChar w:fldCharType="begin"/>
      </w:r>
      <w:r>
        <w:rPr>
          <w:color w:val="auto"/>
        </w:rPr>
        <w:instrText xml:space="preserve"> PAGEREF _Toc4299 \h </w:instrText>
      </w:r>
      <w:r>
        <w:rPr>
          <w:color w:val="auto"/>
        </w:rPr>
        <w:fldChar w:fldCharType="separate"/>
      </w:r>
      <w:r>
        <w:rPr>
          <w:color w:val="auto"/>
        </w:rPr>
        <w:t>- 45 -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"_Toc24966" </w:instrText>
      </w:r>
      <w:r>
        <w:rPr>
          <w:color w:val="auto"/>
        </w:rPr>
        <w:fldChar w:fldCharType="separate"/>
      </w:r>
      <w:r>
        <w:rPr>
          <w:rFonts w:hint="eastAsia" w:ascii="宋体" w:hAnsi="宋体" w:cs="宋体"/>
          <w:color w:val="auto"/>
          <w:szCs w:val="21"/>
        </w:rPr>
        <w:t>第十三条  合同争议解决</w:t>
      </w:r>
      <w:r>
        <w:rPr>
          <w:color w:val="auto"/>
        </w:rPr>
        <w:tab/>
      </w:r>
      <w:r>
        <w:rPr>
          <w:color w:val="auto"/>
        </w:rPr>
        <w:fldChar w:fldCharType="begin"/>
      </w:r>
      <w:r>
        <w:rPr>
          <w:color w:val="auto"/>
        </w:rPr>
        <w:instrText xml:space="preserve"> PAGEREF _Toc24966 \h </w:instrText>
      </w:r>
      <w:r>
        <w:rPr>
          <w:color w:val="auto"/>
        </w:rPr>
        <w:fldChar w:fldCharType="separate"/>
      </w:r>
      <w:r>
        <w:rPr>
          <w:color w:val="auto"/>
        </w:rPr>
        <w:t>- 45 -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"_Toc10780" </w:instrText>
      </w:r>
      <w:r>
        <w:rPr>
          <w:color w:val="auto"/>
        </w:rPr>
        <w:fldChar w:fldCharType="separate"/>
      </w:r>
      <w:r>
        <w:rPr>
          <w:rFonts w:hint="eastAsia" w:ascii="宋体" w:hAnsi="宋体" w:cs="宋体"/>
          <w:color w:val="auto"/>
          <w:szCs w:val="21"/>
        </w:rPr>
        <w:t>第十四条  合同生效及其它</w:t>
      </w:r>
      <w:r>
        <w:rPr>
          <w:color w:val="auto"/>
        </w:rPr>
        <w:tab/>
      </w:r>
      <w:r>
        <w:rPr>
          <w:color w:val="auto"/>
        </w:rPr>
        <w:fldChar w:fldCharType="begin"/>
      </w:r>
      <w:r>
        <w:rPr>
          <w:color w:val="auto"/>
        </w:rPr>
        <w:instrText xml:space="preserve"> PAGEREF _Toc10780 \h </w:instrText>
      </w:r>
      <w:r>
        <w:rPr>
          <w:color w:val="auto"/>
        </w:rPr>
        <w:fldChar w:fldCharType="separate"/>
      </w:r>
      <w:r>
        <w:rPr>
          <w:color w:val="auto"/>
        </w:rPr>
        <w:t>- 45 -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"_Toc23733" </w:instrText>
      </w:r>
      <w:r>
        <w:rPr>
          <w:color w:val="auto"/>
        </w:rPr>
        <w:fldChar w:fldCharType="separate"/>
      </w:r>
      <w:r>
        <w:rPr>
          <w:rFonts w:hint="eastAsia" w:ascii="宋体" w:hAnsi="宋体" w:cs="宋体"/>
          <w:color w:val="auto"/>
          <w:szCs w:val="21"/>
        </w:rPr>
        <w:t>第十五条  合同的变更、终止与转让</w:t>
      </w:r>
      <w:r>
        <w:rPr>
          <w:color w:val="auto"/>
        </w:rPr>
        <w:tab/>
      </w:r>
      <w:r>
        <w:rPr>
          <w:color w:val="auto"/>
        </w:rPr>
        <w:fldChar w:fldCharType="begin"/>
      </w:r>
      <w:r>
        <w:rPr>
          <w:color w:val="auto"/>
        </w:rPr>
        <w:instrText xml:space="preserve"> PAGEREF _Toc23733 \h </w:instrText>
      </w:r>
      <w:r>
        <w:rPr>
          <w:color w:val="auto"/>
        </w:rPr>
        <w:fldChar w:fldCharType="separate"/>
      </w:r>
      <w:r>
        <w:rPr>
          <w:color w:val="auto"/>
        </w:rPr>
        <w:t>- 45 -</w:t>
      </w:r>
      <w:r>
        <w:rPr>
          <w:color w:val="auto"/>
        </w:rPr>
        <w:fldChar w:fldCharType="end"/>
      </w:r>
      <w:r>
        <w:rPr>
          <w:color w:val="auto"/>
        </w:rPr>
        <w:fldChar w:fldCharType="end"/>
      </w:r>
    </w:p>
    <w:p>
      <w:pPr>
        <w:pStyle w:val="24"/>
        <w:tabs>
          <w:tab w:val="right" w:leader="dot" w:pos="9746"/>
        </w:tabs>
        <w:rPr>
          <w:color w:val="auto"/>
        </w:rPr>
      </w:pPr>
      <w:r>
        <w:rPr>
          <w:color w:val="auto"/>
        </w:rPr>
        <w:fldChar w:fldCharType="begin"/>
      </w:r>
      <w:r>
        <w:rPr>
          <w:color w:val="auto"/>
        </w:rPr>
        <w:instrText xml:space="preserve"> HYPERLINK \l "_Toc10700" </w:instrText>
      </w:r>
      <w:r>
        <w:rPr>
          <w:color w:val="auto"/>
        </w:rPr>
        <w:fldChar w:fldCharType="separate"/>
      </w:r>
      <w:r>
        <w:rPr>
          <w:rFonts w:hint="eastAsia" w:ascii="宋体" w:hAnsi="宋体" w:cs="宋体"/>
          <w:color w:val="auto"/>
          <w:szCs w:val="21"/>
        </w:rPr>
        <w:t>第十六条  签订本合同依据</w:t>
      </w:r>
      <w:r>
        <w:rPr>
          <w:color w:val="auto"/>
        </w:rPr>
        <w:tab/>
      </w:r>
      <w:r>
        <w:rPr>
          <w:color w:val="auto"/>
        </w:rPr>
        <w:fldChar w:fldCharType="begin"/>
      </w:r>
      <w:r>
        <w:rPr>
          <w:color w:val="auto"/>
        </w:rPr>
        <w:instrText xml:space="preserve"> PAGEREF _Toc10700 \h </w:instrText>
      </w:r>
      <w:r>
        <w:rPr>
          <w:color w:val="auto"/>
        </w:rPr>
        <w:fldChar w:fldCharType="separate"/>
      </w:r>
      <w:r>
        <w:rPr>
          <w:color w:val="auto"/>
        </w:rPr>
        <w:t>- 45 -</w:t>
      </w:r>
      <w:r>
        <w:rPr>
          <w:color w:val="auto"/>
        </w:rPr>
        <w:fldChar w:fldCharType="end"/>
      </w:r>
      <w:r>
        <w:rPr>
          <w:color w:val="auto"/>
        </w:rPr>
        <w:fldChar w:fldCharType="end"/>
      </w:r>
    </w:p>
    <w:p>
      <w:pPr>
        <w:pStyle w:val="22"/>
        <w:tabs>
          <w:tab w:val="right" w:leader="dot" w:pos="9746"/>
        </w:tabs>
        <w:rPr>
          <w:color w:val="auto"/>
        </w:rPr>
      </w:pPr>
      <w:r>
        <w:rPr>
          <w:color w:val="auto"/>
        </w:rPr>
        <w:fldChar w:fldCharType="begin"/>
      </w:r>
      <w:r>
        <w:rPr>
          <w:color w:val="auto"/>
        </w:rPr>
        <w:instrText xml:space="preserve"> HYPERLINK \l "_Toc13840" </w:instrText>
      </w:r>
      <w:r>
        <w:rPr>
          <w:color w:val="auto"/>
        </w:rPr>
        <w:fldChar w:fldCharType="separate"/>
      </w:r>
      <w:r>
        <w:rPr>
          <w:rFonts w:hint="eastAsia" w:ascii="宋体" w:hAnsi="宋体" w:cs="宋体"/>
          <w:bCs/>
          <w:color w:val="auto"/>
          <w:kern w:val="44"/>
          <w:szCs w:val="32"/>
        </w:rPr>
        <w:t>第六章  投标文件（格式）</w:t>
      </w:r>
      <w:r>
        <w:rPr>
          <w:color w:val="auto"/>
        </w:rPr>
        <w:tab/>
      </w:r>
      <w:r>
        <w:rPr>
          <w:color w:val="auto"/>
        </w:rPr>
        <w:fldChar w:fldCharType="begin"/>
      </w:r>
      <w:r>
        <w:rPr>
          <w:color w:val="auto"/>
        </w:rPr>
        <w:instrText xml:space="preserve"> PAGEREF _Toc13840 \h </w:instrText>
      </w:r>
      <w:r>
        <w:rPr>
          <w:color w:val="auto"/>
        </w:rPr>
        <w:fldChar w:fldCharType="separate"/>
      </w:r>
      <w:r>
        <w:rPr>
          <w:color w:val="auto"/>
        </w:rPr>
        <w:t>- 47 -</w:t>
      </w:r>
      <w:r>
        <w:rPr>
          <w:color w:val="auto"/>
        </w:rPr>
        <w:fldChar w:fldCharType="end"/>
      </w:r>
      <w:r>
        <w:rPr>
          <w:color w:val="auto"/>
        </w:rPr>
        <w:fldChar w:fldCharType="end"/>
      </w:r>
    </w:p>
    <w:p>
      <w:pPr>
        <w:jc w:val="center"/>
        <w:outlineLvl w:val="0"/>
        <w:rPr>
          <w:rFonts w:ascii="宋体" w:hAnsi="宋体" w:cs="宋体"/>
          <w:color w:val="auto"/>
          <w:sz w:val="32"/>
          <w:szCs w:val="32"/>
        </w:rPr>
        <w:sectPr>
          <w:pgSz w:w="11906" w:h="16838"/>
          <w:pgMar w:top="1440" w:right="1080" w:bottom="1440" w:left="1080" w:header="851" w:footer="992" w:gutter="0"/>
          <w:pgNumType w:fmt="numberInDash" w:start="1"/>
          <w:cols w:space="720" w:num="1"/>
          <w:docGrid w:type="lines" w:linePitch="312" w:charSpace="0"/>
        </w:sectPr>
      </w:pPr>
      <w:r>
        <w:rPr>
          <w:rFonts w:hint="eastAsia" w:ascii="宋体" w:hAnsi="宋体" w:cs="宋体"/>
          <w:color w:val="auto"/>
          <w:szCs w:val="21"/>
        </w:rPr>
        <w:fldChar w:fldCharType="end"/>
      </w: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rPr>
      </w:pPr>
      <w:bookmarkStart w:id="0" w:name="_Toc28359001"/>
      <w:bookmarkStart w:id="1" w:name="_Toc35393789"/>
      <w:r>
        <w:rPr>
          <w:rFonts w:hint="eastAsia" w:ascii="宋体" w:hAnsi="宋体" w:cs="宋体"/>
          <w:color w:val="auto"/>
          <w:sz w:val="32"/>
          <w:szCs w:val="32"/>
        </w:rPr>
        <w:t xml:space="preserve">  </w:t>
      </w:r>
      <w:bookmarkStart w:id="2" w:name="_Toc15058"/>
      <w:bookmarkStart w:id="3" w:name="_Toc8183"/>
      <w:r>
        <w:rPr>
          <w:rFonts w:hint="eastAsia" w:ascii="宋体" w:hAnsi="宋体" w:cs="宋体"/>
          <w:color w:val="auto"/>
          <w:sz w:val="32"/>
          <w:szCs w:val="32"/>
        </w:rPr>
        <w:t>公开招标公告</w:t>
      </w:r>
      <w:bookmarkEnd w:id="0"/>
      <w:bookmarkEnd w:id="1"/>
      <w:bookmarkEnd w:id="2"/>
      <w:bookmarkEnd w:id="3"/>
    </w:p>
    <w:tbl>
      <w:tblPr>
        <w:tblStyle w:val="30"/>
        <w:tblpPr w:leftFromText="180" w:rightFromText="180" w:vertAnchor="text" w:tblpX="38" w:tblpY="134"/>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962" w:type="dxa"/>
          </w:tcPr>
          <w:p>
            <w:pPr>
              <w:spacing w:line="380" w:lineRule="exact"/>
              <w:ind w:firstLine="480" w:firstLineChars="200"/>
              <w:rPr>
                <w:rFonts w:ascii="宋体" w:hAnsi="宋体" w:cs="宋体"/>
                <w:color w:val="auto"/>
                <w:sz w:val="24"/>
              </w:rPr>
            </w:pPr>
            <w:r>
              <w:rPr>
                <w:rFonts w:hint="eastAsia" w:ascii="宋体" w:hAnsi="宋体" w:cs="宋体"/>
                <w:color w:val="auto"/>
                <w:sz w:val="24"/>
              </w:rPr>
              <w:t>项目概况</w:t>
            </w:r>
          </w:p>
          <w:p>
            <w:pPr>
              <w:spacing w:line="380" w:lineRule="exact"/>
              <w:ind w:firstLine="480" w:firstLineChars="200"/>
              <w:rPr>
                <w:rFonts w:ascii="宋体" w:hAnsi="宋体" w:cs="宋体"/>
                <w:color w:val="auto"/>
                <w:sz w:val="24"/>
              </w:rPr>
            </w:pPr>
            <w:r>
              <w:rPr>
                <w:rFonts w:hint="eastAsia" w:ascii="宋体" w:hAnsi="宋体" w:cs="宋体"/>
                <w:color w:val="auto"/>
                <w:sz w:val="24"/>
              </w:rPr>
              <w:t>桂林市政府集中采购中心受</w:t>
            </w:r>
            <w:r>
              <w:rPr>
                <w:rFonts w:hint="eastAsia" w:ascii="宋体" w:hAnsi="宋体" w:cs="宋体"/>
                <w:color w:val="auto"/>
                <w:sz w:val="24"/>
                <w:u w:val="single"/>
              </w:rPr>
              <w:t>桂林师范高等专科学校</w:t>
            </w:r>
            <w:r>
              <w:rPr>
                <w:rFonts w:hint="eastAsia" w:ascii="宋体" w:hAnsi="宋体" w:cs="宋体"/>
                <w:color w:val="auto"/>
                <w:sz w:val="24"/>
              </w:rPr>
              <w:t>委托，根据《中华人民共和国政府采购法》《中华人民共和国政府采购法实施条例》及《政府采购货物和服务招标投标管理办法》（财政部令第87号）等规定，现就</w:t>
            </w:r>
            <w:r>
              <w:rPr>
                <w:rFonts w:hint="eastAsia" w:ascii="宋体" w:hAnsi="宋体" w:cs="宋体"/>
                <w:color w:val="auto"/>
                <w:sz w:val="24"/>
                <w:u w:val="single"/>
              </w:rPr>
              <w:t>临桂新校区53#、54#、55#宿舍楼及地下公共停车库工程钢架床采购</w:t>
            </w:r>
            <w:r>
              <w:rPr>
                <w:rFonts w:hint="eastAsia" w:ascii="宋体" w:hAnsi="宋体" w:cs="宋体"/>
                <w:color w:val="auto"/>
                <w:sz w:val="24"/>
              </w:rPr>
              <w:t>项目进行公开招标，欢迎符合条件的供应商前来投标，并于2022年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 xml:space="preserve">日上午9时30分前递交投标文件。现将本次公开招标的有关事项公告如下：  </w:t>
            </w:r>
          </w:p>
        </w:tc>
      </w:tr>
    </w:tbl>
    <w:p>
      <w:pPr>
        <w:rPr>
          <w:rFonts w:ascii="宋体" w:hAnsi="宋体" w:cs="宋体"/>
          <w:color w:val="auto"/>
          <w:sz w:val="24"/>
        </w:rPr>
      </w:pPr>
    </w:p>
    <w:p>
      <w:pPr>
        <w:rPr>
          <w:rFonts w:ascii="宋体" w:hAnsi="宋体" w:cs="宋体"/>
          <w:color w:val="auto"/>
          <w:sz w:val="24"/>
        </w:rPr>
      </w:pPr>
      <w:bookmarkStart w:id="4" w:name="_Toc28359079"/>
      <w:bookmarkStart w:id="5" w:name="_Toc35393621"/>
      <w:bookmarkStart w:id="6" w:name="_Toc28359002"/>
      <w:bookmarkStart w:id="7" w:name="_Toc35393790"/>
      <w:bookmarkStart w:id="8" w:name="_Hlk24379207"/>
      <w:r>
        <w:rPr>
          <w:rFonts w:hint="eastAsia" w:ascii="宋体" w:hAnsi="宋体" w:cs="宋体"/>
          <w:color w:val="auto"/>
          <w:sz w:val="24"/>
        </w:rPr>
        <w:t>一、项目基本情况</w:t>
      </w:r>
      <w:bookmarkEnd w:id="4"/>
      <w:bookmarkEnd w:id="5"/>
      <w:bookmarkEnd w:id="6"/>
      <w:bookmarkEnd w:id="7"/>
    </w:p>
    <w:p>
      <w:pPr>
        <w:spacing w:line="380" w:lineRule="exact"/>
        <w:ind w:firstLine="480" w:firstLineChars="200"/>
        <w:rPr>
          <w:rFonts w:ascii="宋体" w:hAnsi="宋体" w:cs="宋体"/>
          <w:color w:val="auto"/>
          <w:sz w:val="24"/>
        </w:rPr>
      </w:pPr>
      <w:r>
        <w:rPr>
          <w:rFonts w:hint="eastAsia" w:ascii="宋体" w:hAnsi="宋体" w:cs="宋体"/>
          <w:color w:val="auto"/>
          <w:sz w:val="24"/>
        </w:rPr>
        <w:t xml:space="preserve">项目编号：GLZC2022-G1-990409-GLJC  </w:t>
      </w:r>
    </w:p>
    <w:p>
      <w:pPr>
        <w:spacing w:line="380" w:lineRule="exact"/>
        <w:ind w:firstLine="480" w:firstLineChars="200"/>
        <w:rPr>
          <w:rFonts w:ascii="宋体" w:hAnsi="宋体" w:cs="宋体"/>
          <w:color w:val="auto"/>
          <w:sz w:val="24"/>
        </w:rPr>
      </w:pPr>
      <w:r>
        <w:rPr>
          <w:rFonts w:hint="eastAsia" w:ascii="宋体" w:hAnsi="宋体" w:cs="宋体"/>
          <w:color w:val="auto"/>
          <w:sz w:val="24"/>
        </w:rPr>
        <w:t>项目名称：临桂新校区53#、54#、55#宿舍楼及地下公共停车库工程钢架床采购</w:t>
      </w:r>
    </w:p>
    <w:bookmarkEnd w:id="8"/>
    <w:p>
      <w:pPr>
        <w:spacing w:line="380" w:lineRule="exact"/>
        <w:ind w:firstLine="480" w:firstLineChars="200"/>
        <w:rPr>
          <w:rFonts w:ascii="宋体" w:hAnsi="宋体" w:cs="宋体"/>
          <w:color w:val="auto"/>
          <w:sz w:val="24"/>
        </w:rPr>
      </w:pPr>
      <w:r>
        <w:rPr>
          <w:rFonts w:hint="eastAsia" w:ascii="宋体" w:hAnsi="宋体" w:cs="宋体"/>
          <w:color w:val="auto"/>
          <w:sz w:val="24"/>
        </w:rPr>
        <w:t>预算金额：人民币柒佰玖拾贰万陆仟零肆元整（¥7926004.00元）</w:t>
      </w:r>
    </w:p>
    <w:p>
      <w:pPr>
        <w:spacing w:line="380" w:lineRule="exact"/>
        <w:ind w:firstLine="480" w:firstLineChars="200"/>
        <w:rPr>
          <w:rFonts w:ascii="宋体" w:hAnsi="宋体" w:cs="宋体"/>
          <w:color w:val="auto"/>
          <w:sz w:val="24"/>
        </w:rPr>
      </w:pPr>
      <w:r>
        <w:rPr>
          <w:rFonts w:hint="eastAsia" w:ascii="宋体" w:hAnsi="宋体" w:cs="宋体"/>
          <w:color w:val="auto"/>
          <w:sz w:val="24"/>
        </w:rPr>
        <w:t>采购需求：</w:t>
      </w:r>
    </w:p>
    <w:tbl>
      <w:tblPr>
        <w:tblStyle w:val="3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925"/>
        <w:gridCol w:w="1320"/>
        <w:gridCol w:w="132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7" w:type="dxa"/>
            <w:vAlign w:val="center"/>
          </w:tcPr>
          <w:p>
            <w:pPr>
              <w:spacing w:line="380" w:lineRule="exact"/>
              <w:jc w:val="center"/>
              <w:rPr>
                <w:rFonts w:ascii="宋体" w:hAnsi="宋体" w:cs="宋体"/>
                <w:color w:val="auto"/>
                <w:sz w:val="24"/>
              </w:rPr>
            </w:pPr>
            <w:r>
              <w:rPr>
                <w:rFonts w:hint="eastAsia" w:ascii="宋体" w:hAnsi="宋体" w:cs="宋体"/>
                <w:color w:val="auto"/>
                <w:sz w:val="24"/>
              </w:rPr>
              <w:t>项号</w:t>
            </w:r>
          </w:p>
        </w:tc>
        <w:tc>
          <w:tcPr>
            <w:tcW w:w="2925" w:type="dxa"/>
            <w:vAlign w:val="center"/>
          </w:tcPr>
          <w:p>
            <w:pPr>
              <w:spacing w:line="380" w:lineRule="exact"/>
              <w:jc w:val="center"/>
              <w:rPr>
                <w:rFonts w:ascii="宋体" w:hAnsi="宋体" w:cs="宋体"/>
                <w:color w:val="auto"/>
                <w:sz w:val="24"/>
              </w:rPr>
            </w:pPr>
            <w:r>
              <w:rPr>
                <w:rFonts w:hint="eastAsia" w:ascii="宋体" w:hAnsi="宋体" w:cs="宋体"/>
                <w:color w:val="auto"/>
                <w:sz w:val="24"/>
              </w:rPr>
              <w:t>货物名称</w:t>
            </w:r>
          </w:p>
        </w:tc>
        <w:tc>
          <w:tcPr>
            <w:tcW w:w="1320" w:type="dxa"/>
            <w:vAlign w:val="center"/>
          </w:tcPr>
          <w:p>
            <w:pPr>
              <w:spacing w:line="380" w:lineRule="exact"/>
              <w:jc w:val="center"/>
              <w:rPr>
                <w:rFonts w:ascii="宋体" w:hAnsi="宋体" w:cs="宋体"/>
                <w:color w:val="auto"/>
                <w:sz w:val="24"/>
              </w:rPr>
            </w:pPr>
            <w:r>
              <w:rPr>
                <w:rFonts w:hint="eastAsia" w:ascii="宋体" w:hAnsi="宋体" w:cs="宋体"/>
                <w:color w:val="auto"/>
                <w:sz w:val="24"/>
              </w:rPr>
              <w:t>单位</w:t>
            </w:r>
          </w:p>
        </w:tc>
        <w:tc>
          <w:tcPr>
            <w:tcW w:w="1325" w:type="dxa"/>
            <w:vAlign w:val="center"/>
          </w:tcPr>
          <w:p>
            <w:pPr>
              <w:spacing w:line="380" w:lineRule="exact"/>
              <w:jc w:val="center"/>
              <w:rPr>
                <w:rFonts w:ascii="宋体" w:hAnsi="宋体" w:cs="宋体"/>
                <w:color w:val="auto"/>
                <w:sz w:val="24"/>
              </w:rPr>
            </w:pPr>
            <w:r>
              <w:rPr>
                <w:rFonts w:hint="eastAsia" w:ascii="宋体" w:hAnsi="宋体" w:cs="宋体"/>
                <w:color w:val="auto"/>
                <w:sz w:val="24"/>
              </w:rPr>
              <w:t>数量</w:t>
            </w:r>
          </w:p>
        </w:tc>
        <w:tc>
          <w:tcPr>
            <w:tcW w:w="2333" w:type="dxa"/>
            <w:vAlign w:val="center"/>
          </w:tcPr>
          <w:p>
            <w:pPr>
              <w:spacing w:line="380" w:lineRule="exact"/>
              <w:jc w:val="center"/>
              <w:rPr>
                <w:rFonts w:ascii="宋体" w:hAnsi="宋体" w:cs="宋体"/>
                <w:color w:val="auto"/>
                <w:sz w:val="24"/>
              </w:rPr>
            </w:pPr>
            <w:r>
              <w:rPr>
                <w:rFonts w:hint="eastAsia" w:ascii="宋体" w:hAnsi="宋体" w:cs="宋体"/>
                <w:color w:val="auto"/>
                <w:sz w:val="24"/>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97" w:type="dxa"/>
            <w:vAlign w:val="center"/>
          </w:tcPr>
          <w:p>
            <w:pPr>
              <w:widowControl/>
              <w:jc w:val="center"/>
              <w:textAlignment w:val="center"/>
              <w:rPr>
                <w:rFonts w:ascii="宋体" w:hAnsi="宋体" w:cs="宋体"/>
                <w:bCs/>
                <w:color w:val="auto"/>
                <w:kern w:val="0"/>
                <w:sz w:val="24"/>
                <w:lang w:bidi="ar"/>
              </w:rPr>
            </w:pPr>
            <w:r>
              <w:rPr>
                <w:rFonts w:hint="eastAsia" w:ascii="宋体" w:hAnsi="宋体" w:cs="宋体"/>
                <w:bCs/>
                <w:color w:val="auto"/>
                <w:kern w:val="0"/>
                <w:sz w:val="24"/>
                <w:lang w:bidi="ar"/>
              </w:rPr>
              <w:t>1</w:t>
            </w:r>
          </w:p>
        </w:tc>
        <w:tc>
          <w:tcPr>
            <w:tcW w:w="2925" w:type="dxa"/>
            <w:vAlign w:val="center"/>
          </w:tcPr>
          <w:p>
            <w:pPr>
              <w:widowControl/>
              <w:jc w:val="center"/>
              <w:textAlignment w:val="center"/>
              <w:rPr>
                <w:rFonts w:ascii="宋体" w:hAnsi="宋体" w:cs="宋体"/>
                <w:bCs/>
                <w:color w:val="auto"/>
                <w:kern w:val="0"/>
                <w:sz w:val="24"/>
                <w:lang w:bidi="ar"/>
              </w:rPr>
            </w:pPr>
            <w:r>
              <w:rPr>
                <w:rFonts w:hint="eastAsia" w:ascii="宋体" w:hAnsi="宋体" w:cs="宋体"/>
                <w:bCs/>
                <w:color w:val="auto"/>
                <w:kern w:val="0"/>
                <w:sz w:val="24"/>
                <w:lang w:bidi="ar"/>
              </w:rPr>
              <w:t>学生钢架床采购</w:t>
            </w:r>
          </w:p>
        </w:tc>
        <w:tc>
          <w:tcPr>
            <w:tcW w:w="1320" w:type="dxa"/>
            <w:vAlign w:val="center"/>
          </w:tcPr>
          <w:p>
            <w:pPr>
              <w:widowControl/>
              <w:jc w:val="center"/>
              <w:textAlignment w:val="center"/>
              <w:rPr>
                <w:rFonts w:ascii="宋体" w:hAnsi="宋体" w:cs="宋体"/>
                <w:bCs/>
                <w:color w:val="auto"/>
                <w:kern w:val="0"/>
                <w:sz w:val="24"/>
                <w:lang w:bidi="ar"/>
              </w:rPr>
            </w:pPr>
            <w:r>
              <w:rPr>
                <w:rFonts w:hint="eastAsia" w:ascii="宋体" w:hAnsi="宋体" w:cs="宋体"/>
                <w:bCs/>
                <w:color w:val="auto"/>
                <w:kern w:val="0"/>
                <w:sz w:val="24"/>
                <w:lang w:bidi="ar"/>
              </w:rPr>
              <w:t>批</w:t>
            </w:r>
          </w:p>
        </w:tc>
        <w:tc>
          <w:tcPr>
            <w:tcW w:w="1325" w:type="dxa"/>
            <w:vAlign w:val="center"/>
          </w:tcPr>
          <w:p>
            <w:pPr>
              <w:widowControl/>
              <w:jc w:val="center"/>
              <w:textAlignment w:val="center"/>
              <w:rPr>
                <w:rFonts w:ascii="宋体" w:hAnsi="宋体" w:cs="宋体"/>
                <w:bCs/>
                <w:color w:val="auto"/>
                <w:kern w:val="0"/>
                <w:sz w:val="24"/>
                <w:lang w:bidi="ar"/>
              </w:rPr>
            </w:pPr>
            <w:r>
              <w:rPr>
                <w:rFonts w:hint="eastAsia" w:ascii="宋体" w:hAnsi="宋体" w:cs="宋体"/>
                <w:color w:val="auto"/>
                <w:sz w:val="24"/>
              </w:rPr>
              <w:t>1</w:t>
            </w:r>
          </w:p>
        </w:tc>
        <w:tc>
          <w:tcPr>
            <w:tcW w:w="2333" w:type="dxa"/>
            <w:vAlign w:val="center"/>
          </w:tcPr>
          <w:p>
            <w:pPr>
              <w:snapToGrid w:val="0"/>
              <w:spacing w:line="380" w:lineRule="exact"/>
              <w:jc w:val="center"/>
              <w:rPr>
                <w:rFonts w:ascii="宋体" w:hAnsi="宋体" w:cs="宋体"/>
                <w:color w:val="auto"/>
                <w:sz w:val="24"/>
              </w:rPr>
            </w:pPr>
            <w:r>
              <w:rPr>
                <w:rFonts w:hint="eastAsia" w:ascii="宋体" w:hAnsi="宋体" w:cs="宋体"/>
                <w:color w:val="auto"/>
                <w:sz w:val="24"/>
              </w:rPr>
              <w:t>详见招标文件</w:t>
            </w:r>
          </w:p>
        </w:tc>
      </w:tr>
    </w:tbl>
    <w:p>
      <w:pPr>
        <w:spacing w:line="380" w:lineRule="exact"/>
        <w:ind w:firstLine="480" w:firstLineChars="200"/>
        <w:rPr>
          <w:rFonts w:ascii="宋体" w:hAnsi="宋体" w:cs="宋体"/>
          <w:color w:val="auto"/>
          <w:sz w:val="24"/>
          <w:u w:val="single"/>
        </w:rPr>
      </w:pPr>
      <w:r>
        <w:rPr>
          <w:rFonts w:hint="eastAsia" w:ascii="宋体" w:hAnsi="宋体" w:cs="宋体"/>
          <w:color w:val="auto"/>
          <w:sz w:val="24"/>
        </w:rPr>
        <w:t>合同履行期限：自合同签订之日起至中标人承诺免费保修期满。</w:t>
      </w:r>
    </w:p>
    <w:p>
      <w:pPr>
        <w:spacing w:line="380" w:lineRule="exact"/>
        <w:ind w:firstLine="480" w:firstLineChars="200"/>
        <w:rPr>
          <w:rFonts w:ascii="宋体" w:hAnsi="宋体" w:cs="宋体"/>
          <w:color w:val="auto"/>
          <w:sz w:val="24"/>
        </w:rPr>
      </w:pPr>
      <w:r>
        <w:rPr>
          <w:rFonts w:hint="eastAsia" w:ascii="宋体" w:hAnsi="宋体" w:cs="宋体"/>
          <w:color w:val="auto"/>
          <w:sz w:val="24"/>
        </w:rPr>
        <w:t>本项目不接受联合体投标。</w:t>
      </w:r>
    </w:p>
    <w:p>
      <w:pPr>
        <w:rPr>
          <w:rFonts w:ascii="宋体" w:hAnsi="宋体" w:cs="宋体"/>
          <w:color w:val="auto"/>
          <w:sz w:val="24"/>
        </w:rPr>
      </w:pPr>
      <w:bookmarkStart w:id="9" w:name="_Toc28359080"/>
      <w:bookmarkStart w:id="10" w:name="_Toc28359003"/>
      <w:bookmarkStart w:id="11" w:name="_Toc35393622"/>
      <w:bookmarkStart w:id="12" w:name="_Toc35393791"/>
      <w:r>
        <w:rPr>
          <w:rFonts w:hint="eastAsia" w:ascii="宋体" w:hAnsi="宋体" w:cs="宋体"/>
          <w:color w:val="auto"/>
          <w:sz w:val="24"/>
        </w:rPr>
        <w:t>二、申请人的资格要求：</w:t>
      </w:r>
      <w:bookmarkEnd w:id="9"/>
      <w:bookmarkEnd w:id="10"/>
      <w:bookmarkEnd w:id="11"/>
      <w:bookmarkEnd w:id="12"/>
    </w:p>
    <w:p>
      <w:pPr>
        <w:spacing w:line="380" w:lineRule="exact"/>
        <w:ind w:firstLine="480" w:firstLineChars="200"/>
        <w:rPr>
          <w:rFonts w:ascii="宋体" w:hAnsi="宋体" w:cs="宋体"/>
          <w:color w:val="auto"/>
          <w:sz w:val="24"/>
        </w:rPr>
      </w:pPr>
      <w:r>
        <w:rPr>
          <w:rFonts w:hint="eastAsia" w:ascii="宋体" w:hAnsi="宋体" w:cs="宋体"/>
          <w:color w:val="auto"/>
          <w:sz w:val="24"/>
        </w:rPr>
        <w:t>1.满足《中华人民共和国政府采购法》第二十二条规定；</w:t>
      </w:r>
    </w:p>
    <w:p>
      <w:pPr>
        <w:spacing w:line="380" w:lineRule="exact"/>
        <w:ind w:firstLine="480" w:firstLineChars="200"/>
        <w:rPr>
          <w:rFonts w:ascii="宋体" w:hAnsi="宋体" w:cs="宋体"/>
          <w:color w:val="auto"/>
          <w:sz w:val="24"/>
        </w:rPr>
      </w:pPr>
      <w:r>
        <w:rPr>
          <w:rFonts w:hint="eastAsia" w:ascii="宋体" w:hAnsi="宋体" w:cs="宋体"/>
          <w:color w:val="auto"/>
          <w:sz w:val="24"/>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80" w:firstLineChars="200"/>
        <w:rPr>
          <w:rFonts w:ascii="宋体" w:hAnsi="宋体" w:cs="宋体"/>
          <w:color w:val="auto"/>
          <w:sz w:val="24"/>
        </w:rPr>
      </w:pPr>
      <w:bookmarkStart w:id="13" w:name="_Toc28359004"/>
      <w:bookmarkStart w:id="14" w:name="_Toc28359081"/>
      <w:r>
        <w:rPr>
          <w:rFonts w:hint="eastAsia" w:ascii="宋体" w:hAnsi="宋体" w:cs="宋体"/>
          <w:color w:val="auto"/>
          <w:sz w:val="24"/>
        </w:rPr>
        <w:t>3.落实政府采购政策需满足的资格要求：</w:t>
      </w:r>
    </w:p>
    <w:p>
      <w:pPr>
        <w:spacing w:line="380" w:lineRule="exact"/>
        <w:ind w:firstLine="482" w:firstLineChars="200"/>
        <w:rPr>
          <w:rFonts w:ascii="宋体" w:hAnsi="宋体" w:cs="宋体"/>
          <w:b/>
          <w:bCs/>
          <w:color w:val="auto"/>
          <w:sz w:val="24"/>
        </w:rPr>
      </w:pPr>
      <w:r>
        <w:rPr>
          <w:rFonts w:hint="eastAsia" w:ascii="宋体" w:hAnsi="宋体" w:cs="宋体"/>
          <w:b/>
          <w:bCs/>
          <w:color w:val="auto"/>
          <w:sz w:val="24"/>
        </w:rPr>
        <w:t>本项目专门面向中小微企业采购，所属行业为工业。</w:t>
      </w:r>
    </w:p>
    <w:p>
      <w:pPr>
        <w:spacing w:line="380" w:lineRule="exact"/>
        <w:ind w:firstLine="480" w:firstLineChars="200"/>
        <w:rPr>
          <w:rFonts w:ascii="宋体" w:hAnsi="宋体" w:cs="宋体"/>
          <w:i/>
          <w:iCs/>
          <w:color w:val="auto"/>
          <w:sz w:val="24"/>
          <w:u w:val="single"/>
        </w:rPr>
      </w:pPr>
      <w:r>
        <w:rPr>
          <w:rFonts w:hint="eastAsia" w:ascii="宋体" w:hAnsi="宋体" w:cs="宋体"/>
          <w:color w:val="auto"/>
          <w:sz w:val="24"/>
        </w:rPr>
        <w:t>4.本项目的特定资格要求：无。</w:t>
      </w:r>
    </w:p>
    <w:p>
      <w:pPr>
        <w:rPr>
          <w:rFonts w:ascii="宋体" w:hAnsi="宋体" w:cs="宋体"/>
          <w:color w:val="auto"/>
          <w:sz w:val="24"/>
        </w:rPr>
      </w:pPr>
      <w:bookmarkStart w:id="15" w:name="_Toc35393792"/>
      <w:bookmarkStart w:id="16" w:name="_Toc35393623"/>
      <w:r>
        <w:rPr>
          <w:rFonts w:hint="eastAsia" w:ascii="宋体" w:hAnsi="宋体" w:cs="宋体"/>
          <w:color w:val="auto"/>
          <w:sz w:val="24"/>
        </w:rPr>
        <w:t>三、获取招标文件</w:t>
      </w:r>
      <w:bookmarkEnd w:id="13"/>
      <w:bookmarkEnd w:id="14"/>
      <w:bookmarkEnd w:id="15"/>
      <w:bookmarkEnd w:id="16"/>
    </w:p>
    <w:p>
      <w:pPr>
        <w:spacing w:line="380" w:lineRule="exact"/>
        <w:ind w:firstLine="540"/>
        <w:rPr>
          <w:rFonts w:ascii="宋体" w:hAnsi="宋体" w:cs="宋体"/>
          <w:color w:val="auto"/>
          <w:sz w:val="24"/>
        </w:rPr>
      </w:pPr>
      <w:r>
        <w:rPr>
          <w:rFonts w:hint="eastAsia" w:ascii="宋体" w:hAnsi="宋体" w:cs="宋体"/>
          <w:color w:val="auto"/>
          <w:sz w:val="24"/>
        </w:rPr>
        <w:t>1.招标文件获取时间：2022年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日至2022年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日上午9时30分。</w:t>
      </w:r>
    </w:p>
    <w:p>
      <w:pPr>
        <w:spacing w:line="380" w:lineRule="exact"/>
        <w:ind w:firstLine="540"/>
        <w:rPr>
          <w:rFonts w:ascii="宋体" w:hAnsi="宋体" w:cs="宋体"/>
          <w:color w:val="auto"/>
          <w:sz w:val="24"/>
        </w:rPr>
      </w:pPr>
      <w:r>
        <w:rPr>
          <w:rFonts w:hint="eastAsia" w:ascii="宋体" w:hAnsi="宋体" w:cs="宋体"/>
          <w:color w:val="auto"/>
          <w:sz w:val="24"/>
        </w:rPr>
        <w:t>2.地点及方式：潜在供应商请自行选择以下网站，在本公告附件处下载招标文件电子版。</w:t>
      </w:r>
    </w:p>
    <w:p>
      <w:pPr>
        <w:spacing w:line="380" w:lineRule="exact"/>
        <w:ind w:firstLine="480" w:firstLineChars="200"/>
        <w:rPr>
          <w:rFonts w:ascii="宋体" w:hAnsi="宋体" w:cs="宋体"/>
          <w:color w:val="auto"/>
          <w:sz w:val="24"/>
        </w:rPr>
      </w:pPr>
      <w:r>
        <w:rPr>
          <w:rFonts w:hint="eastAsia" w:ascii="宋体" w:hAnsi="宋体" w:cs="宋体"/>
          <w:color w:val="auto"/>
          <w:sz w:val="24"/>
        </w:rPr>
        <w:t>桂林市公共资源交易中心网（glggzy.org.cn）</w:t>
      </w:r>
    </w:p>
    <w:p>
      <w:pPr>
        <w:spacing w:line="380" w:lineRule="exact"/>
        <w:ind w:firstLine="480" w:firstLineChars="200"/>
        <w:rPr>
          <w:rFonts w:ascii="宋体" w:hAnsi="宋体" w:cs="宋体"/>
          <w:color w:val="auto"/>
          <w:sz w:val="24"/>
        </w:rPr>
      </w:pPr>
      <w:r>
        <w:rPr>
          <w:rFonts w:hint="eastAsia" w:ascii="宋体" w:hAnsi="宋体" w:cs="宋体"/>
          <w:color w:val="auto"/>
          <w:sz w:val="24"/>
        </w:rPr>
        <w:t>桂林市政府采购网（zfcg.czj.guilin.gov.cn）</w:t>
      </w:r>
    </w:p>
    <w:p>
      <w:pPr>
        <w:spacing w:line="380" w:lineRule="exact"/>
        <w:ind w:firstLine="480" w:firstLineChars="200"/>
        <w:rPr>
          <w:color w:val="auto"/>
        </w:rPr>
      </w:pPr>
      <w:r>
        <w:rPr>
          <w:rFonts w:hint="eastAsia" w:ascii="宋体" w:hAnsi="宋体" w:cs="宋体"/>
          <w:color w:val="auto"/>
          <w:sz w:val="24"/>
        </w:rPr>
        <w:t>广西壮族自治区政府采购网（www.ccgp-guangxi.gov.cn）</w:t>
      </w:r>
    </w:p>
    <w:p>
      <w:pPr>
        <w:spacing w:line="380" w:lineRule="exact"/>
        <w:ind w:firstLine="480" w:firstLineChars="200"/>
        <w:rPr>
          <w:color w:val="auto"/>
        </w:rPr>
      </w:pPr>
      <w:r>
        <w:rPr>
          <w:rFonts w:hint="eastAsia"/>
          <w:color w:val="auto"/>
          <w:sz w:val="24"/>
        </w:rPr>
        <w:t>中</w:t>
      </w:r>
      <w:r>
        <w:rPr>
          <w:rFonts w:hint="eastAsia" w:ascii="宋体" w:hAnsi="宋体" w:cs="宋体"/>
          <w:color w:val="auto"/>
          <w:sz w:val="24"/>
        </w:rPr>
        <w:t>国政府采</w:t>
      </w:r>
      <w:r>
        <w:rPr>
          <w:rFonts w:hint="eastAsia"/>
          <w:color w:val="auto"/>
          <w:sz w:val="24"/>
        </w:rPr>
        <w:t>购网（www.ccgp.gov.cn）</w:t>
      </w:r>
    </w:p>
    <w:p>
      <w:pPr>
        <w:ind w:firstLine="480" w:firstLineChars="200"/>
        <w:rPr>
          <w:rFonts w:ascii="宋体" w:hAnsi="宋体" w:cs="宋体"/>
          <w:color w:val="auto"/>
          <w:sz w:val="24"/>
        </w:rPr>
      </w:pPr>
      <w:r>
        <w:rPr>
          <w:rFonts w:hint="eastAsia" w:ascii="宋体" w:hAnsi="宋体" w:cs="宋体"/>
          <w:color w:val="auto"/>
          <w:sz w:val="24"/>
        </w:rPr>
        <w:t>3.招标文件售价：本项目招标文件不收取费用。</w:t>
      </w:r>
    </w:p>
    <w:p>
      <w:pPr>
        <w:rPr>
          <w:rFonts w:ascii="宋体" w:hAnsi="宋体" w:cs="宋体"/>
          <w:color w:val="auto"/>
          <w:sz w:val="24"/>
        </w:rPr>
      </w:pPr>
      <w:bookmarkStart w:id="17" w:name="_Toc28359082"/>
      <w:bookmarkStart w:id="18" w:name="_Toc28359005"/>
      <w:bookmarkStart w:id="19" w:name="_Toc35393624"/>
      <w:bookmarkStart w:id="20" w:name="_Toc35393793"/>
      <w:r>
        <w:rPr>
          <w:rFonts w:hint="eastAsia" w:ascii="宋体" w:hAnsi="宋体" w:cs="宋体"/>
          <w:color w:val="auto"/>
          <w:sz w:val="24"/>
        </w:rPr>
        <w:t>四、提交投标文件</w:t>
      </w:r>
      <w:bookmarkEnd w:id="17"/>
      <w:bookmarkEnd w:id="18"/>
      <w:r>
        <w:rPr>
          <w:rFonts w:hint="eastAsia" w:ascii="宋体" w:hAnsi="宋体" w:cs="宋体"/>
          <w:color w:val="auto"/>
          <w:sz w:val="24"/>
        </w:rPr>
        <w:t>截止时间、开标时间和地点</w:t>
      </w:r>
      <w:bookmarkEnd w:id="19"/>
      <w:bookmarkEnd w:id="20"/>
    </w:p>
    <w:p>
      <w:pPr>
        <w:spacing w:line="380" w:lineRule="exact"/>
        <w:ind w:firstLine="480" w:firstLineChars="200"/>
        <w:rPr>
          <w:rFonts w:ascii="宋体" w:hAnsi="宋体" w:cs="宋体"/>
          <w:bCs/>
          <w:color w:val="auto"/>
          <w:sz w:val="24"/>
        </w:rPr>
      </w:pPr>
      <w:r>
        <w:rPr>
          <w:rFonts w:hint="eastAsia" w:ascii="宋体" w:hAnsi="宋体" w:cs="宋体"/>
          <w:bCs/>
          <w:color w:val="auto"/>
          <w:sz w:val="24"/>
        </w:rPr>
        <w:t>截止时间：</w:t>
      </w:r>
      <w:r>
        <w:rPr>
          <w:rFonts w:hint="eastAsia" w:ascii="宋体" w:hAnsi="宋体" w:cs="宋体"/>
          <w:color w:val="auto"/>
          <w:sz w:val="24"/>
        </w:rPr>
        <w:t>2022年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日上午9时30分</w:t>
      </w:r>
      <w:r>
        <w:rPr>
          <w:rFonts w:hint="eastAsia" w:ascii="宋体" w:hAnsi="宋体" w:cs="宋体"/>
          <w:bCs/>
          <w:color w:val="auto"/>
          <w:sz w:val="24"/>
        </w:rPr>
        <w:t>（北京时间）。</w:t>
      </w:r>
    </w:p>
    <w:p>
      <w:pPr>
        <w:spacing w:line="380" w:lineRule="exact"/>
        <w:ind w:firstLine="480" w:firstLineChars="200"/>
        <w:rPr>
          <w:rFonts w:ascii="宋体" w:hAnsi="宋体" w:cs="宋体"/>
          <w:color w:val="auto"/>
        </w:rPr>
      </w:pPr>
      <w:r>
        <w:rPr>
          <w:rFonts w:hint="eastAsia" w:ascii="宋体" w:hAnsi="宋体" w:cs="宋体"/>
          <w:color w:val="auto"/>
          <w:sz w:val="24"/>
        </w:rPr>
        <w:t>地    点：通过政采云平台实行在线投标。</w:t>
      </w:r>
    </w:p>
    <w:p>
      <w:pPr>
        <w:spacing w:line="380" w:lineRule="exact"/>
        <w:ind w:firstLine="480" w:firstLineChars="200"/>
        <w:rPr>
          <w:rFonts w:ascii="宋体" w:hAnsi="宋体" w:cs="宋体"/>
          <w:bCs/>
          <w:color w:val="auto"/>
          <w:sz w:val="24"/>
          <w:u w:val="single"/>
        </w:rPr>
      </w:pPr>
      <w:r>
        <w:rPr>
          <w:rFonts w:hint="eastAsia" w:ascii="宋体" w:hAnsi="宋体" w:cs="宋体"/>
          <w:bCs/>
          <w:color w:val="auto"/>
          <w:sz w:val="24"/>
        </w:rPr>
        <w:t>开标时间：</w:t>
      </w:r>
      <w:r>
        <w:rPr>
          <w:rFonts w:hint="eastAsia" w:ascii="宋体" w:hAnsi="宋体" w:cs="宋体"/>
          <w:color w:val="auto"/>
          <w:sz w:val="24"/>
        </w:rPr>
        <w:t>2022年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19</w:t>
      </w:r>
      <w:r>
        <w:rPr>
          <w:rFonts w:hint="eastAsia" w:ascii="宋体" w:hAnsi="宋体" w:cs="宋体"/>
          <w:color w:val="auto"/>
          <w:sz w:val="24"/>
        </w:rPr>
        <w:t>日上午9时30分</w:t>
      </w:r>
      <w:r>
        <w:rPr>
          <w:rFonts w:hint="eastAsia" w:ascii="宋体" w:hAnsi="宋体" w:cs="宋体"/>
          <w:bCs/>
          <w:color w:val="auto"/>
          <w:sz w:val="24"/>
        </w:rPr>
        <w:t>（北京时间）</w:t>
      </w:r>
      <w:r>
        <w:rPr>
          <w:rFonts w:hint="eastAsia" w:ascii="宋体" w:hAnsi="宋体" w:cs="宋体"/>
          <w:color w:val="auto"/>
          <w:sz w:val="24"/>
        </w:rPr>
        <w:t>截标后。</w:t>
      </w:r>
    </w:p>
    <w:p>
      <w:pPr>
        <w:spacing w:line="380" w:lineRule="exact"/>
        <w:ind w:firstLine="480" w:firstLineChars="200"/>
        <w:rPr>
          <w:rFonts w:ascii="宋体" w:hAnsi="宋体" w:cs="宋体"/>
          <w:color w:val="auto"/>
        </w:rPr>
      </w:pPr>
      <w:r>
        <w:rPr>
          <w:rFonts w:hint="eastAsia" w:ascii="宋体" w:hAnsi="宋体" w:cs="宋体"/>
          <w:color w:val="auto"/>
          <w:sz w:val="24"/>
        </w:rPr>
        <w:t>地</w:t>
      </w:r>
      <w:r>
        <w:rPr>
          <w:rFonts w:ascii="宋体" w:hAnsi="宋体" w:cs="宋体"/>
          <w:color w:val="auto"/>
          <w:sz w:val="24"/>
        </w:rPr>
        <w:t xml:space="preserve">    </w:t>
      </w:r>
      <w:r>
        <w:rPr>
          <w:rFonts w:hint="eastAsia" w:ascii="宋体" w:hAnsi="宋体" w:cs="宋体"/>
          <w:color w:val="auto"/>
          <w:sz w:val="24"/>
        </w:rPr>
        <w:t>点：桂林市公共资源交易中心</w:t>
      </w:r>
      <w:r>
        <w:rPr>
          <w:rFonts w:hint="eastAsia" w:ascii="宋体" w:hAnsi="宋体" w:cs="宋体"/>
          <w:color w:val="auto"/>
          <w:sz w:val="24"/>
          <w:u w:val="single"/>
          <w:lang w:val="en-US" w:eastAsia="zh-CN"/>
        </w:rPr>
        <w:t>9</w:t>
      </w:r>
      <w:r>
        <w:rPr>
          <w:rFonts w:hint="eastAsia" w:ascii="宋体" w:hAnsi="宋体" w:cs="宋体"/>
          <w:color w:val="auto"/>
          <w:sz w:val="24"/>
          <w:u w:val="single"/>
        </w:rPr>
        <w:t>号开标室</w:t>
      </w:r>
      <w:r>
        <w:rPr>
          <w:rFonts w:hint="eastAsia" w:ascii="宋体" w:hAnsi="宋体" w:cs="宋体"/>
          <w:color w:val="auto"/>
          <w:sz w:val="24"/>
        </w:rPr>
        <w:t>通过政采云平台实行在线解密开启。</w:t>
      </w:r>
    </w:p>
    <w:p>
      <w:pPr>
        <w:rPr>
          <w:rFonts w:ascii="宋体" w:hAnsi="宋体" w:cs="宋体"/>
          <w:color w:val="auto"/>
          <w:sz w:val="24"/>
        </w:rPr>
      </w:pPr>
      <w:bookmarkStart w:id="21" w:name="_Toc35393625"/>
      <w:bookmarkStart w:id="22" w:name="_Toc35393794"/>
      <w:bookmarkStart w:id="23" w:name="_Toc28359084"/>
      <w:bookmarkStart w:id="24" w:name="_Toc28359007"/>
      <w:r>
        <w:rPr>
          <w:rFonts w:hint="eastAsia" w:ascii="宋体" w:hAnsi="宋体" w:cs="宋体"/>
          <w:color w:val="auto"/>
          <w:sz w:val="24"/>
        </w:rPr>
        <w:t>五、公告期限</w:t>
      </w:r>
      <w:bookmarkEnd w:id="21"/>
      <w:bookmarkEnd w:id="22"/>
      <w:bookmarkEnd w:id="23"/>
      <w:bookmarkEnd w:id="24"/>
    </w:p>
    <w:p>
      <w:pPr>
        <w:spacing w:line="380" w:lineRule="exact"/>
        <w:ind w:firstLine="480" w:firstLineChars="200"/>
        <w:rPr>
          <w:rFonts w:ascii="宋体" w:hAnsi="宋体" w:cs="宋体"/>
          <w:color w:val="auto"/>
          <w:kern w:val="0"/>
          <w:sz w:val="24"/>
        </w:rPr>
      </w:pPr>
      <w:r>
        <w:rPr>
          <w:rFonts w:hint="eastAsia" w:ascii="宋体" w:hAnsi="宋体" w:cs="宋体"/>
          <w:color w:val="auto"/>
          <w:kern w:val="0"/>
          <w:sz w:val="24"/>
        </w:rPr>
        <w:t>自本公告发布之日起5个工作日。</w:t>
      </w:r>
    </w:p>
    <w:p>
      <w:pPr>
        <w:rPr>
          <w:rFonts w:ascii="宋体" w:hAnsi="宋体" w:cs="宋体"/>
          <w:color w:val="auto"/>
          <w:sz w:val="24"/>
        </w:rPr>
      </w:pPr>
      <w:bookmarkStart w:id="25" w:name="_Toc35393626"/>
      <w:bookmarkStart w:id="26" w:name="_Toc35393795"/>
      <w:r>
        <w:rPr>
          <w:rFonts w:hint="eastAsia" w:ascii="宋体" w:hAnsi="宋体" w:cs="宋体"/>
          <w:color w:val="auto"/>
          <w:sz w:val="24"/>
        </w:rPr>
        <w:t>六、其他补充事宜</w:t>
      </w:r>
      <w:bookmarkEnd w:id="25"/>
      <w:bookmarkEnd w:id="26"/>
    </w:p>
    <w:p>
      <w:pPr>
        <w:numPr>
          <w:ilvl w:val="0"/>
          <w:numId w:val="2"/>
        </w:numPr>
        <w:spacing w:line="380" w:lineRule="exact"/>
        <w:ind w:firstLine="482" w:firstLineChars="200"/>
        <w:rPr>
          <w:rFonts w:ascii="宋体" w:hAnsi="宋体" w:cs="宋体"/>
          <w:color w:val="auto"/>
          <w:sz w:val="24"/>
        </w:rPr>
      </w:pPr>
      <w:r>
        <w:rPr>
          <w:rFonts w:hint="eastAsia" w:ascii="宋体" w:hAnsi="宋体" w:cs="宋体"/>
          <w:b/>
          <w:bCs/>
          <w:color w:val="auto"/>
          <w:sz w:val="24"/>
        </w:rPr>
        <w:t>本项目无需缴纳投标保证金。</w:t>
      </w:r>
    </w:p>
    <w:p>
      <w:pPr>
        <w:numPr>
          <w:ilvl w:val="0"/>
          <w:numId w:val="2"/>
        </w:numPr>
        <w:spacing w:line="380" w:lineRule="exact"/>
        <w:ind w:firstLine="480" w:firstLineChars="200"/>
        <w:rPr>
          <w:rFonts w:ascii="宋体" w:hAnsi="宋体" w:cs="宋体"/>
          <w:color w:val="auto"/>
          <w:sz w:val="24"/>
        </w:rPr>
      </w:pPr>
      <w:r>
        <w:rPr>
          <w:rFonts w:hint="eastAsia" w:ascii="宋体" w:hAnsi="宋体" w:cs="宋体"/>
          <w:color w:val="auto"/>
          <w:sz w:val="24"/>
        </w:rPr>
        <w:t>投标人可以由法定代表人、负责人、自然人或其委托代理人出席开标会议（出席代表需携带本人身份证原件，未携带身份证所造成一切后果，由其自行承担）。</w:t>
      </w:r>
    </w:p>
    <w:p>
      <w:pPr>
        <w:numPr>
          <w:ilvl w:val="0"/>
          <w:numId w:val="2"/>
        </w:numPr>
        <w:spacing w:line="380" w:lineRule="exact"/>
        <w:ind w:firstLine="480" w:firstLineChars="200"/>
        <w:rPr>
          <w:rFonts w:ascii="宋体" w:hAnsi="宋体" w:cs="宋体"/>
          <w:color w:val="auto"/>
          <w:sz w:val="24"/>
        </w:rPr>
      </w:pPr>
      <w:r>
        <w:rPr>
          <w:rFonts w:hint="eastAsia" w:ascii="宋体" w:hAnsi="宋体" w:cs="宋体"/>
          <w:color w:val="auto"/>
          <w:sz w:val="24"/>
        </w:rPr>
        <w:t>本项目信息发布媒体：</w:t>
      </w:r>
    </w:p>
    <w:p>
      <w:pPr>
        <w:spacing w:line="380" w:lineRule="exact"/>
        <w:ind w:firstLine="480" w:firstLineChars="200"/>
        <w:rPr>
          <w:rFonts w:ascii="宋体" w:hAnsi="宋体" w:cs="宋体"/>
          <w:color w:val="auto"/>
          <w:sz w:val="24"/>
        </w:rPr>
      </w:pPr>
      <w:bookmarkStart w:id="27" w:name="_Toc35393796"/>
      <w:bookmarkStart w:id="28" w:name="_Toc28359085"/>
      <w:bookmarkStart w:id="29" w:name="_Toc35393627"/>
      <w:bookmarkStart w:id="30" w:name="_Toc28359008"/>
      <w:r>
        <w:rPr>
          <w:rFonts w:hint="eastAsia" w:ascii="宋体" w:hAnsi="宋体" w:cs="宋体"/>
          <w:color w:val="auto"/>
          <w:sz w:val="24"/>
        </w:rPr>
        <w:t>桂林市公共资源交易中心网（glggzy.org.cn）</w:t>
      </w:r>
    </w:p>
    <w:p>
      <w:pPr>
        <w:spacing w:line="380" w:lineRule="exact"/>
        <w:ind w:firstLine="480" w:firstLineChars="200"/>
        <w:rPr>
          <w:rFonts w:ascii="宋体" w:hAnsi="宋体" w:cs="宋体"/>
          <w:color w:val="auto"/>
          <w:sz w:val="24"/>
        </w:rPr>
      </w:pPr>
      <w:r>
        <w:rPr>
          <w:rFonts w:hint="eastAsia" w:ascii="宋体" w:hAnsi="宋体" w:cs="宋体"/>
          <w:color w:val="auto"/>
          <w:sz w:val="24"/>
        </w:rPr>
        <w:t>桂林市政府采购网（zfcg.czj.guilin.gov.cn）</w:t>
      </w:r>
    </w:p>
    <w:p>
      <w:pPr>
        <w:spacing w:line="380" w:lineRule="exact"/>
        <w:ind w:firstLine="480" w:firstLineChars="200"/>
        <w:rPr>
          <w:rFonts w:ascii="宋体" w:hAnsi="宋体" w:cs="宋体"/>
          <w:color w:val="auto"/>
          <w:sz w:val="24"/>
        </w:rPr>
      </w:pPr>
      <w:r>
        <w:rPr>
          <w:rFonts w:hint="eastAsia" w:ascii="宋体" w:hAnsi="宋体" w:cs="宋体"/>
          <w:color w:val="auto"/>
          <w:sz w:val="24"/>
        </w:rPr>
        <w:t>广西壮族自治区政府采购网（www.ccgp-guangxi.gov.cn）</w:t>
      </w:r>
    </w:p>
    <w:p>
      <w:pPr>
        <w:spacing w:line="380" w:lineRule="exact"/>
        <w:ind w:firstLine="480" w:firstLineChars="200"/>
        <w:rPr>
          <w:color w:val="auto"/>
          <w:sz w:val="24"/>
        </w:rPr>
      </w:pPr>
      <w:r>
        <w:rPr>
          <w:rFonts w:hint="eastAsia"/>
          <w:color w:val="auto"/>
          <w:sz w:val="24"/>
        </w:rPr>
        <w:t>中国政府采购网（www.ccgp.gov.cn）</w:t>
      </w:r>
    </w:p>
    <w:p>
      <w:pPr>
        <w:pStyle w:val="48"/>
        <w:numPr>
          <w:ilvl w:val="0"/>
          <w:numId w:val="2"/>
        </w:numPr>
        <w:ind w:firstLine="480" w:firstLineChars="200"/>
        <w:rPr>
          <w:rFonts w:ascii="宋体" w:hAnsi="宋体" w:eastAsia="宋体" w:cs="宋体"/>
          <w:color w:val="auto"/>
          <w:kern w:val="2"/>
        </w:rPr>
      </w:pPr>
      <w:r>
        <w:rPr>
          <w:rFonts w:hint="eastAsia" w:ascii="宋体" w:hAnsi="宋体" w:eastAsia="宋体" w:cs="宋体"/>
          <w:color w:val="auto"/>
          <w:kern w:val="2"/>
        </w:rPr>
        <w:t>投标文件解密时间：截标时间后</w:t>
      </w:r>
      <w:r>
        <w:rPr>
          <w:rFonts w:hint="eastAsia" w:ascii="宋体" w:hAnsi="宋体" w:eastAsia="宋体" w:cs="宋体"/>
          <w:color w:val="auto"/>
          <w:kern w:val="2"/>
          <w:u w:val="single"/>
        </w:rPr>
        <w:t>30</w:t>
      </w:r>
      <w:r>
        <w:rPr>
          <w:rFonts w:hint="eastAsia" w:ascii="宋体" w:hAnsi="宋体" w:eastAsia="宋体" w:cs="宋体"/>
          <w:color w:val="auto"/>
          <w:kern w:val="2"/>
        </w:rPr>
        <w:t>分钟内（</w:t>
      </w:r>
      <w:r>
        <w:rPr>
          <w:rFonts w:hint="eastAsia" w:ascii="宋体" w:hAnsi="宋体" w:eastAsia="宋体" w:cs="宋体"/>
          <w:color w:val="auto"/>
          <w:kern w:val="2"/>
          <w:u w:val="single"/>
        </w:rPr>
        <w:t>2022年</w:t>
      </w:r>
      <w:r>
        <w:rPr>
          <w:rFonts w:hint="eastAsia" w:ascii="宋体" w:hAnsi="宋体" w:eastAsia="宋体" w:cs="宋体"/>
          <w:color w:val="auto"/>
          <w:kern w:val="2"/>
          <w:u w:val="single"/>
          <w:lang w:val="en-US" w:eastAsia="zh-CN"/>
        </w:rPr>
        <w:t>10</w:t>
      </w:r>
      <w:r>
        <w:rPr>
          <w:rFonts w:hint="eastAsia" w:ascii="宋体" w:hAnsi="宋体" w:eastAsia="宋体" w:cs="宋体"/>
          <w:color w:val="auto"/>
          <w:kern w:val="2"/>
          <w:u w:val="single"/>
        </w:rPr>
        <w:t>月</w:t>
      </w:r>
      <w:r>
        <w:rPr>
          <w:rFonts w:hint="eastAsia" w:ascii="宋体" w:hAnsi="宋体" w:eastAsia="宋体" w:cs="宋体"/>
          <w:color w:val="auto"/>
          <w:kern w:val="2"/>
          <w:u w:val="single"/>
          <w:lang w:val="en-US" w:eastAsia="zh-CN"/>
        </w:rPr>
        <w:t>19</w:t>
      </w:r>
      <w:r>
        <w:rPr>
          <w:rFonts w:hint="eastAsia" w:ascii="宋体" w:hAnsi="宋体" w:eastAsia="宋体" w:cs="宋体"/>
          <w:color w:val="auto"/>
          <w:kern w:val="2"/>
          <w:u w:val="single"/>
        </w:rPr>
        <w:t>日上午9时30分至10时00分</w:t>
      </w:r>
      <w:r>
        <w:rPr>
          <w:rFonts w:hint="eastAsia" w:ascii="宋体" w:hAnsi="宋体" w:eastAsia="宋体" w:cs="宋体"/>
          <w:color w:val="auto"/>
          <w:kern w:val="2"/>
        </w:rPr>
        <w:t>)投标人可以登录政采云平台，用“项目采购-开标评标”功能进行解密投标文件。</w:t>
      </w:r>
    </w:p>
    <w:p>
      <w:pPr>
        <w:pStyle w:val="48"/>
        <w:ind w:firstLine="482" w:firstLineChars="200"/>
        <w:rPr>
          <w:rFonts w:ascii="宋体" w:hAnsi="宋体" w:eastAsia="宋体" w:cs="宋体"/>
          <w:color w:val="auto"/>
          <w:kern w:val="2"/>
        </w:rPr>
      </w:pPr>
      <w:r>
        <w:rPr>
          <w:rFonts w:hint="eastAsia" w:ascii="宋体" w:hAnsi="宋体" w:eastAsia="宋体" w:cs="宋体"/>
          <w:b/>
          <w:bCs/>
          <w:color w:val="auto"/>
          <w:szCs w:val="21"/>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p>
      <w:pPr>
        <w:pStyle w:val="48"/>
        <w:rPr>
          <w:rFonts w:ascii="宋体" w:hAnsi="宋体" w:eastAsia="宋体" w:cs="宋体"/>
          <w:color w:val="auto"/>
          <w:kern w:val="2"/>
        </w:rPr>
      </w:pPr>
      <w:r>
        <w:rPr>
          <w:rFonts w:hint="eastAsia" w:ascii="宋体" w:hAnsi="宋体" w:eastAsia="宋体" w:cs="宋体"/>
          <w:color w:val="auto"/>
          <w:kern w:val="2"/>
        </w:rPr>
        <w:t>七、在线投标（电子投标）说明</w:t>
      </w:r>
    </w:p>
    <w:p>
      <w:pPr>
        <w:spacing w:line="340" w:lineRule="exact"/>
        <w:ind w:firstLine="480" w:firstLineChars="200"/>
        <w:rPr>
          <w:rFonts w:ascii="宋体" w:hAnsi="宋体" w:cs="宋体"/>
          <w:color w:val="auto"/>
          <w:sz w:val="24"/>
        </w:rPr>
      </w:pPr>
      <w:r>
        <w:rPr>
          <w:rFonts w:hint="eastAsia" w:ascii="宋体" w:hAnsi="宋体" w:cs="宋体"/>
          <w:color w:val="auto"/>
          <w:sz w:val="24"/>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48"/>
        <w:ind w:firstLine="480" w:firstLineChars="200"/>
        <w:rPr>
          <w:rFonts w:ascii="宋体" w:hAnsi="宋体" w:eastAsia="宋体" w:cs="宋体"/>
          <w:color w:val="auto"/>
          <w:kern w:val="2"/>
        </w:rPr>
      </w:pPr>
      <w:r>
        <w:rPr>
          <w:rFonts w:hint="eastAsia" w:ascii="宋体" w:hAnsi="宋体" w:eastAsia="宋体" w:cs="宋体"/>
          <w:color w:val="auto"/>
          <w:kern w:val="2"/>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spacing w:line="340" w:lineRule="exact"/>
        <w:ind w:firstLine="480" w:firstLineChars="200"/>
        <w:rPr>
          <w:rFonts w:ascii="宋体" w:hAnsi="宋体" w:cs="宋体"/>
          <w:color w:val="auto"/>
          <w:sz w:val="24"/>
        </w:rPr>
      </w:pPr>
      <w:r>
        <w:rPr>
          <w:rFonts w:hint="eastAsia" w:ascii="宋体" w:hAnsi="宋体" w:cs="宋体"/>
          <w:color w:val="auto"/>
          <w:sz w:val="24"/>
        </w:rPr>
        <w:t>2.为确保网上操作合法、有效和安全，投标人应当在投标截止时间前完成在“政采云”平台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cs="宋体"/>
          <w:b/>
          <w:bCs/>
          <w:color w:val="auto"/>
          <w:sz w:val="24"/>
        </w:rPr>
        <w:t>（完成CA数字证书办理预计一周左右，建议供应商获取投标文件后立即办理）</w:t>
      </w:r>
    </w:p>
    <w:p>
      <w:pPr>
        <w:spacing w:line="340" w:lineRule="exact"/>
        <w:ind w:firstLine="480" w:firstLineChars="200"/>
        <w:rPr>
          <w:rFonts w:ascii="宋体" w:hAnsi="宋体" w:cs="宋体"/>
          <w:color w:val="auto"/>
          <w:sz w:val="24"/>
        </w:rPr>
      </w:pPr>
      <w:r>
        <w:rPr>
          <w:rFonts w:hint="eastAsia" w:ascii="宋体" w:hAnsi="宋体" w:cs="宋体"/>
          <w:color w:val="auto"/>
          <w:sz w:val="24"/>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48"/>
        <w:ind w:firstLine="480" w:firstLineChars="200"/>
        <w:rPr>
          <w:rFonts w:ascii="宋体" w:hAnsi="宋体" w:eastAsia="宋体" w:cs="宋体"/>
          <w:color w:val="auto"/>
          <w:kern w:val="2"/>
        </w:rPr>
      </w:pPr>
      <w:r>
        <w:rPr>
          <w:rFonts w:hint="eastAsia" w:ascii="宋体" w:hAnsi="宋体" w:eastAsia="宋体" w:cs="宋体"/>
          <w:color w:val="auto"/>
          <w:kern w:val="2"/>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pStyle w:val="48"/>
        <w:ind w:firstLine="480" w:firstLineChars="200"/>
        <w:rPr>
          <w:rFonts w:ascii="宋体" w:hAnsi="宋体" w:eastAsia="宋体" w:cs="宋体"/>
          <w:color w:val="auto"/>
          <w:kern w:val="2"/>
        </w:rPr>
      </w:pPr>
      <w:r>
        <w:rPr>
          <w:rFonts w:hint="eastAsia" w:ascii="宋体" w:hAnsi="宋体" w:eastAsia="宋体" w:cs="宋体"/>
          <w:color w:val="auto"/>
          <w:kern w:val="2"/>
        </w:rPr>
        <w:t>5.本项目投标人如需提供样品，投标人代表应在截标当天9时30分前持本人有效身份证原件及授权委托书原件（法人仅需携带本人有效身份证原件），按招标文件要求到桂林市公共资源交易中心</w:t>
      </w:r>
      <w:r>
        <w:rPr>
          <w:rFonts w:hint="eastAsia" w:ascii="宋体" w:hAnsi="宋体" w:eastAsia="宋体" w:cs="宋体"/>
          <w:color w:val="auto"/>
          <w:kern w:val="2"/>
          <w:lang w:val="en-US" w:eastAsia="zh-CN"/>
        </w:rPr>
        <w:t>9</w:t>
      </w:r>
      <w:r>
        <w:rPr>
          <w:rFonts w:hint="eastAsia" w:ascii="宋体" w:hAnsi="宋体" w:eastAsia="宋体" w:cs="宋体"/>
          <w:color w:val="auto"/>
          <w:kern w:val="2"/>
        </w:rPr>
        <w:t xml:space="preserve">号开标室（桂林市临桂区西城中路69号创业大厦西辅楼4楼）递交样品，否则不予接收。 </w:t>
      </w:r>
    </w:p>
    <w:p>
      <w:pPr>
        <w:rPr>
          <w:rFonts w:ascii="宋体" w:hAnsi="宋体" w:cs="宋体"/>
          <w:color w:val="auto"/>
          <w:sz w:val="24"/>
        </w:rPr>
      </w:pPr>
      <w:r>
        <w:rPr>
          <w:rFonts w:hint="eastAsia" w:ascii="宋体" w:hAnsi="宋体" w:cs="宋体"/>
          <w:color w:val="auto"/>
          <w:sz w:val="24"/>
        </w:rPr>
        <w:t>八、对本次招标提出询问，请按以下方式联系。</w:t>
      </w:r>
      <w:bookmarkEnd w:id="27"/>
      <w:bookmarkEnd w:id="28"/>
      <w:bookmarkEnd w:id="29"/>
      <w:bookmarkEnd w:id="30"/>
    </w:p>
    <w:p>
      <w:pPr>
        <w:widowControl/>
        <w:spacing w:line="380" w:lineRule="exact"/>
        <w:jc w:val="left"/>
        <w:rPr>
          <w:rFonts w:ascii="宋体" w:hAnsi="宋体" w:cs="宋体"/>
          <w:color w:val="auto"/>
          <w:sz w:val="24"/>
        </w:rPr>
      </w:pPr>
      <w:r>
        <w:rPr>
          <w:rFonts w:hint="eastAsia" w:ascii="宋体" w:hAnsi="宋体" w:cs="宋体"/>
          <w:color w:val="auto"/>
          <w:sz w:val="24"/>
        </w:rPr>
        <w:t>　　　1.采购人信息</w:t>
      </w:r>
    </w:p>
    <w:p>
      <w:pPr>
        <w:spacing w:line="380" w:lineRule="exact"/>
        <w:ind w:left="1079" w:leftChars="371" w:hanging="300" w:hangingChars="125"/>
        <w:jc w:val="left"/>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u w:val="single"/>
        </w:rPr>
        <w:t>桂林师范高等专科学校</w:t>
      </w:r>
    </w:p>
    <w:p>
      <w:pPr>
        <w:spacing w:line="380" w:lineRule="exact"/>
        <w:ind w:left="1079" w:leftChars="371" w:hanging="300" w:hangingChars="125"/>
        <w:jc w:val="left"/>
        <w:rPr>
          <w:rFonts w:ascii="宋体" w:hAnsi="宋体" w:cs="宋体"/>
          <w:color w:val="auto"/>
          <w:sz w:val="24"/>
          <w:u w:val="single"/>
        </w:rPr>
      </w:pPr>
      <w:bookmarkStart w:id="31" w:name="_Toc28359009"/>
      <w:bookmarkStart w:id="32" w:name="_Toc28359086"/>
      <w:r>
        <w:rPr>
          <w:rFonts w:hint="eastAsia" w:ascii="宋体" w:hAnsi="宋体" w:cs="宋体"/>
          <w:color w:val="auto"/>
          <w:sz w:val="24"/>
        </w:rPr>
        <w:t>地 址：</w:t>
      </w:r>
      <w:r>
        <w:rPr>
          <w:rFonts w:hint="eastAsia" w:ascii="宋体" w:hAnsi="宋体" w:cs="宋体"/>
          <w:color w:val="auto"/>
          <w:sz w:val="24"/>
          <w:u w:val="single"/>
        </w:rPr>
        <w:t>桂林市临桂区飞虎路9号</w:t>
      </w:r>
    </w:p>
    <w:p>
      <w:pPr>
        <w:spacing w:line="380" w:lineRule="exact"/>
        <w:ind w:left="1079" w:leftChars="371" w:hanging="300" w:hangingChars="125"/>
        <w:jc w:val="left"/>
        <w:rPr>
          <w:rFonts w:ascii="宋体" w:hAnsi="宋体" w:cs="宋体"/>
          <w:color w:val="auto"/>
          <w:sz w:val="24"/>
          <w:u w:val="single"/>
        </w:rPr>
      </w:pPr>
      <w:r>
        <w:rPr>
          <w:rFonts w:hint="eastAsia" w:ascii="宋体" w:hAnsi="宋体" w:cs="宋体"/>
          <w:color w:val="auto"/>
          <w:sz w:val="24"/>
        </w:rPr>
        <w:t>联系方式：</w:t>
      </w:r>
      <w:r>
        <w:rPr>
          <w:rFonts w:hint="eastAsia" w:ascii="宋体" w:hAnsi="宋体" w:cs="宋体"/>
          <w:color w:val="auto"/>
          <w:sz w:val="24"/>
          <w:u w:val="single"/>
        </w:rPr>
        <w:t>杨老师 0773-3975072</w:t>
      </w:r>
    </w:p>
    <w:p>
      <w:pPr>
        <w:spacing w:line="380" w:lineRule="exact"/>
        <w:ind w:left="1079" w:leftChars="371" w:hanging="300" w:hangingChars="125"/>
        <w:jc w:val="left"/>
        <w:rPr>
          <w:rFonts w:ascii="宋体" w:hAnsi="宋体" w:cs="宋体"/>
          <w:color w:val="auto"/>
          <w:sz w:val="24"/>
        </w:rPr>
      </w:pPr>
      <w:r>
        <w:rPr>
          <w:rFonts w:hint="eastAsia" w:ascii="宋体" w:hAnsi="宋体" w:cs="宋体"/>
          <w:color w:val="auto"/>
          <w:sz w:val="24"/>
        </w:rPr>
        <w:t>2.采购代理机构信息</w:t>
      </w:r>
      <w:bookmarkEnd w:id="31"/>
      <w:bookmarkEnd w:id="32"/>
    </w:p>
    <w:p>
      <w:pPr>
        <w:spacing w:line="380" w:lineRule="exact"/>
        <w:ind w:firstLine="720" w:firstLineChars="300"/>
        <w:rPr>
          <w:rFonts w:ascii="宋体" w:hAnsi="宋体" w:cs="宋体"/>
          <w:color w:val="auto"/>
          <w:sz w:val="24"/>
          <w:u w:val="single"/>
        </w:rPr>
      </w:pPr>
      <w:r>
        <w:rPr>
          <w:rFonts w:hint="eastAsia" w:ascii="宋体" w:hAnsi="宋体" w:cs="宋体"/>
          <w:color w:val="auto"/>
          <w:sz w:val="24"/>
        </w:rPr>
        <w:t>名  称：</w:t>
      </w:r>
      <w:r>
        <w:rPr>
          <w:rFonts w:hint="eastAsia" w:ascii="宋体" w:hAnsi="宋体" w:cs="宋体"/>
          <w:color w:val="auto"/>
          <w:sz w:val="24"/>
          <w:u w:val="single"/>
        </w:rPr>
        <w:t xml:space="preserve"> 桂林市政府集中采购中心　</w:t>
      </w:r>
    </w:p>
    <w:p>
      <w:pPr>
        <w:spacing w:line="380" w:lineRule="exact"/>
        <w:ind w:firstLine="720" w:firstLineChars="30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桂林市临桂区西城中路69号创业大厦西辅楼5楼</w:t>
      </w:r>
    </w:p>
    <w:p>
      <w:pPr>
        <w:spacing w:line="380" w:lineRule="exact"/>
        <w:ind w:firstLine="720" w:firstLineChars="300"/>
        <w:rPr>
          <w:rFonts w:ascii="宋体" w:hAnsi="宋体" w:cs="宋体"/>
          <w:color w:val="auto"/>
          <w:sz w:val="24"/>
        </w:rPr>
      </w:pPr>
      <w:r>
        <w:rPr>
          <w:rFonts w:hint="eastAsia" w:ascii="宋体" w:hAnsi="宋体" w:cs="宋体"/>
          <w:color w:val="auto"/>
          <w:sz w:val="24"/>
        </w:rPr>
        <w:t>联系方式：</w:t>
      </w:r>
      <w:bookmarkStart w:id="33" w:name="_Toc28359010"/>
      <w:bookmarkStart w:id="34" w:name="_Toc28359087"/>
      <w:r>
        <w:rPr>
          <w:rFonts w:hint="eastAsia" w:ascii="宋体" w:hAnsi="宋体" w:cs="宋体"/>
          <w:color w:val="auto"/>
          <w:sz w:val="24"/>
          <w:u w:val="single"/>
        </w:rPr>
        <w:t>0773-5625166</w:t>
      </w:r>
    </w:p>
    <w:p>
      <w:pPr>
        <w:spacing w:line="380" w:lineRule="exact"/>
        <w:ind w:firstLine="720" w:firstLineChars="300"/>
        <w:rPr>
          <w:rFonts w:ascii="宋体" w:hAnsi="宋体" w:cs="宋体"/>
          <w:color w:val="auto"/>
          <w:sz w:val="24"/>
          <w:u w:val="single"/>
        </w:rPr>
      </w:pPr>
      <w:r>
        <w:rPr>
          <w:rFonts w:hint="eastAsia" w:ascii="宋体" w:hAnsi="宋体" w:cs="宋体"/>
          <w:color w:val="auto"/>
          <w:sz w:val="24"/>
        </w:rPr>
        <w:t>3.项目联系方式</w:t>
      </w:r>
      <w:bookmarkEnd w:id="33"/>
      <w:bookmarkEnd w:id="34"/>
    </w:p>
    <w:p>
      <w:pPr>
        <w:pStyle w:val="16"/>
        <w:spacing w:line="380" w:lineRule="exact"/>
        <w:ind w:firstLine="720" w:firstLineChars="300"/>
        <w:rPr>
          <w:rFonts w:hAnsi="宋体" w:cs="宋体"/>
          <w:color w:val="auto"/>
          <w:sz w:val="24"/>
          <w:szCs w:val="24"/>
        </w:rPr>
      </w:pPr>
      <w:r>
        <w:rPr>
          <w:rFonts w:hint="eastAsia" w:hAnsi="宋体" w:cs="宋体"/>
          <w:color w:val="auto"/>
          <w:sz w:val="24"/>
          <w:szCs w:val="24"/>
        </w:rPr>
        <w:t>项目联系人：</w:t>
      </w:r>
      <w:r>
        <w:rPr>
          <w:rFonts w:hint="eastAsia" w:hAnsi="宋体" w:cs="宋体"/>
          <w:color w:val="auto"/>
          <w:sz w:val="24"/>
          <w:szCs w:val="24"/>
          <w:u w:val="single"/>
        </w:rPr>
        <w:t>秦工</w:t>
      </w:r>
    </w:p>
    <w:p>
      <w:pPr>
        <w:spacing w:line="380" w:lineRule="exact"/>
        <w:ind w:firstLine="720" w:firstLineChars="300"/>
        <w:rPr>
          <w:rFonts w:ascii="宋体" w:hAnsi="宋体" w:cs="宋体"/>
          <w:color w:val="auto"/>
          <w:sz w:val="24"/>
          <w:u w:val="single"/>
        </w:rPr>
      </w:pPr>
      <w:r>
        <w:rPr>
          <w:rFonts w:hint="eastAsia" w:ascii="宋体" w:hAnsi="宋体" w:cs="宋体"/>
          <w:color w:val="auto"/>
          <w:sz w:val="24"/>
        </w:rPr>
        <w:t>电　话：</w:t>
      </w:r>
      <w:r>
        <w:rPr>
          <w:rFonts w:hint="eastAsia" w:ascii="宋体" w:hAnsi="宋体" w:cs="宋体"/>
          <w:color w:val="auto"/>
          <w:sz w:val="24"/>
          <w:u w:val="single"/>
        </w:rPr>
        <w:t>0773-5625175</w:t>
      </w:r>
    </w:p>
    <w:p>
      <w:pPr>
        <w:spacing w:line="380" w:lineRule="exact"/>
        <w:ind w:firstLine="720" w:firstLineChars="300"/>
        <w:rPr>
          <w:rFonts w:ascii="宋体" w:hAnsi="宋体" w:cs="宋体"/>
          <w:color w:val="auto"/>
          <w:sz w:val="24"/>
        </w:rPr>
      </w:pPr>
      <w:r>
        <w:rPr>
          <w:rFonts w:hint="eastAsia" w:ascii="宋体" w:hAnsi="宋体" w:cs="宋体"/>
          <w:color w:val="auto"/>
          <w:sz w:val="24"/>
        </w:rPr>
        <w:t>4.政府采购监督管理机构</w:t>
      </w:r>
    </w:p>
    <w:p>
      <w:pPr>
        <w:spacing w:line="380" w:lineRule="exact"/>
        <w:ind w:firstLine="720" w:firstLineChars="300"/>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u w:val="single"/>
        </w:rPr>
        <w:t>桂林市财政局</w:t>
      </w:r>
    </w:p>
    <w:p>
      <w:pPr>
        <w:spacing w:line="380" w:lineRule="exact"/>
        <w:ind w:firstLine="720" w:firstLineChars="300"/>
        <w:rPr>
          <w:rFonts w:ascii="宋体" w:hAnsi="宋体" w:cs="宋体"/>
          <w:color w:val="auto"/>
          <w:sz w:val="24"/>
          <w:u w:val="single"/>
        </w:rPr>
      </w:pPr>
      <w:r>
        <w:rPr>
          <w:rFonts w:hint="eastAsia" w:ascii="宋体" w:hAnsi="宋体" w:cs="宋体"/>
          <w:color w:val="auto"/>
          <w:sz w:val="24"/>
        </w:rPr>
        <w:t>联系方式：</w:t>
      </w:r>
      <w:r>
        <w:rPr>
          <w:rFonts w:hint="eastAsia" w:ascii="宋体" w:hAnsi="宋体" w:cs="宋体"/>
          <w:color w:val="auto"/>
          <w:sz w:val="24"/>
          <w:u w:val="single"/>
        </w:rPr>
        <w:t>0773-2862142</w:t>
      </w: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5" w:name="_Toc12553"/>
      <w:bookmarkStart w:id="36" w:name="_Toc23983"/>
      <w:bookmarkStart w:id="37" w:name="_Toc5932"/>
      <w:r>
        <w:rPr>
          <w:rFonts w:hint="eastAsia" w:ascii="宋体" w:hAnsi="宋体" w:cs="宋体"/>
          <w:b/>
          <w:bCs/>
          <w:color w:val="auto"/>
          <w:kern w:val="44"/>
          <w:sz w:val="32"/>
          <w:szCs w:val="32"/>
        </w:rPr>
        <w:t>第二章  投标人须知</w:t>
      </w:r>
      <w:bookmarkEnd w:id="35"/>
      <w:bookmarkEnd w:id="36"/>
      <w:bookmarkEnd w:id="37"/>
    </w:p>
    <w:p>
      <w:pPr>
        <w:tabs>
          <w:tab w:val="left" w:pos="1065"/>
          <w:tab w:val="center" w:pos="4411"/>
        </w:tabs>
        <w:spacing w:line="440" w:lineRule="exact"/>
        <w:jc w:val="center"/>
        <w:outlineLvl w:val="1"/>
        <w:rPr>
          <w:rFonts w:ascii="宋体" w:hAnsi="宋体" w:cs="宋体"/>
          <w:b/>
          <w:color w:val="auto"/>
          <w:sz w:val="24"/>
        </w:rPr>
      </w:pPr>
      <w:bookmarkStart w:id="38" w:name="_Toc14750"/>
      <w:bookmarkStart w:id="39" w:name="_Toc14222"/>
      <w:bookmarkStart w:id="40" w:name="_Toc495841753"/>
      <w:bookmarkStart w:id="41" w:name="_Toc13996"/>
      <w:r>
        <w:rPr>
          <w:rFonts w:hint="eastAsia" w:ascii="宋体" w:hAnsi="宋体" w:cs="宋体"/>
          <w:b/>
          <w:color w:val="auto"/>
          <w:sz w:val="24"/>
        </w:rPr>
        <w:t>投标人须知前附表</w:t>
      </w:r>
      <w:bookmarkEnd w:id="38"/>
      <w:bookmarkEnd w:id="39"/>
      <w:bookmarkEnd w:id="40"/>
      <w:bookmarkEnd w:id="41"/>
    </w:p>
    <w:tbl>
      <w:tblPr>
        <w:tblStyle w:val="30"/>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63"/>
        <w:gridCol w:w="1587"/>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456"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863"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587"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7011"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58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7011" w:type="dxa"/>
            <w:vAlign w:val="center"/>
          </w:tcPr>
          <w:p>
            <w:pPr>
              <w:spacing w:line="340" w:lineRule="exact"/>
              <w:rPr>
                <w:rFonts w:ascii="宋体" w:hAnsi="宋体" w:cs="宋体"/>
                <w:color w:val="auto"/>
                <w:szCs w:val="21"/>
              </w:rPr>
            </w:pPr>
            <w:r>
              <w:rPr>
                <w:rFonts w:hint="eastAsia" w:ascii="宋体" w:hAnsi="宋体" w:cs="宋体"/>
                <w:color w:val="auto"/>
                <w:szCs w:val="21"/>
              </w:rPr>
              <w:t>项目名称：临桂新校区53#、54#、55#宿舍楼及地下公共停车库工程钢架床采购</w:t>
            </w:r>
          </w:p>
          <w:p>
            <w:pPr>
              <w:spacing w:line="340" w:lineRule="exact"/>
              <w:rPr>
                <w:rFonts w:ascii="宋体" w:hAnsi="宋体" w:cs="宋体"/>
                <w:color w:val="auto"/>
                <w:szCs w:val="21"/>
              </w:rPr>
            </w:pPr>
            <w:r>
              <w:rPr>
                <w:rFonts w:hint="eastAsia" w:ascii="宋体" w:hAnsi="宋体" w:cs="宋体"/>
                <w:color w:val="auto"/>
                <w:szCs w:val="21"/>
              </w:rPr>
              <w:t xml:space="preserve">项目编号：GLZC2022-G1-990409-GLJC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58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7011" w:type="dxa"/>
            <w:vAlign w:val="center"/>
          </w:tcPr>
          <w:p>
            <w:pPr>
              <w:spacing w:line="400" w:lineRule="exact"/>
              <w:rPr>
                <w:color w:val="auto"/>
              </w:rPr>
            </w:pPr>
            <w:r>
              <w:rPr>
                <w:rFonts w:hint="eastAsia"/>
                <w:color w:val="auto"/>
              </w:rPr>
              <w:t>5.1符合《中华人民共和国政府采购法》第二十二条和《政府采购法实施条例》第十八条规定，并且在国内注册或登记、具备合法资格，提供本次采购货物或服务的供应商。</w:t>
            </w:r>
          </w:p>
          <w:p>
            <w:pPr>
              <w:spacing w:line="400" w:lineRule="exact"/>
              <w:rPr>
                <w:color w:val="auto"/>
              </w:rPr>
            </w:pPr>
            <w:r>
              <w:rPr>
                <w:rFonts w:hint="eastAsia"/>
                <w:color w:val="auto"/>
              </w:rPr>
              <w:t>5.2 本项目不接受联合体投标。</w:t>
            </w:r>
          </w:p>
          <w:p>
            <w:pPr>
              <w:spacing w:line="400" w:lineRule="exact"/>
              <w:rPr>
                <w:color w:val="auto"/>
              </w:rPr>
            </w:pPr>
            <w:r>
              <w:rPr>
                <w:rFonts w:hint="eastAsia"/>
                <w:color w:val="auto"/>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8"/>
              <w:rPr>
                <w:rFonts w:ascii="Calibri" w:eastAsia="Calibri" w:cs="Times New Roman"/>
                <w:b/>
                <w:bCs/>
                <w:color w:val="auto"/>
                <w:kern w:val="2"/>
                <w:sz w:val="21"/>
              </w:rPr>
            </w:pPr>
            <w:r>
              <w:rPr>
                <w:rFonts w:hint="eastAsia" w:ascii="Calibri" w:eastAsia="Calibri" w:cs="Times New Roman"/>
                <w:b/>
                <w:bCs/>
                <w:color w:val="auto"/>
                <w:kern w:val="2"/>
                <w:sz w:val="21"/>
              </w:rPr>
              <w:t>5.4 落实政府采购政策需满足的资格要求：</w:t>
            </w:r>
          </w:p>
          <w:p>
            <w:pPr>
              <w:pStyle w:val="48"/>
              <w:rPr>
                <w:rFonts w:ascii="Calibri" w:eastAsia="Calibri" w:cs="Times New Roman"/>
                <w:b/>
                <w:bCs/>
                <w:color w:val="auto"/>
                <w:kern w:val="2"/>
                <w:sz w:val="21"/>
              </w:rPr>
            </w:pPr>
            <w:r>
              <w:rPr>
                <w:rFonts w:hint="eastAsia" w:ascii="Calibri" w:eastAsia="Calibri" w:cs="Times New Roman"/>
                <w:b/>
                <w:bCs/>
                <w:color w:val="auto"/>
                <w:kern w:val="2"/>
                <w:sz w:val="21"/>
              </w:rPr>
              <w:t>本项目专门面向中小微企业采购，所属行业为工业。</w:t>
            </w:r>
          </w:p>
          <w:p>
            <w:pPr>
              <w:pStyle w:val="48"/>
              <w:rPr>
                <w:color w:val="auto"/>
              </w:rPr>
            </w:pPr>
            <w:r>
              <w:rPr>
                <w:rFonts w:hint="eastAsia" w:ascii="Calibri" w:eastAsia="Calibri" w:cs="Times New Roman"/>
                <w:b/>
                <w:bCs/>
                <w:color w:val="auto"/>
                <w:kern w:val="2"/>
                <w:sz w:val="21"/>
              </w:rPr>
              <w:t>5.5 本项目的特定资格要求：</w:t>
            </w:r>
            <w:r>
              <w:rPr>
                <w:rFonts w:hint="eastAsia" w:ascii="Calibri" w:eastAsia="宋体" w:cs="Times New Roman"/>
                <w:b/>
                <w:bCs/>
                <w:color w:val="auto"/>
                <w:kern w:val="2"/>
                <w:sz w:val="21"/>
              </w:rPr>
              <w:t>无</w:t>
            </w:r>
            <w:r>
              <w:rPr>
                <w:rFonts w:hint="eastAsia" w:ascii="Calibri" w:eastAsia="Calibri" w:cs="Times New Roman"/>
                <w:b/>
                <w:bCs/>
                <w:color w:val="auto"/>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587"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7011"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863"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15.1投标报价应按招标文件中第六章“投标文件（格式）”填写，本项目采购预算金额：人民币柒佰玖拾贰万陆仟零肆元整（¥7926004.00元），投标报价超过采购预算金额的，投标文件按无效处理。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58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7011"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58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7011"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863" w:type="dxa"/>
            <w:vAlign w:val="center"/>
          </w:tcPr>
          <w:p>
            <w:pPr>
              <w:spacing w:line="400" w:lineRule="exact"/>
              <w:jc w:val="center"/>
              <w:rPr>
                <w:rFonts w:ascii="宋体" w:hAnsi="宋体" w:cs="宋体"/>
                <w:color w:val="auto"/>
                <w:position w:val="10"/>
                <w:szCs w:val="21"/>
              </w:rPr>
            </w:pPr>
            <w:r>
              <w:rPr>
                <w:rFonts w:hint="eastAsia" w:ascii="宋体" w:hAnsi="宋体" w:cs="宋体"/>
                <w:color w:val="auto"/>
                <w:szCs w:val="21"/>
              </w:rPr>
              <w:t>18</w:t>
            </w:r>
          </w:p>
        </w:tc>
        <w:tc>
          <w:tcPr>
            <w:tcW w:w="1587" w:type="dxa"/>
            <w:vAlign w:val="center"/>
          </w:tcPr>
          <w:p>
            <w:pPr>
              <w:spacing w:line="400" w:lineRule="exact"/>
              <w:jc w:val="center"/>
              <w:rPr>
                <w:rFonts w:ascii="宋体" w:hAnsi="宋体" w:cs="宋体"/>
                <w:color w:val="auto"/>
                <w:position w:val="10"/>
                <w:szCs w:val="21"/>
              </w:rPr>
            </w:pPr>
            <w:r>
              <w:rPr>
                <w:rFonts w:hint="eastAsia" w:ascii="宋体" w:hAnsi="宋体" w:cs="宋体"/>
                <w:color w:val="auto"/>
                <w:szCs w:val="21"/>
              </w:rPr>
              <w:t>投标文件的制作</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18.1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exact"/>
              <w:rPr>
                <w:rFonts w:ascii="宋体" w:hAnsi="宋体" w:cs="宋体"/>
                <w:color w:val="auto"/>
                <w:szCs w:val="21"/>
              </w:rPr>
            </w:pPr>
            <w:r>
              <w:rPr>
                <w:rFonts w:hint="eastAsia" w:ascii="宋体" w:hAnsi="宋体" w:cs="宋体"/>
                <w:color w:val="auto"/>
                <w:szCs w:val="21"/>
              </w:rPr>
              <w:t xml:space="preserve">18.2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exact"/>
              <w:rPr>
                <w:rFonts w:ascii="宋体" w:hAnsi="宋体" w:cs="宋体"/>
                <w:color w:val="auto"/>
                <w:szCs w:val="21"/>
              </w:rPr>
            </w:pPr>
            <w:r>
              <w:rPr>
                <w:rFonts w:hint="eastAsia" w:ascii="宋体" w:hAnsi="宋体" w:cs="宋体"/>
                <w:color w:val="auto"/>
                <w:szCs w:val="21"/>
              </w:rPr>
              <w:t>18.3 投标文件不得涂改，若有修改错漏处，须法定代表人（负责人）或授权委托人签字（或个人CA签章）。投标文件因字迹潦草或表达不清所引起的后果由供应商负责。</w:t>
            </w:r>
          </w:p>
          <w:p>
            <w:pPr>
              <w:spacing w:line="360" w:lineRule="exact"/>
              <w:rPr>
                <w:rFonts w:ascii="宋体" w:hAnsi="宋体" w:cs="宋体"/>
                <w:color w:val="auto"/>
                <w:szCs w:val="21"/>
              </w:rPr>
            </w:pPr>
            <w:r>
              <w:rPr>
                <w:rFonts w:hint="eastAsia" w:ascii="宋体" w:hAnsi="宋体" w:cs="宋体"/>
                <w:color w:val="auto"/>
                <w:szCs w:val="21"/>
              </w:rPr>
              <w:t xml:space="preserve">18.4评审前准备 </w:t>
            </w:r>
          </w:p>
          <w:p>
            <w:pPr>
              <w:spacing w:line="360" w:lineRule="exact"/>
              <w:rPr>
                <w:rFonts w:ascii="宋体" w:hAnsi="宋体" w:cs="宋体"/>
                <w:color w:val="auto"/>
                <w:szCs w:val="21"/>
              </w:rPr>
            </w:pPr>
            <w:r>
              <w:rPr>
                <w:rFonts w:hint="eastAsia" w:ascii="宋体" w:hAnsi="宋体" w:cs="宋体"/>
                <w:color w:val="auto"/>
                <w:szCs w:val="21"/>
              </w:rPr>
              <w:t xml:space="preserve">18.4.1本项目实行网上评审，采用电子投标文件；若供应商参与投标，自行承担投标一切费用。 </w:t>
            </w:r>
          </w:p>
          <w:p>
            <w:pPr>
              <w:spacing w:line="360" w:lineRule="exact"/>
              <w:rPr>
                <w:rFonts w:ascii="宋体" w:hAnsi="宋体" w:cs="宋体"/>
                <w:color w:val="auto"/>
                <w:szCs w:val="21"/>
              </w:rPr>
            </w:pPr>
            <w:r>
              <w:rPr>
                <w:rFonts w:hint="eastAsia" w:ascii="宋体" w:hAnsi="宋体" w:cs="宋体"/>
                <w:color w:val="auto"/>
                <w:szCs w:val="21"/>
              </w:rPr>
              <w:t xml:space="preserve">18.4.2各供应商在截标前应确保成为政采云平台正式注册入库供应商，并完成 CA 数字证书申领。因未注册入库、未办理 CA 数字证书等原因造成无法投标或投标失败等后果由供应商自行承担。 </w:t>
            </w:r>
          </w:p>
          <w:p>
            <w:pPr>
              <w:spacing w:line="360" w:lineRule="exact"/>
              <w:rPr>
                <w:rFonts w:ascii="宋体" w:hAnsi="宋体" w:cs="宋体"/>
                <w:color w:val="auto"/>
                <w:szCs w:val="21"/>
              </w:rPr>
            </w:pPr>
            <w:r>
              <w:rPr>
                <w:rFonts w:hint="eastAsia" w:ascii="宋体" w:hAnsi="宋体" w:cs="宋体"/>
                <w:color w:val="auto"/>
                <w:szCs w:val="21"/>
              </w:rPr>
              <w:t>18.4.3供应商将政采云电子交易客户端下载、安装完成后，可通过账号密码或 CA 登录客户端进行投标文件制作。客户端请至网站下载专区查看，如有问题可拨打政采云客户服务热线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8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19.1</w:t>
            </w:r>
          </w:p>
        </w:tc>
        <w:tc>
          <w:tcPr>
            <w:tcW w:w="1587" w:type="dxa"/>
            <w:vAlign w:val="center"/>
          </w:tcPr>
          <w:p>
            <w:pPr>
              <w:spacing w:line="360" w:lineRule="exact"/>
              <w:rPr>
                <w:rFonts w:ascii="宋体" w:hAnsi="宋体" w:cs="宋体"/>
                <w:color w:val="auto"/>
                <w:szCs w:val="21"/>
              </w:rPr>
            </w:pPr>
            <w:r>
              <w:rPr>
                <w:rFonts w:hint="eastAsia" w:ascii="宋体" w:hAnsi="宋体" w:cs="宋体"/>
                <w:color w:val="auto"/>
                <w:szCs w:val="21"/>
              </w:rPr>
              <w:t>投标文件的补充、修改和撤回</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19.1 投标文件递交截止时间前可以撤回电子投标文件。补充或者修改电子投标文件的，应当先行撤回原文件，补充、修改后重新传输递交，投标文件递交截止时间前未完成传输的，视为撤回投标文件。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20.1</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投标文件递交</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20.1投标文件递交截止时间：于2022年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9时30分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20.2</w:t>
            </w:r>
          </w:p>
        </w:tc>
        <w:tc>
          <w:tcPr>
            <w:tcW w:w="1587" w:type="dxa"/>
            <w:vAlign w:val="center"/>
          </w:tcPr>
          <w:p>
            <w:pPr>
              <w:spacing w:line="360" w:lineRule="exact"/>
              <w:rPr>
                <w:rFonts w:ascii="宋体" w:hAnsi="宋体" w:cs="宋体"/>
                <w:color w:val="auto"/>
                <w:szCs w:val="21"/>
              </w:rPr>
            </w:pPr>
            <w:r>
              <w:rPr>
                <w:rFonts w:hint="eastAsia" w:ascii="宋体" w:hAnsi="宋体" w:cs="宋体"/>
                <w:color w:val="auto"/>
                <w:szCs w:val="21"/>
              </w:rPr>
              <w:t>投标文件解密</w:t>
            </w:r>
          </w:p>
        </w:tc>
        <w:tc>
          <w:tcPr>
            <w:tcW w:w="7011" w:type="dxa"/>
            <w:vAlign w:val="center"/>
          </w:tcPr>
          <w:p>
            <w:pPr>
              <w:spacing w:line="360" w:lineRule="exact"/>
              <w:rPr>
                <w:rFonts w:ascii="宋体" w:hAnsi="宋体" w:cs="宋体"/>
                <w:color w:val="auto"/>
              </w:rPr>
            </w:pPr>
            <w:r>
              <w:rPr>
                <w:rFonts w:hint="eastAsia" w:ascii="宋体" w:hAnsi="宋体" w:cs="宋体"/>
                <w:color w:val="auto"/>
                <w:szCs w:val="21"/>
              </w:rPr>
              <w:t>20.2</w:t>
            </w:r>
            <w:r>
              <w:rPr>
                <w:rFonts w:hint="eastAsia" w:ascii="宋体" w:hAnsi="宋体" w:cs="宋体"/>
                <w:color w:val="auto"/>
              </w:rPr>
              <w:t>投标文件解密时间：截标时间后</w:t>
            </w:r>
            <w:r>
              <w:rPr>
                <w:rFonts w:hint="eastAsia" w:ascii="宋体" w:hAnsi="宋体" w:cs="宋体"/>
                <w:color w:val="auto"/>
                <w:u w:val="single"/>
              </w:rPr>
              <w:t>30</w:t>
            </w:r>
            <w:r>
              <w:rPr>
                <w:rFonts w:hint="eastAsia" w:ascii="宋体" w:hAnsi="宋体" w:cs="宋体"/>
                <w:color w:val="auto"/>
              </w:rPr>
              <w:t>分钟内（2022年</w:t>
            </w:r>
            <w:r>
              <w:rPr>
                <w:rFonts w:hint="eastAsia" w:ascii="宋体" w:hAnsi="宋体" w:cs="宋体"/>
                <w:color w:val="auto"/>
                <w:lang w:val="en-US" w:eastAsia="zh-CN"/>
              </w:rPr>
              <w:t>10</w:t>
            </w:r>
            <w:r>
              <w:rPr>
                <w:rFonts w:hint="eastAsia" w:ascii="宋体" w:hAnsi="宋体" w:cs="宋体"/>
                <w:color w:val="auto"/>
              </w:rPr>
              <w:t>月</w:t>
            </w:r>
            <w:r>
              <w:rPr>
                <w:rFonts w:hint="eastAsia" w:ascii="宋体" w:hAnsi="宋体" w:cs="宋体"/>
                <w:color w:val="auto"/>
                <w:lang w:val="en-US" w:eastAsia="zh-CN"/>
              </w:rPr>
              <w:t>19</w:t>
            </w:r>
            <w:r>
              <w:rPr>
                <w:rFonts w:hint="eastAsia" w:ascii="宋体" w:hAnsi="宋体" w:cs="宋体"/>
                <w:color w:val="auto"/>
              </w:rPr>
              <w:t>日上午9时30分至10时00分)投标人可以登录政采云平台，用“项目采购-开标评标”功能进行解密投标文件。</w:t>
            </w:r>
          </w:p>
          <w:p>
            <w:pPr>
              <w:spacing w:line="360" w:lineRule="exact"/>
              <w:rPr>
                <w:rFonts w:ascii="宋体" w:hAnsi="宋体" w:cs="宋体"/>
                <w:color w:val="auto"/>
                <w:szCs w:val="21"/>
              </w:rPr>
            </w:pPr>
            <w:r>
              <w:rPr>
                <w:rFonts w:hint="eastAsia" w:ascii="宋体" w:hAnsi="宋体" w:cs="宋体"/>
                <w:b/>
                <w:bCs/>
                <w:color w:val="auto"/>
                <w:szCs w:val="21"/>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863"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21.1</w:t>
            </w:r>
          </w:p>
        </w:tc>
        <w:tc>
          <w:tcPr>
            <w:tcW w:w="1587"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开标时间及地点</w:t>
            </w:r>
          </w:p>
        </w:tc>
        <w:tc>
          <w:tcPr>
            <w:tcW w:w="7011" w:type="dxa"/>
          </w:tcPr>
          <w:p>
            <w:pPr>
              <w:spacing w:line="400" w:lineRule="exact"/>
              <w:rPr>
                <w:rFonts w:ascii="宋体" w:hAnsi="宋体" w:cs="宋体"/>
                <w:color w:val="auto"/>
                <w:szCs w:val="21"/>
              </w:rPr>
            </w:pPr>
            <w:r>
              <w:rPr>
                <w:rFonts w:hint="eastAsia" w:ascii="宋体" w:hAnsi="宋体" w:cs="宋体"/>
                <w:color w:val="auto"/>
                <w:szCs w:val="21"/>
              </w:rPr>
              <w:t>开标时间：2022年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日上午9时30分（北京时间）截标后。地点：桂林市公共资源交易中心</w:t>
            </w:r>
            <w:r>
              <w:rPr>
                <w:rFonts w:hint="eastAsia" w:ascii="宋体" w:hAnsi="宋体" w:cs="宋体"/>
                <w:color w:val="auto"/>
                <w:szCs w:val="21"/>
                <w:u w:val="single"/>
                <w:lang w:val="en-US" w:eastAsia="zh-CN"/>
              </w:rPr>
              <w:t>9</w:t>
            </w:r>
            <w:r>
              <w:rPr>
                <w:rFonts w:hint="eastAsia" w:ascii="宋体" w:hAnsi="宋体" w:cs="宋体"/>
                <w:color w:val="auto"/>
                <w:szCs w:val="21"/>
                <w:u w:val="single"/>
              </w:rPr>
              <w:t>号开标室</w:t>
            </w:r>
            <w:r>
              <w:rPr>
                <w:rFonts w:hint="eastAsia" w:ascii="宋体" w:hAnsi="宋体" w:cs="宋体"/>
                <w:color w:val="auto"/>
                <w:szCs w:val="21"/>
              </w:rPr>
              <w:t>通过政采云平台实行在线解密开启。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评标委员会由采购人代表和评审专家组成，成员人数共5人，其中采购人代表1人，评审专家4人。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587"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7011"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7011"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7011" w:type="dxa"/>
            <w:vAlign w:val="center"/>
          </w:tcPr>
          <w:p>
            <w:pPr>
              <w:pStyle w:val="16"/>
              <w:spacing w:line="360" w:lineRule="exact"/>
              <w:rPr>
                <w:rFonts w:hAnsi="宋体" w:cs="宋体"/>
                <w:color w:val="auto"/>
                <w:szCs w:val="21"/>
              </w:rPr>
            </w:pPr>
            <w:r>
              <w:rPr>
                <w:rFonts w:hint="eastAsia" w:hAnsi="宋体" w:cs="宋体"/>
                <w:color w:val="auto"/>
                <w:szCs w:val="21"/>
              </w:rPr>
              <w:t>本项目无需缴纳履约保证金。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7011" w:type="dxa"/>
            <w:vAlign w:val="center"/>
          </w:tcPr>
          <w:p>
            <w:pPr>
              <w:spacing w:line="360" w:lineRule="exact"/>
              <w:rPr>
                <w:rFonts w:hAnsi="宋体" w:cs="宋体"/>
                <w:color w:val="auto"/>
                <w:szCs w:val="21"/>
              </w:rPr>
            </w:pPr>
            <w:r>
              <w:rPr>
                <w:rFonts w:hint="eastAsia" w:ascii="宋体" w:hAnsi="宋体" w:cs="宋体"/>
                <w:color w:val="auto"/>
                <w:szCs w:val="21"/>
              </w:rPr>
              <w:t>中标通知书发出之日起25日内。中标供应商领取中标通知书后，应按规定与采购人签订合同。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政府采购合同双方自签订之日起一个工作日内将合同原件一份交采购代理机构，采购人于合同签订之日起七个工作日内将一份合同原件送本级财政部门备案。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政府采购货物和服务招标投标管理办法》（财政部令第87号）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45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86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58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监督管理机构</w:t>
            </w:r>
          </w:p>
        </w:tc>
        <w:tc>
          <w:tcPr>
            <w:tcW w:w="7011" w:type="dxa"/>
            <w:vAlign w:val="center"/>
          </w:tcPr>
          <w:p>
            <w:pPr>
              <w:spacing w:line="360" w:lineRule="exact"/>
              <w:rPr>
                <w:rFonts w:ascii="宋体" w:hAnsi="宋体" w:cs="宋体"/>
                <w:color w:val="auto"/>
                <w:szCs w:val="21"/>
              </w:rPr>
            </w:pPr>
            <w:r>
              <w:rPr>
                <w:rFonts w:hint="eastAsia" w:ascii="宋体" w:hAnsi="宋体" w:cs="宋体"/>
                <w:color w:val="auto"/>
                <w:szCs w:val="21"/>
              </w:rPr>
              <w:t>桂林市财政局     电话：0773-2862142</w:t>
            </w:r>
          </w:p>
        </w:tc>
      </w:tr>
    </w:tbl>
    <w:p>
      <w:pPr>
        <w:spacing w:line="360" w:lineRule="auto"/>
        <w:jc w:val="center"/>
        <w:outlineLvl w:val="1"/>
        <w:rPr>
          <w:rFonts w:ascii="宋体" w:hAnsi="宋体" w:cs="宋体"/>
          <w:b/>
          <w:color w:val="auto"/>
          <w:sz w:val="28"/>
          <w:szCs w:val="28"/>
        </w:rPr>
      </w:pPr>
      <w:bookmarkStart w:id="42" w:name="_Toc3679"/>
      <w:bookmarkStart w:id="43" w:name="_Toc495841754"/>
      <w:r>
        <w:rPr>
          <w:rFonts w:hint="eastAsia" w:ascii="宋体" w:hAnsi="宋体" w:cs="宋体"/>
          <w:b/>
          <w:color w:val="auto"/>
          <w:sz w:val="28"/>
          <w:szCs w:val="28"/>
        </w:rPr>
        <w:br w:type="page"/>
      </w:r>
      <w:bookmarkStart w:id="44" w:name="_Toc7996"/>
      <w:bookmarkStart w:id="45" w:name="_Toc5235"/>
      <w:r>
        <w:rPr>
          <w:rFonts w:hint="eastAsia" w:ascii="宋体" w:hAnsi="宋体" w:cs="宋体"/>
          <w:b/>
          <w:color w:val="auto"/>
          <w:sz w:val="28"/>
          <w:szCs w:val="28"/>
        </w:rPr>
        <w:t>一、总则</w:t>
      </w:r>
      <w:bookmarkEnd w:id="42"/>
      <w:bookmarkEnd w:id="43"/>
      <w:bookmarkEnd w:id="44"/>
      <w:bookmarkEnd w:id="45"/>
    </w:p>
    <w:p>
      <w:pPr>
        <w:spacing w:line="400" w:lineRule="exact"/>
        <w:ind w:firstLine="413" w:firstLineChars="196"/>
        <w:outlineLvl w:val="2"/>
        <w:rPr>
          <w:rFonts w:ascii="宋体" w:hAnsi="宋体" w:cs="宋体"/>
          <w:b/>
          <w:color w:val="auto"/>
          <w:szCs w:val="21"/>
        </w:rPr>
      </w:pPr>
      <w:bookmarkStart w:id="46" w:name="_Toc6156"/>
      <w:bookmarkStart w:id="47" w:name="_Toc30841"/>
      <w:bookmarkStart w:id="48" w:name="_Toc23807"/>
      <w:r>
        <w:rPr>
          <w:rFonts w:hint="eastAsia" w:ascii="宋体" w:hAnsi="宋体" w:cs="宋体"/>
          <w:b/>
          <w:color w:val="auto"/>
          <w:szCs w:val="21"/>
        </w:rPr>
        <w:t>1. 项目名称及项目编号</w:t>
      </w:r>
      <w:bookmarkEnd w:id="46"/>
      <w:bookmarkEnd w:id="47"/>
      <w:bookmarkEnd w:id="48"/>
    </w:p>
    <w:p>
      <w:pPr>
        <w:spacing w:line="340" w:lineRule="exact"/>
        <w:ind w:firstLine="420" w:firstLineChars="200"/>
        <w:rPr>
          <w:rFonts w:ascii="宋体" w:hAnsi="宋体" w:cs="宋体"/>
          <w:color w:val="auto"/>
          <w:szCs w:val="21"/>
        </w:rPr>
      </w:pPr>
      <w:bookmarkStart w:id="49" w:name="_Toc340"/>
      <w:r>
        <w:rPr>
          <w:rFonts w:hint="eastAsia" w:ascii="宋体" w:hAnsi="宋体" w:cs="宋体"/>
          <w:color w:val="auto"/>
          <w:szCs w:val="21"/>
        </w:rPr>
        <w:t>项目名称：临桂新校区53#、54#、55#宿舍楼及地下公共停车库工程钢架床采购</w:t>
      </w:r>
      <w:r>
        <w:rPr>
          <w:rFonts w:hint="eastAsia" w:ascii="宋体" w:hAnsi="宋体" w:cs="宋体"/>
          <w:color w:val="auto"/>
        </w:rPr>
        <w:t xml:space="preserve"> </w:t>
      </w:r>
    </w:p>
    <w:p>
      <w:pPr>
        <w:spacing w:line="400" w:lineRule="exact"/>
        <w:ind w:firstLine="411" w:firstLineChars="196"/>
        <w:rPr>
          <w:rFonts w:ascii="宋体" w:hAnsi="宋体" w:cs="宋体"/>
          <w:color w:val="auto"/>
          <w:szCs w:val="21"/>
        </w:rPr>
      </w:pPr>
      <w:bookmarkStart w:id="50" w:name="_Toc4756"/>
      <w:bookmarkStart w:id="51" w:name="_Toc8531"/>
      <w:bookmarkStart w:id="52" w:name="_Toc32432"/>
      <w:r>
        <w:rPr>
          <w:rFonts w:hint="eastAsia" w:ascii="宋体" w:hAnsi="宋体" w:cs="宋体"/>
          <w:color w:val="auto"/>
          <w:szCs w:val="21"/>
        </w:rPr>
        <w:t>项目编号：</w:t>
      </w:r>
      <w:bookmarkEnd w:id="50"/>
      <w:bookmarkEnd w:id="51"/>
      <w:bookmarkEnd w:id="52"/>
      <w:r>
        <w:rPr>
          <w:rFonts w:hint="eastAsia" w:ascii="宋体" w:hAnsi="宋体" w:cs="宋体"/>
          <w:color w:val="auto"/>
          <w:szCs w:val="21"/>
        </w:rPr>
        <w:t xml:space="preserve">GLZC2022-G1-990409-GLJC  </w:t>
      </w:r>
    </w:p>
    <w:p>
      <w:pPr>
        <w:spacing w:line="400" w:lineRule="exact"/>
        <w:ind w:firstLine="413" w:firstLineChars="196"/>
        <w:outlineLvl w:val="2"/>
        <w:rPr>
          <w:rFonts w:ascii="宋体" w:hAnsi="宋体" w:cs="宋体"/>
          <w:b/>
          <w:color w:val="auto"/>
          <w:szCs w:val="21"/>
        </w:rPr>
      </w:pPr>
      <w:bookmarkStart w:id="53" w:name="_Toc32195"/>
      <w:bookmarkStart w:id="54" w:name="_Toc11983"/>
      <w:r>
        <w:rPr>
          <w:rFonts w:hint="eastAsia" w:ascii="宋体" w:hAnsi="宋体" w:cs="宋体"/>
          <w:b/>
          <w:color w:val="auto"/>
          <w:szCs w:val="21"/>
        </w:rPr>
        <w:t>2. 适应范围</w:t>
      </w:r>
      <w:bookmarkEnd w:id="49"/>
      <w:bookmarkEnd w:id="53"/>
      <w:bookmarkEnd w:id="54"/>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55" w:name="_Toc7551"/>
      <w:bookmarkStart w:id="56" w:name="_Toc1895"/>
      <w:bookmarkStart w:id="57" w:name="_Toc11360"/>
      <w:r>
        <w:rPr>
          <w:rFonts w:hint="eastAsia" w:ascii="宋体" w:hAnsi="宋体" w:cs="宋体"/>
          <w:b/>
          <w:color w:val="auto"/>
          <w:szCs w:val="21"/>
        </w:rPr>
        <w:t>3. 定义</w:t>
      </w:r>
      <w:bookmarkEnd w:id="55"/>
      <w:bookmarkEnd w:id="56"/>
      <w:bookmarkEnd w:id="5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3.5“书面形式”包括信函、传真、电报等。</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58" w:name="_Toc28906"/>
      <w:bookmarkStart w:id="59" w:name="_Toc24020"/>
      <w:bookmarkStart w:id="60" w:name="_Toc9331"/>
      <w:r>
        <w:rPr>
          <w:rFonts w:hint="eastAsia" w:ascii="宋体" w:hAnsi="宋体" w:cs="宋体"/>
          <w:b/>
          <w:color w:val="auto"/>
          <w:szCs w:val="21"/>
        </w:rPr>
        <w:t>4. 招标方式、评分办法</w:t>
      </w:r>
      <w:bookmarkEnd w:id="58"/>
      <w:bookmarkEnd w:id="59"/>
      <w:bookmarkEnd w:id="60"/>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61" w:name="_Toc15954"/>
      <w:bookmarkStart w:id="62" w:name="_Toc15345"/>
      <w:bookmarkStart w:id="63" w:name="_Toc598"/>
      <w:r>
        <w:rPr>
          <w:rFonts w:hint="eastAsia" w:ascii="宋体" w:hAnsi="宋体" w:cs="宋体"/>
          <w:b/>
          <w:color w:val="auto"/>
          <w:szCs w:val="21"/>
        </w:rPr>
        <w:t>5. 投标人资格</w:t>
      </w:r>
      <w:bookmarkEnd w:id="61"/>
      <w:bookmarkEnd w:id="62"/>
      <w:bookmarkEnd w:id="63"/>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5.2 本项目不接受联合体投标。</w:t>
      </w:r>
    </w:p>
    <w:p>
      <w:pPr>
        <w:spacing w:line="400" w:lineRule="exact"/>
        <w:ind w:firstLine="435"/>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b/>
          <w:bCs/>
          <w:color w:val="auto"/>
        </w:rPr>
      </w:pPr>
      <w:r>
        <w:rPr>
          <w:rFonts w:hint="eastAsia" w:ascii="宋体" w:hAnsi="宋体" w:cs="宋体"/>
          <w:b/>
          <w:bCs/>
          <w:color w:val="auto"/>
        </w:rPr>
        <w:t xml:space="preserve">5.4 </w:t>
      </w:r>
      <w:r>
        <w:rPr>
          <w:rFonts w:hint="eastAsia"/>
          <w:b/>
          <w:bCs/>
          <w:color w:val="auto"/>
        </w:rPr>
        <w:t>落实政府采购政策需满足的资格要求：</w:t>
      </w:r>
    </w:p>
    <w:p>
      <w:pPr>
        <w:spacing w:line="400" w:lineRule="exact"/>
        <w:ind w:firstLine="435"/>
        <w:rPr>
          <w:rFonts w:ascii="宋体" w:hAnsi="宋体" w:cs="宋体"/>
          <w:b/>
          <w:bCs/>
          <w:color w:val="auto"/>
        </w:rPr>
      </w:pPr>
      <w:r>
        <w:rPr>
          <w:rFonts w:hint="eastAsia" w:ascii="宋体" w:hAnsi="宋体" w:cs="宋体"/>
          <w:b/>
          <w:bCs/>
          <w:color w:val="auto"/>
        </w:rPr>
        <w:t>本项目专门面向中小微企业采购，所属行业为工业。</w:t>
      </w:r>
    </w:p>
    <w:p>
      <w:pPr>
        <w:spacing w:line="400" w:lineRule="exact"/>
        <w:ind w:firstLine="435"/>
        <w:rPr>
          <w:color w:val="auto"/>
        </w:rPr>
      </w:pPr>
      <w:r>
        <w:rPr>
          <w:rFonts w:hint="eastAsia" w:ascii="宋体" w:hAnsi="宋体" w:cs="宋体"/>
          <w:b/>
          <w:bCs/>
          <w:color w:val="auto"/>
          <w:szCs w:val="21"/>
        </w:rPr>
        <w:t>5.5本项目的特定资格要求：无。</w:t>
      </w:r>
    </w:p>
    <w:p>
      <w:pPr>
        <w:spacing w:line="400" w:lineRule="exact"/>
        <w:ind w:firstLine="413" w:firstLineChars="196"/>
        <w:outlineLvl w:val="2"/>
        <w:rPr>
          <w:rFonts w:ascii="宋体" w:hAnsi="宋体" w:cs="宋体"/>
          <w:b/>
          <w:color w:val="auto"/>
          <w:szCs w:val="21"/>
        </w:rPr>
      </w:pPr>
      <w:bookmarkStart w:id="64" w:name="_Toc24742"/>
      <w:bookmarkStart w:id="65" w:name="_Toc240"/>
      <w:bookmarkStart w:id="66" w:name="_Toc14174"/>
      <w:r>
        <w:rPr>
          <w:rFonts w:hint="eastAsia" w:ascii="宋体" w:hAnsi="宋体" w:cs="宋体"/>
          <w:b/>
          <w:color w:val="auto"/>
          <w:szCs w:val="21"/>
        </w:rPr>
        <w:t>6. 投标费用</w:t>
      </w:r>
      <w:bookmarkEnd w:id="64"/>
      <w:bookmarkEnd w:id="65"/>
      <w:bookmarkEnd w:id="66"/>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67" w:name="_Toc22702"/>
      <w:bookmarkStart w:id="68" w:name="_Toc31803"/>
      <w:bookmarkStart w:id="69" w:name="_Toc29462"/>
      <w:r>
        <w:rPr>
          <w:rFonts w:hint="eastAsia" w:ascii="宋体" w:hAnsi="宋体" w:cs="宋体"/>
          <w:b/>
          <w:color w:val="auto"/>
          <w:szCs w:val="21"/>
        </w:rPr>
        <w:t>7. 联合体投标要求</w:t>
      </w:r>
      <w:bookmarkEnd w:id="67"/>
      <w:bookmarkEnd w:id="68"/>
      <w:bookmarkEnd w:id="69"/>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70" w:name="_Toc24292"/>
      <w:bookmarkStart w:id="71" w:name="_Toc6046"/>
      <w:bookmarkStart w:id="72" w:name="_Toc28309"/>
      <w:r>
        <w:rPr>
          <w:rFonts w:hint="eastAsia" w:ascii="宋体" w:hAnsi="宋体" w:cs="宋体"/>
          <w:b/>
          <w:color w:val="auto"/>
          <w:szCs w:val="21"/>
        </w:rPr>
        <w:t>8. 转包与分包</w:t>
      </w:r>
      <w:bookmarkEnd w:id="70"/>
      <w:bookmarkEnd w:id="71"/>
      <w:bookmarkEnd w:id="72"/>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spacing w:line="400" w:lineRule="exact"/>
        <w:ind w:firstLine="413" w:firstLineChars="196"/>
        <w:outlineLvl w:val="2"/>
        <w:rPr>
          <w:rFonts w:ascii="宋体" w:hAnsi="宋体" w:cs="宋体"/>
          <w:b/>
          <w:color w:val="auto"/>
          <w:szCs w:val="21"/>
        </w:rPr>
      </w:pPr>
      <w:bookmarkStart w:id="73" w:name="_Toc18033"/>
      <w:bookmarkStart w:id="74" w:name="_Toc1504"/>
      <w:bookmarkStart w:id="75" w:name="_Toc24350"/>
      <w:r>
        <w:rPr>
          <w:rFonts w:hint="eastAsia" w:ascii="宋体" w:hAnsi="宋体" w:cs="宋体"/>
          <w:b/>
          <w:color w:val="auto"/>
          <w:szCs w:val="21"/>
        </w:rPr>
        <w:t>9. 特别说明</w:t>
      </w:r>
      <w:bookmarkEnd w:id="73"/>
      <w:bookmarkEnd w:id="74"/>
      <w:bookmarkEnd w:id="75"/>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76" w:name="_Toc6489"/>
      <w:bookmarkStart w:id="77" w:name="_Toc29184"/>
      <w:bookmarkStart w:id="78" w:name="_Toc24387"/>
      <w:r>
        <w:rPr>
          <w:rFonts w:hint="eastAsia" w:ascii="宋体" w:hAnsi="宋体" w:cs="宋体"/>
          <w:b/>
          <w:color w:val="auto"/>
          <w:szCs w:val="21"/>
        </w:rPr>
        <w:t>10. 质疑和投诉</w:t>
      </w:r>
      <w:bookmarkEnd w:id="76"/>
      <w:bookmarkEnd w:id="77"/>
      <w:bookmarkEnd w:id="78"/>
    </w:p>
    <w:p>
      <w:pPr>
        <w:tabs>
          <w:tab w:val="left" w:pos="1635"/>
        </w:tabs>
        <w:spacing w:line="400" w:lineRule="exact"/>
        <w:ind w:firstLine="435"/>
        <w:rPr>
          <w:rFonts w:ascii="宋体" w:hAnsi="宋体" w:cs="宋体"/>
          <w:color w:val="auto"/>
          <w:szCs w:val="21"/>
        </w:rPr>
      </w:pPr>
      <w:bookmarkStart w:id="79" w:name="_Toc8195"/>
      <w:bookmarkStart w:id="80" w:name="_Toc26087"/>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79"/>
      <w:bookmarkEnd w:id="80"/>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质疑联系人：桂林市政府集中采购中心，联系电话：0773-5625162</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桂林市临桂区西城中路69号创业大厦西辅楼5楼574室</w:t>
      </w:r>
    </w:p>
    <w:p>
      <w:pPr>
        <w:tabs>
          <w:tab w:val="left" w:pos="1635"/>
        </w:tabs>
        <w:spacing w:line="400" w:lineRule="exact"/>
        <w:ind w:firstLine="435"/>
        <w:rPr>
          <w:rFonts w:ascii="宋体" w:hAnsi="宋体" w:cs="宋体"/>
          <w:color w:val="auto"/>
          <w:szCs w:val="21"/>
        </w:rPr>
      </w:pPr>
      <w:bookmarkStart w:id="81" w:name="_Toc5874"/>
      <w:bookmarkStart w:id="82" w:name="_Toc17981"/>
      <w:r>
        <w:rPr>
          <w:rFonts w:hint="eastAsia" w:ascii="宋体" w:hAnsi="宋体" w:cs="宋体"/>
          <w:color w:val="auto"/>
          <w:szCs w:val="21"/>
        </w:rPr>
        <w:t>10.2投标人对采购代理机构的答复不满意或者采购代理机构未在规定的时间内作出答复的，可以在答复期满后十五个工作日内向本级财政部门投诉。</w:t>
      </w:r>
      <w:bookmarkEnd w:id="81"/>
      <w:bookmarkEnd w:id="82"/>
    </w:p>
    <w:p>
      <w:pPr>
        <w:tabs>
          <w:tab w:val="left" w:pos="1635"/>
        </w:tabs>
        <w:spacing w:line="400" w:lineRule="exact"/>
        <w:ind w:firstLine="435"/>
        <w:rPr>
          <w:rFonts w:ascii="宋体" w:hAnsi="宋体" w:cs="宋体"/>
          <w:color w:val="auto"/>
          <w:szCs w:val="21"/>
        </w:rPr>
      </w:pPr>
      <w:bookmarkStart w:id="83" w:name="_Toc23108"/>
      <w:bookmarkStart w:id="84" w:name="_Toc613"/>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83"/>
      <w:bookmarkEnd w:id="84"/>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10.4 供应商在法定质疑期内应当一次性提出针对同一采购程序环节的质疑。</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10.5 不在法定质疑期内提出的质疑函可以拒收。不符合要求的质疑函在法定质疑期内及时补充完整，否则作质疑不成立处理。</w:t>
      </w:r>
    </w:p>
    <w:p>
      <w:pPr>
        <w:tabs>
          <w:tab w:val="left" w:pos="2190"/>
        </w:tabs>
        <w:spacing w:line="400" w:lineRule="exact"/>
        <w:ind w:firstLine="435"/>
        <w:rPr>
          <w:rFonts w:ascii="宋体" w:hAnsi="宋体" w:cs="宋体"/>
          <w:b/>
          <w:color w:val="auto"/>
          <w:sz w:val="28"/>
          <w:szCs w:val="28"/>
        </w:rPr>
      </w:pPr>
    </w:p>
    <w:p>
      <w:pPr>
        <w:pStyle w:val="2"/>
        <w:rPr>
          <w:color w:val="auto"/>
        </w:rPr>
      </w:pPr>
    </w:p>
    <w:p>
      <w:pPr>
        <w:spacing w:line="360" w:lineRule="auto"/>
        <w:jc w:val="center"/>
        <w:outlineLvl w:val="1"/>
        <w:rPr>
          <w:rFonts w:ascii="宋体" w:hAnsi="宋体" w:cs="宋体"/>
          <w:b/>
          <w:color w:val="auto"/>
          <w:sz w:val="28"/>
          <w:szCs w:val="28"/>
        </w:rPr>
      </w:pPr>
      <w:bookmarkStart w:id="85" w:name="_Toc6682"/>
      <w:bookmarkStart w:id="86" w:name="_Toc26849"/>
      <w:bookmarkStart w:id="87" w:name="_Toc30031"/>
      <w:bookmarkStart w:id="88" w:name="_Toc495841755"/>
      <w:r>
        <w:rPr>
          <w:rFonts w:hint="eastAsia" w:ascii="宋体" w:hAnsi="宋体" w:cs="宋体"/>
          <w:b/>
          <w:color w:val="auto"/>
          <w:sz w:val="28"/>
          <w:szCs w:val="28"/>
        </w:rPr>
        <w:t>二、招标文件</w:t>
      </w:r>
      <w:bookmarkEnd w:id="85"/>
      <w:bookmarkEnd w:id="86"/>
      <w:bookmarkEnd w:id="87"/>
      <w:bookmarkEnd w:id="88"/>
    </w:p>
    <w:p>
      <w:pPr>
        <w:spacing w:line="400" w:lineRule="exact"/>
        <w:ind w:firstLine="413" w:firstLineChars="196"/>
        <w:outlineLvl w:val="2"/>
        <w:rPr>
          <w:rFonts w:ascii="宋体" w:hAnsi="宋体" w:cs="宋体"/>
          <w:b/>
          <w:color w:val="auto"/>
          <w:szCs w:val="21"/>
        </w:rPr>
      </w:pPr>
      <w:bookmarkStart w:id="89" w:name="_Toc3397"/>
      <w:bookmarkStart w:id="90" w:name="_Toc3220"/>
      <w:bookmarkStart w:id="91" w:name="_Toc27965"/>
      <w:r>
        <w:rPr>
          <w:rFonts w:hint="eastAsia" w:ascii="宋体" w:hAnsi="宋体" w:cs="宋体"/>
          <w:b/>
          <w:color w:val="auto"/>
          <w:szCs w:val="21"/>
        </w:rPr>
        <w:t>11. 招标文件的构成</w:t>
      </w:r>
      <w:bookmarkEnd w:id="89"/>
      <w:bookmarkEnd w:id="90"/>
      <w:bookmarkEnd w:id="91"/>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（2）投标人须知；</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92" w:name="_Toc24191"/>
      <w:bookmarkStart w:id="93" w:name="_Toc2160"/>
      <w:bookmarkStart w:id="94" w:name="_Toc2487"/>
      <w:r>
        <w:rPr>
          <w:rFonts w:hint="eastAsia" w:ascii="宋体" w:hAnsi="宋体" w:cs="宋体"/>
          <w:b/>
          <w:color w:val="auto"/>
          <w:szCs w:val="21"/>
        </w:rPr>
        <w:t>12. 招标文件的澄清与修改</w:t>
      </w:r>
      <w:bookmarkEnd w:id="92"/>
      <w:bookmarkEnd w:id="93"/>
      <w:bookmarkEnd w:id="94"/>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95" w:name="_Toc21553"/>
      <w:bookmarkStart w:id="96" w:name="_Toc495841756"/>
      <w:bookmarkStart w:id="97" w:name="_Toc7145"/>
      <w:bookmarkStart w:id="98" w:name="_Toc7631"/>
      <w:r>
        <w:rPr>
          <w:rFonts w:hint="eastAsia" w:ascii="宋体" w:hAnsi="宋体" w:cs="宋体"/>
          <w:b/>
          <w:color w:val="auto"/>
          <w:sz w:val="28"/>
          <w:szCs w:val="28"/>
        </w:rPr>
        <w:t>三、投标文件的编制</w:t>
      </w:r>
      <w:bookmarkEnd w:id="95"/>
      <w:bookmarkEnd w:id="96"/>
      <w:bookmarkEnd w:id="97"/>
      <w:bookmarkEnd w:id="98"/>
    </w:p>
    <w:p>
      <w:pPr>
        <w:spacing w:line="400" w:lineRule="exact"/>
        <w:ind w:firstLine="413" w:firstLineChars="196"/>
        <w:outlineLvl w:val="2"/>
        <w:rPr>
          <w:rFonts w:ascii="宋体" w:hAnsi="宋体" w:cs="宋体"/>
          <w:b/>
          <w:color w:val="auto"/>
          <w:szCs w:val="21"/>
        </w:rPr>
      </w:pPr>
      <w:bookmarkStart w:id="99" w:name="_Toc15443"/>
      <w:bookmarkStart w:id="100" w:name="_Toc4404"/>
      <w:bookmarkStart w:id="101" w:name="_Toc18258"/>
      <w:r>
        <w:rPr>
          <w:rFonts w:hint="eastAsia" w:ascii="宋体" w:hAnsi="宋体" w:cs="宋体"/>
          <w:b/>
          <w:color w:val="auto"/>
          <w:szCs w:val="21"/>
        </w:rPr>
        <w:t>13. 投标文件的组成及要求</w:t>
      </w:r>
      <w:bookmarkEnd w:id="99"/>
      <w:bookmarkEnd w:id="100"/>
      <w:bookmarkEnd w:id="101"/>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13</w:t>
      </w:r>
      <w:r>
        <w:rPr>
          <w:rFonts w:ascii="宋体" w:hAnsi="宋体" w:cs="宋体"/>
          <w:b/>
          <w:bCs/>
          <w:color w:val="auto"/>
          <w:szCs w:val="21"/>
        </w:rPr>
        <w:t>.1 本项目实行电子投标，供应商应准备电子</w:t>
      </w:r>
      <w:r>
        <w:rPr>
          <w:rFonts w:hint="eastAsia" w:ascii="宋体" w:hAnsi="宋体" w:cs="宋体"/>
          <w:b/>
          <w:bCs/>
          <w:color w:val="auto"/>
          <w:szCs w:val="21"/>
        </w:rPr>
        <w:t>投标</w:t>
      </w:r>
      <w:r>
        <w:rPr>
          <w:rFonts w:ascii="宋体" w:hAnsi="宋体" w:cs="宋体"/>
          <w:b/>
          <w:bCs/>
          <w:color w:val="auto"/>
          <w:szCs w:val="21"/>
        </w:rPr>
        <w:t>文件</w:t>
      </w:r>
      <w:r>
        <w:rPr>
          <w:rFonts w:hint="eastAsia" w:ascii="宋体" w:hAnsi="宋体" w:cs="宋体"/>
          <w:b/>
          <w:bCs/>
          <w:color w:val="auto"/>
          <w:szCs w:val="21"/>
        </w:rPr>
        <w:t>：</w:t>
      </w:r>
    </w:p>
    <w:p>
      <w:pPr>
        <w:spacing w:line="360" w:lineRule="auto"/>
        <w:ind w:firstLine="422" w:firstLineChars="200"/>
        <w:rPr>
          <w:color w:val="auto"/>
        </w:rPr>
      </w:pPr>
      <w:r>
        <w:rPr>
          <w:rFonts w:hint="eastAsia" w:ascii="宋体" w:hAnsi="宋体" w:cs="宋体"/>
          <w:b/>
          <w:bCs/>
          <w:color w:val="auto"/>
          <w:szCs w:val="21"/>
        </w:rPr>
        <w:t>13</w:t>
      </w:r>
      <w:r>
        <w:rPr>
          <w:rFonts w:ascii="宋体" w:hAnsi="宋体" w:cs="宋体"/>
          <w:b/>
          <w:bCs/>
          <w:color w:val="auto"/>
          <w:szCs w:val="21"/>
        </w:rPr>
        <w:t>.1.1 电子</w:t>
      </w:r>
      <w:r>
        <w:rPr>
          <w:rFonts w:hint="eastAsia" w:ascii="宋体" w:hAnsi="宋体" w:cs="宋体"/>
          <w:b/>
          <w:bCs/>
          <w:color w:val="auto"/>
          <w:szCs w:val="21"/>
        </w:rPr>
        <w:t>投标</w:t>
      </w:r>
      <w:r>
        <w:rPr>
          <w:rFonts w:ascii="宋体" w:hAnsi="宋体" w:cs="宋体"/>
          <w:b/>
          <w:bCs/>
          <w:color w:val="auto"/>
          <w:szCs w:val="21"/>
        </w:rPr>
        <w:t>文件按政采云平台要求及本</w:t>
      </w:r>
      <w:r>
        <w:rPr>
          <w:rFonts w:hint="eastAsia" w:ascii="宋体" w:hAnsi="宋体" w:cs="宋体"/>
          <w:b/>
          <w:bCs/>
          <w:color w:val="auto"/>
          <w:szCs w:val="21"/>
        </w:rPr>
        <w:t>招标</w:t>
      </w:r>
      <w:r>
        <w:rPr>
          <w:rFonts w:ascii="宋体" w:hAnsi="宋体" w:cs="宋体"/>
          <w:b/>
          <w:bCs/>
          <w:color w:val="auto"/>
          <w:szCs w:val="21"/>
        </w:rPr>
        <w:t>文件要求制作、加密并递交。具体操作流程可参考《政府采购项目电子交易管理操作指南-供应商》</w:t>
      </w:r>
      <w:r>
        <w:rPr>
          <w:rFonts w:hint="eastAsia" w:ascii="宋体" w:hAnsi="宋体" w:cs="宋体"/>
          <w:b/>
          <w:bCs/>
          <w:color w:val="auto"/>
          <w:szCs w:val="21"/>
        </w:rPr>
        <w:t>，</w:t>
      </w:r>
      <w:r>
        <w:rPr>
          <w:rFonts w:ascii="宋体" w:hAnsi="宋体" w:cs="宋体"/>
          <w:b/>
          <w:bCs/>
          <w:color w:val="auto"/>
          <w:szCs w:val="21"/>
        </w:rPr>
        <w:t xml:space="preserve">指南可在 “http://www.ccgp-guangxi.gov.cn/PurchaseAdvisory/ImportantNotice/2866753.html”下载。 </w:t>
      </w:r>
    </w:p>
    <w:p>
      <w:pPr>
        <w:tabs>
          <w:tab w:val="left" w:pos="2190"/>
        </w:tabs>
        <w:spacing w:line="400" w:lineRule="exact"/>
        <w:ind w:firstLine="435"/>
        <w:rPr>
          <w:rFonts w:ascii="宋体" w:hAnsi="宋体" w:cs="宋体"/>
          <w:b/>
          <w:color w:val="auto"/>
          <w:szCs w:val="21"/>
        </w:rPr>
      </w:pPr>
      <w:r>
        <w:rPr>
          <w:rFonts w:hint="eastAsia" w:ascii="宋体" w:hAnsi="宋体" w:cs="宋体"/>
          <w:b/>
          <w:bCs/>
          <w:color w:val="auto"/>
          <w:szCs w:val="21"/>
        </w:rPr>
        <w:t>13.2</w:t>
      </w:r>
      <w:r>
        <w:rPr>
          <w:rFonts w:hint="eastAsia" w:ascii="宋体" w:hAnsi="宋体" w:cs="宋体"/>
          <w:b/>
          <w:color w:val="auto"/>
          <w:szCs w:val="21"/>
        </w:rPr>
        <w:t>投标文件组成【格式见第六章“投标文件（格式）”】</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13.2.1资格性响应证明材料：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①如投标人为截标时间前60日以内成立的公司，可以提供投标人与委托代理人签订的劳动合同复印件代替养老保险证明复印件；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②如投标人为事业单位，可以提供事业单位机构编制管理证复印件或事业单位机构为其发放工资的工资条复印件代替养老保险证明复印件；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③如委托代理人为免缴纳社保人员，提供免缴纳社保的证明材料复印件及投标人与委托代理人签订的劳动合同复印件代替养老保险证明复印件；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属自然人的应提供由县级以上（含县级）社会养老保险经办机构出具的自然人本人及委托代理人所交纳的开标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cs="宋体"/>
          <w:b/>
          <w:color w:val="auto"/>
          <w:szCs w:val="21"/>
        </w:rPr>
        <w:t>（委托代理时必须提供；</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财务状况报告</w:t>
      </w:r>
      <w:r>
        <w:rPr>
          <w:rFonts w:hint="eastAsia" w:ascii="宋体" w:hAnsi="宋体" w:cs="宋体"/>
          <w:b/>
          <w:bCs/>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投标人近半年内任意一个月或任一季度依法缴纳税收的证明材料【增值税发票(税收完税证明)或企业所得税完税证明或税务部门出具的免税证明】复印件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《中小企业声明函》（见附件）</w:t>
      </w:r>
      <w:r>
        <w:rPr>
          <w:rFonts w:hint="eastAsia" w:ascii="宋体" w:hAnsi="宋体" w:cs="宋体"/>
          <w:b/>
          <w:bCs/>
          <w:color w:val="auto"/>
          <w:szCs w:val="21"/>
        </w:rPr>
        <w:t>（除货物生产企业为监狱企业及残疾人福利性单位外，必须提供）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如货物生产企业属于监狱企业的，应当提供由省级以上监狱管理局、戒毒管理局等（含新疆生产建设兵团）出具的属于监狱企业的证明文件</w:t>
      </w:r>
      <w:r>
        <w:rPr>
          <w:rFonts w:hint="eastAsia" w:ascii="宋体" w:hAnsi="宋体" w:cs="宋体"/>
          <w:b/>
          <w:bCs/>
          <w:color w:val="auto"/>
          <w:szCs w:val="21"/>
        </w:rPr>
        <w:t>（如货物生产企业属于监狱企业的，则必须提供）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符合条件的残疾人福利性单位在参加政府采购活动时，应当提供《残疾人福利性单位声明函》（见附件），并对声明的真实性负责</w:t>
      </w:r>
      <w:r>
        <w:rPr>
          <w:rFonts w:hint="eastAsia" w:ascii="宋体" w:hAnsi="宋体" w:cs="宋体"/>
          <w:b/>
          <w:bCs/>
          <w:color w:val="auto"/>
          <w:szCs w:val="21"/>
        </w:rPr>
        <w:t>（如货物生产企业属于残疾人福利性单位的，则必须提供）</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bCs/>
          <w:color w:val="auto"/>
          <w:szCs w:val="21"/>
        </w:rPr>
        <w:t>13.2.2</w:t>
      </w:r>
      <w:r>
        <w:rPr>
          <w:rFonts w:hint="eastAsia" w:ascii="宋体" w:hAnsi="宋体" w:cs="宋体"/>
          <w:b/>
          <w:color w:val="auto"/>
          <w:szCs w:val="21"/>
        </w:rPr>
        <w:t>商务、技术性响应及其他证明材料：</w:t>
      </w:r>
    </w:p>
    <w:p>
      <w:pPr>
        <w:numPr>
          <w:ilvl w:val="0"/>
          <w:numId w:val="4"/>
        </w:numPr>
        <w:tabs>
          <w:tab w:val="left" w:pos="1305"/>
        </w:tabs>
        <w:spacing w:line="400" w:lineRule="exact"/>
        <w:ind w:firstLine="420" w:firstLineChars="200"/>
        <w:rPr>
          <w:color w:val="auto"/>
        </w:rPr>
      </w:pPr>
      <w:r>
        <w:rPr>
          <w:rFonts w:hint="eastAsia"/>
          <w:color w:val="auto"/>
        </w:rPr>
        <w:t>投标报价表（格式见附件）</w:t>
      </w:r>
      <w:r>
        <w:rPr>
          <w:rFonts w:hint="eastAsia"/>
          <w:b/>
          <w:bCs/>
          <w:color w:val="auto"/>
        </w:rPr>
        <w:t>（必须提供）</w:t>
      </w:r>
      <w:r>
        <w:rPr>
          <w:rFonts w:hint="eastAsia"/>
          <w:color w:val="auto"/>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color w:val="auto"/>
        </w:rPr>
      </w:pPr>
      <w:r>
        <w:rPr>
          <w:rFonts w:hint="eastAsia" w:ascii="宋体" w:hAnsi="宋体" w:cs="宋体"/>
          <w:color w:val="auto"/>
          <w:szCs w:val="21"/>
        </w:rPr>
        <w:t>投标人的售后服务承诺书（必须包含售后服务要求的全部内容）</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color w:val="auto"/>
        </w:rPr>
      </w:pPr>
      <w:r>
        <w:rPr>
          <w:rFonts w:hint="eastAsia" w:ascii="宋体" w:hAnsi="宋体" w:cs="宋体"/>
          <w:color w:val="auto"/>
          <w:szCs w:val="21"/>
        </w:rPr>
        <w:t>配送、安装方案</w:t>
      </w:r>
      <w:r>
        <w:rPr>
          <w:rFonts w:hint="eastAsia" w:ascii="宋体" w:hAnsi="宋体" w:cs="宋体"/>
          <w:bCs/>
          <w:color w:val="auto"/>
          <w:szCs w:val="21"/>
        </w:rPr>
        <w:t>（格式见附件）</w:t>
      </w:r>
      <w:r>
        <w:rPr>
          <w:rFonts w:hint="eastAsia" w:ascii="宋体" w:hAnsi="宋体" w:cs="宋体"/>
          <w:b/>
          <w:color w:val="auto"/>
          <w:szCs w:val="21"/>
        </w:rPr>
        <w:t>（如有，请提供）；</w:t>
      </w:r>
    </w:p>
    <w:p>
      <w:pPr>
        <w:numPr>
          <w:ilvl w:val="0"/>
          <w:numId w:val="4"/>
        </w:numPr>
        <w:tabs>
          <w:tab w:val="left" w:pos="1305"/>
        </w:tabs>
        <w:spacing w:line="400" w:lineRule="exact"/>
        <w:ind w:firstLine="420" w:firstLineChars="200"/>
        <w:rPr>
          <w:rFonts w:ascii="宋体" w:hAnsi="宋体" w:cs="宋体"/>
          <w:color w:val="auto"/>
          <w:szCs w:val="20"/>
        </w:rPr>
      </w:pPr>
      <w:r>
        <w:rPr>
          <w:rFonts w:hint="eastAsia" w:ascii="宋体" w:hAnsi="宋体" w:cs="宋体"/>
          <w:color w:val="auto"/>
          <w:szCs w:val="21"/>
        </w:rPr>
        <w:t>项目实施人员一览表</w:t>
      </w:r>
      <w:r>
        <w:rPr>
          <w:rFonts w:hint="eastAsia" w:ascii="宋体" w:hAnsi="宋体" w:cs="宋体"/>
          <w:bCs/>
          <w:color w:val="auto"/>
          <w:szCs w:val="21"/>
        </w:rPr>
        <w:t>（格式见附件）</w:t>
      </w:r>
      <w:r>
        <w:rPr>
          <w:rFonts w:hint="eastAsia" w:ascii="宋体" w:hAnsi="宋体" w:cs="宋体"/>
          <w:b/>
          <w:bCs/>
          <w:color w:val="auto"/>
          <w:szCs w:val="21"/>
        </w:rPr>
        <w:t>【如有，请提供，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社保人员，提供免缴纳社保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0"/>
        </w:rPr>
      </w:pPr>
      <w:r>
        <w:rPr>
          <w:rFonts w:hint="eastAsia" w:ascii="宋体" w:hAnsi="宋体" w:cs="宋体"/>
          <w:color w:val="auto"/>
          <w:szCs w:val="21"/>
        </w:rPr>
        <w:t>节能方面的证书复印件</w:t>
      </w:r>
      <w:r>
        <w:rPr>
          <w:rFonts w:hint="eastAsia" w:ascii="宋体" w:hAnsi="宋体" w:cs="宋体"/>
          <w:b/>
          <w:color w:val="auto"/>
          <w:szCs w:val="21"/>
        </w:rPr>
        <w:t>（如有，请提供）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环境标志方面的证书复印件</w:t>
      </w:r>
      <w:r>
        <w:rPr>
          <w:rFonts w:hint="eastAsia" w:ascii="宋体" w:hAnsi="宋体" w:cs="宋体"/>
          <w:b/>
          <w:color w:val="auto"/>
          <w:szCs w:val="21"/>
        </w:rPr>
        <w:t>（如有，请提供）</w:t>
      </w:r>
      <w:r>
        <w:rPr>
          <w:rFonts w:hint="eastAsia" w:ascii="宋体" w:hAnsi="宋体" w:cs="宋体"/>
          <w:bCs/>
          <w:color w:val="auto"/>
          <w:szCs w:val="21"/>
        </w:rPr>
        <w:t>；</w:t>
      </w:r>
    </w:p>
    <w:p>
      <w:pPr>
        <w:numPr>
          <w:ilvl w:val="0"/>
          <w:numId w:val="4"/>
        </w:numPr>
        <w:tabs>
          <w:tab w:val="left" w:pos="1305"/>
        </w:tabs>
        <w:spacing w:line="400" w:lineRule="exact"/>
        <w:ind w:firstLine="420" w:firstLineChars="200"/>
        <w:rPr>
          <w:color w:val="auto"/>
        </w:rPr>
      </w:pPr>
      <w:r>
        <w:rPr>
          <w:rFonts w:hint="eastAsia" w:ascii="宋体" w:hAnsi="宋体" w:cs="宋体"/>
          <w:color w:val="auto"/>
          <w:szCs w:val="21"/>
        </w:rPr>
        <w:t>投标人自2020年1月1日</w:t>
      </w:r>
      <w:r>
        <w:rPr>
          <w:rFonts w:hint="eastAsia" w:ascii="宋体" w:hAnsi="宋体" w:cs="宋体"/>
          <w:bCs/>
          <w:color w:val="auto"/>
          <w:szCs w:val="21"/>
        </w:rPr>
        <w:t>（以合同签订时间为准）</w:t>
      </w:r>
      <w:r>
        <w:rPr>
          <w:rFonts w:hint="eastAsia" w:ascii="宋体" w:hAnsi="宋体" w:cs="宋体"/>
          <w:color w:val="auto"/>
          <w:szCs w:val="21"/>
        </w:rPr>
        <w:t>以来具有同类产品的销售业绩 [无不良记录，以中标（成交）通知书或采购合同复</w:t>
      </w:r>
      <w:r>
        <w:rPr>
          <w:rFonts w:hint="eastAsia" w:ascii="宋体" w:hAnsi="宋体" w:cs="宋体"/>
          <w:color w:val="auto"/>
          <w:szCs w:val="21"/>
        </w:rPr>
        <w:t>印件、验收合格相关证明材料</w:t>
      </w:r>
      <w:r>
        <w:rPr>
          <w:rFonts w:hint="eastAsia" w:ascii="宋体" w:hAnsi="宋体" w:cs="宋体"/>
          <w:color w:val="auto"/>
          <w:szCs w:val="21"/>
        </w:rPr>
        <w:t>为准（能清晰反映所销售的货物名称、种类、金额)，否则将不予计分；同一个编号的项目有两个或两个以上的分标中标的只算一次]</w:t>
      </w:r>
      <w:r>
        <w:rPr>
          <w:rFonts w:hint="eastAsia" w:ascii="宋体" w:hAnsi="宋体" w:cs="宋体"/>
          <w:b/>
          <w:color w:val="auto"/>
        </w:rPr>
        <w:t>（如有，请提供）</w:t>
      </w:r>
      <w:r>
        <w:rPr>
          <w:rFonts w:hint="eastAsia" w:ascii="宋体" w:hAnsi="宋体" w:cs="宋体"/>
          <w:bCs/>
          <w:color w:val="auto"/>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b/>
          <w:bCs/>
          <w:color w:val="auto"/>
        </w:rPr>
      </w:pPr>
      <w:r>
        <w:rPr>
          <w:rFonts w:hint="eastAsia" w:ascii="宋体" w:hAnsi="宋体" w:cs="宋体"/>
          <w:b/>
          <w:bCs/>
          <w:color w:val="auto"/>
        </w:rPr>
        <w:t>投标人提供的以上相关证明材料属于“必须提供”的文件应加盖投标人公章（CA签章）/自然人签字或加盖个人CA签章，否则投标无效。</w:t>
      </w:r>
    </w:p>
    <w:p>
      <w:pPr>
        <w:spacing w:line="400" w:lineRule="exact"/>
        <w:ind w:firstLine="420"/>
        <w:rPr>
          <w:rFonts w:ascii="宋体" w:hAnsi="宋体" w:cs="宋体"/>
          <w:color w:val="auto"/>
        </w:rPr>
      </w:pPr>
      <w:r>
        <w:rPr>
          <w:rFonts w:hint="eastAsia" w:ascii="宋体" w:hAnsi="宋体" w:cs="宋体"/>
          <w:color w:val="auto"/>
          <w:szCs w:val="21"/>
        </w:rPr>
        <w:t>13.3</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13.4投标文件应当对招标文件提出的要求和条件作出明确响应。</w:t>
      </w:r>
    </w:p>
    <w:p>
      <w:pPr>
        <w:spacing w:line="400" w:lineRule="exact"/>
        <w:ind w:firstLine="420"/>
        <w:rPr>
          <w:rFonts w:ascii="宋体" w:hAnsi="宋体" w:cs="宋体"/>
          <w:b/>
          <w:bCs/>
          <w:color w:val="auto"/>
        </w:rPr>
      </w:pPr>
      <w:r>
        <w:rPr>
          <w:rFonts w:hint="eastAsia" w:ascii="宋体" w:hAnsi="宋体" w:cs="宋体"/>
          <w:b/>
          <w:bCs/>
          <w:color w:val="auto"/>
        </w:rPr>
        <w:t>特别说明：</w:t>
      </w:r>
    </w:p>
    <w:p>
      <w:pPr>
        <w:tabs>
          <w:tab w:val="left" w:pos="1305"/>
        </w:tabs>
        <w:spacing w:line="400" w:lineRule="exact"/>
        <w:ind w:firstLine="422" w:firstLineChars="200"/>
        <w:rPr>
          <w:rFonts w:ascii="宋体" w:hAnsi="宋体" w:cs="宋体"/>
          <w:b/>
          <w:bCs/>
          <w:color w:val="auto"/>
          <w:szCs w:val="21"/>
        </w:rPr>
      </w:pPr>
      <w:bookmarkStart w:id="102" w:name="_Toc11037"/>
      <w:r>
        <w:rPr>
          <w:rFonts w:hint="eastAsia" w:ascii="宋体" w:hAnsi="宋体" w:cs="宋体"/>
          <w:b/>
          <w:bCs/>
          <w:color w:val="auto"/>
          <w:szCs w:val="21"/>
        </w:rPr>
        <w:t>（1）投标文件（电子投标文件），其中电子投标文件中所须加盖公章部分均采用CA签章。若投标文件中有专门标注的某关联点，并要求供应商在电子投标系统中作出投标响应的，如供应商未对关联点进行响应或者在投标文件其它内容中进行描述，造成电子评审不能查询的责任由供应商自行承担。</w:t>
      </w:r>
    </w:p>
    <w:p>
      <w:pPr>
        <w:spacing w:line="400" w:lineRule="exact"/>
        <w:ind w:firstLine="413" w:firstLineChars="196"/>
        <w:rPr>
          <w:rFonts w:ascii="宋体" w:hAnsi="宋体" w:cs="宋体"/>
          <w:b/>
          <w:bCs/>
          <w:color w:val="auto"/>
          <w:szCs w:val="21"/>
        </w:rPr>
      </w:pPr>
      <w:bookmarkStart w:id="103" w:name="_Toc2599"/>
      <w:r>
        <w:rPr>
          <w:rFonts w:hint="eastAsia" w:ascii="宋体" w:hAnsi="宋体" w:cs="宋体"/>
          <w:b/>
          <w:bCs/>
          <w:color w:val="auto"/>
          <w:szCs w:val="21"/>
        </w:rPr>
        <w:t>（2）招标文件要求法定代表人（负责人）或委托代理人签字的部分必须签字然后扫描或者拍照做成 pdf 格式上传（或加盖个人CA签章），无签字的视为投标无效。</w:t>
      </w:r>
      <w:bookmarkEnd w:id="103"/>
    </w:p>
    <w:p>
      <w:pPr>
        <w:spacing w:line="400" w:lineRule="exact"/>
        <w:ind w:firstLine="413" w:firstLineChars="196"/>
        <w:outlineLvl w:val="2"/>
        <w:rPr>
          <w:rFonts w:ascii="宋体" w:hAnsi="宋体" w:cs="宋体"/>
          <w:b/>
          <w:color w:val="auto"/>
          <w:szCs w:val="21"/>
        </w:rPr>
      </w:pPr>
      <w:bookmarkStart w:id="104" w:name="_Toc5023"/>
      <w:bookmarkStart w:id="105" w:name="_Toc8048"/>
      <w:r>
        <w:rPr>
          <w:rFonts w:hint="eastAsia" w:ascii="宋体" w:hAnsi="宋体" w:cs="宋体"/>
          <w:b/>
          <w:color w:val="auto"/>
          <w:szCs w:val="21"/>
        </w:rPr>
        <w:t>14. 投标文件的语言及计量</w:t>
      </w:r>
      <w:bookmarkEnd w:id="102"/>
      <w:bookmarkEnd w:id="104"/>
      <w:bookmarkEnd w:id="10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auto"/>
          <w:szCs w:val="21"/>
        </w:rPr>
      </w:pPr>
      <w:bookmarkStart w:id="106" w:name="_Toc8372"/>
      <w:bookmarkStart w:id="107" w:name="_Toc29606"/>
      <w:bookmarkStart w:id="108" w:name="_Toc9350"/>
      <w:r>
        <w:rPr>
          <w:rFonts w:hint="eastAsia" w:ascii="宋体" w:hAnsi="宋体" w:cs="宋体"/>
          <w:b/>
          <w:color w:val="auto"/>
          <w:szCs w:val="21"/>
        </w:rPr>
        <w:t>投标报价</w:t>
      </w:r>
      <w:bookmarkEnd w:id="106"/>
      <w:bookmarkEnd w:id="107"/>
      <w:bookmarkEnd w:id="108"/>
    </w:p>
    <w:p>
      <w:pPr>
        <w:spacing w:line="36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15.1投标报价应按招标文件中第六章“投标文件（格式）”填写，本项目采购预算金额：</w:t>
      </w:r>
      <w:r>
        <w:rPr>
          <w:rFonts w:hint="eastAsia" w:ascii="宋体" w:hAnsi="宋体" w:cs="宋体"/>
          <w:b/>
          <w:bCs/>
          <w:color w:val="auto"/>
          <w:szCs w:val="21"/>
        </w:rPr>
        <w:t>人民币柒佰玖拾贰万陆仟零肆元整（¥7926004.00元）</w:t>
      </w:r>
      <w:r>
        <w:rPr>
          <w:rFonts w:hint="eastAsia" w:ascii="宋体" w:hAnsi="宋体" w:cs="宋体"/>
          <w:color w:val="auto"/>
          <w:szCs w:val="21"/>
        </w:rPr>
        <w:t>，投标报价超过采购预算金额的，投标文件按无效处理。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109" w:name="_Toc13101"/>
      <w:bookmarkStart w:id="110" w:name="_Toc22333"/>
      <w:bookmarkStart w:id="111" w:name="_Toc18209"/>
      <w:r>
        <w:rPr>
          <w:rFonts w:hint="eastAsia" w:ascii="宋体" w:hAnsi="宋体" w:cs="宋体"/>
          <w:b/>
          <w:color w:val="auto"/>
          <w:szCs w:val="21"/>
        </w:rPr>
        <w:t>16. 投标有效期</w:t>
      </w:r>
      <w:bookmarkEnd w:id="109"/>
      <w:bookmarkEnd w:id="110"/>
      <w:bookmarkEnd w:id="111"/>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112" w:name="_Toc31528"/>
      <w:bookmarkStart w:id="113" w:name="_Toc21875"/>
      <w:bookmarkStart w:id="114" w:name="_Toc5668"/>
      <w:r>
        <w:rPr>
          <w:rFonts w:hint="eastAsia" w:ascii="宋体" w:hAnsi="宋体" w:cs="宋体"/>
          <w:b/>
          <w:color w:val="auto"/>
          <w:szCs w:val="21"/>
        </w:rPr>
        <w:t>17. 投标保证金</w:t>
      </w:r>
      <w:bookmarkEnd w:id="112"/>
      <w:bookmarkEnd w:id="113"/>
      <w:bookmarkEnd w:id="114"/>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115" w:name="_Toc30873"/>
      <w:bookmarkStart w:id="116" w:name="_Toc17461"/>
      <w:bookmarkStart w:id="117" w:name="_Toc6809"/>
      <w:bookmarkStart w:id="118" w:name="_Toc14142"/>
      <w:bookmarkStart w:id="119" w:name="_Toc3327"/>
      <w:bookmarkStart w:id="120" w:name="_Toc24490"/>
      <w:r>
        <w:rPr>
          <w:rFonts w:hint="eastAsia" w:ascii="宋体" w:hAnsi="宋体" w:cs="宋体"/>
          <w:b/>
          <w:color w:val="auto"/>
          <w:szCs w:val="21"/>
        </w:rPr>
        <w:t>18. 投标文件的</w:t>
      </w:r>
      <w:bookmarkEnd w:id="115"/>
      <w:bookmarkEnd w:id="116"/>
      <w:bookmarkEnd w:id="117"/>
      <w:r>
        <w:rPr>
          <w:rFonts w:hint="eastAsia" w:ascii="宋体" w:hAnsi="宋体" w:cs="宋体"/>
          <w:b/>
          <w:color w:val="auto"/>
          <w:szCs w:val="21"/>
        </w:rPr>
        <w:t>制作</w:t>
      </w:r>
      <w:bookmarkEnd w:id="118"/>
      <w:bookmarkEnd w:id="119"/>
    </w:p>
    <w:p>
      <w:pPr>
        <w:spacing w:line="360" w:lineRule="auto"/>
        <w:ind w:firstLine="420" w:firstLineChars="200"/>
        <w:rPr>
          <w:rFonts w:ascii="宋体" w:hAnsi="宋体" w:cs="宋体"/>
          <w:color w:val="auto"/>
          <w:szCs w:val="21"/>
        </w:rPr>
      </w:pPr>
      <w:r>
        <w:rPr>
          <w:rFonts w:hint="eastAsia" w:ascii="宋体" w:hAnsi="宋体" w:cs="宋体"/>
          <w:color w:val="auto"/>
          <w:szCs w:val="21"/>
        </w:rPr>
        <w:t>18.1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18.2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ascii="宋体" w:hAnsi="宋体" w:cs="宋体"/>
          <w:color w:val="auto"/>
          <w:szCs w:val="21"/>
        </w:rPr>
      </w:pPr>
      <w:r>
        <w:rPr>
          <w:rFonts w:hint="eastAsia" w:ascii="宋体" w:hAnsi="宋体" w:cs="宋体"/>
          <w:color w:val="auto"/>
          <w:szCs w:val="21"/>
        </w:rPr>
        <w:t>18.3 投标文件不得涂改，若有修改错漏处，须法定代表人（负责人）或授权委托人签字（或个人CA签章）。投标文件因字迹潦草或表达不清所引起的后果由供应商负责。</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18.4评审前准备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18.4.1本项目实行网上评审，采用电子投标文件；若供应商参与投标，自行承担投标一切费用。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18.4.2各供应商在截标前应确保成为政采云平台正式注册入库供应商，并完成 CA 数字证书申领。因未注册入库、未办理 CA 数字证书等原因造成无法投标或投标失败等后果由供应商自行承担。 </w:t>
      </w:r>
    </w:p>
    <w:p>
      <w:pPr>
        <w:spacing w:line="360" w:lineRule="auto"/>
        <w:ind w:firstLine="420" w:firstLineChars="200"/>
        <w:rPr>
          <w:rFonts w:ascii="宋体" w:hAnsi="宋体" w:cs="宋体"/>
          <w:color w:val="auto"/>
          <w:szCs w:val="21"/>
        </w:rPr>
      </w:pPr>
      <w:r>
        <w:rPr>
          <w:rFonts w:hint="eastAsia" w:ascii="宋体" w:hAnsi="宋体" w:cs="宋体"/>
          <w:color w:val="auto"/>
          <w:szCs w:val="21"/>
        </w:rPr>
        <w:t>18.4.3供应商将政采云电子交易客户端下载、安装完成后，可通过账号密码或 CA 登录客户端进行投标文件制作。客户端请至网站下载专区查看，如有问题可拨打政采云客户服务热线 400-881-7190 进行咨询。</w:t>
      </w:r>
    </w:p>
    <w:bookmarkEnd w:id="120"/>
    <w:p>
      <w:pPr>
        <w:spacing w:line="400" w:lineRule="exact"/>
        <w:ind w:firstLine="413" w:firstLineChars="196"/>
        <w:outlineLvl w:val="2"/>
        <w:rPr>
          <w:rFonts w:ascii="宋体" w:hAnsi="宋体" w:cs="宋体"/>
          <w:b/>
          <w:color w:val="auto"/>
          <w:szCs w:val="21"/>
        </w:rPr>
      </w:pPr>
      <w:bookmarkStart w:id="121" w:name="_Toc12348"/>
      <w:bookmarkStart w:id="122" w:name="_Toc14188"/>
      <w:bookmarkStart w:id="123" w:name="_Toc15098"/>
      <w:bookmarkStart w:id="124" w:name="_Toc2163"/>
      <w:bookmarkStart w:id="125" w:name="_Toc31572"/>
      <w:r>
        <w:rPr>
          <w:rFonts w:hint="eastAsia" w:ascii="宋体" w:hAnsi="宋体" w:cs="宋体"/>
          <w:b/>
          <w:color w:val="auto"/>
          <w:szCs w:val="21"/>
        </w:rPr>
        <w:t>19. 投标文件的补充、修改和撤回</w:t>
      </w:r>
      <w:bookmarkEnd w:id="121"/>
      <w:bookmarkEnd w:id="122"/>
      <w:bookmarkEnd w:id="123"/>
      <w:bookmarkEnd w:id="124"/>
    </w:p>
    <w:p>
      <w:pPr>
        <w:spacing w:line="360" w:lineRule="auto"/>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9</w:t>
      </w:r>
      <w:r>
        <w:rPr>
          <w:rFonts w:ascii="宋体" w:hAnsi="宋体" w:cs="宋体"/>
          <w:color w:val="auto"/>
          <w:szCs w:val="21"/>
        </w:rPr>
        <w:t xml:space="preserve">.1 </w:t>
      </w:r>
      <w:r>
        <w:rPr>
          <w:rFonts w:hint="eastAsia" w:ascii="宋体" w:hAnsi="宋体" w:cs="宋体"/>
          <w:color w:val="auto"/>
          <w:szCs w:val="21"/>
        </w:rPr>
        <w:t>投标文件递交截止时间前可以撤回电子投标文件。补充或者修改电子投标文件的，应当先行撤回原文件，补充、修改后重新传输递交，投标文件递交截止时间前未完成传输的，视为撤回投标文件。</w:t>
      </w:r>
    </w:p>
    <w:p>
      <w:pPr>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9</w:t>
      </w:r>
      <w:r>
        <w:rPr>
          <w:rFonts w:ascii="宋体" w:hAnsi="宋体" w:cs="宋体"/>
          <w:color w:val="auto"/>
          <w:szCs w:val="21"/>
        </w:rPr>
        <w:t xml:space="preserve">.2 </w:t>
      </w:r>
      <w:r>
        <w:rPr>
          <w:rFonts w:hint="eastAsia" w:ascii="宋体" w:hAnsi="宋体" w:cs="宋体"/>
          <w:color w:val="auto"/>
          <w:szCs w:val="21"/>
        </w:rPr>
        <w:t>在投标文件递交截止时间后的投标文件有效期内，供应商不得撤回其投标文件。</w:t>
      </w:r>
    </w:p>
    <w:bookmarkEnd w:id="125"/>
    <w:p>
      <w:pPr>
        <w:spacing w:line="400" w:lineRule="exact"/>
        <w:ind w:firstLine="413" w:firstLineChars="196"/>
        <w:outlineLvl w:val="2"/>
        <w:rPr>
          <w:rFonts w:ascii="宋体" w:hAnsi="宋体" w:cs="宋体"/>
          <w:b/>
          <w:color w:val="auto"/>
          <w:szCs w:val="21"/>
        </w:rPr>
      </w:pPr>
      <w:bookmarkStart w:id="126" w:name="_Toc13713"/>
      <w:bookmarkStart w:id="127" w:name="_Toc30783"/>
      <w:bookmarkStart w:id="128" w:name="_Toc8898"/>
      <w:bookmarkStart w:id="129" w:name="_Toc16777"/>
      <w:r>
        <w:rPr>
          <w:rFonts w:hint="eastAsia" w:ascii="宋体" w:hAnsi="宋体" w:cs="宋体"/>
          <w:b/>
          <w:color w:val="auto"/>
          <w:szCs w:val="21"/>
        </w:rPr>
        <w:t>20. 投标文件的递交</w:t>
      </w:r>
      <w:bookmarkEnd w:id="126"/>
      <w:r>
        <w:rPr>
          <w:rFonts w:hint="eastAsia" w:ascii="宋体" w:hAnsi="宋体" w:cs="宋体"/>
          <w:b/>
          <w:color w:val="auto"/>
          <w:szCs w:val="21"/>
        </w:rPr>
        <w:t>和解密</w:t>
      </w:r>
      <w:bookmarkEnd w:id="127"/>
      <w:bookmarkEnd w:id="128"/>
      <w:bookmarkEnd w:id="129"/>
    </w:p>
    <w:p>
      <w:pPr>
        <w:spacing w:line="360" w:lineRule="auto"/>
        <w:ind w:firstLine="420" w:firstLineChars="200"/>
        <w:rPr>
          <w:rFonts w:ascii="宋体" w:hAnsi="宋体" w:cs="宋体"/>
          <w:color w:val="auto"/>
          <w:szCs w:val="21"/>
        </w:rPr>
      </w:pPr>
      <w:r>
        <w:rPr>
          <w:rFonts w:hint="eastAsia" w:ascii="宋体" w:hAnsi="宋体" w:cs="宋体"/>
          <w:color w:val="auto"/>
          <w:szCs w:val="21"/>
        </w:rPr>
        <w:t>20.1</w:t>
      </w:r>
      <w:r>
        <w:rPr>
          <w:rFonts w:hint="eastAsia" w:ascii="宋体" w:hAnsi="宋体"/>
          <w:color w:val="auto"/>
          <w:szCs w:val="21"/>
        </w:rPr>
        <w:t>投标文件递交截止时间：于</w:t>
      </w:r>
      <w:r>
        <w:rPr>
          <w:rFonts w:hint="eastAsia" w:ascii="宋体" w:hAnsi="宋体" w:cs="宋体"/>
          <w:color w:val="auto"/>
          <w:szCs w:val="21"/>
        </w:rPr>
        <w:t>2022年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9时30分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auto"/>
        <w:ind w:firstLine="420" w:firstLineChars="200"/>
        <w:rPr>
          <w:rFonts w:ascii="宋体" w:hAnsi="宋体" w:cs="宋体"/>
          <w:color w:val="auto"/>
          <w:szCs w:val="21"/>
        </w:rPr>
      </w:pPr>
      <w:r>
        <w:rPr>
          <w:rFonts w:hint="eastAsia" w:ascii="宋体" w:hAnsi="宋体" w:cs="宋体"/>
          <w:color w:val="auto"/>
          <w:szCs w:val="21"/>
        </w:rPr>
        <w:t>20.2投标文件解密时间：截标时间后</w:t>
      </w:r>
      <w:r>
        <w:rPr>
          <w:rFonts w:hint="eastAsia" w:ascii="宋体" w:hAnsi="宋体" w:cs="宋体"/>
          <w:color w:val="auto"/>
          <w:szCs w:val="21"/>
          <w:u w:val="single"/>
        </w:rPr>
        <w:t>30</w:t>
      </w:r>
      <w:r>
        <w:rPr>
          <w:rFonts w:hint="eastAsia" w:ascii="宋体" w:hAnsi="宋体" w:cs="宋体"/>
          <w:color w:val="auto"/>
          <w:szCs w:val="21"/>
        </w:rPr>
        <w:t>分钟内（2022年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日上午9时30分至10时00分)投标人可以登录政采云平台，用“项目采购-开标评标”功能进行解密投标文件。</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20.3 除招标文件另有规定外，供应商所递交的投标文件不予退还。</w:t>
      </w:r>
    </w:p>
    <w:p>
      <w:pPr>
        <w:spacing w:line="360" w:lineRule="auto"/>
        <w:ind w:firstLine="420" w:firstLineChars="200"/>
        <w:rPr>
          <w:rFonts w:ascii="宋体" w:hAnsi="宋体" w:cs="宋体"/>
          <w:color w:val="auto"/>
          <w:szCs w:val="21"/>
        </w:rPr>
      </w:pPr>
      <w:r>
        <w:rPr>
          <w:rFonts w:hint="eastAsia" w:ascii="宋体" w:hAnsi="宋体" w:cs="宋体"/>
          <w:color w:val="auto"/>
          <w:szCs w:val="21"/>
        </w:rPr>
        <w:t>20.4 电子投标文件的相关说明</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spacing w:line="360" w:lineRule="auto"/>
        <w:ind w:firstLine="420" w:firstLineChars="200"/>
        <w:rPr>
          <w:color w:val="auto"/>
        </w:rPr>
      </w:pPr>
      <w:r>
        <w:rPr>
          <w:rFonts w:hint="eastAsia" w:ascii="宋体" w:hAnsi="宋体" w:cs="宋体"/>
          <w:color w:val="auto"/>
          <w:szCs w:val="21"/>
        </w:rPr>
        <w:t>（2）如有特殊情况，采购代理机构延长截止时间和开标时间，采购代理机构和供应商的权利和义务将受到新的截止时间和开标时间的约束。</w:t>
      </w:r>
    </w:p>
    <w:p>
      <w:pPr>
        <w:pStyle w:val="48"/>
        <w:rPr>
          <w:color w:val="auto"/>
        </w:rPr>
      </w:pPr>
    </w:p>
    <w:p>
      <w:pPr>
        <w:spacing w:line="360" w:lineRule="auto"/>
        <w:jc w:val="center"/>
        <w:outlineLvl w:val="1"/>
        <w:rPr>
          <w:rFonts w:ascii="宋体" w:hAnsi="宋体" w:cs="宋体"/>
          <w:b/>
          <w:color w:val="auto"/>
          <w:sz w:val="28"/>
          <w:szCs w:val="28"/>
        </w:rPr>
      </w:pPr>
      <w:bookmarkStart w:id="130" w:name="_Toc495841757"/>
      <w:bookmarkStart w:id="131" w:name="_Toc307"/>
      <w:bookmarkStart w:id="132" w:name="_Toc16788"/>
      <w:bookmarkStart w:id="133" w:name="_Toc26895"/>
      <w:r>
        <w:rPr>
          <w:rFonts w:hint="eastAsia" w:ascii="宋体" w:hAnsi="宋体" w:cs="宋体"/>
          <w:b/>
          <w:color w:val="auto"/>
          <w:sz w:val="28"/>
          <w:szCs w:val="28"/>
        </w:rPr>
        <w:t>四、开标</w:t>
      </w:r>
      <w:bookmarkEnd w:id="130"/>
      <w:bookmarkEnd w:id="131"/>
      <w:bookmarkEnd w:id="132"/>
      <w:bookmarkEnd w:id="133"/>
    </w:p>
    <w:p>
      <w:pPr>
        <w:spacing w:line="400" w:lineRule="exact"/>
        <w:ind w:firstLine="413" w:firstLineChars="196"/>
        <w:outlineLvl w:val="2"/>
        <w:rPr>
          <w:rFonts w:ascii="宋体" w:hAnsi="宋体" w:cs="宋体"/>
          <w:b/>
          <w:color w:val="auto"/>
          <w:szCs w:val="21"/>
        </w:rPr>
      </w:pPr>
      <w:bookmarkStart w:id="134" w:name="_Toc25081"/>
      <w:bookmarkStart w:id="135" w:name="_Toc19384"/>
      <w:bookmarkStart w:id="136" w:name="_Toc5456"/>
      <w:bookmarkStart w:id="137" w:name="_Toc17073"/>
      <w:bookmarkStart w:id="138" w:name="_Toc25198"/>
      <w:bookmarkStart w:id="139" w:name="_Toc13013"/>
      <w:bookmarkStart w:id="140" w:name="_Toc495841758"/>
      <w:r>
        <w:rPr>
          <w:rFonts w:hint="eastAsia" w:ascii="宋体" w:hAnsi="宋体" w:cs="宋体"/>
          <w:b/>
          <w:color w:val="auto"/>
          <w:szCs w:val="21"/>
        </w:rPr>
        <w:t>21. 开标时间及地点</w:t>
      </w:r>
      <w:bookmarkEnd w:id="134"/>
      <w:bookmarkEnd w:id="135"/>
      <w:bookmarkEnd w:id="136"/>
      <w:bookmarkEnd w:id="137"/>
      <w:bookmarkEnd w:id="138"/>
    </w:p>
    <w:p>
      <w:pPr>
        <w:spacing w:line="360" w:lineRule="auto"/>
        <w:ind w:firstLine="420" w:firstLineChars="200"/>
        <w:rPr>
          <w:rFonts w:ascii="宋体" w:hAnsi="宋体" w:cs="宋体"/>
          <w:color w:val="auto"/>
          <w:szCs w:val="21"/>
        </w:rPr>
      </w:pPr>
      <w:r>
        <w:rPr>
          <w:rFonts w:hint="eastAsia" w:ascii="宋体" w:hAnsi="宋体" w:cs="宋体"/>
          <w:color w:val="auto"/>
          <w:szCs w:val="21"/>
        </w:rPr>
        <w:t>21.1开标时间及地点：</w:t>
      </w:r>
    </w:p>
    <w:p>
      <w:pPr>
        <w:spacing w:line="360" w:lineRule="auto"/>
        <w:ind w:firstLine="420" w:firstLineChars="200"/>
        <w:rPr>
          <w:rFonts w:ascii="宋体" w:hAnsi="宋体" w:cs="宋体"/>
          <w:color w:val="auto"/>
          <w:szCs w:val="21"/>
        </w:rPr>
      </w:pPr>
      <w:r>
        <w:rPr>
          <w:rFonts w:hint="eastAsia" w:ascii="宋体" w:hAnsi="宋体" w:cs="宋体"/>
          <w:color w:val="auto"/>
          <w:szCs w:val="21"/>
        </w:rPr>
        <w:t>开标时间：2022年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日上午9时30分（北京时间）截标后。</w:t>
      </w:r>
    </w:p>
    <w:p>
      <w:pPr>
        <w:spacing w:line="360" w:lineRule="auto"/>
        <w:ind w:firstLine="420" w:firstLineChars="200"/>
        <w:rPr>
          <w:rFonts w:ascii="宋体" w:hAnsi="宋体" w:cs="宋体"/>
          <w:color w:val="auto"/>
          <w:szCs w:val="21"/>
        </w:rPr>
      </w:pPr>
      <w:r>
        <w:rPr>
          <w:rFonts w:hint="eastAsia" w:ascii="宋体" w:hAnsi="宋体" w:cs="宋体"/>
          <w:color w:val="auto"/>
          <w:szCs w:val="21"/>
        </w:rPr>
        <w:t>地    点：桂林市公共资源交易中心</w:t>
      </w:r>
      <w:r>
        <w:rPr>
          <w:rFonts w:hint="eastAsia" w:ascii="宋体" w:hAnsi="宋体" w:cs="宋体"/>
          <w:color w:val="auto"/>
          <w:szCs w:val="21"/>
          <w:u w:val="single"/>
          <w:lang w:val="en-US" w:eastAsia="zh-CN"/>
        </w:rPr>
        <w:t>9</w:t>
      </w:r>
      <w:r>
        <w:rPr>
          <w:rFonts w:hint="eastAsia" w:ascii="宋体" w:hAnsi="宋体" w:cs="宋体"/>
          <w:color w:val="auto"/>
          <w:szCs w:val="21"/>
          <w:u w:val="single"/>
        </w:rPr>
        <w:t>号</w:t>
      </w:r>
      <w:r>
        <w:rPr>
          <w:rFonts w:hint="eastAsia" w:ascii="宋体" w:hAnsi="宋体" w:cs="宋体"/>
          <w:color w:val="auto"/>
          <w:szCs w:val="21"/>
        </w:rPr>
        <w:t>开标室通过政采云平台实行在线解密开启。</w:t>
      </w:r>
    </w:p>
    <w:p>
      <w:pPr>
        <w:spacing w:line="360" w:lineRule="auto"/>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bCs/>
          <w:color w:val="auto"/>
          <w:szCs w:val="21"/>
        </w:rPr>
      </w:pPr>
      <w:bookmarkStart w:id="141" w:name="_Toc8462"/>
      <w:bookmarkStart w:id="142" w:name="_Toc12637"/>
      <w:bookmarkStart w:id="143" w:name="_Toc11217"/>
      <w:bookmarkStart w:id="144" w:name="_Toc20854"/>
      <w:bookmarkStart w:id="145" w:name="_Toc15515"/>
      <w:r>
        <w:rPr>
          <w:rFonts w:hint="eastAsia" w:ascii="宋体" w:hAnsi="宋体" w:cs="宋体"/>
          <w:b/>
          <w:bCs/>
          <w:color w:val="auto"/>
          <w:szCs w:val="21"/>
        </w:rPr>
        <w:t>22. 开标程序</w:t>
      </w:r>
      <w:bookmarkEnd w:id="141"/>
      <w:bookmarkEnd w:id="142"/>
      <w:bookmarkEnd w:id="143"/>
      <w:bookmarkEnd w:id="144"/>
      <w:bookmarkEnd w:id="145"/>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22.1开标准备</w:t>
      </w:r>
    </w:p>
    <w:p>
      <w:pPr>
        <w:spacing w:line="360" w:lineRule="auto"/>
        <w:ind w:firstLine="420" w:firstLineChars="200"/>
        <w:rPr>
          <w:rFonts w:ascii="宋体" w:hAnsi="宋体" w:cs="宋体"/>
          <w:color w:val="auto"/>
          <w:szCs w:val="21"/>
        </w:rPr>
      </w:pPr>
      <w:r>
        <w:rPr>
          <w:rFonts w:hint="eastAsia" w:ascii="宋体" w:hAnsi="宋体" w:cs="宋体"/>
          <w:color w:val="auto"/>
          <w:szCs w:val="21"/>
        </w:rPr>
        <w:t>22.1.1.开标的准备工作由本中心负责落实；</w:t>
      </w:r>
    </w:p>
    <w:p>
      <w:pPr>
        <w:spacing w:line="360" w:lineRule="auto"/>
        <w:ind w:firstLine="420" w:firstLineChars="200"/>
        <w:rPr>
          <w:rFonts w:ascii="宋体" w:hAnsi="宋体" w:cs="宋体"/>
          <w:color w:val="auto"/>
          <w:szCs w:val="21"/>
        </w:rPr>
      </w:pPr>
      <w:r>
        <w:rPr>
          <w:rFonts w:hint="eastAsia" w:ascii="宋体" w:hAnsi="宋体" w:cs="宋体"/>
          <w:color w:val="auto"/>
          <w:szCs w:val="21"/>
        </w:rPr>
        <w:t>22.1.2.本中心将按照招标文件规定的时间通过“政采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22.2开标程序</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22.2.1.向各投标供应商发出电子加密投标文件【开始解密】通知，由供应商按招标文件规定的时间内自行进行投标文件解密。投标供应商未在规定的时间内完成在线解密视为投标人放弃投标，在线解密时间为 30 分钟。</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22.2.2.投标文件解密结束后，开标活动组织人员在线开启投标文件。</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22.2.3.开启投标人报价文件，“政采云”平台在线向投标人公开开标（报价）一览表有关内容，投标人代表如果认为开标信息有误，可以当场或在线提出异议。</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开标结束后，如发现开标结果与报价文件不一致者，由评标委员会根据报价文件内容进行修正。</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特别说明：如遇“政采云”平台电子化开标或评审程序调整的，按调整后程序执行。</w:t>
      </w:r>
    </w:p>
    <w:p>
      <w:pPr>
        <w:pStyle w:val="48"/>
        <w:rPr>
          <w:color w:val="auto"/>
        </w:rPr>
      </w:pPr>
    </w:p>
    <w:p>
      <w:pPr>
        <w:spacing w:line="360" w:lineRule="auto"/>
        <w:jc w:val="center"/>
        <w:outlineLvl w:val="1"/>
        <w:rPr>
          <w:rFonts w:ascii="宋体" w:hAnsi="宋体" w:cs="宋体"/>
          <w:b/>
          <w:color w:val="auto"/>
          <w:sz w:val="28"/>
          <w:szCs w:val="28"/>
        </w:rPr>
      </w:pPr>
      <w:bookmarkStart w:id="146" w:name="_Toc52"/>
      <w:bookmarkStart w:id="147" w:name="_Toc24351"/>
      <w:r>
        <w:rPr>
          <w:rFonts w:hint="eastAsia" w:ascii="宋体" w:hAnsi="宋体" w:cs="宋体"/>
          <w:b/>
          <w:color w:val="auto"/>
          <w:sz w:val="28"/>
          <w:szCs w:val="28"/>
        </w:rPr>
        <w:t>五、资格性审查</w:t>
      </w:r>
      <w:bookmarkEnd w:id="139"/>
      <w:bookmarkEnd w:id="140"/>
      <w:bookmarkEnd w:id="146"/>
      <w:bookmarkEnd w:id="147"/>
    </w:p>
    <w:p>
      <w:pPr>
        <w:spacing w:line="400" w:lineRule="exact"/>
        <w:ind w:firstLine="413" w:firstLineChars="196"/>
        <w:outlineLvl w:val="2"/>
        <w:rPr>
          <w:rFonts w:ascii="宋体" w:hAnsi="宋体" w:cs="宋体"/>
          <w:b/>
          <w:color w:val="auto"/>
          <w:szCs w:val="21"/>
        </w:rPr>
      </w:pPr>
      <w:bookmarkStart w:id="148" w:name="_Toc13578"/>
      <w:bookmarkStart w:id="149" w:name="_Toc30532"/>
      <w:bookmarkStart w:id="150" w:name="_Toc23124"/>
      <w:r>
        <w:rPr>
          <w:rFonts w:hint="eastAsia" w:ascii="宋体" w:hAnsi="宋体" w:cs="宋体"/>
          <w:b/>
          <w:color w:val="auto"/>
          <w:szCs w:val="21"/>
        </w:rPr>
        <w:t>23. 资格性审查</w:t>
      </w:r>
      <w:bookmarkEnd w:id="148"/>
      <w:bookmarkEnd w:id="149"/>
      <w:bookmarkEnd w:id="15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查询渠道：《国家企业信用信息公示系统》（网址：www.gsxt.gov.cn/index.html）</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ascii="宋体" w:hAnsi="宋体" w:cs="宋体"/>
          <w:b/>
          <w:color w:val="auto"/>
          <w:sz w:val="28"/>
          <w:szCs w:val="28"/>
        </w:rPr>
      </w:pPr>
      <w:r>
        <w:rPr>
          <w:rFonts w:hint="eastAsia" w:ascii="宋体" w:hAnsi="宋体" w:cs="宋体"/>
          <w:color w:val="auto"/>
          <w:szCs w:val="21"/>
        </w:rPr>
        <w:t>（4）将相关资料作为评审资料打印存档。</w:t>
      </w:r>
      <w:bookmarkStart w:id="151" w:name="_Toc495841759"/>
      <w:bookmarkStart w:id="152" w:name="_Toc3415"/>
    </w:p>
    <w:p>
      <w:pPr>
        <w:spacing w:line="360" w:lineRule="auto"/>
        <w:jc w:val="center"/>
        <w:outlineLvl w:val="1"/>
        <w:rPr>
          <w:rFonts w:ascii="宋体" w:hAnsi="宋体" w:cs="宋体"/>
          <w:b/>
          <w:color w:val="auto"/>
          <w:sz w:val="28"/>
          <w:szCs w:val="28"/>
        </w:rPr>
      </w:pPr>
      <w:bookmarkStart w:id="153" w:name="_Toc5417"/>
      <w:bookmarkStart w:id="154" w:name="_Toc16118"/>
      <w:r>
        <w:rPr>
          <w:rFonts w:hint="eastAsia" w:ascii="宋体" w:hAnsi="宋体" w:cs="宋体"/>
          <w:b/>
          <w:color w:val="auto"/>
          <w:sz w:val="28"/>
          <w:szCs w:val="28"/>
        </w:rPr>
        <w:t>六、评标</w:t>
      </w:r>
      <w:bookmarkEnd w:id="151"/>
      <w:bookmarkEnd w:id="152"/>
      <w:bookmarkEnd w:id="153"/>
      <w:bookmarkEnd w:id="154"/>
    </w:p>
    <w:p>
      <w:pPr>
        <w:spacing w:line="360" w:lineRule="exact"/>
        <w:ind w:firstLine="413" w:firstLineChars="196"/>
        <w:outlineLvl w:val="2"/>
        <w:rPr>
          <w:rFonts w:ascii="宋体" w:hAnsi="宋体" w:cs="宋体"/>
          <w:b/>
          <w:color w:val="auto"/>
          <w:szCs w:val="21"/>
        </w:rPr>
      </w:pPr>
      <w:bookmarkStart w:id="155" w:name="_Toc14749"/>
      <w:bookmarkStart w:id="156" w:name="_Toc9022"/>
      <w:bookmarkStart w:id="157" w:name="_Toc19311"/>
      <w:r>
        <w:rPr>
          <w:rFonts w:hint="eastAsia" w:ascii="宋体" w:hAnsi="宋体" w:cs="宋体"/>
          <w:b/>
          <w:color w:val="auto"/>
          <w:szCs w:val="21"/>
        </w:rPr>
        <w:t>24. 评标委员会组成</w:t>
      </w:r>
      <w:bookmarkEnd w:id="155"/>
      <w:bookmarkEnd w:id="156"/>
      <w:bookmarkEnd w:id="157"/>
    </w:p>
    <w:p>
      <w:pPr>
        <w:spacing w:line="360" w:lineRule="exact"/>
        <w:ind w:firstLine="420" w:firstLineChars="200"/>
        <w:rPr>
          <w:rFonts w:ascii="宋体" w:hAnsi="宋体" w:cs="宋体"/>
          <w:color w:val="auto"/>
          <w:szCs w:val="21"/>
        </w:rPr>
      </w:pPr>
      <w:r>
        <w:rPr>
          <w:rFonts w:hint="eastAsia" w:ascii="宋体" w:hAnsi="宋体" w:cs="宋体"/>
          <w:color w:val="auto"/>
          <w:szCs w:val="21"/>
        </w:rPr>
        <w:t>评标委员会由采购人代表和评审专家组成，成员人数共5人，其中采购人代表1人，评审专家4人。</w:t>
      </w:r>
    </w:p>
    <w:p>
      <w:pPr>
        <w:spacing w:line="360" w:lineRule="exact"/>
        <w:ind w:firstLine="413" w:firstLineChars="196"/>
        <w:outlineLvl w:val="2"/>
        <w:rPr>
          <w:rFonts w:ascii="宋体" w:hAnsi="宋体" w:cs="宋体"/>
          <w:b/>
          <w:color w:val="auto"/>
          <w:szCs w:val="21"/>
        </w:rPr>
      </w:pPr>
      <w:bookmarkStart w:id="158" w:name="_Toc24437"/>
      <w:bookmarkStart w:id="159" w:name="_Toc15951"/>
      <w:bookmarkStart w:id="160" w:name="_Toc28655"/>
      <w:r>
        <w:rPr>
          <w:rFonts w:hint="eastAsia" w:ascii="宋体" w:hAnsi="宋体" w:cs="宋体"/>
          <w:b/>
          <w:color w:val="auto"/>
          <w:szCs w:val="21"/>
        </w:rPr>
        <w:t>25. 评标</w:t>
      </w:r>
      <w:bookmarkEnd w:id="158"/>
      <w:r>
        <w:rPr>
          <w:rFonts w:hint="eastAsia" w:ascii="宋体" w:hAnsi="宋体" w:cs="宋体"/>
          <w:b/>
          <w:color w:val="auto"/>
          <w:szCs w:val="21"/>
        </w:rPr>
        <w:t>原则</w:t>
      </w:r>
      <w:bookmarkEnd w:id="159"/>
      <w:bookmarkEnd w:id="160"/>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61" w:name="_Toc1764"/>
      <w:bookmarkStart w:id="162" w:name="_Toc23056"/>
      <w:bookmarkStart w:id="163" w:name="_Toc20321"/>
      <w:r>
        <w:rPr>
          <w:rFonts w:hint="eastAsia" w:ascii="宋体" w:hAnsi="宋体" w:cs="宋体"/>
          <w:b/>
          <w:color w:val="auto"/>
          <w:szCs w:val="21"/>
        </w:rPr>
        <w:t>26. 评标</w:t>
      </w:r>
      <w:bookmarkEnd w:id="161"/>
      <w:bookmarkEnd w:id="162"/>
      <w:bookmarkEnd w:id="163"/>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CA签章），或者由法定代表人或其授权的代表签字（或个人CA签章）。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64" w:name="_Toc12769"/>
      <w:bookmarkStart w:id="165" w:name="_Toc30450"/>
      <w:bookmarkStart w:id="166" w:name="_Toc25944"/>
      <w:r>
        <w:rPr>
          <w:rFonts w:hint="eastAsia" w:ascii="宋体" w:hAnsi="宋体" w:cs="宋体"/>
          <w:b/>
          <w:color w:val="auto"/>
          <w:szCs w:val="21"/>
        </w:rPr>
        <w:t>27. 推荐及确定中标候选供应商原则</w:t>
      </w:r>
      <w:bookmarkEnd w:id="164"/>
      <w:bookmarkEnd w:id="165"/>
      <w:bookmarkEnd w:id="166"/>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67" w:name="_Toc1836"/>
      <w:bookmarkStart w:id="168" w:name="_Toc3571"/>
      <w:bookmarkStart w:id="169" w:name="_Toc4960"/>
      <w:r>
        <w:rPr>
          <w:rFonts w:hint="eastAsia" w:ascii="宋体" w:hAnsi="宋体" w:cs="宋体"/>
          <w:b/>
          <w:color w:val="auto"/>
          <w:szCs w:val="21"/>
        </w:rPr>
        <w:t>28. 属于下列情况之一者，投标无效</w:t>
      </w:r>
      <w:bookmarkEnd w:id="167"/>
      <w:bookmarkEnd w:id="168"/>
      <w:bookmarkEnd w:id="169"/>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70" w:name="_Toc13695"/>
      <w:bookmarkStart w:id="171" w:name="_Toc15081"/>
      <w:bookmarkStart w:id="172" w:name="_Toc32362"/>
      <w:r>
        <w:rPr>
          <w:rFonts w:hint="eastAsia" w:ascii="宋体" w:hAnsi="宋体" w:cs="宋体"/>
          <w:b/>
          <w:color w:val="auto"/>
          <w:szCs w:val="21"/>
        </w:rPr>
        <w:t>29. 投标人有下列情形之一的，视为串通投标，投标文件将被视为无效</w:t>
      </w:r>
      <w:bookmarkEnd w:id="170"/>
      <w:bookmarkEnd w:id="171"/>
      <w:bookmarkEnd w:id="172"/>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（5）不同投标人的投标文件相互混编；</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73" w:name="_Toc14080"/>
      <w:bookmarkStart w:id="174" w:name="_Toc18148"/>
      <w:bookmarkStart w:id="175" w:name="_Toc2973"/>
      <w:r>
        <w:rPr>
          <w:rFonts w:hint="eastAsia" w:ascii="宋体" w:hAnsi="宋体" w:cs="宋体"/>
          <w:b/>
          <w:color w:val="auto"/>
          <w:szCs w:val="21"/>
        </w:rPr>
        <w:t>30. 属于下列情形之一的，应予废标</w:t>
      </w:r>
      <w:bookmarkEnd w:id="173"/>
      <w:bookmarkEnd w:id="174"/>
      <w:bookmarkEnd w:id="175"/>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76" w:name="_Toc28686"/>
      <w:bookmarkStart w:id="177" w:name="_Toc2001"/>
      <w:bookmarkStart w:id="178" w:name="_Toc12274"/>
      <w:r>
        <w:rPr>
          <w:rFonts w:hint="eastAsia" w:ascii="宋体" w:hAnsi="宋体" w:cs="宋体"/>
          <w:b/>
          <w:color w:val="auto"/>
          <w:szCs w:val="21"/>
        </w:rPr>
        <w:t>31. 开标、评标过程的监控</w:t>
      </w:r>
      <w:bookmarkEnd w:id="176"/>
      <w:bookmarkEnd w:id="177"/>
      <w:bookmarkEnd w:id="178"/>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79" w:name="_Toc11921"/>
      <w:bookmarkStart w:id="180" w:name="_Toc26650"/>
      <w:bookmarkStart w:id="181" w:name="_Toc1321"/>
      <w:r>
        <w:rPr>
          <w:rFonts w:hint="eastAsia" w:ascii="宋体" w:hAnsi="宋体" w:cs="宋体"/>
          <w:b/>
          <w:color w:val="auto"/>
          <w:szCs w:val="21"/>
        </w:rPr>
        <w:t>32. 信用查询</w:t>
      </w:r>
      <w:bookmarkEnd w:id="179"/>
      <w:bookmarkEnd w:id="180"/>
      <w:bookmarkEnd w:id="181"/>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82" w:name="_Toc27712"/>
      <w:bookmarkStart w:id="183" w:name="_Toc30043"/>
      <w:bookmarkStart w:id="184" w:name="_Toc25384"/>
      <w:r>
        <w:rPr>
          <w:rFonts w:hint="eastAsia" w:ascii="宋体" w:hAnsi="宋体" w:cs="宋体"/>
          <w:b/>
          <w:color w:val="auto"/>
          <w:szCs w:val="21"/>
        </w:rPr>
        <w:t>33. 中标公告及中标通知书</w:t>
      </w:r>
      <w:bookmarkEnd w:id="182"/>
      <w:bookmarkEnd w:id="183"/>
      <w:bookmarkEnd w:id="184"/>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bookmarkStart w:id="185" w:name="_Toc495841760"/>
      <w:bookmarkStart w:id="186" w:name="_Toc31543"/>
    </w:p>
    <w:p>
      <w:pPr>
        <w:pStyle w:val="48"/>
        <w:rPr>
          <w:color w:val="auto"/>
        </w:rPr>
      </w:pPr>
    </w:p>
    <w:p>
      <w:pPr>
        <w:spacing w:line="360" w:lineRule="auto"/>
        <w:jc w:val="center"/>
        <w:outlineLvl w:val="1"/>
        <w:rPr>
          <w:rFonts w:ascii="宋体" w:hAnsi="宋体" w:cs="宋体"/>
          <w:b/>
          <w:color w:val="auto"/>
          <w:sz w:val="28"/>
          <w:szCs w:val="28"/>
        </w:rPr>
      </w:pPr>
      <w:bookmarkStart w:id="187" w:name="_Toc31963"/>
      <w:bookmarkStart w:id="188" w:name="_Toc11657"/>
      <w:r>
        <w:rPr>
          <w:rFonts w:hint="eastAsia" w:ascii="宋体" w:hAnsi="宋体" w:cs="宋体"/>
          <w:b/>
          <w:color w:val="auto"/>
          <w:sz w:val="28"/>
          <w:szCs w:val="28"/>
        </w:rPr>
        <w:t>七、履约保证金及签订合同</w:t>
      </w:r>
      <w:bookmarkEnd w:id="185"/>
      <w:bookmarkEnd w:id="186"/>
      <w:bookmarkEnd w:id="187"/>
      <w:bookmarkEnd w:id="188"/>
    </w:p>
    <w:p>
      <w:pPr>
        <w:spacing w:line="360" w:lineRule="exact"/>
        <w:ind w:firstLine="413" w:firstLineChars="196"/>
        <w:outlineLvl w:val="2"/>
        <w:rPr>
          <w:rFonts w:ascii="宋体" w:hAnsi="宋体" w:cs="宋体"/>
          <w:b/>
          <w:color w:val="auto"/>
          <w:szCs w:val="21"/>
        </w:rPr>
      </w:pPr>
      <w:bookmarkStart w:id="189" w:name="_Toc6994"/>
      <w:bookmarkStart w:id="190" w:name="_Toc10047"/>
      <w:bookmarkStart w:id="191" w:name="_Toc11752"/>
      <w:r>
        <w:rPr>
          <w:rFonts w:hint="eastAsia" w:ascii="宋体" w:hAnsi="宋体" w:cs="宋体"/>
          <w:b/>
          <w:color w:val="auto"/>
          <w:szCs w:val="21"/>
        </w:rPr>
        <w:t>34. 履约保证金</w:t>
      </w:r>
      <w:bookmarkEnd w:id="189"/>
      <w:bookmarkEnd w:id="190"/>
      <w:bookmarkEnd w:id="191"/>
    </w:p>
    <w:p>
      <w:pPr>
        <w:spacing w:line="360" w:lineRule="exact"/>
        <w:ind w:firstLine="420" w:firstLineChars="200"/>
        <w:rPr>
          <w:color w:val="auto"/>
        </w:rPr>
      </w:pPr>
      <w:bookmarkStart w:id="192" w:name="_Toc18160"/>
      <w:r>
        <w:rPr>
          <w:rFonts w:hint="eastAsia" w:ascii="宋体" w:hAnsi="宋体" w:cs="宋体"/>
          <w:color w:val="auto"/>
        </w:rPr>
        <w:t>本项目无需缴</w:t>
      </w:r>
      <w:r>
        <w:rPr>
          <w:rFonts w:hint="eastAsia"/>
          <w:color w:val="auto"/>
        </w:rPr>
        <w:t>纳履约保证金</w:t>
      </w:r>
      <w:r>
        <w:rPr>
          <w:rFonts w:hint="eastAsia" w:hAnsi="宋体" w:cs="宋体"/>
          <w:color w:val="auto"/>
          <w:szCs w:val="21"/>
        </w:rPr>
        <w:t>。</w:t>
      </w:r>
    </w:p>
    <w:p>
      <w:pPr>
        <w:spacing w:line="360" w:lineRule="exact"/>
        <w:ind w:firstLine="413" w:firstLineChars="196"/>
        <w:outlineLvl w:val="2"/>
        <w:rPr>
          <w:rFonts w:ascii="宋体" w:hAnsi="宋体" w:cs="宋体"/>
          <w:b/>
          <w:color w:val="auto"/>
          <w:szCs w:val="21"/>
        </w:rPr>
      </w:pPr>
      <w:bookmarkStart w:id="193" w:name="_Toc1658"/>
      <w:bookmarkStart w:id="194" w:name="_Toc14679"/>
      <w:r>
        <w:rPr>
          <w:rFonts w:hint="eastAsia" w:ascii="宋体" w:hAnsi="宋体" w:cs="宋体"/>
          <w:b/>
          <w:color w:val="auto"/>
          <w:szCs w:val="21"/>
        </w:rPr>
        <w:t>35. 签订合同</w:t>
      </w:r>
      <w:bookmarkEnd w:id="192"/>
      <w:bookmarkEnd w:id="193"/>
      <w:bookmarkEnd w:id="194"/>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35.1签订合同时间：中标通知书发出之日起25日内。中标供应商领取中标通知书后，应按规定与采购人签订合同。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35.4合同备案存档：政府采购合同双方自签订之日起一个工作日内将合同原件一份交采购代理机构，采购人于合同签订之日起七个工作日内将一份合同原件送本级财政部门备案。</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95" w:name="_Toc495841761"/>
      <w:bookmarkStart w:id="196" w:name="_Toc1909"/>
      <w:bookmarkStart w:id="197" w:name="_Toc18214"/>
      <w:bookmarkStart w:id="198" w:name="_Toc4983"/>
      <w:r>
        <w:rPr>
          <w:rFonts w:hint="eastAsia" w:ascii="宋体" w:hAnsi="宋体" w:cs="宋体"/>
          <w:b/>
          <w:color w:val="auto"/>
          <w:sz w:val="28"/>
          <w:szCs w:val="28"/>
        </w:rPr>
        <w:t>八、其他事项</w:t>
      </w:r>
      <w:bookmarkEnd w:id="195"/>
      <w:bookmarkEnd w:id="196"/>
      <w:bookmarkEnd w:id="197"/>
      <w:bookmarkEnd w:id="198"/>
    </w:p>
    <w:p>
      <w:pPr>
        <w:spacing w:line="380" w:lineRule="exact"/>
        <w:ind w:firstLine="413" w:firstLineChars="196"/>
        <w:outlineLvl w:val="2"/>
        <w:rPr>
          <w:rFonts w:ascii="宋体" w:hAnsi="宋体" w:cs="宋体"/>
          <w:b/>
          <w:color w:val="auto"/>
          <w:szCs w:val="21"/>
        </w:rPr>
      </w:pPr>
      <w:bookmarkStart w:id="199" w:name="_Toc5655"/>
      <w:bookmarkStart w:id="200" w:name="_Toc4309"/>
      <w:bookmarkStart w:id="201" w:name="_Toc18260"/>
      <w:bookmarkStart w:id="202" w:name="_Toc24488"/>
      <w:bookmarkStart w:id="203" w:name="_Toc2437"/>
      <w:bookmarkStart w:id="204" w:name="_Toc19503"/>
      <w:bookmarkStart w:id="205" w:name="_Toc32243"/>
      <w:r>
        <w:rPr>
          <w:rFonts w:hint="eastAsia" w:ascii="宋体" w:hAnsi="宋体" w:cs="宋体"/>
          <w:b/>
          <w:color w:val="auto"/>
          <w:szCs w:val="21"/>
        </w:rPr>
        <w:t>36. 招标代理服务费</w:t>
      </w:r>
      <w:bookmarkEnd w:id="199"/>
      <w:bookmarkEnd w:id="200"/>
      <w:bookmarkEnd w:id="201"/>
      <w:bookmarkEnd w:id="202"/>
      <w:bookmarkEnd w:id="203"/>
      <w:bookmarkEnd w:id="204"/>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206" w:name="_Toc6523"/>
      <w:bookmarkStart w:id="207" w:name="_Toc19124"/>
      <w:r>
        <w:rPr>
          <w:rFonts w:hint="eastAsia" w:ascii="宋体" w:hAnsi="宋体" w:cs="宋体"/>
          <w:b/>
          <w:color w:val="auto"/>
          <w:szCs w:val="21"/>
        </w:rPr>
        <w:t>37. 解释权</w:t>
      </w:r>
      <w:bookmarkEnd w:id="206"/>
      <w:bookmarkEnd w:id="207"/>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政府采购货物和服务招标投标管理办法》（财政部令第87号）和政府采购管理有关规定编制，本招标文件的解释权属于桂林市政府集中采购中心。</w:t>
      </w:r>
      <w:bookmarkEnd w:id="205"/>
    </w:p>
    <w:p>
      <w:pPr>
        <w:spacing w:line="400" w:lineRule="exact"/>
        <w:ind w:firstLine="413" w:firstLineChars="196"/>
        <w:outlineLvl w:val="2"/>
        <w:rPr>
          <w:rFonts w:ascii="宋体" w:hAnsi="宋体" w:cs="宋体"/>
          <w:b/>
          <w:color w:val="auto"/>
          <w:szCs w:val="21"/>
        </w:rPr>
      </w:pPr>
      <w:bookmarkStart w:id="208" w:name="_Toc29343"/>
      <w:bookmarkStart w:id="209" w:name="_Toc26924"/>
      <w:bookmarkStart w:id="210" w:name="_Toc11077"/>
      <w:r>
        <w:rPr>
          <w:rFonts w:hint="eastAsia" w:ascii="宋体" w:hAnsi="宋体" w:cs="宋体"/>
          <w:b/>
          <w:color w:val="auto"/>
          <w:szCs w:val="21"/>
        </w:rPr>
        <w:t>38. 监督管理机构</w:t>
      </w:r>
      <w:bookmarkEnd w:id="208"/>
      <w:bookmarkEnd w:id="209"/>
    </w:p>
    <w:bookmarkEnd w:id="210"/>
    <w:p>
      <w:pPr>
        <w:snapToGrid w:val="0"/>
        <w:spacing w:line="400" w:lineRule="exact"/>
        <w:ind w:firstLine="420" w:firstLineChars="200"/>
        <w:rPr>
          <w:rFonts w:ascii="宋体" w:hAnsi="宋体" w:cs="宋体"/>
          <w:color w:val="auto"/>
          <w:szCs w:val="21"/>
        </w:rPr>
      </w:pPr>
      <w:bookmarkStart w:id="211" w:name="_Toc23297"/>
      <w:r>
        <w:rPr>
          <w:rFonts w:hint="eastAsia" w:ascii="宋体" w:hAnsi="宋体" w:cs="宋体"/>
          <w:color w:val="auto"/>
          <w:szCs w:val="21"/>
        </w:rPr>
        <w:t>桂林市财政局   电话：0773-2862142</w:t>
      </w: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pStyle w:val="16"/>
        <w:adjustRightInd w:val="0"/>
        <w:spacing w:line="390" w:lineRule="exact"/>
        <w:contextualSpacing/>
        <w:rPr>
          <w:rFonts w:hAnsi="宋体" w:cs="宋体"/>
          <w:b/>
          <w:bCs/>
          <w:color w:val="auto"/>
        </w:rPr>
      </w:pPr>
    </w:p>
    <w:p>
      <w:pPr>
        <w:rPr>
          <w:rFonts w:hAnsi="宋体" w:cs="宋体"/>
          <w:b/>
          <w:bCs/>
          <w:color w:val="auto"/>
        </w:rPr>
      </w:pPr>
    </w:p>
    <w:p>
      <w:pPr>
        <w:pStyle w:val="2"/>
        <w:rPr>
          <w:rFonts w:hAnsi="宋体" w:cs="宋体"/>
          <w:b/>
          <w:bCs/>
          <w:color w:val="auto"/>
        </w:rPr>
      </w:pPr>
    </w:p>
    <w:p>
      <w:pPr>
        <w:rPr>
          <w:rFonts w:hAnsi="宋体" w:cs="宋体"/>
          <w:b/>
          <w:bCs/>
          <w:color w:val="auto"/>
        </w:rPr>
      </w:pPr>
    </w:p>
    <w:p>
      <w:pPr>
        <w:rPr>
          <w:rFonts w:hAnsi="宋体" w:cs="宋体"/>
          <w:b/>
          <w:bCs/>
          <w:color w:val="auto"/>
        </w:rPr>
      </w:pPr>
    </w:p>
    <w:p>
      <w:pPr>
        <w:pStyle w:val="3"/>
        <w:spacing w:line="400" w:lineRule="exact"/>
        <w:jc w:val="center"/>
        <w:rPr>
          <w:color w:val="auto"/>
          <w:sz w:val="32"/>
          <w:szCs w:val="32"/>
        </w:rPr>
      </w:pPr>
      <w:bookmarkStart w:id="212" w:name="_Toc20149"/>
      <w:bookmarkStart w:id="213" w:name="_Toc11536"/>
      <w:bookmarkStart w:id="214" w:name="_Toc30701"/>
      <w:bookmarkStart w:id="215" w:name="_Toc12929"/>
      <w:r>
        <w:rPr>
          <w:rFonts w:hint="eastAsia"/>
          <w:color w:val="auto"/>
          <w:sz w:val="32"/>
          <w:szCs w:val="32"/>
        </w:rPr>
        <w:t>第三章  货物采购需求</w:t>
      </w:r>
      <w:bookmarkEnd w:id="212"/>
      <w:bookmarkEnd w:id="213"/>
      <w:bookmarkEnd w:id="214"/>
      <w:bookmarkEnd w:id="215"/>
    </w:p>
    <w:p>
      <w:pPr>
        <w:adjustRightInd w:val="0"/>
        <w:spacing w:line="360" w:lineRule="exact"/>
        <w:rPr>
          <w:rFonts w:ascii="宋体" w:hAnsi="宋体" w:cs="宋体"/>
          <w:b/>
          <w:color w:val="auto"/>
          <w:szCs w:val="21"/>
        </w:rPr>
      </w:pPr>
      <w:r>
        <w:rPr>
          <w:rFonts w:hint="eastAsia" w:ascii="宋体" w:hAnsi="宋体" w:cs="宋体"/>
          <w:b/>
          <w:color w:val="auto"/>
          <w:szCs w:val="21"/>
        </w:rPr>
        <w:t>说明：</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《节能产品政府采购品目清单》中：</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计算机设备（台式计算机、便携式计算机、平板式微型计算机）；</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输入输出设备【打印设备（激光打印机、针式打印机）、显示设备（液晶显示器）】；</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镇流器（管型荧光灯镇流器）；</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生活用电器｛空调机【房间空气调节器、多联式空调（热泵）机组（制冷量≤14000W）、单元式空气调节机（制冷量≤14000W）】、热水器（电热水器）｝；</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照明设备（普通照明用双端荧光灯）；</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电视设备【普通电视设备（电视机）】；</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视频设备【视频监控设备（监视器）】；</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便器（坐便器、蹲便器、小便器）；</w:t>
      </w:r>
    </w:p>
    <w:p>
      <w:pPr>
        <w:numPr>
          <w:ilvl w:val="0"/>
          <w:numId w:val="6"/>
        </w:numPr>
        <w:adjustRightInd w:val="0"/>
        <w:spacing w:line="360" w:lineRule="exact"/>
        <w:ind w:left="845"/>
        <w:rPr>
          <w:rFonts w:ascii="宋体" w:hAnsi="宋体" w:cs="宋体"/>
          <w:b/>
          <w:color w:val="auto"/>
          <w:szCs w:val="21"/>
        </w:rPr>
      </w:pPr>
      <w:r>
        <w:rPr>
          <w:rFonts w:hint="eastAsia" w:ascii="宋体" w:hAnsi="宋体" w:cs="宋体"/>
          <w:b/>
          <w:color w:val="auto"/>
          <w:szCs w:val="21"/>
        </w:rPr>
        <w:t>水嘴。</w:t>
      </w:r>
    </w:p>
    <w:p>
      <w:pPr>
        <w:adjustRightInd w:val="0"/>
        <w:spacing w:line="360" w:lineRule="exact"/>
        <w:ind w:firstLine="431"/>
        <w:rPr>
          <w:rFonts w:ascii="宋体" w:hAnsi="宋体" w:cs="宋体"/>
          <w:color w:val="auto"/>
          <w:szCs w:val="21"/>
        </w:rPr>
      </w:pPr>
      <w:r>
        <w:rPr>
          <w:rFonts w:hint="eastAsia" w:ascii="宋体" w:hAnsi="宋体" w:cs="宋体"/>
          <w:b/>
          <w:color w:val="auto"/>
          <w:szCs w:val="21"/>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CA签章，否则投标无效。</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4、投标人应注意下列内容：</w:t>
      </w:r>
    </w:p>
    <w:p>
      <w:pPr>
        <w:adjustRightInd w:val="0"/>
        <w:spacing w:line="360" w:lineRule="exact"/>
        <w:ind w:firstLine="431"/>
        <w:rPr>
          <w:rFonts w:ascii="宋体" w:hAnsi="宋体" w:cs="宋体"/>
          <w:b/>
          <w:color w:val="auto"/>
          <w:szCs w:val="21"/>
        </w:rPr>
      </w:pPr>
      <w:r>
        <w:rPr>
          <w:rFonts w:hint="eastAsia" w:ascii="宋体" w:hAnsi="宋体" w:cs="宋体"/>
          <w:b/>
          <w:color w:val="auto"/>
          <w:szCs w:val="21"/>
        </w:rPr>
        <w:t>1）本需求一览表中标注★号的内容为实质性要求和条件，投标人须满足或响应，若无法完全满足，将会被认定为无效投标。</w:t>
      </w:r>
    </w:p>
    <w:p>
      <w:pPr>
        <w:adjustRightInd w:val="0"/>
        <w:spacing w:line="360" w:lineRule="exact"/>
        <w:ind w:firstLine="431"/>
        <w:rPr>
          <w:color w:val="auto"/>
        </w:rPr>
      </w:pPr>
      <w:r>
        <w:rPr>
          <w:rFonts w:hint="eastAsia" w:ascii="宋体" w:hAnsi="宋体" w:cs="宋体"/>
          <w:b/>
          <w:color w:val="auto"/>
          <w:szCs w:val="21"/>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jc w:val="center"/>
        <w:rPr>
          <w:b/>
          <w:bCs/>
          <w:color w:val="auto"/>
          <w:sz w:val="36"/>
          <w:szCs w:val="36"/>
        </w:rPr>
      </w:pPr>
      <w:r>
        <w:rPr>
          <w:rFonts w:hint="eastAsia"/>
          <w:b/>
          <w:bCs/>
          <w:color w:val="auto"/>
          <w:sz w:val="36"/>
          <w:szCs w:val="36"/>
        </w:rPr>
        <w:t>采购需求</w:t>
      </w:r>
    </w:p>
    <w:tbl>
      <w:tblPr>
        <w:tblStyle w:val="30"/>
        <w:tblpPr w:leftFromText="180" w:rightFromText="180" w:vertAnchor="text" w:tblpXSpec="center" w:tblpY="1"/>
        <w:tblOverlap w:val="never"/>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10"/>
        <w:gridCol w:w="611"/>
        <w:gridCol w:w="7368"/>
        <w:gridCol w:w="748"/>
        <w:gridCol w:w="24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9" w:hRule="atLeast"/>
          <w:jc w:val="center"/>
        </w:trPr>
        <w:tc>
          <w:tcPr>
            <w:tcW w:w="310"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611"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7368"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主要技术参数及性能(配置)要求</w:t>
            </w:r>
          </w:p>
        </w:tc>
        <w:tc>
          <w:tcPr>
            <w:tcW w:w="748"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242"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497"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10" w:type="dxa"/>
            <w:vAlign w:val="center"/>
          </w:tcPr>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ind w:left="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611" w:type="dxa"/>
            <w:vAlign w:val="center"/>
          </w:tcPr>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ind w:left="79" w:right="6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三联体公寓床</w:t>
            </w:r>
          </w:p>
        </w:tc>
        <w:tc>
          <w:tcPr>
            <w:tcW w:w="7368" w:type="dxa"/>
          </w:tcPr>
          <w:p>
            <w:pPr>
              <w:pStyle w:val="139"/>
              <w:spacing w:line="360" w:lineRule="exact"/>
              <w:ind w:left="15" w:right="8"/>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b/>
                <w:bCs/>
                <w:color w:val="auto"/>
                <w:spacing w:val="-5"/>
                <w:szCs w:val="21"/>
              </w:rPr>
              <w:t>三联体公寓床规格</w:t>
            </w:r>
            <w:r>
              <w:rPr>
                <w:rFonts w:hint="eastAsia" w:asciiTheme="minorEastAsia" w:hAnsiTheme="minorEastAsia" w:eastAsiaTheme="minorEastAsia" w:cstheme="minorEastAsia"/>
                <w:color w:val="auto"/>
                <w:spacing w:val="-5"/>
                <w:szCs w:val="21"/>
              </w:rPr>
              <w:t>：</w:t>
            </w:r>
          </w:p>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5"/>
                <w:szCs w:val="21"/>
              </w:rPr>
              <w:t>长</w:t>
            </w:r>
            <w:r>
              <w:rPr>
                <w:rFonts w:hint="eastAsia" w:asciiTheme="minorEastAsia" w:hAnsiTheme="minorEastAsia" w:eastAsiaTheme="minorEastAsia" w:cstheme="minorEastAsia"/>
                <w:color w:val="auto"/>
                <w:szCs w:val="21"/>
              </w:rPr>
              <w:t>6000mm×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900mm×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2100 mm，</w:t>
            </w:r>
            <w:r>
              <w:rPr>
                <w:rFonts w:hint="eastAsia" w:asciiTheme="minorEastAsia" w:hAnsiTheme="minorEastAsia" w:eastAsiaTheme="minorEastAsia" w:cstheme="minorEastAsia"/>
                <w:color w:val="auto"/>
                <w:spacing w:val="-16"/>
                <w:szCs w:val="21"/>
              </w:rPr>
              <w:t>净</w:t>
            </w:r>
            <w:r>
              <w:rPr>
                <w:rFonts w:hint="eastAsia" w:asciiTheme="minorEastAsia" w:hAnsiTheme="minorEastAsia" w:eastAsiaTheme="minorEastAsia" w:cstheme="minorEastAsia"/>
                <w:color w:val="auto"/>
                <w:spacing w:val="-27"/>
                <w:szCs w:val="21"/>
              </w:rPr>
              <w:t>高1</w:t>
            </w:r>
            <w:r>
              <w:rPr>
                <w:rFonts w:hint="eastAsia" w:asciiTheme="minorEastAsia" w:hAnsiTheme="minorEastAsia" w:eastAsiaTheme="minorEastAsia" w:cstheme="minorEastAsia"/>
                <w:color w:val="auto"/>
                <w:szCs w:val="21"/>
              </w:rPr>
              <w:t>700 mm (床横梁底至地面距)，带蚊帐杆总高度2800mm，以上尺寸允许偏差±5mm。金属床连接方式为</w:t>
            </w:r>
            <w:r>
              <w:rPr>
                <w:rFonts w:hint="eastAsia" w:asciiTheme="minorEastAsia" w:hAnsiTheme="minorEastAsia" w:eastAsiaTheme="minorEastAsia" w:cstheme="minorEastAsia"/>
                <w:b/>
                <w:bCs/>
                <w:color w:val="auto"/>
                <w:szCs w:val="21"/>
              </w:rPr>
              <w:t>卡扣式</w:t>
            </w:r>
            <w:r>
              <w:rPr>
                <w:rFonts w:hint="eastAsia" w:asciiTheme="minorEastAsia" w:hAnsiTheme="minorEastAsia" w:eastAsiaTheme="minorEastAsia" w:cstheme="minorEastAsia"/>
                <w:color w:val="auto"/>
                <w:szCs w:val="21"/>
              </w:rPr>
              <w:t>。</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执行标准：GB/T 3325-2017《金属家具通用技术条件》、QB/T 2714-2013《学生公寓多功能家具》、GB 18580-2017 《室内装饰装修材料 人造板及其制品中甲醛释放限量》、GB/T 18584-2001 《室内装饰材料木家具中有害物质限量》、GB/T 3094-2012《冷拔异型钢管》、</w:t>
            </w:r>
            <w:r>
              <w:rPr>
                <w:color w:val="auto"/>
              </w:rPr>
              <w:fldChar w:fldCharType="begin"/>
            </w:r>
            <w:r>
              <w:rPr>
                <w:color w:val="auto"/>
              </w:rPr>
              <w:instrText xml:space="preserve"> HYPERLINK "https://www.baidu.com/link?url=ntbZNSl2ihh-3BkEopLaFgBi6E8JCmqK_CCoRqY06Ai89mIHQ8iyqRfPMGxVGmFejDkExBjtBirJjI_dFSXDAvEIfoBBgCdPB_7N0WUd_oe&amp;wd=&amp;eqid=e40ce32a0000024d000000066305be23" \t "https://www.baidu.com/_blank" </w:instrText>
            </w:r>
            <w:r>
              <w:rPr>
                <w:color w:val="auto"/>
              </w:rPr>
              <w:fldChar w:fldCharType="separate"/>
            </w:r>
            <w:r>
              <w:rPr>
                <w:rFonts w:hint="eastAsia" w:asciiTheme="minorEastAsia" w:hAnsiTheme="minorEastAsia" w:eastAsiaTheme="minorEastAsia" w:cstheme="minorEastAsia"/>
                <w:b/>
                <w:color w:val="auto"/>
                <w:szCs w:val="21"/>
              </w:rPr>
              <w:t>HJ2547-2016《环境标志产品技术要求  家具</w:t>
            </w:r>
            <w:r>
              <w:rPr>
                <w:rFonts w:hint="eastAsia" w:asciiTheme="minorEastAsia" w:hAnsiTheme="minorEastAsia" w:eastAsiaTheme="minorEastAsia" w:cstheme="minorEastAsia"/>
                <w:b/>
                <w:color w:val="auto"/>
                <w:szCs w:val="21"/>
              </w:rPr>
              <w:fldChar w:fldCharType="end"/>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GB/T 39600-2021《人造板及其制品甲醛释放量分级》、GB/T20445-2017《刨光材》、GB/T 10357.6-2013《</w:t>
            </w:r>
            <w:r>
              <w:rPr>
                <w:rFonts w:hint="eastAsia" w:asciiTheme="minorEastAsia" w:hAnsiTheme="minorEastAsia" w:eastAsiaTheme="minorEastAsia" w:cstheme="minorEastAsia"/>
                <w:b/>
                <w:bCs/>
                <w:color w:val="auto"/>
                <w:szCs w:val="21"/>
                <w:shd w:val="clear" w:color="auto" w:fill="FFFFFF"/>
              </w:rPr>
              <w:t>家具力学性能试验 第6部分：单层床强度和耐久性</w:t>
            </w:r>
            <w:r>
              <w:rPr>
                <w:rFonts w:hint="eastAsia" w:asciiTheme="minorEastAsia" w:hAnsiTheme="minorEastAsia" w:eastAsiaTheme="minorEastAsia" w:cstheme="minorEastAsia"/>
                <w:b/>
                <w:bCs/>
                <w:color w:val="auto"/>
                <w:szCs w:val="21"/>
              </w:rPr>
              <w:t>》、GB/T 1771-2007《色漆和清漆 耐中性盐雾性能的测定》、GB/T 11718-2009（2021）《中密度纤维板》、QB/T 3827-1999 《轻工产品金属镀层和化学处理层的耐腐蚀试验方法乙酸盐雾试验(ASS)法》、QB/T3832-1999《轻工产品金属镀层腐蚀试验结果的评价》。</w:t>
            </w:r>
          </w:p>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公寓床组成：</w:t>
            </w:r>
            <w:r>
              <w:rPr>
                <w:rFonts w:hint="eastAsia" w:asciiTheme="minorEastAsia" w:hAnsiTheme="minorEastAsia" w:eastAsiaTheme="minorEastAsia" w:cstheme="minorEastAsia"/>
                <w:color w:val="auto"/>
                <w:szCs w:val="21"/>
              </w:rPr>
              <w:t>包含床、衣柜、书架、学习桌、方凳等。</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金属家具材料要求：金属家具所有管材采用冷拔异型钢管，所有板材采用冷轧钢板，各种金属部件采用高频焊接，各金属件经除油、除锈、酸洗、磷化等工序,涂层采用聚脂环氧粉末静电喷塑处理,内外两面喷塑，颜色为灰白色。各焊接点表面光滑无毛刺,焊接处无夹渣、气孔、焊瘤、焊丝头咬边飞溅，无脱焊、虚焊及焊穿等现象。</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涂层符合GB/T 3325-2017《金属家具通用技术条件》及QB/T 3827-1999 《轻工产品金属镀层和化学处理层的耐腐蚀试验方法乙酸盐雾试验(ASS)法》</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依据QB/T3832-1999《轻工产品金属镀层腐蚀试验结果的评价》标准判定耐腐蚀等级为9级。</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木质材料要求：①人造板采用中密度纤维板，板材密度≥0.70g/cm³，防火板饰面，甲醛释放限量：1m³气候箱法≤0.05mg/m³，按GB/T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 w:val="21"/>
                <w:szCs w:val="21"/>
                <w:vertAlign w:val="subscript"/>
              </w:rPr>
              <w:t>0</w:t>
            </w:r>
            <w:r>
              <w:rPr>
                <w:rFonts w:hint="eastAsia" w:asciiTheme="minorEastAsia" w:hAnsiTheme="minorEastAsia" w:eastAsiaTheme="minorEastAsia" w:cstheme="minorEastAsia"/>
                <w:color w:val="auto"/>
                <w:sz w:val="21"/>
                <w:szCs w:val="21"/>
              </w:rPr>
              <w:t>级；②橡胶木指接板，厚度≥20mm，表面涂饰材料为聚酯清漆；③杉木床板厚度≥15mm，背梢杉木方尺寸：宽30mm×厚20mm（以上尺寸允许偏差±0.5mm），且满足GB/T20445-2017《刨光材》标准中二等品</w:t>
            </w:r>
            <w:r>
              <w:rPr>
                <w:rFonts w:hint="eastAsia" w:asciiTheme="minorEastAsia" w:hAnsiTheme="minorEastAsia" w:eastAsiaTheme="minorEastAsia" w:cstheme="minorEastAsia"/>
                <w:color w:val="auto"/>
                <w:sz w:val="21"/>
                <w:szCs w:val="21"/>
                <w:lang w:val="en-US" w:eastAsia="zh-CN"/>
              </w:rPr>
              <w:t>及以上</w:t>
            </w:r>
            <w:r>
              <w:rPr>
                <w:rFonts w:hint="eastAsia" w:asciiTheme="minorEastAsia" w:hAnsiTheme="minorEastAsia" w:eastAsiaTheme="minorEastAsia" w:cstheme="minorEastAsia"/>
                <w:color w:val="auto"/>
                <w:sz w:val="21"/>
                <w:szCs w:val="21"/>
              </w:rPr>
              <w:t>质量。</w:t>
            </w:r>
          </w:p>
          <w:p>
            <w:pPr>
              <w:pStyle w:val="2"/>
              <w:tabs>
                <w:tab w:val="left" w:pos="5126"/>
              </w:tabs>
              <w:wordWrap w:val="0"/>
              <w:spacing w:line="360" w:lineRule="exact"/>
              <w:ind w:right="17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涂层（塑粉）：符合HG/T 2006-2006《热固性粉末涂料》</w:t>
            </w:r>
            <w:r>
              <w:rPr>
                <w:rFonts w:hint="eastAsia" w:asciiTheme="minorEastAsia" w:hAnsiTheme="minorEastAsia" w:eastAsiaTheme="minorEastAsia" w:cstheme="minorEastAsia"/>
                <w:color w:val="auto"/>
                <w:sz w:val="21"/>
                <w:szCs w:val="21"/>
                <w:lang w:eastAsia="zh-CN"/>
              </w:rPr>
              <w:t>。</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床铺面集中静载荷1650N，≥10次10s/次，试验检测合格；床铺面均布静载荷1800N，≥</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小时，试验检测合格。</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★1.床（边）立柱（4根）规格：77mm×77mm（以上尺寸允许偏差±1mm），管壁厚度≥1.5mm一次滚压型材(立柱上有四条加强筋，双面喷塑），底部加ABS高强度塑料外套，脚套高度≥25mm。</w:t>
            </w: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60288" behindDoc="0" locked="0" layoutInCell="1" allowOverlap="1">
                  <wp:simplePos x="0" y="0"/>
                  <wp:positionH relativeFrom="column">
                    <wp:posOffset>933450</wp:posOffset>
                  </wp:positionH>
                  <wp:positionV relativeFrom="paragraph">
                    <wp:posOffset>-123825</wp:posOffset>
                  </wp:positionV>
                  <wp:extent cx="1391285" cy="1221740"/>
                  <wp:effectExtent l="0" t="0" r="18415" b="171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l="3415" r="49367" b="3493"/>
                          <a:stretch>
                            <a:fillRect/>
                          </a:stretch>
                        </pic:blipFill>
                        <pic:spPr>
                          <a:xfrm>
                            <a:off x="0" y="0"/>
                            <a:ext cx="1391285" cy="1221740"/>
                          </a:xfrm>
                          <a:prstGeom prst="rect">
                            <a:avLst/>
                          </a:prstGeom>
                          <a:noFill/>
                          <a:ln>
                            <a:noFill/>
                          </a:ln>
                        </pic:spPr>
                      </pic:pic>
                    </a:graphicData>
                  </a:graphic>
                </wp:anchor>
              </w:drawing>
            </w: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Cs w:val="21"/>
              </w:rPr>
            </w:pPr>
          </w:p>
          <w:p>
            <w:pPr>
              <w:pStyle w:val="2"/>
              <w:rPr>
                <w:color w:val="auto"/>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2.中立柱（4根）规格：80mm×40mm（以上尺寸允许偏差±1mm），管壁厚度≥1.5mm一次成型优质冷拔钢管。底部加ABS高强度塑料外套，脚套高度≥25mm。</w:t>
            </w: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3.床横梁（6根）规格：92mm×42 mm（以上尺寸允许偏差±1mm），管壁厚度≥1.5 mm机器一次成型型材。(横梁上有三条加强筋，双面喷塑）。</w:t>
            </w: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color w:val="auto"/>
                <w:spacing w:val="-16"/>
                <w:szCs w:val="21"/>
              </w:rPr>
              <mc:AlternateContent>
                <mc:Choice Requires="wpg">
                  <w:drawing>
                    <wp:anchor distT="0" distB="0" distL="114300" distR="114300" simplePos="0" relativeHeight="251661312" behindDoc="0" locked="0" layoutInCell="1" allowOverlap="1">
                      <wp:simplePos x="0" y="0"/>
                      <wp:positionH relativeFrom="column">
                        <wp:posOffset>100330</wp:posOffset>
                      </wp:positionH>
                      <wp:positionV relativeFrom="paragraph">
                        <wp:posOffset>46990</wp:posOffset>
                      </wp:positionV>
                      <wp:extent cx="2955925" cy="1487805"/>
                      <wp:effectExtent l="0" t="0" r="15875" b="17145"/>
                      <wp:wrapNone/>
                      <wp:docPr id="6" name="组合 3"/>
                      <wp:cNvGraphicFramePr/>
                      <a:graphic xmlns:a="http://schemas.openxmlformats.org/drawingml/2006/main">
                        <a:graphicData uri="http://schemas.microsoft.com/office/word/2010/wordprocessingGroup">
                          <wpg:wgp>
                            <wpg:cNvGrpSpPr/>
                            <wpg:grpSpPr>
                              <a:xfrm>
                                <a:off x="0" y="0"/>
                                <a:ext cx="2955925" cy="1487805"/>
                                <a:chOff x="0" y="0"/>
                                <a:chExt cx="2955925" cy="1487805"/>
                              </a:xfrm>
                              <a:effectLst/>
                            </wpg:grpSpPr>
                            <pic:pic xmlns:pic="http://schemas.openxmlformats.org/drawingml/2006/picture">
                              <pic:nvPicPr>
                                <pic:cNvPr id="7" name="image5.jpeg"/>
                                <pic:cNvPicPr>
                                  <a:picLocks noChangeAspect="1"/>
                                </pic:cNvPicPr>
                              </pic:nvPicPr>
                              <pic:blipFill>
                                <a:blip r:embed="rId8" cstate="print"/>
                                <a:stretch>
                                  <a:fillRect/>
                                </a:stretch>
                              </pic:blipFill>
                              <pic:spPr>
                                <a:xfrm>
                                  <a:off x="1390650" y="0"/>
                                  <a:ext cx="1565275" cy="1327785"/>
                                </a:xfrm>
                                <a:prstGeom prst="rect">
                                  <a:avLst/>
                                </a:prstGeom>
                                <a:noFill/>
                                <a:ln>
                                  <a:noFill/>
                                </a:ln>
                                <a:effectLst/>
                              </pic:spPr>
                            </pic:pic>
                            <pic:pic xmlns:pic="http://schemas.openxmlformats.org/drawingml/2006/picture">
                              <pic:nvPicPr>
                                <pic:cNvPr id="8" name="图片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47625"/>
                                  <a:ext cx="1315720" cy="1440180"/>
                                </a:xfrm>
                                <a:prstGeom prst="rect">
                                  <a:avLst/>
                                </a:prstGeom>
                                <a:noFill/>
                                <a:ln>
                                  <a:noFill/>
                                </a:ln>
                                <a:effectLst/>
                              </pic:spPr>
                            </pic:pic>
                          </wpg:wgp>
                        </a:graphicData>
                      </a:graphic>
                    </wp:anchor>
                  </w:drawing>
                </mc:Choice>
                <mc:Fallback>
                  <w:pict>
                    <v:group id="组合 3" o:spid="_x0000_s1026" o:spt="203" style="position:absolute;left:0pt;margin-left:7.9pt;margin-top:3.7pt;height:117.15pt;width:232.75pt;z-index:251661312;mso-width-relative:page;mso-height-relative:page;" coordsize="2955925,1487805" o:gfxdata="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">
                      <o:lock v:ext="edit" aspectratio="f"/>
                      <v:shape id="image5.jpeg" o:spid="_x0000_s1026" o:spt="75" type="#_x0000_t75" style="position:absolute;left:1390650;top:0;height:1327785;width:1565275;" filled="f" o:preferrelative="t" stroked="f" coordsize="21600,21600" o:gfxdata="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1c3WugAAANoA&#10;AAAPAAAAAAAAAAEAIAAAACIAAABkcnMvZG93bnJldi54bWxQSwECFAAUAAAACACHTuJAMy8FnjsA&#10;AAA5AAAAEAAAAAAAAAABACAAAAAJAQAAZHJzL3NoYXBleG1sLnhtbFBLBQYAAAAABgAGAFsBAACz&#10;AwAAAAA=&#10;">
                        <v:fill on="f" focussize="0,0"/>
                        <v:stroke on="f"/>
                        <v:imagedata r:id="rId8" o:title=""/>
                        <o:lock v:ext="edit" aspectratio="t"/>
                      </v:shape>
                      <v:shape id="图片 6" o:spid="_x0000_s1026" o:spt="75" type="#_x0000_t75" style="position:absolute;left:0;top:47625;height:1440180;width:1315720;" filled="f" o:preferrelative="t" stroked="f" coordsize="21600,21600" o:gfxdata="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HcIG5AAAA2gAA&#10;AA8AAAAAAAAAAQAgAAAAIgAAAGRycy9kb3ducmV2LnhtbFBLAQIUABQAAAAIAIdO4kAzLwWeOwAA&#10;ADkAAAAQAAAAAAAAAAEAIAAAAAgBAABkcnMvc2hhcGV4bWwueG1sUEsFBgAAAAAGAAYAWwEAALID&#10;AAAAAA==&#10;">
                        <v:fill on="f" focussize="0,0"/>
                        <v:stroke on="f"/>
                        <v:imagedata r:id="rId9" o:title=""/>
                        <o:lock v:ext="edit" aspectratio="t"/>
                      </v:shape>
                    </v:group>
                  </w:pict>
                </mc:Fallback>
              </mc:AlternateContent>
            </w: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4.侧横梁（8 根）规格：50mm×30 mm（以上尺寸允许偏差±1mm），管壁厚度≥1.5 mm一次成型优质冷拔钢管。</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5.床挂件（18</w:t>
            </w:r>
            <w:r>
              <w:rPr>
                <w:rFonts w:hint="eastAsia" w:asciiTheme="minorEastAsia" w:hAnsiTheme="minorEastAsia" w:eastAsiaTheme="minorEastAsia" w:cstheme="minorEastAsia"/>
                <w:color w:val="auto"/>
                <w:spacing w:val="-27"/>
                <w:szCs w:val="21"/>
              </w:rPr>
              <w:t xml:space="preserve"> 个</w:t>
            </w:r>
            <w:r>
              <w:rPr>
                <w:rFonts w:hint="eastAsia" w:asciiTheme="minorEastAsia" w:hAnsiTheme="minorEastAsia" w:eastAsiaTheme="minorEastAsia" w:cstheme="minorEastAsia"/>
                <w:color w:val="auto"/>
                <w:szCs w:val="21"/>
              </w:rPr>
              <w:t>）规格：30mm×30 mm×202 mm（长）（以上尺寸允许偏差±1mm），管壁厚度≥2.0 mm；(双面喷塑）。</w:t>
            </w:r>
          </w:p>
          <w:p>
            <w:pPr>
              <w:pStyle w:val="139"/>
              <w:spacing w:line="360" w:lineRule="exact"/>
              <w:ind w:left="15" w:right="173"/>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6.床梃（15 个）规格：34mm×28 mm（以上尺寸允许偏差±1mm），管壁厚度≥1.5 mm采用D型管增加承重能力和预防碰撞伤害。</w:t>
            </w: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63360" behindDoc="0" locked="0" layoutInCell="1" allowOverlap="1">
                  <wp:simplePos x="0" y="0"/>
                  <wp:positionH relativeFrom="column">
                    <wp:posOffset>1327785</wp:posOffset>
                  </wp:positionH>
                  <wp:positionV relativeFrom="paragraph">
                    <wp:posOffset>151130</wp:posOffset>
                  </wp:positionV>
                  <wp:extent cx="1969135" cy="1377950"/>
                  <wp:effectExtent l="0" t="0" r="12065" b="12700"/>
                  <wp:wrapNone/>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0"/>
                          <a:srcRect t="4303" b="6763"/>
                          <a:stretch>
                            <a:fillRect/>
                          </a:stretch>
                        </pic:blipFill>
                        <pic:spPr>
                          <a:xfrm>
                            <a:off x="0" y="0"/>
                            <a:ext cx="1969135" cy="1377950"/>
                          </a:xfrm>
                          <a:prstGeom prst="rect">
                            <a:avLst/>
                          </a:prstGeom>
                          <a:noFill/>
                          <a:ln>
                            <a:noFill/>
                          </a:ln>
                        </pic:spPr>
                      </pic:pic>
                    </a:graphicData>
                  </a:graphic>
                </wp:anchor>
              </w:drawing>
            </w: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62336" behindDoc="0" locked="0" layoutInCell="1" allowOverlap="1">
                  <wp:simplePos x="0" y="0"/>
                  <wp:positionH relativeFrom="column">
                    <wp:posOffset>59690</wp:posOffset>
                  </wp:positionH>
                  <wp:positionV relativeFrom="paragraph">
                    <wp:posOffset>249555</wp:posOffset>
                  </wp:positionV>
                  <wp:extent cx="1099185" cy="1157605"/>
                  <wp:effectExtent l="0" t="0" r="5715" b="4445"/>
                  <wp:wrapNone/>
                  <wp:docPr id="10" name="图片 15" descr="ef787daa9138e46382783904ce10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ef787daa9138e46382783904ce10ac4"/>
                          <pic:cNvPicPr>
                            <a:picLocks noChangeAspect="1"/>
                          </pic:cNvPicPr>
                        </pic:nvPicPr>
                        <pic:blipFill>
                          <a:blip r:embed="rId11"/>
                          <a:srcRect l="5063" t="18449" r="59135" b="24396"/>
                          <a:stretch>
                            <a:fillRect/>
                          </a:stretch>
                        </pic:blipFill>
                        <pic:spPr>
                          <a:xfrm>
                            <a:off x="0" y="0"/>
                            <a:ext cx="1099185" cy="1157605"/>
                          </a:xfrm>
                          <a:prstGeom prst="rect">
                            <a:avLst/>
                          </a:prstGeom>
                          <a:noFill/>
                          <a:ln>
                            <a:noFill/>
                          </a:ln>
                        </pic:spPr>
                      </pic:pic>
                    </a:graphicData>
                  </a:graphic>
                </wp:anchor>
              </w:drawing>
            </w: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7.后拉杆（3根）规格：25mm×25mm（以上尺寸允许偏差±1mm），管壁厚度≥1.5 mm。</w:t>
            </w:r>
          </w:p>
          <w:p>
            <w:pPr>
              <w:pStyle w:val="139"/>
              <w:wordWrap w:val="0"/>
              <w:spacing w:line="360" w:lineRule="exact"/>
              <w:ind w:left="1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8.床护栏（3个）规格：长1200mm×高300mm（以上尺寸允许偏差±</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mm），管材口径25mm×25mm（以上尺寸允许偏差±</w:t>
            </w:r>
            <w:r>
              <w:rPr>
                <w:rFonts w:hint="eastAsia" w:asciiTheme="minorEastAsia" w:hAnsiTheme="minorEastAsia" w:eastAsiaTheme="minorEastAsia" w:cstheme="minorEastAsia"/>
                <w:color w:val="auto"/>
                <w:szCs w:val="21"/>
                <w:lang w:val="en-US" w:eastAsia="zh-CN"/>
              </w:rPr>
              <w:t>0.5</w:t>
            </w:r>
            <w:r>
              <w:rPr>
                <w:rFonts w:hint="eastAsia" w:asciiTheme="minorEastAsia" w:hAnsiTheme="minorEastAsia" w:eastAsiaTheme="minorEastAsia" w:cstheme="minorEastAsia"/>
                <w:color w:val="auto"/>
                <w:szCs w:val="21"/>
              </w:rPr>
              <w:t>mm），管壁厚度≥1.5mm的优质冷拔钢管，内镶带储物功能储物盒，储物盒采用一次成型管壁厚度≥0.7mm的优质冷轧钢板，尺寸500mm×183mm（以上尺寸允许偏差±1mm），储物盒中间加校徽LOGO,LOGO直径约120mm，在中标后由采购人与中标供应商沟通LOGO具体款式。</w:t>
            </w:r>
          </w:p>
          <w:p>
            <w:pPr>
              <w:wordWrap w:val="0"/>
              <w:autoSpaceDE w:val="0"/>
              <w:autoSpaceDN w:val="0"/>
              <w:adjustRightInd w:val="0"/>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color w:val="auto"/>
                <w:szCs w:val="21"/>
              </w:rPr>
              <w:t>9.床档头（4个）规格：边档头（2个）整体尺寸746mm×300mm（以上尺寸允许偏差±1mm），中间档头（2个）整体尺寸500mm×230mm（以上尺寸允许偏差±1mm），上部分采用优质方管20mm×20mm，管壁厚度≥1.5mm，下部分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厚度为≥16</w:t>
            </w:r>
            <w:r>
              <w:rPr>
                <w:rFonts w:hint="eastAsia" w:asciiTheme="minorEastAsia" w:hAnsiTheme="minorEastAsia" w:eastAsiaTheme="minorEastAsia" w:cstheme="minorEastAsia"/>
                <w:color w:val="auto"/>
                <w:szCs w:val="21"/>
              </w:rPr>
              <w:t>mm，可以防止物品掉落及被褥外漏。</w:t>
            </w: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left="15" w:right="4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10.蚊帐架（4 个）规格：Φ14 mm（尺寸允许偏差±0.5mm），管壁厚度≥1.2 mm，蚊帐架活连接，开字造型。</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59264" behindDoc="1" locked="0" layoutInCell="1" allowOverlap="1">
                  <wp:simplePos x="0" y="0"/>
                  <wp:positionH relativeFrom="column">
                    <wp:posOffset>721360</wp:posOffset>
                  </wp:positionH>
                  <wp:positionV relativeFrom="paragraph">
                    <wp:posOffset>1623060</wp:posOffset>
                  </wp:positionV>
                  <wp:extent cx="2482850" cy="1290320"/>
                  <wp:effectExtent l="0" t="0" r="12700" b="508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2"/>
                          <a:stretch>
                            <a:fillRect/>
                          </a:stretch>
                        </pic:blipFill>
                        <pic:spPr>
                          <a:xfrm>
                            <a:off x="0" y="0"/>
                            <a:ext cx="2482850" cy="1290320"/>
                          </a:xfrm>
                          <a:prstGeom prst="rect">
                            <a:avLst/>
                          </a:prstGeom>
                          <a:noFill/>
                          <a:ln>
                            <a:noFill/>
                          </a:ln>
                        </pic:spPr>
                      </pic:pic>
                    </a:graphicData>
                  </a:graphic>
                </wp:anchor>
              </w:drawing>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11.落地床梯（2 组）规格：40mm×20mm（以上尺寸允许偏差±1mm），管壁厚度≥1.5 mm</w:t>
            </w:r>
            <w:r>
              <w:rPr>
                <w:rFonts w:hint="eastAsia" w:asciiTheme="minorEastAsia" w:hAnsiTheme="minorEastAsia" w:eastAsiaTheme="minorEastAsia" w:cstheme="minorEastAsia"/>
                <w:color w:val="auto"/>
                <w:spacing w:val="-12"/>
                <w:szCs w:val="21"/>
              </w:rPr>
              <w:t>优质钢管制作，脚踏板采用≥</w:t>
            </w:r>
            <w:r>
              <w:rPr>
                <w:rFonts w:hint="eastAsia" w:asciiTheme="minorEastAsia" w:hAnsiTheme="minorEastAsia" w:eastAsiaTheme="minorEastAsia" w:cstheme="minorEastAsia"/>
                <w:color w:val="auto"/>
                <w:szCs w:val="21"/>
              </w:rPr>
              <w:t>1.5 mm</w:t>
            </w:r>
            <w:r>
              <w:rPr>
                <w:rFonts w:hint="eastAsia" w:asciiTheme="minorEastAsia" w:hAnsiTheme="minorEastAsia" w:eastAsiaTheme="minorEastAsia" w:cstheme="minorEastAsia"/>
                <w:color w:val="auto"/>
                <w:spacing w:val="-9"/>
                <w:szCs w:val="21"/>
              </w:rPr>
              <w:t>厚优质冷轧钢板经模</w:t>
            </w:r>
            <w:r>
              <w:rPr>
                <w:rFonts w:hint="eastAsia" w:asciiTheme="minorEastAsia" w:hAnsiTheme="minorEastAsia" w:eastAsiaTheme="minorEastAsia" w:cstheme="minorEastAsia"/>
                <w:color w:val="auto"/>
                <w:spacing w:val="-6"/>
                <w:szCs w:val="21"/>
              </w:rPr>
              <w:t>压而成，成型后尺寸长420mm(±1mm)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中间宽95mm(±1mm)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高23mm(±1mm)，表面有防滑纹，外加长425mm(±1mm)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宽100mm(±1mm)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高26mm(±1mm)的夜光塑料外套一个，至少5个与踏板链接扣件，起到安全的作用，需与楼梯梯架焊接。</w:t>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tabs>
                <w:tab w:val="left" w:pos="435"/>
              </w:tabs>
              <w:spacing w:line="360" w:lineRule="exact"/>
              <w:ind w:left="15" w:right="147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12.钢制柜（含衣柜、书架）（3</w:t>
            </w:r>
            <w:r>
              <w:rPr>
                <w:rFonts w:hint="eastAsia" w:asciiTheme="minorEastAsia" w:hAnsiTheme="minorEastAsia" w:eastAsiaTheme="minorEastAsia" w:cstheme="minorEastAsia"/>
                <w:color w:val="auto"/>
                <w:spacing w:val="-27"/>
                <w:szCs w:val="21"/>
              </w:rPr>
              <w:t xml:space="preserve"> 组</w:t>
            </w:r>
            <w:r>
              <w:rPr>
                <w:rFonts w:hint="eastAsia" w:asciiTheme="minorEastAsia" w:hAnsiTheme="minorEastAsia" w:eastAsiaTheme="minorEastAsia" w:cstheme="minorEastAsia"/>
                <w:color w:val="auto"/>
                <w:szCs w:val="21"/>
              </w:rPr>
              <w:t>）</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衣柜规格：高1700mm×宽600mm×深800mm（以上尺寸允许偏差±5mm）柜体内上部距顶约50mm处装Φ20mm（尺寸允许偏差±0.5mm），管壁厚度≥1.2mm的304材质不锈钢挂衣杆一根，柜门上需配百叶窗式透气口、标签框、门锁采用内陷式挂锁，柜体采用≥0.6mm（厚）冷轧碳素钢板，表面光滑不易损坏变形。柜底部使用高度大于35mm的一次性注塑成型的优质镀铬防潮脚套，保证柜体底部镶嵌于脚套内部。</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柜门：采用≥0.6mm（厚）冷轧碳素钢板，表面光滑不易损坏变形。采用一次成型压花式加强筋设计，上柜门压痕外框尺寸为888mm×258mm（以上尺寸允许偏差±5mm），下柜门压痕外框尺寸为298mm×258mm（以上尺寸允许偏差±5mm）。</w:t>
            </w: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65408" behindDoc="0" locked="0" layoutInCell="1" allowOverlap="1">
                  <wp:simplePos x="0" y="0"/>
                  <wp:positionH relativeFrom="column">
                    <wp:posOffset>949325</wp:posOffset>
                  </wp:positionH>
                  <wp:positionV relativeFrom="paragraph">
                    <wp:posOffset>67945</wp:posOffset>
                  </wp:positionV>
                  <wp:extent cx="1497965" cy="2857500"/>
                  <wp:effectExtent l="0" t="0" r="10795" b="762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3"/>
                          <a:stretch>
                            <a:fillRect/>
                          </a:stretch>
                        </pic:blipFill>
                        <pic:spPr>
                          <a:xfrm>
                            <a:off x="0" y="0"/>
                            <a:ext cx="1497965" cy="2857500"/>
                          </a:xfrm>
                          <a:prstGeom prst="rect">
                            <a:avLst/>
                          </a:prstGeom>
                          <a:noFill/>
                          <a:ln>
                            <a:noFill/>
                          </a:ln>
                        </pic:spPr>
                      </pic:pic>
                    </a:graphicData>
                  </a:graphic>
                </wp:anchor>
              </w:drawing>
            </w: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2"/>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书架尺寸：书架a:高1700mm×宽300mm×深600 mm（以上尺寸允许偏差±5mm）通透式架体、分为上下部分，上部设2层隔板共分3层，下部设一层隔板共分2 层，柜体为≥0.6mm（厚）钢板；隔板为≥1.0mm（厚）钢板。柜底部使用高度大于35mm的一次性注塑成型的优质镀铬防潮脚套，保证柜体底部镶嵌于脚套内部。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18"/>
                <w:szCs w:val="21"/>
              </w:rPr>
              <w:t xml:space="preserve">书架 </w:t>
            </w:r>
            <w:r>
              <w:rPr>
                <w:rFonts w:hint="eastAsia" w:asciiTheme="minorEastAsia" w:hAnsiTheme="minorEastAsia" w:eastAsiaTheme="minorEastAsia" w:cstheme="minorEastAsia"/>
                <w:color w:val="auto"/>
                <w:szCs w:val="21"/>
              </w:rPr>
              <w:t>b:柜体及隔板为≥0.6mm（厚）钢板；</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200mm×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1055mm×</w:t>
            </w:r>
            <w:r>
              <w:rPr>
                <w:rFonts w:hint="eastAsia" w:asciiTheme="minorEastAsia" w:hAnsiTheme="minorEastAsia" w:eastAsiaTheme="minorEastAsia" w:cstheme="minorEastAsia"/>
                <w:color w:val="auto"/>
                <w:spacing w:val="-27"/>
                <w:szCs w:val="21"/>
              </w:rPr>
              <w:t xml:space="preserve">深 </w:t>
            </w:r>
            <w:r>
              <w:rPr>
                <w:rFonts w:hint="eastAsia" w:asciiTheme="minorEastAsia" w:hAnsiTheme="minorEastAsia" w:eastAsiaTheme="minorEastAsia" w:cstheme="minorEastAsia"/>
                <w:color w:val="auto"/>
                <w:szCs w:val="21"/>
              </w:rPr>
              <w:t>230 mm（以上尺寸允许偏差±5mm）分三个格，三角型斜拉加固，斜三角形作磨边处理。</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13.学习桌规格（3</w:t>
            </w:r>
            <w:r>
              <w:rPr>
                <w:rFonts w:hint="eastAsia" w:asciiTheme="minorEastAsia" w:hAnsiTheme="minorEastAsia" w:eastAsiaTheme="minorEastAsia" w:cstheme="minorEastAsia"/>
                <w:color w:val="auto"/>
                <w:spacing w:val="-27"/>
                <w:szCs w:val="21"/>
              </w:rPr>
              <w:t xml:space="preserve"> 组</w:t>
            </w:r>
            <w:r>
              <w:rPr>
                <w:rFonts w:hint="eastAsia" w:asciiTheme="minorEastAsia" w:hAnsiTheme="minorEastAsia" w:eastAsiaTheme="minorEastAsia" w:cstheme="minorEastAsia"/>
                <w:color w:val="auto"/>
                <w:szCs w:val="21"/>
              </w:rPr>
              <w:t>）：每组长1050mm×宽600mm×高750 mm（以上尺寸允许偏差±5mm），防火板饰面。</w:t>
            </w:r>
            <w:r>
              <w:rPr>
                <w:rFonts w:hint="eastAsia" w:asciiTheme="minorEastAsia" w:hAnsiTheme="minorEastAsia" w:eastAsiaTheme="minorEastAsia" w:cstheme="minorEastAsia"/>
                <w:color w:val="auto"/>
                <w:spacing w:val="-7"/>
                <w:szCs w:val="21"/>
              </w:rPr>
              <w:t>配置：带抽斗2</w:t>
            </w:r>
            <w:r>
              <w:rPr>
                <w:rFonts w:hint="eastAsia" w:asciiTheme="minorEastAsia" w:hAnsiTheme="minorEastAsia" w:eastAsiaTheme="minorEastAsia" w:cstheme="minorEastAsia"/>
                <w:color w:val="auto"/>
                <w:spacing w:val="-8"/>
                <w:szCs w:val="21"/>
              </w:rPr>
              <w:t>个、抽斗含明锁扣及拉手，</w:t>
            </w:r>
            <w:r>
              <w:rPr>
                <w:rFonts w:hint="eastAsia" w:asciiTheme="minorEastAsia" w:hAnsiTheme="minorEastAsia" w:eastAsiaTheme="minorEastAsia" w:cstheme="minorEastAsia"/>
                <w:color w:val="auto"/>
                <w:spacing w:val="-17"/>
                <w:szCs w:val="21"/>
              </w:rPr>
              <w:t>桌面采用</w:t>
            </w:r>
            <w:r>
              <w:rPr>
                <w:rFonts w:hint="eastAsia" w:asciiTheme="minorEastAsia" w:hAnsiTheme="minorEastAsia" w:eastAsiaTheme="minorEastAsia" w:cstheme="minorEastAsia"/>
                <w:color w:val="auto"/>
                <w:szCs w:val="21"/>
              </w:rPr>
              <w:t>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桌面厚度为≥</w:t>
            </w:r>
            <w:r>
              <w:rPr>
                <w:rFonts w:hint="eastAsia" w:asciiTheme="minorEastAsia" w:hAnsiTheme="minorEastAsia" w:eastAsiaTheme="minorEastAsia" w:cstheme="minorEastAsia"/>
                <w:color w:val="auto"/>
                <w:szCs w:val="21"/>
              </w:rPr>
              <w:t>25mm，桌沿采用鸭嘴型成型工艺，PVC封边，后方有约100mm高挡板，</w:t>
            </w:r>
            <w:r>
              <w:rPr>
                <w:rFonts w:hint="eastAsia" w:asciiTheme="minorEastAsia" w:hAnsiTheme="minorEastAsia" w:eastAsiaTheme="minorEastAsia" w:cstheme="minorEastAsia"/>
                <w:color w:val="auto"/>
                <w:spacing w:val="-5"/>
                <w:szCs w:val="21"/>
              </w:rPr>
              <w:t>桌面上部离地高度</w:t>
            </w:r>
            <w:r>
              <w:rPr>
                <w:rFonts w:hint="eastAsia" w:asciiTheme="minorEastAsia" w:hAnsiTheme="minorEastAsia" w:eastAsiaTheme="minorEastAsia" w:cstheme="minorEastAsia"/>
                <w:color w:val="auto"/>
                <w:szCs w:val="21"/>
              </w:rPr>
              <w:t>750mm（尺寸允许偏差±5mm），底部带PP塑料保护套。</w:t>
            </w:r>
          </w:p>
          <w:p>
            <w:pPr>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right="155" w:rightChars="7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14. 床板（3张）规格：≥15mm厚，每块以</w:t>
            </w:r>
            <w:r>
              <w:rPr>
                <w:rFonts w:hint="eastAsia" w:asciiTheme="minorEastAsia" w:hAnsiTheme="minorEastAsia" w:eastAsiaTheme="minorEastAsia" w:cstheme="minorEastAsia"/>
                <w:color w:val="auto"/>
                <w:spacing w:val="-10"/>
                <w:szCs w:val="21"/>
              </w:rPr>
              <w:t>≤7块杉木板拼接而成，最小一块床板≥100mm，每铺床板由三根背梢连接而成，背梢杉木方尺寸：宽30mm×厚20mm</w:t>
            </w:r>
            <w:r>
              <w:rPr>
                <w:rFonts w:hint="eastAsia" w:asciiTheme="minorEastAsia" w:hAnsiTheme="minorEastAsia" w:eastAsiaTheme="minorEastAsia" w:cstheme="minorEastAsia"/>
                <w:color w:val="auto"/>
                <w:szCs w:val="21"/>
              </w:rPr>
              <w:t>（以上尺寸允许偏差±0.5mm）</w:t>
            </w:r>
            <w:r>
              <w:rPr>
                <w:rFonts w:hint="eastAsia" w:asciiTheme="minorEastAsia" w:hAnsiTheme="minorEastAsia" w:eastAsiaTheme="minorEastAsia" w:cstheme="minorEastAsia"/>
                <w:color w:val="auto"/>
                <w:spacing w:val="-10"/>
                <w:szCs w:val="21"/>
              </w:rPr>
              <w:t>，连接床板与背梢的铁钉不能外露，背梢木方不允许有钝棱；床板、背梢木方经干燥防腐、防蛀处理，</w:t>
            </w:r>
            <w:r>
              <w:rPr>
                <w:rFonts w:hint="eastAsia" w:asciiTheme="minorEastAsia" w:hAnsiTheme="minorEastAsia" w:eastAsiaTheme="minorEastAsia" w:cstheme="minorEastAsia"/>
                <w:color w:val="auto"/>
                <w:szCs w:val="21"/>
              </w:rPr>
              <w:t>杉木铺板、背梢木方需四面刨光, 铺板与床架内空尺寸匹配，床铺面及其两边的间隙不应超过5mm，两端的间隙不应超过10mm，杉木床板及背梢木方需满足GB/T20445-2017《刨光材》标准中二等品及以上质量。</w:t>
            </w:r>
          </w:p>
          <w:p>
            <w:pPr>
              <w:pStyle w:val="139"/>
              <w:spacing w:line="360" w:lineRule="exact"/>
              <w:ind w:left="15"/>
              <w:rPr>
                <w:rFonts w:asciiTheme="minorEastAsia" w:hAnsiTheme="minorEastAsia" w:eastAsiaTheme="minorEastAsia" w:cstheme="minorEastAsia"/>
                <w:color w:val="auto"/>
                <w:spacing w:val="-8"/>
                <w:szCs w:val="21"/>
              </w:rPr>
            </w:pPr>
            <w:r>
              <w:rPr>
                <w:rFonts w:hint="eastAsia" w:asciiTheme="minorEastAsia" w:hAnsiTheme="minorEastAsia" w:eastAsiaTheme="minorEastAsia" w:cstheme="minorEastAsia"/>
                <w:color w:val="auto"/>
                <w:szCs w:val="21"/>
              </w:rPr>
              <w:t>15. 四方凳</w:t>
            </w:r>
            <w:r>
              <w:rPr>
                <w:rFonts w:hint="eastAsia" w:asciiTheme="minorEastAsia" w:hAnsiTheme="minorEastAsia" w:eastAsiaTheme="minorEastAsia" w:cstheme="minorEastAsia"/>
                <w:color w:val="auto"/>
                <w:spacing w:val="-11"/>
                <w:szCs w:val="21"/>
              </w:rPr>
              <w:t>规格</w:t>
            </w: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pacing w:val="-27"/>
                <w:szCs w:val="21"/>
              </w:rPr>
              <w:t xml:space="preserve"> 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11"/>
                <w:szCs w:val="21"/>
              </w:rPr>
              <w:t>：</w:t>
            </w:r>
            <w:r>
              <w:rPr>
                <w:rFonts w:hint="eastAsia" w:asciiTheme="minorEastAsia" w:hAnsiTheme="minorEastAsia" w:eastAsiaTheme="minorEastAsia" w:cstheme="minorEastAsia"/>
                <w:color w:val="auto"/>
                <w:spacing w:val="-8"/>
                <w:szCs w:val="21"/>
              </w:rPr>
              <w:t>凳面尺寸</w:t>
            </w:r>
            <w:r>
              <w:rPr>
                <w:rFonts w:hint="eastAsia" w:asciiTheme="minorEastAsia" w:hAnsiTheme="minorEastAsia" w:eastAsiaTheme="minorEastAsia" w:cstheme="minorEastAsia"/>
                <w:color w:val="auto"/>
                <w:spacing w:val="-11"/>
                <w:szCs w:val="21"/>
              </w:rPr>
              <w:t xml:space="preserve">长 </w:t>
            </w:r>
            <w:r>
              <w:rPr>
                <w:rFonts w:hint="eastAsia" w:asciiTheme="minorEastAsia" w:hAnsiTheme="minorEastAsia" w:eastAsiaTheme="minorEastAsia" w:cstheme="minorEastAsia"/>
                <w:color w:val="auto"/>
                <w:szCs w:val="21"/>
              </w:rPr>
              <w:t>320mm×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240mm×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430 mm（以上尺寸允许偏差±5mm）。凳面采用</w:t>
            </w:r>
            <w:r>
              <w:rPr>
                <w:rFonts w:hint="eastAsia" w:asciiTheme="minorEastAsia" w:hAnsiTheme="minorEastAsia" w:eastAsiaTheme="minorEastAsia" w:cstheme="minorEastAsia"/>
                <w:color w:val="auto"/>
                <w:spacing w:val="-8"/>
                <w:szCs w:val="21"/>
              </w:rPr>
              <w:t>橡胶木指接板，厚度</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20mm，表面涂饰材料为聚酯清漆，凳脚部分采用金属方管焊接而成，管材尺寸为：长25mm</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宽25mm</w:t>
            </w:r>
            <w:r>
              <w:rPr>
                <w:rFonts w:hint="eastAsia" w:asciiTheme="minorEastAsia" w:hAnsiTheme="minorEastAsia" w:eastAsiaTheme="minorEastAsia" w:cstheme="minorEastAsia"/>
                <w:color w:val="auto"/>
                <w:szCs w:val="21"/>
              </w:rPr>
              <w:t>（以上尺寸允许偏差±0.5mm），管壁厚度</w:t>
            </w:r>
            <w:r>
              <w:rPr>
                <w:rFonts w:hint="eastAsia" w:asciiTheme="minorEastAsia" w:hAnsiTheme="minorEastAsia" w:eastAsiaTheme="minorEastAsia" w:cstheme="minorEastAsia"/>
                <w:color w:val="auto"/>
                <w:spacing w:val="-8"/>
                <w:szCs w:val="21"/>
              </w:rPr>
              <w:t>≥1.2mm。凳</w:t>
            </w:r>
            <w:r>
              <w:rPr>
                <w:rFonts w:hint="eastAsia" w:asciiTheme="minorEastAsia" w:hAnsiTheme="minorEastAsia" w:eastAsiaTheme="minorEastAsia" w:cstheme="minorEastAsia"/>
                <w:color w:val="auto"/>
                <w:szCs w:val="21"/>
              </w:rPr>
              <w:t>脚带PP塑料保护套。</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8"/>
                <w:szCs w:val="21"/>
              </w:rPr>
              <w:t>金属表面经酸洗、磷化、钝化，环氧聚酯热固粉末（环保一级）高压恒温静电喷塑。喷涂均匀，附着</w:t>
            </w:r>
            <w:r>
              <w:rPr>
                <w:rFonts w:hint="eastAsia" w:asciiTheme="minorEastAsia" w:hAnsiTheme="minorEastAsia" w:eastAsiaTheme="minorEastAsia" w:cstheme="minorEastAsia"/>
                <w:color w:val="auto"/>
                <w:szCs w:val="21"/>
              </w:rPr>
              <w:t>力强，耐腐蚀，耐擦挂，耐冲击，防护性能良好。漆膜厚度≥0.8mm；坐板安装应严密、平整、端正、牢固，结合处应无崩茬或松动，金属配件做除锈和防腐处理。表面处理要求:与所有贴面附着牢固，无气泡，不易脱落，硬度较大，不易划伤（表面无明显螺丝钉），有较强的抗涂鸦能力与防破坏能力，可换性强，便于使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64384" behindDoc="0" locked="0" layoutInCell="1" allowOverlap="1">
                  <wp:simplePos x="0" y="0"/>
                  <wp:positionH relativeFrom="page">
                    <wp:posOffset>1329055</wp:posOffset>
                  </wp:positionH>
                  <wp:positionV relativeFrom="paragraph">
                    <wp:posOffset>226060</wp:posOffset>
                  </wp:positionV>
                  <wp:extent cx="752475" cy="1113155"/>
                  <wp:effectExtent l="0" t="0" r="9525" b="10795"/>
                  <wp:wrapNone/>
                  <wp:docPr id="1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a:picLocks noChangeAspect="1"/>
                          </pic:cNvPicPr>
                        </pic:nvPicPr>
                        <pic:blipFill>
                          <a:blip r:embed="rId14"/>
                          <a:stretch>
                            <a:fillRect/>
                          </a:stretch>
                        </pic:blipFill>
                        <pic:spPr>
                          <a:xfrm>
                            <a:off x="0" y="0"/>
                            <a:ext cx="752475" cy="1113155"/>
                          </a:xfrm>
                          <a:prstGeom prst="rect">
                            <a:avLst/>
                          </a:prstGeom>
                          <a:noFill/>
                          <a:ln>
                            <a:noFill/>
                          </a:ln>
                        </pic:spPr>
                      </pic:pic>
                    </a:graphicData>
                  </a:graphic>
                </wp:anchor>
              </w:drawing>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ight="167"/>
              <w:rPr>
                <w:rFonts w:asciiTheme="minorEastAsia" w:hAnsiTheme="minorEastAsia" w:eastAsiaTheme="minorEastAsia" w:cstheme="minorEastAsia"/>
                <w:b/>
                <w:color w:val="auto"/>
                <w:szCs w:val="21"/>
              </w:rPr>
            </w:pPr>
          </w:p>
        </w:tc>
        <w:tc>
          <w:tcPr>
            <w:tcW w:w="748" w:type="dxa"/>
          </w:tcPr>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ind w:left="128" w:right="11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1324</w:t>
            </w:r>
          </w:p>
        </w:tc>
        <w:tc>
          <w:tcPr>
            <w:tcW w:w="242" w:type="dxa"/>
          </w:tcPr>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ind w:left="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套</w:t>
            </w:r>
          </w:p>
        </w:tc>
        <w:tc>
          <w:tcPr>
            <w:tcW w:w="497" w:type="dxa"/>
          </w:tcPr>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ind w:left="277"/>
              <w:jc w:val="center"/>
              <w:rPr>
                <w:rFonts w:asciiTheme="minorEastAsia" w:hAnsiTheme="minorEastAsia" w:eastAsiaTheme="minorEastAsia" w:cstheme="minorEastAsia"/>
                <w:color w:val="auto"/>
                <w:szCs w:val="21"/>
              </w:rPr>
            </w:pPr>
          </w:p>
          <w:p>
            <w:pPr>
              <w:pStyle w:val="139"/>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10" w:type="dxa"/>
            <w:vAlign w:val="center"/>
          </w:tcPr>
          <w:p>
            <w:pPr>
              <w:pStyle w:val="139"/>
              <w:spacing w:line="360" w:lineRule="auto"/>
              <w:ind w:left="10"/>
              <w:jc w:val="center"/>
              <w:rPr>
                <w:rFonts w:asciiTheme="minorEastAsia" w:hAnsiTheme="minorEastAsia" w:eastAsiaTheme="minorEastAsia" w:cstheme="minorEastAsia"/>
                <w:color w:val="auto"/>
                <w:szCs w:val="21"/>
              </w:rPr>
            </w:pPr>
          </w:p>
          <w:p>
            <w:pPr>
              <w:pStyle w:val="139"/>
              <w:spacing w:line="360" w:lineRule="auto"/>
              <w:ind w:left="10"/>
              <w:jc w:val="center"/>
              <w:rPr>
                <w:rFonts w:asciiTheme="minorEastAsia" w:hAnsiTheme="minorEastAsia" w:eastAsiaTheme="minorEastAsia" w:cstheme="minorEastAsia"/>
                <w:color w:val="auto"/>
                <w:szCs w:val="21"/>
              </w:rPr>
            </w:pPr>
          </w:p>
          <w:p>
            <w:pPr>
              <w:pStyle w:val="139"/>
              <w:spacing w:line="360" w:lineRule="auto"/>
              <w:ind w:left="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p>
            <w:pPr>
              <w:pStyle w:val="139"/>
              <w:spacing w:line="360" w:lineRule="auto"/>
              <w:ind w:left="10"/>
              <w:jc w:val="center"/>
              <w:rPr>
                <w:rFonts w:asciiTheme="minorEastAsia" w:hAnsiTheme="minorEastAsia" w:eastAsiaTheme="minorEastAsia" w:cstheme="minorEastAsia"/>
                <w:color w:val="auto"/>
                <w:szCs w:val="21"/>
              </w:rPr>
            </w:pPr>
          </w:p>
        </w:tc>
        <w:tc>
          <w:tcPr>
            <w:tcW w:w="611" w:type="dxa"/>
            <w:vAlign w:val="center"/>
          </w:tcPr>
          <w:p>
            <w:pPr>
              <w:pStyle w:val="139"/>
              <w:spacing w:line="360" w:lineRule="auto"/>
              <w:jc w:val="center"/>
              <w:rPr>
                <w:rFonts w:asciiTheme="minorEastAsia" w:hAnsiTheme="minorEastAsia" w:eastAsiaTheme="minorEastAsia" w:cstheme="minorEastAsia"/>
                <w:color w:val="auto"/>
                <w:szCs w:val="21"/>
              </w:rPr>
            </w:pPr>
          </w:p>
          <w:p>
            <w:pPr>
              <w:pStyle w:val="139"/>
              <w:spacing w:line="360" w:lineRule="auto"/>
              <w:ind w:left="79" w:right="6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二联体公寓床</w:t>
            </w:r>
          </w:p>
        </w:tc>
        <w:tc>
          <w:tcPr>
            <w:tcW w:w="7368" w:type="dxa"/>
          </w:tcPr>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5"/>
                <w:szCs w:val="21"/>
              </w:rPr>
              <w:t>二联体公寓床规格：长约 4</w:t>
            </w:r>
            <w:r>
              <w:rPr>
                <w:rFonts w:hint="eastAsia" w:asciiTheme="minorEastAsia" w:hAnsiTheme="minorEastAsia" w:eastAsiaTheme="minorEastAsia" w:cstheme="minorEastAsia"/>
                <w:color w:val="auto"/>
                <w:szCs w:val="21"/>
              </w:rPr>
              <w:t>000mm×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900mm×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2100 mm，</w:t>
            </w:r>
            <w:r>
              <w:rPr>
                <w:rFonts w:hint="eastAsia" w:asciiTheme="minorEastAsia" w:hAnsiTheme="minorEastAsia" w:eastAsiaTheme="minorEastAsia" w:cstheme="minorEastAsia"/>
                <w:color w:val="auto"/>
                <w:spacing w:val="-16"/>
                <w:szCs w:val="21"/>
              </w:rPr>
              <w:t>净</w:t>
            </w:r>
            <w:r>
              <w:rPr>
                <w:rFonts w:hint="eastAsia" w:asciiTheme="minorEastAsia" w:hAnsiTheme="minorEastAsia" w:eastAsiaTheme="minorEastAsia" w:cstheme="minorEastAsia"/>
                <w:color w:val="auto"/>
                <w:spacing w:val="-27"/>
                <w:szCs w:val="21"/>
              </w:rPr>
              <w:t>高1</w:t>
            </w:r>
            <w:r>
              <w:rPr>
                <w:rFonts w:hint="eastAsia" w:asciiTheme="minorEastAsia" w:hAnsiTheme="minorEastAsia" w:eastAsiaTheme="minorEastAsia" w:cstheme="minorEastAsia"/>
                <w:color w:val="auto"/>
                <w:szCs w:val="21"/>
              </w:rPr>
              <w:t>700 mm (床梁底至地面距)带蚊帐杆总高度2800mm，允许偏差±5mm。金属床连接方式为</w:t>
            </w:r>
            <w:r>
              <w:rPr>
                <w:rFonts w:hint="eastAsia" w:asciiTheme="minorEastAsia" w:hAnsiTheme="minorEastAsia" w:eastAsiaTheme="minorEastAsia" w:cstheme="minorEastAsia"/>
                <w:b/>
                <w:bCs/>
                <w:color w:val="auto"/>
                <w:szCs w:val="21"/>
              </w:rPr>
              <w:t>卡扣式</w:t>
            </w:r>
            <w:r>
              <w:rPr>
                <w:rFonts w:hint="eastAsia" w:asciiTheme="minorEastAsia" w:hAnsiTheme="minorEastAsia" w:eastAsiaTheme="minorEastAsia" w:cstheme="minorEastAsia"/>
                <w:color w:val="auto"/>
                <w:szCs w:val="21"/>
              </w:rPr>
              <w:t>。</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执行标准：GB/T 3325-2017《金属家具通用技术条件》、QB/T 2714-2013《学生公寓多功能家具》、GB 18580-2017 《室内装饰装修材料 人造板及其制品中甲醛释放限量》、GB/T 18584-2001 《室内装饰材料木家具中有害物质限量》、GB/T 3094-2012《冷拔异型钢管》、</w:t>
            </w:r>
            <w:r>
              <w:rPr>
                <w:color w:val="auto"/>
              </w:rPr>
              <w:fldChar w:fldCharType="begin"/>
            </w:r>
            <w:r>
              <w:rPr>
                <w:color w:val="auto"/>
              </w:rPr>
              <w:instrText xml:space="preserve"> HYPERLINK "https://www.baidu.com/link?url=ntbZNSl2ihh-3BkEopLaFgBi6E8JCmqK_CCoRqY06Ai89mIHQ8iyqRfPMGxVGmFejDkExBjtBirJjI_dFSXDAvEIfoBBgCdPB_7N0WUd_oe&amp;wd=&amp;eqid=e40ce32a0000024d000000066305be23" \t "https://www.baidu.com/_blank" </w:instrText>
            </w:r>
            <w:r>
              <w:rPr>
                <w:color w:val="auto"/>
              </w:rPr>
              <w:fldChar w:fldCharType="separate"/>
            </w:r>
            <w:r>
              <w:rPr>
                <w:rFonts w:hint="eastAsia" w:asciiTheme="minorEastAsia" w:hAnsiTheme="minorEastAsia" w:eastAsiaTheme="minorEastAsia" w:cstheme="minorEastAsia"/>
                <w:b/>
                <w:color w:val="auto"/>
                <w:szCs w:val="21"/>
              </w:rPr>
              <w:t>HJ2547-2016《环境标志产品技术要求  家具</w:t>
            </w:r>
            <w:r>
              <w:rPr>
                <w:rFonts w:hint="eastAsia" w:asciiTheme="minorEastAsia" w:hAnsiTheme="minorEastAsia" w:eastAsiaTheme="minorEastAsia" w:cstheme="minorEastAsia"/>
                <w:b/>
                <w:color w:val="auto"/>
                <w:szCs w:val="21"/>
              </w:rPr>
              <w:fldChar w:fldCharType="end"/>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GB/T 39600-2021《人造板及其制品甲醛释放量分级》、GB/T20445-2017《刨光材》、GB/T 10357.6-2013《</w:t>
            </w:r>
            <w:r>
              <w:rPr>
                <w:rFonts w:hint="eastAsia" w:asciiTheme="minorEastAsia" w:hAnsiTheme="minorEastAsia" w:eastAsiaTheme="minorEastAsia" w:cstheme="minorEastAsia"/>
                <w:b/>
                <w:bCs/>
                <w:color w:val="auto"/>
                <w:szCs w:val="21"/>
                <w:shd w:val="clear" w:color="auto" w:fill="FFFFFF"/>
              </w:rPr>
              <w:t>家具力学性能试验 第6部分：单层床强度和耐久性</w:t>
            </w:r>
            <w:r>
              <w:rPr>
                <w:rFonts w:hint="eastAsia" w:asciiTheme="minorEastAsia" w:hAnsiTheme="minorEastAsia" w:eastAsiaTheme="minorEastAsia" w:cstheme="minorEastAsia"/>
                <w:b/>
                <w:bCs/>
                <w:color w:val="auto"/>
                <w:szCs w:val="21"/>
              </w:rPr>
              <w:t>》、GB/T 1771-2007《色漆和清漆 耐中性盐雾性能的测定》、GB/T 11718-2009（2021）《中密度纤维板》、QB/T 3827-1999 《轻工产品金属镀层和化学处理层的耐腐蚀试验方法乙酸盐雾试验(ASS)法》、QB/T3832-1999《轻工产品金属镀层腐蚀试验结果的评价》。</w:t>
            </w:r>
          </w:p>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公寓床组成：</w:t>
            </w:r>
            <w:r>
              <w:rPr>
                <w:rFonts w:hint="eastAsia" w:asciiTheme="minorEastAsia" w:hAnsiTheme="minorEastAsia" w:eastAsiaTheme="minorEastAsia" w:cstheme="minorEastAsia"/>
                <w:color w:val="auto"/>
                <w:szCs w:val="21"/>
              </w:rPr>
              <w:t>包含床、衣柜、书架、学习桌、方凳等。</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金属家具材料要求：金属家具所有管材采用冷拔异型钢管，所有板材采用冷轧钢板，各种金属部件采用高频焊接，各金属件经除油、除锈、酸洗、磷化等工序,涂层采用聚脂环氧粉末静电喷塑处理,内外两面喷塑，颜色为灰白色。各焊接点表面光滑无毛刺,焊接处无夹渣、气孔、焊瘤、焊丝头咬边飞溅，无脱焊、虚焊及焊穿等现象。</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涂层符合GB/T 3325-2017《金属家具通用技术条件》及QB/T 3827-1999 《轻工产品金属镀层和化学处理层的耐腐蚀试验方法乙酸盐雾试验(ASS)法》涂层外观：金属件涂层应无漏喷、锈蚀;应光滑均匀，色泽一致，应无流挂、疙瘩、皱皮、飞漆等缺陷。每批产品不允许有明显色差。产品上的五金配件应做防锈处理；硬度H或以上；冲击强度：冲击高度400mm，应无剥落、裂纹或皱纹；耐腐蚀：100h内，观察在溶剂中样板上划道两侧3mm以外应无鼓泡产生；100h后，检查划道两侧3 mm以外，应无锈迹、剥落、起皱、变色和失光等现象；附着力：不低于2级；依据QB/T3832-1999《轻工产品金属镀层腐蚀试验结果的评价》标准判定耐腐蚀等级为9级。</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木质材料要求：①人造板采用中密度纤维板，板材密度≥0.70g/cm³，防火板饰面，甲醛释放限量：1m³气候箱法≤0.05mg/m³，按GB/T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 w:val="21"/>
                <w:szCs w:val="21"/>
                <w:vertAlign w:val="subscript"/>
              </w:rPr>
              <w:t>0</w:t>
            </w:r>
            <w:r>
              <w:rPr>
                <w:rFonts w:hint="eastAsia" w:asciiTheme="minorEastAsia" w:hAnsiTheme="minorEastAsia" w:eastAsiaTheme="minorEastAsia" w:cstheme="minorEastAsia"/>
                <w:color w:val="auto"/>
                <w:sz w:val="21"/>
                <w:szCs w:val="21"/>
              </w:rPr>
              <w:t>级；②橡胶木指接板，厚度≥20mm，表面涂饰材料为聚酯清漆；③杉木床板厚度≥15mm，背梢杉木方尺寸：宽30mm×厚20mm（以上尺寸允许偏差±0.5mm），且满足GB/T20445-2017《刨光材》标准中二等品及以上质量。</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涂层（塑粉）：符合HG/T 2006-2006《热固性粉末涂料》</w:t>
            </w:r>
            <w:r>
              <w:rPr>
                <w:rFonts w:hint="eastAsia" w:asciiTheme="minorEastAsia" w:hAnsiTheme="minorEastAsia" w:eastAsiaTheme="minorEastAsia" w:cstheme="minorEastAsia"/>
                <w:color w:val="auto"/>
                <w:sz w:val="21"/>
                <w:szCs w:val="21"/>
                <w:lang w:eastAsia="zh-CN"/>
              </w:rPr>
              <w:t>。</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床铺面集中静载荷1650N，≥10次10s/次，试验检测合格；床铺面均布静载荷1800N，≥</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小时，试验检测合格。</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68480" behindDoc="0" locked="0" layoutInCell="1" allowOverlap="1">
                  <wp:simplePos x="0" y="0"/>
                  <wp:positionH relativeFrom="column">
                    <wp:posOffset>2673350</wp:posOffset>
                  </wp:positionH>
                  <wp:positionV relativeFrom="paragraph">
                    <wp:posOffset>572770</wp:posOffset>
                  </wp:positionV>
                  <wp:extent cx="1391285" cy="1221740"/>
                  <wp:effectExtent l="0" t="0" r="18415" b="1714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rcRect l="3415" r="49367" b="3493"/>
                          <a:stretch>
                            <a:fillRect/>
                          </a:stretch>
                        </pic:blipFill>
                        <pic:spPr>
                          <a:xfrm>
                            <a:off x="0" y="0"/>
                            <a:ext cx="1391285" cy="1221740"/>
                          </a:xfrm>
                          <a:prstGeom prst="rect">
                            <a:avLst/>
                          </a:prstGeom>
                          <a:noFill/>
                          <a:ln>
                            <a:noFill/>
                          </a:ln>
                        </pic:spPr>
                      </pic:pic>
                    </a:graphicData>
                  </a:graphic>
                </wp:anchor>
              </w:drawing>
            </w:r>
            <w:r>
              <w:rPr>
                <w:rFonts w:hint="eastAsia" w:asciiTheme="minorEastAsia" w:hAnsiTheme="minorEastAsia" w:eastAsiaTheme="minorEastAsia" w:cstheme="minorEastAsia"/>
                <w:color w:val="auto"/>
                <w:sz w:val="21"/>
                <w:szCs w:val="21"/>
              </w:rPr>
              <w:t>★1.床（边）立柱（4根）规格：77mm×77mm（以上尺寸允许偏差±1mm），管壁厚度≥1.5mm一次滚压型材(立柱上有四条加强筋，双面喷塑），底部加ABS高强度塑料外套，脚套高度≥25mm。</w:t>
            </w: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spacing w:line="360" w:lineRule="exact"/>
              <w:rPr>
                <w:rFonts w:asciiTheme="minorEastAsia" w:hAnsiTheme="minorEastAsia" w:eastAsiaTheme="minorEastAsia" w:cstheme="minorEastAsia"/>
                <w:color w:val="auto"/>
                <w:szCs w:val="21"/>
              </w:rPr>
            </w:pPr>
          </w:p>
          <w:p>
            <w:pPr>
              <w:pStyle w:val="2"/>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2.中立柱（2根）规格：80mm×40mm（以上尺寸允许偏差±1mm），管壁厚度≥1.5mm一次成型优质冷拔钢管。底部加ABS高强度塑料外套，脚套高度≥25mm。</w:t>
            </w: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3.床横梁（4根）规格：92mm×42 mm（以上尺寸允许偏差±1mm），管壁厚度≥1.5 mm机器一次成型型材。(横梁上有三条加强筋，双面喷塑）。</w:t>
            </w: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color w:val="auto"/>
                <w:spacing w:val="-16"/>
                <w:szCs w:val="21"/>
              </w:rPr>
              <mc:AlternateContent>
                <mc:Choice Requires="wpg">
                  <w:drawing>
                    <wp:anchor distT="0" distB="0" distL="114300" distR="114300" simplePos="0" relativeHeight="251669504" behindDoc="0" locked="0" layoutInCell="1" allowOverlap="1">
                      <wp:simplePos x="0" y="0"/>
                      <wp:positionH relativeFrom="column">
                        <wp:posOffset>1005205</wp:posOffset>
                      </wp:positionH>
                      <wp:positionV relativeFrom="paragraph">
                        <wp:posOffset>111125</wp:posOffset>
                      </wp:positionV>
                      <wp:extent cx="2374900" cy="1088390"/>
                      <wp:effectExtent l="0" t="0" r="2540" b="8890"/>
                      <wp:wrapNone/>
                      <wp:docPr id="26" name="组合 3"/>
                      <wp:cNvGraphicFramePr/>
                      <a:graphic xmlns:a="http://schemas.openxmlformats.org/drawingml/2006/main">
                        <a:graphicData uri="http://schemas.microsoft.com/office/word/2010/wordprocessingGroup">
                          <wpg:wgp>
                            <wpg:cNvGrpSpPr/>
                            <wpg:grpSpPr>
                              <a:xfrm>
                                <a:off x="0" y="0"/>
                                <a:ext cx="2374900" cy="1088390"/>
                                <a:chOff x="0" y="0"/>
                                <a:chExt cx="2955925" cy="1487805"/>
                              </a:xfrm>
                              <a:effectLst/>
                            </wpg:grpSpPr>
                            <pic:pic xmlns:pic="http://schemas.openxmlformats.org/drawingml/2006/picture">
                              <pic:nvPicPr>
                                <pic:cNvPr id="27" name="image5.jpeg"/>
                                <pic:cNvPicPr>
                                  <a:picLocks noChangeAspect="1"/>
                                </pic:cNvPicPr>
                              </pic:nvPicPr>
                              <pic:blipFill>
                                <a:blip r:embed="rId8" cstate="print"/>
                                <a:stretch>
                                  <a:fillRect/>
                                </a:stretch>
                              </pic:blipFill>
                              <pic:spPr>
                                <a:xfrm>
                                  <a:off x="1390650" y="0"/>
                                  <a:ext cx="1565275" cy="1327785"/>
                                </a:xfrm>
                                <a:prstGeom prst="rect">
                                  <a:avLst/>
                                </a:prstGeom>
                                <a:noFill/>
                                <a:ln>
                                  <a:noFill/>
                                </a:ln>
                                <a:effectLst/>
                              </pic:spPr>
                            </pic:pic>
                            <pic:pic xmlns:pic="http://schemas.openxmlformats.org/drawingml/2006/picture">
                              <pic:nvPicPr>
                                <pic:cNvPr id="28" name="图片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47625"/>
                                  <a:ext cx="1315720" cy="1440180"/>
                                </a:xfrm>
                                <a:prstGeom prst="rect">
                                  <a:avLst/>
                                </a:prstGeom>
                                <a:noFill/>
                                <a:ln>
                                  <a:noFill/>
                                </a:ln>
                                <a:effectLst/>
                              </pic:spPr>
                            </pic:pic>
                          </wpg:wgp>
                        </a:graphicData>
                      </a:graphic>
                    </wp:anchor>
                  </w:drawing>
                </mc:Choice>
                <mc:Fallback>
                  <w:pict>
                    <v:group id="组合 3" o:spid="_x0000_s1026" o:spt="203" style="position:absolute;left:0pt;margin-left:79.15pt;margin-top:8.75pt;height:85.7pt;width:187pt;z-index:251669504;mso-width-relative:page;mso-height-relative:page;" coordsize="2955925,1487805" o:gfxdata="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">
                      <o:lock v:ext="edit" aspectratio="f"/>
                      <v:shape id="image5.jpeg" o:spid="_x0000_s1026" o:spt="75" type="#_x0000_t75" style="position:absolute;left:1390650;top:0;height:1327785;width:1565275;" filled="f" o:preferrelative="t" stroked="f" coordsize="21600,21600" o:gfxdata="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yi0C8AAAA&#10;2wAAAA8AAAAAAAAAAQAgAAAAIgAAAGRycy9kb3ducmV2LnhtbFBLAQIUABQAAAAIAIdO4kAzLwWe&#10;OwAAADkAAAAQAAAAAAAAAAEAIAAAAAsBAABkcnMvc2hhcGV4bWwueG1sUEsFBgAAAAAGAAYAWwEA&#10;ALUDAAAAAA==&#10;">
                        <v:fill on="f" focussize="0,0"/>
                        <v:stroke on="f"/>
                        <v:imagedata r:id="rId8" o:title=""/>
                        <o:lock v:ext="edit" aspectratio="t"/>
                      </v:shape>
                      <v:shape id="图片 6" o:spid="_x0000_s1026" o:spt="75" type="#_x0000_t75" style="position:absolute;left:0;top:47625;height:1440180;width:1315720;" filled="f" o:preferrelative="t" stroked="f" coordsize="21600,21600" o:gfxdata="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k5AbgAAADbAAAA&#10;DwAAAAAAAAABACAAAAAiAAAAZHJzL2Rvd25yZXYueG1sUEsBAhQAFAAAAAgAh07iQDMvBZ47AAAA&#10;OQAAABAAAAAAAAAAAQAgAAAABwEAAGRycy9zaGFwZXhtbC54bWxQSwUGAAAAAAYABgBbAQAAsQMA&#10;AAAA&#10;">
                        <v:fill on="f" focussize="0,0"/>
                        <v:stroke on="f"/>
                        <v:imagedata r:id="rId9" o:title=""/>
                        <o:lock v:ext="edit" aspectratio="t"/>
                      </v:shape>
                    </v:group>
                  </w:pict>
                </mc:Fallback>
              </mc:AlternateContent>
            </w: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4.侧横梁（6 根）规格：50mm×30 mm（以上尺寸允许偏差±1mm），管壁厚度≥1.5 mm一次成型优质冷拔钢管。</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5.床挂件（12</w:t>
            </w:r>
            <w:r>
              <w:rPr>
                <w:rFonts w:hint="eastAsia" w:asciiTheme="minorEastAsia" w:hAnsiTheme="minorEastAsia" w:eastAsiaTheme="minorEastAsia" w:cstheme="minorEastAsia"/>
                <w:color w:val="auto"/>
                <w:spacing w:val="-27"/>
                <w:szCs w:val="21"/>
              </w:rPr>
              <w:t xml:space="preserve"> 个</w:t>
            </w:r>
            <w:r>
              <w:rPr>
                <w:rFonts w:hint="eastAsia" w:asciiTheme="minorEastAsia" w:hAnsiTheme="minorEastAsia" w:eastAsiaTheme="minorEastAsia" w:cstheme="minorEastAsia"/>
                <w:color w:val="auto"/>
                <w:szCs w:val="21"/>
              </w:rPr>
              <w:t>）规格：30mm×30 mm×202 mm（长），管壁厚度≥2.0 mm；(双面喷塑）。</w:t>
            </w:r>
          </w:p>
          <w:p>
            <w:pPr>
              <w:pStyle w:val="139"/>
              <w:spacing w:line="360" w:lineRule="exact"/>
              <w:ind w:left="15" w:right="173"/>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6.床梃（10 个）规格：34mm×28 mm（以上尺寸允许偏差±1mm），管壁厚度≥1.5 mm采用D型管增加承重能力和预防碰撞伤害。</w:t>
            </w: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71552" behindDoc="0" locked="0" layoutInCell="1" allowOverlap="1">
                  <wp:simplePos x="0" y="0"/>
                  <wp:positionH relativeFrom="column">
                    <wp:posOffset>1342390</wp:posOffset>
                  </wp:positionH>
                  <wp:positionV relativeFrom="paragraph">
                    <wp:posOffset>83820</wp:posOffset>
                  </wp:positionV>
                  <wp:extent cx="1969135" cy="1377950"/>
                  <wp:effectExtent l="0" t="0" r="12065" b="12700"/>
                  <wp:wrapNone/>
                  <wp:docPr id="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pic:cNvPicPr>
                            <a:picLocks noChangeAspect="1"/>
                          </pic:cNvPicPr>
                        </pic:nvPicPr>
                        <pic:blipFill>
                          <a:blip r:embed="rId10"/>
                          <a:srcRect t="4303" b="6763"/>
                          <a:stretch>
                            <a:fillRect/>
                          </a:stretch>
                        </pic:blipFill>
                        <pic:spPr>
                          <a:xfrm>
                            <a:off x="0" y="0"/>
                            <a:ext cx="1969135" cy="1377950"/>
                          </a:xfrm>
                          <a:prstGeom prst="rect">
                            <a:avLst/>
                          </a:prstGeom>
                          <a:noFill/>
                          <a:ln>
                            <a:noFill/>
                          </a:ln>
                        </pic:spPr>
                      </pic:pic>
                    </a:graphicData>
                  </a:graphic>
                </wp:anchor>
              </w:drawing>
            </w:r>
            <w:r>
              <w:rPr>
                <w:rFonts w:hint="eastAsia" w:asciiTheme="minorEastAsia" w:hAnsiTheme="minorEastAsia" w:eastAsiaTheme="minorEastAsia" w:cstheme="minorEastAsia"/>
                <w:color w:val="auto"/>
                <w:szCs w:val="21"/>
              </w:rPr>
              <w:drawing>
                <wp:anchor distT="0" distB="0" distL="114300" distR="114300" simplePos="0" relativeHeight="251670528" behindDoc="0" locked="0" layoutInCell="1" allowOverlap="1">
                  <wp:simplePos x="0" y="0"/>
                  <wp:positionH relativeFrom="column">
                    <wp:posOffset>59690</wp:posOffset>
                  </wp:positionH>
                  <wp:positionV relativeFrom="paragraph">
                    <wp:posOffset>249555</wp:posOffset>
                  </wp:positionV>
                  <wp:extent cx="1099185" cy="1157605"/>
                  <wp:effectExtent l="0" t="0" r="5715" b="4445"/>
                  <wp:wrapNone/>
                  <wp:docPr id="34" name="图片 15" descr="ef787daa9138e46382783904ce10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 descr="ef787daa9138e46382783904ce10ac4"/>
                          <pic:cNvPicPr>
                            <a:picLocks noChangeAspect="1"/>
                          </pic:cNvPicPr>
                        </pic:nvPicPr>
                        <pic:blipFill>
                          <a:blip r:embed="rId11"/>
                          <a:srcRect l="5063" t="18449" r="59135" b="24396"/>
                          <a:stretch>
                            <a:fillRect/>
                          </a:stretch>
                        </pic:blipFill>
                        <pic:spPr>
                          <a:xfrm>
                            <a:off x="0" y="0"/>
                            <a:ext cx="1099185" cy="1157605"/>
                          </a:xfrm>
                          <a:prstGeom prst="rect">
                            <a:avLst/>
                          </a:prstGeom>
                          <a:noFill/>
                          <a:ln>
                            <a:noFill/>
                          </a:ln>
                        </pic:spPr>
                      </pic:pic>
                    </a:graphicData>
                  </a:graphic>
                </wp:anchor>
              </w:drawing>
            </w: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7.后拉杆（2根）规格：25mm×25mm（以上尺寸允许偏差±1mm），管壁厚度≥1.5 mm。</w:t>
            </w:r>
          </w:p>
          <w:p>
            <w:pPr>
              <w:pStyle w:val="139"/>
              <w:wordWrap w:val="0"/>
              <w:spacing w:line="360" w:lineRule="exact"/>
              <w:ind w:left="17"/>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8.床护栏（2个）规格：长1200mm×高300mm（以上尺寸允许偏差±</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mm），管材口径25mm×25mm（以上尺寸允许偏差±</w:t>
            </w:r>
            <w:r>
              <w:rPr>
                <w:rFonts w:hint="eastAsia" w:asciiTheme="minorEastAsia" w:hAnsiTheme="minorEastAsia" w:eastAsiaTheme="minorEastAsia" w:cstheme="minorEastAsia"/>
                <w:color w:val="auto"/>
                <w:szCs w:val="21"/>
                <w:lang w:val="en-US" w:eastAsia="zh-CN"/>
              </w:rPr>
              <w:t>0.5</w:t>
            </w:r>
            <w:r>
              <w:rPr>
                <w:rFonts w:hint="eastAsia" w:asciiTheme="minorEastAsia" w:hAnsiTheme="minorEastAsia" w:eastAsiaTheme="minorEastAsia" w:cstheme="minorEastAsia"/>
                <w:color w:val="auto"/>
                <w:szCs w:val="21"/>
              </w:rPr>
              <w:t>mm），管壁厚度≥1.5mm的优质冷拔钢管，内镶带储物功能储物盒，储物盒采用一次成型管壁厚度≥0.7mm的优质冷轧钢板，尺寸500mm×183mm（以上尺寸允许偏差±1mm），储物盒中间加校徽LOGO,LOGO直径约120mm，在中标后由采购人与中标供应商沟通LOGO具体款式。</w:t>
            </w:r>
          </w:p>
          <w:p>
            <w:pPr>
              <w:wordWrap w:val="0"/>
              <w:autoSpaceDE w:val="0"/>
              <w:autoSpaceDN w:val="0"/>
              <w:adjustRightInd w:val="0"/>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color w:val="auto"/>
                <w:szCs w:val="21"/>
              </w:rPr>
              <w:t>9.床档头（3个）规格：边档头（2个）整体尺寸746mm×300mm（以上尺寸允许偏差±1mm），中间档头（1个）整体尺寸500mm×230mm（以上尺寸允许偏差±1mm），上部分采用优质方管20mm×20mm，管壁厚度≥1.5mm，下部分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厚度为≥16</w:t>
            </w:r>
            <w:r>
              <w:rPr>
                <w:rFonts w:hint="eastAsia" w:asciiTheme="minorEastAsia" w:hAnsiTheme="minorEastAsia" w:eastAsiaTheme="minorEastAsia" w:cstheme="minorEastAsia"/>
                <w:color w:val="auto"/>
                <w:szCs w:val="21"/>
              </w:rPr>
              <w:t>mm，可以防止物品掉落及被褥外漏。</w:t>
            </w: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left="15" w:right="4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10.蚊帐架（3 个）规格：Φ14 mm（尺寸允许偏差±0.5mm），管壁厚度≥1.2 mm，蚊帐架活连接，开字造型。</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11.落地床梯（1 组）规格：40mm×20mm（以上尺寸允许偏差±1mm），管壁厚度≥1.5 mm</w:t>
            </w:r>
            <w:r>
              <w:rPr>
                <w:rFonts w:hint="eastAsia" w:asciiTheme="minorEastAsia" w:hAnsiTheme="minorEastAsia" w:eastAsiaTheme="minorEastAsia" w:cstheme="minorEastAsia"/>
                <w:color w:val="auto"/>
                <w:spacing w:val="-12"/>
                <w:szCs w:val="21"/>
              </w:rPr>
              <w:t>优质钢管制作，脚踏板采用≥</w:t>
            </w:r>
            <w:r>
              <w:rPr>
                <w:rFonts w:hint="eastAsia" w:asciiTheme="minorEastAsia" w:hAnsiTheme="minorEastAsia" w:eastAsiaTheme="minorEastAsia" w:cstheme="minorEastAsia"/>
                <w:color w:val="auto"/>
                <w:szCs w:val="21"/>
              </w:rPr>
              <w:t>1.5 mm</w:t>
            </w:r>
            <w:r>
              <w:rPr>
                <w:rFonts w:hint="eastAsia" w:asciiTheme="minorEastAsia" w:hAnsiTheme="minorEastAsia" w:eastAsiaTheme="minorEastAsia" w:cstheme="minorEastAsia"/>
                <w:color w:val="auto"/>
                <w:spacing w:val="-9"/>
                <w:szCs w:val="21"/>
              </w:rPr>
              <w:t>厚优质冷轧钢板经模</w:t>
            </w:r>
            <w:r>
              <w:rPr>
                <w:rFonts w:hint="eastAsia" w:asciiTheme="minorEastAsia" w:hAnsiTheme="minorEastAsia" w:eastAsiaTheme="minorEastAsia" w:cstheme="minorEastAsia"/>
                <w:color w:val="auto"/>
                <w:spacing w:val="-6"/>
                <w:szCs w:val="21"/>
              </w:rPr>
              <w:t>压而成，成型后尺寸长420mm(±1mm)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中间宽95mm(±1mm)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高23mm(±1mm)，表面有防滑纹，外加长425mm(±1mm)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宽100mm(±1mm)</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pacing w:val="-6"/>
                <w:szCs w:val="21"/>
              </w:rPr>
              <w:t>高26mm(±1mm)的夜光塑料外套一个，至少5个与踏板链接扣件，起到安全的作用，需与楼梯梯架焊接。</w:t>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67456" behindDoc="1" locked="0" layoutInCell="1" allowOverlap="1">
                  <wp:simplePos x="0" y="0"/>
                  <wp:positionH relativeFrom="column">
                    <wp:posOffset>714375</wp:posOffset>
                  </wp:positionH>
                  <wp:positionV relativeFrom="paragraph">
                    <wp:posOffset>75565</wp:posOffset>
                  </wp:positionV>
                  <wp:extent cx="2482850" cy="1290320"/>
                  <wp:effectExtent l="0" t="0" r="12700" b="5080"/>
                  <wp:wrapNone/>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pic:cNvPicPr>
                            <a:picLocks noChangeAspect="1"/>
                          </pic:cNvPicPr>
                        </pic:nvPicPr>
                        <pic:blipFill>
                          <a:blip r:embed="rId12"/>
                          <a:stretch>
                            <a:fillRect/>
                          </a:stretch>
                        </pic:blipFill>
                        <pic:spPr>
                          <a:xfrm>
                            <a:off x="0" y="0"/>
                            <a:ext cx="2482850" cy="1290320"/>
                          </a:xfrm>
                          <a:prstGeom prst="rect">
                            <a:avLst/>
                          </a:prstGeom>
                          <a:noFill/>
                          <a:ln>
                            <a:noFill/>
                          </a:ln>
                        </pic:spPr>
                      </pic:pic>
                    </a:graphicData>
                  </a:graphic>
                </wp:anchor>
              </w:drawing>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tabs>
                <w:tab w:val="left" w:pos="435"/>
              </w:tabs>
              <w:spacing w:line="360" w:lineRule="exact"/>
              <w:ind w:left="15" w:right="147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12.钢制柜（含衣柜、书架）（2</w:t>
            </w:r>
            <w:r>
              <w:rPr>
                <w:rFonts w:hint="eastAsia" w:asciiTheme="minorEastAsia" w:hAnsiTheme="minorEastAsia" w:eastAsiaTheme="minorEastAsia" w:cstheme="minorEastAsia"/>
                <w:color w:val="auto"/>
                <w:spacing w:val="-27"/>
                <w:szCs w:val="21"/>
              </w:rPr>
              <w:t xml:space="preserve"> 组</w:t>
            </w:r>
            <w:r>
              <w:rPr>
                <w:rFonts w:hint="eastAsia" w:asciiTheme="minorEastAsia" w:hAnsiTheme="minorEastAsia" w:eastAsiaTheme="minorEastAsia" w:cstheme="minorEastAsia"/>
                <w:color w:val="auto"/>
                <w:szCs w:val="21"/>
              </w:rPr>
              <w:t>）</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衣柜规格：高1700mm×宽600mm×深800mm（以上尺寸允许偏差±5mm）柜体内上部距顶约50mm处装Φ20mm（尺寸允许偏差±0.5mm），管壁厚度≥1.2mm的304材质不锈钢挂衣杆一根，柜门上需配百叶窗式透气口、标签框、门锁采用内陷式挂锁，柜体采用≥0.6mm（厚）冷轧碳素钢板，表面光滑不易损坏变形。柜底部使用高度大于35mm的一次性注塑成型的优质镀铬防潮脚套，保证柜体底部镶嵌于脚套内部。</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anchor distT="0" distB="0" distL="114300" distR="114300" simplePos="0" relativeHeight="251673600" behindDoc="0" locked="0" layoutInCell="1" allowOverlap="1">
                  <wp:simplePos x="0" y="0"/>
                  <wp:positionH relativeFrom="column">
                    <wp:posOffset>1809115</wp:posOffset>
                  </wp:positionH>
                  <wp:positionV relativeFrom="paragraph">
                    <wp:posOffset>934720</wp:posOffset>
                  </wp:positionV>
                  <wp:extent cx="871855" cy="1663700"/>
                  <wp:effectExtent l="0" t="0" r="12065" b="12700"/>
                  <wp:wrapNone/>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13"/>
                          <a:stretch>
                            <a:fillRect/>
                          </a:stretch>
                        </pic:blipFill>
                        <pic:spPr>
                          <a:xfrm>
                            <a:off x="0" y="0"/>
                            <a:ext cx="871855" cy="1663700"/>
                          </a:xfrm>
                          <a:prstGeom prst="rect">
                            <a:avLst/>
                          </a:prstGeom>
                          <a:noFill/>
                          <a:ln>
                            <a:noFill/>
                          </a:ln>
                        </pic:spPr>
                      </pic:pic>
                    </a:graphicData>
                  </a:graphic>
                </wp:anchor>
              </w:drawing>
            </w:r>
            <w:r>
              <w:rPr>
                <w:rFonts w:hint="eastAsia" w:asciiTheme="minorEastAsia" w:hAnsiTheme="minorEastAsia" w:eastAsiaTheme="minorEastAsia" w:cstheme="minorEastAsia"/>
                <w:color w:val="auto"/>
                <w:sz w:val="21"/>
                <w:szCs w:val="21"/>
              </w:rPr>
              <w:t>柜门：采用≥0.6mm（厚）冷轧碳素钢板，表面光滑不易损坏变形。采用一次成型压花式加强筋设计，上柜门压痕外框尺寸为888mm×258mm（以上尺寸允许偏差±5mm），下柜门压痕外框尺寸为298mm×258mm（以上尺寸允许偏差±5mm）。</w:t>
            </w: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2"/>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书架尺寸：书架a:高1700mm×宽300mm×深600 mm（以上尺寸允许偏差±5mm）通透式架体、分为上下部分，上部设2层隔板共分3层，下部设一层隔板共分2 层，柜体为≥0.6mm（厚）钢板；隔板为≥1.0mm（厚）钢板。柜底部使用高度大于35mm的一次性注塑成型的优质镀铬防潮脚套，保证柜体底部镶嵌于脚套内部。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18"/>
                <w:szCs w:val="21"/>
              </w:rPr>
              <w:t xml:space="preserve">书架 </w:t>
            </w:r>
            <w:r>
              <w:rPr>
                <w:rFonts w:hint="eastAsia" w:asciiTheme="minorEastAsia" w:hAnsiTheme="minorEastAsia" w:eastAsiaTheme="minorEastAsia" w:cstheme="minorEastAsia"/>
                <w:color w:val="auto"/>
                <w:szCs w:val="21"/>
              </w:rPr>
              <w:t>b:柜体及隔板为≥0.6mm（厚）钢板；</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200mm×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1055mm×</w:t>
            </w:r>
            <w:r>
              <w:rPr>
                <w:rFonts w:hint="eastAsia" w:asciiTheme="minorEastAsia" w:hAnsiTheme="minorEastAsia" w:eastAsiaTheme="minorEastAsia" w:cstheme="minorEastAsia"/>
                <w:color w:val="auto"/>
                <w:spacing w:val="-27"/>
                <w:szCs w:val="21"/>
              </w:rPr>
              <w:t xml:space="preserve">深 </w:t>
            </w:r>
            <w:r>
              <w:rPr>
                <w:rFonts w:hint="eastAsia" w:asciiTheme="minorEastAsia" w:hAnsiTheme="minorEastAsia" w:eastAsiaTheme="minorEastAsia" w:cstheme="minorEastAsia"/>
                <w:color w:val="auto"/>
                <w:szCs w:val="21"/>
              </w:rPr>
              <w:t>230 mm（以上尺寸允许偏差±5mm）分三个格，三角型斜拉加固，斜三角形作磨边处理。</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13.学习桌规格（3</w:t>
            </w:r>
            <w:r>
              <w:rPr>
                <w:rFonts w:hint="eastAsia" w:asciiTheme="minorEastAsia" w:hAnsiTheme="minorEastAsia" w:eastAsiaTheme="minorEastAsia" w:cstheme="minorEastAsia"/>
                <w:color w:val="auto"/>
                <w:spacing w:val="-27"/>
                <w:szCs w:val="21"/>
              </w:rPr>
              <w:t xml:space="preserve"> 组</w:t>
            </w:r>
            <w:r>
              <w:rPr>
                <w:rFonts w:hint="eastAsia" w:asciiTheme="minorEastAsia" w:hAnsiTheme="minorEastAsia" w:eastAsiaTheme="minorEastAsia" w:cstheme="minorEastAsia"/>
                <w:color w:val="auto"/>
                <w:szCs w:val="21"/>
              </w:rPr>
              <w:t>）：每组长1050mm×宽600mm×高750 mm（以上尺寸允许偏差±5mm），防火板饰面。</w:t>
            </w:r>
            <w:r>
              <w:rPr>
                <w:rFonts w:hint="eastAsia" w:asciiTheme="minorEastAsia" w:hAnsiTheme="minorEastAsia" w:eastAsiaTheme="minorEastAsia" w:cstheme="minorEastAsia"/>
                <w:color w:val="auto"/>
                <w:spacing w:val="-7"/>
                <w:szCs w:val="21"/>
              </w:rPr>
              <w:t>配置：带抽斗2</w:t>
            </w:r>
            <w:r>
              <w:rPr>
                <w:rFonts w:hint="eastAsia" w:asciiTheme="minorEastAsia" w:hAnsiTheme="minorEastAsia" w:eastAsiaTheme="minorEastAsia" w:cstheme="minorEastAsia"/>
                <w:color w:val="auto"/>
                <w:spacing w:val="-8"/>
                <w:szCs w:val="21"/>
              </w:rPr>
              <w:t>个、抽斗含明锁扣及拉手，</w:t>
            </w:r>
            <w:r>
              <w:rPr>
                <w:rFonts w:hint="eastAsia" w:asciiTheme="minorEastAsia" w:hAnsiTheme="minorEastAsia" w:eastAsiaTheme="minorEastAsia" w:cstheme="minorEastAsia"/>
                <w:color w:val="auto"/>
                <w:spacing w:val="-17"/>
                <w:szCs w:val="21"/>
              </w:rPr>
              <w:t>桌面采用</w:t>
            </w:r>
            <w:r>
              <w:rPr>
                <w:rFonts w:hint="eastAsia" w:asciiTheme="minorEastAsia" w:hAnsiTheme="minorEastAsia" w:eastAsiaTheme="minorEastAsia" w:cstheme="minorEastAsia"/>
                <w:color w:val="auto"/>
                <w:szCs w:val="21"/>
              </w:rPr>
              <w:t>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桌面厚度为≥</w:t>
            </w:r>
            <w:r>
              <w:rPr>
                <w:rFonts w:hint="eastAsia" w:asciiTheme="minorEastAsia" w:hAnsiTheme="minorEastAsia" w:eastAsiaTheme="minorEastAsia" w:cstheme="minorEastAsia"/>
                <w:color w:val="auto"/>
                <w:szCs w:val="21"/>
              </w:rPr>
              <w:t>25mm，桌沿采用鸭嘴型成型工艺，PVC封边，后方有约100mm高挡板，</w:t>
            </w:r>
            <w:r>
              <w:rPr>
                <w:rFonts w:hint="eastAsia" w:asciiTheme="minorEastAsia" w:hAnsiTheme="minorEastAsia" w:eastAsiaTheme="minorEastAsia" w:cstheme="minorEastAsia"/>
                <w:color w:val="auto"/>
                <w:spacing w:val="-5"/>
                <w:szCs w:val="21"/>
              </w:rPr>
              <w:t>桌面上部离地高度</w:t>
            </w:r>
            <w:r>
              <w:rPr>
                <w:rFonts w:hint="eastAsia" w:asciiTheme="minorEastAsia" w:hAnsiTheme="minorEastAsia" w:eastAsiaTheme="minorEastAsia" w:cstheme="minorEastAsia"/>
                <w:color w:val="auto"/>
                <w:szCs w:val="21"/>
              </w:rPr>
              <w:t>750mm（尺寸允许偏差±5mm），底部带PP塑料保护套；</w:t>
            </w:r>
          </w:p>
          <w:p>
            <w:pPr>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right="155" w:rightChars="7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color w:val="auto"/>
                <w:szCs w:val="21"/>
              </w:rPr>
              <w:t>14. 床板（2张）规格：≥15mm厚，每块以</w:t>
            </w:r>
            <w:r>
              <w:rPr>
                <w:rFonts w:hint="eastAsia" w:asciiTheme="minorEastAsia" w:hAnsiTheme="minorEastAsia" w:eastAsiaTheme="minorEastAsia" w:cstheme="minorEastAsia"/>
                <w:color w:val="auto"/>
                <w:spacing w:val="-10"/>
                <w:szCs w:val="21"/>
              </w:rPr>
              <w:t>≤7块杉木板拼接而成，最小一块床板≥100mm，每铺床板由三根背梢连接而成，背梢杉木方尺寸：宽30mm×厚20mm</w:t>
            </w:r>
            <w:r>
              <w:rPr>
                <w:rFonts w:hint="eastAsia" w:asciiTheme="minorEastAsia" w:hAnsiTheme="minorEastAsia" w:eastAsiaTheme="minorEastAsia" w:cstheme="minorEastAsia"/>
                <w:color w:val="auto"/>
                <w:szCs w:val="21"/>
              </w:rPr>
              <w:t>（以上尺寸允许偏差±0.5mm）</w:t>
            </w:r>
            <w:r>
              <w:rPr>
                <w:rFonts w:hint="eastAsia" w:asciiTheme="minorEastAsia" w:hAnsiTheme="minorEastAsia" w:eastAsiaTheme="minorEastAsia" w:cstheme="minorEastAsia"/>
                <w:color w:val="auto"/>
                <w:spacing w:val="-10"/>
                <w:szCs w:val="21"/>
              </w:rPr>
              <w:t>，连接床板与背梢的铁钉不能外露，背梢木方不允许有钝棱；床板、背梢木方经干燥防腐、防蛀处理，</w:t>
            </w:r>
            <w:r>
              <w:rPr>
                <w:rFonts w:hint="eastAsia" w:asciiTheme="minorEastAsia" w:hAnsiTheme="minorEastAsia" w:eastAsiaTheme="minorEastAsia" w:cstheme="minorEastAsia"/>
                <w:color w:val="auto"/>
                <w:szCs w:val="21"/>
              </w:rPr>
              <w:t>杉木铺板、背梢木方需四面刨光, 铺板与床架内空尺寸匹配，床铺面及其两边的间隙不应超过5mm，两端的间隙不应超过10mm，杉木床板及背梢木方需满足GB/T20445-2017《刨光材》标准中二等品质量。</w:t>
            </w:r>
          </w:p>
          <w:p>
            <w:pPr>
              <w:pStyle w:val="139"/>
              <w:spacing w:line="360" w:lineRule="exact"/>
              <w:ind w:left="15"/>
              <w:rPr>
                <w:rFonts w:asciiTheme="minorEastAsia" w:hAnsiTheme="minorEastAsia" w:eastAsiaTheme="minorEastAsia" w:cstheme="minorEastAsia"/>
                <w:color w:val="auto"/>
                <w:spacing w:val="-8"/>
                <w:szCs w:val="21"/>
              </w:rPr>
            </w:pPr>
            <w:r>
              <w:rPr>
                <w:rFonts w:hint="eastAsia" w:asciiTheme="minorEastAsia" w:hAnsiTheme="minorEastAsia" w:eastAsiaTheme="minorEastAsia" w:cstheme="minorEastAsia"/>
                <w:color w:val="auto"/>
                <w:szCs w:val="21"/>
              </w:rPr>
              <w:t>15. 四方凳</w:t>
            </w:r>
            <w:r>
              <w:rPr>
                <w:rFonts w:hint="eastAsia" w:asciiTheme="minorEastAsia" w:hAnsiTheme="minorEastAsia" w:eastAsiaTheme="minorEastAsia" w:cstheme="minorEastAsia"/>
                <w:color w:val="auto"/>
                <w:spacing w:val="-11"/>
                <w:szCs w:val="21"/>
              </w:rPr>
              <w:t>规格</w:t>
            </w: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pacing w:val="-27"/>
                <w:szCs w:val="21"/>
              </w:rPr>
              <w:t>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11"/>
                <w:szCs w:val="21"/>
              </w:rPr>
              <w:t>：</w:t>
            </w:r>
            <w:r>
              <w:rPr>
                <w:rFonts w:hint="eastAsia" w:asciiTheme="minorEastAsia" w:hAnsiTheme="minorEastAsia" w:eastAsiaTheme="minorEastAsia" w:cstheme="minorEastAsia"/>
                <w:color w:val="auto"/>
                <w:spacing w:val="-8"/>
                <w:szCs w:val="21"/>
              </w:rPr>
              <w:t>凳面尺寸</w:t>
            </w:r>
            <w:r>
              <w:rPr>
                <w:rFonts w:hint="eastAsia" w:asciiTheme="minorEastAsia" w:hAnsiTheme="minorEastAsia" w:eastAsiaTheme="minorEastAsia" w:cstheme="minorEastAsia"/>
                <w:color w:val="auto"/>
                <w:spacing w:val="-11"/>
                <w:szCs w:val="21"/>
              </w:rPr>
              <w:t xml:space="preserve">长 </w:t>
            </w:r>
            <w:r>
              <w:rPr>
                <w:rFonts w:hint="eastAsia" w:asciiTheme="minorEastAsia" w:hAnsiTheme="minorEastAsia" w:eastAsiaTheme="minorEastAsia" w:cstheme="minorEastAsia"/>
                <w:color w:val="auto"/>
                <w:szCs w:val="21"/>
              </w:rPr>
              <w:t>320mm×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240mm×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430 mm（以上尺寸允许偏差±5mm）。凳面采用</w:t>
            </w:r>
            <w:r>
              <w:rPr>
                <w:rFonts w:hint="eastAsia" w:asciiTheme="minorEastAsia" w:hAnsiTheme="minorEastAsia" w:eastAsiaTheme="minorEastAsia" w:cstheme="minorEastAsia"/>
                <w:color w:val="auto"/>
                <w:spacing w:val="-8"/>
                <w:szCs w:val="21"/>
              </w:rPr>
              <w:t>橡胶木指接板，厚度</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20mm，表面涂饰材料为聚酯清漆，凳脚部分采用金属方管焊接而成，管材尺寸为：长25mm</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宽25mm</w:t>
            </w:r>
            <w:r>
              <w:rPr>
                <w:rFonts w:hint="eastAsia" w:asciiTheme="minorEastAsia" w:hAnsiTheme="minorEastAsia" w:eastAsiaTheme="minorEastAsia" w:cstheme="minorEastAsia"/>
                <w:color w:val="auto"/>
                <w:szCs w:val="21"/>
              </w:rPr>
              <w:t>（以上尺寸允许偏差±0.5mm），管壁厚度</w:t>
            </w:r>
            <w:r>
              <w:rPr>
                <w:rFonts w:hint="eastAsia" w:asciiTheme="minorEastAsia" w:hAnsiTheme="minorEastAsia" w:eastAsiaTheme="minorEastAsia" w:cstheme="minorEastAsia"/>
                <w:color w:val="auto"/>
                <w:spacing w:val="-8"/>
                <w:szCs w:val="21"/>
              </w:rPr>
              <w:t>≥1.2mm。凳</w:t>
            </w:r>
            <w:r>
              <w:rPr>
                <w:rFonts w:hint="eastAsia" w:asciiTheme="minorEastAsia" w:hAnsiTheme="minorEastAsia" w:eastAsiaTheme="minorEastAsia" w:cstheme="minorEastAsia"/>
                <w:color w:val="auto"/>
                <w:szCs w:val="21"/>
              </w:rPr>
              <w:t>脚带PP塑料保护套。</w:t>
            </w:r>
            <w:r>
              <w:rPr>
                <w:rFonts w:hint="eastAsia" w:asciiTheme="minorEastAsia" w:hAnsiTheme="minorEastAsia" w:eastAsiaTheme="minorEastAsia" w:cstheme="minorEastAsia"/>
                <w:bCs/>
                <w:color w:val="auto"/>
                <w:szCs w:val="21"/>
                <w:lang w:bidi="ar"/>
              </w:rPr>
              <w:t>拼胶剂要求：</w:t>
            </w:r>
            <w:r>
              <w:rPr>
                <w:rFonts w:hint="eastAsia" w:asciiTheme="minorEastAsia" w:hAnsiTheme="minorEastAsia" w:eastAsiaTheme="minorEastAsia" w:cstheme="minorEastAsia"/>
                <w:color w:val="auto"/>
                <w:spacing w:val="-8"/>
                <w:szCs w:val="21"/>
                <w:lang w:bidi="ar"/>
              </w:rPr>
              <w:t>苯g/kg≤0.2、甲苯+二甲苯g/kg≤10、总挥发性有机物g/L≤110、游离甲醛g/kg≤0.5；油漆：VOC含量g/L≤250、苯系物总和含量[限苯、甲苯、二甲苯（含乙苯）]mg/kg≤250</w:t>
            </w:r>
            <w:r>
              <w:rPr>
                <w:rFonts w:hint="eastAsia" w:asciiTheme="minorEastAsia" w:hAnsiTheme="minorEastAsia" w:eastAsiaTheme="minorEastAsia" w:cstheme="minorEastAsia"/>
                <w:bCs/>
                <w:color w:val="auto"/>
                <w:szCs w:val="21"/>
                <w:lang w:bidi="ar"/>
              </w:rPr>
              <w:t>。</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8"/>
                <w:szCs w:val="21"/>
              </w:rPr>
              <w:t>金属表面经酸洗、磷化、钝化，环氧聚酯热固粉末（环保一级）高压恒温静电喷塑。喷涂均匀，附着</w:t>
            </w:r>
            <w:r>
              <w:rPr>
                <w:rFonts w:hint="eastAsia" w:asciiTheme="minorEastAsia" w:hAnsiTheme="minorEastAsia" w:eastAsiaTheme="minorEastAsia" w:cstheme="minorEastAsia"/>
                <w:color w:val="auto"/>
                <w:szCs w:val="21"/>
              </w:rPr>
              <w:t>力强，耐腐蚀，耐擦挂，耐冲击，防护性能良好。漆膜厚度≥0.8mm；坐板安装应严密、平整、端正、牢固，结合处应无崩茬或松动，金属配件做除锈和防腐处理。表面处理要求:与所有贴面附着牢固，无气泡，不易脱落，硬度较大，不易划伤（表面无明显螺丝钉），有较强的抗涂鸦能力与防破坏能力，可换性强，便于使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72576" behindDoc="0" locked="0" layoutInCell="1" allowOverlap="1">
                  <wp:simplePos x="0" y="0"/>
                  <wp:positionH relativeFrom="page">
                    <wp:posOffset>1308735</wp:posOffset>
                  </wp:positionH>
                  <wp:positionV relativeFrom="paragraph">
                    <wp:posOffset>50800</wp:posOffset>
                  </wp:positionV>
                  <wp:extent cx="752475" cy="1113155"/>
                  <wp:effectExtent l="0" t="0" r="9525" b="10795"/>
                  <wp:wrapNone/>
                  <wp:docPr id="3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jpeg"/>
                          <pic:cNvPicPr>
                            <a:picLocks noChangeAspect="1"/>
                          </pic:cNvPicPr>
                        </pic:nvPicPr>
                        <pic:blipFill>
                          <a:blip r:embed="rId14"/>
                          <a:stretch>
                            <a:fillRect/>
                          </a:stretch>
                        </pic:blipFill>
                        <pic:spPr>
                          <a:xfrm>
                            <a:off x="0" y="0"/>
                            <a:ext cx="752475" cy="1113155"/>
                          </a:xfrm>
                          <a:prstGeom prst="rect">
                            <a:avLst/>
                          </a:prstGeom>
                          <a:noFill/>
                          <a:ln>
                            <a:noFill/>
                          </a:ln>
                        </pic:spPr>
                      </pic:pic>
                    </a:graphicData>
                  </a:graphic>
                </wp:anchor>
              </w:drawing>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ight="167"/>
              <w:rPr>
                <w:rFonts w:asciiTheme="minorEastAsia" w:hAnsiTheme="minorEastAsia" w:eastAsiaTheme="minorEastAsia" w:cstheme="minorEastAsia"/>
                <w:color w:val="auto"/>
                <w:szCs w:val="21"/>
              </w:rPr>
            </w:pPr>
          </w:p>
        </w:tc>
        <w:tc>
          <w:tcPr>
            <w:tcW w:w="748" w:type="dxa"/>
            <w:vAlign w:val="center"/>
          </w:tcPr>
          <w:p>
            <w:pPr>
              <w:pStyle w:val="139"/>
              <w:spacing w:line="360" w:lineRule="auto"/>
              <w:ind w:right="11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24</w:t>
            </w:r>
          </w:p>
        </w:tc>
        <w:tc>
          <w:tcPr>
            <w:tcW w:w="242" w:type="dxa"/>
            <w:vAlign w:val="center"/>
          </w:tcPr>
          <w:p>
            <w:pPr>
              <w:pStyle w:val="139"/>
              <w:spacing w:line="360" w:lineRule="auto"/>
              <w:ind w:left="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套</w:t>
            </w:r>
          </w:p>
        </w:tc>
        <w:tc>
          <w:tcPr>
            <w:tcW w:w="497" w:type="dxa"/>
            <w:vAlign w:val="center"/>
          </w:tcPr>
          <w:p>
            <w:pPr>
              <w:pStyle w:val="139"/>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3860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10" w:type="dxa"/>
          </w:tcPr>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ind w:left="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611" w:type="dxa"/>
          </w:tcPr>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ind w:left="99"/>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无障碍单人位床</w:t>
            </w:r>
          </w:p>
        </w:tc>
        <w:tc>
          <w:tcPr>
            <w:tcW w:w="7368" w:type="dxa"/>
          </w:tcPr>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5"/>
                <w:szCs w:val="21"/>
              </w:rPr>
              <w:t>单人位钢架床规格：长（2</w:t>
            </w:r>
            <w:r>
              <w:rPr>
                <w:rFonts w:hint="eastAsia" w:asciiTheme="minorEastAsia" w:hAnsiTheme="minorEastAsia" w:eastAsiaTheme="minorEastAsia" w:cstheme="minorEastAsia"/>
                <w:color w:val="auto"/>
                <w:szCs w:val="21"/>
              </w:rPr>
              <w:t>000mm×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900mm×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850mm)。带蚊帐杆总高度1500mm，允许偏差±5mm。</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执行标准：GB/T 3325-2017《金属家具通用技术条件》、QB/T 2714-2013《学生公寓多功能家具》、GB 18580-2017 《室内装饰装修材料 人造板及其制品中甲醛释放限量》、GB/T 18584-2001 《室内装饰材料木家具中有害物质限量》、GB/T 3094-2012《冷拔异型钢管》、</w:t>
            </w:r>
            <w:r>
              <w:rPr>
                <w:color w:val="auto"/>
              </w:rPr>
              <w:fldChar w:fldCharType="begin"/>
            </w:r>
            <w:r>
              <w:rPr>
                <w:color w:val="auto"/>
              </w:rPr>
              <w:instrText xml:space="preserve"> HYPERLINK "https://www.baidu.com/link?url=ntbZNSl2ihh-3BkEopLaFgBi6E8JCmqK_CCoRqY06Ai89mIHQ8iyqRfPMGxVGmFejDkExBjtBirJjI_dFSXDAvEIfoBBgCdPB_7N0WUd_oe&amp;wd=&amp;eqid=e40ce32a0000024d000000066305be23" \t "https://www.baidu.com/_blank" </w:instrText>
            </w:r>
            <w:r>
              <w:rPr>
                <w:color w:val="auto"/>
              </w:rPr>
              <w:fldChar w:fldCharType="separate"/>
            </w:r>
            <w:r>
              <w:rPr>
                <w:rFonts w:hint="eastAsia" w:asciiTheme="minorEastAsia" w:hAnsiTheme="minorEastAsia" w:eastAsiaTheme="minorEastAsia" w:cstheme="minorEastAsia"/>
                <w:b/>
                <w:color w:val="auto"/>
                <w:szCs w:val="21"/>
              </w:rPr>
              <w:t>HJ2547-2016《环境标志产品技术要求  家具</w:t>
            </w:r>
            <w:r>
              <w:rPr>
                <w:rFonts w:hint="eastAsia" w:asciiTheme="minorEastAsia" w:hAnsiTheme="minorEastAsia" w:eastAsiaTheme="minorEastAsia" w:cstheme="minorEastAsia"/>
                <w:b/>
                <w:color w:val="auto"/>
                <w:szCs w:val="21"/>
              </w:rPr>
              <w:fldChar w:fldCharType="end"/>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GB/T 39600-2021《人造板及其制品甲醛释放量分级》、GB/T20445-2017《刨光材》、GB/T 10357.6-2013《</w:t>
            </w:r>
            <w:r>
              <w:rPr>
                <w:rFonts w:hint="eastAsia" w:asciiTheme="minorEastAsia" w:hAnsiTheme="minorEastAsia" w:eastAsiaTheme="minorEastAsia" w:cstheme="minorEastAsia"/>
                <w:b/>
                <w:bCs/>
                <w:color w:val="auto"/>
                <w:szCs w:val="21"/>
                <w:shd w:val="clear" w:color="auto" w:fill="FFFFFF"/>
              </w:rPr>
              <w:t>家具力学性能试验 第6部分：单层床强度和耐久性</w:t>
            </w:r>
            <w:r>
              <w:rPr>
                <w:rFonts w:hint="eastAsia" w:asciiTheme="minorEastAsia" w:hAnsiTheme="minorEastAsia" w:eastAsiaTheme="minorEastAsia" w:cstheme="minorEastAsia"/>
                <w:b/>
                <w:bCs/>
                <w:color w:val="auto"/>
                <w:szCs w:val="21"/>
              </w:rPr>
              <w:t>》、GB/T 1771-2007《色漆和清漆 耐中性盐雾性能的测定》、GB/T 11718-2009（2021）《中密度纤维板》、QB/T 3827-1999 《轻工产品金属镀层和化学处理层的耐腐蚀试验方法乙酸盐雾试验(ASS)法》、QB/T3832-1999《轻工产品金属镀层腐蚀试验结果的评价》。</w:t>
            </w:r>
          </w:p>
          <w:p>
            <w:pPr>
              <w:pStyle w:val="139"/>
              <w:spacing w:line="360" w:lineRule="exact"/>
              <w:ind w:left="15" w:right="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公寓床组成：</w:t>
            </w:r>
            <w:r>
              <w:rPr>
                <w:rFonts w:hint="eastAsia" w:asciiTheme="minorEastAsia" w:hAnsiTheme="minorEastAsia" w:eastAsiaTheme="minorEastAsia" w:cstheme="minorEastAsia"/>
                <w:color w:val="auto"/>
                <w:szCs w:val="21"/>
              </w:rPr>
              <w:t>包含床、衣柜、书架、学习桌、方凳等。</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金属家具材料要求：金属家具所有管材采用冷拔异型钢管，所有板材采用冷轧钢板，各种金属部件采用高频焊接，各金属件经除油、除锈、酸洗、磷化等工序,涂层采用聚脂环氧粉末静电喷塑处理,内外两面喷塑，颜色为灰白色。各焊接点表面光滑无毛刺,焊接处无夹渣、气孔、焊瘤、焊丝头咬边飞溅，无脱焊、虚焊及焊穿等现象。</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涂层符合GB/T 3325-2017《金属家具通用技术条件》及QB/T 3827-1999 《轻工产品金属镀层和化学处理层的耐腐蚀试验方法乙酸盐雾试验(ASS)法》涂层外观：金属件涂层应无漏喷、锈蚀;应光滑均匀，色泽一致，应无流挂、疙瘩、皱皮、飞漆等缺陷。每批产品不允许有明显色差。产品上的五金配件应做防锈处理；硬度H或以上；冲击强度：冲击高度400mm，应无剥落、裂纹或皱纹；耐腐蚀：100h内，观察在溶剂中样板上划道两侧3mm以外应无鼓泡产生；100h后，检查划道两侧3 mm以外，应无锈迹、剥落、起皱、变色和失光等现象；附着力：不低于2级；依据QB/T3832-1999《轻工产品金属镀层腐蚀试验结果的评价》标准判定耐腐蚀等级为9级</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木质材料要求：①人造板采用中密度纤维板，板材密度≥0.70g/cm³，防火板饰面，甲醛释放限量：1m³气候箱法≤0.05mg/m³，按GB/T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 w:val="21"/>
                <w:szCs w:val="21"/>
                <w:vertAlign w:val="subscript"/>
              </w:rPr>
              <w:t>0</w:t>
            </w:r>
            <w:r>
              <w:rPr>
                <w:rFonts w:hint="eastAsia" w:asciiTheme="minorEastAsia" w:hAnsiTheme="minorEastAsia" w:eastAsiaTheme="minorEastAsia" w:cstheme="minorEastAsia"/>
                <w:color w:val="auto"/>
                <w:sz w:val="21"/>
                <w:szCs w:val="21"/>
              </w:rPr>
              <w:t>级；②橡胶木指接板，厚度≥20mm，表面涂饰材料为聚酯清漆；③杉木床板厚度≥15mm，背梢杉木方尺寸：宽30mm×厚20mm（以上尺寸允许偏差±0.5mm），且满足GB/T20445-2017《刨光材》标准中二等品及以上质量。</w:t>
            </w:r>
          </w:p>
          <w:p>
            <w:pPr>
              <w:pStyle w:val="2"/>
              <w:tabs>
                <w:tab w:val="left" w:pos="5126"/>
              </w:tabs>
              <w:wordWrap w:val="0"/>
              <w:spacing w:line="360" w:lineRule="exact"/>
              <w:ind w:right="17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涂层（塑粉）：符合HG/T 2006-2006《热固性粉末涂料》</w:t>
            </w:r>
            <w:r>
              <w:rPr>
                <w:rFonts w:hint="eastAsia" w:asciiTheme="minorEastAsia" w:hAnsiTheme="minorEastAsia" w:eastAsiaTheme="minorEastAsia" w:cstheme="minorEastAsia"/>
                <w:color w:val="auto"/>
                <w:sz w:val="21"/>
                <w:szCs w:val="21"/>
                <w:lang w:eastAsia="zh-CN"/>
              </w:rPr>
              <w:t>。</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床铺面集中静载荷1650N，≥10次10s/次，试验检测合格；床铺面均布静载荷1800N，≥</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小时，试验检测合格；</w:t>
            </w:r>
          </w:p>
          <w:p>
            <w:pPr>
              <w:pStyle w:val="2"/>
              <w:tabs>
                <w:tab w:val="left" w:pos="5126"/>
              </w:tabs>
              <w:wordWrap w:val="0"/>
              <w:spacing w:line="360" w:lineRule="exact"/>
              <w:ind w:right="17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★1.床立柱（4根）规格：77mm×77mm（以上尺寸允许偏差±1mm），管壁厚度≥1.5mm一次滚压型材(立柱上有四条加强筋，双面喷塑），底部加ABS高强度塑料外套，脚套高度≥25mm。</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75648" behindDoc="0" locked="0" layoutInCell="1" allowOverlap="1">
                  <wp:simplePos x="0" y="0"/>
                  <wp:positionH relativeFrom="column">
                    <wp:posOffset>1312545</wp:posOffset>
                  </wp:positionH>
                  <wp:positionV relativeFrom="paragraph">
                    <wp:posOffset>142240</wp:posOffset>
                  </wp:positionV>
                  <wp:extent cx="1391285" cy="1221740"/>
                  <wp:effectExtent l="0" t="0" r="18415" b="1714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7"/>
                          <a:srcRect l="3415" r="49367" b="3493"/>
                          <a:stretch>
                            <a:fillRect/>
                          </a:stretch>
                        </pic:blipFill>
                        <pic:spPr>
                          <a:xfrm>
                            <a:off x="0" y="0"/>
                            <a:ext cx="1391285" cy="1221740"/>
                          </a:xfrm>
                          <a:prstGeom prst="rect">
                            <a:avLst/>
                          </a:prstGeom>
                          <a:noFill/>
                          <a:ln>
                            <a:noFill/>
                          </a:ln>
                        </pic:spPr>
                      </pic:pic>
                    </a:graphicData>
                  </a:graphic>
                </wp:anchor>
              </w:drawing>
            </w:r>
          </w:p>
          <w:p>
            <w:pPr>
              <w:pStyle w:val="2"/>
              <w:rPr>
                <w:color w:val="auto"/>
              </w:rPr>
            </w:pPr>
          </w:p>
          <w:p>
            <w:pPr>
              <w:rPr>
                <w:color w:val="auto"/>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Cs w:val="21"/>
              </w:rPr>
            </w:pPr>
          </w:p>
          <w:p>
            <w:pPr>
              <w:pStyle w:val="2"/>
              <w:rPr>
                <w:rFonts w:asciiTheme="minorEastAsia" w:hAnsiTheme="minorEastAsia" w:eastAsiaTheme="minorEastAsia" w:cstheme="minorEastAsia"/>
                <w:color w:val="auto"/>
              </w:rPr>
            </w:pP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b/>
                <w:color w:val="auto"/>
                <w:szCs w:val="21"/>
              </w:rPr>
              <w:t>★2</w:t>
            </w:r>
            <w:r>
              <w:rPr>
                <w:rFonts w:hint="eastAsia" w:asciiTheme="minorEastAsia" w:hAnsiTheme="minorEastAsia" w:eastAsiaTheme="minorEastAsia" w:cstheme="minorEastAsia"/>
                <w:color w:val="auto"/>
                <w:szCs w:val="21"/>
              </w:rPr>
              <w:t>.床横梁（2根）规格：92mm×42 mm（以上尺寸允许偏差±1mm），管壁厚度≥1.5 mm机器一次成型型材。(横梁上有三条加强筋，双面喷塑）。</w:t>
            </w:r>
          </w:p>
          <w:p>
            <w:pPr>
              <w:pStyle w:val="139"/>
              <w:spacing w:line="360" w:lineRule="exact"/>
              <w:ind w:right="173"/>
              <w:rPr>
                <w:rFonts w:asciiTheme="minorEastAsia" w:hAnsiTheme="minorEastAsia" w:eastAsiaTheme="minorEastAsia" w:cstheme="minorEastAsia"/>
                <w:color w:val="auto"/>
                <w:spacing w:val="-16"/>
                <w:szCs w:val="21"/>
              </w:rPr>
            </w:pPr>
            <w:r>
              <w:rPr>
                <w:rFonts w:hint="eastAsia" w:asciiTheme="minorEastAsia" w:hAnsiTheme="minorEastAsia" w:eastAsiaTheme="minorEastAsia" w:cstheme="minorEastAsia"/>
                <w:color w:val="auto"/>
                <w:spacing w:val="-16"/>
                <w:szCs w:val="21"/>
              </w:rPr>
              <mc:AlternateContent>
                <mc:Choice Requires="wpg">
                  <w:drawing>
                    <wp:anchor distT="0" distB="0" distL="114300" distR="114300" simplePos="0" relativeHeight="251676672" behindDoc="0" locked="0" layoutInCell="1" allowOverlap="1">
                      <wp:simplePos x="0" y="0"/>
                      <wp:positionH relativeFrom="column">
                        <wp:posOffset>100330</wp:posOffset>
                      </wp:positionH>
                      <wp:positionV relativeFrom="paragraph">
                        <wp:posOffset>46990</wp:posOffset>
                      </wp:positionV>
                      <wp:extent cx="2955925" cy="1487805"/>
                      <wp:effectExtent l="0" t="0" r="15875" b="17145"/>
                      <wp:wrapNone/>
                      <wp:docPr id="39" name="组合 3"/>
                      <wp:cNvGraphicFramePr/>
                      <a:graphic xmlns:a="http://schemas.openxmlformats.org/drawingml/2006/main">
                        <a:graphicData uri="http://schemas.microsoft.com/office/word/2010/wordprocessingGroup">
                          <wpg:wgp>
                            <wpg:cNvGrpSpPr/>
                            <wpg:grpSpPr>
                              <a:xfrm>
                                <a:off x="0" y="0"/>
                                <a:ext cx="2955925" cy="1487805"/>
                                <a:chOff x="0" y="0"/>
                                <a:chExt cx="2955925" cy="1487805"/>
                              </a:xfrm>
                              <a:effectLst/>
                            </wpg:grpSpPr>
                            <pic:pic xmlns:pic="http://schemas.openxmlformats.org/drawingml/2006/picture">
                              <pic:nvPicPr>
                                <pic:cNvPr id="40" name="image5.jpeg"/>
                                <pic:cNvPicPr>
                                  <a:picLocks noChangeAspect="1"/>
                                </pic:cNvPicPr>
                              </pic:nvPicPr>
                              <pic:blipFill>
                                <a:blip r:embed="rId8" cstate="print"/>
                                <a:stretch>
                                  <a:fillRect/>
                                </a:stretch>
                              </pic:blipFill>
                              <pic:spPr>
                                <a:xfrm>
                                  <a:off x="1390650" y="0"/>
                                  <a:ext cx="1565275" cy="1327785"/>
                                </a:xfrm>
                                <a:prstGeom prst="rect">
                                  <a:avLst/>
                                </a:prstGeom>
                                <a:noFill/>
                                <a:ln>
                                  <a:noFill/>
                                </a:ln>
                                <a:effectLst/>
                              </pic:spPr>
                            </pic:pic>
                            <pic:pic xmlns:pic="http://schemas.openxmlformats.org/drawingml/2006/picture">
                              <pic:nvPicPr>
                                <pic:cNvPr id="41" name="图片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47625"/>
                                  <a:ext cx="1315720" cy="1440180"/>
                                </a:xfrm>
                                <a:prstGeom prst="rect">
                                  <a:avLst/>
                                </a:prstGeom>
                                <a:noFill/>
                                <a:ln>
                                  <a:noFill/>
                                </a:ln>
                                <a:effectLst/>
                              </pic:spPr>
                            </pic:pic>
                          </wpg:wgp>
                        </a:graphicData>
                      </a:graphic>
                    </wp:anchor>
                  </w:drawing>
                </mc:Choice>
                <mc:Fallback>
                  <w:pict>
                    <v:group id="组合 3" o:spid="_x0000_s1026" o:spt="203" style="position:absolute;left:0pt;margin-left:7.9pt;margin-top:3.7pt;height:117.15pt;width:232.75pt;z-index:251676672;mso-width-relative:page;mso-height-relative:page;" coordsize="2955925,1487805" o:gfxdata="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">
                      <o:lock v:ext="edit" aspectratio="f"/>
                      <v:shape id="image5.jpeg" o:spid="_x0000_s1026" o:spt="75" type="#_x0000_t75" style="position:absolute;left:1390650;top:0;height:1327785;width:1565275;" filled="f" o:preferrelative="t" stroked="f" coordsize="21600,21600" o:gfxdata="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8QT2lLUAAADbAAAADwAA&#10;AAAAAAABACAAAAAiAAAAZHJzL2Rvd25yZXYueG1sUEsBAhQAFAAAAAgAh07iQDMvBZ47AAAAOQAA&#10;ABAAAAAAAAAAAQAgAAAABAEAAGRycy9zaGFwZXhtbC54bWxQSwUGAAAAAAYABgBbAQAArgMAAAAA&#10;">
                        <v:fill on="f" focussize="0,0"/>
                        <v:stroke on="f"/>
                        <v:imagedata r:id="rId8" o:title=""/>
                        <o:lock v:ext="edit" aspectratio="t"/>
                      </v:shape>
                      <v:shape id="图片 6" o:spid="_x0000_s1026" o:spt="75" type="#_x0000_t75" style="position:absolute;left:0;top:47625;height:1440180;width:1315720;" filled="f" o:preferrelative="t" stroked="f" coordsize="21600,21600" o:gfxdata="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8dTy8AAAA&#10;2wAAAA8AAAAAAAAAAQAgAAAAIgAAAGRycy9kb3ducmV2LnhtbFBLAQIUABQAAAAIAIdO4kAzLwWe&#10;OwAAADkAAAAQAAAAAAAAAAEAIAAAAAsBAABkcnMvc2hhcGV4bWwueG1sUEsFBgAAAAAGAAYAWwEA&#10;ALUDAAAAAA==&#10;">
                        <v:fill on="f" focussize="0,0"/>
                        <v:stroke on="f"/>
                        <v:imagedata r:id="rId9" o:title=""/>
                        <o:lock v:ext="edit" aspectratio="t"/>
                      </v:shape>
                    </v:group>
                  </w:pict>
                </mc:Fallback>
              </mc:AlternateContent>
            </w: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139"/>
              <w:spacing w:line="360" w:lineRule="exact"/>
              <w:ind w:right="173"/>
              <w:rPr>
                <w:rFonts w:asciiTheme="minorEastAsia" w:hAnsiTheme="minorEastAsia" w:eastAsiaTheme="minorEastAsia" w:cstheme="minorEastAsia"/>
                <w:color w:val="auto"/>
                <w:spacing w:val="-16"/>
                <w:szCs w:val="21"/>
              </w:rPr>
            </w:pPr>
          </w:p>
          <w:p>
            <w:pPr>
              <w:pStyle w:val="2"/>
              <w:tabs>
                <w:tab w:val="left" w:pos="5126"/>
              </w:tabs>
              <w:spacing w:line="360" w:lineRule="exact"/>
              <w:ind w:right="173"/>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3.侧横梁（4 根）规格：50mm×30 mm（以上尺寸允许偏差±1mm），管壁厚度≥1.5 mm一次成型优质冷拔钢管。</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★4</w:t>
            </w:r>
            <w:r>
              <w:rPr>
                <w:rFonts w:hint="eastAsia" w:asciiTheme="minorEastAsia" w:hAnsiTheme="minorEastAsia" w:eastAsiaTheme="minorEastAsia" w:cstheme="minorEastAsia"/>
                <w:color w:val="auto"/>
                <w:szCs w:val="21"/>
              </w:rPr>
              <w:t>.床挂件（4</w:t>
            </w:r>
            <w:r>
              <w:rPr>
                <w:rFonts w:hint="eastAsia" w:asciiTheme="minorEastAsia" w:hAnsiTheme="minorEastAsia" w:eastAsiaTheme="minorEastAsia" w:cstheme="minorEastAsia"/>
                <w:color w:val="auto"/>
                <w:spacing w:val="-27"/>
                <w:szCs w:val="21"/>
              </w:rPr>
              <w:t xml:space="preserve"> 个</w:t>
            </w:r>
            <w:r>
              <w:rPr>
                <w:rFonts w:hint="eastAsia" w:asciiTheme="minorEastAsia" w:hAnsiTheme="minorEastAsia" w:eastAsiaTheme="minorEastAsia" w:cstheme="minorEastAsia"/>
                <w:color w:val="auto"/>
                <w:szCs w:val="21"/>
              </w:rPr>
              <w:t>）规格：30mm×30 mm×202 mm（长）（以上尺寸允许偏差±1mm），管壁厚度≥2.0 mm；(双面喷塑）。</w:t>
            </w:r>
          </w:p>
          <w:p>
            <w:pPr>
              <w:pStyle w:val="139"/>
              <w:spacing w:line="360" w:lineRule="exact"/>
              <w:ind w:left="15" w:right="173"/>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★5</w:t>
            </w:r>
            <w:r>
              <w:rPr>
                <w:rFonts w:hint="eastAsia" w:asciiTheme="minorEastAsia" w:hAnsiTheme="minorEastAsia" w:eastAsiaTheme="minorEastAsia" w:cstheme="minorEastAsia"/>
                <w:color w:val="auto"/>
                <w:szCs w:val="21"/>
              </w:rPr>
              <w:t>.床梃（5 个）规格：34mm×28 mm（以上尺寸允许偏差±1mm），管壁厚度≥1.5 mm采用D型管增加承重能力和预防碰撞伤害。</w:t>
            </w:r>
          </w:p>
          <w:p>
            <w:pPr>
              <w:pStyle w:val="139"/>
              <w:spacing w:line="360" w:lineRule="exact"/>
              <w:ind w:left="15" w:right="64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78720" behindDoc="0" locked="0" layoutInCell="1" allowOverlap="1">
                  <wp:simplePos x="0" y="0"/>
                  <wp:positionH relativeFrom="column">
                    <wp:posOffset>1342390</wp:posOffset>
                  </wp:positionH>
                  <wp:positionV relativeFrom="paragraph">
                    <wp:posOffset>83820</wp:posOffset>
                  </wp:positionV>
                  <wp:extent cx="1969135" cy="1377950"/>
                  <wp:effectExtent l="0" t="0" r="12065" b="12700"/>
                  <wp:wrapNone/>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pic:cNvPicPr>
                            <a:picLocks noChangeAspect="1"/>
                          </pic:cNvPicPr>
                        </pic:nvPicPr>
                        <pic:blipFill>
                          <a:blip r:embed="rId10"/>
                          <a:srcRect t="4303" b="6763"/>
                          <a:stretch>
                            <a:fillRect/>
                          </a:stretch>
                        </pic:blipFill>
                        <pic:spPr>
                          <a:xfrm>
                            <a:off x="0" y="0"/>
                            <a:ext cx="1969135" cy="1377950"/>
                          </a:xfrm>
                          <a:prstGeom prst="rect">
                            <a:avLst/>
                          </a:prstGeom>
                          <a:noFill/>
                          <a:ln>
                            <a:noFill/>
                          </a:ln>
                        </pic:spPr>
                      </pic:pic>
                    </a:graphicData>
                  </a:graphic>
                </wp:anchor>
              </w:drawing>
            </w:r>
            <w:r>
              <w:rPr>
                <w:rFonts w:hint="eastAsia" w:asciiTheme="minorEastAsia" w:hAnsiTheme="minorEastAsia" w:eastAsiaTheme="minorEastAsia" w:cstheme="minorEastAsia"/>
                <w:color w:val="auto"/>
                <w:szCs w:val="21"/>
              </w:rPr>
              <w:drawing>
                <wp:anchor distT="0" distB="0" distL="114300" distR="114300" simplePos="0" relativeHeight="251677696" behindDoc="0" locked="0" layoutInCell="1" allowOverlap="1">
                  <wp:simplePos x="0" y="0"/>
                  <wp:positionH relativeFrom="column">
                    <wp:posOffset>59690</wp:posOffset>
                  </wp:positionH>
                  <wp:positionV relativeFrom="paragraph">
                    <wp:posOffset>249555</wp:posOffset>
                  </wp:positionV>
                  <wp:extent cx="1099185" cy="1157605"/>
                  <wp:effectExtent l="0" t="0" r="5715" b="4445"/>
                  <wp:wrapNone/>
                  <wp:docPr id="43" name="图片 15" descr="ef787daa9138e46382783904ce10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descr="ef787daa9138e46382783904ce10ac4"/>
                          <pic:cNvPicPr>
                            <a:picLocks noChangeAspect="1"/>
                          </pic:cNvPicPr>
                        </pic:nvPicPr>
                        <pic:blipFill>
                          <a:blip r:embed="rId11"/>
                          <a:srcRect l="5063" t="18449" r="59135" b="24396"/>
                          <a:stretch>
                            <a:fillRect/>
                          </a:stretch>
                        </pic:blipFill>
                        <pic:spPr>
                          <a:xfrm>
                            <a:off x="0" y="0"/>
                            <a:ext cx="1099185" cy="1157605"/>
                          </a:xfrm>
                          <a:prstGeom prst="rect">
                            <a:avLst/>
                          </a:prstGeom>
                          <a:noFill/>
                          <a:ln>
                            <a:noFill/>
                          </a:ln>
                        </pic:spPr>
                      </pic:pic>
                    </a:graphicData>
                  </a:graphic>
                </wp:anchor>
              </w:drawing>
            </w: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pStyle w:val="139"/>
              <w:spacing w:line="360" w:lineRule="exact"/>
              <w:ind w:left="15" w:right="646"/>
              <w:rPr>
                <w:rFonts w:asciiTheme="minorEastAsia" w:hAnsiTheme="minorEastAsia" w:eastAsiaTheme="minorEastAsia" w:cstheme="minorEastAsia"/>
                <w:color w:val="auto"/>
                <w:szCs w:val="21"/>
              </w:rPr>
            </w:pPr>
          </w:p>
          <w:p>
            <w:pPr>
              <w:wordWrap w:val="0"/>
              <w:autoSpaceDE w:val="0"/>
              <w:autoSpaceDN w:val="0"/>
              <w:adjustRightInd w:val="0"/>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b/>
                <w:color w:val="auto"/>
                <w:szCs w:val="21"/>
              </w:rPr>
              <w:t>6</w:t>
            </w:r>
            <w:r>
              <w:rPr>
                <w:rFonts w:hint="eastAsia" w:asciiTheme="minorEastAsia" w:hAnsiTheme="minorEastAsia" w:eastAsiaTheme="minorEastAsia" w:cstheme="minorEastAsia"/>
                <w:color w:val="auto"/>
                <w:szCs w:val="21"/>
              </w:rPr>
              <w:t>.床档头（2个）规格：边档头（2个）整体尺寸746mm×300mm（以上尺寸允许偏差±1mm），上部分采用优质方管20mm×20mm（以上尺寸允许偏差±</w:t>
            </w:r>
            <w:r>
              <w:rPr>
                <w:rFonts w:hint="eastAsia" w:asciiTheme="minorEastAsia" w:hAnsiTheme="minorEastAsia" w:eastAsiaTheme="minorEastAsia" w:cstheme="minorEastAsia"/>
                <w:color w:val="auto"/>
                <w:szCs w:val="21"/>
                <w:lang w:val="en-US" w:eastAsia="zh-CN"/>
              </w:rPr>
              <w:t>0.5</w:t>
            </w:r>
            <w:r>
              <w:rPr>
                <w:rFonts w:hint="eastAsia" w:asciiTheme="minorEastAsia" w:hAnsiTheme="minorEastAsia" w:eastAsiaTheme="minorEastAsia" w:cstheme="minorEastAsia"/>
                <w:color w:val="auto"/>
                <w:szCs w:val="21"/>
              </w:rPr>
              <w:t>mm），管壁厚度≥1.5mm，下部分采用中密度纤维板，板材密度≥0.70g/cm³，防火板饰面，甲醛释放限量：1m³气候箱法≤0.05mg/m³，按GB/T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厚度为≥16</w:t>
            </w:r>
            <w:r>
              <w:rPr>
                <w:rFonts w:hint="eastAsia" w:asciiTheme="minorEastAsia" w:hAnsiTheme="minorEastAsia" w:eastAsiaTheme="minorEastAsia" w:cstheme="minorEastAsia"/>
                <w:color w:val="auto"/>
                <w:szCs w:val="21"/>
              </w:rPr>
              <w:t>mm，可以防止物品掉落及被褥外漏。</w:t>
            </w: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left="15" w:right="4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7.蚊帐架（2个）规格：Φ14 mm（尺寸允许偏差±0.5mm），管壁厚度≥1.2 mm，蚊帐架活连接，开字造型。</w:t>
            </w:r>
          </w:p>
          <w:p>
            <w:pPr>
              <w:pStyle w:val="139"/>
              <w:tabs>
                <w:tab w:val="left" w:pos="435"/>
              </w:tabs>
              <w:spacing w:line="360" w:lineRule="exact"/>
              <w:ind w:left="15" w:right="147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8.钢制柜（含衣柜、书架）（1</w:t>
            </w:r>
            <w:r>
              <w:rPr>
                <w:rFonts w:hint="eastAsia" w:asciiTheme="minorEastAsia" w:hAnsiTheme="minorEastAsia" w:eastAsiaTheme="minorEastAsia" w:cstheme="minorEastAsia"/>
                <w:color w:val="auto"/>
                <w:spacing w:val="-27"/>
                <w:szCs w:val="21"/>
              </w:rPr>
              <w:t>组</w:t>
            </w:r>
            <w:r>
              <w:rPr>
                <w:rFonts w:hint="eastAsia" w:asciiTheme="minorEastAsia" w:hAnsiTheme="minorEastAsia" w:eastAsiaTheme="minorEastAsia" w:cstheme="minorEastAsia"/>
                <w:color w:val="auto"/>
                <w:szCs w:val="21"/>
              </w:rPr>
              <w:t>）</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衣柜规格：高1700mm×宽600mm×深800mm（以上尺寸允许偏差±5mm）柜体内上部距顶约50mm处装Φ20mm（尺寸允许偏差±0.5mm），管壁厚度≥1.2mm的304材质不锈钢挂衣杆一根，柜门上需配百叶窗式透气口、标签框、门锁采用内陷式挂锁，柜体采用≥0.6mm（厚）冷轧碳素钢板，表面光滑不易损坏变形。柜底部使用高度大于35mm的一次性注塑成型的优质镀铬防潮脚套，保证柜体底部镶嵌于脚套内部。</w:t>
            </w:r>
          </w:p>
          <w:p>
            <w:pPr>
              <w:pStyle w:val="2"/>
              <w:wordWrap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柜门：采用≥0.6mm（厚）冷轧碳素钢板，表面光滑不易损坏变形。采用一次成型压花式加强筋设计，上柜门压痕外框尺寸为888mm×258mm（以上尺寸允许偏差±5mm），下柜门压痕外框尺寸为298mm×258mm（以上尺寸允许偏差±5mm）。</w:t>
            </w: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80768" behindDoc="0" locked="0" layoutInCell="1" allowOverlap="1">
                  <wp:simplePos x="0" y="0"/>
                  <wp:positionH relativeFrom="column">
                    <wp:posOffset>1762125</wp:posOffset>
                  </wp:positionH>
                  <wp:positionV relativeFrom="paragraph">
                    <wp:posOffset>10795</wp:posOffset>
                  </wp:positionV>
                  <wp:extent cx="988060" cy="1885315"/>
                  <wp:effectExtent l="0" t="0" r="2540" b="4445"/>
                  <wp:wrapNone/>
                  <wp:docPr id="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pic:cNvPicPr>
                            <a:picLocks noChangeAspect="1"/>
                          </pic:cNvPicPr>
                        </pic:nvPicPr>
                        <pic:blipFill>
                          <a:blip r:embed="rId13"/>
                          <a:stretch>
                            <a:fillRect/>
                          </a:stretch>
                        </pic:blipFill>
                        <pic:spPr>
                          <a:xfrm>
                            <a:off x="0" y="0"/>
                            <a:ext cx="988060" cy="1885315"/>
                          </a:xfrm>
                          <a:prstGeom prst="rect">
                            <a:avLst/>
                          </a:prstGeom>
                          <a:noFill/>
                          <a:ln>
                            <a:noFill/>
                          </a:ln>
                        </pic:spPr>
                      </pic:pic>
                    </a:graphicData>
                  </a:graphic>
                </wp:anchor>
              </w:drawing>
            </w: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139"/>
              <w:tabs>
                <w:tab w:val="left" w:pos="435"/>
              </w:tabs>
              <w:spacing w:line="360" w:lineRule="exact"/>
              <w:ind w:left="15" w:right="1149"/>
              <w:rPr>
                <w:rFonts w:asciiTheme="minorEastAsia" w:hAnsiTheme="minorEastAsia" w:eastAsiaTheme="minorEastAsia" w:cstheme="minorEastAsia"/>
                <w:color w:val="auto"/>
                <w:szCs w:val="21"/>
              </w:rPr>
            </w:pPr>
          </w:p>
          <w:p>
            <w:pPr>
              <w:pStyle w:val="2"/>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t>书架尺寸：书架a:高1700mm×宽300mm×深600 mm（以上尺寸允许偏差±5mm）通透式架体、分为上下部分，上部设2层隔板共分3层，下部设一层隔板共分2 层，柜体为≥0.6mm（厚）钢板；隔板为≥1.0mm（厚）钢板。柜底部使用高度大于35mm的一次性注塑成型的优质镀铬防潮脚套，保证柜体底部镶嵌于脚套内部。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18"/>
                <w:szCs w:val="21"/>
              </w:rPr>
              <w:t xml:space="preserve">书架 </w:t>
            </w:r>
            <w:r>
              <w:rPr>
                <w:rFonts w:hint="eastAsia" w:asciiTheme="minorEastAsia" w:hAnsiTheme="minorEastAsia" w:eastAsiaTheme="minorEastAsia" w:cstheme="minorEastAsia"/>
                <w:color w:val="auto"/>
                <w:szCs w:val="21"/>
              </w:rPr>
              <w:t>b:柜体及隔板为≥0.6mm（厚）钢板；</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200mm×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1055mm×</w:t>
            </w:r>
            <w:r>
              <w:rPr>
                <w:rFonts w:hint="eastAsia" w:asciiTheme="minorEastAsia" w:hAnsiTheme="minorEastAsia" w:eastAsiaTheme="minorEastAsia" w:cstheme="minorEastAsia"/>
                <w:color w:val="auto"/>
                <w:spacing w:val="-27"/>
                <w:szCs w:val="21"/>
              </w:rPr>
              <w:t xml:space="preserve">深 </w:t>
            </w:r>
            <w:r>
              <w:rPr>
                <w:rFonts w:hint="eastAsia" w:asciiTheme="minorEastAsia" w:hAnsiTheme="minorEastAsia" w:eastAsiaTheme="minorEastAsia" w:cstheme="minorEastAsia"/>
                <w:color w:val="auto"/>
                <w:szCs w:val="21"/>
              </w:rPr>
              <w:t>230 mm（以上尺寸允许偏差±5mm）分三个格，三角型斜拉加固，斜三角形作磨边处理。</w:t>
            </w:r>
          </w:p>
          <w:p>
            <w:p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9.学习桌规格（1</w:t>
            </w:r>
            <w:r>
              <w:rPr>
                <w:rFonts w:hint="eastAsia" w:asciiTheme="minorEastAsia" w:hAnsiTheme="minorEastAsia" w:eastAsiaTheme="minorEastAsia" w:cstheme="minorEastAsia"/>
                <w:color w:val="auto"/>
                <w:spacing w:val="-27"/>
                <w:szCs w:val="21"/>
              </w:rPr>
              <w:t xml:space="preserve"> 组</w:t>
            </w:r>
            <w:r>
              <w:rPr>
                <w:rFonts w:hint="eastAsia" w:asciiTheme="minorEastAsia" w:hAnsiTheme="minorEastAsia" w:eastAsiaTheme="minorEastAsia" w:cstheme="minorEastAsia"/>
                <w:color w:val="auto"/>
                <w:szCs w:val="21"/>
              </w:rPr>
              <w:t>）：每组长1050mm×宽600mm×高750 mm（以上尺寸允许偏差±5mm），防火板饰面。</w:t>
            </w:r>
            <w:r>
              <w:rPr>
                <w:rFonts w:hint="eastAsia" w:asciiTheme="minorEastAsia" w:hAnsiTheme="minorEastAsia" w:eastAsiaTheme="minorEastAsia" w:cstheme="minorEastAsia"/>
                <w:color w:val="auto"/>
                <w:spacing w:val="-7"/>
                <w:szCs w:val="21"/>
              </w:rPr>
              <w:t>配置：带抽斗2</w:t>
            </w:r>
            <w:r>
              <w:rPr>
                <w:rFonts w:hint="eastAsia" w:asciiTheme="minorEastAsia" w:hAnsiTheme="minorEastAsia" w:eastAsiaTheme="minorEastAsia" w:cstheme="minorEastAsia"/>
                <w:color w:val="auto"/>
                <w:spacing w:val="-8"/>
                <w:szCs w:val="21"/>
              </w:rPr>
              <w:t>个、抽斗含明锁扣及拉手，</w:t>
            </w:r>
            <w:r>
              <w:rPr>
                <w:rFonts w:hint="eastAsia" w:asciiTheme="minorEastAsia" w:hAnsiTheme="minorEastAsia" w:eastAsiaTheme="minorEastAsia" w:cstheme="minorEastAsia"/>
                <w:color w:val="auto"/>
                <w:spacing w:val="-17"/>
                <w:szCs w:val="21"/>
              </w:rPr>
              <w:t>桌面采用</w:t>
            </w:r>
            <w:r>
              <w:rPr>
                <w:rFonts w:hint="eastAsia" w:asciiTheme="minorEastAsia" w:hAnsiTheme="minorEastAsia" w:eastAsiaTheme="minorEastAsia" w:cstheme="minorEastAsia"/>
                <w:color w:val="auto"/>
                <w:szCs w:val="21"/>
              </w:rPr>
              <w:t>中密度纤维板，板材密度≥0.70g/cm³，防火板饰面，甲醛释放限量：1m³气候箱法≤0.05mg/m³，按GB/T 39600-2021《人造板及其制品甲醛释放量分级》符合E</w:t>
            </w:r>
            <w:r>
              <w:rPr>
                <w:rFonts w:hint="eastAsia" w:asciiTheme="minorEastAsia" w:hAnsiTheme="minorEastAsia" w:eastAsiaTheme="minorEastAsia" w:cstheme="minorEastAsia"/>
                <w:color w:val="auto"/>
                <w:szCs w:val="21"/>
                <w:vertAlign w:val="subscript"/>
              </w:rPr>
              <w:t>0</w:t>
            </w:r>
            <w:r>
              <w:rPr>
                <w:rFonts w:hint="eastAsia" w:asciiTheme="minorEastAsia" w:hAnsiTheme="minorEastAsia" w:eastAsiaTheme="minorEastAsia" w:cstheme="minorEastAsia"/>
                <w:color w:val="auto"/>
                <w:szCs w:val="21"/>
              </w:rPr>
              <w:t>级；</w:t>
            </w:r>
            <w:r>
              <w:rPr>
                <w:rFonts w:hint="eastAsia" w:asciiTheme="minorEastAsia" w:hAnsiTheme="minorEastAsia" w:eastAsiaTheme="minorEastAsia" w:cstheme="minorEastAsia"/>
                <w:color w:val="auto"/>
                <w:spacing w:val="-11"/>
                <w:szCs w:val="21"/>
              </w:rPr>
              <w:t>桌面厚度为≥</w:t>
            </w:r>
            <w:r>
              <w:rPr>
                <w:rFonts w:hint="eastAsia" w:asciiTheme="minorEastAsia" w:hAnsiTheme="minorEastAsia" w:eastAsiaTheme="minorEastAsia" w:cstheme="minorEastAsia"/>
                <w:color w:val="auto"/>
                <w:szCs w:val="21"/>
              </w:rPr>
              <w:t>25mm，桌沿采用鸭嘴型成型工艺，PVC封边，后方有约100mm高挡板，</w:t>
            </w:r>
            <w:r>
              <w:rPr>
                <w:rFonts w:hint="eastAsia" w:asciiTheme="minorEastAsia" w:hAnsiTheme="minorEastAsia" w:eastAsiaTheme="minorEastAsia" w:cstheme="minorEastAsia"/>
                <w:color w:val="auto"/>
                <w:spacing w:val="-5"/>
                <w:szCs w:val="21"/>
              </w:rPr>
              <w:t>桌面上部离地高度</w:t>
            </w:r>
            <w:r>
              <w:rPr>
                <w:rFonts w:hint="eastAsia" w:asciiTheme="minorEastAsia" w:hAnsiTheme="minorEastAsia" w:eastAsiaTheme="minorEastAsia" w:cstheme="minorEastAsia"/>
                <w:color w:val="auto"/>
                <w:szCs w:val="21"/>
              </w:rPr>
              <w:t>750mm（尺寸允许偏差±5mm），底部带PP塑料保护套。</w:t>
            </w:r>
          </w:p>
          <w:p>
            <w:pPr>
              <w:spacing w:line="360" w:lineRule="exact"/>
              <w:rPr>
                <w:rFonts w:asciiTheme="minorEastAsia" w:hAnsiTheme="minorEastAsia" w:eastAsiaTheme="minorEastAsia" w:cstheme="minorEastAsia"/>
                <w:color w:val="auto"/>
                <w:spacing w:val="-5"/>
                <w:szCs w:val="21"/>
              </w:rPr>
            </w:pPr>
            <w:r>
              <w:rPr>
                <w:rFonts w:hint="eastAsia" w:asciiTheme="minorEastAsia" w:hAnsiTheme="minorEastAsia" w:eastAsiaTheme="minorEastAsia" w:cstheme="minorEastAsia"/>
                <w:color w:val="auto"/>
                <w:szCs w:val="21"/>
                <w:lang w:bidi="ar"/>
              </w:rPr>
              <w:t>板材</w:t>
            </w:r>
            <w:r>
              <w:rPr>
                <w:rFonts w:hint="eastAsia" w:asciiTheme="minorEastAsia" w:hAnsiTheme="minorEastAsia" w:eastAsiaTheme="minorEastAsia" w:cstheme="minorEastAsia"/>
                <w:color w:val="auto"/>
                <w:spacing w:val="-5"/>
                <w:szCs w:val="21"/>
              </w:rPr>
              <w:t>含水率：8%至产品所在地区年平衡含水率+1%。</w:t>
            </w:r>
          </w:p>
          <w:p>
            <w:pPr>
              <w:pStyle w:val="139"/>
              <w:spacing w:line="360" w:lineRule="exact"/>
              <w:ind w:right="155" w:rightChars="7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★10</w:t>
            </w:r>
            <w:r>
              <w:rPr>
                <w:rFonts w:hint="eastAsia" w:asciiTheme="minorEastAsia" w:hAnsiTheme="minorEastAsia" w:eastAsiaTheme="minorEastAsia" w:cstheme="minorEastAsia"/>
                <w:color w:val="auto"/>
                <w:szCs w:val="21"/>
              </w:rPr>
              <w:t>. 床板（1张）规格：≥15mm厚，每块以</w:t>
            </w:r>
            <w:r>
              <w:rPr>
                <w:rFonts w:hint="eastAsia" w:asciiTheme="minorEastAsia" w:hAnsiTheme="minorEastAsia" w:eastAsiaTheme="minorEastAsia" w:cstheme="minorEastAsia"/>
                <w:color w:val="auto"/>
                <w:spacing w:val="-10"/>
                <w:szCs w:val="21"/>
              </w:rPr>
              <w:t>≤7块杉木板拼接而成，最小一块床板≥100mm，每铺床板由三根背梢连接而成，背梢杉木方尺寸：宽30mm×厚20mm</w:t>
            </w:r>
            <w:r>
              <w:rPr>
                <w:rFonts w:hint="eastAsia" w:asciiTheme="minorEastAsia" w:hAnsiTheme="minorEastAsia" w:eastAsiaTheme="minorEastAsia" w:cstheme="minorEastAsia"/>
                <w:color w:val="auto"/>
                <w:szCs w:val="21"/>
              </w:rPr>
              <w:t>（以上尺寸允许偏差±0.5mm）</w:t>
            </w:r>
            <w:r>
              <w:rPr>
                <w:rFonts w:hint="eastAsia" w:asciiTheme="minorEastAsia" w:hAnsiTheme="minorEastAsia" w:eastAsiaTheme="minorEastAsia" w:cstheme="minorEastAsia"/>
                <w:color w:val="auto"/>
                <w:spacing w:val="-10"/>
                <w:szCs w:val="21"/>
              </w:rPr>
              <w:t>，连接床板与背梢的铁钉不能外露，背梢木方不允许有钝棱；床板、背梢木方经干燥防腐、防蛀处理，</w:t>
            </w:r>
            <w:r>
              <w:rPr>
                <w:rFonts w:hint="eastAsia" w:asciiTheme="minorEastAsia" w:hAnsiTheme="minorEastAsia" w:eastAsiaTheme="minorEastAsia" w:cstheme="minorEastAsia"/>
                <w:color w:val="auto"/>
                <w:szCs w:val="21"/>
              </w:rPr>
              <w:t>杉木铺板、背梢木方需四面刨光, 铺板与床架内空尺寸匹配，床铺面及其两边的间隙不应超过5mm，两端的间隙不应超过10mm，杉木床板及背梢木方需满足GB/T20445-2017《刨光材》标准中二等品质量。</w:t>
            </w:r>
          </w:p>
          <w:p>
            <w:pPr>
              <w:pStyle w:val="139"/>
              <w:spacing w:line="360" w:lineRule="exact"/>
              <w:ind w:left="15"/>
              <w:rPr>
                <w:rFonts w:asciiTheme="minorEastAsia" w:hAnsiTheme="minorEastAsia" w:eastAsiaTheme="minorEastAsia" w:cstheme="minorEastAsia"/>
                <w:color w:val="auto"/>
                <w:spacing w:val="-8"/>
                <w:szCs w:val="21"/>
              </w:rPr>
            </w:pPr>
            <w:r>
              <w:rPr>
                <w:rFonts w:hint="eastAsia" w:asciiTheme="minorEastAsia" w:hAnsiTheme="minorEastAsia" w:eastAsiaTheme="minorEastAsia" w:cstheme="minorEastAsia"/>
                <w:color w:val="auto"/>
                <w:szCs w:val="21"/>
              </w:rPr>
              <w:t>11. 四方凳</w:t>
            </w:r>
            <w:r>
              <w:rPr>
                <w:rFonts w:hint="eastAsia" w:asciiTheme="minorEastAsia" w:hAnsiTheme="minorEastAsia" w:eastAsiaTheme="minorEastAsia" w:cstheme="minorEastAsia"/>
                <w:color w:val="auto"/>
                <w:spacing w:val="-11"/>
                <w:szCs w:val="21"/>
              </w:rPr>
              <w:t>规格</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pacing w:val="-27"/>
                <w:szCs w:val="21"/>
              </w:rPr>
              <w:t xml:space="preserve"> 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11"/>
                <w:szCs w:val="21"/>
              </w:rPr>
              <w:t>：</w:t>
            </w:r>
            <w:r>
              <w:rPr>
                <w:rFonts w:hint="eastAsia" w:asciiTheme="minorEastAsia" w:hAnsiTheme="minorEastAsia" w:eastAsiaTheme="minorEastAsia" w:cstheme="minorEastAsia"/>
                <w:color w:val="auto"/>
                <w:spacing w:val="-8"/>
                <w:szCs w:val="21"/>
              </w:rPr>
              <w:t>凳面尺寸</w:t>
            </w:r>
            <w:r>
              <w:rPr>
                <w:rFonts w:hint="eastAsia" w:asciiTheme="minorEastAsia" w:hAnsiTheme="minorEastAsia" w:eastAsiaTheme="minorEastAsia" w:cstheme="minorEastAsia"/>
                <w:color w:val="auto"/>
                <w:spacing w:val="-11"/>
                <w:szCs w:val="21"/>
              </w:rPr>
              <w:t xml:space="preserve">长 </w:t>
            </w:r>
            <w:r>
              <w:rPr>
                <w:rFonts w:hint="eastAsia" w:asciiTheme="minorEastAsia" w:hAnsiTheme="minorEastAsia" w:eastAsiaTheme="minorEastAsia" w:cstheme="minorEastAsia"/>
                <w:color w:val="auto"/>
                <w:szCs w:val="21"/>
              </w:rPr>
              <w:t>320mm×</w:t>
            </w:r>
            <w:r>
              <w:rPr>
                <w:rFonts w:hint="eastAsia" w:asciiTheme="minorEastAsia" w:hAnsiTheme="minorEastAsia" w:eastAsiaTheme="minorEastAsia" w:cstheme="minorEastAsia"/>
                <w:color w:val="auto"/>
                <w:spacing w:val="-27"/>
                <w:szCs w:val="21"/>
              </w:rPr>
              <w:t xml:space="preserve">宽 </w:t>
            </w:r>
            <w:r>
              <w:rPr>
                <w:rFonts w:hint="eastAsia" w:asciiTheme="minorEastAsia" w:hAnsiTheme="minorEastAsia" w:eastAsiaTheme="minorEastAsia" w:cstheme="minorEastAsia"/>
                <w:color w:val="auto"/>
                <w:szCs w:val="21"/>
              </w:rPr>
              <w:t>240mm×</w:t>
            </w:r>
            <w:r>
              <w:rPr>
                <w:rFonts w:hint="eastAsia" w:asciiTheme="minorEastAsia" w:hAnsiTheme="minorEastAsia" w:eastAsiaTheme="minorEastAsia" w:cstheme="minorEastAsia"/>
                <w:color w:val="auto"/>
                <w:spacing w:val="-27"/>
                <w:szCs w:val="21"/>
              </w:rPr>
              <w:t xml:space="preserve">高 </w:t>
            </w:r>
            <w:r>
              <w:rPr>
                <w:rFonts w:hint="eastAsia" w:asciiTheme="minorEastAsia" w:hAnsiTheme="minorEastAsia" w:eastAsiaTheme="minorEastAsia" w:cstheme="minorEastAsia"/>
                <w:color w:val="auto"/>
                <w:szCs w:val="21"/>
              </w:rPr>
              <w:t>430 mm（以上尺寸允许偏差±5mm）。凳面采用</w:t>
            </w:r>
            <w:r>
              <w:rPr>
                <w:rFonts w:hint="eastAsia" w:asciiTheme="minorEastAsia" w:hAnsiTheme="minorEastAsia" w:eastAsiaTheme="minorEastAsia" w:cstheme="minorEastAsia"/>
                <w:color w:val="auto"/>
                <w:spacing w:val="-8"/>
                <w:szCs w:val="21"/>
              </w:rPr>
              <w:t>橡胶木指接板，厚度</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20mm，表面涂饰材料为聚酯清漆，凳脚部分采用金属方管焊接而成，管材尺寸为：长25mm</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pacing w:val="-8"/>
                <w:szCs w:val="21"/>
              </w:rPr>
              <w:t>宽25mm</w:t>
            </w:r>
            <w:r>
              <w:rPr>
                <w:rFonts w:hint="eastAsia" w:asciiTheme="minorEastAsia" w:hAnsiTheme="minorEastAsia" w:eastAsiaTheme="minorEastAsia" w:cstheme="minorEastAsia"/>
                <w:color w:val="auto"/>
                <w:szCs w:val="21"/>
              </w:rPr>
              <w:t>（以上尺寸允许偏差±0.5mm），管壁厚度</w:t>
            </w:r>
            <w:r>
              <w:rPr>
                <w:rFonts w:hint="eastAsia" w:asciiTheme="minorEastAsia" w:hAnsiTheme="minorEastAsia" w:eastAsiaTheme="minorEastAsia" w:cstheme="minorEastAsia"/>
                <w:color w:val="auto"/>
                <w:spacing w:val="-8"/>
                <w:szCs w:val="21"/>
              </w:rPr>
              <w:t>≥1.2mm。凳</w:t>
            </w:r>
            <w:r>
              <w:rPr>
                <w:rFonts w:hint="eastAsia" w:asciiTheme="minorEastAsia" w:hAnsiTheme="minorEastAsia" w:eastAsiaTheme="minorEastAsia" w:cstheme="minorEastAsia"/>
                <w:color w:val="auto"/>
                <w:szCs w:val="21"/>
              </w:rPr>
              <w:t>脚带PP塑料保护套。</w:t>
            </w:r>
            <w:r>
              <w:rPr>
                <w:rFonts w:hint="eastAsia" w:asciiTheme="minorEastAsia" w:hAnsiTheme="minorEastAsia" w:eastAsiaTheme="minorEastAsia" w:cstheme="minorEastAsia"/>
                <w:bCs/>
                <w:color w:val="auto"/>
                <w:szCs w:val="21"/>
                <w:lang w:bidi="ar"/>
              </w:rPr>
              <w:t>拼胶剂要求：</w:t>
            </w:r>
            <w:r>
              <w:rPr>
                <w:rFonts w:hint="eastAsia" w:asciiTheme="minorEastAsia" w:hAnsiTheme="minorEastAsia" w:eastAsiaTheme="minorEastAsia" w:cstheme="minorEastAsia"/>
                <w:color w:val="auto"/>
                <w:spacing w:val="-8"/>
                <w:szCs w:val="21"/>
                <w:lang w:bidi="ar"/>
              </w:rPr>
              <w:t>苯g/kg≤0.2、甲苯+二甲苯g/kg≤10、总挥发性有机物g/L≤110、游离甲醛g/kg≤0.5；油漆：VOC含量g/L≤250、苯系物总和含量[限苯、甲苯、二甲苯（含乙苯）]mg/kg≤250</w:t>
            </w:r>
            <w:r>
              <w:rPr>
                <w:rFonts w:hint="eastAsia" w:asciiTheme="minorEastAsia" w:hAnsiTheme="minorEastAsia" w:eastAsiaTheme="minorEastAsia" w:cstheme="minorEastAsia"/>
                <w:bCs/>
                <w:color w:val="auto"/>
                <w:szCs w:val="21"/>
                <w:lang w:bidi="ar"/>
              </w:rPr>
              <w:t>。</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8"/>
                <w:szCs w:val="21"/>
              </w:rPr>
              <w:t>金属表面经酸洗、磷化、钝化，环氧聚酯热固粉末（环保一级）高压恒温静电喷塑。喷涂均匀，附着</w:t>
            </w:r>
            <w:r>
              <w:rPr>
                <w:rFonts w:hint="eastAsia" w:asciiTheme="minorEastAsia" w:hAnsiTheme="minorEastAsia" w:eastAsiaTheme="minorEastAsia" w:cstheme="minorEastAsia"/>
                <w:color w:val="auto"/>
                <w:szCs w:val="21"/>
              </w:rPr>
              <w:t>力强，耐腐蚀，耐擦挂，耐冲击，防护性能良好。漆膜厚度≥0.8mm；坐板安装应严密、平整、端正、牢固，结合处应无崩茬或松动，金属配件做除锈和防腐处理。表面处理要求:与所有贴面附着牢固，无气泡，不易脱落，硬度较大，不易划伤（表面无明显螺丝钉），有较强的抗涂鸦能力与防破坏能力，可换性强，便于使用。</w:t>
            </w:r>
          </w:p>
          <w:p>
            <w:pPr>
              <w:pStyle w:val="139"/>
              <w:spacing w:line="360" w:lineRule="exact"/>
              <w:ind w:left="15"/>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drawing>
                <wp:anchor distT="0" distB="0" distL="114300" distR="114300" simplePos="0" relativeHeight="251679744" behindDoc="0" locked="0" layoutInCell="1" allowOverlap="1">
                  <wp:simplePos x="0" y="0"/>
                  <wp:positionH relativeFrom="page">
                    <wp:posOffset>1308735</wp:posOffset>
                  </wp:positionH>
                  <wp:positionV relativeFrom="paragraph">
                    <wp:posOffset>50800</wp:posOffset>
                  </wp:positionV>
                  <wp:extent cx="752475" cy="1113155"/>
                  <wp:effectExtent l="0" t="0" r="9525" b="10795"/>
                  <wp:wrapNone/>
                  <wp:docPr id="4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jpeg"/>
                          <pic:cNvPicPr>
                            <a:picLocks noChangeAspect="1"/>
                          </pic:cNvPicPr>
                        </pic:nvPicPr>
                        <pic:blipFill>
                          <a:blip r:embed="rId14"/>
                          <a:stretch>
                            <a:fillRect/>
                          </a:stretch>
                        </pic:blipFill>
                        <pic:spPr>
                          <a:xfrm>
                            <a:off x="0" y="0"/>
                            <a:ext cx="752475" cy="1113155"/>
                          </a:xfrm>
                          <a:prstGeom prst="rect">
                            <a:avLst/>
                          </a:prstGeom>
                          <a:noFill/>
                          <a:ln>
                            <a:noFill/>
                          </a:ln>
                        </pic:spPr>
                      </pic:pic>
                    </a:graphicData>
                  </a:graphic>
                </wp:anchor>
              </w:drawing>
            </w: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Pr>
                <w:rFonts w:asciiTheme="minorEastAsia" w:hAnsiTheme="minorEastAsia" w:eastAsiaTheme="minorEastAsia" w:cstheme="minorEastAsia"/>
                <w:color w:val="auto"/>
                <w:szCs w:val="21"/>
              </w:rPr>
            </w:pPr>
          </w:p>
          <w:p>
            <w:pPr>
              <w:pStyle w:val="139"/>
              <w:spacing w:line="360" w:lineRule="exact"/>
              <w:ind w:left="15" w:right="167"/>
              <w:rPr>
                <w:rFonts w:asciiTheme="minorEastAsia" w:hAnsiTheme="minorEastAsia" w:eastAsiaTheme="minorEastAsia" w:cstheme="minorEastAsia"/>
                <w:color w:val="auto"/>
                <w:szCs w:val="21"/>
              </w:rPr>
            </w:pPr>
          </w:p>
        </w:tc>
        <w:tc>
          <w:tcPr>
            <w:tcW w:w="748" w:type="dxa"/>
          </w:tcPr>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ind w:left="148"/>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22</w:t>
            </w:r>
          </w:p>
        </w:tc>
        <w:tc>
          <w:tcPr>
            <w:tcW w:w="242" w:type="dxa"/>
          </w:tcPr>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rPr>
                <w:rFonts w:asciiTheme="minorEastAsia" w:hAnsiTheme="minorEastAsia" w:eastAsiaTheme="minorEastAsia" w:cstheme="minorEastAsia"/>
                <w:color w:val="auto"/>
                <w:szCs w:val="21"/>
              </w:rPr>
            </w:pPr>
          </w:p>
          <w:p>
            <w:pPr>
              <w:pStyle w:val="139"/>
              <w:spacing w:line="360" w:lineRule="auto"/>
              <w:ind w:left="9"/>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套</w:t>
            </w:r>
          </w:p>
        </w:tc>
        <w:tc>
          <w:tcPr>
            <w:tcW w:w="497" w:type="dxa"/>
          </w:tcPr>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rPr>
                <w:rFonts w:asciiTheme="minorEastAsia" w:hAnsiTheme="minorEastAsia" w:eastAsiaTheme="minorEastAsia" w:cstheme="minorEastAsia"/>
                <w:b/>
                <w:color w:val="auto"/>
                <w:szCs w:val="21"/>
              </w:rPr>
            </w:pPr>
          </w:p>
          <w:p>
            <w:pPr>
              <w:pStyle w:val="139"/>
              <w:spacing w:line="360" w:lineRule="auto"/>
              <w:rPr>
                <w:rFonts w:asciiTheme="minorEastAsia" w:hAnsiTheme="minorEastAsia" w:eastAsiaTheme="minorEastAsia" w:cstheme="minorEastAsia"/>
                <w:b/>
                <w:color w:val="auto"/>
                <w:szCs w:val="21"/>
              </w:rPr>
            </w:pPr>
          </w:p>
          <w:p>
            <w:pPr>
              <w:pStyle w:val="139"/>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1892</w:t>
            </w: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p>
            <w:pPr>
              <w:pStyle w:val="139"/>
              <w:spacing w:line="360" w:lineRule="auto"/>
              <w:ind w:left="277"/>
              <w:rPr>
                <w:rFonts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776" w:type="dxa"/>
            <w:gridSpan w:val="6"/>
            <w:vAlign w:val="center"/>
          </w:tcPr>
          <w:p>
            <w:pPr>
              <w:pStyle w:val="139"/>
              <w:spacing w:line="360" w:lineRule="auto"/>
              <w:ind w:left="277"/>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样品要求</w:t>
            </w:r>
          </w:p>
        </w:tc>
        <w:tc>
          <w:tcPr>
            <w:tcW w:w="8855" w:type="dxa"/>
            <w:gridSpan w:val="4"/>
            <w:vAlign w:val="center"/>
          </w:tcPr>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 xml:space="preserve">1.投标人按照本项目“样品递交要求”递交所投货物的以下小样，小样的各项技术参数符合或优于采购需求： </w:t>
            </w:r>
          </w:p>
          <w:tbl>
            <w:tblPr>
              <w:tblStyle w:val="30"/>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111"/>
              <w:gridCol w:w="103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项号</w:t>
                  </w:r>
                </w:p>
              </w:tc>
              <w:tc>
                <w:tcPr>
                  <w:tcW w:w="4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小样名称</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数量</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床立柱(边立柱含胶套)，长约300mm</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1根</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一半裸露，一半涂饰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2</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床横梁及护栏（含床挂件）</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1套</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一半裸露，一半涂饰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3</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脚踏板（含夜光塑料外套）</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1个</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一半裸露，一半涂饰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钢制柜门板（带锁），下门</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1块</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一半裸露，一半涂饰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5</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桌面板，约200mm×200mm，厚度≥25mm</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1块</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防火板饰面，封边条封边，须有一面不封边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6</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方凳一张</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1张</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一半裸露，一半涂饰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7</w:t>
                  </w:r>
                </w:p>
              </w:tc>
              <w:tc>
                <w:tcPr>
                  <w:tcW w:w="4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杉木床板（带背梢），约200mm×200mm</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1块</w:t>
                  </w:r>
                </w:p>
              </w:tc>
              <w:tc>
                <w:tcPr>
                  <w:tcW w:w="2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实木小样</w:t>
                  </w:r>
                </w:p>
              </w:tc>
            </w:tr>
          </w:tbl>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 xml:space="preserve">2.样品递交要求： </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（1）样品递交时间：2022年</w:t>
            </w:r>
            <w:r>
              <w:rPr>
                <w:rFonts w:hint="eastAsia" w:asciiTheme="minorEastAsia" w:hAnsiTheme="minorEastAsia" w:eastAsiaTheme="minorEastAsia" w:cstheme="minorEastAsia"/>
                <w:color w:val="auto"/>
                <w:szCs w:val="21"/>
                <w:lang w:val="en-US" w:eastAsia="zh-CN" w:bidi="ar"/>
              </w:rPr>
              <w:t>10</w:t>
            </w:r>
            <w:r>
              <w:rPr>
                <w:rFonts w:hint="eastAsia" w:asciiTheme="minorEastAsia" w:hAnsiTheme="minorEastAsia" w:eastAsiaTheme="minorEastAsia" w:cstheme="minorEastAsia"/>
                <w:color w:val="auto"/>
                <w:szCs w:val="21"/>
                <w:lang w:bidi="ar"/>
              </w:rPr>
              <w:t>月</w:t>
            </w:r>
            <w:r>
              <w:rPr>
                <w:rFonts w:hint="eastAsia" w:asciiTheme="minorEastAsia" w:hAnsiTheme="minorEastAsia" w:eastAsiaTheme="minorEastAsia" w:cstheme="minorEastAsia"/>
                <w:color w:val="auto"/>
                <w:szCs w:val="21"/>
                <w:lang w:val="en-US" w:eastAsia="zh-CN" w:bidi="ar"/>
              </w:rPr>
              <w:t>19</w:t>
            </w:r>
            <w:r>
              <w:rPr>
                <w:rFonts w:hint="eastAsia" w:asciiTheme="minorEastAsia" w:hAnsiTheme="minorEastAsia" w:eastAsiaTheme="minorEastAsia" w:cstheme="minorEastAsia"/>
                <w:color w:val="auto"/>
                <w:szCs w:val="21"/>
                <w:lang w:bidi="ar"/>
              </w:rPr>
              <w:t>日上午9时00分至2022年</w:t>
            </w:r>
            <w:r>
              <w:rPr>
                <w:rFonts w:hint="eastAsia" w:asciiTheme="minorEastAsia" w:hAnsiTheme="minorEastAsia" w:eastAsiaTheme="minorEastAsia" w:cstheme="minorEastAsia"/>
                <w:color w:val="auto"/>
                <w:szCs w:val="21"/>
                <w:lang w:val="en-US" w:eastAsia="zh-CN" w:bidi="ar"/>
              </w:rPr>
              <w:t>10</w:t>
            </w:r>
            <w:r>
              <w:rPr>
                <w:rFonts w:hint="eastAsia" w:asciiTheme="minorEastAsia" w:hAnsiTheme="minorEastAsia" w:eastAsiaTheme="minorEastAsia" w:cstheme="minorEastAsia"/>
                <w:color w:val="auto"/>
                <w:szCs w:val="21"/>
                <w:lang w:bidi="ar"/>
              </w:rPr>
              <w:t>月</w:t>
            </w:r>
            <w:r>
              <w:rPr>
                <w:rFonts w:hint="eastAsia" w:asciiTheme="minorEastAsia" w:hAnsiTheme="minorEastAsia" w:eastAsiaTheme="minorEastAsia" w:cstheme="minorEastAsia"/>
                <w:color w:val="auto"/>
                <w:szCs w:val="21"/>
                <w:lang w:val="en-US" w:eastAsia="zh-CN" w:bidi="ar"/>
              </w:rPr>
              <w:t>19</w:t>
            </w:r>
            <w:r>
              <w:rPr>
                <w:rFonts w:hint="eastAsia" w:asciiTheme="minorEastAsia" w:hAnsiTheme="minorEastAsia" w:eastAsiaTheme="minorEastAsia" w:cstheme="minorEastAsia"/>
                <w:color w:val="auto"/>
                <w:szCs w:val="21"/>
                <w:lang w:bidi="ar"/>
              </w:rPr>
              <w:t xml:space="preserve">日上午9时30分止，样品递交截止时间与投标截止时间一致。 </w:t>
            </w:r>
          </w:p>
          <w:p>
            <w:pPr>
              <w:spacing w:line="360" w:lineRule="exact"/>
              <w:ind w:left="420" w:hanging="420" w:hanging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（2）样品递交地点：桂林市公共资源交易中心（桂林市临桂区西城中路69号创业大厦西辅楼</w:t>
            </w:r>
            <w:r>
              <w:rPr>
                <w:rFonts w:hint="eastAsia" w:asciiTheme="minorEastAsia" w:hAnsiTheme="minorEastAsia" w:eastAsiaTheme="minorEastAsia" w:cstheme="minorEastAsia"/>
                <w:color w:val="auto"/>
                <w:szCs w:val="21"/>
                <w:lang w:val="en-US" w:eastAsia="zh-CN" w:bidi="ar"/>
              </w:rPr>
              <w:t>4</w:t>
            </w:r>
            <w:r>
              <w:rPr>
                <w:rFonts w:hint="eastAsia" w:asciiTheme="minorEastAsia" w:hAnsiTheme="minorEastAsia" w:eastAsiaTheme="minorEastAsia" w:cstheme="minorEastAsia"/>
                <w:color w:val="auto"/>
                <w:szCs w:val="21"/>
                <w:lang w:bidi="ar"/>
              </w:rPr>
              <w:t>楼）</w:t>
            </w:r>
            <w:r>
              <w:rPr>
                <w:rFonts w:hint="eastAsia" w:asciiTheme="minorEastAsia" w:hAnsiTheme="minorEastAsia" w:eastAsiaTheme="minorEastAsia" w:cstheme="minorEastAsia"/>
                <w:color w:val="auto"/>
                <w:szCs w:val="21"/>
                <w:lang w:val="en-US" w:eastAsia="zh-CN" w:bidi="ar"/>
              </w:rPr>
              <w:t>9</w:t>
            </w:r>
            <w:r>
              <w:rPr>
                <w:rFonts w:hint="eastAsia" w:asciiTheme="minorEastAsia" w:hAnsiTheme="minorEastAsia" w:eastAsiaTheme="minorEastAsia" w:cstheme="minorEastAsia"/>
                <w:color w:val="auto"/>
                <w:szCs w:val="21"/>
                <w:lang w:bidi="ar"/>
              </w:rPr>
              <w:t>号开标室。</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lang w:bidi="ar"/>
              </w:rPr>
              <w:t>（3）样品只是作为加分项，不作为投标的必须要求；</w:t>
            </w:r>
            <w:r>
              <w:rPr>
                <w:rFonts w:hint="eastAsia" w:asciiTheme="minorEastAsia" w:hAnsiTheme="minorEastAsia" w:eastAsiaTheme="minorEastAsia" w:cstheme="minorEastAsia"/>
                <w:color w:val="auto"/>
                <w:szCs w:val="21"/>
                <w:lang w:bidi="ar"/>
              </w:rPr>
              <w:t xml:space="preserve"> </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（4）样品递交：</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①所有小样可以统一放进一个箱子（袋子）中提交到采购中心指定的地方；</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②箱子(袋子)正面贴上投标人名称、项目名称和项目编号等信息的标签并加盖投标人公章；</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③各小样不能出现任何厂家（公司）或投标品牌标识，如出现透露信息的标识，小样不得进行评定；</w:t>
            </w:r>
          </w:p>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④政府集中采购中心工作人员只负责按箱（袋）数接收样品；评标前由政府集中采购中心工作人员将对投标人的标签进行遮盖，评定样品时由评标委员会共同启封，待评定样品完毕后，再统一拆封所有投标人的标签。</w:t>
            </w:r>
          </w:p>
          <w:p>
            <w:pPr>
              <w:widowControl/>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（5）采购结果公告后，中标人样品不退，作为验收依据之一。其余未中标的样品在接到本中心通知后两个工作日内予以退回，不及时领取样品所造成的损失，投标人自行承担。</w:t>
            </w:r>
          </w:p>
          <w:p>
            <w:pPr>
              <w:jc w:val="left"/>
              <w:textAlignment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color w:val="auto"/>
                <w:szCs w:val="21"/>
              </w:rPr>
              <w:t>免费质保期及售后技术服务要求</w:t>
            </w:r>
          </w:p>
        </w:tc>
        <w:tc>
          <w:tcPr>
            <w:tcW w:w="8855" w:type="dxa"/>
            <w:gridSpan w:val="4"/>
            <w:vAlign w:val="center"/>
          </w:tcPr>
          <w:p>
            <w:pPr>
              <w:widowControl/>
              <w:numPr>
                <w:ilvl w:val="0"/>
                <w:numId w:val="7"/>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免费保修期：按国家有关产品“三包”规定执行“三包”，免费保修期最短不得少于 5 年（免费保修期 自货物安装调试并在验收合格之日起计算）。</w:t>
            </w:r>
          </w:p>
          <w:p>
            <w:pPr>
              <w:widowControl/>
              <w:numPr>
                <w:ilvl w:val="0"/>
                <w:numId w:val="7"/>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免费保修期内提供免费上门维修服务（含免费更换零部件、免人工费），接到采购人报障电话后 5 小时内派工程技术人员上门免费维修解决问题；若更换配件的应提供原供货产品品牌；若采购人发现产品存在制造上的缺陷，中标供应商应负责采取补救措施，若该缺陷导致产品存在安全隐患或不能使用的，中标供应商应负责免费更换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jc w:val="cente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color w:val="auto"/>
                <w:kern w:val="0"/>
                <w:szCs w:val="21"/>
              </w:rPr>
              <w:t>交付使用时间及地点</w:t>
            </w:r>
          </w:p>
        </w:tc>
        <w:tc>
          <w:tcPr>
            <w:tcW w:w="8855" w:type="dxa"/>
            <w:gridSpan w:val="4"/>
            <w:vAlign w:val="center"/>
          </w:tcPr>
          <w:p>
            <w:pPr>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1.交付使用时间：自合同签订之日起30个日历日内安装调试完毕并交付使用。</w:t>
            </w:r>
          </w:p>
          <w:p>
            <w:pPr>
              <w:jc w:val="left"/>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2.交付地点：桂林市采购人指定地点。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jc w:val="cente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color w:val="auto"/>
                <w:kern w:val="0"/>
                <w:szCs w:val="21"/>
              </w:rPr>
              <w:t>验收要求</w:t>
            </w:r>
          </w:p>
        </w:tc>
        <w:tc>
          <w:tcPr>
            <w:tcW w:w="8855" w:type="dxa"/>
            <w:gridSpan w:val="4"/>
            <w:vAlign w:val="center"/>
          </w:tcPr>
          <w:p>
            <w:pPr>
              <w:widowControl/>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验收要求：由采购人、中标供应商共同现场验收，并由采购人随机抽样委托第三方或具有相关资质的第三方检测机构（具备质量技术监督部门或市场监督管理部门颁发的计量认证资质CMA）开展采购项目验收工作，检验过程中产生的所有费用由中标供应商承担。如抽取的货样检测报告结果不合格的，则视为货物不合格，须按采购人要求及时整改，如因此过程耽误交货时间导致采购人不能及时接受货物、安装货物、使用货物造成损失的，中标人承担由此所造成全部损失。</w:t>
            </w:r>
          </w:p>
          <w:p>
            <w:pPr>
              <w:widowControl/>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次采购货物在完成所有安装调试并经采购人验收前，商品的丢失、损害或毁坏等风险由中标供应商承担。中标人组织安装调试期间应做到安全安装调试，不损坏采购人的设备设施，否则，应承担由于自身安全措施不力所造成的事故责任和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jc w:val="cente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color w:val="auto"/>
                <w:kern w:val="0"/>
                <w:szCs w:val="21"/>
              </w:rPr>
              <w:t>付款方式</w:t>
            </w:r>
          </w:p>
        </w:tc>
        <w:tc>
          <w:tcPr>
            <w:tcW w:w="8855" w:type="dxa"/>
            <w:gridSpan w:val="4"/>
            <w:vAlign w:val="center"/>
          </w:tcPr>
          <w:p>
            <w:pPr>
              <w:adjustRightInd w:val="0"/>
              <w:spacing w:line="36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合同签订之日起</w:t>
            </w:r>
            <w:r>
              <w:rPr>
                <w:rFonts w:hint="eastAsia" w:asciiTheme="minorEastAsia" w:hAnsiTheme="minorEastAsia" w:eastAsiaTheme="minorEastAsia" w:cstheme="minorEastAsia"/>
                <w:color w:val="auto"/>
                <w:szCs w:val="21"/>
              </w:rPr>
              <w:t>并具备实施条件后10个工作日内</w:t>
            </w:r>
            <w:r>
              <w:rPr>
                <w:rFonts w:hint="eastAsia" w:asciiTheme="minorEastAsia" w:hAnsiTheme="minorEastAsia" w:eastAsiaTheme="minorEastAsia" w:cstheme="minorEastAsia"/>
                <w:color w:val="auto"/>
                <w:szCs w:val="21"/>
              </w:rPr>
              <w:t>，采购人支付合同价款的50%作为预付款；全部货物安装调试完毕并验收合格后，采购人在30个工作日内支付合同价款的45%；中标人承诺的免费</w:t>
            </w:r>
            <w:r>
              <w:rPr>
                <w:rFonts w:hint="eastAsia" w:asciiTheme="minorEastAsia" w:hAnsiTheme="minorEastAsia" w:eastAsiaTheme="minorEastAsia" w:cstheme="minorEastAsia"/>
                <w:color w:val="auto"/>
                <w:szCs w:val="21"/>
              </w:rPr>
              <w:t>保修期</w:t>
            </w:r>
            <w:r>
              <w:rPr>
                <w:rFonts w:hint="eastAsia" w:asciiTheme="minorEastAsia" w:hAnsiTheme="minorEastAsia" w:eastAsiaTheme="minorEastAsia" w:cstheme="minorEastAsia"/>
                <w:color w:val="auto"/>
                <w:szCs w:val="21"/>
              </w:rPr>
              <w:t>满后,采购人30个工作日内支付合同价款的5%（无息）。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jc w:val="cente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★核心产品</w:t>
            </w:r>
          </w:p>
        </w:tc>
        <w:tc>
          <w:tcPr>
            <w:tcW w:w="8855" w:type="dxa"/>
            <w:gridSpan w:val="4"/>
            <w:vAlign w:val="center"/>
          </w:tcPr>
          <w:p>
            <w:pP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kern w:val="0"/>
                <w:szCs w:val="21"/>
              </w:rPr>
              <w:t>本项目第1项货物“</w:t>
            </w:r>
            <w:r>
              <w:rPr>
                <w:rFonts w:hint="eastAsia" w:asciiTheme="minorEastAsia" w:hAnsiTheme="minorEastAsia" w:eastAsiaTheme="minorEastAsia" w:cstheme="minorEastAsia"/>
                <w:b/>
                <w:bCs/>
                <w:color w:val="auto"/>
                <w:szCs w:val="21"/>
                <w:u w:val="single"/>
              </w:rPr>
              <w:t>三联体公寓床</w:t>
            </w:r>
            <w:r>
              <w:rPr>
                <w:rFonts w:hint="eastAsia" w:asciiTheme="minorEastAsia" w:hAnsiTheme="minorEastAsia" w:eastAsiaTheme="minorEastAsia" w:cstheme="minorEastAsia"/>
                <w:b/>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1" w:type="dxa"/>
            <w:gridSpan w:val="2"/>
            <w:vAlign w:val="center"/>
          </w:tcPr>
          <w:p>
            <w:pPr>
              <w:jc w:val="center"/>
              <w:textAlignment w:val="baseline"/>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color w:val="auto"/>
                <w:kern w:val="0"/>
                <w:szCs w:val="21"/>
              </w:rPr>
              <w:t>其他要求</w:t>
            </w:r>
          </w:p>
        </w:tc>
        <w:tc>
          <w:tcPr>
            <w:tcW w:w="8855" w:type="dxa"/>
            <w:gridSpan w:val="4"/>
            <w:vAlign w:val="center"/>
          </w:tcPr>
          <w:p>
            <w:pPr>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1.本项目采购预算金额为：人民币柒佰玖拾贰万陆仟零肆元整（¥7926004.00元），报价超出采购预算金额的，其投标文件按无效处理。</w:t>
            </w:r>
          </w:p>
          <w:p>
            <w:pPr>
              <w:spacing w:line="3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2.如投标时出具具有 CMA 标识的检测（验）报告复印件，其应与原件一致，如有弄虚作假，按政府采购相关规定处罚。</w:t>
            </w:r>
          </w:p>
          <w:p>
            <w:pPr>
              <w:spacing w:line="240" w:lineRule="atLeas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3.本项目货物不接受进口产品（即通过中国海关报关验放进入中国境内且产自关境外的产品）参与报价，如有此类产品参与报价的，报价文件作无效处理。</w:t>
            </w:r>
          </w:p>
          <w:p>
            <w:pPr>
              <w:spacing w:line="240" w:lineRule="atLeas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4.本项目所属行业为工业。</w:t>
            </w:r>
          </w:p>
          <w:p>
            <w:pPr>
              <w:pStyle w:val="48"/>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5.所有金属材料厚度要求均为裸材厚度。</w:t>
            </w:r>
          </w:p>
          <w:p>
            <w:pPr>
              <w:pStyle w:val="48"/>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6.本项目采购预算包含运费、搬运费、加工及安装费。</w:t>
            </w:r>
          </w:p>
        </w:tc>
      </w:tr>
    </w:tbl>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b/>
          <w:bCs/>
          <w:color w:val="auto"/>
          <w:sz w:val="36"/>
          <w:szCs w:val="36"/>
        </w:rPr>
      </w:pPr>
    </w:p>
    <w:p>
      <w:pPr>
        <w:pStyle w:val="2"/>
        <w:rPr>
          <w:b/>
          <w:bCs/>
          <w:color w:val="auto"/>
          <w:sz w:val="36"/>
          <w:szCs w:val="36"/>
        </w:rPr>
      </w:pPr>
    </w:p>
    <w:p>
      <w:pPr>
        <w:rPr>
          <w:color w:val="auto"/>
        </w:rPr>
      </w:pPr>
      <w:r>
        <w:rPr>
          <w:rStyle w:val="49"/>
          <w:rFonts w:hint="eastAsia" w:ascii="宋体" w:hAnsi="宋体" w:cs="宋体"/>
          <w:color w:val="auto"/>
          <w:sz w:val="32"/>
          <w:szCs w:val="32"/>
        </w:rPr>
        <w:t>三联体床参考三视图：</w:t>
      </w:r>
    </w:p>
    <w:p>
      <w:pPr>
        <w:pStyle w:val="2"/>
        <w:rPr>
          <w:rStyle w:val="49"/>
          <w:rFonts w:ascii="宋体" w:hAnsi="宋体" w:cs="宋体"/>
          <w:color w:val="auto"/>
          <w:sz w:val="32"/>
          <w:szCs w:val="32"/>
        </w:rPr>
      </w:pPr>
      <w:bookmarkStart w:id="216" w:name="_Toc30534"/>
      <w:bookmarkStart w:id="217" w:name="_Toc17907"/>
      <w:bookmarkStart w:id="218" w:name="_Toc2348"/>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r>
        <w:rPr>
          <w:color w:val="auto"/>
        </w:rPr>
        <w:drawing>
          <wp:anchor distT="0" distB="0" distL="114300" distR="114300" simplePos="0" relativeHeight="251681792" behindDoc="0" locked="0" layoutInCell="1" allowOverlap="1">
            <wp:simplePos x="0" y="0"/>
            <wp:positionH relativeFrom="column">
              <wp:posOffset>-66675</wp:posOffset>
            </wp:positionH>
            <wp:positionV relativeFrom="paragraph">
              <wp:posOffset>-890270</wp:posOffset>
            </wp:positionV>
            <wp:extent cx="6130290" cy="2932430"/>
            <wp:effectExtent l="0" t="0" r="3810" b="1270"/>
            <wp:wrapNone/>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5"/>
                    <a:stretch>
                      <a:fillRect/>
                    </a:stretch>
                  </pic:blipFill>
                  <pic:spPr>
                    <a:xfrm>
                      <a:off x="0" y="0"/>
                      <a:ext cx="6130290" cy="2932430"/>
                    </a:xfrm>
                    <a:prstGeom prst="rect">
                      <a:avLst/>
                    </a:prstGeom>
                    <a:noFill/>
                    <a:ln>
                      <a:noFill/>
                    </a:ln>
                  </pic:spPr>
                </pic:pic>
              </a:graphicData>
            </a:graphic>
          </wp:anchor>
        </w:drawing>
      </w:r>
      <w:r>
        <w:rPr>
          <w:color w:val="auto"/>
        </w:rPr>
        <w:drawing>
          <wp:anchor distT="0" distB="0" distL="114300" distR="114300" simplePos="0" relativeHeight="251682816" behindDoc="0" locked="0" layoutInCell="1" allowOverlap="1">
            <wp:simplePos x="0" y="0"/>
            <wp:positionH relativeFrom="column">
              <wp:posOffset>-85725</wp:posOffset>
            </wp:positionH>
            <wp:positionV relativeFrom="paragraph">
              <wp:posOffset>2341245</wp:posOffset>
            </wp:positionV>
            <wp:extent cx="6130925" cy="1582420"/>
            <wp:effectExtent l="0" t="0" r="3175" b="17780"/>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6"/>
                    <a:stretch>
                      <a:fillRect/>
                    </a:stretch>
                  </pic:blipFill>
                  <pic:spPr>
                    <a:xfrm>
                      <a:off x="0" y="0"/>
                      <a:ext cx="6130925" cy="1582420"/>
                    </a:xfrm>
                    <a:prstGeom prst="rect">
                      <a:avLst/>
                    </a:prstGeom>
                    <a:noFill/>
                    <a:ln>
                      <a:noFill/>
                    </a:ln>
                  </pic:spPr>
                </pic:pic>
              </a:graphicData>
            </a:graphic>
          </wp:anchor>
        </w:drawing>
      </w: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r>
        <w:rPr>
          <w:color w:val="auto"/>
        </w:rPr>
        <w:drawing>
          <wp:anchor distT="0" distB="0" distL="114300" distR="114300" simplePos="0" relativeHeight="251683840" behindDoc="0" locked="0" layoutInCell="1" allowOverlap="1">
            <wp:simplePos x="0" y="0"/>
            <wp:positionH relativeFrom="column">
              <wp:posOffset>1833245</wp:posOffset>
            </wp:positionH>
            <wp:positionV relativeFrom="paragraph">
              <wp:posOffset>214630</wp:posOffset>
            </wp:positionV>
            <wp:extent cx="2054225" cy="3202940"/>
            <wp:effectExtent l="0" t="0" r="3175" b="16510"/>
            <wp:wrapNone/>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7"/>
                    <a:stretch>
                      <a:fillRect/>
                    </a:stretch>
                  </pic:blipFill>
                  <pic:spPr>
                    <a:xfrm>
                      <a:off x="0" y="0"/>
                      <a:ext cx="2054225" cy="3202940"/>
                    </a:xfrm>
                    <a:prstGeom prst="rect">
                      <a:avLst/>
                    </a:prstGeom>
                    <a:noFill/>
                    <a:ln>
                      <a:noFill/>
                    </a:ln>
                  </pic:spPr>
                </pic:pic>
              </a:graphicData>
            </a:graphic>
          </wp:anchor>
        </w:drawing>
      </w: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p>
    <w:p>
      <w:pPr>
        <w:pStyle w:val="2"/>
        <w:rPr>
          <w:rStyle w:val="49"/>
          <w:rFonts w:ascii="宋体" w:hAnsi="宋体" w:cs="宋体"/>
          <w:color w:val="auto"/>
          <w:sz w:val="32"/>
          <w:szCs w:val="32"/>
        </w:rPr>
      </w:pPr>
      <w:r>
        <w:rPr>
          <w:rStyle w:val="49"/>
          <w:rFonts w:hint="eastAsia" w:ascii="宋体" w:hAnsi="宋体" w:cs="宋体"/>
          <w:color w:val="auto"/>
          <w:sz w:val="32"/>
          <w:szCs w:val="32"/>
        </w:rPr>
        <w:t>无障碍床参考三视图：</w:t>
      </w:r>
    </w:p>
    <w:p>
      <w:pPr>
        <w:rPr>
          <w:rStyle w:val="49"/>
          <w:rFonts w:ascii="宋体" w:hAnsi="宋体" w:cs="宋体"/>
          <w:color w:val="auto"/>
          <w:sz w:val="32"/>
          <w:szCs w:val="32"/>
        </w:rPr>
      </w:pPr>
      <w:r>
        <w:rPr>
          <w:b/>
          <w:color w:val="auto"/>
        </w:rPr>
        <w:drawing>
          <wp:anchor distT="0" distB="0" distL="114300" distR="114300" simplePos="0" relativeHeight="251685888" behindDoc="0" locked="0" layoutInCell="1" allowOverlap="1">
            <wp:simplePos x="0" y="0"/>
            <wp:positionH relativeFrom="column">
              <wp:posOffset>2928620</wp:posOffset>
            </wp:positionH>
            <wp:positionV relativeFrom="paragraph">
              <wp:posOffset>172085</wp:posOffset>
            </wp:positionV>
            <wp:extent cx="3074035" cy="3090545"/>
            <wp:effectExtent l="0" t="0" r="12065" b="14605"/>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74035" cy="3090545"/>
                    </a:xfrm>
                    <a:prstGeom prst="rect">
                      <a:avLst/>
                    </a:prstGeom>
                    <a:noFill/>
                  </pic:spPr>
                </pic:pic>
              </a:graphicData>
            </a:graphic>
          </wp:anchor>
        </w:drawing>
      </w:r>
      <w:r>
        <w:rPr>
          <w:rFonts w:ascii="Cambria" w:hAnsi="Cambria"/>
          <w:b/>
          <w:bCs/>
          <w:color w:val="auto"/>
          <w:sz w:val="32"/>
          <w:szCs w:val="32"/>
        </w:rPr>
        <w:drawing>
          <wp:anchor distT="0" distB="0" distL="114300" distR="114300" simplePos="0" relativeHeight="251684864" behindDoc="1" locked="0" layoutInCell="1" allowOverlap="1">
            <wp:simplePos x="0" y="0"/>
            <wp:positionH relativeFrom="margin">
              <wp:posOffset>-292100</wp:posOffset>
            </wp:positionH>
            <wp:positionV relativeFrom="paragraph">
              <wp:posOffset>196215</wp:posOffset>
            </wp:positionV>
            <wp:extent cx="3362325" cy="3245485"/>
            <wp:effectExtent l="0" t="0" r="9525" b="1206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362325" cy="3245485"/>
                    </a:xfrm>
                    <a:prstGeom prst="rect">
                      <a:avLst/>
                    </a:prstGeom>
                    <a:noFill/>
                  </pic:spPr>
                </pic:pic>
              </a:graphicData>
            </a:graphic>
          </wp:anchor>
        </w:drawing>
      </w: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r>
        <w:rPr>
          <w:rStyle w:val="49"/>
          <w:rFonts w:hint="eastAsia" w:ascii="宋体" w:hAnsi="宋体" w:cs="宋体"/>
          <w:color w:val="auto"/>
          <w:sz w:val="32"/>
          <w:szCs w:val="32"/>
        </w:rPr>
        <w:t xml:space="preserve">                                     </w:t>
      </w: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color w:val="auto"/>
        </w:rPr>
      </w:pPr>
    </w:p>
    <w:p>
      <w:pPr>
        <w:rPr>
          <w:rStyle w:val="49"/>
          <w:rFonts w:ascii="宋体" w:hAnsi="宋体" w:cs="宋体"/>
          <w:color w:val="auto"/>
          <w:sz w:val="32"/>
          <w:szCs w:val="32"/>
        </w:rPr>
      </w:pPr>
    </w:p>
    <w:p>
      <w:pPr>
        <w:pStyle w:val="2"/>
        <w:rPr>
          <w:rStyle w:val="49"/>
          <w:rFonts w:ascii="宋体" w:hAnsi="宋体" w:cs="宋体"/>
          <w:color w:val="auto"/>
          <w:sz w:val="32"/>
          <w:szCs w:val="32"/>
        </w:rPr>
      </w:pPr>
    </w:p>
    <w:p>
      <w:pPr>
        <w:rPr>
          <w:color w:val="auto"/>
        </w:rPr>
      </w:pPr>
    </w:p>
    <w:p>
      <w:pPr>
        <w:pStyle w:val="2"/>
        <w:rPr>
          <w:color w:val="auto"/>
        </w:rPr>
      </w:pPr>
    </w:p>
    <w:p>
      <w:pPr>
        <w:rPr>
          <w:color w:val="auto"/>
        </w:rPr>
      </w:pPr>
      <w:r>
        <w:rPr>
          <w:b/>
          <w:color w:val="auto"/>
        </w:rPr>
        <w:drawing>
          <wp:anchor distT="0" distB="0" distL="114300" distR="114300" simplePos="0" relativeHeight="251686912" behindDoc="0" locked="0" layoutInCell="1" allowOverlap="1">
            <wp:simplePos x="0" y="0"/>
            <wp:positionH relativeFrom="column">
              <wp:posOffset>-185420</wp:posOffset>
            </wp:positionH>
            <wp:positionV relativeFrom="paragraph">
              <wp:posOffset>88265</wp:posOffset>
            </wp:positionV>
            <wp:extent cx="3816350" cy="2099945"/>
            <wp:effectExtent l="0" t="0" r="12700" b="14605"/>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16350" cy="2099945"/>
                    </a:xfrm>
                    <a:prstGeom prst="rect">
                      <a:avLst/>
                    </a:prstGeom>
                    <a:noFill/>
                  </pic:spPr>
                </pic:pic>
              </a:graphicData>
            </a:graphic>
          </wp:anchor>
        </w:drawing>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r>
        <w:rPr>
          <w:rFonts w:hint="eastAsia"/>
          <w:color w:val="auto"/>
        </w:rPr>
        <w:t xml:space="preserve">                                             </w:t>
      </w:r>
    </w:p>
    <w:p>
      <w:pPr>
        <w:rPr>
          <w:color w:val="auto"/>
        </w:rPr>
      </w:pPr>
    </w:p>
    <w:p>
      <w:pPr>
        <w:pStyle w:val="2"/>
        <w:rPr>
          <w:color w:val="auto"/>
        </w:rPr>
      </w:pPr>
    </w:p>
    <w:p>
      <w:pPr>
        <w:rPr>
          <w:color w:val="auto"/>
        </w:rPr>
      </w:pPr>
      <w:r>
        <w:rPr>
          <w:b/>
          <w:color w:val="auto"/>
        </w:rPr>
        <w:drawing>
          <wp:anchor distT="0" distB="0" distL="114300" distR="114300" simplePos="0" relativeHeight="251687936" behindDoc="0" locked="0" layoutInCell="1" allowOverlap="1">
            <wp:simplePos x="0" y="0"/>
            <wp:positionH relativeFrom="column">
              <wp:posOffset>754380</wp:posOffset>
            </wp:positionH>
            <wp:positionV relativeFrom="paragraph">
              <wp:posOffset>23495</wp:posOffset>
            </wp:positionV>
            <wp:extent cx="2879090" cy="2113280"/>
            <wp:effectExtent l="0" t="0" r="16510" b="1270"/>
            <wp:wrapNone/>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879090" cy="2113280"/>
                    </a:xfrm>
                    <a:prstGeom prst="rect">
                      <a:avLst/>
                    </a:prstGeom>
                    <a:noFill/>
                  </pic:spPr>
                </pic:pic>
              </a:graphicData>
            </a:graphic>
          </wp:anchor>
        </w:drawing>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r>
        <w:rPr>
          <w:rFonts w:hint="eastAsia"/>
          <w:color w:val="auto"/>
        </w:rPr>
        <w:t>床下柜尺寸图：</w:t>
      </w:r>
    </w:p>
    <w:p>
      <w:pPr>
        <w:rPr>
          <w:color w:val="auto"/>
        </w:rPr>
      </w:pPr>
    </w:p>
    <w:p>
      <w:pPr>
        <w:rPr>
          <w:color w:val="auto"/>
        </w:rPr>
      </w:pPr>
    </w:p>
    <w:p>
      <w:pPr>
        <w:pStyle w:val="2"/>
        <w:rPr>
          <w:color w:val="auto"/>
        </w:rPr>
      </w:pPr>
      <w:r>
        <w:rPr>
          <w:color w:val="auto"/>
        </w:rPr>
        <w:drawing>
          <wp:anchor distT="0" distB="0" distL="114300" distR="114300" simplePos="0" relativeHeight="251688960" behindDoc="0" locked="0" layoutInCell="1" allowOverlap="1">
            <wp:simplePos x="0" y="0"/>
            <wp:positionH relativeFrom="column">
              <wp:posOffset>46355</wp:posOffset>
            </wp:positionH>
            <wp:positionV relativeFrom="paragraph">
              <wp:posOffset>67945</wp:posOffset>
            </wp:positionV>
            <wp:extent cx="5022215" cy="4342130"/>
            <wp:effectExtent l="0" t="0" r="6985" b="1270"/>
            <wp:wrapNone/>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pic:cNvPicPr>
                  </pic:nvPicPr>
                  <pic:blipFill>
                    <a:blip r:embed="rId22"/>
                    <a:stretch>
                      <a:fillRect/>
                    </a:stretch>
                  </pic:blipFill>
                  <pic:spPr>
                    <a:xfrm>
                      <a:off x="0" y="0"/>
                      <a:ext cx="5022215" cy="4342130"/>
                    </a:xfrm>
                    <a:prstGeom prst="rect">
                      <a:avLst/>
                    </a:prstGeom>
                    <a:noFill/>
                    <a:ln>
                      <a:noFill/>
                    </a:ln>
                  </pic:spPr>
                </pic:pic>
              </a:graphicData>
            </a:graphic>
          </wp:anchor>
        </w:drawing>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bookmarkEnd w:id="216"/>
    <w:bookmarkEnd w:id="217"/>
    <w:bookmarkEnd w:id="218"/>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jc w:val="center"/>
        <w:outlineLvl w:val="0"/>
        <w:rPr>
          <w:rStyle w:val="49"/>
          <w:rFonts w:hint="eastAsia" w:ascii="宋体" w:hAnsi="宋体" w:cs="宋体"/>
          <w:color w:val="auto"/>
          <w:sz w:val="32"/>
          <w:szCs w:val="32"/>
        </w:rPr>
      </w:pPr>
    </w:p>
    <w:p>
      <w:pPr>
        <w:pStyle w:val="2"/>
        <w:rPr>
          <w:rFonts w:hint="eastAsia"/>
          <w:color w:val="auto"/>
        </w:rPr>
      </w:pPr>
    </w:p>
    <w:p>
      <w:pPr>
        <w:jc w:val="center"/>
        <w:outlineLvl w:val="0"/>
        <w:rPr>
          <w:rStyle w:val="49"/>
          <w:rFonts w:ascii="宋体" w:hAnsi="宋体" w:cs="宋体"/>
          <w:color w:val="auto"/>
          <w:sz w:val="32"/>
          <w:szCs w:val="32"/>
        </w:rPr>
      </w:pPr>
      <w:r>
        <w:rPr>
          <w:rStyle w:val="49"/>
          <w:rFonts w:hint="eastAsia" w:ascii="宋体" w:hAnsi="宋体" w:cs="宋体"/>
          <w:color w:val="auto"/>
          <w:sz w:val="32"/>
          <w:szCs w:val="32"/>
        </w:rPr>
        <w:t>第四章  评标办法</w:t>
      </w:r>
    </w:p>
    <w:p>
      <w:pPr>
        <w:spacing w:line="380" w:lineRule="exact"/>
        <w:ind w:firstLine="426" w:firstLineChars="202"/>
        <w:jc w:val="left"/>
        <w:rPr>
          <w:rFonts w:ascii="宋体" w:hAnsi="宋体" w:cs="宋体"/>
          <w:b/>
          <w:color w:val="auto"/>
          <w:szCs w:val="21"/>
        </w:rPr>
      </w:pPr>
      <w:r>
        <w:rPr>
          <w:rFonts w:hint="eastAsia" w:ascii="宋体" w:hAnsi="宋体" w:cs="宋体"/>
          <w:b/>
          <w:color w:val="auto"/>
          <w:szCs w:val="21"/>
        </w:rPr>
        <w:t>一、评标原则</w:t>
      </w:r>
    </w:p>
    <w:p>
      <w:pPr>
        <w:adjustRightInd w:val="0"/>
        <w:spacing w:line="380" w:lineRule="exact"/>
        <w:ind w:firstLine="420" w:firstLineChars="200"/>
        <w:contextualSpacing/>
        <w:rPr>
          <w:rFonts w:ascii="宋体" w:hAnsi="宋体" w:cs="宋体"/>
          <w:bCs/>
          <w:color w:val="auto"/>
          <w:szCs w:val="21"/>
        </w:rPr>
      </w:pPr>
      <w:r>
        <w:rPr>
          <w:rFonts w:hint="eastAsia" w:ascii="宋体" w:hAnsi="宋体" w:cs="宋体"/>
          <w:bCs/>
          <w:color w:val="auto"/>
          <w:szCs w:val="21"/>
        </w:rPr>
        <w:t>（一）评委会组成：本招标采购项目的评标委员会由采购人代表、评审专家组成。其中，专家评委不得少于成员总数的三分之二。</w:t>
      </w:r>
    </w:p>
    <w:p>
      <w:pPr>
        <w:adjustRightInd w:val="0"/>
        <w:spacing w:line="380" w:lineRule="exact"/>
        <w:ind w:firstLine="420" w:firstLineChars="200"/>
        <w:contextualSpacing/>
        <w:rPr>
          <w:rFonts w:ascii="宋体" w:hAnsi="宋体" w:cs="宋体"/>
          <w:bCs/>
          <w:color w:val="auto"/>
          <w:szCs w:val="21"/>
        </w:rPr>
      </w:pPr>
      <w:r>
        <w:rPr>
          <w:rFonts w:hint="eastAsia" w:ascii="宋体" w:hAnsi="宋体" w:cs="宋体"/>
          <w:bCs/>
          <w:color w:val="auto"/>
          <w:szCs w:val="21"/>
        </w:rPr>
        <w:t>（二）评标依据：评委将以招投标文件为评标依据，对投标人的投标</w:t>
      </w:r>
      <w:r>
        <w:rPr>
          <w:rFonts w:hint="eastAsia" w:ascii="宋体" w:hAnsi="宋体" w:cs="宋体"/>
          <w:color w:val="auto"/>
          <w:szCs w:val="21"/>
        </w:rPr>
        <w:t>报价、货物性能、履约能力、售后服务及政策功能等方面内容按百分制打分。</w:t>
      </w:r>
    </w:p>
    <w:p>
      <w:pPr>
        <w:adjustRightInd w:val="0"/>
        <w:spacing w:line="380" w:lineRule="exact"/>
        <w:ind w:firstLine="420" w:firstLineChars="200"/>
        <w:contextualSpacing/>
        <w:rPr>
          <w:rFonts w:ascii="宋体" w:hAnsi="宋体" w:cs="宋体"/>
          <w:bCs/>
          <w:color w:val="auto"/>
          <w:szCs w:val="21"/>
        </w:rPr>
      </w:pPr>
      <w:r>
        <w:rPr>
          <w:rFonts w:hint="eastAsia" w:ascii="宋体" w:hAnsi="宋体" w:cs="宋体"/>
          <w:bCs/>
          <w:color w:val="auto"/>
          <w:szCs w:val="21"/>
        </w:rPr>
        <w:t>（三）评标方式：以封闭方式进行。</w:t>
      </w:r>
    </w:p>
    <w:p>
      <w:pPr>
        <w:spacing w:line="380" w:lineRule="exact"/>
        <w:ind w:firstLine="420" w:firstLineChars="200"/>
        <w:rPr>
          <w:rFonts w:ascii="宋体" w:hAnsi="宋体" w:cs="宋体"/>
          <w:bCs/>
          <w:color w:val="auto"/>
          <w:szCs w:val="21"/>
        </w:rPr>
      </w:pPr>
      <w:r>
        <w:rPr>
          <w:rFonts w:hint="eastAsia" w:ascii="宋体" w:hAnsi="宋体" w:cs="宋体"/>
          <w:bCs/>
          <w:color w:val="auto"/>
          <w:szCs w:val="21"/>
        </w:rPr>
        <w:t>（四）采购人和采购代理机构、评标委员会成员要严格遵守政府采购相关法律制度，依法履行各自职责，公正、客观、审慎地组织和参与评审工作。</w:t>
      </w:r>
    </w:p>
    <w:p>
      <w:pPr>
        <w:spacing w:line="380" w:lineRule="exact"/>
        <w:ind w:firstLine="487" w:firstLineChars="202"/>
        <w:jc w:val="left"/>
        <w:rPr>
          <w:rFonts w:ascii="宋体" w:hAnsi="宋体" w:cs="宋体"/>
          <w:b/>
          <w:color w:val="auto"/>
          <w:sz w:val="24"/>
        </w:rPr>
      </w:pPr>
      <w:r>
        <w:rPr>
          <w:rFonts w:hint="eastAsia" w:ascii="宋体" w:hAnsi="宋体" w:cs="宋体"/>
          <w:b/>
          <w:color w:val="auto"/>
          <w:sz w:val="24"/>
        </w:rPr>
        <w:t>二、评定方法</w:t>
      </w:r>
    </w:p>
    <w:p>
      <w:pPr>
        <w:adjustRightInd w:val="0"/>
        <w:spacing w:line="380" w:lineRule="exact"/>
        <w:ind w:firstLine="420" w:firstLineChars="200"/>
        <w:contextualSpacing/>
        <w:rPr>
          <w:rFonts w:ascii="宋体" w:hAnsi="宋体" w:cs="宋体"/>
          <w:bCs/>
          <w:color w:val="auto"/>
          <w:szCs w:val="21"/>
        </w:rPr>
      </w:pPr>
      <w:r>
        <w:rPr>
          <w:rFonts w:hint="eastAsia" w:ascii="宋体" w:hAnsi="宋体" w:cs="宋体"/>
          <w:bCs/>
          <w:color w:val="auto"/>
          <w:szCs w:val="21"/>
        </w:rPr>
        <w:t>（一）对进入详评的，采用百分制综合评分法。</w:t>
      </w:r>
    </w:p>
    <w:p>
      <w:pPr>
        <w:adjustRightInd w:val="0"/>
        <w:spacing w:line="380" w:lineRule="exact"/>
        <w:ind w:firstLine="420" w:firstLineChars="200"/>
        <w:contextualSpacing/>
        <w:rPr>
          <w:rFonts w:ascii="宋体" w:hAnsi="宋体" w:cs="宋体"/>
          <w:bCs/>
          <w:color w:val="auto"/>
          <w:szCs w:val="21"/>
        </w:rPr>
      </w:pPr>
      <w:r>
        <w:rPr>
          <w:rFonts w:hint="eastAsia" w:ascii="宋体" w:hAnsi="宋体" w:cs="宋体"/>
          <w:bCs/>
          <w:color w:val="auto"/>
          <w:szCs w:val="21"/>
        </w:rPr>
        <w:t>（二）计分办法（按四舍五入取至百分位）：</w:t>
      </w:r>
    </w:p>
    <w:p>
      <w:pPr>
        <w:spacing w:line="380" w:lineRule="exact"/>
        <w:rPr>
          <w:rFonts w:ascii="宋体" w:hAnsi="宋体" w:cs="宋体"/>
          <w:color w:val="auto"/>
          <w:szCs w:val="21"/>
        </w:rPr>
      </w:pPr>
      <w:bookmarkStart w:id="219" w:name="_Toc7653"/>
      <w:r>
        <w:rPr>
          <w:rFonts w:hint="eastAsia" w:ascii="宋体" w:hAnsi="宋体" w:cs="宋体"/>
          <w:b/>
          <w:bCs/>
          <w:color w:val="auto"/>
          <w:kern w:val="0"/>
          <w:szCs w:val="21"/>
        </w:rPr>
        <w:t>1、价格分……………………………………………………………………………………50分</w:t>
      </w:r>
      <w:bookmarkEnd w:id="219"/>
    </w:p>
    <w:p>
      <w:pPr>
        <w:spacing w:line="380" w:lineRule="exact"/>
        <w:ind w:firstLine="420"/>
        <w:rPr>
          <w:rFonts w:ascii="宋体" w:hAnsi="宋体" w:cs="宋体"/>
          <w:color w:val="auto"/>
          <w:kern w:val="0"/>
          <w:szCs w:val="21"/>
        </w:rPr>
      </w:pPr>
      <w:r>
        <w:rPr>
          <w:rFonts w:hint="eastAsia" w:ascii="宋体" w:hAnsi="宋体" w:cs="宋体"/>
          <w:color w:val="auto"/>
          <w:kern w:val="0"/>
          <w:szCs w:val="21"/>
        </w:rPr>
        <w:t>（1）价格分采用低价优先法计算，即满足招标文件要求且评标报价最低的评标报价为评标基准价，其价格分为50分。</w:t>
      </w:r>
    </w:p>
    <w:p>
      <w:pPr>
        <w:spacing w:line="380" w:lineRule="exact"/>
        <w:ind w:firstLine="420"/>
        <w:rPr>
          <w:rFonts w:ascii="宋体" w:hAnsi="宋体" w:cs="宋体"/>
          <w:color w:val="auto"/>
          <w:kern w:val="0"/>
          <w:szCs w:val="21"/>
        </w:rPr>
      </w:pPr>
      <w:r>
        <w:rPr>
          <w:rFonts w:hint="eastAsia" w:ascii="宋体" w:hAnsi="宋体" w:cs="宋体"/>
          <w:color w:val="auto"/>
          <w:kern w:val="0"/>
          <w:szCs w:val="21"/>
        </w:rPr>
        <w:t>（2）价格分计算公式：</w:t>
      </w:r>
    </w:p>
    <w:p>
      <w:pPr>
        <w:spacing w:line="380" w:lineRule="exact"/>
        <w:ind w:firstLine="3087" w:firstLineChars="1470"/>
        <w:rPr>
          <w:rFonts w:ascii="宋体" w:hAnsi="宋体" w:cs="宋体"/>
          <w:bCs/>
          <w:color w:val="auto"/>
          <w:szCs w:val="21"/>
        </w:rPr>
      </w:pPr>
      <w:r>
        <w:rPr>
          <w:rFonts w:hint="eastAsia" w:ascii="宋体" w:hAnsi="宋体" w:cs="宋体"/>
          <w:bCs/>
          <w:color w:val="auto"/>
          <w:szCs w:val="21"/>
        </w:rPr>
        <w:t xml:space="preserve"> 最低投标人</w:t>
      </w:r>
      <w:r>
        <w:rPr>
          <w:rFonts w:hint="eastAsia" w:ascii="宋体" w:hAnsi="宋体" w:cs="宋体"/>
          <w:color w:val="auto"/>
          <w:szCs w:val="21"/>
        </w:rPr>
        <w:t>评标报价</w:t>
      </w:r>
      <w:r>
        <w:rPr>
          <w:rFonts w:hint="eastAsia" w:ascii="宋体" w:hAnsi="宋体" w:cs="宋体"/>
          <w:bCs/>
          <w:color w:val="auto"/>
          <w:szCs w:val="21"/>
        </w:rPr>
        <w:t xml:space="preserve">金额          </w:t>
      </w:r>
    </w:p>
    <w:p>
      <w:pPr>
        <w:spacing w:line="380" w:lineRule="exact"/>
        <w:ind w:firstLine="42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6432" behindDoc="0" locked="0" layoutInCell="1" allowOverlap="1">
                <wp:simplePos x="0" y="0"/>
                <wp:positionH relativeFrom="column">
                  <wp:posOffset>1819275</wp:posOffset>
                </wp:positionH>
                <wp:positionV relativeFrom="paragraph">
                  <wp:posOffset>149225</wp:posOffset>
                </wp:positionV>
                <wp:extent cx="1981200" cy="635"/>
                <wp:effectExtent l="0" t="0" r="0" b="0"/>
                <wp:wrapNone/>
                <wp:docPr id="22" name="直接连接符 1"/>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43.25pt;margin-top:11.75pt;height:0.05pt;width:156pt;z-index:251666432;mso-width-relative:page;mso-height-relative:page;" filled="f" stroked="t" coordsize="21600,21600" o:gfxdata="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lqfO1gAAAAkBAAAPAAAAAAAAAAEAIAAAACIAAABkcnMvZG93bnJldi54bWxQSwECFAAUAAAA&#10;CACHTuJAlLESlfABAADnAwAADgAAAAAAAAABACAAAAAlAQAAZHJzL2Uyb0RvYy54bWxQSwUGAAAA&#10;AAYABgBZAQAAhwUAAAAA&#10;">
                <v:fill on="f" focussize="0,0"/>
                <v:stroke color="#000000" joinstyle="round"/>
                <v:imagedata o:title=""/>
                <o:lock v:ext="edit" aspectratio="f"/>
              </v:line>
            </w:pict>
          </mc:Fallback>
        </mc:AlternateContent>
      </w:r>
      <w:r>
        <w:rPr>
          <w:rFonts w:hint="eastAsia" w:ascii="宋体" w:hAnsi="宋体" w:cs="宋体"/>
          <w:bCs/>
          <w:color w:val="auto"/>
          <w:szCs w:val="21"/>
        </w:rPr>
        <w:t>某投标人价格分 =                                         ×    50分</w:t>
      </w:r>
    </w:p>
    <w:p>
      <w:pPr>
        <w:spacing w:line="380" w:lineRule="exact"/>
        <w:ind w:firstLine="420" w:firstLineChars="200"/>
        <w:rPr>
          <w:rFonts w:ascii="宋体" w:hAnsi="宋体" w:cs="宋体"/>
          <w:bCs/>
          <w:color w:val="auto"/>
          <w:szCs w:val="21"/>
        </w:rPr>
      </w:pPr>
      <w:r>
        <w:rPr>
          <w:rFonts w:hint="eastAsia" w:ascii="宋体" w:hAnsi="宋体" w:cs="宋体"/>
          <w:bCs/>
          <w:color w:val="auto"/>
          <w:szCs w:val="21"/>
        </w:rPr>
        <w:t xml:space="preserve">                           某投标人</w:t>
      </w:r>
      <w:r>
        <w:rPr>
          <w:rFonts w:hint="eastAsia" w:ascii="宋体" w:hAnsi="宋体" w:cs="宋体"/>
          <w:color w:val="auto"/>
          <w:szCs w:val="21"/>
        </w:rPr>
        <w:t>评标报价</w:t>
      </w:r>
      <w:r>
        <w:rPr>
          <w:rFonts w:hint="eastAsia" w:ascii="宋体" w:hAnsi="宋体" w:cs="宋体"/>
          <w:bCs/>
          <w:color w:val="auto"/>
          <w:szCs w:val="21"/>
        </w:rPr>
        <w:t xml:space="preserve">金额  </w:t>
      </w:r>
    </w:p>
    <w:p>
      <w:pPr>
        <w:spacing w:line="380" w:lineRule="exact"/>
        <w:ind w:firstLine="422" w:firstLineChars="200"/>
        <w:rPr>
          <w:rFonts w:ascii="宋体" w:hAnsi="宋体" w:cs="宋体"/>
          <w:b/>
          <w:bCs/>
          <w:color w:val="auto"/>
          <w:kern w:val="0"/>
          <w:szCs w:val="21"/>
        </w:rPr>
      </w:pPr>
      <w:bookmarkStart w:id="220" w:name="_Toc28109"/>
      <w:r>
        <w:rPr>
          <w:rFonts w:hint="eastAsia" w:ascii="宋体" w:hAnsi="宋体" w:cs="宋体"/>
          <w:b/>
          <w:bCs/>
          <w:color w:val="auto"/>
          <w:kern w:val="0"/>
          <w:szCs w:val="21"/>
        </w:rPr>
        <w:t>2、技术性能分……………………………………………………………………满分31分</w:t>
      </w:r>
      <w:bookmarkEnd w:id="220"/>
    </w:p>
    <w:p>
      <w:pPr>
        <w:spacing w:line="360" w:lineRule="exact"/>
        <w:ind w:firstLine="422" w:firstLineChars="200"/>
        <w:rPr>
          <w:rFonts w:ascii="宋体" w:hAnsi="宋体" w:cs="宋体"/>
          <w:b/>
          <w:bCs/>
          <w:color w:val="auto"/>
          <w:szCs w:val="21"/>
        </w:rPr>
      </w:pPr>
      <w:bookmarkStart w:id="221" w:name="_Toc28378"/>
      <w:r>
        <w:rPr>
          <w:rFonts w:hint="eastAsia" w:ascii="宋体" w:hAnsi="宋体" w:cs="宋体"/>
          <w:b/>
          <w:bCs/>
          <w:color w:val="auto"/>
          <w:szCs w:val="21"/>
        </w:rPr>
        <w:t>（1）技术需求响应分（满分6分）</w:t>
      </w:r>
    </w:p>
    <w:p>
      <w:pPr>
        <w:spacing w:line="360" w:lineRule="exact"/>
        <w:ind w:firstLine="420" w:firstLineChars="200"/>
        <w:rPr>
          <w:rFonts w:ascii="宋体" w:hAnsi="宋体" w:cs="宋体"/>
          <w:color w:val="auto"/>
          <w:szCs w:val="21"/>
        </w:rPr>
      </w:pPr>
      <w:r>
        <w:rPr>
          <w:rFonts w:hint="eastAsia" w:ascii="宋体" w:hAnsi="宋体" w:cs="宋体"/>
          <w:color w:val="auto"/>
          <w:szCs w:val="21"/>
        </w:rPr>
        <w:t>评委根据招标文件要求，对通过资格性和符合性审查进入详评的各投标人投标文件的“技术需求”响应情况进行独立评审，并按如下计分方式确定得分：</w:t>
      </w:r>
      <w:bookmarkEnd w:id="221"/>
    </w:p>
    <w:p>
      <w:pPr>
        <w:spacing w:line="360" w:lineRule="exact"/>
        <w:ind w:firstLine="420" w:firstLineChars="200"/>
        <w:rPr>
          <w:rFonts w:ascii="宋体" w:hAnsi="宋体" w:cs="宋体"/>
          <w:color w:val="auto"/>
          <w:szCs w:val="21"/>
        </w:rPr>
      </w:pPr>
      <w:bookmarkStart w:id="222" w:name="_Toc1239"/>
      <w:r>
        <w:rPr>
          <w:rFonts w:hint="eastAsia" w:ascii="宋体" w:hAnsi="宋体" w:cs="宋体"/>
          <w:color w:val="auto"/>
          <w:szCs w:val="21"/>
        </w:rPr>
        <w:t>①技术参数完全满足招标文件要求，且所有技术参数无负偏离的，得2分</w:t>
      </w:r>
      <w:bookmarkEnd w:id="222"/>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②技术参数每有一项正偏离，经评标委员会审核确定的，每有一项得0.5分，满分4分；</w:t>
      </w:r>
      <w:r>
        <w:rPr>
          <w:rFonts w:hint="eastAsia" w:ascii="宋体" w:hAnsi="宋体" w:cs="宋体"/>
          <w:b/>
          <w:bCs/>
          <w:color w:val="auto"/>
          <w:szCs w:val="21"/>
        </w:rPr>
        <w:t>（本项中所提到的正偏离是指所提供货物基材的厚度为正偏离，其余正偏离不认定为实质性正偏离。）</w:t>
      </w:r>
    </w:p>
    <w:p>
      <w:pPr>
        <w:spacing w:line="360" w:lineRule="exact"/>
        <w:ind w:firstLine="420" w:firstLineChars="200"/>
        <w:rPr>
          <w:rFonts w:ascii="宋体" w:hAnsi="宋体" w:cs="宋体"/>
          <w:color w:val="auto"/>
          <w:szCs w:val="21"/>
        </w:rPr>
      </w:pPr>
      <w:r>
        <w:rPr>
          <w:rFonts w:hint="eastAsia" w:ascii="宋体" w:hAnsi="宋体" w:cs="宋体"/>
          <w:color w:val="auto"/>
          <w:szCs w:val="21"/>
        </w:rPr>
        <w:t>③非★项技术参数有实质性负偏离的，不得第①项分，且每有一项扣1分，扣完至技术需求响应分分值为0分为止。</w:t>
      </w:r>
    </w:p>
    <w:p>
      <w:pPr>
        <w:spacing w:line="360" w:lineRule="exact"/>
        <w:ind w:firstLine="422" w:firstLineChars="200"/>
        <w:rPr>
          <w:rFonts w:ascii="宋体" w:hAnsi="Courier New" w:cs="宋体"/>
          <w:color w:val="auto"/>
          <w:szCs w:val="20"/>
        </w:rPr>
      </w:pPr>
      <w:r>
        <w:rPr>
          <w:rFonts w:hint="eastAsia" w:ascii="宋体" w:hAnsi="宋体" w:cs="宋体"/>
          <w:b/>
          <w:bCs/>
          <w:color w:val="auto"/>
          <w:szCs w:val="21"/>
          <w:lang w:bidi="ar"/>
        </w:rPr>
        <w:t>（2）样品分（满分10分）</w:t>
      </w:r>
    </w:p>
    <w:p>
      <w:pPr>
        <w:spacing w:line="360" w:lineRule="exact"/>
        <w:ind w:firstLine="420" w:firstLineChars="200"/>
        <w:rPr>
          <w:rFonts w:hint="eastAsia" w:ascii="宋体" w:hAnsi="宋体" w:cs="宋体"/>
          <w:color w:val="auto"/>
          <w:szCs w:val="21"/>
          <w:lang w:bidi="ar"/>
        </w:rPr>
      </w:pPr>
      <w:r>
        <w:rPr>
          <w:rFonts w:hint="eastAsia" w:ascii="宋体" w:hAnsi="宋体" w:cs="宋体"/>
          <w:color w:val="auto"/>
          <w:szCs w:val="21"/>
          <w:lang w:bidi="ar"/>
        </w:rPr>
        <w:t>由评标委员会在打分前根据货物采购需求的要求，对各投标实物样品进行独立评定，具体如下：</w:t>
      </w:r>
    </w:p>
    <w:p>
      <w:pPr>
        <w:spacing w:line="360" w:lineRule="exact"/>
        <w:ind w:firstLine="420" w:firstLineChars="200"/>
        <w:rPr>
          <w:rFonts w:hint="eastAsia" w:ascii="宋体" w:hAnsi="宋体" w:cs="宋体"/>
          <w:color w:val="auto"/>
          <w:szCs w:val="21"/>
          <w:lang w:bidi="ar"/>
        </w:rPr>
      </w:pPr>
      <w:r>
        <w:rPr>
          <w:rFonts w:hint="eastAsia" w:ascii="宋体" w:hAnsi="宋体" w:cs="宋体"/>
          <w:color w:val="auto"/>
          <w:szCs w:val="21"/>
          <w:lang w:bidi="ar"/>
        </w:rPr>
        <w:t>①未提交投标样品或提供样品不符合本次采购需求的，得0分。</w:t>
      </w:r>
    </w:p>
    <w:p>
      <w:pPr>
        <w:spacing w:line="360" w:lineRule="exact"/>
        <w:ind w:firstLine="420" w:firstLineChars="200"/>
        <w:rPr>
          <w:rFonts w:hint="eastAsia" w:ascii="宋体" w:hAnsi="宋体" w:cs="宋体"/>
          <w:color w:val="auto"/>
          <w:szCs w:val="21"/>
          <w:lang w:bidi="ar"/>
        </w:rPr>
      </w:pPr>
      <w:r>
        <w:rPr>
          <w:rFonts w:hint="eastAsia" w:ascii="宋体" w:hAnsi="宋体" w:cs="宋体"/>
          <w:color w:val="auto"/>
          <w:szCs w:val="21"/>
          <w:lang w:bidi="ar"/>
        </w:rPr>
        <w:t>②每提供一项符合本次采购需求的样品，且无实质性负偏离的，得1分，满分</w:t>
      </w:r>
      <w:r>
        <w:rPr>
          <w:rFonts w:hint="eastAsia" w:ascii="宋体" w:hAnsi="宋体" w:cs="宋体"/>
          <w:color w:val="auto"/>
          <w:szCs w:val="21"/>
          <w:lang w:val="en-US" w:eastAsia="zh-CN" w:bidi="ar"/>
        </w:rPr>
        <w:t>7</w:t>
      </w:r>
      <w:r>
        <w:rPr>
          <w:rFonts w:hint="eastAsia" w:ascii="宋体" w:hAnsi="宋体" w:cs="宋体"/>
          <w:color w:val="auto"/>
          <w:szCs w:val="21"/>
          <w:lang w:bidi="ar"/>
        </w:rPr>
        <w:t>分。</w:t>
      </w:r>
    </w:p>
    <w:p>
      <w:pPr>
        <w:spacing w:line="360" w:lineRule="exact"/>
        <w:ind w:firstLine="420" w:firstLineChars="200"/>
        <w:rPr>
          <w:rFonts w:ascii="宋体" w:hAnsi="宋体" w:cs="宋体"/>
          <w:color w:val="auto"/>
          <w:szCs w:val="21"/>
          <w:lang w:bidi="ar"/>
        </w:rPr>
      </w:pPr>
      <w:r>
        <w:rPr>
          <w:rFonts w:hint="eastAsia" w:ascii="宋体" w:hAnsi="宋体" w:cs="宋体"/>
          <w:color w:val="auto"/>
          <w:szCs w:val="21"/>
          <w:lang w:bidi="ar"/>
        </w:rPr>
        <w:t>③样品满足参数要求并有实质性正偏离的，每有一项加1分，满分</w:t>
      </w:r>
      <w:r>
        <w:rPr>
          <w:rFonts w:hint="eastAsia" w:ascii="宋体" w:hAnsi="宋体" w:cs="宋体"/>
          <w:color w:val="auto"/>
          <w:szCs w:val="21"/>
          <w:lang w:val="en-US" w:eastAsia="zh-CN" w:bidi="ar"/>
        </w:rPr>
        <w:t>3</w:t>
      </w:r>
      <w:r>
        <w:rPr>
          <w:rFonts w:hint="eastAsia" w:ascii="宋体" w:hAnsi="宋体" w:cs="宋体"/>
          <w:color w:val="auto"/>
          <w:szCs w:val="21"/>
          <w:lang w:bidi="ar"/>
        </w:rPr>
        <w:t>分。</w:t>
      </w:r>
    </w:p>
    <w:p>
      <w:pPr>
        <w:pStyle w:val="48"/>
        <w:rPr>
          <w:rFonts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b/>
          <w:bCs/>
          <w:color w:val="auto"/>
          <w:sz w:val="21"/>
          <w:szCs w:val="21"/>
          <w:lang w:bidi="ar"/>
        </w:rPr>
        <w:t>注：同一技术参数正偏离，样品分与技术需求响应分不重复加分，样品技术参数正偏离优先作为本项评审因素。</w:t>
      </w:r>
    </w:p>
    <w:p>
      <w:pPr>
        <w:spacing w:line="360" w:lineRule="exact"/>
        <w:ind w:firstLine="422" w:firstLineChars="200"/>
        <w:rPr>
          <w:rFonts w:ascii="宋体" w:hAnsi="Courier New" w:cs="宋体"/>
          <w:b/>
          <w:bCs/>
          <w:color w:val="auto"/>
          <w:szCs w:val="20"/>
        </w:rPr>
      </w:pPr>
      <w:r>
        <w:rPr>
          <w:rFonts w:hint="eastAsia" w:ascii="宋体" w:hAnsi="Courier New" w:cs="宋体"/>
          <w:b/>
          <w:bCs/>
          <w:color w:val="auto"/>
          <w:szCs w:val="20"/>
          <w:lang w:bidi="ar"/>
        </w:rPr>
        <w:t>（3）产品质量保障分（满分15分）</w:t>
      </w:r>
    </w:p>
    <w:p>
      <w:pPr>
        <w:pStyle w:val="27"/>
        <w:widowControl w:val="0"/>
        <w:spacing w:before="0" w:beforeAutospacing="0" w:after="0" w:afterAutospacing="0"/>
        <w:ind w:firstLine="420" w:firstLineChars="200"/>
        <w:jc w:val="both"/>
        <w:outlineLvl w:val="0"/>
        <w:rPr>
          <w:bCs/>
          <w:color w:val="auto"/>
          <w:sz w:val="21"/>
          <w:szCs w:val="21"/>
        </w:rPr>
      </w:pPr>
      <w:bookmarkStart w:id="223" w:name="_Toc29988"/>
      <w:r>
        <w:rPr>
          <w:rFonts w:hint="eastAsia" w:cs="Times New Roman"/>
          <w:bCs/>
          <w:color w:val="auto"/>
          <w:kern w:val="2"/>
          <w:sz w:val="21"/>
          <w:szCs w:val="21"/>
          <w:lang w:bidi="ar"/>
        </w:rPr>
        <w:t>投标人或投标产品的生产厂商提供自2021年1月1日至开标截止时间前由第三方检测（验）机构出具的</w:t>
      </w:r>
      <w:r>
        <w:rPr>
          <w:rFonts w:hint="eastAsia" w:cs="Times New Roman"/>
          <w:color w:val="auto"/>
          <w:kern w:val="2"/>
          <w:sz w:val="21"/>
          <w:szCs w:val="21"/>
          <w:lang w:bidi="ar"/>
        </w:rPr>
        <w:t>，</w:t>
      </w:r>
      <w:r>
        <w:rPr>
          <w:rFonts w:hint="eastAsia" w:cs="Times New Roman"/>
          <w:bCs/>
          <w:color w:val="auto"/>
          <w:kern w:val="2"/>
          <w:sz w:val="21"/>
          <w:szCs w:val="21"/>
          <w:lang w:bidi="ar"/>
        </w:rPr>
        <w:t>符合参数要求的检测（验）报告</w:t>
      </w:r>
      <w:r>
        <w:rPr>
          <w:rFonts w:hint="eastAsia"/>
          <w:color w:val="auto"/>
          <w:kern w:val="2"/>
          <w:sz w:val="21"/>
          <w:szCs w:val="21"/>
          <w:lang w:bidi="ar"/>
        </w:rPr>
        <w:t>复印件，所提供的检验（测）报告必须是通过计量认证（CMA标识）的机构出具的方为有效</w:t>
      </w:r>
      <w:r>
        <w:rPr>
          <w:rFonts w:hint="eastAsia" w:cs="Times New Roman"/>
          <w:bCs/>
          <w:color w:val="auto"/>
          <w:kern w:val="2"/>
          <w:sz w:val="21"/>
          <w:szCs w:val="21"/>
          <w:lang w:bidi="ar"/>
        </w:rPr>
        <w:t>：</w:t>
      </w:r>
      <w:bookmarkEnd w:id="223"/>
    </w:p>
    <w:p>
      <w:pPr>
        <w:ind w:firstLine="420" w:firstLineChars="200"/>
        <w:rPr>
          <w:rFonts w:cs="宋体"/>
          <w:color w:val="auto"/>
          <w:sz w:val="21"/>
          <w:szCs w:val="21"/>
          <w:lang w:bidi="ar"/>
        </w:rPr>
      </w:pPr>
      <w:r>
        <w:rPr>
          <w:rFonts w:hint="eastAsia" w:cs="宋体"/>
          <w:color w:val="auto"/>
          <w:sz w:val="21"/>
          <w:szCs w:val="21"/>
          <w:lang w:bidi="ar"/>
        </w:rPr>
        <w:t>①床（边）立柱：</w:t>
      </w:r>
      <w:r>
        <w:rPr>
          <w:rFonts w:hint="eastAsia"/>
          <w:color w:val="auto"/>
          <w:sz w:val="21"/>
          <w:szCs w:val="21"/>
          <w:lang w:bidi="ar"/>
        </w:rPr>
        <w:t>符合</w:t>
      </w:r>
      <w:r>
        <w:rPr>
          <w:rFonts w:hint="eastAsia" w:ascii="宋体" w:hAnsi="宋体" w:cs="宋体"/>
          <w:b/>
          <w:color w:val="auto"/>
          <w:sz w:val="21"/>
          <w:szCs w:val="21"/>
        </w:rPr>
        <w:t>G</w:t>
      </w:r>
      <w:r>
        <w:rPr>
          <w:rFonts w:ascii="宋体" w:hAnsi="宋体" w:cs="宋体"/>
          <w:b/>
          <w:color w:val="auto"/>
          <w:sz w:val="21"/>
          <w:szCs w:val="21"/>
        </w:rPr>
        <w:t>B/T 3325-2017</w:t>
      </w:r>
      <w:r>
        <w:rPr>
          <w:rFonts w:hint="eastAsia" w:ascii="宋体" w:hAnsi="宋体" w:cs="宋体"/>
          <w:b/>
          <w:color w:val="auto"/>
          <w:sz w:val="21"/>
          <w:szCs w:val="21"/>
        </w:rPr>
        <w:t>《金属家具通用技术条件》及</w:t>
      </w:r>
      <w:r>
        <w:rPr>
          <w:rFonts w:hint="eastAsia" w:ascii="宋体" w:hAnsi="宋体" w:cs="宋体"/>
          <w:color w:val="auto"/>
          <w:sz w:val="21"/>
          <w:szCs w:val="21"/>
          <w:lang w:bidi="ar"/>
        </w:rPr>
        <w:t>QB/T 3827-1999 《轻工产品金属镀层和化学处理层的耐腐蚀试验方法乙酸盐雾试验(ASS)法》</w:t>
      </w:r>
      <w:r>
        <w:rPr>
          <w:rFonts w:hint="eastAsia" w:cs="宋体"/>
          <w:color w:val="auto"/>
          <w:sz w:val="21"/>
          <w:szCs w:val="21"/>
          <w:lang w:bidi="ar"/>
        </w:rPr>
        <w:t>【检测</w:t>
      </w:r>
      <w:r>
        <w:rPr>
          <w:color w:val="auto"/>
          <w:sz w:val="21"/>
          <w:szCs w:val="21"/>
          <w:lang w:bidi="ar"/>
        </w:rPr>
        <w:t>(</w:t>
      </w:r>
      <w:r>
        <w:rPr>
          <w:rFonts w:hint="eastAsia" w:cs="宋体"/>
          <w:color w:val="auto"/>
          <w:sz w:val="21"/>
          <w:szCs w:val="21"/>
          <w:lang w:bidi="ar"/>
        </w:rPr>
        <w:t>验</w:t>
      </w:r>
      <w:r>
        <w:rPr>
          <w:color w:val="auto"/>
          <w:sz w:val="21"/>
          <w:szCs w:val="21"/>
          <w:lang w:bidi="ar"/>
        </w:rPr>
        <w:t>)</w:t>
      </w:r>
      <w:r>
        <w:rPr>
          <w:rFonts w:hint="eastAsia" w:cs="宋体"/>
          <w:color w:val="auto"/>
          <w:sz w:val="21"/>
          <w:szCs w:val="21"/>
          <w:lang w:bidi="ar"/>
        </w:rPr>
        <w:t>内容包括：涂层外观：金属件涂层应无漏喷、锈蚀;应光滑均匀，色泽一致，应无流挂、疙瘩、皱皮、飞漆等缺陷。硬度H或以上；</w:t>
      </w:r>
      <w:r>
        <w:rPr>
          <w:rFonts w:hint="eastAsia" w:ascii="宋体" w:hAnsi="宋体" w:cs="宋体"/>
          <w:color w:val="auto"/>
          <w:sz w:val="21"/>
          <w:szCs w:val="21"/>
          <w:lang w:bidi="ar"/>
        </w:rPr>
        <w:t>冲击强度：冲击高度400mm，应无剥落、裂纹或皱纹；耐腐蚀：</w:t>
      </w:r>
      <w:r>
        <w:rPr>
          <w:rFonts w:hint="eastAsia" w:ascii="宋体" w:hAnsi="宋体" w:cs="宋体"/>
          <w:color w:val="auto"/>
          <w:sz w:val="21"/>
          <w:szCs w:val="21"/>
          <w:lang w:eastAsia="zh-CN" w:bidi="ar"/>
        </w:rPr>
        <w:t>350h</w:t>
      </w:r>
      <w:r>
        <w:rPr>
          <w:rFonts w:hint="eastAsia" w:ascii="宋体" w:hAnsi="宋体" w:cs="宋体"/>
          <w:color w:val="auto"/>
          <w:sz w:val="21"/>
          <w:szCs w:val="21"/>
          <w:lang w:bidi="ar"/>
        </w:rPr>
        <w:t>内，观察在溶剂中样板上划道两侧3mm以外应无鼓泡产生；</w:t>
      </w:r>
      <w:r>
        <w:rPr>
          <w:rFonts w:hint="eastAsia" w:ascii="宋体" w:hAnsi="宋体" w:cs="宋体"/>
          <w:color w:val="auto"/>
          <w:sz w:val="21"/>
          <w:szCs w:val="21"/>
          <w:lang w:eastAsia="zh-CN" w:bidi="ar"/>
        </w:rPr>
        <w:t>350h</w:t>
      </w:r>
      <w:r>
        <w:rPr>
          <w:rFonts w:hint="eastAsia" w:ascii="宋体" w:hAnsi="宋体" w:cs="宋体"/>
          <w:color w:val="auto"/>
          <w:sz w:val="21"/>
          <w:szCs w:val="21"/>
          <w:lang w:bidi="ar"/>
        </w:rPr>
        <w:t>后，检查划道两侧3 mm以外，应无锈迹、剥落、起皱、变色和失光等现象；附着力：不低于2级；依据</w:t>
      </w:r>
      <w:r>
        <w:rPr>
          <w:rFonts w:hint="eastAsia" w:ascii="宋体" w:hAnsi="宋体" w:cs="宋体"/>
          <w:b/>
          <w:bCs/>
          <w:color w:val="auto"/>
          <w:sz w:val="21"/>
          <w:szCs w:val="21"/>
          <w:lang w:bidi="ar"/>
        </w:rPr>
        <w:t>QB/T3832-1999《轻工产品金属镀层腐蚀试验结果的评价》标准判定</w:t>
      </w:r>
      <w:r>
        <w:rPr>
          <w:rFonts w:hint="eastAsia" w:ascii="宋体" w:hAnsi="宋体" w:cs="宋体"/>
          <w:color w:val="auto"/>
          <w:sz w:val="21"/>
          <w:szCs w:val="21"/>
          <w:lang w:bidi="ar"/>
        </w:rPr>
        <w:t>耐腐蚀等级为9级】</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②</w:t>
      </w:r>
      <w:r>
        <w:rPr>
          <w:rFonts w:hint="eastAsia"/>
          <w:color w:val="auto"/>
          <w:sz w:val="21"/>
          <w:szCs w:val="21"/>
          <w:lang w:bidi="ar"/>
        </w:rPr>
        <w:t>床横梁及护栏：</w:t>
      </w:r>
      <w:r>
        <w:rPr>
          <w:rFonts w:hint="eastAsia" w:ascii="Times New Roman" w:hAnsi="Times New Roman"/>
          <w:color w:val="auto"/>
          <w:kern w:val="2"/>
          <w:sz w:val="21"/>
          <w:szCs w:val="21"/>
          <w:lang w:bidi="ar"/>
        </w:rPr>
        <w:t>符合</w:t>
      </w:r>
      <w:r>
        <w:rPr>
          <w:rFonts w:hint="eastAsia"/>
          <w:b/>
          <w:color w:val="auto"/>
          <w:sz w:val="21"/>
          <w:szCs w:val="21"/>
        </w:rPr>
        <w:t>G</w:t>
      </w:r>
      <w:r>
        <w:rPr>
          <w:b/>
          <w:color w:val="auto"/>
          <w:sz w:val="21"/>
          <w:szCs w:val="21"/>
        </w:rPr>
        <w:t>B/T 3325-2017</w:t>
      </w:r>
      <w:r>
        <w:rPr>
          <w:rFonts w:hint="eastAsia"/>
          <w:b/>
          <w:color w:val="auto"/>
          <w:sz w:val="21"/>
          <w:szCs w:val="21"/>
        </w:rPr>
        <w:t>《金属家具通用技术条件》及</w:t>
      </w:r>
      <w:r>
        <w:rPr>
          <w:rFonts w:hint="eastAsia"/>
          <w:color w:val="auto"/>
          <w:sz w:val="21"/>
          <w:szCs w:val="21"/>
          <w:lang w:bidi="ar"/>
        </w:rPr>
        <w:t>QB/T 3827-1999 《轻工产品金属镀层和化学处理层的耐腐蚀试验方法乙酸盐雾试验(ASS)法》【检测</w:t>
      </w:r>
      <w:r>
        <w:rPr>
          <w:color w:val="auto"/>
          <w:sz w:val="21"/>
          <w:szCs w:val="21"/>
          <w:lang w:bidi="ar"/>
        </w:rPr>
        <w:t>(</w:t>
      </w:r>
      <w:r>
        <w:rPr>
          <w:rFonts w:hint="eastAsia"/>
          <w:color w:val="auto"/>
          <w:sz w:val="21"/>
          <w:szCs w:val="21"/>
          <w:lang w:bidi="ar"/>
        </w:rPr>
        <w:t>验</w:t>
      </w:r>
      <w:r>
        <w:rPr>
          <w:color w:val="auto"/>
          <w:sz w:val="21"/>
          <w:szCs w:val="21"/>
          <w:lang w:bidi="ar"/>
        </w:rPr>
        <w:t>)</w:t>
      </w:r>
      <w:r>
        <w:rPr>
          <w:rFonts w:hint="eastAsia"/>
          <w:color w:val="auto"/>
          <w:sz w:val="21"/>
          <w:szCs w:val="21"/>
          <w:lang w:bidi="ar"/>
        </w:rPr>
        <w:t>内容包括：涂层外观：金属件涂层应无漏喷、锈蚀;应光滑均匀，色泽一致，应无流挂、疙瘩、皱皮、飞漆等缺陷。硬度H或以上；冲击强度：冲击高度400mm，应无剥落、裂纹或皱纹；耐腐蚀：</w:t>
      </w:r>
      <w:r>
        <w:rPr>
          <w:rFonts w:hint="eastAsia"/>
          <w:color w:val="auto"/>
          <w:sz w:val="21"/>
          <w:szCs w:val="21"/>
          <w:lang w:eastAsia="zh-CN" w:bidi="ar"/>
        </w:rPr>
        <w:t>350h</w:t>
      </w:r>
      <w:r>
        <w:rPr>
          <w:rFonts w:hint="eastAsia"/>
          <w:color w:val="auto"/>
          <w:sz w:val="21"/>
          <w:szCs w:val="21"/>
          <w:lang w:bidi="ar"/>
        </w:rPr>
        <w:t>内，观察在溶剂中样板上划道两侧3mm以外应无鼓泡产生；</w:t>
      </w:r>
      <w:r>
        <w:rPr>
          <w:rFonts w:hint="eastAsia"/>
          <w:color w:val="auto"/>
          <w:sz w:val="21"/>
          <w:szCs w:val="21"/>
          <w:lang w:eastAsia="zh-CN" w:bidi="ar"/>
        </w:rPr>
        <w:t>350h</w:t>
      </w:r>
      <w:r>
        <w:rPr>
          <w:rFonts w:hint="eastAsia"/>
          <w:color w:val="auto"/>
          <w:sz w:val="21"/>
          <w:szCs w:val="21"/>
          <w:lang w:bidi="ar"/>
        </w:rPr>
        <w:t>后，检查划道两侧3 mm以外，应无锈迹、剥落、起皱、变色和失光等现象；附着力：不低于2级；依据</w:t>
      </w:r>
      <w:r>
        <w:rPr>
          <w:rFonts w:hint="eastAsia"/>
          <w:b/>
          <w:bCs/>
          <w:color w:val="auto"/>
          <w:sz w:val="21"/>
          <w:szCs w:val="21"/>
          <w:lang w:bidi="ar"/>
        </w:rPr>
        <w:t>QB/T3832-1999《轻工产品金属镀层腐蚀试验结果的评价》标准判定</w:t>
      </w:r>
      <w:r>
        <w:rPr>
          <w:rFonts w:hint="eastAsia"/>
          <w:color w:val="auto"/>
          <w:sz w:val="21"/>
          <w:szCs w:val="21"/>
          <w:lang w:bidi="ar"/>
        </w:rPr>
        <w:t>耐腐蚀等级为9级】</w:t>
      </w:r>
    </w:p>
    <w:p>
      <w:pPr>
        <w:pStyle w:val="27"/>
        <w:widowControl w:val="0"/>
        <w:spacing w:before="0" w:beforeAutospacing="0" w:after="0" w:afterAutospacing="0"/>
        <w:ind w:right="60" w:firstLine="420" w:firstLineChars="200"/>
        <w:jc w:val="both"/>
        <w:rPr>
          <w:rFonts w:ascii="Times New Roman" w:hAnsi="Times New Roman"/>
          <w:color w:val="auto"/>
          <w:kern w:val="2"/>
          <w:sz w:val="21"/>
          <w:szCs w:val="21"/>
          <w:lang w:bidi="ar"/>
        </w:rPr>
      </w:pPr>
      <w:r>
        <w:rPr>
          <w:rFonts w:hint="eastAsia" w:ascii="Times New Roman" w:hAnsi="Times New Roman"/>
          <w:color w:val="auto"/>
          <w:kern w:val="2"/>
          <w:sz w:val="21"/>
          <w:szCs w:val="21"/>
          <w:lang w:bidi="ar"/>
        </w:rPr>
        <w:t>③</w:t>
      </w:r>
      <w:r>
        <w:rPr>
          <w:rFonts w:hint="eastAsia"/>
          <w:color w:val="auto"/>
          <w:sz w:val="21"/>
          <w:szCs w:val="21"/>
          <w:lang w:bidi="ar"/>
        </w:rPr>
        <w:t>床爬梯：</w:t>
      </w:r>
      <w:r>
        <w:rPr>
          <w:rFonts w:hint="eastAsia" w:ascii="Times New Roman" w:hAnsi="Times New Roman"/>
          <w:color w:val="auto"/>
          <w:kern w:val="2"/>
          <w:sz w:val="21"/>
          <w:szCs w:val="21"/>
          <w:lang w:bidi="ar"/>
        </w:rPr>
        <w:t>符合</w:t>
      </w:r>
      <w:r>
        <w:rPr>
          <w:rFonts w:hint="eastAsia"/>
          <w:b/>
          <w:color w:val="auto"/>
          <w:sz w:val="21"/>
          <w:szCs w:val="21"/>
        </w:rPr>
        <w:t>G</w:t>
      </w:r>
      <w:r>
        <w:rPr>
          <w:b/>
          <w:color w:val="auto"/>
          <w:sz w:val="21"/>
          <w:szCs w:val="21"/>
        </w:rPr>
        <w:t>B/T 3325-2017</w:t>
      </w:r>
      <w:r>
        <w:rPr>
          <w:rFonts w:hint="eastAsia"/>
          <w:b/>
          <w:color w:val="auto"/>
          <w:sz w:val="21"/>
          <w:szCs w:val="21"/>
        </w:rPr>
        <w:t>《金属家具通用技术条件》及</w:t>
      </w:r>
      <w:r>
        <w:rPr>
          <w:rFonts w:hint="eastAsia"/>
          <w:color w:val="auto"/>
          <w:sz w:val="21"/>
          <w:szCs w:val="21"/>
          <w:lang w:bidi="ar"/>
        </w:rPr>
        <w:t>QB/T 3827-1999 《轻工产品金属镀层和化学处理层的耐腐蚀试验方法乙酸盐雾试验(ASS)法》【检测</w:t>
      </w:r>
      <w:r>
        <w:rPr>
          <w:color w:val="auto"/>
          <w:sz w:val="21"/>
          <w:szCs w:val="21"/>
          <w:lang w:bidi="ar"/>
        </w:rPr>
        <w:t>(</w:t>
      </w:r>
      <w:r>
        <w:rPr>
          <w:rFonts w:hint="eastAsia"/>
          <w:color w:val="auto"/>
          <w:sz w:val="21"/>
          <w:szCs w:val="21"/>
          <w:lang w:bidi="ar"/>
        </w:rPr>
        <w:t>验</w:t>
      </w:r>
      <w:r>
        <w:rPr>
          <w:color w:val="auto"/>
          <w:sz w:val="21"/>
          <w:szCs w:val="21"/>
          <w:lang w:bidi="ar"/>
        </w:rPr>
        <w:t>)</w:t>
      </w:r>
      <w:r>
        <w:rPr>
          <w:rFonts w:hint="eastAsia"/>
          <w:color w:val="auto"/>
          <w:sz w:val="21"/>
          <w:szCs w:val="21"/>
          <w:lang w:bidi="ar"/>
        </w:rPr>
        <w:t>内容包括：涂层外观：金属件涂层应无漏喷、锈蚀;应光滑均匀，色泽一致，应无流挂、疙瘩、皱皮、飞漆等缺陷。硬度H或以上；冲击强度：冲击高度400mm，应无剥落、裂纹或皱纹；耐腐蚀：</w:t>
      </w:r>
      <w:r>
        <w:rPr>
          <w:rFonts w:hint="eastAsia"/>
          <w:color w:val="auto"/>
          <w:sz w:val="21"/>
          <w:szCs w:val="21"/>
          <w:lang w:eastAsia="zh-CN" w:bidi="ar"/>
        </w:rPr>
        <w:t>350h</w:t>
      </w:r>
      <w:r>
        <w:rPr>
          <w:rFonts w:hint="eastAsia"/>
          <w:color w:val="auto"/>
          <w:sz w:val="21"/>
          <w:szCs w:val="21"/>
          <w:lang w:bidi="ar"/>
        </w:rPr>
        <w:t>内，观察在溶剂中样板上划道两侧3mm以外应无鼓泡产生；</w:t>
      </w:r>
      <w:r>
        <w:rPr>
          <w:rFonts w:hint="eastAsia"/>
          <w:color w:val="auto"/>
          <w:sz w:val="21"/>
          <w:szCs w:val="21"/>
          <w:lang w:eastAsia="zh-CN" w:bidi="ar"/>
        </w:rPr>
        <w:t>350h</w:t>
      </w:r>
      <w:r>
        <w:rPr>
          <w:rFonts w:hint="eastAsia"/>
          <w:color w:val="auto"/>
          <w:sz w:val="21"/>
          <w:szCs w:val="21"/>
          <w:lang w:bidi="ar"/>
        </w:rPr>
        <w:t>后，检查划道两侧3 mm以外，应无锈迹、剥落、起皱、变色和失光等现象；附着力：不低于2级；依据</w:t>
      </w:r>
      <w:r>
        <w:rPr>
          <w:rFonts w:hint="eastAsia"/>
          <w:b/>
          <w:bCs/>
          <w:color w:val="auto"/>
          <w:sz w:val="21"/>
          <w:szCs w:val="21"/>
          <w:lang w:bidi="ar"/>
        </w:rPr>
        <w:t>QB/T3832-1999《轻工产品金属镀层腐蚀试验结果的评价》标准判定</w:t>
      </w:r>
      <w:r>
        <w:rPr>
          <w:rFonts w:hint="eastAsia"/>
          <w:color w:val="auto"/>
          <w:sz w:val="21"/>
          <w:szCs w:val="21"/>
          <w:lang w:bidi="ar"/>
        </w:rPr>
        <w:t>耐腐蚀等级为9级】</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④塑粉【检测</w:t>
      </w:r>
      <w:r>
        <w:rPr>
          <w:rFonts w:ascii="Times New Roman" w:hAnsi="Times New Roman"/>
          <w:color w:val="auto"/>
          <w:kern w:val="2"/>
          <w:sz w:val="21"/>
          <w:szCs w:val="21"/>
          <w:lang w:bidi="ar"/>
        </w:rPr>
        <w:t>(</w:t>
      </w:r>
      <w:r>
        <w:rPr>
          <w:rFonts w:hint="eastAsia" w:ascii="Times New Roman" w:hAnsi="Times New Roman"/>
          <w:color w:val="auto"/>
          <w:kern w:val="2"/>
          <w:sz w:val="21"/>
          <w:szCs w:val="21"/>
          <w:lang w:bidi="ar"/>
        </w:rPr>
        <w:t>验</w:t>
      </w:r>
      <w:r>
        <w:rPr>
          <w:rFonts w:ascii="Times New Roman" w:hAnsi="Times New Roman"/>
          <w:color w:val="auto"/>
          <w:kern w:val="2"/>
          <w:sz w:val="21"/>
          <w:szCs w:val="21"/>
          <w:lang w:bidi="ar"/>
        </w:rPr>
        <w:t>)</w:t>
      </w:r>
      <w:r>
        <w:rPr>
          <w:rFonts w:hint="eastAsia" w:ascii="Times New Roman" w:hAnsi="Times New Roman"/>
          <w:color w:val="auto"/>
          <w:kern w:val="2"/>
          <w:sz w:val="21"/>
          <w:szCs w:val="21"/>
          <w:lang w:bidi="ar"/>
        </w:rPr>
        <w:t>内容包括:符合HG/T 2006-2006《热固性粉末涂料》在容器中状态：色泽均匀，无异物，呈松散粉末状；筛余物（125μm）：全部合格；涂膜外观：涂膜外观正常；硬度（擦伤）≥H；附着力≤1级；耐冲击性、弯曲试验、杯突、光泽、无异常、耐酸性240h无异常、耐沸水性24h无异常、耐湿热性</w:t>
      </w:r>
      <w:r>
        <w:rPr>
          <w:rFonts w:hint="eastAsia" w:ascii="Times New Roman" w:hAnsi="Times New Roman"/>
          <w:color w:val="auto"/>
          <w:kern w:val="2"/>
          <w:sz w:val="21"/>
          <w:szCs w:val="21"/>
          <w:lang w:val="en-US" w:eastAsia="zh-CN" w:bidi="ar"/>
        </w:rPr>
        <w:t>350</w:t>
      </w:r>
      <w:r>
        <w:rPr>
          <w:rFonts w:hint="eastAsia" w:ascii="Times New Roman" w:hAnsi="Times New Roman"/>
          <w:color w:val="auto"/>
          <w:kern w:val="2"/>
          <w:sz w:val="21"/>
          <w:szCs w:val="21"/>
          <w:lang w:bidi="ar"/>
        </w:rPr>
        <w:t>h</w:t>
      </w:r>
      <w:r>
        <w:rPr>
          <w:rFonts w:hint="eastAsia" w:ascii="Times New Roman" w:hAnsi="Times New Roman"/>
          <w:color w:val="auto"/>
          <w:kern w:val="2"/>
          <w:sz w:val="21"/>
          <w:szCs w:val="21"/>
          <w:lang w:bidi="ar"/>
        </w:rPr>
        <w:t>、耐盐雾性</w:t>
      </w:r>
      <w:r>
        <w:rPr>
          <w:rFonts w:hint="eastAsia" w:ascii="Times New Roman" w:hAnsi="Times New Roman"/>
          <w:color w:val="auto"/>
          <w:kern w:val="2"/>
          <w:sz w:val="21"/>
          <w:szCs w:val="21"/>
          <w:lang w:val="en-US" w:eastAsia="zh-CN" w:bidi="ar"/>
        </w:rPr>
        <w:t>350</w:t>
      </w:r>
      <w:r>
        <w:rPr>
          <w:rFonts w:hint="eastAsia" w:ascii="Times New Roman" w:hAnsi="Times New Roman"/>
          <w:color w:val="auto"/>
          <w:kern w:val="2"/>
          <w:sz w:val="21"/>
          <w:szCs w:val="21"/>
          <w:lang w:bidi="ar"/>
        </w:rPr>
        <w:t>h</w:t>
      </w:r>
      <w:r>
        <w:rPr>
          <w:rFonts w:hint="eastAsia" w:ascii="Times New Roman" w:hAnsi="Times New Roman"/>
          <w:color w:val="auto"/>
          <w:kern w:val="2"/>
          <w:sz w:val="21"/>
          <w:szCs w:val="21"/>
          <w:lang w:bidi="ar"/>
        </w:rPr>
        <w:t>、耐人工气候老化</w:t>
      </w:r>
      <w:r>
        <w:rPr>
          <w:rFonts w:hint="eastAsia" w:ascii="Times New Roman" w:hAnsi="Times New Roman"/>
          <w:color w:val="auto"/>
          <w:kern w:val="2"/>
          <w:sz w:val="21"/>
          <w:szCs w:val="21"/>
          <w:lang w:bidi="ar"/>
        </w:rPr>
        <w:t>350h</w:t>
      </w:r>
      <w:r>
        <w:rPr>
          <w:rFonts w:hint="eastAsia" w:ascii="Times New Roman" w:hAnsi="Times New Roman"/>
          <w:color w:val="auto"/>
          <w:kern w:val="2"/>
          <w:sz w:val="21"/>
          <w:szCs w:val="21"/>
          <w:lang w:bidi="ar"/>
        </w:rPr>
        <w:t>、涂层可迁移元素(mg/kg)：铅（Pb）未检出,铬（Cr）未检出,汞（Hg）未检出,镉（Cd）未检出,锑（Sb）未检出,钡（Ba）未检出,硒（Se）未检出,砷（As）未检出】</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⑤</w:t>
      </w:r>
      <w:r>
        <w:rPr>
          <w:rFonts w:hint="eastAsia"/>
          <w:color w:val="auto"/>
          <w:sz w:val="21"/>
          <w:szCs w:val="21"/>
          <w:lang w:bidi="ar"/>
        </w:rPr>
        <w:t>床挺：</w:t>
      </w:r>
      <w:r>
        <w:rPr>
          <w:rFonts w:hint="eastAsia" w:ascii="Times New Roman" w:hAnsi="Times New Roman"/>
          <w:color w:val="auto"/>
          <w:kern w:val="2"/>
          <w:sz w:val="21"/>
          <w:szCs w:val="21"/>
          <w:lang w:bidi="ar"/>
        </w:rPr>
        <w:t>符合</w:t>
      </w:r>
      <w:r>
        <w:rPr>
          <w:rFonts w:hint="eastAsia"/>
          <w:b/>
          <w:color w:val="auto"/>
          <w:sz w:val="21"/>
          <w:szCs w:val="21"/>
        </w:rPr>
        <w:t>G</w:t>
      </w:r>
      <w:r>
        <w:rPr>
          <w:b/>
          <w:color w:val="auto"/>
          <w:sz w:val="21"/>
          <w:szCs w:val="21"/>
        </w:rPr>
        <w:t>B/T 3325-2017</w:t>
      </w:r>
      <w:r>
        <w:rPr>
          <w:rFonts w:hint="eastAsia"/>
          <w:b/>
          <w:color w:val="auto"/>
          <w:sz w:val="21"/>
          <w:szCs w:val="21"/>
        </w:rPr>
        <w:t>《金属家具通用技术条件》及</w:t>
      </w:r>
      <w:r>
        <w:rPr>
          <w:rFonts w:hint="eastAsia"/>
          <w:color w:val="auto"/>
          <w:sz w:val="21"/>
          <w:szCs w:val="21"/>
          <w:lang w:bidi="ar"/>
        </w:rPr>
        <w:t>QB/T 3827-1999 《轻工产品金属镀层和化学处理层的耐腐蚀试验方法乙酸盐雾试验(ASS)法》【检测</w:t>
      </w:r>
      <w:r>
        <w:rPr>
          <w:color w:val="auto"/>
          <w:sz w:val="21"/>
          <w:szCs w:val="21"/>
          <w:lang w:bidi="ar"/>
        </w:rPr>
        <w:t>(</w:t>
      </w:r>
      <w:r>
        <w:rPr>
          <w:rFonts w:hint="eastAsia"/>
          <w:color w:val="auto"/>
          <w:sz w:val="21"/>
          <w:szCs w:val="21"/>
          <w:lang w:bidi="ar"/>
        </w:rPr>
        <w:t>验</w:t>
      </w:r>
      <w:r>
        <w:rPr>
          <w:color w:val="auto"/>
          <w:sz w:val="21"/>
          <w:szCs w:val="21"/>
          <w:lang w:bidi="ar"/>
        </w:rPr>
        <w:t>)</w:t>
      </w:r>
      <w:r>
        <w:rPr>
          <w:rFonts w:hint="eastAsia"/>
          <w:color w:val="auto"/>
          <w:sz w:val="21"/>
          <w:szCs w:val="21"/>
          <w:lang w:bidi="ar"/>
        </w:rPr>
        <w:t>内容包括：涂层外观：金属件涂层应无漏喷、锈蚀;应光滑均匀，色泽一致，应无流挂、疙瘩、皱皮、飞漆等缺陷。硬度H或以上；冲击强度：冲击高度400mm，应无剥落、裂纹或皱纹；耐腐蚀：</w:t>
      </w:r>
      <w:r>
        <w:rPr>
          <w:rFonts w:hint="eastAsia"/>
          <w:color w:val="auto"/>
          <w:sz w:val="21"/>
          <w:szCs w:val="21"/>
          <w:lang w:eastAsia="zh-CN" w:bidi="ar"/>
        </w:rPr>
        <w:t>350h</w:t>
      </w:r>
      <w:r>
        <w:rPr>
          <w:rFonts w:hint="eastAsia"/>
          <w:color w:val="auto"/>
          <w:sz w:val="21"/>
          <w:szCs w:val="21"/>
          <w:lang w:bidi="ar"/>
        </w:rPr>
        <w:t>内，观察在溶剂中样板上划道两侧3mm以外应无鼓泡产生；</w:t>
      </w:r>
      <w:r>
        <w:rPr>
          <w:rFonts w:hint="eastAsia"/>
          <w:color w:val="auto"/>
          <w:sz w:val="21"/>
          <w:szCs w:val="21"/>
          <w:lang w:eastAsia="zh-CN" w:bidi="ar"/>
        </w:rPr>
        <w:t>350h</w:t>
      </w:r>
      <w:r>
        <w:rPr>
          <w:rFonts w:hint="eastAsia"/>
          <w:color w:val="auto"/>
          <w:sz w:val="21"/>
          <w:szCs w:val="21"/>
          <w:lang w:bidi="ar"/>
        </w:rPr>
        <w:t>后，检查划道两侧3 mm以外，应无锈迹、剥落、起皱、变色和失光等现象；附着力：不低于2级；依据</w:t>
      </w:r>
      <w:r>
        <w:rPr>
          <w:rFonts w:hint="eastAsia"/>
          <w:b/>
          <w:bCs/>
          <w:color w:val="auto"/>
          <w:sz w:val="21"/>
          <w:szCs w:val="21"/>
          <w:lang w:bidi="ar"/>
        </w:rPr>
        <w:t>QB/T3832-1999《轻工产品金属镀层腐蚀试验结果的评价》标准判定</w:t>
      </w:r>
      <w:r>
        <w:rPr>
          <w:rFonts w:hint="eastAsia"/>
          <w:color w:val="auto"/>
          <w:sz w:val="21"/>
          <w:szCs w:val="21"/>
          <w:lang w:bidi="ar"/>
        </w:rPr>
        <w:t>耐腐蚀等级为9级】</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⑥</w:t>
      </w:r>
      <w:r>
        <w:rPr>
          <w:rFonts w:hint="eastAsia"/>
          <w:color w:val="auto"/>
          <w:sz w:val="21"/>
          <w:szCs w:val="21"/>
          <w:lang w:bidi="ar"/>
        </w:rPr>
        <w:t>钢制柜门板：</w:t>
      </w:r>
      <w:r>
        <w:rPr>
          <w:rFonts w:hint="eastAsia" w:ascii="Times New Roman" w:hAnsi="Times New Roman"/>
          <w:color w:val="auto"/>
          <w:kern w:val="2"/>
          <w:sz w:val="21"/>
          <w:szCs w:val="21"/>
          <w:lang w:bidi="ar"/>
        </w:rPr>
        <w:t>符合</w:t>
      </w:r>
      <w:r>
        <w:rPr>
          <w:rFonts w:hint="eastAsia"/>
          <w:b/>
          <w:color w:val="auto"/>
          <w:sz w:val="21"/>
          <w:szCs w:val="21"/>
        </w:rPr>
        <w:t>G</w:t>
      </w:r>
      <w:r>
        <w:rPr>
          <w:b/>
          <w:color w:val="auto"/>
          <w:sz w:val="21"/>
          <w:szCs w:val="21"/>
        </w:rPr>
        <w:t>B/T 3325-2017</w:t>
      </w:r>
      <w:r>
        <w:rPr>
          <w:rFonts w:hint="eastAsia"/>
          <w:b/>
          <w:color w:val="auto"/>
          <w:sz w:val="21"/>
          <w:szCs w:val="21"/>
        </w:rPr>
        <w:t>《金属家具通用技术条件》及</w:t>
      </w:r>
      <w:r>
        <w:rPr>
          <w:rFonts w:hint="eastAsia"/>
          <w:color w:val="auto"/>
          <w:sz w:val="21"/>
          <w:szCs w:val="21"/>
          <w:lang w:bidi="ar"/>
        </w:rPr>
        <w:t>QB/T 3827-1999 《轻工产品金属镀层和化学处理层的耐腐蚀试验方法乙酸盐雾试验(ASS)法》【检测</w:t>
      </w:r>
      <w:r>
        <w:rPr>
          <w:color w:val="auto"/>
          <w:sz w:val="21"/>
          <w:szCs w:val="21"/>
          <w:lang w:bidi="ar"/>
        </w:rPr>
        <w:t>(</w:t>
      </w:r>
      <w:r>
        <w:rPr>
          <w:rFonts w:hint="eastAsia"/>
          <w:color w:val="auto"/>
          <w:sz w:val="21"/>
          <w:szCs w:val="21"/>
          <w:lang w:bidi="ar"/>
        </w:rPr>
        <w:t>验</w:t>
      </w:r>
      <w:r>
        <w:rPr>
          <w:color w:val="auto"/>
          <w:sz w:val="21"/>
          <w:szCs w:val="21"/>
          <w:lang w:bidi="ar"/>
        </w:rPr>
        <w:t>)</w:t>
      </w:r>
      <w:r>
        <w:rPr>
          <w:rFonts w:hint="eastAsia"/>
          <w:color w:val="auto"/>
          <w:sz w:val="21"/>
          <w:szCs w:val="21"/>
          <w:lang w:bidi="ar"/>
        </w:rPr>
        <w:t>内容包括：涂层外观：金属件涂层应无漏喷、锈蚀;应光滑均匀，色泽一致，应无流挂、疙瘩、皱皮、飞漆等缺陷。硬度H或以上；冲击强度：冲击高度400mm，应无剥落、裂纹或皱纹；耐腐蚀：</w:t>
      </w:r>
      <w:r>
        <w:rPr>
          <w:rFonts w:hint="eastAsia"/>
          <w:color w:val="auto"/>
          <w:sz w:val="21"/>
          <w:szCs w:val="21"/>
          <w:lang w:eastAsia="zh-CN" w:bidi="ar"/>
        </w:rPr>
        <w:t>350h</w:t>
      </w:r>
      <w:r>
        <w:rPr>
          <w:rFonts w:hint="eastAsia"/>
          <w:color w:val="auto"/>
          <w:sz w:val="21"/>
          <w:szCs w:val="21"/>
          <w:lang w:bidi="ar"/>
        </w:rPr>
        <w:t>内，观察在溶剂中样板上划道两侧3mm以外应无鼓泡产生；</w:t>
      </w:r>
      <w:r>
        <w:rPr>
          <w:rFonts w:hint="eastAsia"/>
          <w:color w:val="auto"/>
          <w:sz w:val="21"/>
          <w:szCs w:val="21"/>
          <w:lang w:eastAsia="zh-CN" w:bidi="ar"/>
        </w:rPr>
        <w:t>350h</w:t>
      </w:r>
      <w:r>
        <w:rPr>
          <w:rFonts w:hint="eastAsia"/>
          <w:color w:val="auto"/>
          <w:sz w:val="21"/>
          <w:szCs w:val="21"/>
          <w:lang w:bidi="ar"/>
        </w:rPr>
        <w:t>后，检查划道两侧3 mm以外，应无锈迹、剥落、起皱、变色和失光等现象；附着力：不低于2级；依据</w:t>
      </w:r>
      <w:r>
        <w:rPr>
          <w:rFonts w:hint="eastAsia"/>
          <w:b/>
          <w:bCs/>
          <w:color w:val="auto"/>
          <w:sz w:val="21"/>
          <w:szCs w:val="21"/>
          <w:lang w:bidi="ar"/>
        </w:rPr>
        <w:t>QB/T3832-1999《轻工产品金属镀层腐蚀试验结果的评价》标准判定</w:t>
      </w:r>
      <w:r>
        <w:rPr>
          <w:rFonts w:hint="eastAsia"/>
          <w:color w:val="auto"/>
          <w:sz w:val="21"/>
          <w:szCs w:val="21"/>
          <w:lang w:bidi="ar"/>
        </w:rPr>
        <w:t>耐腐蚀等级为9级】</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⑦杉木床板：【检测</w:t>
      </w:r>
      <w:r>
        <w:rPr>
          <w:rFonts w:ascii="Times New Roman" w:hAnsi="Times New Roman"/>
          <w:color w:val="auto"/>
          <w:kern w:val="2"/>
          <w:sz w:val="21"/>
          <w:szCs w:val="21"/>
          <w:lang w:bidi="ar"/>
        </w:rPr>
        <w:t>(</w:t>
      </w:r>
      <w:r>
        <w:rPr>
          <w:rFonts w:hint="eastAsia" w:ascii="Times New Roman" w:hAnsi="Times New Roman"/>
          <w:color w:val="auto"/>
          <w:kern w:val="2"/>
          <w:sz w:val="21"/>
          <w:szCs w:val="21"/>
          <w:lang w:bidi="ar"/>
        </w:rPr>
        <w:t>验</w:t>
      </w:r>
      <w:r>
        <w:rPr>
          <w:rFonts w:ascii="Times New Roman" w:hAnsi="Times New Roman"/>
          <w:color w:val="auto"/>
          <w:kern w:val="2"/>
          <w:sz w:val="21"/>
          <w:szCs w:val="21"/>
          <w:lang w:bidi="ar"/>
        </w:rPr>
        <w:t>)</w:t>
      </w:r>
      <w:r>
        <w:rPr>
          <w:rFonts w:hint="eastAsia" w:ascii="Times New Roman" w:hAnsi="Times New Roman"/>
          <w:color w:val="auto"/>
          <w:kern w:val="2"/>
          <w:sz w:val="21"/>
          <w:szCs w:val="21"/>
          <w:lang w:bidi="ar"/>
        </w:rPr>
        <w:t>内容：符合GB/T20445-2017《刨光材》标准中二等品质量要求。】</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⑧“方凳凳面”中的拼板胶剂、油漆的检测（验）报告复印件：【检测(验)内容包括；拼胶剂：苯g/kg≤0.2、甲苯+二甲苯g/kg≤10、总挥发性有机物g/L≤110、游离甲醛g/kg≤0.5；油漆</w:t>
      </w:r>
      <w:r>
        <w:rPr>
          <w:rFonts w:hint="eastAsia" w:ascii="Times New Roman" w:hAnsi="Times New Roman"/>
          <w:color w:val="auto"/>
          <w:kern w:val="2"/>
          <w:sz w:val="21"/>
          <w:szCs w:val="21"/>
          <w:lang w:bidi="ar"/>
        </w:rPr>
        <w:t>：VOC含量g/L≤250、苯系物总和含量[限苯、甲苯、二甲苯（含乙苯）]mg/kg≤250。】</w:t>
      </w:r>
    </w:p>
    <w:p>
      <w:pPr>
        <w:pStyle w:val="27"/>
        <w:widowControl w:val="0"/>
        <w:spacing w:before="0" w:beforeAutospacing="0" w:after="0" w:afterAutospacing="0"/>
        <w:ind w:right="60" w:firstLine="420" w:firstLineChars="200"/>
        <w:jc w:val="both"/>
        <w:rPr>
          <w:color w:val="auto"/>
          <w:sz w:val="21"/>
          <w:szCs w:val="21"/>
        </w:rPr>
      </w:pPr>
      <w:r>
        <w:rPr>
          <w:rFonts w:hint="eastAsia" w:ascii="Times New Roman" w:hAnsi="Times New Roman"/>
          <w:color w:val="auto"/>
          <w:kern w:val="2"/>
          <w:sz w:val="21"/>
          <w:szCs w:val="21"/>
          <w:lang w:bidi="ar"/>
        </w:rPr>
        <w:t>⑨</w:t>
      </w:r>
      <w:r>
        <w:rPr>
          <w:rFonts w:hint="eastAsia"/>
          <w:color w:val="auto"/>
          <w:sz w:val="21"/>
          <w:szCs w:val="21"/>
          <w:lang w:bidi="ar"/>
        </w:rPr>
        <w:t>钢制柜侧板：</w:t>
      </w:r>
      <w:r>
        <w:rPr>
          <w:rFonts w:hint="eastAsia" w:ascii="Times New Roman" w:hAnsi="Times New Roman"/>
          <w:color w:val="auto"/>
          <w:kern w:val="2"/>
          <w:sz w:val="21"/>
          <w:szCs w:val="21"/>
          <w:lang w:bidi="ar"/>
        </w:rPr>
        <w:t>符合</w:t>
      </w:r>
      <w:r>
        <w:rPr>
          <w:rFonts w:hint="eastAsia"/>
          <w:b/>
          <w:color w:val="auto"/>
          <w:sz w:val="21"/>
          <w:szCs w:val="21"/>
        </w:rPr>
        <w:t>G</w:t>
      </w:r>
      <w:r>
        <w:rPr>
          <w:b/>
          <w:color w:val="auto"/>
          <w:sz w:val="21"/>
          <w:szCs w:val="21"/>
        </w:rPr>
        <w:t>B/T 3325-2017</w:t>
      </w:r>
      <w:r>
        <w:rPr>
          <w:rFonts w:hint="eastAsia"/>
          <w:b/>
          <w:color w:val="auto"/>
          <w:sz w:val="21"/>
          <w:szCs w:val="21"/>
        </w:rPr>
        <w:t>《金属家具通用技术条件》及</w:t>
      </w:r>
      <w:r>
        <w:rPr>
          <w:rFonts w:hint="eastAsia"/>
          <w:color w:val="auto"/>
          <w:sz w:val="21"/>
          <w:szCs w:val="21"/>
          <w:lang w:bidi="ar"/>
        </w:rPr>
        <w:t>QB/T 3827-1999 《轻工产品金属镀层和化学处理层的耐腐蚀试验方法乙酸盐雾试验(ASS)法》【检测</w:t>
      </w:r>
      <w:r>
        <w:rPr>
          <w:color w:val="auto"/>
          <w:sz w:val="21"/>
          <w:szCs w:val="21"/>
          <w:lang w:bidi="ar"/>
        </w:rPr>
        <w:t>(</w:t>
      </w:r>
      <w:r>
        <w:rPr>
          <w:rFonts w:hint="eastAsia"/>
          <w:color w:val="auto"/>
          <w:sz w:val="21"/>
          <w:szCs w:val="21"/>
          <w:lang w:bidi="ar"/>
        </w:rPr>
        <w:t>验</w:t>
      </w:r>
      <w:r>
        <w:rPr>
          <w:color w:val="auto"/>
          <w:sz w:val="21"/>
          <w:szCs w:val="21"/>
          <w:lang w:bidi="ar"/>
        </w:rPr>
        <w:t>)</w:t>
      </w:r>
      <w:r>
        <w:rPr>
          <w:rFonts w:hint="eastAsia"/>
          <w:color w:val="auto"/>
          <w:sz w:val="21"/>
          <w:szCs w:val="21"/>
          <w:lang w:bidi="ar"/>
        </w:rPr>
        <w:t>内容包括：涂层外观：金属件涂层应无漏喷、锈蚀;应光滑均匀，色泽一致，应无流挂、疙瘩、皱皮、飞漆等缺陷。硬度H或以上；冲击强度：冲击高度400mm，应无剥落、裂纹或皱纹；耐腐蚀：</w:t>
      </w:r>
      <w:r>
        <w:rPr>
          <w:rFonts w:hint="eastAsia"/>
          <w:color w:val="auto"/>
          <w:sz w:val="21"/>
          <w:szCs w:val="21"/>
          <w:lang w:eastAsia="zh-CN" w:bidi="ar"/>
        </w:rPr>
        <w:t>350h</w:t>
      </w:r>
      <w:r>
        <w:rPr>
          <w:rFonts w:hint="eastAsia"/>
          <w:color w:val="auto"/>
          <w:sz w:val="21"/>
          <w:szCs w:val="21"/>
          <w:lang w:bidi="ar"/>
        </w:rPr>
        <w:t>内，观察在溶剂中样板上划道两侧3mm以外应无鼓泡产生；</w:t>
      </w:r>
      <w:r>
        <w:rPr>
          <w:rFonts w:hint="eastAsia"/>
          <w:color w:val="auto"/>
          <w:sz w:val="21"/>
          <w:szCs w:val="21"/>
          <w:lang w:eastAsia="zh-CN" w:bidi="ar"/>
        </w:rPr>
        <w:t>350h</w:t>
      </w:r>
      <w:r>
        <w:rPr>
          <w:rFonts w:hint="eastAsia"/>
          <w:color w:val="auto"/>
          <w:sz w:val="21"/>
          <w:szCs w:val="21"/>
          <w:lang w:bidi="ar"/>
        </w:rPr>
        <w:t>后，检查划道两侧3 mm以外，应无锈迹、剥落、起皱、变色和失光等现象；附着力：不低于2级；依据</w:t>
      </w:r>
      <w:r>
        <w:rPr>
          <w:rFonts w:hint="eastAsia"/>
          <w:b/>
          <w:bCs/>
          <w:color w:val="auto"/>
          <w:sz w:val="21"/>
          <w:szCs w:val="21"/>
          <w:lang w:bidi="ar"/>
        </w:rPr>
        <w:t>QB/T3832-1999《轻工产品金属镀层腐蚀试验结果的评价》标准判定</w:t>
      </w:r>
      <w:r>
        <w:rPr>
          <w:rFonts w:hint="eastAsia"/>
          <w:color w:val="auto"/>
          <w:sz w:val="21"/>
          <w:szCs w:val="21"/>
          <w:lang w:bidi="ar"/>
        </w:rPr>
        <w:t>耐腐蚀等级为9级】</w:t>
      </w:r>
    </w:p>
    <w:p>
      <w:pPr>
        <w:snapToGrid w:val="0"/>
        <w:ind w:firstLine="420" w:firstLineChars="200"/>
        <w:rPr>
          <w:color w:val="auto"/>
        </w:rPr>
      </w:pPr>
      <w:r>
        <w:rPr>
          <w:rFonts w:hint="eastAsia" w:ascii="宋体" w:hAnsi="宋体" w:cs="宋体"/>
          <w:bCs/>
          <w:color w:val="auto"/>
          <w:sz w:val="21"/>
          <w:szCs w:val="21"/>
          <w:lang w:bidi="ar"/>
        </w:rPr>
        <w:t>⑩中密度纤维板（中纤板）的检测（验）报告复印件</w:t>
      </w:r>
      <w:r>
        <w:rPr>
          <w:rFonts w:hint="eastAsia"/>
          <w:color w:val="auto"/>
          <w:sz w:val="21"/>
          <w:szCs w:val="21"/>
          <w:lang w:bidi="ar"/>
        </w:rPr>
        <w:t>:符合</w:t>
      </w:r>
      <w:r>
        <w:rPr>
          <w:rFonts w:hint="eastAsia" w:ascii="宋体" w:hAnsi="宋体" w:cs="宋体"/>
          <w:bCs/>
          <w:color w:val="auto"/>
          <w:sz w:val="21"/>
          <w:szCs w:val="21"/>
          <w:lang w:bidi="ar"/>
        </w:rPr>
        <w:t>GB/T 11718-2009（2021）《中密度纤维板》、GB 18580-2017《室内装饰装修材料人造板及其制品中甲醛释放限量》：【检测(验)内容包括；密度：≥0.70g/</w:t>
      </w:r>
      <w:r>
        <w:rPr>
          <w:rFonts w:hint="eastAsia" w:ascii="微软雅黑" w:hAnsi="微软雅黑" w:eastAsia="微软雅黑" w:cs="微软雅黑"/>
          <w:color w:val="auto"/>
          <w:spacing w:val="-8"/>
          <w:sz w:val="21"/>
          <w:szCs w:val="21"/>
          <w:lang w:bidi="ar"/>
        </w:rPr>
        <w:t>㎤</w:t>
      </w:r>
      <w:r>
        <w:rPr>
          <w:rFonts w:hint="eastAsia" w:ascii="宋体" w:hAnsi="宋体" w:cs="宋体"/>
          <w:bCs/>
          <w:color w:val="auto"/>
          <w:sz w:val="21"/>
          <w:szCs w:val="21"/>
          <w:lang w:bidi="ar"/>
        </w:rPr>
        <w:t>，静曲强度≥22.0MPa、甲醛释放限量≤0.05mg/m³。】</w:t>
      </w:r>
    </w:p>
    <w:p>
      <w:pPr>
        <w:pStyle w:val="27"/>
        <w:widowControl w:val="0"/>
        <w:spacing w:before="0" w:beforeAutospacing="0" w:after="0" w:afterAutospacing="0" w:line="380" w:lineRule="exact"/>
        <w:ind w:firstLine="422" w:firstLineChars="200"/>
        <w:jc w:val="both"/>
        <w:rPr>
          <w:b/>
          <w:bCs/>
          <w:color w:val="auto"/>
          <w:szCs w:val="21"/>
        </w:rPr>
      </w:pPr>
      <w:r>
        <w:rPr>
          <w:rFonts w:hint="eastAsia"/>
          <w:b/>
          <w:bCs/>
          <w:color w:val="auto"/>
          <w:kern w:val="2"/>
          <w:sz w:val="21"/>
          <w:szCs w:val="21"/>
          <w:lang w:bidi="ar"/>
        </w:rPr>
        <w:t>提供以上检测(验)报告的，其内容必须满足上述要求且符合国家相应标准，每提供一项检测(验)报告得1.5分，一份检测（验）报告包含多项上述内容的，按多项检测（验）报告得分，满分15分。</w:t>
      </w:r>
    </w:p>
    <w:p>
      <w:pPr>
        <w:spacing w:line="360" w:lineRule="exact"/>
        <w:ind w:firstLine="422" w:firstLineChars="200"/>
        <w:rPr>
          <w:color w:val="auto"/>
        </w:rPr>
      </w:pPr>
      <w:r>
        <w:rPr>
          <w:rFonts w:hint="eastAsia" w:ascii="宋体" w:hAnsi="宋体" w:cs="宋体"/>
          <w:b/>
          <w:bCs/>
          <w:color w:val="auto"/>
          <w:szCs w:val="21"/>
          <w:lang w:bidi="ar"/>
        </w:rPr>
        <w:t>注：要求加盖投标人CA签章，检测（验）产品内容必须与招标文件中承诺的相关参数内容一致或优于，投标时出具具有 CMA 标识的检测（验）报告复印件，其应与原件一致，如有弄虚作假，按政府采购相关规定处罚。投标人所提供的检测（验）产品的委托单位（送检人）可以是投标产品的生产厂商、投标人或原材料供应商，所检测项目的参数必须要有“合格”判定，否则对应项不得分。检测（验）报告必须复印清晰且完整、有效，报告有检验机构名称、检验报告编号、送检单位名称、送检的样品名称、送检时间等信息。</w:t>
      </w:r>
    </w:p>
    <w:p>
      <w:pPr>
        <w:spacing w:line="360" w:lineRule="exact"/>
        <w:ind w:firstLine="422" w:firstLineChars="200"/>
        <w:rPr>
          <w:rFonts w:ascii="宋体" w:hAnsi="宋体" w:cs="宋体"/>
          <w:b/>
          <w:bCs/>
          <w:color w:val="auto"/>
          <w:szCs w:val="21"/>
        </w:rPr>
      </w:pPr>
      <w:r>
        <w:rPr>
          <w:rFonts w:hint="eastAsia" w:ascii="宋体" w:hAnsi="宋体" w:cs="宋体"/>
          <w:b/>
          <w:bCs/>
          <w:color w:val="auto"/>
          <w:szCs w:val="21"/>
        </w:rPr>
        <w:t>3、履约能力分……………………………………………………………………满分12分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（1）项目产品配送、安装方案分（满分7分）</w:t>
      </w:r>
    </w:p>
    <w:p>
      <w:pPr>
        <w:widowControl/>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一档（0分）：未提供项目产品配送、安装方案的。</w:t>
      </w:r>
    </w:p>
    <w:p>
      <w:pPr>
        <w:widowControl/>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二档（2分）：有产品配送、安装方案，能按时完成配送、安装任务，保证项目正常实施。</w:t>
      </w:r>
    </w:p>
    <w:p>
      <w:pPr>
        <w:widowControl/>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三档（4分）：在满足二档的基础上，方案有项目执行组织措施、保障措施，有实施组织方案。</w:t>
      </w:r>
    </w:p>
    <w:p>
      <w:pPr>
        <w:widowControl/>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四档（7分）：在满足三档的基础上，</w:t>
      </w:r>
      <w:r>
        <w:rPr>
          <w:rFonts w:hint="eastAsia" w:ascii="宋体" w:hAnsi="宋体" w:cs="宋体"/>
          <w:bCs/>
          <w:color w:val="auto"/>
          <w:szCs w:val="21"/>
          <w:lang w:bidi="ar"/>
        </w:rPr>
        <w:t>提供完整零部件图、产品效果图、展示完整。</w:t>
      </w:r>
      <w:r>
        <w:rPr>
          <w:rFonts w:ascii="宋体" w:hAnsi="宋体" w:eastAsia="Calibri" w:cs="宋体"/>
          <w:bCs/>
          <w:color w:val="auto"/>
          <w:szCs w:val="20"/>
          <w:lang w:bidi="ar"/>
        </w:rPr>
        <w:t>对项目</w:t>
      </w:r>
      <w:r>
        <w:rPr>
          <w:rFonts w:hint="eastAsia" w:ascii="宋体" w:hAnsi="宋体" w:cs="宋体"/>
          <w:bCs/>
          <w:color w:val="auto"/>
          <w:szCs w:val="20"/>
          <w:lang w:bidi="ar"/>
        </w:rPr>
        <w:t>有执行保障措施、</w:t>
      </w:r>
      <w:r>
        <w:rPr>
          <w:rFonts w:hint="eastAsia" w:ascii="宋体" w:hAnsi="宋体" w:cs="宋体"/>
          <w:color w:val="auto"/>
          <w:szCs w:val="21"/>
        </w:rPr>
        <w:t>配送和安装有完整的流程及规范标准，方案包括安装工艺技术、配送安装组织机构、项目实施人员及设备的配备、进度计划、质量保证措施、保证安全及文明施工的措施等。</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（2）信誉分（满分2分）</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投标人或产品生产厂家通过ISO14001环境管理体系认证，且认证范围涵盖家具类；投标人或产品生产厂家通过ISO9001 质量管理体系认证，且认证范围涵盖家具类；投标人或产品生产厂家通过ISO45001职业健康安全体系认证证书，且认证范围涵盖家具类，投标人或产品生产厂家通过SA8000社会责任管理体系认证，</w:t>
      </w:r>
      <w:r>
        <w:rPr>
          <w:rFonts w:hint="eastAsia" w:ascii="宋体" w:hAnsi="宋体" w:cs="宋体"/>
          <w:color w:val="auto"/>
          <w:szCs w:val="21"/>
        </w:rPr>
        <w:t>每提供1项得0.5分，</w:t>
      </w:r>
      <w:r>
        <w:rPr>
          <w:rFonts w:hint="eastAsia" w:ascii="宋体" w:hAnsi="宋体" w:cs="宋体"/>
          <w:bCs/>
          <w:color w:val="auto"/>
          <w:szCs w:val="21"/>
        </w:rPr>
        <w:t>满分2分</w:t>
      </w:r>
      <w:r>
        <w:rPr>
          <w:rFonts w:hint="eastAsia" w:ascii="宋体" w:hAnsi="宋体" w:cs="宋体"/>
          <w:color w:val="auto"/>
          <w:szCs w:val="21"/>
        </w:rPr>
        <w:t>。</w:t>
      </w:r>
      <w:r>
        <w:rPr>
          <w:rFonts w:hint="eastAsia" w:ascii="宋体" w:hAnsi="宋体" w:cs="宋体"/>
          <w:bCs/>
          <w:color w:val="auto"/>
          <w:szCs w:val="21"/>
        </w:rPr>
        <w:t>【以上认证为生产或销售类的均有效，投标文件中提供有效期内认证证书复印件，其应与原件一致，如有弄虚作假，按政府采购相关规定处罚。】</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（3）业绩分（满分3分）</w:t>
      </w:r>
    </w:p>
    <w:p>
      <w:pPr>
        <w:spacing w:line="360" w:lineRule="exact"/>
        <w:ind w:firstLine="420" w:firstLineChars="200"/>
        <w:rPr>
          <w:rFonts w:ascii="宋体" w:hAnsi="宋体" w:cs="宋体"/>
          <w:bCs/>
          <w:color w:val="auto"/>
          <w:szCs w:val="21"/>
        </w:rPr>
      </w:pPr>
      <w:r>
        <w:rPr>
          <w:rFonts w:hint="eastAsia" w:ascii="宋体" w:hAnsi="宋体" w:cs="宋体"/>
          <w:color w:val="auto"/>
          <w:szCs w:val="21"/>
        </w:rPr>
        <w:t>投标人自</w:t>
      </w:r>
      <w:r>
        <w:rPr>
          <w:rFonts w:hint="eastAsia" w:ascii="宋体" w:hAnsi="Courier New"/>
          <w:color w:val="auto"/>
          <w:szCs w:val="20"/>
        </w:rPr>
        <w:t>2020</w:t>
      </w:r>
      <w:r>
        <w:rPr>
          <w:rFonts w:hint="eastAsia" w:ascii="宋体" w:hAnsi="宋体" w:cs="宋体"/>
          <w:color w:val="auto"/>
          <w:szCs w:val="21"/>
        </w:rPr>
        <w:t>年1月1日以来具有同类产品的销售业绩 [无不良记录，提供中标（成交）通知书或采购合同复印件、验收合格相关证明材料（上述材料应能清晰反映所销售的货物名称、种类、金额)，否则将不予计分；同一个编号的项目有两个或两个以上的分标中标的只算一次]</w:t>
      </w:r>
      <w:r>
        <w:rPr>
          <w:rFonts w:hint="eastAsia" w:ascii="宋体" w:hAnsi="宋体" w:cs="宋体"/>
          <w:bCs/>
          <w:color w:val="auto"/>
          <w:szCs w:val="21"/>
        </w:rPr>
        <w:t>，每提供一项得0.5分，最多得3分。</w:t>
      </w:r>
    </w:p>
    <w:p>
      <w:pPr>
        <w:spacing w:line="360" w:lineRule="exact"/>
        <w:ind w:firstLine="422" w:firstLineChars="200"/>
        <w:rPr>
          <w:rFonts w:ascii="宋体" w:hAnsi="宋体" w:cs="宋体"/>
          <w:b/>
          <w:bCs/>
          <w:color w:val="auto"/>
          <w:szCs w:val="21"/>
        </w:rPr>
      </w:pPr>
      <w:bookmarkStart w:id="224" w:name="_Toc21599"/>
      <w:r>
        <w:rPr>
          <w:rFonts w:hint="eastAsia" w:ascii="宋体" w:hAnsi="宋体" w:cs="宋体"/>
          <w:b/>
          <w:bCs/>
          <w:color w:val="auto"/>
          <w:szCs w:val="21"/>
        </w:rPr>
        <w:t>4、售后服务分………………………</w:t>
      </w:r>
      <w:r>
        <w:rPr>
          <w:rFonts w:hint="eastAsia" w:ascii="宋体" w:hAnsi="宋体" w:cs="宋体"/>
          <w:b/>
          <w:bCs/>
          <w:color w:val="auto"/>
          <w:kern w:val="0"/>
          <w:szCs w:val="21"/>
        </w:rPr>
        <w:t>…</w:t>
      </w:r>
      <w:r>
        <w:rPr>
          <w:rFonts w:hint="eastAsia" w:ascii="宋体" w:hAnsi="宋体" w:cs="宋体"/>
          <w:b/>
          <w:bCs/>
          <w:color w:val="auto"/>
          <w:szCs w:val="21"/>
        </w:rPr>
        <w:t>……………………………………………满分6分</w:t>
      </w:r>
      <w:bookmarkEnd w:id="224"/>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根据投标文件中售后服务方案内容的完整性、可行性，到达故障现场时间、故障出现解决方案、定期维护 (注明时间)、免费保修期、其他优惠措施等方面，由评委确定各投标人所属档次并独立打分。</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一档（2分）：售后服务方案满足招标文件要求。 </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二档（4分）：满足招标文件售后服务要求的同时，故障响应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spacing w:line="360" w:lineRule="exact"/>
        <w:ind w:firstLine="420" w:firstLineChars="200"/>
        <w:jc w:val="left"/>
        <w:rPr>
          <w:color w:val="auto"/>
        </w:rPr>
      </w:pPr>
      <w:r>
        <w:rPr>
          <w:rFonts w:hint="eastAsia" w:ascii="宋体" w:hAnsi="宋体" w:cs="宋体"/>
          <w:color w:val="auto"/>
          <w:szCs w:val="21"/>
        </w:rPr>
        <w:t>三档（6分）：满足招标文件售后服务要求的同时，故障响应时间、修复时间优于招标文件要求，有项目售后实施计划，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spacing w:line="360" w:lineRule="exact"/>
        <w:ind w:firstLine="211" w:firstLineChars="100"/>
        <w:jc w:val="left"/>
        <w:rPr>
          <w:rFonts w:ascii="宋体" w:hAnsi="宋体" w:cs="宋体"/>
          <w:b/>
          <w:color w:val="auto"/>
          <w:szCs w:val="21"/>
        </w:rPr>
      </w:pPr>
      <w:r>
        <w:rPr>
          <w:rFonts w:hint="eastAsia" w:ascii="宋体" w:hAnsi="宋体" w:cs="宋体"/>
          <w:b/>
          <w:color w:val="auto"/>
          <w:szCs w:val="21"/>
        </w:rPr>
        <w:t xml:space="preserve"> 5、政策功能分………………………………………………………………………………1分</w:t>
      </w:r>
    </w:p>
    <w:p>
      <w:pPr>
        <w:spacing w:line="360" w:lineRule="exact"/>
        <w:ind w:firstLine="111" w:firstLineChars="53"/>
        <w:rPr>
          <w:rFonts w:ascii="宋体" w:hAnsi="宋体" w:cs="宋体"/>
          <w:color w:val="auto"/>
          <w:szCs w:val="20"/>
        </w:rPr>
      </w:pPr>
      <w:r>
        <w:rPr>
          <w:rFonts w:hint="eastAsia" w:ascii="宋体" w:hAnsi="宋体" w:cs="宋体"/>
          <w:color w:val="auto"/>
          <w:szCs w:val="20"/>
        </w:rPr>
        <w:t>（1）采购财政部现行《节能产品政府采购清单》目录内（政府强制采购节能产品除外）的产品（提供有效证明复印件）。得0.5分</w:t>
      </w:r>
    </w:p>
    <w:p>
      <w:pPr>
        <w:spacing w:line="360" w:lineRule="exact"/>
        <w:ind w:firstLine="111" w:firstLineChars="53"/>
        <w:rPr>
          <w:rFonts w:ascii="宋体" w:hAnsi="宋体" w:cs="宋体"/>
          <w:color w:val="auto"/>
          <w:szCs w:val="20"/>
        </w:rPr>
      </w:pPr>
      <w:r>
        <w:rPr>
          <w:rFonts w:hint="eastAsia" w:ascii="宋体" w:hAnsi="宋体" w:cs="宋体"/>
          <w:color w:val="auto"/>
          <w:szCs w:val="20"/>
        </w:rPr>
        <w:t xml:space="preserve">（2）采购财政部现行《环境标志产品政府采购清单》目录内的产品（提供有效证明复印件）。 </w:t>
      </w:r>
      <w:r>
        <w:rPr>
          <w:rFonts w:hint="eastAsia" w:ascii="宋体" w:hAnsi="宋体" w:cs="宋体"/>
          <w:bCs/>
          <w:color w:val="auto"/>
          <w:szCs w:val="21"/>
        </w:rPr>
        <w:t>得0.5分</w:t>
      </w:r>
    </w:p>
    <w:p>
      <w:pPr>
        <w:spacing w:line="360" w:lineRule="exact"/>
        <w:ind w:firstLine="211" w:firstLineChars="100"/>
        <w:rPr>
          <w:rFonts w:ascii="宋体" w:hAnsi="宋体" w:cs="宋体"/>
          <w:bCs/>
          <w:color w:val="auto"/>
          <w:w w:val="150"/>
          <w:szCs w:val="21"/>
        </w:rPr>
      </w:pPr>
      <w:r>
        <w:rPr>
          <w:rFonts w:hint="eastAsia" w:ascii="宋体" w:hAnsi="宋体" w:cs="宋体"/>
          <w:b/>
          <w:color w:val="auto"/>
          <w:szCs w:val="21"/>
        </w:rPr>
        <w:t>6、综合得分＝</w:t>
      </w:r>
      <w:r>
        <w:rPr>
          <w:rFonts w:hint="eastAsia" w:ascii="宋体" w:hAnsi="宋体" w:cs="宋体"/>
          <w:b/>
          <w:color w:val="auto"/>
          <w:w w:val="150"/>
          <w:szCs w:val="21"/>
        </w:rPr>
        <w:t>1+2+3+4+5</w:t>
      </w:r>
    </w:p>
    <w:p>
      <w:pPr>
        <w:tabs>
          <w:tab w:val="left" w:pos="4214"/>
        </w:tabs>
        <w:spacing w:line="360" w:lineRule="exact"/>
        <w:ind w:firstLine="422" w:firstLineChars="200"/>
        <w:rPr>
          <w:rFonts w:ascii="宋体" w:hAnsi="宋体" w:cs="宋体"/>
          <w:b/>
          <w:color w:val="auto"/>
          <w:szCs w:val="21"/>
        </w:rPr>
      </w:pPr>
      <w:r>
        <w:rPr>
          <w:rFonts w:hint="eastAsia" w:ascii="宋体" w:hAnsi="宋体" w:cs="宋体"/>
          <w:b/>
          <w:color w:val="auto"/>
          <w:szCs w:val="21"/>
        </w:rPr>
        <w:t>三、推荐及确定中标候选供应商原则</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（2）评标委员会可推荐前三名为中标候选人，采购人应当确定评标委员会推荐排名第一的中标候选人为中标人。</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tabs>
          <w:tab w:val="left" w:pos="4214"/>
        </w:tabs>
        <w:spacing w:line="360" w:lineRule="exact"/>
        <w:ind w:firstLine="420" w:firstLineChars="200"/>
        <w:rPr>
          <w:rFonts w:ascii="宋体" w:hAnsi="宋体" w:cs="宋体"/>
          <w:b/>
          <w:bCs/>
          <w:color w:val="auto"/>
          <w:szCs w:val="21"/>
        </w:rPr>
      </w:pPr>
      <w:r>
        <w:rPr>
          <w:rFonts w:hint="eastAsia" w:ascii="宋体" w:hAnsi="宋体" w:cs="宋体"/>
          <w:color w:val="auto"/>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spacing w:line="360" w:lineRule="exact"/>
        <w:ind w:firstLine="422" w:firstLineChars="200"/>
        <w:rPr>
          <w:rFonts w:ascii="宋体" w:hAnsi="宋体" w:cs="宋体"/>
          <w:color w:val="auto"/>
          <w:kern w:val="0"/>
        </w:rPr>
      </w:pPr>
      <w:r>
        <w:rPr>
          <w:rFonts w:hint="eastAsia" w:ascii="宋体"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exact"/>
        <w:jc w:val="left"/>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p>
      <w:pPr>
        <w:pStyle w:val="48"/>
        <w:rPr>
          <w:color w:val="auto"/>
        </w:rPr>
      </w:pPr>
    </w:p>
    <w:bookmarkEnd w:id="211"/>
    <w:p>
      <w:pPr>
        <w:pStyle w:val="16"/>
        <w:adjustRightInd w:val="0"/>
        <w:spacing w:line="390" w:lineRule="exact"/>
        <w:contextualSpacing/>
        <w:rPr>
          <w:rFonts w:hAnsi="宋体" w:cs="宋体"/>
          <w:b/>
          <w:bCs/>
          <w:color w:val="auto"/>
        </w:rPr>
      </w:pPr>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225" w:name="_Toc28361_WPSOffice_Level2"/>
      <w:r>
        <w:rPr>
          <w:rFonts w:hint="eastAsia" w:ascii="宋体" w:hAnsi="宋体" w:cs="宋体"/>
          <w:b/>
          <w:bCs/>
          <w:color w:val="auto"/>
          <w:kern w:val="0"/>
          <w:sz w:val="30"/>
          <w:szCs w:val="30"/>
        </w:rPr>
        <w:t>统计上大中小微型企业划分标准</w:t>
      </w:r>
      <w:bookmarkEnd w:id="225"/>
    </w:p>
    <w:tbl>
      <w:tblPr>
        <w:tblStyle w:val="30"/>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231" w:type="dxa"/>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44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48"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p>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1188"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96"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50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1047"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505"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505"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505"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ascii="宋体" w:hAnsi="宋体" w:cs="宋体"/>
                <w:color w:val="auto"/>
                <w:spacing w:val="-12"/>
                <w:kern w:val="0"/>
                <w:sz w:val="18"/>
                <w:szCs w:val="18"/>
              </w:rPr>
            </w:pP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vAlign w:val="center"/>
          </w:tcPr>
          <w:p>
            <w:pPr>
              <w:widowControl/>
              <w:jc w:val="left"/>
              <w:rPr>
                <w:rFonts w:ascii="宋体" w:hAnsi="宋体" w:cs="宋体"/>
                <w:color w:val="auto"/>
                <w:kern w:val="0"/>
                <w:sz w:val="18"/>
                <w:szCs w:val="18"/>
              </w:rPr>
            </w:pPr>
          </w:p>
        </w:tc>
        <w:tc>
          <w:tcPr>
            <w:tcW w:w="1445"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9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44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4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88"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96"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50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1047"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226" w:name="_Toc31602"/>
      <w:bookmarkStart w:id="227" w:name="_Toc14595"/>
      <w:bookmarkStart w:id="228" w:name="_Toc30753"/>
      <w:r>
        <w:rPr>
          <w:rFonts w:hint="eastAsia" w:ascii="宋体" w:hAnsi="宋体" w:cs="宋体"/>
          <w:b/>
          <w:bCs/>
          <w:color w:val="auto"/>
          <w:kern w:val="44"/>
          <w:sz w:val="32"/>
          <w:szCs w:val="32"/>
        </w:rPr>
        <w:t>第五章  采购合同（合同主要条款及格式）</w:t>
      </w:r>
      <w:bookmarkEnd w:id="226"/>
      <w:bookmarkEnd w:id="227"/>
      <w:bookmarkEnd w:id="228"/>
    </w:p>
    <w:p>
      <w:pPr>
        <w:spacing w:line="400" w:lineRule="exact"/>
        <w:rPr>
          <w:rFonts w:ascii="宋体" w:hAnsi="宋体" w:cs="宋体"/>
          <w:color w:val="auto"/>
        </w:rPr>
      </w:pPr>
      <w:r>
        <w:rPr>
          <w:rFonts w:hint="eastAsia" w:ascii="宋体" w:hAnsi="宋体" w:cs="宋体"/>
          <w:color w:val="auto"/>
        </w:rPr>
        <w:t xml:space="preserve">合同编号：GLZC2022-G1-HT990409-GLJC </w:t>
      </w:r>
    </w:p>
    <w:p>
      <w:pPr>
        <w:spacing w:line="400" w:lineRule="exact"/>
        <w:rPr>
          <w:rFonts w:ascii="宋体" w:hAnsi="宋体" w:cs="宋体"/>
          <w:color w:val="auto"/>
        </w:rPr>
      </w:pPr>
      <w:r>
        <w:rPr>
          <w:rFonts w:hint="eastAsia" w:ascii="宋体" w:hAnsi="宋体" w:cs="宋体"/>
          <w:color w:val="auto"/>
        </w:rPr>
        <w:t>项目名称：</w:t>
      </w:r>
      <w:r>
        <w:rPr>
          <w:rFonts w:hint="eastAsia" w:ascii="宋体" w:hAnsi="宋体" w:cs="宋体"/>
          <w:color w:val="auto"/>
          <w:szCs w:val="21"/>
        </w:rPr>
        <w:t>临桂新校区53#、54#、55#宿舍楼及地下公共停车库工程钢架床采购</w:t>
      </w:r>
      <w:r>
        <w:rPr>
          <w:rFonts w:hint="eastAsia" w:ascii="宋体" w:hAnsi="宋体" w:cs="宋体"/>
          <w:color w:val="auto"/>
        </w:rPr>
        <w:t xml:space="preserve">    </w:t>
      </w:r>
    </w:p>
    <w:p>
      <w:pPr>
        <w:spacing w:line="400" w:lineRule="exact"/>
        <w:rPr>
          <w:rFonts w:ascii="宋体" w:hAnsi="宋体" w:cs="宋体"/>
          <w:color w:val="auto"/>
        </w:rPr>
      </w:pPr>
      <w:r>
        <w:rPr>
          <w:rFonts w:hint="eastAsia" w:ascii="宋体" w:hAnsi="宋体" w:cs="宋体"/>
          <w:color w:val="auto"/>
        </w:rPr>
        <w:t xml:space="preserve">项目编号：GLZC2022-G1-990409-GLJC  </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根据《中华人民共和国政府采购法》、《中华人民共和国政府采购法实施条例》、《中华人民共和国民法典》等法律、法规规定，按照招、投标文件规定条款和中标供应商承诺、甲乙双方签订本采购合同。</w:t>
      </w:r>
    </w:p>
    <w:p>
      <w:pPr>
        <w:spacing w:line="400" w:lineRule="exact"/>
        <w:ind w:firstLine="413" w:firstLineChars="196"/>
        <w:outlineLvl w:val="1"/>
        <w:rPr>
          <w:color w:val="auto"/>
        </w:rPr>
      </w:pPr>
      <w:bookmarkStart w:id="229" w:name="_Toc7911"/>
      <w:bookmarkStart w:id="230" w:name="_Toc495841768"/>
      <w:bookmarkStart w:id="231" w:name="_Toc22268"/>
      <w:bookmarkStart w:id="232" w:name="_Toc13005"/>
      <w:r>
        <w:rPr>
          <w:rFonts w:hint="eastAsia" w:ascii="宋体" w:hAnsi="宋体" w:cs="宋体"/>
          <w:b/>
          <w:color w:val="auto"/>
          <w:szCs w:val="21"/>
        </w:rPr>
        <w:t>第一条  合同标的及合同金额</w:t>
      </w:r>
      <w:bookmarkEnd w:id="229"/>
      <w:bookmarkEnd w:id="230"/>
      <w:bookmarkEnd w:id="231"/>
      <w:bookmarkEnd w:id="232"/>
    </w:p>
    <w:tbl>
      <w:tblPr>
        <w:tblStyle w:val="3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bookmarkStart w:id="233" w:name="_Toc23870"/>
      <w:bookmarkStart w:id="234" w:name="_Toc15939"/>
      <w:bookmarkStart w:id="235" w:name="_Toc6841"/>
      <w:bookmarkStart w:id="236" w:name="_Toc495841769"/>
      <w:r>
        <w:rPr>
          <w:rFonts w:hint="eastAsia" w:ascii="宋体" w:hAnsi="宋体" w:cs="宋体"/>
          <w:b/>
          <w:color w:val="auto"/>
          <w:szCs w:val="21"/>
        </w:rPr>
        <w:t>第二条  质量保证</w:t>
      </w:r>
      <w:bookmarkEnd w:id="233"/>
      <w:bookmarkEnd w:id="234"/>
      <w:bookmarkEnd w:id="235"/>
      <w:bookmarkEnd w:id="236"/>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w:t>
      </w:r>
      <w:r>
        <w:rPr>
          <w:rFonts w:hint="eastAsia" w:ascii="宋体" w:hAnsi="宋体" w:cs="宋体"/>
          <w:color w:val="auto"/>
          <w:szCs w:val="21"/>
          <w:u w:val="single"/>
        </w:rPr>
        <w:t xml:space="preserve">           </w:t>
      </w:r>
      <w:r>
        <w:rPr>
          <w:rFonts w:hint="eastAsia" w:ascii="宋体" w:hAnsi="宋体" w:cs="宋体"/>
          <w:color w:val="auto"/>
          <w:szCs w:val="21"/>
        </w:rPr>
        <w:t>（厂家规定质保期超过一年的，按厂家规定；“货物采购需求”有规定的，按规定执行；乙方承诺质保期超过“货物采购需求”，按乙方承诺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bookmarkStart w:id="237" w:name="_Toc495841770"/>
      <w:bookmarkStart w:id="238" w:name="_Toc22527"/>
      <w:bookmarkStart w:id="239" w:name="_Toc28745"/>
      <w:bookmarkStart w:id="240" w:name="_Toc17443"/>
      <w:r>
        <w:rPr>
          <w:rFonts w:hint="eastAsia" w:ascii="宋体" w:hAnsi="宋体" w:cs="宋体"/>
          <w:b/>
          <w:color w:val="auto"/>
          <w:szCs w:val="21"/>
        </w:rPr>
        <w:t>第三条  权利保证</w:t>
      </w:r>
      <w:bookmarkEnd w:id="237"/>
      <w:bookmarkEnd w:id="238"/>
      <w:bookmarkEnd w:id="239"/>
      <w:bookmarkEnd w:id="240"/>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bookmarkStart w:id="241" w:name="_Toc17138"/>
      <w:bookmarkStart w:id="242" w:name="_Toc7468"/>
      <w:bookmarkStart w:id="243" w:name="_Toc24662"/>
      <w:bookmarkStart w:id="244" w:name="_Toc495841771"/>
      <w:r>
        <w:rPr>
          <w:rFonts w:hint="eastAsia" w:ascii="宋体" w:hAnsi="宋体" w:cs="宋体"/>
          <w:b/>
          <w:color w:val="auto"/>
          <w:szCs w:val="21"/>
        </w:rPr>
        <w:t>第四条  货物包装、运输</w:t>
      </w:r>
      <w:bookmarkEnd w:id="241"/>
      <w:bookmarkEnd w:id="242"/>
      <w:bookmarkEnd w:id="243"/>
      <w:bookmarkEnd w:id="244"/>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color w:val="auto"/>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ascii="宋体" w:hAnsi="宋体" w:cs="宋体"/>
          <w:b/>
          <w:color w:val="auto"/>
          <w:szCs w:val="21"/>
        </w:rPr>
      </w:pPr>
      <w:bookmarkStart w:id="245" w:name="_Toc581"/>
      <w:bookmarkStart w:id="246" w:name="_Toc6786"/>
      <w:bookmarkStart w:id="247" w:name="_Toc495841772"/>
      <w:bookmarkStart w:id="248" w:name="_Toc2705"/>
      <w:r>
        <w:rPr>
          <w:rFonts w:hint="eastAsia" w:ascii="宋体" w:hAnsi="宋体" w:cs="宋体"/>
          <w:b/>
          <w:color w:val="auto"/>
          <w:szCs w:val="21"/>
        </w:rPr>
        <w:t>第五条  交付</w:t>
      </w:r>
      <w:bookmarkEnd w:id="245"/>
      <w:bookmarkEnd w:id="246"/>
      <w:bookmarkEnd w:id="247"/>
      <w:bookmarkEnd w:id="248"/>
    </w:p>
    <w:p>
      <w:pPr>
        <w:spacing w:line="400" w:lineRule="exact"/>
        <w:ind w:firstLine="411" w:firstLineChars="196"/>
        <w:outlineLvl w:val="1"/>
        <w:rPr>
          <w:rFonts w:ascii="宋体" w:hAnsi="宋体" w:cs="宋体"/>
          <w:color w:val="auto"/>
          <w:szCs w:val="21"/>
        </w:rPr>
      </w:pPr>
      <w:bookmarkStart w:id="249" w:name="_Toc14073"/>
      <w:bookmarkStart w:id="250" w:name="_Toc2045"/>
      <w:bookmarkStart w:id="251" w:name="_Toc30287"/>
      <w:bookmarkStart w:id="252" w:name="_Toc495841773"/>
      <w:r>
        <w:rPr>
          <w:rFonts w:hint="eastAsia" w:ascii="宋体" w:hAnsi="宋体" w:cs="宋体"/>
          <w:color w:val="auto"/>
          <w:szCs w:val="21"/>
        </w:rPr>
        <w:t>1、交付使用时间：</w:t>
      </w:r>
      <w:r>
        <w:rPr>
          <w:rFonts w:hint="eastAsia"/>
          <w:color w:val="auto"/>
        </w:rPr>
        <w:t>自合同签订之日起30个日历日内安装调试完毕并交付使用。</w:t>
      </w:r>
    </w:p>
    <w:p>
      <w:pPr>
        <w:spacing w:line="400" w:lineRule="exact"/>
        <w:ind w:firstLine="411" w:firstLineChars="196"/>
        <w:outlineLvl w:val="1"/>
        <w:rPr>
          <w:rFonts w:ascii="宋体" w:hAnsi="宋体" w:cs="宋体"/>
          <w:color w:val="auto"/>
          <w:szCs w:val="21"/>
        </w:rPr>
      </w:pPr>
      <w:r>
        <w:rPr>
          <w:rFonts w:hint="eastAsia" w:ascii="宋体" w:hAnsi="宋体" w:cs="宋体"/>
          <w:color w:val="auto"/>
          <w:szCs w:val="21"/>
        </w:rPr>
        <w:t>2、交付地点：桂林市采购人指定地点。</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 xml:space="preserve">第六条  </w:t>
      </w:r>
      <w:bookmarkEnd w:id="249"/>
      <w:bookmarkEnd w:id="250"/>
      <w:bookmarkEnd w:id="251"/>
      <w:bookmarkEnd w:id="252"/>
      <w:r>
        <w:rPr>
          <w:rFonts w:hint="eastAsia" w:ascii="宋体" w:hAnsi="宋体" w:cs="宋体"/>
          <w:b/>
          <w:color w:val="auto"/>
          <w:szCs w:val="21"/>
        </w:rPr>
        <w:t>验收要求</w:t>
      </w:r>
    </w:p>
    <w:p>
      <w:pPr>
        <w:spacing w:line="400" w:lineRule="exact"/>
        <w:ind w:firstLine="411" w:firstLineChars="196"/>
        <w:outlineLvl w:val="1"/>
        <w:rPr>
          <w:color w:val="auto"/>
        </w:rPr>
      </w:pPr>
      <w:bookmarkStart w:id="253" w:name="_Toc495841774"/>
      <w:bookmarkStart w:id="254" w:name="_Toc724"/>
      <w:bookmarkStart w:id="255" w:name="_Toc29074"/>
      <w:bookmarkStart w:id="256" w:name="_Toc11427"/>
      <w:r>
        <w:rPr>
          <w:rFonts w:hint="eastAsia"/>
          <w:color w:val="auto"/>
        </w:rPr>
        <w:t>1、由采购人、中标供应商共同现场验收，并由采购人随机抽样委托第三方或具有相关资质的第三方检测机构（具备质量技术监督部门或市场监督管理部门颁发的计量认证资质CMA）开展采购项目验收工作，检验过程中产生的所有费用由中标供应商承担。如抽取的货样检测报告结果不合格的，则视为货物不合格，须按采购人要求及时整改，如因此过程耽误交货时间导致采购人不能及时接受货物、安装货物、使用货物造成损失的，中标人承担由此所造成全部损失。</w:t>
      </w:r>
    </w:p>
    <w:p>
      <w:pPr>
        <w:spacing w:line="400" w:lineRule="exact"/>
        <w:ind w:firstLine="411" w:firstLineChars="196"/>
        <w:outlineLvl w:val="1"/>
        <w:rPr>
          <w:color w:val="auto"/>
        </w:rPr>
      </w:pPr>
      <w:r>
        <w:rPr>
          <w:rFonts w:hint="eastAsia"/>
          <w:color w:val="auto"/>
        </w:rPr>
        <w:t>2.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第七条  安装和培训</w:t>
      </w:r>
      <w:bookmarkEnd w:id="253"/>
      <w:bookmarkEnd w:id="254"/>
      <w:bookmarkEnd w:id="255"/>
      <w:bookmarkEnd w:id="256"/>
    </w:p>
    <w:p>
      <w:pPr>
        <w:spacing w:line="400" w:lineRule="exact"/>
        <w:ind w:firstLine="420" w:firstLineChars="200"/>
        <w:rPr>
          <w:color w:val="auto"/>
        </w:rPr>
      </w:pPr>
      <w:bookmarkStart w:id="257" w:name="_Toc7422"/>
      <w:bookmarkStart w:id="258" w:name="_Toc29939"/>
      <w:bookmarkStart w:id="259" w:name="_Toc495841775"/>
      <w:bookmarkStart w:id="260" w:name="_Toc13114"/>
      <w:r>
        <w:rPr>
          <w:rFonts w:hint="eastAsia"/>
          <w:color w:val="auto"/>
        </w:rPr>
        <w:t>中标供应商根据本项目，特派出技术人员对采购方免费提供基本维护、保养等培训。</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第八条  售后服务、保修期</w:t>
      </w:r>
      <w:bookmarkEnd w:id="257"/>
      <w:bookmarkEnd w:id="258"/>
      <w:bookmarkEnd w:id="259"/>
      <w:bookmarkEnd w:id="260"/>
    </w:p>
    <w:p>
      <w:pPr>
        <w:spacing w:line="400" w:lineRule="exact"/>
        <w:ind w:firstLine="411" w:firstLineChars="196"/>
        <w:outlineLvl w:val="1"/>
        <w:rPr>
          <w:color w:val="auto"/>
        </w:rPr>
      </w:pPr>
      <w:bookmarkStart w:id="261" w:name="_Toc12595"/>
      <w:bookmarkStart w:id="262" w:name="_Toc18235"/>
      <w:bookmarkStart w:id="263" w:name="_Toc29143"/>
      <w:bookmarkStart w:id="264" w:name="_Toc495841776"/>
      <w:r>
        <w:rPr>
          <w:rFonts w:hint="eastAsia"/>
          <w:color w:val="auto"/>
        </w:rPr>
        <w:t>1.免费保修期：按国家有关产品“三包”规定执行“三包”，免费保修期最短不得少于 5 年（免费保修期自货物安装调试并在验收合格之日起计算）。</w:t>
      </w:r>
    </w:p>
    <w:p>
      <w:pPr>
        <w:spacing w:line="400" w:lineRule="exact"/>
        <w:ind w:firstLine="411" w:firstLineChars="196"/>
        <w:outlineLvl w:val="1"/>
        <w:rPr>
          <w:color w:val="auto"/>
        </w:rPr>
      </w:pPr>
      <w:r>
        <w:rPr>
          <w:rFonts w:hint="eastAsia"/>
          <w:color w:val="auto"/>
        </w:rPr>
        <w:t>2.免费保修期内提供免费上门维修服务（含免费更换零部件、免人工费），接到采购人报障电话后 5 小时内派工程技术人员上门免费维修解决问题；若更换配件的应提供原供货产品品牌；若采购人发现产品存在制造上的缺陷，中标供应商应负责采取补救措施，若该缺陷导致产品存在安全隐患或不能使用的，中标供应商应负责免 费更换整件产品。</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第九条  税费</w:t>
      </w:r>
      <w:bookmarkEnd w:id="261"/>
      <w:bookmarkEnd w:id="262"/>
      <w:bookmarkEnd w:id="263"/>
      <w:bookmarkEnd w:id="264"/>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bookmarkStart w:id="265" w:name="_Toc8637"/>
      <w:bookmarkStart w:id="266" w:name="_Toc17338"/>
      <w:bookmarkStart w:id="267" w:name="_Toc18828"/>
      <w:bookmarkStart w:id="268" w:name="_Toc495841777"/>
      <w:r>
        <w:rPr>
          <w:rFonts w:hint="eastAsia" w:ascii="宋体" w:hAnsi="宋体" w:cs="宋体"/>
          <w:b/>
          <w:color w:val="auto"/>
          <w:szCs w:val="21"/>
        </w:rPr>
        <w:t>第十条  付款方式</w:t>
      </w:r>
      <w:bookmarkEnd w:id="265"/>
      <w:bookmarkEnd w:id="266"/>
      <w:bookmarkEnd w:id="267"/>
      <w:bookmarkEnd w:id="268"/>
    </w:p>
    <w:p>
      <w:pPr>
        <w:adjustRightInd w:val="0"/>
        <w:spacing w:line="360" w:lineRule="exact"/>
        <w:ind w:firstLine="420" w:firstLineChars="200"/>
        <w:jc w:val="left"/>
        <w:rPr>
          <w:rFonts w:ascii="宋体" w:hAnsi="宋体" w:cs="宋体"/>
          <w:color w:val="auto"/>
        </w:rPr>
      </w:pPr>
      <w:bookmarkStart w:id="269" w:name="_Toc26154"/>
      <w:bookmarkStart w:id="270" w:name="_Toc495841778"/>
      <w:bookmarkStart w:id="271" w:name="_Toc19042"/>
      <w:bookmarkStart w:id="272" w:name="_Toc6761"/>
      <w:r>
        <w:rPr>
          <w:rFonts w:ascii="宋体" w:hAnsi="宋体"/>
          <w:color w:val="auto"/>
          <w:szCs w:val="21"/>
        </w:rPr>
        <w:t>合同签订之日</w:t>
      </w:r>
      <w:r>
        <w:rPr>
          <w:rFonts w:hint="eastAsia" w:ascii="宋体" w:hAnsi="宋体"/>
          <w:color w:val="auto"/>
          <w:szCs w:val="21"/>
        </w:rPr>
        <w:t>起并</w:t>
      </w:r>
      <w:r>
        <w:rPr>
          <w:rFonts w:hint="eastAsia" w:ascii="宋体" w:hAnsi="宋体"/>
          <w:color w:val="auto"/>
          <w:szCs w:val="21"/>
        </w:rPr>
        <w:t>具备实施条件后10个工作日内</w:t>
      </w:r>
      <w:r>
        <w:rPr>
          <w:rFonts w:hint="eastAsia" w:ascii="宋体" w:hAnsi="宋体"/>
          <w:color w:val="auto"/>
          <w:szCs w:val="21"/>
        </w:rPr>
        <w:t>，</w:t>
      </w:r>
      <w:r>
        <w:rPr>
          <w:rFonts w:hint="eastAsia" w:ascii="宋体" w:hAnsi="宋体" w:cs="宋体"/>
          <w:color w:val="auto"/>
        </w:rPr>
        <w:t>采购人</w:t>
      </w:r>
      <w:r>
        <w:rPr>
          <w:rFonts w:ascii="宋体" w:hAnsi="宋体"/>
          <w:color w:val="auto"/>
          <w:szCs w:val="21"/>
        </w:rPr>
        <w:t>支付合同</w:t>
      </w:r>
      <w:r>
        <w:rPr>
          <w:rFonts w:hint="eastAsia" w:ascii="宋体" w:hAnsi="宋体"/>
          <w:color w:val="auto"/>
          <w:szCs w:val="21"/>
        </w:rPr>
        <w:t>价款</w:t>
      </w:r>
      <w:r>
        <w:rPr>
          <w:rFonts w:ascii="宋体" w:hAnsi="宋体"/>
          <w:color w:val="auto"/>
          <w:szCs w:val="21"/>
        </w:rPr>
        <w:t>的</w:t>
      </w:r>
      <w:r>
        <w:rPr>
          <w:rFonts w:hint="eastAsia" w:ascii="宋体" w:hAnsi="宋体"/>
          <w:color w:val="auto"/>
          <w:szCs w:val="21"/>
        </w:rPr>
        <w:t>5</w:t>
      </w:r>
      <w:r>
        <w:rPr>
          <w:rFonts w:ascii="宋体" w:hAnsi="宋体"/>
          <w:color w:val="auto"/>
          <w:szCs w:val="21"/>
        </w:rPr>
        <w:t>0%作为</w:t>
      </w:r>
      <w:r>
        <w:rPr>
          <w:rFonts w:hint="eastAsia" w:ascii="宋体" w:hAnsi="宋体"/>
          <w:color w:val="auto"/>
          <w:szCs w:val="21"/>
        </w:rPr>
        <w:t>预付</w:t>
      </w:r>
      <w:r>
        <w:rPr>
          <w:rFonts w:ascii="宋体" w:hAnsi="宋体"/>
          <w:color w:val="auto"/>
          <w:szCs w:val="21"/>
        </w:rPr>
        <w:t>款</w:t>
      </w:r>
      <w:r>
        <w:rPr>
          <w:rFonts w:hint="eastAsia" w:ascii="宋体" w:hAnsi="宋体" w:cs="宋体"/>
          <w:color w:val="auto"/>
        </w:rPr>
        <w:t>；全部货物安装调试完毕并验收合格后，采购人在30个工作日内支付合同价款的45%；中标供应商承诺的免费</w:t>
      </w:r>
      <w:r>
        <w:rPr>
          <w:rFonts w:hint="eastAsia" w:ascii="宋体" w:hAnsi="宋体" w:cs="宋体"/>
          <w:color w:val="auto"/>
        </w:rPr>
        <w:t>保修期</w:t>
      </w:r>
      <w:r>
        <w:rPr>
          <w:rFonts w:hint="eastAsia" w:ascii="宋体" w:hAnsi="宋体" w:cs="宋体"/>
          <w:color w:val="auto"/>
        </w:rPr>
        <w:t>满后,采购人30个工作日内支付合同价款的5%（无息）。</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第十一条  违约责任</w:t>
      </w:r>
      <w:bookmarkEnd w:id="269"/>
      <w:bookmarkEnd w:id="270"/>
      <w:bookmarkEnd w:id="271"/>
      <w:bookmarkEnd w:id="272"/>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5  </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rPr>
        <w:t xml:space="preserve">  2 ‰</w:t>
      </w:r>
      <w:r>
        <w:rPr>
          <w:rFonts w:hint="eastAsia" w:ascii="宋体" w:hAnsi="宋体" w:cs="宋体"/>
          <w:color w:val="auto"/>
          <w:szCs w:val="21"/>
        </w:rPr>
        <w:t>违约金，但违约金累计不得超过违约货款额</w:t>
      </w:r>
      <w:r>
        <w:rPr>
          <w:rFonts w:hint="eastAsia" w:ascii="宋体" w:hAnsi="宋体" w:cs="宋体"/>
          <w:color w:val="auto"/>
          <w:szCs w:val="21"/>
          <w:u w:val="single"/>
        </w:rPr>
        <w:t xml:space="preserve"> 5  %</w:t>
      </w:r>
      <w:r>
        <w:rPr>
          <w:rFonts w:hint="eastAsia" w:ascii="宋体" w:hAnsi="宋体" w:cs="宋体"/>
          <w:color w:val="auto"/>
          <w:szCs w:val="21"/>
        </w:rPr>
        <w:t>，超过</w:t>
      </w:r>
      <w:r>
        <w:rPr>
          <w:rFonts w:hint="eastAsia" w:ascii="宋体" w:hAnsi="宋体" w:cs="宋体"/>
          <w:color w:val="auto"/>
          <w:szCs w:val="21"/>
          <w:u w:val="single"/>
        </w:rPr>
        <w:t xml:space="preserve">  20  </w:t>
      </w:r>
      <w:r>
        <w:rPr>
          <w:rFonts w:hint="eastAsia" w:ascii="宋体" w:hAnsi="宋体" w:cs="宋体"/>
          <w:color w:val="auto"/>
          <w:szCs w:val="21"/>
        </w:rPr>
        <w:t>天对方有权解除合同，违约方承担因此给对方造成经济损失；甲方延期付货款的，每天向乙方偿付延期货款额</w:t>
      </w:r>
      <w:r>
        <w:rPr>
          <w:rFonts w:hint="eastAsia" w:ascii="宋体" w:hAnsi="宋体" w:cs="宋体"/>
          <w:color w:val="auto"/>
          <w:szCs w:val="21"/>
          <w:u w:val="single"/>
        </w:rPr>
        <w:t xml:space="preserve"> 3  </w:t>
      </w:r>
      <w:r>
        <w:rPr>
          <w:rFonts w:hint="eastAsia" w:ascii="宋体" w:hAnsi="宋体" w:cs="宋体"/>
          <w:color w:val="auto"/>
          <w:szCs w:val="21"/>
        </w:rPr>
        <w:t>‰滞纳金，但滞纳金累计不得超过延期货款额</w:t>
      </w:r>
      <w:r>
        <w:rPr>
          <w:rFonts w:hint="eastAsia" w:ascii="宋体" w:hAnsi="宋体" w:cs="宋体"/>
          <w:color w:val="auto"/>
          <w:szCs w:val="21"/>
          <w:u w:val="single"/>
        </w:rPr>
        <w:t xml:space="preserve"> 5  %</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5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5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bookmarkStart w:id="273" w:name="_Toc5808"/>
      <w:bookmarkStart w:id="274" w:name="_Toc4299"/>
      <w:bookmarkStart w:id="275" w:name="_Toc15932"/>
      <w:bookmarkStart w:id="276" w:name="_Toc495841779"/>
      <w:r>
        <w:rPr>
          <w:rFonts w:hint="eastAsia" w:ascii="宋体" w:hAnsi="宋体" w:cs="宋体"/>
          <w:b/>
          <w:color w:val="auto"/>
          <w:szCs w:val="21"/>
        </w:rPr>
        <w:t>第十二条  不可抗力事件处理</w:t>
      </w:r>
      <w:bookmarkEnd w:id="273"/>
      <w:bookmarkEnd w:id="274"/>
      <w:bookmarkEnd w:id="275"/>
      <w:bookmarkEnd w:id="276"/>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bookmarkStart w:id="277" w:name="_Toc8423"/>
      <w:bookmarkStart w:id="278" w:name="_Toc24966"/>
      <w:bookmarkStart w:id="279" w:name="_Toc9"/>
      <w:bookmarkStart w:id="280" w:name="_Toc495841780"/>
      <w:r>
        <w:rPr>
          <w:rFonts w:hint="eastAsia" w:ascii="宋体" w:hAnsi="宋体" w:cs="宋体"/>
          <w:b/>
          <w:color w:val="auto"/>
          <w:szCs w:val="21"/>
        </w:rPr>
        <w:t>第十三条  合同争议解决</w:t>
      </w:r>
      <w:bookmarkEnd w:id="277"/>
      <w:bookmarkEnd w:id="278"/>
      <w:bookmarkEnd w:id="279"/>
      <w:bookmarkEnd w:id="280"/>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bookmarkStart w:id="281" w:name="_Toc26480"/>
      <w:bookmarkStart w:id="282" w:name="_Toc26915"/>
      <w:bookmarkStart w:id="283" w:name="_Toc495841781"/>
      <w:bookmarkStart w:id="284" w:name="_Toc10780"/>
      <w:r>
        <w:rPr>
          <w:rFonts w:hint="eastAsia" w:ascii="宋体" w:hAnsi="宋体" w:cs="宋体"/>
          <w:b/>
          <w:color w:val="auto"/>
          <w:szCs w:val="21"/>
        </w:rPr>
        <w:t>第十四条  合同生效及其它</w:t>
      </w:r>
      <w:bookmarkEnd w:id="281"/>
      <w:bookmarkEnd w:id="282"/>
      <w:bookmarkEnd w:id="283"/>
      <w:bookmarkEnd w:id="284"/>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1.合同经甲乙双方法定代表人、负责人、自然人或相应的授权代表签字并加盖投标人公章后生效。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2.合同执行中涉及采购资金和采购内容修改或补充的，需经同级财政部门审批，并签订书面补充协议报同级财政部门备案，方可作为主合同不可分割的一部分。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3.本合同未尽事宜，遵照《中华人民共和国民法典》有关条文执行。</w:t>
      </w:r>
    </w:p>
    <w:p>
      <w:pPr>
        <w:spacing w:line="400" w:lineRule="exact"/>
        <w:ind w:firstLine="413" w:firstLineChars="196"/>
        <w:outlineLvl w:val="1"/>
        <w:rPr>
          <w:rFonts w:ascii="宋体" w:hAnsi="宋体" w:cs="宋体"/>
          <w:b/>
          <w:color w:val="auto"/>
          <w:szCs w:val="21"/>
        </w:rPr>
      </w:pPr>
      <w:bookmarkStart w:id="285" w:name="_Toc31400"/>
      <w:bookmarkStart w:id="286" w:name="_Toc20115"/>
      <w:bookmarkStart w:id="287" w:name="_Toc23733"/>
      <w:bookmarkStart w:id="288" w:name="_Toc495841782"/>
      <w:r>
        <w:rPr>
          <w:rFonts w:hint="eastAsia" w:ascii="宋体" w:hAnsi="宋体" w:cs="宋体"/>
          <w:b/>
          <w:color w:val="auto"/>
          <w:szCs w:val="21"/>
        </w:rPr>
        <w:t>第十五条  合同的变更、终止与转让</w:t>
      </w:r>
      <w:bookmarkEnd w:id="285"/>
      <w:bookmarkEnd w:id="286"/>
      <w:bookmarkEnd w:id="287"/>
      <w:bookmarkEnd w:id="288"/>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bookmarkStart w:id="289" w:name="_Toc10700"/>
      <w:bookmarkStart w:id="290" w:name="_Toc13625"/>
      <w:bookmarkStart w:id="291" w:name="_Toc495841783"/>
      <w:bookmarkStart w:id="292" w:name="_Toc19322"/>
      <w:r>
        <w:rPr>
          <w:rFonts w:hint="eastAsia" w:ascii="宋体" w:hAnsi="宋体" w:cs="宋体"/>
          <w:b/>
          <w:color w:val="auto"/>
          <w:szCs w:val="21"/>
        </w:rPr>
        <w:t>第十六条  签订本合同依据</w:t>
      </w:r>
      <w:bookmarkEnd w:id="289"/>
      <w:bookmarkEnd w:id="290"/>
      <w:bookmarkEnd w:id="291"/>
      <w:bookmarkEnd w:id="292"/>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firstLine="420" w:firstLineChars="200"/>
        <w:rPr>
          <w:color w:val="auto"/>
        </w:rPr>
      </w:pPr>
      <w:r>
        <w:rPr>
          <w:rFonts w:hint="eastAsia" w:ascii="宋体" w:hAnsi="宋体" w:cs="宋体"/>
          <w:color w:val="auto"/>
          <w:szCs w:val="21"/>
        </w:rPr>
        <w:t>本合同甲乙双方签字盖章后生效，一式捌份，具有同等法律效力，</w:t>
      </w:r>
      <w:r>
        <w:rPr>
          <w:rFonts w:hint="eastAsia" w:ascii="宋体" w:hAnsi="宋体"/>
          <w:color w:val="auto"/>
          <w:szCs w:val="21"/>
        </w:rPr>
        <w:t>甲方肆份、乙方贰份</w:t>
      </w:r>
      <w:r>
        <w:rPr>
          <w:rFonts w:hint="eastAsia" w:ascii="宋体" w:hAnsi="宋体" w:cs="宋体"/>
          <w:color w:val="auto"/>
          <w:szCs w:val="21"/>
        </w:rPr>
        <w:t>。</w:t>
      </w:r>
      <w:r>
        <w:rPr>
          <w:rFonts w:hint="eastAsia" w:ascii="宋体" w:hAnsi="宋体" w:cs="宋体"/>
          <w:color w:val="auto"/>
        </w:rPr>
        <w:t>政府采购合同双方自签订之日起壹个工作日内，乙方</w:t>
      </w:r>
      <w:r>
        <w:rPr>
          <w:rFonts w:hint="eastAsia" w:ascii="宋体" w:hAnsi="宋体" w:cs="宋体"/>
          <w:color w:val="auto"/>
          <w:szCs w:val="21"/>
        </w:rPr>
        <w:t>将合同原件壹份交采购代理机构，采购人于合同签订之日起柒个工作日内将壹份合同原件送本级财政部门备案。</w:t>
      </w:r>
    </w:p>
    <w:p>
      <w:pPr>
        <w:spacing w:line="400" w:lineRule="exact"/>
        <w:rPr>
          <w:rFonts w:ascii="宋体" w:hAnsi="宋体" w:cs="宋体"/>
          <w:color w:val="auto"/>
          <w:szCs w:val="21"/>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rPr>
      </w:pPr>
    </w:p>
    <w:p>
      <w:pPr>
        <w:jc w:val="center"/>
        <w:outlineLvl w:val="0"/>
        <w:rPr>
          <w:rFonts w:ascii="宋体" w:hAnsi="宋体" w:cs="宋体"/>
          <w:color w:val="auto"/>
          <w:sz w:val="32"/>
          <w:szCs w:val="32"/>
        </w:rPr>
      </w:pPr>
      <w:r>
        <w:rPr>
          <w:rFonts w:hint="eastAsia" w:ascii="宋体" w:hAnsi="宋体" w:cs="宋体"/>
          <w:b/>
          <w:color w:val="auto"/>
          <w:sz w:val="32"/>
          <w:szCs w:val="32"/>
        </w:rPr>
        <w:br w:type="page"/>
      </w:r>
      <w:bookmarkStart w:id="293" w:name="_Toc13840"/>
      <w:bookmarkStart w:id="294" w:name="_Toc24269"/>
      <w:bookmarkStart w:id="295" w:name="_Toc28363"/>
      <w:r>
        <w:rPr>
          <w:rFonts w:hint="eastAsia" w:ascii="宋体" w:hAnsi="宋体" w:cs="宋体"/>
          <w:b/>
          <w:bCs/>
          <w:color w:val="auto"/>
          <w:kern w:val="44"/>
          <w:sz w:val="32"/>
          <w:szCs w:val="32"/>
        </w:rPr>
        <w:t>第六章  投标文件（格式）</w:t>
      </w:r>
      <w:bookmarkEnd w:id="293"/>
      <w:bookmarkEnd w:id="294"/>
      <w:bookmarkEnd w:id="295"/>
    </w:p>
    <w:p>
      <w:pPr>
        <w:rPr>
          <w:b/>
          <w:bCs/>
          <w:color w:val="auto"/>
          <w:sz w:val="30"/>
          <w:szCs w:val="30"/>
        </w:rPr>
      </w:pPr>
      <w:bookmarkStart w:id="296" w:name="_Toc486867150"/>
      <w:bookmarkStart w:id="297" w:name="_Toc486695806"/>
      <w:bookmarkStart w:id="298" w:name="_Toc478137727"/>
      <w:bookmarkStart w:id="299" w:name="_Toc498698226"/>
      <w:bookmarkStart w:id="300" w:name="_Toc498627082"/>
      <w:bookmarkStart w:id="301" w:name="_Toc1762"/>
      <w:bookmarkStart w:id="302" w:name="_Toc31410"/>
      <w:r>
        <w:rPr>
          <w:rFonts w:hint="eastAsia"/>
          <w:b/>
          <w:bCs/>
          <w:color w:val="auto"/>
          <w:sz w:val="30"/>
          <w:szCs w:val="30"/>
        </w:rPr>
        <w:t>投标文件封面格式</w:t>
      </w:r>
      <w:bookmarkEnd w:id="296"/>
      <w:bookmarkEnd w:id="297"/>
      <w:bookmarkEnd w:id="298"/>
      <w:bookmarkEnd w:id="299"/>
      <w:bookmarkEnd w:id="300"/>
      <w:r>
        <w:rPr>
          <w:rFonts w:hint="eastAsia"/>
          <w:b/>
          <w:bCs/>
          <w:color w:val="auto"/>
          <w:sz w:val="30"/>
          <w:szCs w:val="30"/>
        </w:rPr>
        <w:t>：</w:t>
      </w:r>
      <w:bookmarkEnd w:id="301"/>
      <w:bookmarkEnd w:id="302"/>
    </w:p>
    <w:p>
      <w:pPr>
        <w:adjustRightInd w:val="0"/>
        <w:snapToGrid w:val="0"/>
        <w:jc w:val="right"/>
        <w:rPr>
          <w:rFonts w:ascii="宋体" w:hAnsi="宋体" w:cs="宋体"/>
          <w:b/>
          <w:color w:val="auto"/>
          <w:sz w:val="32"/>
          <w:szCs w:val="32"/>
        </w:rPr>
      </w:pP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303" w:name="_Toc13659_WPSOffice_Level1"/>
      <w:bookmarkStart w:id="304" w:name="_Toc3441_WPSOffice_Level1"/>
      <w:r>
        <w:rPr>
          <w:rFonts w:hint="eastAsia" w:ascii="宋体" w:hAnsi="宋体" w:cs="宋体"/>
          <w:bCs/>
          <w:color w:val="auto"/>
          <w:sz w:val="72"/>
          <w:szCs w:val="72"/>
        </w:rPr>
        <w:t>投标文件</w:t>
      </w:r>
      <w:bookmarkEnd w:id="303"/>
      <w:bookmarkEnd w:id="304"/>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pStyle w:val="140"/>
        <w:ind w:firstLine="883"/>
        <w:rPr>
          <w:rFonts w:ascii="宋体" w:hAnsi="宋体" w:cs="宋体"/>
          <w:b/>
          <w:color w:val="auto"/>
          <w:sz w:val="44"/>
          <w:szCs w:val="44"/>
        </w:rPr>
      </w:pPr>
    </w:p>
    <w:p>
      <w:pPr>
        <w:jc w:val="center"/>
        <w:rPr>
          <w:rFonts w:ascii="宋体" w:hAnsi="宋体" w:cs="宋体"/>
          <w:color w:val="auto"/>
          <w:sz w:val="30"/>
          <w:szCs w:val="30"/>
        </w:rPr>
      </w:pPr>
      <w:r>
        <w:rPr>
          <w:rFonts w:hint="eastAsia" w:ascii="宋体" w:hAnsi="宋体" w:cs="宋体"/>
          <w:bCs/>
          <w:color w:val="auto"/>
          <w:sz w:val="30"/>
          <w:szCs w:val="30"/>
        </w:rPr>
        <w:t>项目名称：</w:t>
      </w:r>
      <w:r>
        <w:rPr>
          <w:rFonts w:hint="eastAsia" w:ascii="宋体" w:hAnsi="宋体" w:cs="宋体"/>
          <w:bCs/>
          <w:color w:val="auto"/>
          <w:sz w:val="28"/>
          <w:szCs w:val="30"/>
        </w:rPr>
        <w:t>临桂新校区53#、54#、55#宿舍楼及地下公共停车库工程钢架床采购</w:t>
      </w:r>
    </w:p>
    <w:p>
      <w:pPr>
        <w:ind w:firstLine="1200" w:firstLineChars="400"/>
        <w:jc w:val="center"/>
        <w:rPr>
          <w:rFonts w:ascii="宋体" w:hAnsi="宋体" w:cs="宋体"/>
          <w:bCs/>
          <w:color w:val="auto"/>
          <w:sz w:val="30"/>
          <w:szCs w:val="30"/>
          <w:u w:val="single"/>
        </w:rPr>
      </w:pPr>
      <w:r>
        <w:rPr>
          <w:rFonts w:hint="eastAsia" w:ascii="宋体" w:hAnsi="宋体" w:cs="宋体"/>
          <w:bCs/>
          <w:color w:val="auto"/>
          <w:sz w:val="30"/>
          <w:szCs w:val="30"/>
        </w:rPr>
        <w:t>项目编号：</w:t>
      </w:r>
      <w:r>
        <w:rPr>
          <w:rFonts w:hint="eastAsia" w:ascii="宋体" w:hAnsi="宋体" w:cs="宋体"/>
          <w:color w:val="auto"/>
          <w:spacing w:val="40"/>
          <w:sz w:val="32"/>
          <w:u w:val="single"/>
        </w:rPr>
        <w:t>GLZC2022-G1-990409-GLJC</w:t>
      </w:r>
    </w:p>
    <w:p>
      <w:pPr>
        <w:ind w:firstLine="2400" w:firstLineChars="800"/>
        <w:rPr>
          <w:rFonts w:ascii="宋体" w:hAnsi="宋体" w:cs="宋体"/>
          <w:bCs/>
          <w:color w:val="auto"/>
          <w:sz w:val="30"/>
          <w:szCs w:val="30"/>
          <w:u w:val="single"/>
        </w:rPr>
      </w:pPr>
    </w:p>
    <w:p>
      <w:pPr>
        <w:ind w:firstLine="741" w:firstLineChars="353"/>
        <w:rPr>
          <w:rFonts w:ascii="宋体" w:hAnsi="宋体" w:cs="宋体"/>
          <w:color w:val="auto"/>
        </w:rPr>
      </w:pPr>
    </w:p>
    <w:p>
      <w:pPr>
        <w:snapToGrid w:val="0"/>
        <w:spacing w:before="156" w:beforeLines="50" w:after="50"/>
        <w:ind w:firstLine="1260" w:firstLineChars="450"/>
        <w:rPr>
          <w:rFonts w:ascii="宋体" w:hAnsi="宋体" w:cs="宋体"/>
          <w:bCs/>
          <w:color w:val="auto"/>
          <w:sz w:val="28"/>
          <w:szCs w:val="28"/>
        </w:rPr>
      </w:pPr>
    </w:p>
    <w:p>
      <w:pPr>
        <w:pStyle w:val="140"/>
        <w:ind w:firstLine="420"/>
        <w:rPr>
          <w:color w:val="auto"/>
        </w:rPr>
      </w:pPr>
    </w:p>
    <w:p>
      <w:pPr>
        <w:pStyle w:val="48"/>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4"/>
        <w:ind w:left="980" w:hanging="560" w:hangingChars="200"/>
        <w:jc w:val="center"/>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4"/>
        <w:ind w:left="980" w:hanging="560" w:hangingChars="200"/>
        <w:rPr>
          <w:rFonts w:ascii="宋体" w:hAnsi="宋体" w:cs="宋体"/>
          <w:bCs/>
          <w:color w:val="auto"/>
          <w:sz w:val="28"/>
          <w:szCs w:val="28"/>
        </w:rPr>
      </w:pPr>
      <w:bookmarkStart w:id="305" w:name="_Toc20319_WPSOffice_Level2"/>
      <w:bookmarkStart w:id="306" w:name="_Toc4932_WPSOffice_Level2"/>
      <w:r>
        <w:rPr>
          <w:rFonts w:hint="eastAsia" w:ascii="宋体" w:hAnsi="宋体" w:cs="宋体"/>
          <w:bCs/>
          <w:color w:val="auto"/>
          <w:sz w:val="28"/>
          <w:szCs w:val="28"/>
        </w:rPr>
        <w:t>投标人（公章(CA签章)、自然人除外）：</w:t>
      </w:r>
      <w:r>
        <w:rPr>
          <w:rFonts w:hint="eastAsia" w:ascii="宋体" w:hAnsi="宋体" w:cs="宋体"/>
          <w:bCs/>
          <w:color w:val="auto"/>
          <w:sz w:val="28"/>
          <w:szCs w:val="28"/>
          <w:u w:val="single"/>
        </w:rPr>
        <w:t xml:space="preserve">                       </w:t>
      </w:r>
      <w:bookmarkEnd w:id="305"/>
      <w:bookmarkEnd w:id="306"/>
      <w:r>
        <w:rPr>
          <w:rFonts w:hint="eastAsia" w:ascii="宋体" w:hAnsi="宋体" w:cs="宋体"/>
          <w:bCs/>
          <w:color w:val="auto"/>
          <w:sz w:val="28"/>
          <w:szCs w:val="28"/>
          <w:u w:val="single"/>
        </w:rPr>
        <w:t xml:space="preserve">       </w:t>
      </w:r>
    </w:p>
    <w:p>
      <w:pPr>
        <w:pStyle w:val="16"/>
        <w:spacing w:line="320" w:lineRule="exact"/>
        <w:ind w:firstLine="420"/>
        <w:rPr>
          <w:rFonts w:hAnsi="宋体" w:cs="宋体"/>
          <w:color w:val="auto"/>
          <w:sz w:val="28"/>
          <w:szCs w:val="28"/>
        </w:rPr>
      </w:pPr>
      <w:bookmarkStart w:id="307" w:name="_Toc4767_WPSOffice_Level2"/>
      <w:bookmarkStart w:id="308" w:name="_Toc11679_WPSOffice_Level2"/>
      <w:r>
        <w:rPr>
          <w:rFonts w:hint="eastAsia" w:hAnsi="宋体" w:cs="宋体"/>
          <w:color w:val="auto"/>
          <w:sz w:val="28"/>
          <w:szCs w:val="28"/>
        </w:rPr>
        <w:t>法定代表人、负责人、自然人或相应的委托代理人签字[或盖章(CA签章)]</w:t>
      </w:r>
    </w:p>
    <w:p>
      <w:pPr>
        <w:pStyle w:val="14"/>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（属自然人的应在签名处加盖大拇指指印或个人CA签章）：</w:t>
      </w:r>
      <w:r>
        <w:rPr>
          <w:rFonts w:hint="eastAsia" w:ascii="宋体" w:hAnsi="宋体" w:cs="宋体"/>
          <w:color w:val="auto"/>
          <w:sz w:val="28"/>
          <w:szCs w:val="28"/>
          <w:u w:val="single"/>
        </w:rPr>
        <w:t xml:space="preserve">                  </w:t>
      </w:r>
      <w:bookmarkEnd w:id="307"/>
      <w:bookmarkEnd w:id="308"/>
      <w:bookmarkStart w:id="309" w:name="_Toc32056_WPSOffice_Level2"/>
      <w:bookmarkStart w:id="310" w:name="_Toc9622_WPSOffice_Level2"/>
    </w:p>
    <w:p>
      <w:pPr>
        <w:pStyle w:val="14"/>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309"/>
      <w:bookmarkEnd w:id="310"/>
      <w:r>
        <w:rPr>
          <w:rFonts w:hint="eastAsia" w:ascii="宋体" w:hAnsi="宋体" w:cs="宋体"/>
          <w:bCs/>
          <w:color w:val="auto"/>
          <w:sz w:val="28"/>
          <w:szCs w:val="28"/>
          <w:u w:val="single"/>
        </w:rPr>
        <w:t xml:space="preserve">                                                </w:t>
      </w:r>
    </w:p>
    <w:p>
      <w:pPr>
        <w:pStyle w:val="14"/>
        <w:ind w:left="980" w:hanging="560" w:hangingChars="200"/>
        <w:rPr>
          <w:rFonts w:ascii="宋体" w:hAnsi="宋体" w:cs="宋体"/>
          <w:b/>
          <w:color w:val="auto"/>
          <w:sz w:val="32"/>
          <w:szCs w:val="32"/>
        </w:rPr>
      </w:pPr>
      <w:bookmarkStart w:id="311" w:name="_Toc15933_WPSOffice_Level2"/>
      <w:bookmarkStart w:id="312" w:name="_Toc26465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311"/>
      <w:bookmarkEnd w:id="312"/>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一、资格性响应证明材料：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p>
    <w:p>
      <w:pPr>
        <w:spacing w:line="400" w:lineRule="exact"/>
        <w:ind w:firstLine="411" w:firstLineChars="196"/>
        <w:rPr>
          <w:rFonts w:ascii="宋体" w:hAnsi="宋体" w:cs="宋体"/>
          <w:color w:val="auto"/>
          <w:szCs w:val="21"/>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①如投标人为截标时间前60日以内成立的公司，可以提供投标人与委托代理人签订的劳动合同复印件代替养老保险证明复印件；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②如投标人为事业单位，可以提供事业单位机构编制管理证复印件或事业单位机构为其发放工资的工资条复印件代替养老保险证明复印件；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③如委托代理人为免缴纳社保人员，提供免缴纳社保的证明材料复印件及投标人与委托代理人签订的劳动合同复印件代替养老保险证明复印件；</w:t>
      </w:r>
    </w:p>
    <w:p>
      <w:pPr>
        <w:spacing w:line="400" w:lineRule="exact"/>
        <w:ind w:firstLine="411" w:firstLineChars="196"/>
        <w:rPr>
          <w:rFonts w:ascii="宋体" w:hAnsi="宋体" w:cs="宋体"/>
          <w:color w:val="auto"/>
          <w:szCs w:val="21"/>
        </w:rPr>
      </w:pPr>
      <w:r>
        <w:rPr>
          <w:rFonts w:hint="eastAsia" w:ascii="宋体" w:hAnsi="宋体" w:cs="宋体"/>
          <w:color w:val="auto"/>
          <w:szCs w:val="21"/>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属自然人的应提供由县级以上（含县级）社会养老保险经办机构出具的自然人本人及委托代理人所交纳的开标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cs="宋体"/>
          <w:b/>
          <w:color w:val="auto"/>
          <w:szCs w:val="21"/>
        </w:rPr>
        <w:t>（委托代理时必须提供；</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spacing w:line="400" w:lineRule="exact"/>
        <w:ind w:firstLine="420" w:firstLineChars="200"/>
        <w:rPr>
          <w:color w:val="auto"/>
          <w:szCs w:val="21"/>
        </w:rPr>
      </w:pPr>
      <w:r>
        <w:rPr>
          <w:rFonts w:hint="eastAsia" w:ascii="宋体" w:hAnsi="宋体" w:cs="宋体"/>
          <w:color w:val="auto"/>
          <w:szCs w:val="21"/>
        </w:rPr>
        <w:t>4.财务状况报告</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5.投标人参加政府采购活动前3年内在经营活动中没有重大违法记录及有关信用信息的书面声明</w:t>
      </w:r>
      <w:r>
        <w:rPr>
          <w:rFonts w:hint="eastAsia" w:ascii="宋体" w:hAnsi="宋体" w:cs="宋体"/>
          <w:b/>
          <w:bCs/>
          <w:color w:val="auto"/>
          <w:szCs w:val="21"/>
        </w:rPr>
        <w:t>（必须提供）；</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6.投标人近半年内任意一个月或任一季度依法缴纳税收的证明材料【增值税发票(税收完税证明)或企业所得税完税证明或税务部门出具的免税证明】复印件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7.《中小企业声明函》（见附件）</w:t>
      </w:r>
      <w:r>
        <w:rPr>
          <w:rFonts w:hint="eastAsia" w:ascii="宋体" w:hAnsi="宋体" w:cs="宋体"/>
          <w:b/>
          <w:bCs/>
          <w:color w:val="auto"/>
          <w:szCs w:val="21"/>
        </w:rPr>
        <w:t>（除货物生产企业为监狱企业及残疾人福利性单位外，必须提供）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8.如货物生产企业属于监狱企业的，应当提供由省级以上监狱管理局、戒毒管理局等（含新疆生产建设兵团）出具的属于监狱企业的证明文件</w:t>
      </w:r>
      <w:r>
        <w:rPr>
          <w:rFonts w:hint="eastAsia" w:ascii="宋体" w:hAnsi="宋体" w:cs="宋体"/>
          <w:b/>
          <w:bCs/>
          <w:color w:val="auto"/>
          <w:szCs w:val="21"/>
        </w:rPr>
        <w:t>（如货物生产企业属于监狱企业的，则必须提供）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9.符合条件的残疾人福利性单位在参加政府采购活动时，应当提供《残疾人福利性单位声明函》（见附件），并对声明的真实性负责</w:t>
      </w:r>
      <w:r>
        <w:rPr>
          <w:rFonts w:hint="eastAsia" w:ascii="宋体" w:hAnsi="宋体" w:cs="宋体"/>
          <w:b/>
          <w:bCs/>
          <w:color w:val="auto"/>
          <w:szCs w:val="21"/>
        </w:rPr>
        <w:t>（如货物生产企业属于残疾人福利性单位的，则必须提供）</w:t>
      </w:r>
      <w:r>
        <w:rPr>
          <w:rFonts w:hint="eastAsia" w:ascii="宋体" w:hAnsi="宋体" w:cs="宋体"/>
          <w:color w:val="auto"/>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二、商务、技术性响应及其他证明材料：</w:t>
      </w:r>
    </w:p>
    <w:p>
      <w:pPr>
        <w:tabs>
          <w:tab w:val="left" w:pos="1305"/>
        </w:tabs>
        <w:spacing w:line="360" w:lineRule="exact"/>
        <w:ind w:firstLine="420" w:firstLineChars="200"/>
        <w:rPr>
          <w:rFonts w:ascii="宋体" w:hAnsi="宋体" w:cs="宋体"/>
          <w:color w:val="auto"/>
          <w:szCs w:val="21"/>
        </w:rPr>
      </w:pPr>
      <w:r>
        <w:rPr>
          <w:rFonts w:hint="eastAsia" w:ascii="宋体" w:hAnsi="宋体" w:cs="宋体"/>
          <w:bCs/>
          <w:color w:val="auto"/>
          <w:szCs w:val="21"/>
        </w:rPr>
        <w:t>1.投标报价表（格式见附件）</w:t>
      </w:r>
      <w:r>
        <w:rPr>
          <w:rFonts w:hint="eastAsia" w:ascii="宋体" w:hAnsi="宋体" w:cs="宋体"/>
          <w:b/>
          <w:color w:val="auto"/>
          <w:szCs w:val="21"/>
        </w:rPr>
        <w:t>（必须提供）</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2.技术规格偏离表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3.商务响应表</w:t>
      </w:r>
      <w:r>
        <w:rPr>
          <w:rFonts w:hint="eastAsia" w:ascii="宋体" w:hAnsi="宋体" w:cs="宋体"/>
          <w:bCs/>
          <w:color w:val="auto"/>
          <w:szCs w:val="21"/>
        </w:rPr>
        <w:t>（格式见附件）</w:t>
      </w:r>
      <w:r>
        <w:rPr>
          <w:rFonts w:hint="eastAsia" w:ascii="宋体" w:hAnsi="宋体" w:cs="宋体"/>
          <w:b/>
          <w:color w:val="auto"/>
          <w:szCs w:val="21"/>
        </w:rPr>
        <w:t>（必须提供）</w:t>
      </w:r>
      <w:r>
        <w:rPr>
          <w:rFonts w:hint="eastAsia" w:ascii="宋体" w:hAnsi="宋体" w:cs="宋体"/>
          <w:bCs/>
          <w:color w:val="auto"/>
          <w:szCs w:val="21"/>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4.“货物采购需求”需提供的有效证明文件</w:t>
      </w:r>
      <w:r>
        <w:rPr>
          <w:rFonts w:hint="eastAsia" w:ascii="宋体" w:hAnsi="宋体" w:cs="宋体"/>
          <w:b/>
          <w:bCs/>
          <w:color w:val="auto"/>
          <w:szCs w:val="21"/>
        </w:rPr>
        <w:t>（按其要求提供）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5.投标人的售后服务承诺书（必须包含售后服务要求的全部内容）（格式见附件）</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60" w:lineRule="exact"/>
        <w:ind w:firstLine="420" w:firstLineChars="200"/>
        <w:rPr>
          <w:color w:val="auto"/>
          <w:szCs w:val="21"/>
        </w:rPr>
      </w:pPr>
      <w:r>
        <w:rPr>
          <w:rFonts w:hint="eastAsia" w:ascii="宋体" w:hAnsi="宋体" w:cs="宋体"/>
          <w:color w:val="auto"/>
          <w:szCs w:val="21"/>
        </w:rPr>
        <w:t>6.配送、安装方案（格式见附件）</w:t>
      </w:r>
      <w:r>
        <w:rPr>
          <w:rFonts w:hint="eastAsia" w:ascii="宋体" w:hAnsi="宋体" w:cs="宋体"/>
          <w:b/>
          <w:bCs/>
          <w:color w:val="auto"/>
          <w:szCs w:val="21"/>
        </w:rPr>
        <w:t>（如有，请提供）</w:t>
      </w:r>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7.项目实施人员一览表（格式见附件）</w:t>
      </w:r>
      <w:r>
        <w:rPr>
          <w:rFonts w:hint="eastAsia" w:ascii="宋体" w:hAnsi="宋体" w:cs="宋体"/>
          <w:b/>
          <w:bCs/>
          <w:color w:val="auto"/>
          <w:szCs w:val="21"/>
        </w:rPr>
        <w:t>【如有，请提供，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社保人员，提供免缴纳社保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8.节能方面的证书复印件</w:t>
      </w:r>
      <w:r>
        <w:rPr>
          <w:rFonts w:hint="eastAsia" w:ascii="宋体" w:hAnsi="宋体" w:cs="宋体"/>
          <w:b/>
          <w:bCs/>
          <w:color w:val="auto"/>
          <w:szCs w:val="21"/>
        </w:rPr>
        <w:t>（如有，请提供）</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9.环境标志方面的证书复印件</w:t>
      </w:r>
      <w:r>
        <w:rPr>
          <w:rFonts w:hint="eastAsia" w:ascii="宋体" w:hAnsi="宋体" w:cs="宋体"/>
          <w:b/>
          <w:bCs/>
          <w:color w:val="auto"/>
          <w:szCs w:val="21"/>
        </w:rPr>
        <w:t>（如有，请提供）</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10.投标人自2020年1月1日</w:t>
      </w:r>
      <w:r>
        <w:rPr>
          <w:rFonts w:hint="eastAsia" w:ascii="宋体" w:hAnsi="宋体" w:cs="宋体"/>
          <w:bCs/>
          <w:color w:val="auto"/>
          <w:szCs w:val="21"/>
        </w:rPr>
        <w:t>（以合同签订时间为准）</w:t>
      </w:r>
      <w:r>
        <w:rPr>
          <w:rFonts w:hint="eastAsia" w:ascii="宋体" w:hAnsi="宋体" w:cs="宋体"/>
          <w:color w:val="auto"/>
          <w:szCs w:val="21"/>
        </w:rPr>
        <w:t>以来具有同类产品的销售业绩 [无不良记录，提供中标（成交）通知书或采购合同复印件、验收合格相关证明材料（能清晰反映所销售的货物名称、种类、金额)，否则将不予计分；同一个编号的项目有两个或两个以上的分标中标的只算一次]</w:t>
      </w:r>
      <w:r>
        <w:rPr>
          <w:rFonts w:hint="eastAsia" w:ascii="宋体" w:hAnsi="宋体" w:cs="宋体"/>
          <w:b/>
          <w:color w:val="auto"/>
        </w:rPr>
        <w:t>（如有，请提供）</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11.投标人可结合本项目的评标办法视自身情况自行提交相关证明材料</w:t>
      </w:r>
      <w:r>
        <w:rPr>
          <w:rFonts w:hint="eastAsia" w:ascii="宋体" w:hAnsi="宋体" w:cs="宋体"/>
          <w:b/>
          <w:bCs/>
          <w:color w:val="auto"/>
          <w:szCs w:val="21"/>
        </w:rPr>
        <w:t>（如有，请提供）</w:t>
      </w:r>
      <w:r>
        <w:rPr>
          <w:rFonts w:hint="eastAsia" w:ascii="宋体" w:hAnsi="宋体" w:cs="宋体"/>
          <w:color w:val="auto"/>
          <w:szCs w:val="21"/>
        </w:rPr>
        <w:t>。</w:t>
      </w:r>
    </w:p>
    <w:p>
      <w:pPr>
        <w:spacing w:line="400" w:lineRule="exact"/>
        <w:ind w:firstLine="420"/>
        <w:rPr>
          <w:rFonts w:ascii="宋体" w:hAnsi="宋体" w:cs="宋体"/>
          <w:b/>
          <w:bCs/>
          <w:color w:val="auto"/>
        </w:rPr>
      </w:pPr>
      <w:r>
        <w:rPr>
          <w:rFonts w:hint="eastAsia" w:ascii="宋体" w:hAnsi="宋体" w:cs="宋体"/>
          <w:b/>
          <w:bCs/>
          <w:color w:val="auto"/>
        </w:rPr>
        <w:t>投标人提供的以上相关证明材料属于“必须提供”的文件应加盖投标人公章（CA签章）/自然人签字或个人CA签章，否则投标无效。</w:t>
      </w: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rPr>
          <w:rFonts w:ascii="宋体" w:hAnsi="宋体" w:cs="宋体"/>
          <w:b/>
          <w:bCs/>
          <w:color w:val="auto"/>
          <w:sz w:val="32"/>
          <w:szCs w:val="32"/>
        </w:rPr>
      </w:pPr>
      <w:bookmarkStart w:id="313" w:name="_Toc27290"/>
      <w:bookmarkStart w:id="314" w:name="_Toc495841787"/>
      <w:r>
        <w:rPr>
          <w:rFonts w:hint="eastAsia"/>
          <w:b/>
          <w:bCs/>
          <w:color w:val="auto"/>
          <w:sz w:val="32"/>
          <w:szCs w:val="32"/>
        </w:rPr>
        <w:t>一、资格性响应证明材料（格式）</w:t>
      </w:r>
      <w:bookmarkEnd w:id="313"/>
      <w:bookmarkEnd w:id="314"/>
    </w:p>
    <w:p>
      <w:pPr>
        <w:rPr>
          <w:rFonts w:ascii="宋体" w:hAnsi="宋体" w:cs="宋体"/>
          <w:b/>
          <w:bCs/>
          <w:color w:val="auto"/>
          <w:sz w:val="32"/>
          <w:szCs w:val="32"/>
        </w:rPr>
      </w:pPr>
    </w:p>
    <w:p>
      <w:pPr>
        <w:rPr>
          <w:rFonts w:ascii="宋体" w:hAnsi="宋体" w:cs="宋体"/>
          <w:b/>
          <w:bCs/>
          <w:color w:val="auto"/>
          <w:sz w:val="32"/>
          <w:szCs w:val="32"/>
        </w:rPr>
      </w:pPr>
      <w:bookmarkStart w:id="315" w:name="_Toc495841788"/>
      <w:bookmarkStart w:id="316" w:name="_Toc11828"/>
      <w:r>
        <w:rPr>
          <w:rFonts w:hint="eastAsia" w:ascii="宋体" w:hAnsi="宋体" w:cs="宋体"/>
          <w:b/>
          <w:bCs/>
          <w:color w:val="auto"/>
          <w:sz w:val="32"/>
          <w:szCs w:val="32"/>
        </w:rPr>
        <w:t>1.投标人相应的法定代表人、负责人、自然人身份证正反面复印件（必须提供）</w:t>
      </w:r>
      <w:bookmarkEnd w:id="315"/>
      <w:bookmarkEnd w:id="316"/>
    </w:p>
    <w:p>
      <w:pPr>
        <w:rPr>
          <w:rFonts w:ascii="宋体" w:hAnsi="宋体" w:cs="宋体"/>
          <w:b/>
          <w:bCs/>
          <w:color w:val="auto"/>
          <w:sz w:val="32"/>
          <w:szCs w:val="32"/>
        </w:rPr>
      </w:pPr>
    </w:p>
    <w:p>
      <w:pPr>
        <w:rPr>
          <w:rFonts w:ascii="宋体" w:hAnsi="宋体" w:cs="宋体"/>
          <w:b/>
          <w:bCs/>
          <w:color w:val="auto"/>
          <w:sz w:val="32"/>
          <w:szCs w:val="32"/>
        </w:rPr>
      </w:pPr>
    </w:p>
    <w:p>
      <w:pPr>
        <w:pStyle w:val="2"/>
        <w:rPr>
          <w:rFonts w:ascii="宋体" w:hAnsi="宋体" w:cs="宋体"/>
          <w:b/>
          <w:bCs/>
          <w:color w:val="auto"/>
          <w:sz w:val="32"/>
          <w:szCs w:val="32"/>
        </w:rPr>
      </w:pPr>
      <w:bookmarkStart w:id="317" w:name="_Toc495841789"/>
      <w:bookmarkStart w:id="318" w:name="_Toc11623"/>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2.投标人的授权委托书原件、委托代理人身份证正反面复印件以及由县级以上（含县级）社会养老保险经办机构出具的投标人为委托代理人交纳的开标截止时间前三个月内任意一个月养老保险证明复印件，</w:t>
      </w:r>
      <w:bookmarkEnd w:id="317"/>
      <w:bookmarkEnd w:id="318"/>
      <w:r>
        <w:rPr>
          <w:rFonts w:hint="eastAsia" w:ascii="宋体" w:hAnsi="宋体" w:cs="宋体"/>
          <w:b/>
          <w:bCs/>
          <w:color w:val="auto"/>
          <w:sz w:val="32"/>
          <w:szCs w:val="32"/>
        </w:rPr>
        <w:t>除投标人为以下四种情形的：</w:t>
      </w:r>
    </w:p>
    <w:p>
      <w:pPr>
        <w:pStyle w:val="2"/>
        <w:ind w:firstLine="643" w:firstLineChars="200"/>
        <w:rPr>
          <w:rFonts w:ascii="宋体" w:hAnsi="宋体" w:cs="宋体"/>
          <w:b/>
          <w:bCs/>
          <w:color w:val="auto"/>
          <w:sz w:val="32"/>
          <w:szCs w:val="32"/>
        </w:rPr>
      </w:pPr>
      <w:r>
        <w:rPr>
          <w:rFonts w:hint="eastAsia" w:ascii="宋体" w:hAnsi="宋体" w:cs="宋体"/>
          <w:b/>
          <w:bCs/>
          <w:color w:val="auto"/>
          <w:sz w:val="32"/>
          <w:szCs w:val="32"/>
        </w:rPr>
        <w:t>①如投标人为截标时间前60日以内成立的公司，可以提供投标人与委托代理人签订的劳动合同复印件代替养老保险证明复印件；</w:t>
      </w:r>
    </w:p>
    <w:p>
      <w:pPr>
        <w:pStyle w:val="2"/>
        <w:ind w:firstLine="643" w:firstLineChars="200"/>
        <w:rPr>
          <w:rFonts w:ascii="宋体" w:hAnsi="宋体" w:cs="宋体"/>
          <w:b/>
          <w:bCs/>
          <w:color w:val="auto"/>
          <w:sz w:val="32"/>
          <w:szCs w:val="32"/>
        </w:rPr>
      </w:pPr>
      <w:r>
        <w:rPr>
          <w:rFonts w:hint="eastAsia" w:ascii="宋体" w:hAnsi="宋体" w:cs="宋体"/>
          <w:b/>
          <w:bCs/>
          <w:color w:val="auto"/>
          <w:sz w:val="32"/>
          <w:szCs w:val="32"/>
        </w:rPr>
        <w:t>②如投标人为事业单位，可以提供事业单位机构编制管理证复印件或事业单位机构为其发放工资的工资条复印件代替养老保险证明复印件；</w:t>
      </w:r>
    </w:p>
    <w:p>
      <w:pPr>
        <w:pStyle w:val="2"/>
        <w:ind w:firstLine="643" w:firstLineChars="200"/>
        <w:rPr>
          <w:rFonts w:ascii="宋体" w:hAnsi="宋体" w:cs="宋体"/>
          <w:b/>
          <w:bCs/>
          <w:color w:val="auto"/>
          <w:sz w:val="32"/>
          <w:szCs w:val="32"/>
        </w:rPr>
      </w:pPr>
      <w:r>
        <w:rPr>
          <w:rFonts w:hint="eastAsia" w:ascii="宋体" w:hAnsi="宋体" w:cs="宋体"/>
          <w:b/>
          <w:bCs/>
          <w:color w:val="auto"/>
          <w:sz w:val="32"/>
          <w:szCs w:val="32"/>
        </w:rPr>
        <w:t>③如委托代理人为免缴纳社保人员，提供免缴纳社保的证明材料复印件及投标人与委托代理人签订的劳动合同复印件代替养老保险证明复印件；</w:t>
      </w:r>
    </w:p>
    <w:p>
      <w:pPr>
        <w:pStyle w:val="2"/>
        <w:ind w:firstLine="643" w:firstLineChars="200"/>
        <w:rPr>
          <w:rFonts w:ascii="宋体" w:hAnsi="宋体" w:cs="宋体"/>
          <w:b/>
          <w:bCs/>
          <w:color w:val="auto"/>
          <w:sz w:val="32"/>
          <w:szCs w:val="32"/>
        </w:rPr>
      </w:pPr>
      <w:r>
        <w:rPr>
          <w:rFonts w:hint="eastAsia" w:ascii="宋体" w:hAnsi="宋体" w:cs="宋体"/>
          <w:b/>
          <w:bCs/>
          <w:color w:val="auto"/>
          <w:sz w:val="32"/>
          <w:szCs w:val="32"/>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pStyle w:val="2"/>
        <w:ind w:firstLine="643" w:firstLineChars="200"/>
        <w:rPr>
          <w:rFonts w:ascii="宋体" w:hAnsi="宋体" w:cs="宋体"/>
          <w:b/>
          <w:bCs/>
          <w:color w:val="auto"/>
          <w:sz w:val="32"/>
          <w:szCs w:val="32"/>
        </w:rPr>
      </w:pPr>
    </w:p>
    <w:p>
      <w:pPr>
        <w:pStyle w:val="2"/>
        <w:ind w:firstLine="643" w:firstLineChars="200"/>
        <w:rPr>
          <w:rFonts w:ascii="宋体" w:hAnsi="宋体"/>
          <w:color w:val="auto"/>
        </w:rPr>
      </w:pPr>
      <w:r>
        <w:rPr>
          <w:rFonts w:hint="eastAsia" w:ascii="宋体" w:hAnsi="宋体" w:cs="宋体"/>
          <w:b/>
          <w:bCs/>
          <w:color w:val="auto"/>
          <w:sz w:val="32"/>
          <w:szCs w:val="32"/>
        </w:rPr>
        <w:t>【属自然人的应提供由县级以上（含县级）社会养老保险经办机构出具的自然人本人及委托代理人所交纳的开标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委托代理时必须提供；如为联合体的，授权委托书原件须由牵头人出具）；</w:t>
      </w:r>
    </w:p>
    <w:p>
      <w:pPr>
        <w:pStyle w:val="2"/>
        <w:rPr>
          <w:rFonts w:ascii="宋体" w:hAnsi="宋体"/>
          <w:color w:val="auto"/>
        </w:rPr>
      </w:pPr>
    </w:p>
    <w:p>
      <w:pPr>
        <w:rPr>
          <w:color w:val="auto"/>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投标人[公章（CA签章）]：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法定代表人（负责人）签字（或个人CA签章）：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三个月内任意一个月养老保险证明复印件（如投标人为截标时间前60日以内成立的公司，可以提供投标人与委托代理人签订的劳动合同复印件代替养老保险证明复印件；如投标人为事业单位，可以提供事业单位机构编制管理证复印件或事业单位机构为其发放工资的工资条复印件代替养老保险证明复印件；如委托代理人为免缴纳社保人员，提供免缴纳社保的证明材料复印件及投标人与委托代理人签订的劳动合同复印件代替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委托代理时必须提供）。</w:t>
      </w: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6"/>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6"/>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6"/>
        <w:spacing w:line="340" w:lineRule="exact"/>
        <w:ind w:firstLine="420" w:firstLineChars="200"/>
        <w:rPr>
          <w:rFonts w:hAnsi="宋体" w:cs="宋体"/>
          <w:color w:val="auto"/>
          <w:u w:val="single"/>
        </w:rPr>
      </w:pPr>
    </w:p>
    <w:p>
      <w:pPr>
        <w:pStyle w:val="16"/>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自然人签字并在签名处加盖大拇指指印或个人CA签章：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319" w:name="_Toc495841790"/>
      <w:bookmarkStart w:id="320" w:name="_Toc12280"/>
      <w:r>
        <w:rPr>
          <w:rFonts w:hint="eastAsia" w:ascii="宋体" w:hAnsi="宋体" w:cs="宋体"/>
          <w:b/>
          <w:bCs/>
          <w:color w:val="auto"/>
          <w:sz w:val="32"/>
          <w:szCs w:val="32"/>
        </w:rPr>
        <w:t>3.投标人的法人或者其他组织营业执照等证明文件复印件（必须提供，自然人除外）</w:t>
      </w:r>
      <w:bookmarkEnd w:id="319"/>
      <w:bookmarkEnd w:id="320"/>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pStyle w:val="129"/>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t>4.财务状况报告（必须提供）；</w:t>
      </w:r>
    </w:p>
    <w:p>
      <w:pPr>
        <w:pStyle w:val="16"/>
        <w:ind w:firstLine="420" w:firstLineChars="200"/>
        <w:jc w:val="left"/>
        <w:rPr>
          <w:rFonts w:hAnsi="宋体" w:cs="宋体"/>
          <w:color w:val="auto"/>
          <w:szCs w:val="21"/>
        </w:rPr>
      </w:pPr>
    </w:p>
    <w:p>
      <w:pPr>
        <w:pStyle w:val="16"/>
        <w:ind w:firstLine="420" w:firstLineChars="200"/>
        <w:jc w:val="left"/>
        <w:rPr>
          <w:rFonts w:hAnsi="宋体" w:cs="宋体"/>
          <w:color w:val="auto"/>
          <w:szCs w:val="21"/>
        </w:rPr>
      </w:pPr>
    </w:p>
    <w:p>
      <w:pPr>
        <w:pStyle w:val="16"/>
        <w:ind w:firstLine="420" w:firstLineChars="200"/>
        <w:jc w:val="left"/>
        <w:rPr>
          <w:rFonts w:hAnsi="宋体" w:cs="宋体"/>
          <w:color w:val="auto"/>
          <w:szCs w:val="21"/>
        </w:rPr>
      </w:pPr>
    </w:p>
    <w:p>
      <w:pPr>
        <w:rPr>
          <w:rFonts w:ascii="宋体" w:hAnsi="宋体" w:cs="宋体"/>
          <w:b/>
          <w:bCs/>
          <w:color w:val="auto"/>
          <w:sz w:val="32"/>
          <w:szCs w:val="32"/>
        </w:rPr>
      </w:pPr>
      <w:bookmarkStart w:id="321" w:name="_Toc495841793"/>
      <w:bookmarkStart w:id="322" w:name="_Toc26950"/>
    </w:p>
    <w:p>
      <w:pPr>
        <w:rPr>
          <w:rFonts w:ascii="宋体" w:hAnsi="宋体" w:cs="宋体"/>
          <w:b/>
          <w:bCs/>
          <w:color w:val="auto"/>
          <w:sz w:val="32"/>
          <w:szCs w:val="32"/>
        </w:rPr>
      </w:pPr>
      <w:r>
        <w:rPr>
          <w:rFonts w:hint="eastAsia" w:ascii="宋体" w:hAnsi="宋体" w:cs="宋体"/>
          <w:b/>
          <w:bCs/>
          <w:color w:val="auto"/>
          <w:sz w:val="32"/>
          <w:szCs w:val="32"/>
        </w:rPr>
        <w:t>5.投标人参加政府采购活动前3年内在经营活动中没有重大违法记录及有关信用信息的书面声明（必须提供）</w:t>
      </w:r>
      <w:bookmarkEnd w:id="321"/>
      <w:bookmarkEnd w:id="322"/>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ascii="宋体" w:hAnsi="宋体" w:cs="宋体"/>
          <w:color w:val="auto"/>
          <w:u w:val="single"/>
        </w:rPr>
      </w:pPr>
      <w:r>
        <w:rPr>
          <w:rFonts w:hint="eastAsia" w:ascii="宋体" w:hAnsi="宋体" w:cs="宋体"/>
          <w:color w:val="auto"/>
        </w:rPr>
        <w:t>日          期：</w:t>
      </w:r>
      <w:r>
        <w:rPr>
          <w:rFonts w:hint="eastAsia" w:ascii="宋体" w:hAnsi="宋体" w:cs="宋体"/>
          <w:color w:val="auto"/>
          <w:u w:val="single"/>
        </w:rPr>
        <w:t xml:space="preserve">                                                   </w:t>
      </w:r>
    </w:p>
    <w:p>
      <w:pPr>
        <w:pStyle w:val="2"/>
        <w:rPr>
          <w:rFonts w:ascii="宋体" w:hAnsi="宋体" w:cs="宋体"/>
          <w:color w:val="auto"/>
          <w:u w:val="single"/>
        </w:rPr>
      </w:pPr>
    </w:p>
    <w:p>
      <w:pPr>
        <w:pStyle w:val="2"/>
        <w:rPr>
          <w:rFonts w:ascii="宋体" w:hAnsi="宋体" w:cs="宋体"/>
          <w:color w:val="auto"/>
          <w:u w:val="single"/>
        </w:rPr>
      </w:pPr>
    </w:p>
    <w:p>
      <w:pPr>
        <w:pStyle w:val="2"/>
        <w:rPr>
          <w:rFonts w:ascii="宋体" w:hAnsi="宋体" w:cs="宋体"/>
          <w:color w:val="auto"/>
          <w:u w:val="single"/>
        </w:rPr>
      </w:pPr>
    </w:p>
    <w:p>
      <w:pPr>
        <w:pStyle w:val="2"/>
        <w:rPr>
          <w:rFonts w:ascii="宋体" w:hAnsi="宋体" w:cs="宋体"/>
          <w:color w:val="auto"/>
          <w:u w:val="single"/>
        </w:rPr>
      </w:pPr>
    </w:p>
    <w:p>
      <w:pPr>
        <w:rPr>
          <w:color w:val="auto"/>
        </w:rPr>
      </w:pPr>
    </w:p>
    <w:p>
      <w:pPr>
        <w:pStyle w:val="2"/>
        <w:rPr>
          <w:rFonts w:ascii="宋体" w:hAnsi="宋体" w:cs="宋体"/>
          <w:color w:val="auto"/>
          <w:u w:val="single"/>
        </w:rPr>
      </w:pPr>
    </w:p>
    <w:p>
      <w:pPr>
        <w:pStyle w:val="2"/>
        <w:rPr>
          <w:rFonts w:ascii="宋体" w:hAnsi="宋体" w:cs="宋体"/>
          <w:color w:val="auto"/>
          <w:u w:val="single"/>
        </w:rPr>
      </w:pPr>
    </w:p>
    <w:p>
      <w:pPr>
        <w:ind w:left="-31" w:leftChars="-15"/>
        <w:rPr>
          <w:rFonts w:ascii="宋体" w:hAnsi="宋体" w:cs="宋体"/>
          <w:b/>
          <w:bCs/>
          <w:color w:val="auto"/>
          <w:sz w:val="32"/>
          <w:szCs w:val="32"/>
        </w:rPr>
      </w:pPr>
      <w:r>
        <w:rPr>
          <w:rFonts w:hint="eastAsia" w:ascii="宋体" w:hAnsi="宋体" w:cs="宋体"/>
          <w:b/>
          <w:bCs/>
          <w:color w:val="auto"/>
          <w:sz w:val="32"/>
          <w:szCs w:val="32"/>
        </w:rPr>
        <w:t xml:space="preserve">6.投标人近半年内任意一个月或任一季度依法缴纳税收的证明材料【增值税发票(税收完税证明)或企业所得税完税证明或税务部门出具的免税证明】复印件（必须提供） </w:t>
      </w:r>
    </w:p>
    <w:p>
      <w:pPr>
        <w:pStyle w:val="2"/>
        <w:rPr>
          <w:rFonts w:ascii="宋体" w:hAnsi="宋体" w:cs="宋体"/>
          <w:b/>
          <w:bCs/>
          <w:color w:val="auto"/>
          <w:sz w:val="32"/>
          <w:szCs w:val="32"/>
        </w:rPr>
      </w:pPr>
    </w:p>
    <w:p>
      <w:pPr>
        <w:rPr>
          <w:rFonts w:ascii="宋体" w:hAnsi="宋体" w:cs="宋体"/>
          <w:b/>
          <w:bCs/>
          <w:color w:val="auto"/>
          <w:sz w:val="32"/>
          <w:szCs w:val="32"/>
        </w:rPr>
      </w:pPr>
    </w:p>
    <w:p>
      <w:pPr>
        <w:pStyle w:val="2"/>
        <w:rPr>
          <w:rFonts w:ascii="宋体" w:hAnsi="宋体" w:cs="宋体"/>
          <w:b/>
          <w:bCs/>
          <w:color w:val="auto"/>
          <w:sz w:val="32"/>
          <w:szCs w:val="32"/>
        </w:rPr>
      </w:pPr>
    </w:p>
    <w:p>
      <w:pPr>
        <w:rPr>
          <w:rFonts w:ascii="宋体" w:hAnsi="宋体" w:cs="宋体"/>
          <w:b/>
          <w:bCs/>
          <w:color w:val="auto"/>
          <w:sz w:val="32"/>
          <w:szCs w:val="32"/>
        </w:rPr>
      </w:pPr>
    </w:p>
    <w:p>
      <w:pPr>
        <w:pStyle w:val="2"/>
        <w:rPr>
          <w:rFonts w:ascii="宋体" w:hAnsi="宋体" w:cs="宋体"/>
          <w:b/>
          <w:bCs/>
          <w:color w:val="auto"/>
          <w:sz w:val="32"/>
          <w:szCs w:val="32"/>
        </w:rPr>
      </w:pPr>
    </w:p>
    <w:p>
      <w:pPr>
        <w:rPr>
          <w:color w:val="auto"/>
        </w:rPr>
      </w:pPr>
    </w:p>
    <w:p>
      <w:pPr>
        <w:ind w:left="-31" w:leftChars="-15"/>
        <w:rPr>
          <w:rFonts w:ascii="宋体" w:hAnsi="宋体" w:cs="宋体"/>
          <w:b/>
          <w:bCs/>
          <w:color w:val="auto"/>
          <w:sz w:val="32"/>
          <w:szCs w:val="32"/>
        </w:rPr>
      </w:pPr>
      <w:r>
        <w:rPr>
          <w:rFonts w:hint="eastAsia" w:ascii="宋体" w:hAnsi="宋体" w:cs="宋体"/>
          <w:b/>
          <w:bCs/>
          <w:color w:val="auto"/>
          <w:sz w:val="32"/>
          <w:szCs w:val="32"/>
        </w:rPr>
        <w:t>7.《中小企业声明函》（见附件）（除货物生产企业为监狱企业及残疾人福利性单位外，必须提供）；</w:t>
      </w:r>
    </w:p>
    <w:p>
      <w:pPr>
        <w:rPr>
          <w:color w:val="auto"/>
        </w:rPr>
      </w:pPr>
    </w:p>
    <w:p>
      <w:pPr>
        <w:rPr>
          <w:color w:val="auto"/>
        </w:rPr>
      </w:pPr>
    </w:p>
    <w:p>
      <w:pPr>
        <w:rPr>
          <w:color w:val="auto"/>
        </w:rPr>
      </w:pPr>
    </w:p>
    <w:p>
      <w:pPr>
        <w:rPr>
          <w:color w:val="auto"/>
        </w:rPr>
      </w:pPr>
    </w:p>
    <w:p>
      <w:pPr>
        <w:ind w:left="-31" w:leftChars="-15"/>
        <w:rPr>
          <w:rFonts w:ascii="宋体" w:hAnsi="宋体" w:cs="宋体"/>
          <w:b/>
          <w:bCs/>
          <w:color w:val="auto"/>
          <w:sz w:val="32"/>
          <w:szCs w:val="32"/>
        </w:rPr>
      </w:pPr>
      <w:r>
        <w:rPr>
          <w:rFonts w:hint="eastAsia" w:ascii="宋体" w:hAnsi="宋体" w:cs="宋体"/>
          <w:b/>
          <w:bCs/>
          <w:color w:val="auto"/>
          <w:sz w:val="32"/>
          <w:szCs w:val="32"/>
        </w:rPr>
        <w:t>附件：</w:t>
      </w:r>
    </w:p>
    <w:p>
      <w:pPr>
        <w:pStyle w:val="16"/>
        <w:spacing w:line="440" w:lineRule="exact"/>
        <w:jc w:val="center"/>
        <w:rPr>
          <w:rFonts w:hAnsi="宋体" w:cs="宋体"/>
          <w:b/>
          <w:bCs/>
          <w:color w:val="auto"/>
          <w:sz w:val="28"/>
          <w:szCs w:val="28"/>
        </w:rPr>
      </w:pPr>
      <w:r>
        <w:rPr>
          <w:rFonts w:hint="eastAsia" w:hAnsi="宋体" w:cs="宋体"/>
          <w:b/>
          <w:bCs/>
          <w:color w:val="auto"/>
          <w:sz w:val="28"/>
          <w:szCs w:val="28"/>
        </w:rPr>
        <w:t>中小企业声明函（货物）</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本公司（联合体）郑重声明，根据《政府采购促进中小企业发展管理办法》（财库﹝2020﹞46 号）的规定，本公司（联合体）参加（单位名称）的（项目名称）采购活动，提供的货物全部符合政策要求的中小企业制造。相关企业（含联合体中的中小企业、签订分包意向协议的中小企业）的具体情况如下：</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1.（标的名称），属于（采购文件中明确的所属行业）行业；制造商为（企业名称），从业人员   人，营业收入为  万元，资产总额为   万元</w:t>
      </w:r>
      <w:r>
        <w:rPr>
          <w:rFonts w:hint="eastAsia" w:hAnsi="宋体" w:cs="宋体"/>
          <w:color w:val="auto"/>
          <w:spacing w:val="6"/>
          <w:sz w:val="24"/>
          <w:szCs w:val="24"/>
          <w:vertAlign w:val="superscript"/>
        </w:rPr>
        <w:t>1</w:t>
      </w:r>
      <w:r>
        <w:rPr>
          <w:rFonts w:hint="eastAsia" w:hAnsi="宋体" w:cs="宋体"/>
          <w:color w:val="auto"/>
          <w:spacing w:val="6"/>
          <w:sz w:val="24"/>
          <w:szCs w:val="24"/>
        </w:rPr>
        <w:t>，属于（中型企业、 小型企业、微型企业）</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2.（标的名称），属于（采购文件中明确的所属行业）行业；制造商为（企业名称），从业人员   人，营业收入为  万元，资产总额为   万元</w:t>
      </w:r>
      <w:r>
        <w:rPr>
          <w:rFonts w:hint="eastAsia" w:hAnsi="宋体" w:cs="宋体"/>
          <w:color w:val="auto"/>
          <w:spacing w:val="6"/>
          <w:sz w:val="24"/>
          <w:szCs w:val="24"/>
          <w:vertAlign w:val="superscript"/>
        </w:rPr>
        <w:t>1</w:t>
      </w:r>
      <w:r>
        <w:rPr>
          <w:rFonts w:hint="eastAsia" w:hAnsi="宋体" w:cs="宋体"/>
          <w:color w:val="auto"/>
          <w:spacing w:val="6"/>
          <w:sz w:val="24"/>
          <w:szCs w:val="24"/>
        </w:rPr>
        <w:t>，属于（中型企业、 小型企业、微型企业）</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以上企业，不属于大企业的分支机构，不存在控股股东为大企业的情形，也不存在与大企业的负责人为同一人的情形。</w:t>
      </w:r>
    </w:p>
    <w:p>
      <w:pPr>
        <w:pStyle w:val="16"/>
        <w:spacing w:line="440" w:lineRule="exact"/>
        <w:ind w:firstLine="504" w:firstLineChars="200"/>
        <w:rPr>
          <w:rFonts w:hAnsi="宋体" w:cs="宋体"/>
          <w:color w:val="auto"/>
          <w:spacing w:val="6"/>
          <w:sz w:val="24"/>
          <w:szCs w:val="24"/>
        </w:rPr>
      </w:pPr>
      <w:r>
        <w:rPr>
          <w:rFonts w:hint="eastAsia" w:hAnsi="宋体" w:cs="宋体"/>
          <w:color w:val="auto"/>
          <w:spacing w:val="6"/>
          <w:sz w:val="24"/>
          <w:szCs w:val="24"/>
        </w:rPr>
        <w:t xml:space="preserve">本企业对上述声明内容的真实性负责。如有虚假，将依法承担相应责任。 </w:t>
      </w:r>
    </w:p>
    <w:p>
      <w:pPr>
        <w:pStyle w:val="16"/>
        <w:spacing w:line="440" w:lineRule="exact"/>
        <w:ind w:firstLine="504" w:firstLineChars="200"/>
        <w:rPr>
          <w:rFonts w:hAnsi="宋体" w:cs="宋体"/>
          <w:color w:val="auto"/>
          <w:spacing w:val="6"/>
          <w:sz w:val="24"/>
          <w:szCs w:val="24"/>
        </w:rPr>
      </w:pPr>
    </w:p>
    <w:p>
      <w:pPr>
        <w:widowControl/>
        <w:ind w:firstLine="5796" w:firstLineChars="2300"/>
        <w:jc w:val="left"/>
        <w:rPr>
          <w:rFonts w:ascii="宋体" w:hAnsi="宋体" w:cs="宋体"/>
          <w:color w:val="auto"/>
          <w:spacing w:val="6"/>
          <w:sz w:val="24"/>
        </w:rPr>
      </w:pPr>
      <w:r>
        <w:rPr>
          <w:rFonts w:hint="eastAsia" w:ascii="宋体" w:hAnsi="宋体" w:cs="宋体"/>
          <w:color w:val="auto"/>
          <w:spacing w:val="6"/>
          <w:sz w:val="24"/>
        </w:rPr>
        <w:t xml:space="preserve">企业名称[盖公章（CA签章）]： </w:t>
      </w:r>
    </w:p>
    <w:p>
      <w:pPr>
        <w:widowControl/>
        <w:ind w:firstLine="5796" w:firstLineChars="2300"/>
        <w:jc w:val="left"/>
        <w:rPr>
          <w:rFonts w:ascii="宋体" w:hAnsi="宋体" w:cs="宋体"/>
          <w:color w:val="auto"/>
          <w:spacing w:val="6"/>
          <w:sz w:val="24"/>
        </w:rPr>
      </w:pPr>
      <w:r>
        <w:rPr>
          <w:rFonts w:hint="eastAsia" w:ascii="宋体" w:hAnsi="宋体" w:cs="宋体"/>
          <w:color w:val="auto"/>
          <w:spacing w:val="6"/>
          <w:sz w:val="24"/>
        </w:rPr>
        <w:t>日 期：</w:t>
      </w:r>
    </w:p>
    <w:p>
      <w:pPr>
        <w:ind w:left="-31" w:leftChars="-15"/>
        <w:rPr>
          <w:rFonts w:ascii="宋体" w:hAnsi="宋体" w:cs="宋体"/>
          <w:b/>
          <w:bCs/>
          <w:color w:val="auto"/>
          <w:sz w:val="32"/>
          <w:szCs w:val="32"/>
        </w:rPr>
      </w:pPr>
    </w:p>
    <w:p>
      <w:pPr>
        <w:ind w:left="-31" w:leftChars="-15"/>
        <w:rPr>
          <w:rFonts w:ascii="宋体" w:hAnsi="宋体" w:cs="宋体"/>
          <w:b/>
          <w:bCs/>
          <w:color w:val="auto"/>
          <w:sz w:val="32"/>
          <w:szCs w:val="32"/>
        </w:rPr>
      </w:pPr>
    </w:p>
    <w:p>
      <w:pPr>
        <w:ind w:left="-31" w:leftChars="-15"/>
        <w:rPr>
          <w:rFonts w:ascii="宋体" w:hAnsi="宋体" w:cs="宋体"/>
          <w:b/>
          <w:bCs/>
          <w:color w:val="auto"/>
          <w:sz w:val="32"/>
          <w:szCs w:val="32"/>
        </w:rPr>
      </w:pPr>
    </w:p>
    <w:p>
      <w:pPr>
        <w:widowControl/>
        <w:spacing w:after="240" w:line="360" w:lineRule="atLeast"/>
        <w:ind w:firstLine="480"/>
        <w:jc w:val="left"/>
        <w:rPr>
          <w:rFonts w:ascii="宋体" w:hAnsi="宋体" w:cs="宋体"/>
          <w:color w:val="auto"/>
          <w:kern w:val="0"/>
          <w:sz w:val="18"/>
          <w:szCs w:val="18"/>
          <w:lang w:bidi="ar"/>
        </w:rPr>
      </w:pPr>
      <w:r>
        <w:rPr>
          <w:rFonts w:hint="eastAsia" w:ascii="宋体" w:hAnsi="宋体" w:cs="宋体"/>
          <w:color w:val="auto"/>
          <w:kern w:val="0"/>
          <w:sz w:val="18"/>
          <w:szCs w:val="18"/>
          <w:vertAlign w:val="superscript"/>
          <w:lang w:bidi="ar"/>
        </w:rPr>
        <w:t>1</w:t>
      </w:r>
      <w:r>
        <w:rPr>
          <w:rFonts w:hint="eastAsia" w:ascii="宋体" w:hAnsi="宋体" w:cs="宋体"/>
          <w:color w:val="auto"/>
          <w:kern w:val="0"/>
          <w:sz w:val="18"/>
          <w:szCs w:val="18"/>
          <w:lang w:bidi="ar"/>
        </w:rPr>
        <w:t>从业人员、营业收入、资产总额填报上一年度数据，无上一年度数据的新成立企业可不填报。</w:t>
      </w:r>
    </w:p>
    <w:p>
      <w:pPr>
        <w:rPr>
          <w:color w:val="auto"/>
        </w:rPr>
      </w:pPr>
    </w:p>
    <w:p>
      <w:pPr>
        <w:rPr>
          <w:color w:val="auto"/>
        </w:rPr>
      </w:pPr>
    </w:p>
    <w:p>
      <w:pPr>
        <w:rPr>
          <w:rFonts w:ascii="宋体" w:hAnsi="宋体" w:cs="宋体"/>
          <w:b/>
          <w:bCs/>
          <w:color w:val="auto"/>
          <w:sz w:val="32"/>
          <w:szCs w:val="32"/>
        </w:rPr>
      </w:pPr>
      <w:r>
        <w:rPr>
          <w:rFonts w:hint="eastAsia" w:ascii="宋体" w:hAnsi="宋体" w:cs="宋体"/>
          <w:b/>
          <w:bCs/>
          <w:color w:val="auto"/>
          <w:sz w:val="32"/>
          <w:szCs w:val="32"/>
        </w:rPr>
        <w:t>8.如货物生产企业属于监狱企业的，应当提供由省级以上监狱管理局、戒毒管理局等（含新疆生产建设兵团）出具的属于监狱企业的证明文件, 否则不予享受优惠政策（如货物生产企业属于监狱企业的，则必须提供）</w:t>
      </w:r>
    </w:p>
    <w:p>
      <w:pPr>
        <w:rPr>
          <w:color w:val="auto"/>
        </w:rPr>
      </w:pPr>
    </w:p>
    <w:p>
      <w:pPr>
        <w:pStyle w:val="2"/>
        <w:rPr>
          <w:color w:val="auto"/>
        </w:rPr>
      </w:pPr>
    </w:p>
    <w:p>
      <w:pPr>
        <w:rPr>
          <w:color w:val="auto"/>
        </w:rPr>
      </w:pPr>
    </w:p>
    <w:p>
      <w:pPr>
        <w:rPr>
          <w:rFonts w:ascii="宋体" w:hAnsi="宋体" w:cs="宋体"/>
          <w:b/>
          <w:bCs/>
          <w:color w:val="auto"/>
          <w:sz w:val="32"/>
          <w:szCs w:val="32"/>
        </w:rPr>
      </w:pPr>
      <w:r>
        <w:rPr>
          <w:rFonts w:hint="eastAsia" w:ascii="宋体" w:hAnsi="宋体" w:cs="宋体"/>
          <w:b/>
          <w:bCs/>
          <w:color w:val="auto"/>
          <w:sz w:val="32"/>
          <w:szCs w:val="32"/>
        </w:rPr>
        <w:t>9.符合条件的残疾人福利性单位在参加政府采购活动时，应当提供《残疾人福利性单位声明函》（见附件），并对声明的真实性负责；（如货物生产企业属于残疾人福利性单位的，则必须提供）；</w:t>
      </w:r>
    </w:p>
    <w:p>
      <w:pPr>
        <w:jc w:val="center"/>
        <w:rPr>
          <w:color w:val="auto"/>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rPr>
          <w:color w:val="auto"/>
        </w:rPr>
      </w:pPr>
    </w:p>
    <w:p>
      <w:pPr>
        <w:rPr>
          <w:color w:val="auto"/>
        </w:rPr>
      </w:pPr>
    </w:p>
    <w:p>
      <w:pPr>
        <w:rPr>
          <w:color w:val="auto"/>
        </w:rPr>
      </w:pPr>
      <w:r>
        <w:rPr>
          <w:rFonts w:hint="eastAsia"/>
          <w:color w:val="auto"/>
        </w:rPr>
        <w:t xml:space="preserve"> </w:t>
      </w:r>
    </w:p>
    <w:p>
      <w:pPr>
        <w:tabs>
          <w:tab w:val="left" w:pos="4860"/>
        </w:tabs>
        <w:spacing w:line="588" w:lineRule="exact"/>
        <w:ind w:right="1560" w:firstLine="420" w:firstLineChars="200"/>
        <w:jc w:val="center"/>
        <w:rPr>
          <w:rFonts w:ascii="宋体" w:hAnsi="宋体" w:cs="宋体"/>
          <w:color w:val="auto"/>
          <w:spacing w:val="6"/>
          <w:sz w:val="30"/>
          <w:szCs w:val="30"/>
        </w:rPr>
      </w:pPr>
      <w:r>
        <w:rPr>
          <w:rFonts w:hint="eastAsia"/>
          <w:color w:val="auto"/>
        </w:rPr>
        <w:t xml:space="preserve">       </w:t>
      </w:r>
      <w:r>
        <w:rPr>
          <w:rFonts w:hint="eastAsia" w:ascii="宋体" w:hAnsi="宋体" w:cs="宋体"/>
          <w:color w:val="auto"/>
          <w:spacing w:val="6"/>
          <w:sz w:val="30"/>
          <w:szCs w:val="30"/>
        </w:rPr>
        <w:t>单位名称[盖公章（CA签章）]：</w:t>
      </w: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 xml:space="preserve">    日  期：</w:t>
      </w:r>
    </w:p>
    <w:p>
      <w:pPr>
        <w:rPr>
          <w:color w:val="auto"/>
        </w:rPr>
      </w:pPr>
    </w:p>
    <w:p>
      <w:pPr>
        <w:pStyle w:val="2"/>
        <w:ind w:left="-31" w:leftChars="-15"/>
        <w:rPr>
          <w:rFonts w:ascii="宋体" w:hAnsi="宋体" w:cs="宋体"/>
          <w:b/>
          <w:bCs/>
          <w:color w:val="auto"/>
          <w:sz w:val="32"/>
          <w:szCs w:val="32"/>
        </w:rPr>
      </w:pPr>
    </w:p>
    <w:p>
      <w:pPr>
        <w:pStyle w:val="2"/>
        <w:ind w:left="-31" w:leftChars="-15"/>
        <w:rPr>
          <w:rFonts w:ascii="宋体" w:hAnsi="宋体" w:cs="宋体"/>
          <w:b/>
          <w:bCs/>
          <w:color w:val="auto"/>
          <w:sz w:val="32"/>
          <w:szCs w:val="32"/>
        </w:rPr>
      </w:pPr>
    </w:p>
    <w:p>
      <w:pPr>
        <w:pStyle w:val="2"/>
        <w:rPr>
          <w:rFonts w:ascii="宋体" w:hAnsi="宋体" w:cs="宋体"/>
          <w:b/>
          <w:bCs/>
          <w:color w:val="auto"/>
          <w:sz w:val="32"/>
          <w:szCs w:val="32"/>
        </w:rPr>
      </w:pPr>
    </w:p>
    <w:p>
      <w:pPr>
        <w:rPr>
          <w:rFonts w:ascii="宋体" w:hAnsi="宋体" w:cs="宋体"/>
          <w:b/>
          <w:bCs/>
          <w:color w:val="auto"/>
          <w:sz w:val="32"/>
          <w:szCs w:val="32"/>
        </w:rPr>
      </w:pPr>
      <w:bookmarkStart w:id="323" w:name="_Toc26652"/>
      <w:r>
        <w:rPr>
          <w:rFonts w:hint="eastAsia" w:ascii="宋体" w:hAnsi="宋体" w:cs="宋体"/>
          <w:b/>
          <w:bCs/>
          <w:color w:val="auto"/>
          <w:sz w:val="32"/>
          <w:szCs w:val="32"/>
        </w:rPr>
        <w:t>二、商务、技术性响应及其他有效证明材料（格式）</w:t>
      </w:r>
      <w:bookmarkEnd w:id="323"/>
    </w:p>
    <w:p>
      <w:pPr>
        <w:rPr>
          <w:rFonts w:ascii="宋体" w:hAnsi="宋体" w:cs="宋体"/>
          <w:b/>
          <w:bCs/>
          <w:color w:val="auto"/>
          <w:sz w:val="32"/>
          <w:szCs w:val="32"/>
        </w:rPr>
      </w:pPr>
      <w:bookmarkStart w:id="324" w:name="_Toc2409"/>
      <w:bookmarkStart w:id="325" w:name="_Toc495841795"/>
      <w:r>
        <w:rPr>
          <w:rFonts w:hint="eastAsia" w:ascii="宋体" w:hAnsi="宋体" w:cs="宋体"/>
          <w:b/>
          <w:bCs/>
          <w:color w:val="auto"/>
          <w:sz w:val="32"/>
          <w:szCs w:val="32"/>
        </w:rPr>
        <w:t>1.投标报价表（格式见附件）（必须提供）</w:t>
      </w:r>
    </w:p>
    <w:p>
      <w:pPr>
        <w:jc w:val="center"/>
        <w:rPr>
          <w:rFonts w:ascii="宋体" w:hAnsi="宋体"/>
          <w:b/>
          <w:bCs/>
          <w:color w:val="auto"/>
          <w:sz w:val="24"/>
        </w:rPr>
      </w:pPr>
    </w:p>
    <w:p>
      <w:pPr>
        <w:pStyle w:val="140"/>
        <w:ind w:firstLine="0" w:firstLineChars="0"/>
        <w:rPr>
          <w:rFonts w:hAnsi="宋体"/>
          <w:b/>
          <w:color w:val="auto"/>
          <w:sz w:val="24"/>
        </w:rPr>
      </w:pPr>
      <w:r>
        <w:rPr>
          <w:rFonts w:hint="eastAsia"/>
          <w:b/>
          <w:bCs/>
          <w:color w:val="auto"/>
          <w:sz w:val="30"/>
          <w:szCs w:val="30"/>
        </w:rPr>
        <w:t>附件：</w:t>
      </w:r>
      <w:r>
        <w:rPr>
          <w:rFonts w:hint="eastAsia" w:hAnsi="宋体"/>
          <w:b/>
          <w:color w:val="auto"/>
          <w:sz w:val="24"/>
        </w:rPr>
        <w:t xml:space="preserve">                                      </w:t>
      </w:r>
    </w:p>
    <w:p>
      <w:pPr>
        <w:pStyle w:val="16"/>
        <w:spacing w:line="320" w:lineRule="exact"/>
        <w:ind w:left="420"/>
        <w:jc w:val="center"/>
        <w:rPr>
          <w:rFonts w:hAnsi="宋体"/>
          <w:b/>
          <w:color w:val="auto"/>
          <w:sz w:val="32"/>
        </w:rPr>
      </w:pPr>
      <w:r>
        <w:rPr>
          <w:rFonts w:hint="eastAsia" w:hAnsi="宋体"/>
          <w:b/>
          <w:color w:val="auto"/>
          <w:sz w:val="32"/>
        </w:rPr>
        <w:t>投标报价表</w:t>
      </w:r>
    </w:p>
    <w:tbl>
      <w:tblPr>
        <w:tblStyle w:val="30"/>
        <w:tblW w:w="992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2728"/>
        <w:gridCol w:w="1275"/>
        <w:gridCol w:w="1215"/>
        <w:gridCol w:w="1157"/>
        <w:gridCol w:w="426"/>
        <w:gridCol w:w="427"/>
        <w:gridCol w:w="427"/>
        <w:gridCol w:w="1113"/>
        <w:gridCol w:w="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27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标的名称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生产厂家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szCs w:val="21"/>
              </w:rPr>
              <w:t>品牌</w:t>
            </w: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szCs w:val="21"/>
              </w:rPr>
              <w:t>规格型号</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w:t>
            </w:r>
          </w:p>
          <w:p>
            <w:pPr>
              <w:spacing w:line="300" w:lineRule="exact"/>
              <w:jc w:val="center"/>
              <w:rPr>
                <w:rFonts w:ascii="宋体" w:hAnsi="宋体"/>
                <w:color w:val="auto"/>
              </w:rPr>
            </w:pPr>
            <w:r>
              <w:rPr>
                <w:rFonts w:hint="eastAsia" w:ascii="宋体" w:hAnsi="宋体"/>
                <w:color w:val="auto"/>
                <w:szCs w:val="21"/>
              </w:rPr>
              <w:t>②</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c>
          <w:tcPr>
            <w:tcW w:w="730" w:type="dxa"/>
            <w:tcBorders>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2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30" w:type="dxa"/>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2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30" w:type="dxa"/>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2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30" w:type="dxa"/>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2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r>
              <w:rPr>
                <w:rFonts w:ascii="宋体" w:hAnsi="宋体" w:cs="宋体"/>
                <w:color w:val="auto"/>
                <w:szCs w:val="21"/>
              </w:rP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30" w:type="dxa"/>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rPr>
              <w:t>¥</w:t>
            </w:r>
            <w:r>
              <w:rPr>
                <w:rFonts w:ascii="宋体" w:hAnsi="宋体"/>
                <w:color w:val="auto"/>
                <w:spacing w:val="-6"/>
              </w:rPr>
              <w:t xml:space="preserve">         </w:t>
            </w:r>
            <w:r>
              <w:rPr>
                <w:rFonts w:hint="eastAsia" w:ascii="宋体" w:hAnsi="宋体"/>
                <w:color w:val="auto"/>
                <w:spacing w:val="-6"/>
              </w:rPr>
              <w:t xml:space="preserve">           </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24" w:type="dxa"/>
            <w:gridSpan w:val="10"/>
            <w:tcBorders>
              <w:top w:val="single" w:color="auto" w:sz="4" w:space="0"/>
              <w:left w:val="single" w:color="auto" w:sz="4" w:space="0"/>
              <w:bottom w:val="single" w:color="auto" w:sz="4" w:space="0"/>
            </w:tcBorders>
            <w:vAlign w:val="center"/>
          </w:tcPr>
          <w:p>
            <w:pPr>
              <w:spacing w:line="340" w:lineRule="exact"/>
              <w:rPr>
                <w:rFonts w:ascii="宋体" w:hAnsi="宋体"/>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ascii="宋体" w:hAnsi="宋体"/>
          <w:color w:val="auto"/>
          <w:szCs w:val="21"/>
        </w:rPr>
      </w:pPr>
    </w:p>
    <w:p>
      <w:pPr>
        <w:spacing w:line="340" w:lineRule="exact"/>
        <w:rPr>
          <w:rFonts w:ascii="宋体" w:hAnsi="宋体"/>
          <w:color w:val="auto"/>
          <w:szCs w:val="21"/>
          <w:u w:val="single"/>
        </w:rPr>
      </w:pPr>
      <w:r>
        <w:rPr>
          <w:rFonts w:hint="eastAsia" w:ascii="宋体" w:hAnsi="宋体"/>
          <w:color w:val="auto"/>
          <w:szCs w:val="21"/>
        </w:rPr>
        <w:t>投标人（CA签章，自然人除外）：</w:t>
      </w:r>
      <w:r>
        <w:rPr>
          <w:rFonts w:hint="eastAsia" w:ascii="宋体" w:hAnsi="宋体"/>
          <w:color w:val="auto"/>
          <w:szCs w:val="21"/>
          <w:u w:val="single"/>
        </w:rPr>
        <w:t xml:space="preserve">                                        </w:t>
      </w:r>
    </w:p>
    <w:p>
      <w:pPr>
        <w:spacing w:line="340" w:lineRule="exact"/>
        <w:rPr>
          <w:rFonts w:ascii="宋体" w:hAnsi="宋体"/>
          <w:color w:val="auto"/>
          <w:szCs w:val="21"/>
          <w:u w:val="single"/>
        </w:rPr>
      </w:pPr>
      <w:r>
        <w:rPr>
          <w:rFonts w:hint="eastAsia" w:hAnsi="宋体"/>
          <w:color w:val="auto"/>
        </w:rPr>
        <w:t>法定代表人、负责人、自然人或相应的委托代理人签字或个人CA签章（属自然人的应在签名处加盖食指指印或个人CA签章）：</w:t>
      </w:r>
      <w:r>
        <w:rPr>
          <w:rFonts w:hint="eastAsia" w:ascii="宋体" w:hAnsi="宋体"/>
          <w:color w:val="auto"/>
          <w:szCs w:val="21"/>
          <w:u w:val="single"/>
        </w:rPr>
        <w:t xml:space="preserve">                                    </w:t>
      </w:r>
    </w:p>
    <w:p>
      <w:pPr>
        <w:spacing w:line="340" w:lineRule="exact"/>
        <w:rPr>
          <w:rFonts w:ascii="宋体" w:hAnsi="宋体"/>
          <w:color w:val="auto"/>
        </w:rPr>
      </w:pPr>
    </w:p>
    <w:p>
      <w:pPr>
        <w:tabs>
          <w:tab w:val="left" w:pos="1305"/>
        </w:tabs>
        <w:spacing w:line="360" w:lineRule="exact"/>
        <w:ind w:left="630" w:leftChars="100" w:hanging="420" w:hangingChars="200"/>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6"/>
        <w:spacing w:line="360" w:lineRule="exact"/>
        <w:ind w:firstLine="630" w:firstLineChars="300"/>
        <w:rPr>
          <w:rFonts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6"/>
        <w:spacing w:line="360" w:lineRule="exact"/>
        <w:ind w:left="630" w:leftChars="300"/>
        <w:rPr>
          <w:rFonts w:hAnsi="宋体"/>
          <w:b/>
          <w:bCs/>
          <w:color w:val="auto"/>
          <w:szCs w:val="21"/>
        </w:rPr>
      </w:pPr>
      <w:r>
        <w:rPr>
          <w:rFonts w:hint="eastAsia"/>
          <w:color w:val="auto"/>
        </w:rPr>
        <w:t>3.投标报价表须由法定代表人负责人、自然人或相应的委托代理人签字</w:t>
      </w:r>
      <w:r>
        <w:rPr>
          <w:rFonts w:hint="eastAsia" w:hAnsi="宋体"/>
          <w:color w:val="auto"/>
        </w:rPr>
        <w:t>或个人CA签章（属自然人的应在签名处加盖食指指印或个人CA签章）</w:t>
      </w:r>
      <w:r>
        <w:rPr>
          <w:rFonts w:hint="eastAsia"/>
          <w:color w:val="auto"/>
        </w:rPr>
        <w:t>并加盖投标人CA签章（自然人除外）。</w:t>
      </w:r>
      <w:r>
        <w:rPr>
          <w:rFonts w:hint="eastAsia"/>
          <w:b/>
          <w:color w:val="auto"/>
        </w:rPr>
        <w:t>当本表由多页构成时，需逐页加盖投标人公章（属自然人的须逐页签字或个人CA签章）。</w:t>
      </w:r>
    </w:p>
    <w:p>
      <w:pPr>
        <w:spacing w:line="360" w:lineRule="exact"/>
        <w:ind w:left="630" w:leftChars="300"/>
        <w:rPr>
          <w:rFonts w:ascii="宋体" w:hAnsi="宋体"/>
          <w:color w:val="auto"/>
          <w:szCs w:val="20"/>
        </w:rPr>
      </w:pPr>
      <w:r>
        <w:rPr>
          <w:rFonts w:hint="eastAsia" w:ascii="宋体" w:hAnsi="宋体"/>
          <w:bCs/>
          <w:color w:val="auto"/>
          <w:szCs w:val="21"/>
        </w:rPr>
        <w:t>4.如投标的全部或部分产品属于《节能产品政府采购清单》或《环境标志产品政府采购清单》目录范围的，投标人应在本表备注栏内写明各分项货物属于节能（或环境标志）产品政府采购清单第几类第几项序号的产品；属于节能产品或环境标志产品，但不在上述最新目录范围内的，请在本表备注栏内写明“详见证明材料”，并提供相关证明材料复印件（加盖投标人CA签章，属自然人的应在签名处加盖食指指印或个人CA签章），以便评标委员会作为优先采购或评分的依据。</w:t>
      </w:r>
      <w:r>
        <w:rPr>
          <w:rFonts w:hint="eastAsia" w:ascii="宋体" w:hAnsi="宋体"/>
          <w:color w:val="auto"/>
          <w:szCs w:val="20"/>
        </w:rPr>
        <w:t xml:space="preserve"> </w:t>
      </w:r>
    </w:p>
    <w:p>
      <w:pPr>
        <w:pStyle w:val="2"/>
        <w:rPr>
          <w:rFonts w:ascii="宋体" w:hAnsi="宋体"/>
          <w:color w:val="auto"/>
          <w:sz w:val="21"/>
          <w:szCs w:val="20"/>
        </w:rPr>
      </w:pPr>
    </w:p>
    <w:p>
      <w:pPr>
        <w:rPr>
          <w:color w:val="auto"/>
        </w:rPr>
      </w:pPr>
    </w:p>
    <w:p>
      <w:pPr>
        <w:rPr>
          <w:rFonts w:ascii="宋体" w:hAnsi="宋体" w:cs="宋体"/>
          <w:b/>
          <w:bCs/>
          <w:color w:val="auto"/>
          <w:sz w:val="32"/>
          <w:szCs w:val="32"/>
        </w:rPr>
      </w:pPr>
      <w:r>
        <w:rPr>
          <w:rFonts w:hint="eastAsia" w:ascii="宋体" w:hAnsi="宋体" w:cs="宋体"/>
          <w:b/>
          <w:bCs/>
          <w:color w:val="auto"/>
          <w:sz w:val="32"/>
          <w:szCs w:val="32"/>
        </w:rPr>
        <w:t>2.技术规格偏离表（格式见附件）（必须提供）</w:t>
      </w:r>
      <w:bookmarkEnd w:id="324"/>
      <w:bookmarkEnd w:id="325"/>
    </w:p>
    <w:p>
      <w:pPr>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8"/>
        <w:rPr>
          <w:color w:val="auto"/>
        </w:rPr>
      </w:pPr>
    </w:p>
    <w:tbl>
      <w:tblPr>
        <w:tblStyle w:val="3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326" w:name="_Toc254970701"/>
            <w:bookmarkStart w:id="327" w:name="_Toc254970560"/>
            <w:r>
              <w:rPr>
                <w:rFonts w:hint="eastAsia" w:ascii="宋体" w:hAnsi="宋体" w:cs="宋体"/>
                <w:b/>
                <w:color w:val="auto"/>
              </w:rPr>
              <w:t>偏离情况</w:t>
            </w:r>
            <w:bookmarkEnd w:id="326"/>
            <w:bookmarkEnd w:id="327"/>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注：投标人应对照招标文件中项目要求及技术需求的内容逐条响应，并在“偏离情况说明”栏注明“正偏离”、“负偏离”或“无偏离”。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p>
    <w:p>
      <w:pPr>
        <w:spacing w:line="340" w:lineRule="exact"/>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2.当本表由多页构成时，需逐页加盖投标人公章（CA签章）（属自然人的须逐页签字或个人CA签章）。</w:t>
      </w: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16"/>
        <w:jc w:val="center"/>
        <w:rPr>
          <w:rFonts w:hAnsi="宋体" w:cs="宋体"/>
          <w:b/>
          <w:color w:val="auto"/>
          <w:sz w:val="32"/>
        </w:rPr>
      </w:pPr>
    </w:p>
    <w:p>
      <w:pPr>
        <w:pStyle w:val="2"/>
        <w:rPr>
          <w:color w:val="auto"/>
        </w:rPr>
      </w:pPr>
    </w:p>
    <w:p>
      <w:pPr>
        <w:rPr>
          <w:color w:val="auto"/>
        </w:rPr>
      </w:pPr>
    </w:p>
    <w:p>
      <w:pPr>
        <w:pStyle w:val="2"/>
        <w:rPr>
          <w:color w:val="auto"/>
        </w:rPr>
      </w:pPr>
    </w:p>
    <w:p>
      <w:pPr>
        <w:rPr>
          <w:color w:val="auto"/>
        </w:rPr>
      </w:pPr>
    </w:p>
    <w:p>
      <w:pPr>
        <w:rPr>
          <w:rFonts w:ascii="宋体" w:hAnsi="宋体" w:cs="宋体"/>
          <w:b/>
          <w:bCs/>
          <w:color w:val="auto"/>
          <w:sz w:val="32"/>
          <w:szCs w:val="32"/>
        </w:rPr>
      </w:pPr>
      <w:bookmarkStart w:id="328" w:name="_Toc15632"/>
      <w:r>
        <w:rPr>
          <w:rFonts w:hint="eastAsia" w:ascii="宋体" w:hAnsi="宋体" w:cs="宋体"/>
          <w:b/>
          <w:bCs/>
          <w:color w:val="auto"/>
          <w:sz w:val="32"/>
          <w:szCs w:val="32"/>
        </w:rPr>
        <w:t>3.商务响应表（格式见附件）（必须提供）</w:t>
      </w:r>
      <w:bookmarkEnd w:id="328"/>
    </w:p>
    <w:p>
      <w:pPr>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8"/>
        <w:rPr>
          <w:color w:val="auto"/>
        </w:rPr>
      </w:pPr>
    </w:p>
    <w:tbl>
      <w:tblPr>
        <w:tblStyle w:val="30"/>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3373"/>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jc w:val="left"/>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注：投标人应对照招标文件中商务要求的内容逐条响应，并在“偏离情况说明”栏注明“正偏离”、“负偏离”或“无偏离”。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p>
    <w:p>
      <w:pPr>
        <w:spacing w:line="340" w:lineRule="exact"/>
        <w:rPr>
          <w:color w:val="auto"/>
        </w:rPr>
      </w:pPr>
    </w:p>
    <w:p>
      <w:pPr>
        <w:snapToGrid w:val="0"/>
        <w:spacing w:line="400" w:lineRule="exact"/>
        <w:ind w:firstLine="1680" w:firstLineChars="800"/>
        <w:rPr>
          <w:rFonts w:ascii="宋体" w:hAnsi="宋体" w:cs="宋体"/>
          <w:color w:val="auto"/>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2.当本表由多页构成时，需逐页加盖投标人公章（CA签章）（属自然人的须逐页签字或个人CA签章）。</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rFonts w:ascii="宋体" w:hAnsi="宋体" w:cs="宋体"/>
          <w:b/>
          <w:bCs/>
          <w:color w:val="auto"/>
          <w:sz w:val="32"/>
          <w:szCs w:val="32"/>
        </w:rPr>
      </w:pPr>
      <w:bookmarkStart w:id="329" w:name="_Toc495841796"/>
      <w:bookmarkStart w:id="330" w:name="_Toc18341"/>
      <w:r>
        <w:rPr>
          <w:rFonts w:hint="eastAsia" w:ascii="宋体" w:hAnsi="宋体" w:cs="宋体"/>
          <w:b/>
          <w:bCs/>
          <w:color w:val="auto"/>
          <w:sz w:val="32"/>
          <w:szCs w:val="32"/>
        </w:rPr>
        <w:t>4.“货物采购需求”需提供的有效证明文件（按其要求提供）：</w:t>
      </w:r>
      <w:bookmarkEnd w:id="329"/>
      <w:bookmarkEnd w:id="330"/>
    </w:p>
    <w:p>
      <w:pPr>
        <w:rPr>
          <w:rFonts w:ascii="宋体" w:hAnsi="宋体" w:cs="宋体"/>
          <w:b/>
          <w:bCs/>
          <w:color w:val="auto"/>
          <w:sz w:val="32"/>
          <w:szCs w:val="32"/>
        </w:rPr>
      </w:pPr>
    </w:p>
    <w:p>
      <w:pPr>
        <w:rPr>
          <w:rFonts w:ascii="宋体" w:hAnsi="宋体" w:cs="宋体"/>
          <w:b/>
          <w:bCs/>
          <w:color w:val="auto"/>
          <w:sz w:val="32"/>
          <w:szCs w:val="32"/>
        </w:rPr>
      </w:pPr>
    </w:p>
    <w:p>
      <w:pPr>
        <w:pStyle w:val="6"/>
        <w:rPr>
          <w:rFonts w:ascii="宋体" w:hAnsi="宋体" w:cs="宋体"/>
          <w:b w:val="0"/>
          <w:bCs w:val="0"/>
          <w:color w:val="auto"/>
          <w:sz w:val="32"/>
          <w:szCs w:val="32"/>
        </w:rPr>
      </w:pPr>
    </w:p>
    <w:p>
      <w:pPr>
        <w:rPr>
          <w:color w:val="auto"/>
        </w:rPr>
      </w:pPr>
    </w:p>
    <w:p>
      <w:pPr>
        <w:rPr>
          <w:rFonts w:ascii="宋体" w:hAnsi="宋体" w:cs="宋体"/>
          <w:b/>
          <w:bCs/>
          <w:color w:val="auto"/>
          <w:sz w:val="32"/>
          <w:szCs w:val="32"/>
        </w:rPr>
      </w:pPr>
      <w:bookmarkStart w:id="331" w:name="_Toc12988"/>
      <w:bookmarkStart w:id="332" w:name="_Toc495841797"/>
      <w:r>
        <w:rPr>
          <w:rFonts w:hint="eastAsia" w:ascii="宋体" w:hAnsi="宋体" w:cs="宋体"/>
          <w:b/>
          <w:bCs/>
          <w:color w:val="auto"/>
          <w:sz w:val="32"/>
          <w:szCs w:val="32"/>
        </w:rPr>
        <w:t>5.投标人的售后服务承诺书（必须包含售后服务要求的全部内容）（格式见附件）（必须提供）</w:t>
      </w:r>
      <w:bookmarkEnd w:id="331"/>
      <w:bookmarkEnd w:id="332"/>
    </w:p>
    <w:p>
      <w:pPr>
        <w:rPr>
          <w:rFonts w:ascii="宋体" w:hAnsi="宋体" w:cs="宋体"/>
          <w:b/>
          <w:bCs/>
          <w:color w:val="auto"/>
          <w:sz w:val="32"/>
          <w:szCs w:val="32"/>
        </w:rPr>
      </w:pPr>
      <w:r>
        <w:rPr>
          <w:rFonts w:hint="eastAsia" w:ascii="宋体" w:hAnsi="宋体" w:cs="宋体"/>
          <w:b/>
          <w:bCs/>
          <w:color w:val="auto"/>
          <w:sz w:val="32"/>
          <w:szCs w:val="32"/>
        </w:rPr>
        <w:t>附件：</w:t>
      </w:r>
    </w:p>
    <w:p>
      <w:pPr>
        <w:pStyle w:val="2"/>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360" w:lineRule="exact"/>
        <w:rPr>
          <w:rFonts w:ascii="宋体" w:hAnsi="宋体" w:cs="宋体"/>
          <w:color w:val="auto"/>
          <w:sz w:val="24"/>
        </w:rPr>
      </w:pPr>
    </w:p>
    <w:p>
      <w:pPr>
        <w:pStyle w:val="48"/>
        <w:spacing w:line="360" w:lineRule="exact"/>
        <w:rPr>
          <w:rFonts w:ascii="宋体" w:hAnsi="宋体" w:eastAsia="宋体" w:cs="宋体"/>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p>
    <w:p>
      <w:pPr>
        <w:pStyle w:val="6"/>
        <w:rPr>
          <w:color w:val="auto"/>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rPr>
          <w:rFonts w:ascii="宋体" w:hAnsi="宋体" w:cs="宋体"/>
          <w:b/>
          <w:bCs/>
          <w:color w:val="auto"/>
          <w:sz w:val="32"/>
          <w:szCs w:val="32"/>
        </w:rPr>
      </w:pPr>
      <w:r>
        <w:rPr>
          <w:rFonts w:hint="eastAsia" w:ascii="宋体" w:hAnsi="宋体" w:cs="宋体"/>
          <w:b/>
          <w:bCs/>
          <w:color w:val="auto"/>
          <w:sz w:val="32"/>
          <w:szCs w:val="32"/>
        </w:rPr>
        <w:t>6.配送、安装方案（格式见附件）（如有，请提供）；</w:t>
      </w:r>
    </w:p>
    <w:p>
      <w:pPr>
        <w:rPr>
          <w:rFonts w:ascii="宋体" w:hAnsi="宋体" w:cs="宋体"/>
          <w:b/>
          <w:bCs/>
          <w:color w:val="auto"/>
          <w:sz w:val="32"/>
          <w:szCs w:val="32"/>
        </w:rPr>
      </w:pPr>
      <w:r>
        <w:rPr>
          <w:rFonts w:hint="eastAsia" w:ascii="宋体" w:hAnsi="宋体" w:cs="宋体"/>
          <w:b/>
          <w:bCs/>
          <w:color w:val="auto"/>
          <w:sz w:val="32"/>
          <w:szCs w:val="32"/>
        </w:rPr>
        <w:t>附件：</w:t>
      </w:r>
    </w:p>
    <w:p>
      <w:pPr>
        <w:rPr>
          <w:color w:val="auto"/>
        </w:rPr>
      </w:pPr>
    </w:p>
    <w:p>
      <w:pPr>
        <w:pStyle w:val="2"/>
        <w:rPr>
          <w:color w:val="auto"/>
        </w:rPr>
      </w:pPr>
    </w:p>
    <w:p>
      <w:pPr>
        <w:rPr>
          <w:color w:val="auto"/>
        </w:rPr>
      </w:pPr>
    </w:p>
    <w:p>
      <w:pPr>
        <w:pStyle w:val="16"/>
        <w:spacing w:line="340" w:lineRule="exact"/>
        <w:jc w:val="center"/>
        <w:rPr>
          <w:b/>
          <w:color w:val="auto"/>
          <w:sz w:val="32"/>
          <w:szCs w:val="32"/>
        </w:rPr>
      </w:pPr>
      <w:r>
        <w:rPr>
          <w:rFonts w:hint="eastAsia"/>
          <w:b/>
          <w:color w:val="auto"/>
          <w:sz w:val="32"/>
          <w:szCs w:val="32"/>
        </w:rPr>
        <w:t>配送、安装方案 （格式）</w:t>
      </w:r>
    </w:p>
    <w:p>
      <w:pPr>
        <w:rPr>
          <w:rFonts w:hAnsi="Courier New"/>
          <w:b/>
          <w:color w:val="auto"/>
          <w:sz w:val="32"/>
          <w:szCs w:val="32"/>
        </w:rPr>
      </w:pPr>
    </w:p>
    <w:p>
      <w:pPr>
        <w:pStyle w:val="2"/>
        <w:rPr>
          <w:color w:val="auto"/>
        </w:rPr>
      </w:pPr>
    </w:p>
    <w:p>
      <w:pPr>
        <w:widowControl/>
        <w:ind w:firstLine="3092" w:firstLineChars="1100"/>
        <w:jc w:val="left"/>
        <w:rPr>
          <w:rFonts w:ascii="宋体" w:hAnsi="宋体" w:cs="宋体"/>
          <w:b/>
          <w:color w:val="auto"/>
          <w:kern w:val="0"/>
          <w:sz w:val="28"/>
          <w:szCs w:val="28"/>
          <w:lang w:bidi="ar"/>
        </w:rPr>
      </w:pPr>
      <w:r>
        <w:rPr>
          <w:rFonts w:hint="eastAsia" w:ascii="宋体" w:hAnsi="宋体" w:cs="宋体"/>
          <w:b/>
          <w:color w:val="auto"/>
          <w:kern w:val="0"/>
          <w:sz w:val="28"/>
          <w:szCs w:val="28"/>
          <w:lang w:bidi="ar"/>
        </w:rPr>
        <w:t xml:space="preserve">（根据采购需求自行编制） </w:t>
      </w:r>
    </w:p>
    <w:p>
      <w:pPr>
        <w:widowControl/>
        <w:ind w:firstLine="3092" w:firstLineChars="1100"/>
        <w:jc w:val="left"/>
        <w:rPr>
          <w:rFonts w:ascii="宋体" w:hAnsi="宋体" w:cs="宋体"/>
          <w:b/>
          <w:color w:val="auto"/>
          <w:kern w:val="0"/>
          <w:sz w:val="28"/>
          <w:szCs w:val="28"/>
          <w:lang w:bidi="ar"/>
        </w:rPr>
      </w:pPr>
    </w:p>
    <w:p>
      <w:pPr>
        <w:widowControl/>
        <w:ind w:firstLine="1470" w:firstLineChars="700"/>
        <w:jc w:val="left"/>
        <w:rPr>
          <w:rFonts w:ascii="宋体"/>
          <w:color w:val="auto"/>
          <w:szCs w:val="21"/>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r>
        <w:rPr>
          <w:rFonts w:ascii="宋体" w:hAnsi="宋体"/>
          <w:color w:val="auto"/>
          <w:szCs w:val="21"/>
          <w:u w:val="single"/>
        </w:rPr>
        <w:t xml:space="preserve">                           </w:t>
      </w:r>
    </w:p>
    <w:p>
      <w:pPr>
        <w:pStyle w:val="16"/>
        <w:spacing w:line="300" w:lineRule="exact"/>
        <w:ind w:left="2940" w:leftChars="1400" w:firstLine="630" w:firstLineChars="300"/>
        <w:rPr>
          <w:rFonts w:hAnsi="宋体"/>
          <w:color w:val="auto"/>
        </w:rPr>
      </w:pPr>
    </w:p>
    <w:p>
      <w:pPr>
        <w:pStyle w:val="16"/>
        <w:spacing w:line="300" w:lineRule="exact"/>
        <w:ind w:firstLine="4638" w:firstLineChars="1650"/>
        <w:rPr>
          <w:b/>
          <w:color w:val="auto"/>
          <w:sz w:val="28"/>
          <w:szCs w:val="28"/>
        </w:rPr>
      </w:pPr>
      <w:r>
        <w:rPr>
          <w:b/>
          <w:color w:val="auto"/>
          <w:sz w:val="28"/>
          <w:szCs w:val="28"/>
        </w:rPr>
        <w:t xml:space="preserve"> </w:t>
      </w:r>
    </w:p>
    <w:p>
      <w:pPr>
        <w:pStyle w:val="16"/>
        <w:spacing w:line="300" w:lineRule="exact"/>
        <w:rPr>
          <w:b/>
          <w:color w:val="auto"/>
          <w:sz w:val="28"/>
          <w:szCs w:val="28"/>
        </w:rPr>
      </w:pPr>
    </w:p>
    <w:p>
      <w:pPr>
        <w:snapToGrid w:val="0"/>
        <w:spacing w:line="300" w:lineRule="exact"/>
        <w:ind w:firstLine="3570" w:firstLineChars="1700"/>
        <w:rPr>
          <w:color w:val="auto"/>
          <w:u w:val="single"/>
        </w:rPr>
      </w:pPr>
      <w:r>
        <w:rPr>
          <w:color w:val="auto"/>
        </w:rPr>
        <w:t>日          期：</w:t>
      </w:r>
      <w:r>
        <w:rPr>
          <w:color w:val="auto"/>
          <w:u w:val="single"/>
        </w:rPr>
        <w:t xml:space="preserve">                              </w:t>
      </w: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u w:val="single"/>
        </w:rPr>
      </w:pPr>
    </w:p>
    <w:p>
      <w:pPr>
        <w:pStyle w:val="2"/>
        <w:rPr>
          <w:color w:val="auto"/>
          <w:u w:val="single"/>
        </w:rPr>
      </w:pPr>
    </w:p>
    <w:p>
      <w:pPr>
        <w:rPr>
          <w:color w:val="auto"/>
        </w:rPr>
      </w:pPr>
    </w:p>
    <w:p>
      <w:pPr>
        <w:snapToGrid w:val="0"/>
        <w:spacing w:line="300" w:lineRule="exact"/>
        <w:ind w:firstLine="3570" w:firstLineChars="1700"/>
        <w:rPr>
          <w:color w:val="auto"/>
          <w:u w:val="single"/>
        </w:rPr>
      </w:pPr>
    </w:p>
    <w:p>
      <w:pPr>
        <w:spacing w:line="440" w:lineRule="exact"/>
        <w:rPr>
          <w:rFonts w:ascii="宋体" w:hAnsi="宋体" w:cs="宋体"/>
          <w:b/>
          <w:bCs/>
          <w:color w:val="auto"/>
          <w:sz w:val="32"/>
          <w:szCs w:val="32"/>
        </w:rPr>
      </w:pPr>
      <w:r>
        <w:rPr>
          <w:rFonts w:hint="eastAsia" w:ascii="宋体" w:hAnsi="宋体" w:cs="宋体"/>
          <w:b/>
          <w:bCs/>
          <w:color w:val="auto"/>
          <w:sz w:val="32"/>
          <w:szCs w:val="32"/>
        </w:rPr>
        <w:t>7.项目实施人员一览表（格式见附件）【如有，请提供，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社保人员，提供免缴纳社保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p>
    <w:p>
      <w:pPr>
        <w:jc w:val="left"/>
        <w:rPr>
          <w:rFonts w:ascii="宋体" w:hAnsi="宋体" w:cs="宋体"/>
          <w:b/>
          <w:bCs/>
          <w:color w:val="auto"/>
          <w:sz w:val="32"/>
          <w:szCs w:val="32"/>
        </w:rPr>
      </w:pPr>
      <w:r>
        <w:rPr>
          <w:rFonts w:hint="eastAsia" w:ascii="宋体" w:hAnsi="宋体" w:cs="宋体"/>
          <w:b/>
          <w:bCs/>
          <w:color w:val="auto"/>
          <w:sz w:val="32"/>
          <w:szCs w:val="32"/>
        </w:rPr>
        <w:t>附件：</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3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840" w:firstLineChars="400"/>
        <w:rPr>
          <w:rFonts w:ascii="宋体" w:hAnsi="宋体" w:cs="宋体"/>
          <w:color w:val="auto"/>
          <w:szCs w:val="21"/>
          <w:u w:val="single"/>
        </w:rPr>
      </w:pPr>
      <w:r>
        <w:rPr>
          <w:rFonts w:hint="eastAsia" w:ascii="宋体" w:hAnsi="宋体" w:cs="宋体"/>
          <w:color w:val="auto"/>
          <w:szCs w:val="21"/>
        </w:rPr>
        <w:t>投标人[公章(CA签章)，自然人签字或个人CA签章]：</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4200" w:firstLineChars="2000"/>
        <w:rPr>
          <w:rFonts w:ascii="宋体" w:hAnsi="宋体" w:cs="宋体"/>
          <w:color w:val="auto"/>
          <w:u w:val="single"/>
        </w:rPr>
      </w:pPr>
      <w:r>
        <w:rPr>
          <w:rFonts w:hint="eastAsia" w:ascii="宋体" w:hAnsi="宋体" w:cs="宋体"/>
          <w:color w:val="auto"/>
        </w:rPr>
        <w:t>日          期：</w:t>
      </w:r>
      <w:r>
        <w:rPr>
          <w:rFonts w:hint="eastAsia" w:ascii="宋体" w:hAnsi="宋体" w:cs="宋体"/>
          <w:color w:val="auto"/>
          <w:u w:val="single"/>
        </w:rPr>
        <w:t xml:space="preserve">                                     </w:t>
      </w:r>
    </w:p>
    <w:p>
      <w:pPr>
        <w:rPr>
          <w:rFonts w:ascii="宋体" w:hAnsi="宋体" w:cs="宋体"/>
          <w:b/>
          <w:bCs/>
          <w:color w:val="auto"/>
          <w:sz w:val="32"/>
          <w:szCs w:val="32"/>
        </w:rPr>
      </w:pPr>
      <w:bookmarkStart w:id="333" w:name="_Toc495841799"/>
      <w:bookmarkStart w:id="334" w:name="_Toc10856"/>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rPr>
        <w:t>8.节能方面的证书复印件（如有，请提供）</w:t>
      </w:r>
      <w:bookmarkEnd w:id="333"/>
      <w:bookmarkEnd w:id="33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335" w:name="_Toc21473"/>
      <w:bookmarkStart w:id="336" w:name="_Toc495841800"/>
      <w:r>
        <w:rPr>
          <w:rFonts w:hint="eastAsia" w:ascii="宋体" w:hAnsi="宋体" w:cs="宋体"/>
          <w:b/>
          <w:bCs/>
          <w:color w:val="auto"/>
          <w:sz w:val="32"/>
          <w:szCs w:val="32"/>
        </w:rPr>
        <w:t>9.环境标志方面的证书复印件（如有，请提供）</w:t>
      </w:r>
      <w:bookmarkEnd w:id="335"/>
      <w:bookmarkEnd w:id="33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337" w:name="_Toc495841802"/>
      <w:bookmarkStart w:id="338" w:name="_Toc6517"/>
      <w:r>
        <w:rPr>
          <w:rFonts w:hint="eastAsia" w:ascii="宋体" w:hAnsi="宋体" w:cs="宋体"/>
          <w:b/>
          <w:bCs/>
          <w:color w:val="auto"/>
          <w:sz w:val="32"/>
          <w:szCs w:val="32"/>
        </w:rPr>
        <w:t>10.</w:t>
      </w:r>
      <w:bookmarkEnd w:id="337"/>
      <w:bookmarkEnd w:id="338"/>
      <w:r>
        <w:rPr>
          <w:rFonts w:hint="eastAsia" w:ascii="宋体" w:hAnsi="宋体" w:cs="宋体"/>
          <w:b/>
          <w:bCs/>
          <w:color w:val="auto"/>
          <w:sz w:val="32"/>
          <w:szCs w:val="32"/>
        </w:rPr>
        <w:t>投标人自2020年1月1日（以合同签订时间为准）以来具有同类产品的销售业绩 [无不良记录，以中标（成交）通知书或采购合同复印</w:t>
      </w:r>
      <w:r>
        <w:rPr>
          <w:rFonts w:hint="eastAsia" w:ascii="宋体" w:hAnsi="宋体" w:cs="宋体"/>
          <w:b/>
          <w:bCs/>
          <w:color w:val="auto"/>
          <w:sz w:val="32"/>
          <w:szCs w:val="32"/>
        </w:rPr>
        <w:t>件、验收合格相关证明材料为</w:t>
      </w:r>
      <w:r>
        <w:rPr>
          <w:rFonts w:hint="eastAsia" w:ascii="宋体" w:hAnsi="宋体" w:cs="宋体"/>
          <w:b/>
          <w:bCs/>
          <w:color w:val="auto"/>
          <w:sz w:val="32"/>
          <w:szCs w:val="32"/>
        </w:rPr>
        <w:t>准（能清晰反映所销售的货物名称、种类、金额)，否则将不予计分；同一个编号的项目有两个或两个以上的分标中标的只算一次]（如有，请提供）；</w:t>
      </w:r>
    </w:p>
    <w:p>
      <w:pPr>
        <w:rPr>
          <w:rFonts w:ascii="宋体" w:hAnsi="宋体" w:cs="宋体"/>
          <w:b/>
          <w:bCs/>
          <w:color w:val="auto"/>
          <w:sz w:val="32"/>
          <w:szCs w:val="32"/>
        </w:rPr>
      </w:pPr>
      <w:bookmarkStart w:id="339" w:name="_Toc495841805"/>
      <w:bookmarkStart w:id="340" w:name="_Toc10511"/>
    </w:p>
    <w:p>
      <w:pPr>
        <w:pStyle w:val="2"/>
        <w:rPr>
          <w:rFonts w:ascii="宋体" w:hAnsi="宋体" w:cs="宋体"/>
          <w:b/>
          <w:bCs/>
          <w:color w:val="auto"/>
          <w:sz w:val="32"/>
          <w:szCs w:val="32"/>
        </w:rPr>
      </w:pPr>
    </w:p>
    <w:p>
      <w:pPr>
        <w:rPr>
          <w:color w:val="auto"/>
        </w:rPr>
      </w:pPr>
    </w:p>
    <w:p>
      <w:pPr>
        <w:pStyle w:val="2"/>
        <w:rPr>
          <w:color w:val="auto"/>
        </w:rPr>
      </w:pPr>
    </w:p>
    <w:bookmarkEnd w:id="339"/>
    <w:bookmarkEnd w:id="340"/>
    <w:p>
      <w:pPr>
        <w:rPr>
          <w:color w:val="auto"/>
        </w:rPr>
      </w:pPr>
      <w:bookmarkStart w:id="341" w:name="_Toc495841807"/>
      <w:bookmarkStart w:id="342" w:name="_Toc14735"/>
      <w:r>
        <w:rPr>
          <w:rFonts w:hint="eastAsia" w:ascii="宋体" w:hAnsi="宋体" w:cs="宋体"/>
          <w:b/>
          <w:bCs/>
          <w:color w:val="auto"/>
          <w:sz w:val="32"/>
          <w:szCs w:val="32"/>
        </w:rPr>
        <w:t>11.投标人可结合本项目的评标办法视自身情况自行提交相关证明材料（如有，请提供）</w:t>
      </w:r>
      <w:bookmarkEnd w:id="341"/>
      <w:bookmarkEnd w:id="342"/>
      <w:r>
        <w:rPr>
          <w:rFonts w:hint="eastAsia" w:ascii="宋体" w:hAnsi="宋体" w:cs="宋体"/>
          <w:b/>
          <w:bCs/>
          <w:color w:val="auto"/>
          <w:sz w:val="32"/>
          <w:szCs w:val="32"/>
        </w:rPr>
        <w:t>。</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bookmarkEnd w:id="343"/>
    <w:sectPr>
      <w:footerReference r:id="rId5"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pPr>
  </w:p>
  <w:p>
    <w:pPr>
      <w:pStyle w:val="20"/>
    </w:pPr>
    <w:r>
      <w:rPr>
        <w:rFonts w:hint="eastAsia"/>
      </w:rPr>
      <w:t>桂林市政府集中采购中心                                                                              公开招标</w: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vVhyM0BAACdAwAADgAAAAAAAAABACAAAAAeAQAAZHJzL2Uy&#10;b0RvYy54bWxQSwUGAAAAAAYABgBZAQAAXQ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p>
    <w:pPr>
      <w:pStyle w:val="20"/>
    </w:pPr>
    <w:r>
      <w:rPr>
        <w:rFonts w:hint="eastAsia"/>
      </w:rPr>
      <w:t>桂林市政府集中采购中心                                                                              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ascii="宋体" w:hAnsi="宋体" w:cs="宋体"/>
        <w:sz w:val="21"/>
        <w:szCs w:val="21"/>
      </w:rPr>
    </w:pPr>
    <w:r>
      <w:rPr>
        <w:rFonts w:hint="eastAsia" w:asciiTheme="majorEastAsia" w:hAnsiTheme="majorEastAsia" w:eastAsiaTheme="majorEastAsia"/>
        <w:szCs w:val="21"/>
      </w:rPr>
      <w:t xml:space="preserve">临桂新校区53#、54#、55#宿舍楼及地下公共停车库工程钢架床采购  </w:t>
    </w:r>
    <w:r>
      <w:rPr>
        <w:rFonts w:hint="eastAsia" w:ascii="宋体" w:hAnsi="宋体" w:cs="宋体"/>
        <w:sz w:val="21"/>
        <w:szCs w:val="21"/>
      </w:rPr>
      <w:t xml:space="preserve">              GLZC2022-G1-990409-GLJC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F5369613"/>
    <w:multiLevelType w:val="singleLevel"/>
    <w:tmpl w:val="F5369613"/>
    <w:lvl w:ilvl="0" w:tentative="0">
      <w:start w:val="1"/>
      <w:numFmt w:val="decimal"/>
      <w:suff w:val="nothing"/>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491EBDFD"/>
    <w:multiLevelType w:val="singleLevel"/>
    <w:tmpl w:val="491EBDFD"/>
    <w:lvl w:ilvl="0" w:tentative="0">
      <w:start w:val="1"/>
      <w:numFmt w:val="decimal"/>
      <w:lvlText w:val="%1."/>
      <w:lvlJc w:val="left"/>
      <w:pPr>
        <w:tabs>
          <w:tab w:val="left" w:pos="312"/>
        </w:tabs>
      </w:pPr>
    </w:lvl>
  </w:abstractNum>
  <w:abstractNum w:abstractNumId="6">
    <w:nsid w:val="59DC546A"/>
    <w:multiLevelType w:val="singleLevel"/>
    <w:tmpl w:val="59DC546A"/>
    <w:lvl w:ilvl="0" w:tentative="0">
      <w:start w:val="1"/>
      <w:numFmt w:val="decimal"/>
      <w:suff w:val="nothing"/>
      <w:lvlText w:val="（%1）"/>
      <w:lvlJc w:val="left"/>
      <w:rPr>
        <w:rFonts w:hint="default"/>
        <w:b w:val="0"/>
        <w:bCs w:val="0"/>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OWVkMTFiNjRiYjFhNTYzOTMxNWNhYzQyYTMzMmQifQ=="/>
  </w:docVars>
  <w:rsids>
    <w:rsidRoot w:val="00172A27"/>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7E9"/>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7DD"/>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76A7D"/>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ADB"/>
    <w:rsid w:val="00087C2E"/>
    <w:rsid w:val="00087C30"/>
    <w:rsid w:val="00087D46"/>
    <w:rsid w:val="000900BE"/>
    <w:rsid w:val="00090988"/>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1985"/>
    <w:rsid w:val="000A1B2D"/>
    <w:rsid w:val="000A1C5C"/>
    <w:rsid w:val="000A22E4"/>
    <w:rsid w:val="000A2348"/>
    <w:rsid w:val="000A482E"/>
    <w:rsid w:val="000A4D04"/>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2FC0"/>
    <w:rsid w:val="000C3182"/>
    <w:rsid w:val="000C3627"/>
    <w:rsid w:val="000C3D7C"/>
    <w:rsid w:val="000C3EBF"/>
    <w:rsid w:val="000C3EF9"/>
    <w:rsid w:val="000C4226"/>
    <w:rsid w:val="000C46A7"/>
    <w:rsid w:val="000C4B4A"/>
    <w:rsid w:val="000C577C"/>
    <w:rsid w:val="000C5EBC"/>
    <w:rsid w:val="000C6007"/>
    <w:rsid w:val="000C62B4"/>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008"/>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784"/>
    <w:rsid w:val="00142C09"/>
    <w:rsid w:val="00143102"/>
    <w:rsid w:val="0014329A"/>
    <w:rsid w:val="001433F1"/>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AF1"/>
    <w:rsid w:val="00166B91"/>
    <w:rsid w:val="00166CED"/>
    <w:rsid w:val="00167F1C"/>
    <w:rsid w:val="00170706"/>
    <w:rsid w:val="00170B25"/>
    <w:rsid w:val="00170BD1"/>
    <w:rsid w:val="001718C5"/>
    <w:rsid w:val="00171A3B"/>
    <w:rsid w:val="00171CE9"/>
    <w:rsid w:val="00171F84"/>
    <w:rsid w:val="0017246C"/>
    <w:rsid w:val="00172A27"/>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2D18"/>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601"/>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49BB"/>
    <w:rsid w:val="001E539D"/>
    <w:rsid w:val="001E59FB"/>
    <w:rsid w:val="001E5A19"/>
    <w:rsid w:val="001E696A"/>
    <w:rsid w:val="001E6A68"/>
    <w:rsid w:val="001E6C10"/>
    <w:rsid w:val="001E6C70"/>
    <w:rsid w:val="001E75C5"/>
    <w:rsid w:val="001E784D"/>
    <w:rsid w:val="001E7C86"/>
    <w:rsid w:val="001F02D9"/>
    <w:rsid w:val="001F0617"/>
    <w:rsid w:val="001F0875"/>
    <w:rsid w:val="001F0D48"/>
    <w:rsid w:val="001F0D4F"/>
    <w:rsid w:val="001F0DB7"/>
    <w:rsid w:val="001F10E4"/>
    <w:rsid w:val="001F14D8"/>
    <w:rsid w:val="001F1853"/>
    <w:rsid w:val="001F1982"/>
    <w:rsid w:val="001F1B4F"/>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1F"/>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081"/>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6B3"/>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925"/>
    <w:rsid w:val="00287CD3"/>
    <w:rsid w:val="00287E74"/>
    <w:rsid w:val="00290204"/>
    <w:rsid w:val="00290212"/>
    <w:rsid w:val="002903D6"/>
    <w:rsid w:val="002906A6"/>
    <w:rsid w:val="00290D12"/>
    <w:rsid w:val="00291DB8"/>
    <w:rsid w:val="002922EE"/>
    <w:rsid w:val="002923E8"/>
    <w:rsid w:val="002926ED"/>
    <w:rsid w:val="00292897"/>
    <w:rsid w:val="002928D7"/>
    <w:rsid w:val="00293034"/>
    <w:rsid w:val="002931B7"/>
    <w:rsid w:val="002938C6"/>
    <w:rsid w:val="00293925"/>
    <w:rsid w:val="00293F65"/>
    <w:rsid w:val="00293FD7"/>
    <w:rsid w:val="002940BC"/>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243"/>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555C"/>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47"/>
    <w:rsid w:val="002D2CAE"/>
    <w:rsid w:val="002D2E7E"/>
    <w:rsid w:val="002D35BD"/>
    <w:rsid w:val="002D3621"/>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31"/>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1B8"/>
    <w:rsid w:val="003039DF"/>
    <w:rsid w:val="0030413D"/>
    <w:rsid w:val="003049C0"/>
    <w:rsid w:val="00304DAD"/>
    <w:rsid w:val="00304DF1"/>
    <w:rsid w:val="0030566A"/>
    <w:rsid w:val="003056F9"/>
    <w:rsid w:val="00305979"/>
    <w:rsid w:val="00305B81"/>
    <w:rsid w:val="00305DE0"/>
    <w:rsid w:val="00305FAC"/>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1DD9"/>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7F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2DC"/>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47"/>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245"/>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86"/>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5A30"/>
    <w:rsid w:val="004169FE"/>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B38"/>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295"/>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439"/>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08DC"/>
    <w:rsid w:val="004E1230"/>
    <w:rsid w:val="004E12FF"/>
    <w:rsid w:val="004E1C21"/>
    <w:rsid w:val="004E1DA8"/>
    <w:rsid w:val="004E2CF7"/>
    <w:rsid w:val="004E2F97"/>
    <w:rsid w:val="004E3A1A"/>
    <w:rsid w:val="004E4111"/>
    <w:rsid w:val="004E4285"/>
    <w:rsid w:val="004E43BF"/>
    <w:rsid w:val="004E4AFF"/>
    <w:rsid w:val="004E5069"/>
    <w:rsid w:val="004E5213"/>
    <w:rsid w:val="004E53C2"/>
    <w:rsid w:val="004E5735"/>
    <w:rsid w:val="004E57B0"/>
    <w:rsid w:val="004E5816"/>
    <w:rsid w:val="004E6542"/>
    <w:rsid w:val="004E66DE"/>
    <w:rsid w:val="004E678D"/>
    <w:rsid w:val="004E7556"/>
    <w:rsid w:val="004E7913"/>
    <w:rsid w:val="004E7F54"/>
    <w:rsid w:val="004F01B1"/>
    <w:rsid w:val="004F075B"/>
    <w:rsid w:val="004F09E9"/>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3A9A"/>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134"/>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B744C"/>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51"/>
    <w:rsid w:val="005C7A73"/>
    <w:rsid w:val="005C7F8F"/>
    <w:rsid w:val="005D0F72"/>
    <w:rsid w:val="005D14EA"/>
    <w:rsid w:val="005D15CD"/>
    <w:rsid w:val="005D1830"/>
    <w:rsid w:val="005D1876"/>
    <w:rsid w:val="005D1B12"/>
    <w:rsid w:val="005D2653"/>
    <w:rsid w:val="005D29BD"/>
    <w:rsid w:val="005D2BB3"/>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6BD"/>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5D5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B04"/>
    <w:rsid w:val="00652E0D"/>
    <w:rsid w:val="006530DA"/>
    <w:rsid w:val="00654277"/>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2BA4"/>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559"/>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BD8"/>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0BB"/>
    <w:rsid w:val="006A11CB"/>
    <w:rsid w:val="006A1C6C"/>
    <w:rsid w:val="006A1DF3"/>
    <w:rsid w:val="006A1EC1"/>
    <w:rsid w:val="006A20A8"/>
    <w:rsid w:val="006A22A5"/>
    <w:rsid w:val="006A242B"/>
    <w:rsid w:val="006A260F"/>
    <w:rsid w:val="006A30F5"/>
    <w:rsid w:val="006A3C70"/>
    <w:rsid w:val="006A3FF8"/>
    <w:rsid w:val="006A50D7"/>
    <w:rsid w:val="006A538A"/>
    <w:rsid w:val="006A5597"/>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3A6"/>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3FC"/>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357"/>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8D9"/>
    <w:rsid w:val="00743966"/>
    <w:rsid w:val="00743B89"/>
    <w:rsid w:val="00744423"/>
    <w:rsid w:val="0074457E"/>
    <w:rsid w:val="00744E8D"/>
    <w:rsid w:val="00745422"/>
    <w:rsid w:val="00745A50"/>
    <w:rsid w:val="00745E97"/>
    <w:rsid w:val="00746595"/>
    <w:rsid w:val="00746658"/>
    <w:rsid w:val="00746D08"/>
    <w:rsid w:val="00746E8E"/>
    <w:rsid w:val="0074711F"/>
    <w:rsid w:val="0074741C"/>
    <w:rsid w:val="00747531"/>
    <w:rsid w:val="00747705"/>
    <w:rsid w:val="0074799E"/>
    <w:rsid w:val="00747DBC"/>
    <w:rsid w:val="00747E05"/>
    <w:rsid w:val="00747F0C"/>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3BA"/>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1D7"/>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BB1"/>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14A8"/>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1011"/>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1CD"/>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19F"/>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988"/>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7DE"/>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00"/>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6D7"/>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110"/>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3E2E"/>
    <w:rsid w:val="009843C9"/>
    <w:rsid w:val="0098505F"/>
    <w:rsid w:val="00985485"/>
    <w:rsid w:val="00985511"/>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5CE"/>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72"/>
    <w:rsid w:val="009B46DE"/>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4CFD"/>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2AE4"/>
    <w:rsid w:val="009D338F"/>
    <w:rsid w:val="009D33E7"/>
    <w:rsid w:val="009D3697"/>
    <w:rsid w:val="009D44D1"/>
    <w:rsid w:val="009D4DD5"/>
    <w:rsid w:val="009D506C"/>
    <w:rsid w:val="009D6FA9"/>
    <w:rsid w:val="009E0024"/>
    <w:rsid w:val="009E037D"/>
    <w:rsid w:val="009E050C"/>
    <w:rsid w:val="009E1C60"/>
    <w:rsid w:val="009E2590"/>
    <w:rsid w:val="009E2D94"/>
    <w:rsid w:val="009E31DC"/>
    <w:rsid w:val="009E364A"/>
    <w:rsid w:val="009E3745"/>
    <w:rsid w:val="009E415B"/>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5CB"/>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8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13D"/>
    <w:rsid w:val="00AD269E"/>
    <w:rsid w:val="00AD2DB6"/>
    <w:rsid w:val="00AD35EE"/>
    <w:rsid w:val="00AD5329"/>
    <w:rsid w:val="00AD632C"/>
    <w:rsid w:val="00AD632F"/>
    <w:rsid w:val="00AD6477"/>
    <w:rsid w:val="00AD6B94"/>
    <w:rsid w:val="00AD6D99"/>
    <w:rsid w:val="00AD6F66"/>
    <w:rsid w:val="00AD7438"/>
    <w:rsid w:val="00AE004A"/>
    <w:rsid w:val="00AE086E"/>
    <w:rsid w:val="00AE096D"/>
    <w:rsid w:val="00AE18FB"/>
    <w:rsid w:val="00AE1D6D"/>
    <w:rsid w:val="00AE1F65"/>
    <w:rsid w:val="00AE2812"/>
    <w:rsid w:val="00AE2DE0"/>
    <w:rsid w:val="00AE329C"/>
    <w:rsid w:val="00AE3E59"/>
    <w:rsid w:val="00AE3F8C"/>
    <w:rsid w:val="00AE46BC"/>
    <w:rsid w:val="00AE4838"/>
    <w:rsid w:val="00AE5179"/>
    <w:rsid w:val="00AE5CD8"/>
    <w:rsid w:val="00AE65FE"/>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4D76"/>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261"/>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275"/>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4B2"/>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4FD3"/>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84"/>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065"/>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59B"/>
    <w:rsid w:val="00D33916"/>
    <w:rsid w:val="00D33DFA"/>
    <w:rsid w:val="00D33EC3"/>
    <w:rsid w:val="00D33ED3"/>
    <w:rsid w:val="00D34675"/>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6A2F"/>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329"/>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2AB"/>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64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0C16"/>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64BE"/>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5CA2"/>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1AE1"/>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20C"/>
    <w:rsid w:val="00E9599D"/>
    <w:rsid w:val="00E95A50"/>
    <w:rsid w:val="00E95F61"/>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41A"/>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6A25"/>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5CC3"/>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1FB0"/>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4F0"/>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40A"/>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1A1D"/>
    <w:rsid w:val="00F31A2E"/>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0E5F"/>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BC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1C19"/>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53"/>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1D93"/>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6FF"/>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001"/>
    <w:rsid w:val="00FF7F16"/>
    <w:rsid w:val="01027A76"/>
    <w:rsid w:val="011E66F0"/>
    <w:rsid w:val="011F6A70"/>
    <w:rsid w:val="0125681A"/>
    <w:rsid w:val="01351DB7"/>
    <w:rsid w:val="013F3D86"/>
    <w:rsid w:val="01407649"/>
    <w:rsid w:val="0150059B"/>
    <w:rsid w:val="015C0EBB"/>
    <w:rsid w:val="017658EE"/>
    <w:rsid w:val="018241E3"/>
    <w:rsid w:val="0187172A"/>
    <w:rsid w:val="0188380D"/>
    <w:rsid w:val="018A1439"/>
    <w:rsid w:val="01944054"/>
    <w:rsid w:val="0196032D"/>
    <w:rsid w:val="019C09DA"/>
    <w:rsid w:val="01A050EF"/>
    <w:rsid w:val="01AC6FF2"/>
    <w:rsid w:val="01AF354D"/>
    <w:rsid w:val="01B12F55"/>
    <w:rsid w:val="01B41481"/>
    <w:rsid w:val="01B84694"/>
    <w:rsid w:val="01B8481B"/>
    <w:rsid w:val="01BD0E60"/>
    <w:rsid w:val="01CD5676"/>
    <w:rsid w:val="01E53944"/>
    <w:rsid w:val="01EA312A"/>
    <w:rsid w:val="01F068F2"/>
    <w:rsid w:val="01FF4992"/>
    <w:rsid w:val="02015B47"/>
    <w:rsid w:val="02111504"/>
    <w:rsid w:val="02235224"/>
    <w:rsid w:val="02282146"/>
    <w:rsid w:val="02345E8B"/>
    <w:rsid w:val="02354F69"/>
    <w:rsid w:val="02500809"/>
    <w:rsid w:val="02510BDC"/>
    <w:rsid w:val="025A19AF"/>
    <w:rsid w:val="02621EB2"/>
    <w:rsid w:val="026B4332"/>
    <w:rsid w:val="02753D93"/>
    <w:rsid w:val="02775D19"/>
    <w:rsid w:val="02850BB3"/>
    <w:rsid w:val="02934CEF"/>
    <w:rsid w:val="02985EFC"/>
    <w:rsid w:val="02A660E8"/>
    <w:rsid w:val="02A75F90"/>
    <w:rsid w:val="02AA616C"/>
    <w:rsid w:val="02B53CBE"/>
    <w:rsid w:val="02B75C34"/>
    <w:rsid w:val="02BC4DEB"/>
    <w:rsid w:val="02C11642"/>
    <w:rsid w:val="02C519A4"/>
    <w:rsid w:val="02C70C22"/>
    <w:rsid w:val="02C766DC"/>
    <w:rsid w:val="02CD15A9"/>
    <w:rsid w:val="02D012D4"/>
    <w:rsid w:val="02D21482"/>
    <w:rsid w:val="02E42A9C"/>
    <w:rsid w:val="02F62A6C"/>
    <w:rsid w:val="02FC2C26"/>
    <w:rsid w:val="030B0178"/>
    <w:rsid w:val="030C1913"/>
    <w:rsid w:val="0316617E"/>
    <w:rsid w:val="03195C6F"/>
    <w:rsid w:val="031C7D02"/>
    <w:rsid w:val="032B6C3A"/>
    <w:rsid w:val="032D2E34"/>
    <w:rsid w:val="033B2F48"/>
    <w:rsid w:val="034B7E0E"/>
    <w:rsid w:val="03576E5E"/>
    <w:rsid w:val="03746140"/>
    <w:rsid w:val="03783D1C"/>
    <w:rsid w:val="037E0EBC"/>
    <w:rsid w:val="038F1B8A"/>
    <w:rsid w:val="03A12977"/>
    <w:rsid w:val="03C0711D"/>
    <w:rsid w:val="03D27A19"/>
    <w:rsid w:val="03D34840"/>
    <w:rsid w:val="03DC6552"/>
    <w:rsid w:val="03DF7E7F"/>
    <w:rsid w:val="03E456B1"/>
    <w:rsid w:val="03E80866"/>
    <w:rsid w:val="03F940E4"/>
    <w:rsid w:val="03FB3407"/>
    <w:rsid w:val="03FE4686"/>
    <w:rsid w:val="0407623A"/>
    <w:rsid w:val="040A45ED"/>
    <w:rsid w:val="041F0240"/>
    <w:rsid w:val="044A0936"/>
    <w:rsid w:val="045D3940"/>
    <w:rsid w:val="046643CE"/>
    <w:rsid w:val="04687059"/>
    <w:rsid w:val="047636B0"/>
    <w:rsid w:val="047776B3"/>
    <w:rsid w:val="04797C66"/>
    <w:rsid w:val="04823210"/>
    <w:rsid w:val="04845847"/>
    <w:rsid w:val="049709EF"/>
    <w:rsid w:val="049A32E7"/>
    <w:rsid w:val="04A32E9D"/>
    <w:rsid w:val="04A5459C"/>
    <w:rsid w:val="04A85A33"/>
    <w:rsid w:val="04AD7D44"/>
    <w:rsid w:val="04B505E1"/>
    <w:rsid w:val="04CA4B7D"/>
    <w:rsid w:val="04DC5E9A"/>
    <w:rsid w:val="04DE672A"/>
    <w:rsid w:val="04EE3788"/>
    <w:rsid w:val="04EE7396"/>
    <w:rsid w:val="04EF33C9"/>
    <w:rsid w:val="04EF6E3D"/>
    <w:rsid w:val="04FD6405"/>
    <w:rsid w:val="050429A0"/>
    <w:rsid w:val="05065269"/>
    <w:rsid w:val="051657B3"/>
    <w:rsid w:val="0518096F"/>
    <w:rsid w:val="05224C5A"/>
    <w:rsid w:val="05263B5D"/>
    <w:rsid w:val="05365FA5"/>
    <w:rsid w:val="05377777"/>
    <w:rsid w:val="054118EE"/>
    <w:rsid w:val="05445D91"/>
    <w:rsid w:val="05473182"/>
    <w:rsid w:val="054B37A2"/>
    <w:rsid w:val="05551897"/>
    <w:rsid w:val="0559116C"/>
    <w:rsid w:val="05594C10"/>
    <w:rsid w:val="05621F7F"/>
    <w:rsid w:val="05642459"/>
    <w:rsid w:val="057B32AF"/>
    <w:rsid w:val="057D3D11"/>
    <w:rsid w:val="0597302A"/>
    <w:rsid w:val="05A12F11"/>
    <w:rsid w:val="05A57D26"/>
    <w:rsid w:val="05A71D74"/>
    <w:rsid w:val="05A95E4F"/>
    <w:rsid w:val="05BC68A5"/>
    <w:rsid w:val="05C134FC"/>
    <w:rsid w:val="05C96380"/>
    <w:rsid w:val="05D7022B"/>
    <w:rsid w:val="05DB041C"/>
    <w:rsid w:val="05DE5BF1"/>
    <w:rsid w:val="05DF682E"/>
    <w:rsid w:val="05F55A1C"/>
    <w:rsid w:val="060875F4"/>
    <w:rsid w:val="06142543"/>
    <w:rsid w:val="061A594B"/>
    <w:rsid w:val="061B18C4"/>
    <w:rsid w:val="061C6564"/>
    <w:rsid w:val="062B45ED"/>
    <w:rsid w:val="063212B4"/>
    <w:rsid w:val="06336531"/>
    <w:rsid w:val="063601AC"/>
    <w:rsid w:val="06385FC4"/>
    <w:rsid w:val="06481456"/>
    <w:rsid w:val="06543B66"/>
    <w:rsid w:val="065E0D30"/>
    <w:rsid w:val="06606421"/>
    <w:rsid w:val="0665282F"/>
    <w:rsid w:val="066A3C7B"/>
    <w:rsid w:val="066B5016"/>
    <w:rsid w:val="066C6F4E"/>
    <w:rsid w:val="06721A40"/>
    <w:rsid w:val="067B7E89"/>
    <w:rsid w:val="068E2F00"/>
    <w:rsid w:val="0693146B"/>
    <w:rsid w:val="069D4928"/>
    <w:rsid w:val="069F07B9"/>
    <w:rsid w:val="06A25401"/>
    <w:rsid w:val="06A7368A"/>
    <w:rsid w:val="06A74D48"/>
    <w:rsid w:val="06B01F3B"/>
    <w:rsid w:val="06B12033"/>
    <w:rsid w:val="06BB0EAA"/>
    <w:rsid w:val="06BF04CB"/>
    <w:rsid w:val="06C70013"/>
    <w:rsid w:val="06C93296"/>
    <w:rsid w:val="06D46BCA"/>
    <w:rsid w:val="06D90323"/>
    <w:rsid w:val="06D949E3"/>
    <w:rsid w:val="06DD1AFD"/>
    <w:rsid w:val="06E445F8"/>
    <w:rsid w:val="06E87E13"/>
    <w:rsid w:val="06ED18D7"/>
    <w:rsid w:val="06FD5F52"/>
    <w:rsid w:val="07010474"/>
    <w:rsid w:val="07034156"/>
    <w:rsid w:val="07075C9C"/>
    <w:rsid w:val="073C1361"/>
    <w:rsid w:val="07400022"/>
    <w:rsid w:val="0756231F"/>
    <w:rsid w:val="07590CF0"/>
    <w:rsid w:val="07657622"/>
    <w:rsid w:val="07767E6A"/>
    <w:rsid w:val="07797230"/>
    <w:rsid w:val="07832BD0"/>
    <w:rsid w:val="078B100F"/>
    <w:rsid w:val="07953D06"/>
    <w:rsid w:val="079A3F2C"/>
    <w:rsid w:val="07A05125"/>
    <w:rsid w:val="07A2377D"/>
    <w:rsid w:val="07A92473"/>
    <w:rsid w:val="07B465CB"/>
    <w:rsid w:val="07BA4905"/>
    <w:rsid w:val="07BC4304"/>
    <w:rsid w:val="07D14A60"/>
    <w:rsid w:val="07D40FD5"/>
    <w:rsid w:val="07D4316E"/>
    <w:rsid w:val="07E14ADB"/>
    <w:rsid w:val="07E34EA8"/>
    <w:rsid w:val="07F10AB7"/>
    <w:rsid w:val="07F15947"/>
    <w:rsid w:val="07F93805"/>
    <w:rsid w:val="07FA2903"/>
    <w:rsid w:val="08040837"/>
    <w:rsid w:val="081169D5"/>
    <w:rsid w:val="081415B7"/>
    <w:rsid w:val="081C547D"/>
    <w:rsid w:val="08252894"/>
    <w:rsid w:val="082962CE"/>
    <w:rsid w:val="082A162C"/>
    <w:rsid w:val="082C5831"/>
    <w:rsid w:val="08326375"/>
    <w:rsid w:val="08364DDB"/>
    <w:rsid w:val="083A448F"/>
    <w:rsid w:val="083F75BF"/>
    <w:rsid w:val="084F3B52"/>
    <w:rsid w:val="085E409F"/>
    <w:rsid w:val="085F3A26"/>
    <w:rsid w:val="08625F36"/>
    <w:rsid w:val="0868273B"/>
    <w:rsid w:val="0876656F"/>
    <w:rsid w:val="08782B49"/>
    <w:rsid w:val="087832DE"/>
    <w:rsid w:val="08834CD2"/>
    <w:rsid w:val="088B72CA"/>
    <w:rsid w:val="0893420B"/>
    <w:rsid w:val="089D5FCA"/>
    <w:rsid w:val="08A47847"/>
    <w:rsid w:val="08A64B69"/>
    <w:rsid w:val="08A96F6C"/>
    <w:rsid w:val="08B870B9"/>
    <w:rsid w:val="08BB0B7D"/>
    <w:rsid w:val="08BD6814"/>
    <w:rsid w:val="08C554A9"/>
    <w:rsid w:val="08C702C1"/>
    <w:rsid w:val="08CC5C4F"/>
    <w:rsid w:val="08D2725E"/>
    <w:rsid w:val="08D56BA9"/>
    <w:rsid w:val="08DE6430"/>
    <w:rsid w:val="08EE28CE"/>
    <w:rsid w:val="08FA460C"/>
    <w:rsid w:val="08FC1410"/>
    <w:rsid w:val="08FD1DB0"/>
    <w:rsid w:val="090C39AE"/>
    <w:rsid w:val="09135118"/>
    <w:rsid w:val="09135DEC"/>
    <w:rsid w:val="09245DBA"/>
    <w:rsid w:val="09311E5E"/>
    <w:rsid w:val="09326AB5"/>
    <w:rsid w:val="09364BFB"/>
    <w:rsid w:val="093B3D65"/>
    <w:rsid w:val="09532A47"/>
    <w:rsid w:val="095A4D71"/>
    <w:rsid w:val="095A61F2"/>
    <w:rsid w:val="095E10D2"/>
    <w:rsid w:val="09677BCA"/>
    <w:rsid w:val="096B24B5"/>
    <w:rsid w:val="096B3FC3"/>
    <w:rsid w:val="097052A5"/>
    <w:rsid w:val="09733EF0"/>
    <w:rsid w:val="098229F5"/>
    <w:rsid w:val="098709BF"/>
    <w:rsid w:val="09924976"/>
    <w:rsid w:val="09965E1F"/>
    <w:rsid w:val="099B6A31"/>
    <w:rsid w:val="09A5375D"/>
    <w:rsid w:val="09AA4D5C"/>
    <w:rsid w:val="09AB27FB"/>
    <w:rsid w:val="09C36367"/>
    <w:rsid w:val="09DC3A8A"/>
    <w:rsid w:val="09E426AA"/>
    <w:rsid w:val="09E86999"/>
    <w:rsid w:val="09EE6F33"/>
    <w:rsid w:val="09EE6F5D"/>
    <w:rsid w:val="09EF4D90"/>
    <w:rsid w:val="0A0013DE"/>
    <w:rsid w:val="0A00497C"/>
    <w:rsid w:val="0A0D4FB5"/>
    <w:rsid w:val="0A105F7A"/>
    <w:rsid w:val="0A150CA6"/>
    <w:rsid w:val="0A163992"/>
    <w:rsid w:val="0A1F5988"/>
    <w:rsid w:val="0A2B7FB7"/>
    <w:rsid w:val="0A2D1483"/>
    <w:rsid w:val="0A2F0DBE"/>
    <w:rsid w:val="0A2F167A"/>
    <w:rsid w:val="0A313A0C"/>
    <w:rsid w:val="0A3251DC"/>
    <w:rsid w:val="0A3A7E41"/>
    <w:rsid w:val="0A3E2510"/>
    <w:rsid w:val="0A413560"/>
    <w:rsid w:val="0A4859BC"/>
    <w:rsid w:val="0A4B3096"/>
    <w:rsid w:val="0A5151D8"/>
    <w:rsid w:val="0A54268C"/>
    <w:rsid w:val="0A605F64"/>
    <w:rsid w:val="0A654C02"/>
    <w:rsid w:val="0A661703"/>
    <w:rsid w:val="0A667B75"/>
    <w:rsid w:val="0A7107EE"/>
    <w:rsid w:val="0A736854"/>
    <w:rsid w:val="0A8650D8"/>
    <w:rsid w:val="0A8E1890"/>
    <w:rsid w:val="0A96040B"/>
    <w:rsid w:val="0A980FB2"/>
    <w:rsid w:val="0A9D1864"/>
    <w:rsid w:val="0AB20492"/>
    <w:rsid w:val="0ABF201D"/>
    <w:rsid w:val="0AE02525"/>
    <w:rsid w:val="0AE2367F"/>
    <w:rsid w:val="0AF12603"/>
    <w:rsid w:val="0AF344E1"/>
    <w:rsid w:val="0AFA1FA1"/>
    <w:rsid w:val="0B073641"/>
    <w:rsid w:val="0B0E7430"/>
    <w:rsid w:val="0B1622E9"/>
    <w:rsid w:val="0B1E2A0E"/>
    <w:rsid w:val="0B225152"/>
    <w:rsid w:val="0B2621C1"/>
    <w:rsid w:val="0B303037"/>
    <w:rsid w:val="0B36269B"/>
    <w:rsid w:val="0B3E0F30"/>
    <w:rsid w:val="0B4460B3"/>
    <w:rsid w:val="0B553B0A"/>
    <w:rsid w:val="0B6013AC"/>
    <w:rsid w:val="0B6743F7"/>
    <w:rsid w:val="0B764DD0"/>
    <w:rsid w:val="0B7D6096"/>
    <w:rsid w:val="0B801653"/>
    <w:rsid w:val="0B8E72E7"/>
    <w:rsid w:val="0B930E7B"/>
    <w:rsid w:val="0BAE10F3"/>
    <w:rsid w:val="0BBB1DAE"/>
    <w:rsid w:val="0BC5281A"/>
    <w:rsid w:val="0BC63B0D"/>
    <w:rsid w:val="0BCC4159"/>
    <w:rsid w:val="0BCF7BF4"/>
    <w:rsid w:val="0BD0264B"/>
    <w:rsid w:val="0BD50850"/>
    <w:rsid w:val="0BD55995"/>
    <w:rsid w:val="0BDC31C7"/>
    <w:rsid w:val="0BEF5CA5"/>
    <w:rsid w:val="0BF525B1"/>
    <w:rsid w:val="0C0C591E"/>
    <w:rsid w:val="0C0F3E9B"/>
    <w:rsid w:val="0C0F576D"/>
    <w:rsid w:val="0C1326F0"/>
    <w:rsid w:val="0C1955C0"/>
    <w:rsid w:val="0C26399B"/>
    <w:rsid w:val="0C291ADC"/>
    <w:rsid w:val="0C3A510A"/>
    <w:rsid w:val="0C50067B"/>
    <w:rsid w:val="0C507879"/>
    <w:rsid w:val="0C5478BF"/>
    <w:rsid w:val="0C56615C"/>
    <w:rsid w:val="0C676015"/>
    <w:rsid w:val="0C6915F2"/>
    <w:rsid w:val="0C6E0DF7"/>
    <w:rsid w:val="0C7569FC"/>
    <w:rsid w:val="0C856E52"/>
    <w:rsid w:val="0C8672C2"/>
    <w:rsid w:val="0C8835F1"/>
    <w:rsid w:val="0C9849FA"/>
    <w:rsid w:val="0CA86D79"/>
    <w:rsid w:val="0CB41A9D"/>
    <w:rsid w:val="0CB90E13"/>
    <w:rsid w:val="0CC40501"/>
    <w:rsid w:val="0CD712A7"/>
    <w:rsid w:val="0CED74B3"/>
    <w:rsid w:val="0CEE0F81"/>
    <w:rsid w:val="0CF02931"/>
    <w:rsid w:val="0CF960E4"/>
    <w:rsid w:val="0CFC12EA"/>
    <w:rsid w:val="0D0D73DD"/>
    <w:rsid w:val="0D0D7A7B"/>
    <w:rsid w:val="0D2E173F"/>
    <w:rsid w:val="0D3B40CB"/>
    <w:rsid w:val="0D3B7E88"/>
    <w:rsid w:val="0D3F4624"/>
    <w:rsid w:val="0D442E57"/>
    <w:rsid w:val="0D6304F1"/>
    <w:rsid w:val="0D842B3F"/>
    <w:rsid w:val="0D8A6929"/>
    <w:rsid w:val="0DB62113"/>
    <w:rsid w:val="0DC64E1F"/>
    <w:rsid w:val="0DC84055"/>
    <w:rsid w:val="0DC935B6"/>
    <w:rsid w:val="0DD80086"/>
    <w:rsid w:val="0DD922BC"/>
    <w:rsid w:val="0DDC36F8"/>
    <w:rsid w:val="0DDE319E"/>
    <w:rsid w:val="0DE60B36"/>
    <w:rsid w:val="0DE80D49"/>
    <w:rsid w:val="0DEE5B60"/>
    <w:rsid w:val="0DF92342"/>
    <w:rsid w:val="0E0169CE"/>
    <w:rsid w:val="0E065527"/>
    <w:rsid w:val="0E172E1A"/>
    <w:rsid w:val="0E1B33D4"/>
    <w:rsid w:val="0E271D31"/>
    <w:rsid w:val="0E29293A"/>
    <w:rsid w:val="0E2D4088"/>
    <w:rsid w:val="0E3B5080"/>
    <w:rsid w:val="0E3E1F17"/>
    <w:rsid w:val="0E416F09"/>
    <w:rsid w:val="0E582D17"/>
    <w:rsid w:val="0E5A2693"/>
    <w:rsid w:val="0E5E33BD"/>
    <w:rsid w:val="0E6072A7"/>
    <w:rsid w:val="0E6C24F0"/>
    <w:rsid w:val="0E774B4E"/>
    <w:rsid w:val="0E90717B"/>
    <w:rsid w:val="0E913F3F"/>
    <w:rsid w:val="0E9204DA"/>
    <w:rsid w:val="0E941D8D"/>
    <w:rsid w:val="0E9568B0"/>
    <w:rsid w:val="0E97378D"/>
    <w:rsid w:val="0E9A01FB"/>
    <w:rsid w:val="0E9C77E0"/>
    <w:rsid w:val="0E9D7896"/>
    <w:rsid w:val="0EA5406C"/>
    <w:rsid w:val="0EA639FA"/>
    <w:rsid w:val="0EA83ED5"/>
    <w:rsid w:val="0EAB56CC"/>
    <w:rsid w:val="0EC67D03"/>
    <w:rsid w:val="0ED15D87"/>
    <w:rsid w:val="0ED5743F"/>
    <w:rsid w:val="0EDD26E0"/>
    <w:rsid w:val="0EEF3F2E"/>
    <w:rsid w:val="0EF05272"/>
    <w:rsid w:val="0F000A81"/>
    <w:rsid w:val="0F016FDB"/>
    <w:rsid w:val="0F086673"/>
    <w:rsid w:val="0F135F9C"/>
    <w:rsid w:val="0F154C5A"/>
    <w:rsid w:val="0F1D6B1B"/>
    <w:rsid w:val="0F260122"/>
    <w:rsid w:val="0F2D42AA"/>
    <w:rsid w:val="0F417371"/>
    <w:rsid w:val="0F423C8F"/>
    <w:rsid w:val="0F486211"/>
    <w:rsid w:val="0F4F6BD2"/>
    <w:rsid w:val="0F512DFE"/>
    <w:rsid w:val="0F593CE3"/>
    <w:rsid w:val="0F5A0205"/>
    <w:rsid w:val="0F5E7D64"/>
    <w:rsid w:val="0F6059F1"/>
    <w:rsid w:val="0F6D6857"/>
    <w:rsid w:val="0F751969"/>
    <w:rsid w:val="0F8F782B"/>
    <w:rsid w:val="0F993D12"/>
    <w:rsid w:val="0F9D0A62"/>
    <w:rsid w:val="0FBB55A1"/>
    <w:rsid w:val="0FCB66B3"/>
    <w:rsid w:val="0FD526A9"/>
    <w:rsid w:val="0FD97FF0"/>
    <w:rsid w:val="0FE30B63"/>
    <w:rsid w:val="0FE91E79"/>
    <w:rsid w:val="0FEF171B"/>
    <w:rsid w:val="0FEF2558"/>
    <w:rsid w:val="0FFB6D68"/>
    <w:rsid w:val="0FFD41FD"/>
    <w:rsid w:val="10031AD8"/>
    <w:rsid w:val="102A2746"/>
    <w:rsid w:val="10376C1E"/>
    <w:rsid w:val="10405DD6"/>
    <w:rsid w:val="104C5928"/>
    <w:rsid w:val="10532DA0"/>
    <w:rsid w:val="10551D8C"/>
    <w:rsid w:val="105C6685"/>
    <w:rsid w:val="10616F40"/>
    <w:rsid w:val="106461EC"/>
    <w:rsid w:val="106916D0"/>
    <w:rsid w:val="106C7A4C"/>
    <w:rsid w:val="106D2C14"/>
    <w:rsid w:val="1088161D"/>
    <w:rsid w:val="1092036D"/>
    <w:rsid w:val="10A613B8"/>
    <w:rsid w:val="10B45948"/>
    <w:rsid w:val="10B87C12"/>
    <w:rsid w:val="10DB69B7"/>
    <w:rsid w:val="10E65969"/>
    <w:rsid w:val="10EC4CD3"/>
    <w:rsid w:val="10ED16BE"/>
    <w:rsid w:val="10F02CD2"/>
    <w:rsid w:val="10F72374"/>
    <w:rsid w:val="10F94749"/>
    <w:rsid w:val="10FE773C"/>
    <w:rsid w:val="11050F3A"/>
    <w:rsid w:val="110B7C86"/>
    <w:rsid w:val="111B7796"/>
    <w:rsid w:val="111D46B4"/>
    <w:rsid w:val="11266968"/>
    <w:rsid w:val="112906F0"/>
    <w:rsid w:val="112A5FF0"/>
    <w:rsid w:val="11356FDB"/>
    <w:rsid w:val="1137717D"/>
    <w:rsid w:val="113A2D97"/>
    <w:rsid w:val="113A7E7D"/>
    <w:rsid w:val="113F7B1C"/>
    <w:rsid w:val="114C38FF"/>
    <w:rsid w:val="115A38FF"/>
    <w:rsid w:val="11777C4F"/>
    <w:rsid w:val="117C494C"/>
    <w:rsid w:val="117F03A9"/>
    <w:rsid w:val="118A2059"/>
    <w:rsid w:val="11995A14"/>
    <w:rsid w:val="119B6FB0"/>
    <w:rsid w:val="11A608E8"/>
    <w:rsid w:val="11A766E0"/>
    <w:rsid w:val="11AA4CE6"/>
    <w:rsid w:val="11B1249F"/>
    <w:rsid w:val="11BB3F75"/>
    <w:rsid w:val="11C27133"/>
    <w:rsid w:val="11C97AFC"/>
    <w:rsid w:val="11D465C3"/>
    <w:rsid w:val="11D67D54"/>
    <w:rsid w:val="11D76769"/>
    <w:rsid w:val="11D76AC9"/>
    <w:rsid w:val="11D76B45"/>
    <w:rsid w:val="11E91A7A"/>
    <w:rsid w:val="11EC1C92"/>
    <w:rsid w:val="11FA160D"/>
    <w:rsid w:val="11FA5074"/>
    <w:rsid w:val="120F4341"/>
    <w:rsid w:val="120F6A9E"/>
    <w:rsid w:val="121E178F"/>
    <w:rsid w:val="122136E2"/>
    <w:rsid w:val="123E51A5"/>
    <w:rsid w:val="123E53DE"/>
    <w:rsid w:val="124A4CE1"/>
    <w:rsid w:val="124B09DE"/>
    <w:rsid w:val="12515293"/>
    <w:rsid w:val="125315ED"/>
    <w:rsid w:val="12565C90"/>
    <w:rsid w:val="125F485D"/>
    <w:rsid w:val="126C0B6D"/>
    <w:rsid w:val="127E28E2"/>
    <w:rsid w:val="127F4FF0"/>
    <w:rsid w:val="128A5526"/>
    <w:rsid w:val="128E6F76"/>
    <w:rsid w:val="129070A2"/>
    <w:rsid w:val="129C4880"/>
    <w:rsid w:val="129E37D4"/>
    <w:rsid w:val="12A10245"/>
    <w:rsid w:val="12A61E8B"/>
    <w:rsid w:val="12A714C9"/>
    <w:rsid w:val="12B66520"/>
    <w:rsid w:val="12C01FED"/>
    <w:rsid w:val="12C51E41"/>
    <w:rsid w:val="12C77593"/>
    <w:rsid w:val="12CC5D44"/>
    <w:rsid w:val="12DB2936"/>
    <w:rsid w:val="12DE4E08"/>
    <w:rsid w:val="12ED55F4"/>
    <w:rsid w:val="12F4621D"/>
    <w:rsid w:val="12F812AB"/>
    <w:rsid w:val="12FE59B8"/>
    <w:rsid w:val="1301042B"/>
    <w:rsid w:val="130B477D"/>
    <w:rsid w:val="130C7364"/>
    <w:rsid w:val="131360CC"/>
    <w:rsid w:val="132023CD"/>
    <w:rsid w:val="13331F54"/>
    <w:rsid w:val="1342238B"/>
    <w:rsid w:val="13485252"/>
    <w:rsid w:val="13497000"/>
    <w:rsid w:val="134C6416"/>
    <w:rsid w:val="13535B48"/>
    <w:rsid w:val="1356292B"/>
    <w:rsid w:val="13677964"/>
    <w:rsid w:val="136D7CFE"/>
    <w:rsid w:val="13767ADB"/>
    <w:rsid w:val="137D0DEC"/>
    <w:rsid w:val="137E7BD5"/>
    <w:rsid w:val="13891A0B"/>
    <w:rsid w:val="138A7669"/>
    <w:rsid w:val="13927E1B"/>
    <w:rsid w:val="1393350B"/>
    <w:rsid w:val="139A46AA"/>
    <w:rsid w:val="139D287A"/>
    <w:rsid w:val="139F6FB4"/>
    <w:rsid w:val="13AC3D25"/>
    <w:rsid w:val="13B859C9"/>
    <w:rsid w:val="13D65416"/>
    <w:rsid w:val="13D8396B"/>
    <w:rsid w:val="13DE69E7"/>
    <w:rsid w:val="13E52FB8"/>
    <w:rsid w:val="13E94074"/>
    <w:rsid w:val="13F62ACF"/>
    <w:rsid w:val="14010F13"/>
    <w:rsid w:val="140629A0"/>
    <w:rsid w:val="140E1025"/>
    <w:rsid w:val="14227ECC"/>
    <w:rsid w:val="1426603E"/>
    <w:rsid w:val="143740D8"/>
    <w:rsid w:val="14404836"/>
    <w:rsid w:val="144D69FB"/>
    <w:rsid w:val="145950FC"/>
    <w:rsid w:val="145C2565"/>
    <w:rsid w:val="14627278"/>
    <w:rsid w:val="146B158C"/>
    <w:rsid w:val="1475351E"/>
    <w:rsid w:val="147D3462"/>
    <w:rsid w:val="147D7658"/>
    <w:rsid w:val="147E798C"/>
    <w:rsid w:val="14853F2D"/>
    <w:rsid w:val="148A7B64"/>
    <w:rsid w:val="14950FCB"/>
    <w:rsid w:val="14A32AD4"/>
    <w:rsid w:val="14A502E2"/>
    <w:rsid w:val="14A86665"/>
    <w:rsid w:val="14B6588E"/>
    <w:rsid w:val="14BA29D8"/>
    <w:rsid w:val="14BD12D2"/>
    <w:rsid w:val="14C64A14"/>
    <w:rsid w:val="14CE1614"/>
    <w:rsid w:val="14CE758B"/>
    <w:rsid w:val="14CF50F8"/>
    <w:rsid w:val="14D86E56"/>
    <w:rsid w:val="14E0464C"/>
    <w:rsid w:val="14EC63F5"/>
    <w:rsid w:val="14EE7AA7"/>
    <w:rsid w:val="14EF0EBD"/>
    <w:rsid w:val="14F32C2F"/>
    <w:rsid w:val="14FA3215"/>
    <w:rsid w:val="14FE0980"/>
    <w:rsid w:val="150E1686"/>
    <w:rsid w:val="15191204"/>
    <w:rsid w:val="151E19F2"/>
    <w:rsid w:val="1522406F"/>
    <w:rsid w:val="152C1024"/>
    <w:rsid w:val="15321BAC"/>
    <w:rsid w:val="153F6159"/>
    <w:rsid w:val="15402152"/>
    <w:rsid w:val="154B25EC"/>
    <w:rsid w:val="154D55B7"/>
    <w:rsid w:val="15545B7C"/>
    <w:rsid w:val="15573978"/>
    <w:rsid w:val="155C56E0"/>
    <w:rsid w:val="1562240A"/>
    <w:rsid w:val="156766BE"/>
    <w:rsid w:val="158F3DE0"/>
    <w:rsid w:val="1594158F"/>
    <w:rsid w:val="159E5AFA"/>
    <w:rsid w:val="15A44760"/>
    <w:rsid w:val="15A93EFE"/>
    <w:rsid w:val="15AA123A"/>
    <w:rsid w:val="15B945C7"/>
    <w:rsid w:val="15CB4851"/>
    <w:rsid w:val="15CE6085"/>
    <w:rsid w:val="15E01835"/>
    <w:rsid w:val="15EA66EB"/>
    <w:rsid w:val="15F16F74"/>
    <w:rsid w:val="160142CD"/>
    <w:rsid w:val="160C041C"/>
    <w:rsid w:val="16175528"/>
    <w:rsid w:val="162A58DA"/>
    <w:rsid w:val="162D57EF"/>
    <w:rsid w:val="16300BEB"/>
    <w:rsid w:val="1634210F"/>
    <w:rsid w:val="16342542"/>
    <w:rsid w:val="163C2B13"/>
    <w:rsid w:val="164367DE"/>
    <w:rsid w:val="16555B6A"/>
    <w:rsid w:val="165F1FC3"/>
    <w:rsid w:val="1660277C"/>
    <w:rsid w:val="166139C2"/>
    <w:rsid w:val="166248A1"/>
    <w:rsid w:val="16756754"/>
    <w:rsid w:val="167E0786"/>
    <w:rsid w:val="168123F1"/>
    <w:rsid w:val="16845253"/>
    <w:rsid w:val="16855282"/>
    <w:rsid w:val="168B26F9"/>
    <w:rsid w:val="168C0184"/>
    <w:rsid w:val="16905BEC"/>
    <w:rsid w:val="16927F98"/>
    <w:rsid w:val="169A5A8F"/>
    <w:rsid w:val="16A333A7"/>
    <w:rsid w:val="16A50B6A"/>
    <w:rsid w:val="16A57A69"/>
    <w:rsid w:val="16AA28FA"/>
    <w:rsid w:val="16B34D7B"/>
    <w:rsid w:val="16C945AC"/>
    <w:rsid w:val="16D77CBF"/>
    <w:rsid w:val="16DB0BFD"/>
    <w:rsid w:val="16FD5FCF"/>
    <w:rsid w:val="17033859"/>
    <w:rsid w:val="17033CFE"/>
    <w:rsid w:val="17041FCF"/>
    <w:rsid w:val="171E3822"/>
    <w:rsid w:val="1726179A"/>
    <w:rsid w:val="173349C8"/>
    <w:rsid w:val="173B4B99"/>
    <w:rsid w:val="173D2EE9"/>
    <w:rsid w:val="1740460A"/>
    <w:rsid w:val="174A5489"/>
    <w:rsid w:val="174C4AA0"/>
    <w:rsid w:val="175F3247"/>
    <w:rsid w:val="176355F8"/>
    <w:rsid w:val="17643AAF"/>
    <w:rsid w:val="17663E02"/>
    <w:rsid w:val="17666413"/>
    <w:rsid w:val="1768254B"/>
    <w:rsid w:val="176C6D00"/>
    <w:rsid w:val="1772665E"/>
    <w:rsid w:val="177C149C"/>
    <w:rsid w:val="17800EC8"/>
    <w:rsid w:val="178C5AA1"/>
    <w:rsid w:val="17915AC4"/>
    <w:rsid w:val="1791639B"/>
    <w:rsid w:val="179C70A9"/>
    <w:rsid w:val="17A72666"/>
    <w:rsid w:val="17AE180B"/>
    <w:rsid w:val="17AF6891"/>
    <w:rsid w:val="17B52BE5"/>
    <w:rsid w:val="17B6028C"/>
    <w:rsid w:val="17BA5811"/>
    <w:rsid w:val="17BF757C"/>
    <w:rsid w:val="17C3509D"/>
    <w:rsid w:val="17D925B6"/>
    <w:rsid w:val="17E00F6E"/>
    <w:rsid w:val="17E769AB"/>
    <w:rsid w:val="17E86438"/>
    <w:rsid w:val="17EE22B8"/>
    <w:rsid w:val="17EF37F9"/>
    <w:rsid w:val="17F673B7"/>
    <w:rsid w:val="17F770BC"/>
    <w:rsid w:val="18020A10"/>
    <w:rsid w:val="180430D0"/>
    <w:rsid w:val="18047825"/>
    <w:rsid w:val="181A7AA6"/>
    <w:rsid w:val="182271D1"/>
    <w:rsid w:val="18293512"/>
    <w:rsid w:val="182C548F"/>
    <w:rsid w:val="18327661"/>
    <w:rsid w:val="183E11DD"/>
    <w:rsid w:val="184B01F2"/>
    <w:rsid w:val="1850387F"/>
    <w:rsid w:val="1856132B"/>
    <w:rsid w:val="185830D7"/>
    <w:rsid w:val="185C2EDF"/>
    <w:rsid w:val="18650AF2"/>
    <w:rsid w:val="18675385"/>
    <w:rsid w:val="186902BF"/>
    <w:rsid w:val="18701884"/>
    <w:rsid w:val="18704BAD"/>
    <w:rsid w:val="18753F7E"/>
    <w:rsid w:val="18760FDE"/>
    <w:rsid w:val="18902D39"/>
    <w:rsid w:val="18A63ABA"/>
    <w:rsid w:val="18AC19CF"/>
    <w:rsid w:val="18AC3BEE"/>
    <w:rsid w:val="18B62A06"/>
    <w:rsid w:val="18C570D3"/>
    <w:rsid w:val="18CB0714"/>
    <w:rsid w:val="18E96735"/>
    <w:rsid w:val="18EC0606"/>
    <w:rsid w:val="18F062DE"/>
    <w:rsid w:val="18FA1113"/>
    <w:rsid w:val="18FD4F90"/>
    <w:rsid w:val="19044582"/>
    <w:rsid w:val="19087026"/>
    <w:rsid w:val="190A5ABE"/>
    <w:rsid w:val="190C2389"/>
    <w:rsid w:val="191778B0"/>
    <w:rsid w:val="191A1E29"/>
    <w:rsid w:val="191C4C03"/>
    <w:rsid w:val="192060E9"/>
    <w:rsid w:val="192C6212"/>
    <w:rsid w:val="192D6B20"/>
    <w:rsid w:val="19306E1A"/>
    <w:rsid w:val="19387784"/>
    <w:rsid w:val="193F069B"/>
    <w:rsid w:val="19455F1C"/>
    <w:rsid w:val="19610DEF"/>
    <w:rsid w:val="1961286F"/>
    <w:rsid w:val="196407AD"/>
    <w:rsid w:val="19653D45"/>
    <w:rsid w:val="19665D28"/>
    <w:rsid w:val="19744352"/>
    <w:rsid w:val="19760232"/>
    <w:rsid w:val="19802721"/>
    <w:rsid w:val="19850AF9"/>
    <w:rsid w:val="1989144C"/>
    <w:rsid w:val="198F24E4"/>
    <w:rsid w:val="19902190"/>
    <w:rsid w:val="19A8303F"/>
    <w:rsid w:val="19AF5DD1"/>
    <w:rsid w:val="19BC46A1"/>
    <w:rsid w:val="19BC6AE8"/>
    <w:rsid w:val="19C42EF9"/>
    <w:rsid w:val="19C94053"/>
    <w:rsid w:val="19CC28F6"/>
    <w:rsid w:val="19D0149C"/>
    <w:rsid w:val="19D6173B"/>
    <w:rsid w:val="19F0523F"/>
    <w:rsid w:val="19FC39C1"/>
    <w:rsid w:val="19FE6B05"/>
    <w:rsid w:val="1A02498D"/>
    <w:rsid w:val="1A09071C"/>
    <w:rsid w:val="1A126CE5"/>
    <w:rsid w:val="1A145B19"/>
    <w:rsid w:val="1A165FE9"/>
    <w:rsid w:val="1A1B1255"/>
    <w:rsid w:val="1A2364FA"/>
    <w:rsid w:val="1A27385F"/>
    <w:rsid w:val="1A2D79BA"/>
    <w:rsid w:val="1A333936"/>
    <w:rsid w:val="1A3A554B"/>
    <w:rsid w:val="1A4221B0"/>
    <w:rsid w:val="1A4325D3"/>
    <w:rsid w:val="1A4C24FB"/>
    <w:rsid w:val="1A4E6954"/>
    <w:rsid w:val="1A5D3CBD"/>
    <w:rsid w:val="1A5F0B69"/>
    <w:rsid w:val="1A6316CE"/>
    <w:rsid w:val="1A6A1A25"/>
    <w:rsid w:val="1A6C6398"/>
    <w:rsid w:val="1A6E5FB1"/>
    <w:rsid w:val="1A7B717D"/>
    <w:rsid w:val="1A7C1BE7"/>
    <w:rsid w:val="1A7C5A17"/>
    <w:rsid w:val="1A8B64E4"/>
    <w:rsid w:val="1A920847"/>
    <w:rsid w:val="1A9739AF"/>
    <w:rsid w:val="1AA85A85"/>
    <w:rsid w:val="1AA92FF4"/>
    <w:rsid w:val="1AB0573F"/>
    <w:rsid w:val="1AC53748"/>
    <w:rsid w:val="1AC64307"/>
    <w:rsid w:val="1AD21CCB"/>
    <w:rsid w:val="1AD37B8D"/>
    <w:rsid w:val="1AD47B96"/>
    <w:rsid w:val="1AD94DDF"/>
    <w:rsid w:val="1ADF6D58"/>
    <w:rsid w:val="1AFC2A03"/>
    <w:rsid w:val="1B1258BD"/>
    <w:rsid w:val="1B180311"/>
    <w:rsid w:val="1B183088"/>
    <w:rsid w:val="1B2D4CE2"/>
    <w:rsid w:val="1B2F599A"/>
    <w:rsid w:val="1B313650"/>
    <w:rsid w:val="1B3B754B"/>
    <w:rsid w:val="1B563F9E"/>
    <w:rsid w:val="1B656D35"/>
    <w:rsid w:val="1B6B39BC"/>
    <w:rsid w:val="1B6C7155"/>
    <w:rsid w:val="1B72173B"/>
    <w:rsid w:val="1B744224"/>
    <w:rsid w:val="1B7A5099"/>
    <w:rsid w:val="1B7A6C0C"/>
    <w:rsid w:val="1B7C43B8"/>
    <w:rsid w:val="1B7E7D96"/>
    <w:rsid w:val="1B7F55A6"/>
    <w:rsid w:val="1B803B6F"/>
    <w:rsid w:val="1B827CC8"/>
    <w:rsid w:val="1B851185"/>
    <w:rsid w:val="1B89508D"/>
    <w:rsid w:val="1B8B576C"/>
    <w:rsid w:val="1BA17DF6"/>
    <w:rsid w:val="1BAE18A7"/>
    <w:rsid w:val="1BB14302"/>
    <w:rsid w:val="1BBA2DE0"/>
    <w:rsid w:val="1BC65E87"/>
    <w:rsid w:val="1BCE0F9D"/>
    <w:rsid w:val="1BE136C9"/>
    <w:rsid w:val="1BE83AC4"/>
    <w:rsid w:val="1BE846EC"/>
    <w:rsid w:val="1BEE66EE"/>
    <w:rsid w:val="1BF12978"/>
    <w:rsid w:val="1C182E62"/>
    <w:rsid w:val="1C294FF9"/>
    <w:rsid w:val="1C296169"/>
    <w:rsid w:val="1C3138A1"/>
    <w:rsid w:val="1C340F0E"/>
    <w:rsid w:val="1C356870"/>
    <w:rsid w:val="1C4A1A70"/>
    <w:rsid w:val="1C50373A"/>
    <w:rsid w:val="1C5A78FA"/>
    <w:rsid w:val="1C5E5533"/>
    <w:rsid w:val="1C602D58"/>
    <w:rsid w:val="1C6C3AD6"/>
    <w:rsid w:val="1C6E712E"/>
    <w:rsid w:val="1C7B1C92"/>
    <w:rsid w:val="1C901B90"/>
    <w:rsid w:val="1C92580A"/>
    <w:rsid w:val="1C961AB5"/>
    <w:rsid w:val="1CBA4001"/>
    <w:rsid w:val="1CC45CDD"/>
    <w:rsid w:val="1CE03C2B"/>
    <w:rsid w:val="1CE27F12"/>
    <w:rsid w:val="1CEB59C9"/>
    <w:rsid w:val="1CEE0835"/>
    <w:rsid w:val="1CF00880"/>
    <w:rsid w:val="1D002E71"/>
    <w:rsid w:val="1D0D71B0"/>
    <w:rsid w:val="1D11447C"/>
    <w:rsid w:val="1D182540"/>
    <w:rsid w:val="1D1F4F82"/>
    <w:rsid w:val="1D3C35D7"/>
    <w:rsid w:val="1D3C7E89"/>
    <w:rsid w:val="1D434E54"/>
    <w:rsid w:val="1D4E4EA9"/>
    <w:rsid w:val="1D532A73"/>
    <w:rsid w:val="1D581489"/>
    <w:rsid w:val="1D582060"/>
    <w:rsid w:val="1D61678A"/>
    <w:rsid w:val="1D6628F1"/>
    <w:rsid w:val="1D6864B5"/>
    <w:rsid w:val="1D716925"/>
    <w:rsid w:val="1D756532"/>
    <w:rsid w:val="1D7D1142"/>
    <w:rsid w:val="1D7D1CA1"/>
    <w:rsid w:val="1D8130A9"/>
    <w:rsid w:val="1D830B79"/>
    <w:rsid w:val="1D8E12AC"/>
    <w:rsid w:val="1D914288"/>
    <w:rsid w:val="1D9C7050"/>
    <w:rsid w:val="1D9E300B"/>
    <w:rsid w:val="1DA07F05"/>
    <w:rsid w:val="1DA75838"/>
    <w:rsid w:val="1DB65465"/>
    <w:rsid w:val="1DBC3A09"/>
    <w:rsid w:val="1DDD1FE1"/>
    <w:rsid w:val="1DE32193"/>
    <w:rsid w:val="1DE71DF5"/>
    <w:rsid w:val="1DEC0EC6"/>
    <w:rsid w:val="1E3627C1"/>
    <w:rsid w:val="1E3649B9"/>
    <w:rsid w:val="1E3863A1"/>
    <w:rsid w:val="1E3B0826"/>
    <w:rsid w:val="1E3E2693"/>
    <w:rsid w:val="1E40548E"/>
    <w:rsid w:val="1E4A19AF"/>
    <w:rsid w:val="1E4B50C2"/>
    <w:rsid w:val="1E5A579C"/>
    <w:rsid w:val="1E5D5868"/>
    <w:rsid w:val="1E6C6FCD"/>
    <w:rsid w:val="1E7223AB"/>
    <w:rsid w:val="1E7A3AEF"/>
    <w:rsid w:val="1E7F376F"/>
    <w:rsid w:val="1E874C28"/>
    <w:rsid w:val="1E8F3078"/>
    <w:rsid w:val="1E8F542F"/>
    <w:rsid w:val="1EA63909"/>
    <w:rsid w:val="1EB14A2F"/>
    <w:rsid w:val="1EB3177A"/>
    <w:rsid w:val="1EB3600A"/>
    <w:rsid w:val="1EB56858"/>
    <w:rsid w:val="1EC705C4"/>
    <w:rsid w:val="1EC83B25"/>
    <w:rsid w:val="1ECD4C36"/>
    <w:rsid w:val="1ED97BDC"/>
    <w:rsid w:val="1EDC2723"/>
    <w:rsid w:val="1EDD7129"/>
    <w:rsid w:val="1EE5351D"/>
    <w:rsid w:val="1EF8692C"/>
    <w:rsid w:val="1EFB70AD"/>
    <w:rsid w:val="1F0115D1"/>
    <w:rsid w:val="1F02433E"/>
    <w:rsid w:val="1F2545A0"/>
    <w:rsid w:val="1F473B37"/>
    <w:rsid w:val="1F5B41C5"/>
    <w:rsid w:val="1F5B522B"/>
    <w:rsid w:val="1F602B95"/>
    <w:rsid w:val="1F6034DA"/>
    <w:rsid w:val="1F610464"/>
    <w:rsid w:val="1F6608F6"/>
    <w:rsid w:val="1F6B516B"/>
    <w:rsid w:val="1F737DA7"/>
    <w:rsid w:val="1F914072"/>
    <w:rsid w:val="1F974D47"/>
    <w:rsid w:val="1F9F7601"/>
    <w:rsid w:val="1FA57346"/>
    <w:rsid w:val="1FAA0518"/>
    <w:rsid w:val="1FAD7813"/>
    <w:rsid w:val="1FC97374"/>
    <w:rsid w:val="1FDF676A"/>
    <w:rsid w:val="1FED554B"/>
    <w:rsid w:val="1FF110DC"/>
    <w:rsid w:val="1FF96282"/>
    <w:rsid w:val="1FFE6231"/>
    <w:rsid w:val="1FFF1113"/>
    <w:rsid w:val="200107D5"/>
    <w:rsid w:val="20052B5D"/>
    <w:rsid w:val="2007394F"/>
    <w:rsid w:val="20086CC5"/>
    <w:rsid w:val="200F3C1D"/>
    <w:rsid w:val="201620B4"/>
    <w:rsid w:val="202B68AE"/>
    <w:rsid w:val="202F793E"/>
    <w:rsid w:val="203D3166"/>
    <w:rsid w:val="203E1472"/>
    <w:rsid w:val="20404305"/>
    <w:rsid w:val="20431E47"/>
    <w:rsid w:val="20481907"/>
    <w:rsid w:val="206036D4"/>
    <w:rsid w:val="2064115A"/>
    <w:rsid w:val="206870D0"/>
    <w:rsid w:val="206E103C"/>
    <w:rsid w:val="206F1475"/>
    <w:rsid w:val="207634AF"/>
    <w:rsid w:val="20824104"/>
    <w:rsid w:val="208B6F33"/>
    <w:rsid w:val="20904241"/>
    <w:rsid w:val="20923102"/>
    <w:rsid w:val="209A12F6"/>
    <w:rsid w:val="20A5542D"/>
    <w:rsid w:val="20A724DA"/>
    <w:rsid w:val="20AA40A0"/>
    <w:rsid w:val="20AF6A38"/>
    <w:rsid w:val="20BD1C65"/>
    <w:rsid w:val="20C2676B"/>
    <w:rsid w:val="20CC5370"/>
    <w:rsid w:val="20CE7CBB"/>
    <w:rsid w:val="20D61ED3"/>
    <w:rsid w:val="20D85477"/>
    <w:rsid w:val="20EE5EE3"/>
    <w:rsid w:val="20F24255"/>
    <w:rsid w:val="210D463D"/>
    <w:rsid w:val="21167CEB"/>
    <w:rsid w:val="211A51B3"/>
    <w:rsid w:val="2122497B"/>
    <w:rsid w:val="21326BF0"/>
    <w:rsid w:val="21382F57"/>
    <w:rsid w:val="2146613E"/>
    <w:rsid w:val="21483DCB"/>
    <w:rsid w:val="21484995"/>
    <w:rsid w:val="214F31D6"/>
    <w:rsid w:val="21520506"/>
    <w:rsid w:val="21584258"/>
    <w:rsid w:val="215971DB"/>
    <w:rsid w:val="216473AC"/>
    <w:rsid w:val="216840B7"/>
    <w:rsid w:val="21707ABA"/>
    <w:rsid w:val="217C7FFF"/>
    <w:rsid w:val="217D6F5B"/>
    <w:rsid w:val="217F32EA"/>
    <w:rsid w:val="217F7DE1"/>
    <w:rsid w:val="218C712D"/>
    <w:rsid w:val="219433BE"/>
    <w:rsid w:val="219B42AE"/>
    <w:rsid w:val="219F4DC2"/>
    <w:rsid w:val="21A2678D"/>
    <w:rsid w:val="21A6323A"/>
    <w:rsid w:val="21A8172A"/>
    <w:rsid w:val="21B8627A"/>
    <w:rsid w:val="21C91A13"/>
    <w:rsid w:val="21D74D1D"/>
    <w:rsid w:val="21DC1077"/>
    <w:rsid w:val="21E06B3C"/>
    <w:rsid w:val="21E500BF"/>
    <w:rsid w:val="21F46DD7"/>
    <w:rsid w:val="21FE34D3"/>
    <w:rsid w:val="22102FC3"/>
    <w:rsid w:val="22106435"/>
    <w:rsid w:val="2211058E"/>
    <w:rsid w:val="2212793C"/>
    <w:rsid w:val="221B21D9"/>
    <w:rsid w:val="22202DFF"/>
    <w:rsid w:val="222039B6"/>
    <w:rsid w:val="222446A3"/>
    <w:rsid w:val="22263305"/>
    <w:rsid w:val="22267251"/>
    <w:rsid w:val="223631D9"/>
    <w:rsid w:val="223D6AA4"/>
    <w:rsid w:val="224A3888"/>
    <w:rsid w:val="2258018F"/>
    <w:rsid w:val="22581FE8"/>
    <w:rsid w:val="2269387C"/>
    <w:rsid w:val="22694385"/>
    <w:rsid w:val="226A1EB8"/>
    <w:rsid w:val="226C7BAC"/>
    <w:rsid w:val="22770F1D"/>
    <w:rsid w:val="227765C2"/>
    <w:rsid w:val="22834CF1"/>
    <w:rsid w:val="228F4F8F"/>
    <w:rsid w:val="229A773C"/>
    <w:rsid w:val="229C6E40"/>
    <w:rsid w:val="229F0037"/>
    <w:rsid w:val="22A77209"/>
    <w:rsid w:val="22B26378"/>
    <w:rsid w:val="22B60D16"/>
    <w:rsid w:val="22B649DD"/>
    <w:rsid w:val="22B83BBC"/>
    <w:rsid w:val="22C205C9"/>
    <w:rsid w:val="22C2087A"/>
    <w:rsid w:val="22DB1E07"/>
    <w:rsid w:val="22DF69C6"/>
    <w:rsid w:val="22EC00A9"/>
    <w:rsid w:val="22F874E8"/>
    <w:rsid w:val="22FC4DA6"/>
    <w:rsid w:val="230612A7"/>
    <w:rsid w:val="230C5519"/>
    <w:rsid w:val="230F4FB3"/>
    <w:rsid w:val="23181576"/>
    <w:rsid w:val="232668D5"/>
    <w:rsid w:val="232A266D"/>
    <w:rsid w:val="232C327F"/>
    <w:rsid w:val="23314ABB"/>
    <w:rsid w:val="23384757"/>
    <w:rsid w:val="23462716"/>
    <w:rsid w:val="23490CEA"/>
    <w:rsid w:val="234C25AA"/>
    <w:rsid w:val="234E1D95"/>
    <w:rsid w:val="234E7067"/>
    <w:rsid w:val="23550AD0"/>
    <w:rsid w:val="23577E5C"/>
    <w:rsid w:val="235A168E"/>
    <w:rsid w:val="235B0632"/>
    <w:rsid w:val="235F6585"/>
    <w:rsid w:val="236672FA"/>
    <w:rsid w:val="2366735C"/>
    <w:rsid w:val="2394513F"/>
    <w:rsid w:val="23AB38F0"/>
    <w:rsid w:val="23B271DC"/>
    <w:rsid w:val="23B742F4"/>
    <w:rsid w:val="23B9450B"/>
    <w:rsid w:val="23BC0507"/>
    <w:rsid w:val="23CB21DA"/>
    <w:rsid w:val="23DB5B4C"/>
    <w:rsid w:val="23DD1F6C"/>
    <w:rsid w:val="23FC3A49"/>
    <w:rsid w:val="240437AA"/>
    <w:rsid w:val="240C2B3A"/>
    <w:rsid w:val="240D2A9C"/>
    <w:rsid w:val="2418496F"/>
    <w:rsid w:val="24210E4E"/>
    <w:rsid w:val="242C18C4"/>
    <w:rsid w:val="242C213A"/>
    <w:rsid w:val="2443398C"/>
    <w:rsid w:val="24536A9D"/>
    <w:rsid w:val="245F17EC"/>
    <w:rsid w:val="245F1806"/>
    <w:rsid w:val="24624B37"/>
    <w:rsid w:val="24625EA0"/>
    <w:rsid w:val="246E68E8"/>
    <w:rsid w:val="24895713"/>
    <w:rsid w:val="248A1A59"/>
    <w:rsid w:val="249B50CC"/>
    <w:rsid w:val="249D1453"/>
    <w:rsid w:val="249F35E6"/>
    <w:rsid w:val="24A0399F"/>
    <w:rsid w:val="24AB339B"/>
    <w:rsid w:val="24AF1021"/>
    <w:rsid w:val="24B876B2"/>
    <w:rsid w:val="24C26D4F"/>
    <w:rsid w:val="24CD287B"/>
    <w:rsid w:val="24D659ED"/>
    <w:rsid w:val="24E821FC"/>
    <w:rsid w:val="24F554E6"/>
    <w:rsid w:val="24F75065"/>
    <w:rsid w:val="25090523"/>
    <w:rsid w:val="250A7D5C"/>
    <w:rsid w:val="251746F0"/>
    <w:rsid w:val="25295107"/>
    <w:rsid w:val="253208B7"/>
    <w:rsid w:val="253F2264"/>
    <w:rsid w:val="2541397E"/>
    <w:rsid w:val="25482FD6"/>
    <w:rsid w:val="254B40B2"/>
    <w:rsid w:val="254D335F"/>
    <w:rsid w:val="255346CB"/>
    <w:rsid w:val="25577EE4"/>
    <w:rsid w:val="256455BA"/>
    <w:rsid w:val="25712EAE"/>
    <w:rsid w:val="25846799"/>
    <w:rsid w:val="25847B33"/>
    <w:rsid w:val="259A122B"/>
    <w:rsid w:val="25A179C3"/>
    <w:rsid w:val="25A23B72"/>
    <w:rsid w:val="25B33FA7"/>
    <w:rsid w:val="25BD3CA6"/>
    <w:rsid w:val="25BF3326"/>
    <w:rsid w:val="25BF627F"/>
    <w:rsid w:val="25C766C8"/>
    <w:rsid w:val="25CB7A58"/>
    <w:rsid w:val="25D37304"/>
    <w:rsid w:val="25DC5E42"/>
    <w:rsid w:val="25EE750F"/>
    <w:rsid w:val="26084AA7"/>
    <w:rsid w:val="260A6611"/>
    <w:rsid w:val="260F58DC"/>
    <w:rsid w:val="2617264B"/>
    <w:rsid w:val="262234D1"/>
    <w:rsid w:val="262420A3"/>
    <w:rsid w:val="262B45F2"/>
    <w:rsid w:val="26407842"/>
    <w:rsid w:val="264D2600"/>
    <w:rsid w:val="26577ACC"/>
    <w:rsid w:val="265A062F"/>
    <w:rsid w:val="26600825"/>
    <w:rsid w:val="26720048"/>
    <w:rsid w:val="26741BDF"/>
    <w:rsid w:val="267B0D13"/>
    <w:rsid w:val="26916F1C"/>
    <w:rsid w:val="26A1465B"/>
    <w:rsid w:val="26A717FF"/>
    <w:rsid w:val="26A772A7"/>
    <w:rsid w:val="26A821CC"/>
    <w:rsid w:val="26AC79C8"/>
    <w:rsid w:val="26AE7FF0"/>
    <w:rsid w:val="26AF70B6"/>
    <w:rsid w:val="26B171B9"/>
    <w:rsid w:val="26B86B93"/>
    <w:rsid w:val="26BA2A88"/>
    <w:rsid w:val="26D72604"/>
    <w:rsid w:val="26D933C3"/>
    <w:rsid w:val="26ED0B28"/>
    <w:rsid w:val="26F92A28"/>
    <w:rsid w:val="270068E1"/>
    <w:rsid w:val="27036A48"/>
    <w:rsid w:val="270812F9"/>
    <w:rsid w:val="27120152"/>
    <w:rsid w:val="271F14F4"/>
    <w:rsid w:val="272A0CB2"/>
    <w:rsid w:val="27300FEA"/>
    <w:rsid w:val="273839BB"/>
    <w:rsid w:val="273E6635"/>
    <w:rsid w:val="27410905"/>
    <w:rsid w:val="274145D0"/>
    <w:rsid w:val="27447205"/>
    <w:rsid w:val="275F7EF3"/>
    <w:rsid w:val="27630F09"/>
    <w:rsid w:val="2764097C"/>
    <w:rsid w:val="276500BD"/>
    <w:rsid w:val="27767961"/>
    <w:rsid w:val="278542B4"/>
    <w:rsid w:val="279069C1"/>
    <w:rsid w:val="27A66474"/>
    <w:rsid w:val="27B631D8"/>
    <w:rsid w:val="27B8076F"/>
    <w:rsid w:val="27C407F8"/>
    <w:rsid w:val="27CC091C"/>
    <w:rsid w:val="27E67A43"/>
    <w:rsid w:val="27EB1AE2"/>
    <w:rsid w:val="27FA15F4"/>
    <w:rsid w:val="27FC19AB"/>
    <w:rsid w:val="28094907"/>
    <w:rsid w:val="280C64F9"/>
    <w:rsid w:val="280F1B09"/>
    <w:rsid w:val="281837A9"/>
    <w:rsid w:val="28187989"/>
    <w:rsid w:val="281D08B3"/>
    <w:rsid w:val="282B5E5B"/>
    <w:rsid w:val="28441B85"/>
    <w:rsid w:val="28445BA3"/>
    <w:rsid w:val="284E5C31"/>
    <w:rsid w:val="28572FF4"/>
    <w:rsid w:val="2861534B"/>
    <w:rsid w:val="286921AF"/>
    <w:rsid w:val="28736B9C"/>
    <w:rsid w:val="28776D26"/>
    <w:rsid w:val="288847BE"/>
    <w:rsid w:val="289042BD"/>
    <w:rsid w:val="28940373"/>
    <w:rsid w:val="28A06628"/>
    <w:rsid w:val="28AA045C"/>
    <w:rsid w:val="28BD5251"/>
    <w:rsid w:val="28D01274"/>
    <w:rsid w:val="28D92391"/>
    <w:rsid w:val="28E901C4"/>
    <w:rsid w:val="28F60BE9"/>
    <w:rsid w:val="28FC7B97"/>
    <w:rsid w:val="29040AEF"/>
    <w:rsid w:val="291717A7"/>
    <w:rsid w:val="2917705B"/>
    <w:rsid w:val="291974D7"/>
    <w:rsid w:val="291C3F2D"/>
    <w:rsid w:val="291E603C"/>
    <w:rsid w:val="292835F2"/>
    <w:rsid w:val="292C5631"/>
    <w:rsid w:val="29357C71"/>
    <w:rsid w:val="293E43CA"/>
    <w:rsid w:val="295B1778"/>
    <w:rsid w:val="295C4FE8"/>
    <w:rsid w:val="29723BE5"/>
    <w:rsid w:val="29753B56"/>
    <w:rsid w:val="2979190F"/>
    <w:rsid w:val="29791BFE"/>
    <w:rsid w:val="2980065D"/>
    <w:rsid w:val="2982372F"/>
    <w:rsid w:val="29A2287A"/>
    <w:rsid w:val="29A95FD6"/>
    <w:rsid w:val="29B26CBD"/>
    <w:rsid w:val="29B915F2"/>
    <w:rsid w:val="29BE4D9A"/>
    <w:rsid w:val="29BF65D9"/>
    <w:rsid w:val="29C60BDD"/>
    <w:rsid w:val="29D90B77"/>
    <w:rsid w:val="29DF5F05"/>
    <w:rsid w:val="29ED4980"/>
    <w:rsid w:val="29F9436E"/>
    <w:rsid w:val="29FD49E7"/>
    <w:rsid w:val="29FD5C67"/>
    <w:rsid w:val="2A205C5E"/>
    <w:rsid w:val="2A2B3809"/>
    <w:rsid w:val="2A2F3C53"/>
    <w:rsid w:val="2A331DF3"/>
    <w:rsid w:val="2A333102"/>
    <w:rsid w:val="2A3335E3"/>
    <w:rsid w:val="2A334528"/>
    <w:rsid w:val="2A3415B0"/>
    <w:rsid w:val="2A366446"/>
    <w:rsid w:val="2A492C82"/>
    <w:rsid w:val="2A4B5B42"/>
    <w:rsid w:val="2A4D00D1"/>
    <w:rsid w:val="2A5C4D90"/>
    <w:rsid w:val="2A6D1035"/>
    <w:rsid w:val="2A6D366D"/>
    <w:rsid w:val="2A701253"/>
    <w:rsid w:val="2A715FD6"/>
    <w:rsid w:val="2A7C0B09"/>
    <w:rsid w:val="2A8071E6"/>
    <w:rsid w:val="2A836E98"/>
    <w:rsid w:val="2A8B3817"/>
    <w:rsid w:val="2A8F385D"/>
    <w:rsid w:val="2A9034B4"/>
    <w:rsid w:val="2A9B78A5"/>
    <w:rsid w:val="2AA53EF6"/>
    <w:rsid w:val="2AA605A4"/>
    <w:rsid w:val="2AA60DD9"/>
    <w:rsid w:val="2AB33F87"/>
    <w:rsid w:val="2AC0509C"/>
    <w:rsid w:val="2ACC1D18"/>
    <w:rsid w:val="2ACD0B36"/>
    <w:rsid w:val="2AD111FD"/>
    <w:rsid w:val="2AE31254"/>
    <w:rsid w:val="2B023CFB"/>
    <w:rsid w:val="2B034328"/>
    <w:rsid w:val="2B052E66"/>
    <w:rsid w:val="2B057B58"/>
    <w:rsid w:val="2B0C6254"/>
    <w:rsid w:val="2B286A59"/>
    <w:rsid w:val="2B2E3CA3"/>
    <w:rsid w:val="2B3A05CF"/>
    <w:rsid w:val="2B507EB6"/>
    <w:rsid w:val="2B5A6D36"/>
    <w:rsid w:val="2B5D556F"/>
    <w:rsid w:val="2B5F6EA6"/>
    <w:rsid w:val="2B61049A"/>
    <w:rsid w:val="2B642A3F"/>
    <w:rsid w:val="2B692A79"/>
    <w:rsid w:val="2B7208B0"/>
    <w:rsid w:val="2B723083"/>
    <w:rsid w:val="2B761F1B"/>
    <w:rsid w:val="2B9C1E3E"/>
    <w:rsid w:val="2BA26914"/>
    <w:rsid w:val="2BB35D53"/>
    <w:rsid w:val="2BC02C71"/>
    <w:rsid w:val="2BD6261E"/>
    <w:rsid w:val="2BE0479E"/>
    <w:rsid w:val="2BEB1605"/>
    <w:rsid w:val="2BF60E02"/>
    <w:rsid w:val="2C0C40B6"/>
    <w:rsid w:val="2C0D60C4"/>
    <w:rsid w:val="2C1659B8"/>
    <w:rsid w:val="2C221352"/>
    <w:rsid w:val="2C230F12"/>
    <w:rsid w:val="2C340552"/>
    <w:rsid w:val="2C363DD6"/>
    <w:rsid w:val="2C3A3A18"/>
    <w:rsid w:val="2C406671"/>
    <w:rsid w:val="2C437678"/>
    <w:rsid w:val="2C5F7ED0"/>
    <w:rsid w:val="2C701C82"/>
    <w:rsid w:val="2C770FA3"/>
    <w:rsid w:val="2C7929C9"/>
    <w:rsid w:val="2C7A0005"/>
    <w:rsid w:val="2C7A2CDC"/>
    <w:rsid w:val="2C80128F"/>
    <w:rsid w:val="2C871E96"/>
    <w:rsid w:val="2C8C4DA7"/>
    <w:rsid w:val="2C940967"/>
    <w:rsid w:val="2CA3250F"/>
    <w:rsid w:val="2CA83BFD"/>
    <w:rsid w:val="2CB172AB"/>
    <w:rsid w:val="2CB5245E"/>
    <w:rsid w:val="2CBA73E2"/>
    <w:rsid w:val="2CC05B0C"/>
    <w:rsid w:val="2CCC61DC"/>
    <w:rsid w:val="2CD80088"/>
    <w:rsid w:val="2CDA6E57"/>
    <w:rsid w:val="2CE30F22"/>
    <w:rsid w:val="2CE460FF"/>
    <w:rsid w:val="2CE77235"/>
    <w:rsid w:val="2CFA5E70"/>
    <w:rsid w:val="2CFD1EAE"/>
    <w:rsid w:val="2CFF2CF1"/>
    <w:rsid w:val="2D0020FD"/>
    <w:rsid w:val="2D004449"/>
    <w:rsid w:val="2D040A3A"/>
    <w:rsid w:val="2D174297"/>
    <w:rsid w:val="2D1B6979"/>
    <w:rsid w:val="2D241E80"/>
    <w:rsid w:val="2D281971"/>
    <w:rsid w:val="2D3065F6"/>
    <w:rsid w:val="2D3E159C"/>
    <w:rsid w:val="2D406CBA"/>
    <w:rsid w:val="2D454F76"/>
    <w:rsid w:val="2D572256"/>
    <w:rsid w:val="2D5E5ACD"/>
    <w:rsid w:val="2D664E53"/>
    <w:rsid w:val="2D764C10"/>
    <w:rsid w:val="2D770D59"/>
    <w:rsid w:val="2D78580C"/>
    <w:rsid w:val="2D7A291E"/>
    <w:rsid w:val="2D7A5B83"/>
    <w:rsid w:val="2D7A691B"/>
    <w:rsid w:val="2D7E6051"/>
    <w:rsid w:val="2D8662AB"/>
    <w:rsid w:val="2D8A5B70"/>
    <w:rsid w:val="2D9D3CD6"/>
    <w:rsid w:val="2DAB070C"/>
    <w:rsid w:val="2DB81BCA"/>
    <w:rsid w:val="2DBA421D"/>
    <w:rsid w:val="2DC45F81"/>
    <w:rsid w:val="2DCA68D8"/>
    <w:rsid w:val="2DCB4211"/>
    <w:rsid w:val="2DD123D5"/>
    <w:rsid w:val="2DDD275B"/>
    <w:rsid w:val="2DE75388"/>
    <w:rsid w:val="2DEB0CDA"/>
    <w:rsid w:val="2DFF65A7"/>
    <w:rsid w:val="2E007074"/>
    <w:rsid w:val="2E082A3B"/>
    <w:rsid w:val="2E14172E"/>
    <w:rsid w:val="2E156C84"/>
    <w:rsid w:val="2E1B6050"/>
    <w:rsid w:val="2E1E7D94"/>
    <w:rsid w:val="2E1F458A"/>
    <w:rsid w:val="2E1F48B4"/>
    <w:rsid w:val="2E325AC6"/>
    <w:rsid w:val="2E344DAF"/>
    <w:rsid w:val="2E3933DD"/>
    <w:rsid w:val="2E542892"/>
    <w:rsid w:val="2E576580"/>
    <w:rsid w:val="2E7C5CD1"/>
    <w:rsid w:val="2E7F31FB"/>
    <w:rsid w:val="2E827222"/>
    <w:rsid w:val="2E881839"/>
    <w:rsid w:val="2E936895"/>
    <w:rsid w:val="2E9C1619"/>
    <w:rsid w:val="2EA90574"/>
    <w:rsid w:val="2EA96D06"/>
    <w:rsid w:val="2EB948EE"/>
    <w:rsid w:val="2EBA1580"/>
    <w:rsid w:val="2EC767B9"/>
    <w:rsid w:val="2ECE30AA"/>
    <w:rsid w:val="2EDE7E92"/>
    <w:rsid w:val="2EDF2CF0"/>
    <w:rsid w:val="2EE32667"/>
    <w:rsid w:val="2EE70C2A"/>
    <w:rsid w:val="2EFE24FC"/>
    <w:rsid w:val="2F063C87"/>
    <w:rsid w:val="2F0B230D"/>
    <w:rsid w:val="2F0B554C"/>
    <w:rsid w:val="2F112DCE"/>
    <w:rsid w:val="2F174552"/>
    <w:rsid w:val="2F1831B2"/>
    <w:rsid w:val="2F190B01"/>
    <w:rsid w:val="2F1D1825"/>
    <w:rsid w:val="2F1F6148"/>
    <w:rsid w:val="2F397ECA"/>
    <w:rsid w:val="2F4C7A7D"/>
    <w:rsid w:val="2F542571"/>
    <w:rsid w:val="2F5B2DBA"/>
    <w:rsid w:val="2F622F67"/>
    <w:rsid w:val="2F624BBD"/>
    <w:rsid w:val="2F66504C"/>
    <w:rsid w:val="2F71599D"/>
    <w:rsid w:val="2F73434C"/>
    <w:rsid w:val="2F77336C"/>
    <w:rsid w:val="2F826EF7"/>
    <w:rsid w:val="2F831B61"/>
    <w:rsid w:val="2F8C627E"/>
    <w:rsid w:val="2F9E6F42"/>
    <w:rsid w:val="2FA86799"/>
    <w:rsid w:val="2FB65506"/>
    <w:rsid w:val="2FBB122D"/>
    <w:rsid w:val="2FBB3BF3"/>
    <w:rsid w:val="2FD8381E"/>
    <w:rsid w:val="2FD94D87"/>
    <w:rsid w:val="2FDB3DFA"/>
    <w:rsid w:val="2FDD1EC2"/>
    <w:rsid w:val="2FDF0645"/>
    <w:rsid w:val="2FE17991"/>
    <w:rsid w:val="2FE779E3"/>
    <w:rsid w:val="2FED5A57"/>
    <w:rsid w:val="2FF7387C"/>
    <w:rsid w:val="2FFC03DC"/>
    <w:rsid w:val="300A7C9C"/>
    <w:rsid w:val="300B61F3"/>
    <w:rsid w:val="301256DD"/>
    <w:rsid w:val="30166435"/>
    <w:rsid w:val="30186224"/>
    <w:rsid w:val="30192227"/>
    <w:rsid w:val="301F4F73"/>
    <w:rsid w:val="3028126B"/>
    <w:rsid w:val="302F1D36"/>
    <w:rsid w:val="30325164"/>
    <w:rsid w:val="303B3444"/>
    <w:rsid w:val="304159E4"/>
    <w:rsid w:val="30461251"/>
    <w:rsid w:val="304B20EC"/>
    <w:rsid w:val="304F3F56"/>
    <w:rsid w:val="305E2667"/>
    <w:rsid w:val="305E6FBC"/>
    <w:rsid w:val="30602CE0"/>
    <w:rsid w:val="30622D1F"/>
    <w:rsid w:val="306240DF"/>
    <w:rsid w:val="306B7CFC"/>
    <w:rsid w:val="3071398E"/>
    <w:rsid w:val="30764BC5"/>
    <w:rsid w:val="307C417D"/>
    <w:rsid w:val="307D42E1"/>
    <w:rsid w:val="307D6BEE"/>
    <w:rsid w:val="30826F45"/>
    <w:rsid w:val="308512FF"/>
    <w:rsid w:val="3091617B"/>
    <w:rsid w:val="30962223"/>
    <w:rsid w:val="309A0381"/>
    <w:rsid w:val="309F66E8"/>
    <w:rsid w:val="30A208D6"/>
    <w:rsid w:val="30A820C2"/>
    <w:rsid w:val="30AD40B6"/>
    <w:rsid w:val="30B02ECD"/>
    <w:rsid w:val="30B72E36"/>
    <w:rsid w:val="30C97C89"/>
    <w:rsid w:val="30CA2708"/>
    <w:rsid w:val="30D0747B"/>
    <w:rsid w:val="30D644EB"/>
    <w:rsid w:val="31000E5F"/>
    <w:rsid w:val="310E2D17"/>
    <w:rsid w:val="311901A8"/>
    <w:rsid w:val="31231CE1"/>
    <w:rsid w:val="312C3581"/>
    <w:rsid w:val="312E3158"/>
    <w:rsid w:val="313073AB"/>
    <w:rsid w:val="313C08DB"/>
    <w:rsid w:val="314D409C"/>
    <w:rsid w:val="31511FCB"/>
    <w:rsid w:val="3164256F"/>
    <w:rsid w:val="31686B72"/>
    <w:rsid w:val="316A4740"/>
    <w:rsid w:val="316C1AF9"/>
    <w:rsid w:val="316E5904"/>
    <w:rsid w:val="31744959"/>
    <w:rsid w:val="31820ECF"/>
    <w:rsid w:val="31876059"/>
    <w:rsid w:val="31890D85"/>
    <w:rsid w:val="31940D88"/>
    <w:rsid w:val="31941E22"/>
    <w:rsid w:val="31AD3F6C"/>
    <w:rsid w:val="31B8236B"/>
    <w:rsid w:val="31CD4724"/>
    <w:rsid w:val="31D04565"/>
    <w:rsid w:val="31D308E5"/>
    <w:rsid w:val="31D60522"/>
    <w:rsid w:val="31DC5E9C"/>
    <w:rsid w:val="31DD1B4B"/>
    <w:rsid w:val="31E06BCA"/>
    <w:rsid w:val="31E340B8"/>
    <w:rsid w:val="31E37F93"/>
    <w:rsid w:val="31EA4F27"/>
    <w:rsid w:val="31F816AF"/>
    <w:rsid w:val="32003AE3"/>
    <w:rsid w:val="32083CCE"/>
    <w:rsid w:val="320C2566"/>
    <w:rsid w:val="3214409C"/>
    <w:rsid w:val="32157EE6"/>
    <w:rsid w:val="321829A2"/>
    <w:rsid w:val="32204093"/>
    <w:rsid w:val="322354C0"/>
    <w:rsid w:val="3227696F"/>
    <w:rsid w:val="322A3FD0"/>
    <w:rsid w:val="322B2CE8"/>
    <w:rsid w:val="323139FD"/>
    <w:rsid w:val="323904E7"/>
    <w:rsid w:val="323B5551"/>
    <w:rsid w:val="32403CD5"/>
    <w:rsid w:val="32484430"/>
    <w:rsid w:val="325A50D2"/>
    <w:rsid w:val="325E156A"/>
    <w:rsid w:val="326B0434"/>
    <w:rsid w:val="326E734D"/>
    <w:rsid w:val="327E1E9E"/>
    <w:rsid w:val="328B180D"/>
    <w:rsid w:val="32A14C53"/>
    <w:rsid w:val="32BA27AC"/>
    <w:rsid w:val="32D3172E"/>
    <w:rsid w:val="32D61DAA"/>
    <w:rsid w:val="32F24B3E"/>
    <w:rsid w:val="32F4036A"/>
    <w:rsid w:val="33070EE0"/>
    <w:rsid w:val="33273C28"/>
    <w:rsid w:val="332C1869"/>
    <w:rsid w:val="33326A09"/>
    <w:rsid w:val="33357C0F"/>
    <w:rsid w:val="334B2CD9"/>
    <w:rsid w:val="33503CCC"/>
    <w:rsid w:val="33511DB2"/>
    <w:rsid w:val="335C6117"/>
    <w:rsid w:val="336026F6"/>
    <w:rsid w:val="33667930"/>
    <w:rsid w:val="336C1328"/>
    <w:rsid w:val="336C29C5"/>
    <w:rsid w:val="33721AC2"/>
    <w:rsid w:val="33760000"/>
    <w:rsid w:val="337C7524"/>
    <w:rsid w:val="337D67F0"/>
    <w:rsid w:val="33822604"/>
    <w:rsid w:val="338E2C59"/>
    <w:rsid w:val="339031A2"/>
    <w:rsid w:val="339901DA"/>
    <w:rsid w:val="339F1ED0"/>
    <w:rsid w:val="33A56078"/>
    <w:rsid w:val="33B12DFC"/>
    <w:rsid w:val="33B212E1"/>
    <w:rsid w:val="33B5385B"/>
    <w:rsid w:val="33B817BD"/>
    <w:rsid w:val="33C70135"/>
    <w:rsid w:val="33C95FB0"/>
    <w:rsid w:val="33CA19D4"/>
    <w:rsid w:val="33DB585B"/>
    <w:rsid w:val="33DD6C96"/>
    <w:rsid w:val="33E02A5B"/>
    <w:rsid w:val="33E71C0E"/>
    <w:rsid w:val="33E949A8"/>
    <w:rsid w:val="33EC63F3"/>
    <w:rsid w:val="33F420AC"/>
    <w:rsid w:val="33FB3502"/>
    <w:rsid w:val="33FC0C35"/>
    <w:rsid w:val="340443D8"/>
    <w:rsid w:val="340864A8"/>
    <w:rsid w:val="340A7BD4"/>
    <w:rsid w:val="34115587"/>
    <w:rsid w:val="341C751F"/>
    <w:rsid w:val="342122F5"/>
    <w:rsid w:val="342343BE"/>
    <w:rsid w:val="34237F48"/>
    <w:rsid w:val="3427000D"/>
    <w:rsid w:val="342A1034"/>
    <w:rsid w:val="342A5DDA"/>
    <w:rsid w:val="3430563F"/>
    <w:rsid w:val="345536BE"/>
    <w:rsid w:val="346D289C"/>
    <w:rsid w:val="34746954"/>
    <w:rsid w:val="348262E8"/>
    <w:rsid w:val="34852DFB"/>
    <w:rsid w:val="34870FF3"/>
    <w:rsid w:val="34AA308A"/>
    <w:rsid w:val="34AB2EFA"/>
    <w:rsid w:val="34AE3021"/>
    <w:rsid w:val="34B5369D"/>
    <w:rsid w:val="34C23927"/>
    <w:rsid w:val="34D05BDF"/>
    <w:rsid w:val="34D74524"/>
    <w:rsid w:val="34EF21BA"/>
    <w:rsid w:val="34FB21EC"/>
    <w:rsid w:val="35015A23"/>
    <w:rsid w:val="351362DA"/>
    <w:rsid w:val="351509F4"/>
    <w:rsid w:val="35255498"/>
    <w:rsid w:val="352B6064"/>
    <w:rsid w:val="353266FE"/>
    <w:rsid w:val="353627E6"/>
    <w:rsid w:val="353704C9"/>
    <w:rsid w:val="355154B2"/>
    <w:rsid w:val="355B39D5"/>
    <w:rsid w:val="35667F1D"/>
    <w:rsid w:val="356A72E6"/>
    <w:rsid w:val="35736FC0"/>
    <w:rsid w:val="358C2E02"/>
    <w:rsid w:val="358D0946"/>
    <w:rsid w:val="35906BB6"/>
    <w:rsid w:val="359274C2"/>
    <w:rsid w:val="359A4474"/>
    <w:rsid w:val="359E49E9"/>
    <w:rsid w:val="35AC7D9F"/>
    <w:rsid w:val="35B970F9"/>
    <w:rsid w:val="35BE48FF"/>
    <w:rsid w:val="35C41F10"/>
    <w:rsid w:val="35C743CC"/>
    <w:rsid w:val="35CC2E55"/>
    <w:rsid w:val="35D25FBE"/>
    <w:rsid w:val="35E20F81"/>
    <w:rsid w:val="35ED60F7"/>
    <w:rsid w:val="35F257DC"/>
    <w:rsid w:val="35F52853"/>
    <w:rsid w:val="36036E4C"/>
    <w:rsid w:val="360646D4"/>
    <w:rsid w:val="360F2A66"/>
    <w:rsid w:val="360F6222"/>
    <w:rsid w:val="36177358"/>
    <w:rsid w:val="36177C38"/>
    <w:rsid w:val="36273F67"/>
    <w:rsid w:val="3629718C"/>
    <w:rsid w:val="36297E88"/>
    <w:rsid w:val="363A4100"/>
    <w:rsid w:val="36410A3A"/>
    <w:rsid w:val="364D2060"/>
    <w:rsid w:val="364E7F63"/>
    <w:rsid w:val="36564417"/>
    <w:rsid w:val="365D393C"/>
    <w:rsid w:val="36611E9F"/>
    <w:rsid w:val="36690B5B"/>
    <w:rsid w:val="366A3E8C"/>
    <w:rsid w:val="366A4252"/>
    <w:rsid w:val="367754DE"/>
    <w:rsid w:val="36784AF0"/>
    <w:rsid w:val="36835E6A"/>
    <w:rsid w:val="36900D69"/>
    <w:rsid w:val="369236D1"/>
    <w:rsid w:val="36963DEF"/>
    <w:rsid w:val="36A121B3"/>
    <w:rsid w:val="36A346E4"/>
    <w:rsid w:val="36AA0095"/>
    <w:rsid w:val="36B4266A"/>
    <w:rsid w:val="36C64BF6"/>
    <w:rsid w:val="36D72FA9"/>
    <w:rsid w:val="36DD1115"/>
    <w:rsid w:val="36E74838"/>
    <w:rsid w:val="36EC5F07"/>
    <w:rsid w:val="36FA4156"/>
    <w:rsid w:val="37013427"/>
    <w:rsid w:val="370653E7"/>
    <w:rsid w:val="370E3984"/>
    <w:rsid w:val="371F2036"/>
    <w:rsid w:val="372627C0"/>
    <w:rsid w:val="373B505A"/>
    <w:rsid w:val="373D64BF"/>
    <w:rsid w:val="374F2F07"/>
    <w:rsid w:val="3750792F"/>
    <w:rsid w:val="375463DB"/>
    <w:rsid w:val="375F7232"/>
    <w:rsid w:val="37625982"/>
    <w:rsid w:val="37671578"/>
    <w:rsid w:val="3768699A"/>
    <w:rsid w:val="377059D0"/>
    <w:rsid w:val="37734DC6"/>
    <w:rsid w:val="37736F6C"/>
    <w:rsid w:val="37810884"/>
    <w:rsid w:val="378123A9"/>
    <w:rsid w:val="378336FB"/>
    <w:rsid w:val="378674E1"/>
    <w:rsid w:val="37977E1F"/>
    <w:rsid w:val="379B76DA"/>
    <w:rsid w:val="37BE4787"/>
    <w:rsid w:val="37C83999"/>
    <w:rsid w:val="37CF417F"/>
    <w:rsid w:val="37D214BE"/>
    <w:rsid w:val="37D61CCA"/>
    <w:rsid w:val="37D72D05"/>
    <w:rsid w:val="37DF41BC"/>
    <w:rsid w:val="37E21686"/>
    <w:rsid w:val="37EF6356"/>
    <w:rsid w:val="37F42AB8"/>
    <w:rsid w:val="37FB6790"/>
    <w:rsid w:val="37FD4445"/>
    <w:rsid w:val="380517DC"/>
    <w:rsid w:val="380B5401"/>
    <w:rsid w:val="381A4EA7"/>
    <w:rsid w:val="382429A4"/>
    <w:rsid w:val="38252598"/>
    <w:rsid w:val="382F654A"/>
    <w:rsid w:val="38350332"/>
    <w:rsid w:val="383970A7"/>
    <w:rsid w:val="38420117"/>
    <w:rsid w:val="38495504"/>
    <w:rsid w:val="384E3BBB"/>
    <w:rsid w:val="3862667F"/>
    <w:rsid w:val="38650C1B"/>
    <w:rsid w:val="38681613"/>
    <w:rsid w:val="38710AB3"/>
    <w:rsid w:val="388607F3"/>
    <w:rsid w:val="38982766"/>
    <w:rsid w:val="38991B97"/>
    <w:rsid w:val="389B342A"/>
    <w:rsid w:val="38A07B54"/>
    <w:rsid w:val="38A314BA"/>
    <w:rsid w:val="38AC37B6"/>
    <w:rsid w:val="38B5657F"/>
    <w:rsid w:val="38B85B40"/>
    <w:rsid w:val="38CC4BED"/>
    <w:rsid w:val="38DC2F57"/>
    <w:rsid w:val="38F95415"/>
    <w:rsid w:val="390412D8"/>
    <w:rsid w:val="390C505F"/>
    <w:rsid w:val="392017C0"/>
    <w:rsid w:val="39227BBC"/>
    <w:rsid w:val="39252B76"/>
    <w:rsid w:val="392C4D9D"/>
    <w:rsid w:val="392E6561"/>
    <w:rsid w:val="392E6F43"/>
    <w:rsid w:val="393301D1"/>
    <w:rsid w:val="39364785"/>
    <w:rsid w:val="39391132"/>
    <w:rsid w:val="39456DCA"/>
    <w:rsid w:val="394D69CA"/>
    <w:rsid w:val="394F0285"/>
    <w:rsid w:val="394F3CCB"/>
    <w:rsid w:val="3952140A"/>
    <w:rsid w:val="39554235"/>
    <w:rsid w:val="397A1C59"/>
    <w:rsid w:val="397F6E8D"/>
    <w:rsid w:val="39917A79"/>
    <w:rsid w:val="3999784A"/>
    <w:rsid w:val="399B732B"/>
    <w:rsid w:val="399B7825"/>
    <w:rsid w:val="399C2FF4"/>
    <w:rsid w:val="39A209C1"/>
    <w:rsid w:val="39A94569"/>
    <w:rsid w:val="39AD6790"/>
    <w:rsid w:val="39C84866"/>
    <w:rsid w:val="39C86214"/>
    <w:rsid w:val="39C96254"/>
    <w:rsid w:val="39D252AE"/>
    <w:rsid w:val="39D26619"/>
    <w:rsid w:val="39DA3944"/>
    <w:rsid w:val="39E25290"/>
    <w:rsid w:val="39E276D4"/>
    <w:rsid w:val="39E93BC2"/>
    <w:rsid w:val="39F8422A"/>
    <w:rsid w:val="39F91CCB"/>
    <w:rsid w:val="3A010011"/>
    <w:rsid w:val="3A04454A"/>
    <w:rsid w:val="3A083592"/>
    <w:rsid w:val="3A09219E"/>
    <w:rsid w:val="3A092B2A"/>
    <w:rsid w:val="3A0E457E"/>
    <w:rsid w:val="3A1352F1"/>
    <w:rsid w:val="3A387E09"/>
    <w:rsid w:val="3A3D6D40"/>
    <w:rsid w:val="3A4112DA"/>
    <w:rsid w:val="3A462802"/>
    <w:rsid w:val="3A485C20"/>
    <w:rsid w:val="3A4A4CC7"/>
    <w:rsid w:val="3A4A5C8B"/>
    <w:rsid w:val="3A60703D"/>
    <w:rsid w:val="3A6C2289"/>
    <w:rsid w:val="3A6F3FC5"/>
    <w:rsid w:val="3A6F6FB5"/>
    <w:rsid w:val="3A8810AF"/>
    <w:rsid w:val="3A955CCA"/>
    <w:rsid w:val="3A9B2460"/>
    <w:rsid w:val="3A9E2E87"/>
    <w:rsid w:val="3AA62464"/>
    <w:rsid w:val="3AB61DD5"/>
    <w:rsid w:val="3AB642F2"/>
    <w:rsid w:val="3ABC194A"/>
    <w:rsid w:val="3AC21656"/>
    <w:rsid w:val="3AC60DC7"/>
    <w:rsid w:val="3AC97FAA"/>
    <w:rsid w:val="3ACB4EA8"/>
    <w:rsid w:val="3ACF35EC"/>
    <w:rsid w:val="3AE510DD"/>
    <w:rsid w:val="3AE80E8E"/>
    <w:rsid w:val="3AEA2742"/>
    <w:rsid w:val="3AFA0B5B"/>
    <w:rsid w:val="3AFD6137"/>
    <w:rsid w:val="3AFF52EB"/>
    <w:rsid w:val="3B0376FA"/>
    <w:rsid w:val="3B082388"/>
    <w:rsid w:val="3B0D52B2"/>
    <w:rsid w:val="3B0D5D4C"/>
    <w:rsid w:val="3B143A56"/>
    <w:rsid w:val="3B166C95"/>
    <w:rsid w:val="3B1B4B14"/>
    <w:rsid w:val="3B31058A"/>
    <w:rsid w:val="3B367657"/>
    <w:rsid w:val="3B410BE2"/>
    <w:rsid w:val="3B411A26"/>
    <w:rsid w:val="3B500811"/>
    <w:rsid w:val="3B5732FB"/>
    <w:rsid w:val="3B691AD2"/>
    <w:rsid w:val="3B8904A2"/>
    <w:rsid w:val="3B9A7293"/>
    <w:rsid w:val="3BAB6FA6"/>
    <w:rsid w:val="3BD24ADD"/>
    <w:rsid w:val="3BD71030"/>
    <w:rsid w:val="3BDA30C9"/>
    <w:rsid w:val="3BDF38AF"/>
    <w:rsid w:val="3C04303B"/>
    <w:rsid w:val="3C285D82"/>
    <w:rsid w:val="3C2F7C32"/>
    <w:rsid w:val="3C32053F"/>
    <w:rsid w:val="3C3E406C"/>
    <w:rsid w:val="3C4C6A66"/>
    <w:rsid w:val="3C51067F"/>
    <w:rsid w:val="3C536B06"/>
    <w:rsid w:val="3C58436E"/>
    <w:rsid w:val="3C672048"/>
    <w:rsid w:val="3C7A386B"/>
    <w:rsid w:val="3C960B15"/>
    <w:rsid w:val="3C974817"/>
    <w:rsid w:val="3C9F710B"/>
    <w:rsid w:val="3CA300F5"/>
    <w:rsid w:val="3CA9364C"/>
    <w:rsid w:val="3CAA3FAB"/>
    <w:rsid w:val="3CB74FF6"/>
    <w:rsid w:val="3CB816A4"/>
    <w:rsid w:val="3CD72898"/>
    <w:rsid w:val="3CD741BF"/>
    <w:rsid w:val="3CE27D8E"/>
    <w:rsid w:val="3CE865B0"/>
    <w:rsid w:val="3CEC0A17"/>
    <w:rsid w:val="3CED427C"/>
    <w:rsid w:val="3CF038D6"/>
    <w:rsid w:val="3CFC24D2"/>
    <w:rsid w:val="3D083788"/>
    <w:rsid w:val="3D0D7049"/>
    <w:rsid w:val="3D144F76"/>
    <w:rsid w:val="3D2008A3"/>
    <w:rsid w:val="3D2E2411"/>
    <w:rsid w:val="3D337B31"/>
    <w:rsid w:val="3D4A2A1A"/>
    <w:rsid w:val="3D5005EB"/>
    <w:rsid w:val="3D6C7D3F"/>
    <w:rsid w:val="3D9307B4"/>
    <w:rsid w:val="3D9E2234"/>
    <w:rsid w:val="3D9F4956"/>
    <w:rsid w:val="3DAA5311"/>
    <w:rsid w:val="3DAB3216"/>
    <w:rsid w:val="3DBD041E"/>
    <w:rsid w:val="3DC70D32"/>
    <w:rsid w:val="3DD35B24"/>
    <w:rsid w:val="3DE06791"/>
    <w:rsid w:val="3DE66128"/>
    <w:rsid w:val="3DE9514C"/>
    <w:rsid w:val="3DEC3A44"/>
    <w:rsid w:val="3E145C1C"/>
    <w:rsid w:val="3E1607EF"/>
    <w:rsid w:val="3E1A50E1"/>
    <w:rsid w:val="3E1C7725"/>
    <w:rsid w:val="3E25747C"/>
    <w:rsid w:val="3E26098F"/>
    <w:rsid w:val="3E2F7877"/>
    <w:rsid w:val="3E3B04B0"/>
    <w:rsid w:val="3E3E7F7D"/>
    <w:rsid w:val="3E4D031B"/>
    <w:rsid w:val="3E4F3306"/>
    <w:rsid w:val="3E6B319E"/>
    <w:rsid w:val="3E6D7B2B"/>
    <w:rsid w:val="3E75364C"/>
    <w:rsid w:val="3E796FBB"/>
    <w:rsid w:val="3E7D20AD"/>
    <w:rsid w:val="3E98343F"/>
    <w:rsid w:val="3EA12164"/>
    <w:rsid w:val="3EA22193"/>
    <w:rsid w:val="3EA77B3A"/>
    <w:rsid w:val="3EAA61FD"/>
    <w:rsid w:val="3EB44782"/>
    <w:rsid w:val="3EBC00BF"/>
    <w:rsid w:val="3EBD0BC4"/>
    <w:rsid w:val="3EBF0B79"/>
    <w:rsid w:val="3EC35584"/>
    <w:rsid w:val="3EC97CCB"/>
    <w:rsid w:val="3ECA36DF"/>
    <w:rsid w:val="3ED2230C"/>
    <w:rsid w:val="3ED42A97"/>
    <w:rsid w:val="3EE13C67"/>
    <w:rsid w:val="3EE27E07"/>
    <w:rsid w:val="3EE300F7"/>
    <w:rsid w:val="3EEB27FE"/>
    <w:rsid w:val="3EF26282"/>
    <w:rsid w:val="3F0A6D15"/>
    <w:rsid w:val="3F151403"/>
    <w:rsid w:val="3F1B4469"/>
    <w:rsid w:val="3F1C0B53"/>
    <w:rsid w:val="3F337FF6"/>
    <w:rsid w:val="3F340649"/>
    <w:rsid w:val="3F394A24"/>
    <w:rsid w:val="3F4802CD"/>
    <w:rsid w:val="3F563233"/>
    <w:rsid w:val="3F5A76C2"/>
    <w:rsid w:val="3F697211"/>
    <w:rsid w:val="3F723947"/>
    <w:rsid w:val="3F734553"/>
    <w:rsid w:val="3F822788"/>
    <w:rsid w:val="3F855E0F"/>
    <w:rsid w:val="3F8C5D8F"/>
    <w:rsid w:val="3F9379FF"/>
    <w:rsid w:val="3F954106"/>
    <w:rsid w:val="3F9723FF"/>
    <w:rsid w:val="3F9B075C"/>
    <w:rsid w:val="3FA104DD"/>
    <w:rsid w:val="3FA24D04"/>
    <w:rsid w:val="3FA45CFF"/>
    <w:rsid w:val="3FAA4B03"/>
    <w:rsid w:val="3FB74B6A"/>
    <w:rsid w:val="3FBB15E4"/>
    <w:rsid w:val="3FC53F70"/>
    <w:rsid w:val="3FCA0C1E"/>
    <w:rsid w:val="3FDA4009"/>
    <w:rsid w:val="3FE574EF"/>
    <w:rsid w:val="3FE67A94"/>
    <w:rsid w:val="40171F63"/>
    <w:rsid w:val="401C76D3"/>
    <w:rsid w:val="402179A3"/>
    <w:rsid w:val="40330CA4"/>
    <w:rsid w:val="40350D5F"/>
    <w:rsid w:val="4051781D"/>
    <w:rsid w:val="405D727E"/>
    <w:rsid w:val="40601CDF"/>
    <w:rsid w:val="40624D42"/>
    <w:rsid w:val="406F3C61"/>
    <w:rsid w:val="40734F8E"/>
    <w:rsid w:val="40890A0A"/>
    <w:rsid w:val="408B2769"/>
    <w:rsid w:val="40963AA1"/>
    <w:rsid w:val="40AE1FF7"/>
    <w:rsid w:val="40B733A7"/>
    <w:rsid w:val="40BA68B9"/>
    <w:rsid w:val="40C16266"/>
    <w:rsid w:val="40C235CF"/>
    <w:rsid w:val="40C314BB"/>
    <w:rsid w:val="40CD0B1C"/>
    <w:rsid w:val="40CF00C1"/>
    <w:rsid w:val="40DC5386"/>
    <w:rsid w:val="40E40DFF"/>
    <w:rsid w:val="40FD678B"/>
    <w:rsid w:val="41076015"/>
    <w:rsid w:val="410B5436"/>
    <w:rsid w:val="41176148"/>
    <w:rsid w:val="411E7E74"/>
    <w:rsid w:val="412344BF"/>
    <w:rsid w:val="412C5510"/>
    <w:rsid w:val="41356D45"/>
    <w:rsid w:val="41395AA3"/>
    <w:rsid w:val="4148165E"/>
    <w:rsid w:val="414F7E63"/>
    <w:rsid w:val="415818BD"/>
    <w:rsid w:val="4173037E"/>
    <w:rsid w:val="41763898"/>
    <w:rsid w:val="4178619D"/>
    <w:rsid w:val="4199324B"/>
    <w:rsid w:val="41997965"/>
    <w:rsid w:val="41997BF4"/>
    <w:rsid w:val="41A25E23"/>
    <w:rsid w:val="41BA20AB"/>
    <w:rsid w:val="41D33240"/>
    <w:rsid w:val="41D70DF8"/>
    <w:rsid w:val="41DB32FB"/>
    <w:rsid w:val="41DB562E"/>
    <w:rsid w:val="41E00282"/>
    <w:rsid w:val="41E24A84"/>
    <w:rsid w:val="41E734A9"/>
    <w:rsid w:val="41EF5897"/>
    <w:rsid w:val="41F141C8"/>
    <w:rsid w:val="41F769F8"/>
    <w:rsid w:val="41FA44D3"/>
    <w:rsid w:val="41FF317F"/>
    <w:rsid w:val="41FF49C1"/>
    <w:rsid w:val="420267DC"/>
    <w:rsid w:val="42092855"/>
    <w:rsid w:val="420F3AD9"/>
    <w:rsid w:val="42110D34"/>
    <w:rsid w:val="4215684A"/>
    <w:rsid w:val="421603A4"/>
    <w:rsid w:val="42160750"/>
    <w:rsid w:val="42201A72"/>
    <w:rsid w:val="42274369"/>
    <w:rsid w:val="42352A98"/>
    <w:rsid w:val="423F358D"/>
    <w:rsid w:val="42402E61"/>
    <w:rsid w:val="42441DF7"/>
    <w:rsid w:val="424B433F"/>
    <w:rsid w:val="42523A38"/>
    <w:rsid w:val="4267663F"/>
    <w:rsid w:val="426A1BC5"/>
    <w:rsid w:val="426A44DC"/>
    <w:rsid w:val="426C5237"/>
    <w:rsid w:val="426E763A"/>
    <w:rsid w:val="427603DC"/>
    <w:rsid w:val="427A1928"/>
    <w:rsid w:val="42935686"/>
    <w:rsid w:val="42970839"/>
    <w:rsid w:val="429C47B7"/>
    <w:rsid w:val="42A67168"/>
    <w:rsid w:val="42AB449F"/>
    <w:rsid w:val="42AE439D"/>
    <w:rsid w:val="42B55856"/>
    <w:rsid w:val="42BB0C2D"/>
    <w:rsid w:val="42BF2999"/>
    <w:rsid w:val="42C051B3"/>
    <w:rsid w:val="42C21EAE"/>
    <w:rsid w:val="42C27417"/>
    <w:rsid w:val="42C60F27"/>
    <w:rsid w:val="42D33507"/>
    <w:rsid w:val="42DD0636"/>
    <w:rsid w:val="42E646A2"/>
    <w:rsid w:val="42EC3CA8"/>
    <w:rsid w:val="42F45061"/>
    <w:rsid w:val="430075B6"/>
    <w:rsid w:val="430A2E6D"/>
    <w:rsid w:val="430D3041"/>
    <w:rsid w:val="431247FD"/>
    <w:rsid w:val="4320516C"/>
    <w:rsid w:val="43275C4F"/>
    <w:rsid w:val="43284892"/>
    <w:rsid w:val="43300406"/>
    <w:rsid w:val="43370D46"/>
    <w:rsid w:val="433711B8"/>
    <w:rsid w:val="43451141"/>
    <w:rsid w:val="434F746B"/>
    <w:rsid w:val="43515022"/>
    <w:rsid w:val="4358292F"/>
    <w:rsid w:val="43653F07"/>
    <w:rsid w:val="437273A2"/>
    <w:rsid w:val="4373390F"/>
    <w:rsid w:val="43737750"/>
    <w:rsid w:val="43754326"/>
    <w:rsid w:val="437B2F7D"/>
    <w:rsid w:val="438D1048"/>
    <w:rsid w:val="438D6F73"/>
    <w:rsid w:val="439671DC"/>
    <w:rsid w:val="439A257A"/>
    <w:rsid w:val="439B5FC3"/>
    <w:rsid w:val="43A17840"/>
    <w:rsid w:val="43A32635"/>
    <w:rsid w:val="43C309A2"/>
    <w:rsid w:val="43C62AA3"/>
    <w:rsid w:val="43D6297F"/>
    <w:rsid w:val="43D77093"/>
    <w:rsid w:val="43D877F5"/>
    <w:rsid w:val="43D911A0"/>
    <w:rsid w:val="43D97147"/>
    <w:rsid w:val="43DE3D30"/>
    <w:rsid w:val="43E166FE"/>
    <w:rsid w:val="43E5401A"/>
    <w:rsid w:val="43E73CDC"/>
    <w:rsid w:val="43FA758D"/>
    <w:rsid w:val="43FC5E92"/>
    <w:rsid w:val="44017F76"/>
    <w:rsid w:val="440F49AF"/>
    <w:rsid w:val="441000C1"/>
    <w:rsid w:val="441926A9"/>
    <w:rsid w:val="441E7550"/>
    <w:rsid w:val="4424251F"/>
    <w:rsid w:val="442828F8"/>
    <w:rsid w:val="442F79B9"/>
    <w:rsid w:val="443058AA"/>
    <w:rsid w:val="444136BD"/>
    <w:rsid w:val="444C352B"/>
    <w:rsid w:val="44606619"/>
    <w:rsid w:val="44674566"/>
    <w:rsid w:val="446C1472"/>
    <w:rsid w:val="446E0DE7"/>
    <w:rsid w:val="447B285E"/>
    <w:rsid w:val="44855B8D"/>
    <w:rsid w:val="44867CF7"/>
    <w:rsid w:val="44992DCB"/>
    <w:rsid w:val="44A01FB0"/>
    <w:rsid w:val="44A87936"/>
    <w:rsid w:val="44B63749"/>
    <w:rsid w:val="44C03003"/>
    <w:rsid w:val="44E173B8"/>
    <w:rsid w:val="44E33D42"/>
    <w:rsid w:val="44E94B58"/>
    <w:rsid w:val="44F10580"/>
    <w:rsid w:val="44FA6C25"/>
    <w:rsid w:val="44FD08B9"/>
    <w:rsid w:val="44FD4C59"/>
    <w:rsid w:val="45010901"/>
    <w:rsid w:val="4523483B"/>
    <w:rsid w:val="45405051"/>
    <w:rsid w:val="45503B6C"/>
    <w:rsid w:val="45615A31"/>
    <w:rsid w:val="45631F71"/>
    <w:rsid w:val="45645083"/>
    <w:rsid w:val="45645939"/>
    <w:rsid w:val="45712FBF"/>
    <w:rsid w:val="45744428"/>
    <w:rsid w:val="457A431F"/>
    <w:rsid w:val="45865AC5"/>
    <w:rsid w:val="45873F2E"/>
    <w:rsid w:val="45894183"/>
    <w:rsid w:val="45903A89"/>
    <w:rsid w:val="459A2B4B"/>
    <w:rsid w:val="459B7F89"/>
    <w:rsid w:val="45A45A2B"/>
    <w:rsid w:val="45AA28B2"/>
    <w:rsid w:val="45AE56E5"/>
    <w:rsid w:val="45B03BFE"/>
    <w:rsid w:val="45B47BFC"/>
    <w:rsid w:val="45B50B81"/>
    <w:rsid w:val="45B60586"/>
    <w:rsid w:val="45CE0436"/>
    <w:rsid w:val="45D547C7"/>
    <w:rsid w:val="45E74894"/>
    <w:rsid w:val="45F11718"/>
    <w:rsid w:val="460B6CBD"/>
    <w:rsid w:val="46130A3E"/>
    <w:rsid w:val="461E34FB"/>
    <w:rsid w:val="461E795D"/>
    <w:rsid w:val="462112DE"/>
    <w:rsid w:val="463B677F"/>
    <w:rsid w:val="464B1F02"/>
    <w:rsid w:val="465165D0"/>
    <w:rsid w:val="46584AC3"/>
    <w:rsid w:val="46586BBB"/>
    <w:rsid w:val="465B2564"/>
    <w:rsid w:val="465E538F"/>
    <w:rsid w:val="466361E0"/>
    <w:rsid w:val="46745329"/>
    <w:rsid w:val="46756101"/>
    <w:rsid w:val="467B665C"/>
    <w:rsid w:val="467F1B7C"/>
    <w:rsid w:val="46836921"/>
    <w:rsid w:val="46837434"/>
    <w:rsid w:val="46874FB5"/>
    <w:rsid w:val="468819C5"/>
    <w:rsid w:val="468C7F80"/>
    <w:rsid w:val="469043B7"/>
    <w:rsid w:val="46944A9E"/>
    <w:rsid w:val="46A67E87"/>
    <w:rsid w:val="46B52D8F"/>
    <w:rsid w:val="46C451FF"/>
    <w:rsid w:val="46CF73C2"/>
    <w:rsid w:val="46D13F56"/>
    <w:rsid w:val="46D73768"/>
    <w:rsid w:val="46DB748E"/>
    <w:rsid w:val="46DC3BD1"/>
    <w:rsid w:val="46E00800"/>
    <w:rsid w:val="46E42907"/>
    <w:rsid w:val="46EF4536"/>
    <w:rsid w:val="46F04704"/>
    <w:rsid w:val="46F32B98"/>
    <w:rsid w:val="46F904F8"/>
    <w:rsid w:val="46F96948"/>
    <w:rsid w:val="470214E1"/>
    <w:rsid w:val="47036384"/>
    <w:rsid w:val="4706333B"/>
    <w:rsid w:val="47195940"/>
    <w:rsid w:val="472366AA"/>
    <w:rsid w:val="4735189F"/>
    <w:rsid w:val="47391260"/>
    <w:rsid w:val="473C62ED"/>
    <w:rsid w:val="474273EB"/>
    <w:rsid w:val="47462CC4"/>
    <w:rsid w:val="47497311"/>
    <w:rsid w:val="474F4272"/>
    <w:rsid w:val="47534AE8"/>
    <w:rsid w:val="47612048"/>
    <w:rsid w:val="476153EE"/>
    <w:rsid w:val="477C0DDF"/>
    <w:rsid w:val="47863931"/>
    <w:rsid w:val="47881DD7"/>
    <w:rsid w:val="47AD369A"/>
    <w:rsid w:val="47B71D4B"/>
    <w:rsid w:val="47BA67D0"/>
    <w:rsid w:val="47BB0D42"/>
    <w:rsid w:val="47BD3358"/>
    <w:rsid w:val="47C044BD"/>
    <w:rsid w:val="47D7281A"/>
    <w:rsid w:val="47D9039A"/>
    <w:rsid w:val="47DD7218"/>
    <w:rsid w:val="47E5751E"/>
    <w:rsid w:val="47EC0C91"/>
    <w:rsid w:val="47F56FB5"/>
    <w:rsid w:val="47F6293F"/>
    <w:rsid w:val="48082B32"/>
    <w:rsid w:val="4815529C"/>
    <w:rsid w:val="481F4EFE"/>
    <w:rsid w:val="4832333D"/>
    <w:rsid w:val="48387293"/>
    <w:rsid w:val="483C118A"/>
    <w:rsid w:val="483C1399"/>
    <w:rsid w:val="483C692C"/>
    <w:rsid w:val="483D40CA"/>
    <w:rsid w:val="48455675"/>
    <w:rsid w:val="484A137A"/>
    <w:rsid w:val="484E004A"/>
    <w:rsid w:val="4856426D"/>
    <w:rsid w:val="485A7935"/>
    <w:rsid w:val="48680B85"/>
    <w:rsid w:val="486D3B4B"/>
    <w:rsid w:val="487F0AE0"/>
    <w:rsid w:val="48893416"/>
    <w:rsid w:val="488A12D8"/>
    <w:rsid w:val="48925F17"/>
    <w:rsid w:val="48974472"/>
    <w:rsid w:val="4898557D"/>
    <w:rsid w:val="489D0D0E"/>
    <w:rsid w:val="48A14CC7"/>
    <w:rsid w:val="48A16470"/>
    <w:rsid w:val="48A27D40"/>
    <w:rsid w:val="48A95C04"/>
    <w:rsid w:val="48AA37A2"/>
    <w:rsid w:val="48B044FA"/>
    <w:rsid w:val="48B21CB8"/>
    <w:rsid w:val="48B40105"/>
    <w:rsid w:val="48B66C4E"/>
    <w:rsid w:val="48BB5D35"/>
    <w:rsid w:val="48C470AA"/>
    <w:rsid w:val="48CB26CB"/>
    <w:rsid w:val="48DB204A"/>
    <w:rsid w:val="48DC52A4"/>
    <w:rsid w:val="48F1583A"/>
    <w:rsid w:val="48F505DB"/>
    <w:rsid w:val="490C7F41"/>
    <w:rsid w:val="49207DA7"/>
    <w:rsid w:val="49215429"/>
    <w:rsid w:val="492B0536"/>
    <w:rsid w:val="4938356F"/>
    <w:rsid w:val="4943482E"/>
    <w:rsid w:val="4946107B"/>
    <w:rsid w:val="49590FFD"/>
    <w:rsid w:val="49675177"/>
    <w:rsid w:val="49694ABD"/>
    <w:rsid w:val="496C767B"/>
    <w:rsid w:val="497D17F6"/>
    <w:rsid w:val="497D527C"/>
    <w:rsid w:val="49921706"/>
    <w:rsid w:val="49951847"/>
    <w:rsid w:val="49994F38"/>
    <w:rsid w:val="499B446C"/>
    <w:rsid w:val="49AC159A"/>
    <w:rsid w:val="49AC3B0D"/>
    <w:rsid w:val="49AD35FC"/>
    <w:rsid w:val="49B5767C"/>
    <w:rsid w:val="49B76E22"/>
    <w:rsid w:val="49BB5692"/>
    <w:rsid w:val="49BF5FA2"/>
    <w:rsid w:val="49C248DD"/>
    <w:rsid w:val="49D41534"/>
    <w:rsid w:val="49D42828"/>
    <w:rsid w:val="49E1749A"/>
    <w:rsid w:val="49EF61F4"/>
    <w:rsid w:val="49F90D4B"/>
    <w:rsid w:val="4A08265D"/>
    <w:rsid w:val="4A0E4837"/>
    <w:rsid w:val="4A1D15AB"/>
    <w:rsid w:val="4A214F8B"/>
    <w:rsid w:val="4A2919ED"/>
    <w:rsid w:val="4A2E2A72"/>
    <w:rsid w:val="4A375375"/>
    <w:rsid w:val="4A3C03A7"/>
    <w:rsid w:val="4A4337D1"/>
    <w:rsid w:val="4A554FA8"/>
    <w:rsid w:val="4A5A684F"/>
    <w:rsid w:val="4A623B85"/>
    <w:rsid w:val="4A692685"/>
    <w:rsid w:val="4A6A64C2"/>
    <w:rsid w:val="4A6F336A"/>
    <w:rsid w:val="4A700CF9"/>
    <w:rsid w:val="4A712133"/>
    <w:rsid w:val="4A782BCF"/>
    <w:rsid w:val="4A7850FA"/>
    <w:rsid w:val="4A845FB5"/>
    <w:rsid w:val="4A85354F"/>
    <w:rsid w:val="4A8F30DA"/>
    <w:rsid w:val="4AA1127A"/>
    <w:rsid w:val="4AA81784"/>
    <w:rsid w:val="4AA87225"/>
    <w:rsid w:val="4AB22005"/>
    <w:rsid w:val="4AB463CE"/>
    <w:rsid w:val="4AB96C56"/>
    <w:rsid w:val="4ABB00CA"/>
    <w:rsid w:val="4ABC3474"/>
    <w:rsid w:val="4ABC72DF"/>
    <w:rsid w:val="4ABE0CD6"/>
    <w:rsid w:val="4AC13211"/>
    <w:rsid w:val="4AD03BEE"/>
    <w:rsid w:val="4AD31CEC"/>
    <w:rsid w:val="4AD428DB"/>
    <w:rsid w:val="4AD745A3"/>
    <w:rsid w:val="4ADA101D"/>
    <w:rsid w:val="4AE87FC6"/>
    <w:rsid w:val="4AF26FD5"/>
    <w:rsid w:val="4AF75E99"/>
    <w:rsid w:val="4AF81F9F"/>
    <w:rsid w:val="4B036BAB"/>
    <w:rsid w:val="4B045962"/>
    <w:rsid w:val="4B046667"/>
    <w:rsid w:val="4B0D625E"/>
    <w:rsid w:val="4B160BC3"/>
    <w:rsid w:val="4B1D6435"/>
    <w:rsid w:val="4B203B01"/>
    <w:rsid w:val="4B263DDD"/>
    <w:rsid w:val="4B297D57"/>
    <w:rsid w:val="4B2B17CB"/>
    <w:rsid w:val="4B3A0462"/>
    <w:rsid w:val="4B5A1582"/>
    <w:rsid w:val="4B5A5E4A"/>
    <w:rsid w:val="4B641B1E"/>
    <w:rsid w:val="4B741E70"/>
    <w:rsid w:val="4B844162"/>
    <w:rsid w:val="4B854101"/>
    <w:rsid w:val="4B860E3E"/>
    <w:rsid w:val="4B870CF6"/>
    <w:rsid w:val="4B8D1E94"/>
    <w:rsid w:val="4BB073DB"/>
    <w:rsid w:val="4BB25E6F"/>
    <w:rsid w:val="4BB62985"/>
    <w:rsid w:val="4BB72DF0"/>
    <w:rsid w:val="4BBD6A16"/>
    <w:rsid w:val="4BBF3B05"/>
    <w:rsid w:val="4BC34780"/>
    <w:rsid w:val="4BC46E98"/>
    <w:rsid w:val="4BC86CDF"/>
    <w:rsid w:val="4BD136E1"/>
    <w:rsid w:val="4BD95B32"/>
    <w:rsid w:val="4C1045AA"/>
    <w:rsid w:val="4C1665C6"/>
    <w:rsid w:val="4C2A0254"/>
    <w:rsid w:val="4C2A62E8"/>
    <w:rsid w:val="4C387FEA"/>
    <w:rsid w:val="4C41408F"/>
    <w:rsid w:val="4C5D1363"/>
    <w:rsid w:val="4C617EA0"/>
    <w:rsid w:val="4C6723FC"/>
    <w:rsid w:val="4C6C058F"/>
    <w:rsid w:val="4C72591D"/>
    <w:rsid w:val="4C742C79"/>
    <w:rsid w:val="4C81376E"/>
    <w:rsid w:val="4C822C8D"/>
    <w:rsid w:val="4C854292"/>
    <w:rsid w:val="4C8D63BF"/>
    <w:rsid w:val="4CA04ECE"/>
    <w:rsid w:val="4CA24D1D"/>
    <w:rsid w:val="4CA37CC7"/>
    <w:rsid w:val="4CB93537"/>
    <w:rsid w:val="4CC422E0"/>
    <w:rsid w:val="4CCE340B"/>
    <w:rsid w:val="4CD170E8"/>
    <w:rsid w:val="4CD64AED"/>
    <w:rsid w:val="4CDB2ED1"/>
    <w:rsid w:val="4CE40296"/>
    <w:rsid w:val="4CE83472"/>
    <w:rsid w:val="4CEC3FA6"/>
    <w:rsid w:val="4CED0A5E"/>
    <w:rsid w:val="4CF21DB0"/>
    <w:rsid w:val="4CFD2DA9"/>
    <w:rsid w:val="4D010936"/>
    <w:rsid w:val="4D0D702D"/>
    <w:rsid w:val="4D123F9E"/>
    <w:rsid w:val="4D146429"/>
    <w:rsid w:val="4D2B37A9"/>
    <w:rsid w:val="4D3B22CD"/>
    <w:rsid w:val="4D3F2287"/>
    <w:rsid w:val="4D496228"/>
    <w:rsid w:val="4D521DFA"/>
    <w:rsid w:val="4D617E6D"/>
    <w:rsid w:val="4D661B93"/>
    <w:rsid w:val="4D707EE6"/>
    <w:rsid w:val="4D78531A"/>
    <w:rsid w:val="4D7F6329"/>
    <w:rsid w:val="4D897CEC"/>
    <w:rsid w:val="4D8D71BC"/>
    <w:rsid w:val="4DA8587B"/>
    <w:rsid w:val="4DAF7F7D"/>
    <w:rsid w:val="4DB2319C"/>
    <w:rsid w:val="4DB972EA"/>
    <w:rsid w:val="4DC161D6"/>
    <w:rsid w:val="4DD64B14"/>
    <w:rsid w:val="4DDF7306"/>
    <w:rsid w:val="4DE87C74"/>
    <w:rsid w:val="4DEB6BA2"/>
    <w:rsid w:val="4DF1750B"/>
    <w:rsid w:val="4DF2189D"/>
    <w:rsid w:val="4DF23DB8"/>
    <w:rsid w:val="4DF56B12"/>
    <w:rsid w:val="4DFE6DA4"/>
    <w:rsid w:val="4E0110E3"/>
    <w:rsid w:val="4E0447E4"/>
    <w:rsid w:val="4E054EF1"/>
    <w:rsid w:val="4E0B28BA"/>
    <w:rsid w:val="4E0D21CB"/>
    <w:rsid w:val="4E273DF2"/>
    <w:rsid w:val="4E275E1F"/>
    <w:rsid w:val="4E2D718E"/>
    <w:rsid w:val="4E324791"/>
    <w:rsid w:val="4E3715BC"/>
    <w:rsid w:val="4E3A332D"/>
    <w:rsid w:val="4E3B0B12"/>
    <w:rsid w:val="4E414FC5"/>
    <w:rsid w:val="4E42646C"/>
    <w:rsid w:val="4E457CFC"/>
    <w:rsid w:val="4E494054"/>
    <w:rsid w:val="4E5035B9"/>
    <w:rsid w:val="4E5D6EB6"/>
    <w:rsid w:val="4E6254AC"/>
    <w:rsid w:val="4E6C395B"/>
    <w:rsid w:val="4E764269"/>
    <w:rsid w:val="4E796130"/>
    <w:rsid w:val="4E8619E7"/>
    <w:rsid w:val="4E894E7D"/>
    <w:rsid w:val="4E8B210F"/>
    <w:rsid w:val="4E9C08FF"/>
    <w:rsid w:val="4EB25F3F"/>
    <w:rsid w:val="4ED07F80"/>
    <w:rsid w:val="4ED22AD6"/>
    <w:rsid w:val="4ED25FDC"/>
    <w:rsid w:val="4EDB7BE2"/>
    <w:rsid w:val="4EDD6820"/>
    <w:rsid w:val="4EE143E2"/>
    <w:rsid w:val="4EE30C74"/>
    <w:rsid w:val="4EEC5DC2"/>
    <w:rsid w:val="4EEE4370"/>
    <w:rsid w:val="4EF22F11"/>
    <w:rsid w:val="4EF917AA"/>
    <w:rsid w:val="4EF96C36"/>
    <w:rsid w:val="4EFA1A63"/>
    <w:rsid w:val="4F053BD8"/>
    <w:rsid w:val="4F073CFD"/>
    <w:rsid w:val="4F1064A1"/>
    <w:rsid w:val="4F175FFB"/>
    <w:rsid w:val="4F195165"/>
    <w:rsid w:val="4F351F9F"/>
    <w:rsid w:val="4F471CD3"/>
    <w:rsid w:val="4F4F5035"/>
    <w:rsid w:val="4F524FE5"/>
    <w:rsid w:val="4F5A6B06"/>
    <w:rsid w:val="4F5C69D0"/>
    <w:rsid w:val="4F6471E1"/>
    <w:rsid w:val="4F6C544F"/>
    <w:rsid w:val="4F7126EF"/>
    <w:rsid w:val="4F730BAE"/>
    <w:rsid w:val="4F774221"/>
    <w:rsid w:val="4F7A017A"/>
    <w:rsid w:val="4F827B7E"/>
    <w:rsid w:val="4F8417E0"/>
    <w:rsid w:val="4F861030"/>
    <w:rsid w:val="4F921F77"/>
    <w:rsid w:val="4FA249BB"/>
    <w:rsid w:val="4FA56D18"/>
    <w:rsid w:val="4FBF4191"/>
    <w:rsid w:val="4FCB09D8"/>
    <w:rsid w:val="4FCB2AB8"/>
    <w:rsid w:val="4FDD33DB"/>
    <w:rsid w:val="4FE00341"/>
    <w:rsid w:val="4FE54559"/>
    <w:rsid w:val="4FFE322B"/>
    <w:rsid w:val="4FFF4971"/>
    <w:rsid w:val="4FFF545A"/>
    <w:rsid w:val="500510D1"/>
    <w:rsid w:val="500B69CE"/>
    <w:rsid w:val="500E0FC3"/>
    <w:rsid w:val="50214127"/>
    <w:rsid w:val="502F7C07"/>
    <w:rsid w:val="503F7E98"/>
    <w:rsid w:val="50461F8A"/>
    <w:rsid w:val="504F15D1"/>
    <w:rsid w:val="50642F4F"/>
    <w:rsid w:val="507B7075"/>
    <w:rsid w:val="50801A86"/>
    <w:rsid w:val="50843B54"/>
    <w:rsid w:val="5084607C"/>
    <w:rsid w:val="5087019C"/>
    <w:rsid w:val="508B7511"/>
    <w:rsid w:val="509324F6"/>
    <w:rsid w:val="50AA4569"/>
    <w:rsid w:val="50AC191A"/>
    <w:rsid w:val="50AD363E"/>
    <w:rsid w:val="50C1453A"/>
    <w:rsid w:val="50C432C4"/>
    <w:rsid w:val="50CA4969"/>
    <w:rsid w:val="50CC7055"/>
    <w:rsid w:val="50CD6207"/>
    <w:rsid w:val="50D06BF1"/>
    <w:rsid w:val="50D331DF"/>
    <w:rsid w:val="50D35C50"/>
    <w:rsid w:val="50E0284F"/>
    <w:rsid w:val="50E047FE"/>
    <w:rsid w:val="50E06B31"/>
    <w:rsid w:val="50E536AE"/>
    <w:rsid w:val="50EA3832"/>
    <w:rsid w:val="50ED7405"/>
    <w:rsid w:val="50F0306A"/>
    <w:rsid w:val="50F52B7F"/>
    <w:rsid w:val="50FC79A0"/>
    <w:rsid w:val="51011B51"/>
    <w:rsid w:val="510164F4"/>
    <w:rsid w:val="510630D2"/>
    <w:rsid w:val="5108514E"/>
    <w:rsid w:val="5124706D"/>
    <w:rsid w:val="512750E6"/>
    <w:rsid w:val="513C1384"/>
    <w:rsid w:val="514D180D"/>
    <w:rsid w:val="51567810"/>
    <w:rsid w:val="5181117B"/>
    <w:rsid w:val="51945E1D"/>
    <w:rsid w:val="51950E91"/>
    <w:rsid w:val="51A907D1"/>
    <w:rsid w:val="51AD4CF8"/>
    <w:rsid w:val="51CB2777"/>
    <w:rsid w:val="51CB522C"/>
    <w:rsid w:val="51D657E7"/>
    <w:rsid w:val="51DC5C72"/>
    <w:rsid w:val="51E55C99"/>
    <w:rsid w:val="52084C12"/>
    <w:rsid w:val="52131673"/>
    <w:rsid w:val="521A5044"/>
    <w:rsid w:val="522354C4"/>
    <w:rsid w:val="52285BEE"/>
    <w:rsid w:val="522956BF"/>
    <w:rsid w:val="522B4647"/>
    <w:rsid w:val="522E4708"/>
    <w:rsid w:val="52365551"/>
    <w:rsid w:val="523A412B"/>
    <w:rsid w:val="52460CA3"/>
    <w:rsid w:val="5271423C"/>
    <w:rsid w:val="52762A2B"/>
    <w:rsid w:val="5279285E"/>
    <w:rsid w:val="527E3B64"/>
    <w:rsid w:val="528270C2"/>
    <w:rsid w:val="529A6C72"/>
    <w:rsid w:val="529E1C09"/>
    <w:rsid w:val="529E60AD"/>
    <w:rsid w:val="52A048B7"/>
    <w:rsid w:val="52A31916"/>
    <w:rsid w:val="52AB3F4D"/>
    <w:rsid w:val="52B33BDC"/>
    <w:rsid w:val="52B434C6"/>
    <w:rsid w:val="52C64CB6"/>
    <w:rsid w:val="52CA127C"/>
    <w:rsid w:val="52CA29FF"/>
    <w:rsid w:val="52CD4DEE"/>
    <w:rsid w:val="52D007C3"/>
    <w:rsid w:val="52D34D35"/>
    <w:rsid w:val="52E9496A"/>
    <w:rsid w:val="52FB230E"/>
    <w:rsid w:val="52FC6F5F"/>
    <w:rsid w:val="52FE7C33"/>
    <w:rsid w:val="52FE7E6C"/>
    <w:rsid w:val="530F6FAB"/>
    <w:rsid w:val="5333696C"/>
    <w:rsid w:val="53385012"/>
    <w:rsid w:val="534529CD"/>
    <w:rsid w:val="536C28D1"/>
    <w:rsid w:val="536D174D"/>
    <w:rsid w:val="536E2857"/>
    <w:rsid w:val="536E59DF"/>
    <w:rsid w:val="5378163A"/>
    <w:rsid w:val="537E2CA8"/>
    <w:rsid w:val="538357A7"/>
    <w:rsid w:val="53907BCB"/>
    <w:rsid w:val="539C47DB"/>
    <w:rsid w:val="53AD224A"/>
    <w:rsid w:val="53B00D6A"/>
    <w:rsid w:val="53B23914"/>
    <w:rsid w:val="53B603DC"/>
    <w:rsid w:val="53B67B60"/>
    <w:rsid w:val="53BE1C17"/>
    <w:rsid w:val="53D73191"/>
    <w:rsid w:val="53DA67D0"/>
    <w:rsid w:val="53DB0C3B"/>
    <w:rsid w:val="53DE6473"/>
    <w:rsid w:val="53DF48D5"/>
    <w:rsid w:val="53ED6E6F"/>
    <w:rsid w:val="53F76AA2"/>
    <w:rsid w:val="53F82091"/>
    <w:rsid w:val="53FD194C"/>
    <w:rsid w:val="540253B3"/>
    <w:rsid w:val="541170FC"/>
    <w:rsid w:val="54193EB2"/>
    <w:rsid w:val="541E1948"/>
    <w:rsid w:val="54275A2A"/>
    <w:rsid w:val="54365916"/>
    <w:rsid w:val="544C2D66"/>
    <w:rsid w:val="545B565F"/>
    <w:rsid w:val="54600756"/>
    <w:rsid w:val="546432CE"/>
    <w:rsid w:val="546557E5"/>
    <w:rsid w:val="54701901"/>
    <w:rsid w:val="547565C0"/>
    <w:rsid w:val="54780A20"/>
    <w:rsid w:val="54C13A1C"/>
    <w:rsid w:val="54C3175A"/>
    <w:rsid w:val="54CB3328"/>
    <w:rsid w:val="54DE0561"/>
    <w:rsid w:val="54DF12F1"/>
    <w:rsid w:val="54E35FFA"/>
    <w:rsid w:val="54EF6214"/>
    <w:rsid w:val="55044D0F"/>
    <w:rsid w:val="550B15A7"/>
    <w:rsid w:val="55144508"/>
    <w:rsid w:val="551848D1"/>
    <w:rsid w:val="55334D19"/>
    <w:rsid w:val="55344AB0"/>
    <w:rsid w:val="5536730A"/>
    <w:rsid w:val="55377AD1"/>
    <w:rsid w:val="55392B8D"/>
    <w:rsid w:val="553E113E"/>
    <w:rsid w:val="5540237D"/>
    <w:rsid w:val="55462DF4"/>
    <w:rsid w:val="554A1BE1"/>
    <w:rsid w:val="555518AD"/>
    <w:rsid w:val="55667A85"/>
    <w:rsid w:val="556D7786"/>
    <w:rsid w:val="55716CD3"/>
    <w:rsid w:val="5575608A"/>
    <w:rsid w:val="55761DEC"/>
    <w:rsid w:val="55776979"/>
    <w:rsid w:val="55790BCE"/>
    <w:rsid w:val="558E6A65"/>
    <w:rsid w:val="55913F7C"/>
    <w:rsid w:val="559D7A1C"/>
    <w:rsid w:val="559E0172"/>
    <w:rsid w:val="55AB6ACF"/>
    <w:rsid w:val="55C01BA4"/>
    <w:rsid w:val="55C36371"/>
    <w:rsid w:val="55C41BF7"/>
    <w:rsid w:val="55C54578"/>
    <w:rsid w:val="55CA0DC0"/>
    <w:rsid w:val="55D52C2C"/>
    <w:rsid w:val="55EF3637"/>
    <w:rsid w:val="55F3226C"/>
    <w:rsid w:val="55F91631"/>
    <w:rsid w:val="56033468"/>
    <w:rsid w:val="56063E2D"/>
    <w:rsid w:val="56127BAF"/>
    <w:rsid w:val="56176400"/>
    <w:rsid w:val="561C280F"/>
    <w:rsid w:val="562C5CA2"/>
    <w:rsid w:val="56365852"/>
    <w:rsid w:val="56384123"/>
    <w:rsid w:val="563A24A6"/>
    <w:rsid w:val="563D1425"/>
    <w:rsid w:val="563F174E"/>
    <w:rsid w:val="564238B5"/>
    <w:rsid w:val="56486A5C"/>
    <w:rsid w:val="56495CB7"/>
    <w:rsid w:val="564A0DC5"/>
    <w:rsid w:val="564A1FCE"/>
    <w:rsid w:val="564E3E87"/>
    <w:rsid w:val="56556A6A"/>
    <w:rsid w:val="56567E26"/>
    <w:rsid w:val="565A4801"/>
    <w:rsid w:val="56605189"/>
    <w:rsid w:val="5665180E"/>
    <w:rsid w:val="566669A2"/>
    <w:rsid w:val="56694C24"/>
    <w:rsid w:val="566C32B4"/>
    <w:rsid w:val="567337C7"/>
    <w:rsid w:val="567A22B1"/>
    <w:rsid w:val="567B79EB"/>
    <w:rsid w:val="5689158B"/>
    <w:rsid w:val="569E221B"/>
    <w:rsid w:val="56B27F3E"/>
    <w:rsid w:val="56B605A5"/>
    <w:rsid w:val="56C17799"/>
    <w:rsid w:val="56CF0992"/>
    <w:rsid w:val="56D3618E"/>
    <w:rsid w:val="56D86F50"/>
    <w:rsid w:val="56E84067"/>
    <w:rsid w:val="56EB3FA6"/>
    <w:rsid w:val="56F56061"/>
    <w:rsid w:val="570E2542"/>
    <w:rsid w:val="57105F22"/>
    <w:rsid w:val="571628AF"/>
    <w:rsid w:val="57190023"/>
    <w:rsid w:val="57220BEA"/>
    <w:rsid w:val="572478E2"/>
    <w:rsid w:val="57286DAB"/>
    <w:rsid w:val="572977C1"/>
    <w:rsid w:val="572A0645"/>
    <w:rsid w:val="573568B4"/>
    <w:rsid w:val="573F2FA4"/>
    <w:rsid w:val="574861C5"/>
    <w:rsid w:val="574F31E1"/>
    <w:rsid w:val="575B6D0B"/>
    <w:rsid w:val="5763331E"/>
    <w:rsid w:val="576A0E17"/>
    <w:rsid w:val="576D542E"/>
    <w:rsid w:val="57990C47"/>
    <w:rsid w:val="579B29DB"/>
    <w:rsid w:val="57A6675D"/>
    <w:rsid w:val="57A81360"/>
    <w:rsid w:val="57AE49BE"/>
    <w:rsid w:val="57C61FCE"/>
    <w:rsid w:val="57CD6EFE"/>
    <w:rsid w:val="57D207B6"/>
    <w:rsid w:val="57D67A47"/>
    <w:rsid w:val="57EB0989"/>
    <w:rsid w:val="57EB1098"/>
    <w:rsid w:val="57ED7304"/>
    <w:rsid w:val="57F80D77"/>
    <w:rsid w:val="57FC04B2"/>
    <w:rsid w:val="58067C44"/>
    <w:rsid w:val="580E5DA3"/>
    <w:rsid w:val="58167A35"/>
    <w:rsid w:val="581C39F0"/>
    <w:rsid w:val="58245DB2"/>
    <w:rsid w:val="58260813"/>
    <w:rsid w:val="5837577C"/>
    <w:rsid w:val="5841364D"/>
    <w:rsid w:val="585E3E88"/>
    <w:rsid w:val="5865213E"/>
    <w:rsid w:val="58660163"/>
    <w:rsid w:val="586A6CEF"/>
    <w:rsid w:val="586B571C"/>
    <w:rsid w:val="58826132"/>
    <w:rsid w:val="5883673E"/>
    <w:rsid w:val="58866DB9"/>
    <w:rsid w:val="588C3FB5"/>
    <w:rsid w:val="588D1F1F"/>
    <w:rsid w:val="589C20F4"/>
    <w:rsid w:val="58A0117C"/>
    <w:rsid w:val="58A02642"/>
    <w:rsid w:val="58AC4087"/>
    <w:rsid w:val="58AD712A"/>
    <w:rsid w:val="58AD7C1E"/>
    <w:rsid w:val="58AE77FC"/>
    <w:rsid w:val="58B32187"/>
    <w:rsid w:val="58B53257"/>
    <w:rsid w:val="58B62D6B"/>
    <w:rsid w:val="58BA1E05"/>
    <w:rsid w:val="58C23DE8"/>
    <w:rsid w:val="58CD5DCD"/>
    <w:rsid w:val="58CF2DFD"/>
    <w:rsid w:val="58E76EAA"/>
    <w:rsid w:val="58E876F8"/>
    <w:rsid w:val="58EF2929"/>
    <w:rsid w:val="58F4772C"/>
    <w:rsid w:val="58F55475"/>
    <w:rsid w:val="5909230E"/>
    <w:rsid w:val="590A238B"/>
    <w:rsid w:val="5917121F"/>
    <w:rsid w:val="591D1ECE"/>
    <w:rsid w:val="59225322"/>
    <w:rsid w:val="592B2A9F"/>
    <w:rsid w:val="59303B88"/>
    <w:rsid w:val="593E5E65"/>
    <w:rsid w:val="594D4198"/>
    <w:rsid w:val="59623F77"/>
    <w:rsid w:val="596E1E52"/>
    <w:rsid w:val="5974413B"/>
    <w:rsid w:val="597B41FB"/>
    <w:rsid w:val="59811429"/>
    <w:rsid w:val="59835FFD"/>
    <w:rsid w:val="59963629"/>
    <w:rsid w:val="599D70BF"/>
    <w:rsid w:val="59BB72AA"/>
    <w:rsid w:val="59D01A6D"/>
    <w:rsid w:val="59D0629F"/>
    <w:rsid w:val="59D25EEA"/>
    <w:rsid w:val="59E60AE1"/>
    <w:rsid w:val="59E65B63"/>
    <w:rsid w:val="59E870EC"/>
    <w:rsid w:val="59E919D3"/>
    <w:rsid w:val="59E97AE9"/>
    <w:rsid w:val="59FC225C"/>
    <w:rsid w:val="59FC7713"/>
    <w:rsid w:val="59FE4ABB"/>
    <w:rsid w:val="5A007265"/>
    <w:rsid w:val="5A0E23DB"/>
    <w:rsid w:val="5A231AC2"/>
    <w:rsid w:val="5A2813B3"/>
    <w:rsid w:val="5A310067"/>
    <w:rsid w:val="5A3B234C"/>
    <w:rsid w:val="5A3B4856"/>
    <w:rsid w:val="5A534768"/>
    <w:rsid w:val="5A5930CA"/>
    <w:rsid w:val="5A5C0A1F"/>
    <w:rsid w:val="5A6D6D31"/>
    <w:rsid w:val="5A6E45B7"/>
    <w:rsid w:val="5A843DDB"/>
    <w:rsid w:val="5A8955AF"/>
    <w:rsid w:val="5A8F5E31"/>
    <w:rsid w:val="5AA237CB"/>
    <w:rsid w:val="5AA251E6"/>
    <w:rsid w:val="5AAD3CEF"/>
    <w:rsid w:val="5AB16450"/>
    <w:rsid w:val="5ACB4EEC"/>
    <w:rsid w:val="5ACD2AC8"/>
    <w:rsid w:val="5AD32754"/>
    <w:rsid w:val="5ADE17A9"/>
    <w:rsid w:val="5AEA58A1"/>
    <w:rsid w:val="5AF06D6E"/>
    <w:rsid w:val="5AF552C4"/>
    <w:rsid w:val="5B0567F2"/>
    <w:rsid w:val="5B07173B"/>
    <w:rsid w:val="5B110B78"/>
    <w:rsid w:val="5B1374B1"/>
    <w:rsid w:val="5B1661ED"/>
    <w:rsid w:val="5B200B71"/>
    <w:rsid w:val="5B2125D8"/>
    <w:rsid w:val="5B25054C"/>
    <w:rsid w:val="5B437DFF"/>
    <w:rsid w:val="5B47501F"/>
    <w:rsid w:val="5B4C2841"/>
    <w:rsid w:val="5B506F99"/>
    <w:rsid w:val="5B586B25"/>
    <w:rsid w:val="5B612066"/>
    <w:rsid w:val="5B7230ED"/>
    <w:rsid w:val="5B771706"/>
    <w:rsid w:val="5B807034"/>
    <w:rsid w:val="5BA73EE2"/>
    <w:rsid w:val="5BA9593B"/>
    <w:rsid w:val="5BAB5C9D"/>
    <w:rsid w:val="5BAD72C6"/>
    <w:rsid w:val="5BB7666F"/>
    <w:rsid w:val="5BBB0088"/>
    <w:rsid w:val="5BC24519"/>
    <w:rsid w:val="5BC333BC"/>
    <w:rsid w:val="5BC616E3"/>
    <w:rsid w:val="5BCB77E7"/>
    <w:rsid w:val="5BCD17B1"/>
    <w:rsid w:val="5BD73A7F"/>
    <w:rsid w:val="5BED6F4A"/>
    <w:rsid w:val="5BF6424D"/>
    <w:rsid w:val="5C045C36"/>
    <w:rsid w:val="5C084598"/>
    <w:rsid w:val="5C0C12C4"/>
    <w:rsid w:val="5C1449A9"/>
    <w:rsid w:val="5C1D0043"/>
    <w:rsid w:val="5C362E9D"/>
    <w:rsid w:val="5C373AFC"/>
    <w:rsid w:val="5C457203"/>
    <w:rsid w:val="5C49705F"/>
    <w:rsid w:val="5C4A1567"/>
    <w:rsid w:val="5C505487"/>
    <w:rsid w:val="5C533B03"/>
    <w:rsid w:val="5C78087D"/>
    <w:rsid w:val="5C7A1980"/>
    <w:rsid w:val="5C80234E"/>
    <w:rsid w:val="5C852BAA"/>
    <w:rsid w:val="5C981D32"/>
    <w:rsid w:val="5CAF25EF"/>
    <w:rsid w:val="5CB35BC5"/>
    <w:rsid w:val="5CC114E1"/>
    <w:rsid w:val="5CC14995"/>
    <w:rsid w:val="5CC43A65"/>
    <w:rsid w:val="5CCA507C"/>
    <w:rsid w:val="5CD3738E"/>
    <w:rsid w:val="5CDF4A83"/>
    <w:rsid w:val="5CE13344"/>
    <w:rsid w:val="5D1D29A8"/>
    <w:rsid w:val="5D2C3E5A"/>
    <w:rsid w:val="5D344316"/>
    <w:rsid w:val="5D530BAE"/>
    <w:rsid w:val="5D5915D8"/>
    <w:rsid w:val="5D5A4CE6"/>
    <w:rsid w:val="5D6D0B56"/>
    <w:rsid w:val="5D6E0462"/>
    <w:rsid w:val="5D896002"/>
    <w:rsid w:val="5D8D464B"/>
    <w:rsid w:val="5D9E6F62"/>
    <w:rsid w:val="5DC47B64"/>
    <w:rsid w:val="5DDA536B"/>
    <w:rsid w:val="5DDE50FB"/>
    <w:rsid w:val="5DE128B7"/>
    <w:rsid w:val="5DE73600"/>
    <w:rsid w:val="5DEA527B"/>
    <w:rsid w:val="5DF54A43"/>
    <w:rsid w:val="5E052968"/>
    <w:rsid w:val="5E0D5F92"/>
    <w:rsid w:val="5E1F3D84"/>
    <w:rsid w:val="5E217268"/>
    <w:rsid w:val="5E3D5F7C"/>
    <w:rsid w:val="5E5A1110"/>
    <w:rsid w:val="5E616F2D"/>
    <w:rsid w:val="5E6E7A01"/>
    <w:rsid w:val="5E710639"/>
    <w:rsid w:val="5E800CA4"/>
    <w:rsid w:val="5E87148A"/>
    <w:rsid w:val="5EA03A56"/>
    <w:rsid w:val="5EA17018"/>
    <w:rsid w:val="5EA4517F"/>
    <w:rsid w:val="5EAB2037"/>
    <w:rsid w:val="5EB55AD9"/>
    <w:rsid w:val="5EB71C9C"/>
    <w:rsid w:val="5EB93BD8"/>
    <w:rsid w:val="5EBD5A8C"/>
    <w:rsid w:val="5EC55E0B"/>
    <w:rsid w:val="5EC6439A"/>
    <w:rsid w:val="5EC944B2"/>
    <w:rsid w:val="5EC969BB"/>
    <w:rsid w:val="5ED01518"/>
    <w:rsid w:val="5ED1786E"/>
    <w:rsid w:val="5ED82EFF"/>
    <w:rsid w:val="5EDF277D"/>
    <w:rsid w:val="5EE04748"/>
    <w:rsid w:val="5F026C79"/>
    <w:rsid w:val="5F086F8E"/>
    <w:rsid w:val="5F10472F"/>
    <w:rsid w:val="5F130DA2"/>
    <w:rsid w:val="5F132FD3"/>
    <w:rsid w:val="5F1753EF"/>
    <w:rsid w:val="5F287DC1"/>
    <w:rsid w:val="5F2C5CBB"/>
    <w:rsid w:val="5F2E2C7D"/>
    <w:rsid w:val="5F3A7040"/>
    <w:rsid w:val="5F441A67"/>
    <w:rsid w:val="5F453EEF"/>
    <w:rsid w:val="5F490292"/>
    <w:rsid w:val="5F4F0E5B"/>
    <w:rsid w:val="5F563661"/>
    <w:rsid w:val="5F5E5908"/>
    <w:rsid w:val="5F617A48"/>
    <w:rsid w:val="5F7A5459"/>
    <w:rsid w:val="5F855458"/>
    <w:rsid w:val="5F8733FB"/>
    <w:rsid w:val="5F8930B2"/>
    <w:rsid w:val="5F9F5B1D"/>
    <w:rsid w:val="5FA16A73"/>
    <w:rsid w:val="5FA9475C"/>
    <w:rsid w:val="5FAF18FA"/>
    <w:rsid w:val="5FB764CF"/>
    <w:rsid w:val="5FBC3CFE"/>
    <w:rsid w:val="5FC55060"/>
    <w:rsid w:val="5FC81B85"/>
    <w:rsid w:val="5FCD6D01"/>
    <w:rsid w:val="5FE72417"/>
    <w:rsid w:val="5FE737C0"/>
    <w:rsid w:val="600B4CC9"/>
    <w:rsid w:val="60171328"/>
    <w:rsid w:val="60273FDE"/>
    <w:rsid w:val="6033296E"/>
    <w:rsid w:val="60376CFC"/>
    <w:rsid w:val="603D34AF"/>
    <w:rsid w:val="6043240E"/>
    <w:rsid w:val="60472C3A"/>
    <w:rsid w:val="604D0881"/>
    <w:rsid w:val="605441E7"/>
    <w:rsid w:val="605D6E26"/>
    <w:rsid w:val="6063668F"/>
    <w:rsid w:val="607140D0"/>
    <w:rsid w:val="607A200D"/>
    <w:rsid w:val="607D34DA"/>
    <w:rsid w:val="60852CCE"/>
    <w:rsid w:val="60866FC5"/>
    <w:rsid w:val="60880163"/>
    <w:rsid w:val="6088786F"/>
    <w:rsid w:val="608973B8"/>
    <w:rsid w:val="60A3490B"/>
    <w:rsid w:val="60A65036"/>
    <w:rsid w:val="60B35CFD"/>
    <w:rsid w:val="60B552E2"/>
    <w:rsid w:val="60BC0687"/>
    <w:rsid w:val="60C27701"/>
    <w:rsid w:val="60C969EB"/>
    <w:rsid w:val="60D3357A"/>
    <w:rsid w:val="60D3786A"/>
    <w:rsid w:val="60DE1EDA"/>
    <w:rsid w:val="60DE464C"/>
    <w:rsid w:val="60E03EFA"/>
    <w:rsid w:val="60EB00B4"/>
    <w:rsid w:val="60F305A3"/>
    <w:rsid w:val="610142AB"/>
    <w:rsid w:val="610A00CE"/>
    <w:rsid w:val="61155851"/>
    <w:rsid w:val="61205B8C"/>
    <w:rsid w:val="61277E71"/>
    <w:rsid w:val="612855F5"/>
    <w:rsid w:val="61550CC1"/>
    <w:rsid w:val="615922E4"/>
    <w:rsid w:val="615F10FE"/>
    <w:rsid w:val="61621BCD"/>
    <w:rsid w:val="61625902"/>
    <w:rsid w:val="61643FCD"/>
    <w:rsid w:val="616F58B4"/>
    <w:rsid w:val="617048F7"/>
    <w:rsid w:val="61707ED7"/>
    <w:rsid w:val="61724738"/>
    <w:rsid w:val="6176751B"/>
    <w:rsid w:val="61814313"/>
    <w:rsid w:val="61821264"/>
    <w:rsid w:val="619B6C10"/>
    <w:rsid w:val="61A15272"/>
    <w:rsid w:val="61A87651"/>
    <w:rsid w:val="61AC3F39"/>
    <w:rsid w:val="61B41449"/>
    <w:rsid w:val="61B86A60"/>
    <w:rsid w:val="61BD5AE8"/>
    <w:rsid w:val="61E84C4F"/>
    <w:rsid w:val="61E84CBE"/>
    <w:rsid w:val="61EB219C"/>
    <w:rsid w:val="61F21F33"/>
    <w:rsid w:val="61F21F72"/>
    <w:rsid w:val="61F41D9B"/>
    <w:rsid w:val="61F44BDE"/>
    <w:rsid w:val="61FD6A8A"/>
    <w:rsid w:val="620E6240"/>
    <w:rsid w:val="6237573F"/>
    <w:rsid w:val="62405210"/>
    <w:rsid w:val="624621F5"/>
    <w:rsid w:val="624D1200"/>
    <w:rsid w:val="624F517C"/>
    <w:rsid w:val="62532BE3"/>
    <w:rsid w:val="62843B1F"/>
    <w:rsid w:val="629532C2"/>
    <w:rsid w:val="629D33F3"/>
    <w:rsid w:val="62A849E9"/>
    <w:rsid w:val="62C70AFE"/>
    <w:rsid w:val="62CE4615"/>
    <w:rsid w:val="62E316D0"/>
    <w:rsid w:val="62F43F02"/>
    <w:rsid w:val="62F66F1A"/>
    <w:rsid w:val="63000919"/>
    <w:rsid w:val="631708CE"/>
    <w:rsid w:val="631E09AF"/>
    <w:rsid w:val="63210676"/>
    <w:rsid w:val="632424C1"/>
    <w:rsid w:val="634265CE"/>
    <w:rsid w:val="63495BC1"/>
    <w:rsid w:val="634C3F40"/>
    <w:rsid w:val="634F395F"/>
    <w:rsid w:val="635B19CF"/>
    <w:rsid w:val="635C1D50"/>
    <w:rsid w:val="63613007"/>
    <w:rsid w:val="6362619B"/>
    <w:rsid w:val="6366288C"/>
    <w:rsid w:val="63703AED"/>
    <w:rsid w:val="637846F9"/>
    <w:rsid w:val="63862258"/>
    <w:rsid w:val="639075E2"/>
    <w:rsid w:val="63957971"/>
    <w:rsid w:val="63A669C9"/>
    <w:rsid w:val="63CB179D"/>
    <w:rsid w:val="63CF6C3E"/>
    <w:rsid w:val="63D157DD"/>
    <w:rsid w:val="63D77671"/>
    <w:rsid w:val="63DC6A36"/>
    <w:rsid w:val="63E93CBF"/>
    <w:rsid w:val="63F61AD4"/>
    <w:rsid w:val="63FC5210"/>
    <w:rsid w:val="63FF6C76"/>
    <w:rsid w:val="64004618"/>
    <w:rsid w:val="64073EDA"/>
    <w:rsid w:val="640D111D"/>
    <w:rsid w:val="640E5A56"/>
    <w:rsid w:val="64156BCB"/>
    <w:rsid w:val="641854A2"/>
    <w:rsid w:val="64284D06"/>
    <w:rsid w:val="642921C8"/>
    <w:rsid w:val="64351209"/>
    <w:rsid w:val="64532BB0"/>
    <w:rsid w:val="645C365A"/>
    <w:rsid w:val="646A467D"/>
    <w:rsid w:val="646D2223"/>
    <w:rsid w:val="647D193B"/>
    <w:rsid w:val="647E387E"/>
    <w:rsid w:val="647F5CA1"/>
    <w:rsid w:val="6481138B"/>
    <w:rsid w:val="6486038C"/>
    <w:rsid w:val="64887113"/>
    <w:rsid w:val="649B3E07"/>
    <w:rsid w:val="649D06BA"/>
    <w:rsid w:val="649F0473"/>
    <w:rsid w:val="64A65BB3"/>
    <w:rsid w:val="64B81776"/>
    <w:rsid w:val="64C62351"/>
    <w:rsid w:val="64CE5600"/>
    <w:rsid w:val="64D64573"/>
    <w:rsid w:val="64D947CF"/>
    <w:rsid w:val="64E4204E"/>
    <w:rsid w:val="64E743FA"/>
    <w:rsid w:val="64EC2CE3"/>
    <w:rsid w:val="650414B6"/>
    <w:rsid w:val="650E5824"/>
    <w:rsid w:val="65130F31"/>
    <w:rsid w:val="651418A5"/>
    <w:rsid w:val="651E2EA8"/>
    <w:rsid w:val="651E774D"/>
    <w:rsid w:val="65214347"/>
    <w:rsid w:val="6524227B"/>
    <w:rsid w:val="652B7D1E"/>
    <w:rsid w:val="653A1704"/>
    <w:rsid w:val="653A6691"/>
    <w:rsid w:val="653F637B"/>
    <w:rsid w:val="655B494B"/>
    <w:rsid w:val="65792C9B"/>
    <w:rsid w:val="65820850"/>
    <w:rsid w:val="658A0863"/>
    <w:rsid w:val="658E643A"/>
    <w:rsid w:val="6590782D"/>
    <w:rsid w:val="659E2325"/>
    <w:rsid w:val="65A03D06"/>
    <w:rsid w:val="65A229CA"/>
    <w:rsid w:val="65AF20B3"/>
    <w:rsid w:val="65B323F3"/>
    <w:rsid w:val="65B40A60"/>
    <w:rsid w:val="65B953D5"/>
    <w:rsid w:val="65C34338"/>
    <w:rsid w:val="65C537A6"/>
    <w:rsid w:val="65CF78AC"/>
    <w:rsid w:val="65E01DC6"/>
    <w:rsid w:val="65E31996"/>
    <w:rsid w:val="65E6308E"/>
    <w:rsid w:val="65EE2CF5"/>
    <w:rsid w:val="660D6812"/>
    <w:rsid w:val="660E5DAD"/>
    <w:rsid w:val="660F2269"/>
    <w:rsid w:val="66180273"/>
    <w:rsid w:val="66196C36"/>
    <w:rsid w:val="66257CEF"/>
    <w:rsid w:val="662722FB"/>
    <w:rsid w:val="66633582"/>
    <w:rsid w:val="666418E6"/>
    <w:rsid w:val="66651BDC"/>
    <w:rsid w:val="666D0DF2"/>
    <w:rsid w:val="6671303C"/>
    <w:rsid w:val="66744D9F"/>
    <w:rsid w:val="66762FDD"/>
    <w:rsid w:val="667D0668"/>
    <w:rsid w:val="66817815"/>
    <w:rsid w:val="66832E6F"/>
    <w:rsid w:val="669A088D"/>
    <w:rsid w:val="669C5E53"/>
    <w:rsid w:val="669E4A4E"/>
    <w:rsid w:val="66A77D8C"/>
    <w:rsid w:val="66B05B18"/>
    <w:rsid w:val="66B108C1"/>
    <w:rsid w:val="66C43DC9"/>
    <w:rsid w:val="66D400FB"/>
    <w:rsid w:val="66D570E2"/>
    <w:rsid w:val="66E02C5B"/>
    <w:rsid w:val="66ED468E"/>
    <w:rsid w:val="66F425CE"/>
    <w:rsid w:val="66FA7FAF"/>
    <w:rsid w:val="670A28A8"/>
    <w:rsid w:val="670A76B6"/>
    <w:rsid w:val="671110C2"/>
    <w:rsid w:val="671A3B7C"/>
    <w:rsid w:val="671A5EC6"/>
    <w:rsid w:val="672B7CC7"/>
    <w:rsid w:val="67414388"/>
    <w:rsid w:val="675024EE"/>
    <w:rsid w:val="6758406F"/>
    <w:rsid w:val="67591A5A"/>
    <w:rsid w:val="676A667F"/>
    <w:rsid w:val="678E6B43"/>
    <w:rsid w:val="67977CD1"/>
    <w:rsid w:val="679916F7"/>
    <w:rsid w:val="67AB1258"/>
    <w:rsid w:val="67B93427"/>
    <w:rsid w:val="67BC2E40"/>
    <w:rsid w:val="67BE0FC1"/>
    <w:rsid w:val="67C1041C"/>
    <w:rsid w:val="67D54B4A"/>
    <w:rsid w:val="67D806ED"/>
    <w:rsid w:val="67DA1E3B"/>
    <w:rsid w:val="67DD1918"/>
    <w:rsid w:val="67E91C4C"/>
    <w:rsid w:val="67F6367D"/>
    <w:rsid w:val="68002700"/>
    <w:rsid w:val="681A4ECD"/>
    <w:rsid w:val="681C6284"/>
    <w:rsid w:val="682B2545"/>
    <w:rsid w:val="683350EC"/>
    <w:rsid w:val="683A3D2B"/>
    <w:rsid w:val="68481AA4"/>
    <w:rsid w:val="687703E8"/>
    <w:rsid w:val="68855B72"/>
    <w:rsid w:val="688641A7"/>
    <w:rsid w:val="68897CC9"/>
    <w:rsid w:val="688C27B2"/>
    <w:rsid w:val="688C3563"/>
    <w:rsid w:val="688C3F21"/>
    <w:rsid w:val="6891732E"/>
    <w:rsid w:val="689748C0"/>
    <w:rsid w:val="68975E67"/>
    <w:rsid w:val="689B3943"/>
    <w:rsid w:val="68A4441D"/>
    <w:rsid w:val="68A92BBB"/>
    <w:rsid w:val="68AA3189"/>
    <w:rsid w:val="68AC5A04"/>
    <w:rsid w:val="68B06589"/>
    <w:rsid w:val="68B87AA8"/>
    <w:rsid w:val="68C4047A"/>
    <w:rsid w:val="68CE79E9"/>
    <w:rsid w:val="68CF5FBA"/>
    <w:rsid w:val="68D4417F"/>
    <w:rsid w:val="68E032BE"/>
    <w:rsid w:val="68E84832"/>
    <w:rsid w:val="68EF4322"/>
    <w:rsid w:val="68F6059A"/>
    <w:rsid w:val="68F6064D"/>
    <w:rsid w:val="68FA155B"/>
    <w:rsid w:val="69037841"/>
    <w:rsid w:val="690B782E"/>
    <w:rsid w:val="693B5849"/>
    <w:rsid w:val="69476849"/>
    <w:rsid w:val="694A6159"/>
    <w:rsid w:val="694C06A9"/>
    <w:rsid w:val="69611532"/>
    <w:rsid w:val="696C77D3"/>
    <w:rsid w:val="697119CE"/>
    <w:rsid w:val="697C78F3"/>
    <w:rsid w:val="697D5A91"/>
    <w:rsid w:val="6987602F"/>
    <w:rsid w:val="6999071C"/>
    <w:rsid w:val="69AE1E1C"/>
    <w:rsid w:val="69BF39B8"/>
    <w:rsid w:val="69C319B1"/>
    <w:rsid w:val="69C33F35"/>
    <w:rsid w:val="69C52D46"/>
    <w:rsid w:val="69C93673"/>
    <w:rsid w:val="69CD7DC8"/>
    <w:rsid w:val="69CE6FC5"/>
    <w:rsid w:val="69D10C4F"/>
    <w:rsid w:val="69EF3AA6"/>
    <w:rsid w:val="69FD3BAD"/>
    <w:rsid w:val="6A252E23"/>
    <w:rsid w:val="6A283947"/>
    <w:rsid w:val="6A2B7A6E"/>
    <w:rsid w:val="6A436E38"/>
    <w:rsid w:val="6A4609B2"/>
    <w:rsid w:val="6A48021C"/>
    <w:rsid w:val="6A516637"/>
    <w:rsid w:val="6A534F45"/>
    <w:rsid w:val="6A6125E1"/>
    <w:rsid w:val="6A645A26"/>
    <w:rsid w:val="6A655D02"/>
    <w:rsid w:val="6A6A179F"/>
    <w:rsid w:val="6A6F2A4D"/>
    <w:rsid w:val="6A6F4AB2"/>
    <w:rsid w:val="6A910026"/>
    <w:rsid w:val="6A9A4C08"/>
    <w:rsid w:val="6AA1438C"/>
    <w:rsid w:val="6AA33636"/>
    <w:rsid w:val="6AB60C9F"/>
    <w:rsid w:val="6ACD4ABB"/>
    <w:rsid w:val="6ADA058D"/>
    <w:rsid w:val="6ADB53D5"/>
    <w:rsid w:val="6AF55F2D"/>
    <w:rsid w:val="6AF620F3"/>
    <w:rsid w:val="6B163461"/>
    <w:rsid w:val="6B1F749E"/>
    <w:rsid w:val="6B210699"/>
    <w:rsid w:val="6B376C47"/>
    <w:rsid w:val="6B4601A4"/>
    <w:rsid w:val="6B585A28"/>
    <w:rsid w:val="6B5B3E77"/>
    <w:rsid w:val="6B6327E1"/>
    <w:rsid w:val="6B63682C"/>
    <w:rsid w:val="6B6F13CB"/>
    <w:rsid w:val="6B7278F9"/>
    <w:rsid w:val="6B76781E"/>
    <w:rsid w:val="6B7E390C"/>
    <w:rsid w:val="6B7F128B"/>
    <w:rsid w:val="6B806B86"/>
    <w:rsid w:val="6B912284"/>
    <w:rsid w:val="6B9504F2"/>
    <w:rsid w:val="6BA023E9"/>
    <w:rsid w:val="6BA25F77"/>
    <w:rsid w:val="6BA45F22"/>
    <w:rsid w:val="6BA642F5"/>
    <w:rsid w:val="6BAF11DE"/>
    <w:rsid w:val="6BB248AE"/>
    <w:rsid w:val="6BC03BE4"/>
    <w:rsid w:val="6C0266F5"/>
    <w:rsid w:val="6C0333AB"/>
    <w:rsid w:val="6C0F32DC"/>
    <w:rsid w:val="6C122F2C"/>
    <w:rsid w:val="6C1848DF"/>
    <w:rsid w:val="6C1C0317"/>
    <w:rsid w:val="6C1D2F9F"/>
    <w:rsid w:val="6C206F72"/>
    <w:rsid w:val="6C2C6A38"/>
    <w:rsid w:val="6C3810A1"/>
    <w:rsid w:val="6C3A5834"/>
    <w:rsid w:val="6C3B008F"/>
    <w:rsid w:val="6C4E22D9"/>
    <w:rsid w:val="6C530186"/>
    <w:rsid w:val="6C54361E"/>
    <w:rsid w:val="6C545E29"/>
    <w:rsid w:val="6C570C04"/>
    <w:rsid w:val="6C5A228B"/>
    <w:rsid w:val="6C5D23B9"/>
    <w:rsid w:val="6C6D0B73"/>
    <w:rsid w:val="6C834937"/>
    <w:rsid w:val="6C8576CF"/>
    <w:rsid w:val="6C906DBE"/>
    <w:rsid w:val="6C940191"/>
    <w:rsid w:val="6C945EC1"/>
    <w:rsid w:val="6C9500C9"/>
    <w:rsid w:val="6C9B5343"/>
    <w:rsid w:val="6C9C771D"/>
    <w:rsid w:val="6CA80F7D"/>
    <w:rsid w:val="6CB8006D"/>
    <w:rsid w:val="6CC97D25"/>
    <w:rsid w:val="6CD02EB0"/>
    <w:rsid w:val="6CD10307"/>
    <w:rsid w:val="6CDB120E"/>
    <w:rsid w:val="6CE056C8"/>
    <w:rsid w:val="6CF57915"/>
    <w:rsid w:val="6D0301FC"/>
    <w:rsid w:val="6D0E445B"/>
    <w:rsid w:val="6D1135A7"/>
    <w:rsid w:val="6D154B26"/>
    <w:rsid w:val="6D320AEC"/>
    <w:rsid w:val="6D4315B7"/>
    <w:rsid w:val="6D441015"/>
    <w:rsid w:val="6D476697"/>
    <w:rsid w:val="6D4F17DC"/>
    <w:rsid w:val="6D6171C7"/>
    <w:rsid w:val="6D64106F"/>
    <w:rsid w:val="6D663BF9"/>
    <w:rsid w:val="6D6C22C0"/>
    <w:rsid w:val="6D7E41EB"/>
    <w:rsid w:val="6DAC4AC0"/>
    <w:rsid w:val="6DAE002C"/>
    <w:rsid w:val="6DBE2D94"/>
    <w:rsid w:val="6DC33789"/>
    <w:rsid w:val="6DCC42B3"/>
    <w:rsid w:val="6DD32C57"/>
    <w:rsid w:val="6DEB30B5"/>
    <w:rsid w:val="6DF1680F"/>
    <w:rsid w:val="6DF96AE0"/>
    <w:rsid w:val="6DFB2674"/>
    <w:rsid w:val="6E075CEA"/>
    <w:rsid w:val="6E094A2E"/>
    <w:rsid w:val="6E1B1D04"/>
    <w:rsid w:val="6E36749D"/>
    <w:rsid w:val="6E4F65C4"/>
    <w:rsid w:val="6E541722"/>
    <w:rsid w:val="6E706E05"/>
    <w:rsid w:val="6E753AFC"/>
    <w:rsid w:val="6E780D25"/>
    <w:rsid w:val="6E7A7D1F"/>
    <w:rsid w:val="6E8A004E"/>
    <w:rsid w:val="6E8D5AE2"/>
    <w:rsid w:val="6E8D6F92"/>
    <w:rsid w:val="6E906D9A"/>
    <w:rsid w:val="6EB4252C"/>
    <w:rsid w:val="6EB85FF9"/>
    <w:rsid w:val="6EC2164F"/>
    <w:rsid w:val="6EC7506B"/>
    <w:rsid w:val="6ECC79E0"/>
    <w:rsid w:val="6ECD3F4B"/>
    <w:rsid w:val="6ECD55A7"/>
    <w:rsid w:val="6EE11FA9"/>
    <w:rsid w:val="6EE82C83"/>
    <w:rsid w:val="6EFC3D84"/>
    <w:rsid w:val="6EFC62C8"/>
    <w:rsid w:val="6F125D5A"/>
    <w:rsid w:val="6F2171A4"/>
    <w:rsid w:val="6F235B82"/>
    <w:rsid w:val="6F2A3256"/>
    <w:rsid w:val="6F2C3333"/>
    <w:rsid w:val="6F2F6B79"/>
    <w:rsid w:val="6F471553"/>
    <w:rsid w:val="6F5372B3"/>
    <w:rsid w:val="6F541627"/>
    <w:rsid w:val="6F547652"/>
    <w:rsid w:val="6F610BEC"/>
    <w:rsid w:val="6F6A6988"/>
    <w:rsid w:val="6F79580D"/>
    <w:rsid w:val="6F7D12F4"/>
    <w:rsid w:val="6F9375EA"/>
    <w:rsid w:val="6F9F5811"/>
    <w:rsid w:val="6FA84DD9"/>
    <w:rsid w:val="6FAE0351"/>
    <w:rsid w:val="6FB369C1"/>
    <w:rsid w:val="6FB412F4"/>
    <w:rsid w:val="6FC54716"/>
    <w:rsid w:val="6FC55C8A"/>
    <w:rsid w:val="6FC707AD"/>
    <w:rsid w:val="6FCA41E1"/>
    <w:rsid w:val="6FCF6A53"/>
    <w:rsid w:val="6FD33F3E"/>
    <w:rsid w:val="6FD44871"/>
    <w:rsid w:val="6FD96315"/>
    <w:rsid w:val="6FDE0649"/>
    <w:rsid w:val="6FE517B6"/>
    <w:rsid w:val="6FEA0BD4"/>
    <w:rsid w:val="6FFA1C6B"/>
    <w:rsid w:val="700A5BCA"/>
    <w:rsid w:val="7019039F"/>
    <w:rsid w:val="70191A39"/>
    <w:rsid w:val="701B1D7B"/>
    <w:rsid w:val="701D7680"/>
    <w:rsid w:val="70201662"/>
    <w:rsid w:val="7024187D"/>
    <w:rsid w:val="70257AF8"/>
    <w:rsid w:val="70321145"/>
    <w:rsid w:val="703A5107"/>
    <w:rsid w:val="7043389A"/>
    <w:rsid w:val="70503F25"/>
    <w:rsid w:val="70513947"/>
    <w:rsid w:val="70526725"/>
    <w:rsid w:val="705A4DB3"/>
    <w:rsid w:val="705E7338"/>
    <w:rsid w:val="70680AE4"/>
    <w:rsid w:val="707A5B91"/>
    <w:rsid w:val="707E3635"/>
    <w:rsid w:val="70870E3F"/>
    <w:rsid w:val="709366CE"/>
    <w:rsid w:val="709B29A8"/>
    <w:rsid w:val="709F22BD"/>
    <w:rsid w:val="70B54D0D"/>
    <w:rsid w:val="70C81BA2"/>
    <w:rsid w:val="70CE1D3A"/>
    <w:rsid w:val="70CE5BD5"/>
    <w:rsid w:val="70D728AB"/>
    <w:rsid w:val="70E04AB7"/>
    <w:rsid w:val="70E752F8"/>
    <w:rsid w:val="70EE5669"/>
    <w:rsid w:val="70F00542"/>
    <w:rsid w:val="71054859"/>
    <w:rsid w:val="71084A5A"/>
    <w:rsid w:val="710B3E50"/>
    <w:rsid w:val="71234CD4"/>
    <w:rsid w:val="712D5E72"/>
    <w:rsid w:val="7135050C"/>
    <w:rsid w:val="71383FA3"/>
    <w:rsid w:val="71421C03"/>
    <w:rsid w:val="71434BED"/>
    <w:rsid w:val="714D544E"/>
    <w:rsid w:val="714E7099"/>
    <w:rsid w:val="7152013A"/>
    <w:rsid w:val="71560B60"/>
    <w:rsid w:val="71641E43"/>
    <w:rsid w:val="716D68FB"/>
    <w:rsid w:val="716E5C58"/>
    <w:rsid w:val="71785ECE"/>
    <w:rsid w:val="71815210"/>
    <w:rsid w:val="71923A1E"/>
    <w:rsid w:val="71A70273"/>
    <w:rsid w:val="71AA33BD"/>
    <w:rsid w:val="71C01745"/>
    <w:rsid w:val="71C30463"/>
    <w:rsid w:val="71C84B93"/>
    <w:rsid w:val="71CE363D"/>
    <w:rsid w:val="71E43ADE"/>
    <w:rsid w:val="71F42EB8"/>
    <w:rsid w:val="720D7F7D"/>
    <w:rsid w:val="720F11CF"/>
    <w:rsid w:val="72143096"/>
    <w:rsid w:val="721650F1"/>
    <w:rsid w:val="721C5050"/>
    <w:rsid w:val="72214459"/>
    <w:rsid w:val="7225217C"/>
    <w:rsid w:val="722F0E5C"/>
    <w:rsid w:val="72394D2A"/>
    <w:rsid w:val="723B780F"/>
    <w:rsid w:val="724405BD"/>
    <w:rsid w:val="72474748"/>
    <w:rsid w:val="72606560"/>
    <w:rsid w:val="726A505B"/>
    <w:rsid w:val="72746531"/>
    <w:rsid w:val="7279326C"/>
    <w:rsid w:val="727B0E73"/>
    <w:rsid w:val="729B6A8F"/>
    <w:rsid w:val="729D67D7"/>
    <w:rsid w:val="72B7269E"/>
    <w:rsid w:val="72BB3CBA"/>
    <w:rsid w:val="72BF3070"/>
    <w:rsid w:val="72C82FDE"/>
    <w:rsid w:val="72CE136A"/>
    <w:rsid w:val="72DD1671"/>
    <w:rsid w:val="72DE0068"/>
    <w:rsid w:val="72E56B49"/>
    <w:rsid w:val="72E607FF"/>
    <w:rsid w:val="72EB6154"/>
    <w:rsid w:val="72F429D0"/>
    <w:rsid w:val="72F558F2"/>
    <w:rsid w:val="7312119F"/>
    <w:rsid w:val="73147DEA"/>
    <w:rsid w:val="731877F4"/>
    <w:rsid w:val="73266077"/>
    <w:rsid w:val="732B21AE"/>
    <w:rsid w:val="73310AF2"/>
    <w:rsid w:val="733459A5"/>
    <w:rsid w:val="733A2A9A"/>
    <w:rsid w:val="73441B91"/>
    <w:rsid w:val="73460FAE"/>
    <w:rsid w:val="73524BC5"/>
    <w:rsid w:val="735C766E"/>
    <w:rsid w:val="7365769A"/>
    <w:rsid w:val="736C7782"/>
    <w:rsid w:val="73744DDF"/>
    <w:rsid w:val="737A3058"/>
    <w:rsid w:val="737B498F"/>
    <w:rsid w:val="737B72C2"/>
    <w:rsid w:val="73846D0E"/>
    <w:rsid w:val="7385387C"/>
    <w:rsid w:val="738770B5"/>
    <w:rsid w:val="738844E4"/>
    <w:rsid w:val="739E4751"/>
    <w:rsid w:val="73B115E6"/>
    <w:rsid w:val="73B41ED9"/>
    <w:rsid w:val="73B45B4B"/>
    <w:rsid w:val="73BE05B6"/>
    <w:rsid w:val="73C3703A"/>
    <w:rsid w:val="73C62D23"/>
    <w:rsid w:val="73D420DC"/>
    <w:rsid w:val="73DB329B"/>
    <w:rsid w:val="73DF1BA8"/>
    <w:rsid w:val="73F41B31"/>
    <w:rsid w:val="73F6533E"/>
    <w:rsid w:val="73FC1F8C"/>
    <w:rsid w:val="73FD2552"/>
    <w:rsid w:val="74003491"/>
    <w:rsid w:val="740560C0"/>
    <w:rsid w:val="74101B27"/>
    <w:rsid w:val="74151F10"/>
    <w:rsid w:val="74157DA1"/>
    <w:rsid w:val="741833DC"/>
    <w:rsid w:val="742841E7"/>
    <w:rsid w:val="742E52CB"/>
    <w:rsid w:val="743F3C36"/>
    <w:rsid w:val="745E364C"/>
    <w:rsid w:val="746E4153"/>
    <w:rsid w:val="747A3624"/>
    <w:rsid w:val="7480721E"/>
    <w:rsid w:val="748679D8"/>
    <w:rsid w:val="748C3986"/>
    <w:rsid w:val="74956505"/>
    <w:rsid w:val="74A1543A"/>
    <w:rsid w:val="74A6451F"/>
    <w:rsid w:val="74B03CA6"/>
    <w:rsid w:val="74B17A6A"/>
    <w:rsid w:val="74BB0245"/>
    <w:rsid w:val="74BB39F0"/>
    <w:rsid w:val="74BD5F94"/>
    <w:rsid w:val="74CE33F7"/>
    <w:rsid w:val="74D43CE4"/>
    <w:rsid w:val="74D74DC6"/>
    <w:rsid w:val="74E00F35"/>
    <w:rsid w:val="74E31889"/>
    <w:rsid w:val="74E606A7"/>
    <w:rsid w:val="74EA4CA9"/>
    <w:rsid w:val="74EC2BF2"/>
    <w:rsid w:val="74EC73CD"/>
    <w:rsid w:val="74ED61EA"/>
    <w:rsid w:val="74F206D6"/>
    <w:rsid w:val="74FA443D"/>
    <w:rsid w:val="74FB1E15"/>
    <w:rsid w:val="74FD30C9"/>
    <w:rsid w:val="7505127B"/>
    <w:rsid w:val="750C5109"/>
    <w:rsid w:val="75132823"/>
    <w:rsid w:val="75232716"/>
    <w:rsid w:val="752A673B"/>
    <w:rsid w:val="752C3E7A"/>
    <w:rsid w:val="753B7316"/>
    <w:rsid w:val="75475154"/>
    <w:rsid w:val="754A35A4"/>
    <w:rsid w:val="754B62A6"/>
    <w:rsid w:val="75647E61"/>
    <w:rsid w:val="756514ED"/>
    <w:rsid w:val="75652B8B"/>
    <w:rsid w:val="75704B8F"/>
    <w:rsid w:val="75705734"/>
    <w:rsid w:val="75712394"/>
    <w:rsid w:val="75723327"/>
    <w:rsid w:val="757D6872"/>
    <w:rsid w:val="7586289B"/>
    <w:rsid w:val="75862DDB"/>
    <w:rsid w:val="758B3BCD"/>
    <w:rsid w:val="758C661B"/>
    <w:rsid w:val="758F1B5A"/>
    <w:rsid w:val="75A36394"/>
    <w:rsid w:val="75A54A07"/>
    <w:rsid w:val="75B2513F"/>
    <w:rsid w:val="75C62C6C"/>
    <w:rsid w:val="75C8628B"/>
    <w:rsid w:val="75D4791B"/>
    <w:rsid w:val="75DA3AF6"/>
    <w:rsid w:val="75E21BF7"/>
    <w:rsid w:val="75E955E5"/>
    <w:rsid w:val="75EE4A87"/>
    <w:rsid w:val="75FC3CC8"/>
    <w:rsid w:val="76003899"/>
    <w:rsid w:val="760100FA"/>
    <w:rsid w:val="76044B04"/>
    <w:rsid w:val="76121576"/>
    <w:rsid w:val="762229CE"/>
    <w:rsid w:val="76252589"/>
    <w:rsid w:val="762C0623"/>
    <w:rsid w:val="762E4E2F"/>
    <w:rsid w:val="763276C8"/>
    <w:rsid w:val="76366201"/>
    <w:rsid w:val="763B707E"/>
    <w:rsid w:val="76483C5A"/>
    <w:rsid w:val="764A4C8D"/>
    <w:rsid w:val="765374A5"/>
    <w:rsid w:val="765B48C3"/>
    <w:rsid w:val="765F5436"/>
    <w:rsid w:val="7668421A"/>
    <w:rsid w:val="76745944"/>
    <w:rsid w:val="76750E1C"/>
    <w:rsid w:val="767B2F9F"/>
    <w:rsid w:val="76873731"/>
    <w:rsid w:val="7692155B"/>
    <w:rsid w:val="7698649F"/>
    <w:rsid w:val="76A1191A"/>
    <w:rsid w:val="76B471E7"/>
    <w:rsid w:val="76BB7F0D"/>
    <w:rsid w:val="76BC1B77"/>
    <w:rsid w:val="76BE141B"/>
    <w:rsid w:val="76C6301F"/>
    <w:rsid w:val="76CA7A43"/>
    <w:rsid w:val="76D90E58"/>
    <w:rsid w:val="76DD6660"/>
    <w:rsid w:val="76E617D5"/>
    <w:rsid w:val="76EC0BAF"/>
    <w:rsid w:val="77004BC5"/>
    <w:rsid w:val="77055A5F"/>
    <w:rsid w:val="77061CB0"/>
    <w:rsid w:val="77164E54"/>
    <w:rsid w:val="77175110"/>
    <w:rsid w:val="771918E8"/>
    <w:rsid w:val="77255BC6"/>
    <w:rsid w:val="7730549D"/>
    <w:rsid w:val="7730581C"/>
    <w:rsid w:val="77332EB5"/>
    <w:rsid w:val="773859A6"/>
    <w:rsid w:val="773C557A"/>
    <w:rsid w:val="773F29D4"/>
    <w:rsid w:val="77411FEB"/>
    <w:rsid w:val="77422DE8"/>
    <w:rsid w:val="774232CD"/>
    <w:rsid w:val="77483056"/>
    <w:rsid w:val="77496A23"/>
    <w:rsid w:val="77560553"/>
    <w:rsid w:val="77647724"/>
    <w:rsid w:val="77671BCC"/>
    <w:rsid w:val="776B5B5C"/>
    <w:rsid w:val="7775505E"/>
    <w:rsid w:val="7784630C"/>
    <w:rsid w:val="7788144F"/>
    <w:rsid w:val="77905715"/>
    <w:rsid w:val="779370CE"/>
    <w:rsid w:val="779A60FD"/>
    <w:rsid w:val="779C40BA"/>
    <w:rsid w:val="77A53815"/>
    <w:rsid w:val="77B5380B"/>
    <w:rsid w:val="77B67B44"/>
    <w:rsid w:val="77B73DB6"/>
    <w:rsid w:val="77BD62BD"/>
    <w:rsid w:val="77C47854"/>
    <w:rsid w:val="77C955DF"/>
    <w:rsid w:val="77CD7EAA"/>
    <w:rsid w:val="77D20625"/>
    <w:rsid w:val="77F5079C"/>
    <w:rsid w:val="77FB3BF1"/>
    <w:rsid w:val="77FC724F"/>
    <w:rsid w:val="780B658B"/>
    <w:rsid w:val="780F0E00"/>
    <w:rsid w:val="781225CE"/>
    <w:rsid w:val="782379C5"/>
    <w:rsid w:val="782E0CD5"/>
    <w:rsid w:val="78315774"/>
    <w:rsid w:val="783B3B20"/>
    <w:rsid w:val="783E73D2"/>
    <w:rsid w:val="784529A4"/>
    <w:rsid w:val="7845796F"/>
    <w:rsid w:val="78484950"/>
    <w:rsid w:val="784A450B"/>
    <w:rsid w:val="784A595B"/>
    <w:rsid w:val="78571C44"/>
    <w:rsid w:val="787D0BB5"/>
    <w:rsid w:val="787D7C16"/>
    <w:rsid w:val="787F0E75"/>
    <w:rsid w:val="788077FA"/>
    <w:rsid w:val="7884061F"/>
    <w:rsid w:val="788C162B"/>
    <w:rsid w:val="789B310D"/>
    <w:rsid w:val="78A3591C"/>
    <w:rsid w:val="78A556E9"/>
    <w:rsid w:val="78C347BB"/>
    <w:rsid w:val="78C47752"/>
    <w:rsid w:val="78D005D7"/>
    <w:rsid w:val="78F07AFC"/>
    <w:rsid w:val="7904602B"/>
    <w:rsid w:val="791647D5"/>
    <w:rsid w:val="791C2D46"/>
    <w:rsid w:val="791E3513"/>
    <w:rsid w:val="792410AB"/>
    <w:rsid w:val="79243247"/>
    <w:rsid w:val="79314BD9"/>
    <w:rsid w:val="793769E2"/>
    <w:rsid w:val="79393B8B"/>
    <w:rsid w:val="79470734"/>
    <w:rsid w:val="79601FFF"/>
    <w:rsid w:val="79671272"/>
    <w:rsid w:val="79697C10"/>
    <w:rsid w:val="797377DF"/>
    <w:rsid w:val="79890C5D"/>
    <w:rsid w:val="79923CB3"/>
    <w:rsid w:val="79994FDB"/>
    <w:rsid w:val="799B49B2"/>
    <w:rsid w:val="79A023C6"/>
    <w:rsid w:val="79A558C0"/>
    <w:rsid w:val="79A75FD7"/>
    <w:rsid w:val="79AB41AB"/>
    <w:rsid w:val="79AE3E82"/>
    <w:rsid w:val="79AF6CF7"/>
    <w:rsid w:val="79B83C71"/>
    <w:rsid w:val="79C1370A"/>
    <w:rsid w:val="79C71E03"/>
    <w:rsid w:val="79CA2953"/>
    <w:rsid w:val="79D05EA5"/>
    <w:rsid w:val="79D0613E"/>
    <w:rsid w:val="79D51EBD"/>
    <w:rsid w:val="79D53D35"/>
    <w:rsid w:val="79DB3E6D"/>
    <w:rsid w:val="79DB7DBB"/>
    <w:rsid w:val="79E34A61"/>
    <w:rsid w:val="79E90504"/>
    <w:rsid w:val="7A080CC3"/>
    <w:rsid w:val="7A0D78EC"/>
    <w:rsid w:val="7A0E4F5E"/>
    <w:rsid w:val="7A155DD9"/>
    <w:rsid w:val="7A171326"/>
    <w:rsid w:val="7A237789"/>
    <w:rsid w:val="7A304A14"/>
    <w:rsid w:val="7A36742C"/>
    <w:rsid w:val="7A376FAD"/>
    <w:rsid w:val="7A392E67"/>
    <w:rsid w:val="7A4E39B4"/>
    <w:rsid w:val="7A5105D2"/>
    <w:rsid w:val="7A5257B9"/>
    <w:rsid w:val="7A573061"/>
    <w:rsid w:val="7A5871CB"/>
    <w:rsid w:val="7A686C49"/>
    <w:rsid w:val="7A6903C9"/>
    <w:rsid w:val="7A764A1F"/>
    <w:rsid w:val="7A7E2E80"/>
    <w:rsid w:val="7A8105BA"/>
    <w:rsid w:val="7A8B7131"/>
    <w:rsid w:val="7A900056"/>
    <w:rsid w:val="7A914852"/>
    <w:rsid w:val="7A9F0501"/>
    <w:rsid w:val="7AA92BAE"/>
    <w:rsid w:val="7AA95841"/>
    <w:rsid w:val="7AAD7780"/>
    <w:rsid w:val="7AAF053C"/>
    <w:rsid w:val="7AB5580B"/>
    <w:rsid w:val="7ABA6226"/>
    <w:rsid w:val="7AC41352"/>
    <w:rsid w:val="7AC70AE9"/>
    <w:rsid w:val="7ACE6C6A"/>
    <w:rsid w:val="7AD92855"/>
    <w:rsid w:val="7AE20394"/>
    <w:rsid w:val="7AE74A0C"/>
    <w:rsid w:val="7AE9630D"/>
    <w:rsid w:val="7AEA69B5"/>
    <w:rsid w:val="7AEC352E"/>
    <w:rsid w:val="7AEF309B"/>
    <w:rsid w:val="7AFB533E"/>
    <w:rsid w:val="7B204C6C"/>
    <w:rsid w:val="7B234D99"/>
    <w:rsid w:val="7B2F13E3"/>
    <w:rsid w:val="7B317FC0"/>
    <w:rsid w:val="7B323B12"/>
    <w:rsid w:val="7B3C0607"/>
    <w:rsid w:val="7B3D406D"/>
    <w:rsid w:val="7B430220"/>
    <w:rsid w:val="7B595071"/>
    <w:rsid w:val="7B5B2270"/>
    <w:rsid w:val="7B5F2971"/>
    <w:rsid w:val="7B64725E"/>
    <w:rsid w:val="7B6B0056"/>
    <w:rsid w:val="7B744FDD"/>
    <w:rsid w:val="7B8830DA"/>
    <w:rsid w:val="7B8C46C1"/>
    <w:rsid w:val="7B8F5F44"/>
    <w:rsid w:val="7B965D35"/>
    <w:rsid w:val="7B96610F"/>
    <w:rsid w:val="7B9A5BCF"/>
    <w:rsid w:val="7BAA1965"/>
    <w:rsid w:val="7BAC06D2"/>
    <w:rsid w:val="7BC0698C"/>
    <w:rsid w:val="7BEB25BE"/>
    <w:rsid w:val="7BF34248"/>
    <w:rsid w:val="7BF818F9"/>
    <w:rsid w:val="7BFA3A3D"/>
    <w:rsid w:val="7C14022C"/>
    <w:rsid w:val="7C16489D"/>
    <w:rsid w:val="7C1F175E"/>
    <w:rsid w:val="7C222BB8"/>
    <w:rsid w:val="7C2358FF"/>
    <w:rsid w:val="7C263DBF"/>
    <w:rsid w:val="7C2C7719"/>
    <w:rsid w:val="7C372792"/>
    <w:rsid w:val="7C4A3E4B"/>
    <w:rsid w:val="7C5A4544"/>
    <w:rsid w:val="7C5C6FB3"/>
    <w:rsid w:val="7C636752"/>
    <w:rsid w:val="7C657B35"/>
    <w:rsid w:val="7C665E20"/>
    <w:rsid w:val="7C89017F"/>
    <w:rsid w:val="7C8A6BA8"/>
    <w:rsid w:val="7C9D08C9"/>
    <w:rsid w:val="7CA14209"/>
    <w:rsid w:val="7CA455DE"/>
    <w:rsid w:val="7CAF47B7"/>
    <w:rsid w:val="7CB86D53"/>
    <w:rsid w:val="7CBA32E5"/>
    <w:rsid w:val="7CC70CCE"/>
    <w:rsid w:val="7CCA0ED7"/>
    <w:rsid w:val="7CCE69FE"/>
    <w:rsid w:val="7CD072E2"/>
    <w:rsid w:val="7CE1380D"/>
    <w:rsid w:val="7CE60EAF"/>
    <w:rsid w:val="7CED5A0D"/>
    <w:rsid w:val="7D0E77C0"/>
    <w:rsid w:val="7D123CCA"/>
    <w:rsid w:val="7D1B713E"/>
    <w:rsid w:val="7D2427B4"/>
    <w:rsid w:val="7D31337B"/>
    <w:rsid w:val="7D356E56"/>
    <w:rsid w:val="7D4F0510"/>
    <w:rsid w:val="7D66485B"/>
    <w:rsid w:val="7D667774"/>
    <w:rsid w:val="7D742FBA"/>
    <w:rsid w:val="7D803E8C"/>
    <w:rsid w:val="7D8555F0"/>
    <w:rsid w:val="7D8A2D15"/>
    <w:rsid w:val="7DA85098"/>
    <w:rsid w:val="7DB50378"/>
    <w:rsid w:val="7DB514C6"/>
    <w:rsid w:val="7DB70A93"/>
    <w:rsid w:val="7DBB1012"/>
    <w:rsid w:val="7DDB5C86"/>
    <w:rsid w:val="7DE20D2D"/>
    <w:rsid w:val="7DE340C8"/>
    <w:rsid w:val="7DE77096"/>
    <w:rsid w:val="7DE844FD"/>
    <w:rsid w:val="7DEE545D"/>
    <w:rsid w:val="7DF86826"/>
    <w:rsid w:val="7DFA631C"/>
    <w:rsid w:val="7DFA7D8C"/>
    <w:rsid w:val="7DFC6DF0"/>
    <w:rsid w:val="7E0C4E4E"/>
    <w:rsid w:val="7E20335F"/>
    <w:rsid w:val="7E321B56"/>
    <w:rsid w:val="7E380FED"/>
    <w:rsid w:val="7E3C0AE6"/>
    <w:rsid w:val="7E3E5E3B"/>
    <w:rsid w:val="7E3E7829"/>
    <w:rsid w:val="7E493FBC"/>
    <w:rsid w:val="7E4F79AF"/>
    <w:rsid w:val="7E624217"/>
    <w:rsid w:val="7E675045"/>
    <w:rsid w:val="7E684851"/>
    <w:rsid w:val="7E74183B"/>
    <w:rsid w:val="7E7944F6"/>
    <w:rsid w:val="7E7B41D7"/>
    <w:rsid w:val="7E8C2EDF"/>
    <w:rsid w:val="7E922982"/>
    <w:rsid w:val="7EB11157"/>
    <w:rsid w:val="7EB53FFA"/>
    <w:rsid w:val="7EBA4E6F"/>
    <w:rsid w:val="7EBE6507"/>
    <w:rsid w:val="7EC04AD4"/>
    <w:rsid w:val="7ECB2E11"/>
    <w:rsid w:val="7ECD1A2A"/>
    <w:rsid w:val="7ED916E7"/>
    <w:rsid w:val="7ED97EFB"/>
    <w:rsid w:val="7EDE1F8D"/>
    <w:rsid w:val="7EDF2745"/>
    <w:rsid w:val="7EE15BB1"/>
    <w:rsid w:val="7EE443D5"/>
    <w:rsid w:val="7EEF64A8"/>
    <w:rsid w:val="7EF33C03"/>
    <w:rsid w:val="7EF65A47"/>
    <w:rsid w:val="7EF9195B"/>
    <w:rsid w:val="7F086F62"/>
    <w:rsid w:val="7F0B0626"/>
    <w:rsid w:val="7F0F36DB"/>
    <w:rsid w:val="7F137B09"/>
    <w:rsid w:val="7F142CC8"/>
    <w:rsid w:val="7F146FB9"/>
    <w:rsid w:val="7F201338"/>
    <w:rsid w:val="7F2809A6"/>
    <w:rsid w:val="7F2E3E36"/>
    <w:rsid w:val="7F6C49EF"/>
    <w:rsid w:val="7F7B0F72"/>
    <w:rsid w:val="7F9E000F"/>
    <w:rsid w:val="7FAE7F5E"/>
    <w:rsid w:val="7FB70AB2"/>
    <w:rsid w:val="7FB7525C"/>
    <w:rsid w:val="7FC7186A"/>
    <w:rsid w:val="7FD12299"/>
    <w:rsid w:val="7FD94DD9"/>
    <w:rsid w:val="7FDA6CF1"/>
    <w:rsid w:val="7FF40B62"/>
    <w:rsid w:val="7FF8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5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52"/>
    <w:qFormat/>
    <w:uiPriority w:val="0"/>
    <w:pPr>
      <w:ind w:firstLine="420"/>
    </w:pPr>
    <w:rPr>
      <w:szCs w:val="20"/>
    </w:rPr>
  </w:style>
  <w:style w:type="paragraph" w:styleId="11">
    <w:name w:val="Document Map"/>
    <w:basedOn w:val="1"/>
    <w:link w:val="53"/>
    <w:qFormat/>
    <w:uiPriority w:val="0"/>
    <w:rPr>
      <w:rFonts w:ascii="宋体" w:hAnsi="Tahoma"/>
      <w:sz w:val="18"/>
      <w:szCs w:val="18"/>
    </w:rPr>
  </w:style>
  <w:style w:type="paragraph" w:styleId="12">
    <w:name w:val="annotation text"/>
    <w:basedOn w:val="1"/>
    <w:link w:val="54"/>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Indent"/>
    <w:basedOn w:val="1"/>
    <w:link w:val="55"/>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1"/>
    <w:link w:val="56"/>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ody Text Indent 2"/>
    <w:basedOn w:val="1"/>
    <w:qFormat/>
    <w:uiPriority w:val="0"/>
    <w:pPr>
      <w:ind w:firstLine="630"/>
    </w:pPr>
    <w:rPr>
      <w:sz w:val="32"/>
      <w:szCs w:val="20"/>
    </w:rPr>
  </w:style>
  <w:style w:type="paragraph" w:styleId="19">
    <w:name w:val="Balloon Text"/>
    <w:basedOn w:val="1"/>
    <w:semiHidden/>
    <w:qFormat/>
    <w:uiPriority w:val="0"/>
    <w:rPr>
      <w:sz w:val="18"/>
      <w:szCs w:val="18"/>
    </w:rPr>
  </w:style>
  <w:style w:type="paragraph" w:styleId="20">
    <w:name w:val="footer"/>
    <w:basedOn w:val="1"/>
    <w:link w:val="57"/>
    <w:qFormat/>
    <w:uiPriority w:val="99"/>
    <w:pPr>
      <w:tabs>
        <w:tab w:val="center" w:pos="4153"/>
        <w:tab w:val="right" w:pos="8306"/>
      </w:tabs>
      <w:snapToGrid w:val="0"/>
      <w:jc w:val="left"/>
    </w:pPr>
    <w:rPr>
      <w:rFonts w:ascii="Tahoma" w:hAnsi="Tahoma"/>
      <w:sz w:val="18"/>
      <w:szCs w:val="18"/>
    </w:rPr>
  </w:style>
  <w:style w:type="paragraph" w:styleId="21">
    <w:name w:val="header"/>
    <w:basedOn w:val="1"/>
    <w:link w:val="58"/>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2">
    <w:name w:val="toc 1"/>
    <w:basedOn w:val="1"/>
    <w:next w:val="1"/>
    <w:qFormat/>
    <w:uiPriority w:val="39"/>
  </w:style>
  <w:style w:type="paragraph" w:styleId="23">
    <w:name w:val="footnote text"/>
    <w:basedOn w:val="1"/>
    <w:qFormat/>
    <w:uiPriority w:val="0"/>
    <w:pPr>
      <w:snapToGrid w:val="0"/>
      <w:jc w:val="left"/>
    </w:pPr>
    <w:rPr>
      <w:sz w:val="18"/>
    </w:rPr>
  </w:style>
  <w:style w:type="paragraph" w:styleId="24">
    <w:name w:val="toc 2"/>
    <w:basedOn w:val="1"/>
    <w:next w:val="1"/>
    <w:qFormat/>
    <w:uiPriority w:val="39"/>
    <w:pPr>
      <w:ind w:left="420" w:leftChars="200"/>
    </w:pPr>
  </w:style>
  <w:style w:type="paragraph" w:styleId="25">
    <w:name w:val="toc 9"/>
    <w:basedOn w:val="1"/>
    <w:next w:val="1"/>
    <w:qFormat/>
    <w:uiPriority w:val="39"/>
    <w:pPr>
      <w:ind w:left="1680"/>
      <w:jc w:val="left"/>
    </w:pPr>
    <w:rPr>
      <w:sz w:val="18"/>
      <w:szCs w:val="18"/>
    </w:rPr>
  </w:style>
  <w:style w:type="paragraph" w:styleId="26">
    <w:name w:val="List 4"/>
    <w:basedOn w:val="1"/>
    <w:unhideWhenUsed/>
    <w:qFormat/>
    <w:uiPriority w:val="99"/>
    <w:pPr>
      <w:ind w:left="100" w:leftChars="600" w:hanging="200" w:hangingChars="200"/>
      <w:contextualSpacing/>
    </w:p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8">
    <w:name w:val="Title"/>
    <w:basedOn w:val="1"/>
    <w:next w:val="1"/>
    <w:qFormat/>
    <w:uiPriority w:val="10"/>
    <w:pPr>
      <w:spacing w:before="240" w:after="60"/>
      <w:jc w:val="center"/>
      <w:outlineLvl w:val="0"/>
    </w:pPr>
    <w:rPr>
      <w:rFonts w:ascii="等线 Light" w:hAnsi="等线 Light"/>
      <w:b/>
      <w:bCs/>
      <w:sz w:val="32"/>
      <w:szCs w:val="32"/>
    </w:rPr>
  </w:style>
  <w:style w:type="paragraph" w:styleId="29">
    <w:name w:val="annotation subject"/>
    <w:basedOn w:val="12"/>
    <w:next w:val="12"/>
    <w:semiHidden/>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rFonts w:ascii="Tahoma" w:hAnsi="Tahoma"/>
      <w:b/>
      <w:bCs/>
      <w:sz w:val="24"/>
      <w:szCs w:val="20"/>
    </w:rPr>
  </w:style>
  <w:style w:type="character" w:styleId="34">
    <w:name w:val="page number"/>
    <w:basedOn w:val="32"/>
    <w:qFormat/>
    <w:uiPriority w:val="0"/>
  </w:style>
  <w:style w:type="character" w:styleId="35">
    <w:name w:val="FollowedHyperlink"/>
    <w:unhideWhenUsed/>
    <w:qFormat/>
    <w:uiPriority w:val="99"/>
    <w:rPr>
      <w:color w:val="954F72"/>
      <w:u w:val="single"/>
    </w:rPr>
  </w:style>
  <w:style w:type="character" w:styleId="36">
    <w:name w:val="Emphasis"/>
    <w:qFormat/>
    <w:uiPriority w:val="0"/>
  </w:style>
  <w:style w:type="character" w:styleId="37">
    <w:name w:val="HTML Definition"/>
    <w:qFormat/>
    <w:uiPriority w:val="0"/>
  </w:style>
  <w:style w:type="character" w:styleId="38">
    <w:name w:val="HTML Typewriter"/>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qFormat/>
    <w:uiPriority w:val="0"/>
    <w:rPr>
      <w:rFonts w:ascii="Tahoma" w:hAnsi="Tahoma"/>
      <w:sz w:val="24"/>
      <w:szCs w:val="20"/>
    </w:rPr>
  </w:style>
  <w:style w:type="character" w:styleId="41">
    <w:name w:val="Hyperlink"/>
    <w:qFormat/>
    <w:uiPriority w:val="99"/>
    <w:rPr>
      <w:rFonts w:ascii="Tahoma" w:hAnsi="Tahoma"/>
      <w:color w:val="0000FF"/>
      <w:sz w:val="24"/>
      <w:szCs w:val="20"/>
      <w:u w:val="single"/>
    </w:rPr>
  </w:style>
  <w:style w:type="character" w:styleId="42">
    <w:name w:val="HTML Code"/>
    <w:qFormat/>
    <w:uiPriority w:val="0"/>
    <w:rPr>
      <w:rFonts w:ascii="monospace" w:hAnsi="monospace" w:eastAsia="monospace" w:cs="monospace"/>
      <w:sz w:val="20"/>
    </w:rPr>
  </w:style>
  <w:style w:type="character" w:styleId="43">
    <w:name w:val="annotation reference"/>
    <w:semiHidden/>
    <w:qFormat/>
    <w:uiPriority w:val="0"/>
    <w:rPr>
      <w:rFonts w:ascii="Tahoma" w:hAnsi="Tahoma"/>
      <w:sz w:val="21"/>
      <w:szCs w:val="21"/>
    </w:rPr>
  </w:style>
  <w:style w:type="character" w:styleId="44">
    <w:name w:val="HTML Cite"/>
    <w:qFormat/>
    <w:uiPriority w:val="0"/>
  </w:style>
  <w:style w:type="character" w:styleId="45">
    <w:name w:val="footnote reference"/>
    <w:basedOn w:val="32"/>
    <w:qFormat/>
    <w:uiPriority w:val="0"/>
    <w:rPr>
      <w:vertAlign w:val="superscript"/>
    </w:rPr>
  </w:style>
  <w:style w:type="character" w:styleId="46">
    <w:name w:val="HTML Keyboard"/>
    <w:qFormat/>
    <w:uiPriority w:val="0"/>
    <w:rPr>
      <w:rFonts w:hint="default" w:ascii="monospace" w:hAnsi="monospace" w:eastAsia="monospace" w:cs="monospace"/>
      <w:sz w:val="20"/>
    </w:rPr>
  </w:style>
  <w:style w:type="character" w:styleId="47">
    <w:name w:val="HTML Sample"/>
    <w:qFormat/>
    <w:uiPriority w:val="0"/>
    <w:rPr>
      <w:rFonts w:hint="default" w:ascii="monospace" w:hAnsi="monospace" w:eastAsia="monospace" w:cs="monospace"/>
    </w:rPr>
  </w:style>
  <w:style w:type="paragraph" w:customStyle="1" w:styleId="4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49">
    <w:name w:val="标题 1 字符"/>
    <w:link w:val="3"/>
    <w:qFormat/>
    <w:uiPriority w:val="0"/>
    <w:rPr>
      <w:rFonts w:ascii="Tahoma" w:hAnsi="Tahoma"/>
      <w:b/>
      <w:bCs/>
      <w:kern w:val="44"/>
      <w:sz w:val="44"/>
      <w:szCs w:val="44"/>
    </w:rPr>
  </w:style>
  <w:style w:type="character" w:customStyle="1" w:styleId="50">
    <w:name w:val="标题 2 字符"/>
    <w:link w:val="4"/>
    <w:semiHidden/>
    <w:qFormat/>
    <w:uiPriority w:val="0"/>
    <w:rPr>
      <w:rFonts w:ascii="Cambria" w:hAnsi="Cambria" w:eastAsia="宋体" w:cs="Times New Roman"/>
      <w:b/>
      <w:bCs/>
      <w:kern w:val="2"/>
      <w:sz w:val="32"/>
      <w:szCs w:val="32"/>
    </w:rPr>
  </w:style>
  <w:style w:type="character" w:customStyle="1" w:styleId="51">
    <w:name w:val="标题 6 字符"/>
    <w:link w:val="7"/>
    <w:qFormat/>
    <w:uiPriority w:val="0"/>
    <w:rPr>
      <w:rFonts w:ascii="Arial" w:hAnsi="Arial" w:eastAsia="黑体"/>
      <w:b/>
      <w:bCs/>
      <w:kern w:val="2"/>
      <w:sz w:val="24"/>
      <w:szCs w:val="24"/>
      <w:lang w:val="en-US" w:eastAsia="zh-CN" w:bidi="ar-SA"/>
    </w:rPr>
  </w:style>
  <w:style w:type="character" w:customStyle="1" w:styleId="52">
    <w:name w:val="正文缩进 字符"/>
    <w:link w:val="10"/>
    <w:qFormat/>
    <w:locked/>
    <w:uiPriority w:val="0"/>
    <w:rPr>
      <w:rFonts w:eastAsia="宋体"/>
      <w:kern w:val="2"/>
      <w:sz w:val="21"/>
      <w:lang w:val="en-US" w:eastAsia="zh-CN" w:bidi="ar-SA"/>
    </w:rPr>
  </w:style>
  <w:style w:type="character" w:customStyle="1" w:styleId="53">
    <w:name w:val="文档结构图 字符"/>
    <w:link w:val="11"/>
    <w:qFormat/>
    <w:uiPriority w:val="0"/>
    <w:rPr>
      <w:rFonts w:ascii="宋体" w:hAnsi="Tahoma"/>
      <w:kern w:val="2"/>
      <w:sz w:val="18"/>
      <w:szCs w:val="18"/>
    </w:rPr>
  </w:style>
  <w:style w:type="character" w:customStyle="1" w:styleId="54">
    <w:name w:val="批注文字 字符"/>
    <w:link w:val="12"/>
    <w:qFormat/>
    <w:uiPriority w:val="0"/>
    <w:rPr>
      <w:rFonts w:eastAsia="宋体"/>
      <w:kern w:val="2"/>
      <w:sz w:val="21"/>
      <w:szCs w:val="24"/>
      <w:lang w:val="en-US" w:eastAsia="zh-CN" w:bidi="ar-SA"/>
    </w:rPr>
  </w:style>
  <w:style w:type="character" w:customStyle="1" w:styleId="55">
    <w:name w:val="正文文本缩进 字符"/>
    <w:link w:val="14"/>
    <w:qFormat/>
    <w:uiPriority w:val="0"/>
    <w:rPr>
      <w:rFonts w:ascii="Tahoma" w:hAnsi="Tahoma"/>
      <w:kern w:val="2"/>
      <w:sz w:val="21"/>
      <w:szCs w:val="24"/>
    </w:rPr>
  </w:style>
  <w:style w:type="character" w:customStyle="1" w:styleId="56">
    <w:name w:val="纯文本 字符3"/>
    <w:link w:val="16"/>
    <w:qFormat/>
    <w:uiPriority w:val="0"/>
    <w:rPr>
      <w:rFonts w:ascii="宋体" w:hAnsi="Courier New" w:eastAsia="宋体"/>
      <w:kern w:val="2"/>
      <w:sz w:val="21"/>
      <w:szCs w:val="20"/>
      <w:lang w:val="en-US" w:eastAsia="zh-CN" w:bidi="ar-SA"/>
    </w:rPr>
  </w:style>
  <w:style w:type="character" w:customStyle="1" w:styleId="57">
    <w:name w:val="页脚 字符1"/>
    <w:link w:val="20"/>
    <w:qFormat/>
    <w:uiPriority w:val="99"/>
    <w:rPr>
      <w:rFonts w:ascii="Tahoma" w:hAnsi="Tahoma"/>
      <w:kern w:val="2"/>
      <w:sz w:val="18"/>
      <w:szCs w:val="18"/>
    </w:rPr>
  </w:style>
  <w:style w:type="character" w:customStyle="1" w:styleId="58">
    <w:name w:val="页眉 字符"/>
    <w:link w:val="21"/>
    <w:qFormat/>
    <w:uiPriority w:val="99"/>
    <w:rPr>
      <w:rFonts w:ascii="Tahoma" w:hAnsi="Tahoma"/>
      <w:kern w:val="2"/>
      <w:sz w:val="18"/>
      <w:szCs w:val="18"/>
    </w:rPr>
  </w:style>
  <w:style w:type="character" w:customStyle="1" w:styleId="59">
    <w:name w:val="Char Char1"/>
    <w:qFormat/>
    <w:uiPriority w:val="0"/>
    <w:rPr>
      <w:rFonts w:eastAsia="宋体"/>
      <w:kern w:val="2"/>
      <w:sz w:val="21"/>
      <w:szCs w:val="24"/>
      <w:lang w:val="en-US" w:eastAsia="zh-CN" w:bidi="ar-SA"/>
    </w:rPr>
  </w:style>
  <w:style w:type="character" w:customStyle="1" w:styleId="60">
    <w:name w:val="普通文字 Char Char5"/>
    <w:qFormat/>
    <w:uiPriority w:val="0"/>
    <w:rPr>
      <w:rFonts w:ascii="宋体" w:hAnsi="Courier New" w:eastAsia="宋体"/>
      <w:szCs w:val="21"/>
      <w:lang w:bidi="ar-SA"/>
    </w:rPr>
  </w:style>
  <w:style w:type="character" w:customStyle="1" w:styleId="61">
    <w:name w:val="纯文本 字符1"/>
    <w:qFormat/>
    <w:uiPriority w:val="0"/>
    <w:rPr>
      <w:rFonts w:ascii="Ђˎ̥" w:hAnsi="Verdana" w:eastAsia="Ђˎ̥" w:cs="Verdana"/>
      <w:szCs w:val="21"/>
    </w:rPr>
  </w:style>
  <w:style w:type="character" w:customStyle="1" w:styleId="62">
    <w:name w:val="font21"/>
    <w:qFormat/>
    <w:uiPriority w:val="0"/>
    <w:rPr>
      <w:rFonts w:hint="eastAsia" w:ascii="宋体" w:hAnsi="宋体" w:eastAsia="宋体" w:cs="宋体"/>
      <w:color w:val="000000"/>
      <w:sz w:val="22"/>
      <w:szCs w:val="22"/>
      <w:u w:val="none"/>
    </w:rPr>
  </w:style>
  <w:style w:type="character" w:customStyle="1" w:styleId="63">
    <w:name w:val="apple-converted-space"/>
    <w:basedOn w:val="32"/>
    <w:qFormat/>
    <w:uiPriority w:val="0"/>
  </w:style>
  <w:style w:type="character" w:customStyle="1" w:styleId="64">
    <w:name w:val="displayarti"/>
    <w:qFormat/>
    <w:uiPriority w:val="0"/>
    <w:rPr>
      <w:color w:val="FFFFFF"/>
      <w:shd w:val="clear" w:color="auto" w:fill="A00000"/>
    </w:rPr>
  </w:style>
  <w:style w:type="character" w:customStyle="1" w:styleId="65">
    <w:name w:val="font31"/>
    <w:qFormat/>
    <w:uiPriority w:val="0"/>
    <w:rPr>
      <w:rFonts w:hint="eastAsia" w:ascii="宋体" w:hAnsi="宋体" w:eastAsia="宋体" w:cs="宋体"/>
      <w:color w:val="000000"/>
      <w:sz w:val="24"/>
      <w:szCs w:val="24"/>
      <w:u w:val="none"/>
    </w:rPr>
  </w:style>
  <w:style w:type="character" w:customStyle="1" w:styleId="66">
    <w:name w:val="font01"/>
    <w:qFormat/>
    <w:uiPriority w:val="0"/>
    <w:rPr>
      <w:rFonts w:hint="eastAsia" w:ascii="宋体" w:hAnsi="宋体" w:eastAsia="宋体" w:cs="宋体"/>
      <w:color w:val="000000"/>
      <w:sz w:val="22"/>
      <w:szCs w:val="22"/>
      <w:u w:val="none"/>
    </w:rPr>
  </w:style>
  <w:style w:type="character" w:customStyle="1" w:styleId="67">
    <w:name w:val="纯文本 字符2"/>
    <w:qFormat/>
    <w:uiPriority w:val="0"/>
    <w:rPr>
      <w:rFonts w:ascii="宋体" w:hAnsi="Courier New" w:eastAsia="宋体"/>
      <w:kern w:val="2"/>
      <w:sz w:val="21"/>
      <w:lang w:val="en-US" w:eastAsia="zh-CN" w:bidi="ar-SA"/>
    </w:rPr>
  </w:style>
  <w:style w:type="character" w:customStyle="1" w:styleId="68">
    <w:name w:val="无"/>
    <w:qFormat/>
    <w:uiPriority w:val="0"/>
  </w:style>
  <w:style w:type="character" w:customStyle="1" w:styleId="69">
    <w:name w:val="redfilefwwh"/>
    <w:qFormat/>
    <w:uiPriority w:val="0"/>
    <w:rPr>
      <w:color w:val="BA2636"/>
      <w:sz w:val="18"/>
      <w:szCs w:val="18"/>
    </w:rPr>
  </w:style>
  <w:style w:type="character" w:customStyle="1" w:styleId="70">
    <w:name w:val="列出段落 字符"/>
    <w:link w:val="71"/>
    <w:qFormat/>
    <w:locked/>
    <w:uiPriority w:val="0"/>
    <w:rPr>
      <w:kern w:val="2"/>
      <w:sz w:val="21"/>
      <w:szCs w:val="24"/>
    </w:rPr>
  </w:style>
  <w:style w:type="paragraph" w:styleId="71">
    <w:name w:val="List Paragraph"/>
    <w:basedOn w:val="1"/>
    <w:link w:val="70"/>
    <w:qFormat/>
    <w:uiPriority w:val="0"/>
    <w:pPr>
      <w:ind w:firstLine="420" w:firstLineChars="200"/>
    </w:pPr>
  </w:style>
  <w:style w:type="character" w:customStyle="1" w:styleId="72">
    <w:name w:val="Char Char10"/>
    <w:qFormat/>
    <w:locked/>
    <w:uiPriority w:val="0"/>
    <w:rPr>
      <w:rFonts w:ascii="宋体" w:hAnsi="宋体" w:eastAsia="宋体"/>
      <w:kern w:val="2"/>
      <w:sz w:val="21"/>
      <w:szCs w:val="24"/>
      <w:lang w:val="en-US" w:eastAsia="zh-CN" w:bidi="ar-SA"/>
    </w:rPr>
  </w:style>
  <w:style w:type="character" w:customStyle="1" w:styleId="73">
    <w:name w:val="正文文本缩进 Char"/>
    <w:qFormat/>
    <w:uiPriority w:val="0"/>
    <w:rPr>
      <w:rFonts w:ascii="Times New Roman" w:hAnsi="Times New Roman" w:eastAsia="宋体" w:cs="Times New Roman"/>
      <w:kern w:val="2"/>
      <w:sz w:val="21"/>
      <w:szCs w:val="24"/>
    </w:rPr>
  </w:style>
  <w:style w:type="character" w:customStyle="1" w:styleId="74">
    <w:name w:val="列出段落 Char"/>
    <w:qFormat/>
    <w:locked/>
    <w:uiPriority w:val="34"/>
    <w:rPr>
      <w:rFonts w:ascii="Times New Roman" w:hAnsi="Times New Roman" w:eastAsia="宋体" w:cs="Times New Roman"/>
      <w:kern w:val="0"/>
      <w:sz w:val="24"/>
      <w:szCs w:val="20"/>
    </w:rPr>
  </w:style>
  <w:style w:type="character" w:customStyle="1" w:styleId="75">
    <w:name w:val="未处理的提及1"/>
    <w:unhideWhenUsed/>
    <w:qFormat/>
    <w:uiPriority w:val="99"/>
    <w:rPr>
      <w:rFonts w:ascii="Tahoma" w:hAnsi="Tahoma"/>
      <w:color w:val="808080"/>
      <w:sz w:val="24"/>
      <w:szCs w:val="20"/>
      <w:shd w:val="clear" w:color="auto" w:fill="E6E6E6"/>
    </w:rPr>
  </w:style>
  <w:style w:type="character" w:customStyle="1" w:styleId="76">
    <w:name w:val="font71"/>
    <w:qFormat/>
    <w:uiPriority w:val="0"/>
    <w:rPr>
      <w:rFonts w:hint="default" w:ascii="Times New Roman" w:hAnsi="Times New Roman" w:cs="Times New Roman"/>
      <w:color w:val="000000"/>
      <w:sz w:val="24"/>
      <w:szCs w:val="24"/>
      <w:u w:val="none"/>
    </w:rPr>
  </w:style>
  <w:style w:type="character" w:customStyle="1" w:styleId="77">
    <w:name w:val="gjfg"/>
    <w:basedOn w:val="32"/>
    <w:qFormat/>
    <w:uiPriority w:val="0"/>
  </w:style>
  <w:style w:type="character" w:customStyle="1" w:styleId="78">
    <w:name w:val="纯文本 字符"/>
    <w:qFormat/>
    <w:uiPriority w:val="0"/>
    <w:rPr>
      <w:rFonts w:ascii="宋体" w:hAnsi="Courier New" w:eastAsia="宋体" w:cs="Courier New"/>
      <w:szCs w:val="21"/>
    </w:rPr>
  </w:style>
  <w:style w:type="character" w:customStyle="1" w:styleId="79">
    <w:name w:val="font122"/>
    <w:qFormat/>
    <w:uiPriority w:val="0"/>
    <w:rPr>
      <w:rFonts w:hint="eastAsia" w:ascii="宋体" w:hAnsi="宋体" w:eastAsia="宋体" w:cs="宋体"/>
      <w:color w:val="FF0000"/>
      <w:sz w:val="20"/>
      <w:szCs w:val="20"/>
      <w:u w:val="none"/>
    </w:rPr>
  </w:style>
  <w:style w:type="character" w:customStyle="1" w:styleId="80">
    <w:name w:val="fontstyle01"/>
    <w:qFormat/>
    <w:uiPriority w:val="0"/>
    <w:rPr>
      <w:rFonts w:hint="eastAsia" w:ascii="宋体" w:hAnsi="宋体" w:eastAsia="宋体"/>
      <w:color w:val="000000"/>
      <w:sz w:val="22"/>
      <w:szCs w:val="22"/>
    </w:rPr>
  </w:style>
  <w:style w:type="character" w:customStyle="1" w:styleId="81">
    <w:name w:val="font131"/>
    <w:qFormat/>
    <w:uiPriority w:val="0"/>
    <w:rPr>
      <w:rFonts w:hint="eastAsia" w:ascii="宋体" w:hAnsi="宋体" w:eastAsia="宋体" w:cs="宋体"/>
      <w:b/>
      <w:bCs/>
      <w:color w:val="FF0000"/>
      <w:sz w:val="18"/>
      <w:szCs w:val="18"/>
      <w:u w:val="none"/>
    </w:rPr>
  </w:style>
  <w:style w:type="character" w:customStyle="1" w:styleId="82">
    <w:name w:val="纯文本 Char"/>
    <w:qFormat/>
    <w:uiPriority w:val="0"/>
    <w:rPr>
      <w:rFonts w:ascii="宋体" w:hAnsi="Courier New" w:eastAsia="宋体"/>
    </w:rPr>
  </w:style>
  <w:style w:type="character" w:customStyle="1" w:styleId="83">
    <w:name w:val="font41"/>
    <w:qFormat/>
    <w:uiPriority w:val="0"/>
    <w:rPr>
      <w:rFonts w:hint="eastAsia" w:ascii="宋体" w:hAnsi="宋体" w:eastAsia="宋体" w:cs="宋体"/>
      <w:color w:val="000000"/>
      <w:sz w:val="22"/>
      <w:szCs w:val="22"/>
      <w:u w:val="none"/>
    </w:rPr>
  </w:style>
  <w:style w:type="character" w:customStyle="1" w:styleId="84">
    <w:name w:val="font61"/>
    <w:qFormat/>
    <w:uiPriority w:val="0"/>
    <w:rPr>
      <w:rFonts w:hint="eastAsia" w:ascii="宋体" w:hAnsi="宋体" w:eastAsia="宋体" w:cs="宋体"/>
      <w:color w:val="000000"/>
      <w:sz w:val="21"/>
      <w:szCs w:val="21"/>
      <w:u w:val="none"/>
    </w:rPr>
  </w:style>
  <w:style w:type="character" w:customStyle="1" w:styleId="85">
    <w:name w:val="正文缩进 Char1"/>
    <w:qFormat/>
    <w:locked/>
    <w:uiPriority w:val="0"/>
    <w:rPr>
      <w:rFonts w:eastAsia="宋体"/>
      <w:kern w:val="2"/>
      <w:sz w:val="21"/>
      <w:lang w:val="en-US" w:eastAsia="zh-CN" w:bidi="ar-SA"/>
    </w:rPr>
  </w:style>
  <w:style w:type="character" w:customStyle="1" w:styleId="86">
    <w:name w:val="qxdate"/>
    <w:qFormat/>
    <w:uiPriority w:val="0"/>
    <w:rPr>
      <w:color w:val="333333"/>
      <w:sz w:val="18"/>
      <w:szCs w:val="18"/>
    </w:rPr>
  </w:style>
  <w:style w:type="character" w:customStyle="1" w:styleId="87">
    <w:name w:val="标题 Char"/>
    <w:qFormat/>
    <w:uiPriority w:val="10"/>
    <w:rPr>
      <w:rFonts w:ascii="Calibri Light" w:hAnsi="Calibri Light" w:cs="Times New Roman"/>
      <w:b/>
      <w:bCs/>
      <w:kern w:val="2"/>
      <w:sz w:val="32"/>
      <w:szCs w:val="32"/>
    </w:rPr>
  </w:style>
  <w:style w:type="character" w:customStyle="1" w:styleId="88">
    <w:name w:val="font121"/>
    <w:qFormat/>
    <w:uiPriority w:val="0"/>
    <w:rPr>
      <w:rFonts w:hint="eastAsia" w:ascii="宋体" w:hAnsi="宋体" w:eastAsia="宋体" w:cs="宋体"/>
      <w:b/>
      <w:color w:val="000000"/>
      <w:sz w:val="22"/>
      <w:szCs w:val="22"/>
      <w:u w:val="none"/>
    </w:rPr>
  </w:style>
  <w:style w:type="character" w:customStyle="1" w:styleId="89">
    <w:name w:val="redfilenumber"/>
    <w:qFormat/>
    <w:uiPriority w:val="0"/>
    <w:rPr>
      <w:color w:val="BA2636"/>
      <w:sz w:val="18"/>
      <w:szCs w:val="18"/>
    </w:rPr>
  </w:style>
  <w:style w:type="character" w:customStyle="1" w:styleId="90">
    <w:name w:val="cfdate"/>
    <w:qFormat/>
    <w:uiPriority w:val="0"/>
    <w:rPr>
      <w:color w:val="333333"/>
      <w:sz w:val="18"/>
      <w:szCs w:val="18"/>
    </w:rPr>
  </w:style>
  <w:style w:type="character" w:customStyle="1" w:styleId="91">
    <w:name w:val="main12"/>
    <w:qFormat/>
    <w:uiPriority w:val="0"/>
    <w:rPr>
      <w:rFonts w:ascii="Arial" w:hAnsi="Arial" w:cs="Arial"/>
      <w:color w:val="000000"/>
      <w:sz w:val="18"/>
      <w:szCs w:val="18"/>
    </w:rPr>
  </w:style>
  <w:style w:type="character" w:customStyle="1" w:styleId="92">
    <w:name w:val="页脚 字符"/>
    <w:qFormat/>
    <w:uiPriority w:val="99"/>
  </w:style>
  <w:style w:type="paragraph" w:customStyle="1" w:styleId="93">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94">
    <w:name w:val="普通(网站)1"/>
    <w:basedOn w:val="1"/>
    <w:qFormat/>
    <w:uiPriority w:val="0"/>
    <w:pPr>
      <w:jc w:val="left"/>
    </w:pPr>
    <w:rPr>
      <w:kern w:val="0"/>
      <w:sz w:val="24"/>
    </w:rPr>
  </w:style>
  <w:style w:type="paragraph" w:customStyle="1" w:styleId="95">
    <w:name w:val="p0"/>
    <w:basedOn w:val="1"/>
    <w:qFormat/>
    <w:uiPriority w:val="0"/>
    <w:pPr>
      <w:widowControl/>
    </w:pPr>
    <w:rPr>
      <w:kern w:val="0"/>
      <w:szCs w:val="20"/>
    </w:rPr>
  </w:style>
  <w:style w:type="paragraph" w:customStyle="1" w:styleId="9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97">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9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99">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00">
    <w:name w:val="样式1"/>
    <w:basedOn w:val="1"/>
    <w:qFormat/>
    <w:uiPriority w:val="0"/>
    <w:pPr>
      <w:widowControl/>
      <w:jc w:val="left"/>
    </w:pPr>
    <w:rPr>
      <w:rFonts w:ascii="宋体" w:hAnsi="宋体"/>
      <w:kern w:val="0"/>
      <w:szCs w:val="21"/>
    </w:rPr>
  </w:style>
  <w:style w:type="paragraph" w:customStyle="1" w:styleId="101">
    <w:name w:val="Char Char2 Char Char"/>
    <w:basedOn w:val="1"/>
    <w:qFormat/>
    <w:uiPriority w:val="0"/>
    <w:rPr>
      <w:rFonts w:ascii="Tahoma" w:hAnsi="Tahoma"/>
      <w:sz w:val="24"/>
      <w:szCs w:val="20"/>
    </w:rPr>
  </w:style>
  <w:style w:type="paragraph" w:customStyle="1" w:styleId="102">
    <w:name w:val="Char Char8"/>
    <w:basedOn w:val="1"/>
    <w:qFormat/>
    <w:uiPriority w:val="0"/>
    <w:rPr>
      <w:rFonts w:ascii="Tahoma" w:hAnsi="Tahoma" w:eastAsia="Times New Roman"/>
      <w:kern w:val="0"/>
      <w:sz w:val="24"/>
      <w:szCs w:val="20"/>
    </w:rPr>
  </w:style>
  <w:style w:type="paragraph" w:customStyle="1" w:styleId="10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04">
    <w:name w:val="列出段落1"/>
    <w:basedOn w:val="1"/>
    <w:qFormat/>
    <w:uiPriority w:val="0"/>
    <w:pPr>
      <w:ind w:firstLine="420" w:firstLineChars="200"/>
    </w:pPr>
    <w:rPr>
      <w:rFonts w:ascii="仿宋_GB2312" w:eastAsia="仿宋_GB2312"/>
      <w:sz w:val="32"/>
    </w:rPr>
  </w:style>
  <w:style w:type="paragraph" w:customStyle="1" w:styleId="10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06">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07">
    <w:name w:val="_Style 36"/>
    <w:basedOn w:val="1"/>
    <w:qFormat/>
    <w:uiPriority w:val="0"/>
    <w:rPr>
      <w:rFonts w:ascii="Tahoma" w:hAnsi="Tahoma"/>
      <w:sz w:val="24"/>
      <w:szCs w:val="20"/>
    </w:rPr>
  </w:style>
  <w:style w:type="paragraph" w:customStyle="1" w:styleId="108">
    <w:name w:val="CM15"/>
    <w:basedOn w:val="48"/>
    <w:next w:val="48"/>
    <w:qFormat/>
    <w:uiPriority w:val="0"/>
    <w:pPr>
      <w:spacing w:line="468" w:lineRule="atLeast"/>
    </w:pPr>
    <w:rPr>
      <w:rFonts w:ascii="Sim Sun" w:eastAsia="Sim Sun" w:cs="Times New Roman"/>
      <w:color w:val="auto"/>
    </w:rPr>
  </w:style>
  <w:style w:type="paragraph" w:customStyle="1" w:styleId="10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0">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 w:type="paragraph" w:customStyle="1" w:styleId="11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12">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113">
    <w:name w:val="p17"/>
    <w:basedOn w:val="1"/>
    <w:qFormat/>
    <w:uiPriority w:val="0"/>
    <w:pPr>
      <w:widowControl/>
    </w:pPr>
    <w:rPr>
      <w:rFonts w:ascii="宋体" w:hAnsi="宋体" w:cs="宋体"/>
      <w:kern w:val="0"/>
      <w:szCs w:val="21"/>
    </w:rPr>
  </w:style>
  <w:style w:type="paragraph" w:customStyle="1" w:styleId="114">
    <w:name w:val="Body text|1"/>
    <w:basedOn w:val="1"/>
    <w:qFormat/>
    <w:uiPriority w:val="0"/>
    <w:pPr>
      <w:spacing w:line="350" w:lineRule="auto"/>
      <w:ind w:firstLine="400"/>
      <w:jc w:val="left"/>
    </w:pPr>
    <w:rPr>
      <w:rFonts w:ascii="宋体" w:hAnsi="宋体" w:cs="宋体"/>
      <w:kern w:val="0"/>
      <w:sz w:val="30"/>
      <w:szCs w:val="30"/>
    </w:rPr>
  </w:style>
  <w:style w:type="paragraph" w:customStyle="1" w:styleId="115">
    <w:name w:val="表格文字"/>
    <w:basedOn w:val="14"/>
    <w:qFormat/>
    <w:uiPriority w:val="0"/>
    <w:pPr>
      <w:spacing w:before="20" w:after="20"/>
    </w:pPr>
    <w:rPr>
      <w:rFonts w:ascii="Century Gothic" w:hAnsi="Century Gothic"/>
      <w:sz w:val="20"/>
    </w:rPr>
  </w:style>
  <w:style w:type="paragraph" w:customStyle="1" w:styleId="11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17">
    <w:name w:val="Heading2"/>
    <w:basedOn w:val="1"/>
    <w:next w:val="1"/>
    <w:qFormat/>
    <w:uiPriority w:val="0"/>
    <w:pPr>
      <w:keepNext/>
      <w:keepLines/>
      <w:spacing w:before="260" w:after="260" w:line="416" w:lineRule="auto"/>
    </w:pPr>
    <w:rPr>
      <w:rFonts w:ascii="Arial" w:hAnsi="Arial" w:eastAsia="黑体"/>
      <w:b/>
      <w:bCs/>
      <w:kern w:val="0"/>
      <w:sz w:val="32"/>
      <w:szCs w:val="32"/>
    </w:rPr>
  </w:style>
  <w:style w:type="paragraph" w:customStyle="1" w:styleId="11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0">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12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27">
    <w:name w:val="列表段落1"/>
    <w:basedOn w:val="1"/>
    <w:qFormat/>
    <w:uiPriority w:val="0"/>
    <w:pPr>
      <w:ind w:firstLine="420" w:firstLineChars="200"/>
    </w:pPr>
  </w:style>
  <w:style w:type="paragraph" w:customStyle="1" w:styleId="128">
    <w:name w:val="Body text|3"/>
    <w:basedOn w:val="1"/>
    <w:qFormat/>
    <w:uiPriority w:val="0"/>
    <w:pPr>
      <w:spacing w:after="460"/>
      <w:jc w:val="center"/>
    </w:pPr>
    <w:rPr>
      <w:rFonts w:ascii="宋体" w:hAnsi="宋体" w:cs="宋体"/>
      <w:kern w:val="0"/>
      <w:sz w:val="34"/>
      <w:szCs w:val="34"/>
    </w:rPr>
  </w:style>
  <w:style w:type="paragraph" w:customStyle="1" w:styleId="129">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130">
    <w:name w:val="列出段落2"/>
    <w:basedOn w:val="1"/>
    <w:qFormat/>
    <w:uiPriority w:val="99"/>
    <w:pPr>
      <w:ind w:firstLine="420" w:firstLineChars="200"/>
    </w:p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3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33">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3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3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6">
    <w:name w:val="CM14"/>
    <w:basedOn w:val="48"/>
    <w:next w:val="48"/>
    <w:qFormat/>
    <w:uiPriority w:val="0"/>
    <w:pPr>
      <w:spacing w:line="468" w:lineRule="atLeast"/>
    </w:pPr>
    <w:rPr>
      <w:rFonts w:ascii="Sim Sun" w:eastAsia="Sim Sun" w:cs="Times New Roman"/>
      <w:color w:val="auto"/>
    </w:rPr>
  </w:style>
  <w:style w:type="paragraph" w:customStyle="1" w:styleId="13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Table Paragraph"/>
    <w:basedOn w:val="1"/>
    <w:qFormat/>
    <w:uiPriority w:val="1"/>
  </w:style>
  <w:style w:type="paragraph" w:customStyle="1" w:styleId="140">
    <w:name w:val="首行缩进"/>
    <w:basedOn w:val="1"/>
    <w:qFormat/>
    <w:uiPriority w:val="0"/>
    <w:pPr>
      <w:ind w:firstLine="480" w:firstLineChars="200"/>
    </w:pPr>
  </w:style>
  <w:style w:type="paragraph" w:customStyle="1" w:styleId="141">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4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43">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44">
    <w:name w:val="_Style 143"/>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46">
    <w:name w:val="1"/>
    <w:basedOn w:val="1"/>
    <w:next w:val="16"/>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65</Pages>
  <Words>44904</Words>
  <Characters>50402</Characters>
  <Lines>434</Lines>
  <Paragraphs>122</Paragraphs>
  <TotalTime>12</TotalTime>
  <ScaleCrop>false</ScaleCrop>
  <LinksUpToDate>false</LinksUpToDate>
  <CharactersWithSpaces>53484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2020-10-09T07:10:00Z</dcterms:created>
  <dc:creator>微软用户</dc:creator>
  <cp:lastModifiedBy>TB10-PC1</cp:lastModifiedBy>
  <cp:lastPrinted>2022-08-28T01:47:00Z</cp:lastPrinted>
  <dcterms:modified xsi:type="dcterms:W3CDTF">2022-09-28T08:23:06Z</dcterms:modified>
  <dc:title>医疗设备采购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24E0375DC3604F1797727E02BE17102E</vt:lpwstr>
  </property>
</Properties>
</file>