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5"/>
        <w:jc w:val="left"/>
        <w:rPr>
          <w:rFonts w:hint="eastAsia" w:hAnsi="宋体" w:cs="宋体"/>
          <w:b/>
          <w:bCs/>
          <w:color w:val="000000" w:themeColor="text1"/>
          <w:spacing w:val="80"/>
          <w:sz w:val="64"/>
          <w14:textFill>
            <w14:solidFill>
              <w14:schemeClr w14:val="tx1"/>
            </w14:solidFill>
          </w14:textFill>
        </w:rPr>
      </w:pPr>
    </w:p>
    <w:p>
      <w:pPr>
        <w:pStyle w:val="15"/>
        <w:jc w:val="center"/>
        <w:rPr>
          <w:rFonts w:hAnsi="宋体" w:cs="宋体"/>
          <w:b/>
          <w:bCs/>
          <w:color w:val="000000" w:themeColor="text1"/>
          <w:spacing w:val="80"/>
          <w:sz w:val="60"/>
          <w:szCs w:val="60"/>
          <w14:textFill>
            <w14:solidFill>
              <w14:schemeClr w14:val="tx1"/>
            </w14:solidFill>
          </w14:textFill>
        </w:rPr>
      </w:pPr>
      <w:r>
        <w:rPr>
          <w:rFonts w:hint="eastAsia" w:hAnsi="宋体" w:cs="宋体"/>
          <w:b/>
          <w:bCs/>
          <w:color w:val="000000" w:themeColor="text1"/>
          <w:spacing w:val="80"/>
          <w:sz w:val="60"/>
          <w:szCs w:val="60"/>
          <w14:textFill>
            <w14:solidFill>
              <w14:schemeClr w14:val="tx1"/>
            </w14:solidFill>
          </w14:textFill>
        </w:rPr>
        <w:t>桂林市政府集中采购中心</w:t>
      </w:r>
    </w:p>
    <w:p>
      <w:pPr>
        <w:pStyle w:val="15"/>
        <w:jc w:val="center"/>
        <w:rPr>
          <w:rFonts w:hAnsi="宋体" w:cs="宋体"/>
          <w:b/>
          <w:bCs/>
          <w:color w:val="000000" w:themeColor="text1"/>
          <w:spacing w:val="80"/>
          <w:sz w:val="72"/>
          <w14:textFill>
            <w14:solidFill>
              <w14:schemeClr w14:val="tx1"/>
            </w14:solidFill>
          </w14:textFill>
        </w:rPr>
      </w:pPr>
    </w:p>
    <w:p>
      <w:pPr>
        <w:pStyle w:val="15"/>
        <w:jc w:val="center"/>
        <w:rPr>
          <w:rFonts w:hAnsi="宋体" w:cs="宋体"/>
          <w:b/>
          <w:bCs/>
          <w:color w:val="000000" w:themeColor="text1"/>
          <w:sz w:val="72"/>
          <w14:textFill>
            <w14:solidFill>
              <w14:schemeClr w14:val="tx1"/>
            </w14:solidFill>
          </w14:textFill>
        </w:rPr>
      </w:pPr>
    </w:p>
    <w:p>
      <w:pPr>
        <w:pStyle w:val="15"/>
        <w:jc w:val="center"/>
        <w:rPr>
          <w:rFonts w:hAnsi="宋体" w:cs="宋体"/>
          <w:color w:val="000000" w:themeColor="text1"/>
          <w14:textFill>
            <w14:solidFill>
              <w14:schemeClr w14:val="tx1"/>
            </w14:solidFill>
          </w14:textFill>
        </w:rPr>
      </w:pPr>
    </w:p>
    <w:p>
      <w:pPr>
        <w:spacing w:line="1400" w:lineRule="exact"/>
        <w:jc w:val="center"/>
        <w:rPr>
          <w:rFonts w:ascii="宋体" w:hAnsi="宋体" w:cs="宋体"/>
          <w:b/>
          <w:color w:val="000000" w:themeColor="text1"/>
          <w:spacing w:val="60"/>
          <w:sz w:val="132"/>
          <w:szCs w:val="132"/>
          <w14:textFill>
            <w14:solidFill>
              <w14:schemeClr w14:val="tx1"/>
            </w14:solidFill>
          </w14:textFill>
        </w:rPr>
      </w:pPr>
      <w:r>
        <w:rPr>
          <w:rFonts w:hint="eastAsia" w:ascii="宋体" w:hAnsi="宋体" w:cs="宋体"/>
          <w:b/>
          <w:color w:val="000000" w:themeColor="text1"/>
          <w:spacing w:val="60"/>
          <w:sz w:val="132"/>
          <w:szCs w:val="132"/>
          <w14:textFill>
            <w14:solidFill>
              <w14:schemeClr w14:val="tx1"/>
            </w14:solidFill>
          </w14:textFill>
        </w:rPr>
        <w:t>招标文件</w:t>
      </w:r>
    </w:p>
    <w:p>
      <w:pPr>
        <w:pStyle w:val="15"/>
        <w:rPr>
          <w:rFonts w:hAnsi="宋体" w:cs="宋体"/>
          <w:color w:val="000000" w:themeColor="text1"/>
          <w14:textFill>
            <w14:solidFill>
              <w14:schemeClr w14:val="tx1"/>
            </w14:solidFill>
          </w14:textFill>
        </w:rPr>
      </w:pPr>
    </w:p>
    <w:p>
      <w:pPr>
        <w:pStyle w:val="15"/>
        <w:ind w:firstLine="3885" w:firstLineChars="1850"/>
        <w:rPr>
          <w:rFonts w:hAnsi="宋体" w:cs="宋体"/>
          <w:color w:val="000000" w:themeColor="text1"/>
          <w14:textFill>
            <w14:solidFill>
              <w14:schemeClr w14:val="tx1"/>
            </w14:solidFill>
          </w14:textFill>
        </w:rPr>
      </w:pPr>
    </w:p>
    <w:p>
      <w:pPr>
        <w:pStyle w:val="15"/>
        <w:rPr>
          <w:rFonts w:hAnsi="宋体" w:cs="宋体"/>
          <w:color w:val="000000" w:themeColor="text1"/>
          <w14:textFill>
            <w14:solidFill>
              <w14:schemeClr w14:val="tx1"/>
            </w14:solidFill>
          </w14:textFill>
        </w:rPr>
      </w:pPr>
    </w:p>
    <w:p>
      <w:pPr>
        <w:pStyle w:val="15"/>
        <w:rPr>
          <w:rFonts w:hAnsi="宋体" w:cs="宋体"/>
          <w:color w:val="000000" w:themeColor="text1"/>
          <w14:textFill>
            <w14:solidFill>
              <w14:schemeClr w14:val="tx1"/>
            </w14:solidFill>
          </w14:textFill>
        </w:rPr>
      </w:pPr>
    </w:p>
    <w:p>
      <w:pPr>
        <w:pStyle w:val="15"/>
        <w:rPr>
          <w:rFonts w:hAnsi="宋体" w:cs="宋体"/>
          <w:color w:val="000000" w:themeColor="text1"/>
          <w14:textFill>
            <w14:solidFill>
              <w14:schemeClr w14:val="tx1"/>
            </w14:solidFill>
          </w14:textFill>
        </w:rPr>
      </w:pPr>
    </w:p>
    <w:p>
      <w:pPr>
        <w:ind w:left="3602" w:leftChars="760" w:hanging="2006" w:hangingChars="500"/>
        <w:rPr>
          <w:rFonts w:ascii="宋体" w:hAnsi="宋体" w:cs="宋体"/>
          <w:b/>
          <w:bCs/>
          <w:color w:val="000000" w:themeColor="text1"/>
          <w:spacing w:val="-36"/>
          <w:sz w:val="32"/>
          <w14:textFill>
            <w14:solidFill>
              <w14:schemeClr w14:val="tx1"/>
            </w14:solidFill>
          </w14:textFill>
        </w:rPr>
      </w:pPr>
      <w:r>
        <w:rPr>
          <w:rFonts w:hint="eastAsia" w:ascii="宋体" w:hAnsi="宋体" w:cs="宋体"/>
          <w:b/>
          <w:bCs/>
          <w:color w:val="000000" w:themeColor="text1"/>
          <w:spacing w:val="40"/>
          <w:sz w:val="32"/>
          <w14:textFill>
            <w14:solidFill>
              <w14:schemeClr w14:val="tx1"/>
            </w14:solidFill>
          </w14:textFill>
        </w:rPr>
        <w:t>项目名称：</w:t>
      </w:r>
      <w:r>
        <w:rPr>
          <w:rFonts w:hint="eastAsia" w:ascii="宋体" w:hAnsi="宋体" w:cs="宋体"/>
          <w:b/>
          <w:bCs/>
          <w:color w:val="000000" w:themeColor="text1"/>
          <w:spacing w:val="40"/>
          <w:sz w:val="32"/>
          <w:szCs w:val="32"/>
          <w14:textFill>
            <w14:solidFill>
              <w14:schemeClr w14:val="tx1"/>
            </w14:solidFill>
          </w14:textFill>
        </w:rPr>
        <w:t>雁山图书馆古籍馆货物采购</w:t>
      </w:r>
      <w:r>
        <w:rPr>
          <w:rFonts w:hint="eastAsia" w:ascii="宋体" w:hAnsi="宋体" w:cs="宋体"/>
          <w:b/>
          <w:color w:val="000000" w:themeColor="text1"/>
          <w:szCs w:val="21"/>
          <w14:textFill>
            <w14:solidFill>
              <w14:schemeClr w14:val="tx1"/>
            </w14:solidFill>
          </w14:textFill>
        </w:rPr>
        <w:t xml:space="preserve"> </w:t>
      </w:r>
    </w:p>
    <w:p>
      <w:pPr>
        <w:ind w:left="-2" w:leftChars="-1" w:firstLine="1605" w:firstLineChars="400"/>
        <w:rPr>
          <w:rFonts w:ascii="宋体" w:hAnsi="宋体" w:cs="宋体"/>
          <w:b/>
          <w:bCs/>
          <w:color w:val="000000" w:themeColor="text1"/>
          <w:sz w:val="32"/>
          <w14:textFill>
            <w14:solidFill>
              <w14:schemeClr w14:val="tx1"/>
            </w14:solidFill>
          </w14:textFill>
        </w:rPr>
      </w:pPr>
      <w:r>
        <w:rPr>
          <w:rFonts w:hint="eastAsia" w:ascii="宋体" w:hAnsi="宋体" w:cs="宋体"/>
          <w:b/>
          <w:bCs/>
          <w:color w:val="000000" w:themeColor="text1"/>
          <w:spacing w:val="40"/>
          <w:sz w:val="32"/>
          <w14:textFill>
            <w14:solidFill>
              <w14:schemeClr w14:val="tx1"/>
            </w14:solidFill>
          </w14:textFill>
        </w:rPr>
        <w:t>项目编号：</w:t>
      </w:r>
      <w:r>
        <w:rPr>
          <w:rFonts w:hint="eastAsia" w:ascii="宋体" w:hAnsi="宋体" w:cs="宋体"/>
          <w:b/>
          <w:bCs/>
          <w:color w:val="000000" w:themeColor="text1"/>
          <w:sz w:val="30"/>
          <w:szCs w:val="30"/>
          <w14:textFill>
            <w14:solidFill>
              <w14:schemeClr w14:val="tx1"/>
            </w14:solidFill>
          </w14:textFill>
        </w:rPr>
        <w:t>GXZC2020-G1-002663-JCZX</w:t>
      </w:r>
      <w:r>
        <w:rPr>
          <w:rFonts w:hint="eastAsia" w:ascii="宋体" w:hAnsi="宋体" w:cs="宋体"/>
          <w:b/>
          <w:bCs/>
          <w:color w:val="000000" w:themeColor="text1"/>
          <w:spacing w:val="40"/>
          <w:sz w:val="32"/>
          <w14:textFill>
            <w14:solidFill>
              <w14:schemeClr w14:val="tx1"/>
            </w14:solidFill>
          </w14:textFill>
        </w:rPr>
        <w:t xml:space="preserve"> </w:t>
      </w:r>
      <w:r>
        <w:rPr>
          <w:rFonts w:hint="eastAsia" w:ascii="宋体" w:hAnsi="宋体" w:cs="宋体"/>
          <w:b/>
          <w:bCs/>
          <w:color w:val="000000" w:themeColor="text1"/>
          <w:sz w:val="32"/>
          <w14:textFill>
            <w14:solidFill>
              <w14:schemeClr w14:val="tx1"/>
            </w14:solidFill>
          </w14:textFill>
        </w:rPr>
        <w:t xml:space="preserve">         </w:t>
      </w:r>
    </w:p>
    <w:p>
      <w:pPr>
        <w:ind w:left="-2" w:leftChars="-1" w:firstLine="1446" w:firstLineChars="400"/>
        <w:rPr>
          <w:rFonts w:ascii="宋体" w:hAnsi="宋体" w:cs="宋体"/>
          <w:color w:val="000000" w:themeColor="text1"/>
          <w14:textFill>
            <w14:solidFill>
              <w14:schemeClr w14:val="tx1"/>
            </w14:solidFill>
          </w14:textFill>
        </w:rPr>
      </w:pPr>
      <w:r>
        <w:rPr>
          <w:rFonts w:hint="eastAsia" w:ascii="宋体" w:hAnsi="宋体" w:cs="宋体"/>
          <w:b/>
          <w:bCs/>
          <w:color w:val="000000" w:themeColor="text1"/>
          <w:sz w:val="36"/>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cr/>
      </w:r>
    </w:p>
    <w:p>
      <w:pPr>
        <w:ind w:left="-2" w:leftChars="-1" w:firstLine="840" w:firstLineChars="400"/>
        <w:rPr>
          <w:rFonts w:ascii="宋体" w:hAnsi="宋体" w:cs="宋体"/>
          <w:color w:val="000000" w:themeColor="text1"/>
          <w14:textFill>
            <w14:solidFill>
              <w14:schemeClr w14:val="tx1"/>
            </w14:solidFill>
          </w14:textFill>
        </w:rPr>
      </w:pPr>
    </w:p>
    <w:p>
      <w:pPr>
        <w:ind w:left="-2" w:leftChars="-1" w:firstLine="630" w:firstLineChars="3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w:t>
      </w:r>
      <w:r>
        <w:rPr>
          <w:rFonts w:hint="eastAsia" w:ascii="宋体" w:hAnsi="宋体" w:cs="宋体"/>
          <w:color w:val="000000" w:themeColor="text1"/>
          <w14:textFill>
            <w14:solidFill>
              <w14:schemeClr w14:val="tx1"/>
            </w14:solidFill>
          </w14:textFill>
        </w:rPr>
        <w:tab/>
      </w:r>
    </w:p>
    <w:p>
      <w:pPr>
        <w:ind w:left="103" w:leftChars="49" w:firstLine="1470" w:firstLineChars="700"/>
        <w:jc w:val="center"/>
        <w:rPr>
          <w:rFonts w:ascii="宋体" w:hAnsi="宋体" w:cs="宋体"/>
          <w:b/>
          <w:bCs/>
          <w:color w:val="000000" w:themeColor="text1"/>
          <w:spacing w:val="40"/>
          <w:sz w:val="32"/>
          <w:szCs w:val="32"/>
          <w14:textFill>
            <w14:solidFill>
              <w14:schemeClr w14:val="tx1"/>
            </w14:solidFill>
          </w14:textFill>
        </w:rPr>
      </w:pPr>
      <w:r>
        <w:rPr>
          <w:rFonts w:hint="eastAsia" w:ascii="宋体" w:hAnsi="宋体" w:cs="宋体"/>
          <w:color w:val="000000" w:themeColor="text1"/>
          <w14:textFill>
            <w14:solidFill>
              <w14:schemeClr w14:val="tx1"/>
            </w14:solidFill>
          </w14:textFill>
        </w:rPr>
        <w:cr/>
      </w:r>
      <w:r>
        <w:rPr>
          <w:rFonts w:hint="eastAsia" w:ascii="宋体" w:hAnsi="宋体" w:cs="宋体"/>
          <w:b/>
          <w:bCs/>
          <w:color w:val="000000" w:themeColor="text1"/>
          <w:spacing w:val="40"/>
          <w:sz w:val="32"/>
          <w:szCs w:val="32"/>
          <w14:textFill>
            <w14:solidFill>
              <w14:schemeClr w14:val="tx1"/>
            </w14:solidFill>
          </w14:textFill>
        </w:rPr>
        <w:t>采购代理机构：桂林市政府集中采购中心</w:t>
      </w:r>
    </w:p>
    <w:p>
      <w:pPr>
        <w:jc w:val="center"/>
        <w:rPr>
          <w:rFonts w:ascii="宋体" w:hAnsi="宋体" w:cs="宋体"/>
          <w:b/>
          <w:bCs/>
          <w:color w:val="000000" w:themeColor="text1"/>
          <w:sz w:val="32"/>
          <w14:textFill>
            <w14:solidFill>
              <w14:schemeClr w14:val="tx1"/>
            </w14:solidFill>
          </w14:textFill>
        </w:rPr>
      </w:pPr>
      <w:r>
        <w:rPr>
          <w:rFonts w:hint="eastAsia" w:ascii="宋体" w:hAnsi="宋体" w:cs="宋体"/>
          <w:b/>
          <w:bCs/>
          <w:color w:val="000000" w:themeColor="text1"/>
          <w:sz w:val="32"/>
          <w14:textFill>
            <w14:solidFill>
              <w14:schemeClr w14:val="tx1"/>
            </w14:solidFill>
          </w14:textFill>
        </w:rPr>
        <w:t>2020年</w:t>
      </w:r>
      <w:r>
        <w:rPr>
          <w:rFonts w:hint="eastAsia" w:ascii="宋体" w:hAnsi="宋体" w:cs="宋体"/>
          <w:b/>
          <w:color w:val="000000" w:themeColor="text1"/>
          <w:sz w:val="32"/>
          <w:szCs w:val="32"/>
          <w:lang w:val="en-US" w:eastAsia="zh-CN"/>
          <w14:textFill>
            <w14:solidFill>
              <w14:schemeClr w14:val="tx1"/>
            </w14:solidFill>
          </w14:textFill>
        </w:rPr>
        <w:t>9</w:t>
      </w:r>
      <w:r>
        <w:rPr>
          <w:rFonts w:hint="eastAsia" w:ascii="宋体" w:hAnsi="宋体" w:cs="宋体"/>
          <w:b/>
          <w:bCs/>
          <w:color w:val="000000" w:themeColor="text1"/>
          <w:sz w:val="32"/>
          <w14:textFill>
            <w14:solidFill>
              <w14:schemeClr w14:val="tx1"/>
            </w14:solidFill>
          </w14:textFill>
        </w:rPr>
        <w:t>月</w:t>
      </w:r>
      <w:r>
        <w:rPr>
          <w:rFonts w:hint="eastAsia" w:ascii="宋体" w:hAnsi="宋体" w:cs="宋体"/>
          <w:b/>
          <w:bCs/>
          <w:color w:val="000000" w:themeColor="text1"/>
          <w:sz w:val="32"/>
          <w:lang w:val="en-US" w:eastAsia="zh-CN"/>
          <w14:textFill>
            <w14:solidFill>
              <w14:schemeClr w14:val="tx1"/>
            </w14:solidFill>
          </w14:textFill>
        </w:rPr>
        <w:t>9</w:t>
      </w:r>
      <w:r>
        <w:rPr>
          <w:rFonts w:hint="eastAsia" w:ascii="宋体" w:hAnsi="宋体" w:cs="宋体"/>
          <w:b/>
          <w:bCs/>
          <w:color w:val="000000" w:themeColor="text1"/>
          <w:sz w:val="32"/>
          <w14:textFill>
            <w14:solidFill>
              <w14:schemeClr w14:val="tx1"/>
            </w14:solidFill>
          </w14:textFill>
        </w:rPr>
        <w:t>日</w:t>
      </w:r>
    </w:p>
    <w:p>
      <w:pPr>
        <w:jc w:val="center"/>
        <w:rPr>
          <w:rFonts w:ascii="宋体" w:hAnsi="宋体" w:cs="宋体"/>
          <w:bCs/>
          <w:color w:val="000000" w:themeColor="text1"/>
          <w:sz w:val="30"/>
          <w:szCs w:val="30"/>
          <w14:textFill>
            <w14:solidFill>
              <w14:schemeClr w14:val="tx1"/>
            </w14:solidFill>
          </w14:textFill>
        </w:rPr>
      </w:pPr>
    </w:p>
    <w:p>
      <w:pPr>
        <w:pStyle w:val="72"/>
        <w:jc w:val="center"/>
        <w:rPr>
          <w:rFonts w:ascii="宋体" w:hAnsi="宋体" w:eastAsia="宋体" w:cs="宋体"/>
          <w:color w:val="000000" w:themeColor="text1"/>
          <w:lang w:val="zh-CN"/>
          <w14:textFill>
            <w14:solidFill>
              <w14:schemeClr w14:val="tx1"/>
            </w14:solidFill>
          </w14:textFill>
        </w:rPr>
        <w:sectPr>
          <w:headerReference r:id="rId3" w:type="default"/>
          <w:footerReference r:id="rId4" w:type="default"/>
          <w:pgSz w:w="11906" w:h="16838"/>
          <w:pgMar w:top="1440" w:right="1080" w:bottom="1440" w:left="1080" w:header="1134" w:footer="1134" w:gutter="0"/>
          <w:pgNumType w:fmt="upperRoman"/>
          <w:cols w:space="720" w:num="1"/>
          <w:docGrid w:type="lines" w:linePitch="312" w:charSpace="0"/>
        </w:sectPr>
      </w:pPr>
    </w:p>
    <w:p>
      <w:pPr>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目录</w:t>
      </w:r>
    </w:p>
    <w:p>
      <w:pPr>
        <w:pStyle w:val="20"/>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TOC \o "1-3" \h \u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_Toc23828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32"/>
          <w14:textFill>
            <w14:solidFill>
              <w14:schemeClr w14:val="tx1"/>
            </w14:solidFill>
          </w14:textFill>
        </w:rPr>
        <w:t>第一章 公开招标公告</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_Toc23828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0"/>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_Toc13294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bCs/>
          <w:color w:val="000000" w:themeColor="text1"/>
          <w:kern w:val="44"/>
          <w:szCs w:val="32"/>
          <w14:textFill>
            <w14:solidFill>
              <w14:schemeClr w14:val="tx1"/>
            </w14:solidFill>
          </w14:textFill>
        </w:rPr>
        <w:t>第二章  投标人须知</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_Toc13294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_Toc31501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14:textFill>
            <w14:solidFill>
              <w14:schemeClr w14:val="tx1"/>
            </w14:solidFill>
          </w14:textFill>
        </w:rPr>
        <w:t>投标人须知前附表</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_Toc31501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_Toc1945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8"/>
          <w14:textFill>
            <w14:solidFill>
              <w14:schemeClr w14:val="tx1"/>
            </w14:solidFill>
          </w14:textFill>
        </w:rPr>
        <w:t>一、总则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_Toc1945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_Toc11622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1. 项目名称及项目编号</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_Toc11622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_Toc17952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2. 适应范围</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_Toc17952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_Toc22597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3. 定义</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_Toc22597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_Toc23757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4. 招标方式、评分办法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_Toc23757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_Toc28290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5. 投标人资格</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_Toc28290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_Toc10986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6. 投标费用</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_Toc10986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_Toc29384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7. 联合体投标要求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_Toc29384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_Toc28380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8. 转包与分包</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_Toc28380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_Toc24263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9. 特别说明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_Toc24263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_Toc1285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10. 质疑和投诉</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_Toc1285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9</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_Toc2303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8"/>
          <w14:textFill>
            <w14:solidFill>
              <w14:schemeClr w14:val="tx1"/>
            </w14:solidFill>
          </w14:textFill>
        </w:rPr>
        <w:t>二、招标文件</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_Toc2303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9</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_Toc20195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11. 招标文件的构成</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_Toc20195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9</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_Toc9713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12. 招标文件的澄清与修改</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_Toc9713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_Toc3080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8"/>
          <w14:textFill>
            <w14:solidFill>
              <w14:schemeClr w14:val="tx1"/>
            </w14:solidFill>
          </w14:textFill>
        </w:rPr>
        <w:t>三、投标文件的编制</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_Toc3080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_Toc10161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13. 投标文件的组成及要求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_Toc10161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_Toc31703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14. 投标文件的语言及计量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_Toc31703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12</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_Toc5938 </w:instrText>
      </w:r>
      <w:r>
        <w:rPr>
          <w:rFonts w:hint="eastAsia" w:ascii="宋体" w:hAnsi="宋体" w:cs="宋体"/>
          <w:color w:val="000000" w:themeColor="text1"/>
          <w:szCs w:val="21"/>
          <w14:textFill>
            <w14:solidFill>
              <w14:schemeClr w14:val="tx1"/>
            </w14:solidFill>
          </w14:textFill>
        </w:rPr>
        <w:fldChar w:fldCharType="separate"/>
      </w:r>
      <w:r>
        <w:rPr>
          <w:rFonts w:ascii="宋体" w:hAnsi="宋体" w:cs="宋体"/>
          <w:color w:val="000000" w:themeColor="text1"/>
          <w:szCs w:val="21"/>
          <w14:textFill>
            <w14:solidFill>
              <w14:schemeClr w14:val="tx1"/>
            </w14:solidFill>
          </w14:textFill>
        </w:rPr>
        <w:t xml:space="preserve">15. </w:t>
      </w:r>
      <w:r>
        <w:rPr>
          <w:rFonts w:hint="eastAsia" w:ascii="宋体" w:hAnsi="宋体" w:cs="宋体"/>
          <w:color w:val="000000" w:themeColor="text1"/>
          <w:szCs w:val="21"/>
          <w14:textFill>
            <w14:solidFill>
              <w14:schemeClr w14:val="tx1"/>
            </w14:solidFill>
          </w14:textFill>
        </w:rPr>
        <w:t>投标报价</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_Toc5938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12</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_Toc5678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16. 投标有效期</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_Toc5678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12</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_Toc7360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17. 投标保证金</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_Toc7360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12</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_Toc23145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18. 投标文件的份数、装订、签署和包装、密封</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_Toc23145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12</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_Toc22917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19. 投标文件的补充、修改和撤回</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_Toc22917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13</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_Toc28506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20. 投标文件的递交</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_Toc28506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13</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_Toc531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8"/>
          <w14:textFill>
            <w14:solidFill>
              <w14:schemeClr w14:val="tx1"/>
            </w14:solidFill>
          </w14:textFill>
        </w:rPr>
        <w:t>四、开标</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_Toc531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13</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_Toc25645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21. 开标时间及地点</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_Toc25645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13</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_Toc27199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22. 开标程序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_Toc27199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_Toc8536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8"/>
          <w14:textFill>
            <w14:solidFill>
              <w14:schemeClr w14:val="tx1"/>
            </w14:solidFill>
          </w14:textFill>
        </w:rPr>
        <w:t>五、资格性审查</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_Toc8536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_Toc29907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23. 资格性审查</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_Toc29907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_Toc20988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8"/>
          <w14:textFill>
            <w14:solidFill>
              <w14:schemeClr w14:val="tx1"/>
            </w14:solidFill>
          </w14:textFill>
        </w:rPr>
        <w:t>六、评标</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_Toc20988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_Toc11750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24. 评标委员会组成</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_Toc11750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_Toc4454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25. 评标办法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_Toc4454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_Toc19674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26. 评标</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_Toc19674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15</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_Toc17815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27. 推荐及确定中标候选供应商原则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_Toc17815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16</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_Toc839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28. 属于下列情况之一者，投标无效：</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_Toc839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16</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_Toc5875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29. 投标人有下列情形之一的，视为串通投标，投标文件将被视为无效：</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_Toc5875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16</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_Toc26728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30. 属于下列情形之一的，应予废标：</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_Toc26728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16</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_Toc13964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31. 开标、评标过程的监控</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_Toc13964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17</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_Toc3267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32. 信用查询</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_Toc3267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17</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_Toc28582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33. 中标公告及中标通知书</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_Toc28582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17</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_Toc24600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8"/>
          <w14:textFill>
            <w14:solidFill>
              <w14:schemeClr w14:val="tx1"/>
            </w14:solidFill>
          </w14:textFill>
        </w:rPr>
        <w:t>七、履约保证金及签订合同</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_Toc24600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17</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_Toc9822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34. 履约保证金</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_Toc9822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17</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_Toc9194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35. 签订合同</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_Toc9194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_Toc13474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8"/>
          <w14:textFill>
            <w14:solidFill>
              <w14:schemeClr w14:val="tx1"/>
            </w14:solidFill>
          </w14:textFill>
        </w:rPr>
        <w:t>八、其他事项</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_Toc13474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_Toc14099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36. 招标代理服务费</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_Toc14099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_Toc24544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37. 解释权</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_Toc24544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14"/>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_Toc11083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38. 监督管理机构</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_Toc11083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18</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0"/>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_Toc13577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bCs/>
          <w:color w:val="000000" w:themeColor="text1"/>
          <w:kern w:val="44"/>
          <w:szCs w:val="32"/>
          <w14:textFill>
            <w14:solidFill>
              <w14:schemeClr w14:val="tx1"/>
            </w14:solidFill>
          </w14:textFill>
        </w:rPr>
        <w:t>第三章  货物采购需求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_Toc13577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19</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0"/>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_Toc23428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bCs/>
          <w:color w:val="000000" w:themeColor="text1"/>
          <w:kern w:val="44"/>
          <w:szCs w:val="32"/>
          <w14:textFill>
            <w14:solidFill>
              <w14:schemeClr w14:val="tx1"/>
            </w14:solidFill>
          </w14:textFill>
        </w:rPr>
        <w:t>第四章  评标办法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_Toc23428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43</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0"/>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_Toc17890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bCs/>
          <w:color w:val="000000" w:themeColor="text1"/>
          <w:kern w:val="44"/>
          <w:szCs w:val="32"/>
          <w14:textFill>
            <w14:solidFill>
              <w14:schemeClr w14:val="tx1"/>
            </w14:solidFill>
          </w14:textFill>
        </w:rPr>
        <w:t>第五章  采购合同（合同主要条款及格式）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_Toc17890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51</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_Toc12937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第一条 合同标的及合同金额</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_Toc12937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51</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_Toc22974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第二条  质量保证</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_Toc22974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51</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_Toc2892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第三条  权力保证</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_Toc2892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51</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_Toc29967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第四条  货物包装、运输</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_Toc29967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52</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_Toc8370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第五条  交付</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_Toc8370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52</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_Toc30320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第六条  调试和验收</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_Toc30320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52</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_Toc28918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第七条  安装和培训</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_Toc28918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53</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_Toc15638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第八条  售后服务、保修期</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_Toc15638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53</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_Toc22733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第九条  税费</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_Toc22733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53</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_Toc11220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第十条  付款方式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_Toc11220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53</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_Toc3250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第十一条  违约责任</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_Toc3250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53</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_Toc16177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第十二条  不可抗力事件处理</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_Toc16177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54</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_Toc16108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第十三条  合同争议解决</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_Toc16108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54</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_Toc28417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第十四条  合同生效及其它</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_Toc28417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54</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_Toc12831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第十五条  合同的变更、终止与转让</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_Toc12831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54</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1"/>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_Toc2850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第十六条  签订本合同依据</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_Toc2850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54</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pStyle w:val="20"/>
        <w:tabs>
          <w:tab w:val="right" w:leader="dot" w:pos="9746"/>
        </w:tabs>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begin"/>
      </w:r>
      <w:r>
        <w:rPr>
          <w:rFonts w:hint="eastAsia" w:ascii="宋体" w:hAnsi="宋体" w:cs="宋体"/>
          <w:color w:val="000000" w:themeColor="text1"/>
          <w:szCs w:val="21"/>
          <w14:textFill>
            <w14:solidFill>
              <w14:schemeClr w14:val="tx1"/>
            </w14:solidFill>
          </w14:textFill>
        </w:rPr>
        <w:instrText xml:space="preserve"> HYPERLINK \l _Toc951 </w:instrText>
      </w:r>
      <w:r>
        <w:rPr>
          <w:rFonts w:hint="eastAsia" w:ascii="宋体" w:hAnsi="宋体" w:cs="宋体"/>
          <w:color w:val="000000" w:themeColor="text1"/>
          <w:szCs w:val="21"/>
          <w14:textFill>
            <w14:solidFill>
              <w14:schemeClr w14:val="tx1"/>
            </w14:solidFill>
          </w14:textFill>
        </w:rPr>
        <w:fldChar w:fldCharType="separate"/>
      </w:r>
      <w:r>
        <w:rPr>
          <w:rFonts w:hint="eastAsia" w:ascii="宋体" w:hAnsi="宋体" w:cs="宋体"/>
          <w:bCs/>
          <w:color w:val="000000" w:themeColor="text1"/>
          <w:kern w:val="44"/>
          <w:szCs w:val="32"/>
          <w14:textFill>
            <w14:solidFill>
              <w14:schemeClr w14:val="tx1"/>
            </w14:solidFill>
          </w14:textFill>
        </w:rPr>
        <w:t>第六章  投标文件（格式）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_Toc951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56</w:t>
      </w:r>
      <w:r>
        <w:rPr>
          <w:color w:val="000000" w:themeColor="text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fldChar w:fldCharType="end"/>
      </w:r>
    </w:p>
    <w:p>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fldChar w:fldCharType="end"/>
      </w:r>
    </w:p>
    <w:p>
      <w:pPr>
        <w:jc w:val="center"/>
        <w:outlineLvl w:val="0"/>
        <w:rPr>
          <w:rFonts w:ascii="宋体" w:hAnsi="宋体" w:cs="宋体"/>
          <w:color w:val="000000" w:themeColor="text1"/>
          <w:sz w:val="32"/>
          <w:szCs w:val="32"/>
          <w14:textFill>
            <w14:solidFill>
              <w14:schemeClr w14:val="tx1"/>
            </w14:solidFill>
          </w14:textFill>
        </w:rPr>
        <w:sectPr>
          <w:footerReference r:id="rId5" w:type="default"/>
          <w:pgSz w:w="11906" w:h="16838"/>
          <w:pgMar w:top="1440" w:right="1080" w:bottom="1440" w:left="1080" w:header="851" w:footer="992" w:gutter="0"/>
          <w:pgNumType w:fmt="upperRoman" w:start="1"/>
          <w:cols w:space="720" w:num="1"/>
          <w:docGrid w:type="lines" w:linePitch="312" w:charSpace="0"/>
        </w:sectPr>
      </w:pPr>
    </w:p>
    <w:p>
      <w:pPr>
        <w:pStyle w:val="3"/>
        <w:numPr>
          <w:ilvl w:val="0"/>
          <w:numId w:val="1"/>
        </w:numPr>
        <w:tabs>
          <w:tab w:val="left" w:pos="0"/>
          <w:tab w:val="left" w:pos="3165"/>
          <w:tab w:val="center" w:pos="4153"/>
        </w:tabs>
        <w:autoSpaceDE w:val="0"/>
        <w:autoSpaceDN w:val="0"/>
        <w:adjustRightInd w:val="0"/>
        <w:spacing w:before="0" w:after="0" w:line="440" w:lineRule="exact"/>
        <w:jc w:val="center"/>
        <w:rPr>
          <w:rFonts w:ascii="宋体" w:hAnsi="宋体" w:cs="宋体"/>
          <w:color w:val="000000" w:themeColor="text1"/>
          <w:sz w:val="32"/>
          <w:szCs w:val="32"/>
          <w14:textFill>
            <w14:solidFill>
              <w14:schemeClr w14:val="tx1"/>
            </w14:solidFill>
          </w14:textFill>
        </w:rPr>
      </w:pPr>
      <w:bookmarkStart w:id="0" w:name="_Toc23828"/>
      <w:bookmarkStart w:id="1" w:name="_Toc35393789"/>
      <w:bookmarkStart w:id="2" w:name="_Toc28359001"/>
      <w:r>
        <w:rPr>
          <w:rFonts w:hint="eastAsia" w:ascii="宋体" w:hAnsi="宋体" w:cs="宋体"/>
          <w:color w:val="000000" w:themeColor="text1"/>
          <w:sz w:val="32"/>
          <w:szCs w:val="32"/>
          <w14:textFill>
            <w14:solidFill>
              <w14:schemeClr w14:val="tx1"/>
            </w14:solidFill>
          </w14:textFill>
        </w:rPr>
        <w:t>公开招标公告</w:t>
      </w:r>
      <w:bookmarkEnd w:id="0"/>
      <w:bookmarkEnd w:id="1"/>
      <w:bookmarkEnd w:id="2"/>
    </w:p>
    <w:tbl>
      <w:tblPr>
        <w:tblStyle w:val="27"/>
        <w:tblpPr w:leftFromText="180" w:rightFromText="180" w:vertAnchor="text" w:tblpX="38" w:tblpY="134"/>
        <w:tblOverlap w:val="never"/>
        <w:tblW w:w="10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0" w:hRule="atLeast"/>
        </w:trPr>
        <w:tc>
          <w:tcPr>
            <w:tcW w:w="10220" w:type="dxa"/>
          </w:tcPr>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项目概况</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桂林市政府集中采购中心受</w:t>
            </w:r>
            <w:r>
              <w:rPr>
                <w:rFonts w:hint="eastAsia" w:ascii="宋体" w:hAnsi="宋体" w:cs="宋体"/>
                <w:color w:val="000000" w:themeColor="text1"/>
                <w:sz w:val="28"/>
                <w:szCs w:val="28"/>
                <w:u w:val="single"/>
                <w14:textFill>
                  <w14:solidFill>
                    <w14:schemeClr w14:val="tx1"/>
                  </w14:solidFill>
                </w14:textFill>
              </w:rPr>
              <w:t>广西师范大学</w:t>
            </w:r>
            <w:r>
              <w:rPr>
                <w:rFonts w:hint="eastAsia" w:ascii="宋体" w:hAnsi="宋体" w:cs="宋体"/>
                <w:color w:val="000000" w:themeColor="text1"/>
                <w:sz w:val="28"/>
                <w:szCs w:val="28"/>
                <w14:textFill>
                  <w14:solidFill>
                    <w14:schemeClr w14:val="tx1"/>
                  </w14:solidFill>
                </w14:textFill>
              </w:rPr>
              <w:t>委托，根据《中华人民共和国政府采购法》、《中华人民共和国政府采购法实施条例》及财政部令第87号《政府采购货物和服务招标投标管理办法》等规定，现就</w:t>
            </w:r>
            <w:r>
              <w:rPr>
                <w:rFonts w:hint="eastAsia" w:ascii="宋体" w:hAnsi="宋体" w:cs="宋体"/>
                <w:color w:val="000000" w:themeColor="text1"/>
                <w:sz w:val="28"/>
                <w:szCs w:val="28"/>
                <w:u w:val="single"/>
                <w14:textFill>
                  <w14:solidFill>
                    <w14:schemeClr w14:val="tx1"/>
                  </w14:solidFill>
                </w14:textFill>
              </w:rPr>
              <w:t>雁山图书馆古籍馆货物采购</w:t>
            </w:r>
            <w:r>
              <w:rPr>
                <w:rFonts w:hint="eastAsia" w:ascii="宋体" w:hAnsi="宋体" w:cs="宋体"/>
                <w:color w:val="000000" w:themeColor="text1"/>
                <w:sz w:val="28"/>
                <w:szCs w:val="28"/>
                <w14:textFill>
                  <w14:solidFill>
                    <w14:schemeClr w14:val="tx1"/>
                  </w14:solidFill>
                </w14:textFill>
              </w:rPr>
              <w:t>项目进行公开招标，欢迎符合条件的供应商前来投标，并于</w:t>
            </w:r>
            <w:r>
              <w:rPr>
                <w:rFonts w:hint="eastAsia" w:ascii="宋体" w:hAnsi="宋体" w:cs="宋体"/>
                <w:color w:val="000000" w:themeColor="text1"/>
                <w:sz w:val="28"/>
                <w:szCs w:val="28"/>
                <w14:textFill>
                  <w14:solidFill>
                    <w14:schemeClr w14:val="tx1"/>
                  </w14:solidFill>
                </w14:textFill>
              </w:rPr>
              <w:t>2020年</w:t>
            </w:r>
            <w:r>
              <w:rPr>
                <w:rFonts w:hint="eastAsia" w:ascii="宋体" w:hAnsi="宋体" w:cs="宋体"/>
                <w:color w:val="000000" w:themeColor="text1"/>
                <w:sz w:val="28"/>
                <w:szCs w:val="28"/>
                <w:lang w:val="en-US" w:eastAsia="zh-CN"/>
                <w14:textFill>
                  <w14:solidFill>
                    <w14:schemeClr w14:val="tx1"/>
                  </w14:solidFill>
                </w14:textFill>
              </w:rPr>
              <w:t>9</w:t>
            </w:r>
            <w:r>
              <w:rPr>
                <w:rFonts w:hint="eastAsia" w:ascii="宋体" w:hAnsi="宋体" w:cs="宋体"/>
                <w:color w:val="000000" w:themeColor="text1"/>
                <w:sz w:val="28"/>
                <w:szCs w:val="28"/>
                <w14:textFill>
                  <w14:solidFill>
                    <w14:schemeClr w14:val="tx1"/>
                  </w14:solidFill>
                </w14:textFill>
              </w:rPr>
              <w:t>月</w:t>
            </w:r>
            <w:r>
              <w:rPr>
                <w:rFonts w:hint="eastAsia" w:ascii="宋体" w:hAnsi="宋体" w:cs="宋体"/>
                <w:color w:val="000000" w:themeColor="text1"/>
                <w:sz w:val="28"/>
                <w:szCs w:val="28"/>
                <w:lang w:val="en-US" w:eastAsia="zh-CN"/>
                <w14:textFill>
                  <w14:solidFill>
                    <w14:schemeClr w14:val="tx1"/>
                  </w14:solidFill>
                </w14:textFill>
              </w:rPr>
              <w:t>30</w:t>
            </w:r>
            <w:r>
              <w:rPr>
                <w:rFonts w:hint="eastAsia" w:ascii="宋体" w:hAnsi="宋体" w:cs="宋体"/>
                <w:color w:val="000000" w:themeColor="text1"/>
                <w:sz w:val="28"/>
                <w:szCs w:val="28"/>
                <w14:textFill>
                  <w14:solidFill>
                    <w14:schemeClr w14:val="tx1"/>
                  </w14:solidFill>
                </w14:textFill>
              </w:rPr>
              <w:t>日上午9点30分</w:t>
            </w:r>
            <w:r>
              <w:rPr>
                <w:rFonts w:hint="eastAsia" w:ascii="宋体" w:hAnsi="宋体" w:cs="宋体"/>
                <w:color w:val="000000" w:themeColor="text1"/>
                <w:sz w:val="28"/>
                <w:szCs w:val="28"/>
                <w14:textFill>
                  <w14:solidFill>
                    <w14:schemeClr w14:val="tx1"/>
                  </w14:solidFill>
                </w14:textFill>
              </w:rPr>
              <w:t>前递交投标文件。现将本次公开招标的有关事项公告如下：</w:t>
            </w:r>
          </w:p>
          <w:p>
            <w:pPr>
              <w:rPr>
                <w:rFonts w:ascii="宋体" w:hAnsi="宋体" w:cs="宋体"/>
                <w:color w:val="000000" w:themeColor="text1"/>
                <w14:textFill>
                  <w14:solidFill>
                    <w14:schemeClr w14:val="tx1"/>
                  </w14:solidFill>
                </w14:textFill>
              </w:rPr>
            </w:pPr>
          </w:p>
        </w:tc>
      </w:tr>
    </w:tbl>
    <w:p>
      <w:pPr>
        <w:rPr>
          <w:rFonts w:ascii="宋体" w:hAnsi="宋体" w:cs="宋体"/>
          <w:color w:val="000000" w:themeColor="text1"/>
          <w14:textFill>
            <w14:solidFill>
              <w14:schemeClr w14:val="tx1"/>
            </w14:solidFill>
          </w14:textFill>
        </w:rPr>
      </w:pPr>
    </w:p>
    <w:p>
      <w:pPr>
        <w:rPr>
          <w:rFonts w:ascii="宋体" w:hAnsi="宋体" w:cs="宋体"/>
          <w:color w:val="000000" w:themeColor="text1"/>
          <w:sz w:val="28"/>
          <w:szCs w:val="28"/>
          <w14:textFill>
            <w14:solidFill>
              <w14:schemeClr w14:val="tx1"/>
            </w14:solidFill>
          </w14:textFill>
        </w:rPr>
      </w:pPr>
      <w:bookmarkStart w:id="3" w:name="_Toc28359079"/>
      <w:bookmarkStart w:id="4" w:name="_Toc35393790"/>
      <w:bookmarkStart w:id="5" w:name="_Toc28359002"/>
      <w:bookmarkStart w:id="6" w:name="_Toc35393621"/>
      <w:bookmarkStart w:id="7" w:name="_Hlk24379207"/>
      <w:r>
        <w:rPr>
          <w:rFonts w:hint="eastAsia" w:ascii="宋体" w:hAnsi="宋体" w:cs="宋体"/>
          <w:color w:val="000000" w:themeColor="text1"/>
          <w:sz w:val="28"/>
          <w:szCs w:val="28"/>
          <w14:textFill>
            <w14:solidFill>
              <w14:schemeClr w14:val="tx1"/>
            </w14:solidFill>
          </w14:textFill>
        </w:rPr>
        <w:t>一、项目基本情况</w:t>
      </w:r>
      <w:bookmarkEnd w:id="3"/>
      <w:bookmarkEnd w:id="4"/>
      <w:bookmarkEnd w:id="5"/>
      <w:bookmarkEnd w:id="6"/>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项目编号：GXZC2020-G1-002663-JCZX</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项目名称：雁山图书馆古籍馆货物采购</w:t>
      </w:r>
    </w:p>
    <w:bookmarkEnd w:id="7"/>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预算金额：贰佰肆拾肆万柒仟陆佰柒拾捌元整（¥2447678.00）人民币。</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采购需求：</w:t>
      </w:r>
    </w:p>
    <w:tbl>
      <w:tblPr>
        <w:tblStyle w:val="26"/>
        <w:tblW w:w="9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7"/>
        <w:gridCol w:w="2683"/>
        <w:gridCol w:w="1059"/>
        <w:gridCol w:w="1828"/>
        <w:gridCol w:w="23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097" w:type="dxa"/>
            <w:vAlign w:val="center"/>
          </w:tcPr>
          <w:p>
            <w:pPr>
              <w:spacing w:line="380" w:lineRule="exac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项号</w:t>
            </w:r>
          </w:p>
        </w:tc>
        <w:tc>
          <w:tcPr>
            <w:tcW w:w="2683" w:type="dxa"/>
            <w:vAlign w:val="center"/>
          </w:tcPr>
          <w:p>
            <w:pPr>
              <w:spacing w:line="380" w:lineRule="exac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货物名称</w:t>
            </w:r>
          </w:p>
        </w:tc>
        <w:tc>
          <w:tcPr>
            <w:tcW w:w="1059" w:type="dxa"/>
            <w:vAlign w:val="center"/>
          </w:tcPr>
          <w:p>
            <w:pPr>
              <w:spacing w:line="380" w:lineRule="exac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单位</w:t>
            </w:r>
          </w:p>
        </w:tc>
        <w:tc>
          <w:tcPr>
            <w:tcW w:w="1828" w:type="dxa"/>
            <w:vAlign w:val="center"/>
          </w:tcPr>
          <w:p>
            <w:pPr>
              <w:spacing w:line="380" w:lineRule="exac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数量</w:t>
            </w:r>
          </w:p>
        </w:tc>
        <w:tc>
          <w:tcPr>
            <w:tcW w:w="2333" w:type="dxa"/>
            <w:vAlign w:val="center"/>
          </w:tcPr>
          <w:p>
            <w:pPr>
              <w:spacing w:line="380" w:lineRule="exact"/>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简要规格描述或项目基本概况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服务台</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米</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8.2</w:t>
            </w:r>
          </w:p>
        </w:tc>
        <w:tc>
          <w:tcPr>
            <w:tcW w:w="2333" w:type="dxa"/>
            <w:vMerge w:val="restart"/>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2</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办公椅</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张</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2</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jc w:val="center"/>
              <w:textAlignment w:val="center"/>
              <w:rPr>
                <w:rFonts w:hint="eastAsia" w:ascii="宋体" w:hAnsi="宋体" w:eastAsia="宋体" w:cs="宋体"/>
                <w:color w:val="000000" w:themeColor="text1"/>
                <w:kern w:val="0"/>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3</w:t>
            </w:r>
          </w:p>
        </w:tc>
        <w:tc>
          <w:tcPr>
            <w:tcW w:w="2683" w:type="dxa"/>
            <w:vAlign w:val="center"/>
          </w:tcPr>
          <w:p>
            <w:pPr>
              <w:jc w:val="center"/>
              <w:textAlignment w:val="center"/>
              <w:rPr>
                <w:rFonts w:hint="eastAsia" w:ascii="宋体" w:hAnsi="宋体" w:eastAsia="宋体" w:cs="宋体"/>
                <w:color w:val="000000" w:themeColor="text1"/>
                <w:kern w:val="0"/>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屏风隔断</w:t>
            </w:r>
          </w:p>
        </w:tc>
        <w:tc>
          <w:tcPr>
            <w:tcW w:w="1059" w:type="dxa"/>
            <w:vAlign w:val="center"/>
          </w:tcPr>
          <w:p>
            <w:pPr>
              <w:jc w:val="center"/>
              <w:textAlignment w:val="center"/>
              <w:rPr>
                <w:rFonts w:hint="eastAsia" w:ascii="宋体" w:hAnsi="宋体" w:eastAsia="宋体" w:cs="宋体"/>
                <w:color w:val="000000" w:themeColor="text1"/>
                <w:kern w:val="0"/>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m</w:t>
            </w:r>
            <w:r>
              <w:rPr>
                <w:rStyle w:val="120"/>
                <w:rFonts w:hint="default"/>
                <w:color w:val="000000" w:themeColor="text1"/>
                <w:sz w:val="21"/>
                <w:szCs w:val="21"/>
                <w14:textFill>
                  <w14:solidFill>
                    <w14:schemeClr w14:val="tx1"/>
                  </w14:solidFill>
                </w14:textFill>
              </w:rPr>
              <w:t>2</w:t>
            </w:r>
          </w:p>
        </w:tc>
        <w:tc>
          <w:tcPr>
            <w:tcW w:w="1828" w:type="dxa"/>
            <w:vAlign w:val="center"/>
          </w:tcPr>
          <w:p>
            <w:pPr>
              <w:jc w:val="center"/>
              <w:textAlignment w:val="center"/>
              <w:rPr>
                <w:rFonts w:hint="eastAsia" w:ascii="宋体" w:hAnsi="宋体" w:eastAsia="宋体" w:cs="宋体"/>
                <w:color w:val="000000" w:themeColor="text1"/>
                <w:kern w:val="0"/>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15</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4</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定制书架</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m</w:t>
            </w:r>
            <w:r>
              <w:rPr>
                <w:rStyle w:val="120"/>
                <w:rFonts w:hint="default"/>
                <w:color w:val="000000" w:themeColor="text1"/>
                <w:sz w:val="21"/>
                <w:szCs w:val="21"/>
                <w14:textFill>
                  <w14:solidFill>
                    <w14:schemeClr w14:val="tx1"/>
                  </w14:solidFill>
                </w14:textFill>
              </w:rPr>
              <w:t>2</w:t>
            </w:r>
          </w:p>
        </w:tc>
        <w:tc>
          <w:tcPr>
            <w:tcW w:w="1828" w:type="dxa"/>
            <w:vAlign w:val="center"/>
          </w:tcPr>
          <w:p>
            <w:pPr>
              <w:widowControl/>
              <w:jc w:val="center"/>
              <w:textAlignment w:val="center"/>
              <w:rPr>
                <w:rFonts w:hint="default"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58</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themeColor="text1"/>
                <w:kern w:val="0"/>
                <w:szCs w:val="21"/>
                <w14:textFill>
                  <w14:solidFill>
                    <w14:schemeClr w14:val="tx1"/>
                  </w14:solidFill>
                </w14:textFill>
              </w:rPr>
              <w:t>5</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定制展柜</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组</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3</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6</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定制书柜</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组</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4</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7</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小展柜</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个</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8</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8</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实木桌</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个</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9</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木书架</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组</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4</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10</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屏风</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延米</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16</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11</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阅览桌</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张</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12</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阅览椅</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张</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13</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书画桌</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张</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r>
              <w:rPr>
                <w:rFonts w:ascii="宋体" w:hAnsi="宋体" w:eastAsia="宋体" w:cs="宋体"/>
                <w:color w:val="000000" w:themeColor="text1"/>
                <w:szCs w:val="21"/>
                <w14:textFill>
                  <w14:solidFill>
                    <w14:schemeClr w14:val="tx1"/>
                  </w14:solidFill>
                </w14:textFill>
              </w:rPr>
              <w:t>4</w:t>
            </w:r>
          </w:p>
        </w:tc>
        <w:tc>
          <w:tcPr>
            <w:tcW w:w="2683" w:type="dxa"/>
            <w:vAlign w:val="center"/>
          </w:tcPr>
          <w:p>
            <w:pPr>
              <w:widowControl/>
              <w:jc w:val="center"/>
              <w:textAlignment w:val="center"/>
              <w:rPr>
                <w:rFonts w:hint="eastAsia" w:ascii="宋体" w:hAnsi="宋体" w:eastAsia="宋体" w:cs="宋体"/>
                <w:color w:val="000000" w:themeColor="text1"/>
                <w:kern w:val="0"/>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屏风</w:t>
            </w:r>
          </w:p>
        </w:tc>
        <w:tc>
          <w:tcPr>
            <w:tcW w:w="1059" w:type="dxa"/>
            <w:vAlign w:val="center"/>
          </w:tcPr>
          <w:p>
            <w:pPr>
              <w:widowControl/>
              <w:jc w:val="center"/>
              <w:textAlignment w:val="center"/>
              <w:rPr>
                <w:rFonts w:hint="eastAsia" w:ascii="宋体" w:hAnsi="宋体" w:eastAsia="宋体" w:cs="宋体"/>
                <w:color w:val="000000" w:themeColor="text1"/>
                <w:kern w:val="0"/>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m</w:t>
            </w:r>
            <w:r>
              <w:rPr>
                <w:rStyle w:val="120"/>
                <w:rFonts w:hint="default"/>
                <w:color w:val="000000" w:themeColor="text1"/>
                <w:sz w:val="21"/>
                <w:szCs w:val="21"/>
                <w14:textFill>
                  <w14:solidFill>
                    <w14:schemeClr w14:val="tx1"/>
                  </w14:solidFill>
                </w14:textFill>
              </w:rPr>
              <w:t>2</w:t>
            </w:r>
          </w:p>
        </w:tc>
        <w:tc>
          <w:tcPr>
            <w:tcW w:w="1828" w:type="dxa"/>
            <w:vAlign w:val="center"/>
          </w:tcPr>
          <w:p>
            <w:pPr>
              <w:widowControl/>
              <w:jc w:val="center"/>
              <w:textAlignment w:val="center"/>
              <w:rPr>
                <w:rFonts w:hint="eastAsia" w:ascii="宋体" w:hAnsi="宋体" w:eastAsia="宋体" w:cs="宋体"/>
                <w:color w:val="000000" w:themeColor="text1"/>
                <w:kern w:val="0"/>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32</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r>
              <w:rPr>
                <w:rFonts w:ascii="宋体" w:hAnsi="宋体" w:eastAsia="宋体" w:cs="宋体"/>
                <w:color w:val="000000" w:themeColor="text1"/>
                <w:szCs w:val="21"/>
                <w14:textFill>
                  <w14:solidFill>
                    <w14:schemeClr w14:val="tx1"/>
                  </w14:solidFill>
                </w14:textFill>
              </w:rPr>
              <w:t>5</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1号修复工作台</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张</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3</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r>
              <w:rPr>
                <w:rFonts w:ascii="宋体" w:hAnsi="宋体" w:eastAsia="宋体" w:cs="宋体"/>
                <w:color w:val="000000" w:themeColor="text1"/>
                <w:szCs w:val="21"/>
                <w14:textFill>
                  <w14:solidFill>
                    <w14:schemeClr w14:val="tx1"/>
                  </w14:solidFill>
                </w14:textFill>
              </w:rPr>
              <w:t>6</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2号修复工作台</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张</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3</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r>
              <w:rPr>
                <w:rFonts w:ascii="宋体" w:hAnsi="宋体" w:eastAsia="宋体" w:cs="宋体"/>
                <w:color w:val="000000" w:themeColor="text1"/>
                <w:szCs w:val="21"/>
                <w14:textFill>
                  <w14:solidFill>
                    <w14:schemeClr w14:val="tx1"/>
                  </w14:solidFill>
                </w14:textFill>
              </w:rPr>
              <w:t>7</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边柜1</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个</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4</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r>
              <w:rPr>
                <w:rFonts w:ascii="宋体" w:hAnsi="宋体" w:eastAsia="宋体" w:cs="宋体"/>
                <w:color w:val="000000" w:themeColor="text1"/>
                <w:szCs w:val="21"/>
                <w14:textFill>
                  <w14:solidFill>
                    <w14:schemeClr w14:val="tx1"/>
                  </w14:solidFill>
                </w14:textFill>
              </w:rPr>
              <w:t>8</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边柜2</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个</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6</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r>
              <w:rPr>
                <w:rFonts w:ascii="宋体" w:hAnsi="宋体" w:eastAsia="宋体" w:cs="宋体"/>
                <w:color w:val="000000" w:themeColor="text1"/>
                <w:szCs w:val="21"/>
                <w14:textFill>
                  <w14:solidFill>
                    <w14:schemeClr w14:val="tx1"/>
                  </w14:solidFill>
                </w14:textFill>
              </w:rPr>
              <w:t>9</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实木置物架</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个</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8</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20</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实木椅</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张</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6</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2</w:t>
            </w:r>
            <w:r>
              <w:rPr>
                <w:rFonts w:ascii="宋体" w:hAnsi="宋体" w:eastAsia="宋体" w:cs="宋体"/>
                <w:color w:val="000000" w:themeColor="text1"/>
                <w:kern w:val="0"/>
                <w:szCs w:val="21"/>
                <w14:textFill>
                  <w14:solidFill>
                    <w14:schemeClr w14:val="tx1"/>
                  </w14:solidFill>
                </w14:textFill>
              </w:rPr>
              <w:t>1</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实木柜</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组</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6</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r>
              <w:rPr>
                <w:rFonts w:ascii="宋体" w:hAnsi="宋体" w:eastAsia="宋体" w:cs="宋体"/>
                <w:color w:val="000000" w:themeColor="text1"/>
                <w:szCs w:val="21"/>
                <w14:textFill>
                  <w14:solidFill>
                    <w14:schemeClr w14:val="tx1"/>
                  </w14:solidFill>
                </w14:textFill>
              </w:rPr>
              <w:t>2</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矮柜</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组</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10</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2</w:t>
            </w:r>
            <w:r>
              <w:rPr>
                <w:rFonts w:ascii="宋体" w:hAnsi="宋体" w:eastAsia="宋体" w:cs="宋体"/>
                <w:color w:val="000000" w:themeColor="text1"/>
                <w:kern w:val="0"/>
                <w:szCs w:val="21"/>
                <w14:textFill>
                  <w14:solidFill>
                    <w14:schemeClr w14:val="tx1"/>
                  </w14:solidFill>
                </w14:textFill>
              </w:rPr>
              <w:t>3</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定做裱台</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张</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r>
              <w:rPr>
                <w:rFonts w:ascii="宋体" w:hAnsi="宋体" w:eastAsia="宋体" w:cs="宋体"/>
                <w:color w:val="000000" w:themeColor="text1"/>
                <w:szCs w:val="21"/>
                <w14:textFill>
                  <w14:solidFill>
                    <w14:schemeClr w14:val="tx1"/>
                  </w14:solidFill>
                </w14:textFill>
              </w:rPr>
              <w:t>4</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纸柜</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组</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3</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r>
              <w:rPr>
                <w:rFonts w:ascii="宋体" w:hAnsi="宋体" w:eastAsia="宋体" w:cs="宋体"/>
                <w:color w:val="000000" w:themeColor="text1"/>
                <w:szCs w:val="21"/>
                <w14:textFill>
                  <w14:solidFill>
                    <w14:schemeClr w14:val="tx1"/>
                  </w14:solidFill>
                </w14:textFill>
              </w:rPr>
              <w:t>5</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电子显示屏</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台</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r>
              <w:rPr>
                <w:rFonts w:ascii="宋体" w:hAnsi="宋体" w:eastAsia="宋体" w:cs="宋体"/>
                <w:color w:val="000000" w:themeColor="text1"/>
                <w:szCs w:val="21"/>
                <w14:textFill>
                  <w14:solidFill>
                    <w14:schemeClr w14:val="tx1"/>
                  </w14:solidFill>
                </w14:textFill>
              </w:rPr>
              <w:t>6</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打印机1</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台</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r>
              <w:rPr>
                <w:rFonts w:ascii="宋体" w:hAnsi="宋体" w:eastAsia="宋体" w:cs="宋体"/>
                <w:color w:val="000000" w:themeColor="text1"/>
                <w:szCs w:val="21"/>
                <w14:textFill>
                  <w14:solidFill>
                    <w14:schemeClr w14:val="tx1"/>
                  </w14:solidFill>
                </w14:textFill>
              </w:rPr>
              <w:t>7</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打印机2</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台</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r>
              <w:rPr>
                <w:rFonts w:ascii="宋体" w:hAnsi="宋体" w:eastAsia="宋体" w:cs="宋体"/>
                <w:color w:val="000000" w:themeColor="text1"/>
                <w:szCs w:val="21"/>
                <w14:textFill>
                  <w14:solidFill>
                    <w14:schemeClr w14:val="tx1"/>
                  </w14:solidFill>
                </w14:textFill>
              </w:rPr>
              <w:t>8</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货架</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组</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2</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29</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接待椅</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张</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8</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接待茶几</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张</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5</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w:t>
            </w:r>
            <w:r>
              <w:rPr>
                <w:rFonts w:ascii="宋体" w:hAnsi="宋体" w:eastAsia="宋体" w:cs="宋体"/>
                <w:color w:val="000000" w:themeColor="text1"/>
                <w:szCs w:val="21"/>
                <w14:textFill>
                  <w14:solidFill>
                    <w14:schemeClr w14:val="tx1"/>
                  </w14:solidFill>
                </w14:textFill>
              </w:rPr>
              <w:t>1</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茶水柜</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组</w:t>
            </w:r>
          </w:p>
        </w:tc>
        <w:tc>
          <w:tcPr>
            <w:tcW w:w="1828"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w:t>
            </w:r>
            <w:r>
              <w:rPr>
                <w:rFonts w:ascii="宋体" w:hAnsi="宋体" w:eastAsia="宋体" w:cs="宋体"/>
                <w:color w:val="000000" w:themeColor="text1"/>
                <w:szCs w:val="21"/>
                <w14:textFill>
                  <w14:solidFill>
                    <w14:schemeClr w14:val="tx1"/>
                  </w14:solidFill>
                </w14:textFill>
              </w:rPr>
              <w:t>2</w:t>
            </w:r>
          </w:p>
        </w:tc>
        <w:tc>
          <w:tcPr>
            <w:tcW w:w="2683"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古籍书柜</w:t>
            </w:r>
          </w:p>
        </w:tc>
        <w:tc>
          <w:tcPr>
            <w:tcW w:w="1059" w:type="dxa"/>
            <w:vAlign w:val="center"/>
          </w:tcPr>
          <w:p>
            <w:pPr>
              <w:widowControl/>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组</w:t>
            </w:r>
          </w:p>
        </w:tc>
        <w:tc>
          <w:tcPr>
            <w:tcW w:w="1828" w:type="dxa"/>
            <w:vAlign w:val="center"/>
          </w:tcPr>
          <w:p>
            <w:pPr>
              <w:widowControl/>
              <w:jc w:val="center"/>
              <w:textAlignment w:val="center"/>
              <w:rPr>
                <w:rFonts w:hint="eastAsia" w:ascii="宋体" w:hAnsi="宋体" w:eastAsia="宋体" w:cs="宋体"/>
                <w:color w:val="000000" w:themeColor="text1"/>
                <w:kern w:val="0"/>
                <w:sz w:val="21"/>
                <w:szCs w:val="21"/>
                <w:lang w:val="en-US" w:eastAsia="zh-CN" w:bidi="ar-SA"/>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172</w:t>
            </w:r>
          </w:p>
        </w:tc>
        <w:tc>
          <w:tcPr>
            <w:tcW w:w="2333" w:type="dxa"/>
            <w:vMerge w:val="continue"/>
            <w:vAlign w:val="center"/>
          </w:tcPr>
          <w:p>
            <w:pPr>
              <w:snapToGrid w:val="0"/>
              <w:spacing w:line="380" w:lineRule="exact"/>
              <w:jc w:val="center"/>
              <w:rPr>
                <w:rFonts w:hint="eastAsia" w:ascii="宋体" w:hAnsi="宋体" w:cs="宋体"/>
                <w:color w:val="000000" w:themeColor="text1"/>
                <w:sz w:val="28"/>
                <w:szCs w:val="28"/>
                <w14:textFill>
                  <w14:solidFill>
                    <w14:schemeClr w14:val="tx1"/>
                  </w14:solidFill>
                </w14:textFill>
              </w:rPr>
            </w:pPr>
          </w:p>
        </w:tc>
      </w:tr>
    </w:tbl>
    <w:p>
      <w:pPr>
        <w:spacing w:line="380" w:lineRule="exact"/>
        <w:ind w:firstLine="560" w:firstLineChars="200"/>
        <w:rPr>
          <w:rFonts w:ascii="宋体" w:hAnsi="宋体" w:cs="宋体"/>
          <w:color w:val="000000" w:themeColor="text1"/>
          <w:sz w:val="28"/>
          <w:szCs w:val="28"/>
          <w14:textFill>
            <w14:solidFill>
              <w14:schemeClr w14:val="tx1"/>
            </w14:solidFill>
          </w14:textFill>
        </w:rPr>
      </w:pPr>
    </w:p>
    <w:p>
      <w:pPr>
        <w:spacing w:line="380" w:lineRule="exact"/>
        <w:ind w:firstLine="560" w:firstLineChars="200"/>
        <w:rPr>
          <w:rFonts w:ascii="宋体" w:hAnsi="宋体" w:cs="宋体"/>
          <w:color w:val="000000" w:themeColor="text1"/>
          <w:sz w:val="28"/>
          <w:szCs w:val="28"/>
          <w14:textFill>
            <w14:solidFill>
              <w14:schemeClr w14:val="tx1"/>
            </w14:solidFill>
          </w14:textFill>
        </w:rPr>
      </w:pPr>
    </w:p>
    <w:p>
      <w:pPr>
        <w:spacing w:line="380" w:lineRule="exact"/>
        <w:ind w:firstLine="560" w:firstLineChars="200"/>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合同履行期限：自合同签订之日起至中标人承诺免费保修期满。</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本项目不接受联合体投标。</w:t>
      </w:r>
    </w:p>
    <w:p>
      <w:pPr>
        <w:rPr>
          <w:rFonts w:ascii="宋体" w:hAnsi="宋体" w:cs="宋体"/>
          <w:color w:val="000000" w:themeColor="text1"/>
          <w:sz w:val="28"/>
          <w:szCs w:val="28"/>
          <w14:textFill>
            <w14:solidFill>
              <w14:schemeClr w14:val="tx1"/>
            </w14:solidFill>
          </w14:textFill>
        </w:rPr>
      </w:pPr>
      <w:bookmarkStart w:id="8" w:name="_Toc35393622"/>
      <w:bookmarkStart w:id="9" w:name="_Toc28359080"/>
      <w:bookmarkStart w:id="10" w:name="_Toc28359003"/>
      <w:bookmarkStart w:id="11" w:name="_Toc35393791"/>
      <w:r>
        <w:rPr>
          <w:rFonts w:hint="eastAsia" w:ascii="宋体" w:hAnsi="宋体" w:cs="宋体"/>
          <w:color w:val="000000" w:themeColor="text1"/>
          <w:sz w:val="28"/>
          <w:szCs w:val="28"/>
          <w14:textFill>
            <w14:solidFill>
              <w14:schemeClr w14:val="tx1"/>
            </w14:solidFill>
          </w14:textFill>
        </w:rPr>
        <w:t>二、申请人的资格要求：</w:t>
      </w:r>
      <w:bookmarkEnd w:id="8"/>
      <w:bookmarkEnd w:id="9"/>
      <w:bookmarkEnd w:id="10"/>
      <w:bookmarkEnd w:id="11"/>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1.满足《中华人民共和国政府采购法》第二十二条规定；</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2.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bookmarkStart w:id="12" w:name="_Toc28359081"/>
      <w:bookmarkStart w:id="13" w:name="_Toc28359004"/>
      <w:r>
        <w:rPr>
          <w:rFonts w:hint="eastAsia" w:ascii="宋体" w:hAnsi="宋体" w:cs="宋体"/>
          <w:color w:val="000000" w:themeColor="text1"/>
          <w:sz w:val="28"/>
          <w:szCs w:val="28"/>
          <w14:textFill>
            <w14:solidFill>
              <w14:schemeClr w14:val="tx1"/>
            </w14:solidFill>
          </w14:textFill>
        </w:rPr>
        <w:t>3.落实政府采购政策需满足的资格要求：</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①《政府采购促进中小企业发展暂行办法》（财库[2011]181号）。</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 xml:space="preserve">②《关于政府采购支持监狱企业发展有关问题的通知》（财库[2014]68号）。 </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③《关于促进残疾人就业政府采购政策的通知》（财库[2017]141号）。</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④《广西壮族自治区人民政府办公厅关于印发招标采购促进广西工业产品产销对接实施细则的通知》(桂政办发〔2015〕78号) 。</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⑤《节能产品政府采购品目清单》。</w:t>
      </w:r>
    </w:p>
    <w:p>
      <w:pPr>
        <w:spacing w:line="380" w:lineRule="exact"/>
        <w:ind w:firstLine="56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⑥《关于调整优化节能产品、环境标志产品政府采购执行机制的通知》（财库〔2019〕9号）。</w:t>
      </w:r>
    </w:p>
    <w:p>
      <w:pPr>
        <w:spacing w:line="380" w:lineRule="exact"/>
        <w:ind w:firstLine="560" w:firstLineChars="200"/>
        <w:rPr>
          <w:rFonts w:ascii="宋体" w:hAnsi="宋体" w:cs="宋体"/>
          <w:color w:val="000000" w:themeColor="text1"/>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⑦</w:t>
      </w:r>
      <w:r>
        <w:rPr>
          <w:rFonts w:hint="eastAsia" w:ascii="宋体" w:hAnsi="宋体" w:cs="宋体"/>
          <w:b/>
          <w:color w:val="000000" w:themeColor="text1"/>
          <w:sz w:val="28"/>
          <w:szCs w:val="28"/>
          <w14:textFill>
            <w14:solidFill>
              <w14:schemeClr w14:val="tx1"/>
            </w14:solidFill>
          </w14:textFill>
        </w:rPr>
        <w:t>本项目非专门面向中小微企业采购。</w:t>
      </w:r>
    </w:p>
    <w:p>
      <w:pPr>
        <w:spacing w:line="380" w:lineRule="exact"/>
        <w:ind w:firstLine="560" w:firstLineChars="200"/>
        <w:rPr>
          <w:rFonts w:ascii="宋体" w:hAnsi="宋体" w:cs="宋体"/>
          <w:i/>
          <w:iCs/>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4.本项目的特定资格要求：无</w:t>
      </w:r>
    </w:p>
    <w:p>
      <w:pPr>
        <w:rPr>
          <w:rFonts w:ascii="宋体" w:hAnsi="宋体" w:cs="宋体"/>
          <w:color w:val="000000" w:themeColor="text1"/>
          <w:sz w:val="28"/>
          <w:szCs w:val="28"/>
          <w14:textFill>
            <w14:solidFill>
              <w14:schemeClr w14:val="tx1"/>
            </w14:solidFill>
          </w14:textFill>
        </w:rPr>
      </w:pPr>
      <w:bookmarkStart w:id="14" w:name="_Toc35393792"/>
      <w:bookmarkStart w:id="15" w:name="_Toc35393623"/>
      <w:r>
        <w:rPr>
          <w:rFonts w:hint="eastAsia" w:ascii="宋体" w:hAnsi="宋体" w:cs="宋体"/>
          <w:color w:val="000000" w:themeColor="text1"/>
          <w:sz w:val="28"/>
          <w:szCs w:val="28"/>
          <w14:textFill>
            <w14:solidFill>
              <w14:schemeClr w14:val="tx1"/>
            </w14:solidFill>
          </w14:textFill>
        </w:rPr>
        <w:t>三、获取招标文件</w:t>
      </w:r>
      <w:bookmarkEnd w:id="12"/>
      <w:bookmarkEnd w:id="13"/>
      <w:bookmarkEnd w:id="14"/>
      <w:bookmarkEnd w:id="15"/>
    </w:p>
    <w:p>
      <w:pPr>
        <w:spacing w:line="380" w:lineRule="exact"/>
        <w:ind w:firstLine="540"/>
        <w:rPr>
          <w:rFonts w:ascii="宋体" w:hAnsi="宋体" w:cs="宋体"/>
          <w:color w:val="000000" w:themeColor="text1"/>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1.招标文件获取时间：2020年</w:t>
      </w:r>
      <w:r>
        <w:rPr>
          <w:rFonts w:hint="eastAsia" w:ascii="宋体" w:hAnsi="宋体" w:cs="宋体"/>
          <w:color w:val="000000" w:themeColor="text1"/>
          <w:sz w:val="28"/>
          <w:szCs w:val="28"/>
          <w:lang w:val="en-US" w:eastAsia="zh-CN"/>
          <w14:textFill>
            <w14:solidFill>
              <w14:schemeClr w14:val="tx1"/>
            </w14:solidFill>
          </w14:textFill>
        </w:rPr>
        <w:t>9</w:t>
      </w:r>
      <w:r>
        <w:rPr>
          <w:rFonts w:hint="eastAsia" w:ascii="宋体" w:hAnsi="宋体" w:cs="宋体"/>
          <w:color w:val="000000" w:themeColor="text1"/>
          <w:sz w:val="28"/>
          <w:szCs w:val="28"/>
          <w14:textFill>
            <w14:solidFill>
              <w14:schemeClr w14:val="tx1"/>
            </w14:solidFill>
          </w14:textFill>
        </w:rPr>
        <w:t>月</w:t>
      </w:r>
      <w:r>
        <w:rPr>
          <w:rFonts w:hint="eastAsia" w:ascii="宋体" w:hAnsi="宋体" w:cs="宋体"/>
          <w:color w:val="000000" w:themeColor="text1"/>
          <w:sz w:val="28"/>
          <w:szCs w:val="28"/>
          <w:lang w:val="en-US" w:eastAsia="zh-CN"/>
          <w14:textFill>
            <w14:solidFill>
              <w14:schemeClr w14:val="tx1"/>
            </w14:solidFill>
          </w14:textFill>
        </w:rPr>
        <w:t>9</w:t>
      </w:r>
      <w:r>
        <w:rPr>
          <w:rFonts w:hint="eastAsia" w:ascii="宋体" w:hAnsi="宋体" w:cs="宋体"/>
          <w:color w:val="000000" w:themeColor="text1"/>
          <w:sz w:val="28"/>
          <w:szCs w:val="28"/>
          <w14:textFill>
            <w14:solidFill>
              <w14:schemeClr w14:val="tx1"/>
            </w14:solidFill>
          </w14:textFill>
        </w:rPr>
        <w:t>日至2020年</w:t>
      </w:r>
      <w:r>
        <w:rPr>
          <w:rFonts w:hint="eastAsia" w:ascii="宋体" w:hAnsi="宋体" w:cs="宋体"/>
          <w:color w:val="000000" w:themeColor="text1"/>
          <w:sz w:val="28"/>
          <w:szCs w:val="28"/>
          <w:lang w:val="en-US" w:eastAsia="zh-CN"/>
          <w14:textFill>
            <w14:solidFill>
              <w14:schemeClr w14:val="tx1"/>
            </w14:solidFill>
          </w14:textFill>
        </w:rPr>
        <w:t>9</w:t>
      </w:r>
      <w:r>
        <w:rPr>
          <w:rFonts w:hint="eastAsia" w:ascii="宋体" w:hAnsi="宋体" w:cs="宋体"/>
          <w:color w:val="000000" w:themeColor="text1"/>
          <w:sz w:val="28"/>
          <w:szCs w:val="28"/>
          <w14:textFill>
            <w14:solidFill>
              <w14:schemeClr w14:val="tx1"/>
            </w14:solidFill>
          </w14:textFill>
        </w:rPr>
        <w:t>月</w:t>
      </w:r>
      <w:r>
        <w:rPr>
          <w:rFonts w:hint="eastAsia" w:ascii="宋体" w:hAnsi="宋体" w:cs="宋体"/>
          <w:color w:val="000000" w:themeColor="text1"/>
          <w:sz w:val="28"/>
          <w:szCs w:val="28"/>
          <w:lang w:val="en-US" w:eastAsia="zh-CN"/>
          <w14:textFill>
            <w14:solidFill>
              <w14:schemeClr w14:val="tx1"/>
            </w14:solidFill>
          </w14:textFill>
        </w:rPr>
        <w:t>30</w:t>
      </w:r>
      <w:r>
        <w:rPr>
          <w:rFonts w:hint="eastAsia" w:ascii="宋体" w:hAnsi="宋体" w:cs="宋体"/>
          <w:color w:val="000000" w:themeColor="text1"/>
          <w:sz w:val="28"/>
          <w:szCs w:val="28"/>
          <w14:textFill>
            <w14:solidFill>
              <w14:schemeClr w14:val="tx1"/>
            </w14:solidFill>
          </w14:textFill>
        </w:rPr>
        <w:t>日</w:t>
      </w:r>
      <w:r>
        <w:rPr>
          <w:rFonts w:hint="eastAsia" w:ascii="宋体" w:hAnsi="宋体" w:cs="宋体"/>
          <w:color w:val="000000" w:themeColor="text1"/>
          <w:sz w:val="28"/>
          <w:szCs w:val="28"/>
          <w:lang w:val="en-US" w:eastAsia="zh-CN"/>
          <w14:textFill>
            <w14:solidFill>
              <w14:schemeClr w14:val="tx1"/>
            </w14:solidFill>
          </w14:textFill>
        </w:rPr>
        <w:t>上午9点30分止</w:t>
      </w:r>
      <w:r>
        <w:rPr>
          <w:rFonts w:hint="eastAsia" w:ascii="宋体" w:hAnsi="宋体" w:cs="宋体"/>
          <w:color w:val="000000" w:themeColor="text1"/>
          <w:sz w:val="28"/>
          <w:szCs w:val="28"/>
          <w14:textFill>
            <w14:solidFill>
              <w14:schemeClr w14:val="tx1"/>
            </w14:solidFill>
          </w14:textFill>
        </w:rPr>
        <w:t>。</w:t>
      </w:r>
    </w:p>
    <w:p>
      <w:pPr>
        <w:spacing w:line="380" w:lineRule="exact"/>
        <w:ind w:firstLine="54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2.地点及方式：潜在供应商请自行选择以下网站，在本公告附件处下载招标文件电子版。</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桂林市公共资源交易中心网（</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"http://glggzy.org.cn/gxglzbw/" </w:instrText>
      </w:r>
      <w:r>
        <w:rPr>
          <w:color w:val="000000" w:themeColor="text1"/>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glggzy.org.cn</w:t>
      </w:r>
      <w:r>
        <w:rPr>
          <w:rFonts w:hint="eastAsia" w:ascii="宋体" w:hAnsi="宋体" w:cs="宋体"/>
          <w:color w:val="000000" w:themeColor="text1"/>
          <w:sz w:val="28"/>
          <w:szCs w:val="28"/>
          <w14:textFill>
            <w14:solidFill>
              <w14:schemeClr w14:val="tx1"/>
            </w14:solidFill>
          </w14:textFill>
        </w:rPr>
        <w:fldChar w:fldCharType="end"/>
      </w:r>
      <w:r>
        <w:rPr>
          <w:rFonts w:hint="eastAsia" w:ascii="宋体" w:hAnsi="宋体" w:cs="宋体"/>
          <w:color w:val="000000" w:themeColor="text1"/>
          <w:sz w:val="28"/>
          <w:szCs w:val="28"/>
          <w14:textFill>
            <w14:solidFill>
              <w14:schemeClr w14:val="tx1"/>
            </w14:solidFill>
          </w14:textFill>
        </w:rPr>
        <w:t>）</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广西壮族自治区政府采购网（</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"http://www.ccgp-guangxi.gov.cn/" </w:instrText>
      </w:r>
      <w:r>
        <w:rPr>
          <w:color w:val="000000" w:themeColor="text1"/>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www.ccgp-guangxi.gov.cn</w:t>
      </w:r>
      <w:r>
        <w:rPr>
          <w:rFonts w:hint="eastAsia" w:ascii="宋体" w:hAnsi="宋体" w:cs="宋体"/>
          <w:color w:val="000000" w:themeColor="text1"/>
          <w:sz w:val="28"/>
          <w:szCs w:val="28"/>
          <w14:textFill>
            <w14:solidFill>
              <w14:schemeClr w14:val="tx1"/>
            </w14:solidFill>
          </w14:textFill>
        </w:rPr>
        <w:fldChar w:fldCharType="end"/>
      </w:r>
      <w:r>
        <w:rPr>
          <w:rFonts w:hint="eastAsia" w:ascii="宋体" w:hAnsi="宋体" w:cs="宋体"/>
          <w:color w:val="000000" w:themeColor="text1"/>
          <w:sz w:val="28"/>
          <w:szCs w:val="28"/>
          <w14:textFill>
            <w14:solidFill>
              <w14:schemeClr w14:val="tx1"/>
            </w14:solidFill>
          </w14:textFill>
        </w:rPr>
        <w:t>）</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fldChar w:fldCharType="begin"/>
      </w:r>
      <w:r>
        <w:rPr>
          <w:rFonts w:hint="eastAsia" w:ascii="宋体" w:hAnsi="宋体" w:cs="宋体"/>
          <w:color w:val="000000" w:themeColor="text1"/>
          <w:sz w:val="28"/>
          <w:szCs w:val="28"/>
          <w14:textFill>
            <w14:solidFill>
              <w14:schemeClr w14:val="tx1"/>
            </w14:solidFill>
          </w14:textFill>
        </w:rPr>
        <w:instrText xml:space="preserve"> HYPERLINK "http://www.ccgp.gov.cn（中国政府采购网）" </w:instrText>
      </w:r>
      <w:r>
        <w:rPr>
          <w:rFonts w:hint="eastAsia" w:ascii="宋体" w:hAnsi="宋体" w:cs="宋体"/>
          <w:color w:val="000000" w:themeColor="text1"/>
          <w:sz w:val="28"/>
          <w:szCs w:val="28"/>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中国政府采购网（</w:t>
      </w:r>
      <w:r>
        <w:rPr>
          <w:rFonts w:hint="eastAsia" w:ascii="宋体" w:hAnsi="宋体" w:cs="宋体"/>
          <w:color w:val="000000" w:themeColor="text1"/>
          <w:sz w:val="28"/>
          <w:szCs w:val="28"/>
          <w14:textFill>
            <w14:solidFill>
              <w14:schemeClr w14:val="tx1"/>
            </w14:solidFill>
          </w14:textFill>
        </w:rPr>
        <w:fldChar w:fldCharType="end"/>
      </w:r>
      <w:r>
        <w:rPr>
          <w:rFonts w:hint="eastAsia" w:ascii="宋体" w:hAnsi="宋体" w:cs="宋体"/>
          <w:color w:val="000000" w:themeColor="text1"/>
          <w:sz w:val="28"/>
          <w:szCs w:val="28"/>
          <w14:textFill>
            <w14:solidFill>
              <w14:schemeClr w14:val="tx1"/>
            </w14:solidFill>
          </w14:textFill>
        </w:rPr>
        <w:t>www.ccgp.gov.cn）</w:t>
      </w:r>
    </w:p>
    <w:p>
      <w:pPr>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3.招标文件售价：本项目招标文件不收取费用。</w:t>
      </w:r>
    </w:p>
    <w:p>
      <w:pPr>
        <w:rPr>
          <w:rFonts w:ascii="宋体" w:hAnsi="宋体" w:cs="宋体"/>
          <w:color w:val="000000" w:themeColor="text1"/>
          <w:sz w:val="28"/>
          <w:szCs w:val="28"/>
          <w14:textFill>
            <w14:solidFill>
              <w14:schemeClr w14:val="tx1"/>
            </w14:solidFill>
          </w14:textFill>
        </w:rPr>
      </w:pPr>
      <w:bookmarkStart w:id="16" w:name="_Toc28359082"/>
      <w:bookmarkStart w:id="17" w:name="_Toc28359005"/>
      <w:bookmarkStart w:id="18" w:name="_Toc35393624"/>
      <w:bookmarkStart w:id="19" w:name="_Toc35393793"/>
      <w:r>
        <w:rPr>
          <w:rFonts w:hint="eastAsia" w:ascii="宋体" w:hAnsi="宋体" w:cs="宋体"/>
          <w:color w:val="000000" w:themeColor="text1"/>
          <w:sz w:val="28"/>
          <w:szCs w:val="28"/>
          <w14:textFill>
            <w14:solidFill>
              <w14:schemeClr w14:val="tx1"/>
            </w14:solidFill>
          </w14:textFill>
        </w:rPr>
        <w:t>四、提交投标文件</w:t>
      </w:r>
      <w:bookmarkEnd w:id="16"/>
      <w:bookmarkEnd w:id="17"/>
      <w:r>
        <w:rPr>
          <w:rFonts w:hint="eastAsia" w:ascii="宋体" w:hAnsi="宋体" w:cs="宋体"/>
          <w:color w:val="000000" w:themeColor="text1"/>
          <w:sz w:val="28"/>
          <w:szCs w:val="28"/>
          <w14:textFill>
            <w14:solidFill>
              <w14:schemeClr w14:val="tx1"/>
            </w14:solidFill>
          </w14:textFill>
        </w:rPr>
        <w:t>截止时间、开标时间和地点</w:t>
      </w:r>
      <w:bookmarkEnd w:id="18"/>
      <w:bookmarkEnd w:id="19"/>
    </w:p>
    <w:p>
      <w:pPr>
        <w:spacing w:line="380" w:lineRule="exact"/>
        <w:ind w:firstLine="560" w:firstLineChars="200"/>
        <w:rPr>
          <w:rFonts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提交投标文件起止时间：</w:t>
      </w:r>
      <w:r>
        <w:rPr>
          <w:rFonts w:hint="eastAsia" w:ascii="宋体" w:hAnsi="宋体" w:cs="宋体"/>
          <w:bCs/>
          <w:color w:val="000000" w:themeColor="text1"/>
          <w:sz w:val="28"/>
          <w:szCs w:val="28"/>
          <w:u w:val="single"/>
          <w14:textFill>
            <w14:solidFill>
              <w14:schemeClr w14:val="tx1"/>
            </w14:solidFill>
          </w14:textFill>
        </w:rPr>
        <w:t>2020年</w:t>
      </w:r>
      <w:r>
        <w:rPr>
          <w:rFonts w:hint="eastAsia" w:ascii="宋体" w:hAnsi="宋体" w:cs="宋体"/>
          <w:bCs/>
          <w:color w:val="000000" w:themeColor="text1"/>
          <w:sz w:val="28"/>
          <w:szCs w:val="28"/>
          <w:u w:val="single"/>
          <w:lang w:val="en-US" w:eastAsia="zh-CN"/>
          <w14:textFill>
            <w14:solidFill>
              <w14:schemeClr w14:val="tx1"/>
            </w14:solidFill>
          </w14:textFill>
        </w:rPr>
        <w:t>9</w:t>
      </w:r>
      <w:r>
        <w:rPr>
          <w:rFonts w:hint="eastAsia" w:ascii="宋体" w:hAnsi="宋体" w:cs="宋体"/>
          <w:bCs/>
          <w:color w:val="000000" w:themeColor="text1"/>
          <w:sz w:val="28"/>
          <w:szCs w:val="28"/>
          <w:u w:val="single"/>
          <w14:textFill>
            <w14:solidFill>
              <w14:schemeClr w14:val="tx1"/>
            </w14:solidFill>
          </w14:textFill>
        </w:rPr>
        <w:t>月</w:t>
      </w:r>
      <w:r>
        <w:rPr>
          <w:rFonts w:hint="eastAsia" w:ascii="宋体" w:hAnsi="宋体" w:cs="宋体"/>
          <w:bCs/>
          <w:color w:val="000000" w:themeColor="text1"/>
          <w:sz w:val="28"/>
          <w:szCs w:val="28"/>
          <w:u w:val="single"/>
          <w:lang w:val="en-US" w:eastAsia="zh-CN"/>
          <w14:textFill>
            <w14:solidFill>
              <w14:schemeClr w14:val="tx1"/>
            </w14:solidFill>
          </w14:textFill>
        </w:rPr>
        <w:t>30</w:t>
      </w:r>
      <w:r>
        <w:rPr>
          <w:rFonts w:hint="eastAsia" w:ascii="宋体" w:hAnsi="宋体" w:cs="宋体"/>
          <w:bCs/>
          <w:color w:val="000000" w:themeColor="text1"/>
          <w:sz w:val="28"/>
          <w:szCs w:val="28"/>
          <w:u w:val="single"/>
          <w14:textFill>
            <w14:solidFill>
              <w14:schemeClr w14:val="tx1"/>
            </w14:solidFill>
          </w14:textFill>
        </w:rPr>
        <w:t>日9点00分</w:t>
      </w:r>
      <w:r>
        <w:rPr>
          <w:rFonts w:hint="eastAsia" w:ascii="宋体" w:hAnsi="宋体" w:cs="宋体"/>
          <w:bCs/>
          <w:color w:val="000000" w:themeColor="text1"/>
          <w:sz w:val="28"/>
          <w:szCs w:val="28"/>
          <w14:textFill>
            <w14:solidFill>
              <w14:schemeClr w14:val="tx1"/>
            </w14:solidFill>
          </w14:textFill>
        </w:rPr>
        <w:t>（北京时间）至</w:t>
      </w:r>
    </w:p>
    <w:p>
      <w:pPr>
        <w:spacing w:line="380" w:lineRule="exact"/>
        <w:ind w:firstLine="560" w:firstLineChars="200"/>
        <w:rPr>
          <w:rFonts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u w:val="single"/>
          <w14:textFill>
            <w14:solidFill>
              <w14:schemeClr w14:val="tx1"/>
            </w14:solidFill>
          </w14:textFill>
        </w:rPr>
        <w:t>2020年</w:t>
      </w:r>
      <w:r>
        <w:rPr>
          <w:rFonts w:hint="eastAsia" w:ascii="宋体" w:hAnsi="宋体" w:cs="宋体"/>
          <w:bCs/>
          <w:color w:val="000000" w:themeColor="text1"/>
          <w:sz w:val="28"/>
          <w:szCs w:val="28"/>
          <w:u w:val="single"/>
          <w:lang w:val="en-US" w:eastAsia="zh-CN"/>
          <w14:textFill>
            <w14:solidFill>
              <w14:schemeClr w14:val="tx1"/>
            </w14:solidFill>
          </w14:textFill>
        </w:rPr>
        <w:t>9</w:t>
      </w:r>
      <w:r>
        <w:rPr>
          <w:rFonts w:hint="eastAsia" w:ascii="宋体" w:hAnsi="宋体" w:cs="宋体"/>
          <w:bCs/>
          <w:color w:val="000000" w:themeColor="text1"/>
          <w:sz w:val="28"/>
          <w:szCs w:val="28"/>
          <w:u w:val="single"/>
          <w14:textFill>
            <w14:solidFill>
              <w14:schemeClr w14:val="tx1"/>
            </w14:solidFill>
          </w14:textFill>
        </w:rPr>
        <w:t>月</w:t>
      </w:r>
      <w:r>
        <w:rPr>
          <w:rFonts w:hint="eastAsia" w:ascii="宋体" w:hAnsi="宋体" w:cs="宋体"/>
          <w:bCs/>
          <w:color w:val="000000" w:themeColor="text1"/>
          <w:sz w:val="28"/>
          <w:szCs w:val="28"/>
          <w:u w:val="single"/>
          <w:lang w:val="en-US" w:eastAsia="zh-CN"/>
          <w14:textFill>
            <w14:solidFill>
              <w14:schemeClr w14:val="tx1"/>
            </w14:solidFill>
          </w14:textFill>
        </w:rPr>
        <w:t>30</w:t>
      </w:r>
      <w:r>
        <w:rPr>
          <w:rFonts w:hint="eastAsia" w:ascii="宋体" w:hAnsi="宋体" w:cs="宋体"/>
          <w:bCs/>
          <w:color w:val="000000" w:themeColor="text1"/>
          <w:sz w:val="28"/>
          <w:szCs w:val="28"/>
          <w:u w:val="single"/>
          <w14:textFill>
            <w14:solidFill>
              <w14:schemeClr w14:val="tx1"/>
            </w14:solidFill>
          </w14:textFill>
        </w:rPr>
        <w:t>日9点30分</w:t>
      </w:r>
      <w:r>
        <w:rPr>
          <w:rFonts w:hint="eastAsia" w:ascii="宋体" w:hAnsi="宋体" w:cs="宋体"/>
          <w:bCs/>
          <w:color w:val="000000" w:themeColor="text1"/>
          <w:sz w:val="28"/>
          <w:szCs w:val="28"/>
          <w14:textFill>
            <w14:solidFill>
              <w14:schemeClr w14:val="tx1"/>
            </w14:solidFill>
          </w14:textFill>
        </w:rPr>
        <w:t>（北京时间）止</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地点：桂林市公共资源交易中心</w:t>
      </w:r>
      <w:r>
        <w:rPr>
          <w:rFonts w:hint="eastAsia" w:ascii="宋体" w:hAnsi="宋体" w:cs="宋体"/>
          <w:color w:val="000000" w:themeColor="text1"/>
          <w:sz w:val="28"/>
          <w:szCs w:val="28"/>
          <w14:textFill>
            <w14:solidFill>
              <w14:schemeClr w14:val="tx1"/>
            </w14:solidFill>
          </w14:textFill>
        </w:rPr>
        <w:t>12</w:t>
      </w:r>
      <w:r>
        <w:rPr>
          <w:rFonts w:hint="eastAsia" w:ascii="宋体" w:hAnsi="宋体" w:cs="宋体"/>
          <w:color w:val="000000" w:themeColor="text1"/>
          <w:sz w:val="28"/>
          <w:szCs w:val="28"/>
          <w14:textFill>
            <w14:solidFill>
              <w14:schemeClr w14:val="tx1"/>
            </w14:solidFill>
          </w14:textFill>
        </w:rPr>
        <w:t>号开标室（广西桂林市临桂区西城中路69号创业大厦西辅楼4楼）。</w:t>
      </w:r>
    </w:p>
    <w:p>
      <w:pPr>
        <w:pStyle w:val="2"/>
        <w:spacing w:line="380" w:lineRule="exact"/>
        <w:rPr>
          <w:rFonts w:ascii="宋体" w:hAnsi="宋体" w:cs="宋体"/>
          <w:color w:val="000000" w:themeColor="text1"/>
          <w14:textFill>
            <w14:solidFill>
              <w14:schemeClr w14:val="tx1"/>
            </w14:solidFill>
          </w14:textFill>
        </w:rPr>
      </w:pPr>
    </w:p>
    <w:p>
      <w:pPr>
        <w:spacing w:line="380" w:lineRule="exact"/>
        <w:ind w:firstLine="560" w:firstLineChars="200"/>
        <w:rPr>
          <w:rFonts w:ascii="宋体" w:hAnsi="宋体" w:cs="宋体"/>
          <w:bCs/>
          <w:color w:val="000000" w:themeColor="text1"/>
          <w:sz w:val="28"/>
          <w:szCs w:val="28"/>
          <w:u w:val="single"/>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开标时间：</w:t>
      </w:r>
      <w:r>
        <w:rPr>
          <w:rFonts w:hint="eastAsia" w:ascii="宋体" w:hAnsi="宋体" w:cs="宋体"/>
          <w:bCs/>
          <w:color w:val="000000" w:themeColor="text1"/>
          <w:sz w:val="28"/>
          <w:szCs w:val="28"/>
          <w:u w:val="single"/>
          <w14:textFill>
            <w14:solidFill>
              <w14:schemeClr w14:val="tx1"/>
            </w14:solidFill>
          </w14:textFill>
        </w:rPr>
        <w:t>2020年</w:t>
      </w:r>
      <w:r>
        <w:rPr>
          <w:rFonts w:hint="eastAsia" w:ascii="宋体" w:hAnsi="宋体" w:cs="宋体"/>
          <w:bCs/>
          <w:color w:val="000000" w:themeColor="text1"/>
          <w:sz w:val="28"/>
          <w:szCs w:val="28"/>
          <w:u w:val="single"/>
          <w:lang w:val="en-US" w:eastAsia="zh-CN"/>
          <w14:textFill>
            <w14:solidFill>
              <w14:schemeClr w14:val="tx1"/>
            </w14:solidFill>
          </w14:textFill>
        </w:rPr>
        <w:t>9</w:t>
      </w:r>
      <w:r>
        <w:rPr>
          <w:rFonts w:hint="eastAsia" w:ascii="宋体" w:hAnsi="宋体" w:cs="宋体"/>
          <w:bCs/>
          <w:color w:val="000000" w:themeColor="text1"/>
          <w:sz w:val="28"/>
          <w:szCs w:val="28"/>
          <w:u w:val="single"/>
          <w14:textFill>
            <w14:solidFill>
              <w14:schemeClr w14:val="tx1"/>
            </w14:solidFill>
          </w14:textFill>
        </w:rPr>
        <w:t>月</w:t>
      </w:r>
      <w:r>
        <w:rPr>
          <w:rFonts w:hint="eastAsia" w:ascii="宋体" w:hAnsi="宋体" w:cs="宋体"/>
          <w:bCs/>
          <w:color w:val="000000" w:themeColor="text1"/>
          <w:sz w:val="28"/>
          <w:szCs w:val="28"/>
          <w:u w:val="single"/>
          <w:lang w:val="en-US" w:eastAsia="zh-CN"/>
          <w14:textFill>
            <w14:solidFill>
              <w14:schemeClr w14:val="tx1"/>
            </w14:solidFill>
          </w14:textFill>
        </w:rPr>
        <w:t>30</w:t>
      </w:r>
      <w:r>
        <w:rPr>
          <w:rFonts w:hint="eastAsia" w:ascii="宋体" w:hAnsi="宋体" w:cs="宋体"/>
          <w:bCs/>
          <w:color w:val="000000" w:themeColor="text1"/>
          <w:sz w:val="28"/>
          <w:szCs w:val="28"/>
          <w:u w:val="single"/>
          <w14:textFill>
            <w14:solidFill>
              <w14:schemeClr w14:val="tx1"/>
            </w14:solidFill>
          </w14:textFill>
        </w:rPr>
        <w:t>日9点30分</w:t>
      </w:r>
      <w:r>
        <w:rPr>
          <w:rFonts w:hint="eastAsia" w:ascii="宋体" w:hAnsi="宋体" w:cs="宋体"/>
          <w:bCs/>
          <w:color w:val="000000" w:themeColor="text1"/>
          <w:sz w:val="28"/>
          <w:szCs w:val="28"/>
          <w14:textFill>
            <w14:solidFill>
              <w14:schemeClr w14:val="tx1"/>
            </w14:solidFill>
          </w14:textFill>
        </w:rPr>
        <w:t>（北京时间）</w:t>
      </w:r>
    </w:p>
    <w:p>
      <w:pPr>
        <w:spacing w:line="380" w:lineRule="exact"/>
        <w:ind w:firstLine="560" w:firstLineChars="200"/>
        <w:rPr>
          <w:rFonts w:ascii="宋体" w:hAnsi="宋体" w:cs="宋体"/>
          <w:bCs/>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地点：桂林市公共资源交易中心</w:t>
      </w:r>
      <w:r>
        <w:rPr>
          <w:rFonts w:hint="eastAsia" w:ascii="宋体" w:hAnsi="宋体" w:cs="宋体"/>
          <w:color w:val="000000" w:themeColor="text1"/>
          <w:sz w:val="28"/>
          <w:szCs w:val="28"/>
          <w14:textFill>
            <w14:solidFill>
              <w14:schemeClr w14:val="tx1"/>
            </w14:solidFill>
          </w14:textFill>
        </w:rPr>
        <w:t>12</w:t>
      </w:r>
      <w:r>
        <w:rPr>
          <w:rFonts w:hint="eastAsia" w:ascii="宋体" w:hAnsi="宋体" w:cs="宋体"/>
          <w:color w:val="000000" w:themeColor="text1"/>
          <w:sz w:val="28"/>
          <w:szCs w:val="28"/>
          <w14:textFill>
            <w14:solidFill>
              <w14:schemeClr w14:val="tx1"/>
            </w14:solidFill>
          </w14:textFill>
        </w:rPr>
        <w:t>号开标室（广西桂林市临桂区西城中路69号创业大厦西辅楼4楼）。</w:t>
      </w:r>
    </w:p>
    <w:p>
      <w:pPr>
        <w:rPr>
          <w:rFonts w:ascii="宋体" w:hAnsi="宋体" w:cs="宋体"/>
          <w:color w:val="000000" w:themeColor="text1"/>
          <w:sz w:val="28"/>
          <w:szCs w:val="28"/>
          <w14:textFill>
            <w14:solidFill>
              <w14:schemeClr w14:val="tx1"/>
            </w14:solidFill>
          </w14:textFill>
        </w:rPr>
      </w:pPr>
      <w:bookmarkStart w:id="20" w:name="_Toc35393794"/>
      <w:bookmarkStart w:id="21" w:name="_Toc28359007"/>
      <w:bookmarkStart w:id="22" w:name="_Toc28359084"/>
      <w:bookmarkStart w:id="23" w:name="_Toc35393625"/>
      <w:r>
        <w:rPr>
          <w:rFonts w:hint="eastAsia" w:ascii="宋体" w:hAnsi="宋体" w:cs="宋体"/>
          <w:color w:val="000000" w:themeColor="text1"/>
          <w:sz w:val="28"/>
          <w:szCs w:val="28"/>
          <w14:textFill>
            <w14:solidFill>
              <w14:schemeClr w14:val="tx1"/>
            </w14:solidFill>
          </w14:textFill>
        </w:rPr>
        <w:t>五、公告期限</w:t>
      </w:r>
      <w:bookmarkEnd w:id="20"/>
      <w:bookmarkEnd w:id="21"/>
      <w:bookmarkEnd w:id="22"/>
      <w:bookmarkEnd w:id="23"/>
    </w:p>
    <w:p>
      <w:pPr>
        <w:spacing w:line="380" w:lineRule="exact"/>
        <w:ind w:firstLine="560" w:firstLineChars="200"/>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自本公告发布之日起5个工作日。</w:t>
      </w:r>
    </w:p>
    <w:p>
      <w:pPr>
        <w:rPr>
          <w:rFonts w:ascii="宋体" w:hAnsi="宋体" w:cs="宋体"/>
          <w:color w:val="000000" w:themeColor="text1"/>
          <w:sz w:val="28"/>
          <w:szCs w:val="28"/>
          <w14:textFill>
            <w14:solidFill>
              <w14:schemeClr w14:val="tx1"/>
            </w14:solidFill>
          </w14:textFill>
        </w:rPr>
      </w:pPr>
      <w:bookmarkStart w:id="24" w:name="_Toc35393626"/>
      <w:bookmarkStart w:id="25" w:name="_Toc35393795"/>
      <w:r>
        <w:rPr>
          <w:rFonts w:hint="eastAsia" w:ascii="宋体" w:hAnsi="宋体" w:cs="宋体"/>
          <w:color w:val="000000" w:themeColor="text1"/>
          <w:sz w:val="28"/>
          <w:szCs w:val="28"/>
          <w14:textFill>
            <w14:solidFill>
              <w14:schemeClr w14:val="tx1"/>
            </w14:solidFill>
          </w14:textFill>
        </w:rPr>
        <w:t>六、其他补充事宜</w:t>
      </w:r>
      <w:bookmarkEnd w:id="24"/>
      <w:bookmarkEnd w:id="25"/>
    </w:p>
    <w:p>
      <w:pPr>
        <w:numPr>
          <w:ilvl w:val="0"/>
          <w:numId w:val="2"/>
        </w:numPr>
        <w:spacing w:line="380" w:lineRule="exact"/>
        <w:ind w:firstLine="562" w:firstLineChars="200"/>
        <w:rPr>
          <w:rFonts w:ascii="宋体" w:hAnsi="宋体" w:cs="宋体"/>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本项目无需缴纳投标保证金。</w:t>
      </w:r>
    </w:p>
    <w:p>
      <w:pPr>
        <w:numPr>
          <w:ilvl w:val="0"/>
          <w:numId w:val="2"/>
        </w:num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投标人可以由法定代表人、负责人、自然人或其委托代理人出席开标</w:t>
      </w:r>
    </w:p>
    <w:p>
      <w:pPr>
        <w:spacing w:line="380" w:lineRule="exac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会议（携带本人身份证原件）。</w:t>
      </w:r>
    </w:p>
    <w:p>
      <w:pPr>
        <w:numPr>
          <w:ilvl w:val="0"/>
          <w:numId w:val="2"/>
        </w:num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本项目信息发布媒体：</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bookmarkStart w:id="26" w:name="_Toc28359085"/>
      <w:bookmarkStart w:id="27" w:name="_Toc28359008"/>
      <w:bookmarkStart w:id="28" w:name="_Toc35393796"/>
      <w:bookmarkStart w:id="29" w:name="_Toc35393627"/>
      <w:r>
        <w:rPr>
          <w:rFonts w:hint="eastAsia" w:ascii="宋体" w:hAnsi="宋体" w:cs="宋体"/>
          <w:color w:val="000000" w:themeColor="text1"/>
          <w:sz w:val="28"/>
          <w:szCs w:val="28"/>
          <w14:textFill>
            <w14:solidFill>
              <w14:schemeClr w14:val="tx1"/>
            </w14:solidFill>
          </w14:textFill>
        </w:rPr>
        <w:t>桂林市公共资源交易中心网（</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"http://glggzy.org.cn/gxglzbw/" </w:instrText>
      </w:r>
      <w:r>
        <w:rPr>
          <w:color w:val="000000" w:themeColor="text1"/>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glggzy.org.cn</w:t>
      </w:r>
      <w:r>
        <w:rPr>
          <w:rFonts w:hint="eastAsia" w:ascii="宋体" w:hAnsi="宋体" w:cs="宋体"/>
          <w:color w:val="000000" w:themeColor="text1"/>
          <w:sz w:val="28"/>
          <w:szCs w:val="28"/>
          <w14:textFill>
            <w14:solidFill>
              <w14:schemeClr w14:val="tx1"/>
            </w14:solidFill>
          </w14:textFill>
        </w:rPr>
        <w:fldChar w:fldCharType="end"/>
      </w:r>
      <w:r>
        <w:rPr>
          <w:rFonts w:hint="eastAsia" w:ascii="宋体" w:hAnsi="宋体" w:cs="宋体"/>
          <w:color w:val="000000" w:themeColor="text1"/>
          <w:sz w:val="28"/>
          <w:szCs w:val="28"/>
          <w14:textFill>
            <w14:solidFill>
              <w14:schemeClr w14:val="tx1"/>
            </w14:solidFill>
          </w14:textFill>
        </w:rPr>
        <w:t>）</w:t>
      </w:r>
    </w:p>
    <w:p>
      <w:pPr>
        <w:spacing w:line="380" w:lineRule="exact"/>
        <w:ind w:firstLine="560" w:firstLineChars="2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广西壮族自治区政府采购网（</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"http://www.ccgp-guangxi.gov.cn/" </w:instrText>
      </w:r>
      <w:r>
        <w:rPr>
          <w:color w:val="000000" w:themeColor="text1"/>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www.ccgp-guangxi.gov.cn</w:t>
      </w:r>
      <w:r>
        <w:rPr>
          <w:rFonts w:hint="eastAsia" w:ascii="宋体" w:hAnsi="宋体" w:cs="宋体"/>
          <w:color w:val="000000" w:themeColor="text1"/>
          <w:sz w:val="28"/>
          <w:szCs w:val="28"/>
          <w14:textFill>
            <w14:solidFill>
              <w14:schemeClr w14:val="tx1"/>
            </w14:solidFill>
          </w14:textFill>
        </w:rPr>
        <w:fldChar w:fldCharType="end"/>
      </w:r>
      <w:r>
        <w:rPr>
          <w:rFonts w:hint="eastAsia" w:ascii="宋体" w:hAnsi="宋体" w:cs="宋体"/>
          <w:color w:val="000000" w:themeColor="text1"/>
          <w:sz w:val="28"/>
          <w:szCs w:val="28"/>
          <w14:textFill>
            <w14:solidFill>
              <w14:schemeClr w14:val="tx1"/>
            </w14:solidFill>
          </w14:textFill>
        </w:rPr>
        <w:t>）</w:t>
      </w:r>
    </w:p>
    <w:p>
      <w:pPr>
        <w:spacing w:line="380" w:lineRule="exact"/>
        <w:ind w:firstLine="560" w:firstLineChars="200"/>
        <w:rPr>
          <w:rFonts w:hint="eastAsia"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fldChar w:fldCharType="begin"/>
      </w:r>
      <w:r>
        <w:rPr>
          <w:rFonts w:hint="eastAsia" w:ascii="宋体" w:hAnsi="宋体" w:cs="宋体"/>
          <w:color w:val="000000" w:themeColor="text1"/>
          <w:sz w:val="28"/>
          <w:szCs w:val="28"/>
          <w14:textFill>
            <w14:solidFill>
              <w14:schemeClr w14:val="tx1"/>
            </w14:solidFill>
          </w14:textFill>
        </w:rPr>
        <w:instrText xml:space="preserve"> HYPERLINK "http://www.ccgp.gov.cn（中国政府采购网）" </w:instrText>
      </w:r>
      <w:r>
        <w:rPr>
          <w:rFonts w:hint="eastAsia" w:ascii="宋体" w:hAnsi="宋体" w:cs="宋体"/>
          <w:color w:val="000000" w:themeColor="text1"/>
          <w:sz w:val="28"/>
          <w:szCs w:val="28"/>
          <w14:textFill>
            <w14:solidFill>
              <w14:schemeClr w14:val="tx1"/>
            </w14:solidFill>
          </w14:textFill>
        </w:rPr>
        <w:fldChar w:fldCharType="separate"/>
      </w:r>
      <w:r>
        <w:rPr>
          <w:rFonts w:hint="eastAsia" w:ascii="宋体" w:hAnsi="宋体" w:cs="宋体"/>
          <w:color w:val="000000" w:themeColor="text1"/>
          <w:sz w:val="28"/>
          <w:szCs w:val="28"/>
          <w14:textFill>
            <w14:solidFill>
              <w14:schemeClr w14:val="tx1"/>
            </w14:solidFill>
          </w14:textFill>
        </w:rPr>
        <w:t>中国政府采购网（</w:t>
      </w:r>
      <w:r>
        <w:rPr>
          <w:rFonts w:hint="eastAsia" w:ascii="宋体" w:hAnsi="宋体" w:cs="宋体"/>
          <w:color w:val="000000" w:themeColor="text1"/>
          <w:sz w:val="28"/>
          <w:szCs w:val="28"/>
          <w14:textFill>
            <w14:solidFill>
              <w14:schemeClr w14:val="tx1"/>
            </w14:solidFill>
          </w14:textFill>
        </w:rPr>
        <w:fldChar w:fldCharType="end"/>
      </w:r>
      <w:r>
        <w:rPr>
          <w:rFonts w:hint="eastAsia" w:ascii="宋体" w:hAnsi="宋体" w:cs="宋体"/>
          <w:color w:val="000000" w:themeColor="text1"/>
          <w:sz w:val="28"/>
          <w:szCs w:val="28"/>
          <w14:textFill>
            <w14:solidFill>
              <w14:schemeClr w14:val="tx1"/>
            </w14:solidFill>
          </w14:textFill>
        </w:rPr>
        <w:t>www.ccgp.gov.cn）</w:t>
      </w:r>
    </w:p>
    <w:p>
      <w:pP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七、对本次招标提出询问，请按以下方式联系。</w:t>
      </w:r>
      <w:bookmarkEnd w:id="26"/>
      <w:bookmarkEnd w:id="27"/>
      <w:bookmarkEnd w:id="28"/>
      <w:bookmarkEnd w:id="29"/>
      <w:bookmarkStart w:id="275" w:name="_GoBack"/>
      <w:bookmarkEnd w:id="275"/>
    </w:p>
    <w:p>
      <w:pPr>
        <w:widowControl/>
        <w:spacing w:line="380" w:lineRule="exact"/>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　</w:t>
      </w:r>
      <w:r>
        <w:rPr>
          <w:rFonts w:hint="eastAsia" w:ascii="宋体" w:hAnsi="宋体" w:cs="宋体"/>
          <w:color w:val="000000" w:themeColor="text1"/>
          <w:sz w:val="28"/>
          <w:szCs w:val="28"/>
          <w14:textFill>
            <w14:solidFill>
              <w14:schemeClr w14:val="tx1"/>
            </w14:solidFill>
          </w14:textFill>
        </w:rPr>
        <w:t>　　1.采购人信息</w:t>
      </w:r>
    </w:p>
    <w:p>
      <w:pPr>
        <w:spacing w:line="380" w:lineRule="exact"/>
        <w:ind w:left="1129" w:leftChars="371" w:hanging="350" w:hangingChars="125"/>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名 称：</w:t>
      </w:r>
      <w:r>
        <w:rPr>
          <w:rFonts w:hint="eastAsia" w:ascii="宋体" w:hAnsi="宋体" w:cs="宋体"/>
          <w:color w:val="000000" w:themeColor="text1"/>
          <w:sz w:val="28"/>
          <w:szCs w:val="28"/>
          <w:u w:val="single"/>
          <w14:textFill>
            <w14:solidFill>
              <w14:schemeClr w14:val="tx1"/>
            </w14:solidFill>
          </w14:textFill>
        </w:rPr>
        <w:t>　广西师范大学　</w:t>
      </w:r>
    </w:p>
    <w:p>
      <w:pPr>
        <w:spacing w:line="380" w:lineRule="exact"/>
        <w:ind w:left="1129" w:leftChars="371" w:hanging="350" w:hangingChars="125"/>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地址：</w:t>
      </w:r>
      <w:r>
        <w:rPr>
          <w:rFonts w:hint="eastAsia" w:ascii="宋体" w:hAnsi="宋体" w:cs="宋体"/>
          <w:color w:val="000000" w:themeColor="text1"/>
          <w:sz w:val="28"/>
          <w:szCs w:val="28"/>
          <w:u w:val="single"/>
          <w14:textFill>
            <w14:solidFill>
              <w14:schemeClr w14:val="tx1"/>
            </w14:solidFill>
          </w14:textFill>
        </w:rPr>
        <w:t>　广西桂林市雁山区雁中路1号</w:t>
      </w:r>
    </w:p>
    <w:p>
      <w:pPr>
        <w:spacing w:line="380" w:lineRule="exact"/>
        <w:ind w:left="1129" w:leftChars="371" w:hanging="350" w:hangingChars="125"/>
        <w:jc w:val="left"/>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联系方式：</w:t>
      </w:r>
      <w:r>
        <w:rPr>
          <w:rFonts w:hint="eastAsia" w:ascii="宋体" w:hAnsi="宋体" w:cs="宋体"/>
          <w:color w:val="000000" w:themeColor="text1"/>
          <w:sz w:val="28"/>
          <w:szCs w:val="28"/>
          <w:u w:val="single"/>
          <w14:textFill>
            <w14:solidFill>
              <w14:schemeClr w14:val="tx1"/>
            </w14:solidFill>
          </w14:textFill>
        </w:rPr>
        <w:t>　0773-3696563　</w:t>
      </w:r>
      <w:bookmarkStart w:id="30" w:name="_Toc28359086"/>
      <w:bookmarkStart w:id="31" w:name="_Toc28359009"/>
    </w:p>
    <w:p>
      <w:pPr>
        <w:spacing w:line="380" w:lineRule="exact"/>
        <w:ind w:left="1129" w:leftChars="371" w:hanging="350" w:hangingChars="125"/>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2.采购代理机构信息</w:t>
      </w:r>
      <w:bookmarkEnd w:id="30"/>
      <w:bookmarkEnd w:id="31"/>
    </w:p>
    <w:p>
      <w:pPr>
        <w:spacing w:line="380" w:lineRule="exact"/>
        <w:ind w:firstLine="840" w:firstLineChars="300"/>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名 称：</w:t>
      </w:r>
      <w:r>
        <w:rPr>
          <w:rFonts w:hint="eastAsia" w:ascii="宋体" w:hAnsi="宋体" w:cs="宋体"/>
          <w:color w:val="000000" w:themeColor="text1"/>
          <w:sz w:val="28"/>
          <w:szCs w:val="28"/>
          <w:u w:val="single"/>
          <w14:textFill>
            <w14:solidFill>
              <w14:schemeClr w14:val="tx1"/>
            </w14:solidFill>
          </w14:textFill>
        </w:rPr>
        <w:t>　桂林市政府集中采购中心　</w:t>
      </w:r>
    </w:p>
    <w:p>
      <w:pPr>
        <w:spacing w:line="380" w:lineRule="exact"/>
        <w:ind w:firstLine="840" w:firstLineChars="3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地　址：</w:t>
      </w:r>
      <w:r>
        <w:rPr>
          <w:rFonts w:hint="eastAsia" w:ascii="宋体" w:hAnsi="宋体" w:cs="宋体"/>
          <w:color w:val="000000" w:themeColor="text1"/>
          <w:sz w:val="28"/>
          <w:szCs w:val="28"/>
          <w:u w:val="single"/>
          <w14:textFill>
            <w14:solidFill>
              <w14:schemeClr w14:val="tx1"/>
            </w14:solidFill>
          </w14:textFill>
        </w:rPr>
        <w:t>桂林市临桂区西城中路69号创业大厦西辅楼5楼</w:t>
      </w:r>
    </w:p>
    <w:p>
      <w:pPr>
        <w:spacing w:line="380" w:lineRule="exact"/>
        <w:ind w:firstLine="840" w:firstLineChars="3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联系方式：</w:t>
      </w:r>
      <w:bookmarkStart w:id="32" w:name="_Toc28359010"/>
      <w:bookmarkStart w:id="33" w:name="_Toc28359087"/>
      <w:r>
        <w:rPr>
          <w:rFonts w:hint="eastAsia" w:ascii="宋体" w:hAnsi="宋体" w:cs="宋体"/>
          <w:color w:val="000000" w:themeColor="text1"/>
          <w:sz w:val="28"/>
          <w:szCs w:val="28"/>
          <w:u w:val="single"/>
          <w14:textFill>
            <w14:solidFill>
              <w14:schemeClr w14:val="tx1"/>
            </w14:solidFill>
          </w14:textFill>
        </w:rPr>
        <w:t>　0773-5625175　</w:t>
      </w:r>
    </w:p>
    <w:p>
      <w:pPr>
        <w:spacing w:line="380" w:lineRule="exact"/>
        <w:ind w:firstLine="840" w:firstLineChars="300"/>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3.项目联系方式</w:t>
      </w:r>
      <w:bookmarkEnd w:id="32"/>
      <w:bookmarkEnd w:id="33"/>
    </w:p>
    <w:p>
      <w:pPr>
        <w:pStyle w:val="15"/>
        <w:spacing w:line="380" w:lineRule="exact"/>
        <w:ind w:firstLine="840" w:firstLineChars="300"/>
        <w:rPr>
          <w:rFonts w:hAnsi="宋体" w:cs="宋体"/>
          <w:color w:val="000000" w:themeColor="text1"/>
          <w:sz w:val="28"/>
          <w:szCs w:val="28"/>
          <w14:textFill>
            <w14:solidFill>
              <w14:schemeClr w14:val="tx1"/>
            </w14:solidFill>
          </w14:textFill>
        </w:rPr>
      </w:pPr>
      <w:r>
        <w:rPr>
          <w:rFonts w:hint="eastAsia" w:hAnsi="宋体" w:cs="宋体"/>
          <w:color w:val="000000" w:themeColor="text1"/>
          <w:sz w:val="28"/>
          <w:szCs w:val="28"/>
          <w14:textFill>
            <w14:solidFill>
              <w14:schemeClr w14:val="tx1"/>
            </w14:solidFill>
          </w14:textFill>
        </w:rPr>
        <w:t>项目联系人：</w:t>
      </w:r>
      <w:r>
        <w:rPr>
          <w:rFonts w:hint="eastAsia" w:hAnsi="宋体" w:cs="宋体"/>
          <w:color w:val="000000" w:themeColor="text1"/>
          <w:sz w:val="28"/>
          <w:szCs w:val="28"/>
          <w:u w:val="single"/>
          <w14:textFill>
            <w14:solidFill>
              <w14:schemeClr w14:val="tx1"/>
            </w14:solidFill>
          </w14:textFill>
        </w:rPr>
        <w:t>辛老师</w:t>
      </w:r>
    </w:p>
    <w:p>
      <w:pPr>
        <w:spacing w:line="380" w:lineRule="exact"/>
        <w:ind w:firstLine="840" w:firstLineChars="300"/>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电　话：</w:t>
      </w:r>
      <w:r>
        <w:rPr>
          <w:rFonts w:hint="eastAsia" w:ascii="宋体" w:hAnsi="宋体" w:cs="宋体"/>
          <w:color w:val="000000" w:themeColor="text1"/>
          <w:sz w:val="28"/>
          <w:szCs w:val="28"/>
          <w:u w:val="single"/>
          <w14:textFill>
            <w14:solidFill>
              <w14:schemeClr w14:val="tx1"/>
            </w14:solidFill>
          </w14:textFill>
        </w:rPr>
        <w:t>0773-3696563</w:t>
      </w:r>
    </w:p>
    <w:p>
      <w:pPr>
        <w:spacing w:line="380" w:lineRule="exact"/>
        <w:ind w:firstLine="840" w:firstLineChars="3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4.政府采购监督管理机构</w:t>
      </w:r>
    </w:p>
    <w:p>
      <w:pPr>
        <w:spacing w:line="380" w:lineRule="exact"/>
        <w:ind w:firstLine="840" w:firstLineChars="3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名 称：广西壮族自治区财政厅政府采购监督管理处</w:t>
      </w:r>
    </w:p>
    <w:p>
      <w:pPr>
        <w:spacing w:line="380" w:lineRule="exact"/>
        <w:ind w:firstLine="840" w:firstLineChars="300"/>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联系方式：</w:t>
      </w:r>
      <w:r>
        <w:rPr>
          <w:rFonts w:hint="eastAsia" w:ascii="宋体" w:hAnsi="宋体" w:cs="宋体"/>
          <w:color w:val="000000" w:themeColor="text1"/>
          <w:sz w:val="28"/>
          <w:szCs w:val="28"/>
          <w:u w:val="single"/>
          <w14:textFill>
            <w14:solidFill>
              <w14:schemeClr w14:val="tx1"/>
            </w14:solidFill>
          </w14:textFill>
        </w:rPr>
        <w:t>0771-5331544</w:t>
      </w:r>
    </w:p>
    <w:p>
      <w:pPr>
        <w:spacing w:line="360" w:lineRule="exact"/>
        <w:ind w:firstLine="10280" w:firstLineChars="3200"/>
        <w:jc w:val="left"/>
        <w:rPr>
          <w:rFonts w:ascii="宋体" w:hAnsi="宋体" w:cs="宋体"/>
          <w:b/>
          <w:color w:val="000000" w:themeColor="text1"/>
          <w:sz w:val="32"/>
          <w:szCs w:val="32"/>
          <w14:textFill>
            <w14:solidFill>
              <w14:schemeClr w14:val="tx1"/>
            </w14:solidFill>
          </w14:textFill>
        </w:rPr>
      </w:pPr>
    </w:p>
    <w:p>
      <w:pPr>
        <w:jc w:val="center"/>
        <w:outlineLvl w:val="0"/>
        <w:rPr>
          <w:rFonts w:ascii="宋体" w:hAnsi="宋体" w:cs="宋体"/>
          <w:color w:val="000000" w:themeColor="text1"/>
          <w:sz w:val="32"/>
          <w:szCs w:val="32"/>
          <w14:textFill>
            <w14:solidFill>
              <w14:schemeClr w14:val="tx1"/>
            </w14:solidFill>
          </w14:textFill>
        </w:rPr>
      </w:pPr>
      <w:r>
        <w:rPr>
          <w:rFonts w:hint="eastAsia" w:ascii="宋体" w:hAnsi="宋体" w:cs="宋体"/>
          <w:color w:val="000000" w:themeColor="text1"/>
          <w:sz w:val="32"/>
          <w:szCs w:val="32"/>
          <w14:textFill>
            <w14:solidFill>
              <w14:schemeClr w14:val="tx1"/>
            </w14:solidFill>
          </w14:textFill>
        </w:rPr>
        <w:br w:type="page"/>
      </w:r>
      <w:bookmarkStart w:id="34" w:name="_Toc12553"/>
      <w:bookmarkStart w:id="35" w:name="_Toc13294"/>
      <w:r>
        <w:rPr>
          <w:rFonts w:hint="eastAsia" w:ascii="宋体" w:hAnsi="宋体" w:cs="宋体"/>
          <w:b/>
          <w:bCs/>
          <w:color w:val="000000" w:themeColor="text1"/>
          <w:kern w:val="44"/>
          <w:sz w:val="32"/>
          <w:szCs w:val="32"/>
          <w14:textFill>
            <w14:solidFill>
              <w14:schemeClr w14:val="tx1"/>
            </w14:solidFill>
          </w14:textFill>
        </w:rPr>
        <w:t>第二章  投标人须知</w:t>
      </w:r>
      <w:bookmarkEnd w:id="34"/>
      <w:bookmarkEnd w:id="35"/>
    </w:p>
    <w:p>
      <w:pPr>
        <w:tabs>
          <w:tab w:val="left" w:pos="1065"/>
          <w:tab w:val="center" w:pos="4411"/>
        </w:tabs>
        <w:spacing w:line="440" w:lineRule="exact"/>
        <w:jc w:val="center"/>
        <w:outlineLvl w:val="1"/>
        <w:rPr>
          <w:rFonts w:ascii="宋体" w:hAnsi="宋体" w:cs="宋体"/>
          <w:b/>
          <w:color w:val="000000" w:themeColor="text1"/>
          <w:sz w:val="24"/>
          <w14:textFill>
            <w14:solidFill>
              <w14:schemeClr w14:val="tx1"/>
            </w14:solidFill>
          </w14:textFill>
        </w:rPr>
      </w:pPr>
      <w:bookmarkStart w:id="36" w:name="_Toc14222"/>
      <w:bookmarkStart w:id="37" w:name="_Toc31501"/>
      <w:bookmarkStart w:id="38" w:name="_Toc495841753"/>
      <w:r>
        <w:rPr>
          <w:rFonts w:hint="eastAsia" w:ascii="宋体" w:hAnsi="宋体" w:cs="宋体"/>
          <w:b/>
          <w:color w:val="000000" w:themeColor="text1"/>
          <w:sz w:val="24"/>
          <w14:textFill>
            <w14:solidFill>
              <w14:schemeClr w14:val="tx1"/>
            </w14:solidFill>
          </w14:textFill>
        </w:rPr>
        <w:t>投标人须知前附表</w:t>
      </w:r>
      <w:bookmarkEnd w:id="36"/>
      <w:bookmarkEnd w:id="37"/>
      <w:bookmarkEnd w:id="38"/>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1065"/>
        <w:gridCol w:w="1735"/>
        <w:gridCol w:w="6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blHeader/>
        </w:trPr>
        <w:tc>
          <w:tcPr>
            <w:tcW w:w="714" w:type="dxa"/>
            <w:shd w:val="clear" w:color="auto" w:fill="8DB3E2"/>
            <w:vAlign w:val="center"/>
          </w:tcPr>
          <w:p>
            <w:pPr>
              <w:spacing w:line="40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序号</w:t>
            </w:r>
          </w:p>
        </w:tc>
        <w:tc>
          <w:tcPr>
            <w:tcW w:w="1065" w:type="dxa"/>
            <w:shd w:val="clear" w:color="auto" w:fill="8DB3E2"/>
            <w:vAlign w:val="center"/>
          </w:tcPr>
          <w:p>
            <w:pPr>
              <w:spacing w:line="40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条款号</w:t>
            </w:r>
          </w:p>
        </w:tc>
        <w:tc>
          <w:tcPr>
            <w:tcW w:w="1735" w:type="dxa"/>
            <w:shd w:val="clear" w:color="auto" w:fill="8DB3E2"/>
            <w:vAlign w:val="center"/>
          </w:tcPr>
          <w:p>
            <w:pPr>
              <w:spacing w:line="40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条款名称</w:t>
            </w:r>
          </w:p>
        </w:tc>
        <w:tc>
          <w:tcPr>
            <w:tcW w:w="6229" w:type="dxa"/>
            <w:shd w:val="clear" w:color="auto" w:fill="8DB3E2"/>
            <w:vAlign w:val="center"/>
          </w:tcPr>
          <w:p>
            <w:pPr>
              <w:spacing w:line="40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106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173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项目名称及项目编号</w:t>
            </w:r>
          </w:p>
        </w:tc>
        <w:tc>
          <w:tcPr>
            <w:tcW w:w="6229" w:type="dxa"/>
            <w:vAlign w:val="center"/>
          </w:tcPr>
          <w:p>
            <w:pPr>
              <w:spacing w:line="34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项目名称：雁山图书馆古籍馆货物采购</w:t>
            </w:r>
          </w:p>
          <w:p>
            <w:pPr>
              <w:spacing w:line="34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项目编号：GXZC2020-G1-002663-JCZX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14"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106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173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投标人资格</w:t>
            </w:r>
          </w:p>
        </w:tc>
        <w:tc>
          <w:tcPr>
            <w:tcW w:w="6229" w:type="dxa"/>
            <w:vAlign w:val="center"/>
          </w:tcPr>
          <w:p>
            <w:pPr>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5.1符合《中华人民共和国政府采购法》第二十二条规定的供应商资格条件，并且国内注册或登记、具备合法资格，提供本次采购货物或服务的供应商。</w:t>
            </w:r>
          </w:p>
          <w:p>
            <w:pPr>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5.2 本项目不接受联合体投标。</w:t>
            </w:r>
          </w:p>
          <w:p>
            <w:pPr>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5.3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714"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106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1735" w:type="dxa"/>
            <w:vAlign w:val="center"/>
          </w:tcPr>
          <w:p>
            <w:pPr>
              <w:spacing w:line="400" w:lineRule="exact"/>
              <w:jc w:val="center"/>
              <w:rPr>
                <w:rFonts w:ascii="宋体" w:hAnsi="宋体" w:cs="宋体"/>
                <w:color w:val="000000" w:themeColor="text1"/>
                <w:position w:val="-2"/>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投标费用</w:t>
            </w:r>
          </w:p>
        </w:tc>
        <w:tc>
          <w:tcPr>
            <w:tcW w:w="6229" w:type="dxa"/>
            <w:vAlign w:val="center"/>
          </w:tcPr>
          <w:p>
            <w:pPr>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p>
        </w:tc>
        <w:tc>
          <w:tcPr>
            <w:tcW w:w="1065" w:type="dxa"/>
            <w:vAlign w:val="center"/>
          </w:tcPr>
          <w:p>
            <w:pPr>
              <w:spacing w:line="360" w:lineRule="exact"/>
              <w:jc w:val="center"/>
              <w:rPr>
                <w:rFonts w:ascii="宋体" w:hAnsi="宋体" w:cs="宋体"/>
                <w:color w:val="000000" w:themeColor="text1"/>
                <w:position w:val="-2"/>
                <w:szCs w:val="21"/>
                <w14:textFill>
                  <w14:solidFill>
                    <w14:schemeClr w14:val="tx1"/>
                  </w14:solidFill>
                </w14:textFill>
              </w:rPr>
            </w:pPr>
            <w:r>
              <w:rPr>
                <w:rFonts w:hint="eastAsia" w:ascii="宋体" w:hAnsi="宋体" w:cs="宋体"/>
                <w:color w:val="000000" w:themeColor="text1"/>
                <w:position w:val="-2"/>
                <w:szCs w:val="21"/>
                <w14:textFill>
                  <w14:solidFill>
                    <w14:schemeClr w14:val="tx1"/>
                  </w14:solidFill>
                </w14:textFill>
              </w:rPr>
              <w:t>15</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采购预算金额及投标报价</w:t>
            </w:r>
          </w:p>
        </w:tc>
        <w:tc>
          <w:tcPr>
            <w:tcW w:w="6229" w:type="dxa"/>
            <w:vAlign w:val="center"/>
          </w:tcPr>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15.1本项目采购预算金额：人民币</w:t>
            </w:r>
            <w:r>
              <w:rPr>
                <w:rFonts w:hint="eastAsia" w:ascii="宋体" w:hAnsi="宋体" w:cs="宋体"/>
                <w:b/>
                <w:bCs/>
                <w:color w:val="000000" w:themeColor="text1"/>
                <w:u w:val="single"/>
                <w14:textFill>
                  <w14:solidFill>
                    <w14:schemeClr w14:val="tx1"/>
                  </w14:solidFill>
                </w14:textFill>
              </w:rPr>
              <w:t>贰佰肆拾肆万柒仟陆佰柒拾捌元整</w:t>
            </w:r>
            <w:r>
              <w:rPr>
                <w:rFonts w:hint="eastAsia" w:ascii="宋体" w:hAnsi="宋体" w:cs="宋体"/>
                <w:color w:val="000000" w:themeColor="text1"/>
                <w14:textFill>
                  <w14:solidFill>
                    <w14:schemeClr w14:val="tx1"/>
                  </w14:solidFill>
                </w14:textFill>
              </w:rPr>
              <w:t>（¥2447678.00）</w:t>
            </w:r>
            <w:r>
              <w:rPr>
                <w:rFonts w:hint="eastAsia" w:ascii="宋体" w:hAnsi="宋体" w:cs="宋体"/>
                <w:color w:val="000000" w:themeColor="text1"/>
                <w:szCs w:val="21"/>
                <w14:textFill>
                  <w14:solidFill>
                    <w14:schemeClr w14:val="tx1"/>
                  </w14:solidFill>
                </w14:textFill>
              </w:rPr>
              <w:t>，投标报价超过采购预算金额的，投标文件按无效处理。</w:t>
            </w:r>
          </w:p>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15.2投标人必须就“货物采购需求”中所投分标内容作完整唯一报价，否则，其投标将被拒绝；投标文件只允许有一个报价，有选择的或有条件的报价将不予接受。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714"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106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16.1</w:t>
            </w:r>
          </w:p>
        </w:tc>
        <w:tc>
          <w:tcPr>
            <w:tcW w:w="173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投标有效期</w:t>
            </w:r>
          </w:p>
        </w:tc>
        <w:tc>
          <w:tcPr>
            <w:tcW w:w="6229" w:type="dxa"/>
            <w:vAlign w:val="center"/>
          </w:tcPr>
          <w:p>
            <w:pPr>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投标截止时间之日起90天。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106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w:t>
            </w:r>
          </w:p>
        </w:tc>
        <w:tc>
          <w:tcPr>
            <w:tcW w:w="173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投标保证金</w:t>
            </w:r>
          </w:p>
        </w:tc>
        <w:tc>
          <w:tcPr>
            <w:tcW w:w="6229" w:type="dxa"/>
          </w:tcPr>
          <w:p>
            <w:pPr>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本项目无需缴纳投标保证金</w:t>
            </w:r>
            <w:r>
              <w:rPr>
                <w:rFonts w:hint="eastAsia" w:ascii="宋体" w:hAnsi="宋体" w:cs="宋体"/>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714"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w:t>
            </w:r>
          </w:p>
        </w:tc>
        <w:tc>
          <w:tcPr>
            <w:tcW w:w="106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18.1</w:t>
            </w:r>
          </w:p>
        </w:tc>
        <w:tc>
          <w:tcPr>
            <w:tcW w:w="1735"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投标文件份数</w:t>
            </w:r>
          </w:p>
        </w:tc>
        <w:tc>
          <w:tcPr>
            <w:tcW w:w="6229" w:type="dxa"/>
            <w:vAlign w:val="center"/>
          </w:tcPr>
          <w:p>
            <w:pPr>
              <w:spacing w:line="400" w:lineRule="exact"/>
              <w:rPr>
                <w:rFonts w:ascii="宋体" w:hAnsi="宋体" w:cs="宋体"/>
                <w:color w:val="000000" w:themeColor="text1"/>
                <w:szCs w:val="21"/>
                <w:u w:val="single"/>
                <w14:textFill>
                  <w14:solidFill>
                    <w14:schemeClr w14:val="tx1"/>
                  </w14:solidFill>
                </w14:textFill>
              </w:rPr>
            </w:pPr>
            <w:r>
              <w:rPr>
                <w:rFonts w:hint="eastAsia" w:ascii="宋体" w:hAnsi="宋体" w:cs="宋体"/>
                <w:b/>
                <w:bCs/>
                <w:color w:val="000000" w:themeColor="text1"/>
                <w:szCs w:val="21"/>
                <w:u w:val="single"/>
                <w14:textFill>
                  <w14:solidFill>
                    <w14:schemeClr w14:val="tx1"/>
                  </w14:solidFill>
                </w14:textFill>
              </w:rPr>
              <w:t>正本壹册，副本</w:t>
            </w:r>
            <w:r>
              <w:rPr>
                <w:rFonts w:hint="eastAsia" w:ascii="宋体" w:hAnsi="宋体" w:cs="宋体"/>
                <w:b/>
                <w:bCs/>
                <w:color w:val="000000" w:themeColor="text1"/>
                <w:szCs w:val="21"/>
                <w:u w:val="single"/>
                <w14:textFill>
                  <w14:solidFill>
                    <w14:schemeClr w14:val="tx1"/>
                  </w14:solidFill>
                </w14:textFill>
              </w:rPr>
              <w:t>肆</w:t>
            </w:r>
            <w:r>
              <w:rPr>
                <w:rFonts w:hint="eastAsia" w:ascii="宋体" w:hAnsi="宋体" w:cs="宋体"/>
                <w:b/>
                <w:bCs/>
                <w:color w:val="000000" w:themeColor="text1"/>
                <w:szCs w:val="21"/>
                <w:u w:val="single"/>
                <w14:textFill>
                  <w14:solidFill>
                    <w14:schemeClr w14:val="tx1"/>
                  </w14:solidFill>
                </w14:textFill>
              </w:rPr>
              <w:t>册，须完整提交</w:t>
            </w:r>
            <w:r>
              <w:rPr>
                <w:rFonts w:hint="eastAsia" w:ascii="宋体" w:hAnsi="宋体" w:cs="宋体"/>
                <w:color w:val="000000" w:themeColor="text1"/>
                <w:szCs w:val="21"/>
                <w:u w:val="singl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p>
        </w:tc>
        <w:tc>
          <w:tcPr>
            <w:tcW w:w="1065" w:type="dxa"/>
            <w:vAlign w:val="center"/>
          </w:tcPr>
          <w:p>
            <w:pPr>
              <w:spacing w:line="360" w:lineRule="exact"/>
              <w:jc w:val="center"/>
              <w:rPr>
                <w:rFonts w:ascii="宋体" w:hAnsi="宋体" w:cs="宋体"/>
                <w:color w:val="000000" w:themeColor="text1"/>
                <w:position w:val="1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18.2</w:t>
            </w:r>
          </w:p>
        </w:tc>
        <w:tc>
          <w:tcPr>
            <w:tcW w:w="1735" w:type="dxa"/>
            <w:vAlign w:val="center"/>
          </w:tcPr>
          <w:p>
            <w:pPr>
              <w:spacing w:line="360" w:lineRule="exact"/>
              <w:jc w:val="center"/>
              <w:rPr>
                <w:rFonts w:ascii="宋体" w:hAnsi="宋体" w:cs="宋体"/>
                <w:color w:val="000000" w:themeColor="text1"/>
                <w:position w:val="1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投标文件装订</w:t>
            </w:r>
          </w:p>
        </w:tc>
        <w:tc>
          <w:tcPr>
            <w:tcW w:w="6229" w:type="dxa"/>
            <w:vAlign w:val="center"/>
          </w:tcPr>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应按投标人须知第13.1条“投标文件组成”规定的顺序自编目录及页码，投标文件的“正本”、“副本”应当单独装订成册并标注页码，装订应牢固，不易拆散和换页（A4标准纸装订，图纸除外）。封面应注明“正本”、“副本”字样，封面上写明项目名称、项目编号、采购代理机构、投标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7"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18.6</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投标人公章</w:t>
            </w:r>
          </w:p>
        </w:tc>
        <w:tc>
          <w:tcPr>
            <w:tcW w:w="6229" w:type="dxa"/>
            <w:vAlign w:val="center"/>
          </w:tcPr>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18.7</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投标文件包装、密封</w:t>
            </w:r>
          </w:p>
        </w:tc>
        <w:tc>
          <w:tcPr>
            <w:tcW w:w="6229" w:type="dxa"/>
            <w:vAlign w:val="center"/>
          </w:tcPr>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将投标文件“正本”、“副本”一并装入并密封在一个投标文件袋（盒、箱）中，并在密封处密封签章【公章、密封章、法定代表人、负责人或相应的授权委托代理人签字均可】。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18.8</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投标文件袋（盒、箱）标记</w:t>
            </w:r>
          </w:p>
        </w:tc>
        <w:tc>
          <w:tcPr>
            <w:tcW w:w="6229" w:type="dxa"/>
            <w:vAlign w:val="center"/>
          </w:tcPr>
          <w:p>
            <w:pPr>
              <w:spacing w:line="360" w:lineRule="exact"/>
              <w:rPr>
                <w:rFonts w:ascii="宋体" w:hAnsi="宋体" w:cs="宋体"/>
                <w:color w:val="000000" w:themeColor="text1"/>
                <w:spacing w:val="-6"/>
                <w:kern w:val="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w:t>
            </w:r>
            <w:r>
              <w:rPr>
                <w:rFonts w:hint="eastAsia" w:ascii="宋体" w:hAnsi="宋体" w:cs="宋体"/>
                <w:color w:val="000000" w:themeColor="text1"/>
                <w:szCs w:val="21"/>
                <w:u w:val="single"/>
                <w14:textFill>
                  <w14:solidFill>
                    <w14:schemeClr w14:val="tx1"/>
                  </w14:solidFill>
                </w14:textFill>
              </w:rPr>
              <w:t>雁山图书馆古籍馆货物采购</w:t>
            </w:r>
          </w:p>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14:textFill>
                  <w14:solidFill>
                    <w14:schemeClr w14:val="tx1"/>
                  </w14:solidFill>
                </w14:textFill>
              </w:rPr>
              <w:t>GXZC2020-G1-002663-JCZX</w:t>
            </w:r>
          </w:p>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采购代理机构：</w:t>
            </w:r>
            <w:r>
              <w:rPr>
                <w:rFonts w:hint="eastAsia" w:ascii="宋体" w:hAnsi="宋体" w:cs="宋体"/>
                <w:color w:val="000000" w:themeColor="text1"/>
                <w:szCs w:val="21"/>
                <w:u w:val="single"/>
                <w14:textFill>
                  <w14:solidFill>
                    <w14:schemeClr w14:val="tx1"/>
                  </w14:solidFill>
                </w14:textFill>
              </w:rPr>
              <w:t>桂林市政府集中采购中心</w:t>
            </w:r>
          </w:p>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投标单位名称：</w:t>
            </w:r>
            <w:r>
              <w:rPr>
                <w:rFonts w:hint="eastAsia" w:ascii="宋体" w:hAnsi="宋体" w:cs="宋体"/>
                <w:color w:val="000000" w:themeColor="text1"/>
                <w:szCs w:val="21"/>
                <w:u w:val="single"/>
                <w14:textFill>
                  <w14:solidFill>
                    <w14:schemeClr w14:val="tx1"/>
                  </w14:solidFill>
                </w14:textFill>
              </w:rPr>
              <w:t xml:space="preserve">                       </w:t>
            </w:r>
          </w:p>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在2020年</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30</w:t>
            </w:r>
            <w:r>
              <w:rPr>
                <w:rFonts w:hint="eastAsia" w:ascii="宋体" w:hAnsi="宋体" w:cs="宋体"/>
                <w:color w:val="000000" w:themeColor="text1"/>
                <w:szCs w:val="21"/>
                <w14:textFill>
                  <w14:solidFill>
                    <w14:schemeClr w14:val="tx1"/>
                  </w14:solidFill>
                </w14:textFill>
              </w:rPr>
              <w:t>日上午9时30分前不得开启</w:t>
            </w:r>
            <w:r>
              <w:rPr>
                <w:rFonts w:hint="eastAsia" w:ascii="宋体" w:hAnsi="宋体" w:cs="宋体"/>
                <w:color w:val="000000" w:themeColor="text1"/>
                <w:szCs w:val="21"/>
                <w14:textFill>
                  <w14:solidFill>
                    <w14:schemeClr w14:val="tx1"/>
                  </w14:solidFill>
                </w14:textFill>
              </w:rPr>
              <w:t xml:space="preserve">（此处填写截标时间）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p>
        </w:tc>
        <w:tc>
          <w:tcPr>
            <w:tcW w:w="1065" w:type="dxa"/>
            <w:vAlign w:val="center"/>
          </w:tcPr>
          <w:p>
            <w:pPr>
              <w:spacing w:line="360" w:lineRule="exact"/>
              <w:jc w:val="center"/>
              <w:rPr>
                <w:rFonts w:ascii="宋体" w:hAnsi="宋体" w:cs="宋体"/>
                <w:color w:val="000000" w:themeColor="text1"/>
                <w:position w:val="-2"/>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20.2</w:t>
            </w:r>
          </w:p>
        </w:tc>
        <w:tc>
          <w:tcPr>
            <w:tcW w:w="1735" w:type="dxa"/>
            <w:vAlign w:val="center"/>
          </w:tcPr>
          <w:p>
            <w:pPr>
              <w:spacing w:line="360" w:lineRule="exact"/>
              <w:jc w:val="center"/>
              <w:rPr>
                <w:rFonts w:ascii="宋体" w:hAnsi="宋体" w:cs="宋体"/>
                <w:color w:val="000000" w:themeColor="text1"/>
                <w:position w:val="-2"/>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投标文件递交</w:t>
            </w:r>
          </w:p>
        </w:tc>
        <w:tc>
          <w:tcPr>
            <w:tcW w:w="6229" w:type="dxa"/>
            <w:vAlign w:val="center"/>
          </w:tcPr>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投标人应于2020年</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30</w:t>
            </w:r>
            <w:r>
              <w:rPr>
                <w:rFonts w:hint="eastAsia" w:ascii="宋体" w:hAnsi="宋体" w:cs="宋体"/>
                <w:color w:val="000000" w:themeColor="text1"/>
                <w:szCs w:val="21"/>
                <w14:textFill>
                  <w14:solidFill>
                    <w14:schemeClr w14:val="tx1"/>
                  </w14:solidFill>
                </w14:textFill>
              </w:rPr>
              <w:t>日上午9时</w:t>
            </w:r>
            <w:r>
              <w:rPr>
                <w:rFonts w:hint="eastAsia" w:ascii="宋体" w:hAnsi="宋体" w:cs="宋体"/>
                <w:color w:val="000000" w:themeColor="text1"/>
                <w:szCs w:val="21"/>
                <w:lang w:val="en-US" w:eastAsia="zh-CN"/>
                <w14:textFill>
                  <w14:solidFill>
                    <w14:schemeClr w14:val="tx1"/>
                  </w14:solidFill>
                </w14:textFill>
              </w:rPr>
              <w:t>0</w:t>
            </w:r>
            <w:r>
              <w:rPr>
                <w:rFonts w:hint="eastAsia" w:ascii="宋体" w:hAnsi="宋体" w:cs="宋体"/>
                <w:color w:val="000000" w:themeColor="text1"/>
                <w:szCs w:val="21"/>
                <w14:textFill>
                  <w14:solidFill>
                    <w14:schemeClr w14:val="tx1"/>
                  </w14:solidFill>
                </w14:textFill>
              </w:rPr>
              <w:t>0分</w:t>
            </w:r>
            <w:r>
              <w:rPr>
                <w:rFonts w:hint="eastAsia" w:ascii="宋体" w:hAnsi="宋体" w:cs="宋体"/>
                <w:color w:val="000000" w:themeColor="text1"/>
                <w:szCs w:val="21"/>
                <w:lang w:val="en-US" w:eastAsia="zh-CN"/>
                <w14:textFill>
                  <w14:solidFill>
                    <w14:schemeClr w14:val="tx1"/>
                  </w14:solidFill>
                </w14:textFill>
              </w:rPr>
              <w:t>至9时30分</w:t>
            </w:r>
            <w:r>
              <w:rPr>
                <w:rFonts w:hint="eastAsia" w:ascii="宋体" w:hAnsi="宋体" w:cs="宋体"/>
                <w:color w:val="000000" w:themeColor="text1"/>
                <w:szCs w:val="21"/>
                <w14:textFill>
                  <w14:solidFill>
                    <w14:schemeClr w14:val="tx1"/>
                  </w14:solidFill>
                </w14:textFill>
              </w:rPr>
              <w:t>止，将投标文件密封提交至</w:t>
            </w:r>
            <w:r>
              <w:rPr>
                <w:rFonts w:hint="eastAsia" w:ascii="宋体" w:hAnsi="宋体" w:cs="宋体"/>
                <w:color w:val="000000" w:themeColor="text1"/>
                <w:szCs w:val="21"/>
                <w:u w:val="single"/>
                <w14:textFill>
                  <w14:solidFill>
                    <w14:schemeClr w14:val="tx1"/>
                  </w14:solidFill>
                </w14:textFill>
              </w:rPr>
              <w:t>桂林市公共资源交易中心（临桂新区西城中路69号西辅楼四楼）12号开标室</w:t>
            </w:r>
            <w:r>
              <w:rPr>
                <w:rFonts w:hint="eastAsia" w:ascii="宋体" w:hAnsi="宋体" w:cs="宋体"/>
                <w:color w:val="000000" w:themeColor="text1"/>
                <w:szCs w:val="21"/>
                <w14:textFill>
                  <w14:solidFill>
                    <w14:schemeClr w14:val="tx1"/>
                  </w14:solidFill>
                </w14:textFill>
              </w:rPr>
              <w:t>，逾期送达的或未送达指定地点的投标文件将予以拒收。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21.1</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开标时间及地点</w:t>
            </w:r>
          </w:p>
        </w:tc>
        <w:tc>
          <w:tcPr>
            <w:tcW w:w="6229" w:type="dxa"/>
          </w:tcPr>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开标时间：</w:t>
            </w:r>
            <w:r>
              <w:rPr>
                <w:rFonts w:hint="eastAsia" w:ascii="宋体" w:hAnsi="宋体" w:cs="宋体"/>
                <w:color w:val="000000" w:themeColor="text1"/>
                <w:szCs w:val="21"/>
                <w:u w:val="single"/>
                <w14:textFill>
                  <w14:solidFill>
                    <w14:schemeClr w14:val="tx1"/>
                  </w14:solidFill>
                </w14:textFill>
              </w:rPr>
              <w:t>2020年</w:t>
            </w:r>
            <w:r>
              <w:rPr>
                <w:rFonts w:hint="eastAsia" w:ascii="宋体" w:hAnsi="宋体" w:cs="宋体"/>
                <w:color w:val="000000" w:themeColor="text1"/>
                <w:szCs w:val="21"/>
                <w:u w:val="single"/>
                <w:lang w:val="en-US" w:eastAsia="zh-CN"/>
                <w14:textFill>
                  <w14:solidFill>
                    <w14:schemeClr w14:val="tx1"/>
                  </w14:solidFill>
                </w14:textFill>
              </w:rPr>
              <w:t>9</w:t>
            </w:r>
            <w:r>
              <w:rPr>
                <w:rFonts w:hint="eastAsia" w:ascii="宋体" w:hAnsi="宋体" w:cs="宋体"/>
                <w:color w:val="000000" w:themeColor="text1"/>
                <w:szCs w:val="21"/>
                <w:u w:val="single"/>
                <w14:textFill>
                  <w14:solidFill>
                    <w14:schemeClr w14:val="tx1"/>
                  </w14:solidFill>
                </w14:textFill>
              </w:rPr>
              <w:t>月</w:t>
            </w:r>
            <w:r>
              <w:rPr>
                <w:rFonts w:hint="eastAsia" w:ascii="宋体" w:hAnsi="宋体" w:cs="宋体"/>
                <w:color w:val="000000" w:themeColor="text1"/>
                <w:szCs w:val="21"/>
                <w:u w:val="single"/>
                <w:lang w:val="en-US" w:eastAsia="zh-CN"/>
                <w14:textFill>
                  <w14:solidFill>
                    <w14:schemeClr w14:val="tx1"/>
                  </w14:solidFill>
                </w14:textFill>
              </w:rPr>
              <w:t>30</w:t>
            </w:r>
            <w:r>
              <w:rPr>
                <w:rFonts w:hint="eastAsia" w:ascii="宋体" w:hAnsi="宋体" w:cs="宋体"/>
                <w:color w:val="000000" w:themeColor="text1"/>
                <w:szCs w:val="21"/>
                <w:u w:val="single"/>
                <w14:textFill>
                  <w14:solidFill>
                    <w14:schemeClr w14:val="tx1"/>
                  </w14:solidFill>
                </w14:textFill>
              </w:rPr>
              <w:t>日上午9时30分；</w:t>
            </w:r>
            <w:r>
              <w:rPr>
                <w:rFonts w:hint="eastAsia" w:ascii="宋体" w:hAnsi="宋体" w:cs="宋体"/>
                <w:color w:val="000000" w:themeColor="text1"/>
                <w:szCs w:val="21"/>
                <w14:textFill>
                  <w14:solidFill>
                    <w14:schemeClr w14:val="tx1"/>
                  </w14:solidFill>
                </w14:textFill>
              </w:rPr>
              <w:t>开标地点：</w:t>
            </w:r>
            <w:r>
              <w:rPr>
                <w:rFonts w:hint="eastAsia" w:ascii="宋体" w:hAnsi="宋体" w:cs="宋体"/>
                <w:color w:val="000000" w:themeColor="text1"/>
                <w:szCs w:val="21"/>
                <w:u w:val="single"/>
                <w14:textFill>
                  <w14:solidFill>
                    <w14:schemeClr w14:val="tx1"/>
                  </w14:solidFill>
                </w14:textFill>
              </w:rPr>
              <w:t>桂林市公共资源交易中心（临桂新区西城中路69号西辅楼四楼）12号开标室</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采购代理机构按以上规定的开标时间和地点进行公开开标，投标人准时参加开标会并签字，如未按时签字的，视同放弃开标监督权利，认可开标结果。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评标委员会组成</w:t>
            </w:r>
          </w:p>
        </w:tc>
        <w:tc>
          <w:tcPr>
            <w:tcW w:w="6229" w:type="dxa"/>
            <w:vAlign w:val="center"/>
          </w:tcPr>
          <w:p>
            <w:pPr>
              <w:spacing w:line="360" w:lineRule="exact"/>
              <w:rPr>
                <w:rFonts w:ascii="宋体" w:hAnsi="宋体" w:cs="宋体"/>
                <w:color w:val="000000" w:themeColor="text1"/>
                <w:szCs w:val="21"/>
                <w14:textFill>
                  <w14:solidFill>
                    <w14:schemeClr w14:val="tx1"/>
                  </w14:solidFill>
                </w14:textFill>
              </w:rPr>
            </w:pPr>
            <w:r>
              <w:rPr>
                <w:color w:val="000000" w:themeColor="text1"/>
                <w:szCs w:val="21"/>
                <w14:textFill>
                  <w14:solidFill>
                    <w14:schemeClr w14:val="tx1"/>
                  </w14:solidFill>
                </w14:textFill>
              </w:rPr>
              <w:t>评标委员会由采购人代表和有关技术、经济等方面的专家组成，成员人数共</w:t>
            </w:r>
            <w:r>
              <w:rPr>
                <w:rFonts w:hint="eastAsia"/>
                <w:color w:val="000000" w:themeColor="text1"/>
                <w:szCs w:val="21"/>
                <w14:textFill>
                  <w14:solidFill>
                    <w14:schemeClr w14:val="tx1"/>
                  </w14:solidFill>
                </w14:textFill>
              </w:rPr>
              <w:t>5</w:t>
            </w:r>
            <w:r>
              <w:rPr>
                <w:color w:val="000000" w:themeColor="text1"/>
                <w:szCs w:val="21"/>
                <w14:textFill>
                  <w14:solidFill>
                    <w14:schemeClr w14:val="tx1"/>
                  </w14:solidFill>
                </w14:textFill>
              </w:rPr>
              <w:t xml:space="preserve">人，其中采购人代表1人，技术、经济等专家 </w:t>
            </w:r>
            <w:r>
              <w:rPr>
                <w:rFonts w:hint="eastAsia"/>
                <w:color w:val="000000" w:themeColor="text1"/>
                <w:szCs w:val="21"/>
                <w14:textFill>
                  <w14:solidFill>
                    <w14:schemeClr w14:val="tx1"/>
                  </w14:solidFill>
                </w14:textFill>
              </w:rPr>
              <w:t>4</w:t>
            </w:r>
            <w:r>
              <w:rPr>
                <w:color w:val="000000" w:themeColor="text1"/>
                <w:szCs w:val="21"/>
                <w14:textFill>
                  <w14:solidFill>
                    <w14:schemeClr w14:val="tx1"/>
                  </w14:solidFill>
                </w14:textFill>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25.1</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评标办法</w:t>
            </w:r>
          </w:p>
        </w:tc>
        <w:tc>
          <w:tcPr>
            <w:tcW w:w="6229" w:type="dxa"/>
            <w:vAlign w:val="center"/>
          </w:tcPr>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综合评分法，具体评标内容及标准详见第四章。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32</w:t>
            </w:r>
          </w:p>
        </w:tc>
        <w:tc>
          <w:tcPr>
            <w:tcW w:w="1735" w:type="dxa"/>
            <w:vAlign w:val="center"/>
          </w:tcPr>
          <w:p>
            <w:pPr>
              <w:tabs>
                <w:tab w:val="left" w:pos="1140"/>
              </w:tabs>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信用查询</w:t>
            </w:r>
          </w:p>
        </w:tc>
        <w:tc>
          <w:tcPr>
            <w:tcW w:w="6229" w:type="dxa"/>
            <w:vAlign w:val="center"/>
          </w:tcPr>
          <w:p>
            <w:pPr>
              <w:autoSpaceDE w:val="0"/>
              <w:autoSpaceDN w:val="0"/>
              <w:snapToGrid w:val="0"/>
              <w:spacing w:line="340" w:lineRule="exact"/>
              <w:textAlignment w:val="bottom"/>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根据《关于做好政府采购有关信用主体标识码登记及在政府采购活动中查询使用信用记录有关问题的通知》桂财采〔2016〕37号的通知，由采购代理机构对第一中标候选供应商进行信用查询：</w:t>
            </w:r>
          </w:p>
          <w:p>
            <w:pPr>
              <w:autoSpaceDE w:val="0"/>
              <w:autoSpaceDN w:val="0"/>
              <w:snapToGrid w:val="0"/>
              <w:spacing w:line="340" w:lineRule="exact"/>
              <w:textAlignment w:val="bottom"/>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⑴查询渠道：“信用中国”网站(www.creditchina.gov.cn)、中国政府采购网(www.ccgp.gov.cn)等；</w:t>
            </w:r>
          </w:p>
          <w:p>
            <w:pPr>
              <w:autoSpaceDE w:val="0"/>
              <w:autoSpaceDN w:val="0"/>
              <w:snapToGrid w:val="0"/>
              <w:spacing w:line="340" w:lineRule="exact"/>
              <w:textAlignment w:val="bottom"/>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⑵查询截止时间：中标通知书发出前；</w:t>
            </w:r>
          </w:p>
          <w:p>
            <w:pPr>
              <w:autoSpaceDE w:val="0"/>
              <w:autoSpaceDN w:val="0"/>
              <w:snapToGrid w:val="0"/>
              <w:spacing w:line="340" w:lineRule="exact"/>
              <w:textAlignment w:val="bottom"/>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⑶信用信息查询记录和证据留存方式：在查询网站中直接打印查询记录，打印材料作为采购活动资料保存；</w:t>
            </w:r>
          </w:p>
          <w:p>
            <w:pPr>
              <w:spacing w:line="34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供应商资格。</w:t>
            </w:r>
          </w:p>
          <w:p>
            <w:pPr>
              <w:spacing w:line="34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两个以上的自然人、法人或者其他组织组成一个联合体，以一个供应商的身份共同参加政府采购活动的，对所有联合体成员进行信用记录查询，联合体成员存在不良信用记录的，视同联合体存在不良信用记录。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33</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中标公告及中标通知书</w:t>
            </w:r>
          </w:p>
        </w:tc>
        <w:tc>
          <w:tcPr>
            <w:tcW w:w="6229" w:type="dxa"/>
            <w:vAlign w:val="center"/>
          </w:tcPr>
          <w:p>
            <w:pPr>
              <w:tabs>
                <w:tab w:val="left" w:pos="455"/>
              </w:tabs>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33.1采购代理机构于评标结束后两个工作日内将评标报告送交采购人，采购人应当自收到评标报告五个工作日内在评标报告推荐的中标候选供应商中按顺序确定中标供应商，采购代理机构在中标供应商确定之日起两个工作日内在指定媒体上公告中标结果，中标公告期限为1个工作日。</w:t>
            </w:r>
          </w:p>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33.2中标公告发布的同时，采购代理机构向中标供应商发出中标通知书，中标供应商应自接到通知之日起七个工作日内，办理中标通知书领取手续。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34.1</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履约保证金</w:t>
            </w:r>
          </w:p>
        </w:tc>
        <w:tc>
          <w:tcPr>
            <w:tcW w:w="6229" w:type="dxa"/>
            <w:vAlign w:val="center"/>
          </w:tcPr>
          <w:p>
            <w:pPr>
              <w:pStyle w:val="15"/>
              <w:spacing w:line="360" w:lineRule="exact"/>
              <w:rPr>
                <w:rFonts w:hint="default" w:hAnsi="宋体" w:eastAsia="宋体" w:cs="宋体"/>
                <w:color w:val="000000" w:themeColor="text1"/>
                <w:szCs w:val="21"/>
                <w:lang w:val="en-US" w:eastAsia="zh-CN"/>
                <w14:textFill>
                  <w14:solidFill>
                    <w14:schemeClr w14:val="tx1"/>
                  </w14:solidFill>
                </w14:textFill>
              </w:rPr>
            </w:pPr>
            <w:r>
              <w:rPr>
                <w:rFonts w:hint="eastAsia" w:hAnsi="宋体" w:cs="宋体"/>
                <w:color w:val="000000" w:themeColor="text1"/>
                <w:szCs w:val="21"/>
                <w:lang w:val="en-US" w:eastAsia="zh-CN"/>
                <w14:textFill>
                  <w14:solidFill>
                    <w14:schemeClr w14:val="tx1"/>
                  </w14:solidFill>
                </w14:textFill>
              </w:rPr>
              <w:t>本项目免收履约保证金。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35.1</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签订合同时间</w:t>
            </w:r>
          </w:p>
        </w:tc>
        <w:tc>
          <w:tcPr>
            <w:tcW w:w="6229" w:type="dxa"/>
            <w:vAlign w:val="center"/>
          </w:tcPr>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中标通知书发出之日起二十五日内。中标供应商领取中标通知书后，应按规定与采购人签订合同。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35.4</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合同备案存档</w:t>
            </w:r>
          </w:p>
        </w:tc>
        <w:tc>
          <w:tcPr>
            <w:tcW w:w="6229" w:type="dxa"/>
            <w:vAlign w:val="center"/>
          </w:tcPr>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政府采购合同双方自签订之日起一个工作日内将合同原件一份交采购代理机构，</w:t>
            </w:r>
            <w:r>
              <w:rPr>
                <w:rFonts w:hint="eastAsia" w:ascii="宋体" w:hAnsi="宋体" w:cs="宋体"/>
                <w:color w:val="000000" w:themeColor="text1"/>
                <w:szCs w:val="21"/>
                <w:lang w:val="en-US" w:eastAsia="zh-CN"/>
                <w14:textFill>
                  <w14:solidFill>
                    <w14:schemeClr w14:val="tx1"/>
                  </w14:solidFill>
                </w14:textFill>
              </w:rPr>
              <w:t>采购人</w:t>
            </w:r>
            <w:r>
              <w:rPr>
                <w:rFonts w:hint="eastAsia" w:ascii="宋体" w:hAnsi="宋体" w:cs="宋体"/>
                <w:color w:val="000000" w:themeColor="text1"/>
                <w:szCs w:val="21"/>
                <w14:textFill>
                  <w14:solidFill>
                    <w14:schemeClr w14:val="tx1"/>
                  </w14:solidFill>
                </w14:textFill>
              </w:rPr>
              <w:t>于合同签订之日起七个工作日内将一份合同原件送本级财政部门备案。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36</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招标代理服务费</w:t>
            </w:r>
          </w:p>
        </w:tc>
        <w:tc>
          <w:tcPr>
            <w:tcW w:w="6229" w:type="dxa"/>
            <w:vAlign w:val="center"/>
          </w:tcPr>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本项目免收代理服务费。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37</w:t>
            </w:r>
          </w:p>
        </w:tc>
        <w:tc>
          <w:tcPr>
            <w:tcW w:w="173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解释权</w:t>
            </w:r>
          </w:p>
        </w:tc>
        <w:tc>
          <w:tcPr>
            <w:tcW w:w="6229" w:type="dxa"/>
            <w:vAlign w:val="center"/>
          </w:tcPr>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本招标文件是根据《中华人民共和国政府采购法》、《中华人民共和国政府采购法实施条例》及</w:t>
            </w:r>
            <w:r>
              <w:rPr>
                <w:rStyle w:val="108"/>
                <w:rFonts w:hint="eastAsia" w:ascii="宋体" w:hAnsi="宋体" w:cs="宋体"/>
                <w:color w:val="000000" w:themeColor="text1"/>
                <w:szCs w:val="21"/>
                <w14:textFill>
                  <w14:solidFill>
                    <w14:schemeClr w14:val="tx1"/>
                  </w14:solidFill>
                </w14:textFill>
              </w:rPr>
              <w:t>财政部令第87号</w:t>
            </w:r>
            <w:r>
              <w:rPr>
                <w:rFonts w:hint="eastAsia" w:ascii="宋体" w:hAnsi="宋体" w:cs="宋体"/>
                <w:color w:val="000000" w:themeColor="text1"/>
                <w:szCs w:val="21"/>
                <w14:textFill>
                  <w14:solidFill>
                    <w14:schemeClr w14:val="tx1"/>
                  </w14:solidFill>
                </w14:textFill>
              </w:rPr>
              <w:t>《政府采购货物和服务招标投标管理办法》等相关规定编制，本招标文件的解释权属于</w:t>
            </w:r>
            <w:r>
              <w:rPr>
                <w:rFonts w:hint="eastAsia" w:ascii="宋体" w:hAnsi="宋体" w:cs="宋体"/>
                <w:color w:val="000000" w:themeColor="text1"/>
                <w:szCs w:val="21"/>
                <w14:textFill>
                  <w14:solidFill>
                    <w14:schemeClr w14:val="tx1"/>
                  </w14:solidFill>
                </w14:textFill>
              </w:rPr>
              <w:t>桂林市政府集中采购中心</w:t>
            </w:r>
            <w:r>
              <w:rPr>
                <w:rFonts w:hint="eastAsia" w:ascii="宋体" w:hAnsi="宋体" w:cs="宋体"/>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714"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w:t>
            </w:r>
          </w:p>
        </w:tc>
        <w:tc>
          <w:tcPr>
            <w:tcW w:w="1065"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38</w:t>
            </w:r>
          </w:p>
        </w:tc>
        <w:tc>
          <w:tcPr>
            <w:tcW w:w="1735" w:type="dxa"/>
            <w:vAlign w:val="center"/>
          </w:tcPr>
          <w:p>
            <w:pPr>
              <w:spacing w:line="360" w:lineRule="exact"/>
              <w:jc w:val="center"/>
              <w:rPr>
                <w:rFonts w:ascii="宋体" w:hAnsi="宋体" w:cs="宋体"/>
                <w:color w:val="000000" w:themeColor="text1"/>
                <w:position w:val="1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监督管理机构</w:t>
            </w:r>
          </w:p>
        </w:tc>
        <w:tc>
          <w:tcPr>
            <w:tcW w:w="6229" w:type="dxa"/>
            <w:vAlign w:val="center"/>
          </w:tcPr>
          <w:p>
            <w:pPr>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广西壮族自治区财政厅政府采购监督管理处       电话：0771-5331544</w:t>
            </w:r>
          </w:p>
        </w:tc>
      </w:tr>
    </w:tbl>
    <w:p>
      <w:pPr>
        <w:spacing w:line="360" w:lineRule="auto"/>
        <w:jc w:val="center"/>
        <w:outlineLvl w:val="1"/>
        <w:rPr>
          <w:rFonts w:ascii="宋体" w:hAnsi="宋体" w:cs="宋体"/>
          <w:b/>
          <w:color w:val="000000" w:themeColor="text1"/>
          <w:sz w:val="28"/>
          <w:szCs w:val="28"/>
          <w14:textFill>
            <w14:solidFill>
              <w14:schemeClr w14:val="tx1"/>
            </w14:solidFill>
          </w14:textFill>
        </w:rPr>
      </w:pPr>
      <w:bookmarkStart w:id="39" w:name="_Toc3679"/>
      <w:bookmarkStart w:id="40" w:name="_Toc495841754"/>
      <w:r>
        <w:rPr>
          <w:rFonts w:hint="eastAsia" w:ascii="宋体" w:hAnsi="宋体" w:cs="宋体"/>
          <w:b/>
          <w:color w:val="000000" w:themeColor="text1"/>
          <w:sz w:val="28"/>
          <w:szCs w:val="28"/>
          <w14:textFill>
            <w14:solidFill>
              <w14:schemeClr w14:val="tx1"/>
            </w14:solidFill>
          </w14:textFill>
        </w:rPr>
        <w:br w:type="page"/>
      </w:r>
      <w:bookmarkStart w:id="41" w:name="_Toc1945"/>
      <w:r>
        <w:rPr>
          <w:rFonts w:hint="eastAsia" w:ascii="宋体" w:hAnsi="宋体" w:cs="宋体"/>
          <w:b/>
          <w:color w:val="000000" w:themeColor="text1"/>
          <w:sz w:val="28"/>
          <w:szCs w:val="28"/>
          <w14:textFill>
            <w14:solidFill>
              <w14:schemeClr w14:val="tx1"/>
            </w14:solidFill>
          </w14:textFill>
        </w:rPr>
        <w:t>一、总则</w:t>
      </w:r>
      <w:bookmarkEnd w:id="39"/>
      <w:bookmarkEnd w:id="40"/>
      <w:bookmarkEnd w:id="41"/>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42" w:name="_Toc23807"/>
      <w:bookmarkStart w:id="43" w:name="_Toc11622"/>
      <w:r>
        <w:rPr>
          <w:rFonts w:hint="eastAsia" w:ascii="宋体" w:hAnsi="宋体" w:cs="宋体"/>
          <w:b/>
          <w:color w:val="000000" w:themeColor="text1"/>
          <w:szCs w:val="21"/>
          <w14:textFill>
            <w14:solidFill>
              <w14:schemeClr w14:val="tx1"/>
            </w14:solidFill>
          </w14:textFill>
        </w:rPr>
        <w:t>1. 项目名称及项目编号</w:t>
      </w:r>
      <w:bookmarkEnd w:id="42"/>
      <w:bookmarkEnd w:id="43"/>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项目名称：雁山图书馆古籍馆货物采购</w:t>
      </w:r>
    </w:p>
    <w:p>
      <w:pPr>
        <w:spacing w:line="400" w:lineRule="exact"/>
        <w:ind w:firstLine="420" w:firstLineChars="200"/>
        <w:rPr>
          <w:rFonts w:ascii="宋体" w:hAnsi="宋体" w:cs="宋体"/>
          <w:color w:val="000000" w:themeColor="text1"/>
          <w:spacing w:val="-6"/>
          <w:kern w:val="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项目编号：GXZC2020-G1-002663-JCZX</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44" w:name="_Toc17952"/>
      <w:bookmarkStart w:id="45" w:name="_Toc340"/>
      <w:r>
        <w:rPr>
          <w:rFonts w:hint="eastAsia" w:ascii="宋体" w:hAnsi="宋体" w:cs="宋体"/>
          <w:b/>
          <w:color w:val="000000" w:themeColor="text1"/>
          <w:szCs w:val="21"/>
          <w14:textFill>
            <w14:solidFill>
              <w14:schemeClr w14:val="tx1"/>
            </w14:solidFill>
          </w14:textFill>
        </w:rPr>
        <w:t>2. 适应范围</w:t>
      </w:r>
      <w:bookmarkEnd w:id="44"/>
      <w:bookmarkEnd w:id="45"/>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本招标文件适用本招标采购项目的招标、投标、评标、合同履约、验收、付款等行为（法律、法规另有规定的，从其规定）。</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46" w:name="_Toc22597"/>
      <w:bookmarkStart w:id="47" w:name="_Toc1895"/>
      <w:r>
        <w:rPr>
          <w:rFonts w:hint="eastAsia" w:ascii="宋体" w:hAnsi="宋体" w:cs="宋体"/>
          <w:b/>
          <w:color w:val="000000" w:themeColor="text1"/>
          <w:szCs w:val="21"/>
          <w14:textFill>
            <w14:solidFill>
              <w14:schemeClr w14:val="tx1"/>
            </w14:solidFill>
          </w14:textFill>
        </w:rPr>
        <w:t>3. 定义</w:t>
      </w:r>
      <w:bookmarkEnd w:id="46"/>
      <w:bookmarkEnd w:id="47"/>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3.1“投标人”系指响应招标、参加投标竞争的法人、其他组织或者自然人。</w:t>
      </w:r>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3.2“货物”系指按招标文件规定，投标人须向采购人提供的一切设备、保险、税金、备品备件、工具、手册及其它有关技术资料和材料。</w:t>
      </w:r>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3.3“服务”系指按招标文件规定，投标人须承担的安装、调试、技术协助、校准、培训、技术指导以及其他类似的义务。</w:t>
      </w:r>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3.4“项目”系指投标人按招标文件规定向采购人提供的货物和服务。</w:t>
      </w:r>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3.5“书面形式”包括信函、传真、电报。</w:t>
      </w:r>
    </w:p>
    <w:p>
      <w:pPr>
        <w:spacing w:line="40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3.6实质性要求：标注★号项的要求为实质性要求，不允许负偏离，否则投标无效。</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48" w:name="_Toc28906"/>
      <w:bookmarkStart w:id="49" w:name="_Toc23757"/>
      <w:r>
        <w:rPr>
          <w:rFonts w:hint="eastAsia" w:ascii="宋体" w:hAnsi="宋体" w:cs="宋体"/>
          <w:b/>
          <w:color w:val="000000" w:themeColor="text1"/>
          <w:szCs w:val="21"/>
          <w14:textFill>
            <w14:solidFill>
              <w14:schemeClr w14:val="tx1"/>
            </w14:solidFill>
          </w14:textFill>
        </w:rPr>
        <w:t>4. 招标方式、评分办法</w:t>
      </w:r>
      <w:bookmarkEnd w:id="48"/>
      <w:bookmarkEnd w:id="49"/>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公开招标、综合评分法</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50" w:name="_Toc28290"/>
      <w:bookmarkStart w:id="51" w:name="_Toc598"/>
      <w:r>
        <w:rPr>
          <w:rFonts w:hint="eastAsia" w:ascii="宋体" w:hAnsi="宋体" w:cs="宋体"/>
          <w:b/>
          <w:color w:val="000000" w:themeColor="text1"/>
          <w:szCs w:val="21"/>
          <w14:textFill>
            <w14:solidFill>
              <w14:schemeClr w14:val="tx1"/>
            </w14:solidFill>
          </w14:textFill>
        </w:rPr>
        <w:t>5. 投标人资格</w:t>
      </w:r>
      <w:bookmarkEnd w:id="50"/>
      <w:bookmarkEnd w:id="51"/>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5.1符合《中华人民共和国政府采购法》第二十二条和《政府采购法实施条例》第十八条规定，并且在国内注册或登记、具备合法资格，提供本次采购货物或服务的供应商。</w:t>
      </w:r>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5.2 </w:t>
      </w:r>
      <w:r>
        <w:rPr>
          <w:rFonts w:hint="eastAsia" w:ascii="宋体" w:hAnsi="宋体" w:cs="宋体"/>
          <w:color w:val="000000" w:themeColor="text1"/>
          <w:szCs w:val="21"/>
          <w14:textFill>
            <w14:solidFill>
              <w14:schemeClr w14:val="tx1"/>
            </w14:solidFill>
          </w14:textFill>
        </w:rPr>
        <w:t>本项目不接受联合体投标。</w:t>
      </w:r>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5.3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52" w:name="_Toc10986"/>
      <w:bookmarkStart w:id="53" w:name="_Toc24742"/>
      <w:r>
        <w:rPr>
          <w:rFonts w:hint="eastAsia" w:ascii="宋体" w:hAnsi="宋体" w:cs="宋体"/>
          <w:b/>
          <w:color w:val="000000" w:themeColor="text1"/>
          <w:szCs w:val="21"/>
          <w14:textFill>
            <w14:solidFill>
              <w14:schemeClr w14:val="tx1"/>
            </w14:solidFill>
          </w14:textFill>
        </w:rPr>
        <w:t>6. 投标费用</w:t>
      </w:r>
      <w:bookmarkEnd w:id="52"/>
      <w:bookmarkEnd w:id="53"/>
    </w:p>
    <w:p>
      <w:pPr>
        <w:spacing w:line="40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不论投标结果如何，投标人均应自行承担所有与投标有关的全部费用。</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54" w:name="_Toc22702"/>
      <w:bookmarkStart w:id="55" w:name="_Toc29384"/>
      <w:r>
        <w:rPr>
          <w:rFonts w:hint="eastAsia" w:ascii="宋体" w:hAnsi="宋体" w:cs="宋体"/>
          <w:b/>
          <w:color w:val="000000" w:themeColor="text1"/>
          <w:szCs w:val="21"/>
          <w14:textFill>
            <w14:solidFill>
              <w14:schemeClr w14:val="tx1"/>
            </w14:solidFill>
          </w14:textFill>
        </w:rPr>
        <w:t>7. 联合体投标要求</w:t>
      </w:r>
      <w:bookmarkEnd w:id="54"/>
      <w:bookmarkEnd w:id="55"/>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本项目不接受联合体投标。</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56" w:name="_Toc28380"/>
      <w:bookmarkStart w:id="57" w:name="_Toc6046"/>
      <w:r>
        <w:rPr>
          <w:rFonts w:hint="eastAsia" w:ascii="宋体" w:hAnsi="宋体" w:cs="宋体"/>
          <w:b/>
          <w:color w:val="000000" w:themeColor="text1"/>
          <w:szCs w:val="21"/>
          <w14:textFill>
            <w14:solidFill>
              <w14:schemeClr w14:val="tx1"/>
            </w14:solidFill>
          </w14:textFill>
        </w:rPr>
        <w:t>8. 转包与分包</w:t>
      </w:r>
      <w:bookmarkEnd w:id="56"/>
      <w:bookmarkEnd w:id="57"/>
    </w:p>
    <w:p>
      <w:pPr>
        <w:tabs>
          <w:tab w:val="left" w:pos="163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8.1本项目不允许转包。</w:t>
      </w:r>
    </w:p>
    <w:p>
      <w:pPr>
        <w:tabs>
          <w:tab w:val="left" w:pos="1635"/>
        </w:tabs>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8.2本项目不可以分包。</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58" w:name="_Toc24263"/>
      <w:bookmarkStart w:id="59" w:name="_Toc1504"/>
      <w:r>
        <w:rPr>
          <w:rFonts w:hint="eastAsia" w:ascii="宋体" w:hAnsi="宋体" w:cs="宋体"/>
          <w:b/>
          <w:color w:val="000000" w:themeColor="text1"/>
          <w:szCs w:val="21"/>
          <w14:textFill>
            <w14:solidFill>
              <w14:schemeClr w14:val="tx1"/>
            </w14:solidFill>
          </w14:textFill>
        </w:rPr>
        <w:t>9. 特别说明</w:t>
      </w:r>
      <w:bookmarkEnd w:id="58"/>
      <w:bookmarkEnd w:id="59"/>
    </w:p>
    <w:p>
      <w:pPr>
        <w:tabs>
          <w:tab w:val="left" w:pos="163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9.1提供相同品牌产品且通过资格审查、符合性审查的不同投标人参加同一合同项下投标的，按一家投标人计算，评审后得分最高的同品牌投标人获得中标供应商推荐资格；评审得分相同的，评标价最低的同品牌投标人获得中标供应商推荐资格；评标价也相同的，由评标委员会以抽签方式确定中标候选供应商。其他同品牌投标人不作为中标候选供应商。</w:t>
      </w:r>
    </w:p>
    <w:p>
      <w:pPr>
        <w:tabs>
          <w:tab w:val="left" w:pos="1635"/>
        </w:tabs>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多家投标人提供的核心产品品牌相同的，按前款规定处理。</w:t>
      </w:r>
    </w:p>
    <w:p>
      <w:pPr>
        <w:tabs>
          <w:tab w:val="left" w:pos="1635"/>
        </w:tabs>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9.2关联供应商不得参加同一合同项下政府采购活动，否则投标文件将被视为无效：</w:t>
      </w:r>
    </w:p>
    <w:p>
      <w:pPr>
        <w:tabs>
          <w:tab w:val="left" w:pos="163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（1）单位负责人为同一人或者存在直接控股、管理关系的不同供应商，不得参加同一合同项下的政府采购活动。</w:t>
      </w:r>
    </w:p>
    <w:p>
      <w:pPr>
        <w:tabs>
          <w:tab w:val="left" w:pos="1635"/>
        </w:tabs>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（2）为本采购项目提供整体设计、规范编制或者项目管理、监理、检测等服务的供应商，不得再参加本次采购活动。</w:t>
      </w:r>
    </w:p>
    <w:p>
      <w:pPr>
        <w:tabs>
          <w:tab w:val="left" w:pos="1635"/>
        </w:tabs>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9.3投标人应仔细阅读招标文件的所有内容，按照招标文件的要求提交投标文件，并对所提供的全部资料的真实性承担法律责任。</w:t>
      </w:r>
    </w:p>
    <w:p>
      <w:pPr>
        <w:tabs>
          <w:tab w:val="left" w:pos="1635"/>
        </w:tabs>
        <w:spacing w:line="40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9.4投标人在投标活动中提供任何虚假材料，其投标无效，并报监管部门查处；中标后发现的，中标供应商须依照《中华人民共和国消费者权益保护法》赔偿采购人，且民事赔偿并不免除违法投标人的行政与刑事责任。</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60" w:name="_Toc1285"/>
      <w:bookmarkStart w:id="61" w:name="_Toc6489"/>
      <w:r>
        <w:rPr>
          <w:rFonts w:hint="eastAsia" w:ascii="宋体" w:hAnsi="宋体" w:cs="宋体"/>
          <w:b/>
          <w:color w:val="000000" w:themeColor="text1"/>
          <w:szCs w:val="21"/>
          <w14:textFill>
            <w14:solidFill>
              <w14:schemeClr w14:val="tx1"/>
            </w14:solidFill>
          </w14:textFill>
        </w:rPr>
        <w:t>10. 质疑和投诉</w:t>
      </w:r>
      <w:bookmarkEnd w:id="60"/>
      <w:bookmarkEnd w:id="61"/>
    </w:p>
    <w:p>
      <w:pPr>
        <w:tabs>
          <w:tab w:val="left" w:pos="1635"/>
        </w:tabs>
        <w:spacing w:line="400" w:lineRule="exact"/>
        <w:ind w:firstLine="435"/>
        <w:rPr>
          <w:rFonts w:ascii="宋体" w:hAnsi="宋体" w:cs="宋体"/>
          <w:color w:val="000000" w:themeColor="text1"/>
          <w:szCs w:val="21"/>
          <w14:textFill>
            <w14:solidFill>
              <w14:schemeClr w14:val="tx1"/>
            </w14:solidFill>
          </w14:textFill>
        </w:rPr>
      </w:pPr>
      <w:bookmarkStart w:id="62" w:name="_Toc26087"/>
      <w:bookmarkStart w:id="63" w:name="_Toc8195"/>
      <w:r>
        <w:rPr>
          <w:rFonts w:hint="eastAsia" w:ascii="宋体" w:hAnsi="宋体" w:cs="宋体"/>
          <w:color w:val="000000" w:themeColor="text1"/>
          <w:szCs w:val="21"/>
          <w14:textFill>
            <w14:solidFill>
              <w14:schemeClr w14:val="tx1"/>
            </w14:solidFill>
          </w14:textFill>
        </w:rPr>
        <w:t>10.1投标人认为招标文件使自己的合法权益受到损害的，应当在本项目招标公告期限届满之日起七个工作日内以书面形式向桂林市政府集中采购中心提出质疑。投标人认为招标过程或中标结果使自己的合法权益受到损害的，应当在采购程序环节结束之日或中标公告期限届满之日起七个工作日内，以书面形式向桂林市政府集中采购中心提出质疑。桂林市政府集中采购中心应认真做好质疑处理工作。</w:t>
      </w:r>
      <w:bookmarkEnd w:id="62"/>
      <w:bookmarkEnd w:id="63"/>
    </w:p>
    <w:p>
      <w:pPr>
        <w:snapToGrid w:val="0"/>
        <w:spacing w:line="44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接收质疑函方式：以书面形式（原件）提交</w:t>
      </w:r>
    </w:p>
    <w:p>
      <w:pPr>
        <w:snapToGrid w:val="0"/>
        <w:spacing w:line="44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质疑联系人：</w:t>
      </w:r>
      <w:r>
        <w:rPr>
          <w:rFonts w:hint="eastAsia" w:ascii="宋体" w:hAnsi="宋体" w:cs="宋体"/>
          <w:color w:val="000000" w:themeColor="text1"/>
          <w:szCs w:val="20"/>
          <w:lang w:eastAsia="zh-CN"/>
          <w14:textFill>
            <w14:solidFill>
              <w14:schemeClr w14:val="tx1"/>
            </w14:solidFill>
          </w14:textFill>
        </w:rPr>
        <w:t>秦长进</w:t>
      </w:r>
      <w:r>
        <w:rPr>
          <w:rFonts w:hint="eastAsia" w:ascii="宋体" w:hAnsi="宋体" w:cs="宋体"/>
          <w:color w:val="000000" w:themeColor="text1"/>
          <w:szCs w:val="20"/>
          <w14:textFill>
            <w14:solidFill>
              <w14:schemeClr w14:val="tx1"/>
            </w14:solidFill>
          </w14:textFill>
        </w:rPr>
        <w:t>，联系电话：0773-5625175</w:t>
      </w:r>
    </w:p>
    <w:p>
      <w:pPr>
        <w:tabs>
          <w:tab w:val="left" w:pos="2190"/>
        </w:tabs>
        <w:spacing w:line="420" w:lineRule="exact"/>
        <w:ind w:firstLine="435"/>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0"/>
          <w14:textFill>
            <w14:solidFill>
              <w14:schemeClr w14:val="tx1"/>
            </w14:solidFill>
          </w14:textFill>
        </w:rPr>
        <w:t>通讯地址：</w:t>
      </w:r>
      <w:r>
        <w:rPr>
          <w:rFonts w:hint="eastAsia" w:ascii="宋体" w:hAnsi="宋体" w:cs="宋体"/>
          <w:color w:val="000000" w:themeColor="text1"/>
          <w14:textFill>
            <w14:solidFill>
              <w14:schemeClr w14:val="tx1"/>
            </w14:solidFill>
          </w14:textFill>
        </w:rPr>
        <w:t>桂林市临桂区西城中路69号创业大厦西辅楼5楼577室</w:t>
      </w:r>
    </w:p>
    <w:p>
      <w:pPr>
        <w:tabs>
          <w:tab w:val="left" w:pos="1635"/>
        </w:tabs>
        <w:spacing w:line="400" w:lineRule="exact"/>
        <w:ind w:firstLine="435"/>
        <w:rPr>
          <w:rFonts w:ascii="宋体" w:hAnsi="宋体" w:cs="宋体"/>
          <w:color w:val="000000" w:themeColor="text1"/>
          <w:szCs w:val="21"/>
          <w14:textFill>
            <w14:solidFill>
              <w14:schemeClr w14:val="tx1"/>
            </w14:solidFill>
          </w14:textFill>
        </w:rPr>
      </w:pPr>
      <w:bookmarkStart w:id="64" w:name="_Toc17981"/>
      <w:bookmarkStart w:id="65" w:name="_Toc5874"/>
      <w:r>
        <w:rPr>
          <w:rFonts w:hint="eastAsia" w:ascii="宋体" w:hAnsi="宋体" w:cs="宋体"/>
          <w:color w:val="000000" w:themeColor="text1"/>
          <w:szCs w:val="21"/>
          <w14:textFill>
            <w14:solidFill>
              <w14:schemeClr w14:val="tx1"/>
            </w14:solidFill>
          </w14:textFill>
        </w:rPr>
        <w:t>10.2投标人对采购代理机构的答复不满意或者采购代理机构未在规定的时间内作出答复的，可以在答复期满后十五个工作日内向</w:t>
      </w:r>
      <w:r>
        <w:rPr>
          <w:rFonts w:hint="eastAsia" w:ascii="宋体" w:hAnsi="宋体" w:cs="宋体"/>
          <w:color w:val="000000" w:themeColor="text1"/>
          <w:szCs w:val="21"/>
          <w14:textFill>
            <w14:solidFill>
              <w14:schemeClr w14:val="tx1"/>
            </w14:solidFill>
          </w14:textFill>
        </w:rPr>
        <w:t>本级财政部门</w:t>
      </w:r>
      <w:r>
        <w:rPr>
          <w:rFonts w:hint="eastAsia" w:ascii="宋体" w:hAnsi="宋体" w:cs="宋体"/>
          <w:color w:val="000000" w:themeColor="text1"/>
          <w:szCs w:val="21"/>
          <w14:textFill>
            <w14:solidFill>
              <w14:schemeClr w14:val="tx1"/>
            </w14:solidFill>
          </w14:textFill>
        </w:rPr>
        <w:t>投诉。</w:t>
      </w:r>
      <w:bookmarkEnd w:id="64"/>
      <w:bookmarkEnd w:id="65"/>
    </w:p>
    <w:p>
      <w:pPr>
        <w:tabs>
          <w:tab w:val="left" w:pos="1635"/>
        </w:tabs>
        <w:spacing w:line="400" w:lineRule="exact"/>
        <w:ind w:firstLine="435"/>
        <w:rPr>
          <w:rFonts w:ascii="宋体" w:hAnsi="宋体" w:cs="宋体"/>
          <w:color w:val="000000" w:themeColor="text1"/>
          <w:szCs w:val="21"/>
          <w14:textFill>
            <w14:solidFill>
              <w14:schemeClr w14:val="tx1"/>
            </w14:solidFill>
          </w14:textFill>
        </w:rPr>
      </w:pPr>
      <w:bookmarkStart w:id="66" w:name="_Toc23108"/>
      <w:bookmarkStart w:id="67" w:name="_Toc613"/>
      <w:r>
        <w:rPr>
          <w:rFonts w:hint="eastAsia" w:ascii="宋体" w:hAnsi="宋体" w:cs="宋体"/>
          <w:color w:val="000000" w:themeColor="text1"/>
          <w:szCs w:val="21"/>
          <w14:textFill>
            <w14:solidFill>
              <w14:schemeClr w14:val="tx1"/>
            </w14:solidFill>
          </w14:textFill>
        </w:rPr>
        <w:t>10.3质疑、投诉应当采用书面形式，质疑书、投诉书实行实名制，均应明确阐述招标文件、招标过程或中标结果中使自己合法权益受到损害的实质性内容，并提供必要的证明材料。</w:t>
      </w:r>
      <w:bookmarkEnd w:id="66"/>
      <w:bookmarkEnd w:id="67"/>
    </w:p>
    <w:p>
      <w:pPr>
        <w:tabs>
          <w:tab w:val="left" w:pos="2190"/>
        </w:tabs>
        <w:spacing w:line="400" w:lineRule="exact"/>
        <w:ind w:firstLine="435"/>
        <w:rPr>
          <w:rFonts w:ascii="宋体" w:hAnsi="宋体" w:cs="宋体"/>
          <w:b/>
          <w:color w:val="000000" w:themeColor="text1"/>
          <w:sz w:val="28"/>
          <w:szCs w:val="28"/>
          <w14:textFill>
            <w14:solidFill>
              <w14:schemeClr w14:val="tx1"/>
            </w14:solidFill>
          </w14:textFill>
        </w:rPr>
      </w:pPr>
    </w:p>
    <w:p>
      <w:pPr>
        <w:spacing w:line="360" w:lineRule="auto"/>
        <w:jc w:val="center"/>
        <w:outlineLvl w:val="1"/>
        <w:rPr>
          <w:rFonts w:ascii="宋体" w:hAnsi="宋体" w:cs="宋体"/>
          <w:b/>
          <w:color w:val="000000" w:themeColor="text1"/>
          <w:sz w:val="28"/>
          <w:szCs w:val="28"/>
          <w14:textFill>
            <w14:solidFill>
              <w14:schemeClr w14:val="tx1"/>
            </w14:solidFill>
          </w14:textFill>
        </w:rPr>
      </w:pPr>
      <w:bookmarkStart w:id="68" w:name="_Toc2303"/>
      <w:bookmarkStart w:id="69" w:name="_Toc26849"/>
      <w:bookmarkStart w:id="70" w:name="_Toc495841755"/>
      <w:r>
        <w:rPr>
          <w:rFonts w:hint="eastAsia" w:ascii="宋体" w:hAnsi="宋体" w:cs="宋体"/>
          <w:b/>
          <w:color w:val="000000" w:themeColor="text1"/>
          <w:sz w:val="28"/>
          <w:szCs w:val="28"/>
          <w14:textFill>
            <w14:solidFill>
              <w14:schemeClr w14:val="tx1"/>
            </w14:solidFill>
          </w14:textFill>
        </w:rPr>
        <w:t>二、招标文件</w:t>
      </w:r>
      <w:bookmarkEnd w:id="68"/>
      <w:bookmarkEnd w:id="69"/>
      <w:bookmarkEnd w:id="70"/>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71" w:name="_Toc3397"/>
      <w:bookmarkStart w:id="72" w:name="_Toc20195"/>
      <w:r>
        <w:rPr>
          <w:rFonts w:hint="eastAsia" w:ascii="宋体" w:hAnsi="宋体" w:cs="宋体"/>
          <w:b/>
          <w:color w:val="000000" w:themeColor="text1"/>
          <w:szCs w:val="21"/>
          <w14:textFill>
            <w14:solidFill>
              <w14:schemeClr w14:val="tx1"/>
            </w14:solidFill>
          </w14:textFill>
        </w:rPr>
        <w:t>11. 招标文件的构成</w:t>
      </w:r>
      <w:bookmarkEnd w:id="71"/>
      <w:bookmarkEnd w:id="72"/>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（1）招标公告；</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（2）总则；</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（3）货物采购需求；</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（4）评标办法；</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（5）采购合同（合同主要条款及格式）；</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（6）投标文件（格式）。</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73" w:name="_Toc24191"/>
      <w:bookmarkStart w:id="74" w:name="_Toc9713"/>
      <w:r>
        <w:rPr>
          <w:rFonts w:hint="eastAsia" w:ascii="宋体" w:hAnsi="宋体" w:cs="宋体"/>
          <w:b/>
          <w:color w:val="000000" w:themeColor="text1"/>
          <w:szCs w:val="21"/>
          <w14:textFill>
            <w14:solidFill>
              <w14:schemeClr w14:val="tx1"/>
            </w14:solidFill>
          </w14:textFill>
        </w:rPr>
        <w:t>12. 招标文件的澄清与修改</w:t>
      </w:r>
      <w:bookmarkEnd w:id="73"/>
      <w:bookmarkEnd w:id="74"/>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12.1投标人应认真阅读招标文件，发现其中有误或有不合理要求的，投标人必须在招标公告期限届满之日起七个工作日内以书面形式要求采购代理机构澄清。</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12.2采购代理机构可以对已发出的招标文件进行必要的澄清或者修改，但不得改变采购标的和资格条件。澄清或者修改应当在原公告发布媒体上发布澄清公告。澄清或者修改的内容为招标文件的组成部分。澄清或者修改的内容可能影响投标文件编制的，采购代理机构应当在投标截止时间至少15日前在本招标项目招标公告发布的同一媒体上发布更正公告；不足15日的，采购代理机构应当顺延提交投标文件的截止时间。</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12.3</w:t>
      </w:r>
      <w:r>
        <w:rPr>
          <w:rFonts w:hint="eastAsia" w:ascii="宋体" w:hAnsi="宋体" w:cs="宋体"/>
          <w:b/>
          <w:color w:val="000000" w:themeColor="text1"/>
          <w:szCs w:val="21"/>
          <w14:textFill>
            <w14:solidFill>
              <w14:schemeClr w14:val="tx1"/>
            </w14:solidFill>
          </w14:textFill>
        </w:rPr>
        <w:t>投标人下载招标文件后应实时关注相关网站了解澄清、修改等与项目有关的内容，如因投标人未及时登录相关网站了解澄清、修改等与项目有关的内容，从而导致投标无效的，由投标人自行承担责任。</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12.4必要的澄清、修改的内容为招标文件的组成部分。当澄清、修改通知就同一内容的表述不一致时，以最后发出的书面文件为准。</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12.5招标文件的澄清、修改都应该通过采购代理机构以法定形式发布，采购人非通过本机构，不得擅自澄清、修改招标文件。</w:t>
      </w:r>
    </w:p>
    <w:p>
      <w:pPr>
        <w:tabs>
          <w:tab w:val="left" w:pos="2190"/>
        </w:tabs>
        <w:spacing w:line="400" w:lineRule="exact"/>
        <w:ind w:firstLine="435"/>
        <w:rPr>
          <w:rFonts w:ascii="宋体" w:hAnsi="宋体" w:cs="宋体"/>
          <w:color w:val="000000" w:themeColor="text1"/>
          <w:szCs w:val="21"/>
          <w14:textFill>
            <w14:solidFill>
              <w14:schemeClr w14:val="tx1"/>
            </w14:solidFill>
          </w14:textFill>
        </w:rPr>
      </w:pPr>
    </w:p>
    <w:p>
      <w:pPr>
        <w:spacing w:line="360" w:lineRule="auto"/>
        <w:jc w:val="center"/>
        <w:outlineLvl w:val="1"/>
        <w:rPr>
          <w:rFonts w:ascii="宋体" w:hAnsi="宋体" w:cs="宋体"/>
          <w:b/>
          <w:color w:val="000000" w:themeColor="text1"/>
          <w:sz w:val="28"/>
          <w:szCs w:val="28"/>
          <w14:textFill>
            <w14:solidFill>
              <w14:schemeClr w14:val="tx1"/>
            </w14:solidFill>
          </w14:textFill>
        </w:rPr>
      </w:pPr>
      <w:bookmarkStart w:id="75" w:name="_Toc7631"/>
      <w:bookmarkStart w:id="76" w:name="_Toc495841756"/>
      <w:bookmarkStart w:id="77" w:name="_Toc3080"/>
      <w:r>
        <w:rPr>
          <w:rFonts w:hint="eastAsia" w:ascii="宋体" w:hAnsi="宋体" w:cs="宋体"/>
          <w:b/>
          <w:color w:val="000000" w:themeColor="text1"/>
          <w:sz w:val="28"/>
          <w:szCs w:val="28"/>
          <w14:textFill>
            <w14:solidFill>
              <w14:schemeClr w14:val="tx1"/>
            </w14:solidFill>
          </w14:textFill>
        </w:rPr>
        <w:t>三、投标文件的编制</w:t>
      </w:r>
      <w:bookmarkEnd w:id="75"/>
      <w:bookmarkEnd w:id="76"/>
      <w:bookmarkEnd w:id="77"/>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78" w:name="_Toc10161"/>
      <w:bookmarkStart w:id="79" w:name="_Toc15443"/>
      <w:r>
        <w:rPr>
          <w:rFonts w:hint="eastAsia" w:ascii="宋体" w:hAnsi="宋体" w:cs="宋体"/>
          <w:b/>
          <w:color w:val="000000" w:themeColor="text1"/>
          <w:szCs w:val="21"/>
          <w14:textFill>
            <w14:solidFill>
              <w14:schemeClr w14:val="tx1"/>
            </w14:solidFill>
          </w14:textFill>
        </w:rPr>
        <w:t>13. 投标文件的组成及要求</w:t>
      </w:r>
      <w:bookmarkEnd w:id="78"/>
      <w:bookmarkEnd w:id="79"/>
    </w:p>
    <w:p>
      <w:pPr>
        <w:tabs>
          <w:tab w:val="left" w:pos="2190"/>
        </w:tabs>
        <w:spacing w:line="40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13.1</w:t>
      </w:r>
      <w:r>
        <w:rPr>
          <w:rFonts w:hint="eastAsia" w:ascii="宋体" w:hAnsi="宋体" w:cs="宋体"/>
          <w:b/>
          <w:color w:val="000000" w:themeColor="text1"/>
          <w:szCs w:val="21"/>
          <w14:textFill>
            <w14:solidFill>
              <w14:schemeClr w14:val="tx1"/>
            </w14:solidFill>
          </w14:textFill>
        </w:rPr>
        <w:t>投标文件组成【格式见第六章“投标文件（格式）”】</w:t>
      </w:r>
    </w:p>
    <w:p>
      <w:pPr>
        <w:tabs>
          <w:tab w:val="left" w:pos="1305"/>
        </w:tabs>
        <w:spacing w:line="400" w:lineRule="exact"/>
        <w:ind w:firstLine="422" w:firstLineChars="200"/>
        <w:rPr>
          <w:rFonts w:ascii="宋体" w:hAnsi="宋体" w:cs="宋体"/>
          <w:b/>
          <w:color w:val="000000" w:themeColor="text1"/>
          <w:szCs w:val="21"/>
          <w:u w:val="single"/>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13.1.1</w:t>
      </w:r>
      <w:r>
        <w:rPr>
          <w:rFonts w:hint="eastAsia" w:ascii="宋体" w:hAnsi="宋体" w:cs="宋体"/>
          <w:b/>
          <w:color w:val="000000" w:themeColor="text1"/>
          <w:szCs w:val="21"/>
          <w:u w:val="single"/>
          <w14:textFill>
            <w14:solidFill>
              <w14:schemeClr w14:val="tx1"/>
            </w14:solidFill>
          </w14:textFill>
        </w:rPr>
        <w:t>投标报价表（格式见附件）</w:t>
      </w:r>
    </w:p>
    <w:p>
      <w:pPr>
        <w:tabs>
          <w:tab w:val="left" w:pos="1305"/>
        </w:tabs>
        <w:spacing w:line="40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13.1.2资格性响应证明材料：</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（1）投标人相应的法定代表人、负责人、自然人身份证正反面复印件</w:t>
      </w:r>
      <w:r>
        <w:rPr>
          <w:rFonts w:hint="eastAsia" w:ascii="宋体" w:hAnsi="宋体" w:cs="宋体"/>
          <w:b/>
          <w:bCs/>
          <w:color w:val="000000" w:themeColor="text1"/>
          <w:szCs w:val="21"/>
          <w14:textFill>
            <w14:solidFill>
              <w14:schemeClr w14:val="tx1"/>
            </w14:solidFill>
          </w14:textFill>
        </w:rPr>
        <w:t>（必须提供）</w:t>
      </w:r>
      <w:r>
        <w:rPr>
          <w:rFonts w:hint="eastAsia" w:ascii="宋体" w:hAnsi="宋体" w:cs="宋体"/>
          <w:color w:val="000000" w:themeColor="text1"/>
          <w:szCs w:val="21"/>
          <w14:textFill>
            <w14:solidFill>
              <w14:schemeClr w14:val="tx1"/>
            </w14:solidFill>
          </w14:textFill>
        </w:rPr>
        <w:t>；</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人的授权委托书原件、委托代理人身份证正反面复印件以及由县级以上（含县级）社会养老保险经办机构出具的投标人为委托代理人交纳的开标截止时间前半年内任意连续三个月社保证明复印件（如投标人为截标时间前60日以内成立的公司，可以提供投标人与委托代理人签订的劳动合同复印件代替社保证明复印件；如投标人为事业单位，可以提供事业单位机构编制管理证复印件或事业单位机构为其发放工资的工资条复印件代替社保证明复印件；如委托代理人为免缴纳社保人员，提供免缴纳社保的证明材料复印件及投标人与委托代理人签订的劳动合同复印件代替社保证明复印件）【自然人投标的应提供由县级以上（含县级）社会养老保险经办机构出具的自然人本人及委托代理人所交纳的开标截止时间前半年内任意连续三个月社保证明复印件】</w:t>
      </w:r>
      <w:r>
        <w:rPr>
          <w:rFonts w:hint="eastAsia" w:ascii="宋体" w:hAnsi="宋体" w:cs="宋体"/>
          <w:b/>
          <w:color w:val="000000" w:themeColor="text1"/>
          <w:szCs w:val="21"/>
          <w14:textFill>
            <w14:solidFill>
              <w14:schemeClr w14:val="tx1"/>
            </w14:solidFill>
          </w14:textFill>
        </w:rPr>
        <w:t>（委托代理时必须提供）；</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（3）投标人的法人或者其他组织营业执照等证明文件复印件</w:t>
      </w:r>
      <w:r>
        <w:rPr>
          <w:rFonts w:hint="eastAsia" w:ascii="宋体" w:hAnsi="宋体" w:cs="宋体"/>
          <w:b/>
          <w:color w:val="000000" w:themeColor="text1"/>
          <w:szCs w:val="21"/>
          <w14:textFill>
            <w14:solidFill>
              <w14:schemeClr w14:val="tx1"/>
            </w14:solidFill>
          </w14:textFill>
        </w:rPr>
        <w:t>（必须提供，自然人除外）</w:t>
      </w:r>
      <w:r>
        <w:rPr>
          <w:rFonts w:hint="eastAsia" w:ascii="宋体" w:hAnsi="宋体" w:cs="宋体"/>
          <w:color w:val="000000" w:themeColor="text1"/>
          <w:szCs w:val="21"/>
          <w14:textFill>
            <w14:solidFill>
              <w14:schemeClr w14:val="tx1"/>
            </w14:solidFill>
          </w14:textFill>
        </w:rPr>
        <w:t>；</w:t>
      </w:r>
    </w:p>
    <w:p>
      <w:pPr>
        <w:tabs>
          <w:tab w:val="left" w:pos="1305"/>
        </w:tabs>
        <w:spacing w:line="400" w:lineRule="exact"/>
        <w:ind w:firstLine="422" w:firstLineChars="200"/>
        <w:rPr>
          <w:rFonts w:ascii="宋体" w:hAnsi="宋体" w:cs="宋体"/>
          <w:color w:val="000000" w:themeColor="text1"/>
          <w:szCs w:val="21"/>
          <w:u w:val="single"/>
          <w14:textFill>
            <w14:solidFill>
              <w14:schemeClr w14:val="tx1"/>
            </w14:solidFill>
          </w14:textFill>
        </w:rPr>
      </w:pPr>
      <w:r>
        <w:rPr>
          <w:rFonts w:hint="eastAsia" w:ascii="宋体" w:hAnsi="宋体" w:cs="宋体"/>
          <w:b/>
          <w:color w:val="000000" w:themeColor="text1"/>
          <w:szCs w:val="21"/>
          <w:u w:val="single"/>
          <w14:textFill>
            <w14:solidFill>
              <w14:schemeClr w14:val="tx1"/>
            </w14:solidFill>
          </w14:textFill>
        </w:rPr>
        <w:t>注：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所需材料均为复印件）</w:t>
      </w:r>
    </w:p>
    <w:p>
      <w:pPr>
        <w:numPr>
          <w:ilvl w:val="0"/>
          <w:numId w:val="3"/>
        </w:num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供应商近三年中任一年度经第三方审计的财务状况报告复印件（或银行出具的资信证明或财政部门认可的政府采购专业担保机构出具的投标担保函）</w:t>
      </w:r>
      <w:r>
        <w:rPr>
          <w:rFonts w:hint="eastAsia" w:ascii="宋体" w:hAnsi="宋体" w:cs="宋体"/>
          <w:b/>
          <w:bCs/>
          <w:color w:val="000000" w:themeColor="text1"/>
          <w:szCs w:val="21"/>
          <w14:textFill>
            <w14:solidFill>
              <w14:schemeClr w14:val="tx1"/>
            </w14:solidFill>
          </w14:textFill>
        </w:rPr>
        <w:t>（必须提供）</w:t>
      </w:r>
      <w:r>
        <w:rPr>
          <w:rFonts w:hint="eastAsia" w:ascii="宋体" w:hAnsi="宋体" w:cs="宋体"/>
          <w:color w:val="000000" w:themeColor="text1"/>
          <w:szCs w:val="21"/>
          <w14:textFill>
            <w14:solidFill>
              <w14:schemeClr w14:val="tx1"/>
            </w14:solidFill>
          </w14:textFill>
        </w:rPr>
        <w:t>；</w:t>
      </w:r>
    </w:p>
    <w:p>
      <w:pPr>
        <w:numPr>
          <w:ilvl w:val="0"/>
          <w:numId w:val="3"/>
        </w:num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投标人参加政府采购活动前3年内在经营活动中没有重大违法记录及有关信用信息的书面声明</w:t>
      </w:r>
      <w:r>
        <w:rPr>
          <w:rFonts w:hint="eastAsia" w:ascii="宋体" w:hAnsi="宋体" w:cs="宋体"/>
          <w:b/>
          <w:color w:val="000000" w:themeColor="text1"/>
          <w:szCs w:val="21"/>
          <w14:textFill>
            <w14:solidFill>
              <w14:schemeClr w14:val="tx1"/>
            </w14:solidFill>
          </w14:textFill>
        </w:rPr>
        <w:t>（必须提供）</w:t>
      </w:r>
      <w:r>
        <w:rPr>
          <w:rFonts w:hint="eastAsia" w:ascii="宋体" w:hAnsi="宋体" w:cs="宋体"/>
          <w:color w:val="000000" w:themeColor="text1"/>
          <w:szCs w:val="21"/>
          <w14:textFill>
            <w14:solidFill>
              <w14:schemeClr w14:val="tx1"/>
            </w14:solidFill>
          </w14:textFill>
        </w:rPr>
        <w:t>；</w:t>
      </w:r>
    </w:p>
    <w:p>
      <w:pPr>
        <w:numPr>
          <w:ilvl w:val="0"/>
          <w:numId w:val="3"/>
        </w:num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val="en-US" w:eastAsia="zh-CN"/>
          <w14:textFill>
            <w14:solidFill>
              <w14:schemeClr w14:val="tx1"/>
            </w14:solidFill>
          </w14:textFill>
        </w:rPr>
        <w:t>截标当天</w:t>
      </w:r>
      <w:r>
        <w:rPr>
          <w:rFonts w:hint="eastAsia" w:ascii="宋体" w:hAnsi="宋体" w:cs="宋体"/>
          <w:color w:val="000000" w:themeColor="text1"/>
          <w:szCs w:val="21"/>
          <w14:textFill>
            <w14:solidFill>
              <w14:schemeClr w14:val="tx1"/>
            </w14:solidFill>
          </w14:textFill>
        </w:rPr>
        <w:t>近半年内任意一个月或任一季度依法缴纳税收的证明材料（增值税发票(税收完税证明)或企业所得税完税证明或税务部门出具的免税证明）复印件</w:t>
      </w:r>
      <w:r>
        <w:rPr>
          <w:rFonts w:hint="eastAsia" w:ascii="宋体" w:hAnsi="宋体" w:cs="宋体"/>
          <w:b/>
          <w:bCs/>
          <w:color w:val="000000" w:themeColor="text1"/>
          <w:szCs w:val="21"/>
          <w14:textFill>
            <w14:solidFill>
              <w14:schemeClr w14:val="tx1"/>
            </w14:solidFill>
          </w14:textFill>
        </w:rPr>
        <w:t>（必须提供）；</w:t>
      </w:r>
    </w:p>
    <w:p>
      <w:pPr>
        <w:tabs>
          <w:tab w:val="left" w:pos="1305"/>
        </w:tabs>
        <w:spacing w:line="400" w:lineRule="exact"/>
        <w:ind w:firstLine="422" w:firstLineChars="200"/>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13.1.3商务、技术性响应及其他证明材料：</w:t>
      </w:r>
    </w:p>
    <w:p>
      <w:pPr>
        <w:numPr>
          <w:ilvl w:val="0"/>
          <w:numId w:val="4"/>
        </w:num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技术规格偏离表</w:t>
      </w:r>
      <w:r>
        <w:rPr>
          <w:rFonts w:hint="eastAsia" w:ascii="宋体" w:hAnsi="宋体" w:cs="宋体"/>
          <w:b/>
          <w:color w:val="000000" w:themeColor="text1"/>
          <w:szCs w:val="21"/>
          <w14:textFill>
            <w14:solidFill>
              <w14:schemeClr w14:val="tx1"/>
            </w14:solidFill>
          </w14:textFill>
        </w:rPr>
        <w:t>（必须提供）</w:t>
      </w:r>
      <w:r>
        <w:rPr>
          <w:rFonts w:hint="eastAsia" w:ascii="宋体" w:hAnsi="宋体" w:cs="宋体"/>
          <w:color w:val="000000" w:themeColor="text1"/>
          <w:szCs w:val="21"/>
          <w14:textFill>
            <w14:solidFill>
              <w14:schemeClr w14:val="tx1"/>
            </w14:solidFill>
          </w14:textFill>
        </w:rPr>
        <w:t>；</w:t>
      </w:r>
    </w:p>
    <w:p>
      <w:pPr>
        <w:numPr>
          <w:ilvl w:val="0"/>
          <w:numId w:val="4"/>
        </w:num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商务响应表</w:t>
      </w:r>
      <w:r>
        <w:rPr>
          <w:rFonts w:hint="eastAsia" w:ascii="宋体" w:hAnsi="宋体" w:cs="宋体"/>
          <w:b/>
          <w:color w:val="000000" w:themeColor="text1"/>
          <w:szCs w:val="21"/>
          <w14:textFill>
            <w14:solidFill>
              <w14:schemeClr w14:val="tx1"/>
            </w14:solidFill>
          </w14:textFill>
        </w:rPr>
        <w:t>（必须提供）；</w:t>
      </w:r>
    </w:p>
    <w:p>
      <w:pPr>
        <w:numPr>
          <w:ilvl w:val="0"/>
          <w:numId w:val="4"/>
        </w:num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“货物采购需求”需提供的有效证明文件</w:t>
      </w:r>
      <w:r>
        <w:rPr>
          <w:rFonts w:hint="eastAsia" w:ascii="宋体" w:hAnsi="宋体" w:cs="宋体"/>
          <w:b/>
          <w:color w:val="000000" w:themeColor="text1"/>
          <w:szCs w:val="21"/>
          <w14:textFill>
            <w14:solidFill>
              <w14:schemeClr w14:val="tx1"/>
            </w14:solidFill>
          </w14:textFill>
        </w:rPr>
        <w:t>（按其要求提供）</w:t>
      </w:r>
      <w:r>
        <w:rPr>
          <w:rFonts w:hint="eastAsia" w:ascii="宋体" w:hAnsi="宋体" w:cs="宋体"/>
          <w:color w:val="000000" w:themeColor="text1"/>
          <w:szCs w:val="21"/>
          <w14:textFill>
            <w14:solidFill>
              <w14:schemeClr w14:val="tx1"/>
            </w14:solidFill>
          </w14:textFill>
        </w:rPr>
        <w:t>；</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（4）投标人的售后服务承诺书（含免费保修期、交付使用期、技术服务、技术培训、售后服务的内容和措施等）</w:t>
      </w:r>
      <w:r>
        <w:rPr>
          <w:rFonts w:hint="eastAsia" w:ascii="宋体" w:hAnsi="宋体" w:cs="宋体"/>
          <w:b/>
          <w:color w:val="000000" w:themeColor="text1"/>
          <w:szCs w:val="21"/>
          <w14:textFill>
            <w14:solidFill>
              <w14:schemeClr w14:val="tx1"/>
            </w14:solidFill>
          </w14:textFill>
        </w:rPr>
        <w:t>（必须提供）</w:t>
      </w:r>
      <w:r>
        <w:rPr>
          <w:rFonts w:hint="eastAsia" w:ascii="宋体" w:hAnsi="宋体" w:cs="宋体"/>
          <w:color w:val="000000" w:themeColor="text1"/>
          <w:szCs w:val="21"/>
          <w14:textFill>
            <w14:solidFill>
              <w14:schemeClr w14:val="tx1"/>
            </w14:solidFill>
          </w14:textFill>
        </w:rPr>
        <w:t>；</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（5）项目实施人员一览表</w:t>
      </w:r>
      <w:r>
        <w:rPr>
          <w:rFonts w:hint="eastAsia" w:ascii="宋体" w:hAnsi="宋体" w:cs="宋体"/>
          <w:b/>
          <w:bCs/>
          <w:color w:val="000000" w:themeColor="text1"/>
          <w:szCs w:val="21"/>
          <w14:textFill>
            <w14:solidFill>
              <w14:schemeClr w14:val="tx1"/>
            </w14:solidFill>
          </w14:textFill>
        </w:rPr>
        <w:t>【如有，请提供，并一起提供由县级以上（含县级）社会养老保险经办机构出具的投标人为项目实施人员交纳的开标截止时间前半年内任意连续三个月社保证明复印件（如投标人为截标时间前60日以内成立的公司，可以提供投标人与项目实施人员签订的劳动合同复印件代替社保证明复印件；项目实施人员为免缴纳社保人员，提供免缴纳社保的证明材料复印件及投标人与项目实施人员签订的劳动合同复印件代替社保证明复印件）】；</w:t>
      </w:r>
    </w:p>
    <w:p>
      <w:pPr>
        <w:snapToGrid w:val="0"/>
        <w:spacing w:line="40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（6）</w:t>
      </w:r>
      <w:r>
        <w:rPr>
          <w:rFonts w:hint="eastAsia" w:ascii="宋体" w:hAnsi="宋体" w:cs="宋体"/>
          <w:color w:val="000000" w:themeColor="text1"/>
          <w:szCs w:val="21"/>
          <w14:textFill>
            <w14:solidFill>
              <w14:schemeClr w14:val="tx1"/>
            </w14:solidFill>
          </w14:textFill>
        </w:rPr>
        <w:t>节能方面的证书复印件</w:t>
      </w:r>
      <w:r>
        <w:rPr>
          <w:rFonts w:hint="eastAsia" w:ascii="宋体" w:hAnsi="宋体" w:cs="宋体"/>
          <w:b/>
          <w:color w:val="000000" w:themeColor="text1"/>
          <w:szCs w:val="21"/>
          <w14:textFill>
            <w14:solidFill>
              <w14:schemeClr w14:val="tx1"/>
            </w14:solidFill>
          </w14:textFill>
        </w:rPr>
        <w:t>（如有，请提供）；</w:t>
      </w:r>
    </w:p>
    <w:p>
      <w:pPr>
        <w:snapToGrid w:val="0"/>
        <w:spacing w:line="40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（7）</w:t>
      </w:r>
      <w:r>
        <w:rPr>
          <w:rFonts w:hint="eastAsia" w:ascii="宋体" w:hAnsi="宋体" w:cs="宋体"/>
          <w:color w:val="000000" w:themeColor="text1"/>
          <w:szCs w:val="21"/>
          <w14:textFill>
            <w14:solidFill>
              <w14:schemeClr w14:val="tx1"/>
            </w14:solidFill>
          </w14:textFill>
        </w:rPr>
        <w:t>环境标志方面的证书复印件</w:t>
      </w:r>
      <w:r>
        <w:rPr>
          <w:rFonts w:hint="eastAsia" w:ascii="宋体" w:hAnsi="宋体" w:cs="宋体"/>
          <w:b/>
          <w:color w:val="000000" w:themeColor="text1"/>
          <w:szCs w:val="21"/>
          <w14:textFill>
            <w14:solidFill>
              <w14:schemeClr w14:val="tx1"/>
            </w14:solidFill>
          </w14:textFill>
        </w:rPr>
        <w:t>（如有，请提供）；</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r>
        <w:rPr>
          <w:rFonts w:hint="eastAsia" w:ascii="宋体" w:hAnsi="宋体" w:cs="宋体"/>
          <w:color w:val="000000" w:themeColor="text1"/>
          <w14:textFill>
            <w14:solidFill>
              <w14:schemeClr w14:val="tx1"/>
            </w14:solidFill>
          </w14:textFill>
        </w:rPr>
        <w:t>投标人</w:t>
      </w:r>
      <w:r>
        <w:rPr>
          <w:rFonts w:hint="eastAsia" w:ascii="宋体" w:hAnsi="宋体" w:cs="宋体"/>
          <w:color w:val="000000" w:themeColor="text1"/>
          <w14:textFill>
            <w14:solidFill>
              <w14:schemeClr w14:val="tx1"/>
            </w14:solidFill>
          </w14:textFill>
        </w:rPr>
        <w:t>201</w:t>
      </w:r>
      <w:r>
        <w:rPr>
          <w:rFonts w:hint="eastAsia" w:ascii="宋体" w:hAnsi="宋体" w:cs="宋体"/>
          <w:color w:val="000000" w:themeColor="text1"/>
          <w:lang w:val="en-US" w:eastAsia="zh-CN"/>
          <w14:textFill>
            <w14:solidFill>
              <w14:schemeClr w14:val="tx1"/>
            </w14:solidFill>
          </w14:textFill>
        </w:rPr>
        <w:t>9</w:t>
      </w:r>
      <w:r>
        <w:rPr>
          <w:rFonts w:hint="eastAsia" w:ascii="宋体" w:hAnsi="宋体" w:cs="宋体"/>
          <w:color w:val="000000" w:themeColor="text1"/>
          <w14:textFill>
            <w14:solidFill>
              <w14:schemeClr w14:val="tx1"/>
            </w14:solidFill>
          </w14:textFill>
        </w:rPr>
        <w:t>年以来</w:t>
      </w:r>
      <w:r>
        <w:rPr>
          <w:rFonts w:hint="eastAsia" w:ascii="宋体" w:hAnsi="宋体" w:cs="宋体"/>
          <w:bCs/>
          <w:color w:val="000000" w:themeColor="text1"/>
          <w14:textFill>
            <w14:solidFill>
              <w14:schemeClr w14:val="tx1"/>
            </w14:solidFill>
          </w14:textFill>
        </w:rPr>
        <w:t>同类产品</w:t>
      </w:r>
      <w:r>
        <w:rPr>
          <w:rFonts w:hint="eastAsia" w:ascii="宋体" w:hAnsi="宋体" w:cs="宋体"/>
          <w:bCs/>
          <w:color w:val="000000" w:themeColor="text1"/>
          <w:lang w:eastAsia="zh-CN"/>
          <w14:textFill>
            <w14:solidFill>
              <w14:schemeClr w14:val="tx1"/>
            </w14:solidFill>
          </w14:textFill>
        </w:rPr>
        <w:t>（</w:t>
      </w:r>
      <w:r>
        <w:rPr>
          <w:rFonts w:hint="eastAsia" w:ascii="宋体" w:hAnsi="宋体" w:cs="宋体"/>
          <w:bCs/>
          <w:color w:val="000000" w:themeColor="text1"/>
          <w:lang w:val="en-US" w:eastAsia="zh-CN"/>
          <w14:textFill>
            <w14:solidFill>
              <w14:schemeClr w14:val="tx1"/>
            </w14:solidFill>
          </w14:textFill>
        </w:rPr>
        <w:t>木质、金属家具</w:t>
      </w:r>
      <w:r>
        <w:rPr>
          <w:rFonts w:hint="eastAsia" w:ascii="宋体" w:hAnsi="宋体" w:cs="宋体"/>
          <w:bCs/>
          <w:color w:val="000000" w:themeColor="text1"/>
          <w:lang w:eastAsia="zh-CN"/>
          <w14:textFill>
            <w14:solidFill>
              <w14:schemeClr w14:val="tx1"/>
            </w14:solidFill>
          </w14:textFill>
        </w:rPr>
        <w:t>）</w:t>
      </w:r>
      <w:r>
        <w:rPr>
          <w:rFonts w:hint="eastAsia" w:ascii="宋体" w:hAnsi="宋体" w:cs="宋体"/>
          <w:color w:val="000000" w:themeColor="text1"/>
          <w14:textFill>
            <w14:solidFill>
              <w14:schemeClr w14:val="tx1"/>
            </w14:solidFill>
          </w14:textFill>
        </w:rPr>
        <w:t>销售业绩的相关证明材料</w:t>
      </w:r>
      <w:r>
        <w:rPr>
          <w:rFonts w:hint="eastAsia" w:ascii="宋体" w:hAnsi="宋体" w:cs="宋体"/>
          <w:color w:val="000000" w:themeColor="text1"/>
          <w:szCs w:val="21"/>
          <w14:textFill>
            <w14:solidFill>
              <w14:schemeClr w14:val="tx1"/>
            </w14:solidFill>
          </w14:textFill>
        </w:rPr>
        <w:t>（无不良记录，以中标、成交通知书或签订的销售合同为准，并能清晰反映所销售的货物名称、金额</w:t>
      </w:r>
      <w:r>
        <w:rPr>
          <w:rFonts w:hint="eastAsia" w:ascii="宋体" w:hAnsi="宋体" w:cs="宋体"/>
          <w:color w:val="000000" w:themeColor="text1"/>
          <w14:textFill>
            <w14:solidFill>
              <w14:schemeClr w14:val="tx1"/>
            </w14:solidFill>
          </w14:textFill>
        </w:rPr>
        <w:t>）</w:t>
      </w:r>
      <w:r>
        <w:rPr>
          <w:rFonts w:hint="eastAsia" w:ascii="宋体" w:hAnsi="宋体" w:cs="宋体"/>
          <w:b/>
          <w:color w:val="000000" w:themeColor="text1"/>
          <w14:textFill>
            <w14:solidFill>
              <w14:schemeClr w14:val="tx1"/>
            </w14:solidFill>
          </w14:textFill>
        </w:rPr>
        <w:t>（如有，请提供）；</w:t>
      </w:r>
    </w:p>
    <w:p>
      <w:pPr>
        <w:tabs>
          <w:tab w:val="left" w:pos="1305"/>
        </w:tabs>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（9）投标人为生产厂家的，投标人的生产制造设备清单及专业技术能力说明</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14:textFill>
            <w14:solidFill>
              <w14:schemeClr w14:val="tx1"/>
            </w14:solidFill>
          </w14:textFill>
        </w:rPr>
        <w:t>；</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w:t>
      </w:r>
      <w:r>
        <w:rPr>
          <w:rFonts w:hint="eastAsia" w:ascii="宋体" w:hAnsi="宋体" w:cs="宋体"/>
          <w:color w:val="000000" w:themeColor="text1"/>
          <w:szCs w:val="20"/>
          <w14:textFill>
            <w14:solidFill>
              <w14:schemeClr w14:val="tx1"/>
            </w14:solidFill>
          </w14:textFill>
        </w:rPr>
        <w:t>投标人相关获奖证书、认证证书等复印件</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szCs w:val="20"/>
          <w14:textFill>
            <w14:solidFill>
              <w14:schemeClr w14:val="tx1"/>
            </w14:solidFill>
          </w14:textFill>
        </w:rPr>
        <w:t>；</w:t>
      </w:r>
    </w:p>
    <w:p>
      <w:pPr>
        <w:tabs>
          <w:tab w:val="left" w:pos="1305"/>
        </w:tabs>
        <w:spacing w:line="400" w:lineRule="exact"/>
        <w:ind w:firstLine="420" w:firstLineChars="200"/>
        <w:rPr>
          <w:rFonts w:ascii="宋体" w:hAnsi="宋体" w:cs="宋体"/>
          <w:b/>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r>
        <w:rPr>
          <w:rFonts w:hint="eastAsia" w:ascii="宋体" w:hAnsi="宋体" w:cs="宋体"/>
          <w:color w:val="000000" w:themeColor="text1"/>
          <w14:textFill>
            <w14:solidFill>
              <w14:schemeClr w14:val="tx1"/>
            </w14:solidFill>
          </w14:textFill>
        </w:rPr>
        <w:t>投标人所投产品为广西工业产品的，如实提供《广西工业产品声明函》</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14:textFill>
            <w14:solidFill>
              <w14:schemeClr w14:val="tx1"/>
            </w14:solidFill>
          </w14:textFill>
        </w:rPr>
        <w:t>；</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12）如所提供服务企业属于小型、微型企业【中小微型企业划分标准按照《国家统计局关于印发《统计上大中小微型企业划分办法（2017）》的通知》（国统字[2017]213号）执行，具体划分标准见第四章评标办法中附表《统计上大中小微型企业划分标准》】，以提供的《中小企业声明函》（见附件）为准</w:t>
      </w:r>
      <w:r>
        <w:rPr>
          <w:rFonts w:hint="eastAsia" w:ascii="宋体" w:hAnsi="宋体" w:cs="宋体"/>
          <w:b/>
          <w:bCs/>
          <w:color w:val="000000" w:themeColor="text1"/>
          <w14:textFill>
            <w14:solidFill>
              <w14:schemeClr w14:val="tx1"/>
            </w14:solidFill>
          </w14:textFill>
        </w:rPr>
        <w:t>（如有，请提供）</w:t>
      </w:r>
      <w:r>
        <w:rPr>
          <w:rFonts w:hint="eastAsia" w:ascii="宋体" w:hAnsi="宋体" w:cs="宋体"/>
          <w:color w:val="000000" w:themeColor="text1"/>
          <w14:textFill>
            <w14:solidFill>
              <w14:schemeClr w14:val="tx1"/>
            </w14:solidFill>
          </w14:textFill>
        </w:rPr>
        <w:t>；</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（13）如产品属于监狱企业的，以提供由省级以上监狱管理局、戒毒管理局（含新疆生产建设兵团）出具的属于监狱企业的证明文件为准</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kern w:val="0"/>
          <w:sz w:val="24"/>
          <w14:textFill>
            <w14:solidFill>
              <w14:schemeClr w14:val="tx1"/>
            </w14:solidFill>
          </w14:textFill>
        </w:rPr>
        <w:t>）；</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（14）符合条件的残疾人福利性单位在参加政府采购活动时，应当提供《残疾人福利性单位声明函》（见附件），并对声明的真实性负责。</w:t>
      </w:r>
      <w:r>
        <w:rPr>
          <w:rFonts w:hint="eastAsia" w:ascii="宋体" w:hAnsi="宋体" w:cs="宋体"/>
          <w:b/>
          <w:bCs/>
          <w:color w:val="000000" w:themeColor="text1"/>
          <w14:textFill>
            <w14:solidFill>
              <w14:schemeClr w14:val="tx1"/>
            </w14:solidFill>
          </w14:textFill>
        </w:rPr>
        <w:t>（如有，请提供）</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（15）</w:t>
      </w:r>
      <w:r>
        <w:rPr>
          <w:rFonts w:hint="eastAsia" w:ascii="宋体" w:hAnsi="宋体" w:cs="宋体"/>
          <w:color w:val="000000" w:themeColor="text1"/>
          <w:szCs w:val="21"/>
          <w14:textFill>
            <w14:solidFill>
              <w14:schemeClr w14:val="tx1"/>
            </w14:solidFill>
          </w14:textFill>
        </w:rPr>
        <w:t>投标人可结合本项目的评标办法视自身情况自行提交相关证明材料</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szCs w:val="21"/>
          <w14:textFill>
            <w14:solidFill>
              <w14:schemeClr w14:val="tx1"/>
            </w14:solidFill>
          </w14:textFill>
        </w:rPr>
        <w:t>。</w:t>
      </w:r>
    </w:p>
    <w:p>
      <w:pPr>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（16）项目配送、安装方案</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szCs w:val="21"/>
          <w14:textFill>
            <w14:solidFill>
              <w14:schemeClr w14:val="tx1"/>
            </w14:solidFill>
          </w14:textFill>
        </w:rPr>
        <w:t>。</w:t>
      </w:r>
    </w:p>
    <w:p>
      <w:pPr>
        <w:spacing w:line="40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投标人提供的以上相关证明材料应真实有效，属于“必须提供”的文件应加盖投标人公章（扫描公章无效，</w:t>
      </w:r>
      <w:r>
        <w:rPr>
          <w:rFonts w:hint="eastAsia" w:ascii="宋体" w:hAnsi="宋体" w:cs="宋体"/>
          <w:b/>
          <w:color w:val="000000" w:themeColor="text1"/>
          <w:szCs w:val="21"/>
          <w14:textFill>
            <w14:solidFill>
              <w14:schemeClr w14:val="tx1"/>
            </w14:solidFill>
          </w14:textFill>
        </w:rPr>
        <w:t>自然人除外</w:t>
      </w:r>
      <w:r>
        <w:rPr>
          <w:rFonts w:hint="eastAsia" w:ascii="宋体" w:hAnsi="宋体" w:cs="宋体"/>
          <w:b/>
          <w:color w:val="000000" w:themeColor="text1"/>
          <w:szCs w:val="21"/>
          <w14:textFill>
            <w14:solidFill>
              <w14:schemeClr w14:val="tx1"/>
            </w14:solidFill>
          </w14:textFill>
        </w:rPr>
        <w:t>），否则投标无效。</w:t>
      </w:r>
    </w:p>
    <w:p>
      <w:pPr>
        <w:spacing w:line="400" w:lineRule="exact"/>
        <w:ind w:firstLine="42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13.2</w:t>
      </w:r>
      <w:r>
        <w:rPr>
          <w:rFonts w:hint="eastAsia" w:ascii="宋体" w:hAnsi="宋体" w:cs="宋体"/>
          <w:color w:val="000000" w:themeColor="text1"/>
          <w14:textFill>
            <w14:solidFill>
              <w14:schemeClr w14:val="tx1"/>
            </w14:solidFill>
          </w14:textFill>
        </w:rPr>
        <w:t>投标人应按招标文件第六章“投标文件（格式）”编制投标文件。</w:t>
      </w:r>
    </w:p>
    <w:p>
      <w:pPr>
        <w:spacing w:line="400" w:lineRule="exact"/>
        <w:ind w:firstLine="42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13.3投标文件应当对招标文件提出的要求和条件作出明确响应。</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80" w:name="_Toc31703"/>
      <w:bookmarkStart w:id="81" w:name="_Toc11037"/>
      <w:r>
        <w:rPr>
          <w:rFonts w:hint="eastAsia" w:ascii="宋体" w:hAnsi="宋体" w:cs="宋体"/>
          <w:b/>
          <w:color w:val="000000" w:themeColor="text1"/>
          <w:szCs w:val="21"/>
          <w14:textFill>
            <w14:solidFill>
              <w14:schemeClr w14:val="tx1"/>
            </w14:solidFill>
          </w14:textFill>
        </w:rPr>
        <w:t>14. 投标文件的语言及计量</w:t>
      </w:r>
      <w:bookmarkEnd w:id="80"/>
      <w:bookmarkEnd w:id="81"/>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14.1投标文件以及投标人与采购人或者采购代理机构就有关投标事宜的所有来往函电，均应以中文汉语书写。投标人提交的支持文件和印刷的文献可以使用别的语言，但其相应内容必须附有中文翻译文本，在解释投标文件时以中文翻译文本为主。</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14.2投标计量单位，招标文件已有明确规定的，使用招标文件规定的计量单位；招标文件没有规定的，应采用中华人民共和国法定计量单位（货币单位：元人民币），否则视同未响应。</w:t>
      </w:r>
    </w:p>
    <w:p>
      <w:pPr>
        <w:numPr>
          <w:ilvl w:val="0"/>
          <w:numId w:val="5"/>
        </w:num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82" w:name="_Toc5938"/>
      <w:bookmarkStart w:id="83" w:name="_Toc8372"/>
      <w:r>
        <w:rPr>
          <w:rFonts w:hint="eastAsia" w:ascii="宋体" w:hAnsi="宋体" w:cs="宋体"/>
          <w:b/>
          <w:color w:val="000000" w:themeColor="text1"/>
          <w:szCs w:val="21"/>
          <w14:textFill>
            <w14:solidFill>
              <w14:schemeClr w14:val="tx1"/>
            </w14:solidFill>
          </w14:textFill>
        </w:rPr>
        <w:t>投标报价</w:t>
      </w:r>
      <w:bookmarkEnd w:id="82"/>
      <w:bookmarkEnd w:id="83"/>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15.1投标报价应按招标文件中第六章“投标文件（格式）”填写，投标报价超过采购预算金额的，投标文件按无效处理。</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15.2投标人必须就“货物采购需求”中所投分标内容作完整唯一报价，否则，其投标将被拒绝；投标文件只允许有一个报价，有选择的或有条件的报价将不予接受。</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15.3投标报价应包括本次招标采购范围内货物价款、货物随配标准附件、包装、运输、装卸、保险、税金、货到位以及安装、安装所需辅材、调试、检验、售后服务、培训、保修及其他所有成本费用的总和，</w:t>
      </w:r>
      <w:r>
        <w:rPr>
          <w:rFonts w:hint="eastAsia" w:ascii="宋体" w:hAnsi="宋体" w:cs="宋体"/>
          <w:color w:val="000000" w:themeColor="text1"/>
          <w14:textFill>
            <w14:solidFill>
              <w14:schemeClr w14:val="tx1"/>
            </w14:solidFill>
          </w14:textFill>
        </w:rPr>
        <w:t>投标人应综合考虑在报价中。</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84" w:name="_Toc22333"/>
      <w:bookmarkStart w:id="85" w:name="_Toc5678"/>
      <w:r>
        <w:rPr>
          <w:rFonts w:hint="eastAsia" w:ascii="宋体" w:hAnsi="宋体" w:cs="宋体"/>
          <w:b/>
          <w:color w:val="000000" w:themeColor="text1"/>
          <w:szCs w:val="21"/>
          <w14:textFill>
            <w14:solidFill>
              <w14:schemeClr w14:val="tx1"/>
            </w14:solidFill>
          </w14:textFill>
        </w:rPr>
        <w:t>16. 投标有效期</w:t>
      </w:r>
      <w:bookmarkEnd w:id="84"/>
      <w:bookmarkEnd w:id="85"/>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16.1投标有效期：</w:t>
      </w:r>
      <w:r>
        <w:rPr>
          <w:rFonts w:hint="eastAsia" w:ascii="宋体" w:hAnsi="宋体" w:cs="宋体"/>
          <w:color w:val="000000" w:themeColor="text1"/>
          <w14:textFill>
            <w14:solidFill>
              <w14:schemeClr w14:val="tx1"/>
            </w14:solidFill>
          </w14:textFill>
        </w:rPr>
        <w:t>投标截止时间之日起90天</w:t>
      </w:r>
      <w:r>
        <w:rPr>
          <w:rFonts w:hint="eastAsia" w:ascii="宋体" w:hAnsi="宋体" w:cs="宋体"/>
          <w:color w:val="000000" w:themeColor="text1"/>
          <w:sz w:val="22"/>
          <w:szCs w:val="22"/>
          <w14:textFill>
            <w14:solidFill>
              <w14:schemeClr w14:val="tx1"/>
            </w14:solidFill>
          </w14:textFill>
        </w:rPr>
        <w:t>。</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16.2出现特殊情况下，需要延长投标有效期的，采购代理机构以书面形式通知投标人延长投标有效期。投标人同意延长的，原投标文件继续有效。投标人拒绝延长的，其投标无效。</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86" w:name="_Toc5668"/>
      <w:bookmarkStart w:id="87" w:name="_Toc7360"/>
      <w:r>
        <w:rPr>
          <w:rFonts w:hint="eastAsia" w:ascii="宋体" w:hAnsi="宋体" w:cs="宋体"/>
          <w:b/>
          <w:color w:val="000000" w:themeColor="text1"/>
          <w:szCs w:val="21"/>
          <w14:textFill>
            <w14:solidFill>
              <w14:schemeClr w14:val="tx1"/>
            </w14:solidFill>
          </w14:textFill>
        </w:rPr>
        <w:t>17. 投标保证金</w:t>
      </w:r>
      <w:bookmarkEnd w:id="86"/>
      <w:bookmarkEnd w:id="87"/>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本项目无需缴纳投标保证金。</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88" w:name="_Toc30873"/>
      <w:bookmarkStart w:id="89" w:name="_Toc23145"/>
      <w:r>
        <w:rPr>
          <w:rFonts w:hint="eastAsia" w:ascii="宋体" w:hAnsi="宋体" w:cs="宋体"/>
          <w:b/>
          <w:color w:val="000000" w:themeColor="text1"/>
          <w:szCs w:val="21"/>
          <w14:textFill>
            <w14:solidFill>
              <w14:schemeClr w14:val="tx1"/>
            </w14:solidFill>
          </w14:textFill>
        </w:rPr>
        <w:t>18. 投标文件的份数、装订、签署和包装、密封</w:t>
      </w:r>
      <w:bookmarkEnd w:id="88"/>
      <w:bookmarkEnd w:id="89"/>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18.1</w:t>
      </w:r>
      <w:r>
        <w:rPr>
          <w:rFonts w:hint="eastAsia" w:ascii="宋体" w:hAnsi="宋体" w:cs="宋体"/>
          <w:b/>
          <w:color w:val="000000" w:themeColor="text1"/>
          <w:szCs w:val="21"/>
          <w14:textFill>
            <w14:solidFill>
              <w14:schemeClr w14:val="tx1"/>
            </w14:solidFill>
          </w14:textFill>
        </w:rPr>
        <w:t>投标文件份数：</w:t>
      </w:r>
      <w:r>
        <w:rPr>
          <w:rFonts w:hint="eastAsia" w:ascii="宋体" w:hAnsi="宋体" w:cs="宋体"/>
          <w:color w:val="000000" w:themeColor="text1"/>
          <w:szCs w:val="21"/>
          <w14:textFill>
            <w14:solidFill>
              <w14:schemeClr w14:val="tx1"/>
            </w14:solidFill>
          </w14:textFill>
        </w:rPr>
        <w:t>正本壹册，副本肆册，须完整提交。</w:t>
      </w:r>
    </w:p>
    <w:p>
      <w:pPr>
        <w:tabs>
          <w:tab w:val="left" w:pos="1305"/>
          <w:tab w:val="center" w:pos="5029"/>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18.2</w:t>
      </w:r>
      <w:r>
        <w:rPr>
          <w:rFonts w:hint="eastAsia" w:ascii="宋体" w:hAnsi="宋体" w:cs="宋体"/>
          <w:b/>
          <w:color w:val="000000" w:themeColor="text1"/>
          <w:szCs w:val="21"/>
          <w14:textFill>
            <w14:solidFill>
              <w14:schemeClr w14:val="tx1"/>
            </w14:solidFill>
          </w14:textFill>
        </w:rPr>
        <w:t>投标文件装订：</w:t>
      </w:r>
      <w:r>
        <w:rPr>
          <w:rFonts w:hint="eastAsia" w:ascii="宋体" w:hAnsi="宋体" w:cs="宋体"/>
          <w:color w:val="000000" w:themeColor="text1"/>
          <w:szCs w:val="21"/>
          <w14:textFill>
            <w14:solidFill>
              <w14:schemeClr w14:val="tx1"/>
            </w14:solidFill>
          </w14:textFill>
        </w:rPr>
        <w:t>投标人应按投标人须知第13.1条“投标文件组成”规定的顺序自编目录及页码，投标文件的“正本”、“副本”应当单独装订成册并标注页码，装订应牢固，不易拆散和换页（A4标准纸装订，图纸除外）。封面应注明“正本”、“副本”字样，封面上写明项目名称、项目编号、分标号、采购代理机构、投标单位名称。</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18.3投标文件的正本需打印或用不褪色的墨水填写，投标文件正本除本招标文件中规定的可提供复印件外均须提供原件。</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18.4投标文件须由投标人在规定位置盖投标人公章</w:t>
      </w:r>
      <w:r>
        <w:rPr>
          <w:rFonts w:hint="eastAsia" w:ascii="宋体" w:hAnsi="宋体" w:cs="宋体"/>
          <w:bCs/>
          <w:color w:val="000000" w:themeColor="text1"/>
          <w:szCs w:val="21"/>
          <w14:textFill>
            <w14:solidFill>
              <w14:schemeClr w14:val="tx1"/>
            </w14:solidFill>
          </w14:textFill>
        </w:rPr>
        <w:t>（扫描公章无效）</w:t>
      </w:r>
      <w:r>
        <w:rPr>
          <w:rFonts w:hint="eastAsia" w:ascii="宋体" w:hAnsi="宋体" w:cs="宋体"/>
          <w:color w:val="000000" w:themeColor="text1"/>
          <w:szCs w:val="21"/>
          <w14:textFill>
            <w14:solidFill>
              <w14:schemeClr w14:val="tx1"/>
            </w14:solidFill>
          </w14:textFill>
        </w:rPr>
        <w:t>并由法定代表人、负责人或相应的授权委托代理人签字，投标人应写全称，投标文件副本可以是加盖公章的正本的复印件，当正本与副本不一致时，以正本为准。</w:t>
      </w:r>
    </w:p>
    <w:p>
      <w:pPr>
        <w:snapToGrid w:val="0"/>
        <w:spacing w:line="400" w:lineRule="exact"/>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18.5投标文件不得涂改，若有修改错漏处，须加盖投标人公章及法定代表人、负责人或相应的授权委托代理人签字。投标文件因字迹潦草或表达不清所引起的后果由投标人负责。</w:t>
      </w:r>
    </w:p>
    <w:p>
      <w:pPr>
        <w:tabs>
          <w:tab w:val="left" w:pos="1305"/>
        </w:tabs>
        <w:spacing w:line="400" w:lineRule="exact"/>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18.6</w:t>
      </w:r>
      <w:r>
        <w:rPr>
          <w:rFonts w:hint="eastAsia" w:ascii="宋体" w:hAnsi="宋体" w:cs="宋体"/>
          <w:b/>
          <w:color w:val="000000" w:themeColor="text1"/>
          <w:szCs w:val="21"/>
          <w14:textFill>
            <w14:solidFill>
              <w14:schemeClr w14:val="tx1"/>
            </w14:solidFill>
          </w14:textFill>
        </w:rPr>
        <w:t>投标人公章：</w:t>
      </w:r>
      <w:r>
        <w:rPr>
          <w:rFonts w:hint="eastAsia" w:ascii="宋体" w:hAnsi="宋体" w:cs="宋体"/>
          <w:color w:val="000000" w:themeColor="text1"/>
          <w:szCs w:val="21"/>
          <w14:textFill>
            <w14:solidFill>
              <w14:schemeClr w14:val="tx1"/>
            </w14:solidFill>
          </w14:textFill>
        </w:rPr>
        <w:t>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p>
      <w:pPr>
        <w:tabs>
          <w:tab w:val="left" w:pos="1305"/>
        </w:tabs>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18.7</w:t>
      </w:r>
      <w:r>
        <w:rPr>
          <w:rFonts w:hint="eastAsia" w:ascii="宋体" w:hAnsi="宋体" w:cs="宋体"/>
          <w:b/>
          <w:color w:val="000000" w:themeColor="text1"/>
          <w:szCs w:val="21"/>
          <w14:textFill>
            <w14:solidFill>
              <w14:schemeClr w14:val="tx1"/>
            </w14:solidFill>
          </w14:textFill>
        </w:rPr>
        <w:t>投标文件包装、密封：</w:t>
      </w:r>
      <w:r>
        <w:rPr>
          <w:rFonts w:hint="eastAsia" w:ascii="宋体" w:hAnsi="宋体" w:cs="宋体"/>
          <w:color w:val="000000" w:themeColor="text1"/>
          <w:szCs w:val="21"/>
          <w14:textFill>
            <w14:solidFill>
              <w14:schemeClr w14:val="tx1"/>
            </w14:solidFill>
          </w14:textFill>
        </w:rPr>
        <w:t>将投标文件“正本”、“副本”一并装入并密封在一个投标文件袋（盒、箱）中，并在密封处密封签章</w:t>
      </w:r>
      <w:r>
        <w:rPr>
          <w:rFonts w:hint="eastAsia" w:ascii="宋体" w:hAnsi="宋体" w:cs="宋体"/>
          <w:color w:val="000000" w:themeColor="text1"/>
          <w:sz w:val="18"/>
          <w:szCs w:val="18"/>
          <w14:textFill>
            <w14:solidFill>
              <w14:schemeClr w14:val="tx1"/>
            </w14:solidFill>
          </w14:textFill>
        </w:rPr>
        <w:t>【</w:t>
      </w:r>
      <w:r>
        <w:rPr>
          <w:rFonts w:hint="eastAsia" w:ascii="宋体" w:hAnsi="宋体" w:cs="宋体"/>
          <w:b/>
          <w:color w:val="000000" w:themeColor="text1"/>
          <w:szCs w:val="21"/>
          <w14:textFill>
            <w14:solidFill>
              <w14:schemeClr w14:val="tx1"/>
            </w14:solidFill>
          </w14:textFill>
        </w:rPr>
        <w:t>公章、密封章、法定代表人、负责人或相应的授权委托代理人签字均可</w:t>
      </w:r>
      <w:r>
        <w:rPr>
          <w:rFonts w:hint="eastAsia" w:ascii="宋体" w:hAnsi="宋体" w:cs="宋体"/>
          <w:color w:val="000000" w:themeColor="text1"/>
          <w:sz w:val="18"/>
          <w:szCs w:val="18"/>
          <w14:textFill>
            <w14:solidFill>
              <w14:schemeClr w14:val="tx1"/>
            </w14:solidFill>
          </w14:textFill>
        </w:rPr>
        <w:t>】</w:t>
      </w:r>
      <w:r>
        <w:rPr>
          <w:rFonts w:hint="eastAsia" w:ascii="宋体" w:hAnsi="宋体" w:cs="宋体"/>
          <w:color w:val="000000" w:themeColor="text1"/>
          <w14:textFill>
            <w14:solidFill>
              <w14:schemeClr w14:val="tx1"/>
            </w14:solidFill>
          </w14:textFill>
        </w:rPr>
        <w:t>。</w:t>
      </w:r>
    </w:p>
    <w:p>
      <w:pPr>
        <w:spacing w:line="400" w:lineRule="exact"/>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18.8</w:t>
      </w:r>
      <w:r>
        <w:rPr>
          <w:rFonts w:hint="eastAsia" w:ascii="宋体" w:hAnsi="宋体" w:cs="宋体"/>
          <w:b/>
          <w:color w:val="000000" w:themeColor="text1"/>
          <w:szCs w:val="21"/>
          <w14:textFill>
            <w14:solidFill>
              <w14:schemeClr w14:val="tx1"/>
            </w14:solidFill>
          </w14:textFill>
        </w:rPr>
        <w:t>投标文件袋（盒、箱）标记：</w:t>
      </w:r>
    </w:p>
    <w:p>
      <w:pPr>
        <w:spacing w:line="40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项目名称：雁山图书馆古籍馆货物采购</w:t>
      </w:r>
    </w:p>
    <w:p>
      <w:pPr>
        <w:spacing w:line="40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项目编号：GXZC2020-G1-002663-JCZX</w:t>
      </w:r>
    </w:p>
    <w:p>
      <w:pPr>
        <w:spacing w:line="40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采购代理机构：桂林市政府集中采购中心</w:t>
      </w:r>
    </w:p>
    <w:p>
      <w:pPr>
        <w:spacing w:line="40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投标单位名称：</w:t>
      </w:r>
      <w:r>
        <w:rPr>
          <w:rFonts w:hint="eastAsia" w:ascii="宋体" w:hAnsi="宋体" w:cs="宋体"/>
          <w:color w:val="000000" w:themeColor="text1"/>
          <w:szCs w:val="21"/>
          <w:u w:val="single"/>
          <w14:textFill>
            <w14:solidFill>
              <w14:schemeClr w14:val="tx1"/>
            </w14:solidFill>
          </w14:textFill>
        </w:rPr>
        <w:t xml:space="preserve">                          </w:t>
      </w:r>
    </w:p>
    <w:p>
      <w:pPr>
        <w:spacing w:line="40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在2020年 </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 xml:space="preserve"> 月 </w:t>
      </w:r>
      <w:r>
        <w:rPr>
          <w:rFonts w:hint="eastAsia" w:ascii="宋体" w:hAnsi="宋体" w:cs="宋体"/>
          <w:color w:val="000000" w:themeColor="text1"/>
          <w:szCs w:val="21"/>
          <w:lang w:val="en-US" w:eastAsia="zh-CN"/>
          <w14:textFill>
            <w14:solidFill>
              <w14:schemeClr w14:val="tx1"/>
            </w14:solidFill>
          </w14:textFill>
        </w:rPr>
        <w:t>30</w:t>
      </w:r>
      <w:r>
        <w:rPr>
          <w:rFonts w:hint="eastAsia" w:ascii="宋体" w:hAnsi="宋体" w:cs="宋体"/>
          <w:color w:val="000000" w:themeColor="text1"/>
          <w:szCs w:val="21"/>
          <w14:textFill>
            <w14:solidFill>
              <w14:schemeClr w14:val="tx1"/>
            </w14:solidFill>
          </w14:textFill>
        </w:rPr>
        <w:t xml:space="preserve"> 日上午 9 时 30 分前不得开启（</w:t>
      </w:r>
      <w:r>
        <w:rPr>
          <w:rFonts w:hint="eastAsia" w:ascii="宋体" w:hAnsi="宋体" w:cs="宋体"/>
          <w:color w:val="000000" w:themeColor="text1"/>
          <w:szCs w:val="21"/>
          <w14:textFill>
            <w14:solidFill>
              <w14:schemeClr w14:val="tx1"/>
            </w14:solidFill>
          </w14:textFill>
        </w:rPr>
        <w:t>此处填写截标时间）</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90" w:name="_Toc22917"/>
      <w:bookmarkStart w:id="91" w:name="_Toc24490"/>
      <w:r>
        <w:rPr>
          <w:rFonts w:hint="eastAsia" w:ascii="宋体" w:hAnsi="宋体" w:cs="宋体"/>
          <w:b/>
          <w:color w:val="000000" w:themeColor="text1"/>
          <w:szCs w:val="21"/>
          <w14:textFill>
            <w14:solidFill>
              <w14:schemeClr w14:val="tx1"/>
            </w14:solidFill>
          </w14:textFill>
        </w:rPr>
        <w:t>19. 投标文件的补充、修改和撤回</w:t>
      </w:r>
      <w:bookmarkEnd w:id="90"/>
      <w:bookmarkEnd w:id="91"/>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投标人在投标截止时间前，可以对所递交的投标文件进行补充、修改或者撤回，并书面通知采购代理机构。补充、修改的内容应当按照招标文件要求签署、盖章、密封后，作为投标文件的组成部分。</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92" w:name="_Toc31572"/>
      <w:bookmarkStart w:id="93" w:name="_Toc28506"/>
      <w:r>
        <w:rPr>
          <w:rFonts w:hint="eastAsia" w:ascii="宋体" w:hAnsi="宋体" w:cs="宋体"/>
          <w:b/>
          <w:color w:val="000000" w:themeColor="text1"/>
          <w:szCs w:val="21"/>
          <w14:textFill>
            <w14:solidFill>
              <w14:schemeClr w14:val="tx1"/>
            </w14:solidFill>
          </w14:textFill>
        </w:rPr>
        <w:t>20. 投标文件的递交</w:t>
      </w:r>
      <w:bookmarkEnd w:id="92"/>
      <w:bookmarkEnd w:id="93"/>
    </w:p>
    <w:p>
      <w:pPr>
        <w:tabs>
          <w:tab w:val="left" w:pos="7200"/>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20.1投标截止时间：2020年</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30</w:t>
      </w:r>
      <w:r>
        <w:rPr>
          <w:rFonts w:hint="eastAsia" w:ascii="宋体" w:hAnsi="宋体" w:cs="宋体"/>
          <w:color w:val="000000" w:themeColor="text1"/>
          <w:szCs w:val="21"/>
          <w14:textFill>
            <w14:solidFill>
              <w14:schemeClr w14:val="tx1"/>
            </w14:solidFill>
          </w14:textFill>
        </w:rPr>
        <w:t>日</w:t>
      </w:r>
      <w:r>
        <w:rPr>
          <w:rFonts w:hint="eastAsia" w:ascii="宋体" w:hAnsi="宋体" w:cs="宋体"/>
          <w:color w:val="000000" w:themeColor="text1"/>
          <w:szCs w:val="21"/>
          <w:lang w:val="en-US" w:eastAsia="zh-CN"/>
          <w14:textFill>
            <w14:solidFill>
              <w14:schemeClr w14:val="tx1"/>
            </w14:solidFill>
          </w14:textFill>
        </w:rPr>
        <w:t>上午</w:t>
      </w:r>
      <w:r>
        <w:rPr>
          <w:rFonts w:hint="eastAsia" w:ascii="宋体" w:hAnsi="宋体" w:cs="宋体"/>
          <w:color w:val="000000" w:themeColor="text1"/>
          <w:szCs w:val="21"/>
          <w14:textFill>
            <w14:solidFill>
              <w14:schemeClr w14:val="tx1"/>
            </w14:solidFill>
          </w14:textFill>
        </w:rPr>
        <w:t>9时30分。</w:t>
      </w:r>
    </w:p>
    <w:p>
      <w:pPr>
        <w:tabs>
          <w:tab w:val="left" w:pos="7200"/>
        </w:tabs>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20.2投标文件递交：投标人应于2020年</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30</w:t>
      </w:r>
      <w:r>
        <w:rPr>
          <w:rFonts w:hint="eastAsia" w:ascii="宋体" w:hAnsi="宋体" w:cs="宋体"/>
          <w:color w:val="000000" w:themeColor="text1"/>
          <w:szCs w:val="21"/>
          <w14:textFill>
            <w14:solidFill>
              <w14:schemeClr w14:val="tx1"/>
            </w14:solidFill>
          </w14:textFill>
        </w:rPr>
        <w:t>日上午9时00分至9时30分止</w:t>
      </w:r>
      <w:r>
        <w:rPr>
          <w:rFonts w:hint="eastAsia" w:ascii="宋体" w:hAnsi="宋体" w:cs="宋体"/>
          <w:b/>
          <w:color w:val="000000" w:themeColor="text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将投标文件密封提交至桂林市公共资源交易中心（广西桂林市临桂区西城中路69号创业大厦西辅楼4楼）12号开标室</w:t>
      </w:r>
      <w:r>
        <w:rPr>
          <w:rFonts w:hint="eastAsia" w:ascii="宋体" w:hAnsi="宋体" w:cs="宋体"/>
          <w:color w:val="000000" w:themeColor="text1"/>
          <w14:textFill>
            <w14:solidFill>
              <w14:schemeClr w14:val="tx1"/>
            </w14:solidFill>
          </w14:textFill>
        </w:rPr>
        <w:t>，</w:t>
      </w:r>
      <w:r>
        <w:rPr>
          <w:rFonts w:hint="eastAsia" w:ascii="宋体" w:hAnsi="宋体" w:cs="宋体"/>
          <w:color w:val="000000" w:themeColor="text1"/>
          <w14:textFill>
            <w14:solidFill>
              <w14:schemeClr w14:val="tx1"/>
            </w14:solidFill>
          </w14:textFill>
        </w:rPr>
        <w:t>逾期送达的或未送达指定地点的投标文件将予以拒收。</w:t>
      </w:r>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20.3除招标文件另有规定外，投标人所递交的投标文件在投标截止时间后不予退还。</w:t>
      </w:r>
    </w:p>
    <w:p>
      <w:pPr>
        <w:spacing w:line="400" w:lineRule="exact"/>
        <w:ind w:firstLine="435"/>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20.4投标人应当在招标文件要求提交投标文件的截止时间前，将投标文件密封送达投标地点。采购代理机构收到投标文件后，应当如实记载投标文件的送达时间和密封情况，签收保存，并向投标人出具签收回执。任何单位和个人不得在开标前开启投标文件。</w:t>
      </w:r>
    </w:p>
    <w:p>
      <w:pPr>
        <w:spacing w:line="400" w:lineRule="exact"/>
        <w:ind w:firstLine="435"/>
        <w:rPr>
          <w:rFonts w:ascii="宋体" w:hAnsi="宋体" w:cs="宋体"/>
          <w:color w:val="000000" w:themeColor="text1"/>
          <w14:textFill>
            <w14:solidFill>
              <w14:schemeClr w14:val="tx1"/>
            </w14:solidFill>
          </w14:textFill>
        </w:rPr>
      </w:pPr>
    </w:p>
    <w:p>
      <w:pPr>
        <w:spacing w:line="360" w:lineRule="auto"/>
        <w:jc w:val="center"/>
        <w:outlineLvl w:val="1"/>
        <w:rPr>
          <w:rFonts w:ascii="宋体" w:hAnsi="宋体" w:cs="宋体"/>
          <w:b/>
          <w:color w:val="000000" w:themeColor="text1"/>
          <w:sz w:val="28"/>
          <w:szCs w:val="28"/>
          <w14:textFill>
            <w14:solidFill>
              <w14:schemeClr w14:val="tx1"/>
            </w14:solidFill>
          </w14:textFill>
        </w:rPr>
      </w:pPr>
      <w:bookmarkStart w:id="94" w:name="_Toc307"/>
      <w:bookmarkStart w:id="95" w:name="_Toc531"/>
      <w:bookmarkStart w:id="96" w:name="_Toc495841757"/>
      <w:r>
        <w:rPr>
          <w:rFonts w:hint="eastAsia" w:ascii="宋体" w:hAnsi="宋体" w:cs="宋体"/>
          <w:b/>
          <w:color w:val="000000" w:themeColor="text1"/>
          <w:sz w:val="28"/>
          <w:szCs w:val="28"/>
          <w14:textFill>
            <w14:solidFill>
              <w14:schemeClr w14:val="tx1"/>
            </w14:solidFill>
          </w14:textFill>
        </w:rPr>
        <w:t>四、开标</w:t>
      </w:r>
      <w:bookmarkEnd w:id="94"/>
      <w:bookmarkEnd w:id="95"/>
      <w:bookmarkEnd w:id="96"/>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97" w:name="_Toc17073"/>
      <w:bookmarkStart w:id="98" w:name="_Toc25645"/>
      <w:r>
        <w:rPr>
          <w:rFonts w:hint="eastAsia" w:ascii="宋体" w:hAnsi="宋体" w:cs="宋体"/>
          <w:b/>
          <w:color w:val="000000" w:themeColor="text1"/>
          <w:szCs w:val="21"/>
          <w14:textFill>
            <w14:solidFill>
              <w14:schemeClr w14:val="tx1"/>
            </w14:solidFill>
          </w14:textFill>
        </w:rPr>
        <w:t>21. 开标时间及地点</w:t>
      </w:r>
      <w:bookmarkEnd w:id="97"/>
      <w:bookmarkEnd w:id="98"/>
    </w:p>
    <w:p>
      <w:pPr>
        <w:spacing w:line="400" w:lineRule="exact"/>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21.1开标时间及地点：</w:t>
      </w:r>
      <w:r>
        <w:rPr>
          <w:rFonts w:hint="eastAsia" w:ascii="宋体" w:hAnsi="宋体" w:cs="宋体"/>
          <w:color w:val="000000" w:themeColor="text1"/>
          <w:szCs w:val="21"/>
          <w14:textFill>
            <w14:solidFill>
              <w14:schemeClr w14:val="tx1"/>
            </w14:solidFill>
          </w14:textFill>
        </w:rPr>
        <w:t>开标时间：2020年</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30</w:t>
      </w:r>
      <w:r>
        <w:rPr>
          <w:rFonts w:hint="eastAsia" w:ascii="宋体" w:hAnsi="宋体" w:cs="宋体"/>
          <w:color w:val="000000" w:themeColor="text1"/>
          <w:szCs w:val="21"/>
          <w14:textFill>
            <w14:solidFill>
              <w14:schemeClr w14:val="tx1"/>
            </w14:solidFill>
          </w14:textFill>
        </w:rPr>
        <w:t>日</w:t>
      </w:r>
      <w:r>
        <w:rPr>
          <w:rFonts w:hint="eastAsia" w:ascii="宋体" w:hAnsi="宋体" w:cs="宋体"/>
          <w:color w:val="000000" w:themeColor="text1"/>
          <w:szCs w:val="21"/>
          <w:lang w:val="en-US" w:eastAsia="zh-CN"/>
          <w14:textFill>
            <w14:solidFill>
              <w14:schemeClr w14:val="tx1"/>
            </w14:solidFill>
          </w14:textFill>
        </w:rPr>
        <w:t>上午</w:t>
      </w:r>
      <w:r>
        <w:rPr>
          <w:rFonts w:hint="eastAsia" w:ascii="宋体" w:hAnsi="宋体" w:cs="宋体"/>
          <w:color w:val="000000" w:themeColor="text1"/>
          <w:szCs w:val="21"/>
          <w14:textFill>
            <w14:solidFill>
              <w14:schemeClr w14:val="tx1"/>
            </w14:solidFill>
          </w14:textFill>
        </w:rPr>
        <w:t>9时30分；开标地点：桂林市公共资源交易中心（广西桂林市临桂区西城中路69号创业大厦西辅楼4楼）12号开标室</w:t>
      </w:r>
      <w:r>
        <w:rPr>
          <w:rFonts w:hint="eastAsia" w:ascii="宋体" w:hAnsi="宋体" w:cs="宋体"/>
          <w:color w:val="000000" w:themeColor="text1"/>
          <w:szCs w:val="21"/>
          <w14:textFill>
            <w14:solidFill>
              <w14:schemeClr w14:val="tx1"/>
            </w14:solidFill>
          </w14:textFill>
        </w:rPr>
        <w:t>开标。</w:t>
      </w:r>
      <w:r>
        <w:rPr>
          <w:rFonts w:hint="eastAsia" w:ascii="宋体" w:hAnsi="宋体" w:cs="宋体"/>
          <w:color w:val="000000" w:themeColor="text1"/>
          <w14:textFill>
            <w14:solidFill>
              <w14:schemeClr w14:val="tx1"/>
            </w14:solidFill>
          </w14:textFill>
        </w:rPr>
        <w:t>投标人可以由法定代表人、负责人、</w:t>
      </w:r>
      <w:r>
        <w:rPr>
          <w:rFonts w:hint="eastAsia" w:ascii="宋体" w:hAnsi="宋体" w:cs="宋体"/>
          <w:color w:val="000000" w:themeColor="text1"/>
          <w14:textFill>
            <w14:solidFill>
              <w14:schemeClr w14:val="tx1"/>
            </w14:solidFill>
          </w14:textFill>
        </w:rPr>
        <w:t>自然人</w:t>
      </w:r>
      <w:r>
        <w:rPr>
          <w:rFonts w:hint="eastAsia" w:ascii="宋体" w:hAnsi="宋体" w:cs="宋体"/>
          <w:color w:val="000000" w:themeColor="text1"/>
          <w14:textFill>
            <w14:solidFill>
              <w14:schemeClr w14:val="tx1"/>
            </w14:solidFill>
          </w14:textFill>
        </w:rPr>
        <w:t>或其委托代理人出席开标会议</w:t>
      </w:r>
      <w:r>
        <w:rPr>
          <w:rFonts w:hint="eastAsia" w:ascii="宋体" w:hAnsi="宋体" w:cs="宋体"/>
          <w:color w:val="000000" w:themeColor="text1"/>
          <w:szCs w:val="21"/>
          <w14:textFill>
            <w14:solidFill>
              <w14:schemeClr w14:val="tx1"/>
            </w14:solidFill>
          </w14:textFill>
        </w:rPr>
        <w:t>；投标人准时参加开标会并签字，如未按时签字的，视同放弃开标监督权利，认可开标结果。</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21.2投标人不足3家的，不得开标，采购人或者采购代理机构应当重新组织采购。</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99" w:name="_Toc27199"/>
      <w:bookmarkStart w:id="100" w:name="_Toc11217"/>
      <w:r>
        <w:rPr>
          <w:rFonts w:hint="eastAsia" w:ascii="宋体" w:hAnsi="宋体" w:cs="宋体"/>
          <w:b/>
          <w:color w:val="000000" w:themeColor="text1"/>
          <w:szCs w:val="21"/>
          <w14:textFill>
            <w14:solidFill>
              <w14:schemeClr w14:val="tx1"/>
            </w14:solidFill>
          </w14:textFill>
        </w:rPr>
        <w:t>22. 开标程序</w:t>
      </w:r>
      <w:bookmarkEnd w:id="99"/>
      <w:bookmarkEnd w:id="100"/>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（1）主持人宣布开标会正式开始，宣布开标程序、开标纪律，介绍项目情况和到会人员；</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（2）投标人对其投标文件的密封情况进行检查并确认签字；</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（3）按各投标人提交投标文件时间的先后顺序打开投标文件外包装；</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（4）唱标，宣读投标截止时间前接收的所有投标文件的投标人名称，投标报价表的投标报价、折扣；</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（5）采购代理机构做开标记录，投标人代表对开标记录进行当场校核及勘误并签字确认；同时由记录人、监督人（如有）当场签字确认；</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（6）</w:t>
      </w:r>
      <w:r>
        <w:rPr>
          <w:rFonts w:hint="eastAsia" w:ascii="宋体" w:hAnsi="宋体" w:cs="宋体"/>
          <w:color w:val="000000" w:themeColor="text1"/>
          <w:szCs w:val="21"/>
          <w14:textFill>
            <w14:solidFill>
              <w14:schemeClr w14:val="tx1"/>
            </w14:solidFill>
          </w14:textFill>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（7）宣布开标结束，采购人、投标人和有关方面代表退场，由工作人员将投标文件等材料移交评标室。</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p>
    <w:p>
      <w:pPr>
        <w:spacing w:line="360" w:lineRule="auto"/>
        <w:jc w:val="center"/>
        <w:outlineLvl w:val="1"/>
        <w:rPr>
          <w:rFonts w:ascii="宋体" w:hAnsi="宋体" w:cs="宋体"/>
          <w:b/>
          <w:color w:val="000000" w:themeColor="text1"/>
          <w:sz w:val="28"/>
          <w:szCs w:val="28"/>
          <w14:textFill>
            <w14:solidFill>
              <w14:schemeClr w14:val="tx1"/>
            </w14:solidFill>
          </w14:textFill>
        </w:rPr>
      </w:pPr>
      <w:bookmarkStart w:id="101" w:name="_Toc495841758"/>
      <w:bookmarkStart w:id="102" w:name="_Toc8536"/>
      <w:bookmarkStart w:id="103" w:name="_Toc13013"/>
      <w:r>
        <w:rPr>
          <w:rFonts w:hint="eastAsia" w:ascii="宋体" w:hAnsi="宋体" w:cs="宋体"/>
          <w:b/>
          <w:color w:val="000000" w:themeColor="text1"/>
          <w:sz w:val="28"/>
          <w:szCs w:val="28"/>
          <w14:textFill>
            <w14:solidFill>
              <w14:schemeClr w14:val="tx1"/>
            </w14:solidFill>
          </w14:textFill>
        </w:rPr>
        <w:t>五、资格性审查</w:t>
      </w:r>
      <w:bookmarkEnd w:id="101"/>
      <w:bookmarkEnd w:id="102"/>
      <w:bookmarkEnd w:id="103"/>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104" w:name="_Toc13578"/>
      <w:bookmarkStart w:id="105" w:name="_Toc29907"/>
      <w:r>
        <w:rPr>
          <w:rFonts w:hint="eastAsia" w:ascii="宋体" w:hAnsi="宋体" w:cs="宋体"/>
          <w:b/>
          <w:color w:val="000000" w:themeColor="text1"/>
          <w:szCs w:val="21"/>
          <w14:textFill>
            <w14:solidFill>
              <w14:schemeClr w14:val="tx1"/>
            </w14:solidFill>
          </w14:textFill>
        </w:rPr>
        <w:t>23. 资格性审查</w:t>
      </w:r>
      <w:bookmarkEnd w:id="104"/>
      <w:bookmarkEnd w:id="105"/>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23.1公开招标采购项目开标结束后，</w:t>
      </w:r>
      <w:r>
        <w:rPr>
          <w:rFonts w:hint="eastAsia" w:ascii="宋体" w:hAnsi="宋体" w:cs="宋体"/>
          <w:color w:val="000000" w:themeColor="text1"/>
          <w:szCs w:val="21"/>
          <w14:textFill>
            <w14:solidFill>
              <w14:schemeClr w14:val="tx1"/>
            </w14:solidFill>
          </w14:textFill>
        </w:rPr>
        <w:t>采购人</w:t>
      </w:r>
      <w:r>
        <w:rPr>
          <w:rFonts w:hint="eastAsia" w:ascii="宋体" w:hAnsi="宋体" w:cs="宋体"/>
          <w:color w:val="000000" w:themeColor="text1"/>
          <w:szCs w:val="21"/>
          <w14:textFill>
            <w14:solidFill>
              <w14:schemeClr w14:val="tx1"/>
            </w14:solidFill>
          </w14:textFill>
        </w:rPr>
        <w:t>应当依法对投标人的资格进行审查。合格投标人不足3家的，不得评标。</w:t>
      </w:r>
    </w:p>
    <w:p>
      <w:pPr>
        <w:spacing w:line="400" w:lineRule="exact"/>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23.2</w:t>
      </w:r>
      <w:r>
        <w:rPr>
          <w:rFonts w:hint="eastAsia" w:ascii="宋体" w:hAnsi="宋体" w:cs="宋体"/>
          <w:b/>
          <w:bCs/>
          <w:color w:val="000000" w:themeColor="text1"/>
          <w:szCs w:val="21"/>
          <w14:textFill>
            <w14:solidFill>
              <w14:schemeClr w14:val="tx1"/>
            </w14:solidFill>
          </w14:textFill>
        </w:rPr>
        <w:t>采购人或者采购代理机构</w:t>
      </w:r>
      <w:r>
        <w:rPr>
          <w:rFonts w:hint="eastAsia" w:ascii="宋体" w:hAnsi="宋体" w:cs="宋体"/>
          <w:b/>
          <w:color w:val="000000" w:themeColor="text1"/>
          <w:szCs w:val="21"/>
          <w14:textFill>
            <w14:solidFill>
              <w14:schemeClr w14:val="tx1"/>
            </w14:solidFill>
          </w14:textFill>
        </w:rPr>
        <w:t>在对投标人进行资格性审查时，将对投标人企业股东及出资等信息进行查询。根据《中华人民共和国政府采购法实施条例》第十八条第一款规定，审查中如发现投标人存在单位负责人为同一人或者存在直接控股、管理关系的不同供应商参加同一合同项下的政府采购活动的，按投标无效处理。</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查询渠道：《国家企业信用信息公示系统》（网址：</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"http://www.gsxt.gov.cn/index.html" </w:instrText>
      </w:r>
      <w:r>
        <w:rPr>
          <w:color w:val="000000" w:themeColor="text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http://www.gsxt.gov.cn/index.html</w:t>
      </w:r>
      <w:r>
        <w:rPr>
          <w:rFonts w:hint="eastAsia" w:ascii="宋体" w:hAnsi="宋体" w:cs="宋体"/>
          <w:color w:val="000000" w:themeColor="text1"/>
          <w:szCs w:val="2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t>）</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审查流程：</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（1）进入《国家企业信用信息公示系统》（网址：http://www.gsxt.gov.cn/index.html），输入企业名称，进入企业信息主页面；</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（2）查看主页“股东及出资信息”栏，或年报中的“股东及出资信息”栏信息；</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（3）将各投标人的股东及出资信息进行比对，得出审查结论；</w:t>
      </w:r>
    </w:p>
    <w:p>
      <w:pPr>
        <w:snapToGrid w:val="0"/>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（4）将相关资料作为评审资料打印存档。</w:t>
      </w:r>
    </w:p>
    <w:p>
      <w:pPr>
        <w:snapToGrid w:val="0"/>
        <w:spacing w:line="400" w:lineRule="exact"/>
        <w:ind w:firstLine="420" w:firstLineChars="200"/>
        <w:rPr>
          <w:rFonts w:ascii="宋体" w:hAnsi="宋体" w:cs="宋体"/>
          <w:color w:val="000000" w:themeColor="text1"/>
          <w:szCs w:val="21"/>
          <w14:textFill>
            <w14:solidFill>
              <w14:schemeClr w14:val="tx1"/>
            </w14:solidFill>
          </w14:textFill>
        </w:rPr>
      </w:pPr>
    </w:p>
    <w:p>
      <w:pPr>
        <w:spacing w:line="360" w:lineRule="auto"/>
        <w:jc w:val="center"/>
        <w:outlineLvl w:val="1"/>
        <w:rPr>
          <w:rFonts w:ascii="宋体" w:hAnsi="宋体" w:cs="宋体"/>
          <w:b/>
          <w:color w:val="000000" w:themeColor="text1"/>
          <w:sz w:val="28"/>
          <w:szCs w:val="28"/>
          <w14:textFill>
            <w14:solidFill>
              <w14:schemeClr w14:val="tx1"/>
            </w14:solidFill>
          </w14:textFill>
        </w:rPr>
      </w:pPr>
      <w:bookmarkStart w:id="106" w:name="_Toc495841759"/>
      <w:bookmarkStart w:id="107" w:name="_Toc20988"/>
      <w:bookmarkStart w:id="108" w:name="_Toc3415"/>
      <w:r>
        <w:rPr>
          <w:rFonts w:hint="eastAsia" w:ascii="宋体" w:hAnsi="宋体" w:cs="宋体"/>
          <w:b/>
          <w:color w:val="000000" w:themeColor="text1"/>
          <w:sz w:val="28"/>
          <w:szCs w:val="28"/>
          <w14:textFill>
            <w14:solidFill>
              <w14:schemeClr w14:val="tx1"/>
            </w14:solidFill>
          </w14:textFill>
        </w:rPr>
        <w:t>六、评标</w:t>
      </w:r>
      <w:bookmarkEnd w:id="106"/>
      <w:bookmarkEnd w:id="107"/>
      <w:bookmarkEnd w:id="108"/>
    </w:p>
    <w:p>
      <w:pPr>
        <w:spacing w:line="360" w:lineRule="exact"/>
        <w:ind w:firstLine="413" w:firstLineChars="196"/>
        <w:outlineLvl w:val="2"/>
        <w:rPr>
          <w:rFonts w:ascii="宋体" w:hAnsi="宋体" w:cs="宋体"/>
          <w:b/>
          <w:color w:val="000000" w:themeColor="text1"/>
          <w:szCs w:val="21"/>
          <w14:textFill>
            <w14:solidFill>
              <w14:schemeClr w14:val="tx1"/>
            </w14:solidFill>
          </w14:textFill>
        </w:rPr>
      </w:pPr>
      <w:bookmarkStart w:id="109" w:name="_Toc11750"/>
      <w:bookmarkStart w:id="110" w:name="_Toc14749"/>
      <w:r>
        <w:rPr>
          <w:rFonts w:hint="eastAsia" w:ascii="宋体" w:hAnsi="宋体" w:cs="宋体"/>
          <w:b/>
          <w:color w:val="000000" w:themeColor="text1"/>
          <w:szCs w:val="21"/>
          <w14:textFill>
            <w14:solidFill>
              <w14:schemeClr w14:val="tx1"/>
            </w14:solidFill>
          </w14:textFill>
        </w:rPr>
        <w:t>24. 评标委员会组成</w:t>
      </w:r>
      <w:bookmarkEnd w:id="109"/>
      <w:bookmarkEnd w:id="110"/>
    </w:p>
    <w:p>
      <w:pPr>
        <w:spacing w:line="360" w:lineRule="exact"/>
        <w:ind w:firstLine="420" w:firstLineChars="200"/>
        <w:rPr>
          <w:rFonts w:ascii="宋体" w:hAnsi="宋体" w:cs="宋体"/>
          <w:color w:val="000000" w:themeColor="text1"/>
          <w:szCs w:val="21"/>
          <w14:textFill>
            <w14:solidFill>
              <w14:schemeClr w14:val="tx1"/>
            </w14:solidFill>
          </w14:textFill>
        </w:rPr>
      </w:pPr>
      <w:r>
        <w:rPr>
          <w:color w:val="000000" w:themeColor="text1"/>
          <w:szCs w:val="21"/>
          <w14:textFill>
            <w14:solidFill>
              <w14:schemeClr w14:val="tx1"/>
            </w14:solidFill>
          </w14:textFill>
        </w:rPr>
        <w:t>评标委员会由采购人代表和有关技术、经济等方面的专家组成，成员人数共</w:t>
      </w:r>
      <w:r>
        <w:rPr>
          <w:rFonts w:hint="eastAsia"/>
          <w:color w:val="000000" w:themeColor="text1"/>
          <w:szCs w:val="21"/>
          <w14:textFill>
            <w14:solidFill>
              <w14:schemeClr w14:val="tx1"/>
            </w14:solidFill>
          </w14:textFill>
        </w:rPr>
        <w:t>5</w:t>
      </w:r>
      <w:r>
        <w:rPr>
          <w:color w:val="000000" w:themeColor="text1"/>
          <w:szCs w:val="21"/>
          <w14:textFill>
            <w14:solidFill>
              <w14:schemeClr w14:val="tx1"/>
            </w14:solidFill>
          </w14:textFill>
        </w:rPr>
        <w:t xml:space="preserve">人，其中采购人代表1人，技术、经济等专家 </w:t>
      </w:r>
      <w:r>
        <w:rPr>
          <w:rFonts w:hint="eastAsia"/>
          <w:color w:val="000000" w:themeColor="text1"/>
          <w:szCs w:val="21"/>
          <w14:textFill>
            <w14:solidFill>
              <w14:schemeClr w14:val="tx1"/>
            </w14:solidFill>
          </w14:textFill>
        </w:rPr>
        <w:t>4</w:t>
      </w:r>
      <w:r>
        <w:rPr>
          <w:color w:val="000000" w:themeColor="text1"/>
          <w:szCs w:val="21"/>
          <w14:textFill>
            <w14:solidFill>
              <w14:schemeClr w14:val="tx1"/>
            </w14:solidFill>
          </w14:textFill>
        </w:rPr>
        <w:t>人。</w:t>
      </w:r>
    </w:p>
    <w:p>
      <w:pPr>
        <w:spacing w:line="360" w:lineRule="exact"/>
        <w:ind w:firstLine="413" w:firstLineChars="196"/>
        <w:outlineLvl w:val="2"/>
        <w:rPr>
          <w:rFonts w:ascii="宋体" w:hAnsi="宋体" w:cs="宋体"/>
          <w:b/>
          <w:color w:val="000000" w:themeColor="text1"/>
          <w:szCs w:val="21"/>
          <w14:textFill>
            <w14:solidFill>
              <w14:schemeClr w14:val="tx1"/>
            </w14:solidFill>
          </w14:textFill>
        </w:rPr>
      </w:pPr>
      <w:bookmarkStart w:id="111" w:name="_Toc4454"/>
      <w:bookmarkStart w:id="112" w:name="_Toc24437"/>
      <w:r>
        <w:rPr>
          <w:rFonts w:hint="eastAsia" w:ascii="宋体" w:hAnsi="宋体" w:cs="宋体"/>
          <w:b/>
          <w:color w:val="000000" w:themeColor="text1"/>
          <w:szCs w:val="21"/>
          <w14:textFill>
            <w14:solidFill>
              <w14:schemeClr w14:val="tx1"/>
            </w14:solidFill>
          </w14:textFill>
        </w:rPr>
        <w:t>25. 评标办法</w:t>
      </w:r>
      <w:bookmarkEnd w:id="111"/>
      <w:bookmarkEnd w:id="112"/>
    </w:p>
    <w:p>
      <w:pPr>
        <w:tabs>
          <w:tab w:val="left" w:pos="1140"/>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25.1评标办法：综合评分法，具体评标内容及标准详见第四章。</w:t>
      </w:r>
    </w:p>
    <w:p>
      <w:pPr>
        <w:tabs>
          <w:tab w:val="left" w:pos="1140"/>
        </w:tabs>
        <w:spacing w:line="36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25.2评标委员会应按招标文件进行评标，不得擅自更改评标办法。</w:t>
      </w:r>
    </w:p>
    <w:p>
      <w:pPr>
        <w:spacing w:line="360" w:lineRule="exact"/>
        <w:ind w:firstLine="413" w:firstLineChars="196"/>
        <w:outlineLvl w:val="2"/>
        <w:rPr>
          <w:rFonts w:ascii="宋体" w:hAnsi="宋体" w:cs="宋体"/>
          <w:b/>
          <w:color w:val="000000" w:themeColor="text1"/>
          <w:szCs w:val="21"/>
          <w14:textFill>
            <w14:solidFill>
              <w14:schemeClr w14:val="tx1"/>
            </w14:solidFill>
          </w14:textFill>
        </w:rPr>
      </w:pPr>
      <w:bookmarkStart w:id="113" w:name="_Toc20321"/>
      <w:bookmarkStart w:id="114" w:name="_Toc19674"/>
      <w:r>
        <w:rPr>
          <w:rFonts w:hint="eastAsia" w:ascii="宋体" w:hAnsi="宋体" w:cs="宋体"/>
          <w:b/>
          <w:color w:val="000000" w:themeColor="text1"/>
          <w:szCs w:val="21"/>
          <w14:textFill>
            <w14:solidFill>
              <w14:schemeClr w14:val="tx1"/>
            </w14:solidFill>
          </w14:textFill>
        </w:rPr>
        <w:t>26. 评标</w:t>
      </w:r>
      <w:bookmarkEnd w:id="113"/>
      <w:bookmarkEnd w:id="114"/>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26.1采购代理机构负责评标组织工作，宣布评标工作纪律，公布投标人名单，告知评标专家应当回避的情形，组织评标委员会推选评标组长，采购人代表不得担任组长；在评标期间采取必要的通讯管理措施，保证评标活动不受外界干扰；根据评标委员会的要求介绍政府采购相关政策法规、招标文件；维护评标秩序，监督评标委员会依照招标文件规定的评标程序、方法和标准进行独立评审，及时制止和纠正采购人代表、评标专家的倾向性言论或者违法违规行为；核对评标结果，有投标无效情形的，要求评标委员会复核或者书面说明理由，评标委员会拒绝的，应予记录并向本级财政部门报告；评标工作完成后，按照规定向评标专家支付劳务报酬和异地评审差旅费，不得向评标专家以外的其他人员支付评审劳务报酬。</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26.2评标委员会负责具体评标事务；审查、评价投标文件是否符合招标文件的商务、技术等实质性要求；要求投标人对投标文件有关事项作出澄清或者说明；对投标文件进行比较和评价；确定中标候选供应商名单，以及根据采购人委托直接确定中标供应商；向采购人、采购代理机构或者有关部门报告评标中发现的违法行为。</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26.3在评标过程中，评标委员会任何人不得对某个投标人发表任何倾向性意见，不得向其他专家评委明示或者暗示自己的评审意见。</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26.4评标委员会应当对符合资格的投标人的投标文件进行符合性审查，以确定其是否满足招标文件的实质性要求。</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26.5对于投标文件中含义不明确、同类问题表述不一致、有明显文字和计算错误或属于投标人疏忽、笔误所造成差错的内容，评标委员会应当以书面形式要求投标人作出必要的澄清、说明或者补正。</w:t>
      </w:r>
    </w:p>
    <w:p>
      <w:pPr>
        <w:tabs>
          <w:tab w:val="left" w:pos="1140"/>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投标人的澄清、说明或者补正应当采用书面形式，并加盖公章，或者由法定代表人或其授权的代表签字。投标人的澄清、说明或者补正不得超出投标文件的范围或者改变投标文件的实质性内容。</w:t>
      </w:r>
    </w:p>
    <w:p>
      <w:pPr>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26.6评标委员会应当按照招标文件中规定的评标方法和标准，对符合性审查合格的投标文件进行商务和技术评估，综合比较与评价。</w:t>
      </w:r>
    </w:p>
    <w:p>
      <w:pPr>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26.7投标文件报价出现前后不一致的，除招标文件另有规定外，按照下列规定修正：</w:t>
      </w:r>
    </w:p>
    <w:p>
      <w:pPr>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（1）投标文件中投标报价表内容与投标文件中相应内容不一致的，以投标报价表为准；</w:t>
      </w:r>
    </w:p>
    <w:p>
      <w:pPr>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（2）大写金额和小写金额不一致的，以大写金额为准；</w:t>
      </w:r>
    </w:p>
    <w:p>
      <w:pPr>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（3）单价金额小数点或者百分比有明显错位的，以报价表的总价为准，并修改单价；</w:t>
      </w:r>
    </w:p>
    <w:p>
      <w:pPr>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（4）总价金额与按单价汇总金额不一致的，以单价金额计算结果为准。</w:t>
      </w:r>
    </w:p>
    <w:p>
      <w:pPr>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同时出现两种以上不一致的，按照前款规定的顺序修正。修正后的报价（不得超出投标文件的范围或者改变投标文件的实质性内容）经投标人确认后产生约束力，投标人不确认的，其投标无效。</w:t>
      </w:r>
    </w:p>
    <w:p>
      <w:pPr>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26.8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26.9评标委员会成员对需要共同认定的事项存在争议的，应当按照少数服从多数的原则作出结论。持不同意见的评标委员会成员应当在评标报告上签署不同意见及理由，否则视为同意评标报告。</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26.10评标结果汇总完成后，除下列情形外，任何人不得修改评标结果：</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（一）分值汇总计算错误的；</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（二）分项评分超出评分标准范围的；</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（三）评标委员会成员对客观评审因素评分不一致的；</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（四）经评标委员会认定评分畸高、畸低的。</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投标人对本条第一款情形提出质疑的，采购人或者采购代理机构可以组织原评标委员会进行重新评审，重新评审改变评标结果的，应当书面报告本级财政部门。</w:t>
      </w:r>
    </w:p>
    <w:p>
      <w:pPr>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26.11采购代理机构发现评标委员会有明显的违规倾向或歧视现象，或不按评标办法进行，或其他不正常行为的，应当及时制止。如制止无效，应及时向本级财政部门报告。</w:t>
      </w:r>
    </w:p>
    <w:p>
      <w:pPr>
        <w:spacing w:line="360" w:lineRule="exact"/>
        <w:ind w:firstLine="413" w:firstLineChars="196"/>
        <w:outlineLvl w:val="2"/>
        <w:rPr>
          <w:rFonts w:ascii="宋体" w:hAnsi="宋体" w:cs="宋体"/>
          <w:b/>
          <w:color w:val="000000" w:themeColor="text1"/>
          <w:szCs w:val="21"/>
          <w14:textFill>
            <w14:solidFill>
              <w14:schemeClr w14:val="tx1"/>
            </w14:solidFill>
          </w14:textFill>
        </w:rPr>
      </w:pPr>
      <w:bookmarkStart w:id="115" w:name="_Toc17815"/>
      <w:bookmarkStart w:id="116" w:name="_Toc30450"/>
      <w:r>
        <w:rPr>
          <w:rFonts w:hint="eastAsia" w:ascii="宋体" w:hAnsi="宋体" w:cs="宋体"/>
          <w:b/>
          <w:color w:val="000000" w:themeColor="text1"/>
          <w:szCs w:val="21"/>
          <w14:textFill>
            <w14:solidFill>
              <w14:schemeClr w14:val="tx1"/>
            </w14:solidFill>
          </w14:textFill>
        </w:rPr>
        <w:t>27. 推荐及确定中标候选供应商原则</w:t>
      </w:r>
      <w:bookmarkEnd w:id="115"/>
      <w:bookmarkEnd w:id="116"/>
    </w:p>
    <w:p>
      <w:pPr>
        <w:tabs>
          <w:tab w:val="left" w:pos="4214"/>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（1）评标委员会根据综合得分由高到低排列次序，若得分相同时，按评标价由低到高顺序排列；得分相同且评标价也相同的由评标委员会按照抽签的方式决定排次次序</w:t>
      </w:r>
      <w:r>
        <w:rPr>
          <w:rFonts w:hint="eastAsia" w:ascii="宋体" w:hAnsi="宋体" w:cs="宋体"/>
          <w:color w:val="000000" w:themeColor="text1"/>
          <w:sz w:val="22"/>
          <w:szCs w:val="22"/>
          <w14:textFill>
            <w14:solidFill>
              <w14:schemeClr w14:val="tx1"/>
            </w14:solidFill>
          </w14:textFill>
        </w:rPr>
        <w:t>。</w:t>
      </w:r>
    </w:p>
    <w:p>
      <w:pPr>
        <w:tabs>
          <w:tab w:val="left" w:pos="4214"/>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（2）评标委员会可推荐前三名为中标候选供应商，采购人应当确定评标委员会推荐排名第一的中标候选供应商为中标供应商。</w:t>
      </w:r>
    </w:p>
    <w:p>
      <w:pPr>
        <w:spacing w:line="360" w:lineRule="exact"/>
        <w:ind w:firstLine="447" w:firstLineChars="213"/>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排名第一的中标候选供应商放弃中标、因不可抗力提出不能履行合同，或者招标文件规定应当提交履约保证金而在规定的期限内未能提交的，或因失信行为被取消中标候选供应商资格的，采购人可以确定排名第二的中标候选供应商为中标供应商，并依此类推。</w:t>
      </w:r>
    </w:p>
    <w:p>
      <w:pPr>
        <w:spacing w:line="360" w:lineRule="exact"/>
        <w:ind w:firstLine="413" w:firstLineChars="196"/>
        <w:outlineLvl w:val="2"/>
        <w:rPr>
          <w:rFonts w:ascii="宋体" w:hAnsi="宋体" w:cs="宋体"/>
          <w:b/>
          <w:color w:val="000000" w:themeColor="text1"/>
          <w:szCs w:val="21"/>
          <w14:textFill>
            <w14:solidFill>
              <w14:schemeClr w14:val="tx1"/>
            </w14:solidFill>
          </w14:textFill>
        </w:rPr>
      </w:pPr>
      <w:bookmarkStart w:id="117" w:name="_Toc1836"/>
      <w:bookmarkStart w:id="118" w:name="_Toc839"/>
      <w:r>
        <w:rPr>
          <w:rFonts w:hint="eastAsia" w:ascii="宋体" w:hAnsi="宋体" w:cs="宋体"/>
          <w:b/>
          <w:color w:val="000000" w:themeColor="text1"/>
          <w:szCs w:val="21"/>
          <w14:textFill>
            <w14:solidFill>
              <w14:schemeClr w14:val="tx1"/>
            </w14:solidFill>
          </w14:textFill>
        </w:rPr>
        <w:t>28. 属于下列情况之一者，投标无效：</w:t>
      </w:r>
      <w:bookmarkEnd w:id="117"/>
      <w:bookmarkEnd w:id="118"/>
    </w:p>
    <w:p>
      <w:pPr>
        <w:snapToGrid w:val="0"/>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（1）未按照招标文件规定要求签字、盖章的；</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（2）报价超过招标文件中规定的预算金额的；</w:t>
      </w:r>
    </w:p>
    <w:p>
      <w:pPr>
        <w:snapToGrid w:val="0"/>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（3）不具备招标文件中规定的资格要求的</w:t>
      </w:r>
      <w:r>
        <w:rPr>
          <w:rFonts w:hint="eastAsia" w:ascii="宋体" w:hAnsi="宋体" w:cs="宋体"/>
          <w:color w:val="000000" w:themeColor="text1"/>
          <w14:textFill>
            <w14:solidFill>
              <w14:schemeClr w14:val="tx1"/>
            </w14:solidFill>
          </w14:textFill>
        </w:rPr>
        <w:t>；</w:t>
      </w:r>
    </w:p>
    <w:p>
      <w:pPr>
        <w:snapToGrid w:val="0"/>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（4）投标文件含有采购人不能接受的附加条件的；</w:t>
      </w:r>
    </w:p>
    <w:p>
      <w:pPr>
        <w:snapToGrid w:val="0"/>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（5）投标文件未按招标文件的内容和要求编制，或提供虚假或无效材料的；</w:t>
      </w:r>
    </w:p>
    <w:p>
      <w:pPr>
        <w:snapToGrid w:val="0"/>
        <w:spacing w:line="360" w:lineRule="exact"/>
        <w:ind w:firstLine="411" w:firstLineChars="196"/>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hint="eastAsia" w:ascii="宋体" w:hAnsi="宋体" w:cs="宋体"/>
          <w:color w:val="000000" w:themeColor="text1"/>
          <w14:textFill>
            <w14:solidFill>
              <w14:schemeClr w14:val="tx1"/>
            </w14:solidFill>
          </w14:textFill>
        </w:rPr>
        <w:t>投标</w:t>
      </w:r>
      <w:r>
        <w:rPr>
          <w:rFonts w:hint="eastAsia" w:ascii="宋体" w:hAnsi="宋体" w:cs="宋体"/>
          <w:color w:val="000000" w:themeColor="text1"/>
          <w:szCs w:val="21"/>
          <w14:textFill>
            <w14:solidFill>
              <w14:schemeClr w14:val="tx1"/>
            </w14:solidFill>
          </w14:textFill>
        </w:rPr>
        <w:t>人未就“货物采购需求”中的所有内容作完整唯一报价的</w:t>
      </w:r>
      <w:r>
        <w:rPr>
          <w:rFonts w:hint="eastAsia" w:ascii="宋体" w:hAnsi="宋体" w:cs="宋体"/>
          <w:color w:val="000000" w:themeColor="text1"/>
          <w14:textFill>
            <w14:solidFill>
              <w14:schemeClr w14:val="tx1"/>
            </w14:solidFill>
          </w14:textFill>
        </w:rPr>
        <w:t>；</w:t>
      </w:r>
    </w:p>
    <w:p>
      <w:pPr>
        <w:snapToGrid w:val="0"/>
        <w:spacing w:line="36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（7）未完全响应招标文件实质性要求的；</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（8）法律、法规和招标文件规定的其他无效情形。</w:t>
      </w:r>
    </w:p>
    <w:p>
      <w:pPr>
        <w:spacing w:line="360" w:lineRule="exact"/>
        <w:ind w:firstLine="413" w:firstLineChars="196"/>
        <w:outlineLvl w:val="2"/>
        <w:rPr>
          <w:rFonts w:ascii="宋体" w:hAnsi="宋体" w:cs="宋体"/>
          <w:b/>
          <w:color w:val="000000" w:themeColor="text1"/>
          <w:szCs w:val="21"/>
          <w14:textFill>
            <w14:solidFill>
              <w14:schemeClr w14:val="tx1"/>
            </w14:solidFill>
          </w14:textFill>
        </w:rPr>
      </w:pPr>
      <w:bookmarkStart w:id="119" w:name="_Toc15081"/>
      <w:bookmarkStart w:id="120" w:name="_Toc5875"/>
      <w:r>
        <w:rPr>
          <w:rFonts w:hint="eastAsia" w:ascii="宋体" w:hAnsi="宋体" w:cs="宋体"/>
          <w:b/>
          <w:color w:val="000000" w:themeColor="text1"/>
          <w:szCs w:val="21"/>
          <w14:textFill>
            <w14:solidFill>
              <w14:schemeClr w14:val="tx1"/>
            </w14:solidFill>
          </w14:textFill>
        </w:rPr>
        <w:t>29. 投标人有下列情形之一的，视为串通投标，投标文件将被视为无效：</w:t>
      </w:r>
      <w:bookmarkEnd w:id="119"/>
      <w:bookmarkEnd w:id="120"/>
    </w:p>
    <w:p>
      <w:pPr>
        <w:snapToGrid w:val="0"/>
        <w:spacing w:line="360" w:lineRule="exact"/>
        <w:ind w:left="355" w:leftChars="169" w:firstLine="102" w:firstLineChars="49"/>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（1）不同投标人的投标文件由同一单位或者个人编制；</w:t>
      </w:r>
    </w:p>
    <w:p>
      <w:pPr>
        <w:snapToGrid w:val="0"/>
        <w:spacing w:line="360" w:lineRule="exact"/>
        <w:ind w:left="355" w:leftChars="169" w:firstLine="102" w:firstLineChars="49"/>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（2）不同投标人委托同一单位或者个人办理投标事宜；</w:t>
      </w:r>
    </w:p>
    <w:p>
      <w:pPr>
        <w:snapToGrid w:val="0"/>
        <w:spacing w:line="360" w:lineRule="exact"/>
        <w:ind w:left="355" w:leftChars="169" w:firstLine="102" w:firstLineChars="49"/>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（3）不同的投标人的投标文件载明的项目管理员或者联系人员为同一个人；</w:t>
      </w:r>
    </w:p>
    <w:p>
      <w:pPr>
        <w:snapToGrid w:val="0"/>
        <w:spacing w:line="360" w:lineRule="exact"/>
        <w:ind w:left="355" w:leftChars="169" w:firstLine="102" w:firstLineChars="49"/>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（4）不同投标人的投标文件异常一致或投标报价呈规律性差异； </w:t>
      </w:r>
    </w:p>
    <w:p>
      <w:pPr>
        <w:snapToGrid w:val="0"/>
        <w:spacing w:line="360" w:lineRule="exact"/>
        <w:ind w:left="355" w:leftChars="169" w:firstLine="102" w:firstLineChars="49"/>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（5）不同投标人的投标文件相互混装；</w:t>
      </w:r>
    </w:p>
    <w:p>
      <w:pPr>
        <w:snapToGrid w:val="0"/>
        <w:spacing w:line="360" w:lineRule="exact"/>
        <w:ind w:left="355" w:leftChars="169" w:firstLine="102" w:firstLineChars="49"/>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（6）不同投标人的投标保证金从同一单位或者个人账户转出。</w:t>
      </w:r>
    </w:p>
    <w:p>
      <w:pPr>
        <w:spacing w:line="360" w:lineRule="exact"/>
        <w:ind w:firstLine="413" w:firstLineChars="196"/>
        <w:outlineLvl w:val="2"/>
        <w:rPr>
          <w:rFonts w:ascii="宋体" w:hAnsi="宋体" w:cs="宋体"/>
          <w:b/>
          <w:color w:val="000000" w:themeColor="text1"/>
          <w:szCs w:val="21"/>
          <w14:textFill>
            <w14:solidFill>
              <w14:schemeClr w14:val="tx1"/>
            </w14:solidFill>
          </w14:textFill>
        </w:rPr>
      </w:pPr>
      <w:bookmarkStart w:id="121" w:name="_Toc18148"/>
      <w:bookmarkStart w:id="122" w:name="_Toc26728"/>
      <w:r>
        <w:rPr>
          <w:rFonts w:hint="eastAsia" w:ascii="宋体" w:hAnsi="宋体" w:cs="宋体"/>
          <w:b/>
          <w:color w:val="000000" w:themeColor="text1"/>
          <w:szCs w:val="21"/>
          <w14:textFill>
            <w14:solidFill>
              <w14:schemeClr w14:val="tx1"/>
            </w14:solidFill>
          </w14:textFill>
        </w:rPr>
        <w:t>30. 属于下列情形之一的，应予废标：</w:t>
      </w:r>
      <w:bookmarkEnd w:id="121"/>
      <w:bookmarkEnd w:id="122"/>
    </w:p>
    <w:p>
      <w:pPr>
        <w:tabs>
          <w:tab w:val="left" w:pos="840"/>
        </w:tabs>
        <w:snapToGrid w:val="0"/>
        <w:spacing w:line="360" w:lineRule="exact"/>
        <w:ind w:left="330" w:leftChars="157" w:firstLine="102" w:firstLineChars="49"/>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（1）符合专业条件的供应商或者对招标文件作实质响应的供应商不足3家的；</w:t>
      </w:r>
    </w:p>
    <w:p>
      <w:pPr>
        <w:tabs>
          <w:tab w:val="left" w:pos="840"/>
        </w:tabs>
        <w:snapToGrid w:val="0"/>
        <w:spacing w:line="360" w:lineRule="exact"/>
        <w:ind w:left="330" w:leftChars="157" w:firstLine="105" w:firstLineChars="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（2）出现影响采购公正的违法、违规行为的；</w:t>
      </w:r>
    </w:p>
    <w:p>
      <w:pPr>
        <w:tabs>
          <w:tab w:val="left" w:pos="840"/>
        </w:tabs>
        <w:snapToGrid w:val="0"/>
        <w:spacing w:line="360" w:lineRule="exact"/>
        <w:ind w:left="330" w:leftChars="157" w:firstLine="105" w:firstLineChars="5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（3）采购文件内容违反国家有关强制性规定的；</w:t>
      </w:r>
    </w:p>
    <w:p>
      <w:pPr>
        <w:tabs>
          <w:tab w:val="left" w:pos="840"/>
        </w:tabs>
        <w:snapToGrid w:val="0"/>
        <w:spacing w:line="360" w:lineRule="exact"/>
        <w:ind w:left="330" w:leftChars="157" w:firstLine="105" w:firstLineChars="5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（4）因重大变故，采购任务取消的。</w:t>
      </w:r>
    </w:p>
    <w:p>
      <w:pPr>
        <w:spacing w:line="360" w:lineRule="exact"/>
        <w:ind w:firstLine="413" w:firstLineChars="196"/>
        <w:outlineLvl w:val="2"/>
        <w:rPr>
          <w:rFonts w:ascii="宋体" w:hAnsi="宋体" w:cs="宋体"/>
          <w:b/>
          <w:color w:val="000000" w:themeColor="text1"/>
          <w:szCs w:val="21"/>
          <w14:textFill>
            <w14:solidFill>
              <w14:schemeClr w14:val="tx1"/>
            </w14:solidFill>
          </w14:textFill>
        </w:rPr>
      </w:pPr>
      <w:bookmarkStart w:id="123" w:name="_Toc13964"/>
      <w:bookmarkStart w:id="124" w:name="_Toc28686"/>
      <w:r>
        <w:rPr>
          <w:rFonts w:hint="eastAsia" w:ascii="宋体" w:hAnsi="宋体" w:cs="宋体"/>
          <w:b/>
          <w:color w:val="000000" w:themeColor="text1"/>
          <w:szCs w:val="21"/>
          <w14:textFill>
            <w14:solidFill>
              <w14:schemeClr w14:val="tx1"/>
            </w14:solidFill>
          </w14:textFill>
        </w:rPr>
        <w:t>31. 开标、评标过程的监控</w:t>
      </w:r>
      <w:bookmarkEnd w:id="123"/>
      <w:bookmarkEnd w:id="124"/>
    </w:p>
    <w:p>
      <w:pPr>
        <w:spacing w:line="360" w:lineRule="exact"/>
        <w:ind w:firstLine="411" w:firstLineChars="196"/>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本项目开标、评标过程实行全程录音、录像监控，投标人在评标过程中所进行的试图影响评标结果的不公正活动，可能导致其投标被拒绝。</w:t>
      </w:r>
    </w:p>
    <w:p>
      <w:pPr>
        <w:spacing w:line="360" w:lineRule="exact"/>
        <w:ind w:firstLine="413" w:firstLineChars="196"/>
        <w:outlineLvl w:val="2"/>
        <w:rPr>
          <w:rFonts w:ascii="宋体" w:hAnsi="宋体" w:cs="宋体"/>
          <w:b/>
          <w:color w:val="000000" w:themeColor="text1"/>
          <w:szCs w:val="21"/>
          <w14:textFill>
            <w14:solidFill>
              <w14:schemeClr w14:val="tx1"/>
            </w14:solidFill>
          </w14:textFill>
        </w:rPr>
      </w:pPr>
      <w:bookmarkStart w:id="125" w:name="_Toc1321"/>
      <w:bookmarkStart w:id="126" w:name="_Toc3267"/>
      <w:r>
        <w:rPr>
          <w:rFonts w:hint="eastAsia" w:ascii="宋体" w:hAnsi="宋体" w:cs="宋体"/>
          <w:b/>
          <w:color w:val="000000" w:themeColor="text1"/>
          <w:szCs w:val="21"/>
          <w14:textFill>
            <w14:solidFill>
              <w14:schemeClr w14:val="tx1"/>
            </w14:solidFill>
          </w14:textFill>
        </w:rPr>
        <w:t>32. 信用查询</w:t>
      </w:r>
      <w:bookmarkEnd w:id="125"/>
      <w:bookmarkEnd w:id="126"/>
    </w:p>
    <w:p>
      <w:pPr>
        <w:spacing w:line="360" w:lineRule="exact"/>
        <w:ind w:firstLine="411" w:firstLineChars="196"/>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根据《关于做好政府采购有关信用主体标识码登记及在政府采购活动中查询使用信用记录有关问题的通知》桂财采〔2016〕37号的通知，中标通知书发出前，由采购代理机构对第一中标候选供应商进行信用查询：</w:t>
      </w:r>
    </w:p>
    <w:p>
      <w:pPr>
        <w:spacing w:line="360" w:lineRule="exact"/>
        <w:ind w:firstLine="411" w:firstLineChars="196"/>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⑴查询渠道：“信用中国”网站(www.creditchina.gov.cn)、中国政府采购网(www.ccgp.gov.cn)等；</w:t>
      </w:r>
    </w:p>
    <w:p>
      <w:pPr>
        <w:spacing w:line="360" w:lineRule="exact"/>
        <w:ind w:firstLine="411" w:firstLineChars="196"/>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⑵查询截止时间：中标通知书发出前；</w:t>
      </w:r>
    </w:p>
    <w:p>
      <w:pPr>
        <w:spacing w:line="360" w:lineRule="exact"/>
        <w:ind w:firstLine="411" w:firstLineChars="196"/>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⑶信用信息查询记录和证据留存方式：在查询网站中直接打印查询记录，打印材料作为采购活动资料保存；</w:t>
      </w:r>
    </w:p>
    <w:p>
      <w:pPr>
        <w:spacing w:line="360" w:lineRule="exact"/>
        <w:ind w:firstLine="411" w:firstLineChars="196"/>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供应商资格。</w:t>
      </w:r>
    </w:p>
    <w:p>
      <w:pPr>
        <w:spacing w:line="360" w:lineRule="exact"/>
        <w:ind w:firstLine="411" w:firstLineChars="196"/>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两个以上的自然人、法人或者其他组织组成一个联合体，以一个供应商的身份共同参加政府采购活动的，对所有联合体成员进行信用记录查询，联合体成员存在不良信用记录的，视同联合体存在不良信用记录。</w:t>
      </w:r>
    </w:p>
    <w:p>
      <w:pPr>
        <w:spacing w:line="360" w:lineRule="exact"/>
        <w:ind w:firstLine="413" w:firstLineChars="196"/>
        <w:outlineLvl w:val="2"/>
        <w:rPr>
          <w:rFonts w:ascii="宋体" w:hAnsi="宋体" w:cs="宋体"/>
          <w:b/>
          <w:color w:val="000000" w:themeColor="text1"/>
          <w:szCs w:val="21"/>
          <w14:textFill>
            <w14:solidFill>
              <w14:schemeClr w14:val="tx1"/>
            </w14:solidFill>
          </w14:textFill>
        </w:rPr>
      </w:pPr>
      <w:bookmarkStart w:id="127" w:name="_Toc28582"/>
      <w:bookmarkStart w:id="128" w:name="_Toc27712"/>
      <w:r>
        <w:rPr>
          <w:rFonts w:hint="eastAsia" w:ascii="宋体" w:hAnsi="宋体" w:cs="宋体"/>
          <w:b/>
          <w:color w:val="000000" w:themeColor="text1"/>
          <w:szCs w:val="21"/>
          <w14:textFill>
            <w14:solidFill>
              <w14:schemeClr w14:val="tx1"/>
            </w14:solidFill>
          </w14:textFill>
        </w:rPr>
        <w:t>33. 中标公告及中标通知书</w:t>
      </w:r>
      <w:bookmarkEnd w:id="127"/>
      <w:bookmarkEnd w:id="128"/>
    </w:p>
    <w:p>
      <w:pPr>
        <w:tabs>
          <w:tab w:val="left" w:pos="455"/>
        </w:tabs>
        <w:spacing w:line="36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33.1采购代理机构于评标结束后两个工作日内将评标报告送交采购人，采购人应当自收到评标报告五个工作日内在评标报告推荐的中标候选供应商中按顺序确定中标供应商；采购代理机构在中标供应商确定之日起两个工作日内在指定媒体上公告中标结果，中标公告期限为一个工作日。</w:t>
      </w:r>
    </w:p>
    <w:p>
      <w:pPr>
        <w:spacing w:line="36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33.2中标公告发布的同时，采购代理机构向中标供应商发出中标通知书，中标供应商应自接到通知之日起七个工作日内，办理中标通知书领取手续。</w:t>
      </w:r>
    </w:p>
    <w:p>
      <w:pPr>
        <w:tabs>
          <w:tab w:val="left" w:pos="1140"/>
        </w:tabs>
        <w:spacing w:line="400" w:lineRule="exact"/>
        <w:ind w:left="420" w:leftChars="200"/>
        <w:rPr>
          <w:rFonts w:ascii="宋体" w:hAnsi="宋体" w:cs="宋体"/>
          <w:b/>
          <w:color w:val="000000" w:themeColor="text1"/>
          <w:sz w:val="28"/>
          <w:szCs w:val="28"/>
          <w14:textFill>
            <w14:solidFill>
              <w14:schemeClr w14:val="tx1"/>
            </w14:solidFill>
          </w14:textFill>
        </w:rPr>
      </w:pPr>
    </w:p>
    <w:p>
      <w:pPr>
        <w:spacing w:line="360" w:lineRule="auto"/>
        <w:jc w:val="center"/>
        <w:outlineLvl w:val="1"/>
        <w:rPr>
          <w:rFonts w:ascii="宋体" w:hAnsi="宋体" w:cs="宋体"/>
          <w:b/>
          <w:color w:val="000000" w:themeColor="text1"/>
          <w:sz w:val="28"/>
          <w:szCs w:val="28"/>
          <w14:textFill>
            <w14:solidFill>
              <w14:schemeClr w14:val="tx1"/>
            </w14:solidFill>
          </w14:textFill>
        </w:rPr>
      </w:pPr>
      <w:bookmarkStart w:id="129" w:name="_Toc31543"/>
      <w:bookmarkStart w:id="130" w:name="_Toc24600"/>
      <w:bookmarkStart w:id="131" w:name="_Toc495841760"/>
      <w:r>
        <w:rPr>
          <w:rFonts w:hint="eastAsia" w:ascii="宋体" w:hAnsi="宋体" w:cs="宋体"/>
          <w:b/>
          <w:color w:val="000000" w:themeColor="text1"/>
          <w:sz w:val="28"/>
          <w:szCs w:val="28"/>
          <w14:textFill>
            <w14:solidFill>
              <w14:schemeClr w14:val="tx1"/>
            </w14:solidFill>
          </w14:textFill>
        </w:rPr>
        <w:t>七、履约保证金及签订合同</w:t>
      </w:r>
      <w:bookmarkEnd w:id="129"/>
      <w:bookmarkEnd w:id="130"/>
      <w:bookmarkEnd w:id="131"/>
    </w:p>
    <w:p>
      <w:pPr>
        <w:spacing w:line="360" w:lineRule="exact"/>
        <w:ind w:firstLine="413" w:firstLineChars="196"/>
        <w:outlineLvl w:val="2"/>
        <w:rPr>
          <w:rFonts w:ascii="宋体" w:hAnsi="宋体" w:cs="宋体"/>
          <w:b/>
          <w:color w:val="000000" w:themeColor="text1"/>
          <w:szCs w:val="21"/>
          <w14:textFill>
            <w14:solidFill>
              <w14:schemeClr w14:val="tx1"/>
            </w14:solidFill>
          </w14:textFill>
        </w:rPr>
      </w:pPr>
      <w:bookmarkStart w:id="132" w:name="_Toc6994"/>
      <w:bookmarkStart w:id="133" w:name="_Toc9822"/>
      <w:r>
        <w:rPr>
          <w:rFonts w:hint="eastAsia" w:ascii="宋体" w:hAnsi="宋体" w:cs="宋体"/>
          <w:b/>
          <w:color w:val="000000" w:themeColor="text1"/>
          <w:szCs w:val="21"/>
          <w14:textFill>
            <w14:solidFill>
              <w14:schemeClr w14:val="tx1"/>
            </w14:solidFill>
          </w14:textFill>
        </w:rPr>
        <w:t>34. 履约保证金</w:t>
      </w:r>
      <w:bookmarkEnd w:id="132"/>
      <w:bookmarkEnd w:id="133"/>
    </w:p>
    <w:p>
      <w:pPr>
        <w:pStyle w:val="15"/>
        <w:spacing w:line="360" w:lineRule="exact"/>
        <w:ind w:left="2" w:leftChars="1" w:firstLine="420" w:firstLineChars="20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34.1</w:t>
      </w:r>
      <w:r>
        <w:rPr>
          <w:rFonts w:hint="eastAsia" w:hAnsi="宋体" w:cs="宋体"/>
          <w:color w:val="000000" w:themeColor="text1"/>
          <w:szCs w:val="21"/>
          <w:lang w:val="en-US" w:eastAsia="zh-CN"/>
          <w14:textFill>
            <w14:solidFill>
              <w14:schemeClr w14:val="tx1"/>
            </w14:solidFill>
          </w14:textFill>
        </w:rPr>
        <w:t>本项目免收履约保证金。</w:t>
      </w:r>
    </w:p>
    <w:p>
      <w:pPr>
        <w:spacing w:line="360" w:lineRule="exact"/>
        <w:ind w:firstLine="413" w:firstLineChars="196"/>
        <w:outlineLvl w:val="2"/>
        <w:rPr>
          <w:rFonts w:ascii="宋体" w:hAnsi="宋体" w:cs="宋体"/>
          <w:b/>
          <w:color w:val="000000" w:themeColor="text1"/>
          <w:szCs w:val="21"/>
          <w14:textFill>
            <w14:solidFill>
              <w14:schemeClr w14:val="tx1"/>
            </w14:solidFill>
          </w14:textFill>
        </w:rPr>
      </w:pPr>
      <w:bookmarkStart w:id="134" w:name="_Toc18160"/>
      <w:bookmarkStart w:id="135" w:name="_Toc9194"/>
      <w:r>
        <w:rPr>
          <w:rFonts w:hint="eastAsia" w:ascii="宋体" w:hAnsi="宋体" w:cs="宋体"/>
          <w:b/>
          <w:color w:val="000000" w:themeColor="text1"/>
          <w:szCs w:val="21"/>
          <w14:textFill>
            <w14:solidFill>
              <w14:schemeClr w14:val="tx1"/>
            </w14:solidFill>
          </w14:textFill>
        </w:rPr>
        <w:t>35. 签订合同</w:t>
      </w:r>
      <w:bookmarkEnd w:id="134"/>
      <w:bookmarkEnd w:id="135"/>
    </w:p>
    <w:p>
      <w:pPr>
        <w:spacing w:line="360" w:lineRule="exact"/>
        <w:ind w:left="2" w:leftChars="1"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35.1签订合同时间：</w:t>
      </w:r>
      <w:r>
        <w:rPr>
          <w:rFonts w:hint="eastAsia" w:ascii="宋体" w:hAnsi="宋体" w:cs="宋体"/>
          <w:b/>
          <w:bCs/>
          <w:color w:val="000000" w:themeColor="text1"/>
          <w:szCs w:val="21"/>
          <w14:textFill>
            <w14:solidFill>
              <w14:schemeClr w14:val="tx1"/>
            </w14:solidFill>
          </w14:textFill>
        </w:rPr>
        <w:t>中标通知书发出之日起二十五日内</w:t>
      </w:r>
      <w:r>
        <w:rPr>
          <w:rFonts w:hint="eastAsia" w:ascii="宋体" w:hAnsi="宋体" w:cs="宋体"/>
          <w:color w:val="000000" w:themeColor="text1"/>
          <w:szCs w:val="21"/>
          <w14:textFill>
            <w14:solidFill>
              <w14:schemeClr w14:val="tx1"/>
            </w14:solidFill>
          </w14:textFill>
        </w:rPr>
        <w:t>。中标供应商领取中标通知书后，应按规定与采购人签订合同。</w:t>
      </w:r>
    </w:p>
    <w:p>
      <w:pPr>
        <w:spacing w:line="360" w:lineRule="exact"/>
        <w:ind w:left="2" w:leftChars="1"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35.2中标供应商为联合体的，联合体各方均应与采购人签订合同，并承担连带责任。</w:t>
      </w:r>
      <w:r>
        <w:rPr>
          <w:rFonts w:hint="eastAsia" w:ascii="宋体" w:hAnsi="宋体" w:cs="宋体"/>
          <w:color w:val="000000" w:themeColor="text1"/>
          <w14:textFill>
            <w14:solidFill>
              <w14:schemeClr w14:val="tx1"/>
            </w14:solidFill>
          </w14:textFill>
        </w:rPr>
        <w:t>（本项目不接受联合体投标）</w:t>
      </w:r>
    </w:p>
    <w:p>
      <w:pPr>
        <w:spacing w:line="360" w:lineRule="exact"/>
        <w:ind w:left="2" w:leftChars="1"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35.3如中标供应商有下列情形之一的，情节严重的，由财政部门将其列入不良行为记录名单，在一至三年内禁止参加政府采购活动，并予以通报。采购人或者采购代理机构可从评标委员会推荐的中标候选供应商中按顺序重新确定中标供应商或重新组织招标。</w:t>
      </w:r>
    </w:p>
    <w:p>
      <w:pPr>
        <w:spacing w:line="360" w:lineRule="exact"/>
        <w:ind w:firstLine="315" w:firstLineChars="1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（1）中标后不与采购人签订合同的（不可抗力除外）；</w:t>
      </w:r>
    </w:p>
    <w:p>
      <w:pPr>
        <w:spacing w:line="360" w:lineRule="exact"/>
        <w:ind w:left="2" w:leftChars="1" w:firstLine="315" w:firstLineChars="1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（2）将中标项目转让给他人，或者在投标文件中未说明，且未经采购人同意，将中标项目分包给他人的；</w:t>
      </w:r>
    </w:p>
    <w:p>
      <w:pPr>
        <w:spacing w:line="360" w:lineRule="exact"/>
        <w:ind w:firstLine="315" w:firstLineChars="1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（3）拒绝履行合同义务的。</w:t>
      </w:r>
    </w:p>
    <w:p>
      <w:pPr>
        <w:spacing w:line="360" w:lineRule="exact"/>
        <w:ind w:left="2" w:leftChars="1"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35.4合同备案存档：政府采购合同双方自签订之日起一个工作日内将合同原件一份交采购代理机构，并于合同签订之日起七个工作日内将一份合同原件送本级财政部门备案。</w:t>
      </w:r>
    </w:p>
    <w:p>
      <w:pPr>
        <w:spacing w:line="400" w:lineRule="exact"/>
        <w:ind w:left="2" w:leftChars="1" w:firstLine="420" w:firstLineChars="200"/>
        <w:rPr>
          <w:rFonts w:ascii="宋体" w:hAnsi="宋体" w:cs="宋体"/>
          <w:color w:val="000000" w:themeColor="text1"/>
          <w:szCs w:val="21"/>
          <w14:textFill>
            <w14:solidFill>
              <w14:schemeClr w14:val="tx1"/>
            </w14:solidFill>
          </w14:textFill>
        </w:rPr>
      </w:pPr>
    </w:p>
    <w:p>
      <w:pPr>
        <w:spacing w:line="360" w:lineRule="auto"/>
        <w:jc w:val="center"/>
        <w:outlineLvl w:val="1"/>
        <w:rPr>
          <w:rFonts w:ascii="宋体" w:hAnsi="宋体" w:cs="宋体"/>
          <w:b/>
          <w:color w:val="000000" w:themeColor="text1"/>
          <w:sz w:val="28"/>
          <w:szCs w:val="28"/>
          <w14:textFill>
            <w14:solidFill>
              <w14:schemeClr w14:val="tx1"/>
            </w14:solidFill>
          </w14:textFill>
        </w:rPr>
      </w:pPr>
      <w:bookmarkStart w:id="136" w:name="_Toc495841761"/>
      <w:bookmarkStart w:id="137" w:name="_Toc1909"/>
      <w:bookmarkStart w:id="138" w:name="_Toc13474"/>
      <w:r>
        <w:rPr>
          <w:rFonts w:hint="eastAsia" w:ascii="宋体" w:hAnsi="宋体" w:cs="宋体"/>
          <w:b/>
          <w:color w:val="000000" w:themeColor="text1"/>
          <w:sz w:val="28"/>
          <w:szCs w:val="28"/>
          <w14:textFill>
            <w14:solidFill>
              <w14:schemeClr w14:val="tx1"/>
            </w14:solidFill>
          </w14:textFill>
        </w:rPr>
        <w:t>八、其他事项</w:t>
      </w:r>
      <w:bookmarkEnd w:id="136"/>
      <w:bookmarkEnd w:id="137"/>
      <w:bookmarkEnd w:id="138"/>
    </w:p>
    <w:p>
      <w:pPr>
        <w:spacing w:line="380" w:lineRule="exact"/>
        <w:ind w:firstLine="413" w:firstLineChars="196"/>
        <w:outlineLvl w:val="2"/>
        <w:rPr>
          <w:rFonts w:ascii="宋体" w:hAnsi="宋体" w:cs="宋体"/>
          <w:b/>
          <w:color w:val="000000" w:themeColor="text1"/>
          <w:szCs w:val="21"/>
          <w14:textFill>
            <w14:solidFill>
              <w14:schemeClr w14:val="tx1"/>
            </w14:solidFill>
          </w14:textFill>
        </w:rPr>
      </w:pPr>
      <w:bookmarkStart w:id="139" w:name="_Toc19503"/>
      <w:bookmarkStart w:id="140" w:name="_Toc5655"/>
      <w:bookmarkStart w:id="141" w:name="_Toc14099"/>
      <w:bookmarkStart w:id="142" w:name="_Toc4309"/>
      <w:bookmarkStart w:id="143" w:name="_Toc2437"/>
      <w:bookmarkStart w:id="144" w:name="_Toc32243"/>
      <w:r>
        <w:rPr>
          <w:rFonts w:hint="eastAsia" w:ascii="宋体" w:hAnsi="宋体" w:cs="宋体"/>
          <w:b/>
          <w:color w:val="000000" w:themeColor="text1"/>
          <w:szCs w:val="21"/>
          <w14:textFill>
            <w14:solidFill>
              <w14:schemeClr w14:val="tx1"/>
            </w14:solidFill>
          </w14:textFill>
        </w:rPr>
        <w:t>36. 招标代理服务费</w:t>
      </w:r>
      <w:bookmarkEnd w:id="139"/>
      <w:bookmarkEnd w:id="140"/>
      <w:bookmarkEnd w:id="141"/>
      <w:bookmarkEnd w:id="142"/>
      <w:bookmarkEnd w:id="143"/>
    </w:p>
    <w:p>
      <w:pPr>
        <w:spacing w:line="380" w:lineRule="exact"/>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本项目免收代理服务费。</w:t>
      </w:r>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145" w:name="_Toc24544"/>
      <w:r>
        <w:rPr>
          <w:rFonts w:hint="eastAsia" w:ascii="宋体" w:hAnsi="宋体" w:cs="宋体"/>
          <w:b/>
          <w:color w:val="000000" w:themeColor="text1"/>
          <w:szCs w:val="21"/>
          <w14:textFill>
            <w14:solidFill>
              <w14:schemeClr w14:val="tx1"/>
            </w14:solidFill>
          </w14:textFill>
        </w:rPr>
        <w:t>37. 解释权</w:t>
      </w:r>
      <w:bookmarkEnd w:id="145"/>
    </w:p>
    <w:p>
      <w:pPr>
        <w:snapToGrid w:val="0"/>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本招标文件是根据《中华人民共和国政府采购法》、《中华人民共和国政府采购法实施条例》及财政部令第87号《政府采购货物和服务招标投标管理办法》和政府采购管理有关规定编制，本招标文件的解释权属于桂林市政府集中采购中心。</w:t>
      </w:r>
      <w:bookmarkEnd w:id="144"/>
    </w:p>
    <w:p>
      <w:pPr>
        <w:spacing w:line="400" w:lineRule="exact"/>
        <w:ind w:firstLine="413" w:firstLineChars="196"/>
        <w:outlineLvl w:val="2"/>
        <w:rPr>
          <w:rFonts w:ascii="宋体" w:hAnsi="宋体" w:cs="宋体"/>
          <w:b/>
          <w:color w:val="000000" w:themeColor="text1"/>
          <w:szCs w:val="21"/>
          <w14:textFill>
            <w14:solidFill>
              <w14:schemeClr w14:val="tx1"/>
            </w14:solidFill>
          </w14:textFill>
        </w:rPr>
      </w:pPr>
      <w:bookmarkStart w:id="146" w:name="_Toc11083"/>
      <w:bookmarkStart w:id="147" w:name="_Toc11077"/>
      <w:r>
        <w:rPr>
          <w:rFonts w:hint="eastAsia" w:ascii="宋体" w:hAnsi="宋体" w:cs="宋体"/>
          <w:b/>
          <w:color w:val="000000" w:themeColor="text1"/>
          <w:szCs w:val="21"/>
          <w14:textFill>
            <w14:solidFill>
              <w14:schemeClr w14:val="tx1"/>
            </w14:solidFill>
          </w14:textFill>
        </w:rPr>
        <w:t>38. 监督管理机构</w:t>
      </w:r>
      <w:bookmarkEnd w:id="146"/>
    </w:p>
    <w:p>
      <w:pPr>
        <w:snapToGrid w:val="0"/>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广西壮族自治区财政厅政府采购监督管理处</w:t>
      </w:r>
      <w:r>
        <w:rPr>
          <w:rFonts w:hint="eastAsia" w:ascii="宋体" w:hAnsi="宋体" w:cs="宋体"/>
          <w:color w:val="000000" w:themeColor="text1"/>
          <w:szCs w:val="21"/>
          <w14:textFill>
            <w14:solidFill>
              <w14:schemeClr w14:val="tx1"/>
            </w14:solidFill>
          </w14:textFill>
        </w:rPr>
        <w:t xml:space="preserve">    电话：</w:t>
      </w:r>
      <w:r>
        <w:rPr>
          <w:rFonts w:hint="eastAsia" w:ascii="宋体" w:hAnsi="宋体" w:cs="宋体"/>
          <w:color w:val="000000" w:themeColor="text1"/>
          <w:szCs w:val="21"/>
          <w14:textFill>
            <w14:solidFill>
              <w14:schemeClr w14:val="tx1"/>
            </w14:solidFill>
          </w14:textFill>
        </w:rPr>
        <w:t>0771-5331544</w:t>
      </w:r>
    </w:p>
    <w:bookmarkEnd w:id="147"/>
    <w:p>
      <w:pPr>
        <w:jc w:val="center"/>
        <w:outlineLvl w:val="0"/>
        <w:rPr>
          <w:rFonts w:ascii="宋体" w:hAnsi="宋体" w:cs="宋体"/>
          <w:color w:val="000000" w:themeColor="text1"/>
          <w:sz w:val="32"/>
          <w:szCs w:val="32"/>
          <w14:textFill>
            <w14:solidFill>
              <w14:schemeClr w14:val="tx1"/>
            </w14:solidFill>
          </w14:textFill>
        </w:rPr>
      </w:pPr>
      <w:r>
        <w:rPr>
          <w:rFonts w:hint="eastAsia" w:ascii="宋体" w:hAnsi="宋体" w:cs="宋体"/>
          <w:color w:val="000000" w:themeColor="text1"/>
          <w:sz w:val="32"/>
          <w:szCs w:val="32"/>
          <w14:textFill>
            <w14:solidFill>
              <w14:schemeClr w14:val="tx1"/>
            </w14:solidFill>
          </w14:textFill>
        </w:rPr>
        <w:br w:type="page"/>
      </w:r>
      <w:bookmarkStart w:id="148" w:name="_Toc12929"/>
      <w:bookmarkStart w:id="149" w:name="_Toc13577"/>
      <w:r>
        <w:rPr>
          <w:rFonts w:hint="eastAsia" w:ascii="宋体" w:hAnsi="宋体" w:cs="宋体"/>
          <w:b/>
          <w:bCs/>
          <w:color w:val="000000" w:themeColor="text1"/>
          <w:kern w:val="44"/>
          <w:sz w:val="32"/>
          <w:szCs w:val="32"/>
          <w14:textFill>
            <w14:solidFill>
              <w14:schemeClr w14:val="tx1"/>
            </w14:solidFill>
          </w14:textFill>
        </w:rPr>
        <w:t>第三章  货物采购需求</w:t>
      </w:r>
      <w:bookmarkEnd w:id="148"/>
      <w:bookmarkEnd w:id="149"/>
    </w:p>
    <w:p>
      <w:pPr>
        <w:adjustRightInd w:val="0"/>
        <w:spacing w:line="400" w:lineRule="exact"/>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说明：</w:t>
      </w:r>
    </w:p>
    <w:p>
      <w:pPr>
        <w:adjustRightInd w:val="0"/>
        <w:spacing w:line="400" w:lineRule="exact"/>
        <w:ind w:firstLine="431"/>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1、根据《关于调整优化节能产品、环境标志产品政府采购执行机制的通知》（财库〔2019〕9号）的规定，政府采购节能产品、环境标志产品实施品目清单管理，依据品目清单和认证证书实施政府优先采购。采购人拟采购的产品属于品目清单范围的，采购人及其委托的采购代理机构应当依据国家确定的认证机构出具的、处于有效期之内的节能产品、环境标志产品认证证书，对获得证书的产品实施政府优先采购。投标人投标时须提供投标产品的相关证明材料。</w:t>
      </w:r>
    </w:p>
    <w:p>
      <w:pPr>
        <w:adjustRightInd w:val="0"/>
        <w:spacing w:line="400" w:lineRule="exact"/>
        <w:ind w:firstLine="431"/>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《节能产品政府采购品目清单》中：</w:t>
      </w:r>
    </w:p>
    <w:p>
      <w:pPr>
        <w:numPr>
          <w:ilvl w:val="0"/>
          <w:numId w:val="6"/>
        </w:numPr>
        <w:adjustRightInd w:val="0"/>
        <w:spacing w:line="400" w:lineRule="exact"/>
        <w:ind w:left="845"/>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计算机设备（台式计算机、便携式计算机、平板式微型计算机）；</w:t>
      </w:r>
    </w:p>
    <w:p>
      <w:pPr>
        <w:numPr>
          <w:ilvl w:val="0"/>
          <w:numId w:val="6"/>
        </w:numPr>
        <w:adjustRightInd w:val="0"/>
        <w:spacing w:line="400" w:lineRule="exact"/>
        <w:ind w:left="845"/>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输入输出设备【打印设备（喷墨打印机、激光打印机、针式打印机）、显示设备（液晶显示器）】；</w:t>
      </w:r>
    </w:p>
    <w:p>
      <w:pPr>
        <w:numPr>
          <w:ilvl w:val="0"/>
          <w:numId w:val="6"/>
        </w:numPr>
        <w:adjustRightInd w:val="0"/>
        <w:spacing w:line="400" w:lineRule="exact"/>
        <w:ind w:left="845"/>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制冷空调设备【制冷压缩机（冷水机组、水源热泵机组、溴化锂吸收式冷水机组）、空调机组（多联式空调（热泵）机组（制冷量＞14000W）、单元式空气调节机（制冷量＞14000W））、专用制冷、空调设备（机房空调）】；</w:t>
      </w:r>
    </w:p>
    <w:p>
      <w:pPr>
        <w:numPr>
          <w:ilvl w:val="0"/>
          <w:numId w:val="6"/>
        </w:numPr>
        <w:adjustRightInd w:val="0"/>
        <w:spacing w:line="400" w:lineRule="exact"/>
        <w:ind w:left="845"/>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镇流器（管型荧光灯镇流器）；</w:t>
      </w:r>
    </w:p>
    <w:p>
      <w:pPr>
        <w:numPr>
          <w:ilvl w:val="0"/>
          <w:numId w:val="6"/>
        </w:numPr>
        <w:adjustRightInd w:val="0"/>
        <w:spacing w:line="400" w:lineRule="exact"/>
        <w:ind w:left="845"/>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生活用电器｛空调机【房间空气调节器、多联式空调（热泵）机组（制冷量≤14000W）、单元式空气调节机（制冷量≤14000W）】、热水器（电热水器）｝；</w:t>
      </w:r>
    </w:p>
    <w:p>
      <w:pPr>
        <w:numPr>
          <w:ilvl w:val="0"/>
          <w:numId w:val="6"/>
        </w:numPr>
        <w:adjustRightInd w:val="0"/>
        <w:spacing w:line="400" w:lineRule="exact"/>
        <w:ind w:left="845"/>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照明设备（普通照明用双端荧光灯）；</w:t>
      </w:r>
    </w:p>
    <w:p>
      <w:pPr>
        <w:numPr>
          <w:ilvl w:val="0"/>
          <w:numId w:val="6"/>
        </w:numPr>
        <w:adjustRightInd w:val="0"/>
        <w:spacing w:line="400" w:lineRule="exact"/>
        <w:ind w:left="845"/>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电视设备【普通电视设备（电视机）】；</w:t>
      </w:r>
    </w:p>
    <w:p>
      <w:pPr>
        <w:numPr>
          <w:ilvl w:val="0"/>
          <w:numId w:val="6"/>
        </w:numPr>
        <w:adjustRightInd w:val="0"/>
        <w:spacing w:line="400" w:lineRule="exact"/>
        <w:ind w:left="845"/>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视频设备【视频监控设备（监视器）】；</w:t>
      </w:r>
    </w:p>
    <w:p>
      <w:pPr>
        <w:numPr>
          <w:ilvl w:val="0"/>
          <w:numId w:val="6"/>
        </w:numPr>
        <w:adjustRightInd w:val="0"/>
        <w:spacing w:line="400" w:lineRule="exact"/>
        <w:ind w:left="845"/>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便器（坐便器、蹲便器、小便器）；</w:t>
      </w:r>
    </w:p>
    <w:p>
      <w:pPr>
        <w:numPr>
          <w:ilvl w:val="0"/>
          <w:numId w:val="6"/>
        </w:numPr>
        <w:adjustRightInd w:val="0"/>
        <w:spacing w:line="400" w:lineRule="exact"/>
        <w:ind w:left="845"/>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水嘴。</w:t>
      </w:r>
    </w:p>
    <w:p>
      <w:pPr>
        <w:adjustRightInd w:val="0"/>
        <w:spacing w:line="400" w:lineRule="exact"/>
        <w:ind w:firstLine="431"/>
        <w:rPr>
          <w:rFonts w:ascii="宋体" w:hAnsi="宋体" w:cs="宋体"/>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以上所罗列的设备为《节能产品政府采购品目清单》中政府强制采购节能产品，采购人拟采购的产品属于政府强制采购产品的，投标人投标时必须针对该产品出具依据国家确定的认证机构出具的、处于有效期之内的节能产品认证证书复印件，并加盖投标人公章，否则投标无效。</w:t>
      </w:r>
    </w:p>
    <w:p>
      <w:pPr>
        <w:adjustRightInd w:val="0"/>
        <w:spacing w:line="400" w:lineRule="exact"/>
        <w:ind w:firstLine="431"/>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2、投标人应对投标内容所涉及的专利承担法律责任，并负责保护业主的利益不受任何损害。一切由于文字、商标、技术和软件专利授权引起的法律裁决、诉讼和赔偿费用均由中标人负责。同时，具有产品专利的投标人应在其投标文件中提供与其自有产品专利相关的有效证明材料，否则，不能就其产品的专利在本项目投标过程中被侵权问题而提出异议。</w:t>
      </w:r>
    </w:p>
    <w:p>
      <w:pPr>
        <w:adjustRightInd w:val="0"/>
        <w:spacing w:line="400" w:lineRule="exact"/>
        <w:ind w:firstLine="431"/>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3、根据《关于信息安全产品实施政府采购的通知》（财库[2010]48号）的规定，如采购需求中有涉及信息安全产品的设备，必须提供由中国信息安全认证中心按国家标准认证颁发的有效认证证书复印件。</w:t>
      </w:r>
    </w:p>
    <w:p>
      <w:pPr>
        <w:adjustRightInd w:val="0"/>
        <w:spacing w:line="400" w:lineRule="exact"/>
        <w:ind w:firstLine="431"/>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4、投标人应注意下列内容：</w:t>
      </w:r>
    </w:p>
    <w:p>
      <w:pPr>
        <w:adjustRightInd w:val="0"/>
        <w:spacing w:line="400" w:lineRule="exact"/>
        <w:ind w:firstLine="431"/>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1）本需求一览表中标注★号的内容为实质性要求和条件，投标人须满足或响应，若无法完全满足，将会被认定为无效投标。</w:t>
      </w:r>
    </w:p>
    <w:p>
      <w:pPr>
        <w:adjustRightInd w:val="0"/>
        <w:spacing w:line="400" w:lineRule="exact"/>
        <w:ind w:firstLine="431"/>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2）投标人须在投标文件中填写/应答技术规格参数，当投标文件中技术参数与招标文件中技术参数有偏离时，须在“偏离”栏内如实注明是“正偏离”或“负偏离”，“正偏离”指投标设备的技术参数优于招标文件中要求，“负偏离”指投标设备的技术参数低于招标文件中要求。投标文件中的技术参数、功能或其它内容有“正偏离”的，投标人须对“正偏离”的情况单独作出说明。</w:t>
      </w:r>
    </w:p>
    <w:p>
      <w:pPr>
        <w:jc w:val="center"/>
        <w:rPr>
          <w:color w:val="000000" w:themeColor="text1"/>
          <w14:textFill>
            <w14:solidFill>
              <w14:schemeClr w14:val="tx1"/>
            </w14:solidFill>
          </w14:textFill>
        </w:rPr>
      </w:pPr>
      <w:r>
        <w:rPr>
          <w:rFonts w:hint="eastAsia"/>
          <w:b/>
          <w:bCs/>
          <w:color w:val="000000" w:themeColor="text1"/>
          <w:sz w:val="32"/>
          <w:szCs w:val="40"/>
          <w14:textFill>
            <w14:solidFill>
              <w14:schemeClr w14:val="tx1"/>
            </w14:solidFill>
          </w14:textFill>
        </w:rPr>
        <w:t>货物需求一览表</w:t>
      </w:r>
    </w:p>
    <w:tbl>
      <w:tblPr>
        <w:tblStyle w:val="26"/>
        <w:tblW w:w="10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57"/>
        <w:gridCol w:w="750"/>
        <w:gridCol w:w="7401"/>
        <w:gridCol w:w="575"/>
        <w:gridCol w:w="612"/>
        <w:gridCol w:w="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457" w:type="dxa"/>
            <w:tcBorders>
              <w:bottom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kern w:val="0"/>
                <w:szCs w:val="21"/>
                <w:lang w:bidi="ar"/>
                <w14:textFill>
                  <w14:solidFill>
                    <w14:schemeClr w14:val="tx1"/>
                  </w14:solidFill>
                </w14:textFill>
              </w:rPr>
              <w:t>序号</w:t>
            </w:r>
          </w:p>
        </w:tc>
        <w:tc>
          <w:tcPr>
            <w:tcW w:w="750" w:type="dxa"/>
            <w:tcBorders>
              <w:bottom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kern w:val="0"/>
                <w:szCs w:val="21"/>
                <w:lang w:bidi="ar"/>
                <w14:textFill>
                  <w14:solidFill>
                    <w14:schemeClr w14:val="tx1"/>
                  </w14:solidFill>
                </w14:textFill>
              </w:rPr>
              <w:t>名称</w:t>
            </w:r>
          </w:p>
        </w:tc>
        <w:tc>
          <w:tcPr>
            <w:tcW w:w="7401" w:type="dxa"/>
            <w:tcBorders>
              <w:bottom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kern w:val="0"/>
                <w:szCs w:val="21"/>
                <w:lang w:bidi="ar"/>
                <w14:textFill>
                  <w14:solidFill>
                    <w14:schemeClr w14:val="tx1"/>
                  </w14:solidFill>
                </w14:textFill>
              </w:rPr>
              <w:t>材质说明</w:t>
            </w:r>
          </w:p>
        </w:tc>
        <w:tc>
          <w:tcPr>
            <w:tcW w:w="575" w:type="dxa"/>
            <w:tcBorders>
              <w:bottom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kern w:val="0"/>
                <w:szCs w:val="21"/>
                <w:lang w:bidi="ar"/>
                <w14:textFill>
                  <w14:solidFill>
                    <w14:schemeClr w14:val="tx1"/>
                  </w14:solidFill>
                </w14:textFill>
              </w:rPr>
              <w:t>数量</w:t>
            </w:r>
          </w:p>
        </w:tc>
        <w:tc>
          <w:tcPr>
            <w:tcW w:w="612" w:type="dxa"/>
            <w:tcBorders>
              <w:bottom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kern w:val="0"/>
                <w:szCs w:val="21"/>
                <w:lang w:bidi="ar"/>
                <w14:textFill>
                  <w14:solidFill>
                    <w14:schemeClr w14:val="tx1"/>
                  </w14:solidFill>
                </w14:textFill>
              </w:rPr>
              <w:t>单位</w:t>
            </w:r>
          </w:p>
        </w:tc>
        <w:tc>
          <w:tcPr>
            <w:tcW w:w="924" w:type="dxa"/>
            <w:tcBorders>
              <w:bottom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b/>
                <w:color w:val="000000" w:themeColor="text1"/>
                <w:kern w:val="0"/>
                <w:szCs w:val="21"/>
                <w:lang w:bidi="ar"/>
                <w14:textFill>
                  <w14:solidFill>
                    <w14:schemeClr w14:val="tx1"/>
                  </w14:solidFill>
                </w14:textFill>
              </w:rPr>
            </w:pPr>
            <w:r>
              <w:rPr>
                <w:rFonts w:hint="eastAsia" w:ascii="宋体" w:hAnsi="宋体" w:cs="宋体"/>
                <w:b/>
                <w:color w:val="000000" w:themeColor="text1"/>
                <w:kern w:val="0"/>
                <w:szCs w:val="21"/>
                <w:lang w:bidi="ar"/>
                <w14:textFill>
                  <w14:solidFill>
                    <w14:schemeClr w14:val="tx1"/>
                  </w14:solidFill>
                </w14:textFill>
              </w:rPr>
              <w:t>参考单价（元）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457" w:type="dxa"/>
            <w:tcBorders>
              <w:bottom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b/>
                <w:color w:val="000000" w:themeColor="text1"/>
                <w:kern w:val="0"/>
                <w:szCs w:val="21"/>
                <w:lang w:bidi="ar"/>
                <w14:textFill>
                  <w14:solidFill>
                    <w14:schemeClr w14:val="tx1"/>
                  </w14:solidFill>
                </w14:textFill>
              </w:rPr>
            </w:pPr>
          </w:p>
        </w:tc>
        <w:tc>
          <w:tcPr>
            <w:tcW w:w="750" w:type="dxa"/>
            <w:tcBorders>
              <w:bottom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b/>
                <w:color w:val="000000" w:themeColor="text1"/>
                <w:kern w:val="0"/>
                <w:szCs w:val="21"/>
                <w:lang w:bidi="ar"/>
                <w14:textFill>
                  <w14:solidFill>
                    <w14:schemeClr w14:val="tx1"/>
                  </w14:solidFill>
                </w14:textFill>
              </w:rPr>
            </w:pPr>
          </w:p>
        </w:tc>
        <w:tc>
          <w:tcPr>
            <w:tcW w:w="7401" w:type="dxa"/>
            <w:tcBorders>
              <w:bottom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b/>
                <w:color w:val="000000" w:themeColor="text1"/>
                <w:kern w:val="0"/>
                <w:szCs w:val="21"/>
                <w:lang w:bidi="ar"/>
                <w14:textFill>
                  <w14:solidFill>
                    <w14:schemeClr w14:val="tx1"/>
                  </w14:solidFill>
                </w14:textFill>
              </w:rPr>
            </w:pPr>
            <w:r>
              <w:rPr>
                <w:rFonts w:hint="eastAsia" w:ascii="宋体" w:hAnsi="宋体" w:cs="宋体"/>
                <w:b/>
                <w:color w:val="000000" w:themeColor="text1"/>
                <w:kern w:val="0"/>
                <w:szCs w:val="21"/>
                <w:lang w:bidi="ar"/>
                <w14:textFill>
                  <w14:solidFill>
                    <w14:schemeClr w14:val="tx1"/>
                  </w14:solidFill>
                </w14:textFill>
              </w:rPr>
              <w:t>一、阅读、展览室</w:t>
            </w:r>
          </w:p>
        </w:tc>
        <w:tc>
          <w:tcPr>
            <w:tcW w:w="575" w:type="dxa"/>
            <w:tcBorders>
              <w:bottom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b/>
                <w:color w:val="000000" w:themeColor="text1"/>
                <w:kern w:val="0"/>
                <w:szCs w:val="21"/>
                <w:lang w:bidi="ar"/>
                <w14:textFill>
                  <w14:solidFill>
                    <w14:schemeClr w14:val="tx1"/>
                  </w14:solidFill>
                </w14:textFill>
              </w:rPr>
            </w:pPr>
          </w:p>
        </w:tc>
        <w:tc>
          <w:tcPr>
            <w:tcW w:w="612" w:type="dxa"/>
            <w:tcBorders>
              <w:bottom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b/>
                <w:color w:val="000000" w:themeColor="text1"/>
                <w:kern w:val="0"/>
                <w:szCs w:val="21"/>
                <w:lang w:bidi="ar"/>
                <w14:textFill>
                  <w14:solidFill>
                    <w14:schemeClr w14:val="tx1"/>
                  </w14:solidFill>
                </w14:textFill>
              </w:rPr>
            </w:pPr>
          </w:p>
        </w:tc>
        <w:tc>
          <w:tcPr>
            <w:tcW w:w="924" w:type="dxa"/>
            <w:tcBorders>
              <w:bottom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b/>
                <w:color w:val="000000" w:themeColor="text1"/>
                <w:kern w:val="0"/>
                <w:szCs w:val="21"/>
                <w:lang w:bidi="ar"/>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881" w:hRule="atLeast"/>
          <w:jc w:val="center"/>
        </w:trPr>
        <w:tc>
          <w:tcPr>
            <w:tcW w:w="457" w:type="dxa"/>
            <w:tcBorders>
              <w:top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w:t>
            </w:r>
          </w:p>
        </w:tc>
        <w:tc>
          <w:tcPr>
            <w:tcW w:w="750" w:type="dxa"/>
            <w:tcBorders>
              <w:top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服务台</w:t>
            </w:r>
          </w:p>
        </w:tc>
        <w:tc>
          <w:tcPr>
            <w:tcW w:w="7401" w:type="dxa"/>
            <w:tcBorders>
              <w:top w:val="single" w:color="auto" w:sz="4" w:space="0"/>
            </w:tcBorders>
            <w:shd w:val="clear" w:color="auto" w:fill="auto"/>
            <w:tcMar>
              <w:top w:w="15" w:type="dxa"/>
              <w:left w:w="15" w:type="dxa"/>
              <w:right w:w="15" w:type="dxa"/>
            </w:tcMar>
          </w:tcPr>
          <w:p>
            <w:pPr>
              <w:widowControl/>
              <w:jc w:val="left"/>
              <w:textAlignment w:val="center"/>
              <w:rPr>
                <w:rFonts w:ascii="宋体" w:hAnsi="宋体" w:cs="宋体"/>
                <w:bCs/>
                <w:color w:val="000000" w:themeColor="text1"/>
                <w:kern w:val="0"/>
                <w:szCs w:val="21"/>
                <w:lang w:bidi="ar"/>
                <w14:textFill>
                  <w14:solidFill>
                    <w14:schemeClr w14:val="tx1"/>
                  </w14:solidFill>
                </w14:textFill>
              </w:rPr>
            </w:pPr>
            <w:r>
              <w:rPr>
                <w:rFonts w:hint="eastAsia" w:ascii="宋体" w:hAnsi="宋体" w:cs="宋体"/>
                <w:bCs/>
                <w:color w:val="000000" w:themeColor="text1"/>
                <w:kern w:val="0"/>
                <w:szCs w:val="21"/>
                <w:lang w:bidi="ar"/>
                <w14:textFill>
                  <w14:solidFill>
                    <w14:schemeClr w14:val="tx1"/>
                  </w14:solidFill>
                </w14:textFill>
              </w:rPr>
              <w:t>产品须符合GB/T 3324-2017 《木家具通用技术条件》、GB 18584-2001 《室内装饰装修材料 木家具中有害物质限量》的要求。</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1、L型组合服务台，A部分规格：长5000mm×宽900mm×高750/1050mm,B部分规格：长800mm×宽800mm×高1200mm,C部分规格：长2400mm×宽800mm×高750mm。A部分设有二级台面，下部分左右各缩进500mm，结构详见剖面图-附图1。A、B部分底部外层贴高度为300mm的5mm厚度玻璃明镜，延伸空间感；A、C内部结构：桌面下面各有一组900mm宽的对开门和一组450mm宽的三抽屉。ABC三部分按平面图-附图2组合在一起。</w:t>
            </w:r>
          </w:p>
          <w:p>
            <w:pPr>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材质：采用优质橡胶木实木指接板，桌面板材厚度≥25mm。颜色：采用黑檀木色和黄橡木色搭配，套色更显档次。所有木作件外露部分（包括榫头和榫眼）油漆喷涂须完整，防止木材回潮，油漆面平整无颗粒、气泡、积粉、渣点，色泽均匀，表面色泽剔透，具有较好的耐磨性、耐高温性能、附着力强。</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4、胶粘剂：采用优质品牌白乳胶。白乳胶中的有害物质限量必须符合国家标准GB18583-2008《室内装饰装修材料 胶粘剂中有害物质限量》的要求。总挥发性有机物≤110g/L ；甲苯+二甲苯≤10g/kg ；苯≤0.20g/kg ；游离甲醛≤1.0g/kg。                                                                                                                                               5、三合一连接件符合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tcBorders>
              <w:top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8.2</w:t>
            </w:r>
          </w:p>
        </w:tc>
        <w:tc>
          <w:tcPr>
            <w:tcW w:w="612" w:type="dxa"/>
            <w:tcBorders>
              <w:top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米</w:t>
            </w:r>
          </w:p>
        </w:tc>
        <w:tc>
          <w:tcPr>
            <w:tcW w:w="924" w:type="dxa"/>
            <w:tcBorders>
              <w:top w:val="single" w:color="auto" w:sz="4" w:space="0"/>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pPr>
          </w:p>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4250</w:t>
            </w:r>
          </w:p>
          <w:p>
            <w:pPr>
              <w:widowControl/>
              <w:jc w:val="center"/>
              <w:textAlignment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42" w:hRule="atLeast"/>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2</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办公椅</w:t>
            </w:r>
          </w:p>
        </w:tc>
        <w:tc>
          <w:tcPr>
            <w:tcW w:w="7401" w:type="dxa"/>
            <w:shd w:val="clear" w:color="auto" w:fill="auto"/>
            <w:tcMar>
              <w:top w:w="15" w:type="dxa"/>
              <w:left w:w="15" w:type="dxa"/>
              <w:right w:w="15" w:type="dxa"/>
            </w:tcMar>
          </w:tcPr>
          <w:p>
            <w:pPr>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产品须符合QB/T 2280-2016 《办公家具 办公椅》的要求；</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规格尺寸:宽600mm×深580mm×高930～1025mm（允许偏差±5mm）；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1、面料：采用优质网布，透气性良好，柔软且富有韧性，厚度适中具有冬暖夏凉的效果。</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w:t>
            </w:r>
            <w:r>
              <w:rPr>
                <w:rFonts w:ascii="宋体" w:hAnsi="宋体" w:cs="宋体"/>
                <w:color w:val="000000" w:themeColor="text1"/>
                <w:kern w:val="0"/>
                <w:szCs w:val="21"/>
                <w:lang w:bidi="ar"/>
                <w14:textFill>
                  <w14:solidFill>
                    <w14:schemeClr w14:val="tx1"/>
                  </w14:solidFill>
                </w14:textFill>
              </w:rPr>
              <w:t>海绵符合GB/T 10802-2006 《通用软质聚醚型聚氨酯泡沫塑料》的要求。回弹率 ：≥35%，拉伸强度：等级/120N ≥90kPa ；伸长率：等级/120N≥130 ％；撕裂强度 ：等级/120N ≥2.0N/cm；干热老化后拉伸强度：≥55KPa；干热老化后拉伸强度变化率：±30 ％ ；</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3、气压棒符合</w:t>
            </w:r>
            <w:r>
              <w:rPr>
                <w:rFonts w:hint="eastAsia" w:ascii="宋体" w:hAnsi="宋体" w:cs="宋体"/>
                <w:color w:val="000000" w:themeColor="text1"/>
                <w:szCs w:val="21"/>
                <w14:textFill>
                  <w14:solidFill>
                    <w14:schemeClr w14:val="tx1"/>
                  </w14:solidFill>
                </w14:textFill>
              </w:rPr>
              <w:t>GB/T 29525-2013 《座椅升降气弹簧》、GB/T 3325-2017 《金属家具通用技术条件》的要求。 涂层和覆面层中不含可溶性重金属，耐腐蚀等级：100h中性盐雾试验不低10级。</w:t>
            </w:r>
          </w:p>
          <w:p>
            <w:pPr>
              <w:jc w:val="left"/>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4、五星底脚:五星脚材质为PA尼龙+40%玻璃纤维。受力均匀，最大可承受应≥200kg重量。</w:t>
            </w:r>
          </w:p>
          <w:p>
            <w:pPr>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5、轮子：采用PU尼龙轮。</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2</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张</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5" w:hRule="atLeast"/>
          <w:jc w:val="center"/>
        </w:trPr>
        <w:tc>
          <w:tcPr>
            <w:tcW w:w="457" w:type="dxa"/>
            <w:shd w:val="clear" w:color="auto" w:fill="auto"/>
            <w:tcMar>
              <w:top w:w="15" w:type="dxa"/>
              <w:left w:w="15" w:type="dxa"/>
              <w:right w:w="15" w:type="dxa"/>
            </w:tcMar>
            <w:vAlign w:val="center"/>
          </w:tcPr>
          <w:p>
            <w:pPr>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3</w:t>
            </w:r>
          </w:p>
        </w:tc>
        <w:tc>
          <w:tcPr>
            <w:tcW w:w="750" w:type="dxa"/>
            <w:shd w:val="clear" w:color="auto" w:fill="auto"/>
            <w:tcMar>
              <w:top w:w="15" w:type="dxa"/>
              <w:left w:w="15" w:type="dxa"/>
              <w:right w:w="15" w:type="dxa"/>
            </w:tcMar>
            <w:vAlign w:val="center"/>
          </w:tcPr>
          <w:p>
            <w:pPr>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szCs w:val="21"/>
                <w14:textFill>
                  <w14:solidFill>
                    <w14:schemeClr w14:val="tx1"/>
                  </w14:solidFill>
                </w14:textFill>
              </w:rPr>
              <w:t>屏风隔断</w:t>
            </w:r>
          </w:p>
        </w:tc>
        <w:tc>
          <w:tcPr>
            <w:tcW w:w="7401" w:type="dxa"/>
            <w:shd w:val="clear" w:color="auto" w:fill="auto"/>
            <w:tcMar>
              <w:top w:w="15" w:type="dxa"/>
              <w:left w:w="15" w:type="dxa"/>
              <w:right w:w="15" w:type="dxa"/>
            </w:tcMar>
          </w:tcPr>
          <w:p>
            <w:pPr>
              <w:widowControl/>
              <w:numPr>
                <w:ilvl w:val="0"/>
                <w:numId w:val="7"/>
              </w:numPr>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隔断金属部分采用50mm×50mm镀锌方管烤漆拼接，管壁厚度≥1.5mm，抗变形能力强，要求结实稳固。大小镂空圆形错落分布，比例合理，造型简洁、大方。</w:t>
            </w:r>
          </w:p>
          <w:p>
            <w:pPr>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横板材质为双层复合胶合板，基材为细木工板，厚度≥15mm，饰面板为橡胶木，厚度≥9mm，表面刷环保漆。双层板工艺防止开裂变形。按参考图要求造型，要求正反面平整、无毛刺，背面满足可反复张贴广告纸。消防栓位置留检修口，外贴消防标志和装饰画。</w:t>
            </w:r>
          </w:p>
        </w:tc>
        <w:tc>
          <w:tcPr>
            <w:tcW w:w="575" w:type="dxa"/>
            <w:shd w:val="clear" w:color="auto" w:fill="auto"/>
            <w:tcMar>
              <w:top w:w="15" w:type="dxa"/>
              <w:left w:w="15" w:type="dxa"/>
              <w:right w:w="15" w:type="dxa"/>
            </w:tcMar>
            <w:vAlign w:val="center"/>
          </w:tcPr>
          <w:p>
            <w:pPr>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15</w:t>
            </w:r>
          </w:p>
        </w:tc>
        <w:tc>
          <w:tcPr>
            <w:tcW w:w="612" w:type="dxa"/>
            <w:shd w:val="clear" w:color="auto" w:fill="auto"/>
            <w:tcMar>
              <w:top w:w="15" w:type="dxa"/>
              <w:left w:w="15" w:type="dxa"/>
              <w:right w:w="15" w:type="dxa"/>
            </w:tcMar>
            <w:vAlign w:val="center"/>
          </w:tcPr>
          <w:p>
            <w:pPr>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m</w:t>
            </w:r>
            <w:r>
              <w:rPr>
                <w:rStyle w:val="120"/>
                <w:rFonts w:hint="default"/>
                <w:color w:val="000000" w:themeColor="text1"/>
                <w:sz w:val="21"/>
                <w:szCs w:val="21"/>
                <w:lang w:bidi="ar"/>
                <w14:textFill>
                  <w14:solidFill>
                    <w14:schemeClr w14:val="tx1"/>
                  </w14:solidFill>
                </w14:textFill>
              </w:rPr>
              <w:t>2</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1550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4</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定制书架</w:t>
            </w:r>
          </w:p>
        </w:tc>
        <w:tc>
          <w:tcPr>
            <w:tcW w:w="7401" w:type="dxa"/>
            <w:shd w:val="clear" w:color="auto" w:fill="auto"/>
            <w:tcMar>
              <w:top w:w="15" w:type="dxa"/>
              <w:left w:w="15" w:type="dxa"/>
              <w:right w:w="15" w:type="dxa"/>
            </w:tcMar>
          </w:tcPr>
          <w:p>
            <w:pPr>
              <w:widowControl/>
              <w:numPr>
                <w:ilvl w:val="0"/>
                <w:numId w:val="8"/>
              </w:numPr>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规格尺寸：长</w:t>
            </w:r>
            <w:r>
              <w:rPr>
                <w:rFonts w:hint="eastAsia" w:ascii="宋体" w:hAnsi="宋体" w:cs="宋体"/>
                <w:color w:val="000000" w:themeColor="text1"/>
                <w:kern w:val="0"/>
                <w:szCs w:val="21"/>
                <w:lang w:val="en-US" w:eastAsia="zh-CN" w:bidi="ar"/>
                <w14:textFill>
                  <w14:solidFill>
                    <w14:schemeClr w14:val="tx1"/>
                  </w14:solidFill>
                </w14:textFill>
              </w:rPr>
              <w:t>19000</w:t>
            </w:r>
            <w:r>
              <w:rPr>
                <w:rFonts w:hint="eastAsia" w:ascii="宋体" w:hAnsi="宋体" w:cs="宋体"/>
                <w:color w:val="000000" w:themeColor="text1"/>
                <w:kern w:val="0"/>
                <w:szCs w:val="21"/>
                <w:lang w:bidi="ar"/>
                <w14:textFill>
                  <w14:solidFill>
                    <w14:schemeClr w14:val="tx1"/>
                  </w14:solidFill>
                </w14:textFill>
              </w:rPr>
              <w:t>mm×宽400mm×高2900mm，允许偏差±5mm；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2、整版书架由书柜、</w:t>
            </w:r>
            <w:r>
              <w:rPr>
                <w:rFonts w:hint="eastAsia" w:ascii="宋体" w:hAnsi="宋体" w:cs="宋体"/>
                <w:color w:val="000000" w:themeColor="text1"/>
                <w:kern w:val="0"/>
                <w:szCs w:val="21"/>
                <w:lang w:val="en-US" w:eastAsia="zh-CN" w:bidi="ar"/>
                <w14:textFill>
                  <w14:solidFill>
                    <w14:schemeClr w14:val="tx1"/>
                  </w14:solidFill>
                </w14:textFill>
              </w:rPr>
              <w:t>包柱子</w:t>
            </w:r>
            <w:r>
              <w:rPr>
                <w:rFonts w:hint="eastAsia" w:ascii="宋体" w:hAnsi="宋体" w:cs="宋体"/>
                <w:color w:val="000000" w:themeColor="text1"/>
                <w:kern w:val="0"/>
                <w:szCs w:val="21"/>
                <w:lang w:bidi="ar"/>
                <w14:textFill>
                  <w14:solidFill>
                    <w14:schemeClr w14:val="tx1"/>
                  </w14:solidFill>
                </w14:textFill>
              </w:rPr>
              <w:t>、隔断三部分根据现场柱子位置有序排列</w:t>
            </w:r>
            <w:r>
              <w:rPr>
                <w:rFonts w:hint="eastAsia" w:ascii="宋体" w:hAnsi="宋体" w:cs="宋体"/>
                <w:color w:val="000000" w:themeColor="text1"/>
                <w:kern w:val="0"/>
                <w:szCs w:val="21"/>
                <w:lang w:eastAsia="zh-CN" w:bidi="ar"/>
                <w14:textFill>
                  <w14:solidFill>
                    <w14:schemeClr w14:val="tx1"/>
                  </w14:solidFill>
                </w14:textFill>
              </w:rPr>
              <w:t>。</w:t>
            </w:r>
            <w:r>
              <w:rPr>
                <w:rFonts w:hint="eastAsia" w:ascii="宋体" w:hAnsi="宋体" w:eastAsia="宋体" w:cs="宋体"/>
                <w:color w:val="000000" w:themeColor="text1"/>
                <w:kern w:val="0"/>
                <w:szCs w:val="21"/>
                <w14:textFill>
                  <w14:solidFill>
                    <w14:schemeClr w14:val="tx1"/>
                  </w14:solidFill>
                </w14:textFill>
              </w:rPr>
              <w:t>书柜为上下玻璃对开门结构，书柜门内设有</w:t>
            </w:r>
            <w:r>
              <w:rPr>
                <w:rFonts w:hint="eastAsia" w:ascii="宋体" w:hAnsi="宋体" w:cs="宋体"/>
                <w:color w:val="000000" w:themeColor="text1"/>
                <w:kern w:val="0"/>
                <w:szCs w:val="21"/>
                <w:lang w:val="en-US" w:eastAsia="zh-CN"/>
                <w14:textFill>
                  <w14:solidFill>
                    <w14:schemeClr w14:val="tx1"/>
                  </w14:solidFill>
                </w14:textFill>
              </w:rPr>
              <w:t>四</w:t>
            </w:r>
            <w:r>
              <w:rPr>
                <w:rFonts w:hint="eastAsia" w:ascii="宋体" w:hAnsi="宋体" w:eastAsia="宋体" w:cs="宋体"/>
                <w:color w:val="000000" w:themeColor="text1"/>
                <w:kern w:val="0"/>
                <w:szCs w:val="21"/>
                <w14:textFill>
                  <w14:solidFill>
                    <w14:schemeClr w14:val="tx1"/>
                  </w14:solidFill>
                </w14:textFill>
              </w:rPr>
              <w:t>块隔板</w:t>
            </w:r>
            <w:r>
              <w:rPr>
                <w:rFonts w:hint="eastAsia" w:ascii="宋体" w:hAnsi="宋体" w:cs="宋体"/>
                <w:color w:val="000000" w:themeColor="text1"/>
                <w:kern w:val="0"/>
                <w:szCs w:val="21"/>
                <w:lang w:eastAsia="zh-CN"/>
                <w14:textFill>
                  <w14:solidFill>
                    <w14:schemeClr w14:val="tx1"/>
                  </w14:solidFill>
                </w14:textFill>
              </w:rPr>
              <w:t>，</w:t>
            </w:r>
            <w:r>
              <w:rPr>
                <w:rFonts w:hint="eastAsia" w:ascii="宋体" w:hAnsi="宋体" w:cs="宋体"/>
                <w:color w:val="000000" w:themeColor="text1"/>
                <w:kern w:val="0"/>
                <w:szCs w:val="21"/>
                <w:lang w:val="en-US" w:eastAsia="zh-CN"/>
                <w14:textFill>
                  <w14:solidFill>
                    <w14:schemeClr w14:val="tx1"/>
                  </w14:solidFill>
                </w14:textFill>
              </w:rPr>
              <w:t>书柜顶层和底层不装门</w:t>
            </w:r>
            <w:r>
              <w:rPr>
                <w:rFonts w:hint="eastAsia" w:ascii="宋体" w:hAnsi="宋体" w:eastAsia="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3、材质要求为：书墙全部选用优质橡胶木指接板为基材，板材厚度≥25mm；</w:t>
            </w:r>
          </w:p>
          <w:p>
            <w:pPr>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4、木材经干燥处理，木材含水率为8%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（产品所在地区年平均木材平衡含水率+1%），木材须符合GB/T3324-2017《木家具通用技术条件》、GB 18584-2001 《室内装饰装修材料，木家具中有害物质限量标准》的要求；所有木作件外露部分（包括榫头和榫眼）油漆喷涂须完整，防止木材回潮，油漆面平整无颗粒、气泡、积粉、渣点，色泽均匀，表面色泽剔透，具有较好的耐磨性、耐高温性能、附着力强；</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5、油漆：采用优质水性油漆,其各项要求符合GB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6、胶粘剂：采用优质品牌白乳胶。白乳胶中的有害物质限量必须符合国家标准GB18583-2008《室内装饰装修材料 胶粘剂中有害物质限量》的要求。总挥发性有机物≤</w:t>
            </w:r>
            <w:r>
              <w:rPr>
                <w:rFonts w:hint="eastAsia" w:ascii="宋体" w:hAnsi="宋体" w:cs="宋体"/>
                <w:color w:val="000000" w:themeColor="text1"/>
                <w:szCs w:val="21"/>
                <w14:textFill>
                  <w14:solidFill>
                    <w14:schemeClr w14:val="tx1"/>
                  </w14:solidFill>
                </w14:textFill>
              </w:rPr>
              <w:t>110</w:t>
            </w:r>
            <w:r>
              <w:rPr>
                <w:rFonts w:hint="eastAsia" w:ascii="宋体" w:hAnsi="宋体" w:cs="宋体"/>
                <w:color w:val="000000" w:themeColor="text1"/>
                <w:kern w:val="0"/>
                <w:szCs w:val="21"/>
                <w:lang w:bidi="ar"/>
                <w14:textFill>
                  <w14:solidFill>
                    <w14:schemeClr w14:val="tx1"/>
                  </w14:solidFill>
                </w14:textFill>
              </w:rPr>
              <w:t>g/L ；甲苯+二甲苯</w:t>
            </w:r>
            <w:r>
              <w:rPr>
                <w:rFonts w:hint="eastAsia" w:ascii="宋体" w:hAnsi="宋体" w:cs="宋体"/>
                <w:color w:val="000000" w:themeColor="text1"/>
                <w:szCs w:val="21"/>
                <w14:textFill>
                  <w14:solidFill>
                    <w14:schemeClr w14:val="tx1"/>
                  </w14:solidFill>
                </w14:textFill>
              </w:rPr>
              <w:t>≤10g/kg</w:t>
            </w:r>
            <w:r>
              <w:rPr>
                <w:rFonts w:hint="eastAsia" w:ascii="宋体" w:hAnsi="宋体" w:cs="宋体"/>
                <w:color w:val="000000" w:themeColor="text1"/>
                <w:kern w:val="0"/>
                <w:szCs w:val="21"/>
                <w:lang w:bidi="ar"/>
                <w14:textFill>
                  <w14:solidFill>
                    <w14:schemeClr w14:val="tx1"/>
                  </w14:solidFill>
                </w14:textFill>
              </w:rPr>
              <w:t xml:space="preserve"> ；苯</w:t>
            </w:r>
            <w:r>
              <w:rPr>
                <w:rFonts w:hint="eastAsia" w:ascii="宋体" w:hAnsi="宋体" w:cs="宋体"/>
                <w:color w:val="000000" w:themeColor="text1"/>
                <w:szCs w:val="21"/>
                <w14:textFill>
                  <w14:solidFill>
                    <w14:schemeClr w14:val="tx1"/>
                  </w14:solidFill>
                </w14:textFill>
              </w:rPr>
              <w:t>≤0.20g/kg</w:t>
            </w:r>
            <w:r>
              <w:rPr>
                <w:rFonts w:hint="eastAsia" w:ascii="宋体" w:hAnsi="宋体" w:cs="宋体"/>
                <w:color w:val="000000" w:themeColor="text1"/>
                <w:kern w:val="0"/>
                <w:szCs w:val="21"/>
                <w:lang w:bidi="ar"/>
                <w14:textFill>
                  <w14:solidFill>
                    <w14:schemeClr w14:val="tx1"/>
                  </w14:solidFill>
                </w14:textFill>
              </w:rPr>
              <w:t xml:space="preserve"> ；游离甲醛≤</w:t>
            </w:r>
            <w:r>
              <w:rPr>
                <w:rFonts w:hint="eastAsia" w:ascii="宋体" w:hAnsi="宋体" w:cs="宋体"/>
                <w:color w:val="000000" w:themeColor="text1"/>
                <w:szCs w:val="21"/>
                <w14:textFill>
                  <w14:solidFill>
                    <w14:schemeClr w14:val="tx1"/>
                  </w14:solidFill>
                </w14:textFill>
              </w:rPr>
              <w:t>1.0</w:t>
            </w:r>
            <w:r>
              <w:rPr>
                <w:rFonts w:hint="eastAsia" w:ascii="宋体" w:hAnsi="宋体" w:cs="宋体"/>
                <w:color w:val="000000" w:themeColor="text1"/>
                <w:kern w:val="0"/>
                <w:szCs w:val="21"/>
                <w:lang w:bidi="ar"/>
                <w14:textFill>
                  <w14:solidFill>
                    <w14:schemeClr w14:val="tx1"/>
                  </w14:solidFill>
                </w14:textFill>
              </w:rPr>
              <w:t>g/kg。                                                                                                                                              7、三合一连接件符合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shd w:val="clear" w:color="auto" w:fill="auto"/>
            <w:tcMar>
              <w:top w:w="15" w:type="dxa"/>
              <w:left w:w="15" w:type="dxa"/>
              <w:right w:w="15" w:type="dxa"/>
            </w:tcMar>
            <w:vAlign w:val="center"/>
          </w:tcPr>
          <w:p>
            <w:pPr>
              <w:widowControl/>
              <w:jc w:val="center"/>
              <w:textAlignment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cs="宋体"/>
                <w:color w:val="000000" w:themeColor="text1"/>
                <w:kern w:val="0"/>
                <w:szCs w:val="21"/>
                <w:lang w:val="en-US" w:eastAsia="zh-CN" w:bidi="ar"/>
                <w14:textFill>
                  <w14:solidFill>
                    <w14:schemeClr w14:val="tx1"/>
                  </w14:solidFill>
                </w14:textFill>
              </w:rPr>
              <w:t>58</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m</w:t>
            </w:r>
            <w:r>
              <w:rPr>
                <w:rStyle w:val="120"/>
                <w:rFonts w:hint="default"/>
                <w:color w:val="000000" w:themeColor="text1"/>
                <w:sz w:val="21"/>
                <w:szCs w:val="21"/>
                <w:lang w:bidi="ar"/>
                <w14:textFill>
                  <w14:solidFill>
                    <w14:schemeClr w14:val="tx1"/>
                  </w14:solidFill>
                </w14:textFill>
              </w:rPr>
              <w:t>2</w:t>
            </w:r>
          </w:p>
        </w:tc>
        <w:tc>
          <w:tcPr>
            <w:tcW w:w="924" w:type="dxa"/>
            <w:shd w:val="clear" w:color="auto" w:fill="auto"/>
            <w:tcMar>
              <w:top w:w="15" w:type="dxa"/>
              <w:left w:w="15" w:type="dxa"/>
              <w:right w:w="15" w:type="dxa"/>
            </w:tcMar>
            <w:vAlign w:val="center"/>
          </w:tcPr>
          <w:p>
            <w:pPr>
              <w:widowControl/>
              <w:jc w:val="center"/>
              <w:textAlignment w:val="center"/>
              <w:rPr>
                <w:rFonts w:hint="default" w:ascii="宋体" w:hAnsi="宋体" w:cs="宋体"/>
                <w:color w:val="000000" w:themeColor="text1"/>
                <w:szCs w:val="21"/>
                <w:lang w:val="en-US"/>
                <w14:textFill>
                  <w14:solidFill>
                    <w14:schemeClr w14:val="tx1"/>
                  </w14:solidFill>
                </w14:textFill>
              </w:rPr>
            </w:pPr>
            <w:r>
              <w:rPr>
                <w:rFonts w:hint="eastAsia" w:ascii="宋体" w:hAnsi="宋体" w:cs="宋体"/>
                <w:i w:val="0"/>
                <w:color w:val="000000" w:themeColor="text1"/>
                <w:kern w:val="0"/>
                <w:sz w:val="21"/>
                <w:szCs w:val="21"/>
                <w:u w:val="none"/>
                <w:lang w:val="en-US" w:eastAsia="zh-CN" w:bidi="ar"/>
                <w14:textFill>
                  <w14:solidFill>
                    <w14:schemeClr w14:val="tx1"/>
                  </w14:solidFill>
                </w14:textFill>
              </w:rPr>
              <w:t>2980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kern w:val="0"/>
                <w:szCs w:val="21"/>
                <w:lang w:bidi="ar"/>
                <w14:textFill>
                  <w14:solidFill>
                    <w14:schemeClr w14:val="tx1"/>
                  </w14:solidFill>
                </w14:textFill>
              </w:rPr>
              <w:t>5</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定制展柜</w:t>
            </w:r>
          </w:p>
        </w:tc>
        <w:tc>
          <w:tcPr>
            <w:tcW w:w="7401" w:type="dxa"/>
            <w:shd w:val="clear" w:color="auto" w:fill="auto"/>
            <w:tcMar>
              <w:top w:w="15" w:type="dxa"/>
              <w:left w:w="15" w:type="dxa"/>
              <w:right w:w="15" w:type="dxa"/>
            </w:tcMar>
          </w:tcPr>
          <w:p>
            <w:pPr>
              <w:widowControl/>
              <w:numPr>
                <w:ilvl w:val="0"/>
                <w:numId w:val="9"/>
              </w:numPr>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 xml:space="preserve">单面展柜：宽1800mm×厚800mm×高2900mm，（允许偏差±5mm）； </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2、玻璃橱窗木制部分材质：采用优质橡胶木指接板为基材，板材厚度≥18mm。木材经干燥处理，木材含水率为8%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（产品所在地区年平均木材平衡含水率+1%），木制件甲醛释放量≤1.5mg/L，木材符合GB/T3324-2017木家具通用技术条件GB 18584-2001 室内装饰装修材料，木家具中有害物质限量标准；用黑核桃木微薄木作饰面，微薄木厚度≥0.6mm，微薄木符合GB 18584-2001 室内装饰装修材料、木家具中有害物质限量标准。</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3、玻璃橱窗玻璃部分材质：采用加厚钢化玻璃，厚度≥10mm，下抽板配锁。</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p>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5、胶粘剂：采用优质品牌白乳胶。白乳胶中的有害物质限量必须符合国家标准GB18583-2008《室内装饰装修材料 胶粘剂中有害物质限量》的要求。总挥发性有机物≤</w:t>
            </w:r>
            <w:r>
              <w:rPr>
                <w:rFonts w:hint="eastAsia" w:ascii="宋体" w:hAnsi="宋体" w:cs="宋体"/>
                <w:color w:val="000000" w:themeColor="text1"/>
                <w:szCs w:val="21"/>
                <w14:textFill>
                  <w14:solidFill>
                    <w14:schemeClr w14:val="tx1"/>
                  </w14:solidFill>
                </w14:textFill>
              </w:rPr>
              <w:t>110</w:t>
            </w:r>
            <w:r>
              <w:rPr>
                <w:rFonts w:hint="eastAsia" w:ascii="宋体" w:hAnsi="宋体" w:cs="宋体"/>
                <w:color w:val="000000" w:themeColor="text1"/>
                <w:kern w:val="0"/>
                <w:szCs w:val="21"/>
                <w:lang w:bidi="ar"/>
                <w14:textFill>
                  <w14:solidFill>
                    <w14:schemeClr w14:val="tx1"/>
                  </w14:solidFill>
                </w14:textFill>
              </w:rPr>
              <w:t>g/L ；甲苯+二甲苯</w:t>
            </w:r>
            <w:r>
              <w:rPr>
                <w:rFonts w:hint="eastAsia" w:ascii="宋体" w:hAnsi="宋体" w:cs="宋体"/>
                <w:color w:val="000000" w:themeColor="text1"/>
                <w:szCs w:val="21"/>
                <w14:textFill>
                  <w14:solidFill>
                    <w14:schemeClr w14:val="tx1"/>
                  </w14:solidFill>
                </w14:textFill>
              </w:rPr>
              <w:t>≤10g/kg</w:t>
            </w:r>
            <w:r>
              <w:rPr>
                <w:rFonts w:hint="eastAsia" w:ascii="宋体" w:hAnsi="宋体" w:cs="宋体"/>
                <w:color w:val="000000" w:themeColor="text1"/>
                <w:kern w:val="0"/>
                <w:szCs w:val="21"/>
                <w:lang w:bidi="ar"/>
                <w14:textFill>
                  <w14:solidFill>
                    <w14:schemeClr w14:val="tx1"/>
                  </w14:solidFill>
                </w14:textFill>
              </w:rPr>
              <w:t xml:space="preserve"> ；苯</w:t>
            </w:r>
            <w:r>
              <w:rPr>
                <w:rFonts w:hint="eastAsia" w:ascii="宋体" w:hAnsi="宋体" w:cs="宋体"/>
                <w:color w:val="000000" w:themeColor="text1"/>
                <w:szCs w:val="21"/>
                <w14:textFill>
                  <w14:solidFill>
                    <w14:schemeClr w14:val="tx1"/>
                  </w14:solidFill>
                </w14:textFill>
              </w:rPr>
              <w:t>≤0.20g/kg</w:t>
            </w:r>
            <w:r>
              <w:rPr>
                <w:rFonts w:hint="eastAsia" w:ascii="宋体" w:hAnsi="宋体" w:cs="宋体"/>
                <w:color w:val="000000" w:themeColor="text1"/>
                <w:kern w:val="0"/>
                <w:szCs w:val="21"/>
                <w:lang w:bidi="ar"/>
                <w14:textFill>
                  <w14:solidFill>
                    <w14:schemeClr w14:val="tx1"/>
                  </w14:solidFill>
                </w14:textFill>
              </w:rPr>
              <w:t xml:space="preserve"> ；游离甲醛≤</w:t>
            </w:r>
            <w:r>
              <w:rPr>
                <w:rFonts w:hint="eastAsia" w:ascii="宋体" w:hAnsi="宋体" w:cs="宋体"/>
                <w:color w:val="000000" w:themeColor="text1"/>
                <w:szCs w:val="21"/>
                <w14:textFill>
                  <w14:solidFill>
                    <w14:schemeClr w14:val="tx1"/>
                  </w14:solidFill>
                </w14:textFill>
              </w:rPr>
              <w:t>1.0</w:t>
            </w:r>
            <w:r>
              <w:rPr>
                <w:rFonts w:hint="eastAsia" w:ascii="宋体" w:hAnsi="宋体" w:cs="宋体"/>
                <w:color w:val="000000" w:themeColor="text1"/>
                <w:kern w:val="0"/>
                <w:szCs w:val="21"/>
                <w:lang w:bidi="ar"/>
                <w14:textFill>
                  <w14:solidFill>
                    <w14:schemeClr w14:val="tx1"/>
                  </w14:solidFill>
                </w14:textFill>
              </w:rPr>
              <w:t>g/kg  。                                                                                                                                         6、五金件符合QB/T3832-1999、QB/T3826-1999标准，连续喷雾试验时间≥100h耐腐蚀等级≥10级。</w:t>
            </w:r>
          </w:p>
        </w:tc>
        <w:tc>
          <w:tcPr>
            <w:tcW w:w="575"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3</w:t>
            </w:r>
          </w:p>
        </w:tc>
        <w:tc>
          <w:tcPr>
            <w:tcW w:w="612"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组</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24310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6</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定制书柜</w:t>
            </w:r>
          </w:p>
        </w:tc>
        <w:tc>
          <w:tcPr>
            <w:tcW w:w="7401" w:type="dxa"/>
            <w:shd w:val="clear" w:color="auto" w:fill="auto"/>
            <w:tcMar>
              <w:top w:w="15" w:type="dxa"/>
              <w:left w:w="15" w:type="dxa"/>
              <w:right w:w="15" w:type="dxa"/>
            </w:tcMar>
          </w:tcPr>
          <w:p>
            <w:pPr>
              <w:widowControl/>
              <w:numPr>
                <w:ilvl w:val="0"/>
                <w:numId w:val="10"/>
              </w:numPr>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规格尺寸：长900mm×厚</w:t>
            </w:r>
            <w:r>
              <w:rPr>
                <w:rFonts w:hint="eastAsia" w:ascii="宋体" w:hAnsi="宋体" w:cs="宋体"/>
                <w:color w:val="000000" w:themeColor="text1"/>
                <w:kern w:val="0"/>
                <w:szCs w:val="21"/>
                <w:lang w:val="en-US" w:eastAsia="zh-CN" w:bidi="ar"/>
                <w14:textFill>
                  <w14:solidFill>
                    <w14:schemeClr w14:val="tx1"/>
                  </w14:solidFill>
                </w14:textFill>
              </w:rPr>
              <w:t>350</w:t>
            </w:r>
            <w:r>
              <w:rPr>
                <w:rFonts w:hint="eastAsia" w:ascii="宋体" w:hAnsi="宋体" w:cs="宋体"/>
                <w:color w:val="000000" w:themeColor="text1"/>
                <w:kern w:val="0"/>
                <w:szCs w:val="21"/>
                <w:lang w:bidi="ar"/>
                <w14:textFill>
                  <w14:solidFill>
                    <w14:schemeClr w14:val="tx1"/>
                  </w14:solidFill>
                </w14:textFill>
              </w:rPr>
              <w:t>mm×高2</w:t>
            </w:r>
            <w:r>
              <w:rPr>
                <w:rFonts w:hint="eastAsia" w:ascii="宋体" w:hAnsi="宋体" w:cs="宋体"/>
                <w:color w:val="000000" w:themeColor="text1"/>
                <w:kern w:val="0"/>
                <w:szCs w:val="21"/>
                <w:lang w:val="en-US" w:eastAsia="zh-CN" w:bidi="ar"/>
                <w14:textFill>
                  <w14:solidFill>
                    <w14:schemeClr w14:val="tx1"/>
                  </w14:solidFill>
                </w14:textFill>
              </w:rPr>
              <w:t>2830</w:t>
            </w:r>
            <w:r>
              <w:rPr>
                <w:rFonts w:hint="eastAsia" w:ascii="宋体" w:hAnsi="宋体" w:cs="宋体"/>
                <w:color w:val="000000" w:themeColor="text1"/>
                <w:kern w:val="0"/>
                <w:szCs w:val="21"/>
                <w:lang w:bidi="ar"/>
                <w14:textFill>
                  <w14:solidFill>
                    <w14:schemeClr w14:val="tx1"/>
                  </w14:solidFill>
                </w14:textFill>
              </w:rPr>
              <w:t>mm（允许偏离±5mm）；</w:t>
            </w:r>
          </w:p>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hint="eastAsia" w:ascii="宋体" w:hAnsi="宋体" w:cs="宋体"/>
                <w:color w:val="000000" w:themeColor="text1"/>
                <w:kern w:val="0"/>
                <w:szCs w:val="21"/>
                <w:lang w:bidi="ar"/>
                <w14:textFill>
                  <w14:solidFill>
                    <w14:schemeClr w14:val="tx1"/>
                  </w14:solidFill>
                </w14:textFill>
              </w:rPr>
              <w:t>材质：采用优质橡胶木指接板为基材，板材厚度≥18mm，横隔板下面加钢梁，木材经干燥处理，木材含水率为8%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 ，木制件甲醛释放量≤1.5mg/L，木材符合GB/T3324-2017木家具通用技术条件、GB 18584-2001 室内装饰装修材料，木家具中有害物质限量标准；用黑核桃木微薄木作饰面（微薄木厚度≥0.6mm） ，微薄木符合GB/T 3324-2017 木家具通用技术条件、GB 18584-2001 室内装饰装修材料 木家具中有害物质限量标准。</w:t>
            </w:r>
          </w:p>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3、门板为上下为木框玻璃门对开门结构，门内各配2块隔板，书柜顶层不装门，顶层加灯带装饰。</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5、胶粘剂：采用优质品牌白乳胶。白乳胶中的有害物质限量必须符合国家标准GB18583-2008《室内装饰装修材料 胶粘剂中有害物质限量》的要求。总挥发性有机物≤</w:t>
            </w:r>
            <w:r>
              <w:rPr>
                <w:rFonts w:hint="eastAsia" w:ascii="宋体" w:hAnsi="宋体" w:cs="宋体"/>
                <w:color w:val="000000" w:themeColor="text1"/>
                <w:szCs w:val="21"/>
                <w14:textFill>
                  <w14:solidFill>
                    <w14:schemeClr w14:val="tx1"/>
                  </w14:solidFill>
                </w14:textFill>
              </w:rPr>
              <w:t>110</w:t>
            </w:r>
            <w:r>
              <w:rPr>
                <w:rFonts w:hint="eastAsia" w:ascii="宋体" w:hAnsi="宋体" w:cs="宋体"/>
                <w:color w:val="000000" w:themeColor="text1"/>
                <w:kern w:val="0"/>
                <w:szCs w:val="21"/>
                <w:lang w:bidi="ar"/>
                <w14:textFill>
                  <w14:solidFill>
                    <w14:schemeClr w14:val="tx1"/>
                  </w14:solidFill>
                </w14:textFill>
              </w:rPr>
              <w:t>g/L ；甲苯+二甲苯</w:t>
            </w:r>
            <w:r>
              <w:rPr>
                <w:rFonts w:hint="eastAsia" w:ascii="宋体" w:hAnsi="宋体" w:cs="宋体"/>
                <w:color w:val="000000" w:themeColor="text1"/>
                <w:szCs w:val="21"/>
                <w14:textFill>
                  <w14:solidFill>
                    <w14:schemeClr w14:val="tx1"/>
                  </w14:solidFill>
                </w14:textFill>
              </w:rPr>
              <w:t>≤10g/kg</w:t>
            </w:r>
            <w:r>
              <w:rPr>
                <w:rFonts w:hint="eastAsia" w:ascii="宋体" w:hAnsi="宋体" w:cs="宋体"/>
                <w:color w:val="000000" w:themeColor="text1"/>
                <w:kern w:val="0"/>
                <w:szCs w:val="21"/>
                <w:lang w:bidi="ar"/>
                <w14:textFill>
                  <w14:solidFill>
                    <w14:schemeClr w14:val="tx1"/>
                  </w14:solidFill>
                </w14:textFill>
              </w:rPr>
              <w:t xml:space="preserve"> ；苯</w:t>
            </w:r>
            <w:r>
              <w:rPr>
                <w:rFonts w:hint="eastAsia" w:ascii="宋体" w:hAnsi="宋体" w:cs="宋体"/>
                <w:color w:val="000000" w:themeColor="text1"/>
                <w:szCs w:val="21"/>
                <w14:textFill>
                  <w14:solidFill>
                    <w14:schemeClr w14:val="tx1"/>
                  </w14:solidFill>
                </w14:textFill>
              </w:rPr>
              <w:t>≤0.20g/kg</w:t>
            </w:r>
            <w:r>
              <w:rPr>
                <w:rFonts w:hint="eastAsia" w:ascii="宋体" w:hAnsi="宋体" w:cs="宋体"/>
                <w:color w:val="000000" w:themeColor="text1"/>
                <w:kern w:val="0"/>
                <w:szCs w:val="21"/>
                <w:lang w:bidi="ar"/>
                <w14:textFill>
                  <w14:solidFill>
                    <w14:schemeClr w14:val="tx1"/>
                  </w14:solidFill>
                </w14:textFill>
              </w:rPr>
              <w:t xml:space="preserve"> ；游离甲醛≤</w:t>
            </w:r>
            <w:r>
              <w:rPr>
                <w:rFonts w:hint="eastAsia" w:ascii="宋体" w:hAnsi="宋体" w:cs="宋体"/>
                <w:color w:val="000000" w:themeColor="text1"/>
                <w:szCs w:val="21"/>
                <w14:textFill>
                  <w14:solidFill>
                    <w14:schemeClr w14:val="tx1"/>
                  </w14:solidFill>
                </w14:textFill>
              </w:rPr>
              <w:t>1.0</w:t>
            </w:r>
            <w:r>
              <w:rPr>
                <w:rFonts w:hint="eastAsia" w:ascii="宋体" w:hAnsi="宋体" w:cs="宋体"/>
                <w:color w:val="000000" w:themeColor="text1"/>
                <w:kern w:val="0"/>
                <w:szCs w:val="21"/>
                <w:lang w:bidi="ar"/>
                <w14:textFill>
                  <w14:solidFill>
                    <w14:schemeClr w14:val="tx1"/>
                  </w14:solidFill>
                </w14:textFill>
              </w:rPr>
              <w:t>g/kg                                                                                                                                             6、铰链：符合</w:t>
            </w:r>
            <w:r>
              <w:rPr>
                <w:rFonts w:hint="eastAsia" w:ascii="宋体" w:hAnsi="宋体" w:cs="宋体"/>
                <w:color w:val="000000" w:themeColor="text1"/>
                <w:kern w:val="0"/>
                <w:szCs w:val="21"/>
                <w:lang w:eastAsia="zh-CN" w:bidi="ar"/>
                <w14:textFill>
                  <w14:solidFill>
                    <w14:schemeClr w14:val="tx1"/>
                  </w14:solidFill>
                </w14:textFill>
              </w:rPr>
              <w:t>QB/T 2189-2013 《家具五金 杯状暗铰链》 、GB/T 3325-2017 《金属家具通用技术条件 》、QB/T 3826-1999 《轻工产品金属镀层和化学处理层的耐腐蚀试验方法 中性盐雾试验(NSS)法 》、QB/T 3832-1999《 轻工产品金属镀层腐蚀试验结果的评价》</w:t>
            </w:r>
            <w:r>
              <w:rPr>
                <w:rFonts w:hint="eastAsia" w:ascii="宋体" w:hAnsi="宋体" w:cs="宋体"/>
                <w:color w:val="000000" w:themeColor="text1"/>
                <w:kern w:val="0"/>
                <w:szCs w:val="21"/>
                <w:lang w:bidi="ar"/>
                <w14:textFill>
                  <w14:solidFill>
                    <w14:schemeClr w14:val="tx1"/>
                  </w14:solidFill>
                </w14:textFill>
              </w:rPr>
              <w:t>要求。①垂直静载荷（过载）商用型：30kg，10次a）所有组件或结合处不应断裂；b）通过手触压证实，用于紧固的组件不应松动；c）所有组件不应有影响正常运作的变形或磨损；d）固定组件不应松动；e）所有组件的功能不应损害；f）杯状暗铰链及其组件不应分离 ；②水平静载荷（过载）商用型：70N，10次a）所有组件或结合处不应断裂；b）通过手触压证实，用于紧固的组件不应松动；c）所有组件不应有影响正常运作的变形或磨损；d）固定组件不应松动；e）所有组件的功能不应损害；f）杯状暗铰链及其组件不应分离；③操作力： 商用型：在耐久性试验前后，打开力和关闭力不应大于20N；④耐久性：商用型：80000次a）所有组件或结合处不应断裂；b）通过手触压证实，用于紧固的组件不应松动；c）所有组件不应有影响正常运作的变形或磨损；d）固定组件不应松动；e）所有组件的功能不应损害；f）杯状暗铰链及其组件应能正常工作 ；⑤下沉量：商用型：在使用调整系统前，安装A型试验门时，下沉量不应大于2.0mm  ⑥耐腐蚀等级：连续喷雾试验时间≥100h耐腐蚀等级≥10级。</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7、三合一连接件符合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4</w:t>
            </w:r>
          </w:p>
        </w:tc>
        <w:tc>
          <w:tcPr>
            <w:tcW w:w="612"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组</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7560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7</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小展柜</w:t>
            </w:r>
          </w:p>
        </w:tc>
        <w:tc>
          <w:tcPr>
            <w:tcW w:w="7401" w:type="dxa"/>
            <w:shd w:val="clear" w:color="auto" w:fill="auto"/>
            <w:tcMar>
              <w:top w:w="15" w:type="dxa"/>
              <w:left w:w="15" w:type="dxa"/>
              <w:right w:w="15" w:type="dxa"/>
            </w:tcMar>
          </w:tcPr>
          <w:p>
            <w:pPr>
              <w:widowControl/>
              <w:numPr>
                <w:ilvl w:val="0"/>
                <w:numId w:val="11"/>
              </w:numPr>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规格尺寸：1000长mm×650宽mm×1000mm，（允许偏差±5mm）；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2、材质：采用优质橡胶木指接板为基材，木材经干燥处理，木材含水率为8%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 ，木制件甲醛释放量≤1.5mg/L，木材符合GB/T3324-2017木家具通用技术条件GB 18584-2001 室内装饰装修材料，木家具中有害物质限量标准；用黑核桃木微薄木作饰面（微薄木厚度≥0.6mm），微薄木符合GB/T 3324-2017 木家具通用技术条件、GB 18584-2001 室内装饰装修材料、木家具中有害物质限量标准。</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4、胶粘剂：采用优质品牌白乳胶。白乳胶中的有害物质限量必须符合国家标准GB18583-2008《室内装饰装修材料 胶粘剂中有害物质限量》的要求。总挥发性有机物≤</w:t>
            </w:r>
            <w:r>
              <w:rPr>
                <w:rFonts w:hint="eastAsia" w:ascii="宋体" w:hAnsi="宋体" w:cs="宋体"/>
                <w:color w:val="000000" w:themeColor="text1"/>
                <w:szCs w:val="21"/>
                <w14:textFill>
                  <w14:solidFill>
                    <w14:schemeClr w14:val="tx1"/>
                  </w14:solidFill>
                </w14:textFill>
              </w:rPr>
              <w:t>110</w:t>
            </w:r>
            <w:r>
              <w:rPr>
                <w:rFonts w:hint="eastAsia" w:ascii="宋体" w:hAnsi="宋体" w:cs="宋体"/>
                <w:color w:val="000000" w:themeColor="text1"/>
                <w:kern w:val="0"/>
                <w:szCs w:val="21"/>
                <w:lang w:bidi="ar"/>
                <w14:textFill>
                  <w14:solidFill>
                    <w14:schemeClr w14:val="tx1"/>
                  </w14:solidFill>
                </w14:textFill>
              </w:rPr>
              <w:t>g/L ；甲苯+二甲苯</w:t>
            </w:r>
            <w:r>
              <w:rPr>
                <w:rFonts w:hint="eastAsia" w:ascii="宋体" w:hAnsi="宋体" w:cs="宋体"/>
                <w:color w:val="000000" w:themeColor="text1"/>
                <w:szCs w:val="21"/>
                <w14:textFill>
                  <w14:solidFill>
                    <w14:schemeClr w14:val="tx1"/>
                  </w14:solidFill>
                </w14:textFill>
              </w:rPr>
              <w:t>≤10g/kg</w:t>
            </w:r>
            <w:r>
              <w:rPr>
                <w:rFonts w:hint="eastAsia" w:ascii="宋体" w:hAnsi="宋体" w:cs="宋体"/>
                <w:color w:val="000000" w:themeColor="text1"/>
                <w:kern w:val="0"/>
                <w:szCs w:val="21"/>
                <w:lang w:bidi="ar"/>
                <w14:textFill>
                  <w14:solidFill>
                    <w14:schemeClr w14:val="tx1"/>
                  </w14:solidFill>
                </w14:textFill>
              </w:rPr>
              <w:t xml:space="preserve"> ；苯</w:t>
            </w:r>
            <w:r>
              <w:rPr>
                <w:rFonts w:hint="eastAsia" w:ascii="宋体" w:hAnsi="宋体" w:cs="宋体"/>
                <w:color w:val="000000" w:themeColor="text1"/>
                <w:szCs w:val="21"/>
                <w14:textFill>
                  <w14:solidFill>
                    <w14:schemeClr w14:val="tx1"/>
                  </w14:solidFill>
                </w14:textFill>
              </w:rPr>
              <w:t>≤0.20g/kg</w:t>
            </w:r>
            <w:r>
              <w:rPr>
                <w:rFonts w:hint="eastAsia" w:ascii="宋体" w:hAnsi="宋体" w:cs="宋体"/>
                <w:color w:val="000000" w:themeColor="text1"/>
                <w:kern w:val="0"/>
                <w:szCs w:val="21"/>
                <w:lang w:bidi="ar"/>
                <w14:textFill>
                  <w14:solidFill>
                    <w14:schemeClr w14:val="tx1"/>
                  </w14:solidFill>
                </w14:textFill>
              </w:rPr>
              <w:t xml:space="preserve"> ；游离甲醛≤</w:t>
            </w:r>
            <w:r>
              <w:rPr>
                <w:rFonts w:hint="eastAsia" w:ascii="宋体" w:hAnsi="宋体" w:cs="宋体"/>
                <w:color w:val="000000" w:themeColor="text1"/>
                <w:szCs w:val="21"/>
                <w14:textFill>
                  <w14:solidFill>
                    <w14:schemeClr w14:val="tx1"/>
                  </w14:solidFill>
                </w14:textFill>
              </w:rPr>
              <w:t>1.0</w:t>
            </w:r>
            <w:r>
              <w:rPr>
                <w:rFonts w:hint="eastAsia" w:ascii="宋体" w:hAnsi="宋体" w:cs="宋体"/>
                <w:color w:val="000000" w:themeColor="text1"/>
                <w:kern w:val="0"/>
                <w:szCs w:val="21"/>
                <w:lang w:bidi="ar"/>
                <w14:textFill>
                  <w14:solidFill>
                    <w14:schemeClr w14:val="tx1"/>
                  </w14:solidFill>
                </w14:textFill>
              </w:rPr>
              <w:t xml:space="preserve">g/kg                                                                                                                                             </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5、三合一连接件符合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r>
              <w:rPr>
                <w:rFonts w:hint="eastAsia" w:ascii="宋体" w:hAnsi="宋体" w:cs="宋体"/>
                <w:color w:val="000000" w:themeColor="text1"/>
                <w:szCs w:val="21"/>
                <w14:textFill>
                  <w14:solidFill>
                    <w14:schemeClr w14:val="tx1"/>
                  </w14:solidFill>
                </w14:textFill>
              </w:rPr>
              <w:t>涂层金属元素含量：As、Cu、Mn、Ni≤0.1％。</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8</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个</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3960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实木桌</w:t>
            </w:r>
          </w:p>
        </w:tc>
        <w:tc>
          <w:tcPr>
            <w:tcW w:w="7401" w:type="dxa"/>
            <w:shd w:val="clear" w:color="auto" w:fill="auto"/>
            <w:tcMar>
              <w:top w:w="15" w:type="dxa"/>
              <w:left w:w="15" w:type="dxa"/>
              <w:right w:w="15" w:type="dxa"/>
            </w:tcMar>
          </w:tcPr>
          <w:p>
            <w:pPr>
              <w:widowControl/>
              <w:numPr>
                <w:ilvl w:val="0"/>
                <w:numId w:val="12"/>
              </w:numPr>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规格尺寸：长1260mm×宽350mm×高980mm，（允许偏差±5mm）；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2、材质要求为：采用优质橡胶木指接板为基材，木材经干燥处理，木材含水率为8%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 ，木制件甲醛释放量≤1.5mg/L，木材符合GB/T3324-2017木家具通用技术条件GB 18584-2001 室内装饰装修材料，木家具中有害物质限量标准；用黑核桃木微薄木作饰面（微薄木厚度≥0.6mm），木制件甲醛释放量≤1.5mg/L ，微薄木符合GB/T 3324-2017 木家具通用技术条件、GB 18584-2001 室内装饰装修材料、木家具中有害物质限量标准。</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p>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4、胶粘剂：采用优质品牌白乳胶。白乳胶中的有害物质限量必须符合国家标准GB18583-2008《室内装饰装修材料 胶粘剂中有害物质限量》的要求。总挥发性有机物≤</w:t>
            </w:r>
            <w:r>
              <w:rPr>
                <w:rFonts w:hint="eastAsia" w:ascii="宋体" w:hAnsi="宋体" w:cs="宋体"/>
                <w:color w:val="000000" w:themeColor="text1"/>
                <w:szCs w:val="21"/>
                <w14:textFill>
                  <w14:solidFill>
                    <w14:schemeClr w14:val="tx1"/>
                  </w14:solidFill>
                </w14:textFill>
              </w:rPr>
              <w:t>110</w:t>
            </w:r>
            <w:r>
              <w:rPr>
                <w:rFonts w:hint="eastAsia" w:ascii="宋体" w:hAnsi="宋体" w:cs="宋体"/>
                <w:color w:val="000000" w:themeColor="text1"/>
                <w:kern w:val="0"/>
                <w:szCs w:val="21"/>
                <w:lang w:bidi="ar"/>
                <w14:textFill>
                  <w14:solidFill>
                    <w14:schemeClr w14:val="tx1"/>
                  </w14:solidFill>
                </w14:textFill>
              </w:rPr>
              <w:t>g/L ；甲苯+二甲苯</w:t>
            </w:r>
            <w:r>
              <w:rPr>
                <w:rFonts w:hint="eastAsia" w:ascii="宋体" w:hAnsi="宋体" w:cs="宋体"/>
                <w:color w:val="000000" w:themeColor="text1"/>
                <w:szCs w:val="21"/>
                <w14:textFill>
                  <w14:solidFill>
                    <w14:schemeClr w14:val="tx1"/>
                  </w14:solidFill>
                </w14:textFill>
              </w:rPr>
              <w:t>≤10g/kg</w:t>
            </w:r>
            <w:r>
              <w:rPr>
                <w:rFonts w:hint="eastAsia" w:ascii="宋体" w:hAnsi="宋体" w:cs="宋体"/>
                <w:color w:val="000000" w:themeColor="text1"/>
                <w:kern w:val="0"/>
                <w:szCs w:val="21"/>
                <w:lang w:bidi="ar"/>
                <w14:textFill>
                  <w14:solidFill>
                    <w14:schemeClr w14:val="tx1"/>
                  </w14:solidFill>
                </w14:textFill>
              </w:rPr>
              <w:t xml:space="preserve"> ；苯</w:t>
            </w:r>
            <w:r>
              <w:rPr>
                <w:rFonts w:hint="eastAsia" w:ascii="宋体" w:hAnsi="宋体" w:cs="宋体"/>
                <w:color w:val="000000" w:themeColor="text1"/>
                <w:szCs w:val="21"/>
                <w14:textFill>
                  <w14:solidFill>
                    <w14:schemeClr w14:val="tx1"/>
                  </w14:solidFill>
                </w14:textFill>
              </w:rPr>
              <w:t>≤0.20g/kg</w:t>
            </w:r>
            <w:r>
              <w:rPr>
                <w:rFonts w:hint="eastAsia" w:ascii="宋体" w:hAnsi="宋体" w:cs="宋体"/>
                <w:color w:val="000000" w:themeColor="text1"/>
                <w:kern w:val="0"/>
                <w:szCs w:val="21"/>
                <w:lang w:bidi="ar"/>
                <w14:textFill>
                  <w14:solidFill>
                    <w14:schemeClr w14:val="tx1"/>
                  </w14:solidFill>
                </w14:textFill>
              </w:rPr>
              <w:t xml:space="preserve"> ；游离甲醛≤</w:t>
            </w:r>
            <w:r>
              <w:rPr>
                <w:rFonts w:hint="eastAsia" w:ascii="宋体" w:hAnsi="宋体" w:cs="宋体"/>
                <w:color w:val="000000" w:themeColor="text1"/>
                <w:szCs w:val="21"/>
                <w14:textFill>
                  <w14:solidFill>
                    <w14:schemeClr w14:val="tx1"/>
                  </w14:solidFill>
                </w14:textFill>
              </w:rPr>
              <w:t>1.0</w:t>
            </w:r>
            <w:r>
              <w:rPr>
                <w:rFonts w:hint="eastAsia" w:ascii="宋体" w:hAnsi="宋体" w:cs="宋体"/>
                <w:color w:val="000000" w:themeColor="text1"/>
                <w:kern w:val="0"/>
                <w:szCs w:val="21"/>
                <w:lang w:bidi="ar"/>
                <w14:textFill>
                  <w14:solidFill>
                    <w14:schemeClr w14:val="tx1"/>
                  </w14:solidFill>
                </w14:textFill>
              </w:rPr>
              <w:t>g/kg                                                                                                                                             5、五金件须符合QB/T3832-1999、QB/T3826-1999标准，连续喷雾试验时间≥100h耐腐蚀等级≥10级。</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个</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2780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木书架</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1、规格尺寸：长900mm×宽400mm×高1850mm，允许偏差±5mm；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2、采用优质胶合板（俗称多层实木板）做基材，板材厚度≥25mm,木制件甲醛释放量≤1.5mg/L，木材经干燥处理，木材含水率为8%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（产品所在地区年平均木材平衡含水率+1%）。符合：GB 18584-2001 室内装饰装修材料 木家具中有害物质限量。GB/T 17657-2013 人造板及饰面人造板理化性能试验方法要求，饰面材料：黑胡桃木微薄木作饰面（微薄木厚度≥0.6mm），木制件甲醛释放量≤1.5mg/L ，微薄木质量符合GB/T 3324-2017 木家具通用技术条件、GB 18584-2001 室内装饰装修材料、木家具中有害物质限量标准。</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4、胶粘剂：采用优质品牌白乳胶。白乳胶中的有害物质限量必须符合国家标准GB18583-2008《室内装饰装修材料 胶粘剂中有害物质限量》的要求。总挥发性有机物≤</w:t>
            </w:r>
            <w:r>
              <w:rPr>
                <w:rFonts w:hint="eastAsia" w:ascii="宋体" w:hAnsi="宋体" w:cs="宋体"/>
                <w:color w:val="000000" w:themeColor="text1"/>
                <w:szCs w:val="21"/>
                <w14:textFill>
                  <w14:solidFill>
                    <w14:schemeClr w14:val="tx1"/>
                  </w14:solidFill>
                </w14:textFill>
              </w:rPr>
              <w:t>110</w:t>
            </w:r>
            <w:r>
              <w:rPr>
                <w:rFonts w:hint="eastAsia" w:ascii="宋体" w:hAnsi="宋体" w:cs="宋体"/>
                <w:color w:val="000000" w:themeColor="text1"/>
                <w:kern w:val="0"/>
                <w:szCs w:val="21"/>
                <w:lang w:bidi="ar"/>
                <w14:textFill>
                  <w14:solidFill>
                    <w14:schemeClr w14:val="tx1"/>
                  </w14:solidFill>
                </w14:textFill>
              </w:rPr>
              <w:t>g/L ；甲苯+二甲苯</w:t>
            </w:r>
            <w:r>
              <w:rPr>
                <w:rFonts w:hint="eastAsia" w:ascii="宋体" w:hAnsi="宋体" w:cs="宋体"/>
                <w:color w:val="000000" w:themeColor="text1"/>
                <w:szCs w:val="21"/>
                <w14:textFill>
                  <w14:solidFill>
                    <w14:schemeClr w14:val="tx1"/>
                  </w14:solidFill>
                </w14:textFill>
              </w:rPr>
              <w:t>≤10g/kg</w:t>
            </w:r>
            <w:r>
              <w:rPr>
                <w:rFonts w:hint="eastAsia" w:ascii="宋体" w:hAnsi="宋体" w:cs="宋体"/>
                <w:color w:val="000000" w:themeColor="text1"/>
                <w:kern w:val="0"/>
                <w:szCs w:val="21"/>
                <w:lang w:bidi="ar"/>
                <w14:textFill>
                  <w14:solidFill>
                    <w14:schemeClr w14:val="tx1"/>
                  </w14:solidFill>
                </w14:textFill>
              </w:rPr>
              <w:t xml:space="preserve"> ；苯</w:t>
            </w:r>
            <w:r>
              <w:rPr>
                <w:rFonts w:hint="eastAsia" w:ascii="宋体" w:hAnsi="宋体" w:cs="宋体"/>
                <w:color w:val="000000" w:themeColor="text1"/>
                <w:szCs w:val="21"/>
                <w14:textFill>
                  <w14:solidFill>
                    <w14:schemeClr w14:val="tx1"/>
                  </w14:solidFill>
                </w14:textFill>
              </w:rPr>
              <w:t>≤0.20g/kg</w:t>
            </w:r>
            <w:r>
              <w:rPr>
                <w:rFonts w:hint="eastAsia" w:ascii="宋体" w:hAnsi="宋体" w:cs="宋体"/>
                <w:color w:val="000000" w:themeColor="text1"/>
                <w:kern w:val="0"/>
                <w:szCs w:val="21"/>
                <w:lang w:bidi="ar"/>
                <w14:textFill>
                  <w14:solidFill>
                    <w14:schemeClr w14:val="tx1"/>
                  </w14:solidFill>
                </w14:textFill>
              </w:rPr>
              <w:t xml:space="preserve"> ；游离甲醛≤</w:t>
            </w:r>
            <w:r>
              <w:rPr>
                <w:rFonts w:hint="eastAsia" w:ascii="宋体" w:hAnsi="宋体" w:cs="宋体"/>
                <w:color w:val="000000" w:themeColor="text1"/>
                <w:szCs w:val="21"/>
                <w14:textFill>
                  <w14:solidFill>
                    <w14:schemeClr w14:val="tx1"/>
                  </w14:solidFill>
                </w14:textFill>
              </w:rPr>
              <w:t>1.0</w:t>
            </w:r>
            <w:r>
              <w:rPr>
                <w:rFonts w:hint="eastAsia" w:ascii="宋体" w:hAnsi="宋体" w:cs="宋体"/>
                <w:color w:val="000000" w:themeColor="text1"/>
                <w:kern w:val="0"/>
                <w:szCs w:val="21"/>
                <w:lang w:bidi="ar"/>
                <w14:textFill>
                  <w14:solidFill>
                    <w14:schemeClr w14:val="tx1"/>
                  </w14:solidFill>
                </w14:textFill>
              </w:rPr>
              <w:t>g/kg                                                                                                                                          5、铰链：符合</w:t>
            </w:r>
            <w:r>
              <w:rPr>
                <w:rFonts w:hint="eastAsia" w:ascii="宋体" w:hAnsi="宋体" w:cs="宋体"/>
                <w:color w:val="000000" w:themeColor="text1"/>
                <w:kern w:val="0"/>
                <w:szCs w:val="21"/>
                <w:lang w:eastAsia="zh-CN" w:bidi="ar"/>
                <w14:textFill>
                  <w14:solidFill>
                    <w14:schemeClr w14:val="tx1"/>
                  </w14:solidFill>
                </w14:textFill>
              </w:rPr>
              <w:t>QB/T 2189-2013 《家具五金 杯状暗铰链》 、GB/T 3325-2017 《金属家具通用技术条件 》、QB/T 3826-1999 《轻工产品金属镀层和化学处理层的耐腐蚀试验方法 中性盐雾试验(NSS)法 》、QB/T 3832-1999《 轻工产品金属镀层腐蚀试验结果的评价》</w:t>
            </w:r>
            <w:r>
              <w:rPr>
                <w:rFonts w:hint="eastAsia" w:ascii="宋体" w:hAnsi="宋体" w:cs="宋体"/>
                <w:color w:val="000000" w:themeColor="text1"/>
                <w:kern w:val="0"/>
                <w:szCs w:val="21"/>
                <w:lang w:bidi="ar"/>
                <w14:textFill>
                  <w14:solidFill>
                    <w14:schemeClr w14:val="tx1"/>
                  </w14:solidFill>
                </w14:textFill>
              </w:rPr>
              <w:t>要求①垂直静载荷（过载）商用型：30kg，10次a）所有组件或结合处不应断裂；b）通过手触压证实，用于紧固的组件不应松动；c）所有组件不应有影响正常运作的变形或磨损；d）固定组件不应松动；e）所有组件的功能不应损害；f）杯状暗铰链及其组件不应分离 ；②水平静载荷（过载）商用型：70N，10次a）所有组件或结合处不应断裂；b）通过手触压证实，用于紧固的组件不应松动；c）所有组件不应有影响正常运作的变形或磨损；d）固定组件不应松动；e）所有组件的功能不应损害；f）杯状暗铰链及其组件不应分离；③操作力： 商用型：在耐久性试验前后，打开力和关闭力不应大于20N；④耐久性：商用型：80000次a）所有组件或结合处不应断裂；b）通过手触压证实，用于紧固的组件不应松动；c）所有组件不应有影响正常运作的变形或磨损；d）固定组件不应松动；e）所有组件的功能不应损害；f）杯状暗铰链及其组件应能正常工作 ；⑤下沉量：商用型：在使用调整系统前，安装A型试验门时，下沉量不应大于2.0mm  ⑥耐腐蚀等级：连续喷雾试验时间≥100h耐腐蚀等级≥10级。</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6、三合一连接件符合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4</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组</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6150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10</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屏风</w:t>
            </w:r>
          </w:p>
        </w:tc>
        <w:tc>
          <w:tcPr>
            <w:tcW w:w="7401" w:type="dxa"/>
            <w:shd w:val="clear" w:color="auto" w:fill="auto"/>
            <w:tcMar>
              <w:top w:w="15" w:type="dxa"/>
              <w:left w:w="15" w:type="dxa"/>
              <w:right w:w="15" w:type="dxa"/>
            </w:tcMar>
          </w:tcPr>
          <w:p>
            <w:pPr>
              <w:widowControl/>
              <w:numPr>
                <w:ilvl w:val="0"/>
                <w:numId w:val="13"/>
              </w:numPr>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规格尺寸：高2000mm×宽500mm（允许偏差±5mm）；</w:t>
            </w:r>
          </w:p>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2、材质：橡胶木实木边框。</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4、胶粘剂：采用优质品牌白乳胶。白乳胶中的有害物质限量必须符合国家标准GB18583-2008《室内装饰装修材料 胶粘剂中有害物质限量》的要求。总挥发性有机物≤</w:t>
            </w:r>
            <w:r>
              <w:rPr>
                <w:rFonts w:hint="eastAsia" w:ascii="宋体" w:hAnsi="宋体" w:cs="宋体"/>
                <w:color w:val="000000" w:themeColor="text1"/>
                <w:szCs w:val="21"/>
                <w14:textFill>
                  <w14:solidFill>
                    <w14:schemeClr w14:val="tx1"/>
                  </w14:solidFill>
                </w14:textFill>
              </w:rPr>
              <w:t>110</w:t>
            </w:r>
            <w:r>
              <w:rPr>
                <w:rFonts w:hint="eastAsia" w:ascii="宋体" w:hAnsi="宋体" w:cs="宋体"/>
                <w:color w:val="000000" w:themeColor="text1"/>
                <w:kern w:val="0"/>
                <w:szCs w:val="21"/>
                <w:lang w:bidi="ar"/>
                <w14:textFill>
                  <w14:solidFill>
                    <w14:schemeClr w14:val="tx1"/>
                  </w14:solidFill>
                </w14:textFill>
              </w:rPr>
              <w:t>g/L ；甲苯+二甲苯</w:t>
            </w:r>
            <w:r>
              <w:rPr>
                <w:rFonts w:hint="eastAsia" w:ascii="宋体" w:hAnsi="宋体" w:cs="宋体"/>
                <w:color w:val="000000" w:themeColor="text1"/>
                <w:szCs w:val="21"/>
                <w14:textFill>
                  <w14:solidFill>
                    <w14:schemeClr w14:val="tx1"/>
                  </w14:solidFill>
                </w14:textFill>
              </w:rPr>
              <w:t>≤10g/kg</w:t>
            </w:r>
            <w:r>
              <w:rPr>
                <w:rFonts w:hint="eastAsia" w:ascii="宋体" w:hAnsi="宋体" w:cs="宋体"/>
                <w:color w:val="000000" w:themeColor="text1"/>
                <w:kern w:val="0"/>
                <w:szCs w:val="21"/>
                <w:lang w:bidi="ar"/>
                <w14:textFill>
                  <w14:solidFill>
                    <w14:schemeClr w14:val="tx1"/>
                  </w14:solidFill>
                </w14:textFill>
              </w:rPr>
              <w:t xml:space="preserve"> ；苯</w:t>
            </w:r>
            <w:r>
              <w:rPr>
                <w:rFonts w:hint="eastAsia" w:ascii="宋体" w:hAnsi="宋体" w:cs="宋体"/>
                <w:color w:val="000000" w:themeColor="text1"/>
                <w:szCs w:val="21"/>
                <w14:textFill>
                  <w14:solidFill>
                    <w14:schemeClr w14:val="tx1"/>
                  </w14:solidFill>
                </w14:textFill>
              </w:rPr>
              <w:t>≤0.20g/kg</w:t>
            </w:r>
            <w:r>
              <w:rPr>
                <w:rFonts w:hint="eastAsia" w:ascii="宋体" w:hAnsi="宋体" w:cs="宋体"/>
                <w:color w:val="000000" w:themeColor="text1"/>
                <w:kern w:val="0"/>
                <w:szCs w:val="21"/>
                <w:lang w:bidi="ar"/>
                <w14:textFill>
                  <w14:solidFill>
                    <w14:schemeClr w14:val="tx1"/>
                  </w14:solidFill>
                </w14:textFill>
              </w:rPr>
              <w:t xml:space="preserve"> ；游离甲醛≤</w:t>
            </w:r>
            <w:r>
              <w:rPr>
                <w:rFonts w:hint="eastAsia" w:ascii="宋体" w:hAnsi="宋体" w:cs="宋体"/>
                <w:color w:val="000000" w:themeColor="text1"/>
                <w:szCs w:val="21"/>
                <w14:textFill>
                  <w14:solidFill>
                    <w14:schemeClr w14:val="tx1"/>
                  </w14:solidFill>
                </w14:textFill>
              </w:rPr>
              <w:t>1.0</w:t>
            </w:r>
            <w:r>
              <w:rPr>
                <w:rFonts w:hint="eastAsia" w:ascii="宋体" w:hAnsi="宋体" w:cs="宋体"/>
                <w:color w:val="000000" w:themeColor="text1"/>
                <w:kern w:val="0"/>
                <w:szCs w:val="21"/>
                <w:lang w:bidi="ar"/>
                <w14:textFill>
                  <w14:solidFill>
                    <w14:schemeClr w14:val="tx1"/>
                  </w14:solidFill>
                </w14:textFill>
              </w:rPr>
              <w:t>g/kg                                                                                                                                            5、三合一连接件符合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16</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延米</w:t>
            </w:r>
          </w:p>
        </w:tc>
        <w:tc>
          <w:tcPr>
            <w:tcW w:w="924" w:type="dxa"/>
            <w:shd w:val="clear" w:color="auto" w:fill="auto"/>
            <w:tcMar>
              <w:top w:w="15" w:type="dxa"/>
              <w:left w:w="15" w:type="dxa"/>
              <w:right w:w="15" w:type="dxa"/>
            </w:tcMar>
            <w:vAlign w:val="center"/>
          </w:tcPr>
          <w:p>
            <w:pPr>
              <w:widowControl/>
              <w:jc w:val="center"/>
              <w:rPr>
                <w:rFonts w:ascii="宋体" w:hAnsi="宋体" w:cs="宋体"/>
                <w:color w:val="000000" w:themeColor="text1"/>
                <w:szCs w:val="21"/>
                <w14:textFill>
                  <w14:solidFill>
                    <w14:schemeClr w14:val="tx1"/>
                  </w14:solidFill>
                </w14:textFill>
              </w:rPr>
            </w:pPr>
          </w:p>
          <w:p>
            <w:pPr>
              <w:pStyle w:val="2"/>
              <w:ind w:firstLine="210" w:firstLineChars="100"/>
              <w:rPr>
                <w:color w:val="000000" w:themeColor="text1"/>
                <w14:textFill>
                  <w14:solidFill>
                    <w14:schemeClr w14:val="tx1"/>
                  </w14:solidFill>
                </w14:textFill>
              </w:rPr>
            </w:pPr>
            <w:r>
              <w:rPr>
                <w:rFonts w:hint="eastAsia" w:ascii="宋体" w:hAnsi="宋体" w:eastAsia="宋体" w:cs="宋体"/>
                <w:b w:val="0"/>
                <w:bCs w:val="0"/>
                <w:color w:val="000000" w:themeColor="text1"/>
                <w:kern w:val="0"/>
                <w:sz w:val="21"/>
                <w:szCs w:val="21"/>
                <w:lang w:val="en-US" w:eastAsia="zh-CN" w:bidi="ar"/>
                <w14:textFill>
                  <w14:solidFill>
                    <w14:schemeClr w14:val="tx1"/>
                  </w14:solidFill>
                </w14:textFill>
              </w:rPr>
              <w:t>2200</w:t>
            </w:r>
          </w:p>
          <w:p>
            <w:pPr>
              <w:widowControl/>
              <w:jc w:val="center"/>
              <w:textAlignment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11</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阅览桌</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规格尺寸：长1900mm×宽600mm×高750</w:t>
            </w:r>
            <w:r>
              <w:rPr>
                <w:rFonts w:hint="eastAsia" w:ascii="宋体" w:hAnsi="宋体" w:cs="宋体"/>
                <w:color w:val="000000" w:themeColor="text1"/>
                <w:kern w:val="0"/>
                <w:szCs w:val="21"/>
                <w:lang w:val="en-US" w:eastAsia="zh-CN" w:bidi="ar"/>
                <w14:textFill>
                  <w14:solidFill>
                    <w14:schemeClr w14:val="tx1"/>
                  </w14:solidFill>
                </w14:textFill>
              </w:rPr>
              <w:t>mm</w:t>
            </w:r>
            <w:r>
              <w:rPr>
                <w:rFonts w:hint="eastAsia" w:ascii="宋体" w:hAnsi="宋体" w:cs="宋体"/>
                <w:color w:val="000000" w:themeColor="text1"/>
                <w:kern w:val="0"/>
                <w:szCs w:val="21"/>
                <w:lang w:bidi="ar"/>
                <w14:textFill>
                  <w14:solidFill>
                    <w14:schemeClr w14:val="tx1"/>
                  </w14:solidFill>
                </w14:textFill>
              </w:rPr>
              <w:t>（允许偏差±5mm）；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1、产品符合：GB/T3324-2017 木家具通用技术条件；GB 18584-2001 室内装饰装修材料 木家具中有害物质限量；</w:t>
            </w:r>
          </w:p>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2、材质：采用中文学名为檫木（俗称南方榆木）的木材制作，桌面及桌脚方材厚度≥40mm。木材经干燥处理，木材含水率为8%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 ，木材质量符合GB/T 3324-2017 木家具通用技术条件GB 18584-2001 室内装饰装修材料，木家具中有害物质限量。木材经四面刨光处理，结合部位无松动，主体榫卯结构，无腐朽、无贯通裂纹、无节子、无虫蛀，木材表面光滑；</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 xml:space="preserve">4、胶粘剂：采用优质品牌白乳胶。白乳胶中的有害物质限量必须符合国家标准GB18583-2008《室内装饰装修材料 胶粘剂中有害物质限量》的要求。总挥发性有机物≤110g/L ；甲苯+二甲苯≤10g/kg ；苯≤0.20g/kg ；游离甲醛≤1.0g/kg。                                                                                                                                           5、静音导轨：符合 QB/T2454-2013 标准，耐腐蚀18h，1.5mm以下锈点不超过20点/d㎡,其中1.0mm以上的锈点不超过5点/d㎡。 </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6、三合一连接件符合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张</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10563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12</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阅览椅</w:t>
            </w:r>
          </w:p>
        </w:tc>
        <w:tc>
          <w:tcPr>
            <w:tcW w:w="7401" w:type="dxa"/>
            <w:shd w:val="clear" w:color="auto" w:fill="auto"/>
            <w:tcMar>
              <w:top w:w="15" w:type="dxa"/>
              <w:left w:w="15" w:type="dxa"/>
              <w:right w:w="15" w:type="dxa"/>
            </w:tcMar>
          </w:tcPr>
          <w:p>
            <w:pPr>
              <w:widowControl/>
              <w:numPr>
                <w:ilvl w:val="0"/>
                <w:numId w:val="14"/>
              </w:numPr>
              <w:jc w:val="left"/>
              <w:textAlignment w:val="center"/>
              <w:rPr>
                <w:rFonts w:hint="eastAsia"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外观规格尺寸：宽590mm×深490mm×椅高850mm</w:t>
            </w:r>
            <w:r>
              <w:rPr>
                <w:rFonts w:hint="eastAsia" w:ascii="宋体" w:hAnsi="宋体" w:cs="宋体"/>
                <w:color w:val="000000" w:themeColor="text1"/>
                <w:kern w:val="0"/>
                <w:szCs w:val="21"/>
                <w:lang w:eastAsia="zh-CN" w:bidi="ar"/>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座高480mm（允许偏差±5mm）</w:t>
            </w:r>
          </w:p>
          <w:p>
            <w:pPr>
              <w:widowControl/>
              <w:numPr>
                <w:ilvl w:val="0"/>
                <w:numId w:val="14"/>
              </w:numPr>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座椅须符合GB/T 14531-2017 《办公家具 阅览桌、椅、凳》；GB 18584-2001 《室内装饰装修材料 木家具中有害物质限量》的要求。</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2、坐垫面料：采用优质麻绒面料制作，透气性强；须符合GB18401-2010《国家纺织产品基本安全技术规范标准》的要求。</w:t>
            </w:r>
          </w:p>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 xml:space="preserve">3、海绵符合GB/T 10802-2006 《通用软质聚醚型聚氨酯泡沫塑料》的要求。回弹率 ：≥35%，拉伸强度：等级/120N ≥90kPa ；伸长率：等级/120N≥130 ％；撕裂强度 ：等级/120N ≥2.0N/cm；干热老化后拉伸强度：≥55KPa；干热老化后拉伸强度变化率：±30 ％ ； </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4、椅架：采用中文学名为檫木（俗称南方榆木）的木材制作，木材经干燥处理，木材含水率为8%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 ，木制件甲醛释放量≤1.5mg/L；木材须符合GB/T3324-2017 木家具通用技术条件GB 18584-2001 室内装饰装修材料，木家具中有害物质限量。木材经四面刨光处理，结合部位无松动，主体榫卯结构，无腐朽、无贯通裂纹、无节子、无虫蛀，木材表面光滑；</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5、油漆：采用优质水性油漆,其各项要求符合GB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 xml:space="preserve">6、胶粘剂：采用优质品牌白乳胶。白乳胶中的有害物质限量必须符合国家标准GB18583-2008《室内装饰装修材料 胶粘剂中有害物质限量》的要求。总挥发性有机物≤110g/L ；甲苯+二甲苯≤10g/kg ；苯≤0.20g/kg ；游离甲醛≤1.0g/kg。                                                                                                                                          </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张</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2635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13</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书画桌</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规格尺寸：1400mm×500mm×550mm，（允许偏差±5mm）；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1、产品须符合：GB/T 3324-2017 《木家具通用技术条件》、GB 18584-2001 《室内装饰装修材料 木家具中有害物质限量》的要求；</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2、书画桌材质：采用中文学名为檫木（俗称南方榆木）的木材制作，木材经干燥处理，木材含水率为8%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 ，木制件甲醛释放量≤1.5mg/L；木材须符合GB/T3324-2017 木家具通用技术条件GB 18584-2001 室内装饰装修材料，木家具中有害物质限量。木材经四面刨光处理，结合部位无松动，主体榫卯结构，无腐朽、无贯通裂纹、无节子、无虫蛀，木材表面光滑；</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4、胶粘剂：采用优质品牌白乳胶。白乳胶中的有害物质限量必须符合国家标准GB18583-2008《室内装饰装修材料 胶粘剂中有害物质限量》的要求。总挥发性有机物≤110g/L ；甲苯+二甲苯≤10g/kg ；苯≤0.20g/kg ；游离甲醛≤1.0g/kg。                                                                                                                                              5、三合一连接件须符合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张</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3165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0" w:hRule="atLeast"/>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ascii="宋体" w:hAnsi="宋体" w:cs="宋体"/>
                <w:color w:val="000000" w:themeColor="text1"/>
                <w:szCs w:val="21"/>
                <w14:textFill>
                  <w14:solidFill>
                    <w14:schemeClr w14:val="tx1"/>
                  </w14:solidFill>
                </w14:textFill>
              </w:rPr>
              <w:t>4</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屏风</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柱条为优质镀锌钢管拼接，顶部管材规格80mm×40mm,管壁厚≥1.5mm方管按要求造型,两组圆形拱门，一组六边形窗阁。下部镂空部位为实木花格，榫拼结构。要求不易变形，方便打理。</w:t>
            </w:r>
          </w:p>
        </w:tc>
        <w:tc>
          <w:tcPr>
            <w:tcW w:w="575"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32</w:t>
            </w:r>
          </w:p>
        </w:tc>
        <w:tc>
          <w:tcPr>
            <w:tcW w:w="612"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m</w:t>
            </w:r>
            <w:r>
              <w:rPr>
                <w:rStyle w:val="120"/>
                <w:rFonts w:hint="default"/>
                <w:color w:val="000000" w:themeColor="text1"/>
                <w:sz w:val="21"/>
                <w:szCs w:val="21"/>
                <w:lang w:bidi="ar"/>
                <w14:textFill>
                  <w14:solidFill>
                    <w14:schemeClr w14:val="tx1"/>
                  </w14:solidFill>
                </w14:textFill>
              </w:rPr>
              <w:t>2</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1550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p>
        </w:tc>
        <w:tc>
          <w:tcPr>
            <w:tcW w:w="7401" w:type="dxa"/>
            <w:shd w:val="clear" w:color="auto" w:fill="auto"/>
            <w:tcMar>
              <w:top w:w="15" w:type="dxa"/>
              <w:left w:w="15" w:type="dxa"/>
              <w:right w:w="15" w:type="dxa"/>
            </w:tcMar>
            <w:vAlign w:val="center"/>
          </w:tcPr>
          <w:p>
            <w:pPr>
              <w:jc w:val="center"/>
              <w:textAlignment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二、修复工作室</w:t>
            </w:r>
          </w:p>
        </w:tc>
        <w:tc>
          <w:tcPr>
            <w:tcW w:w="575"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p>
        </w:tc>
        <w:tc>
          <w:tcPr>
            <w:tcW w:w="612"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ascii="宋体" w:hAnsi="宋体" w:cs="宋体"/>
                <w:color w:val="000000" w:themeColor="text1"/>
                <w:szCs w:val="21"/>
                <w14:textFill>
                  <w14:solidFill>
                    <w14:schemeClr w14:val="tx1"/>
                  </w14:solidFill>
                </w14:textFill>
              </w:rPr>
              <w:t>5</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1号修复工作台</w:t>
            </w:r>
          </w:p>
        </w:tc>
        <w:tc>
          <w:tcPr>
            <w:tcW w:w="7401" w:type="dxa"/>
            <w:shd w:val="clear" w:color="auto" w:fill="auto"/>
            <w:tcMar>
              <w:top w:w="15" w:type="dxa"/>
              <w:left w:w="15" w:type="dxa"/>
              <w:right w:w="15" w:type="dxa"/>
            </w:tcMar>
          </w:tcPr>
          <w:p>
            <w:pPr>
              <w:widowControl/>
              <w:numPr>
                <w:ilvl w:val="0"/>
                <w:numId w:val="15"/>
              </w:numPr>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修复工作台</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1、外观规格尺寸：长1800mm×宽900mm×高780mm（允许偏差±5mm）；左边单门位置放置保险柜，右边为三抽屉，均配独立锁。配实木键盘抽、活动主机架各一个。</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2、采用优质橡胶木平拼版，台面厚度80</w:t>
            </w:r>
            <w:r>
              <w:rPr>
                <w:rFonts w:hint="eastAsia" w:ascii="宋体" w:hAnsi="宋体" w:cs="宋体"/>
                <w:color w:val="000000" w:themeColor="text1"/>
                <w:kern w:val="0"/>
                <w:szCs w:val="21"/>
                <w:lang w:val="en-US" w:eastAsia="zh-CN" w:bidi="ar"/>
                <w14:textFill>
                  <w14:solidFill>
                    <w14:schemeClr w14:val="tx1"/>
                  </w14:solidFill>
                </w14:textFill>
              </w:rPr>
              <w:t>mm</w:t>
            </w:r>
            <w:r>
              <w:rPr>
                <w:rFonts w:hint="eastAsia" w:ascii="宋体" w:hAnsi="宋体" w:cs="宋体"/>
                <w:color w:val="000000" w:themeColor="text1"/>
                <w:kern w:val="0"/>
                <w:szCs w:val="21"/>
                <w:lang w:bidi="ar"/>
                <w14:textFill>
                  <w14:solidFill>
                    <w14:schemeClr w14:val="tx1"/>
                  </w14:solidFill>
                </w14:textFill>
              </w:rPr>
              <w:t>。精细加工制作而成，表面亚光漆处理：4遍底漆+3遍面漆+1遍抗划伤面漆，具有抗划伤及耐水浸的效果，表面纹饰为水曲柳径切面纹理效果。</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3、台脚架采用≥75mm×55mm×20mm×12mm多边型铝合金型材制作，型材壁厚≥2.3mm，脚架接头为铝合金压铸件。横梁采用≥40.6×55mm的铝合金型材制作。多边型铝合金边梁采用≥75mm×55mm×20mm×12mm多边型铝合金型材制作，桌脚配有带有防滑静音脚垫。台架采用优质铝合金型材，抗拉伸、抗扭曲、抗压效果极佳，具有优良的机械性能。型材表面采用硬质阳极氧化处理，极大的提高了表面硬度及抗划伤、抗点蚀、耐腐蚀性能。桌子要求结实稳固，承重性好，桌面适合操作锤打敲击作业。</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二、保险柜</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w:t>
            </w:r>
            <w:r>
              <w:rPr>
                <w:rFonts w:hint="eastAsia" w:ascii="宋体" w:hAnsi="宋体" w:cs="宋体"/>
                <w:color w:val="000000" w:themeColor="text1"/>
                <w:kern w:val="0"/>
                <w:szCs w:val="21"/>
                <w:lang w:val="en-US" w:eastAsia="zh-CN" w:bidi="ar"/>
                <w14:textFill>
                  <w14:solidFill>
                    <w14:schemeClr w14:val="tx1"/>
                  </w14:solidFill>
                </w14:textFill>
              </w:rPr>
              <w:t>外观</w:t>
            </w:r>
            <w:r>
              <w:rPr>
                <w:rFonts w:hint="eastAsia" w:ascii="宋体" w:hAnsi="宋体" w:cs="宋体"/>
                <w:color w:val="000000" w:themeColor="text1"/>
                <w:kern w:val="0"/>
                <w:szCs w:val="21"/>
                <w:lang w:bidi="ar"/>
                <w14:textFill>
                  <w14:solidFill>
                    <w14:schemeClr w14:val="tx1"/>
                  </w14:solidFill>
                </w14:textFill>
              </w:rPr>
              <w:t>规格尺寸：高680mm×宽440</w:t>
            </w:r>
            <w:r>
              <w:rPr>
                <w:rFonts w:hint="eastAsia" w:ascii="宋体" w:hAnsi="宋体" w:cs="宋体"/>
                <w:color w:val="000000" w:themeColor="text1"/>
                <w:kern w:val="0"/>
                <w:szCs w:val="21"/>
                <w:lang w:val="en-US" w:eastAsia="zh-CN" w:bidi="ar"/>
                <w14:textFill>
                  <w14:solidFill>
                    <w14:schemeClr w14:val="tx1"/>
                  </w14:solidFill>
                </w14:textFill>
              </w:rPr>
              <w:t>mm</w:t>
            </w:r>
            <w:r>
              <w:rPr>
                <w:rFonts w:hint="eastAsia" w:ascii="宋体" w:hAnsi="宋体" w:cs="宋体"/>
                <w:color w:val="000000" w:themeColor="text1"/>
                <w:kern w:val="0"/>
                <w:szCs w:val="21"/>
                <w:lang w:bidi="ar"/>
                <w14:textFill>
                  <w14:solidFill>
                    <w14:schemeClr w14:val="tx1"/>
                  </w14:solidFill>
                </w14:textFill>
              </w:rPr>
              <w:t>×深400mm（允许偏差±5mm）；</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2、锁栓数量4个，内部配置：豪华贴皮内装饰活动隔板1块，内门1个。</w:t>
            </w:r>
          </w:p>
          <w:p>
            <w:pPr>
              <w:widowControl/>
              <w:jc w:val="left"/>
              <w:textAlignment w:val="center"/>
              <w:rPr>
                <w:rFonts w:ascii="宋体" w:hAnsi="宋体" w:cs="宋体"/>
                <w:bCs/>
                <w:color w:val="000000" w:themeColor="text1"/>
                <w:kern w:val="0"/>
                <w:szCs w:val="21"/>
                <w:lang w:bidi="ar"/>
                <w14:textFill>
                  <w14:solidFill>
                    <w14:schemeClr w14:val="tx1"/>
                  </w14:solidFill>
                </w14:textFill>
              </w:rPr>
            </w:pPr>
            <w:r>
              <w:rPr>
                <w:rFonts w:hint="eastAsia" w:ascii="宋体" w:hAnsi="宋体" w:cs="宋体"/>
                <w:bCs/>
                <w:color w:val="000000" w:themeColor="text1"/>
                <w:kern w:val="0"/>
                <w:szCs w:val="21"/>
                <w:lang w:bidi="ar"/>
                <w14:textFill>
                  <w14:solidFill>
                    <w14:schemeClr w14:val="tx1"/>
                  </w14:solidFill>
                </w14:textFill>
              </w:rPr>
              <w:t>3、面板：液晶双色工作显示状态，LCD电脑芯片，可以开启记录、查询功能 。</w:t>
            </w:r>
          </w:p>
          <w:p>
            <w:pPr>
              <w:widowControl/>
              <w:jc w:val="left"/>
              <w:textAlignment w:val="center"/>
              <w:rPr>
                <w:rFonts w:ascii="宋体" w:hAnsi="宋体" w:cs="宋体"/>
                <w:bCs/>
                <w:color w:val="000000" w:themeColor="text1"/>
                <w:kern w:val="0"/>
                <w:szCs w:val="21"/>
                <w:lang w:bidi="ar"/>
                <w14:textFill>
                  <w14:solidFill>
                    <w14:schemeClr w14:val="tx1"/>
                  </w14:solidFill>
                </w14:textFill>
              </w:rPr>
            </w:pPr>
            <w:r>
              <w:rPr>
                <w:rFonts w:hint="eastAsia" w:ascii="宋体" w:hAnsi="宋体" w:cs="宋体"/>
                <w:bCs/>
                <w:color w:val="000000" w:themeColor="text1"/>
                <w:kern w:val="0"/>
                <w:szCs w:val="21"/>
                <w:lang w:bidi="ar"/>
                <w14:textFill>
                  <w14:solidFill>
                    <w14:schemeClr w14:val="tx1"/>
                  </w14:solidFill>
                </w14:textFill>
              </w:rPr>
              <w:t>4、密码设计：密码4-8位可任意设置。</w:t>
            </w:r>
          </w:p>
          <w:p>
            <w:pPr>
              <w:widowControl/>
              <w:jc w:val="left"/>
              <w:textAlignment w:val="center"/>
              <w:rPr>
                <w:rFonts w:ascii="宋体" w:hAnsi="宋体" w:cs="宋体"/>
                <w:bCs/>
                <w:color w:val="000000" w:themeColor="text1"/>
                <w:kern w:val="0"/>
                <w:szCs w:val="21"/>
                <w:lang w:bidi="ar"/>
                <w14:textFill>
                  <w14:solidFill>
                    <w14:schemeClr w14:val="tx1"/>
                  </w14:solidFill>
                </w14:textFill>
              </w:rPr>
            </w:pPr>
            <w:r>
              <w:rPr>
                <w:rFonts w:hint="eastAsia" w:ascii="宋体" w:hAnsi="宋体" w:cs="宋体"/>
                <w:bCs/>
                <w:color w:val="000000" w:themeColor="text1"/>
                <w:kern w:val="0"/>
                <w:szCs w:val="21"/>
                <w:lang w:bidi="ar"/>
                <w14:textFill>
                  <w14:solidFill>
                    <w14:schemeClr w14:val="tx1"/>
                  </w14:solidFill>
                </w14:textFill>
              </w:rPr>
              <w:t>5、按键设计：高性能耐磨橡胶数字键。</w:t>
            </w:r>
          </w:p>
          <w:p>
            <w:pPr>
              <w:widowControl/>
              <w:jc w:val="left"/>
              <w:textAlignment w:val="center"/>
              <w:rPr>
                <w:rFonts w:ascii="宋体" w:hAnsi="宋体" w:cs="宋体"/>
                <w:bCs/>
                <w:color w:val="000000" w:themeColor="text1"/>
                <w:kern w:val="0"/>
                <w:szCs w:val="21"/>
                <w:lang w:bidi="ar"/>
                <w14:textFill>
                  <w14:solidFill>
                    <w14:schemeClr w14:val="tx1"/>
                  </w14:solidFill>
                </w14:textFill>
              </w:rPr>
            </w:pPr>
            <w:r>
              <w:rPr>
                <w:rFonts w:hint="eastAsia" w:ascii="宋体" w:hAnsi="宋体" w:cs="宋体"/>
                <w:bCs/>
                <w:color w:val="000000" w:themeColor="text1"/>
                <w:kern w:val="0"/>
                <w:szCs w:val="21"/>
                <w:lang w:bidi="ar"/>
                <w14:textFill>
                  <w14:solidFill>
                    <w14:schemeClr w14:val="tx1"/>
                  </w14:solidFill>
                </w14:textFill>
              </w:rPr>
              <w:t>6、锁具设计：高级防爆力破坏机械弹子锁，全方位高强度锁栓。</w:t>
            </w:r>
          </w:p>
          <w:p>
            <w:pPr>
              <w:widowControl/>
              <w:jc w:val="left"/>
              <w:textAlignment w:val="center"/>
              <w:rPr>
                <w:rFonts w:ascii="宋体" w:hAnsi="宋体" w:cs="宋体"/>
                <w:bCs/>
                <w:color w:val="000000" w:themeColor="text1"/>
                <w:kern w:val="0"/>
                <w:szCs w:val="21"/>
                <w:lang w:bidi="ar"/>
                <w14:textFill>
                  <w14:solidFill>
                    <w14:schemeClr w14:val="tx1"/>
                  </w14:solidFill>
                </w14:textFill>
              </w:rPr>
            </w:pPr>
            <w:r>
              <w:rPr>
                <w:rFonts w:hint="eastAsia" w:ascii="宋体" w:hAnsi="宋体" w:cs="宋体"/>
                <w:bCs/>
                <w:color w:val="000000" w:themeColor="text1"/>
                <w:kern w:val="0"/>
                <w:szCs w:val="21"/>
                <w:lang w:bidi="ar"/>
                <w14:textFill>
                  <w14:solidFill>
                    <w14:schemeClr w14:val="tx1"/>
                  </w14:solidFill>
                </w14:textFill>
              </w:rPr>
              <w:t>7、应急措施：（1）专用圆管型密码锁；（2）配置应急外接电源盒。</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bCs/>
                <w:color w:val="000000" w:themeColor="text1"/>
                <w:kern w:val="0"/>
                <w:szCs w:val="21"/>
                <w:lang w:bidi="ar"/>
                <w14:textFill>
                  <w14:solidFill>
                    <w14:schemeClr w14:val="tx1"/>
                  </w14:solidFill>
                </w14:textFill>
              </w:rPr>
              <w:t>8、报警功能</w:t>
            </w:r>
            <w:r>
              <w:rPr>
                <w:rFonts w:hint="eastAsia" w:ascii="宋体" w:hAnsi="宋体" w:cs="宋体"/>
                <w:color w:val="000000" w:themeColor="text1"/>
                <w:kern w:val="0"/>
                <w:szCs w:val="21"/>
                <w:lang w:bidi="ar"/>
                <w14:textFill>
                  <w14:solidFill>
                    <w14:schemeClr w14:val="tx1"/>
                  </w14:solidFill>
                </w14:textFill>
              </w:rPr>
              <w:t>：双重报警功能（1）振动报警，（2）密码连输入三次以上错误报警。</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9、外门装置：采用内铰链，使门在关闭时，内门陷于框体，增加防盗性能。</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10、钢板选用：优质冷轧钢板，门板10</w:t>
            </w:r>
            <w:r>
              <w:rPr>
                <w:rFonts w:hint="eastAsia" w:ascii="宋体" w:hAnsi="宋体" w:cs="宋体"/>
                <w:color w:val="000000" w:themeColor="text1"/>
                <w:kern w:val="0"/>
                <w:szCs w:val="21"/>
                <w:lang w:val="en-US" w:eastAsia="zh-CN" w:bidi="ar"/>
                <w14:textFill>
                  <w14:solidFill>
                    <w14:schemeClr w14:val="tx1"/>
                  </w14:solidFill>
                </w14:textFill>
              </w:rPr>
              <w:t>mm</w:t>
            </w:r>
            <w:r>
              <w:rPr>
                <w:rFonts w:hint="eastAsia" w:ascii="宋体" w:hAnsi="宋体" w:cs="宋体"/>
                <w:color w:val="000000" w:themeColor="text1"/>
                <w:kern w:val="0"/>
                <w:szCs w:val="21"/>
                <w:lang w:bidi="ar"/>
                <w14:textFill>
                  <w14:solidFill>
                    <w14:schemeClr w14:val="tx1"/>
                  </w14:solidFill>
                </w14:textFill>
              </w:rPr>
              <w:t>，柜体6</w:t>
            </w:r>
            <w:r>
              <w:rPr>
                <w:rFonts w:hint="eastAsia" w:ascii="宋体" w:hAnsi="宋体" w:cs="宋体"/>
                <w:color w:val="000000" w:themeColor="text1"/>
                <w:kern w:val="0"/>
                <w:szCs w:val="21"/>
                <w:lang w:val="en-US" w:eastAsia="zh-CN" w:bidi="ar"/>
                <w14:textFill>
                  <w14:solidFill>
                    <w14:schemeClr w14:val="tx1"/>
                  </w14:solidFill>
                </w14:textFill>
              </w:rPr>
              <w:t>mm</w:t>
            </w:r>
            <w:r>
              <w:rPr>
                <w:rFonts w:hint="eastAsia" w:ascii="宋体" w:hAnsi="宋体" w:cs="宋体"/>
                <w:color w:val="000000" w:themeColor="text1"/>
                <w:kern w:val="0"/>
                <w:szCs w:val="21"/>
                <w:lang w:bidi="ar"/>
                <w14:textFill>
                  <w14:solidFill>
                    <w14:schemeClr w14:val="tx1"/>
                  </w14:solidFill>
                </w14:textFill>
              </w:rPr>
              <w:t>。</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11、钢板处理：十工位酸洗磷化处理。</w:t>
            </w:r>
          </w:p>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12、表面工艺：表面采用亚光静电喷塑工艺，杜邦华佳环氧聚酯粉。</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3</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张</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15950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ascii="宋体" w:hAnsi="宋体" w:cs="宋体"/>
                <w:color w:val="000000" w:themeColor="text1"/>
                <w:szCs w:val="21"/>
                <w14:textFill>
                  <w14:solidFill>
                    <w14:schemeClr w14:val="tx1"/>
                  </w14:solidFill>
                </w14:textFill>
              </w:rPr>
              <w:t>6</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2号修复工作台</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1、外观规格尺寸：长1800mm×宽900mm×高780mm（允许偏差±5mm）；左边单门柜，柜内配一块隔板，右边为三抽屉，均配独立锁。配实木键盘抽、活动主机架各一个。</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2、采用优质橡胶木平拼版，台面厚度80</w:t>
            </w:r>
            <w:r>
              <w:rPr>
                <w:rFonts w:hint="eastAsia" w:ascii="宋体" w:hAnsi="宋体" w:cs="宋体"/>
                <w:color w:val="000000" w:themeColor="text1"/>
                <w:kern w:val="0"/>
                <w:szCs w:val="21"/>
                <w:lang w:val="en-US" w:eastAsia="zh-CN" w:bidi="ar"/>
                <w14:textFill>
                  <w14:solidFill>
                    <w14:schemeClr w14:val="tx1"/>
                  </w14:solidFill>
                </w14:textFill>
              </w:rPr>
              <w:t>mm</w:t>
            </w:r>
            <w:r>
              <w:rPr>
                <w:rFonts w:hint="eastAsia" w:ascii="宋体" w:hAnsi="宋体" w:cs="宋体"/>
                <w:color w:val="000000" w:themeColor="text1"/>
                <w:kern w:val="0"/>
                <w:szCs w:val="21"/>
                <w:lang w:bidi="ar"/>
                <w14:textFill>
                  <w14:solidFill>
                    <w14:schemeClr w14:val="tx1"/>
                  </w14:solidFill>
                </w14:textFill>
              </w:rPr>
              <w:t>。精细加工制作而成，表面亚光漆处理：4遍底漆+3遍面漆+1遍抗划伤面漆，具有抗划伤及耐水浸的效果，表面纹饰为水曲柳径切面纹理效果。</w:t>
            </w:r>
          </w:p>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3、台脚架采用≥75mm×55mm×20mm×12mm多边型铝合金型材制作，型材壁厚≥2.3mm，脚架接头为铝合金压铸件。横梁采用≥40.6×55mm的铝合金型材制作。多边型铝合金边梁采用≥75mm×55mm×20mm×12mm多边型铝合金型材制作，桌脚配有带有防滑静音脚垫。台架采用优质铝合金型材，抗拉伸、抗扭曲、抗压效果极佳，具有优良的机械性能。型材表面采用硬质阳极氧化处理，极大的提高了表面硬度及抗划伤、抗点蚀、耐腐蚀性能。桌子要求结实稳固，承重性好，桌面适合操作锤打敲击作业。</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3</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张</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10400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ascii="宋体" w:hAnsi="宋体" w:cs="宋体"/>
                <w:color w:val="000000" w:themeColor="text1"/>
                <w:szCs w:val="21"/>
                <w14:textFill>
                  <w14:solidFill>
                    <w14:schemeClr w14:val="tx1"/>
                  </w14:solidFill>
                </w14:textFill>
              </w:rPr>
              <w:t>7</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边柜1</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1、锤书柜</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2、规格尺寸：600mm×500mm×780mm，（允许偏差±5mm）；三层抽屉。可移动式储物柜，采用橡胶木实木制作，板材厚度≥18mm,结实坚固耐用。抽屉采用高轻度、低噪音的滑行轨道固定，抽拉灵活、轻便。底部配备万向脚轮，可推拉移动。经精细加工制作而成，具有抗划伤及耐水浸的效果，表面纹饰为水曲柳径切面纹理效果。</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4、胶粘剂：采用优质品牌白乳胶。白乳胶中的有害物质限量必须符合国家标准GB18583-2008《室内装饰装修材料 胶粘剂中有害物质限量》的要求。总挥发性有机物≤110g/L ；甲苯+二甲苯≤10g/kg ；苯≤0.20g/kg ；游离甲醛≤1.0g/kg。                                                                                                                                             5、静音导轨：须符合 QB/T2454-2013 标准，耐腐蚀18h，1.5mm以下锈点不超过20点/d㎡,其中1.0mm以上的锈点不超过5点/d㎡ 。</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6、三合一连接件须符合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4</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个</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3600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ascii="宋体" w:hAnsi="宋体" w:cs="宋体"/>
                <w:color w:val="000000" w:themeColor="text1"/>
                <w:szCs w:val="21"/>
                <w14:textFill>
                  <w14:solidFill>
                    <w14:schemeClr w14:val="tx1"/>
                  </w14:solidFill>
                </w14:textFill>
              </w:rPr>
              <w:t>8</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边柜2</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压书机柜</w:t>
            </w:r>
          </w:p>
          <w:p>
            <w:pPr>
              <w:widowControl/>
              <w:numPr>
                <w:ilvl w:val="0"/>
                <w:numId w:val="16"/>
              </w:numPr>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规格尺寸：600mm×500mm×460mm，（允许偏差±5mm）；</w:t>
            </w:r>
          </w:p>
          <w:p>
            <w:pPr>
              <w:widowControl/>
              <w:numPr>
                <w:ilvl w:val="0"/>
                <w:numId w:val="16"/>
              </w:numPr>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采用橡胶木实木制作，板材厚度≥18mm,结实坚固耐用。可移动式储物柜，抽屉采用高轻度、低噪音的滑行轨道固定，抽拉灵活、轻便。抽屉采用高轻度、低噪音的滑行轨道固定，抽拉灵活、轻便。底部配备万向脚轮，可推拉移动。经精细加工制作而成，具有抗划伤及耐水浸的效果，表面纹饰为水曲柳径切面纹理效果。</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4、胶粘剂：采用优质品牌白乳胶。白乳胶中的有害物质限量必须符合国家标准GB18583-2008《室内装饰装修材料 胶粘剂中有害物质限量》的要求。总挥发性有机物≤110g/L ；甲苯+二甲苯≤10g/kg ；苯≤0.20g/kg ；游离甲醛≤1.0g/kg。                                                                                                                                             5、三合一连接件须符合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6</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个</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1700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14" w:hRule="atLeast"/>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r>
              <w:rPr>
                <w:rFonts w:ascii="宋体" w:hAnsi="宋体" w:cs="宋体"/>
                <w:color w:val="000000" w:themeColor="text1"/>
                <w:szCs w:val="21"/>
                <w14:textFill>
                  <w14:solidFill>
                    <w14:schemeClr w14:val="tx1"/>
                  </w14:solidFill>
                </w14:textFill>
              </w:rPr>
              <w:t>9</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实木置物架</w:t>
            </w:r>
          </w:p>
        </w:tc>
        <w:tc>
          <w:tcPr>
            <w:tcW w:w="7401" w:type="dxa"/>
            <w:shd w:val="clear" w:color="auto" w:fill="auto"/>
            <w:tcMar>
              <w:top w:w="15" w:type="dxa"/>
              <w:left w:w="15" w:type="dxa"/>
              <w:right w:w="15" w:type="dxa"/>
            </w:tcMar>
          </w:tcPr>
          <w:p>
            <w:pPr>
              <w:widowControl/>
              <w:numPr>
                <w:ilvl w:val="0"/>
                <w:numId w:val="17"/>
              </w:numPr>
              <w:jc w:val="left"/>
              <w:textAlignment w:val="center"/>
              <w:rPr>
                <w:rFonts w:hint="eastAsia"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规格尺寸：长900mm×宽450mm×高650mm（允许偏差±5mm）；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2、优质橡胶木平拼板，板材厚度≥18mm，分为上下两层，桌脚拉条共6根，木材经干燥、防虫、防腐处理，木材气干密度≥0.50g/</w:t>
            </w:r>
            <w:r>
              <w:rPr>
                <w:rFonts w:hint="eastAsia" w:ascii="宋体" w:hAnsi="宋体" w:cs="宋体"/>
                <w:color w:val="000000" w:themeColor="text1"/>
                <w:kern w:val="0"/>
                <w:szCs w:val="21"/>
                <w:lang w:val="en-US" w:eastAsia="zh-CN" w:bidi="ar"/>
                <w14:textFill>
                  <w14:solidFill>
                    <w14:schemeClr w14:val="tx1"/>
                  </w14:solidFill>
                </w14:textFill>
              </w:rPr>
              <w:t>cm³</w:t>
            </w:r>
            <w:r>
              <w:rPr>
                <w:rFonts w:hint="eastAsia" w:ascii="宋体" w:hAnsi="宋体" w:cs="宋体"/>
                <w:color w:val="000000" w:themeColor="text1"/>
                <w:kern w:val="0"/>
                <w:szCs w:val="21"/>
                <w:lang w:bidi="ar"/>
                <w14:textFill>
                  <w14:solidFill>
                    <w14:schemeClr w14:val="tx1"/>
                  </w14:solidFill>
                </w14:textFill>
              </w:rPr>
              <w:t>；须符合《GB 18584-2001 室内装饰装修材料 木家具中有害物质限量》标准要求。胡桃木微薄木饰面，微薄木厚度0.6</w:t>
            </w:r>
            <w:r>
              <w:rPr>
                <w:rFonts w:hint="eastAsia" w:ascii="宋体" w:hAnsi="宋体" w:cs="宋体"/>
                <w:color w:val="000000" w:themeColor="text1"/>
                <w:kern w:val="0"/>
                <w:szCs w:val="21"/>
                <w:lang w:val="en-US" w:eastAsia="zh-CN" w:bidi="ar"/>
                <w14:textFill>
                  <w14:solidFill>
                    <w14:schemeClr w14:val="tx1"/>
                  </w14:solidFill>
                </w14:textFill>
              </w:rPr>
              <w:t>mm</w:t>
            </w:r>
            <w:r>
              <w:rPr>
                <w:rFonts w:hint="eastAsia" w:ascii="宋体" w:hAnsi="宋体" w:cs="宋体"/>
                <w:color w:val="000000" w:themeColor="text1"/>
                <w:kern w:val="0"/>
                <w:szCs w:val="21"/>
                <w:lang w:bidi="ar"/>
                <w14:textFill>
                  <w14:solidFill>
                    <w14:schemeClr w14:val="tx1"/>
                  </w14:solidFill>
                </w14:textFill>
              </w:rPr>
              <w:t>；AAA级，实木封边。</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4、胶粘剂：采用优质品牌白乳胶。白乳胶中的有害物质限量必须符合国家标准GB18583-2008《室内装饰装修材料 胶粘剂中有害物质限量》的要求。总挥发性有机物≤110g/L ；甲苯+二甲苯≤10g/kg ；苯≤0.20g/kg ；游离甲醛≤1.0g/kg。</w:t>
            </w:r>
          </w:p>
          <w:p>
            <w:pPr>
              <w:widowControl/>
              <w:numPr>
                <w:ilvl w:val="0"/>
                <w:numId w:val="0"/>
              </w:numPr>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val="en-US" w:eastAsia="zh-CN" w:bidi="ar"/>
                <w14:textFill>
                  <w14:solidFill>
                    <w14:schemeClr w14:val="tx1"/>
                  </w14:solidFill>
                </w14:textFill>
              </w:rPr>
              <w:t>5、</w:t>
            </w:r>
            <w:r>
              <w:rPr>
                <w:rFonts w:hint="eastAsia"/>
                <w:color w:val="000000" w:themeColor="text1"/>
                <w14:textFill>
                  <w14:solidFill>
                    <w14:schemeClr w14:val="tx1"/>
                  </w14:solidFill>
                </w14:textFill>
              </w:rPr>
              <w:t>立柱脚加4个防潮脚，防潮脚采用≥39</w:t>
            </w:r>
            <w:r>
              <w:rPr>
                <w:rFonts w:hint="eastAsia"/>
                <w:color w:val="000000" w:themeColor="text1"/>
                <w:lang w:val="en-US" w:eastAsia="zh-CN"/>
                <w14:textFill>
                  <w14:solidFill>
                    <w14:schemeClr w14:val="tx1"/>
                  </w14:solidFill>
                </w14:textFill>
              </w:rPr>
              <w:t>mm×</w:t>
            </w:r>
            <w:r>
              <w:rPr>
                <w:rFonts w:hint="eastAsia"/>
                <w:color w:val="000000" w:themeColor="text1"/>
                <w14:textFill>
                  <w14:solidFill>
                    <w14:schemeClr w14:val="tx1"/>
                  </w14:solidFill>
                </w14:textFill>
              </w:rPr>
              <w:t>56mm</w:t>
            </w:r>
            <w:r>
              <w:rPr>
                <w:rFonts w:hint="eastAsia"/>
                <w:color w:val="000000" w:themeColor="text1"/>
                <w:lang w:val="en-US" w:eastAsia="zh-CN"/>
                <w14:textFill>
                  <w14:solidFill>
                    <w14:schemeClr w14:val="tx1"/>
                  </w14:solidFill>
                </w14:textFill>
              </w:rPr>
              <w:t>钢板</w:t>
            </w:r>
            <w:r>
              <w:rPr>
                <w:rFonts w:hint="eastAsia"/>
                <w:color w:val="000000" w:themeColor="text1"/>
                <w14:textFill>
                  <w14:solidFill>
                    <w14:schemeClr w14:val="tx1"/>
                  </w14:solidFill>
                </w14:textFill>
              </w:rPr>
              <w:t>厚度1.2mm的无缝工型钢管（详见附图），带PVE制作调节水平功能的旋扭调节脚如图。（详见附图）</w:t>
            </w:r>
            <w:r>
              <w:rPr>
                <w:rFonts w:hint="eastAsia" w:ascii="宋体" w:hAnsi="宋体" w:eastAsia="宋体"/>
                <w:color w:val="000000" w:themeColor="text1"/>
                <w:szCs w:val="21"/>
                <w:lang w:eastAsia="zh-CN"/>
                <w14:textFill>
                  <w14:solidFill>
                    <w14:schemeClr w14:val="tx1"/>
                  </w14:solidFill>
                </w14:textFill>
              </w:rPr>
              <w:drawing>
                <wp:inline distT="0" distB="0" distL="114300" distR="114300">
                  <wp:extent cx="1332865" cy="1229360"/>
                  <wp:effectExtent l="0" t="0" r="635" b="8890"/>
                  <wp:docPr id="9" name="图片 9" descr="108aaccc4c63e717da7c6ec350de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108aaccc4c63e717da7c6ec350de399"/>
                          <pic:cNvPicPr>
                            <a:picLocks noChangeAspect="1"/>
                          </pic:cNvPicPr>
                        </pic:nvPicPr>
                        <pic:blipFill>
                          <a:blip r:embed="rId8"/>
                          <a:stretch>
                            <a:fillRect/>
                          </a:stretch>
                        </pic:blipFill>
                        <pic:spPr>
                          <a:xfrm>
                            <a:off x="0" y="0"/>
                            <a:ext cx="1332865" cy="1229360"/>
                          </a:xfrm>
                          <a:prstGeom prst="rect">
                            <a:avLst/>
                          </a:prstGeom>
                        </pic:spPr>
                      </pic:pic>
                    </a:graphicData>
                  </a:graphic>
                </wp:inline>
              </w:drawing>
            </w:r>
            <w:r>
              <w:rPr>
                <w:rFonts w:hint="eastAsia" w:ascii="宋体" w:hAnsi="宋体" w:cs="宋体"/>
                <w:color w:val="000000" w:themeColor="text1"/>
                <w:kern w:val="0"/>
                <w:szCs w:val="21"/>
                <w:lang w:bidi="ar"/>
                <w14:textFill>
                  <w14:solidFill>
                    <w14:schemeClr w14:val="tx1"/>
                  </w14:solidFill>
                </w14:textFill>
              </w:rPr>
              <w:t xml:space="preserve">             </w:t>
            </w:r>
            <w:r>
              <w:rPr>
                <w:rFonts w:ascii="宋体" w:hAnsi="宋体"/>
                <w:color w:val="000000" w:themeColor="text1"/>
                <w:szCs w:val="21"/>
                <w14:textFill>
                  <w14:solidFill>
                    <w14:schemeClr w14:val="tx1"/>
                  </w14:solidFill>
                </w14:textFill>
              </w:rPr>
              <w:drawing>
                <wp:inline distT="0" distB="0" distL="114300" distR="114300">
                  <wp:extent cx="1122045" cy="960120"/>
                  <wp:effectExtent l="0" t="0" r="1905" b="11430"/>
                  <wp:docPr id="14" name="图片 1" descr="1739370101525352506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 descr="1739370101525352506868"/>
                          <pic:cNvPicPr>
                            <a:picLocks noChangeAspect="1"/>
                          </pic:cNvPicPr>
                        </pic:nvPicPr>
                        <pic:blipFill>
                          <a:blip r:embed="rId9" cstate="print"/>
                          <a:stretch>
                            <a:fillRect/>
                          </a:stretch>
                        </pic:blipFill>
                        <pic:spPr>
                          <a:xfrm>
                            <a:off x="0" y="0"/>
                            <a:ext cx="1122045" cy="960120"/>
                          </a:xfrm>
                          <a:prstGeom prst="rect">
                            <a:avLst/>
                          </a:prstGeom>
                          <a:noFill/>
                          <a:ln>
                            <a:noFill/>
                          </a:ln>
                        </pic:spPr>
                      </pic:pic>
                    </a:graphicData>
                  </a:graphic>
                </wp:inline>
              </w:drawing>
            </w:r>
            <w:r>
              <w:rPr>
                <w:rFonts w:hint="eastAsia" w:ascii="宋体" w:hAnsi="宋体" w:cs="宋体"/>
                <w:color w:val="000000" w:themeColor="text1"/>
                <w:kern w:val="0"/>
                <w:szCs w:val="21"/>
                <w:lang w:bidi="ar"/>
                <w14:textFill>
                  <w14:solidFill>
                    <w14:schemeClr w14:val="tx1"/>
                  </w14:solidFill>
                </w14:textFill>
              </w:rPr>
              <w:t xml:space="preserve">                                              </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8</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个</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2574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59" w:hRule="atLeast"/>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20</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实木椅</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1、实木椅须符合《木家具通用技术条件》GB/T3324-2017标准；</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2、规格尺寸：宽450mm×深435mm×坐高440mm</w:t>
            </w:r>
            <w:r>
              <w:rPr>
                <w:rFonts w:hint="eastAsia" w:ascii="宋体" w:hAnsi="宋体" w:cs="宋体"/>
                <w:color w:val="000000" w:themeColor="text1"/>
                <w:kern w:val="0"/>
                <w:szCs w:val="21"/>
                <w:lang w:eastAsia="zh-CN" w:bidi="ar"/>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总高800mm（允许偏差±5mm）。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w:t>
            </w:r>
            <w:r>
              <w:rPr>
                <w:rFonts w:hint="eastAsia"/>
                <w:color w:val="000000" w:themeColor="text1"/>
                <w:szCs w:val="21"/>
                <w14:textFill>
                  <w14:solidFill>
                    <w14:schemeClr w14:val="tx1"/>
                  </w14:solidFill>
                </w14:textFill>
              </w:rPr>
              <w:t>材质：采用优质全橡胶木实木制作，座板为橡胶木实木座板结构。座板厚度为≥25</w:t>
            </w:r>
            <w:r>
              <w:rPr>
                <w:rFonts w:hint="eastAsia"/>
                <w:color w:val="000000" w:themeColor="text1"/>
                <w:szCs w:val="21"/>
                <w:lang w:val="en-US" w:eastAsia="zh-CN"/>
                <w14:textFill>
                  <w14:solidFill>
                    <w14:schemeClr w14:val="tx1"/>
                  </w14:solidFill>
                </w14:textFill>
              </w:rPr>
              <w:t>mm</w:t>
            </w:r>
            <w:r>
              <w:rPr>
                <w:rFonts w:hint="eastAsia"/>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油漆工艺：采用传统油漆工艺，木材经烘干除虫等表面处理工艺，油漆采用优质品牌油漆，附着力强，流平性高，涂层亮度均匀不褪色，采用五底三面油漆工艺，挥发性有机化合物含量≤300g/L,游离甲醛含量≤100mg/kg,无苯系物含量，无乙二醇醚及其酯类含量，不含可溶性重金属（限色漆和腻子）：铅、镉、铬、汞等。</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6</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张</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626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2</w:t>
            </w:r>
            <w:r>
              <w:rPr>
                <w:rFonts w:ascii="宋体" w:hAnsi="宋体" w:cs="宋体"/>
                <w:color w:val="000000" w:themeColor="text1"/>
                <w:kern w:val="0"/>
                <w:szCs w:val="21"/>
                <w:lang w:bidi="ar"/>
                <w14:textFill>
                  <w14:solidFill>
                    <w14:schemeClr w14:val="tx1"/>
                  </w14:solidFill>
                </w14:textFill>
              </w:rPr>
              <w:t>1</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实木柜</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1、规格尺寸：高1880mm×宽900mm×厚600mm ，书架厚350mm，(允许偏差±5mm)；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2、优质橡胶木平拼版，实木框架，木材经干燥、防虫、防腐处理，木材气干密度≥0.50g/cm3，木材经干燥处理，木材含水率为8%</w:t>
            </w:r>
            <w:r>
              <w:rPr>
                <w:rFonts w:hint="eastAsia" w:ascii="华文行楷" w:hAnsi="华文行楷" w:eastAsia="华文行楷" w:cs="华文行楷"/>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（产品所在地区年平均木材平衡含水率+1%）；木材质量符合《GB 18584-2001 室内装饰装修材料 木家具中有害物质限量》标准要求。用黑核桃木微薄木作饰面（微薄木厚度≥0.6mm），微薄木须符合GB/T 3324-2017 木家具通用技术条件、GB 18584-2001 室内装饰装修材料、木家具中有害物质限量标准。</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4、胶粘剂：采用优质品牌白乳胶。白乳胶中的有害物质限量必须符合国家标准GB18583-2008《室内装饰装修材料 胶粘剂中有害物质限量》的要求。总挥发性有机物≤110g/L ；甲苯+二甲苯≤10g/kg ；苯≤0.20g/kg ；游离甲醛≤1.0g/kg。                                                                                                                                           5、铰链：须符合</w:t>
            </w:r>
            <w:r>
              <w:rPr>
                <w:rFonts w:hint="eastAsia" w:ascii="宋体" w:hAnsi="宋体" w:cs="宋体"/>
                <w:color w:val="000000" w:themeColor="text1"/>
                <w:kern w:val="0"/>
                <w:szCs w:val="21"/>
                <w:lang w:eastAsia="zh-CN" w:bidi="ar"/>
                <w14:textFill>
                  <w14:solidFill>
                    <w14:schemeClr w14:val="tx1"/>
                  </w14:solidFill>
                </w14:textFill>
              </w:rPr>
              <w:t>QB/T 2189-2013 《家具五金 杯状暗铰链》 、GB/T 3325-2017 《金属家具通用技术条件 》、QB/T 3826-1999 《轻工产品金属镀层和化学处理层的耐腐蚀试验方法 中性盐雾试验(NSS)法 》、QB/T 3832-1999《 轻工产品金属镀层腐蚀试验结果的评价》</w:t>
            </w:r>
            <w:r>
              <w:rPr>
                <w:rFonts w:hint="eastAsia" w:ascii="宋体" w:hAnsi="宋体" w:cs="宋体"/>
                <w:color w:val="000000" w:themeColor="text1"/>
                <w:kern w:val="0"/>
                <w:szCs w:val="21"/>
                <w:lang w:bidi="ar"/>
                <w14:textFill>
                  <w14:solidFill>
                    <w14:schemeClr w14:val="tx1"/>
                  </w14:solidFill>
                </w14:textFill>
              </w:rPr>
              <w:t>要求①垂直静载荷（过载）商用型：30kg，10次a）所有组件或结合处不应断裂；b）通过手触压证实，用于紧固的组件不应松动；c）所有组件不应有影响正常运作的变形或磨损；d）固定组件不应松动；e）所有组件的功能不应损害；f）杯状暗铰链及其组件不应分离 ；②水平静载荷（过载）商用型：70N，10次a）所有组件或结合处不应断裂；b）通过手触压证实，用于紧固的组件不应松动；c）所有组件不应有影响正常运作的变形或磨损；d）固定组件不应松动；e）所有组件的功能不应损害；f）杯状暗铰链及其组件不应分离；③操作力： 商用型：在耐久性试验前后，打开力和关闭力不应大于20N；④耐久性：商用型：80000次a）所有组件或结合处不应断裂；b）通过手触压证实，用于紧固的组件不应松动；c）所有组件不应有影响正常运作的变形或磨损；d）固定组件不应松动；e）所有组件的功能不应损害；f）杯状暗铰链及其组件应能正常工作 ；⑤下沉量：商用型：在使用调整系统前，安装A型试验门时，下沉量不应大于2.0mm  ⑥耐腐蚀等级：连续喷雾试验时间≥100h耐腐蚀等级≥10级。</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6、静音导轨：须符合 QB/T2454-2013 标准，耐腐蚀18h，1.5mm以下锈点不超过20点/d㎡,其中1.0mm以上的锈点不超过5点/d㎡ 。</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7、三合一连接件须符合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6</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组</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5395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ascii="宋体" w:hAnsi="宋体" w:cs="宋体"/>
                <w:color w:val="000000" w:themeColor="text1"/>
                <w:szCs w:val="21"/>
                <w14:textFill>
                  <w14:solidFill>
                    <w14:schemeClr w14:val="tx1"/>
                  </w14:solidFill>
                </w14:textFill>
              </w:rPr>
              <w:t>2</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矮柜</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1、规格尺寸：长900mm×宽500mm×高800mm ，允许偏差±5mm；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2、材质：采用优质橡胶木平拼版，板材厚度≥18mm。木材经干燥、防虫、防腐处理，木材气干密度≥0.50g/cm3；木材质量符合《GB 18584-2001 室内装饰装修材料 木家具中有害物质限量》标准要求。胡桃木微薄木饰面，微薄木厚度≥0.6㎜；AAA级，实木封边。</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4、胶粘剂：采用优质品牌白乳胶。白乳胶中的有害物质限量必须符合国家标准GB18583-2008《室内装饰装修材料 胶粘剂中有害物质限量》的要求。总挥发性有机物≤110g/L ；甲苯+二甲苯≤10g/kg ；苯≤0.20g/kg ；游离甲醛≤1.0g/kg。                                                                                                                                             5、铰链：须符合</w:t>
            </w:r>
            <w:r>
              <w:rPr>
                <w:rFonts w:hint="eastAsia" w:ascii="宋体" w:hAnsi="宋体" w:cs="宋体"/>
                <w:color w:val="000000" w:themeColor="text1"/>
                <w:kern w:val="0"/>
                <w:szCs w:val="21"/>
                <w:lang w:eastAsia="zh-CN" w:bidi="ar"/>
                <w14:textFill>
                  <w14:solidFill>
                    <w14:schemeClr w14:val="tx1"/>
                  </w14:solidFill>
                </w14:textFill>
              </w:rPr>
              <w:t>QB/T 2189-2013 《家具五金 杯状暗铰链》 、GB/T 3325-2017 《金属家具通用技术条件 》、QB/T 3826-1999 《轻工产品金属镀层和化学处理层的耐腐蚀试验方法 中性盐雾试验(NSS)法 》、QB/T 3832-1999《 轻工产品金属镀层腐蚀试验结果的评价》</w:t>
            </w:r>
            <w:r>
              <w:rPr>
                <w:rFonts w:hint="eastAsia" w:ascii="宋体" w:hAnsi="宋体" w:cs="宋体"/>
                <w:color w:val="000000" w:themeColor="text1"/>
                <w:kern w:val="0"/>
                <w:szCs w:val="21"/>
                <w:lang w:bidi="ar"/>
                <w14:textFill>
                  <w14:solidFill>
                    <w14:schemeClr w14:val="tx1"/>
                  </w14:solidFill>
                </w14:textFill>
              </w:rPr>
              <w:t>要求①垂直静载荷（过载）商用型：30kg，10次a）所有组件或结合处不应断裂；b）通过手触压证实，用于紧固的组件不应松动；c）所有组件不应有影响正常运作的变形或磨损；d）固定组件不应松动；e）所有组件的功能不应损害；f）杯状暗铰链及其组件不应分离 ；②水平静载荷（过载）商用型：70N，10次a）所有组件或结合处不应断裂；b）通过手触压证实，用于紧固的组件不应松动；c）所有组件不应有影响正常运作的变形或磨损；d）固定组件不应松动；e）所有组件的功能不应损害；f）杯状暗铰链及其组件不应分离；③操作力： 商用型：在耐久性试验前后，打开力和关闭力不应大于20N；④耐久性：商用型：80000次a）所有组件或结合处不应断裂；b）通过手触压证实，用于紧固的组件不应松动；c）所有组件不应有影响正常运作的变形或磨损；d）固定组件不应松动；e）所有组件的功能不应损害；f）杯状暗铰链及其组件应能正常工作 ；⑤下沉量：商用型：在使用调整系统前，安装A型试验门时，下沉量不应大于2.0mm  ⑥耐腐蚀等级：连续喷雾试验时间≥100h耐腐蚀等级≥10级。</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6、三合一连接件须符合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10</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组</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3655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2</w:t>
            </w:r>
            <w:r>
              <w:rPr>
                <w:rFonts w:ascii="宋体" w:hAnsi="宋体" w:cs="宋体"/>
                <w:color w:val="000000" w:themeColor="text1"/>
                <w:kern w:val="0"/>
                <w:szCs w:val="21"/>
                <w:lang w:bidi="ar"/>
                <w14:textFill>
                  <w14:solidFill>
                    <w14:schemeClr w14:val="tx1"/>
                  </w14:solidFill>
                </w14:textFill>
              </w:rPr>
              <w:t>3</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定做裱台</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外观规格尺寸：4000mm×2000mm×800㎜（允许偏差±5mm）；台下为贮纸柜。</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1、台面规格：长4000mm、宽2000mm、厚105mm。内部采用横12根竖6根井字格框架结构，龙骨为：55mm×55mm，上下板厚各为25mm，漆前厚度为100mm整体尺寸允许偏差±5mm。漆后厚度105mm允许偏差±5mm。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2、选材：</w:t>
            </w:r>
            <w:r>
              <w:rPr>
                <w:rFonts w:hint="eastAsia" w:ascii="宋体" w:hAnsi="宋体" w:eastAsia="宋体" w:cs="宋体"/>
                <w:color w:val="000000" w:themeColor="text1"/>
                <w:kern w:val="0"/>
                <w:szCs w:val="21"/>
                <w14:textFill>
                  <w14:solidFill>
                    <w14:schemeClr w14:val="tx1"/>
                  </w14:solidFill>
                </w14:textFill>
              </w:rPr>
              <w:t>选用优质橡胶木指接板为基材</w:t>
            </w:r>
            <w:r>
              <w:rPr>
                <w:rFonts w:hint="eastAsia" w:ascii="宋体" w:hAnsi="宋体" w:cs="宋体"/>
                <w:color w:val="000000" w:themeColor="text1"/>
                <w:kern w:val="0"/>
                <w:szCs w:val="21"/>
                <w:lang w:eastAsia="zh-CN"/>
                <w14:textFill>
                  <w14:solidFill>
                    <w14:schemeClr w14:val="tx1"/>
                  </w14:solidFill>
                </w14:textFill>
              </w:rPr>
              <w:t>，</w:t>
            </w:r>
            <w:r>
              <w:rPr>
                <w:rFonts w:hint="eastAsia" w:ascii="宋体" w:hAnsi="宋体" w:cs="宋体"/>
                <w:color w:val="000000" w:themeColor="text1"/>
                <w:kern w:val="0"/>
                <w:szCs w:val="21"/>
                <w:lang w:val="en-US" w:eastAsia="zh-CN"/>
                <w14:textFill>
                  <w14:solidFill>
                    <w14:schemeClr w14:val="tx1"/>
                  </w14:solidFill>
                </w14:textFill>
              </w:rPr>
              <w:t>实木封边</w:t>
            </w:r>
            <w:r>
              <w:rPr>
                <w:rFonts w:hint="eastAsia" w:ascii="宋体" w:hAnsi="宋体" w:eastAsia="宋体" w:cs="宋体"/>
                <w:color w:val="000000" w:themeColor="text1"/>
                <w:kern w:val="0"/>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3、地柜尺寸：长3000mm×宽1000mm×高695mm，左右两边各有一个柜子和三个抽屉。柜子落地，柜子内部配一张隔板，搁板厚度≥30mm，隔板宽度≥850mm,承重≥100kg，层高≥300mm。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4、底柜制作工艺：手工制作，框架结构,橡胶木板材。五金拉手全部为中式仿古铜质配件。</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★5、台面制作工艺：手工制造，台面木结构选用经过干燥处理，除虫，质地较硬、无疤、无虫蛀、不变形优质</w:t>
            </w:r>
            <w:r>
              <w:rPr>
                <w:rFonts w:hint="eastAsia" w:ascii="宋体" w:hAnsi="宋体" w:cs="宋体"/>
                <w:color w:val="000000" w:themeColor="text1"/>
                <w:kern w:val="0"/>
                <w:szCs w:val="21"/>
                <w:lang w:val="en-US" w:eastAsia="zh-CN" w:bidi="ar"/>
                <w14:textFill>
                  <w14:solidFill>
                    <w14:schemeClr w14:val="tx1"/>
                  </w14:solidFill>
                </w14:textFill>
              </w:rPr>
              <w:t>橡胶木指接板</w:t>
            </w:r>
            <w:r>
              <w:rPr>
                <w:rFonts w:hint="eastAsia" w:ascii="宋体" w:hAnsi="宋体" w:cs="宋体"/>
                <w:color w:val="000000" w:themeColor="text1"/>
                <w:kern w:val="0"/>
                <w:szCs w:val="21"/>
                <w:lang w:bidi="ar"/>
                <w14:textFill>
                  <w14:solidFill>
                    <w14:schemeClr w14:val="tx1"/>
                  </w14:solidFill>
                </w14:textFill>
              </w:rPr>
              <w:t>，按榫卯结构加工工艺制造，台面底部开燕尾榫槽穿帯。</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6、油漆：采用优质水性油漆,其各项要求符合GB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p>
        </w:tc>
        <w:tc>
          <w:tcPr>
            <w:tcW w:w="575"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张</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85200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ascii="宋体" w:hAnsi="宋体" w:cs="宋体"/>
                <w:color w:val="000000" w:themeColor="text1"/>
                <w:szCs w:val="21"/>
                <w14:textFill>
                  <w14:solidFill>
                    <w14:schemeClr w14:val="tx1"/>
                  </w14:solidFill>
                </w14:textFill>
              </w:rPr>
              <w:t>4</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纸柜</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1、外观规格尺寸：900mm×450mm×1800mm（允许偏差±5mm），5层结构，单开门配锁。</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2、材质：优质橡胶木平拼版,板材厚度≥25mm，木材经干燥、防虫、防腐处理，木材气干密度≥0.50g/cm</w:t>
            </w:r>
            <w:r>
              <w:rPr>
                <w:rFonts w:hint="eastAsia" w:ascii="宋体" w:hAnsi="宋体" w:cs="宋体"/>
                <w:color w:val="000000" w:themeColor="text1"/>
                <w:kern w:val="0"/>
                <w:szCs w:val="21"/>
                <w:lang w:val="en-US" w:eastAsia="zh-CN" w:bidi="ar"/>
                <w14:textFill>
                  <w14:solidFill>
                    <w14:schemeClr w14:val="tx1"/>
                  </w14:solidFill>
                </w14:textFill>
              </w:rPr>
              <w:t>³</w:t>
            </w:r>
            <w:r>
              <w:rPr>
                <w:rFonts w:hint="eastAsia" w:ascii="宋体" w:hAnsi="宋体" w:cs="宋体"/>
                <w:color w:val="000000" w:themeColor="text1"/>
                <w:kern w:val="0"/>
                <w:szCs w:val="21"/>
                <w:lang w:bidi="ar"/>
                <w14:textFill>
                  <w14:solidFill>
                    <w14:schemeClr w14:val="tx1"/>
                  </w14:solidFill>
                </w14:textFill>
              </w:rPr>
              <w:t>；，木材质量符合《GB 18584-2001 室内装饰装修材料 木家具中有害物质限量》标准要求。用黑核桃木微薄木作饰面（微薄木厚度≥0.6mm） ，微薄木质量符合GB/T3324-2017 木家具通用技术条件、GB 18584-2001 室内装饰装修材料、木家具中有害物质限量标准。</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 xml:space="preserve">4、胶粘剂：采用优质品牌白乳胶。白乳胶中的有害物质限量必须符合国家标准GB18583-2008《室内装饰装修材料 胶粘剂中有害物质限量》的要求。总挥发性有机物≤110g/L ；甲苯+二甲苯≤10g/kg ；苯≤0.20g/kg ；游离甲醛≤1.0g/kg。                                                                                                                                               </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5、铰链：须符合</w:t>
            </w:r>
            <w:r>
              <w:rPr>
                <w:rFonts w:hint="eastAsia" w:ascii="宋体" w:hAnsi="宋体" w:cs="宋体"/>
                <w:color w:val="000000" w:themeColor="text1"/>
                <w:kern w:val="0"/>
                <w:szCs w:val="21"/>
                <w:lang w:eastAsia="zh-CN" w:bidi="ar"/>
                <w14:textFill>
                  <w14:solidFill>
                    <w14:schemeClr w14:val="tx1"/>
                  </w14:solidFill>
                </w14:textFill>
              </w:rPr>
              <w:t>QB/T 2189-2013 《家具五金 杯状暗铰链》 、GB/T 3325-2017 《金属家具通用技术条件 》、QB/T 3826-1999 《轻工产品金属镀层和化学处理层的耐腐蚀试验方法 中性盐雾试验(NSS)法 》、QB/T 3832-1999《 轻工产品金属镀层腐蚀试验结果的评价》</w:t>
            </w:r>
            <w:r>
              <w:rPr>
                <w:rFonts w:hint="eastAsia" w:ascii="宋体" w:hAnsi="宋体" w:cs="宋体"/>
                <w:color w:val="000000" w:themeColor="text1"/>
                <w:kern w:val="0"/>
                <w:szCs w:val="21"/>
                <w:lang w:bidi="ar"/>
                <w14:textFill>
                  <w14:solidFill>
                    <w14:schemeClr w14:val="tx1"/>
                  </w14:solidFill>
                </w14:textFill>
              </w:rPr>
              <w:t>要求①垂直静载荷（过载）商用型：30kg，10次a）所有组件或结合处不应断裂；b）通过手触压证实，用于紧固的组件不应松动；c）所有组件不应有影响正常运作的变形或磨损；d）固定组件不应松动；e）所有组件的功能不应损害；f）杯状暗铰链及其组件不应分离 ；②水平静载荷（过载）商用型：70N，10次a）所有组件或结合处不应断裂；b）通过手触压证实，用于紧固的组件不应松动；c）所有组件不应有影响正常运作的变形或磨损；d）固定组件不应松动；e）所有组件的功能不应损害；f）杯状暗铰链及其组件不应分离；③操作力： 商用型：在耐久性试验前后，打开力和关闭力不应大于20N；④耐久性：商用型：80000次a）所有组件或结合处不应断裂；b）通过手触压证实，用于紧固的组件不应松动；c）所有组件不应有影响正常运作的变形或磨损；d）固定组件不应松动；e）所有组件的功能不应损害；f）杯状暗铰链及其组件应能正常工作 ；⑤下沉量：商用型：在使用调整系统前，安装A型试验门时，下沉量不应大于2.0mm  ⑥耐腐蚀等级：连续喷雾试验时间≥100h耐腐蚀等级≥10级。</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6、三合一连接件须符合</w:t>
            </w:r>
            <w:r>
              <w:rPr>
                <w:rFonts w:hint="eastAsia" w:ascii="宋体" w:hAnsi="宋体" w:cs="宋体"/>
                <w:color w:val="000000" w:themeColor="text1"/>
                <w:szCs w:val="21"/>
                <w14:textFill>
                  <w14:solidFill>
                    <w14:schemeClr w14:val="tx1"/>
                  </w14:solidFill>
                </w14:textFill>
              </w:rPr>
              <w:t>GB/T 28203-2011 《家具用连接件技术要求及试验方法》、QB/T 3826-1999 《轻工产品金属镀层和化学处理层的耐腐蚀试验方法 中性盐雾试验(NSS)法》的要求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3</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组</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5880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ascii="宋体" w:hAnsi="宋体" w:cs="宋体"/>
                <w:color w:val="000000" w:themeColor="text1"/>
                <w:szCs w:val="21"/>
                <w14:textFill>
                  <w14:solidFill>
                    <w14:schemeClr w14:val="tx1"/>
                  </w14:solidFill>
                </w14:textFill>
              </w:rPr>
              <w:t>5</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电子显示屏</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55寸卧式机，windows i5红外触摸一体机</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1、原装液晶屏，显示区域宽度≥1200mm；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2、触摸介质：手指、触摸笔等不透光物体；</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3、物理分辨率1920×1080；</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4、显示色彩：16.7M；</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5、网卡：100/100M  RJ45，可选WIFI；</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6、支持作业系统：Windows 7/Windows Vista / Windows XP/Windows10系统</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7、CPU:I5  内存：4G  硬盘：128G；</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8、自带音响，支持对三维模型，图片，视频，歌曲等多媒体内容进行放大、缩小、旋转、移动等操作，可根据客户要求增加操作功能。支持安装各种查询软件和PC端应用软件，可扩各种外设硬件等。</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9.外观材质：高档铝性材边框，钣金烤漆后壳。</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10、外观颜色：黑色。</w:t>
            </w:r>
          </w:p>
        </w:tc>
        <w:tc>
          <w:tcPr>
            <w:tcW w:w="575"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台</w:t>
            </w:r>
          </w:p>
        </w:tc>
        <w:tc>
          <w:tcPr>
            <w:tcW w:w="924" w:type="dxa"/>
            <w:shd w:val="clear" w:color="auto" w:fill="auto"/>
            <w:tcMar>
              <w:top w:w="15" w:type="dxa"/>
              <w:left w:w="15" w:type="dxa"/>
              <w:right w:w="15" w:type="dxa"/>
            </w:tcMar>
            <w:vAlign w:val="center"/>
          </w:tcPr>
          <w:p>
            <w:pPr>
              <w:widowControl/>
              <w:jc w:val="center"/>
              <w:textAlignment w:val="center"/>
              <w:rPr>
                <w:rFonts w:hint="default" w:ascii="宋体" w:hAnsi="宋体" w:cs="宋体"/>
                <w:color w:val="000000" w:themeColor="text1"/>
                <w:kern w:val="0"/>
                <w:szCs w:val="21"/>
                <w:lang w:val="en-US" w:bidi="ar"/>
                <w14:textFill>
                  <w14:solidFill>
                    <w14:schemeClr w14:val="tx1"/>
                  </w14:solidFill>
                </w14:textFill>
              </w:rPr>
            </w:pPr>
            <w:r>
              <w:rPr>
                <w:rFonts w:hint="eastAsia" w:ascii="宋体" w:hAnsi="宋体" w:cs="宋体"/>
                <w:i w:val="0"/>
                <w:color w:val="000000" w:themeColor="text1"/>
                <w:kern w:val="0"/>
                <w:sz w:val="21"/>
                <w:szCs w:val="21"/>
                <w:u w:val="none"/>
                <w:lang w:val="en-US" w:eastAsia="zh-CN" w:bidi="ar"/>
                <w14:textFill>
                  <w14:solidFill>
                    <w14:schemeClr w14:val="tx1"/>
                  </w14:solidFill>
                </w14:textFill>
              </w:rPr>
              <w:t>15814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61" w:hRule="atLeast"/>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ascii="宋体" w:hAnsi="宋体" w:cs="宋体"/>
                <w:color w:val="000000" w:themeColor="text1"/>
                <w:szCs w:val="21"/>
                <w14:textFill>
                  <w14:solidFill>
                    <w14:schemeClr w14:val="tx1"/>
                  </w14:solidFill>
                </w14:textFill>
              </w:rPr>
              <w:t>6</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打印机1</w:t>
            </w:r>
          </w:p>
        </w:tc>
        <w:tc>
          <w:tcPr>
            <w:tcW w:w="7401" w:type="dxa"/>
            <w:shd w:val="clear" w:color="auto" w:fill="auto"/>
            <w:tcMar>
              <w:top w:w="15" w:type="dxa"/>
              <w:left w:w="15" w:type="dxa"/>
              <w:right w:w="15" w:type="dxa"/>
            </w:tcMar>
          </w:tcPr>
          <w:p>
            <w:pPr>
              <w:widowControl/>
              <w:jc w:val="left"/>
              <w:textAlignment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大幅面喷墨打印机，</w:t>
            </w:r>
            <w:r>
              <w:rPr>
                <w:rFonts w:hint="eastAsia" w:ascii="宋体" w:hAnsi="宋体" w:eastAsia="宋体" w:cs="宋体"/>
                <w:color w:val="000000" w:themeColor="text1"/>
                <w:kern w:val="0"/>
                <w:szCs w:val="21"/>
                <w14:textFill>
                  <w14:solidFill>
                    <w14:schemeClr w14:val="tx1"/>
                  </w14:solidFill>
                </w14:textFill>
              </w:rPr>
              <w:t>宣纸打印机。</w:t>
            </w:r>
          </w:p>
          <w:p>
            <w:pPr>
              <w:pStyle w:val="121"/>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 xml:space="preserve">2、最大打印幅宽：44"/1118mm（B0+）厚度0.08-1.50mm。 </w:t>
            </w:r>
          </w:p>
          <w:p>
            <w:pPr>
              <w:pStyle w:val="121"/>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3、喷嘴配置：360喷嘴/列*8列</w:t>
            </w:r>
          </w:p>
          <w:p>
            <w:pPr>
              <w:pStyle w:val="121"/>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4、打印方向：双向打印/单向打印</w:t>
            </w:r>
          </w:p>
          <w:p>
            <w:pPr>
              <w:pStyle w:val="121"/>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5、最高分辨率：2880×1440dpi</w:t>
            </w:r>
          </w:p>
          <w:p>
            <w:pPr>
              <w:pStyle w:val="121"/>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6、最小墨滴尺寸：3.5pl</w:t>
            </w:r>
          </w:p>
          <w:p>
            <w:pPr>
              <w:pStyle w:val="121"/>
              <w:rPr>
                <w:rFonts w:ascii="宋体" w:hAnsi="宋体"/>
                <w:color w:val="000000" w:themeColor="text1"/>
                <w:kern w:val="0"/>
                <w:szCs w:val="21"/>
                <w14:textFill>
                  <w14:solidFill>
                    <w14:schemeClr w14:val="tx1"/>
                  </w14:solidFill>
                </w14:textFill>
              </w:rPr>
            </w:pPr>
            <w:r>
              <w:rPr>
                <w:rFonts w:ascii="宋体" w:hAnsi="宋体" w:cs="宋体"/>
                <w:bCs/>
                <w:color w:val="000000" w:themeColor="text1"/>
                <w:kern w:val="0"/>
                <w:szCs w:val="21"/>
                <w14:textFill>
                  <w14:solidFill>
                    <w14:schemeClr w14:val="tx1"/>
                  </w14:solidFill>
                </w14:textFill>
              </w:rPr>
              <w:t>7、打印速度:</w:t>
            </w:r>
            <w:r>
              <w:rPr>
                <w:rFonts w:ascii="宋体" w:hAnsi="宋体" w:cs="宋体"/>
                <w:color w:val="000000" w:themeColor="text1"/>
                <w:kern w:val="0"/>
                <w:szCs w:val="21"/>
                <w14:textFill>
                  <w14:solidFill>
                    <w14:schemeClr w14:val="tx1"/>
                  </w14:solidFill>
                </w14:textFill>
              </w:rPr>
              <w:t>A0幅面</w:t>
            </w:r>
            <w:r>
              <w:rPr>
                <w:rFonts w:ascii="宋体" w:hAnsi="宋体" w:cs="宋体"/>
                <w:color w:val="000000" w:themeColor="text1"/>
                <w:kern w:val="0"/>
                <w:szCs w:val="21"/>
                <w14:textFill>
                  <w14:solidFill>
                    <w14:schemeClr w14:val="tx1"/>
                  </w14:solidFill>
                </w14:textFill>
              </w:rPr>
              <w:br w:type="textWrapping"/>
            </w:r>
            <w:r>
              <w:rPr>
                <w:rFonts w:ascii="宋体" w:hAnsi="宋体" w:cs="宋体"/>
                <w:color w:val="000000" w:themeColor="text1"/>
                <w:kern w:val="0"/>
                <w:szCs w:val="21"/>
                <w14:textFill>
                  <w14:solidFill>
                    <w14:schemeClr w14:val="tx1"/>
                  </w14:solidFill>
                </w14:textFill>
              </w:rPr>
              <w:t>8、大约1.3 分钟（普通纸，草稿模式）；大约2.4 分钟（普通纸，一般模式）；大约4.7 分钟（粗面纸，一般模式）；</w:t>
            </w:r>
            <w:r>
              <w:rPr>
                <w:rFonts w:ascii="宋体" w:hAnsi="宋体"/>
                <w:color w:val="000000" w:themeColor="text1"/>
                <w:szCs w:val="21"/>
                <w:shd w:val="clear" w:color="auto" w:fill="FFFFFF"/>
                <w14:textFill>
                  <w14:solidFill>
                    <w14:schemeClr w14:val="tx1"/>
                  </w14:solidFill>
                </w14:textFill>
              </w:rPr>
              <w:t>大约8.2 分钟（照片纸，优质模式）；大约12.3 分钟（照片纸，超优质模式）；</w:t>
            </w:r>
          </w:p>
          <w:p>
            <w:pPr>
              <w:pStyle w:val="121"/>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9、喷头技术：自动喷头校准技术，自动喷嘴检测技术，全新LUT（色彩对照表）技术</w:t>
            </w:r>
          </w:p>
          <w:p>
            <w:pPr>
              <w:pStyle w:val="121"/>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10、颜色：（青，鲜洋红，黄，淡青，淡鲜洋红，淡黑，淡淡黑，照片黑，粗面黑）</w:t>
            </w:r>
          </w:p>
          <w:p>
            <w:pPr>
              <w:pStyle w:val="121"/>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11、墨水：9 色“活的色彩HD”颜料墨水系统</w:t>
            </w:r>
          </w:p>
          <w:p>
            <w:pPr>
              <w:pStyle w:val="121"/>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12、走纸方式：摩擦走纸</w:t>
            </w:r>
          </w:p>
          <w:p>
            <w:pPr>
              <w:pStyle w:val="121"/>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13、卷纸：宽254mm-1118mm</w:t>
            </w:r>
          </w:p>
          <w:p>
            <w:pPr>
              <w:pStyle w:val="121"/>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14、单页纸：宽210-1118mm，长279.4mm-1580mm</w:t>
            </w:r>
          </w:p>
          <w:p>
            <w:pPr>
              <w:pStyle w:val="121"/>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15、纸轴尺寸：纸轴内径2英寸，最大外径103mm</w:t>
            </w:r>
          </w:p>
          <w:p>
            <w:pPr>
              <w:pStyle w:val="121"/>
              <w:rPr>
                <w:rFonts w:ascii="宋体" w:hAnsi="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16、顏色/尺寸：2.7英寸彩色LCD；像素：960x240pixel</w:t>
            </w:r>
          </w:p>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17、内存:1G</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台</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58535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ascii="宋体" w:hAnsi="宋体" w:cs="宋体"/>
                <w:color w:val="000000" w:themeColor="text1"/>
                <w:szCs w:val="21"/>
                <w14:textFill>
                  <w14:solidFill>
                    <w14:schemeClr w14:val="tx1"/>
                  </w14:solidFill>
                </w14:textFill>
              </w:rPr>
              <w:t>7</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打印机2</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彩色复印扫描打印一体机</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1、打印分辨率：5760x1440dpi，高清扫描：1200x1200dpi，复印分辨率:360x360dpi</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2、配LCD彩色显示屏，支持多种信号输入打印指令。</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3、连接方式：无线，USB，云打印，移动App打印。</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4、支持多种文档格式，完整打印无乱码。</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台</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1948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ascii="宋体" w:hAnsi="宋体" w:cs="宋体"/>
                <w:color w:val="000000" w:themeColor="text1"/>
                <w:szCs w:val="21"/>
                <w14:textFill>
                  <w14:solidFill>
                    <w14:schemeClr w14:val="tx1"/>
                  </w14:solidFill>
                </w14:textFill>
              </w:rPr>
              <w:t>8</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货架</w:t>
            </w:r>
          </w:p>
        </w:tc>
        <w:tc>
          <w:tcPr>
            <w:tcW w:w="7401" w:type="dxa"/>
            <w:shd w:val="clear" w:color="auto" w:fill="auto"/>
            <w:tcMar>
              <w:top w:w="15" w:type="dxa"/>
              <w:left w:w="15" w:type="dxa"/>
              <w:right w:w="15" w:type="dxa"/>
            </w:tcMar>
          </w:tcPr>
          <w:p>
            <w:pPr>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产品须符合GB/T 3325-2017《金属家具通用技术条件》的要求。</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1.规格尺寸：长900mm×宽600mm×高1600㎜，（允许偏差±5mm），4层结构。</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2.材质：采用优质冷轧钢板制作，立柱管壁厚度为≥1.5mm，隔板厚度为≥0.7mm，以横梁与层板结合的结构方式，可承载较大的载荷，结构件可自由拆装，层高可按75mm上下调节，每层承重≥500公斤。</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3.货架表面处理工艺：表面采用亚光静电喷塑工艺，柜体表面经预脱脂-脱脂-水洗-酸洗-水洗-中和-表调-磷化-水洗-钝化等十工位表面前处理工序；</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4.塑粉：采用优质环保热固性粉末塑粉，塑粉中的有害物质含量须符合HG/T2006-2006《热固性粉末涂料》的要求；其中：①杯突≥4mm；弯曲试验≤4mm；耐酸性（3％HCl）240h无异常；耐碱性（5％NaOH）168h无异常 ；重金属：</w:t>
            </w:r>
            <w:r>
              <w:rPr>
                <w:rFonts w:hint="eastAsia" w:ascii="宋体" w:hAnsi="宋体" w:cs="宋体"/>
                <w:color w:val="000000" w:themeColor="text1"/>
                <w:szCs w:val="21"/>
                <w14:textFill>
                  <w14:solidFill>
                    <w14:schemeClr w14:val="tx1"/>
                  </w14:solidFill>
                </w14:textFill>
              </w:rPr>
              <w:t>可溶性铅≤90mg/kg；金属件涂层耐湿热500h后应无生锈、起泡、变色、开裂或其他破坏现象；</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2</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组</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2350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2" w:hRule="atLeast"/>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p>
        </w:tc>
        <w:tc>
          <w:tcPr>
            <w:tcW w:w="7401" w:type="dxa"/>
            <w:shd w:val="clear" w:color="auto" w:fill="auto"/>
            <w:tcMar>
              <w:top w:w="15" w:type="dxa"/>
              <w:left w:w="15" w:type="dxa"/>
              <w:right w:w="15" w:type="dxa"/>
            </w:tcMar>
            <w:vAlign w:val="center"/>
          </w:tcPr>
          <w:p>
            <w:pPr>
              <w:jc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三、接待室</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29</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接待椅</w:t>
            </w:r>
          </w:p>
        </w:tc>
        <w:tc>
          <w:tcPr>
            <w:tcW w:w="7401" w:type="dxa"/>
            <w:shd w:val="clear" w:color="auto" w:fill="auto"/>
            <w:tcMar>
              <w:top w:w="15" w:type="dxa"/>
              <w:left w:w="15" w:type="dxa"/>
              <w:right w:w="15" w:type="dxa"/>
            </w:tcMar>
          </w:tcPr>
          <w:p>
            <w:pPr>
              <w:rPr>
                <w:rFonts w:hint="eastAsia"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座椅须符合：GB/T 3324-2017 木家具通用技术条件；GB 18584-2001 室内装饰装修材料 木家具中有害物质限量。</w:t>
            </w:r>
          </w:p>
          <w:p>
            <w:pP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1、外观规格尺寸：</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2、座椅：采用优质黑胡桃木实木制作，木材经干燥处理，木材含水率为8%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 ；木材质量符合GB/T3324-2017 木家具通用技术条件GB 18584-2001 室内装饰装修材料，木家具中有害物质限量。木材经四面刨光处理，结合部位无松动，主体榫卯结构，无腐朽、无贯通裂纹、无节子、无虫蛀，木材表面光滑；</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 xml:space="preserve">4、胶粘剂：采用优质品牌白乳胶。白乳胶中的有害物质限量必须符合国家标准GB18583-2008《室内装饰装修材料 胶粘剂中有害物质限量》的要求。总挥发性有机物≤110g/L ；甲苯+二甲苯≤10g/kg ；苯≤0.20g/kg ；游离甲醛≤1.0g/kg。                                                                                                                                          </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5、接待椅坐垫：海绵符合GB/T 10802-2006 《通用软质聚醚型聚氨酯泡沫塑料》的要求。回弹率 ：≥35%，拉伸强度：等级/120N ≥90kPa ；伸长率：等级/120N≥130 ％；撕裂强度 ：等级/120N ≥2.0N/cm；干热老化后拉伸强度：≥55KPa；干热老化后拉伸强度变化率：±30 ％ ；；</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8</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张</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3030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30</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接待茶几</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产品须符合GB/T 3324-2017 《木家具通用技术条件》、GB18584-2001 《室内装饰装修材料 木家具中有害物质限量》的要求。</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外观规格尺寸：长600Wmm×宽600mm×高450mm ，（允许偏差±5mm）；</w:t>
            </w:r>
          </w:p>
          <w:p>
            <w:pPr>
              <w:widowControl/>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1、饰面材料：采用胡桃木微薄木饰面，微薄木厚度≥0.6mm；胡桃木微薄木符合GB/T 13010-2006 《刨切单板》要求。</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2、基材：采用优质E1中密度纤维板,甲醛释放限量≤0.124mg/m³，密度≥0.70g/cm³,静曲强度≥ 24Mpa，符合《</w:t>
            </w:r>
            <w:r>
              <w:rPr>
                <w:rFonts w:hint="eastAsia" w:ascii="宋体" w:hAnsi="宋体" w:cs="宋体"/>
                <w:color w:val="000000" w:themeColor="text1"/>
                <w:kern w:val="0"/>
                <w:sz w:val="19"/>
                <w:szCs w:val="19"/>
                <w:lang w:bidi="ar"/>
                <w14:textFill>
                  <w14:solidFill>
                    <w14:schemeClr w14:val="tx1"/>
                  </w14:solidFill>
                </w14:textFill>
              </w:rPr>
              <w:t>GB/T 11718-2009</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kern w:val="0"/>
                <w:sz w:val="19"/>
                <w:szCs w:val="19"/>
                <w:lang w:bidi="ar"/>
                <w14:textFill>
                  <w14:solidFill>
                    <w14:schemeClr w14:val="tx1"/>
                  </w14:solidFill>
                </w14:textFill>
              </w:rPr>
              <w:t>GB 18580-2017</w:t>
            </w:r>
            <w:r>
              <w:rPr>
                <w:rFonts w:hint="eastAsia" w:ascii="宋体" w:hAnsi="宋体" w:cs="宋体"/>
                <w:color w:val="000000" w:themeColor="text1"/>
                <w:kern w:val="0"/>
                <w:szCs w:val="21"/>
                <w:lang w:bidi="ar"/>
                <w14:textFill>
                  <w14:solidFill>
                    <w14:schemeClr w14:val="tx1"/>
                  </w14:solidFill>
                </w14:textFill>
              </w:rPr>
              <w:t>》标准要求。</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3、油漆：采用优质水性油漆,其各项要求符合GB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4、胶粘剂：采用优质品牌白乳胶。白乳胶中的有害物质限量必须符合国家标准GB18583-2008《室内装饰装修材料 胶粘剂中有害物质限量》的要求。总挥发性有机物≤</w:t>
            </w:r>
            <w:r>
              <w:rPr>
                <w:rFonts w:hint="eastAsia" w:ascii="宋体" w:hAnsi="宋体" w:cs="宋体"/>
                <w:color w:val="000000" w:themeColor="text1"/>
                <w:szCs w:val="21"/>
                <w14:textFill>
                  <w14:solidFill>
                    <w14:schemeClr w14:val="tx1"/>
                  </w14:solidFill>
                </w14:textFill>
              </w:rPr>
              <w:t>110</w:t>
            </w:r>
            <w:r>
              <w:rPr>
                <w:rFonts w:hint="eastAsia" w:ascii="宋体" w:hAnsi="宋体" w:cs="宋体"/>
                <w:color w:val="000000" w:themeColor="text1"/>
                <w:kern w:val="0"/>
                <w:szCs w:val="21"/>
                <w:lang w:bidi="ar"/>
                <w14:textFill>
                  <w14:solidFill>
                    <w14:schemeClr w14:val="tx1"/>
                  </w14:solidFill>
                </w14:textFill>
              </w:rPr>
              <w:t>g/L ；甲苯+二甲苯</w:t>
            </w:r>
            <w:r>
              <w:rPr>
                <w:rFonts w:hint="eastAsia" w:ascii="宋体" w:hAnsi="宋体" w:cs="宋体"/>
                <w:color w:val="000000" w:themeColor="text1"/>
                <w:szCs w:val="21"/>
                <w14:textFill>
                  <w14:solidFill>
                    <w14:schemeClr w14:val="tx1"/>
                  </w14:solidFill>
                </w14:textFill>
              </w:rPr>
              <w:t>≤10g/kg</w:t>
            </w:r>
            <w:r>
              <w:rPr>
                <w:rFonts w:hint="eastAsia" w:ascii="宋体" w:hAnsi="宋体" w:cs="宋体"/>
                <w:color w:val="000000" w:themeColor="text1"/>
                <w:kern w:val="0"/>
                <w:szCs w:val="21"/>
                <w:lang w:bidi="ar"/>
                <w14:textFill>
                  <w14:solidFill>
                    <w14:schemeClr w14:val="tx1"/>
                  </w14:solidFill>
                </w14:textFill>
              </w:rPr>
              <w:t xml:space="preserve"> ；苯</w:t>
            </w:r>
            <w:r>
              <w:rPr>
                <w:rFonts w:hint="eastAsia" w:ascii="宋体" w:hAnsi="宋体" w:cs="宋体"/>
                <w:color w:val="000000" w:themeColor="text1"/>
                <w:szCs w:val="21"/>
                <w14:textFill>
                  <w14:solidFill>
                    <w14:schemeClr w14:val="tx1"/>
                  </w14:solidFill>
                </w14:textFill>
              </w:rPr>
              <w:t>≤0.20g/kg</w:t>
            </w:r>
            <w:r>
              <w:rPr>
                <w:rFonts w:hint="eastAsia" w:ascii="宋体" w:hAnsi="宋体" w:cs="宋体"/>
                <w:color w:val="000000" w:themeColor="text1"/>
                <w:kern w:val="0"/>
                <w:szCs w:val="21"/>
                <w:lang w:bidi="ar"/>
                <w14:textFill>
                  <w14:solidFill>
                    <w14:schemeClr w14:val="tx1"/>
                  </w14:solidFill>
                </w14:textFill>
              </w:rPr>
              <w:t xml:space="preserve"> ；游离甲醛≤</w:t>
            </w:r>
            <w:r>
              <w:rPr>
                <w:rFonts w:hint="eastAsia" w:ascii="宋体" w:hAnsi="宋体" w:cs="宋体"/>
                <w:color w:val="000000" w:themeColor="text1"/>
                <w:szCs w:val="21"/>
                <w14:textFill>
                  <w14:solidFill>
                    <w14:schemeClr w14:val="tx1"/>
                  </w14:solidFill>
                </w14:textFill>
              </w:rPr>
              <w:t>1.0</w:t>
            </w:r>
            <w:r>
              <w:rPr>
                <w:rFonts w:hint="eastAsia" w:ascii="宋体" w:hAnsi="宋体" w:cs="宋体"/>
                <w:color w:val="000000" w:themeColor="text1"/>
                <w:kern w:val="0"/>
                <w:szCs w:val="21"/>
                <w:lang w:bidi="ar"/>
                <w14:textFill>
                  <w14:solidFill>
                    <w14:schemeClr w14:val="tx1"/>
                  </w14:solidFill>
                </w14:textFill>
              </w:rPr>
              <w:t xml:space="preserve">g/kg。 </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5、五金件：须符合QB/T3832-1999、QB/T3826-1999标准，连续喷雾试验时间≥100h耐腐蚀等级≥10级。</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5</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张</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1300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39" w:hRule="atLeast"/>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r>
              <w:rPr>
                <w:rFonts w:ascii="宋体" w:hAnsi="宋体" w:cs="宋体"/>
                <w:color w:val="000000" w:themeColor="text1"/>
                <w:szCs w:val="21"/>
                <w14:textFill>
                  <w14:solidFill>
                    <w14:schemeClr w14:val="tx1"/>
                  </w14:solidFill>
                </w14:textFill>
              </w:rPr>
              <w:t>1</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茶水柜</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产品质量符合GB/T 3324-2017 《木家具通用技术条件》、GB18584-2001 《室内装饰装修材料 木家具中有害物质限量》的要求。</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1、外观规格尺寸：长800mm×宽400mm×高850</w:t>
            </w:r>
            <w:r>
              <w:rPr>
                <w:rFonts w:hint="eastAsia" w:ascii="宋体" w:hAnsi="宋体" w:cs="宋体"/>
                <w:color w:val="000000" w:themeColor="text1"/>
                <w:kern w:val="0"/>
                <w:szCs w:val="21"/>
                <w:lang w:val="en-US" w:eastAsia="zh-CN" w:bidi="ar"/>
                <w14:textFill>
                  <w14:solidFill>
                    <w14:schemeClr w14:val="tx1"/>
                  </w14:solidFill>
                </w14:textFill>
              </w:rPr>
              <w:t>mm</w:t>
            </w:r>
            <w:r>
              <w:rPr>
                <w:rFonts w:hint="eastAsia" w:ascii="宋体" w:hAnsi="宋体" w:cs="宋体"/>
                <w:color w:val="000000" w:themeColor="text1"/>
                <w:kern w:val="0"/>
                <w:szCs w:val="21"/>
                <w:lang w:bidi="ar"/>
                <w14:textFill>
                  <w14:solidFill>
                    <w14:schemeClr w14:val="tx1"/>
                  </w14:solidFill>
                </w14:textFill>
              </w:rPr>
              <w:t>，（允许偏差±5mm）；</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2、饰面材料：采用胡桃木微薄木饰面，微薄木厚度≥0.6mm；胡桃木微薄木须符合GB/T 13010-2006 《刨切单板》要求。</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3、基材：采用优质E1中密度纤维板,甲醛释放限量≤0.124mg/m³，密度≥0.70g/cm³,静曲强度≥ 24Mpa。</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4、油漆：采用优质水性油漆,其各项要求符合GB 24410-2009 《室内装饰装修材料水性木器涂料中有害物质限量》、GB/T 23999-2009 《室内装饰装修用水性木器涂料要求》；油漆经五底三面工艺。挥发性有机化合物含量≤300g/L,游离甲醛含量≤100mg/kg,无苯系物含量，无乙二醇醚及其酯类含量，不含可溶性重金属（限色漆和腻子）：铅、镉、铬、汞等。</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5、胶粘剂：采用优质品牌白乳胶。白乳胶中的有害物质限量必须符合国家标准GB18583-2008《室内装饰装修材料 胶粘剂中有害物质限量》的要求。总挥发性有机物</w:t>
            </w:r>
            <w:r>
              <w:rPr>
                <w:rFonts w:hint="eastAsia" w:ascii="宋体" w:hAnsi="宋体" w:cs="宋体"/>
                <w:color w:val="000000" w:themeColor="text1"/>
                <w:szCs w:val="21"/>
                <w14:textFill>
                  <w14:solidFill>
                    <w14:schemeClr w14:val="tx1"/>
                  </w14:solidFill>
                </w14:textFill>
              </w:rPr>
              <w:t>≤110</w:t>
            </w:r>
            <w:r>
              <w:rPr>
                <w:rFonts w:hint="eastAsia" w:ascii="宋体" w:hAnsi="宋体" w:cs="宋体"/>
                <w:color w:val="000000" w:themeColor="text1"/>
                <w:kern w:val="0"/>
                <w:szCs w:val="21"/>
                <w:lang w:bidi="ar"/>
                <w14:textFill>
                  <w14:solidFill>
                    <w14:schemeClr w14:val="tx1"/>
                  </w14:solidFill>
                </w14:textFill>
              </w:rPr>
              <w:t>g/L ；甲苯+二甲苯</w:t>
            </w:r>
            <w:r>
              <w:rPr>
                <w:rFonts w:hint="eastAsia" w:ascii="宋体" w:hAnsi="宋体" w:cs="宋体"/>
                <w:color w:val="000000" w:themeColor="text1"/>
                <w:szCs w:val="21"/>
                <w14:textFill>
                  <w14:solidFill>
                    <w14:schemeClr w14:val="tx1"/>
                  </w14:solidFill>
                </w14:textFill>
              </w:rPr>
              <w:t>≤10g/kg</w:t>
            </w:r>
            <w:r>
              <w:rPr>
                <w:rFonts w:hint="eastAsia" w:ascii="宋体" w:hAnsi="宋体" w:cs="宋体"/>
                <w:color w:val="000000" w:themeColor="text1"/>
                <w:kern w:val="0"/>
                <w:szCs w:val="21"/>
                <w:lang w:bidi="ar"/>
                <w14:textFill>
                  <w14:solidFill>
                    <w14:schemeClr w14:val="tx1"/>
                  </w14:solidFill>
                </w14:textFill>
              </w:rPr>
              <w:t xml:space="preserve"> ；苯</w:t>
            </w:r>
            <w:r>
              <w:rPr>
                <w:rFonts w:hint="eastAsia" w:ascii="宋体" w:hAnsi="宋体" w:cs="宋体"/>
                <w:color w:val="000000" w:themeColor="text1"/>
                <w:szCs w:val="21"/>
                <w14:textFill>
                  <w14:solidFill>
                    <w14:schemeClr w14:val="tx1"/>
                  </w14:solidFill>
                </w14:textFill>
              </w:rPr>
              <w:t>≤0.20g/kg</w:t>
            </w:r>
            <w:r>
              <w:rPr>
                <w:rFonts w:hint="eastAsia" w:ascii="宋体" w:hAnsi="宋体" w:cs="宋体"/>
                <w:color w:val="000000" w:themeColor="text1"/>
                <w:kern w:val="0"/>
                <w:szCs w:val="21"/>
                <w:lang w:bidi="ar"/>
                <w14:textFill>
                  <w14:solidFill>
                    <w14:schemeClr w14:val="tx1"/>
                  </w14:solidFill>
                </w14:textFill>
              </w:rPr>
              <w:t xml:space="preserve"> ；游离甲醛</w:t>
            </w:r>
            <w:r>
              <w:rPr>
                <w:rFonts w:hint="eastAsia" w:ascii="宋体" w:hAnsi="宋体" w:cs="宋体"/>
                <w:color w:val="000000" w:themeColor="text1"/>
                <w:szCs w:val="21"/>
                <w14:textFill>
                  <w14:solidFill>
                    <w14:schemeClr w14:val="tx1"/>
                  </w14:solidFill>
                </w14:textFill>
              </w:rPr>
              <w:t>≤1.0</w:t>
            </w:r>
            <w:r>
              <w:rPr>
                <w:rFonts w:hint="eastAsia" w:ascii="宋体" w:hAnsi="宋体" w:cs="宋体"/>
                <w:color w:val="000000" w:themeColor="text1"/>
                <w:kern w:val="0"/>
                <w:szCs w:val="21"/>
                <w:lang w:bidi="ar"/>
                <w14:textFill>
                  <w14:solidFill>
                    <w14:schemeClr w14:val="tx1"/>
                  </w14:solidFill>
                </w14:textFill>
              </w:rPr>
              <w:t>g/kg。</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6、静音导轨：须符合 QB/T2454-2013 标准，耐腐蚀18h，1.5mm以下锈点不超过20点/d㎡,其中1.0mm以上的锈点不超过5点/d㎡ 。</w:t>
            </w:r>
            <w:r>
              <w:rPr>
                <w:rFonts w:hint="eastAsia" w:ascii="宋体" w:hAnsi="宋体" w:cs="宋体"/>
                <w:color w:val="000000" w:themeColor="text1"/>
                <w:kern w:val="0"/>
                <w:szCs w:val="21"/>
                <w:lang w:bidi="ar"/>
                <w14:textFill>
                  <w14:solidFill>
                    <w14:schemeClr w14:val="tx1"/>
                  </w14:solidFill>
                </w14:textFill>
              </w:rPr>
              <w:br w:type="textWrapping"/>
            </w:r>
            <w:r>
              <w:rPr>
                <w:rFonts w:hint="eastAsia" w:ascii="宋体" w:hAnsi="宋体" w:cs="宋体"/>
                <w:color w:val="000000" w:themeColor="text1"/>
                <w:kern w:val="0"/>
                <w:szCs w:val="21"/>
                <w:lang w:bidi="ar"/>
                <w14:textFill>
                  <w14:solidFill>
                    <w14:schemeClr w14:val="tx1"/>
                  </w14:solidFill>
                </w14:textFill>
              </w:rPr>
              <w:t>7、铰链：须符合</w:t>
            </w:r>
            <w:r>
              <w:rPr>
                <w:rFonts w:hint="eastAsia" w:ascii="宋体" w:hAnsi="宋体" w:cs="宋体"/>
                <w:color w:val="000000" w:themeColor="text1"/>
                <w:kern w:val="0"/>
                <w:szCs w:val="21"/>
                <w:lang w:eastAsia="zh-CN" w:bidi="ar"/>
                <w14:textFill>
                  <w14:solidFill>
                    <w14:schemeClr w14:val="tx1"/>
                  </w14:solidFill>
                </w14:textFill>
              </w:rPr>
              <w:t>QB/T 2189-2013 《家具五金 杯状暗铰链》 、GB/T 3325-2017 《金属家具通用技术条件 》、QB/T 3826-1999 《轻工产品金属镀层和化学处理层的耐腐蚀试验方法 中性盐雾试验(NSS)法 》、QB/T 3832-1999《 轻工产品金属镀层腐蚀试验结果的评价》</w:t>
            </w:r>
            <w:r>
              <w:rPr>
                <w:rFonts w:hint="eastAsia" w:ascii="宋体" w:hAnsi="宋体" w:cs="宋体"/>
                <w:color w:val="000000" w:themeColor="text1"/>
                <w:kern w:val="0"/>
                <w:szCs w:val="21"/>
                <w:lang w:bidi="ar"/>
                <w14:textFill>
                  <w14:solidFill>
                    <w14:schemeClr w14:val="tx1"/>
                  </w14:solidFill>
                </w14:textFill>
              </w:rPr>
              <w:t>要求①垂直静载荷（过载）商用型：30kg，10次a）所有组件或结合处不应断裂；b）通过手触压证实，用于紧固的组件不应松动；c）所有组件不应有影响正常运作的变形或磨损；d）固定组件不应松动；e）所有组件的功能不应损害；f）杯状暗铰链及其组件不应分离 ；②水平静载荷（过载）商用型：70N，10次a）所有组件或结合处不应断裂；b）通过手触压证实，用于紧固的组件不应松动；c）所有组件不应有影响正常运作的变形或磨损；d）固定组件不应松动；e）所有组件的功能不应损害；f）杯状暗铰链及其组件不应分离；③操作力： 商用型：在耐久性试验前后，打开力和关闭力不应大于20N；④耐久性：商用型：80000次a）所有组件或结合处不应断裂；b）通过手触压证实，用于紧固的组件不应松动；c）所有组件不应有影响正常运作的变形或磨损；d）固定组件不应松动；e）所有组件的功能不应损害；f）杯状暗铰链及其组件应能正常工作 ；⑤下沉量：商用型：在使用调整系统前，安装A型试验门时，下沉量不应大于2.0mm  ⑥耐腐蚀等级：连续喷雾试验时间≥100h耐腐蚀等级≥10级。                                                                                                                    8、三合一连接件须符合</w:t>
            </w:r>
            <w:r>
              <w:rPr>
                <w:rFonts w:hint="eastAsia" w:ascii="宋体" w:hAnsi="宋体" w:cs="宋体"/>
                <w:color w:val="000000" w:themeColor="text1"/>
                <w:szCs w:val="21"/>
                <w14:textFill>
                  <w14:solidFill>
                    <w14:schemeClr w14:val="tx1"/>
                  </w14:solidFill>
                </w14:textFill>
              </w:rPr>
              <w:t>GB/T 28203-2011 《家具用连接件技术要求及试验方法》、</w:t>
            </w:r>
            <w:r>
              <w:rPr>
                <w:rFonts w:hint="eastAsia" w:ascii="宋体" w:hAnsi="宋体" w:cs="宋体"/>
                <w:color w:val="000000" w:themeColor="text1"/>
                <w:szCs w:val="21"/>
                <w14:textFill>
                  <w14:solidFill>
                    <w14:schemeClr w14:val="tx1"/>
                  </w14:solidFill>
                </w14:textFill>
              </w:rPr>
              <w:t>QB/T 3826-1999 《轻工产品金属镀层和化学处理层的耐腐蚀试验方法 中性盐雾试验(NSS)法》</w:t>
            </w:r>
            <w:r>
              <w:rPr>
                <w:rFonts w:hint="eastAsia" w:ascii="宋体" w:hAnsi="宋体" w:cs="宋体"/>
                <w:color w:val="000000" w:themeColor="text1"/>
                <w:szCs w:val="21"/>
                <w14:textFill>
                  <w14:solidFill>
                    <w14:schemeClr w14:val="tx1"/>
                  </w14:solidFill>
                </w14:textFill>
              </w:rPr>
              <w:t>的要求</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100h中性盐雾试验，</w:t>
            </w:r>
            <w:r>
              <w:rPr>
                <w:rFonts w:hint="eastAsia" w:ascii="宋体" w:hAnsi="宋体" w:cs="宋体"/>
                <w:color w:val="000000" w:themeColor="text1"/>
                <w:kern w:val="0"/>
                <w:szCs w:val="21"/>
                <w:lang w:bidi="ar"/>
                <w14:textFill>
                  <w14:solidFill>
                    <w14:schemeClr w14:val="tx1"/>
                  </w14:solidFill>
                </w14:textFill>
              </w:rPr>
              <w:t>耐腐蚀等级达到10级。</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w:t>
            </w: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组</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1250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8" w:hRule="atLeast"/>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p>
        </w:tc>
        <w:tc>
          <w:tcPr>
            <w:tcW w:w="7401"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四、库房</w:t>
            </w:r>
          </w:p>
        </w:tc>
        <w:tc>
          <w:tcPr>
            <w:tcW w:w="575"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p>
        </w:tc>
        <w:tc>
          <w:tcPr>
            <w:tcW w:w="612"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57"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r>
              <w:rPr>
                <w:rFonts w:ascii="宋体" w:hAnsi="宋体" w:cs="宋体"/>
                <w:color w:val="000000" w:themeColor="text1"/>
                <w:szCs w:val="21"/>
                <w14:textFill>
                  <w14:solidFill>
                    <w14:schemeClr w14:val="tx1"/>
                  </w14:solidFill>
                </w14:textFill>
              </w:rPr>
              <w:t>2</w:t>
            </w:r>
          </w:p>
        </w:tc>
        <w:tc>
          <w:tcPr>
            <w:tcW w:w="750"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古籍书柜</w:t>
            </w:r>
          </w:p>
        </w:tc>
        <w:tc>
          <w:tcPr>
            <w:tcW w:w="7401" w:type="dxa"/>
            <w:shd w:val="clear" w:color="auto" w:fill="auto"/>
            <w:tcMar>
              <w:top w:w="15" w:type="dxa"/>
              <w:left w:w="15" w:type="dxa"/>
              <w:right w:w="15" w:type="dxa"/>
            </w:tcMar>
          </w:tcPr>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产品须符合GB/T3324-2017 《木家具通用技术条件》、GB 18584-2001 《室内装饰装修材料 木家具中有害物质限量》</w:t>
            </w:r>
            <w:r>
              <w:rPr>
                <w:rFonts w:hint="eastAsia" w:ascii="宋体" w:hAnsi="宋体" w:cs="宋体"/>
                <w:color w:val="000000" w:themeColor="text1"/>
                <w:kern w:val="0"/>
                <w:szCs w:val="21"/>
                <w:lang w:eastAsia="zh-CN" w:bidi="ar"/>
                <w14:textFill>
                  <w14:solidFill>
                    <w14:schemeClr w14:val="tx1"/>
                  </w14:solidFill>
                </w14:textFill>
              </w:rPr>
              <w:t>、</w:t>
            </w:r>
            <w:r>
              <w:rPr>
                <w:rFonts w:hint="eastAsia" w:ascii="宋体" w:hAnsi="宋体" w:cs="宋体"/>
                <w:color w:val="000000" w:themeColor="text1"/>
                <w:kern w:val="0"/>
                <w:szCs w:val="21"/>
                <w:lang w:val="en-US" w:eastAsia="zh-CN" w:bidi="ar"/>
                <w14:textFill>
                  <w14:solidFill>
                    <w14:schemeClr w14:val="tx1"/>
                  </w14:solidFill>
                </w14:textFill>
              </w:rPr>
              <w:t>GB/T 29894-2013</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kern w:val="0"/>
                <w:szCs w:val="21"/>
                <w:lang w:val="en-US" w:eastAsia="zh-CN" w:bidi="ar"/>
                <w14:textFill>
                  <w14:solidFill>
                    <w14:schemeClr w14:val="tx1"/>
                  </w14:solidFill>
                </w14:textFill>
              </w:rPr>
              <w:t>木材鉴别方法通则</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kern w:val="0"/>
                <w:szCs w:val="21"/>
                <w:lang w:eastAsia="zh-CN" w:bidi="ar"/>
                <w14:textFill>
                  <w14:solidFill>
                    <w14:schemeClr w14:val="tx1"/>
                  </w14:solidFill>
                </w14:textFill>
              </w:rPr>
              <w:t>、</w:t>
            </w:r>
            <w:r>
              <w:rPr>
                <w:rFonts w:hint="eastAsia" w:ascii="宋体" w:hAnsi="宋体" w:cs="宋体"/>
                <w:color w:val="000000" w:themeColor="text1"/>
                <w:kern w:val="0"/>
                <w:szCs w:val="21"/>
                <w:lang w:val="en-US" w:eastAsia="zh-CN" w:bidi="ar"/>
                <w14:textFill>
                  <w14:solidFill>
                    <w14:schemeClr w14:val="tx1"/>
                  </w14:solidFill>
                </w14:textFill>
              </w:rPr>
              <w:t>GB/T16734-1997《中国主要木材名称》</w:t>
            </w:r>
            <w:r>
              <w:rPr>
                <w:rFonts w:hint="eastAsia" w:ascii="宋体" w:hAnsi="宋体" w:cs="宋体"/>
                <w:color w:val="000000" w:themeColor="text1"/>
                <w:kern w:val="0"/>
                <w:szCs w:val="21"/>
                <w:lang w:eastAsia="zh-CN" w:bidi="ar"/>
                <w14:textFill>
                  <w14:solidFill>
                    <w14:schemeClr w14:val="tx1"/>
                  </w14:solidFill>
                </w14:textFill>
              </w:rPr>
              <w:t>、</w:t>
            </w:r>
            <w:r>
              <w:rPr>
                <w:rFonts w:hint="eastAsia" w:ascii="宋体" w:hAnsi="宋体" w:cs="宋体"/>
                <w:color w:val="000000" w:themeColor="text1"/>
                <w:kern w:val="0"/>
                <w:szCs w:val="21"/>
                <w:lang w:val="en-US" w:eastAsia="zh-CN" w:bidi="ar"/>
                <w14:textFill>
                  <w14:solidFill>
                    <w14:schemeClr w14:val="tx1"/>
                  </w14:solidFill>
                </w14:textFill>
              </w:rPr>
              <w:t>GB/T 1931-2009</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kern w:val="0"/>
                <w:szCs w:val="21"/>
                <w:lang w:val="en-US" w:eastAsia="zh-CN" w:bidi="ar"/>
                <w14:textFill>
                  <w14:solidFill>
                    <w14:schemeClr w14:val="tx1"/>
                  </w14:solidFill>
                </w14:textFill>
              </w:rPr>
              <w:t>木材含水率测定方法</w:t>
            </w:r>
            <w:r>
              <w:rPr>
                <w:rFonts w:hint="eastAsia" w:ascii="宋体" w:hAnsi="宋体" w:cs="宋体"/>
                <w:color w:val="000000" w:themeColor="text1"/>
                <w:kern w:val="0"/>
                <w:szCs w:val="21"/>
                <w:lang w:bidi="ar"/>
                <w14:textFill>
                  <w14:solidFill>
                    <w14:schemeClr w14:val="tx1"/>
                  </w14:solidFill>
                </w14:textFill>
              </w:rPr>
              <w:t>》</w:t>
            </w:r>
            <w:r>
              <w:rPr>
                <w:rFonts w:hint="eastAsia" w:ascii="宋体" w:hAnsi="宋体" w:cs="宋体"/>
                <w:color w:val="000000" w:themeColor="text1"/>
                <w:kern w:val="0"/>
                <w:szCs w:val="21"/>
                <w:lang w:eastAsia="zh-CN" w:bidi="ar"/>
                <w14:textFill>
                  <w14:solidFill>
                    <w14:schemeClr w14:val="tx1"/>
                  </w14:solidFill>
                </w14:textFill>
              </w:rPr>
              <w:t>、</w:t>
            </w:r>
            <w:r>
              <w:rPr>
                <w:rFonts w:hint="eastAsia" w:ascii="宋体" w:hAnsi="宋体" w:eastAsia="宋体" w:cs="宋体"/>
                <w:b w:val="0"/>
                <w:bCs w:val="0"/>
                <w:color w:val="000000" w:themeColor="text1"/>
                <w:sz w:val="21"/>
                <w14:textFill>
                  <w14:solidFill>
                    <w14:schemeClr w14:val="tx1"/>
                  </w14:solidFill>
                </w14:textFill>
              </w:rPr>
              <w:t>GB/T 1933-2009《木材密度测定方法》</w:t>
            </w:r>
            <w:r>
              <w:rPr>
                <w:rFonts w:hint="eastAsia" w:hAnsi="宋体" w:eastAsia="宋体" w:cs="宋体"/>
                <w:b w:val="0"/>
                <w:bCs w:val="0"/>
                <w:color w:val="000000" w:themeColor="text1"/>
                <w:sz w:val="21"/>
                <w:lang w:eastAsia="zh-CN"/>
                <w14:textFill>
                  <w14:solidFill>
                    <w14:schemeClr w14:val="tx1"/>
                  </w14:solidFill>
                </w14:textFill>
              </w:rPr>
              <w:t>、</w:t>
            </w:r>
            <w:r>
              <w:rPr>
                <w:rFonts w:hint="eastAsia" w:ascii="宋体" w:hAnsi="宋体" w:eastAsia="宋体" w:cs="宋体"/>
                <w:b w:val="0"/>
                <w:bCs w:val="0"/>
                <w:color w:val="000000" w:themeColor="text1"/>
                <w:sz w:val="21"/>
                <w14:textFill>
                  <w14:solidFill>
                    <w14:schemeClr w14:val="tx1"/>
                  </w14:solidFill>
                </w14:textFill>
              </w:rPr>
              <w:t>GB/T 6043-2009《木材PH值测定方法》</w:t>
            </w:r>
            <w:r>
              <w:rPr>
                <w:rFonts w:hint="eastAsia" w:hAnsi="宋体" w:eastAsia="宋体" w:cs="宋体"/>
                <w:b w:val="0"/>
                <w:bCs w:val="0"/>
                <w:color w:val="000000" w:themeColor="text1"/>
                <w:sz w:val="21"/>
                <w:lang w:eastAsia="zh-CN"/>
                <w14:textFill>
                  <w14:solidFill>
                    <w14:schemeClr w14:val="tx1"/>
                  </w14:solidFill>
                </w14:textFill>
              </w:rPr>
              <w:t>、</w:t>
            </w:r>
            <w:r>
              <w:rPr>
                <w:rFonts w:hint="eastAsia" w:hAnsi="宋体" w:cs="宋体"/>
                <w:b w:val="0"/>
                <w:bCs w:val="0"/>
                <w:color w:val="000000" w:themeColor="text1"/>
                <w:sz w:val="21"/>
                <w:lang w:val="en-US" w:eastAsia="zh-CN"/>
                <w14:textFill>
                  <w14:solidFill>
                    <w14:schemeClr w14:val="tx1"/>
                  </w14:solidFill>
                </w14:textFill>
              </w:rPr>
              <w:t>DB45/T 897-2013《樟叶（精）油，芳樟醇型》</w:t>
            </w:r>
            <w:r>
              <w:rPr>
                <w:rFonts w:hint="eastAsia" w:ascii="宋体" w:hAnsi="宋体" w:cs="宋体"/>
                <w:color w:val="000000" w:themeColor="text1"/>
                <w:kern w:val="0"/>
                <w:szCs w:val="21"/>
                <w:lang w:val="en-US" w:eastAsia="zh-CN" w:bidi="ar"/>
                <w14:textFill>
                  <w14:solidFill>
                    <w14:schemeClr w14:val="tx1"/>
                  </w14:solidFill>
                </w14:textFill>
              </w:rPr>
              <w:t>标准要求</w:t>
            </w:r>
            <w:r>
              <w:rPr>
                <w:rFonts w:hint="eastAsia" w:ascii="宋体" w:hAnsi="宋体" w:cs="宋体"/>
                <w:color w:val="000000" w:themeColor="text1"/>
                <w:kern w:val="0"/>
                <w:szCs w:val="21"/>
                <w:lang w:bidi="ar"/>
                <w14:textFill>
                  <w14:solidFill>
                    <w14:schemeClr w14:val="tx1"/>
                  </w14:solidFill>
                </w14:textFill>
              </w:rPr>
              <w:t>；</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一、古籍书柜</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外观</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规格尺寸：宽</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1000mm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×纵深</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420mm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×高</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2100mm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，（允许偏差±</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5mm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二、材料：除层板</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采用</w:t>
            </w:r>
            <w:r>
              <w:rPr>
                <w:rFonts w:hint="eastAsia" w:ascii="宋体" w:hAnsi="宋体" w:cs="宋体"/>
                <w:color w:val="000000" w:themeColor="text1"/>
                <w:kern w:val="0"/>
                <w:szCs w:val="21"/>
                <w:lang w:bidi="ar"/>
                <w14:textFill>
                  <w14:solidFill>
                    <w14:schemeClr w14:val="tx1"/>
                  </w14:solidFill>
                </w14:textFill>
              </w:rPr>
              <w:t>中文学名为檫木（俗称南方榆木）</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，其余皆用优质香樟原木。</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三、外</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观</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结构：</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柜体为分体结构，由上、下两节独立柜体组成，上、下两节内部层数空间一致，每节柜内各有两块隔板分为</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3</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层；下节配有柜脚；门板为上、下对开门结构。</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四、结构要求：</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1</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古籍书柜</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主</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框架按榫卯结构工艺生产，顶端方、主</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立柱方</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按双榫</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棕角</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榫制作</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主立柱</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35mm×45mm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，顶端与纵横顶方粽角榫组合中端插尖榫与横连方组合，预留</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15mm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。榫槽与侧板背板组合（板榫</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10mm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，留</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5mm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内伸缩缝）下端直榫与牙板方组合。</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1.2</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具体要求：树种：香樟；</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木材</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含水率：</w:t>
            </w:r>
            <w:r>
              <w:rPr>
                <w:rFonts w:hint="eastAsia" w:ascii="宋体" w:hAnsi="宋体" w:cs="宋体"/>
                <w:color w:val="000000" w:themeColor="text1"/>
                <w:kern w:val="0"/>
                <w:szCs w:val="21"/>
                <w:lang w:bidi="ar"/>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；基本密度：≥</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0.43g</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cm³</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；PH值:≥6</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8</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；樟脑含量：≥0.</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2</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古籍书柜牙板：</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2</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牙板方</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80mm×20mm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，直榫与边柱组合，切割弧形修边。</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2.2</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具体要求：树种：香樟；</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木材</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含水率：</w:t>
            </w:r>
            <w:r>
              <w:rPr>
                <w:rFonts w:hint="eastAsia" w:ascii="宋体" w:hAnsi="宋体" w:cs="宋体"/>
                <w:color w:val="000000" w:themeColor="text1"/>
                <w:kern w:val="0"/>
                <w:szCs w:val="21"/>
                <w:lang w:bidi="ar"/>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；基本密度：≥</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0.43g</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cm³</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；PH值≥</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8</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:；樟脑含量：≥0.</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3</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古籍书柜层板：</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3</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1层板采用</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框架嵌板式结构，外框为</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40mm×25mm，嵌板厚度18mm，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板材连接方式为平拼版，无缝拼接。</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树种采用</w:t>
            </w:r>
            <w:r>
              <w:rPr>
                <w:rFonts w:hint="eastAsia" w:ascii="宋体" w:hAnsi="宋体" w:cs="宋体"/>
                <w:color w:val="000000" w:themeColor="text1"/>
                <w:kern w:val="0"/>
                <w:szCs w:val="21"/>
                <w:lang w:bidi="ar"/>
                <w14:textFill>
                  <w14:solidFill>
                    <w14:schemeClr w14:val="tx1"/>
                  </w14:solidFill>
                </w14:textFill>
              </w:rPr>
              <w:t>中文学名为檫木（俗称南方榆木）</w:t>
            </w:r>
            <w:r>
              <w:rPr>
                <w:rFonts w:hint="eastAsia" w:ascii="宋体" w:hAnsi="宋体" w:cs="宋体"/>
                <w:color w:val="000000" w:themeColor="text1"/>
                <w:kern w:val="0"/>
                <w:szCs w:val="21"/>
                <w:lang w:val="en-US" w:eastAsia="zh-CN" w:bidi="ar"/>
                <w14:textFill>
                  <w14:solidFill>
                    <w14:schemeClr w14:val="tx1"/>
                  </w14:solidFill>
                </w14:textFill>
              </w:rPr>
              <w:t>。</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4、古籍书柜侧板：</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4</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侧板板</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材</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厚度≥</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15mm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，四周修弧线，入榫槽</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10mm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，预留</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5mm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伸缩缝，以保证板材适应不同湿度空气澎胀收缩。</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★4</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2具体要求：树种：香樟；</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木材</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含水率：</w:t>
            </w:r>
            <w:r>
              <w:rPr>
                <w:rFonts w:hint="eastAsia" w:ascii="宋体" w:hAnsi="宋体" w:cs="宋体"/>
                <w:color w:val="000000" w:themeColor="text1"/>
                <w:kern w:val="0"/>
                <w:szCs w:val="21"/>
                <w:lang w:bidi="ar"/>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；基本密度：≥</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0.43g</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cm³</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；PH值≥</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8</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:；樟脑含量：≥0.</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5 、古籍书柜顶板、底板：</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5</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顶、板芯厚度≥</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15mm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，四周修弧线，入榫槽</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10mm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，预留</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5mm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伸缩缝，以保证板材适应不同湿度空气澎胀收缩。</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5</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.2</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具体要求：树种：香樟；</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木材</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含水率：</w:t>
            </w:r>
            <w:r>
              <w:rPr>
                <w:rFonts w:hint="eastAsia" w:ascii="宋体" w:hAnsi="宋体" w:cs="宋体"/>
                <w:color w:val="000000" w:themeColor="text1"/>
                <w:kern w:val="0"/>
                <w:szCs w:val="21"/>
                <w:lang w:bidi="ar"/>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；基本密度：≥</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0.43g</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cm³</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；PH值≥</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8</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:；樟脑含量：≥0.</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6、古籍书柜门板：</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1</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板</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采用</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框架结构，外框为</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50mm×30mm</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嵌板厚度</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15mm，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、通槽组合。板材连接方式为平拼版，无缝拼接</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，保留</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木材本身的自然纹理和色泽，柜门为全木门</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、对开门</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结构。</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.2</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具体要求：树种：香樟；</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木材</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含水率：</w:t>
            </w:r>
            <w:r>
              <w:rPr>
                <w:rFonts w:hint="eastAsia" w:ascii="宋体" w:hAnsi="宋体" w:cs="宋体"/>
                <w:color w:val="000000" w:themeColor="text1"/>
                <w:kern w:val="0"/>
                <w:szCs w:val="21"/>
                <w:lang w:bidi="ar"/>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；基本密度：≥</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0.43g</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cm³</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；PH值≥</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8</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:；樟脑含量：≥0.</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7、古籍书柜连方条带</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棕角</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榫</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7.</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中、下横连条方规格为35mm</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45mm</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插尖榫与</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主</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立柱组合，</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正</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面方丹阳线与正面立柱相呼应，确保槽口与中层板</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结合</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★7.2 具体要求：树种：香樟；</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木材</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含水率：</w:t>
            </w:r>
            <w:r>
              <w:rPr>
                <w:rFonts w:hint="eastAsia" w:ascii="宋体" w:hAnsi="宋体" w:cs="宋体"/>
                <w:color w:val="000000" w:themeColor="text1"/>
                <w:kern w:val="0"/>
                <w:szCs w:val="21"/>
                <w:lang w:bidi="ar"/>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；基本密度：≥</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0.43g</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cm³</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；PH值≥</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8</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:；樟脑含量：≥0.</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8、古籍书柜顶端方带</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双榫</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棕角</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榫</w:t>
            </w:r>
          </w:p>
          <w:p>
            <w:pPr>
              <w:widowControl/>
              <w:jc w:val="left"/>
              <w:textAlignment w:val="cente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8.1上纵横外框方规格为</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35mm×45mm</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，开棕角榫与</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主</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立柱组合,确保槽口与顶、背、侧板</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结合</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正</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面横方开丹阳线与正面立柱相呼应。</w:t>
            </w:r>
          </w:p>
          <w:p>
            <w:pPr>
              <w:rPr>
                <w:rFonts w:hint="eastAsia" w:asciiTheme="minorEastAsia" w:hAnsiTheme="minorEastAsia" w:eastAsiaTheme="minorEastAsia" w:cstheme="minorEastAsia"/>
                <w:color w:val="000000" w:themeColor="text1"/>
                <w:lang w:eastAsia="zh-CN"/>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★8</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14:textFill>
                  <w14:solidFill>
                    <w14:schemeClr w14:val="tx1"/>
                  </w14:solidFill>
                </w14:textFill>
              </w:rPr>
              <w:t>2具体要求：</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树种：香樟；</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木材</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含水率：</w:t>
            </w:r>
            <w:r>
              <w:rPr>
                <w:rFonts w:hint="eastAsia" w:ascii="宋体" w:hAnsi="宋体" w:cs="宋体"/>
                <w:color w:val="000000" w:themeColor="text1"/>
                <w:kern w:val="0"/>
                <w:szCs w:val="21"/>
                <w:lang w:bidi="ar"/>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；基本密度：≥</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0.43g</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cm³</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；PH值≥</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8</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:；樟脑含量：≥0.</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p>
          <w:p>
            <w:pPr>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9</w:t>
            </w:r>
            <w:r>
              <w:rPr>
                <w:rFonts w:hint="eastAsia" w:asciiTheme="minorEastAsia" w:hAnsiTheme="minorEastAsia" w:eastAsiaTheme="minorEastAsia" w:cstheme="minorEastAsia"/>
                <w:color w:val="000000" w:themeColor="text1"/>
                <w:lang w:eastAsia="zh-CN"/>
                <w14:textFill>
                  <w14:solidFill>
                    <w14:schemeClr w14:val="tx1"/>
                  </w14:solidFill>
                </w14:textFill>
              </w:rPr>
              <w:t>、</w:t>
            </w:r>
            <w:r>
              <w:rPr>
                <w:rFonts w:hint="eastAsia" w:asciiTheme="minorEastAsia" w:hAnsiTheme="minorEastAsia" w:eastAsiaTheme="minorEastAsia" w:cstheme="minorEastAsia"/>
                <w:color w:val="000000" w:themeColor="text1"/>
                <w14:textFill>
                  <w14:solidFill>
                    <w14:schemeClr w14:val="tx1"/>
                  </w14:solidFill>
                </w14:textFill>
              </w:rPr>
              <w:t>古籍书柜背板：</w:t>
            </w:r>
          </w:p>
          <w:p>
            <w:pPr>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9</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14:textFill>
                  <w14:solidFill>
                    <w14:schemeClr w14:val="tx1"/>
                  </w14:solidFill>
                </w14:textFill>
              </w:rPr>
              <w:t>背板≥</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15mm</w:t>
            </w:r>
            <w:r>
              <w:rPr>
                <w:rFonts w:hint="eastAsia" w:asciiTheme="minorEastAsia" w:hAnsiTheme="minorEastAsia" w:eastAsiaTheme="minorEastAsia" w:cstheme="minorEastAsia"/>
                <w:color w:val="000000" w:themeColor="text1"/>
                <w14:textFill>
                  <w14:solidFill>
                    <w14:schemeClr w14:val="tx1"/>
                  </w14:solidFill>
                </w14:textFill>
              </w:rPr>
              <w:t>厚度，四周入榫槽</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10mm</w:t>
            </w:r>
            <w:r>
              <w:rPr>
                <w:rFonts w:hint="eastAsia" w:asciiTheme="minorEastAsia" w:hAnsiTheme="minorEastAsia" w:eastAsiaTheme="minorEastAsia" w:cstheme="minorEastAsia"/>
                <w:color w:val="000000" w:themeColor="text1"/>
                <w14:textFill>
                  <w14:solidFill>
                    <w14:schemeClr w14:val="tx1"/>
                  </w14:solidFill>
                </w14:textFill>
              </w:rPr>
              <w:t xml:space="preserve"> , 预留伸缩缝</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5mm</w:t>
            </w:r>
            <w:r>
              <w:rPr>
                <w:rFonts w:hint="eastAsia" w:asciiTheme="minorEastAsia" w:hAnsiTheme="minorEastAsia" w:eastAsiaTheme="minorEastAsia" w:cstheme="minorEastAsia"/>
                <w:color w:val="000000" w:themeColor="text1"/>
                <w14:textFill>
                  <w14:solidFill>
                    <w14:schemeClr w14:val="tx1"/>
                  </w14:solidFill>
                </w14:textFill>
              </w:rPr>
              <w:t>。</w:t>
            </w:r>
          </w:p>
          <w:p>
            <w:pPr>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9</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14:textFill>
                  <w14:solidFill>
                    <w14:schemeClr w14:val="tx1"/>
                  </w14:solidFill>
                </w14:textFill>
              </w:rPr>
              <w:t>具体要求：</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树种：香樟；</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木材</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含水率：</w:t>
            </w:r>
            <w:r>
              <w:rPr>
                <w:rFonts w:hint="eastAsia" w:ascii="宋体" w:hAnsi="宋体" w:cs="宋体"/>
                <w:color w:val="000000" w:themeColor="text1"/>
                <w:kern w:val="0"/>
                <w:szCs w:val="21"/>
                <w:lang w:bidi="ar"/>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kern w:val="0"/>
                <w:szCs w:val="21"/>
                <w:lang w:bidi="ar"/>
                <w14:textFill>
                  <w14:solidFill>
                    <w14:schemeClr w14:val="tx1"/>
                  </w14:solidFill>
                </w14:textFill>
              </w:rPr>
              <w:t>（产品所在地区年平均木材平衡含水率+1%）</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；基本密度：≥</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0.43g</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cm³</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；PH值≥</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8</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:；樟脑含量：≥0.</w:t>
            </w:r>
            <w:r>
              <w:rPr>
                <w:rFonts w:hint="eastAsia" w:asciiTheme="minorEastAsia" w:hAnsiTheme="minorEastAsia" w:eastAsiaTheme="minorEastAsia" w:cstheme="minorEastAsia"/>
                <w:color w:val="000000" w:themeColor="text1"/>
                <w:kern w:val="0"/>
                <w:szCs w:val="21"/>
                <w:lang w:val="en-US" w:eastAsia="zh-CN" w:bidi="ar"/>
                <w14:textFill>
                  <w14:solidFill>
                    <w14:schemeClr w14:val="tx1"/>
                  </w14:solidFill>
                </w14:textFill>
              </w:rPr>
              <w:t>6</w:t>
            </w:r>
            <w:r>
              <w:rPr>
                <w:rFonts w:hint="eastAsia" w:asciiTheme="minorEastAsia" w:hAnsiTheme="minorEastAsia" w:eastAsiaTheme="minorEastAsia" w:cstheme="minorEastAsia"/>
                <w:color w:val="000000" w:themeColor="text1"/>
                <w:kern w:val="0"/>
                <w:szCs w:val="21"/>
                <w:lang w:bidi="ar"/>
                <w14:textFill>
                  <w14:solidFill>
                    <w14:schemeClr w14:val="tx1"/>
                  </w14:solidFill>
                </w14:textFill>
              </w:rPr>
              <w:t>%。</w:t>
            </w:r>
          </w:p>
          <w:p>
            <w:pPr>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14:textFill>
                  <w14:solidFill>
                    <w14:schemeClr w14:val="tx1"/>
                  </w14:solidFill>
                </w14:textFill>
              </w:rPr>
              <w:t>、五金、采用红木家俱铜合页（全铜材质）为竹节圆弧</w:t>
            </w:r>
            <w:r>
              <w:rPr>
                <w:rFonts w:hint="eastAsia" w:asciiTheme="minorEastAsia" w:hAnsiTheme="minorEastAsia" w:eastAsiaTheme="minorEastAsia" w:cstheme="minorEastAsia"/>
                <w:color w:val="000000" w:themeColor="text1"/>
                <w:lang w:eastAsia="zh-CN"/>
                <w14:textFill>
                  <w14:solidFill>
                    <w14:schemeClr w14:val="tx1"/>
                  </w14:solidFill>
                </w14:textFill>
              </w:rPr>
              <w:t>（</w:t>
            </w:r>
            <w:r>
              <w:rPr>
                <w:rFonts w:hint="eastAsia" w:asciiTheme="minorEastAsia" w:hAnsiTheme="minorEastAsia" w:eastAsiaTheme="minorEastAsia" w:cstheme="minorEastAsia"/>
                <w:color w:val="000000" w:themeColor="text1"/>
                <w14:textFill>
                  <w14:solidFill>
                    <w14:schemeClr w14:val="tx1"/>
                  </w14:solidFill>
                </w14:textFill>
              </w:rPr>
              <w:t>可拆卸式）合页，锁为竹节式圆弧锁。</w:t>
            </w:r>
          </w:p>
          <w:p>
            <w:pPr>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五、工艺流程：</w:t>
            </w:r>
          </w:p>
          <w:p>
            <w:pPr>
              <w:widowControl/>
              <w:jc w:val="left"/>
              <w:textAlignment w:val="center"/>
              <w:rPr>
                <w:rFonts w:ascii="宋体" w:hAnsi="宋体" w:cs="宋体"/>
                <w:color w:val="000000" w:themeColor="text1"/>
                <w:kern w:val="0"/>
                <w:szCs w:val="21"/>
                <w:lang w:bidi="ar"/>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原木开料- -自然晾干稳定-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窑干</w:t>
            </w:r>
            <w:r>
              <w:rPr>
                <w:rFonts w:hint="eastAsia" w:asciiTheme="minorEastAsia" w:hAnsiTheme="minorEastAsia" w:eastAsiaTheme="minorEastAsia" w:cstheme="minorEastAsia"/>
                <w:color w:val="000000" w:themeColor="text1"/>
                <w14:textFill>
                  <w14:solidFill>
                    <w14:schemeClr w14:val="tx1"/>
                  </w14:solidFill>
                </w14:textFill>
              </w:rPr>
              <w:t xml:space="preserve">- -出窑稳定- -二次开料- -精刨- -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200</w:t>
            </w:r>
            <w:r>
              <w:rPr>
                <w:rFonts w:hint="eastAsia" w:asciiTheme="minorEastAsia" w:hAnsiTheme="minorEastAsia" w:eastAsiaTheme="minorEastAsia" w:cstheme="minorEastAsia"/>
                <w:color w:val="000000" w:themeColor="text1"/>
                <w14:textFill>
                  <w14:solidFill>
                    <w14:schemeClr w14:val="tx1"/>
                  </w14:solidFill>
                </w14:textFill>
              </w:rPr>
              <w:t>目砂光- -开榫- -组合- -二次砂光- -细磨- -底德宝-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400</w:t>
            </w:r>
            <w:r>
              <w:rPr>
                <w:rFonts w:hint="eastAsia" w:asciiTheme="minorEastAsia" w:hAnsiTheme="minorEastAsia" w:eastAsiaTheme="minorEastAsia" w:cstheme="minorEastAsia"/>
                <w:color w:val="000000" w:themeColor="text1"/>
                <w14:textFill>
                  <w14:solidFill>
                    <w14:schemeClr w14:val="tx1"/>
                  </w14:solidFill>
                </w14:textFill>
              </w:rPr>
              <w:t>目细磨- - 木腊油底面-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600</w:t>
            </w:r>
            <w:r>
              <w:rPr>
                <w:rFonts w:hint="eastAsia" w:asciiTheme="minorEastAsia" w:hAnsiTheme="minorEastAsia" w:eastAsiaTheme="minorEastAsia" w:cstheme="minorEastAsia"/>
                <w:color w:val="000000" w:themeColor="text1"/>
                <w14:textFill>
                  <w14:solidFill>
                    <w14:schemeClr w14:val="tx1"/>
                  </w14:solidFill>
                </w14:textFill>
              </w:rPr>
              <w:t xml:space="preserve">目砂光- -二次木腊油底面- -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1000</w:t>
            </w:r>
            <w:r>
              <w:rPr>
                <w:rFonts w:hint="eastAsia" w:asciiTheme="minorEastAsia" w:hAnsiTheme="minorEastAsia" w:eastAsiaTheme="minorEastAsia" w:cstheme="minorEastAsia"/>
                <w:color w:val="000000" w:themeColor="text1"/>
                <w14:textFill>
                  <w14:solidFill>
                    <w14:schemeClr w14:val="tx1"/>
                  </w14:solidFill>
                </w14:textFill>
              </w:rPr>
              <w:t>目砂光- -木腊油面- -收汗- -晾干- -入库五金。</w:t>
            </w:r>
          </w:p>
        </w:tc>
        <w:tc>
          <w:tcPr>
            <w:tcW w:w="575"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172</w:t>
            </w:r>
          </w:p>
        </w:tc>
        <w:tc>
          <w:tcPr>
            <w:tcW w:w="612" w:type="dxa"/>
            <w:shd w:val="clear" w:color="auto" w:fill="auto"/>
            <w:noWrap/>
            <w:tcMar>
              <w:top w:w="15" w:type="dxa"/>
              <w:left w:w="15" w:type="dxa"/>
              <w:right w:w="15" w:type="dxa"/>
            </w:tcMar>
            <w:vAlign w:val="center"/>
          </w:tcPr>
          <w:p>
            <w:pPr>
              <w:widowControl/>
              <w:jc w:val="center"/>
              <w:textAlignment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lang w:bidi="ar"/>
                <w14:textFill>
                  <w14:solidFill>
                    <w14:schemeClr w14:val="tx1"/>
                  </w14:solidFill>
                </w14:textFill>
              </w:rPr>
              <w:t>组</w:t>
            </w:r>
          </w:p>
        </w:tc>
        <w:tc>
          <w:tcPr>
            <w:tcW w:w="924" w:type="dxa"/>
            <w:shd w:val="clear" w:color="auto" w:fill="auto"/>
            <w:tcMar>
              <w:top w:w="15" w:type="dxa"/>
              <w:left w:w="15" w:type="dxa"/>
              <w:right w:w="15" w:type="dxa"/>
            </w:tcMar>
            <w:vAlign w:val="center"/>
          </w:tcPr>
          <w:p>
            <w:pPr>
              <w:widowControl/>
              <w:jc w:val="center"/>
              <w:textAlignment w:val="center"/>
              <w:rPr>
                <w:rFonts w:ascii="宋体" w:hAnsi="宋体" w:cs="宋体"/>
                <w:color w:val="000000" w:themeColor="text1"/>
                <w:kern w:val="0"/>
                <w:szCs w:val="21"/>
                <w:lang w:bidi="ar"/>
                <w14:textFill>
                  <w14:solidFill>
                    <w14:schemeClr w14:val="tx1"/>
                  </w14:solidFill>
                </w14:textFill>
              </w:rPr>
            </w:pPr>
            <w:r>
              <w:rPr>
                <w:rFonts w:hint="eastAsia" w:ascii="宋体" w:hAnsi="宋体" w:eastAsia="宋体" w:cs="宋体"/>
                <w:i w:val="0"/>
                <w:color w:val="000000" w:themeColor="text1"/>
                <w:kern w:val="0"/>
                <w:sz w:val="21"/>
                <w:szCs w:val="21"/>
                <w:u w:val="none"/>
                <w:lang w:val="en-US" w:eastAsia="zh-CN" w:bidi="ar"/>
                <w14:textFill>
                  <w14:solidFill>
                    <w14:schemeClr w14:val="tx1"/>
                  </w14:solidFill>
                </w14:textFill>
              </w:rPr>
              <w:t>8950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207" w:type="dxa"/>
            <w:gridSpan w:val="2"/>
            <w:shd w:val="clear" w:color="auto" w:fill="auto"/>
            <w:tcMar>
              <w:top w:w="15" w:type="dxa"/>
              <w:left w:w="15" w:type="dxa"/>
              <w:right w:w="15" w:type="dxa"/>
            </w:tcMar>
          </w:tcPr>
          <w:p>
            <w:pPr>
              <w:pStyle w:val="67"/>
              <w:spacing w:line="320" w:lineRule="exact"/>
              <w:rPr>
                <w:rFonts w:ascii="宋体" w:hAnsi="宋体" w:cs="宋体"/>
                <w:color w:val="000000" w:themeColor="text1"/>
                <w:sz w:val="20"/>
                <w14:textFill>
                  <w14:solidFill>
                    <w14:schemeClr w14:val="tx1"/>
                  </w14:solidFill>
                </w14:textFill>
              </w:rPr>
            </w:pPr>
          </w:p>
          <w:p>
            <w:pPr>
              <w:pStyle w:val="67"/>
              <w:spacing w:line="320" w:lineRule="exact"/>
              <w:rPr>
                <w:rFonts w:ascii="宋体" w:hAnsi="宋体" w:cs="宋体"/>
                <w:color w:val="000000" w:themeColor="text1"/>
                <w:sz w:val="20"/>
                <w14:textFill>
                  <w14:solidFill>
                    <w14:schemeClr w14:val="tx1"/>
                  </w14:solidFill>
                </w14:textFill>
              </w:rPr>
            </w:pPr>
          </w:p>
          <w:p>
            <w:pPr>
              <w:pStyle w:val="67"/>
              <w:spacing w:before="139" w:line="320" w:lineRule="exact"/>
              <w:rPr>
                <w:rFonts w:ascii="宋体" w:hAnsi="宋体" w:cs="宋体"/>
                <w:color w:val="000000" w:themeColor="text1"/>
                <w14:textFill>
                  <w14:solidFill>
                    <w14:schemeClr w14:val="tx1"/>
                  </w14:solidFill>
                </w14:textFill>
              </w:rPr>
            </w:pPr>
          </w:p>
          <w:p>
            <w:pPr>
              <w:pStyle w:val="67"/>
              <w:spacing w:before="139" w:line="320" w:lineRule="exact"/>
              <w:jc w:val="center"/>
              <w:rPr>
                <w:rFonts w:ascii="宋体" w:hAnsi="宋体" w:cs="宋体"/>
                <w:b/>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w:t>
            </w:r>
            <w:r>
              <w:rPr>
                <w:rFonts w:hint="eastAsia" w:ascii="宋体" w:hAnsi="宋体" w:cs="宋体"/>
                <w:b/>
                <w:color w:val="000000" w:themeColor="text1"/>
                <w14:textFill>
                  <w14:solidFill>
                    <w14:schemeClr w14:val="tx1"/>
                  </w14:solidFill>
                </w14:textFill>
              </w:rPr>
              <w:t>技术要求</w:t>
            </w:r>
          </w:p>
        </w:tc>
        <w:tc>
          <w:tcPr>
            <w:tcW w:w="9512" w:type="dxa"/>
            <w:gridSpan w:val="4"/>
            <w:shd w:val="clear" w:color="auto" w:fill="auto"/>
            <w:tcMar>
              <w:top w:w="15" w:type="dxa"/>
              <w:left w:w="15" w:type="dxa"/>
              <w:right w:w="15" w:type="dxa"/>
            </w:tcMar>
          </w:tcPr>
          <w:p>
            <w:pPr>
              <w:pStyle w:val="67"/>
              <w:spacing w:before="66" w:line="320" w:lineRule="exact"/>
              <w:ind w:left="17" w:right="16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本项目图片、各项技术参数和规格要求如出现引用某一特定的专利技术、商标名称、设计、原产地或供应者等情况，则仅起参考作用。投标人可选用实质上“相当于”或“优于”该参考技术规格要求的产品，同时填写技术规格偏离表。</w:t>
            </w:r>
          </w:p>
          <w:p>
            <w:pPr>
              <w:pStyle w:val="67"/>
              <w:spacing w:before="70" w:line="32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2、本项目规格参数中，所有材质规格参数应符合技术要求第4项执行标准给出的偏差值。</w:t>
            </w:r>
          </w:p>
          <w:p>
            <w:pPr>
              <w:pStyle w:val="67"/>
              <w:spacing w:before="70" w:line="32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投标人所投货物必须是投标品牌的全新产品，并符合相关的国家标准和行业标准。</w:t>
            </w:r>
          </w:p>
          <w:p>
            <w:pPr>
              <w:pStyle w:val="67"/>
              <w:spacing w:before="47" w:line="400" w:lineRule="exact"/>
              <w:ind w:right="55"/>
              <w:rPr>
                <w:rFonts w:ascii="宋体" w:hAnsi="宋体" w:cs="宋体"/>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4、本项目采购产品主要执行标准：</w:t>
            </w:r>
            <w:r>
              <w:rPr>
                <w:rFonts w:hint="eastAsia" w:asciiTheme="minorEastAsia" w:hAnsiTheme="minorEastAsia" w:eastAsiaTheme="minorEastAsia" w:cstheme="minorEastAsia"/>
                <w:color w:val="000000" w:themeColor="text1"/>
                <w:kern w:val="0"/>
                <w:sz w:val="21"/>
                <w:szCs w:val="21"/>
                <w:lang w:bidi="ar"/>
                <w14:textFill>
                  <w14:solidFill>
                    <w14:schemeClr w14:val="tx1"/>
                  </w14:solidFill>
                </w14:textFill>
              </w:rPr>
              <w:t>GB/T 3325-2017《金属家具通用技术条件》</w:t>
            </w:r>
            <w:r>
              <w:rPr>
                <w:rFonts w:hint="eastAsia" w:asciiTheme="minorEastAsia" w:hAnsiTheme="minorEastAsia" w:eastAsiaTheme="minorEastAsia" w:cstheme="minorEastAsia"/>
                <w:color w:val="000000" w:themeColor="text1"/>
                <w:kern w:val="0"/>
                <w:sz w:val="21"/>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lang w:bidi="ar"/>
                <w14:textFill>
                  <w14:solidFill>
                    <w14:schemeClr w14:val="tx1"/>
                  </w14:solidFill>
                </w14:textFill>
              </w:rPr>
              <w:t>GB/T3324-2017 《木家具通用技术条件》、GB 18584-2001 《室内装饰装修材料 木家具中有害物质限量》</w:t>
            </w:r>
            <w:r>
              <w:rPr>
                <w:rFonts w:hint="eastAsia" w:asciiTheme="minorEastAsia" w:hAnsiTheme="minorEastAsia" w:eastAsiaTheme="minorEastAsia" w:cstheme="minorEastAsia"/>
                <w:color w:val="000000" w:themeColor="text1"/>
                <w:kern w:val="0"/>
                <w:sz w:val="21"/>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sz w:val="21"/>
                <w:szCs w:val="21"/>
                <w14:textFill>
                  <w14:solidFill>
                    <w14:schemeClr w14:val="tx1"/>
                  </w14:solidFill>
                </w14:textFill>
              </w:rPr>
              <w:t>GB18583-2008《室内装饰装修材料胶粘剂中有害物质限量》</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、GB/T1740-2007《漆膜耐湿热测定法》、GB/T23999-2009《室内装饰装修用水性木器涂料》</w:t>
            </w:r>
            <w:r>
              <w:rPr>
                <w:rFonts w:hint="eastAsia" w:asciiTheme="minorEastAsia" w:hAnsiTheme="minorEastAsia" w:eastAsiaTheme="minorEastAsia" w:cstheme="minorEastAsia"/>
                <w:color w:val="000000" w:themeColor="text1"/>
                <w:kern w:val="0"/>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1"/>
                <w:szCs w:val="21"/>
                <w14:textFill>
                  <w14:solidFill>
                    <w14:schemeClr w14:val="tx1"/>
                  </w14:solidFill>
                </w14:textFill>
              </w:rPr>
              <w:t>GB/T10802-2006《通用软质聚醚型聚氨酯泡沫塑料》</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1"/>
                <w:szCs w:val="21"/>
                <w14:textFill>
                  <w14:solidFill>
                    <w14:schemeClr w14:val="tx1"/>
                  </w14:solidFill>
                </w14:textFill>
              </w:rPr>
              <w:t>GB20286-2006《公共场所阻燃制品及组件燃烧性能要求和标识</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GB18401-2010</w:t>
            </w:r>
            <w:r>
              <w:rPr>
                <w:rFonts w:hint="eastAsia" w:asciiTheme="minorEastAsia" w:hAnsiTheme="minorEastAsia" w:eastAsiaTheme="minorEastAsia" w:cstheme="minorEastAsia"/>
                <w:color w:val="000000" w:themeColor="text1"/>
                <w:sz w:val="21"/>
                <w:szCs w:val="21"/>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国家纺织产品基本安全技术规范</w:t>
            </w:r>
            <w:r>
              <w:rPr>
                <w:rFonts w:hint="eastAsia" w:asciiTheme="minorEastAsia" w:hAnsiTheme="minorEastAsia" w:eastAsiaTheme="minorEastAsia" w:cstheme="minorEastAsia"/>
                <w:color w:val="000000" w:themeColor="text1"/>
                <w:sz w:val="21"/>
                <w:szCs w:val="21"/>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GB8624-2012</w:t>
            </w:r>
            <w:r>
              <w:rPr>
                <w:rFonts w:hint="eastAsia" w:asciiTheme="minorEastAsia" w:hAnsiTheme="minorEastAsia" w:eastAsiaTheme="minorEastAsia" w:cstheme="minorEastAsia"/>
                <w:color w:val="000000" w:themeColor="text1"/>
                <w:sz w:val="21"/>
                <w:szCs w:val="21"/>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建筑材料及制品燃烧性能分级</w:t>
            </w:r>
            <w:r>
              <w:rPr>
                <w:rFonts w:hint="eastAsia" w:asciiTheme="minorEastAsia" w:hAnsiTheme="minorEastAsia" w:eastAsiaTheme="minorEastAsia" w:cstheme="minorEastAsia"/>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GB 24410-2009</w:t>
            </w:r>
            <w:r>
              <w:rPr>
                <w:rFonts w:hint="eastAsia" w:asciiTheme="minorEastAsia" w:hAnsiTheme="minorEastAsia" w:eastAsiaTheme="minorEastAsia" w:cstheme="minorEastAsia"/>
                <w:color w:val="000000" w:themeColor="text1"/>
                <w:sz w:val="21"/>
                <w:szCs w:val="21"/>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 xml:space="preserve"> 室内装饰装修材料水性木器涂料中有害物质限量 》</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1"/>
                <w:szCs w:val="21"/>
                <w14:textFill>
                  <w14:solidFill>
                    <w14:schemeClr w14:val="tx1"/>
                  </w14:solidFill>
                </w14:textFill>
              </w:rPr>
              <w:t>GB/T29525-2013《座椅升降气弹簧 技术条件》、</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 xml:space="preserve">QB/T 3826-1999 </w:t>
            </w:r>
            <w:r>
              <w:rPr>
                <w:rFonts w:hint="eastAsia" w:asciiTheme="minorEastAsia" w:hAnsiTheme="minorEastAsia" w:eastAsiaTheme="minorEastAsia" w:cstheme="minorEastAsia"/>
                <w:color w:val="000000" w:themeColor="text1"/>
                <w:sz w:val="21"/>
                <w:szCs w:val="21"/>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轻工产品金属镀层和化学处理层的耐腐蚀试验方法中性盐雾试验(NSS)法企业技术条件</w:t>
            </w:r>
            <w:r>
              <w:rPr>
                <w:rFonts w:hint="eastAsia" w:asciiTheme="minorEastAsia" w:hAnsiTheme="minorEastAsia" w:eastAsiaTheme="minorEastAsia" w:cstheme="minorEastAsia"/>
                <w:color w:val="000000" w:themeColor="text1"/>
                <w:sz w:val="21"/>
                <w:szCs w:val="21"/>
                <w14:textFill>
                  <w14:solidFill>
                    <w14:schemeClr w14:val="tx1"/>
                  </w14:solidFill>
                </w14:textFill>
              </w:rPr>
              <w:t>》</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QB/T2189-2013</w:t>
            </w:r>
            <w:r>
              <w:rPr>
                <w:rFonts w:hint="eastAsia" w:asciiTheme="minorEastAsia" w:hAnsiTheme="minorEastAsia" w:eastAsiaTheme="minorEastAsia" w:cstheme="minorEastAsia"/>
                <w:color w:val="000000" w:themeColor="text1"/>
                <w:sz w:val="21"/>
                <w:szCs w:val="21"/>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家具五金杯状暗铰链</w:t>
            </w:r>
            <w:r>
              <w:rPr>
                <w:rFonts w:hint="eastAsia" w:asciiTheme="minorEastAsia" w:hAnsiTheme="minorEastAsia" w:eastAsiaTheme="minorEastAsia" w:cstheme="minorEastAsia"/>
                <w:color w:val="000000" w:themeColor="text1"/>
                <w:sz w:val="21"/>
                <w:szCs w:val="21"/>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QB/T 3826-1999</w:t>
            </w:r>
            <w:r>
              <w:rPr>
                <w:rFonts w:hint="eastAsia" w:asciiTheme="minorEastAsia" w:hAnsiTheme="minorEastAsia" w:eastAsiaTheme="minorEastAsia" w:cstheme="minorEastAsia"/>
                <w:color w:val="000000" w:themeColor="text1"/>
                <w:sz w:val="21"/>
                <w:szCs w:val="21"/>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轻工产品金属镀层和化学处理层的耐腐蚀试验方法中性盐雾试验(NSS)法</w:t>
            </w:r>
            <w:r>
              <w:rPr>
                <w:rFonts w:hint="eastAsia" w:asciiTheme="minorEastAsia" w:hAnsiTheme="minorEastAsia" w:eastAsiaTheme="minorEastAsia" w:cstheme="minorEastAsia"/>
                <w:color w:val="000000" w:themeColor="text1"/>
                <w:sz w:val="21"/>
                <w:szCs w:val="21"/>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QB/T3832-1999</w:t>
            </w:r>
            <w:r>
              <w:rPr>
                <w:rFonts w:hint="eastAsia" w:asciiTheme="minorEastAsia" w:hAnsiTheme="minorEastAsia" w:eastAsiaTheme="minorEastAsia" w:cstheme="minorEastAsia"/>
                <w:color w:val="000000" w:themeColor="text1"/>
                <w:sz w:val="21"/>
                <w:szCs w:val="21"/>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14:textFill>
                  <w14:solidFill>
                    <w14:schemeClr w14:val="tx1"/>
                  </w14:solidFill>
                </w14:textFill>
              </w:rPr>
              <w:t>轻工产品金属镀层腐蚀试验结果的评价</w:t>
            </w:r>
            <w:r>
              <w:rPr>
                <w:rFonts w:hint="eastAsia" w:asciiTheme="minorEastAsia" w:hAnsiTheme="minorEastAsia" w:eastAsiaTheme="minorEastAsia" w:cstheme="minorEastAsia"/>
                <w:color w:val="000000" w:themeColor="text1"/>
                <w:sz w:val="21"/>
                <w:szCs w:val="21"/>
                <w14:textFill>
                  <w14:solidFill>
                    <w14:schemeClr w14:val="tx1"/>
                  </w14:solidFill>
                </w14:textFill>
              </w:rPr>
              <w:t>》、GB/T28203-2011《家具用连接件技术要求及试验方法》、GB/T223.79-2007《钢铁多元素含量的测定X-射线荧光光谱法》</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GB/T 6892-2015《一般工业用铝及铝合金挤压型材》、</w:t>
            </w:r>
            <w:r>
              <w:rPr>
                <w:rFonts w:hint="eastAsia" w:asciiTheme="minorEastAsia" w:hAnsiTheme="minorEastAsia" w:eastAsiaTheme="minorEastAsia" w:cstheme="minorEastAsia"/>
                <w:color w:val="000000" w:themeColor="text1"/>
                <w:sz w:val="21"/>
                <w:szCs w:val="21"/>
                <w14:textFill>
                  <w14:solidFill>
                    <w14:schemeClr w14:val="tx1"/>
                  </w14:solidFill>
                </w14:textFill>
              </w:rPr>
              <w:t>QB/T2454-2013《家具五金抽屉导轨》</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GB/T 29894-2013</w:t>
            </w:r>
            <w:r>
              <w:rPr>
                <w:rFonts w:hint="eastAsia" w:asciiTheme="minorEastAsia" w:hAnsiTheme="minorEastAsia" w:eastAsiaTheme="minorEastAsia" w:cstheme="minorEastAsia"/>
                <w:color w:val="000000" w:themeColor="text1"/>
                <w:kern w:val="0"/>
                <w:sz w:val="21"/>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木材鉴别方法通则</w:t>
            </w:r>
            <w:r>
              <w:rPr>
                <w:rFonts w:hint="eastAsia" w:asciiTheme="minorEastAsia" w:hAnsiTheme="minorEastAsia" w:eastAsiaTheme="minorEastAsia" w:cstheme="minorEastAsia"/>
                <w:color w:val="000000" w:themeColor="text1"/>
                <w:kern w:val="0"/>
                <w:sz w:val="21"/>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GB/T16734-1997《中国主要木材名称》</w:t>
            </w:r>
            <w:r>
              <w:rPr>
                <w:rFonts w:hint="eastAsia" w:asciiTheme="minorEastAsia" w:hAnsiTheme="minorEastAsia" w:eastAsiaTheme="minorEastAsia" w:cstheme="minorEastAsia"/>
                <w:color w:val="000000" w:themeColor="text1"/>
                <w:kern w:val="0"/>
                <w:sz w:val="21"/>
                <w:szCs w:val="21"/>
                <w:lang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GB/T 1931-2009</w:t>
            </w:r>
            <w:r>
              <w:rPr>
                <w:rFonts w:hint="eastAsia" w:asciiTheme="minorEastAsia" w:hAnsiTheme="minorEastAsia" w:eastAsiaTheme="minorEastAsia" w:cstheme="minorEastAsia"/>
                <w:color w:val="000000" w:themeColor="text1"/>
                <w:kern w:val="0"/>
                <w:sz w:val="21"/>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木材含水率测定方法</w:t>
            </w:r>
            <w:r>
              <w:rPr>
                <w:rFonts w:hint="eastAsia" w:asciiTheme="minorEastAsia" w:hAnsiTheme="minorEastAsia" w:eastAsiaTheme="minorEastAsia" w:cstheme="minorEastAsia"/>
                <w:color w:val="000000" w:themeColor="text1"/>
                <w:kern w:val="0"/>
                <w:sz w:val="21"/>
                <w:szCs w:val="21"/>
                <w:lang w:bidi="ar"/>
                <w14:textFill>
                  <w14:solidFill>
                    <w14:schemeClr w14:val="tx1"/>
                  </w14:solidFill>
                </w14:textFill>
              </w:rPr>
              <w:t>》</w:t>
            </w:r>
            <w:r>
              <w:rPr>
                <w:rFonts w:hint="eastAsia" w:asciiTheme="minorEastAsia" w:hAnsiTheme="minorEastAsia" w:eastAsiaTheme="minorEastAsia" w:cstheme="minorEastAsia"/>
                <w:color w:val="000000" w:themeColor="text1"/>
                <w:kern w:val="0"/>
                <w:sz w:val="21"/>
                <w:szCs w:val="21"/>
                <w:lang w:eastAsia="zh-CN" w:bidi="ar"/>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GB/T 1933-2009《木材密度测定方法》</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GB/T 6043-2009《木材PH值测定方法》</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t>DB45/T 897-2013《樟叶（精）油，芳樟醇型》。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44" w:hRule="atLeast"/>
          <w:jc w:val="center"/>
        </w:trPr>
        <w:tc>
          <w:tcPr>
            <w:tcW w:w="1207" w:type="dxa"/>
            <w:gridSpan w:val="2"/>
            <w:shd w:val="clear" w:color="auto" w:fill="auto"/>
            <w:tcMar>
              <w:top w:w="15" w:type="dxa"/>
              <w:left w:w="15" w:type="dxa"/>
              <w:right w:w="15" w:type="dxa"/>
            </w:tcMar>
          </w:tcPr>
          <w:p>
            <w:pPr>
              <w:pStyle w:val="67"/>
              <w:spacing w:before="139" w:line="320" w:lineRule="exact"/>
              <w:jc w:val="center"/>
              <w:rPr>
                <w:rFonts w:hint="eastAsia" w:ascii="宋体" w:hAnsi="宋体" w:cs="宋体"/>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样品要求</w:t>
            </w:r>
          </w:p>
        </w:tc>
        <w:tc>
          <w:tcPr>
            <w:tcW w:w="9512" w:type="dxa"/>
            <w:gridSpan w:val="4"/>
            <w:shd w:val="clear" w:color="auto" w:fill="auto"/>
            <w:tcMar>
              <w:top w:w="15" w:type="dxa"/>
              <w:left w:w="15" w:type="dxa"/>
              <w:right w:w="15" w:type="dxa"/>
            </w:tcMar>
          </w:tcPr>
          <w:p>
            <w:pPr>
              <w:pStyle w:val="67"/>
              <w:numPr>
                <w:ilvl w:val="0"/>
                <w:numId w:val="18"/>
              </w:numPr>
              <w:spacing w:before="47" w:line="400" w:lineRule="exact"/>
              <w:ind w:right="55"/>
              <w:rPr>
                <w:rFonts w:hint="eastAsia"/>
                <w:b w:val="0"/>
                <w:bCs w:val="0"/>
                <w:color w:val="000000" w:themeColor="text1"/>
                <w:sz w:val="21"/>
                <w:szCs w:val="21"/>
                <w14:textFill>
                  <w14:solidFill>
                    <w14:schemeClr w14:val="tx1"/>
                  </w14:solidFill>
                </w14:textFill>
              </w:rPr>
            </w:pPr>
            <w:r>
              <w:rPr>
                <w:rFonts w:hint="eastAsia"/>
                <w:b w:val="0"/>
                <w:bCs w:val="0"/>
                <w:color w:val="000000" w:themeColor="text1"/>
                <w:sz w:val="21"/>
                <w:szCs w:val="21"/>
                <w14:textFill>
                  <w14:solidFill>
                    <w14:schemeClr w14:val="tx1"/>
                  </w14:solidFill>
                </w14:textFill>
              </w:rPr>
              <w:t>投标人按照本项目“样品递交要求”递交所投货物的以下</w:t>
            </w:r>
            <w:r>
              <w:rPr>
                <w:rFonts w:hint="eastAsia"/>
                <w:b w:val="0"/>
                <w:bCs w:val="0"/>
                <w:color w:val="000000" w:themeColor="text1"/>
                <w:sz w:val="21"/>
                <w:szCs w:val="21"/>
                <w:lang w:val="en-US" w:eastAsia="zh-CN"/>
                <w14:textFill>
                  <w14:solidFill>
                    <w14:schemeClr w14:val="tx1"/>
                  </w14:solidFill>
                </w14:textFill>
              </w:rPr>
              <w:t>主材</w:t>
            </w:r>
            <w:r>
              <w:rPr>
                <w:rFonts w:hint="eastAsia"/>
                <w:b w:val="0"/>
                <w:bCs w:val="0"/>
                <w:color w:val="000000" w:themeColor="text1"/>
                <w:sz w:val="21"/>
                <w:szCs w:val="21"/>
                <w14:textFill>
                  <w14:solidFill>
                    <w14:schemeClr w14:val="tx1"/>
                  </w14:solidFill>
                </w14:textFill>
              </w:rPr>
              <w:t>小样：</w:t>
            </w:r>
          </w:p>
          <w:p>
            <w:pPr>
              <w:numPr>
                <w:ilvl w:val="0"/>
                <w:numId w:val="0"/>
              </w:numPr>
              <w:rPr>
                <w:rFonts w:ascii="宋体" w:hAnsi="宋体"/>
                <w:color w:val="000000" w:themeColor="text1"/>
                <w:szCs w:val="21"/>
                <w14:textFill>
                  <w14:solidFill>
                    <w14:schemeClr w14:val="tx1"/>
                  </w14:solidFill>
                </w14:textFill>
              </w:rPr>
            </w:pPr>
            <w:r>
              <w:rPr>
                <w:rFonts w:hint="eastAsia" w:ascii="宋体" w:hAnsi="宋体" w:cs="宋体"/>
                <w:bCs/>
                <w:color w:val="000000" w:themeColor="text1"/>
                <w:szCs w:val="21"/>
                <w:lang w:eastAsia="zh-CN"/>
                <w14:textFill>
                  <w14:solidFill>
                    <w14:schemeClr w14:val="tx1"/>
                  </w14:solidFill>
                </w14:textFill>
              </w:rPr>
              <w:t>（</w:t>
            </w:r>
            <w:r>
              <w:rPr>
                <w:rFonts w:hint="eastAsia" w:ascii="宋体" w:hAnsi="宋体" w:cs="宋体"/>
                <w:bCs/>
                <w:color w:val="000000" w:themeColor="text1"/>
                <w:szCs w:val="21"/>
                <w:lang w:val="en-US" w:eastAsia="zh-CN"/>
                <w14:textFill>
                  <w14:solidFill>
                    <w14:schemeClr w14:val="tx1"/>
                  </w14:solidFill>
                </w14:textFill>
              </w:rPr>
              <w:t>1</w:t>
            </w:r>
            <w:r>
              <w:rPr>
                <w:rFonts w:hint="eastAsia" w:ascii="宋体" w:hAnsi="宋体" w:cs="宋体"/>
                <w:bCs/>
                <w:color w:val="000000" w:themeColor="text1"/>
                <w:szCs w:val="21"/>
                <w:lang w:eastAsia="zh-CN"/>
                <w14:textFill>
                  <w14:solidFill>
                    <w14:schemeClr w14:val="tx1"/>
                  </w14:solidFill>
                </w14:textFill>
              </w:rPr>
              <w:t>）</w:t>
            </w:r>
            <w:r>
              <w:rPr>
                <w:rFonts w:hint="eastAsia" w:ascii="宋体" w:hAnsi="宋体" w:cs="宋体"/>
                <w:bCs/>
                <w:color w:val="000000" w:themeColor="text1"/>
                <w:szCs w:val="21"/>
                <w14:textFill>
                  <w14:solidFill>
                    <w14:schemeClr w14:val="tx1"/>
                  </w14:solidFill>
                </w14:textFill>
              </w:rPr>
              <w:t>第15、16项</w:t>
            </w:r>
            <w:r>
              <w:rPr>
                <w:rFonts w:hint="eastAsia" w:ascii="宋体" w:hAnsi="宋体" w:eastAsia="宋体" w:cs="宋体"/>
                <w:color w:val="000000" w:themeColor="text1"/>
                <w:kern w:val="0"/>
                <w:szCs w:val="21"/>
                <w14:textFill>
                  <w14:solidFill>
                    <w14:schemeClr w14:val="tx1"/>
                  </w14:solidFill>
                </w14:textFill>
              </w:rPr>
              <w:t>修复工作台，小样递交内容：</w:t>
            </w:r>
            <w:r>
              <w:rPr>
                <w:rFonts w:hint="eastAsia" w:ascii="宋体" w:hAnsi="宋体"/>
                <w:color w:val="000000" w:themeColor="text1"/>
                <w:szCs w:val="21"/>
                <w14:textFill>
                  <w14:solidFill>
                    <w14:schemeClr w14:val="tx1"/>
                  </w14:solidFill>
                </w14:textFill>
              </w:rPr>
              <w:t>75mm×55mm×20mm×12mm</w:t>
            </w:r>
            <w:r>
              <w:rPr>
                <w:rFonts w:hint="eastAsia" w:ascii="宋体" w:hAnsi="宋体"/>
                <w:color w:val="000000" w:themeColor="text1"/>
                <w:szCs w:val="21"/>
                <w:lang w:eastAsia="zh-CN"/>
                <w14:textFill>
                  <w14:solidFill>
                    <w14:schemeClr w14:val="tx1"/>
                  </w14:solidFill>
                </w14:textFill>
              </w:rPr>
              <w:t>，</w:t>
            </w:r>
            <w:r>
              <w:rPr>
                <w:rFonts w:hint="eastAsia" w:ascii="宋体" w:hAnsi="宋体"/>
                <w:color w:val="000000" w:themeColor="text1"/>
                <w:szCs w:val="21"/>
                <w:lang w:val="en-US" w:eastAsia="zh-CN"/>
                <w14:textFill>
                  <w14:solidFill>
                    <w14:schemeClr w14:val="tx1"/>
                  </w14:solidFill>
                </w14:textFill>
              </w:rPr>
              <w:t>型材壁厚≥2.3mm</w:t>
            </w:r>
            <w:r>
              <w:rPr>
                <w:rFonts w:hint="eastAsia" w:ascii="宋体" w:hAnsi="宋体"/>
                <w:color w:val="000000" w:themeColor="text1"/>
                <w:szCs w:val="21"/>
                <w14:textFill>
                  <w14:solidFill>
                    <w14:schemeClr w14:val="tx1"/>
                  </w14:solidFill>
                </w14:textFill>
              </w:rPr>
              <w:t>多边型铝合金台脚：成型尺寸≥长300mm，1根；详见以下附图：</w:t>
            </w:r>
          </w:p>
          <w:p>
            <w:pPr>
              <w:pStyle w:val="67"/>
              <w:numPr>
                <w:ilvl w:val="0"/>
                <w:numId w:val="0"/>
              </w:numPr>
              <w:spacing w:before="47" w:line="400" w:lineRule="exact"/>
              <w:ind w:right="55" w:rightChars="0"/>
              <w:rPr>
                <w:rFonts w:hint="eastAsia"/>
                <w:b w:val="0"/>
                <w:bCs w:val="0"/>
                <w:color w:val="000000" w:themeColor="text1"/>
                <w:sz w:val="21"/>
                <w:szCs w:val="21"/>
                <w14:textFill>
                  <w14:solidFill>
                    <w14:schemeClr w14:val="tx1"/>
                  </w14:solidFill>
                </w14:textFill>
              </w:rPr>
            </w:pPr>
            <w:r>
              <w:rPr>
                <w:rFonts w:ascii="宋体" w:hAnsi="宋体" w:cs="宋体"/>
                <w:color w:val="000000" w:themeColor="text1"/>
                <w:kern w:val="0"/>
                <w:sz w:val="24"/>
                <w14:textFill>
                  <w14:solidFill>
                    <w14:schemeClr w14:val="tx1"/>
                  </w14:solidFill>
                </w14:textFill>
              </w:rPr>
              <w:drawing>
                <wp:anchor distT="0" distB="0" distL="114300" distR="114300" simplePos="0" relativeHeight="251691008" behindDoc="0" locked="0" layoutInCell="1" allowOverlap="1">
                  <wp:simplePos x="0" y="0"/>
                  <wp:positionH relativeFrom="column">
                    <wp:posOffset>2024380</wp:posOffset>
                  </wp:positionH>
                  <wp:positionV relativeFrom="paragraph">
                    <wp:posOffset>17145</wp:posOffset>
                  </wp:positionV>
                  <wp:extent cx="1448435" cy="1273810"/>
                  <wp:effectExtent l="0" t="0" r="18415" b="2540"/>
                  <wp:wrapNone/>
                  <wp:docPr id="52" name="图片 4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49" descr="IMG_256"/>
                          <pic:cNvPicPr>
                            <a:picLocks noChangeAspect="1"/>
                          </pic:cNvPicPr>
                        </pic:nvPicPr>
                        <pic:blipFill>
                          <a:blip r:embed="rId10" cstate="print"/>
                          <a:stretch>
                            <a:fillRect/>
                          </a:stretch>
                        </pic:blipFill>
                        <pic:spPr>
                          <a:xfrm>
                            <a:off x="0" y="0"/>
                            <a:ext cx="1448435" cy="1273810"/>
                          </a:xfrm>
                          <a:prstGeom prst="rect">
                            <a:avLst/>
                          </a:prstGeom>
                          <a:noFill/>
                          <a:ln w="9525">
                            <a:noFill/>
                          </a:ln>
                        </pic:spPr>
                      </pic:pic>
                    </a:graphicData>
                  </a:graphic>
                </wp:anchor>
              </w:drawing>
            </w:r>
          </w:p>
          <w:p>
            <w:pPr>
              <w:pStyle w:val="67"/>
              <w:numPr>
                <w:ilvl w:val="0"/>
                <w:numId w:val="0"/>
              </w:numPr>
              <w:spacing w:before="47" w:line="400" w:lineRule="exact"/>
              <w:ind w:right="55" w:rightChars="0"/>
              <w:rPr>
                <w:rFonts w:hint="eastAsia"/>
                <w:b w:val="0"/>
                <w:bCs w:val="0"/>
                <w:color w:val="000000" w:themeColor="text1"/>
                <w:sz w:val="21"/>
                <w:szCs w:val="21"/>
                <w14:textFill>
                  <w14:solidFill>
                    <w14:schemeClr w14:val="tx1"/>
                  </w14:solidFill>
                </w14:textFill>
              </w:rPr>
            </w:pPr>
          </w:p>
          <w:p>
            <w:pPr>
              <w:pStyle w:val="67"/>
              <w:numPr>
                <w:ilvl w:val="0"/>
                <w:numId w:val="0"/>
              </w:numPr>
              <w:spacing w:before="47" w:line="400" w:lineRule="exact"/>
              <w:ind w:right="55" w:rightChars="0"/>
              <w:rPr>
                <w:rFonts w:hint="eastAsia"/>
                <w:b w:val="0"/>
                <w:bCs w:val="0"/>
                <w:color w:val="000000" w:themeColor="text1"/>
                <w:sz w:val="21"/>
                <w:szCs w:val="21"/>
                <w14:textFill>
                  <w14:solidFill>
                    <w14:schemeClr w14:val="tx1"/>
                  </w14:solidFill>
                </w14:textFill>
              </w:rPr>
            </w:pPr>
          </w:p>
          <w:p>
            <w:pPr>
              <w:pStyle w:val="67"/>
              <w:numPr>
                <w:ilvl w:val="0"/>
                <w:numId w:val="0"/>
              </w:numPr>
              <w:spacing w:before="47" w:line="400" w:lineRule="exact"/>
              <w:ind w:right="55" w:rightChars="0"/>
              <w:rPr>
                <w:rFonts w:hint="eastAsia"/>
                <w:b w:val="0"/>
                <w:bCs w:val="0"/>
                <w:color w:val="000000" w:themeColor="text1"/>
                <w:sz w:val="21"/>
                <w:szCs w:val="21"/>
                <w14:textFill>
                  <w14:solidFill>
                    <w14:schemeClr w14:val="tx1"/>
                  </w14:solidFill>
                </w14:textFill>
              </w:rPr>
            </w:pPr>
          </w:p>
          <w:p>
            <w:pPr>
              <w:pStyle w:val="67"/>
              <w:numPr>
                <w:ilvl w:val="0"/>
                <w:numId w:val="0"/>
              </w:numPr>
              <w:spacing w:before="47" w:line="400" w:lineRule="exact"/>
              <w:ind w:right="55" w:rightChars="0"/>
              <w:rPr>
                <w:rFonts w:hint="eastAsia"/>
                <w:b w:val="0"/>
                <w:bCs w:val="0"/>
                <w:color w:val="000000" w:themeColor="text1"/>
                <w:sz w:val="21"/>
                <w:szCs w:val="21"/>
                <w14:textFill>
                  <w14:solidFill>
                    <w14:schemeClr w14:val="tx1"/>
                  </w14:solidFill>
                </w14:textFill>
              </w:rPr>
            </w:pPr>
          </w:p>
          <w:p>
            <w:pPr>
              <w:pStyle w:val="67"/>
              <w:numPr>
                <w:ilvl w:val="0"/>
                <w:numId w:val="0"/>
              </w:numPr>
              <w:spacing w:before="47" w:line="400" w:lineRule="exact"/>
              <w:ind w:right="55" w:rightChars="0"/>
              <w:rPr>
                <w:rFonts w:hint="eastAsia" w:ascii="宋体" w:hAnsi="宋体"/>
                <w:color w:val="000000" w:themeColor="text1"/>
                <w:szCs w:val="21"/>
                <w14:textFill>
                  <w14:solidFill>
                    <w14:schemeClr w14:val="tx1"/>
                  </w14:solidFill>
                </w14:textFill>
              </w:rPr>
            </w:pPr>
            <w:r>
              <w:rPr>
                <w:rFonts w:hint="eastAsia" w:ascii="宋体" w:hAnsi="宋体" w:eastAsia="宋体"/>
                <w:color w:val="000000" w:themeColor="text1"/>
                <w:szCs w:val="21"/>
                <w:lang w:eastAsia="zh-CN"/>
                <w14:textFill>
                  <w14:solidFill>
                    <w14:schemeClr w14:val="tx1"/>
                  </w14:solidFill>
                </w14:textFill>
              </w:rPr>
              <w:drawing>
                <wp:anchor distT="0" distB="0" distL="114300" distR="114300" simplePos="0" relativeHeight="251696128" behindDoc="0" locked="0" layoutInCell="1" allowOverlap="1">
                  <wp:simplePos x="0" y="0"/>
                  <wp:positionH relativeFrom="column">
                    <wp:posOffset>2365375</wp:posOffset>
                  </wp:positionH>
                  <wp:positionV relativeFrom="paragraph">
                    <wp:posOffset>394335</wp:posOffset>
                  </wp:positionV>
                  <wp:extent cx="1332865" cy="1229360"/>
                  <wp:effectExtent l="0" t="0" r="635" b="8890"/>
                  <wp:wrapNone/>
                  <wp:docPr id="16" name="图片 16" descr="108aaccc4c63e717da7c6ec350de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108aaccc4c63e717da7c6ec350de399"/>
                          <pic:cNvPicPr>
                            <a:picLocks noChangeAspect="1"/>
                          </pic:cNvPicPr>
                        </pic:nvPicPr>
                        <pic:blipFill>
                          <a:blip r:embed="rId8"/>
                          <a:stretch>
                            <a:fillRect/>
                          </a:stretch>
                        </pic:blipFill>
                        <pic:spPr>
                          <a:xfrm>
                            <a:off x="0" y="0"/>
                            <a:ext cx="1332865" cy="1229360"/>
                          </a:xfrm>
                          <a:prstGeom prst="rect">
                            <a:avLst/>
                          </a:prstGeom>
                        </pic:spPr>
                      </pic:pic>
                    </a:graphicData>
                  </a:graphic>
                </wp:anchor>
              </w:drawing>
            </w:r>
            <w:r>
              <w:rPr>
                <w:rFonts w:hint="eastAsia" w:ascii="宋体" w:hAnsi="宋体" w:cs="宋体"/>
                <w:bCs/>
                <w:color w:val="000000" w:themeColor="text1"/>
                <w:szCs w:val="21"/>
                <w:lang w:eastAsia="zh-CN"/>
                <w14:textFill>
                  <w14:solidFill>
                    <w14:schemeClr w14:val="tx1"/>
                  </w14:solidFill>
                </w14:textFill>
              </w:rPr>
              <w:t>（</w:t>
            </w:r>
            <w:r>
              <w:rPr>
                <w:rFonts w:hint="eastAsia" w:ascii="宋体" w:hAnsi="宋体" w:cs="宋体"/>
                <w:bCs/>
                <w:color w:val="000000" w:themeColor="text1"/>
                <w:szCs w:val="21"/>
                <w:lang w:val="en-US" w:eastAsia="zh-CN"/>
                <w14:textFill>
                  <w14:solidFill>
                    <w14:schemeClr w14:val="tx1"/>
                  </w14:solidFill>
                </w14:textFill>
              </w:rPr>
              <w:t>2</w:t>
            </w:r>
            <w:r>
              <w:rPr>
                <w:rFonts w:hint="eastAsia" w:ascii="宋体" w:hAnsi="宋体" w:cs="宋体"/>
                <w:bCs/>
                <w:color w:val="000000" w:themeColor="text1"/>
                <w:szCs w:val="21"/>
                <w:lang w:eastAsia="zh-CN"/>
                <w14:textFill>
                  <w14:solidFill>
                    <w14:schemeClr w14:val="tx1"/>
                  </w14:solidFill>
                </w14:textFill>
              </w:rPr>
              <w:t>）</w:t>
            </w:r>
            <w:r>
              <w:rPr>
                <w:rFonts w:hint="eastAsia" w:ascii="宋体" w:hAnsi="宋体" w:cs="宋体"/>
                <w:bCs/>
                <w:color w:val="000000" w:themeColor="text1"/>
                <w:szCs w:val="21"/>
                <w14:textFill>
                  <w14:solidFill>
                    <w14:schemeClr w14:val="tx1"/>
                  </w14:solidFill>
                </w14:textFill>
              </w:rPr>
              <w:t>第19项</w:t>
            </w:r>
            <w:r>
              <w:rPr>
                <w:rFonts w:hint="eastAsia" w:ascii="宋体" w:hAnsi="宋体" w:eastAsia="宋体" w:cs="宋体"/>
                <w:color w:val="000000" w:themeColor="text1"/>
                <w:kern w:val="0"/>
                <w:szCs w:val="21"/>
                <w14:textFill>
                  <w14:solidFill>
                    <w14:schemeClr w14:val="tx1"/>
                  </w14:solidFill>
                </w14:textFill>
              </w:rPr>
              <w:t>实木置物架，小样递交内容：</w:t>
            </w:r>
            <w:r>
              <w:rPr>
                <w:rFonts w:hint="eastAsia" w:ascii="宋体" w:hAnsi="宋体"/>
                <w:color w:val="000000" w:themeColor="text1"/>
                <w:szCs w:val="21"/>
                <w14:textFill>
                  <w14:solidFill>
                    <w14:schemeClr w14:val="tx1"/>
                  </w14:solidFill>
                </w14:textFill>
              </w:rPr>
              <w:t>无缝工型钢管：成型尺寸≥长300mm工形管39</w:t>
            </w:r>
            <w:r>
              <w:rPr>
                <w:rFonts w:hint="eastAsia" w:ascii="宋体" w:hAnsi="宋体"/>
                <w:color w:val="000000" w:themeColor="text1"/>
                <w:szCs w:val="21"/>
                <w:lang w:val="en-US" w:eastAsia="zh-CN"/>
                <w14:textFill>
                  <w14:solidFill>
                    <w14:schemeClr w14:val="tx1"/>
                  </w14:solidFill>
                </w14:textFill>
              </w:rPr>
              <w:t>mm×</w:t>
            </w:r>
            <w:r>
              <w:rPr>
                <w:rFonts w:hint="eastAsia" w:ascii="宋体" w:hAnsi="宋体"/>
                <w:color w:val="000000" w:themeColor="text1"/>
                <w:szCs w:val="21"/>
                <w14:textFill>
                  <w14:solidFill>
                    <w14:schemeClr w14:val="tx1"/>
                  </w14:solidFill>
                </w14:textFill>
              </w:rPr>
              <w:t>56mm</w:t>
            </w:r>
            <w:r>
              <w:rPr>
                <w:rFonts w:hint="eastAsia" w:ascii="宋体" w:hAnsi="宋体"/>
                <w:color w:val="000000" w:themeColor="text1"/>
                <w:szCs w:val="21"/>
                <w:lang w:eastAsia="zh-CN"/>
                <w14:textFill>
                  <w14:solidFill>
                    <w14:schemeClr w14:val="tx1"/>
                  </w14:solidFill>
                </w14:textFill>
              </w:rPr>
              <w:t>，</w:t>
            </w:r>
            <w:r>
              <w:rPr>
                <w:rFonts w:hint="eastAsia" w:ascii="宋体" w:hAnsi="宋体"/>
                <w:color w:val="000000" w:themeColor="text1"/>
                <w:szCs w:val="21"/>
                <w:lang w:val="en-US" w:eastAsia="zh-CN"/>
                <w14:textFill>
                  <w14:solidFill>
                    <w14:schemeClr w14:val="tx1"/>
                  </w14:solidFill>
                </w14:textFill>
              </w:rPr>
              <w:t>钢板</w:t>
            </w:r>
            <w:r>
              <w:rPr>
                <w:rFonts w:hint="eastAsia" w:ascii="宋体" w:hAnsi="宋体"/>
                <w:color w:val="000000" w:themeColor="text1"/>
                <w:szCs w:val="21"/>
                <w14:textFill>
                  <w14:solidFill>
                    <w14:schemeClr w14:val="tx1"/>
                  </w14:solidFill>
                </w14:textFill>
              </w:rPr>
              <w:t>厚度</w:t>
            </w:r>
            <w:r>
              <w:rPr>
                <w:rFonts w:hint="eastAsia" w:ascii="宋体" w:hAnsi="宋体"/>
                <w:color w:val="000000" w:themeColor="text1"/>
                <w:szCs w:val="21"/>
                <w:lang w:val="en-US" w:eastAsia="zh-CN"/>
                <w14:textFill>
                  <w14:solidFill>
                    <w14:schemeClr w14:val="tx1"/>
                  </w14:solidFill>
                </w14:textFill>
              </w:rPr>
              <w:t>≥</w:t>
            </w:r>
            <w:r>
              <w:rPr>
                <w:rFonts w:hint="eastAsia" w:ascii="宋体" w:hAnsi="宋体"/>
                <w:color w:val="000000" w:themeColor="text1"/>
                <w:szCs w:val="21"/>
                <w14:textFill>
                  <w14:solidFill>
                    <w14:schemeClr w14:val="tx1"/>
                  </w14:solidFill>
                </w14:textFill>
              </w:rPr>
              <w:t>1.2mm，1根；详见以下附图：</w:t>
            </w:r>
          </w:p>
          <w:p>
            <w:pPr>
              <w:pStyle w:val="67"/>
              <w:numPr>
                <w:ilvl w:val="0"/>
                <w:numId w:val="0"/>
              </w:numPr>
              <w:spacing w:before="47" w:line="400" w:lineRule="exact"/>
              <w:ind w:right="55" w:rightChars="0"/>
              <w:rPr>
                <w:rFonts w:hint="eastAsia" w:ascii="宋体" w:hAnsi="宋体"/>
                <w:color w:val="000000" w:themeColor="text1"/>
                <w:szCs w:val="21"/>
                <w14:textFill>
                  <w14:solidFill>
                    <w14:schemeClr w14:val="tx1"/>
                  </w14:solidFill>
                </w14:textFill>
              </w:rPr>
            </w:pPr>
          </w:p>
          <w:p>
            <w:pPr>
              <w:pStyle w:val="67"/>
              <w:numPr>
                <w:ilvl w:val="0"/>
                <w:numId w:val="0"/>
              </w:numPr>
              <w:spacing w:before="47" w:line="400" w:lineRule="exact"/>
              <w:ind w:right="55" w:rightChars="0"/>
              <w:rPr>
                <w:rFonts w:hint="eastAsia" w:ascii="宋体" w:hAnsi="宋体"/>
                <w:color w:val="000000" w:themeColor="text1"/>
                <w:szCs w:val="21"/>
                <w14:textFill>
                  <w14:solidFill>
                    <w14:schemeClr w14:val="tx1"/>
                  </w14:solidFill>
                </w14:textFill>
              </w:rPr>
            </w:pPr>
          </w:p>
          <w:p>
            <w:pPr>
              <w:pStyle w:val="67"/>
              <w:numPr>
                <w:ilvl w:val="0"/>
                <w:numId w:val="0"/>
              </w:numPr>
              <w:spacing w:before="47" w:line="400" w:lineRule="exact"/>
              <w:ind w:right="55" w:rightChars="0"/>
              <w:rPr>
                <w:rFonts w:hint="eastAsia" w:ascii="宋体" w:hAnsi="宋体"/>
                <w:color w:val="000000" w:themeColor="text1"/>
                <w:szCs w:val="21"/>
                <w14:textFill>
                  <w14:solidFill>
                    <w14:schemeClr w14:val="tx1"/>
                  </w14:solidFill>
                </w14:textFill>
              </w:rPr>
            </w:pPr>
          </w:p>
          <w:p>
            <w:pPr>
              <w:pStyle w:val="67"/>
              <w:numPr>
                <w:ilvl w:val="0"/>
                <w:numId w:val="0"/>
              </w:numPr>
              <w:spacing w:before="47" w:line="400" w:lineRule="exact"/>
              <w:ind w:right="55" w:rightChars="0"/>
              <w:rPr>
                <w:rFonts w:hint="eastAsia" w:ascii="宋体" w:hAnsi="宋体"/>
                <w:color w:val="000000" w:themeColor="text1"/>
                <w:szCs w:val="21"/>
                <w14:textFill>
                  <w14:solidFill>
                    <w14:schemeClr w14:val="tx1"/>
                  </w14:solidFill>
                </w14:textFill>
              </w:rPr>
            </w:pPr>
          </w:p>
          <w:p>
            <w:pPr>
              <w:pStyle w:val="67"/>
              <w:numPr>
                <w:ilvl w:val="0"/>
                <w:numId w:val="0"/>
              </w:numPr>
              <w:spacing w:before="47" w:line="400" w:lineRule="exact"/>
              <w:ind w:right="55" w:rightChars="0"/>
              <w:rPr>
                <w:rFonts w:hint="eastAsia" w:ascii="宋体" w:hAnsi="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第32项古籍书柜小样递交内容：①门板（含外框）一块，规格要求：200mm×200mm×门框厚度30mm；嵌板厚度≥15mm②连条方带棕角一块，规格要求：200mm×45mm×35mm(带棕角)；③牙板一块、规格要求：150mm×78mm×20mm；④侧板一块，规格要求：200mm×150mm×15mm；⑤主立柱方带棕角一块，规格要求：400mm×45mm×35mm；⑥层板一块，规格要求：200mm×200mm×25mm(含外框)；⑦顶端方带棕角一块，规格要求：200mm×45mm×35mm；⑧连条方带棕角一块，规格要求：200mm×45mm×35mm(带飘尖榫)；⑨顶板一块，规格要求：200mm×200mm×15mm(含入榫)。除层板、门板外的古籍书柜小样组装成下图（附图1）样式提交，小样可拆装：</w:t>
            </w:r>
          </w:p>
          <w:p>
            <w:pPr>
              <w:pStyle w:val="67"/>
              <w:numPr>
                <w:ilvl w:val="0"/>
                <w:numId w:val="0"/>
              </w:numPr>
              <w:spacing w:before="47" w:line="400" w:lineRule="exact"/>
              <w:ind w:right="55" w:rightChars="0"/>
              <w:rPr>
                <w:rFonts w:hint="eastAsia" w:ascii="宋体" w:hAnsi="宋体"/>
                <w:color w:val="000000" w:themeColor="text1"/>
                <w:szCs w:val="21"/>
                <w:lang w:val="en-US" w:eastAsia="zh-CN"/>
                <w14:textFill>
                  <w14:solidFill>
                    <w14:schemeClr w14:val="tx1"/>
                  </w14:solidFill>
                </w14:textFill>
              </w:rPr>
            </w:pPr>
            <w:r>
              <w:rPr>
                <w:color w:val="000000" w:themeColor="text1"/>
                <w14:textFill>
                  <w14:solidFill>
                    <w14:schemeClr w14:val="tx1"/>
                  </w14:solidFill>
                </w14:textFill>
              </w:rPr>
              <w:drawing>
                <wp:anchor distT="0" distB="0" distL="114300" distR="114300" simplePos="0" relativeHeight="251697152" behindDoc="0" locked="0" layoutInCell="1" allowOverlap="1">
                  <wp:simplePos x="0" y="0"/>
                  <wp:positionH relativeFrom="column">
                    <wp:posOffset>88265</wp:posOffset>
                  </wp:positionH>
                  <wp:positionV relativeFrom="paragraph">
                    <wp:posOffset>104775</wp:posOffset>
                  </wp:positionV>
                  <wp:extent cx="5591810" cy="2945765"/>
                  <wp:effectExtent l="0" t="0" r="8890" b="6985"/>
                  <wp:wrapNone/>
                  <wp:docPr id="1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
                          <pic:cNvPicPr>
                            <a:picLocks noChangeAspect="1"/>
                          </pic:cNvPicPr>
                        </pic:nvPicPr>
                        <pic:blipFill>
                          <a:blip r:embed="rId11"/>
                          <a:stretch>
                            <a:fillRect/>
                          </a:stretch>
                        </pic:blipFill>
                        <pic:spPr>
                          <a:xfrm>
                            <a:off x="0" y="0"/>
                            <a:ext cx="5591810" cy="2945765"/>
                          </a:xfrm>
                          <a:prstGeom prst="rect">
                            <a:avLst/>
                          </a:prstGeom>
                          <a:noFill/>
                          <a:ln>
                            <a:noFill/>
                          </a:ln>
                        </pic:spPr>
                      </pic:pic>
                    </a:graphicData>
                  </a:graphic>
                </wp:anchor>
              </w:drawing>
            </w:r>
          </w:p>
          <w:p>
            <w:pPr>
              <w:pStyle w:val="67"/>
              <w:numPr>
                <w:ilvl w:val="0"/>
                <w:numId w:val="0"/>
              </w:numPr>
              <w:spacing w:before="47" w:line="400" w:lineRule="exact"/>
              <w:ind w:right="55" w:rightChars="0"/>
              <w:rPr>
                <w:rFonts w:hint="eastAsia" w:ascii="宋体" w:hAnsi="宋体"/>
                <w:color w:val="000000" w:themeColor="text1"/>
                <w:szCs w:val="21"/>
                <w:lang w:val="en-US" w:eastAsia="zh-CN"/>
                <w14:textFill>
                  <w14:solidFill>
                    <w14:schemeClr w14:val="tx1"/>
                  </w14:solidFill>
                </w14:textFill>
              </w:rPr>
            </w:pPr>
          </w:p>
          <w:p>
            <w:pPr>
              <w:pStyle w:val="67"/>
              <w:numPr>
                <w:ilvl w:val="0"/>
                <w:numId w:val="0"/>
              </w:numPr>
              <w:spacing w:before="47" w:line="400" w:lineRule="exact"/>
              <w:ind w:right="55" w:rightChars="0"/>
              <w:rPr>
                <w:rFonts w:hint="eastAsia" w:ascii="宋体" w:hAnsi="宋体"/>
                <w:color w:val="000000" w:themeColor="text1"/>
                <w:szCs w:val="21"/>
                <w:lang w:val="en-US" w:eastAsia="zh-CN"/>
                <w14:textFill>
                  <w14:solidFill>
                    <w14:schemeClr w14:val="tx1"/>
                  </w14:solidFill>
                </w14:textFill>
              </w:rPr>
            </w:pPr>
          </w:p>
          <w:p>
            <w:pPr>
              <w:pStyle w:val="67"/>
              <w:numPr>
                <w:ilvl w:val="0"/>
                <w:numId w:val="0"/>
              </w:numPr>
              <w:spacing w:before="47" w:line="400" w:lineRule="exact"/>
              <w:ind w:right="55" w:rightChars="0"/>
              <w:rPr>
                <w:rFonts w:hint="eastAsia" w:ascii="宋体" w:hAnsi="宋体"/>
                <w:color w:val="000000" w:themeColor="text1"/>
                <w:szCs w:val="21"/>
                <w:lang w:val="en-US" w:eastAsia="zh-CN"/>
                <w14:textFill>
                  <w14:solidFill>
                    <w14:schemeClr w14:val="tx1"/>
                  </w14:solidFill>
                </w14:textFill>
              </w:rPr>
            </w:pPr>
          </w:p>
          <w:p>
            <w:pPr>
              <w:pStyle w:val="67"/>
              <w:numPr>
                <w:ilvl w:val="0"/>
                <w:numId w:val="0"/>
              </w:numPr>
              <w:spacing w:before="47" w:line="400" w:lineRule="exact"/>
              <w:ind w:right="55" w:rightChars="0"/>
              <w:rPr>
                <w:rFonts w:hint="eastAsia" w:ascii="宋体" w:hAnsi="宋体"/>
                <w:color w:val="000000" w:themeColor="text1"/>
                <w:szCs w:val="21"/>
                <w:lang w:val="en-US" w:eastAsia="zh-CN"/>
                <w14:textFill>
                  <w14:solidFill>
                    <w14:schemeClr w14:val="tx1"/>
                  </w14:solidFill>
                </w14:textFill>
              </w:rPr>
            </w:pPr>
          </w:p>
          <w:p>
            <w:pPr>
              <w:pStyle w:val="67"/>
              <w:numPr>
                <w:ilvl w:val="0"/>
                <w:numId w:val="0"/>
              </w:numPr>
              <w:spacing w:before="47" w:line="400" w:lineRule="exact"/>
              <w:ind w:right="55" w:rightChars="0"/>
              <w:rPr>
                <w:rFonts w:hint="eastAsia" w:ascii="宋体" w:hAnsi="宋体"/>
                <w:color w:val="000000" w:themeColor="text1"/>
                <w:szCs w:val="21"/>
                <w:lang w:val="en-US" w:eastAsia="zh-CN"/>
                <w14:textFill>
                  <w14:solidFill>
                    <w14:schemeClr w14:val="tx1"/>
                  </w14:solidFill>
                </w14:textFill>
              </w:rPr>
            </w:pPr>
          </w:p>
          <w:p>
            <w:pPr>
              <w:pStyle w:val="12"/>
              <w:spacing w:line="440" w:lineRule="exact"/>
              <w:rPr>
                <w:rFonts w:hint="eastAsia" w:ascii="宋体" w:hAnsi="宋体" w:cs="宋体"/>
                <w:color w:val="000000" w:themeColor="text1"/>
                <w:sz w:val="21"/>
                <w:szCs w:val="21"/>
                <w:highlight w:val="none"/>
                <w14:textFill>
                  <w14:solidFill>
                    <w14:schemeClr w14:val="tx1"/>
                  </w14:solidFill>
                </w14:textFill>
              </w:rPr>
            </w:pPr>
          </w:p>
          <w:p>
            <w:pPr>
              <w:pStyle w:val="12"/>
              <w:spacing w:line="440" w:lineRule="exact"/>
              <w:rPr>
                <w:rFonts w:hint="eastAsia" w:ascii="宋体" w:hAnsi="宋体" w:cs="宋体"/>
                <w:color w:val="000000" w:themeColor="text1"/>
                <w:sz w:val="21"/>
                <w:szCs w:val="21"/>
                <w:highlight w:val="none"/>
                <w14:textFill>
                  <w14:solidFill>
                    <w14:schemeClr w14:val="tx1"/>
                  </w14:solidFill>
                </w14:textFill>
              </w:rPr>
            </w:pPr>
          </w:p>
          <w:p>
            <w:pPr>
              <w:pStyle w:val="12"/>
              <w:spacing w:line="440" w:lineRule="exact"/>
              <w:rPr>
                <w:rFonts w:hint="eastAsia" w:ascii="宋体" w:hAnsi="宋体" w:cs="宋体"/>
                <w:color w:val="000000" w:themeColor="text1"/>
                <w:sz w:val="21"/>
                <w:szCs w:val="21"/>
                <w:highlight w:val="none"/>
                <w14:textFill>
                  <w14:solidFill>
                    <w14:schemeClr w14:val="tx1"/>
                  </w14:solidFill>
                </w14:textFill>
              </w:rPr>
            </w:pPr>
          </w:p>
          <w:p>
            <w:pPr>
              <w:pStyle w:val="12"/>
              <w:spacing w:line="440" w:lineRule="exact"/>
              <w:rPr>
                <w:rFonts w:hint="eastAsia" w:ascii="宋体" w:hAnsi="宋体" w:cs="宋体"/>
                <w:color w:val="000000" w:themeColor="text1"/>
                <w:sz w:val="21"/>
                <w:szCs w:val="21"/>
                <w:highlight w:val="none"/>
                <w14:textFill>
                  <w14:solidFill>
                    <w14:schemeClr w14:val="tx1"/>
                  </w14:solidFill>
                </w14:textFill>
              </w:rPr>
            </w:pPr>
          </w:p>
          <w:p>
            <w:pPr>
              <w:pStyle w:val="12"/>
              <w:spacing w:line="440" w:lineRule="exact"/>
              <w:rPr>
                <w:rFonts w:hint="eastAsia" w:ascii="宋体" w:hAnsi="宋体" w:cs="宋体"/>
                <w:color w:val="000000" w:themeColor="text1"/>
                <w:sz w:val="21"/>
                <w:szCs w:val="21"/>
                <w:highlight w:val="none"/>
                <w14:textFill>
                  <w14:solidFill>
                    <w14:schemeClr w14:val="tx1"/>
                  </w14:solidFill>
                </w14:textFill>
              </w:rPr>
            </w:pPr>
          </w:p>
          <w:p>
            <w:pPr>
              <w:pStyle w:val="12"/>
              <w:spacing w:line="440" w:lineRule="exact"/>
              <w:rPr>
                <w:rFonts w:hint="eastAsia" w:ascii="宋体" w:hAnsi="宋体" w:cs="宋体"/>
                <w:color w:val="000000" w:themeColor="text1"/>
                <w:sz w:val="21"/>
                <w:szCs w:val="21"/>
                <w:highlight w:val="none"/>
                <w14:textFill>
                  <w14:solidFill>
                    <w14:schemeClr w14:val="tx1"/>
                  </w14:solidFill>
                </w14:textFill>
              </w:rPr>
            </w:pPr>
          </w:p>
          <w:p>
            <w:pPr>
              <w:pStyle w:val="12"/>
              <w:spacing w:line="440" w:lineRule="exact"/>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 xml:space="preserve">2.样品递交要求： </w:t>
            </w:r>
          </w:p>
          <w:p>
            <w:pPr>
              <w:pStyle w:val="12"/>
              <w:spacing w:line="440" w:lineRule="exact"/>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（1）样品递交时间：</w:t>
            </w:r>
            <w:r>
              <w:rPr>
                <w:rFonts w:hint="eastAsia" w:ascii="宋体" w:hAnsi="宋体" w:cs="宋体"/>
                <w:color w:val="000000" w:themeColor="text1"/>
                <w:sz w:val="21"/>
                <w:szCs w:val="21"/>
                <w:highlight w:val="none"/>
                <w14:textFill>
                  <w14:solidFill>
                    <w14:schemeClr w14:val="tx1"/>
                  </w14:solidFill>
                </w14:textFill>
              </w:rPr>
              <w:t xml:space="preserve">2020 年 </w:t>
            </w:r>
            <w:r>
              <w:rPr>
                <w:rFonts w:hint="eastAsia" w:ascii="宋体" w:hAnsi="宋体" w:cs="宋体"/>
                <w:color w:val="000000" w:themeColor="text1"/>
                <w:sz w:val="21"/>
                <w:szCs w:val="21"/>
                <w:highlight w:val="none"/>
                <w:lang w:val="en-US" w:eastAsia="zh-CN"/>
                <w14:textFill>
                  <w14:solidFill>
                    <w14:schemeClr w14:val="tx1"/>
                  </w14:solidFill>
                </w14:textFill>
              </w:rPr>
              <w:t>9</w:t>
            </w:r>
            <w:r>
              <w:rPr>
                <w:rFonts w:hint="eastAsia" w:ascii="宋体" w:hAnsi="宋体" w:cs="宋体"/>
                <w:color w:val="000000" w:themeColor="text1"/>
                <w:sz w:val="21"/>
                <w:szCs w:val="21"/>
                <w:highlight w:val="none"/>
                <w14:textFill>
                  <w14:solidFill>
                    <w14:schemeClr w14:val="tx1"/>
                  </w14:solidFill>
                </w14:textFill>
              </w:rPr>
              <w:t xml:space="preserve"> 月 </w:t>
            </w:r>
            <w:r>
              <w:rPr>
                <w:rFonts w:hint="eastAsia" w:ascii="宋体" w:hAnsi="宋体" w:cs="宋体"/>
                <w:color w:val="000000" w:themeColor="text1"/>
                <w:sz w:val="21"/>
                <w:szCs w:val="21"/>
                <w:highlight w:val="none"/>
                <w:lang w:val="en-US" w:eastAsia="zh-CN"/>
                <w14:textFill>
                  <w14:solidFill>
                    <w14:schemeClr w14:val="tx1"/>
                  </w14:solidFill>
                </w14:textFill>
              </w:rPr>
              <w:t>30</w:t>
            </w:r>
            <w:r>
              <w:rPr>
                <w:rFonts w:hint="eastAsia" w:ascii="宋体" w:hAnsi="宋体" w:cs="宋体"/>
                <w:color w:val="000000" w:themeColor="text1"/>
                <w:sz w:val="21"/>
                <w:szCs w:val="21"/>
                <w:highlight w:val="none"/>
                <w14:textFill>
                  <w14:solidFill>
                    <w14:schemeClr w14:val="tx1"/>
                  </w14:solidFill>
                </w14:textFill>
              </w:rPr>
              <w:t xml:space="preserve"> 日上午</w:t>
            </w:r>
            <w:r>
              <w:rPr>
                <w:rFonts w:hint="eastAsia" w:ascii="宋体" w:hAnsi="宋体" w:cs="宋体"/>
                <w:color w:val="000000" w:themeColor="text1"/>
                <w:sz w:val="21"/>
                <w:szCs w:val="21"/>
                <w:highlight w:val="none"/>
                <w:lang w:val="en-US" w:eastAsia="zh-CN"/>
                <w14:textFill>
                  <w14:solidFill>
                    <w14:schemeClr w14:val="tx1"/>
                  </w14:solidFill>
                </w14:textFill>
              </w:rPr>
              <w:t>9</w:t>
            </w:r>
            <w:r>
              <w:rPr>
                <w:rFonts w:hint="eastAsia" w:ascii="宋体" w:hAnsi="宋体" w:cs="宋体"/>
                <w:color w:val="000000" w:themeColor="text1"/>
                <w:sz w:val="21"/>
                <w:szCs w:val="21"/>
                <w:highlight w:val="none"/>
                <w14:textFill>
                  <w14:solidFill>
                    <w14:schemeClr w14:val="tx1"/>
                  </w14:solidFill>
                </w14:textFill>
              </w:rPr>
              <w:t>时</w:t>
            </w:r>
            <w:r>
              <w:rPr>
                <w:rFonts w:hint="eastAsia" w:ascii="宋体" w:hAnsi="宋体" w:cs="宋体"/>
                <w:color w:val="000000" w:themeColor="text1"/>
                <w:sz w:val="21"/>
                <w:szCs w:val="21"/>
                <w:highlight w:val="none"/>
                <w:lang w:val="en-US" w:eastAsia="zh-CN"/>
                <w14:textFill>
                  <w14:solidFill>
                    <w14:schemeClr w14:val="tx1"/>
                  </w14:solidFill>
                </w14:textFill>
              </w:rPr>
              <w:t>00</w:t>
            </w:r>
            <w:r>
              <w:rPr>
                <w:rFonts w:hint="eastAsia" w:ascii="宋体" w:hAnsi="宋体" w:cs="宋体"/>
                <w:color w:val="000000" w:themeColor="text1"/>
                <w:sz w:val="21"/>
                <w:szCs w:val="21"/>
                <w:highlight w:val="none"/>
                <w14:textFill>
                  <w14:solidFill>
                    <w14:schemeClr w14:val="tx1"/>
                  </w14:solidFill>
                </w14:textFill>
              </w:rPr>
              <w:t xml:space="preserve">分至2020 年 </w:t>
            </w:r>
            <w:r>
              <w:rPr>
                <w:rFonts w:hint="eastAsia" w:ascii="宋体" w:hAnsi="宋体" w:cs="宋体"/>
                <w:color w:val="000000" w:themeColor="text1"/>
                <w:sz w:val="21"/>
                <w:szCs w:val="21"/>
                <w:highlight w:val="none"/>
                <w:lang w:val="en-US" w:eastAsia="zh-CN"/>
                <w14:textFill>
                  <w14:solidFill>
                    <w14:schemeClr w14:val="tx1"/>
                  </w14:solidFill>
                </w14:textFill>
              </w:rPr>
              <w:t>9</w:t>
            </w:r>
            <w:r>
              <w:rPr>
                <w:rFonts w:hint="eastAsia" w:ascii="宋体" w:hAnsi="宋体" w:cs="宋体"/>
                <w:color w:val="000000" w:themeColor="text1"/>
                <w:sz w:val="21"/>
                <w:szCs w:val="21"/>
                <w:highlight w:val="none"/>
                <w14:textFill>
                  <w14:solidFill>
                    <w14:schemeClr w14:val="tx1"/>
                  </w14:solidFill>
                </w14:textFill>
              </w:rPr>
              <w:t xml:space="preserve"> 月 </w:t>
            </w:r>
            <w:r>
              <w:rPr>
                <w:rFonts w:hint="eastAsia" w:ascii="宋体" w:hAnsi="宋体" w:cs="宋体"/>
                <w:color w:val="000000" w:themeColor="text1"/>
                <w:sz w:val="21"/>
                <w:szCs w:val="21"/>
                <w:highlight w:val="none"/>
                <w:lang w:val="en-US" w:eastAsia="zh-CN"/>
                <w14:textFill>
                  <w14:solidFill>
                    <w14:schemeClr w14:val="tx1"/>
                  </w14:solidFill>
                </w14:textFill>
              </w:rPr>
              <w:t>30</w:t>
            </w:r>
            <w:r>
              <w:rPr>
                <w:rFonts w:hint="eastAsia" w:ascii="宋体" w:hAnsi="宋体" w:cs="宋体"/>
                <w:color w:val="000000" w:themeColor="text1"/>
                <w:sz w:val="21"/>
                <w:szCs w:val="21"/>
                <w:highlight w:val="none"/>
                <w14:textFill>
                  <w14:solidFill>
                    <w14:schemeClr w14:val="tx1"/>
                  </w14:solidFill>
                </w14:textFill>
              </w:rPr>
              <w:t xml:space="preserve"> 日上午</w:t>
            </w:r>
            <w:r>
              <w:rPr>
                <w:rFonts w:hint="eastAsia" w:ascii="宋体" w:hAnsi="宋体" w:cs="宋体"/>
                <w:color w:val="000000" w:themeColor="text1"/>
                <w:sz w:val="21"/>
                <w:szCs w:val="21"/>
                <w:highlight w:val="none"/>
                <w:lang w:val="en-US" w:eastAsia="zh-CN"/>
                <w14:textFill>
                  <w14:solidFill>
                    <w14:schemeClr w14:val="tx1"/>
                  </w14:solidFill>
                </w14:textFill>
              </w:rPr>
              <w:t>9</w:t>
            </w:r>
            <w:r>
              <w:rPr>
                <w:rFonts w:hint="eastAsia" w:ascii="宋体" w:hAnsi="宋体" w:cs="宋体"/>
                <w:color w:val="000000" w:themeColor="text1"/>
                <w:sz w:val="21"/>
                <w:szCs w:val="21"/>
                <w:highlight w:val="none"/>
                <w14:textFill>
                  <w14:solidFill>
                    <w14:schemeClr w14:val="tx1"/>
                  </w14:solidFill>
                </w14:textFill>
              </w:rPr>
              <w:t>时</w:t>
            </w:r>
            <w:r>
              <w:rPr>
                <w:rFonts w:hint="eastAsia" w:ascii="宋体" w:hAnsi="宋体" w:cs="宋体"/>
                <w:color w:val="000000" w:themeColor="text1"/>
                <w:sz w:val="21"/>
                <w:szCs w:val="21"/>
                <w:highlight w:val="none"/>
                <w:lang w:val="en-US" w:eastAsia="zh-CN"/>
                <w14:textFill>
                  <w14:solidFill>
                    <w14:schemeClr w14:val="tx1"/>
                  </w14:solidFill>
                </w14:textFill>
              </w:rPr>
              <w:t>30</w:t>
            </w:r>
            <w:r>
              <w:rPr>
                <w:rFonts w:hint="eastAsia" w:ascii="宋体" w:hAnsi="宋体" w:cs="宋体"/>
                <w:color w:val="000000" w:themeColor="text1"/>
                <w:sz w:val="21"/>
                <w:szCs w:val="21"/>
                <w:highlight w:val="none"/>
                <w14:textFill>
                  <w14:solidFill>
                    <w14:schemeClr w14:val="tx1"/>
                  </w14:solidFill>
                </w14:textFill>
              </w:rPr>
              <w:t>分</w:t>
            </w:r>
            <w:r>
              <w:rPr>
                <w:rFonts w:hint="eastAsia" w:ascii="宋体" w:hAnsi="宋体" w:cs="宋体"/>
                <w:color w:val="000000" w:themeColor="text1"/>
                <w:sz w:val="21"/>
                <w:szCs w:val="21"/>
                <w:highlight w:val="none"/>
                <w:lang w:val="en-US" w:eastAsia="zh-CN"/>
                <w14:textFill>
                  <w14:solidFill>
                    <w14:schemeClr w14:val="tx1"/>
                  </w14:solidFill>
                </w14:textFill>
              </w:rPr>
              <w:t>止</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cs="宋体"/>
                <w:color w:val="000000" w:themeColor="text1"/>
                <w:sz w:val="21"/>
                <w:szCs w:val="21"/>
                <w:highlight w:val="none"/>
                <w14:textFill>
                  <w14:solidFill>
                    <w14:schemeClr w14:val="tx1"/>
                  </w14:solidFill>
                </w14:textFill>
              </w:rPr>
              <w:t xml:space="preserve">样品递交截止时间与投标截止时间一致。 </w:t>
            </w:r>
          </w:p>
          <w:p>
            <w:pPr>
              <w:pStyle w:val="12"/>
              <w:spacing w:line="440" w:lineRule="exact"/>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（2）样品递交地点：桂林市公共资源交易中心（桂林市临桂区西城中路69号创业大厦西辅楼4楼</w:t>
            </w:r>
            <w:r>
              <w:rPr>
                <w:rFonts w:hint="eastAsia" w:ascii="宋体" w:hAnsi="宋体" w:cs="宋体"/>
                <w:color w:val="000000" w:themeColor="text1"/>
                <w:sz w:val="21"/>
                <w:szCs w:val="21"/>
                <w:highlight w:val="none"/>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12号开标室</w:t>
            </w:r>
          </w:p>
          <w:p>
            <w:pPr>
              <w:pStyle w:val="12"/>
              <w:spacing w:line="440" w:lineRule="exact"/>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（3）样</w:t>
            </w:r>
            <w:r>
              <w:rPr>
                <w:rFonts w:hint="eastAsia" w:ascii="宋体" w:hAnsi="宋体" w:cs="宋体"/>
                <w:color w:val="000000" w:themeColor="text1"/>
                <w:sz w:val="21"/>
                <w:szCs w:val="21"/>
                <w:highlight w:val="none"/>
                <w:lang w:val="en-US" w:eastAsia="zh-CN"/>
                <w14:textFill>
                  <w14:solidFill>
                    <w14:schemeClr w14:val="tx1"/>
                  </w14:solidFill>
                </w14:textFill>
              </w:rPr>
              <w:t>品</w:t>
            </w:r>
            <w:r>
              <w:rPr>
                <w:rFonts w:hint="eastAsia" w:ascii="宋体" w:hAnsi="宋体" w:cs="宋体"/>
                <w:color w:val="000000" w:themeColor="text1"/>
                <w:sz w:val="21"/>
                <w:szCs w:val="21"/>
                <w:highlight w:val="none"/>
                <w14:textFill>
                  <w14:solidFill>
                    <w14:schemeClr w14:val="tx1"/>
                  </w14:solidFill>
                </w14:textFill>
              </w:rPr>
              <w:t xml:space="preserve">只是作为加分项，不作为投标的必须要求； </w:t>
            </w:r>
          </w:p>
          <w:p>
            <w:pPr>
              <w:pStyle w:val="12"/>
              <w:spacing w:line="440" w:lineRule="exact"/>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（4）样</w:t>
            </w:r>
            <w:r>
              <w:rPr>
                <w:rFonts w:hint="eastAsia" w:ascii="宋体" w:hAnsi="宋体" w:cs="宋体"/>
                <w:color w:val="000000" w:themeColor="text1"/>
                <w:sz w:val="21"/>
                <w:szCs w:val="21"/>
                <w:highlight w:val="none"/>
                <w:lang w:val="en-US" w:eastAsia="zh-CN"/>
                <w14:textFill>
                  <w14:solidFill>
                    <w14:schemeClr w14:val="tx1"/>
                  </w14:solidFill>
                </w14:textFill>
              </w:rPr>
              <w:t>品</w:t>
            </w:r>
            <w:r>
              <w:rPr>
                <w:rFonts w:hint="eastAsia" w:ascii="宋体" w:hAnsi="宋体" w:cs="宋体"/>
                <w:color w:val="000000" w:themeColor="text1"/>
                <w:sz w:val="21"/>
                <w:szCs w:val="21"/>
                <w:highlight w:val="none"/>
                <w14:textFill>
                  <w14:solidFill>
                    <w14:schemeClr w14:val="tx1"/>
                  </w14:solidFill>
                </w14:textFill>
              </w:rPr>
              <w:t>递交：</w:t>
            </w:r>
          </w:p>
          <w:p>
            <w:pPr>
              <w:pStyle w:val="12"/>
              <w:spacing w:line="440" w:lineRule="exact"/>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①所有小样可以统一放进一个箱子（袋子）中提交到</w:t>
            </w:r>
            <w:r>
              <w:rPr>
                <w:rFonts w:hint="eastAsia" w:ascii="宋体" w:hAnsi="宋体" w:cs="宋体"/>
                <w:color w:val="000000" w:themeColor="text1"/>
                <w:sz w:val="21"/>
                <w:szCs w:val="21"/>
                <w:highlight w:val="none"/>
                <w:lang w:val="en-US" w:eastAsia="zh-CN"/>
                <w14:textFill>
                  <w14:solidFill>
                    <w14:schemeClr w14:val="tx1"/>
                  </w14:solidFill>
                </w14:textFill>
              </w:rPr>
              <w:t>政府集中采购中心</w:t>
            </w:r>
            <w:r>
              <w:rPr>
                <w:rFonts w:hint="eastAsia" w:ascii="宋体" w:hAnsi="宋体" w:cs="宋体"/>
                <w:color w:val="000000" w:themeColor="text1"/>
                <w:sz w:val="21"/>
                <w:szCs w:val="21"/>
                <w:highlight w:val="none"/>
                <w14:textFill>
                  <w14:solidFill>
                    <w14:schemeClr w14:val="tx1"/>
                  </w14:solidFill>
                </w14:textFill>
              </w:rPr>
              <w:t>指定的地方；</w:t>
            </w:r>
          </w:p>
          <w:p>
            <w:pPr>
              <w:pStyle w:val="12"/>
              <w:spacing w:line="440" w:lineRule="exact"/>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②箱子(袋子)正面贴上投标人名称、项目名称和项目编号等信息的标签；</w:t>
            </w:r>
          </w:p>
          <w:p>
            <w:pPr>
              <w:pStyle w:val="12"/>
              <w:spacing w:line="440" w:lineRule="exact"/>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③各小样不能出现任何厂家（公司）或投标品牌标识，如出现透露信息的标识，小样不得进行评定；</w:t>
            </w:r>
          </w:p>
          <w:p>
            <w:pPr>
              <w:pStyle w:val="12"/>
              <w:spacing w:line="440" w:lineRule="exact"/>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④</w:t>
            </w:r>
            <w:r>
              <w:rPr>
                <w:rFonts w:hint="eastAsia" w:ascii="宋体" w:hAnsi="宋体" w:cs="宋体"/>
                <w:color w:val="000000" w:themeColor="text1"/>
                <w:sz w:val="21"/>
                <w:szCs w:val="21"/>
                <w:highlight w:val="none"/>
                <w:lang w:val="en-US" w:eastAsia="zh-CN"/>
                <w14:textFill>
                  <w14:solidFill>
                    <w14:schemeClr w14:val="tx1"/>
                  </w14:solidFill>
                </w14:textFill>
              </w:rPr>
              <w:t>政府集中采购中心</w:t>
            </w:r>
            <w:r>
              <w:rPr>
                <w:rFonts w:hint="eastAsia" w:ascii="宋体" w:hAnsi="宋体" w:cs="宋体"/>
                <w:color w:val="000000" w:themeColor="text1"/>
                <w:sz w:val="21"/>
                <w:szCs w:val="21"/>
                <w:highlight w:val="none"/>
                <w14:textFill>
                  <w14:solidFill>
                    <w14:schemeClr w14:val="tx1"/>
                  </w14:solidFill>
                </w14:textFill>
              </w:rPr>
              <w:t>工作人员只负责按箱（袋）数接收样品；评标前由</w:t>
            </w:r>
            <w:r>
              <w:rPr>
                <w:rFonts w:hint="eastAsia" w:ascii="宋体" w:hAnsi="宋体" w:cs="宋体"/>
                <w:color w:val="000000" w:themeColor="text1"/>
                <w:sz w:val="21"/>
                <w:szCs w:val="21"/>
                <w:highlight w:val="none"/>
                <w:lang w:val="en-US" w:eastAsia="zh-CN"/>
                <w14:textFill>
                  <w14:solidFill>
                    <w14:schemeClr w14:val="tx1"/>
                  </w14:solidFill>
                </w14:textFill>
              </w:rPr>
              <w:t>政府集中采购中心</w:t>
            </w:r>
            <w:r>
              <w:rPr>
                <w:rFonts w:hint="eastAsia" w:ascii="宋体" w:hAnsi="宋体" w:cs="宋体"/>
                <w:color w:val="000000" w:themeColor="text1"/>
                <w:sz w:val="21"/>
                <w:szCs w:val="21"/>
                <w:highlight w:val="none"/>
                <w14:textFill>
                  <w14:solidFill>
                    <w14:schemeClr w14:val="tx1"/>
                  </w14:solidFill>
                </w14:textFill>
              </w:rPr>
              <w:t>工作人员将对投标人的标签进行遮盖，评定样</w:t>
            </w:r>
            <w:r>
              <w:rPr>
                <w:rFonts w:hint="eastAsia" w:ascii="宋体" w:hAnsi="宋体" w:cs="宋体"/>
                <w:color w:val="000000" w:themeColor="text1"/>
                <w:sz w:val="21"/>
                <w:szCs w:val="21"/>
                <w:highlight w:val="none"/>
                <w:lang w:val="en-US" w:eastAsia="zh-CN"/>
                <w14:textFill>
                  <w14:solidFill>
                    <w14:schemeClr w14:val="tx1"/>
                  </w14:solidFill>
                </w14:textFill>
              </w:rPr>
              <w:t>品</w:t>
            </w:r>
            <w:r>
              <w:rPr>
                <w:rFonts w:hint="eastAsia" w:ascii="宋体" w:hAnsi="宋体" w:cs="宋体"/>
                <w:color w:val="000000" w:themeColor="text1"/>
                <w:sz w:val="21"/>
                <w:szCs w:val="21"/>
                <w:highlight w:val="none"/>
                <w14:textFill>
                  <w14:solidFill>
                    <w14:schemeClr w14:val="tx1"/>
                  </w14:solidFill>
                </w14:textFill>
              </w:rPr>
              <w:t>时由评</w:t>
            </w:r>
            <w:r>
              <w:rPr>
                <w:rFonts w:hint="eastAsia" w:ascii="宋体" w:hAnsi="宋体" w:cs="宋体"/>
                <w:color w:val="000000" w:themeColor="text1"/>
                <w:sz w:val="21"/>
                <w:szCs w:val="21"/>
                <w:highlight w:val="none"/>
                <w:lang w:val="en-US" w:eastAsia="zh-CN"/>
                <w14:textFill>
                  <w14:solidFill>
                    <w14:schemeClr w14:val="tx1"/>
                  </w14:solidFill>
                </w14:textFill>
              </w:rPr>
              <w:t>标委员会共同启封</w:t>
            </w:r>
            <w:r>
              <w:rPr>
                <w:rFonts w:hint="eastAsia" w:ascii="宋体" w:hAnsi="宋体" w:cs="宋体"/>
                <w:color w:val="000000" w:themeColor="text1"/>
                <w:sz w:val="21"/>
                <w:szCs w:val="21"/>
                <w:highlight w:val="none"/>
                <w14:textFill>
                  <w14:solidFill>
                    <w14:schemeClr w14:val="tx1"/>
                  </w14:solidFill>
                </w14:textFill>
              </w:rPr>
              <w:t>，待评定样</w:t>
            </w:r>
            <w:r>
              <w:rPr>
                <w:rFonts w:hint="eastAsia" w:ascii="宋体" w:hAnsi="宋体" w:cs="宋体"/>
                <w:color w:val="000000" w:themeColor="text1"/>
                <w:sz w:val="21"/>
                <w:szCs w:val="21"/>
                <w:highlight w:val="none"/>
                <w:lang w:val="en-US" w:eastAsia="zh-CN"/>
                <w14:textFill>
                  <w14:solidFill>
                    <w14:schemeClr w14:val="tx1"/>
                  </w14:solidFill>
                </w14:textFill>
              </w:rPr>
              <w:t>品</w:t>
            </w:r>
            <w:r>
              <w:rPr>
                <w:rFonts w:hint="eastAsia" w:ascii="宋体" w:hAnsi="宋体" w:cs="宋体"/>
                <w:color w:val="000000" w:themeColor="text1"/>
                <w:sz w:val="21"/>
                <w:szCs w:val="21"/>
                <w:highlight w:val="none"/>
                <w14:textFill>
                  <w14:solidFill>
                    <w14:schemeClr w14:val="tx1"/>
                  </w14:solidFill>
                </w14:textFill>
              </w:rPr>
              <w:t>完毕后，再统一拆封所有投标人的标签。</w:t>
            </w:r>
          </w:p>
          <w:p>
            <w:pPr>
              <w:pStyle w:val="24"/>
              <w:spacing w:before="0" w:beforeAutospacing="0" w:after="0" w:afterAutospacing="0" w:line="340" w:lineRule="exact"/>
              <w:rPr>
                <w:rFonts w:hint="eastAsia" w:ascii="宋体" w:hAnsi="宋体"/>
                <w:color w:val="000000" w:themeColor="text1"/>
                <w:szCs w:val="21"/>
                <w:lang w:val="en-US" w:eastAsia="zh-CN"/>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 xml:space="preserve"> </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5</w:t>
            </w:r>
            <w:r>
              <w:rPr>
                <w:rFonts w:hint="eastAsia" w:ascii="宋体" w:hAnsi="宋体" w:cs="宋体"/>
                <w:color w:val="000000" w:themeColor="text1"/>
                <w:sz w:val="21"/>
                <w:szCs w:val="21"/>
                <w:highlight w:val="none"/>
                <w:lang w:eastAsia="zh-CN"/>
                <w14:textFill>
                  <w14:solidFill>
                    <w14:schemeClr w14:val="tx1"/>
                  </w14:solidFill>
                </w14:textFill>
              </w:rPr>
              <w:t>）采购结果公告后，中标人样品不退，作为验收依据之一。其余未中标的样品在接到本中心通知后两个工作日内予以退回，不及时领取样品所造成的损失，投标人自行承担。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207" w:type="dxa"/>
            <w:gridSpan w:val="2"/>
            <w:shd w:val="clear" w:color="auto" w:fill="auto"/>
            <w:tcMar>
              <w:top w:w="15" w:type="dxa"/>
              <w:left w:w="15" w:type="dxa"/>
              <w:right w:w="15" w:type="dxa"/>
            </w:tcMar>
            <w:vAlign w:val="center"/>
          </w:tcPr>
          <w:p>
            <w:pPr>
              <w:pStyle w:val="67"/>
              <w:spacing w:before="6" w:line="400" w:lineRule="exact"/>
              <w:rPr>
                <w:rFonts w:ascii="宋体" w:hAnsi="宋体" w:cs="宋体"/>
                <w:color w:val="000000" w:themeColor="text1"/>
                <w:sz w:val="16"/>
                <w14:textFill>
                  <w14:solidFill>
                    <w14:schemeClr w14:val="tx1"/>
                  </w14:solidFill>
                </w14:textFill>
              </w:rPr>
            </w:pPr>
          </w:p>
          <w:p>
            <w:pPr>
              <w:pStyle w:val="67"/>
              <w:spacing w:line="400" w:lineRule="exact"/>
              <w:jc w:val="center"/>
              <w:rPr>
                <w:rFonts w:ascii="宋体" w:hAnsi="宋体" w:cs="宋体"/>
                <w:b/>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w:t>
            </w:r>
            <w:r>
              <w:rPr>
                <w:rFonts w:hint="eastAsia" w:ascii="宋体" w:hAnsi="宋体" w:cs="宋体"/>
                <w:b/>
                <w:color w:val="000000" w:themeColor="text1"/>
                <w14:textFill>
                  <w14:solidFill>
                    <w14:schemeClr w14:val="tx1"/>
                  </w14:solidFill>
                </w14:textFill>
              </w:rPr>
              <w:t>售后服务要求</w:t>
            </w:r>
          </w:p>
        </w:tc>
        <w:tc>
          <w:tcPr>
            <w:tcW w:w="9512" w:type="dxa"/>
            <w:gridSpan w:val="4"/>
            <w:shd w:val="clear" w:color="auto" w:fill="auto"/>
            <w:tcMar>
              <w:top w:w="15" w:type="dxa"/>
              <w:left w:w="15" w:type="dxa"/>
              <w:right w:w="15" w:type="dxa"/>
            </w:tcMar>
          </w:tcPr>
          <w:p>
            <w:pPr>
              <w:pStyle w:val="12"/>
              <w:spacing w:line="440" w:lineRule="exact"/>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1.货物验收合格后，按国家有关产品“三包”规定执行“三包”,提供不少于</w:t>
            </w:r>
            <w:r>
              <w:rPr>
                <w:rFonts w:hint="eastAsia" w:ascii="宋体" w:hAnsi="宋体" w:cs="宋体"/>
                <w:color w:val="000000" w:themeColor="text1"/>
                <w:sz w:val="21"/>
                <w:szCs w:val="21"/>
                <w:lang w:val="en-US" w:eastAsia="zh-CN"/>
                <w14:textFill>
                  <w14:solidFill>
                    <w14:schemeClr w14:val="tx1"/>
                  </w14:solidFill>
                </w14:textFill>
              </w:rPr>
              <w:t>1</w:t>
            </w:r>
            <w:r>
              <w:rPr>
                <w:rFonts w:hint="eastAsia" w:ascii="宋体" w:hAnsi="宋体" w:cs="宋体"/>
                <w:color w:val="000000" w:themeColor="text1"/>
                <w:sz w:val="21"/>
                <w:szCs w:val="21"/>
                <w14:textFill>
                  <w14:solidFill>
                    <w14:schemeClr w14:val="tx1"/>
                  </w14:solidFill>
                </w14:textFill>
              </w:rPr>
              <w:t xml:space="preserve">年的免费质保期，提供终身维护服务。 </w:t>
            </w:r>
          </w:p>
          <w:p>
            <w:pPr>
              <w:pStyle w:val="12"/>
              <w:spacing w:line="440" w:lineRule="exact"/>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 xml:space="preserve">2.中标供应商必须于货物验收时提供投标时所出具的检测报告原件，否则，不予验收。 </w:t>
            </w:r>
          </w:p>
          <w:p>
            <w:pPr>
              <w:pStyle w:val="12"/>
              <w:spacing w:line="440" w:lineRule="exact"/>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 xml:space="preserve">3.质保期内提供免费服务（含部件、人力、上门等），保修期自双方代表在设备安装调试后的验收证明文件上签字之日起计算，质保期满后，乙方仍应提供维修服务，按维修件成本收费。 </w:t>
            </w:r>
          </w:p>
          <w:p>
            <w:pPr>
              <w:pStyle w:val="12"/>
              <w:spacing w:line="440" w:lineRule="exact"/>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4.维修保养时如果需要更换配件的，要求更换的配件应跟被更换的品牌、类型相一致或者是同类同档次的替代品，后者需征得采购人同意。</w:t>
            </w:r>
          </w:p>
          <w:p>
            <w:pPr>
              <w:pStyle w:val="12"/>
              <w:spacing w:line="440" w:lineRule="exact"/>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5.免费质保期内，接到采购人故障报修后，30分钟内响应，4小时内到位。在规定时间内不能解决问题的产品应在24小时内提供等同档次产品给采购人使用。</w:t>
            </w:r>
          </w:p>
          <w:p>
            <w:pPr>
              <w:pStyle w:val="67"/>
              <w:spacing w:before="30" w:line="400" w:lineRule="exact"/>
              <w:ind w:left="15" w:right="55"/>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6.技术支持服务：免费保修期内定期对产品进行检修，提供永久性电话技术指导。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207" w:type="dxa"/>
            <w:gridSpan w:val="2"/>
            <w:shd w:val="clear" w:color="auto" w:fill="auto"/>
            <w:tcMar>
              <w:top w:w="15" w:type="dxa"/>
              <w:left w:w="15" w:type="dxa"/>
              <w:right w:w="15" w:type="dxa"/>
            </w:tcMar>
          </w:tcPr>
          <w:p>
            <w:pPr>
              <w:pStyle w:val="67"/>
              <w:spacing w:line="400" w:lineRule="exact"/>
              <w:rPr>
                <w:rFonts w:ascii="宋体" w:hAnsi="宋体" w:cs="宋体"/>
                <w:color w:val="000000" w:themeColor="text1"/>
                <w:sz w:val="20"/>
                <w14:textFill>
                  <w14:solidFill>
                    <w14:schemeClr w14:val="tx1"/>
                  </w14:solidFill>
                </w14:textFill>
              </w:rPr>
            </w:pPr>
          </w:p>
          <w:p>
            <w:pPr>
              <w:pStyle w:val="67"/>
              <w:spacing w:line="400" w:lineRule="exact"/>
              <w:rPr>
                <w:rFonts w:ascii="宋体" w:hAnsi="宋体" w:cs="宋体"/>
                <w:color w:val="000000" w:themeColor="text1"/>
                <w:sz w:val="20"/>
                <w14:textFill>
                  <w14:solidFill>
                    <w14:schemeClr w14:val="tx1"/>
                  </w14:solidFill>
                </w14:textFill>
              </w:rPr>
            </w:pPr>
          </w:p>
          <w:p>
            <w:pPr>
              <w:pStyle w:val="67"/>
              <w:spacing w:before="167" w:line="400" w:lineRule="exact"/>
              <w:ind w:left="337" w:right="10" w:hanging="315"/>
              <w:rPr>
                <w:rFonts w:ascii="宋体" w:hAnsi="宋体" w:cs="宋体"/>
                <w:b/>
                <w:color w:val="000000" w:themeColor="text1"/>
                <w14:textFill>
                  <w14:solidFill>
                    <w14:schemeClr w14:val="tx1"/>
                  </w14:solidFill>
                </w14:textFill>
              </w:rPr>
            </w:pPr>
          </w:p>
          <w:p>
            <w:pPr>
              <w:pStyle w:val="67"/>
              <w:spacing w:before="167" w:line="400" w:lineRule="exact"/>
              <w:ind w:right="10"/>
              <w:rPr>
                <w:rFonts w:ascii="宋体" w:hAnsi="宋体" w:cs="宋体"/>
                <w:b/>
                <w:color w:val="000000" w:themeColor="text1"/>
                <w14:textFill>
                  <w14:solidFill>
                    <w14:schemeClr w14:val="tx1"/>
                  </w14:solidFill>
                </w14:textFill>
              </w:rPr>
            </w:pPr>
          </w:p>
          <w:p>
            <w:pPr>
              <w:pStyle w:val="67"/>
              <w:spacing w:before="167" w:line="400" w:lineRule="exact"/>
              <w:ind w:left="337" w:right="10" w:hanging="315"/>
              <w:jc w:val="center"/>
              <w:rPr>
                <w:rFonts w:ascii="宋体" w:hAnsi="宋体" w:cs="宋体"/>
                <w:b/>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w:t>
            </w:r>
            <w:r>
              <w:rPr>
                <w:rFonts w:hint="eastAsia" w:ascii="宋体" w:hAnsi="宋体" w:cs="宋体"/>
                <w:b/>
                <w:color w:val="000000" w:themeColor="text1"/>
                <w14:textFill>
                  <w14:solidFill>
                    <w14:schemeClr w14:val="tx1"/>
                  </w14:solidFill>
                </w14:textFill>
              </w:rPr>
              <w:t>验收要求</w:t>
            </w:r>
          </w:p>
        </w:tc>
        <w:tc>
          <w:tcPr>
            <w:tcW w:w="9512" w:type="dxa"/>
            <w:gridSpan w:val="4"/>
            <w:shd w:val="clear" w:color="auto" w:fill="auto"/>
            <w:tcMar>
              <w:top w:w="15" w:type="dxa"/>
              <w:left w:w="15" w:type="dxa"/>
              <w:right w:w="15" w:type="dxa"/>
            </w:tcMar>
          </w:tcPr>
          <w:p>
            <w:pPr>
              <w:pStyle w:val="67"/>
              <w:numPr>
                <w:ilvl w:val="0"/>
                <w:numId w:val="19"/>
              </w:numPr>
              <w:spacing w:before="47" w:line="400" w:lineRule="exact"/>
              <w:ind w:left="15" w:right="55"/>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14:textFill>
                  <w14:solidFill>
                    <w14:schemeClr w14:val="tx1"/>
                  </w14:solidFill>
                </w14:textFill>
              </w:rPr>
              <w:t>验收要求：</w:t>
            </w:r>
            <w:r>
              <w:rPr>
                <w:rFonts w:hint="eastAsia" w:ascii="宋体" w:hAnsi="宋体" w:cs="宋体"/>
                <w:color w:val="000000" w:themeColor="text1"/>
                <w:kern w:val="0"/>
                <w:szCs w:val="21"/>
                <w14:textFill>
                  <w14:solidFill>
                    <w14:schemeClr w14:val="tx1"/>
                  </w14:solidFill>
                </w14:textFill>
              </w:rPr>
              <w:t>由采购人、中标人、使用方共同现场验收，并出具验收文书。有必要时可委托第三方或具有相关资质的第三方检测机构（具备质量技术监督部门颁发的计量认证资质CMA）开展采购项目验收工作。如抽取的货物检测报告结果不合格的，则视为货物不合格，须按采购人要求及时整改，如因此过程耽误交货时间导致采购人不能及时接受货物、安装货物、使用货物造成损失的，中标人承担由此所造成全部损失。</w:t>
            </w:r>
          </w:p>
          <w:p>
            <w:pPr>
              <w:pStyle w:val="67"/>
              <w:numPr>
                <w:ilvl w:val="0"/>
                <w:numId w:val="19"/>
              </w:numPr>
              <w:spacing w:before="47" w:line="400" w:lineRule="exact"/>
              <w:ind w:left="15" w:right="55"/>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本次采购货物在完成所有安装调试并经采购人验收前，商品的丢失、损害或毁坏等风险由中标供应商承担。中标供应商组织安装调试期间应做到安全安装调试，不损坏采购人的设备设施，否则，应承担由于自身安全措施不力所造成的事故责任和造成的损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207" w:type="dxa"/>
            <w:gridSpan w:val="2"/>
            <w:shd w:val="clear" w:color="auto" w:fill="auto"/>
            <w:tcMar>
              <w:top w:w="15" w:type="dxa"/>
              <w:left w:w="15" w:type="dxa"/>
              <w:right w:w="15" w:type="dxa"/>
            </w:tcMar>
          </w:tcPr>
          <w:p>
            <w:pPr>
              <w:pStyle w:val="67"/>
              <w:spacing w:before="167" w:line="400" w:lineRule="exact"/>
              <w:ind w:left="337" w:right="10" w:hanging="315"/>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w:t>
            </w:r>
            <w:r>
              <w:rPr>
                <w:rFonts w:hint="eastAsia" w:ascii="宋体" w:hAnsi="宋体" w:cs="宋体"/>
                <w:b/>
                <w:bCs/>
                <w:color w:val="000000" w:themeColor="text1"/>
                <w14:textFill>
                  <w14:solidFill>
                    <w14:schemeClr w14:val="tx1"/>
                  </w14:solidFill>
                </w14:textFill>
              </w:rPr>
              <w:t>核心产品</w:t>
            </w:r>
          </w:p>
        </w:tc>
        <w:tc>
          <w:tcPr>
            <w:tcW w:w="9512" w:type="dxa"/>
            <w:gridSpan w:val="4"/>
            <w:shd w:val="clear" w:color="auto" w:fill="auto"/>
            <w:tcMar>
              <w:top w:w="15" w:type="dxa"/>
              <w:left w:w="15" w:type="dxa"/>
              <w:right w:w="15" w:type="dxa"/>
            </w:tcMar>
          </w:tcPr>
          <w:p>
            <w:pPr>
              <w:pStyle w:val="67"/>
              <w:spacing w:before="167" w:line="400" w:lineRule="exact"/>
              <w:ind w:left="337" w:right="10" w:hanging="315"/>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本项目核心产品：</w:t>
            </w:r>
            <w:r>
              <w:rPr>
                <w:rFonts w:hint="eastAsia" w:ascii="宋体" w:hAnsi="宋体" w:cs="宋体"/>
                <w:b/>
                <w:color w:val="000000" w:themeColor="text1"/>
                <w:szCs w:val="21"/>
                <w:u w:val="single"/>
                <w14:textFill>
                  <w14:solidFill>
                    <w14:schemeClr w14:val="tx1"/>
                  </w14:solidFill>
                </w14:textFill>
              </w:rPr>
              <w:t>本项目第32项货物“古籍书柜”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5" w:hRule="atLeast"/>
          <w:jc w:val="center"/>
        </w:trPr>
        <w:tc>
          <w:tcPr>
            <w:tcW w:w="1207" w:type="dxa"/>
            <w:gridSpan w:val="2"/>
            <w:shd w:val="clear" w:color="auto" w:fill="auto"/>
            <w:tcMar>
              <w:top w:w="15" w:type="dxa"/>
              <w:left w:w="15" w:type="dxa"/>
              <w:right w:w="15" w:type="dxa"/>
            </w:tcMar>
            <w:vAlign w:val="center"/>
          </w:tcPr>
          <w:p>
            <w:pPr>
              <w:pStyle w:val="67"/>
              <w:spacing w:line="400" w:lineRule="exact"/>
              <w:ind w:left="10"/>
              <w:jc w:val="center"/>
              <w:rPr>
                <w:rFonts w:ascii="宋体" w:hAnsi="宋体" w:cs="宋体"/>
                <w:b/>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w:t>
            </w:r>
            <w:r>
              <w:rPr>
                <w:rFonts w:hint="eastAsia" w:ascii="宋体" w:hAnsi="宋体" w:cs="宋体"/>
                <w:b/>
                <w:color w:val="000000" w:themeColor="text1"/>
                <w14:textFill>
                  <w14:solidFill>
                    <w14:schemeClr w14:val="tx1"/>
                  </w14:solidFill>
                </w14:textFill>
              </w:rPr>
              <w:t>交付使用时间及地点</w:t>
            </w:r>
          </w:p>
        </w:tc>
        <w:tc>
          <w:tcPr>
            <w:tcW w:w="9512" w:type="dxa"/>
            <w:gridSpan w:val="4"/>
            <w:shd w:val="clear" w:color="auto" w:fill="auto"/>
            <w:tcMar>
              <w:top w:w="15" w:type="dxa"/>
              <w:left w:w="15" w:type="dxa"/>
              <w:right w:w="15" w:type="dxa"/>
            </w:tcMar>
            <w:vAlign w:val="center"/>
          </w:tcPr>
          <w:p>
            <w:pPr>
              <w:spacing w:line="44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1.交付使用期：自签订合同之日起 60个日历日内全部安装调试合格完毕并交付使用。</w:t>
            </w:r>
          </w:p>
          <w:p>
            <w:pPr>
              <w:pStyle w:val="67"/>
              <w:spacing w:before="1" w:line="400" w:lineRule="exact"/>
              <w:ind w:left="15"/>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2.交付地点：广西师范大学雁山校区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207" w:type="dxa"/>
            <w:gridSpan w:val="2"/>
            <w:shd w:val="clear" w:color="auto" w:fill="auto"/>
            <w:tcMar>
              <w:top w:w="15" w:type="dxa"/>
              <w:left w:w="15" w:type="dxa"/>
              <w:right w:w="15" w:type="dxa"/>
            </w:tcMar>
          </w:tcPr>
          <w:p>
            <w:pPr>
              <w:pStyle w:val="67"/>
              <w:spacing w:before="143" w:line="400" w:lineRule="exact"/>
              <w:ind w:left="10"/>
              <w:jc w:val="center"/>
              <w:rPr>
                <w:rFonts w:ascii="宋体" w:hAnsi="宋体" w:cs="宋体"/>
                <w:b/>
                <w:color w:val="000000" w:themeColor="text1"/>
                <w14:textFill>
                  <w14:solidFill>
                    <w14:schemeClr w14:val="tx1"/>
                  </w14:solidFill>
                </w14:textFill>
              </w:rPr>
            </w:pPr>
          </w:p>
          <w:p>
            <w:pPr>
              <w:pStyle w:val="67"/>
              <w:spacing w:before="143" w:line="400" w:lineRule="exact"/>
              <w:rPr>
                <w:rFonts w:ascii="宋体" w:hAnsi="宋体" w:cs="宋体"/>
                <w:b/>
                <w:color w:val="000000" w:themeColor="text1"/>
                <w14:textFill>
                  <w14:solidFill>
                    <w14:schemeClr w14:val="tx1"/>
                  </w14:solidFill>
                </w14:textFill>
              </w:rPr>
            </w:pPr>
          </w:p>
          <w:p>
            <w:pPr>
              <w:pStyle w:val="67"/>
              <w:spacing w:before="143" w:line="400" w:lineRule="exact"/>
              <w:ind w:left="10"/>
              <w:jc w:val="center"/>
              <w:rPr>
                <w:rFonts w:ascii="宋体" w:hAnsi="宋体" w:cs="宋体"/>
                <w:b/>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w:t>
            </w:r>
            <w:r>
              <w:rPr>
                <w:rFonts w:hint="eastAsia" w:ascii="宋体" w:hAnsi="宋体" w:cs="宋体"/>
                <w:b/>
                <w:color w:val="000000" w:themeColor="text1"/>
                <w14:textFill>
                  <w14:solidFill>
                    <w14:schemeClr w14:val="tx1"/>
                  </w14:solidFill>
                </w14:textFill>
              </w:rPr>
              <w:t>付款方式</w:t>
            </w:r>
          </w:p>
        </w:tc>
        <w:tc>
          <w:tcPr>
            <w:tcW w:w="9512" w:type="dxa"/>
            <w:gridSpan w:val="4"/>
            <w:shd w:val="clear" w:color="auto" w:fill="auto"/>
            <w:tcMar>
              <w:top w:w="15" w:type="dxa"/>
              <w:left w:w="15" w:type="dxa"/>
              <w:right w:w="15" w:type="dxa"/>
            </w:tcMar>
          </w:tcPr>
          <w:p>
            <w:pPr>
              <w:widowControl/>
              <w:spacing w:line="44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、本项目预付款为合同总金额的30%，在合同生效以及具备实施条件后，采购人在15日内支付预付款；设备交货验收合格后采购人支付合同总金额的70%（无息）。</w:t>
            </w:r>
          </w:p>
          <w:p>
            <w:pPr>
              <w:pStyle w:val="67"/>
              <w:spacing w:before="47" w:line="360" w:lineRule="exact"/>
              <w:ind w:left="17"/>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根据桂财采〔2020〕25号《广西壮族自治区财政厅关于加强政府采购促进经济稳定发展有关事项的通知》的规定，在签订合同时，供应商明确表示无需预付款或者主动要求降低预付款比例的，采购单位可不适用前述规定。如成交供应商在签订合同时，明确表示无需预付款时，付款方式为：中标人按合同约定交货验收合格后采购人支付合同总金额的100%（无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207" w:type="dxa"/>
            <w:gridSpan w:val="2"/>
            <w:shd w:val="clear" w:color="auto" w:fill="auto"/>
            <w:tcMar>
              <w:top w:w="15" w:type="dxa"/>
              <w:left w:w="15" w:type="dxa"/>
              <w:right w:w="15" w:type="dxa"/>
            </w:tcMar>
          </w:tcPr>
          <w:p>
            <w:pPr>
              <w:pStyle w:val="67"/>
              <w:spacing w:line="400" w:lineRule="exact"/>
              <w:rPr>
                <w:rFonts w:ascii="宋体" w:hAnsi="宋体" w:cs="宋体"/>
                <w:color w:val="000000" w:themeColor="text1"/>
                <w:sz w:val="20"/>
                <w14:textFill>
                  <w14:solidFill>
                    <w14:schemeClr w14:val="tx1"/>
                  </w14:solidFill>
                </w14:textFill>
              </w:rPr>
            </w:pPr>
          </w:p>
          <w:p>
            <w:pPr>
              <w:pStyle w:val="67"/>
              <w:spacing w:line="400" w:lineRule="exact"/>
              <w:rPr>
                <w:rFonts w:ascii="宋体" w:hAnsi="宋体" w:cs="宋体"/>
                <w:color w:val="000000" w:themeColor="text1"/>
                <w:sz w:val="20"/>
                <w14:textFill>
                  <w14:solidFill>
                    <w14:schemeClr w14:val="tx1"/>
                  </w14:solidFill>
                </w14:textFill>
              </w:rPr>
            </w:pPr>
          </w:p>
          <w:p>
            <w:pPr>
              <w:pStyle w:val="67"/>
              <w:spacing w:before="154" w:line="400" w:lineRule="exact"/>
              <w:ind w:left="10"/>
              <w:jc w:val="center"/>
              <w:rPr>
                <w:rFonts w:ascii="宋体" w:hAnsi="宋体" w:cs="宋体"/>
                <w:b/>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w:t>
            </w:r>
            <w:r>
              <w:rPr>
                <w:rFonts w:hint="eastAsia" w:ascii="宋体" w:hAnsi="宋体" w:cs="宋体"/>
                <w:b/>
                <w:color w:val="000000" w:themeColor="text1"/>
                <w14:textFill>
                  <w14:solidFill>
                    <w14:schemeClr w14:val="tx1"/>
                  </w14:solidFill>
                </w14:textFill>
              </w:rPr>
              <w:t>其他要求</w:t>
            </w:r>
          </w:p>
        </w:tc>
        <w:tc>
          <w:tcPr>
            <w:tcW w:w="9512" w:type="dxa"/>
            <w:gridSpan w:val="4"/>
            <w:shd w:val="clear" w:color="auto" w:fill="auto"/>
            <w:tcMar>
              <w:top w:w="15" w:type="dxa"/>
              <w:left w:w="15" w:type="dxa"/>
              <w:right w:w="15" w:type="dxa"/>
            </w:tcMar>
          </w:tcPr>
          <w:p>
            <w:pPr>
              <w:pStyle w:val="12"/>
              <w:spacing w:line="400" w:lineRule="exact"/>
              <w:ind w:right="60"/>
              <w:rPr>
                <w:rFonts w:ascii="宋体" w:hAnsi="宋体" w:cs="宋体"/>
                <w:b/>
                <w:bCs/>
                <w:color w:val="000000" w:themeColor="text1"/>
                <w:sz w:val="21"/>
                <w:szCs w:val="21"/>
                <w14:textFill>
                  <w14:solidFill>
                    <w14:schemeClr w14:val="tx1"/>
                  </w14:solidFill>
                </w14:textFill>
              </w:rPr>
            </w:pPr>
            <w:r>
              <w:rPr>
                <w:rFonts w:hint="eastAsia" w:ascii="宋体" w:hAnsi="宋体" w:cs="宋体"/>
                <w:b/>
                <w:bCs/>
                <w:color w:val="000000" w:themeColor="text1"/>
                <w:w w:val="95"/>
                <w:sz w:val="21"/>
                <w:szCs w:val="21"/>
                <w14:textFill>
                  <w14:solidFill>
                    <w14:schemeClr w14:val="tx1"/>
                  </w14:solidFill>
                </w14:textFill>
              </w:rPr>
              <w:t>1、</w:t>
            </w:r>
            <w:r>
              <w:rPr>
                <w:rFonts w:hint="eastAsia" w:ascii="宋体" w:hAnsi="宋体" w:cs="宋体"/>
                <w:b/>
                <w:bCs/>
                <w:color w:val="000000" w:themeColor="text1"/>
                <w:sz w:val="21"/>
                <w:szCs w:val="21"/>
                <w14:textFill>
                  <w14:solidFill>
                    <w14:schemeClr w14:val="tx1"/>
                  </w14:solidFill>
                </w14:textFill>
              </w:rPr>
              <w:t>本项目采购预算金额为人民币：贰佰肆拾肆万柒仟陆佰柒拾捌元整（¥</w:t>
            </w:r>
            <w:r>
              <w:rPr>
                <w:rFonts w:hint="eastAsia" w:ascii="宋体" w:hAnsi="宋体" w:cs="宋体"/>
                <w:b/>
                <w:bCs/>
                <w:color w:val="000000" w:themeColor="text1"/>
                <w:w w:val="95"/>
                <w:sz w:val="21"/>
                <w:szCs w:val="21"/>
                <w14:textFill>
                  <w14:solidFill>
                    <w14:schemeClr w14:val="tx1"/>
                  </w14:solidFill>
                </w14:textFill>
              </w:rPr>
              <w:t>2447678.00）</w:t>
            </w:r>
            <w:r>
              <w:rPr>
                <w:rFonts w:hint="eastAsia" w:ascii="宋体" w:hAnsi="宋体" w:cs="宋体"/>
                <w:b/>
                <w:bCs/>
                <w:color w:val="000000" w:themeColor="text1"/>
                <w:sz w:val="21"/>
                <w:szCs w:val="21"/>
                <w14:textFill>
                  <w14:solidFill>
                    <w14:schemeClr w14:val="tx1"/>
                  </w14:solidFill>
                </w14:textFill>
              </w:rPr>
              <w:t>，投标报价超出采购预算金额的将被视为无效投标。</w:t>
            </w:r>
          </w:p>
          <w:p>
            <w:pPr>
              <w:pStyle w:val="12"/>
              <w:spacing w:line="400" w:lineRule="exact"/>
              <w:ind w:left="10" w:right="151"/>
              <w:rPr>
                <w:rFonts w:ascii="宋体" w:hAnsi="宋体" w:cs="宋体"/>
                <w:color w:val="000000" w:themeColor="text1"/>
                <w:sz w:val="21"/>
                <w:szCs w:val="21"/>
                <w14:textFill>
                  <w14:solidFill>
                    <w14:schemeClr w14:val="tx1"/>
                  </w14:solidFill>
                </w14:textFill>
              </w:rPr>
            </w:pPr>
            <w:r>
              <w:rPr>
                <w:rFonts w:hint="eastAsia" w:ascii="宋体" w:hAnsi="宋体" w:cs="宋体"/>
                <w:b/>
                <w:bCs/>
                <w:color w:val="000000" w:themeColor="text1"/>
                <w:sz w:val="21"/>
                <w:szCs w:val="21"/>
                <w14:textFill>
                  <w14:solidFill>
                    <w14:schemeClr w14:val="tx1"/>
                  </w14:solidFill>
                </w14:textFill>
              </w:rPr>
              <w:t>2、本项目货物不接受进口产品（即通过中国海关报关验放进入中国境内且产自关境外的产品）参与投标。</w:t>
            </w:r>
          </w:p>
          <w:p>
            <w:pPr>
              <w:pStyle w:val="67"/>
              <w:spacing w:line="400" w:lineRule="exact"/>
              <w:ind w:left="15"/>
              <w:rPr>
                <w:rFonts w:ascii="宋体" w:hAnsi="宋体" w:cs="宋体"/>
                <w:color w:val="000000" w:themeColor="text1"/>
                <w14:textFill>
                  <w14:solidFill>
                    <w14:schemeClr w14:val="tx1"/>
                  </w14:solidFill>
                </w14:textFill>
              </w:rPr>
            </w:pPr>
          </w:p>
        </w:tc>
      </w:tr>
    </w:tbl>
    <w:p>
      <w:pPr>
        <w:pStyle w:val="12"/>
        <w:rPr>
          <w:rFonts w:hint="eastAsia"/>
          <w:color w:val="000000" w:themeColor="text1"/>
          <w14:textFill>
            <w14:solidFill>
              <w14:schemeClr w14:val="tx1"/>
            </w14:solidFill>
          </w14:textFill>
        </w:rPr>
      </w:pPr>
      <w:bookmarkStart w:id="150" w:name="_Toc18150"/>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rFonts w:hint="eastAsia"/>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60288" behindDoc="0" locked="0" layoutInCell="1" allowOverlap="1">
            <wp:simplePos x="0" y="0"/>
            <wp:positionH relativeFrom="column">
              <wp:posOffset>4443730</wp:posOffset>
            </wp:positionH>
            <wp:positionV relativeFrom="paragraph">
              <wp:posOffset>-366395</wp:posOffset>
            </wp:positionV>
            <wp:extent cx="1259840" cy="1518285"/>
            <wp:effectExtent l="0" t="0" r="16510" b="5715"/>
            <wp:wrapSquare wrapText="bothSides"/>
            <wp:docPr id="20"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2"/>
                    <pic:cNvPicPr>
                      <a:picLocks noChangeAspect="1"/>
                    </pic:cNvPicPr>
                  </pic:nvPicPr>
                  <pic:blipFill>
                    <a:blip r:embed="rId12"/>
                    <a:srcRect l="2082"/>
                    <a:stretch>
                      <a:fillRect/>
                    </a:stretch>
                  </pic:blipFill>
                  <pic:spPr>
                    <a:xfrm>
                      <a:off x="0" y="0"/>
                      <a:ext cx="1259840" cy="1518285"/>
                    </a:xfrm>
                    <a:prstGeom prst="rect">
                      <a:avLst/>
                    </a:prstGeom>
                    <a:noFill/>
                    <a:ln>
                      <a:noFill/>
                    </a:ln>
                  </pic:spPr>
                </pic:pic>
              </a:graphicData>
            </a:graphic>
          </wp:anchor>
        </w:drawing>
      </w:r>
      <w:r>
        <w:rPr>
          <w:rFonts w:hint="eastAsia" w:ascii="宋体" w:hAnsi="宋体" w:cs="宋体"/>
          <w:color w:val="000000" w:themeColor="text1"/>
          <w:szCs w:val="21"/>
          <w14:textFill>
            <w14:solidFill>
              <w14:schemeClr w14:val="tx1"/>
            </w14:solidFill>
          </w14:textFill>
        </w:rPr>
        <w:drawing>
          <wp:anchor distT="0" distB="0" distL="114300" distR="114300" simplePos="0" relativeHeight="251659264" behindDoc="0" locked="0" layoutInCell="1" allowOverlap="1">
            <wp:simplePos x="0" y="0"/>
            <wp:positionH relativeFrom="column">
              <wp:posOffset>650875</wp:posOffset>
            </wp:positionH>
            <wp:positionV relativeFrom="paragraph">
              <wp:posOffset>-32385</wp:posOffset>
            </wp:positionV>
            <wp:extent cx="1815465" cy="1053465"/>
            <wp:effectExtent l="0" t="0" r="13335" b="13335"/>
            <wp:wrapNone/>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3"/>
                    <a:stretch>
                      <a:fillRect/>
                    </a:stretch>
                  </pic:blipFill>
                  <pic:spPr>
                    <a:xfrm>
                      <a:off x="0" y="0"/>
                      <a:ext cx="1815465" cy="1053465"/>
                    </a:xfrm>
                    <a:prstGeom prst="rect">
                      <a:avLst/>
                    </a:prstGeom>
                    <a:noFill/>
                    <a:ln>
                      <a:noFill/>
                    </a:ln>
                  </pic:spPr>
                </pic:pic>
              </a:graphicData>
            </a:graphic>
          </wp:anchor>
        </w:drawing>
      </w:r>
      <w:r>
        <w:rPr>
          <w:rFonts w:hint="eastAsia"/>
          <w:color w:val="000000" w:themeColor="text1"/>
          <w14:textFill>
            <w14:solidFill>
              <w14:schemeClr w14:val="tx1"/>
            </w14:solidFill>
          </w14:textFill>
        </w:rPr>
        <w:t>服务台：                                          附图一：</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   </w:t>
      </w: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61312" behindDoc="0" locked="0" layoutInCell="1" allowOverlap="1">
            <wp:simplePos x="0" y="0"/>
            <wp:positionH relativeFrom="column">
              <wp:posOffset>777240</wp:posOffset>
            </wp:positionH>
            <wp:positionV relativeFrom="paragraph">
              <wp:posOffset>126365</wp:posOffset>
            </wp:positionV>
            <wp:extent cx="1886585" cy="1122045"/>
            <wp:effectExtent l="0" t="0" r="18415" b="1905"/>
            <wp:wrapNone/>
            <wp:docPr id="2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9"/>
                    <pic:cNvPicPr>
                      <a:picLocks noChangeAspect="1"/>
                    </pic:cNvPicPr>
                  </pic:nvPicPr>
                  <pic:blipFill>
                    <a:blip r:embed="rId14"/>
                    <a:stretch>
                      <a:fillRect/>
                    </a:stretch>
                  </pic:blipFill>
                  <pic:spPr>
                    <a:xfrm>
                      <a:off x="0" y="0"/>
                      <a:ext cx="1886585" cy="1122045"/>
                    </a:xfrm>
                    <a:prstGeom prst="rect">
                      <a:avLst/>
                    </a:prstGeom>
                    <a:noFill/>
                    <a:ln>
                      <a:noFill/>
                    </a:ln>
                  </pic:spPr>
                </pic:pic>
              </a:graphicData>
            </a:graphic>
          </wp:anchor>
        </w:drawing>
      </w:r>
      <w:r>
        <w:rPr>
          <w:rFonts w:hint="eastAsia" w:ascii="宋体" w:hAnsi="宋体" w:cs="宋体"/>
          <w:color w:val="000000" w:themeColor="text1"/>
          <w:szCs w:val="21"/>
          <w14:textFill>
            <w14:solidFill>
              <w14:schemeClr w14:val="tx1"/>
            </w14:solidFill>
          </w14:textFill>
        </w:rPr>
        <w:drawing>
          <wp:anchor distT="0" distB="0" distL="114300" distR="114300" simplePos="0" relativeHeight="251662336" behindDoc="0" locked="0" layoutInCell="1" allowOverlap="1">
            <wp:simplePos x="0" y="0"/>
            <wp:positionH relativeFrom="column">
              <wp:posOffset>4748530</wp:posOffset>
            </wp:positionH>
            <wp:positionV relativeFrom="paragraph">
              <wp:posOffset>118110</wp:posOffset>
            </wp:positionV>
            <wp:extent cx="947420" cy="1451610"/>
            <wp:effectExtent l="0" t="0" r="5080" b="15240"/>
            <wp:wrapNone/>
            <wp:docPr id="22" name="图片 1" descr="屏幕快照 2017-04-11 23.14.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 descr="屏幕快照 2017-04-11 23.14.24.png"/>
                    <pic:cNvPicPr>
                      <a:picLocks noChangeAspect="1"/>
                    </pic:cNvPicPr>
                  </pic:nvPicPr>
                  <pic:blipFill>
                    <a:blip r:embed="rId15" cstate="print">
                      <a:extLst>
                        <a:ext uri="{28A0092B-C50C-407E-A947-70E740481C1C}">
                          <a14:useLocalDpi xmlns:a14="http://schemas.microsoft.com/office/drawing/2010/main" val="0"/>
                        </a:ext>
                      </a:extLst>
                    </a:blip>
                    <a:srcRect l="5717" t="12110" r="52764" b="2966"/>
                    <a:stretch>
                      <a:fillRect/>
                    </a:stretch>
                  </pic:blipFill>
                  <pic:spPr>
                    <a:xfrm>
                      <a:off x="0" y="0"/>
                      <a:ext cx="947420" cy="1451610"/>
                    </a:xfrm>
                    <a:prstGeom prst="rect">
                      <a:avLst/>
                    </a:prstGeom>
                  </pic:spPr>
                </pic:pic>
              </a:graphicData>
            </a:graphic>
          </wp:anchor>
        </w:drawing>
      </w:r>
      <w:r>
        <w:rPr>
          <w:rFonts w:hint="eastAsia"/>
          <w:color w:val="000000" w:themeColor="text1"/>
          <w14:textFill>
            <w14:solidFill>
              <w14:schemeClr w14:val="tx1"/>
            </w14:solidFill>
          </w14:textFill>
        </w:rPr>
        <w:t xml:space="preserve">    </w:t>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附图二：                                         办公椅：</w:t>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    </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63360" behindDoc="0" locked="0" layoutInCell="1" allowOverlap="1">
            <wp:simplePos x="0" y="0"/>
            <wp:positionH relativeFrom="column">
              <wp:posOffset>785495</wp:posOffset>
            </wp:positionH>
            <wp:positionV relativeFrom="paragraph">
              <wp:posOffset>229235</wp:posOffset>
            </wp:positionV>
            <wp:extent cx="2767330" cy="1459230"/>
            <wp:effectExtent l="0" t="0" r="13970" b="7620"/>
            <wp:wrapNone/>
            <wp:docPr id="2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
                    <pic:cNvPicPr>
                      <a:picLocks noChangeAspect="1"/>
                    </pic:cNvPicPr>
                  </pic:nvPicPr>
                  <pic:blipFill>
                    <a:blip r:embed="rId16"/>
                    <a:stretch>
                      <a:fillRect/>
                    </a:stretch>
                  </pic:blipFill>
                  <pic:spPr>
                    <a:xfrm>
                      <a:off x="0" y="0"/>
                      <a:ext cx="2767330" cy="1459230"/>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64384" behindDoc="0" locked="0" layoutInCell="1" allowOverlap="1">
            <wp:simplePos x="0" y="0"/>
            <wp:positionH relativeFrom="column">
              <wp:posOffset>4718050</wp:posOffset>
            </wp:positionH>
            <wp:positionV relativeFrom="paragraph">
              <wp:posOffset>131445</wp:posOffset>
            </wp:positionV>
            <wp:extent cx="1452880" cy="1533525"/>
            <wp:effectExtent l="0" t="0" r="13970" b="9525"/>
            <wp:wrapNone/>
            <wp:docPr id="168682"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682" name="图片 17"/>
                    <pic:cNvPicPr>
                      <a:picLocks noChangeAspect="1"/>
                    </pic:cNvPicPr>
                  </pic:nvPicPr>
                  <pic:blipFill>
                    <a:blip r:embed="rId17"/>
                    <a:srcRect b="9962"/>
                    <a:stretch>
                      <a:fillRect/>
                    </a:stretch>
                  </pic:blipFill>
                  <pic:spPr>
                    <a:xfrm>
                      <a:off x="0" y="0"/>
                      <a:ext cx="1452880" cy="1533525"/>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屏风隔断：                                       定制书柜：</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65408" behindDoc="0" locked="0" layoutInCell="1" allowOverlap="1">
            <wp:simplePos x="0" y="0"/>
            <wp:positionH relativeFrom="column">
              <wp:posOffset>704850</wp:posOffset>
            </wp:positionH>
            <wp:positionV relativeFrom="paragraph">
              <wp:posOffset>100965</wp:posOffset>
            </wp:positionV>
            <wp:extent cx="2016760" cy="2549525"/>
            <wp:effectExtent l="0" t="0" r="2540" b="3175"/>
            <wp:wrapNone/>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18"/>
                    <a:stretch>
                      <a:fillRect/>
                    </a:stretch>
                  </pic:blipFill>
                  <pic:spPr>
                    <a:xfrm>
                      <a:off x="0" y="0"/>
                      <a:ext cx="2016760" cy="2549525"/>
                    </a:xfrm>
                    <a:prstGeom prst="rect">
                      <a:avLst/>
                    </a:prstGeom>
                    <a:noFill/>
                    <a:ln>
                      <a:noFill/>
                    </a:ln>
                  </pic:spPr>
                </pic:pic>
              </a:graphicData>
            </a:graphic>
          </wp:anchor>
        </w:drawing>
      </w: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66432" behindDoc="0" locked="0" layoutInCell="1" allowOverlap="1">
            <wp:simplePos x="0" y="0"/>
            <wp:positionH relativeFrom="column">
              <wp:posOffset>4375150</wp:posOffset>
            </wp:positionH>
            <wp:positionV relativeFrom="paragraph">
              <wp:posOffset>85090</wp:posOffset>
            </wp:positionV>
            <wp:extent cx="2171065" cy="2480945"/>
            <wp:effectExtent l="0" t="0" r="635" b="14605"/>
            <wp:wrapNone/>
            <wp:docPr id="16875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759" name="图片 1"/>
                    <pic:cNvPicPr>
                      <a:picLocks noChangeAspect="1"/>
                    </pic:cNvPicPr>
                  </pic:nvPicPr>
                  <pic:blipFill>
                    <a:blip r:embed="rId19"/>
                    <a:stretch>
                      <a:fillRect/>
                    </a:stretch>
                  </pic:blipFill>
                  <pic:spPr>
                    <a:xfrm>
                      <a:off x="0" y="0"/>
                      <a:ext cx="2171065" cy="2480945"/>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小展柜：                                         实木桌：</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drawing>
          <wp:anchor distT="0" distB="0" distL="114300" distR="114300" simplePos="0" relativeHeight="251668480" behindDoc="0" locked="0" layoutInCell="1" allowOverlap="1">
            <wp:simplePos x="0" y="0"/>
            <wp:positionH relativeFrom="column">
              <wp:posOffset>4387850</wp:posOffset>
            </wp:positionH>
            <wp:positionV relativeFrom="paragraph">
              <wp:posOffset>124460</wp:posOffset>
            </wp:positionV>
            <wp:extent cx="1663065" cy="1986915"/>
            <wp:effectExtent l="0" t="0" r="13335" b="13335"/>
            <wp:wrapNone/>
            <wp:docPr id="24"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 descr="IMG_256"/>
                    <pic:cNvPicPr>
                      <a:picLocks noChangeAspect="1"/>
                    </pic:cNvPicPr>
                  </pic:nvPicPr>
                  <pic:blipFill>
                    <a:blip r:embed="rId20"/>
                    <a:stretch>
                      <a:fillRect/>
                    </a:stretch>
                  </pic:blipFill>
                  <pic:spPr>
                    <a:xfrm>
                      <a:off x="0" y="0"/>
                      <a:ext cx="1663065" cy="1986915"/>
                    </a:xfrm>
                    <a:prstGeom prst="rect">
                      <a:avLst/>
                    </a:prstGeom>
                    <a:noFill/>
                    <a:ln w="9525">
                      <a:noFill/>
                    </a:ln>
                  </pic:spPr>
                </pic:pic>
              </a:graphicData>
            </a:graphic>
          </wp:anchor>
        </w:drawing>
      </w:r>
      <w:r>
        <w:rPr>
          <w:rFonts w:hint="eastAsia" w:ascii="宋体" w:hAnsi="宋体" w:cs="宋体"/>
          <w:color w:val="000000" w:themeColor="text1"/>
          <w:kern w:val="0"/>
          <w:szCs w:val="21"/>
          <w14:textFill>
            <w14:solidFill>
              <w14:schemeClr w14:val="tx1"/>
            </w14:solidFill>
          </w14:textFill>
        </w:rPr>
        <w:drawing>
          <wp:anchor distT="0" distB="0" distL="114300" distR="114300" simplePos="0" relativeHeight="251667456" behindDoc="0" locked="0" layoutInCell="1" allowOverlap="1">
            <wp:simplePos x="0" y="0"/>
            <wp:positionH relativeFrom="column">
              <wp:posOffset>689610</wp:posOffset>
            </wp:positionH>
            <wp:positionV relativeFrom="paragraph">
              <wp:posOffset>112395</wp:posOffset>
            </wp:positionV>
            <wp:extent cx="1553210" cy="1798320"/>
            <wp:effectExtent l="0" t="0" r="8890" b="11430"/>
            <wp:wrapNone/>
            <wp:docPr id="12"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3" descr="IMG_256"/>
                    <pic:cNvPicPr>
                      <a:picLocks noChangeAspect="1"/>
                    </pic:cNvPicPr>
                  </pic:nvPicPr>
                  <pic:blipFill>
                    <a:blip r:embed="rId21"/>
                    <a:stretch>
                      <a:fillRect/>
                    </a:stretch>
                  </pic:blipFill>
                  <pic:spPr>
                    <a:xfrm>
                      <a:off x="0" y="0"/>
                      <a:ext cx="1553210" cy="1798320"/>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木书架：                                     第10项屏风：</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70528" behindDoc="0" locked="0" layoutInCell="1" allowOverlap="1">
            <wp:simplePos x="0" y="0"/>
            <wp:positionH relativeFrom="column">
              <wp:posOffset>4495800</wp:posOffset>
            </wp:positionH>
            <wp:positionV relativeFrom="paragraph">
              <wp:posOffset>160020</wp:posOffset>
            </wp:positionV>
            <wp:extent cx="1367155" cy="1672590"/>
            <wp:effectExtent l="0" t="0" r="4445" b="3810"/>
            <wp:wrapNone/>
            <wp:docPr id="168771" name="图片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771" name="图片 71"/>
                    <pic:cNvPicPr>
                      <a:picLocks noChangeAspect="1"/>
                    </pic:cNvPicPr>
                  </pic:nvPicPr>
                  <pic:blipFill>
                    <a:blip r:embed="rId22"/>
                    <a:stretch>
                      <a:fillRect/>
                    </a:stretch>
                  </pic:blipFill>
                  <pic:spPr>
                    <a:xfrm>
                      <a:off x="0" y="0"/>
                      <a:ext cx="1367155" cy="1672590"/>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69504" behindDoc="0" locked="0" layoutInCell="1" allowOverlap="1">
            <wp:simplePos x="0" y="0"/>
            <wp:positionH relativeFrom="column">
              <wp:posOffset>641350</wp:posOffset>
            </wp:positionH>
            <wp:positionV relativeFrom="paragraph">
              <wp:posOffset>20320</wp:posOffset>
            </wp:positionV>
            <wp:extent cx="2281555" cy="1463675"/>
            <wp:effectExtent l="0" t="0" r="4445" b="3175"/>
            <wp:wrapNone/>
            <wp:docPr id="25"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67"/>
                    <pic:cNvPicPr>
                      <a:picLocks noChangeAspect="1"/>
                    </pic:cNvPicPr>
                  </pic:nvPicPr>
                  <pic:blipFill>
                    <a:blip r:embed="rId23"/>
                    <a:stretch>
                      <a:fillRect/>
                    </a:stretch>
                  </pic:blipFill>
                  <pic:spPr>
                    <a:xfrm>
                      <a:off x="0" y="0"/>
                      <a:ext cx="2281555" cy="1463675"/>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阅览桌：                                           阅览椅：</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72576" behindDoc="0" locked="0" layoutInCell="1" allowOverlap="1">
            <wp:simplePos x="0" y="0"/>
            <wp:positionH relativeFrom="column">
              <wp:posOffset>4327525</wp:posOffset>
            </wp:positionH>
            <wp:positionV relativeFrom="paragraph">
              <wp:posOffset>187325</wp:posOffset>
            </wp:positionV>
            <wp:extent cx="2148205" cy="1626235"/>
            <wp:effectExtent l="0" t="0" r="4445" b="12065"/>
            <wp:wrapNone/>
            <wp:docPr id="168769" name="图片 2" descr="5bc54d9a54d6f1bff0659fdc609545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769" name="图片 2" descr="5bc54d9a54d6f1bff0659fdc609545a"/>
                    <pic:cNvPicPr>
                      <a:picLocks noChangeAspect="1"/>
                    </pic:cNvPicPr>
                  </pic:nvPicPr>
                  <pic:blipFill>
                    <a:blip r:embed="rId24"/>
                    <a:stretch>
                      <a:fillRect/>
                    </a:stretch>
                  </pic:blipFill>
                  <pic:spPr>
                    <a:xfrm>
                      <a:off x="0" y="0"/>
                      <a:ext cx="2148205" cy="1626235"/>
                    </a:xfrm>
                    <a:prstGeom prst="rect">
                      <a:avLst/>
                    </a:prstGeom>
                    <a:noFill/>
                    <a:ln w="9525">
                      <a:noFill/>
                    </a:ln>
                  </pic:spPr>
                </pic:pic>
              </a:graphicData>
            </a:graphic>
          </wp:anchor>
        </w:drawing>
      </w:r>
      <w:r>
        <w:rPr>
          <w:rFonts w:hint="eastAsia" w:ascii="宋体" w:hAnsi="宋体" w:cs="宋体"/>
          <w:color w:val="000000" w:themeColor="text1"/>
          <w:szCs w:val="21"/>
          <w14:textFill>
            <w14:solidFill>
              <w14:schemeClr w14:val="tx1"/>
            </w14:solidFill>
          </w14:textFill>
        </w:rPr>
        <w:drawing>
          <wp:anchor distT="0" distB="0" distL="114300" distR="114300" simplePos="0" relativeHeight="251671552" behindDoc="0" locked="0" layoutInCell="1" allowOverlap="1">
            <wp:simplePos x="0" y="0"/>
            <wp:positionH relativeFrom="column">
              <wp:posOffset>823595</wp:posOffset>
            </wp:positionH>
            <wp:positionV relativeFrom="paragraph">
              <wp:posOffset>93345</wp:posOffset>
            </wp:positionV>
            <wp:extent cx="2141855" cy="1716405"/>
            <wp:effectExtent l="0" t="0" r="10795" b="17145"/>
            <wp:wrapNone/>
            <wp:docPr id="16877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772" name="图片 3"/>
                    <pic:cNvPicPr>
                      <a:picLocks noChangeAspect="1"/>
                    </pic:cNvPicPr>
                  </pic:nvPicPr>
                  <pic:blipFill>
                    <a:blip r:embed="rId25"/>
                    <a:stretch>
                      <a:fillRect/>
                    </a:stretch>
                  </pic:blipFill>
                  <pic:spPr>
                    <a:xfrm>
                      <a:off x="0" y="0"/>
                      <a:ext cx="2141855" cy="1716405"/>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书画桌：                                     第14项屏风：</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74624" behindDoc="0" locked="0" layoutInCell="1" allowOverlap="1">
            <wp:simplePos x="0" y="0"/>
            <wp:positionH relativeFrom="column">
              <wp:posOffset>3992880</wp:posOffset>
            </wp:positionH>
            <wp:positionV relativeFrom="paragraph">
              <wp:posOffset>160020</wp:posOffset>
            </wp:positionV>
            <wp:extent cx="1341755" cy="1788795"/>
            <wp:effectExtent l="0" t="0" r="10795" b="1905"/>
            <wp:wrapNone/>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26"/>
                    <a:stretch>
                      <a:fillRect/>
                    </a:stretch>
                  </pic:blipFill>
                  <pic:spPr>
                    <a:xfrm>
                      <a:off x="0" y="0"/>
                      <a:ext cx="1341755" cy="1788795"/>
                    </a:xfrm>
                    <a:prstGeom prst="rect">
                      <a:avLst/>
                    </a:prstGeom>
                    <a:noFill/>
                    <a:ln>
                      <a:noFill/>
                    </a:ln>
                  </pic:spPr>
                </pic:pic>
              </a:graphicData>
            </a:graphic>
          </wp:anchor>
        </w:drawing>
      </w:r>
      <w:r>
        <w:rPr>
          <w:rFonts w:hint="eastAsia" w:ascii="宋体" w:hAnsi="宋体" w:cs="宋体"/>
          <w:color w:val="000000" w:themeColor="text1"/>
          <w:szCs w:val="21"/>
          <w14:textFill>
            <w14:solidFill>
              <w14:schemeClr w14:val="tx1"/>
            </w14:solidFill>
          </w14:textFill>
        </w:rPr>
        <w:drawing>
          <wp:anchor distT="0" distB="0" distL="114300" distR="114300" simplePos="0" relativeHeight="251673600" behindDoc="0" locked="0" layoutInCell="1" allowOverlap="1">
            <wp:simplePos x="0" y="0"/>
            <wp:positionH relativeFrom="column">
              <wp:posOffset>1212850</wp:posOffset>
            </wp:positionH>
            <wp:positionV relativeFrom="paragraph">
              <wp:posOffset>145415</wp:posOffset>
            </wp:positionV>
            <wp:extent cx="1866265" cy="1766570"/>
            <wp:effectExtent l="0" t="0" r="635" b="5080"/>
            <wp:wrapNone/>
            <wp:docPr id="168657" name="图片 1" descr="90$PS2]_}43WLSSG%KK[R(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657" name="图片 1" descr="90$PS2]_}43WLSSG%KK[R(F"/>
                    <pic:cNvPicPr>
                      <a:picLocks noChangeAspect="1"/>
                    </pic:cNvPicPr>
                  </pic:nvPicPr>
                  <pic:blipFill>
                    <a:blip r:embed="rId27"/>
                    <a:stretch>
                      <a:fillRect/>
                    </a:stretch>
                  </pic:blipFill>
                  <pic:spPr>
                    <a:xfrm>
                      <a:off x="0" y="0"/>
                      <a:ext cx="1866265" cy="1766570"/>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p>
    <w:p>
      <w:pPr>
        <w:pStyle w:val="12"/>
        <w:rPr>
          <w:rFonts w:hint="eastAsia" w:eastAsia="宋体"/>
          <w:color w:val="000000" w:themeColor="text1"/>
          <w:lang w:val="en-US" w:eastAsia="zh-CN"/>
          <w14:textFill>
            <w14:solidFill>
              <w14:schemeClr w14:val="tx1"/>
            </w14:solidFill>
          </w14:textFill>
        </w:rPr>
      </w:pPr>
      <w:r>
        <w:rPr>
          <w:rFonts w:hint="eastAsia"/>
          <w:color w:val="000000" w:themeColor="text1"/>
          <w14:textFill>
            <w14:solidFill>
              <w14:schemeClr w14:val="tx1"/>
            </w14:solidFill>
          </w14:textFill>
        </w:rPr>
        <w:t xml:space="preserve">1号修复工作台：                           </w:t>
      </w:r>
      <w:r>
        <w:rPr>
          <w:rFonts w:hint="eastAsia"/>
          <w:color w:val="000000" w:themeColor="text1"/>
          <w:lang w:val="en-US" w:eastAsia="zh-CN"/>
          <w14:textFill>
            <w14:solidFill>
              <w14:schemeClr w14:val="tx1"/>
            </w14:solidFill>
          </w14:textFill>
        </w:rPr>
        <w:t>保险柜：</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76672" behindDoc="0" locked="0" layoutInCell="1" allowOverlap="1">
            <wp:simplePos x="0" y="0"/>
            <wp:positionH relativeFrom="column">
              <wp:posOffset>4018280</wp:posOffset>
            </wp:positionH>
            <wp:positionV relativeFrom="paragraph">
              <wp:posOffset>116840</wp:posOffset>
            </wp:positionV>
            <wp:extent cx="1496695" cy="1624965"/>
            <wp:effectExtent l="0" t="0" r="8255" b="13335"/>
            <wp:wrapNone/>
            <wp:docPr id="168680" name="Picture 156" descr="修复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680" name="Picture 156" descr="修复桌"/>
                    <pic:cNvPicPr>
                      <a:picLocks noChangeAspect="1"/>
                    </pic:cNvPicPr>
                  </pic:nvPicPr>
                  <pic:blipFill>
                    <a:blip r:embed="rId28"/>
                    <a:srcRect t="40779" r="59282"/>
                    <a:stretch>
                      <a:fillRect/>
                    </a:stretch>
                  </pic:blipFill>
                  <pic:spPr>
                    <a:xfrm>
                      <a:off x="0" y="0"/>
                      <a:ext cx="1496695" cy="1624965"/>
                    </a:xfrm>
                    <a:prstGeom prst="rect">
                      <a:avLst/>
                    </a:prstGeom>
                    <a:noFill/>
                    <a:ln w="9525">
                      <a:noFill/>
                    </a:ln>
                  </pic:spPr>
                </pic:pic>
              </a:graphicData>
            </a:graphic>
          </wp:anchor>
        </w:drawing>
      </w:r>
      <w:r>
        <w:rPr>
          <w:rFonts w:hint="eastAsia" w:ascii="宋体" w:hAnsi="宋体" w:cs="宋体"/>
          <w:color w:val="000000" w:themeColor="text1"/>
          <w:szCs w:val="21"/>
          <w14:textFill>
            <w14:solidFill>
              <w14:schemeClr w14:val="tx1"/>
            </w14:solidFill>
          </w14:textFill>
        </w:rPr>
        <w:drawing>
          <wp:anchor distT="0" distB="0" distL="114300" distR="114300" simplePos="0" relativeHeight="251675648" behindDoc="0" locked="0" layoutInCell="1" allowOverlap="1">
            <wp:simplePos x="0" y="0"/>
            <wp:positionH relativeFrom="column">
              <wp:posOffset>1149350</wp:posOffset>
            </wp:positionH>
            <wp:positionV relativeFrom="paragraph">
              <wp:posOffset>96520</wp:posOffset>
            </wp:positionV>
            <wp:extent cx="1821815" cy="1724660"/>
            <wp:effectExtent l="0" t="0" r="6985" b="8890"/>
            <wp:wrapNone/>
            <wp:docPr id="5" name="图片 1" descr="90$PS2]_}43WLSSG%KK[R(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90$PS2]_}43WLSSG%KK[R(F"/>
                    <pic:cNvPicPr>
                      <a:picLocks noChangeAspect="1"/>
                    </pic:cNvPicPr>
                  </pic:nvPicPr>
                  <pic:blipFill>
                    <a:blip r:embed="rId27"/>
                    <a:stretch>
                      <a:fillRect/>
                    </a:stretch>
                  </pic:blipFill>
                  <pic:spPr>
                    <a:xfrm>
                      <a:off x="0" y="0"/>
                      <a:ext cx="1821815" cy="1724660"/>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2号修复工作台：                             边柜1：</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78720" behindDoc="0" locked="0" layoutInCell="1" allowOverlap="1">
            <wp:simplePos x="0" y="0"/>
            <wp:positionH relativeFrom="column">
              <wp:posOffset>4098925</wp:posOffset>
            </wp:positionH>
            <wp:positionV relativeFrom="paragraph">
              <wp:posOffset>233045</wp:posOffset>
            </wp:positionV>
            <wp:extent cx="1788160" cy="1341755"/>
            <wp:effectExtent l="0" t="0" r="2540" b="10795"/>
            <wp:wrapNone/>
            <wp:docPr id="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pic:cNvPicPr>
                      <a:picLocks noChangeAspect="1"/>
                    </pic:cNvPicPr>
                  </pic:nvPicPr>
                  <pic:blipFill>
                    <a:blip r:embed="rId29"/>
                    <a:stretch>
                      <a:fillRect/>
                    </a:stretch>
                  </pic:blipFill>
                  <pic:spPr>
                    <a:xfrm>
                      <a:off x="0" y="0"/>
                      <a:ext cx="1788160" cy="1341755"/>
                    </a:xfrm>
                    <a:prstGeom prst="rect">
                      <a:avLst/>
                    </a:prstGeom>
                    <a:noFill/>
                    <a:ln>
                      <a:noFill/>
                    </a:ln>
                  </pic:spPr>
                </pic:pic>
              </a:graphicData>
            </a:graphic>
          </wp:anchor>
        </w:drawing>
      </w:r>
      <w:r>
        <w:rPr>
          <w:rFonts w:hint="eastAsia" w:ascii="宋体" w:hAnsi="宋体" w:cs="宋体"/>
          <w:color w:val="000000" w:themeColor="text1"/>
          <w:szCs w:val="21"/>
          <w14:textFill>
            <w14:solidFill>
              <w14:schemeClr w14:val="tx1"/>
            </w14:solidFill>
          </w14:textFill>
        </w:rPr>
        <w:drawing>
          <wp:anchor distT="0" distB="0" distL="114300" distR="114300" simplePos="0" relativeHeight="251677696" behindDoc="0" locked="0" layoutInCell="1" allowOverlap="1">
            <wp:simplePos x="0" y="0"/>
            <wp:positionH relativeFrom="column">
              <wp:posOffset>587375</wp:posOffset>
            </wp:positionH>
            <wp:positionV relativeFrom="paragraph">
              <wp:posOffset>216535</wp:posOffset>
            </wp:positionV>
            <wp:extent cx="1349375" cy="1323975"/>
            <wp:effectExtent l="0" t="0" r="3175" b="9525"/>
            <wp:wrapNone/>
            <wp:docPr id="168679" name="Picture 156" descr="修复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679" name="Picture 156" descr="修复桌"/>
                    <pic:cNvPicPr>
                      <a:picLocks noChangeAspect="1"/>
                    </pic:cNvPicPr>
                  </pic:nvPicPr>
                  <pic:blipFill>
                    <a:blip r:embed="rId28"/>
                    <a:srcRect r="59282" b="46225"/>
                    <a:stretch>
                      <a:fillRect/>
                    </a:stretch>
                  </pic:blipFill>
                  <pic:spPr>
                    <a:xfrm>
                      <a:off x="0" y="0"/>
                      <a:ext cx="1349375" cy="1323975"/>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边柜2：</w:t>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                                          实木置物架：</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80768" behindDoc="0" locked="0" layoutInCell="1" allowOverlap="1">
            <wp:simplePos x="0" y="0"/>
            <wp:positionH relativeFrom="column">
              <wp:posOffset>3929380</wp:posOffset>
            </wp:positionH>
            <wp:positionV relativeFrom="paragraph">
              <wp:posOffset>233045</wp:posOffset>
            </wp:positionV>
            <wp:extent cx="1958340" cy="1675130"/>
            <wp:effectExtent l="0" t="0" r="3810" b="1270"/>
            <wp:wrapNone/>
            <wp:docPr id="168736" name="Picture 1147" descr="C:\Users\lenovo\Documents\Tencent Files\327811839\Image\Group2\SE\CO\SECOR%N2`JBI)TZ$QWH54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736" name="Picture 1147" descr="C:\Users\lenovo\Documents\Tencent Files\327811839\Image\Group2\SE\CO\SECOR%N2`JBI)TZ$QWH54RA.jpg"/>
                    <pic:cNvPicPr>
                      <a:picLocks noChangeAspect="1"/>
                    </pic:cNvPicPr>
                  </pic:nvPicPr>
                  <pic:blipFill>
                    <a:blip r:embed="rId30"/>
                    <a:srcRect l="6012" t="7405" r="17592" b="5678"/>
                    <a:stretch>
                      <a:fillRect/>
                    </a:stretch>
                  </pic:blipFill>
                  <pic:spPr>
                    <a:xfrm>
                      <a:off x="0" y="0"/>
                      <a:ext cx="1958340" cy="1675130"/>
                    </a:xfrm>
                    <a:prstGeom prst="rect">
                      <a:avLst/>
                    </a:prstGeom>
                    <a:noFill/>
                    <a:ln w="9525">
                      <a:noFill/>
                    </a:ln>
                  </pic:spPr>
                </pic:pic>
              </a:graphicData>
            </a:graphic>
          </wp:anchor>
        </w:drawing>
      </w:r>
      <w:r>
        <w:rPr>
          <w:rFonts w:hint="eastAsia" w:ascii="宋体" w:hAnsi="宋体" w:cs="宋体"/>
          <w:b/>
          <w:color w:val="000000" w:themeColor="text1"/>
          <w:szCs w:val="21"/>
          <w14:textFill>
            <w14:solidFill>
              <w14:schemeClr w14:val="tx1"/>
            </w14:solidFill>
          </w14:textFill>
        </w:rPr>
        <w:drawing>
          <wp:anchor distT="0" distB="0" distL="114300" distR="114300" simplePos="0" relativeHeight="251679744" behindDoc="0" locked="0" layoutInCell="1" allowOverlap="1">
            <wp:simplePos x="0" y="0"/>
            <wp:positionH relativeFrom="column">
              <wp:posOffset>737870</wp:posOffset>
            </wp:positionH>
            <wp:positionV relativeFrom="paragraph">
              <wp:posOffset>186690</wp:posOffset>
            </wp:positionV>
            <wp:extent cx="1371600" cy="1793875"/>
            <wp:effectExtent l="0" t="0" r="0" b="15875"/>
            <wp:wrapNone/>
            <wp:docPr id="6" name="图片 6"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图片1"/>
                    <pic:cNvPicPr>
                      <a:picLocks noChangeAspect="1"/>
                    </pic:cNvPicPr>
                  </pic:nvPicPr>
                  <pic:blipFill>
                    <a:blip r:embed="rId31"/>
                    <a:stretch>
                      <a:fillRect/>
                    </a:stretch>
                  </pic:blipFill>
                  <pic:spPr>
                    <a:xfrm>
                      <a:off x="0" y="0"/>
                      <a:ext cx="1371600" cy="1793875"/>
                    </a:xfrm>
                    <a:prstGeom prst="rect">
                      <a:avLst/>
                    </a:prstGeom>
                  </pic:spPr>
                </pic:pic>
              </a:graphicData>
            </a:graphic>
          </wp:anchor>
        </w:drawing>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  实木椅：                                实木柜：</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82816" behindDoc="0" locked="0" layoutInCell="1" allowOverlap="1">
            <wp:simplePos x="0" y="0"/>
            <wp:positionH relativeFrom="column">
              <wp:posOffset>4038600</wp:posOffset>
            </wp:positionH>
            <wp:positionV relativeFrom="paragraph">
              <wp:posOffset>226695</wp:posOffset>
            </wp:positionV>
            <wp:extent cx="1983740" cy="1485265"/>
            <wp:effectExtent l="0" t="0" r="16510" b="635"/>
            <wp:wrapNone/>
            <wp:docPr id="168740" name="图片 2" descr="814194227112030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740" name="图片 2" descr="814194227112030871"/>
                    <pic:cNvPicPr>
                      <a:picLocks noChangeAspect="1"/>
                    </pic:cNvPicPr>
                  </pic:nvPicPr>
                  <pic:blipFill>
                    <a:blip r:embed="rId32"/>
                    <a:stretch>
                      <a:fillRect/>
                    </a:stretch>
                  </pic:blipFill>
                  <pic:spPr>
                    <a:xfrm>
                      <a:off x="0" y="0"/>
                      <a:ext cx="1983740" cy="1485265"/>
                    </a:xfrm>
                    <a:prstGeom prst="rect">
                      <a:avLst/>
                    </a:prstGeom>
                    <a:noFill/>
                    <a:ln w="9525">
                      <a:noFill/>
                    </a:ln>
                  </pic:spPr>
                </pic:pic>
              </a:graphicData>
            </a:graphic>
          </wp:anchor>
        </w:drawing>
      </w:r>
      <w:r>
        <w:rPr>
          <w:rFonts w:hint="eastAsia" w:ascii="宋体" w:hAnsi="宋体" w:cs="宋体"/>
          <w:color w:val="000000" w:themeColor="text1"/>
          <w:szCs w:val="21"/>
          <w14:textFill>
            <w14:solidFill>
              <w14:schemeClr w14:val="tx1"/>
            </w14:solidFill>
          </w14:textFill>
        </w:rPr>
        <w:drawing>
          <wp:anchor distT="0" distB="0" distL="114300" distR="114300" simplePos="0" relativeHeight="251681792" behindDoc="0" locked="0" layoutInCell="1" allowOverlap="1">
            <wp:simplePos x="0" y="0"/>
            <wp:positionH relativeFrom="column">
              <wp:posOffset>513080</wp:posOffset>
            </wp:positionH>
            <wp:positionV relativeFrom="paragraph">
              <wp:posOffset>223520</wp:posOffset>
            </wp:positionV>
            <wp:extent cx="1610995" cy="1369695"/>
            <wp:effectExtent l="0" t="0" r="8255" b="1905"/>
            <wp:wrapNone/>
            <wp:docPr id="16866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669" name="图片 2"/>
                    <pic:cNvPicPr>
                      <a:picLocks noChangeAspect="1"/>
                    </pic:cNvPicPr>
                  </pic:nvPicPr>
                  <pic:blipFill>
                    <a:blip r:embed="rId33"/>
                    <a:stretch>
                      <a:fillRect/>
                    </a:stretch>
                  </pic:blipFill>
                  <pic:spPr>
                    <a:xfrm>
                      <a:off x="0" y="0"/>
                      <a:ext cx="1610995" cy="1369695"/>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矮柜：                                     定做裱台：</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83840" behindDoc="0" locked="0" layoutInCell="1" allowOverlap="1">
            <wp:simplePos x="0" y="0"/>
            <wp:positionH relativeFrom="column">
              <wp:posOffset>496570</wp:posOffset>
            </wp:positionH>
            <wp:positionV relativeFrom="paragraph">
              <wp:posOffset>139065</wp:posOffset>
            </wp:positionV>
            <wp:extent cx="1345565" cy="1688465"/>
            <wp:effectExtent l="0" t="0" r="6985" b="6985"/>
            <wp:wrapNone/>
            <wp:docPr id="7" name="图片 7"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图片1"/>
                    <pic:cNvPicPr>
                      <a:picLocks noChangeAspect="1"/>
                    </pic:cNvPicPr>
                  </pic:nvPicPr>
                  <pic:blipFill>
                    <a:blip r:embed="rId34"/>
                    <a:stretch>
                      <a:fillRect/>
                    </a:stretch>
                  </pic:blipFill>
                  <pic:spPr>
                    <a:xfrm>
                      <a:off x="0" y="0"/>
                      <a:ext cx="1345565" cy="1688465"/>
                    </a:xfrm>
                    <a:prstGeom prst="rect">
                      <a:avLst/>
                    </a:prstGeom>
                  </pic:spPr>
                </pic:pic>
              </a:graphicData>
            </a:graphic>
          </wp:anchor>
        </w:drawing>
      </w: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84864" behindDoc="0" locked="0" layoutInCell="1" allowOverlap="1">
            <wp:simplePos x="0" y="0"/>
            <wp:positionH relativeFrom="column">
              <wp:posOffset>3852545</wp:posOffset>
            </wp:positionH>
            <wp:positionV relativeFrom="paragraph">
              <wp:posOffset>2540</wp:posOffset>
            </wp:positionV>
            <wp:extent cx="1780540" cy="1697990"/>
            <wp:effectExtent l="0" t="0" r="10160" b="16510"/>
            <wp:wrapNone/>
            <wp:docPr id="168735" name="图片 1"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735" name="图片 1" descr="IMG_267"/>
                    <pic:cNvPicPr>
                      <a:picLocks noChangeAspect="1"/>
                    </pic:cNvPicPr>
                  </pic:nvPicPr>
                  <pic:blipFill>
                    <a:blip r:embed="rId35"/>
                    <a:stretch>
                      <a:fillRect/>
                    </a:stretch>
                  </pic:blipFill>
                  <pic:spPr>
                    <a:xfrm>
                      <a:off x="0" y="0"/>
                      <a:ext cx="1780540" cy="1697990"/>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纸柜：                                     货架：</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drawing>
          <wp:anchor distT="0" distB="0" distL="114300" distR="114300" simplePos="0" relativeHeight="251686912" behindDoc="0" locked="0" layoutInCell="1" allowOverlap="1">
            <wp:simplePos x="0" y="0"/>
            <wp:positionH relativeFrom="column">
              <wp:posOffset>2395220</wp:posOffset>
            </wp:positionH>
            <wp:positionV relativeFrom="paragraph">
              <wp:posOffset>-93980</wp:posOffset>
            </wp:positionV>
            <wp:extent cx="1845945" cy="1549400"/>
            <wp:effectExtent l="0" t="0" r="1905" b="12700"/>
            <wp:wrapNone/>
            <wp:docPr id="48" name="图片 2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26" descr="IMG_256"/>
                    <pic:cNvPicPr>
                      <a:picLocks noChangeAspect="1"/>
                    </pic:cNvPicPr>
                  </pic:nvPicPr>
                  <pic:blipFill>
                    <a:blip r:embed="rId36"/>
                    <a:stretch>
                      <a:fillRect/>
                    </a:stretch>
                  </pic:blipFill>
                  <pic:spPr>
                    <a:xfrm>
                      <a:off x="0" y="0"/>
                      <a:ext cx="1845945" cy="1549400"/>
                    </a:xfrm>
                    <a:prstGeom prst="rect">
                      <a:avLst/>
                    </a:prstGeom>
                    <a:noFill/>
                    <a:ln w="9525">
                      <a:noFill/>
                    </a:ln>
                  </pic:spPr>
                </pic:pic>
              </a:graphicData>
            </a:graphic>
          </wp:anchor>
        </w:drawing>
      </w:r>
      <w:r>
        <w:rPr>
          <w:rFonts w:hint="eastAsia" w:ascii="宋体" w:hAnsi="宋体" w:cs="宋体"/>
          <w:color w:val="000000" w:themeColor="text1"/>
          <w:szCs w:val="21"/>
          <w14:textFill>
            <w14:solidFill>
              <w14:schemeClr w14:val="tx1"/>
            </w14:solidFill>
          </w14:textFill>
        </w:rPr>
        <w:drawing>
          <wp:anchor distT="0" distB="0" distL="114300" distR="114300" simplePos="0" relativeHeight="251685888" behindDoc="0" locked="0" layoutInCell="1" allowOverlap="1">
            <wp:simplePos x="0" y="0"/>
            <wp:positionH relativeFrom="column">
              <wp:posOffset>680720</wp:posOffset>
            </wp:positionH>
            <wp:positionV relativeFrom="paragraph">
              <wp:posOffset>-75565</wp:posOffset>
            </wp:positionV>
            <wp:extent cx="1398270" cy="1604010"/>
            <wp:effectExtent l="0" t="0" r="11430" b="15240"/>
            <wp:wrapNone/>
            <wp:docPr id="168659" name="图片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659" name="图片 87"/>
                    <pic:cNvPicPr>
                      <a:picLocks noChangeAspect="1"/>
                    </pic:cNvPicPr>
                  </pic:nvPicPr>
                  <pic:blipFill>
                    <a:blip r:embed="rId37"/>
                    <a:stretch>
                      <a:fillRect/>
                    </a:stretch>
                  </pic:blipFill>
                  <pic:spPr>
                    <a:xfrm>
                      <a:off x="0" y="0"/>
                      <a:ext cx="1398270" cy="1604010"/>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接待椅：                    </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88960" behindDoc="0" locked="0" layoutInCell="1" allowOverlap="1">
            <wp:simplePos x="0" y="0"/>
            <wp:positionH relativeFrom="column">
              <wp:posOffset>3768725</wp:posOffset>
            </wp:positionH>
            <wp:positionV relativeFrom="paragraph">
              <wp:posOffset>169545</wp:posOffset>
            </wp:positionV>
            <wp:extent cx="2120265" cy="2120265"/>
            <wp:effectExtent l="0" t="0" r="13335" b="13335"/>
            <wp:wrapNone/>
            <wp:docPr id="5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3"/>
                    <pic:cNvPicPr>
                      <a:picLocks noChangeAspect="1"/>
                    </pic:cNvPicPr>
                  </pic:nvPicPr>
                  <pic:blipFill>
                    <a:blip r:embed="rId38"/>
                    <a:srcRect b="16072"/>
                    <a:stretch>
                      <a:fillRect/>
                    </a:stretch>
                  </pic:blipFill>
                  <pic:spPr>
                    <a:xfrm>
                      <a:off x="0" y="0"/>
                      <a:ext cx="2120265" cy="2120265"/>
                    </a:xfrm>
                    <a:prstGeom prst="rect">
                      <a:avLst/>
                    </a:prstGeom>
                    <a:noFill/>
                    <a:ln w="9525">
                      <a:noFill/>
                    </a:ln>
                  </pic:spPr>
                </pic:pic>
              </a:graphicData>
            </a:graphic>
          </wp:anchor>
        </w:drawing>
      </w:r>
      <w:r>
        <w:rPr>
          <w:rFonts w:hint="eastAsia" w:ascii="宋体" w:hAnsi="宋体" w:cs="宋体"/>
          <w:color w:val="000000" w:themeColor="text1"/>
          <w:szCs w:val="21"/>
          <w14:textFill>
            <w14:solidFill>
              <w14:schemeClr w14:val="tx1"/>
            </w14:solidFill>
          </w14:textFill>
        </w:rPr>
        <w:drawing>
          <wp:anchor distT="0" distB="0" distL="114300" distR="114300" simplePos="0" relativeHeight="251687936" behindDoc="0" locked="0" layoutInCell="1" allowOverlap="1">
            <wp:simplePos x="0" y="0"/>
            <wp:positionH relativeFrom="column">
              <wp:posOffset>865505</wp:posOffset>
            </wp:positionH>
            <wp:positionV relativeFrom="paragraph">
              <wp:posOffset>67310</wp:posOffset>
            </wp:positionV>
            <wp:extent cx="1732915" cy="1978025"/>
            <wp:effectExtent l="0" t="0" r="635" b="3175"/>
            <wp:wrapNone/>
            <wp:docPr id="49"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14"/>
                    <pic:cNvPicPr>
                      <a:picLocks noChangeAspect="1"/>
                    </pic:cNvPicPr>
                  </pic:nvPicPr>
                  <pic:blipFill>
                    <a:blip r:embed="rId39"/>
                    <a:stretch>
                      <a:fillRect/>
                    </a:stretch>
                  </pic:blipFill>
                  <pic:spPr>
                    <a:xfrm>
                      <a:off x="0" y="0"/>
                      <a:ext cx="1732915" cy="1978025"/>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接待茶几：                              茶水柜：</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drawing>
          <wp:anchor distT="0" distB="0" distL="114300" distR="114300" simplePos="0" relativeHeight="251689984" behindDoc="0" locked="0" layoutInCell="1" allowOverlap="1">
            <wp:simplePos x="0" y="0"/>
            <wp:positionH relativeFrom="column">
              <wp:posOffset>928370</wp:posOffset>
            </wp:positionH>
            <wp:positionV relativeFrom="paragraph">
              <wp:posOffset>92710</wp:posOffset>
            </wp:positionV>
            <wp:extent cx="1720850" cy="2771140"/>
            <wp:effectExtent l="0" t="0" r="12700" b="10160"/>
            <wp:wrapNone/>
            <wp:docPr id="168768" name="图片 6" descr="QQ图片20200608092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768" name="图片 6" descr="QQ图片20200608092032"/>
                    <pic:cNvPicPr>
                      <a:picLocks noChangeAspect="1"/>
                    </pic:cNvPicPr>
                  </pic:nvPicPr>
                  <pic:blipFill>
                    <a:blip r:embed="rId40"/>
                    <a:srcRect l="37685" t="10951" r="20746" b="24"/>
                    <a:stretch>
                      <a:fillRect/>
                    </a:stretch>
                  </pic:blipFill>
                  <pic:spPr>
                    <a:xfrm>
                      <a:off x="0" y="0"/>
                      <a:ext cx="1720850" cy="2771140"/>
                    </a:xfrm>
                    <a:prstGeom prst="rect">
                      <a:avLst/>
                    </a:prstGeom>
                    <a:noFill/>
                    <a:ln w="9525">
                      <a:noFill/>
                    </a:ln>
                  </pic:spPr>
                </pic:pic>
              </a:graphicData>
            </a:graphic>
          </wp:anchor>
        </w:drawing>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r>
        <w:rPr>
          <w:rFonts w:hint="eastAsia"/>
          <w:color w:val="000000" w:themeColor="text1"/>
          <w14:textFill>
            <w14:solidFill>
              <w14:schemeClr w14:val="tx1"/>
            </w14:solidFill>
          </w14:textFill>
        </w:rPr>
        <w:t>古籍书柜：</w:t>
      </w: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color w:val="000000" w:themeColor="text1"/>
          <w14:textFill>
            <w14:solidFill>
              <w14:schemeClr w14:val="tx1"/>
            </w14:solidFill>
          </w14:textFill>
        </w:rPr>
      </w:pPr>
    </w:p>
    <w:p>
      <w:pPr>
        <w:pStyle w:val="12"/>
        <w:rPr>
          <w:rFonts w:hint="eastAsia" w:eastAsia="宋体"/>
          <w:color w:val="000000" w:themeColor="text1"/>
          <w:lang w:eastAsia="zh-CN"/>
          <w14:textFill>
            <w14:solidFill>
              <w14:schemeClr w14:val="tx1"/>
            </w14:solidFill>
          </w14:textFill>
        </w:rPr>
      </w:pPr>
      <w:r>
        <w:rPr>
          <w:rFonts w:hint="eastAsia"/>
          <w:b/>
          <w:bCs/>
          <w:color w:val="000000" w:themeColor="text1"/>
          <w14:textFill>
            <w14:solidFill>
              <w14:schemeClr w14:val="tx1"/>
            </w14:solidFill>
          </w14:textFill>
        </w:rPr>
        <w:t>注：以上图片除附图一、附图二外，其余均为参考图片，附图一、附图二中的尺寸单位为mm。</w:t>
      </w:r>
    </w:p>
    <w:p>
      <w:pPr>
        <w:jc w:val="center"/>
        <w:outlineLvl w:val="0"/>
        <w:rPr>
          <w:rFonts w:ascii="宋体" w:hAnsi="宋体" w:cs="宋体"/>
          <w:color w:val="000000" w:themeColor="text1"/>
          <w:sz w:val="32"/>
          <w:szCs w:val="32"/>
          <w14:textFill>
            <w14:solidFill>
              <w14:schemeClr w14:val="tx1"/>
            </w14:solidFill>
          </w14:textFill>
        </w:rPr>
      </w:pPr>
      <w:bookmarkStart w:id="151" w:name="_Toc23428"/>
      <w:r>
        <w:rPr>
          <w:rFonts w:hint="eastAsia" w:ascii="宋体" w:hAnsi="宋体" w:cs="宋体"/>
          <w:b/>
          <w:bCs/>
          <w:color w:val="000000" w:themeColor="text1"/>
          <w:kern w:val="44"/>
          <w:sz w:val="32"/>
          <w:szCs w:val="32"/>
          <w14:textFill>
            <w14:solidFill>
              <w14:schemeClr w14:val="tx1"/>
            </w14:solidFill>
          </w14:textFill>
        </w:rPr>
        <w:t>第四章  评标办法</w:t>
      </w:r>
      <w:bookmarkEnd w:id="150"/>
      <w:bookmarkEnd w:id="151"/>
    </w:p>
    <w:p>
      <w:pPr>
        <w:spacing w:line="390" w:lineRule="exact"/>
        <w:ind w:firstLine="426" w:firstLineChars="202"/>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一、评标原则</w:t>
      </w:r>
    </w:p>
    <w:p>
      <w:pPr>
        <w:pStyle w:val="15"/>
        <w:adjustRightInd w:val="0"/>
        <w:spacing w:line="390" w:lineRule="exact"/>
        <w:ind w:firstLine="420" w:firstLineChars="200"/>
        <w:contextualSpacing/>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（一）评委会组成：本招标采购项目的评标委员会由采购人代表、技术和经济等方面的专家组成。其中，专家评委不得少于成员总数的三分之二。</w:t>
      </w:r>
    </w:p>
    <w:p>
      <w:pPr>
        <w:pStyle w:val="15"/>
        <w:adjustRightInd w:val="0"/>
        <w:spacing w:line="390" w:lineRule="exact"/>
        <w:ind w:firstLine="420" w:firstLineChars="200"/>
        <w:contextualSpacing/>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（二）评标依据：评委将以招投标文件为评标依据，对投标人的投标</w:t>
      </w:r>
      <w:r>
        <w:rPr>
          <w:rFonts w:hint="eastAsia" w:hAnsi="宋体" w:cs="宋体"/>
          <w:color w:val="000000" w:themeColor="text1"/>
          <w:szCs w:val="21"/>
          <w14:textFill>
            <w14:solidFill>
              <w14:schemeClr w14:val="tx1"/>
            </w14:solidFill>
          </w14:textFill>
        </w:rPr>
        <w:t>报价、技术性能、履约能力、售后服务及政策功能等方面内容按百分制打分。</w:t>
      </w:r>
    </w:p>
    <w:p>
      <w:pPr>
        <w:pStyle w:val="15"/>
        <w:adjustRightInd w:val="0"/>
        <w:spacing w:line="390" w:lineRule="exact"/>
        <w:ind w:firstLine="420" w:firstLineChars="200"/>
        <w:contextualSpacing/>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（三）评标方式：以封闭方式进行。</w:t>
      </w:r>
    </w:p>
    <w:p>
      <w:pPr>
        <w:ind w:firstLine="420" w:firstLineChars="200"/>
        <w:rPr>
          <w:rFonts w:ascii="宋体" w:hAnsi="宋体" w:cs="宋体"/>
          <w:bCs/>
          <w:color w:val="000000" w:themeColor="text1"/>
          <w:szCs w:val="20"/>
          <w14:textFill>
            <w14:solidFill>
              <w14:schemeClr w14:val="tx1"/>
            </w14:solidFill>
          </w14:textFill>
        </w:rPr>
      </w:pPr>
      <w:r>
        <w:rPr>
          <w:rFonts w:hint="eastAsia" w:ascii="宋体" w:hAnsi="宋体" w:cs="宋体"/>
          <w:bCs/>
          <w:color w:val="000000" w:themeColor="text1"/>
          <w:szCs w:val="20"/>
          <w14:textFill>
            <w14:solidFill>
              <w14:schemeClr w14:val="tx1"/>
            </w14:solidFill>
          </w14:textFill>
        </w:rPr>
        <w:t>（四）采购人和采购代理机构、评标委员会成员要严格遵守政府采购相关法律制度，依法履行各自职责，公正、客观、审慎地组织和参与评审工作。</w:t>
      </w:r>
    </w:p>
    <w:p>
      <w:pPr>
        <w:spacing w:line="390" w:lineRule="exact"/>
        <w:ind w:firstLine="426" w:firstLineChars="202"/>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二、评定方法</w:t>
      </w:r>
    </w:p>
    <w:p>
      <w:pPr>
        <w:pStyle w:val="15"/>
        <w:adjustRightInd w:val="0"/>
        <w:spacing w:line="390" w:lineRule="exact"/>
        <w:ind w:firstLine="420" w:firstLineChars="200"/>
        <w:contextualSpacing/>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（一）对进入详评的，采用百分制综合评分法。</w:t>
      </w:r>
    </w:p>
    <w:p>
      <w:pPr>
        <w:pStyle w:val="15"/>
        <w:adjustRightInd w:val="0"/>
        <w:spacing w:line="390" w:lineRule="exact"/>
        <w:ind w:firstLine="420" w:firstLineChars="200"/>
        <w:contextualSpacing/>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（二）计分办法（按四舍五入取至百分位）：</w:t>
      </w:r>
    </w:p>
    <w:p>
      <w:pPr>
        <w:pStyle w:val="15"/>
        <w:spacing w:line="390" w:lineRule="exact"/>
        <w:ind w:firstLine="420"/>
        <w:rPr>
          <w:rFonts w:hAnsi="宋体" w:cs="宋体"/>
          <w:b/>
          <w:bCs/>
          <w:color w:val="000000" w:themeColor="text1"/>
          <w:kern w:val="0"/>
          <w:szCs w:val="21"/>
          <w14:textFill>
            <w14:solidFill>
              <w14:schemeClr w14:val="tx1"/>
            </w14:solidFill>
          </w14:textFill>
        </w:rPr>
      </w:pPr>
      <w:bookmarkStart w:id="152" w:name="_Toc7653"/>
      <w:r>
        <w:rPr>
          <w:rFonts w:hint="eastAsia" w:hAnsi="宋体" w:cs="宋体"/>
          <w:b/>
          <w:bCs/>
          <w:color w:val="000000" w:themeColor="text1"/>
          <w:kern w:val="0"/>
          <w:szCs w:val="21"/>
          <w14:textFill>
            <w14:solidFill>
              <w14:schemeClr w14:val="tx1"/>
            </w14:solidFill>
          </w14:textFill>
        </w:rPr>
        <w:t>1、价格分…………………………………………………………………………………………………</w:t>
      </w:r>
      <w:r>
        <w:rPr>
          <w:rFonts w:hint="eastAsia" w:hAnsi="宋体" w:cs="宋体"/>
          <w:b/>
          <w:bCs/>
          <w:color w:val="000000" w:themeColor="text1"/>
          <w:kern w:val="0"/>
          <w:szCs w:val="21"/>
          <w:lang w:val="en-US" w:eastAsia="zh-CN"/>
          <w14:textFill>
            <w14:solidFill>
              <w14:schemeClr w14:val="tx1"/>
            </w14:solidFill>
          </w14:textFill>
        </w:rPr>
        <w:t>30</w:t>
      </w:r>
      <w:r>
        <w:rPr>
          <w:rFonts w:hint="eastAsia" w:hAnsi="宋体" w:cs="宋体"/>
          <w:b/>
          <w:bCs/>
          <w:color w:val="000000" w:themeColor="text1"/>
          <w:kern w:val="0"/>
          <w:szCs w:val="21"/>
          <w14:textFill>
            <w14:solidFill>
              <w14:schemeClr w14:val="tx1"/>
            </w14:solidFill>
          </w14:textFill>
        </w:rPr>
        <w:t>分</w:t>
      </w:r>
      <w:bookmarkEnd w:id="152"/>
    </w:p>
    <w:p>
      <w:pPr>
        <w:pStyle w:val="15"/>
        <w:spacing w:line="390" w:lineRule="exact"/>
        <w:ind w:firstLine="420" w:firstLineChars="200"/>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（1）</w:t>
      </w:r>
      <w:r>
        <w:rPr>
          <w:rFonts w:hint="eastAsia" w:hAnsi="宋体" w:cs="宋体"/>
          <w:color w:val="000000" w:themeColor="text1"/>
          <w14:textFill>
            <w14:solidFill>
              <w14:schemeClr w14:val="tx1"/>
            </w14:solidFill>
          </w14:textFill>
        </w:rPr>
        <w:t>按照《政府采购促进中小企业发展暂行办法》（财库[2011]181号）规定：</w:t>
      </w:r>
    </w:p>
    <w:p>
      <w:pPr>
        <w:pStyle w:val="15"/>
        <w:spacing w:line="39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szCs w:val="21"/>
          <w14:textFill>
            <w14:solidFill>
              <w14:schemeClr w14:val="tx1"/>
            </w14:solidFill>
          </w14:textFill>
        </w:rPr>
        <w:t>投标单位认定为小型和微型企业的（以投标文件提供的符合规定的有关证明材料为准)，并提供本企业制造的货物，由本企业承担工程、提供服务，或者提供其他小型、微型企业制造的货物的（不包括使用大型企业注册商标的货物）</w:t>
      </w:r>
      <w:r>
        <w:rPr>
          <w:rFonts w:hint="eastAsia" w:hAnsi="宋体" w:cs="宋体"/>
          <w:color w:val="000000" w:themeColor="text1"/>
          <w14:textFill>
            <w14:solidFill>
              <w14:schemeClr w14:val="tx1"/>
            </w14:solidFill>
          </w14:textFill>
        </w:rPr>
        <w:t>，投标价给予10%的扣除，扣除后的价格为评标报价，即评标报价=投标报价×（1-10%）；</w:t>
      </w:r>
    </w:p>
    <w:p>
      <w:pPr>
        <w:pStyle w:val="15"/>
        <w:spacing w:line="390" w:lineRule="exact"/>
        <w:ind w:firstLine="420"/>
        <w:rPr>
          <w:rFonts w:hAnsi="宋体" w:cs="宋体"/>
          <w:color w:val="000000" w:themeColor="text1"/>
          <w14:textFill>
            <w14:solidFill>
              <w14:schemeClr w14:val="tx1"/>
            </w14:solidFill>
          </w14:textFill>
        </w:rPr>
      </w:pPr>
      <w:r>
        <w:rPr>
          <w:rFonts w:hint="eastAsia" w:hAnsi="宋体" w:cs="宋体"/>
          <w:b/>
          <w:color w:val="000000" w:themeColor="text1"/>
          <w14:textFill>
            <w14:solidFill>
              <w14:schemeClr w14:val="tx1"/>
            </w14:solidFill>
          </w14:textFill>
        </w:rPr>
        <w:t>注：中小微型企业划分标准按照《国家统计局关于印发《统计上大中小微型企业划分办法（2017）》的通知》（国统字[2017]213号）执行，具体划分标准见附表《统计上大中小微型企业划分标准》。</w:t>
      </w:r>
    </w:p>
    <w:p>
      <w:pPr>
        <w:pStyle w:val="15"/>
        <w:numPr>
          <w:ilvl w:val="0"/>
          <w:numId w:val="20"/>
        </w:numPr>
        <w:spacing w:line="390" w:lineRule="exact"/>
        <w:ind w:firstLine="420"/>
        <w:rPr>
          <w:rFonts w:hAnsi="宋体" w:cs="宋体"/>
          <w:color w:val="000000" w:themeColor="text1"/>
          <w:kern w:val="0"/>
          <w:szCs w:val="21"/>
          <w14:textFill>
            <w14:solidFill>
              <w14:schemeClr w14:val="tx1"/>
            </w14:solidFill>
          </w14:textFill>
        </w:rPr>
      </w:pPr>
      <w:r>
        <w:rPr>
          <w:rFonts w:hint="eastAsia" w:hAnsi="宋体" w:cs="宋体"/>
          <w:color w:val="000000" w:themeColor="text1"/>
          <w:kern w:val="0"/>
          <w:szCs w:val="21"/>
          <w14:textFill>
            <w14:solidFill>
              <w14:schemeClr w14:val="tx1"/>
            </w14:solidFill>
          </w14:textFill>
        </w:rPr>
        <w:t>根据《关于政府采购支持监狱企业发展有关问题的通知》（财库[2014]68号）和</w:t>
      </w:r>
      <w:r>
        <w:rPr>
          <w:rFonts w:hint="eastAsia" w:hAnsi="宋体" w:cs="宋体"/>
          <w:color w:val="000000" w:themeColor="text1"/>
          <w:szCs w:val="21"/>
          <w14:textFill>
            <w14:solidFill>
              <w14:schemeClr w14:val="tx1"/>
            </w14:solidFill>
          </w14:textFill>
        </w:rPr>
        <w:t>《关于促进残疾人就业政府采购政策的通知》（财库[2017]141号）</w:t>
      </w:r>
      <w:r>
        <w:rPr>
          <w:rFonts w:hint="eastAsia" w:hAnsi="宋体" w:cs="宋体"/>
          <w:color w:val="000000" w:themeColor="text1"/>
          <w:kern w:val="0"/>
          <w:szCs w:val="21"/>
          <w14:textFill>
            <w14:solidFill>
              <w14:schemeClr w14:val="tx1"/>
            </w14:solidFill>
          </w14:textFill>
        </w:rPr>
        <w:t>，监狱企业和符合条件的残疾人企业视同小型、微型企业，享受小型、微型企业评审中价格扣除的政府采购政策。</w:t>
      </w:r>
    </w:p>
    <w:p>
      <w:pPr>
        <w:pStyle w:val="15"/>
        <w:numPr>
          <w:ilvl w:val="0"/>
          <w:numId w:val="20"/>
        </w:numPr>
        <w:spacing w:line="380" w:lineRule="exact"/>
        <w:ind w:firstLine="42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根据《关于促进残疾人就业政府采购政策的通知》（财库【2017】141号）规定，残疾人福利性单位视同小型、微型企业，评审中对价格给予折扣，残疾人福利性单位属于小型、微型企业的，不重复享受政策。符合条件的残疾人福利性单位在参加政府采购活动时，应当提供本通知规定的《残疾人福利性单位声明函》（见附件），并对声明的真实性负责。中标为残疾人福利性单位的，采购代理机构应当随中标、成交结果同时公告其《残疾人福利性单位声明函》，接受社会监督。</w:t>
      </w:r>
    </w:p>
    <w:p>
      <w:pPr>
        <w:pStyle w:val="15"/>
        <w:spacing w:line="38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szCs w:val="21"/>
          <w14:textFill>
            <w14:solidFill>
              <w14:schemeClr w14:val="tx1"/>
            </w14:solidFill>
          </w14:textFill>
        </w:rPr>
        <w:t>对于不属于以上情形的投标人，其投标报价即为评标价。</w:t>
      </w:r>
    </w:p>
    <w:p>
      <w:pPr>
        <w:pStyle w:val="15"/>
        <w:spacing w:line="390" w:lineRule="exact"/>
        <w:ind w:firstLine="420"/>
        <w:rPr>
          <w:rFonts w:hAnsi="宋体" w:cs="宋体"/>
          <w:color w:val="000000" w:themeColor="text1"/>
          <w:kern w:val="0"/>
          <w:szCs w:val="21"/>
          <w14:textFill>
            <w14:solidFill>
              <w14:schemeClr w14:val="tx1"/>
            </w14:solidFill>
          </w14:textFill>
        </w:rPr>
      </w:pPr>
      <w:r>
        <w:rPr>
          <w:rFonts w:hint="eastAsia" w:hAnsi="宋体" w:cs="宋体"/>
          <w:color w:val="000000" w:themeColor="text1"/>
          <w:kern w:val="0"/>
          <w:szCs w:val="21"/>
          <w14:textFill>
            <w14:solidFill>
              <w14:schemeClr w14:val="tx1"/>
            </w14:solidFill>
          </w14:textFill>
        </w:rPr>
        <w:t>（4）价格分采用低价优先法计算，即满足招标文件要求且评标报价最低的评标报价为评标基准价，其价格分为</w:t>
      </w:r>
      <w:r>
        <w:rPr>
          <w:rFonts w:hint="eastAsia" w:hAnsi="宋体" w:cs="宋体"/>
          <w:color w:val="000000" w:themeColor="text1"/>
          <w:kern w:val="0"/>
          <w:szCs w:val="21"/>
          <w:lang w:val="en-US" w:eastAsia="zh-CN"/>
          <w14:textFill>
            <w14:solidFill>
              <w14:schemeClr w14:val="tx1"/>
            </w14:solidFill>
          </w14:textFill>
        </w:rPr>
        <w:t>30</w:t>
      </w:r>
      <w:r>
        <w:rPr>
          <w:rFonts w:hint="eastAsia" w:hAnsi="宋体" w:cs="宋体"/>
          <w:color w:val="000000" w:themeColor="text1"/>
          <w:kern w:val="0"/>
          <w:szCs w:val="21"/>
          <w14:textFill>
            <w14:solidFill>
              <w14:schemeClr w14:val="tx1"/>
            </w14:solidFill>
          </w14:textFill>
        </w:rPr>
        <w:t>分。</w:t>
      </w:r>
    </w:p>
    <w:p>
      <w:pPr>
        <w:pStyle w:val="15"/>
        <w:spacing w:line="390" w:lineRule="exact"/>
        <w:ind w:firstLine="420"/>
        <w:rPr>
          <w:rFonts w:hAnsi="宋体" w:cs="宋体"/>
          <w:color w:val="000000" w:themeColor="text1"/>
          <w:kern w:val="0"/>
          <w:szCs w:val="21"/>
          <w14:textFill>
            <w14:solidFill>
              <w14:schemeClr w14:val="tx1"/>
            </w14:solidFill>
          </w14:textFill>
        </w:rPr>
      </w:pPr>
      <w:r>
        <w:rPr>
          <w:rFonts w:hint="eastAsia" w:hAnsi="宋体" w:cs="宋体"/>
          <w:color w:val="000000" w:themeColor="text1"/>
          <w:kern w:val="0"/>
          <w:szCs w:val="21"/>
          <w14:textFill>
            <w14:solidFill>
              <w14:schemeClr w14:val="tx1"/>
            </w14:solidFill>
          </w14:textFill>
        </w:rPr>
        <w:t>（5）价格分计算公式：</w:t>
      </w:r>
    </w:p>
    <w:p>
      <w:pPr>
        <w:pStyle w:val="15"/>
        <w:spacing w:line="400" w:lineRule="exact"/>
        <w:ind w:firstLine="3087" w:firstLineChars="1470"/>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最低投标人</w:t>
      </w:r>
      <w:r>
        <w:rPr>
          <w:rFonts w:hint="eastAsia" w:hAnsi="宋体" w:cs="宋体"/>
          <w:color w:val="000000" w:themeColor="text1"/>
          <w14:textFill>
            <w14:solidFill>
              <w14:schemeClr w14:val="tx1"/>
            </w14:solidFill>
          </w14:textFill>
        </w:rPr>
        <w:t>评标报价</w:t>
      </w:r>
      <w:r>
        <w:rPr>
          <w:rFonts w:hint="eastAsia" w:hAnsi="宋体" w:cs="宋体"/>
          <w:bCs/>
          <w:color w:val="000000" w:themeColor="text1"/>
          <w14:textFill>
            <w14:solidFill>
              <w14:schemeClr w14:val="tx1"/>
            </w14:solidFill>
          </w14:textFill>
        </w:rPr>
        <w:t xml:space="preserve">金额          </w:t>
      </w:r>
    </w:p>
    <w:p>
      <w:pPr>
        <w:pStyle w:val="15"/>
        <w:spacing w:line="400" w:lineRule="exact"/>
        <w:ind w:firstLine="420"/>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mc:AlternateContent>
          <mc:Choice Requires="wps">
            <w:drawing>
              <wp:anchor distT="0" distB="0" distL="114300" distR="114300" simplePos="0" relativeHeight="251658240" behindDoc="0" locked="0" layoutInCell="1" allowOverlap="1">
                <wp:simplePos x="0" y="0"/>
                <wp:positionH relativeFrom="column">
                  <wp:posOffset>1828800</wp:posOffset>
                </wp:positionH>
                <wp:positionV relativeFrom="paragraph">
                  <wp:posOffset>196850</wp:posOffset>
                </wp:positionV>
                <wp:extent cx="2200275" cy="0"/>
                <wp:effectExtent l="0" t="0" r="0" b="0"/>
                <wp:wrapNone/>
                <wp:docPr id="1" name="直线 4"/>
                <wp:cNvGraphicFramePr/>
                <a:graphic xmlns:a="http://schemas.openxmlformats.org/drawingml/2006/main">
                  <a:graphicData uri="http://schemas.microsoft.com/office/word/2010/wordprocessingShape">
                    <wps:wsp>
                      <wps:cNvCnPr/>
                      <wps:spPr>
                        <a:xfrm>
                          <a:off x="0" y="0"/>
                          <a:ext cx="220027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4" o:spid="_x0000_s1026" o:spt="20" style="position:absolute;left:0pt;margin-left:144pt;margin-top:15.5pt;height:0pt;width:173.25pt;z-index:251658240;mso-width-relative:page;mso-height-relative:page;" filled="f" stroked="t" coordsize="21600,21600" o:gfxdata="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PUKpDrXAAAACQEAAA8AAAAAAAAAAQAgAAAAIgAAAGRycy9kb3ducmV2&#10;LnhtbFBLAQIUABQAAAAIAIdO4kBv0c86xAEAAIEDAAAOAAAAAAAAAAEAIAAAACYBAABkcnMvZTJv&#10;RG9jLnhtbFBLBQYAAAAABgAGAFkBAABcBQAAAAA=&#10;">
                <v:fill on="f" focussize="0,0"/>
                <v:stroke color="#000000" joinstyle="round"/>
                <v:imagedata o:title=""/>
                <o:lock v:ext="edit" aspectratio="f"/>
              </v:line>
            </w:pict>
          </mc:Fallback>
        </mc:AlternateContent>
      </w:r>
      <w:r>
        <w:rPr>
          <w:rFonts w:hint="eastAsia" w:hAnsi="宋体" w:cs="宋体"/>
          <w:bCs/>
          <w:color w:val="000000" w:themeColor="text1"/>
          <w14:textFill>
            <w14:solidFill>
              <w14:schemeClr w14:val="tx1"/>
            </w14:solidFill>
          </w14:textFill>
        </w:rPr>
        <w:t xml:space="preserve">某投标人价格分 =                                    　　×  </w:t>
      </w:r>
      <w:r>
        <w:rPr>
          <w:rFonts w:hint="eastAsia" w:hAnsi="宋体" w:cs="宋体"/>
          <w:bCs/>
          <w:color w:val="000000" w:themeColor="text1"/>
          <w:lang w:val="en-US" w:eastAsia="zh-CN"/>
          <w14:textFill>
            <w14:solidFill>
              <w14:schemeClr w14:val="tx1"/>
            </w14:solidFill>
          </w14:textFill>
        </w:rPr>
        <w:t>30</w:t>
      </w:r>
      <w:r>
        <w:rPr>
          <w:rFonts w:hint="eastAsia" w:hAnsi="宋体" w:cs="宋体"/>
          <w:bCs/>
          <w:color w:val="000000" w:themeColor="text1"/>
          <w14:textFill>
            <w14:solidFill>
              <w14:schemeClr w14:val="tx1"/>
            </w14:solidFill>
          </w14:textFill>
        </w:rPr>
        <w:t xml:space="preserve">   分</w:t>
      </w:r>
    </w:p>
    <w:p>
      <w:pPr>
        <w:pStyle w:val="15"/>
        <w:spacing w:line="400" w:lineRule="exact"/>
        <w:ind w:firstLine="420" w:firstLineChars="200"/>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 xml:space="preserve">                           某投标人</w:t>
      </w:r>
      <w:r>
        <w:rPr>
          <w:rFonts w:hint="eastAsia" w:hAnsi="宋体" w:cs="宋体"/>
          <w:color w:val="000000" w:themeColor="text1"/>
          <w14:textFill>
            <w14:solidFill>
              <w14:schemeClr w14:val="tx1"/>
            </w14:solidFill>
          </w14:textFill>
        </w:rPr>
        <w:t>评标报价</w:t>
      </w:r>
      <w:r>
        <w:rPr>
          <w:rFonts w:hint="eastAsia" w:hAnsi="宋体" w:cs="宋体"/>
          <w:bCs/>
          <w:color w:val="000000" w:themeColor="text1"/>
          <w14:textFill>
            <w14:solidFill>
              <w14:schemeClr w14:val="tx1"/>
            </w14:solidFill>
          </w14:textFill>
        </w:rPr>
        <w:t xml:space="preserve">金额  </w:t>
      </w:r>
    </w:p>
    <w:p>
      <w:pPr>
        <w:spacing w:line="390" w:lineRule="exact"/>
        <w:ind w:firstLine="426" w:firstLineChars="202"/>
        <w:jc w:val="left"/>
        <w:outlineLvl w:val="1"/>
        <w:rPr>
          <w:rFonts w:ascii="宋体" w:hAnsi="宋体" w:cs="宋体"/>
          <w:b/>
          <w:color w:val="000000" w:themeColor="text1"/>
          <w:szCs w:val="21"/>
          <w14:textFill>
            <w14:solidFill>
              <w14:schemeClr w14:val="tx1"/>
            </w14:solidFill>
          </w14:textFill>
        </w:rPr>
      </w:pPr>
    </w:p>
    <w:p>
      <w:pPr>
        <w:pStyle w:val="15"/>
        <w:spacing w:line="390" w:lineRule="exact"/>
        <w:ind w:firstLine="420"/>
        <w:rPr>
          <w:rFonts w:hAnsi="宋体" w:cs="宋体"/>
          <w:b/>
          <w:bCs/>
          <w:color w:val="000000" w:themeColor="text1"/>
          <w:kern w:val="0"/>
          <w:szCs w:val="21"/>
          <w14:textFill>
            <w14:solidFill>
              <w14:schemeClr w14:val="tx1"/>
            </w14:solidFill>
          </w14:textFill>
        </w:rPr>
      </w:pPr>
      <w:bookmarkStart w:id="153" w:name="_Toc28109"/>
      <w:r>
        <w:rPr>
          <w:rFonts w:hint="eastAsia" w:hAnsi="宋体" w:cs="宋体"/>
          <w:b/>
          <w:bCs/>
          <w:color w:val="000000" w:themeColor="text1"/>
          <w:kern w:val="0"/>
          <w:szCs w:val="21"/>
          <w14:textFill>
            <w14:solidFill>
              <w14:schemeClr w14:val="tx1"/>
            </w14:solidFill>
          </w14:textFill>
        </w:rPr>
        <w:t>2、技术性能分………………………………………………………………………………………满分</w:t>
      </w:r>
      <w:r>
        <w:rPr>
          <w:rFonts w:hint="eastAsia" w:hAnsi="宋体" w:cs="宋体"/>
          <w:b/>
          <w:bCs/>
          <w:color w:val="000000" w:themeColor="text1"/>
          <w:kern w:val="0"/>
          <w:szCs w:val="21"/>
          <w:lang w:val="en-US" w:eastAsia="zh-CN"/>
          <w14:textFill>
            <w14:solidFill>
              <w14:schemeClr w14:val="tx1"/>
            </w14:solidFill>
          </w14:textFill>
        </w:rPr>
        <w:t>45</w:t>
      </w:r>
      <w:r>
        <w:rPr>
          <w:rFonts w:hint="eastAsia" w:hAnsi="宋体" w:cs="宋体"/>
          <w:b/>
          <w:bCs/>
          <w:color w:val="000000" w:themeColor="text1"/>
          <w:kern w:val="0"/>
          <w:szCs w:val="21"/>
          <w14:textFill>
            <w14:solidFill>
              <w14:schemeClr w14:val="tx1"/>
            </w14:solidFill>
          </w14:textFill>
        </w:rPr>
        <w:t xml:space="preserve"> 分</w:t>
      </w:r>
      <w:bookmarkEnd w:id="153"/>
    </w:p>
    <w:p>
      <w:pPr>
        <w:pStyle w:val="15"/>
        <w:spacing w:line="380" w:lineRule="exact"/>
        <w:ind w:firstLine="420" w:firstLineChars="200"/>
        <w:rPr>
          <w:rFonts w:hint="eastAsia" w:hAnsi="宋体" w:eastAsia="宋体" w:cs="宋体"/>
          <w:color w:val="000000" w:themeColor="text1"/>
          <w:szCs w:val="21"/>
          <w:lang w:eastAsia="zh-CN"/>
          <w14:textFill>
            <w14:solidFill>
              <w14:schemeClr w14:val="tx1"/>
            </w14:solidFill>
          </w14:textFill>
        </w:rPr>
      </w:pPr>
      <w:bookmarkStart w:id="154" w:name="_Toc28378"/>
      <w:r>
        <w:rPr>
          <w:rFonts w:hint="eastAsia" w:hAnsi="宋体" w:cs="宋体"/>
          <w:color w:val="000000" w:themeColor="text1"/>
          <w:szCs w:val="21"/>
          <w:lang w:val="en-US" w:eastAsia="zh-CN"/>
          <w14:textFill>
            <w14:solidFill>
              <w14:schemeClr w14:val="tx1"/>
            </w14:solidFill>
          </w14:textFill>
        </w:rPr>
        <w:t>1.技术需求响应分（满分8分）</w:t>
      </w:r>
    </w:p>
    <w:p>
      <w:pPr>
        <w:pStyle w:val="15"/>
        <w:spacing w:line="380" w:lineRule="exact"/>
        <w:ind w:firstLine="420" w:firstLineChars="20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评委根据招标文件要求，对通过资格性和符合性审查进入详评的各投标人投标文件的“技术需求”响应情况进行独立评审，并按如下计分方式确定得分：</w:t>
      </w:r>
      <w:bookmarkEnd w:id="154"/>
    </w:p>
    <w:p>
      <w:pPr>
        <w:pStyle w:val="15"/>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Ansi="宋体" w:cs="宋体"/>
          <w:color w:val="000000" w:themeColor="text1"/>
          <w:szCs w:val="21"/>
          <w14:textFill>
            <w14:solidFill>
              <w14:schemeClr w14:val="tx1"/>
            </w14:solidFill>
          </w14:textFill>
        </w:rPr>
      </w:pPr>
      <w:bookmarkStart w:id="155" w:name="_Toc1239"/>
      <w:r>
        <w:rPr>
          <w:rFonts w:hint="eastAsia" w:hAnsi="宋体" w:cs="宋体"/>
          <w:color w:val="000000" w:themeColor="text1"/>
          <w:szCs w:val="21"/>
          <w:lang w:val="en-US" w:eastAsia="zh-CN"/>
          <w14:textFill>
            <w14:solidFill>
              <w14:schemeClr w14:val="tx1"/>
            </w14:solidFill>
          </w14:textFill>
        </w:rPr>
        <w:fldChar w:fldCharType="begin"/>
      </w:r>
      <w:r>
        <w:rPr>
          <w:rFonts w:hint="eastAsia" w:hAnsi="宋体" w:cs="宋体"/>
          <w:color w:val="000000" w:themeColor="text1"/>
          <w:szCs w:val="21"/>
          <w:lang w:val="en-US" w:eastAsia="zh-CN"/>
          <w14:textFill>
            <w14:solidFill>
              <w14:schemeClr w14:val="tx1"/>
            </w14:solidFill>
          </w14:textFill>
        </w:rPr>
        <w:instrText xml:space="preserve"> EQ \o\ac(</w:instrText>
      </w:r>
      <w:r>
        <w:rPr>
          <w:rFonts w:hint="eastAsia" w:ascii="宋体" w:hAnsi="宋体" w:eastAsia="宋体" w:cs="宋体"/>
          <w:color w:val="000000" w:themeColor="text1"/>
          <w:kern w:val="2"/>
          <w:position w:val="-4"/>
          <w:sz w:val="31"/>
          <w:szCs w:val="21"/>
          <w:lang w:val="en-US" w:eastAsia="zh-CN" w:bidi="ar-SA"/>
          <w14:textFill>
            <w14:solidFill>
              <w14:schemeClr w14:val="tx1"/>
            </w14:solidFill>
          </w14:textFill>
        </w:rPr>
        <w:instrText xml:space="preserve">○</w:instrText>
      </w:r>
      <w:r>
        <w:rPr>
          <w:rFonts w:hint="eastAsia" w:hAnsi="宋体" w:cs="宋体"/>
          <w:color w:val="000000" w:themeColor="text1"/>
          <w:szCs w:val="21"/>
          <w:lang w:val="en-US" w:eastAsia="zh-CN"/>
          <w14:textFill>
            <w14:solidFill>
              <w14:schemeClr w14:val="tx1"/>
            </w14:solidFill>
          </w14:textFill>
        </w:rPr>
        <w:instrText xml:space="preserve">,1)</w:instrText>
      </w:r>
      <w:r>
        <w:rPr>
          <w:rFonts w:hint="eastAsia" w:hAnsi="宋体" w:cs="宋体"/>
          <w:color w:val="000000" w:themeColor="text1"/>
          <w:szCs w:val="21"/>
          <w:lang w:val="en-US" w:eastAsia="zh-CN"/>
          <w14:textFill>
            <w14:solidFill>
              <w14:schemeClr w14:val="tx1"/>
            </w14:solidFill>
          </w14:textFill>
        </w:rPr>
        <w:fldChar w:fldCharType="end"/>
      </w:r>
      <w:r>
        <w:rPr>
          <w:rFonts w:hint="eastAsia" w:hAnsi="宋体" w:cs="宋体"/>
          <w:color w:val="000000" w:themeColor="text1"/>
          <w:szCs w:val="21"/>
          <w14:textFill>
            <w14:solidFill>
              <w14:schemeClr w14:val="tx1"/>
            </w14:solidFill>
          </w14:textFill>
        </w:rPr>
        <w:t>带★号技术参数完全满足招标文件要求，且未带★号技术参数无负偏离的，得</w:t>
      </w:r>
      <w:r>
        <w:rPr>
          <w:rFonts w:hint="eastAsia" w:hAnsi="宋体" w:cs="宋体"/>
          <w:color w:val="000000" w:themeColor="text1"/>
          <w:szCs w:val="21"/>
          <w:lang w:val="en-US" w:eastAsia="zh-CN"/>
          <w14:textFill>
            <w14:solidFill>
              <w14:schemeClr w14:val="tx1"/>
            </w14:solidFill>
          </w14:textFill>
        </w:rPr>
        <w:t>3</w:t>
      </w:r>
      <w:r>
        <w:rPr>
          <w:rFonts w:hint="eastAsia" w:hAnsi="宋体" w:cs="宋体"/>
          <w:color w:val="000000" w:themeColor="text1"/>
          <w:szCs w:val="21"/>
          <w14:textFill>
            <w14:solidFill>
              <w14:schemeClr w14:val="tx1"/>
            </w14:solidFill>
          </w14:textFill>
        </w:rPr>
        <w:t>分</w:t>
      </w:r>
      <w:bookmarkEnd w:id="155"/>
      <w:r>
        <w:rPr>
          <w:rFonts w:hint="eastAsia" w:hAnsi="宋体" w:cs="宋体"/>
          <w:color w:val="000000" w:themeColor="text1"/>
          <w:szCs w:val="21"/>
          <w14:textFill>
            <w14:solidFill>
              <w14:schemeClr w14:val="tx1"/>
            </w14:solidFill>
          </w14:textFill>
        </w:rPr>
        <w:t>；</w:t>
      </w:r>
    </w:p>
    <w:p>
      <w:pPr>
        <w:pStyle w:val="15"/>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Ansi="宋体" w:cs="宋体"/>
          <w:color w:val="000000" w:themeColor="text1"/>
          <w:szCs w:val="21"/>
          <w14:textFill>
            <w14:solidFill>
              <w14:schemeClr w14:val="tx1"/>
            </w14:solidFill>
          </w14:textFill>
        </w:rPr>
      </w:pPr>
      <w:r>
        <w:rPr>
          <w:rFonts w:hint="eastAsia" w:hAnsi="宋体" w:cs="宋体"/>
          <w:color w:val="000000" w:themeColor="text1"/>
          <w:sz w:val="21"/>
          <w:szCs w:val="21"/>
          <w:lang w:val="en-US" w:eastAsia="zh-CN"/>
          <w14:textFill>
            <w14:solidFill>
              <w14:schemeClr w14:val="tx1"/>
            </w14:solidFill>
          </w14:textFill>
        </w:rPr>
        <w:fldChar w:fldCharType="begin"/>
      </w:r>
      <w:r>
        <w:rPr>
          <w:rFonts w:hint="eastAsia" w:hAnsi="宋体" w:cs="宋体"/>
          <w:color w:val="000000" w:themeColor="text1"/>
          <w:sz w:val="21"/>
          <w:szCs w:val="21"/>
          <w:lang w:val="en-US" w:eastAsia="zh-CN"/>
          <w14:textFill>
            <w14:solidFill>
              <w14:schemeClr w14:val="tx1"/>
            </w14:solidFill>
          </w14:textFill>
        </w:rPr>
        <w:instrText xml:space="preserve"> EQ \o\ac(</w:instrText>
      </w:r>
      <w:r>
        <w:rPr>
          <w:rFonts w:hint="eastAsia" w:ascii="宋体" w:hAnsi="宋体" w:eastAsia="宋体" w:cs="宋体"/>
          <w:color w:val="000000" w:themeColor="text1"/>
          <w:kern w:val="2"/>
          <w:position w:val="-4"/>
          <w:sz w:val="31"/>
          <w:szCs w:val="21"/>
          <w:lang w:val="en-US" w:eastAsia="zh-CN" w:bidi="ar-SA"/>
          <w14:textFill>
            <w14:solidFill>
              <w14:schemeClr w14:val="tx1"/>
            </w14:solidFill>
          </w14:textFill>
        </w:rPr>
        <w:instrText xml:space="preserve">○</w:instrText>
      </w:r>
      <w:r>
        <w:rPr>
          <w:rFonts w:hint="eastAsia" w:hAnsi="宋体" w:cs="宋体"/>
          <w:color w:val="000000" w:themeColor="text1"/>
          <w:sz w:val="21"/>
          <w:szCs w:val="21"/>
          <w:lang w:val="en-US" w:eastAsia="zh-CN"/>
          <w14:textFill>
            <w14:solidFill>
              <w14:schemeClr w14:val="tx1"/>
            </w14:solidFill>
          </w14:textFill>
        </w:rPr>
        <w:instrText xml:space="preserve">,2)</w:instrText>
      </w:r>
      <w:r>
        <w:rPr>
          <w:rFonts w:hint="eastAsia" w:hAnsi="宋体" w:cs="宋体"/>
          <w:color w:val="000000" w:themeColor="text1"/>
          <w:sz w:val="21"/>
          <w:szCs w:val="21"/>
          <w:lang w:val="en-US" w:eastAsia="zh-CN"/>
          <w14:textFill>
            <w14:solidFill>
              <w14:schemeClr w14:val="tx1"/>
            </w14:solidFill>
          </w14:textFill>
        </w:rPr>
        <w:fldChar w:fldCharType="end"/>
      </w:r>
      <w:r>
        <w:rPr>
          <w:rFonts w:hint="eastAsia" w:ascii="宋体" w:hAnsi="宋体" w:eastAsia="宋体" w:cs="宋体"/>
          <w:color w:val="000000" w:themeColor="text1"/>
          <w:sz w:val="21"/>
          <w:szCs w:val="21"/>
          <w14:textFill>
            <w14:solidFill>
              <w14:schemeClr w14:val="tx1"/>
            </w14:solidFill>
          </w14:textFill>
        </w:rPr>
        <w:t>带★号项技术参数有优于招标文件要求</w:t>
      </w:r>
      <w:r>
        <w:rPr>
          <w:rFonts w:hint="eastAsia" w:hAnsi="宋体" w:cs="宋体"/>
          <w:color w:val="000000" w:themeColor="text1"/>
          <w:szCs w:val="21"/>
          <w14:textFill>
            <w14:solidFill>
              <w14:schemeClr w14:val="tx1"/>
            </w14:solidFill>
          </w14:textFill>
        </w:rPr>
        <w:t>（需提供关于该项参数的有CMA认证的检测机构出具的检验报告复印件并加盖投标人公章）</w:t>
      </w:r>
      <w:r>
        <w:rPr>
          <w:rFonts w:hint="eastAsia" w:ascii="宋体" w:hAnsi="宋体" w:eastAsia="宋体" w:cs="宋体"/>
          <w:color w:val="000000" w:themeColor="text1"/>
          <w:sz w:val="21"/>
          <w:szCs w:val="21"/>
          <w14:textFill>
            <w14:solidFill>
              <w14:schemeClr w14:val="tx1"/>
            </w14:solidFill>
          </w14:textFill>
        </w:rPr>
        <w:t>，经评标委员会审核确定的</w:t>
      </w:r>
      <w:r>
        <w:rPr>
          <w:rFonts w:hint="eastAsia" w:hAnsi="宋体" w:cs="宋体"/>
          <w:color w:val="000000" w:themeColor="text1"/>
          <w:szCs w:val="21"/>
          <w14:textFill>
            <w14:solidFill>
              <w14:schemeClr w14:val="tx1"/>
            </w14:solidFill>
          </w14:textFill>
        </w:rPr>
        <w:t>，</w:t>
      </w:r>
      <w:r>
        <w:rPr>
          <w:rFonts w:hint="eastAsia" w:hAnsi="宋体" w:cs="宋体"/>
          <w:color w:val="000000" w:themeColor="text1"/>
          <w:szCs w:val="21"/>
          <w:lang w:val="en-US" w:eastAsia="zh-CN"/>
          <w14:textFill>
            <w14:solidFill>
              <w14:schemeClr w14:val="tx1"/>
            </w14:solidFill>
          </w14:textFill>
        </w:rPr>
        <w:t>每有一项得0.5分，</w:t>
      </w:r>
      <w:r>
        <w:rPr>
          <w:rFonts w:hint="eastAsia" w:hAnsi="宋体" w:cs="宋体"/>
          <w:color w:val="000000" w:themeColor="text1"/>
          <w:szCs w:val="21"/>
          <w14:textFill>
            <w14:solidFill>
              <w14:schemeClr w14:val="tx1"/>
            </w14:solidFill>
          </w14:textFill>
        </w:rPr>
        <w:t>满分</w:t>
      </w:r>
      <w:r>
        <w:rPr>
          <w:rFonts w:hint="eastAsia" w:hAnsi="宋体" w:cs="宋体"/>
          <w:color w:val="000000" w:themeColor="text1"/>
          <w:szCs w:val="21"/>
          <w:lang w:val="en-US" w:eastAsia="zh-CN"/>
          <w14:textFill>
            <w14:solidFill>
              <w14:schemeClr w14:val="tx1"/>
            </w14:solidFill>
          </w14:textFill>
        </w:rPr>
        <w:t>5</w:t>
      </w:r>
      <w:r>
        <w:rPr>
          <w:rFonts w:hint="eastAsia" w:hAnsi="宋体" w:cs="宋体"/>
          <w:color w:val="000000" w:themeColor="text1"/>
          <w:szCs w:val="21"/>
          <w14:textFill>
            <w14:solidFill>
              <w14:schemeClr w14:val="tx1"/>
            </w14:solidFill>
          </w14:textFill>
        </w:rPr>
        <w:t>分；</w:t>
      </w:r>
    </w:p>
    <w:p>
      <w:pPr>
        <w:pStyle w:val="15"/>
        <w:spacing w:line="380" w:lineRule="exact"/>
        <w:ind w:firstLine="420" w:firstLineChars="200"/>
        <w:rPr>
          <w:rFonts w:hint="eastAsia" w:ascii="宋体" w:hAnsi="宋体" w:eastAsia="宋体" w:cs="宋体"/>
          <w:color w:val="000000" w:themeColor="text1"/>
          <w:szCs w:val="2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fldChar w:fldCharType="begin"/>
      </w:r>
      <w:r>
        <w:rPr>
          <w:rFonts w:hint="eastAsia"/>
          <w:color w:val="000000" w:themeColor="text1"/>
          <w:lang w:val="en-US" w:eastAsia="zh-CN"/>
          <w14:textFill>
            <w14:solidFill>
              <w14:schemeClr w14:val="tx1"/>
            </w14:solidFill>
          </w14:textFill>
        </w:rPr>
        <w:instrText xml:space="preserve"> EQ \o\ac(</w:instrText>
      </w:r>
      <w:r>
        <w:rPr>
          <w:rFonts w:hint="eastAsia" w:ascii="宋体" w:hAnsi="Courier New" w:eastAsia="宋体" w:cs="Times New Roman"/>
          <w:color w:val="000000" w:themeColor="text1"/>
          <w:kern w:val="2"/>
          <w:position w:val="-4"/>
          <w:sz w:val="31"/>
          <w:szCs w:val="20"/>
          <w:lang w:val="en-US" w:eastAsia="zh-CN" w:bidi="ar-SA"/>
          <w14:textFill>
            <w14:solidFill>
              <w14:schemeClr w14:val="tx1"/>
            </w14:solidFill>
          </w14:textFill>
        </w:rPr>
        <w:instrText xml:space="preserve">○</w:instrText>
      </w:r>
      <w:r>
        <w:rPr>
          <w:rFonts w:hint="eastAsia"/>
          <w:color w:val="000000" w:themeColor="text1"/>
          <w:lang w:val="en-US" w:eastAsia="zh-CN"/>
          <w14:textFill>
            <w14:solidFill>
              <w14:schemeClr w14:val="tx1"/>
            </w14:solidFill>
          </w14:textFill>
        </w:rPr>
        <w:instrText xml:space="preserve">,3)</w:instrText>
      </w:r>
      <w:r>
        <w:rPr>
          <w:rFonts w:hint="eastAsia"/>
          <w:color w:val="000000" w:themeColor="text1"/>
          <w:lang w:val="en-US" w:eastAsia="zh-CN"/>
          <w14:textFill>
            <w14:solidFill>
              <w14:schemeClr w14:val="tx1"/>
            </w14:solidFill>
          </w14:textFill>
        </w:rPr>
        <w:fldChar w:fldCharType="end"/>
      </w:r>
      <w:r>
        <w:rPr>
          <w:rFonts w:hint="eastAsia"/>
          <w:color w:val="000000" w:themeColor="text1"/>
          <w14:textFill>
            <w14:solidFill>
              <w14:schemeClr w14:val="tx1"/>
            </w14:solidFill>
          </w14:textFill>
        </w:rPr>
        <w:t>未带</w:t>
      </w:r>
      <w:r>
        <w:rPr>
          <w:rFonts w:hint="eastAsia" w:hAnsi="宋体" w:cs="宋体"/>
          <w:color w:val="000000" w:themeColor="text1"/>
          <w:szCs w:val="21"/>
          <w14:textFill>
            <w14:solidFill>
              <w14:schemeClr w14:val="tx1"/>
            </w14:solidFill>
          </w14:textFill>
        </w:rPr>
        <w:t>★号技术参数有</w:t>
      </w:r>
      <w:r>
        <w:rPr>
          <w:rFonts w:hint="eastAsia" w:hAnsi="宋体" w:cs="宋体"/>
          <w:color w:val="000000" w:themeColor="text1"/>
          <w:szCs w:val="21"/>
          <w:lang w:val="en-US" w:eastAsia="zh-CN"/>
          <w14:textFill>
            <w14:solidFill>
              <w14:schemeClr w14:val="tx1"/>
            </w14:solidFill>
          </w14:textFill>
        </w:rPr>
        <w:t>实质性</w:t>
      </w:r>
      <w:r>
        <w:rPr>
          <w:rFonts w:hint="eastAsia" w:hAnsi="宋体" w:cs="宋体"/>
          <w:color w:val="000000" w:themeColor="text1"/>
          <w:szCs w:val="21"/>
          <w14:textFill>
            <w14:solidFill>
              <w14:schemeClr w14:val="tx1"/>
            </w14:solidFill>
          </w14:textFill>
        </w:rPr>
        <w:t>负偏离的，不得第</w:t>
      </w:r>
      <w:r>
        <w:rPr>
          <w:rFonts w:hint="eastAsia" w:hAnsi="宋体" w:cs="宋体"/>
          <w:color w:val="000000" w:themeColor="text1"/>
          <w:szCs w:val="21"/>
          <w:lang w:val="en-US" w:eastAsia="zh-CN"/>
          <w14:textFill>
            <w14:solidFill>
              <w14:schemeClr w14:val="tx1"/>
            </w14:solidFill>
          </w14:textFill>
        </w:rPr>
        <w:fldChar w:fldCharType="begin"/>
      </w:r>
      <w:r>
        <w:rPr>
          <w:rFonts w:hint="eastAsia" w:hAnsi="宋体" w:cs="宋体"/>
          <w:color w:val="000000" w:themeColor="text1"/>
          <w:szCs w:val="21"/>
          <w:lang w:val="en-US" w:eastAsia="zh-CN"/>
          <w14:textFill>
            <w14:solidFill>
              <w14:schemeClr w14:val="tx1"/>
            </w14:solidFill>
          </w14:textFill>
        </w:rPr>
        <w:instrText xml:space="preserve"> EQ \o\ac(</w:instrText>
      </w:r>
      <w:r>
        <w:rPr>
          <w:rFonts w:hint="eastAsia" w:ascii="宋体" w:hAnsi="宋体" w:eastAsia="宋体" w:cs="宋体"/>
          <w:color w:val="000000" w:themeColor="text1"/>
          <w:kern w:val="2"/>
          <w:position w:val="-4"/>
          <w:sz w:val="31"/>
          <w:szCs w:val="21"/>
          <w:lang w:val="en-US" w:eastAsia="zh-CN" w:bidi="ar-SA"/>
          <w14:textFill>
            <w14:solidFill>
              <w14:schemeClr w14:val="tx1"/>
            </w14:solidFill>
          </w14:textFill>
        </w:rPr>
        <w:instrText xml:space="preserve">○</w:instrText>
      </w:r>
      <w:r>
        <w:rPr>
          <w:rFonts w:hint="eastAsia" w:hAnsi="宋体" w:cs="宋体"/>
          <w:color w:val="000000" w:themeColor="text1"/>
          <w:szCs w:val="21"/>
          <w:lang w:val="en-US" w:eastAsia="zh-CN"/>
          <w14:textFill>
            <w14:solidFill>
              <w14:schemeClr w14:val="tx1"/>
            </w14:solidFill>
          </w14:textFill>
        </w:rPr>
        <w:instrText xml:space="preserve">,1)</w:instrText>
      </w:r>
      <w:r>
        <w:rPr>
          <w:rFonts w:hint="eastAsia" w:hAnsi="宋体" w:cs="宋体"/>
          <w:color w:val="000000" w:themeColor="text1"/>
          <w:szCs w:val="21"/>
          <w:lang w:val="en-US" w:eastAsia="zh-CN"/>
          <w14:textFill>
            <w14:solidFill>
              <w14:schemeClr w14:val="tx1"/>
            </w14:solidFill>
          </w14:textFill>
        </w:rPr>
        <w:fldChar w:fldCharType="end"/>
      </w:r>
      <w:r>
        <w:rPr>
          <w:rFonts w:hint="eastAsia" w:hAnsi="宋体" w:cs="宋体"/>
          <w:color w:val="000000" w:themeColor="text1"/>
          <w:szCs w:val="21"/>
          <w14:textFill>
            <w14:solidFill>
              <w14:schemeClr w14:val="tx1"/>
            </w14:solidFill>
          </w14:textFill>
        </w:rPr>
        <w:t>项分，且每有一项扣1分，扣完至技术</w:t>
      </w:r>
      <w:r>
        <w:rPr>
          <w:rFonts w:hint="eastAsia" w:hAnsi="宋体" w:cs="宋体"/>
          <w:color w:val="000000" w:themeColor="text1"/>
          <w:szCs w:val="21"/>
          <w:lang w:val="en-US" w:eastAsia="zh-CN"/>
          <w14:textFill>
            <w14:solidFill>
              <w14:schemeClr w14:val="tx1"/>
            </w14:solidFill>
          </w14:textFill>
        </w:rPr>
        <w:t>需求响</w:t>
      </w:r>
      <w:r>
        <w:rPr>
          <w:rFonts w:hint="eastAsia" w:ascii="宋体" w:hAnsi="宋体" w:eastAsia="宋体" w:cs="宋体"/>
          <w:color w:val="000000" w:themeColor="text1"/>
          <w:szCs w:val="21"/>
          <w:lang w:val="en-US" w:eastAsia="zh-CN"/>
          <w14:textFill>
            <w14:solidFill>
              <w14:schemeClr w14:val="tx1"/>
            </w14:solidFill>
          </w14:textFill>
        </w:rPr>
        <w:t>应分分值为0分为止。</w:t>
      </w:r>
    </w:p>
    <w:p>
      <w:pPr>
        <w:pStyle w:val="15"/>
        <w:spacing w:line="380" w:lineRule="exact"/>
        <w:ind w:firstLine="420" w:firstLineChars="200"/>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2.样品分（满分10分）</w:t>
      </w:r>
    </w:p>
    <w:p>
      <w:pPr>
        <w:pStyle w:val="15"/>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hAnsi="宋体" w:cs="宋体"/>
          <w:color w:val="000000" w:themeColor="text1"/>
          <w:szCs w:val="21"/>
          <w:lang w:val="en-US" w:eastAsia="zh-CN"/>
          <w14:textFill>
            <w14:solidFill>
              <w14:schemeClr w14:val="tx1"/>
            </w14:solidFill>
          </w14:textFill>
        </w:rPr>
      </w:pPr>
      <w:r>
        <w:rPr>
          <w:rFonts w:hint="eastAsia" w:hAnsi="宋体" w:cs="宋体"/>
          <w:color w:val="000000" w:themeColor="text1"/>
          <w:szCs w:val="21"/>
          <w:lang w:val="en-US" w:eastAsia="zh-CN"/>
          <w14:textFill>
            <w14:solidFill>
              <w14:schemeClr w14:val="tx1"/>
            </w14:solidFill>
          </w14:textFill>
        </w:rPr>
        <w:t>由评标委员会在打分前根据货物采购需求的要求，对各投标实物样品进行综合评定，具体如下：</w:t>
      </w:r>
    </w:p>
    <w:p>
      <w:pPr>
        <w:pStyle w:val="15"/>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hAnsi="宋体" w:cs="宋体"/>
          <w:color w:val="000000" w:themeColor="text1"/>
          <w:szCs w:val="21"/>
          <w:lang w:val="en-US" w:eastAsia="zh-CN"/>
          <w14:textFill>
            <w14:solidFill>
              <w14:schemeClr w14:val="tx1"/>
            </w14:solidFill>
          </w14:textFill>
        </w:rPr>
      </w:pPr>
      <w:r>
        <w:rPr>
          <w:rFonts w:hint="eastAsia" w:hAnsi="宋体" w:cs="宋体"/>
          <w:color w:val="000000" w:themeColor="text1"/>
          <w:szCs w:val="21"/>
          <w:lang w:val="en-US" w:eastAsia="zh-CN"/>
          <w14:textFill>
            <w14:solidFill>
              <w14:schemeClr w14:val="tx1"/>
            </w14:solidFill>
          </w14:textFill>
        </w:rPr>
        <w:t>一档（0 分）：未提交投标样品、提交投标样品不全的、提供样品不符合本次采购需求的。</w:t>
      </w:r>
    </w:p>
    <w:p>
      <w:pPr>
        <w:pStyle w:val="15"/>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二档（3分）：</w:t>
      </w:r>
      <w:r>
        <w:rPr>
          <w:rFonts w:hint="eastAsia" w:hAnsi="宋体" w:cs="宋体"/>
          <w:color w:val="000000" w:themeColor="text1"/>
          <w:szCs w:val="21"/>
          <w:lang w:val="en-US" w:eastAsia="zh-CN"/>
          <w14:textFill>
            <w14:solidFill>
              <w14:schemeClr w14:val="tx1"/>
            </w14:solidFill>
          </w14:textFill>
        </w:rPr>
        <w:t>①样品提供完全。②样品参数、外观式样、材料性能等符合采购需求。③样品有部分的瑕疵。</w:t>
      </w:r>
    </w:p>
    <w:p>
      <w:pPr>
        <w:pStyle w:val="15"/>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三档（6分）：</w:t>
      </w:r>
      <w:r>
        <w:rPr>
          <w:rFonts w:hint="eastAsia" w:ascii="宋体" w:hAnsi="Courier New"/>
          <w:color w:val="000000" w:themeColor="text1"/>
          <w:sz w:val="21"/>
          <w:szCs w:val="21"/>
          <w14:textFill>
            <w14:solidFill>
              <w14:schemeClr w14:val="tx1"/>
            </w14:solidFill>
          </w14:textFill>
        </w:rPr>
        <w:t>①</w:t>
      </w:r>
      <w:r>
        <w:rPr>
          <w:rFonts w:hint="eastAsia" w:ascii="宋体"/>
          <w:color w:val="000000" w:themeColor="text1"/>
          <w:sz w:val="21"/>
          <w:szCs w:val="21"/>
          <w:lang w:val="en-US" w:eastAsia="zh-CN"/>
          <w14:textFill>
            <w14:solidFill>
              <w14:schemeClr w14:val="tx1"/>
            </w14:solidFill>
          </w14:textFill>
        </w:rPr>
        <w:t>样品</w:t>
      </w:r>
      <w:r>
        <w:rPr>
          <w:rFonts w:hint="eastAsia" w:ascii="宋体" w:hAnsi="Courier New"/>
          <w:color w:val="000000" w:themeColor="text1"/>
          <w:sz w:val="21"/>
          <w:szCs w:val="21"/>
          <w14:textFill>
            <w14:solidFill>
              <w14:schemeClr w14:val="tx1"/>
            </w14:solidFill>
          </w14:textFill>
        </w:rPr>
        <w:t>提供完全。②</w:t>
      </w:r>
      <w:r>
        <w:rPr>
          <w:rFonts w:hint="eastAsia" w:ascii="宋体"/>
          <w:color w:val="000000" w:themeColor="text1"/>
          <w:sz w:val="21"/>
          <w:szCs w:val="21"/>
          <w:lang w:val="en-US" w:eastAsia="zh-CN"/>
          <w14:textFill>
            <w14:solidFill>
              <w14:schemeClr w14:val="tx1"/>
            </w14:solidFill>
          </w14:textFill>
        </w:rPr>
        <w:t>样品</w:t>
      </w:r>
      <w:r>
        <w:rPr>
          <w:rFonts w:hint="eastAsia" w:ascii="宋体" w:hAnsi="Courier New"/>
          <w:color w:val="000000" w:themeColor="text1"/>
          <w:sz w:val="21"/>
          <w:szCs w:val="21"/>
          <w14:textFill>
            <w14:solidFill>
              <w14:schemeClr w14:val="tx1"/>
            </w14:solidFill>
          </w14:textFill>
        </w:rPr>
        <w:t>参数、外观结构、</w:t>
      </w:r>
      <w:r>
        <w:rPr>
          <w:rFonts w:hint="eastAsia" w:hAnsi="宋体" w:cs="宋体"/>
          <w:color w:val="000000" w:themeColor="text1"/>
          <w:szCs w:val="21"/>
          <w:lang w:val="en-US" w:eastAsia="zh-CN"/>
          <w14:textFill>
            <w14:solidFill>
              <w14:schemeClr w14:val="tx1"/>
            </w14:solidFill>
          </w14:textFill>
        </w:rPr>
        <w:t>材料性能等符合采购需求</w:t>
      </w:r>
      <w:r>
        <w:rPr>
          <w:rFonts w:hint="eastAsia" w:ascii="宋体" w:hAnsi="Courier New"/>
          <w:color w:val="000000" w:themeColor="text1"/>
          <w:sz w:val="21"/>
          <w:szCs w:val="21"/>
          <w14:textFill>
            <w14:solidFill>
              <w14:schemeClr w14:val="tx1"/>
            </w14:solidFill>
          </w14:textFill>
        </w:rPr>
        <w:t>。③</w:t>
      </w:r>
      <w:r>
        <w:rPr>
          <w:rFonts w:hint="eastAsia" w:ascii="宋体"/>
          <w:color w:val="000000" w:themeColor="text1"/>
          <w:sz w:val="21"/>
          <w:szCs w:val="21"/>
          <w:lang w:val="en-US" w:eastAsia="zh-CN"/>
          <w14:textFill>
            <w14:solidFill>
              <w14:schemeClr w14:val="tx1"/>
            </w14:solidFill>
          </w14:textFill>
        </w:rPr>
        <w:t>样品</w:t>
      </w:r>
      <w:r>
        <w:rPr>
          <w:rFonts w:hint="eastAsia" w:ascii="宋体" w:hAnsi="Courier New"/>
          <w:color w:val="000000" w:themeColor="text1"/>
          <w:sz w:val="21"/>
          <w:szCs w:val="21"/>
          <w14:textFill>
            <w14:solidFill>
              <w14:schemeClr w14:val="tx1"/>
            </w14:solidFill>
          </w14:textFill>
        </w:rPr>
        <w:t>无瑕疵的。</w:t>
      </w:r>
    </w:p>
    <w:p>
      <w:pPr>
        <w:pStyle w:val="15"/>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四档（10分）：</w:t>
      </w:r>
      <w:r>
        <w:rPr>
          <w:rFonts w:hint="eastAsia" w:ascii="宋体" w:hAnsi="Courier New"/>
          <w:color w:val="000000" w:themeColor="text1"/>
          <w:sz w:val="21"/>
          <w:szCs w:val="21"/>
          <w14:textFill>
            <w14:solidFill>
              <w14:schemeClr w14:val="tx1"/>
            </w14:solidFill>
          </w14:textFill>
        </w:rPr>
        <w:t>①</w:t>
      </w:r>
      <w:r>
        <w:rPr>
          <w:rFonts w:hint="eastAsia" w:ascii="宋体"/>
          <w:color w:val="000000" w:themeColor="text1"/>
          <w:sz w:val="21"/>
          <w:szCs w:val="21"/>
          <w:lang w:val="en-US" w:eastAsia="zh-CN"/>
          <w14:textFill>
            <w14:solidFill>
              <w14:schemeClr w14:val="tx1"/>
            </w14:solidFill>
          </w14:textFill>
        </w:rPr>
        <w:t>样品</w:t>
      </w:r>
      <w:r>
        <w:rPr>
          <w:rFonts w:hint="eastAsia" w:ascii="宋体" w:hAnsi="Courier New"/>
          <w:color w:val="000000" w:themeColor="text1"/>
          <w:sz w:val="21"/>
          <w:szCs w:val="21"/>
          <w14:textFill>
            <w14:solidFill>
              <w14:schemeClr w14:val="tx1"/>
            </w14:solidFill>
          </w14:textFill>
        </w:rPr>
        <w:t>提供完全。②</w:t>
      </w:r>
      <w:r>
        <w:rPr>
          <w:rFonts w:hint="eastAsia" w:ascii="宋体"/>
          <w:color w:val="000000" w:themeColor="text1"/>
          <w:sz w:val="21"/>
          <w:szCs w:val="21"/>
          <w:lang w:val="en-US" w:eastAsia="zh-CN"/>
          <w14:textFill>
            <w14:solidFill>
              <w14:schemeClr w14:val="tx1"/>
            </w14:solidFill>
          </w14:textFill>
        </w:rPr>
        <w:t>样品</w:t>
      </w:r>
      <w:r>
        <w:rPr>
          <w:rFonts w:hint="eastAsia" w:ascii="宋体" w:hAnsi="Courier New"/>
          <w:color w:val="000000" w:themeColor="text1"/>
          <w:sz w:val="21"/>
          <w:szCs w:val="21"/>
          <w14:textFill>
            <w14:solidFill>
              <w14:schemeClr w14:val="tx1"/>
            </w14:solidFill>
          </w14:textFill>
        </w:rPr>
        <w:t>参数、外观结构、材料</w:t>
      </w:r>
      <w:r>
        <w:rPr>
          <w:rFonts w:hint="eastAsia" w:ascii="宋体"/>
          <w:color w:val="000000" w:themeColor="text1"/>
          <w:sz w:val="21"/>
          <w:szCs w:val="21"/>
          <w:lang w:val="en-US" w:eastAsia="zh-CN"/>
          <w14:textFill>
            <w14:solidFill>
              <w14:schemeClr w14:val="tx1"/>
            </w14:solidFill>
          </w14:textFill>
        </w:rPr>
        <w:t>性能</w:t>
      </w:r>
      <w:r>
        <w:rPr>
          <w:rFonts w:hint="eastAsia" w:ascii="宋体" w:hAnsi="Courier New"/>
          <w:color w:val="000000" w:themeColor="text1"/>
          <w:sz w:val="21"/>
          <w:szCs w:val="21"/>
          <w14:textFill>
            <w14:solidFill>
              <w14:schemeClr w14:val="tx1"/>
            </w14:solidFill>
          </w14:textFill>
        </w:rPr>
        <w:t>符合</w:t>
      </w:r>
      <w:r>
        <w:rPr>
          <w:rFonts w:hint="eastAsia" w:ascii="宋体"/>
          <w:color w:val="000000" w:themeColor="text1"/>
          <w:sz w:val="21"/>
          <w:szCs w:val="21"/>
          <w:lang w:val="en-US" w:eastAsia="zh-CN"/>
          <w14:textFill>
            <w14:solidFill>
              <w14:schemeClr w14:val="tx1"/>
            </w14:solidFill>
          </w14:textFill>
        </w:rPr>
        <w:t>采购需求</w:t>
      </w:r>
      <w:r>
        <w:rPr>
          <w:rFonts w:hint="eastAsia" w:ascii="宋体" w:hAnsi="Courier New"/>
          <w:color w:val="000000" w:themeColor="text1"/>
          <w:sz w:val="21"/>
          <w:szCs w:val="21"/>
          <w14:textFill>
            <w14:solidFill>
              <w14:schemeClr w14:val="tx1"/>
            </w14:solidFill>
          </w14:textFill>
        </w:rPr>
        <w:t>③</w:t>
      </w:r>
      <w:r>
        <w:rPr>
          <w:rFonts w:hint="eastAsia" w:ascii="宋体"/>
          <w:color w:val="000000" w:themeColor="text1"/>
          <w:sz w:val="21"/>
          <w:szCs w:val="21"/>
          <w:lang w:val="en-US" w:eastAsia="zh-CN"/>
          <w14:textFill>
            <w14:solidFill>
              <w14:schemeClr w14:val="tx1"/>
            </w14:solidFill>
          </w14:textFill>
        </w:rPr>
        <w:t>样品无瑕疵，</w:t>
      </w:r>
      <w:r>
        <w:rPr>
          <w:rFonts w:hint="eastAsia" w:ascii="宋体" w:hAnsi="Courier New"/>
          <w:color w:val="000000" w:themeColor="text1"/>
          <w:sz w:val="21"/>
          <w:szCs w:val="21"/>
          <w14:textFill>
            <w14:solidFill>
              <w14:schemeClr w14:val="tx1"/>
            </w14:solidFill>
          </w14:textFill>
        </w:rPr>
        <w:t>外表感观较好</w:t>
      </w:r>
      <w:r>
        <w:rPr>
          <w:rFonts w:hint="eastAsia" w:ascii="宋体"/>
          <w:color w:val="000000" w:themeColor="text1"/>
          <w:sz w:val="21"/>
          <w:szCs w:val="21"/>
          <w:lang w:eastAsia="zh-CN"/>
          <w14:textFill>
            <w14:solidFill>
              <w14:schemeClr w14:val="tx1"/>
            </w14:solidFill>
          </w14:textFill>
        </w:rPr>
        <w:t>，</w:t>
      </w:r>
      <w:r>
        <w:rPr>
          <w:rFonts w:hint="eastAsia" w:ascii="宋体"/>
          <w:color w:val="000000" w:themeColor="text1"/>
          <w:sz w:val="21"/>
          <w:szCs w:val="21"/>
          <w:lang w:val="en-US" w:eastAsia="zh-CN"/>
          <w14:textFill>
            <w14:solidFill>
              <w14:schemeClr w14:val="tx1"/>
            </w14:solidFill>
          </w14:textFill>
        </w:rPr>
        <w:t>设计优异并有特色，且铝合金壁厚、工型钢板厚度有至少一项正偏离的</w:t>
      </w:r>
      <w:r>
        <w:rPr>
          <w:rFonts w:hint="eastAsia" w:ascii="宋体" w:hAnsi="Courier New"/>
          <w:color w:val="000000" w:themeColor="text1"/>
          <w:sz w:val="21"/>
          <w:szCs w:val="21"/>
          <w14:textFill>
            <w14:solidFill>
              <w14:schemeClr w14:val="tx1"/>
            </w14:solidFill>
          </w14:textFill>
        </w:rPr>
        <w:t>。</w:t>
      </w:r>
    </w:p>
    <w:p>
      <w:pPr>
        <w:pStyle w:val="15"/>
        <w:keepLines w:val="0"/>
        <w:pageBreakBefore w:val="0"/>
        <w:widowControl w:val="0"/>
        <w:kinsoku/>
        <w:wordWrap/>
        <w:overflowPunct/>
        <w:topLinePunct w:val="0"/>
        <w:autoSpaceDE/>
        <w:autoSpaceDN/>
        <w:bidi w:val="0"/>
        <w:adjustRightInd/>
        <w:snapToGrid/>
        <w:spacing w:line="380" w:lineRule="exact"/>
        <w:ind w:firstLine="422" w:firstLineChars="200"/>
        <w:textAlignment w:val="auto"/>
        <w:rPr>
          <w:rFonts w:hint="eastAsia"/>
          <w:b/>
          <w:bCs/>
          <w:color w:val="000000" w:themeColor="text1"/>
          <w:sz w:val="21"/>
          <w:szCs w:val="21"/>
          <w:lang w:val="en-US"/>
          <w14:textFill>
            <w14:solidFill>
              <w14:schemeClr w14:val="tx1"/>
            </w14:solidFill>
          </w14:textFill>
        </w:rPr>
      </w:pPr>
      <w:r>
        <w:rPr>
          <w:rFonts w:hint="eastAsia" w:ascii="宋体" w:hAnsi="宋体" w:eastAsia="宋体" w:cs="宋体"/>
          <w:b/>
          <w:bCs/>
          <w:color w:val="000000" w:themeColor="text1"/>
          <w:szCs w:val="21"/>
          <w:lang w:val="en-US" w:eastAsia="zh-CN"/>
          <w14:textFill>
            <w14:solidFill>
              <w14:schemeClr w14:val="tx1"/>
            </w14:solidFill>
          </w14:textFill>
        </w:rPr>
        <w:t>注：投标文件技术偏离表中承诺的技术参数应与所提供样品技术参数一致。</w:t>
      </w:r>
    </w:p>
    <w:p>
      <w:pPr>
        <w:pStyle w:val="15"/>
        <w:spacing w:line="380" w:lineRule="exact"/>
        <w:ind w:firstLine="420" w:firstLineChars="200"/>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3.质量技术分（满分2</w:t>
      </w:r>
      <w:r>
        <w:rPr>
          <w:rFonts w:hint="eastAsia" w:hAnsi="宋体" w:cs="宋体"/>
          <w:color w:val="000000" w:themeColor="text1"/>
          <w:szCs w:val="21"/>
          <w:lang w:val="en-US" w:eastAsia="zh-CN"/>
          <w14:textFill>
            <w14:solidFill>
              <w14:schemeClr w14:val="tx1"/>
            </w14:solidFill>
          </w14:textFill>
        </w:rPr>
        <w:t>7</w:t>
      </w:r>
      <w:r>
        <w:rPr>
          <w:rFonts w:hint="eastAsia" w:ascii="宋体" w:hAnsi="宋体" w:eastAsia="宋体" w:cs="宋体"/>
          <w:color w:val="000000" w:themeColor="text1"/>
          <w:szCs w:val="21"/>
          <w:lang w:val="en-US" w:eastAsia="zh-CN"/>
          <w14:textFill>
            <w14:solidFill>
              <w14:schemeClr w14:val="tx1"/>
            </w14:solidFill>
          </w14:textFill>
        </w:rPr>
        <w:t>分）</w:t>
      </w:r>
    </w:p>
    <w:p>
      <w:pPr>
        <w:pStyle w:val="15"/>
        <w:spacing w:line="380" w:lineRule="exact"/>
        <w:ind w:firstLine="420" w:firstLineChars="200"/>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投标人或投标产品的生产厂商提供自 2018 年 1 月 1 日至开标截止时间前由第三方检测（验）机构出具的，符合参数要求的检测（验）报告，所提供的检测（验）报告必须是通过计量认证（CMA 标识）的机构出具的方为有效：</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（1）依据《GB18583-2008室内装饰装修材料胶粘剂中有害物质限量》出具的《白乳胶》检验检测报告（检验的指标达到国家标准的）；检测内容包含以下项目：总挥发性有机物、甲苯+二甲苯、苯、游离甲醛等。</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（2）</w:t>
      </w:r>
      <w:r>
        <w:rPr>
          <w:rFonts w:hint="eastAsia" w:ascii="宋体" w:hAnsi="宋体" w:eastAsia="宋体" w:cs="宋体"/>
          <w:b w:val="0"/>
          <w:bCs w:val="0"/>
          <w:color w:val="000000" w:themeColor="text1"/>
          <w:sz w:val="21"/>
          <w:szCs w:val="21"/>
          <w:lang w:val="en-US" w:eastAsia="zh-CN"/>
          <w14:textFill>
            <w14:solidFill>
              <w14:schemeClr w14:val="tx1"/>
            </w14:solidFill>
          </w14:textFill>
        </w:rPr>
        <w:t>GB/T 29894-2013</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木材鉴别方法通则</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GB/T16734-1997《中国主要木材名称》</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GB/T 1931-2009</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木材含水率测定方法</w:t>
      </w:r>
      <w:r>
        <w:rPr>
          <w:rFonts w:hint="eastAsia" w:ascii="宋体" w:hAnsi="宋体" w:eastAsia="宋体" w:cs="宋体"/>
          <w:b w:val="0"/>
          <w:bCs w:val="0"/>
          <w:color w:val="000000" w:themeColor="text1"/>
          <w:sz w:val="21"/>
          <w:szCs w:val="21"/>
          <w:lang w:eastAsia="zh-CN"/>
          <w14:textFill>
            <w14:solidFill>
              <w14:schemeClr w14:val="tx1"/>
            </w14:solidFill>
          </w14:textFill>
        </w:rPr>
        <w:t>》、GB/T 1933-2009《木材密度测定方法》、GB/T 6043-2009《木材PH值测定方法》、</w:t>
      </w:r>
      <w:r>
        <w:rPr>
          <w:rFonts w:hint="eastAsia" w:ascii="宋体" w:hAnsi="宋体" w:eastAsia="宋体" w:cs="宋体"/>
          <w:b w:val="0"/>
          <w:bCs w:val="0"/>
          <w:color w:val="000000" w:themeColor="text1"/>
          <w:sz w:val="21"/>
          <w:szCs w:val="21"/>
          <w:lang w:val="en-US" w:eastAsia="zh-CN"/>
          <w14:textFill>
            <w14:solidFill>
              <w14:schemeClr w14:val="tx1"/>
            </w14:solidFill>
          </w14:textFill>
        </w:rPr>
        <w:t>DB45/T 897-2013《樟叶（精）油，芳樟醇型》</w:t>
      </w:r>
      <w:r>
        <w:rPr>
          <w:rFonts w:hint="eastAsia" w:ascii="宋体" w:hAnsi="宋体" w:eastAsia="宋体" w:cs="宋体"/>
          <w:b w:val="0"/>
          <w:bCs w:val="0"/>
          <w:color w:val="000000" w:themeColor="text1"/>
          <w:sz w:val="21"/>
          <w:szCs w:val="21"/>
          <w:lang w:eastAsia="zh-CN"/>
          <w14:textFill>
            <w14:solidFill>
              <w14:schemeClr w14:val="tx1"/>
            </w14:solidFill>
          </w14:textFill>
        </w:rPr>
        <w:t>出具的《</w:t>
      </w:r>
      <w:r>
        <w:rPr>
          <w:rFonts w:hint="eastAsia" w:ascii="宋体" w:hAnsi="宋体" w:eastAsia="宋体" w:cs="宋体"/>
          <w:b w:val="0"/>
          <w:bCs w:val="0"/>
          <w:color w:val="000000" w:themeColor="text1"/>
          <w:sz w:val="21"/>
          <w:szCs w:val="21"/>
          <w:lang w:val="en-US" w:eastAsia="zh-CN"/>
          <w14:textFill>
            <w14:solidFill>
              <w14:schemeClr w14:val="tx1"/>
            </w14:solidFill>
          </w14:textFill>
        </w:rPr>
        <w:t>古籍书柜门板</w:t>
      </w:r>
      <w:r>
        <w:rPr>
          <w:rFonts w:hint="eastAsia" w:ascii="宋体" w:hAnsi="宋体" w:eastAsia="宋体" w:cs="宋体"/>
          <w:b w:val="0"/>
          <w:bCs w:val="0"/>
          <w:color w:val="000000" w:themeColor="text1"/>
          <w:sz w:val="21"/>
          <w:szCs w:val="21"/>
          <w:lang w:eastAsia="zh-CN"/>
          <w14:textFill>
            <w14:solidFill>
              <w14:schemeClr w14:val="tx1"/>
            </w14:solidFill>
          </w14:textFill>
        </w:rPr>
        <w:t>》检测报告，要求检测项目包含：树种、</w:t>
      </w:r>
      <w:r>
        <w:rPr>
          <w:rFonts w:hint="eastAsia" w:ascii="宋体" w:hAnsi="宋体" w:eastAsia="宋体" w:cs="宋体"/>
          <w:b w:val="0"/>
          <w:bCs w:val="0"/>
          <w:color w:val="000000" w:themeColor="text1"/>
          <w:sz w:val="21"/>
          <w:szCs w:val="21"/>
          <w:lang w:val="en-US" w:eastAsia="zh-CN"/>
          <w14:textFill>
            <w14:solidFill>
              <w14:schemeClr w14:val="tx1"/>
            </w14:solidFill>
          </w14:textFill>
        </w:rPr>
        <w:t>木材</w:t>
      </w:r>
      <w:r>
        <w:rPr>
          <w:rFonts w:hint="eastAsia" w:ascii="宋体" w:hAnsi="宋体" w:eastAsia="宋体" w:cs="宋体"/>
          <w:b w:val="0"/>
          <w:bCs w:val="0"/>
          <w:color w:val="000000" w:themeColor="text1"/>
          <w:sz w:val="21"/>
          <w:szCs w:val="21"/>
          <w:lang w:eastAsia="zh-CN"/>
          <w14:textFill>
            <w14:solidFill>
              <w14:schemeClr w14:val="tx1"/>
            </w14:solidFill>
          </w14:textFill>
        </w:rPr>
        <w:t>含水率、基本密度≥</w:t>
      </w:r>
      <w:r>
        <w:rPr>
          <w:rFonts w:hint="eastAsia" w:ascii="宋体" w:hAnsi="宋体" w:eastAsia="宋体" w:cs="宋体"/>
          <w:b w:val="0"/>
          <w:bCs w:val="0"/>
          <w:color w:val="000000" w:themeColor="text1"/>
          <w:sz w:val="21"/>
          <w:szCs w:val="21"/>
          <w:lang w:val="en-US" w:eastAsia="zh-CN"/>
          <w14:textFill>
            <w14:solidFill>
              <w14:schemeClr w14:val="tx1"/>
            </w14:solidFill>
          </w14:textFill>
        </w:rPr>
        <w:t>0.43g</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cm³</w:t>
      </w:r>
      <w:r>
        <w:rPr>
          <w:rFonts w:hint="eastAsia" w:ascii="宋体" w:hAnsi="宋体" w:eastAsia="宋体" w:cs="宋体"/>
          <w:b w:val="0"/>
          <w:bCs w:val="0"/>
          <w:color w:val="000000" w:themeColor="text1"/>
          <w:sz w:val="21"/>
          <w:szCs w:val="21"/>
          <w:lang w:eastAsia="zh-CN"/>
          <w14:textFill>
            <w14:solidFill>
              <w14:schemeClr w14:val="tx1"/>
            </w14:solidFill>
          </w14:textFill>
        </w:rPr>
        <w:t>、PH值、樟脑含量：≥0.</w:t>
      </w:r>
      <w:r>
        <w:rPr>
          <w:rFonts w:hint="eastAsia" w:ascii="宋体" w:hAnsi="宋体" w:eastAsia="宋体" w:cs="宋体"/>
          <w:b w:val="0"/>
          <w:bCs w:val="0"/>
          <w:color w:val="000000" w:themeColor="text1"/>
          <w:sz w:val="21"/>
          <w:szCs w:val="21"/>
          <w:lang w:val="en-US" w:eastAsia="zh-CN"/>
          <w14:textFill>
            <w14:solidFill>
              <w14:schemeClr w14:val="tx1"/>
            </w14:solidFill>
          </w14:textFill>
        </w:rPr>
        <w:t>6</w:t>
      </w:r>
      <w:r>
        <w:rPr>
          <w:rFonts w:hint="eastAsia" w:ascii="宋体" w:hAnsi="宋体" w:eastAsia="宋体" w:cs="宋体"/>
          <w:b w:val="0"/>
          <w:bCs w:val="0"/>
          <w:color w:val="000000" w:themeColor="text1"/>
          <w:sz w:val="21"/>
          <w:szCs w:val="21"/>
          <w:lang w:eastAsia="zh-CN"/>
          <w14:textFill>
            <w14:solidFill>
              <w14:schemeClr w14:val="tx1"/>
            </w14:solidFill>
          </w14:textFill>
        </w:rPr>
        <w:t>%。</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3</w:t>
      </w:r>
      <w:r>
        <w:rPr>
          <w:rFonts w:hint="eastAsia" w:ascii="宋体" w:hAnsi="宋体" w:eastAsia="宋体" w:cs="宋体"/>
          <w:b w:val="0"/>
          <w:bCs w:val="0"/>
          <w:color w:val="000000" w:themeColor="text1"/>
          <w:sz w:val="21"/>
          <w:szCs w:val="21"/>
          <w:lang w:eastAsia="zh-CN"/>
          <w14:textFill>
            <w14:solidFill>
              <w14:schemeClr w14:val="tx1"/>
            </w14:solidFill>
          </w14:textFill>
        </w:rPr>
        <w:t>）依据GB/T 29894-2013</w:t>
      </w:r>
      <w:r>
        <w:rPr>
          <w:rFonts w:hint="eastAsia" w:ascii="宋体" w:hAnsi="宋体" w:eastAsia="宋体" w:cs="宋体"/>
          <w:b w:val="0"/>
          <w:bCs w:val="0"/>
          <w:color w:val="000000" w:themeColor="text1"/>
          <w:sz w:val="21"/>
          <w:szCs w:val="21"/>
          <w:lang w:val="en-US" w:eastAsia="zh-CN"/>
          <w14:textFill>
            <w14:solidFill>
              <w14:schemeClr w14:val="tx1"/>
            </w14:solidFill>
          </w14:textFill>
        </w:rPr>
        <w:t xml:space="preserve"> </w:t>
      </w:r>
      <w:r>
        <w:rPr>
          <w:rFonts w:hint="eastAsia" w:ascii="宋体" w:hAnsi="宋体" w:eastAsia="宋体" w:cs="宋体"/>
          <w:b w:val="0"/>
          <w:bCs w:val="0"/>
          <w:color w:val="000000" w:themeColor="text1"/>
          <w:sz w:val="21"/>
          <w:szCs w:val="21"/>
          <w:lang w:eastAsia="zh-CN"/>
          <w14:textFill>
            <w14:solidFill>
              <w14:schemeClr w14:val="tx1"/>
            </w14:solidFill>
          </w14:textFill>
        </w:rPr>
        <w:t>《木材鉴别方法通则》、GB/T 16734-1997</w:t>
      </w:r>
      <w:r>
        <w:rPr>
          <w:rFonts w:hint="eastAsia" w:ascii="宋体" w:hAnsi="宋体" w:eastAsia="宋体" w:cs="宋体"/>
          <w:b w:val="0"/>
          <w:bCs w:val="0"/>
          <w:color w:val="000000" w:themeColor="text1"/>
          <w:sz w:val="21"/>
          <w:szCs w:val="21"/>
          <w:lang w:val="en-US" w:eastAsia="zh-CN"/>
          <w14:textFill>
            <w14:solidFill>
              <w14:schemeClr w14:val="tx1"/>
            </w14:solidFill>
          </w14:textFill>
        </w:rPr>
        <w:t xml:space="preserve"> </w:t>
      </w:r>
      <w:r>
        <w:rPr>
          <w:rFonts w:hint="eastAsia" w:ascii="宋体" w:hAnsi="宋体" w:eastAsia="宋体" w:cs="宋体"/>
          <w:b w:val="0"/>
          <w:bCs w:val="0"/>
          <w:color w:val="000000" w:themeColor="text1"/>
          <w:sz w:val="21"/>
          <w:szCs w:val="21"/>
          <w:lang w:eastAsia="zh-CN"/>
          <w14:textFill>
            <w14:solidFill>
              <w14:schemeClr w14:val="tx1"/>
            </w14:solidFill>
          </w14:textFill>
        </w:rPr>
        <w:t>《中国主要木材名称》、GB/T 1933-2009《木材密度测定方法》、</w:t>
      </w:r>
      <w:r>
        <w:rPr>
          <w:rFonts w:hint="eastAsia" w:ascii="宋体" w:hAnsi="宋体" w:eastAsia="宋体" w:cs="宋体"/>
          <w:b w:val="0"/>
          <w:bCs w:val="0"/>
          <w:color w:val="000000" w:themeColor="text1"/>
          <w:sz w:val="21"/>
          <w:szCs w:val="21"/>
          <w:lang w:val="en-US" w:eastAsia="zh-CN"/>
          <w14:textFill>
            <w14:solidFill>
              <w14:schemeClr w14:val="tx1"/>
            </w14:solidFill>
          </w14:textFill>
        </w:rPr>
        <w:t>DB45/T 897-2013《樟叶（精）油，芳樟醇型》</w:t>
      </w:r>
      <w:r>
        <w:rPr>
          <w:rFonts w:hint="eastAsia" w:ascii="宋体" w:hAnsi="宋体" w:eastAsia="宋体" w:cs="宋体"/>
          <w:b w:val="0"/>
          <w:bCs w:val="0"/>
          <w:color w:val="000000" w:themeColor="text1"/>
          <w:sz w:val="21"/>
          <w:szCs w:val="21"/>
          <w:lang w:eastAsia="zh-CN"/>
          <w14:textFill>
            <w14:solidFill>
              <w14:schemeClr w14:val="tx1"/>
            </w14:solidFill>
          </w14:textFill>
        </w:rPr>
        <w:t>出具的《</w:t>
      </w:r>
      <w:r>
        <w:rPr>
          <w:rFonts w:hint="eastAsia" w:ascii="宋体" w:hAnsi="宋体" w:eastAsia="宋体" w:cs="宋体"/>
          <w:b w:val="0"/>
          <w:bCs w:val="0"/>
          <w:color w:val="000000" w:themeColor="text1"/>
          <w:sz w:val="21"/>
          <w:szCs w:val="21"/>
          <w:lang w:val="en-US" w:eastAsia="zh-CN"/>
          <w14:textFill>
            <w14:solidFill>
              <w14:schemeClr w14:val="tx1"/>
            </w14:solidFill>
          </w14:textFill>
        </w:rPr>
        <w:t>古籍书柜侧板</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板</w:t>
      </w:r>
      <w:r>
        <w:rPr>
          <w:rFonts w:hint="eastAsia" w:ascii="宋体" w:hAnsi="宋体" w:eastAsia="宋体" w:cs="宋体"/>
          <w:b w:val="0"/>
          <w:bCs w:val="0"/>
          <w:color w:val="000000" w:themeColor="text1"/>
          <w:sz w:val="21"/>
          <w:szCs w:val="21"/>
          <w:lang w:eastAsia="zh-CN"/>
          <w14:textFill>
            <w14:solidFill>
              <w14:schemeClr w14:val="tx1"/>
            </w14:solidFill>
          </w14:textFill>
        </w:rPr>
        <w:t>检测报告内容包含</w:t>
      </w:r>
      <w:r>
        <w:rPr>
          <w:rFonts w:hint="eastAsia" w:ascii="宋体" w:hAnsi="宋体" w:eastAsia="宋体" w:cs="宋体"/>
          <w:b w:val="0"/>
          <w:bCs w:val="0"/>
          <w:color w:val="000000" w:themeColor="text1"/>
          <w:sz w:val="21"/>
          <w:szCs w:val="21"/>
          <w:lang w:val="en-US" w:eastAsia="zh-CN"/>
          <w14:textFill>
            <w14:solidFill>
              <w14:schemeClr w14:val="tx1"/>
            </w14:solidFill>
          </w14:textFill>
        </w:rPr>
        <w:t>树种、</w:t>
      </w:r>
      <w:r>
        <w:rPr>
          <w:rFonts w:hint="eastAsia" w:ascii="宋体" w:hAnsi="宋体" w:eastAsia="宋体" w:cs="宋体"/>
          <w:b w:val="0"/>
          <w:bCs w:val="0"/>
          <w:color w:val="000000" w:themeColor="text1"/>
          <w:sz w:val="21"/>
          <w:szCs w:val="21"/>
          <w:lang w:eastAsia="zh-CN"/>
          <w14:textFill>
            <w14:solidFill>
              <w14:schemeClr w14:val="tx1"/>
            </w14:solidFill>
          </w14:textFill>
        </w:rPr>
        <w:t>基本密度≥</w:t>
      </w:r>
      <w:r>
        <w:rPr>
          <w:rFonts w:hint="eastAsia" w:ascii="宋体" w:hAnsi="宋体" w:eastAsia="宋体" w:cs="宋体"/>
          <w:b w:val="0"/>
          <w:bCs w:val="0"/>
          <w:color w:val="000000" w:themeColor="text1"/>
          <w:sz w:val="21"/>
          <w:szCs w:val="21"/>
          <w:lang w:val="en-US" w:eastAsia="zh-CN"/>
          <w14:textFill>
            <w14:solidFill>
              <w14:schemeClr w14:val="tx1"/>
            </w14:solidFill>
          </w14:textFill>
        </w:rPr>
        <w:t>0.43g</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cm³</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樟脑含量</w:t>
      </w:r>
      <w:r>
        <w:rPr>
          <w:rFonts w:hint="eastAsia" w:ascii="宋体" w:hAnsi="宋体" w:eastAsia="宋体" w:cs="宋体"/>
          <w:b w:val="0"/>
          <w:bCs w:val="0"/>
          <w:color w:val="000000" w:themeColor="text1"/>
          <w:sz w:val="21"/>
          <w:szCs w:val="21"/>
          <w:lang w:eastAsia="zh-CN"/>
          <w14:textFill>
            <w14:solidFill>
              <w14:schemeClr w14:val="tx1"/>
            </w14:solidFill>
          </w14:textFill>
        </w:rPr>
        <w:t>：≥0.</w:t>
      </w:r>
      <w:r>
        <w:rPr>
          <w:rFonts w:hint="eastAsia" w:ascii="宋体" w:hAnsi="宋体" w:eastAsia="宋体" w:cs="宋体"/>
          <w:b w:val="0"/>
          <w:bCs w:val="0"/>
          <w:color w:val="000000" w:themeColor="text1"/>
          <w:sz w:val="21"/>
          <w:szCs w:val="21"/>
          <w:lang w:val="en-US" w:eastAsia="zh-CN"/>
          <w14:textFill>
            <w14:solidFill>
              <w14:schemeClr w14:val="tx1"/>
            </w14:solidFill>
          </w14:textFill>
        </w:rPr>
        <w:t>6</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、挥发油。</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4</w:t>
      </w:r>
      <w:r>
        <w:rPr>
          <w:rFonts w:hint="eastAsia" w:ascii="宋体" w:hAnsi="宋体" w:eastAsia="宋体" w:cs="宋体"/>
          <w:b w:val="0"/>
          <w:bCs w:val="0"/>
          <w:color w:val="000000" w:themeColor="text1"/>
          <w:sz w:val="21"/>
          <w:szCs w:val="21"/>
          <w:lang w:eastAsia="zh-CN"/>
          <w14:textFill>
            <w14:solidFill>
              <w14:schemeClr w14:val="tx1"/>
            </w14:solidFill>
          </w14:textFill>
        </w:rPr>
        <w:t>）依据《GB/T3325-2017金属家具通用技术条件》、《GB/T1740-2007漆膜耐湿热测定法》、《GB/T23999-2009室内装饰装修用水性木器涂料》出具的《塑粉》检验检测报告（检验的指标达到国家标准的）；检测内容包含以下项目：耐碱性（5％NaOH）、耐酸性（3％HCl）、重金属、金属喷漆（塑）涂层硬度、金属喷漆（塑）涂层附着力、金属件涂层耐湿热、耐腐蚀等级、耐老化性等。</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5</w:t>
      </w:r>
      <w:r>
        <w:rPr>
          <w:rFonts w:hint="eastAsia" w:ascii="宋体" w:hAnsi="宋体" w:eastAsia="宋体" w:cs="宋体"/>
          <w:b w:val="0"/>
          <w:bCs w:val="0"/>
          <w:color w:val="000000" w:themeColor="text1"/>
          <w:sz w:val="21"/>
          <w:szCs w:val="21"/>
          <w:lang w:eastAsia="zh-CN"/>
          <w14:textFill>
            <w14:solidFill>
              <w14:schemeClr w14:val="tx1"/>
            </w14:solidFill>
          </w14:textFill>
        </w:rPr>
        <w:t>）依据《GB/T10802-2006通用软质聚醚型聚氨酯泡沫塑料》和《GB20286-2006公共场所阻燃制品及组件燃烧性能要求和标识》出具的《海绵》检验检测报告（检验的指标达到国家标准的）；检测内容包含以下项目：表观密度、回弹率、拉伸强度、伸长率等。</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6</w:t>
      </w:r>
      <w:r>
        <w:rPr>
          <w:rFonts w:hint="eastAsia" w:ascii="宋体" w:hAnsi="宋体" w:eastAsia="宋体" w:cs="宋体"/>
          <w:b w:val="0"/>
          <w:bCs w:val="0"/>
          <w:color w:val="000000" w:themeColor="text1"/>
          <w:sz w:val="21"/>
          <w:szCs w:val="21"/>
          <w:lang w:eastAsia="zh-CN"/>
          <w14:textFill>
            <w14:solidFill>
              <w14:schemeClr w14:val="tx1"/>
            </w14:solidFill>
          </w14:textFill>
        </w:rPr>
        <w:t>）依据《GB18401-2010国家纺织产品基本安全技术规范》、《GB8624-2012建筑材料及制品燃烧性能分级》出具的《面料》检验检测报告（检验的指标达到国家标准的）；检测内容包含以下项目：甲醛含量、染色牢度、异味、纺织面料可分解、芳香胺染料、pH值、B₁级燃烧性能等。</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7</w:t>
      </w:r>
      <w:r>
        <w:rPr>
          <w:rFonts w:hint="eastAsia" w:ascii="宋体" w:hAnsi="宋体" w:eastAsia="宋体" w:cs="宋体"/>
          <w:b w:val="0"/>
          <w:bCs w:val="0"/>
          <w:color w:val="000000" w:themeColor="text1"/>
          <w:sz w:val="21"/>
          <w:szCs w:val="21"/>
          <w:lang w:eastAsia="zh-CN"/>
          <w14:textFill>
            <w14:solidFill>
              <w14:schemeClr w14:val="tx1"/>
            </w14:solidFill>
          </w14:textFill>
        </w:rPr>
        <w:t>）依据GB/T 29894-2013《木材鉴别方法通则》、GB/T 16734-1997《中国主要木材名称》、GB/T 1931-2009《木材含水率测定方法》出具的《</w:t>
      </w:r>
      <w:r>
        <w:rPr>
          <w:rFonts w:hint="eastAsia" w:ascii="宋体" w:hAnsi="宋体" w:eastAsia="宋体" w:cs="宋体"/>
          <w:b w:val="0"/>
          <w:bCs w:val="0"/>
          <w:color w:val="000000" w:themeColor="text1"/>
          <w:sz w:val="21"/>
          <w:szCs w:val="21"/>
          <w:lang w:val="en-US" w:eastAsia="zh-CN"/>
          <w14:textFill>
            <w14:solidFill>
              <w14:schemeClr w14:val="tx1"/>
            </w14:solidFill>
          </w14:textFill>
        </w:rPr>
        <w:t>古籍书柜牙板</w:t>
      </w:r>
      <w:r>
        <w:rPr>
          <w:rFonts w:hint="eastAsia" w:ascii="宋体" w:hAnsi="宋体" w:eastAsia="宋体" w:cs="宋体"/>
          <w:b w:val="0"/>
          <w:bCs w:val="0"/>
          <w:color w:val="000000" w:themeColor="text1"/>
          <w:sz w:val="21"/>
          <w:szCs w:val="21"/>
          <w:lang w:eastAsia="zh-CN"/>
          <w14:textFill>
            <w14:solidFill>
              <w14:schemeClr w14:val="tx1"/>
            </w14:solidFill>
          </w14:textFill>
        </w:rPr>
        <w:t>》检测报告内容包含</w:t>
      </w:r>
      <w:r>
        <w:rPr>
          <w:rFonts w:hint="eastAsia" w:ascii="宋体" w:hAnsi="宋体" w:eastAsia="宋体" w:cs="宋体"/>
          <w:b w:val="0"/>
          <w:bCs w:val="0"/>
          <w:color w:val="000000" w:themeColor="text1"/>
          <w:sz w:val="21"/>
          <w:szCs w:val="21"/>
          <w:lang w:val="en-US" w:eastAsia="zh-CN"/>
          <w14:textFill>
            <w14:solidFill>
              <w14:schemeClr w14:val="tx1"/>
            </w14:solidFill>
          </w14:textFill>
        </w:rPr>
        <w:t>树种、含水率。</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8</w:t>
      </w:r>
      <w:r>
        <w:rPr>
          <w:rFonts w:hint="eastAsia" w:ascii="宋体" w:hAnsi="宋体" w:eastAsia="宋体" w:cs="宋体"/>
          <w:b w:val="0"/>
          <w:bCs w:val="0"/>
          <w:color w:val="000000" w:themeColor="text1"/>
          <w:sz w:val="21"/>
          <w:szCs w:val="21"/>
          <w:lang w:eastAsia="zh-CN"/>
          <w14:textFill>
            <w14:solidFill>
              <w14:schemeClr w14:val="tx1"/>
            </w14:solidFill>
          </w14:textFill>
        </w:rPr>
        <w:t>）依据《</w:t>
      </w:r>
      <w:r>
        <w:rPr>
          <w:rFonts w:hint="eastAsia" w:ascii="宋体" w:hAnsi="宋体" w:eastAsia="宋体" w:cs="宋体"/>
          <w:b w:val="0"/>
          <w:bCs w:val="0"/>
          <w:color w:val="000000" w:themeColor="text1"/>
          <w:sz w:val="21"/>
          <w:szCs w:val="21"/>
          <w:lang w:val="en-US" w:eastAsia="zh-CN"/>
          <w14:textFill>
            <w14:solidFill>
              <w14:schemeClr w14:val="tx1"/>
            </w14:solidFill>
          </w14:textFill>
        </w:rPr>
        <w:t>GB 24410-2009 室内装饰装修材料水性木器涂料中有害物质限量 》、《GB/T 23999-2009 室内装饰装修用水性木器涂料</w:t>
      </w:r>
      <w:r>
        <w:rPr>
          <w:rFonts w:hint="eastAsia" w:ascii="宋体" w:hAnsi="宋体" w:eastAsia="宋体" w:cs="宋体"/>
          <w:b w:val="0"/>
          <w:bCs w:val="0"/>
          <w:color w:val="000000" w:themeColor="text1"/>
          <w:sz w:val="21"/>
          <w:szCs w:val="21"/>
          <w:lang w:eastAsia="zh-CN"/>
          <w14:textFill>
            <w14:solidFill>
              <w14:schemeClr w14:val="tx1"/>
            </w14:solidFill>
          </w14:textFill>
        </w:rPr>
        <w:t>》出具的《</w:t>
      </w:r>
      <w:r>
        <w:rPr>
          <w:rFonts w:hint="eastAsia" w:ascii="宋体" w:hAnsi="宋体" w:eastAsia="宋体" w:cs="宋体"/>
          <w:b w:val="0"/>
          <w:bCs w:val="0"/>
          <w:color w:val="000000" w:themeColor="text1"/>
          <w:sz w:val="21"/>
          <w:szCs w:val="21"/>
          <w:lang w:val="en-US" w:eastAsia="zh-CN"/>
          <w14:textFill>
            <w14:solidFill>
              <w14:schemeClr w14:val="tx1"/>
            </w14:solidFill>
          </w14:textFill>
        </w:rPr>
        <w:t>水性油漆</w:t>
      </w:r>
      <w:r>
        <w:rPr>
          <w:rFonts w:hint="eastAsia" w:ascii="宋体" w:hAnsi="宋体" w:eastAsia="宋体" w:cs="宋体"/>
          <w:b w:val="0"/>
          <w:bCs w:val="0"/>
          <w:color w:val="000000" w:themeColor="text1"/>
          <w:sz w:val="21"/>
          <w:szCs w:val="21"/>
          <w:lang w:eastAsia="zh-CN"/>
          <w14:textFill>
            <w14:solidFill>
              <w14:schemeClr w14:val="tx1"/>
            </w14:solidFill>
          </w14:textFill>
        </w:rPr>
        <w:t>》检验检测报告（检验的指标达到国家标准的）；检测内容包含但不限于以下项目：</w:t>
      </w:r>
      <w:r>
        <w:rPr>
          <w:rFonts w:hint="eastAsia" w:ascii="宋体" w:hAnsi="宋体" w:eastAsia="宋体" w:cs="宋体"/>
          <w:b w:val="0"/>
          <w:bCs w:val="0"/>
          <w:color w:val="000000" w:themeColor="text1"/>
          <w:sz w:val="21"/>
          <w:szCs w:val="21"/>
          <w:lang w:val="en-US" w:eastAsia="zh-CN"/>
          <w14:textFill>
            <w14:solidFill>
              <w14:schemeClr w14:val="tx1"/>
            </w14:solidFill>
          </w14:textFill>
        </w:rPr>
        <w:t>挥发性有机化合物含量、苯系物含量、乙二醇醚及其酯类含量</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硬度、附着力、耐碱性</w:t>
      </w:r>
      <w:r>
        <w:rPr>
          <w:rFonts w:hint="eastAsia" w:ascii="宋体" w:hAnsi="宋体" w:eastAsia="宋体" w:cs="宋体"/>
          <w:b w:val="0"/>
          <w:bCs w:val="0"/>
          <w:color w:val="000000" w:themeColor="text1"/>
          <w:sz w:val="21"/>
          <w:szCs w:val="21"/>
          <w:lang w:eastAsia="zh-CN"/>
          <w14:textFill>
            <w14:solidFill>
              <w14:schemeClr w14:val="tx1"/>
            </w14:solidFill>
          </w14:textFill>
        </w:rPr>
        <w:t>等。</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9</w:t>
      </w:r>
      <w:r>
        <w:rPr>
          <w:rFonts w:hint="eastAsia" w:ascii="宋体" w:hAnsi="宋体" w:eastAsia="宋体" w:cs="宋体"/>
          <w:b w:val="0"/>
          <w:bCs w:val="0"/>
          <w:color w:val="000000" w:themeColor="text1"/>
          <w:sz w:val="21"/>
          <w:szCs w:val="21"/>
          <w:lang w:eastAsia="zh-CN"/>
          <w14:textFill>
            <w14:solidFill>
              <w14:schemeClr w14:val="tx1"/>
            </w14:solidFill>
          </w14:textFill>
        </w:rPr>
        <w:t>)依据《GB/T3325-2017金属家具通用技术条件》出具的《五星脚架（钢构）》检验检测报告（检验的指标达到国家标准的）；检测内容包含以下项目：管材、焊接件等。</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10</w:t>
      </w:r>
      <w:r>
        <w:rPr>
          <w:rFonts w:hint="eastAsia" w:ascii="宋体" w:hAnsi="宋体" w:eastAsia="宋体" w:cs="宋体"/>
          <w:b w:val="0"/>
          <w:bCs w:val="0"/>
          <w:color w:val="000000" w:themeColor="text1"/>
          <w:sz w:val="21"/>
          <w:szCs w:val="21"/>
          <w:lang w:eastAsia="zh-CN"/>
          <w14:textFill>
            <w14:solidFill>
              <w14:schemeClr w14:val="tx1"/>
            </w14:solidFill>
          </w14:textFill>
        </w:rPr>
        <w:t>）依据《GB/T29525-2013座椅升降气弹簧 技术条件》、《GB/T3325-2017金属家具通用技术条件》、《QB/T 3826-1999 轻工产品金属镀层和化学处理层的耐腐蚀试验方法中性盐雾试验(NSS)法企业技术条件》出具的《气压棒》检验检测报告（检验的指标达到国家标准的）；检测内容包含但不限于以下项目：涂层和覆面层中可溶性重金属、安全性-耐高低温性能、安全性-循环寿命、耐腐蚀等级等。</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11</w:t>
      </w:r>
      <w:r>
        <w:rPr>
          <w:rFonts w:hint="eastAsia" w:ascii="宋体" w:hAnsi="宋体" w:eastAsia="宋体" w:cs="宋体"/>
          <w:b w:val="0"/>
          <w:bCs w:val="0"/>
          <w:color w:val="000000" w:themeColor="text1"/>
          <w:sz w:val="21"/>
          <w:szCs w:val="21"/>
          <w:lang w:eastAsia="zh-CN"/>
          <w14:textFill>
            <w14:solidFill>
              <w14:schemeClr w14:val="tx1"/>
            </w14:solidFill>
          </w14:textFill>
        </w:rPr>
        <w:t>）依据GB/T 29894-2013</w:t>
      </w:r>
      <w:r>
        <w:rPr>
          <w:rFonts w:hint="eastAsia" w:ascii="宋体" w:hAnsi="宋体" w:eastAsia="宋体" w:cs="宋体"/>
          <w:b w:val="0"/>
          <w:bCs w:val="0"/>
          <w:color w:val="000000" w:themeColor="text1"/>
          <w:sz w:val="21"/>
          <w:szCs w:val="21"/>
          <w:lang w:val="en-US" w:eastAsia="zh-CN"/>
          <w14:textFill>
            <w14:solidFill>
              <w14:schemeClr w14:val="tx1"/>
            </w14:solidFill>
          </w14:textFill>
        </w:rPr>
        <w:t xml:space="preserve"> </w:t>
      </w:r>
      <w:r>
        <w:rPr>
          <w:rFonts w:hint="eastAsia" w:ascii="宋体" w:hAnsi="宋体" w:eastAsia="宋体" w:cs="宋体"/>
          <w:b w:val="0"/>
          <w:bCs w:val="0"/>
          <w:color w:val="000000" w:themeColor="text1"/>
          <w:sz w:val="21"/>
          <w:szCs w:val="21"/>
          <w:lang w:eastAsia="zh-CN"/>
          <w14:textFill>
            <w14:solidFill>
              <w14:schemeClr w14:val="tx1"/>
            </w14:solidFill>
          </w14:textFill>
        </w:rPr>
        <w:t>《木材鉴别方法通则》、GB/T 16734-1997《中国主要木材名称》、</w:t>
      </w:r>
      <w:r>
        <w:rPr>
          <w:rFonts w:hint="eastAsia" w:ascii="宋体" w:hAnsi="宋体" w:eastAsia="宋体" w:cs="宋体"/>
          <w:b w:val="0"/>
          <w:bCs w:val="0"/>
          <w:color w:val="000000" w:themeColor="text1"/>
          <w:sz w:val="21"/>
          <w:szCs w:val="21"/>
          <w:lang w:val="en-US" w:eastAsia="zh-CN"/>
          <w14:textFill>
            <w14:solidFill>
              <w14:schemeClr w14:val="tx1"/>
            </w14:solidFill>
          </w14:textFill>
        </w:rPr>
        <w:t>DB45/T 897-2013《樟叶（精）油，芳樟醇型》</w:t>
      </w:r>
      <w:r>
        <w:rPr>
          <w:rFonts w:hint="eastAsia" w:ascii="宋体" w:hAnsi="宋体" w:eastAsia="宋体" w:cs="宋体"/>
          <w:b w:val="0"/>
          <w:bCs w:val="0"/>
          <w:color w:val="000000" w:themeColor="text1"/>
          <w:sz w:val="21"/>
          <w:szCs w:val="21"/>
          <w:lang w:eastAsia="zh-CN"/>
          <w14:textFill>
            <w14:solidFill>
              <w14:schemeClr w14:val="tx1"/>
            </w14:solidFill>
          </w14:textFill>
        </w:rPr>
        <w:t>出具的《</w:t>
      </w:r>
      <w:r>
        <w:rPr>
          <w:rFonts w:hint="eastAsia" w:ascii="宋体" w:hAnsi="宋体" w:eastAsia="宋体" w:cs="宋体"/>
          <w:b w:val="0"/>
          <w:bCs w:val="0"/>
          <w:color w:val="000000" w:themeColor="text1"/>
          <w:sz w:val="21"/>
          <w:szCs w:val="21"/>
          <w:lang w:val="en-US" w:eastAsia="zh-CN"/>
          <w14:textFill>
            <w14:solidFill>
              <w14:schemeClr w14:val="tx1"/>
            </w14:solidFill>
          </w14:textFill>
        </w:rPr>
        <w:t>古籍书柜主立柱方带棕角（香樟木原木）</w:t>
      </w:r>
      <w:r>
        <w:rPr>
          <w:rFonts w:hint="eastAsia" w:ascii="宋体" w:hAnsi="宋体" w:eastAsia="宋体" w:cs="宋体"/>
          <w:b w:val="0"/>
          <w:bCs w:val="0"/>
          <w:color w:val="000000" w:themeColor="text1"/>
          <w:sz w:val="21"/>
          <w:szCs w:val="21"/>
          <w:lang w:eastAsia="zh-CN"/>
          <w14:textFill>
            <w14:solidFill>
              <w14:schemeClr w14:val="tx1"/>
            </w14:solidFill>
          </w14:textFill>
        </w:rPr>
        <w:t>》检测报告内容</w:t>
      </w:r>
      <w:r>
        <w:rPr>
          <w:rFonts w:hint="eastAsia" w:ascii="宋体" w:hAnsi="宋体" w:eastAsia="宋体" w:cs="宋体"/>
          <w:b w:val="0"/>
          <w:bCs w:val="0"/>
          <w:color w:val="000000" w:themeColor="text1"/>
          <w:sz w:val="21"/>
          <w:szCs w:val="21"/>
          <w:lang w:val="en-US" w:eastAsia="zh-CN"/>
          <w14:textFill>
            <w14:solidFill>
              <w14:schemeClr w14:val="tx1"/>
            </w14:solidFill>
          </w14:textFill>
        </w:rPr>
        <w:t>樟脑含量</w:t>
      </w:r>
      <w:r>
        <w:rPr>
          <w:rFonts w:hint="eastAsia" w:ascii="宋体" w:hAnsi="宋体" w:eastAsia="宋体" w:cs="宋体"/>
          <w:b w:val="0"/>
          <w:bCs w:val="0"/>
          <w:color w:val="000000" w:themeColor="text1"/>
          <w:sz w:val="21"/>
          <w:szCs w:val="21"/>
          <w:lang w:eastAsia="zh-CN"/>
          <w14:textFill>
            <w14:solidFill>
              <w14:schemeClr w14:val="tx1"/>
            </w14:solidFill>
          </w14:textFill>
        </w:rPr>
        <w:t>：≥0.</w:t>
      </w:r>
      <w:r>
        <w:rPr>
          <w:rFonts w:hint="eastAsia" w:ascii="宋体" w:hAnsi="宋体" w:eastAsia="宋体" w:cs="宋体"/>
          <w:b w:val="0"/>
          <w:bCs w:val="0"/>
          <w:color w:val="000000" w:themeColor="text1"/>
          <w:sz w:val="21"/>
          <w:szCs w:val="21"/>
          <w:lang w:val="en-US" w:eastAsia="zh-CN"/>
          <w14:textFill>
            <w14:solidFill>
              <w14:schemeClr w14:val="tx1"/>
            </w14:solidFill>
          </w14:textFill>
        </w:rPr>
        <w:t>6</w:t>
      </w:r>
      <w:r>
        <w:rPr>
          <w:rFonts w:hint="eastAsia" w:ascii="宋体" w:hAnsi="宋体" w:eastAsia="宋体" w:cs="宋体"/>
          <w:b w:val="0"/>
          <w:bCs w:val="0"/>
          <w:color w:val="000000" w:themeColor="text1"/>
          <w:sz w:val="21"/>
          <w:szCs w:val="21"/>
          <w:lang w:eastAsia="zh-CN"/>
          <w14:textFill>
            <w14:solidFill>
              <w14:schemeClr w14:val="tx1"/>
            </w14:solidFill>
          </w14:textFill>
        </w:rPr>
        <w:t>%。</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12</w:t>
      </w:r>
      <w:r>
        <w:rPr>
          <w:rFonts w:hint="eastAsia" w:ascii="宋体" w:hAnsi="宋体" w:eastAsia="宋体" w:cs="宋体"/>
          <w:b w:val="0"/>
          <w:bCs w:val="0"/>
          <w:color w:val="000000" w:themeColor="text1"/>
          <w:sz w:val="21"/>
          <w:szCs w:val="21"/>
          <w:lang w:eastAsia="zh-CN"/>
          <w14:textFill>
            <w14:solidFill>
              <w14:schemeClr w14:val="tx1"/>
            </w14:solidFill>
          </w14:textFill>
        </w:rPr>
        <w:t>）依据《QB/T2189-2013家具五金杯状暗铰链》、《GB/T 3325-2017 金属家具通用技术条件》、《QB/T 3826-1999轻工产品金属镀层和化学处理层的耐腐蚀试验方法中性盐雾试验(NSS)法》、《QB/T3832-1999轻工产品金属镀层腐蚀试验结果的评价》出具的《铰链》检验检测报告（检验的指标达到国家标准的）；检测内容包含但不限于以下项目：垂直静载荷（过载）、操作力、耐久性、下沉量、涂层和覆面层中可溶性重金属等。</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13</w:t>
      </w:r>
      <w:r>
        <w:rPr>
          <w:rFonts w:hint="eastAsia" w:ascii="宋体" w:hAnsi="宋体" w:eastAsia="宋体" w:cs="宋体"/>
          <w:b w:val="0"/>
          <w:bCs w:val="0"/>
          <w:color w:val="000000" w:themeColor="text1"/>
          <w:sz w:val="21"/>
          <w:szCs w:val="21"/>
          <w:lang w:eastAsia="zh-CN"/>
          <w14:textFill>
            <w14:solidFill>
              <w14:schemeClr w14:val="tx1"/>
            </w14:solidFill>
          </w14:textFill>
        </w:rPr>
        <w:t>）依据《GB/T28203-2011家具用连接件技术要求及试验方法》、《GB/T223.79-2007钢铁多元素含量的测定X-射线荧光光谱法》出具的《三合一连接件》检验检测报告（检验的指标达到国家标准的）；检测内容包含以下项目：外观、尺寸与角度、耐腐蚀等、涂层金属元素含量等。</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（14）依据《QB/T 1621-2015(2017)家具锁》标准出具的锁检验（检测）报告，检测内容包含以下项目：保密度、牢固度、灵活度、外观质量。</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（1</w:t>
      </w:r>
      <w:r>
        <w:rPr>
          <w:rFonts w:hint="eastAsia" w:ascii="宋体" w:hAnsi="宋体" w:eastAsia="宋体" w:cs="宋体"/>
          <w:b w:val="0"/>
          <w:bCs w:val="0"/>
          <w:color w:val="000000" w:themeColor="text1"/>
          <w:sz w:val="21"/>
          <w:szCs w:val="21"/>
          <w:lang w:val="en-US" w:eastAsia="zh-CN"/>
          <w14:textFill>
            <w14:solidFill>
              <w14:schemeClr w14:val="tx1"/>
            </w14:solidFill>
          </w14:textFill>
        </w:rPr>
        <w:t>5</w:t>
      </w:r>
      <w:r>
        <w:rPr>
          <w:rFonts w:hint="eastAsia" w:ascii="宋体" w:hAnsi="宋体" w:eastAsia="宋体" w:cs="宋体"/>
          <w:b w:val="0"/>
          <w:bCs w:val="0"/>
          <w:color w:val="000000" w:themeColor="text1"/>
          <w:sz w:val="21"/>
          <w:szCs w:val="21"/>
          <w:lang w:eastAsia="zh-CN"/>
          <w14:textFill>
            <w14:solidFill>
              <w14:schemeClr w14:val="tx1"/>
            </w14:solidFill>
          </w14:textFill>
        </w:rPr>
        <w:t>）依据《QB/T2454-2013家具五金抽屉导轨》出具的《静音导轨》检验检测报告（检验的指标达到国家标准的）检测内容包含耐腐蚀项目。</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（1</w:t>
      </w:r>
      <w:r>
        <w:rPr>
          <w:rFonts w:hint="eastAsia" w:ascii="宋体" w:hAnsi="宋体" w:eastAsia="宋体" w:cs="宋体"/>
          <w:b w:val="0"/>
          <w:bCs w:val="0"/>
          <w:color w:val="000000" w:themeColor="text1"/>
          <w:sz w:val="21"/>
          <w:szCs w:val="21"/>
          <w:lang w:val="en-US" w:eastAsia="zh-CN"/>
          <w14:textFill>
            <w14:solidFill>
              <w14:schemeClr w14:val="tx1"/>
            </w14:solidFill>
          </w14:textFill>
        </w:rPr>
        <w:t>6</w:t>
      </w:r>
      <w:r>
        <w:rPr>
          <w:rFonts w:hint="eastAsia" w:ascii="宋体" w:hAnsi="宋体" w:eastAsia="宋体" w:cs="宋体"/>
          <w:b w:val="0"/>
          <w:bCs w:val="0"/>
          <w:color w:val="000000" w:themeColor="text1"/>
          <w:sz w:val="21"/>
          <w:szCs w:val="21"/>
          <w:lang w:eastAsia="zh-CN"/>
          <w14:textFill>
            <w14:solidFill>
              <w14:schemeClr w14:val="tx1"/>
            </w14:solidFill>
          </w14:textFill>
        </w:rPr>
        <w:t>）依据</w:t>
      </w:r>
      <w:r>
        <w:rPr>
          <w:rFonts w:hint="eastAsia" w:ascii="宋体" w:hAnsi="宋体" w:eastAsia="宋体" w:cs="宋体"/>
          <w:b w:val="0"/>
          <w:bCs w:val="0"/>
          <w:color w:val="000000" w:themeColor="text1"/>
          <w:sz w:val="21"/>
          <w:szCs w:val="21"/>
          <w:lang w:val="en-US" w:eastAsia="zh-CN"/>
          <w14:textFill>
            <w14:solidFill>
              <w14:schemeClr w14:val="tx1"/>
            </w14:solidFill>
          </w14:textFill>
        </w:rPr>
        <w:t xml:space="preserve">GB/T 29894-2013 </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木材鉴别方法通则</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GB/T16734-1997《中国主要木材名称》</w:t>
      </w:r>
      <w:r>
        <w:rPr>
          <w:rFonts w:hint="eastAsia" w:ascii="宋体" w:hAnsi="宋体" w:eastAsia="宋体" w:cs="宋体"/>
          <w:b w:val="0"/>
          <w:bCs w:val="0"/>
          <w:color w:val="000000" w:themeColor="text1"/>
          <w:sz w:val="21"/>
          <w:szCs w:val="21"/>
          <w:lang w:eastAsia="zh-CN"/>
          <w14:textFill>
            <w14:solidFill>
              <w14:schemeClr w14:val="tx1"/>
            </w14:solidFill>
          </w14:textFill>
        </w:rPr>
        <w:t>、GB/T 1933-2009《木材密度测定方法》出具的《</w:t>
      </w:r>
      <w:r>
        <w:rPr>
          <w:rFonts w:hint="eastAsia" w:ascii="宋体" w:hAnsi="宋体" w:eastAsia="宋体" w:cs="宋体"/>
          <w:b w:val="0"/>
          <w:bCs w:val="0"/>
          <w:color w:val="000000" w:themeColor="text1"/>
          <w:sz w:val="21"/>
          <w:szCs w:val="21"/>
          <w:lang w:val="en-US" w:eastAsia="zh-CN"/>
          <w14:textFill>
            <w14:solidFill>
              <w14:schemeClr w14:val="tx1"/>
            </w14:solidFill>
          </w14:textFill>
        </w:rPr>
        <w:t>古籍书柜顶端方带棕角</w:t>
      </w:r>
      <w:r>
        <w:rPr>
          <w:rFonts w:hint="eastAsia" w:ascii="宋体" w:hAnsi="宋体" w:eastAsia="宋体" w:cs="宋体"/>
          <w:b w:val="0"/>
          <w:bCs w:val="0"/>
          <w:color w:val="000000" w:themeColor="text1"/>
          <w:sz w:val="21"/>
          <w:szCs w:val="21"/>
          <w:lang w:eastAsia="zh-CN"/>
          <w14:textFill>
            <w14:solidFill>
              <w14:schemeClr w14:val="tx1"/>
            </w14:solidFill>
          </w14:textFill>
        </w:rPr>
        <w:t>》检测报告内容包含</w:t>
      </w:r>
      <w:r>
        <w:rPr>
          <w:rFonts w:hint="eastAsia" w:ascii="宋体" w:hAnsi="宋体" w:eastAsia="宋体" w:cs="宋体"/>
          <w:b w:val="0"/>
          <w:bCs w:val="0"/>
          <w:color w:val="000000" w:themeColor="text1"/>
          <w:sz w:val="21"/>
          <w:szCs w:val="21"/>
          <w:lang w:val="en-US" w:eastAsia="zh-CN"/>
          <w14:textFill>
            <w14:solidFill>
              <w14:schemeClr w14:val="tx1"/>
            </w14:solidFill>
          </w14:textFill>
        </w:rPr>
        <w:t>树种、基本密度</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0.43g</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cm³、</w:t>
      </w:r>
      <w:r>
        <w:rPr>
          <w:rFonts w:hint="eastAsia" w:ascii="宋体" w:hAnsi="宋体" w:eastAsia="宋体" w:cs="宋体"/>
          <w:b w:val="0"/>
          <w:bCs w:val="0"/>
          <w:color w:val="000000" w:themeColor="text1"/>
          <w:sz w:val="21"/>
          <w:szCs w:val="21"/>
          <w:lang w:eastAsia="zh-CN"/>
          <w14:textFill>
            <w14:solidFill>
              <w14:schemeClr w14:val="tx1"/>
            </w14:solidFill>
          </w14:textFill>
        </w:rPr>
        <w:t>PH值≥</w:t>
      </w:r>
      <w:r>
        <w:rPr>
          <w:rFonts w:hint="eastAsia" w:ascii="宋体" w:hAnsi="宋体" w:eastAsia="宋体" w:cs="宋体"/>
          <w:b w:val="0"/>
          <w:bCs w:val="0"/>
          <w:color w:val="000000" w:themeColor="text1"/>
          <w:sz w:val="21"/>
          <w:szCs w:val="21"/>
          <w:lang w:val="en-US" w:eastAsia="zh-CN"/>
          <w14:textFill>
            <w14:solidFill>
              <w14:schemeClr w14:val="tx1"/>
            </w14:solidFill>
          </w14:textFill>
        </w:rPr>
        <w:t>6</w:t>
      </w: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8</w:t>
      </w:r>
      <w:r>
        <w:rPr>
          <w:rFonts w:hint="eastAsia" w:ascii="宋体" w:hAnsi="宋体" w:eastAsia="宋体" w:cs="宋体"/>
          <w:b w:val="0"/>
          <w:bCs w:val="0"/>
          <w:color w:val="000000" w:themeColor="text1"/>
          <w:sz w:val="21"/>
          <w:szCs w:val="21"/>
          <w:lang w:eastAsia="zh-CN"/>
          <w14:textFill>
            <w14:solidFill>
              <w14:schemeClr w14:val="tx1"/>
            </w14:solidFill>
          </w14:textFill>
        </w:rPr>
        <w:t>。</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17</w:t>
      </w:r>
      <w:r>
        <w:rPr>
          <w:rFonts w:hint="eastAsia" w:ascii="宋体" w:hAnsi="宋体" w:eastAsia="宋体" w:cs="宋体"/>
          <w:b w:val="0"/>
          <w:bCs w:val="0"/>
          <w:color w:val="000000" w:themeColor="text1"/>
          <w:sz w:val="21"/>
          <w:szCs w:val="21"/>
          <w:lang w:eastAsia="zh-CN"/>
          <w14:textFill>
            <w14:solidFill>
              <w14:schemeClr w14:val="tx1"/>
            </w14:solidFill>
          </w14:textFill>
        </w:rPr>
        <w:t>） 依据《GB/T 17657-2013 人造板及饰面人造板理化性能试验方法、GB 18584-2001 室内装饰装修材料 木家具中有害物质限量》标准出具的</w:t>
      </w:r>
      <w:r>
        <w:rPr>
          <w:rFonts w:hint="eastAsia" w:ascii="宋体" w:hAnsi="宋体" w:eastAsia="宋体" w:cs="宋体"/>
          <w:b w:val="0"/>
          <w:bCs w:val="0"/>
          <w:color w:val="000000" w:themeColor="text1"/>
          <w:sz w:val="21"/>
          <w:szCs w:val="21"/>
          <w:lang w:val="en-US" w:eastAsia="zh-CN"/>
          <w14:textFill>
            <w14:solidFill>
              <w14:schemeClr w14:val="tx1"/>
            </w14:solidFill>
          </w14:textFill>
        </w:rPr>
        <w:t>胶合板</w:t>
      </w:r>
      <w:r>
        <w:rPr>
          <w:rFonts w:hint="eastAsia" w:ascii="宋体" w:hAnsi="宋体" w:eastAsia="宋体" w:cs="宋体"/>
          <w:b w:val="0"/>
          <w:bCs w:val="0"/>
          <w:color w:val="000000" w:themeColor="text1"/>
          <w:sz w:val="21"/>
          <w:szCs w:val="21"/>
          <w:lang w:eastAsia="zh-CN"/>
          <w14:textFill>
            <w14:solidFill>
              <w14:schemeClr w14:val="tx1"/>
            </w14:solidFill>
          </w14:textFill>
        </w:rPr>
        <w:t>检验（检测）报告复印件，检测项目包含含水率、木制件甲醛释放量。</w:t>
      </w:r>
    </w:p>
    <w:p>
      <w:pPr>
        <w:widowControl/>
        <w:tabs>
          <w:tab w:val="left" w:pos="210"/>
        </w:tabs>
        <w:spacing w:line="320" w:lineRule="exact"/>
        <w:ind w:firstLine="210" w:firstLineChars="1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sz w:val="21"/>
          <w:szCs w:val="21"/>
          <w:lang w:eastAsia="zh-CN"/>
          <w14:textFill>
            <w14:solidFill>
              <w14:schemeClr w14:val="tx1"/>
            </w14:solidFill>
          </w14:textFill>
        </w:rPr>
        <w:t>（</w:t>
      </w:r>
      <w:r>
        <w:rPr>
          <w:rFonts w:hint="eastAsia" w:ascii="宋体" w:hAnsi="宋体" w:eastAsia="宋体" w:cs="宋体"/>
          <w:b w:val="0"/>
          <w:bCs w:val="0"/>
          <w:color w:val="000000" w:themeColor="text1"/>
          <w:sz w:val="21"/>
          <w:szCs w:val="21"/>
          <w:lang w:val="en-US" w:eastAsia="zh-CN"/>
          <w14:textFill>
            <w14:solidFill>
              <w14:schemeClr w14:val="tx1"/>
            </w14:solidFill>
          </w14:textFill>
        </w:rPr>
        <w:t>18</w:t>
      </w:r>
      <w:r>
        <w:rPr>
          <w:rFonts w:hint="eastAsia" w:ascii="宋体" w:hAnsi="宋体" w:eastAsia="宋体" w:cs="宋体"/>
          <w:b w:val="0"/>
          <w:bCs w:val="0"/>
          <w:color w:val="000000" w:themeColor="text1"/>
          <w:sz w:val="21"/>
          <w:szCs w:val="21"/>
          <w:lang w:eastAsia="zh-CN"/>
          <w14:textFill>
            <w14:solidFill>
              <w14:schemeClr w14:val="tx1"/>
            </w14:solidFill>
          </w14:textFill>
        </w:rPr>
        <w:t>）依据GB/T 29894-2013</w:t>
      </w:r>
      <w:r>
        <w:rPr>
          <w:rFonts w:hint="eastAsia" w:ascii="宋体" w:hAnsi="宋体" w:cs="宋体"/>
          <w:b w:val="0"/>
          <w:bCs w:val="0"/>
          <w:color w:val="000000" w:themeColor="text1"/>
          <w:sz w:val="21"/>
          <w:szCs w:val="21"/>
          <w:lang w:val="en-US" w:eastAsia="zh-CN"/>
          <w14:textFill>
            <w14:solidFill>
              <w14:schemeClr w14:val="tx1"/>
            </w14:solidFill>
          </w14:textFill>
        </w:rPr>
        <w:t xml:space="preserve"> </w:t>
      </w:r>
      <w:r>
        <w:rPr>
          <w:rFonts w:hint="eastAsia" w:ascii="宋体" w:hAnsi="宋体" w:eastAsia="宋体" w:cs="宋体"/>
          <w:b w:val="0"/>
          <w:bCs w:val="0"/>
          <w:color w:val="000000" w:themeColor="text1"/>
          <w:sz w:val="21"/>
          <w:szCs w:val="21"/>
          <w:lang w:eastAsia="zh-CN"/>
          <w14:textFill>
            <w14:solidFill>
              <w14:schemeClr w14:val="tx1"/>
            </w14:solidFill>
          </w14:textFill>
        </w:rPr>
        <w:t>《木材鉴别方法通则》、GB/T 6043-2009《木材PH值测定方法》、</w:t>
      </w:r>
      <w:r>
        <w:rPr>
          <w:rFonts w:hint="eastAsia" w:ascii="宋体" w:hAnsi="宋体" w:eastAsia="宋体" w:cs="宋体"/>
          <w:b w:val="0"/>
          <w:bCs w:val="0"/>
          <w:color w:val="000000" w:themeColor="text1"/>
          <w:sz w:val="21"/>
          <w:szCs w:val="21"/>
          <w:lang w:val="en-US" w:eastAsia="zh-CN"/>
          <w14:textFill>
            <w14:solidFill>
              <w14:schemeClr w14:val="tx1"/>
            </w14:solidFill>
          </w14:textFill>
        </w:rPr>
        <w:t>DB45/T 897-2013《樟叶（精）油，芳樟醇型》</w:t>
      </w:r>
      <w:r>
        <w:rPr>
          <w:rFonts w:hint="eastAsia" w:ascii="宋体" w:hAnsi="宋体" w:eastAsia="宋体" w:cs="宋体"/>
          <w:b w:val="0"/>
          <w:bCs w:val="0"/>
          <w:color w:val="000000" w:themeColor="text1"/>
          <w:sz w:val="21"/>
          <w:szCs w:val="21"/>
          <w:lang w:eastAsia="zh-CN"/>
          <w14:textFill>
            <w14:solidFill>
              <w14:schemeClr w14:val="tx1"/>
            </w14:solidFill>
          </w14:textFill>
        </w:rPr>
        <w:t>出具的《</w:t>
      </w:r>
      <w:r>
        <w:rPr>
          <w:rFonts w:hint="eastAsia" w:ascii="宋体" w:hAnsi="宋体" w:eastAsia="宋体" w:cs="宋体"/>
          <w:b w:val="0"/>
          <w:bCs w:val="0"/>
          <w:color w:val="000000" w:themeColor="text1"/>
          <w:sz w:val="21"/>
          <w:szCs w:val="21"/>
          <w:lang w:val="en-US" w:eastAsia="zh-CN"/>
          <w14:textFill>
            <w14:solidFill>
              <w14:schemeClr w14:val="tx1"/>
            </w14:solidFill>
          </w14:textFill>
        </w:rPr>
        <w:t>古籍书柜连条方带棕角</w:t>
      </w:r>
      <w:r>
        <w:rPr>
          <w:rFonts w:hint="eastAsia" w:ascii="宋体" w:hAnsi="宋体" w:eastAsia="宋体" w:cs="宋体"/>
          <w:b w:val="0"/>
          <w:bCs w:val="0"/>
          <w:color w:val="000000" w:themeColor="text1"/>
          <w:sz w:val="21"/>
          <w:szCs w:val="21"/>
          <w:lang w:eastAsia="zh-CN"/>
          <w14:textFill>
            <w14:solidFill>
              <w14:schemeClr w14:val="tx1"/>
            </w14:solidFill>
          </w14:textFill>
        </w:rPr>
        <w:t>》检测报告内容包含</w:t>
      </w:r>
      <w:r>
        <w:rPr>
          <w:rFonts w:hint="eastAsia" w:ascii="宋体" w:hAnsi="宋体" w:eastAsia="宋体" w:cs="宋体"/>
          <w:b w:val="0"/>
          <w:bCs w:val="0"/>
          <w:color w:val="000000" w:themeColor="text1"/>
          <w:sz w:val="21"/>
          <w:szCs w:val="21"/>
          <w:lang w:val="en-US" w:eastAsia="zh-CN"/>
          <w14:textFill>
            <w14:solidFill>
              <w14:schemeClr w14:val="tx1"/>
            </w14:solidFill>
          </w14:textFill>
        </w:rPr>
        <w:t>树种、黄樟素、</w:t>
      </w:r>
      <w:r>
        <w:rPr>
          <w:rFonts w:hint="eastAsia" w:ascii="宋体" w:hAnsi="宋体" w:eastAsia="宋体" w:cs="宋体"/>
          <w:b w:val="0"/>
          <w:bCs w:val="0"/>
          <w:color w:val="000000" w:themeColor="text1"/>
          <w:sz w:val="21"/>
          <w:szCs w:val="21"/>
          <w:lang w:eastAsia="zh-CN"/>
          <w14:textFill>
            <w14:solidFill>
              <w14:schemeClr w14:val="tx1"/>
            </w14:solidFill>
          </w14:textFill>
        </w:rPr>
        <w:t>樟脑含量：≥0.</w:t>
      </w:r>
      <w:r>
        <w:rPr>
          <w:rFonts w:hint="eastAsia" w:ascii="宋体" w:hAnsi="宋体" w:eastAsia="宋体" w:cs="宋体"/>
          <w:b w:val="0"/>
          <w:bCs w:val="0"/>
          <w:color w:val="000000" w:themeColor="text1"/>
          <w:sz w:val="21"/>
          <w:szCs w:val="21"/>
          <w:lang w:val="en-US" w:eastAsia="zh-CN"/>
          <w14:textFill>
            <w14:solidFill>
              <w14:schemeClr w14:val="tx1"/>
            </w14:solidFill>
          </w14:textFill>
        </w:rPr>
        <w:t>6</w:t>
      </w:r>
      <w:r>
        <w:rPr>
          <w:rFonts w:hint="eastAsia" w:ascii="宋体" w:hAnsi="宋体" w:eastAsia="宋体" w:cs="宋体"/>
          <w:b w:val="0"/>
          <w:bCs w:val="0"/>
          <w:color w:val="000000" w:themeColor="text1"/>
          <w:sz w:val="21"/>
          <w:szCs w:val="21"/>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ind w:firstLine="422" w:firstLineChars="200"/>
        <w:textAlignment w:val="auto"/>
        <w:rPr>
          <w:b/>
          <w:bCs/>
          <w:color w:val="000000" w:themeColor="text1"/>
          <w14:textFill>
            <w14:solidFill>
              <w14:schemeClr w14:val="tx1"/>
            </w14:solidFill>
          </w14:textFill>
        </w:rPr>
      </w:pPr>
      <w:r>
        <w:rPr>
          <w:b/>
          <w:bCs/>
          <w:color w:val="000000" w:themeColor="text1"/>
          <w14:textFill>
            <w14:solidFill>
              <w14:schemeClr w14:val="tx1"/>
            </w14:solidFill>
          </w14:textFill>
        </w:rPr>
        <w:t>提供以上检测(验)报告的，其内容必需满足上述要求且符合国家相应标准</w:t>
      </w:r>
      <w:r>
        <w:rPr>
          <w:rFonts w:hint="eastAsia"/>
          <w:b/>
          <w:bCs/>
          <w:color w:val="000000" w:themeColor="text1"/>
          <w:lang w:eastAsia="zh-CN"/>
          <w14:textFill>
            <w14:solidFill>
              <w14:schemeClr w14:val="tx1"/>
            </w14:solidFill>
          </w14:textFill>
        </w:rPr>
        <w:t>，</w:t>
      </w:r>
      <w:r>
        <w:rPr>
          <w:b/>
          <w:bCs/>
          <w:color w:val="000000" w:themeColor="text1"/>
          <w14:textFill>
            <w14:solidFill>
              <w14:schemeClr w14:val="tx1"/>
            </w14:solidFill>
          </w14:textFill>
        </w:rPr>
        <w:t>每提供一项检测(验)报告，得</w:t>
      </w:r>
      <w:r>
        <w:rPr>
          <w:rFonts w:hint="eastAsia"/>
          <w:b/>
          <w:bCs/>
          <w:color w:val="000000" w:themeColor="text1"/>
          <w:lang w:val="en-US" w:eastAsia="zh-CN"/>
          <w14:textFill>
            <w14:solidFill>
              <w14:schemeClr w14:val="tx1"/>
            </w14:solidFill>
          </w14:textFill>
        </w:rPr>
        <w:t>1.5</w:t>
      </w:r>
      <w:r>
        <w:rPr>
          <w:b/>
          <w:bCs/>
          <w:color w:val="000000" w:themeColor="text1"/>
          <w14:textFill>
            <w14:solidFill>
              <w14:schemeClr w14:val="tx1"/>
            </w14:solidFill>
          </w14:textFill>
        </w:rPr>
        <w:t>分</w:t>
      </w:r>
      <w:r>
        <w:rPr>
          <w:rFonts w:hint="eastAsia"/>
          <w:b/>
          <w:bCs/>
          <w:color w:val="000000" w:themeColor="text1"/>
          <w:lang w:eastAsia="zh-CN"/>
          <w14:textFill>
            <w14:solidFill>
              <w14:schemeClr w14:val="tx1"/>
            </w14:solidFill>
          </w14:textFill>
        </w:rPr>
        <w:t>，</w:t>
      </w:r>
      <w:r>
        <w:rPr>
          <w:rFonts w:hint="eastAsia"/>
          <w:b/>
          <w:bCs/>
          <w:color w:val="000000" w:themeColor="text1"/>
          <w:lang w:val="en-US" w:eastAsia="zh-CN"/>
          <w14:textFill>
            <w14:solidFill>
              <w14:schemeClr w14:val="tx1"/>
            </w14:solidFill>
          </w14:textFill>
        </w:rPr>
        <w:t>最多得27分</w:t>
      </w:r>
      <w:r>
        <w:rPr>
          <w:b/>
          <w:bCs/>
          <w:color w:val="000000" w:themeColor="text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color w:val="000000" w:themeColor="text1"/>
          <w:lang w:val="en-US" w:eastAsia="zh-CN"/>
          <w14:textFill>
            <w14:solidFill>
              <w14:schemeClr w14:val="tx1"/>
            </w14:solidFill>
          </w14:textFill>
        </w:rPr>
      </w:pPr>
      <w:r>
        <w:rPr>
          <w:color w:val="000000" w:themeColor="text1"/>
          <w14:textFill>
            <w14:solidFill>
              <w14:schemeClr w14:val="tx1"/>
            </w14:solidFill>
          </w14:textFill>
        </w:rPr>
        <w:t>注：要求加盖投标人公章，检测</w:t>
      </w:r>
      <w:r>
        <w:rPr>
          <w:color w:val="000000" w:themeColor="text1"/>
          <w:spacing w:val="4"/>
          <w14:textFill>
            <w14:solidFill>
              <w14:schemeClr w14:val="tx1"/>
            </w14:solidFill>
          </w14:textFill>
        </w:rPr>
        <w:t>（</w:t>
      </w:r>
      <w:r>
        <w:rPr>
          <w:color w:val="000000" w:themeColor="text1"/>
          <w14:textFill>
            <w14:solidFill>
              <w14:schemeClr w14:val="tx1"/>
            </w14:solidFill>
          </w14:textFill>
        </w:rPr>
        <w:t>验）产品内容必须与招标文件中承诺的相关参数内容一致或优于，投</w:t>
      </w:r>
      <w:r>
        <w:rPr>
          <w:color w:val="000000" w:themeColor="text1"/>
          <w:spacing w:val="-5"/>
          <w14:textFill>
            <w14:solidFill>
              <w14:schemeClr w14:val="tx1"/>
            </w14:solidFill>
          </w14:textFill>
        </w:rPr>
        <w:t xml:space="preserve">标时出具，具有 </w:t>
      </w:r>
      <w:r>
        <w:rPr>
          <w:color w:val="000000" w:themeColor="text1"/>
          <w14:textFill>
            <w14:solidFill>
              <w14:schemeClr w14:val="tx1"/>
            </w14:solidFill>
          </w14:textFill>
        </w:rPr>
        <w:t>CMA</w:t>
      </w:r>
      <w:r>
        <w:rPr>
          <w:color w:val="000000" w:themeColor="text1"/>
          <w:spacing w:val="-7"/>
          <w14:textFill>
            <w14:solidFill>
              <w14:schemeClr w14:val="tx1"/>
            </w14:solidFill>
          </w14:textFill>
        </w:rPr>
        <w:t xml:space="preserve"> 标识的检测</w:t>
      </w:r>
      <w:r>
        <w:rPr>
          <w:color w:val="000000" w:themeColor="text1"/>
          <w14:textFill>
            <w14:solidFill>
              <w14:schemeClr w14:val="tx1"/>
            </w14:solidFill>
          </w14:textFill>
        </w:rPr>
        <w:t>（验）报告复印件</w:t>
      </w:r>
      <w:r>
        <w:rPr>
          <w:color w:val="000000" w:themeColor="text1"/>
          <w:sz w:val="24"/>
          <w14:textFill>
            <w14:solidFill>
              <w14:schemeClr w14:val="tx1"/>
            </w14:solidFill>
          </w14:textFill>
        </w:rPr>
        <w:t>，</w:t>
      </w:r>
      <w:r>
        <w:rPr>
          <w:color w:val="000000" w:themeColor="text1"/>
          <w14:textFill>
            <w14:solidFill>
              <w14:schemeClr w14:val="tx1"/>
            </w14:solidFill>
          </w14:textFill>
        </w:rPr>
        <w:t>其应与原件一致，履约时提供原件核查，如有弄虚作假，取消履约资格）投标人所提供的检测（验）产品的委托单位（送检人）必须是投标产品的生产厂商或投标人，否则对应项不得分</w:t>
      </w:r>
      <w:r>
        <w:rPr>
          <w:color w:val="000000" w:themeColor="text1"/>
          <w:spacing w:val="-15"/>
          <w:sz w:val="21"/>
          <w14:textFill>
            <w14:solidFill>
              <w14:schemeClr w14:val="tx1"/>
            </w14:solidFill>
          </w14:textFill>
        </w:rPr>
        <w:t>。</w:t>
      </w:r>
      <w:r>
        <w:rPr>
          <w:color w:val="000000" w:themeColor="text1"/>
          <w14:textFill>
            <w14:solidFill>
              <w14:schemeClr w14:val="tx1"/>
            </w14:solidFill>
          </w14:textFill>
        </w:rPr>
        <w:t>检测（验）报告必须复印清晰且完整、有效，检测(验) 报告上应有查询真伪途径。</w:t>
      </w:r>
    </w:p>
    <w:p>
      <w:pPr>
        <w:pStyle w:val="15"/>
        <w:spacing w:line="390" w:lineRule="exact"/>
        <w:ind w:firstLine="422" w:firstLineChars="200"/>
        <w:rPr>
          <w:rFonts w:hAnsi="宋体" w:cs="宋体"/>
          <w:b/>
          <w:bCs/>
          <w:color w:val="000000" w:themeColor="text1"/>
          <w:szCs w:val="21"/>
          <w14:textFill>
            <w14:solidFill>
              <w14:schemeClr w14:val="tx1"/>
            </w14:solidFill>
          </w14:textFill>
        </w:rPr>
      </w:pPr>
      <w:r>
        <w:rPr>
          <w:rFonts w:hint="eastAsia" w:hAnsi="宋体" w:cs="宋体"/>
          <w:b/>
          <w:bCs/>
          <w:color w:val="000000" w:themeColor="text1"/>
          <w:szCs w:val="21"/>
          <w14:textFill>
            <w14:solidFill>
              <w14:schemeClr w14:val="tx1"/>
            </w14:solidFill>
          </w14:textFill>
        </w:rPr>
        <w:t xml:space="preserve">3、履约能力分………………………………………………………………………………………满分 </w:t>
      </w:r>
      <w:r>
        <w:rPr>
          <w:rFonts w:hint="eastAsia" w:hAnsi="宋体" w:cs="宋体"/>
          <w:b/>
          <w:bCs/>
          <w:color w:val="000000" w:themeColor="text1"/>
          <w:szCs w:val="21"/>
          <w:lang w:val="en-US" w:eastAsia="zh-CN"/>
          <w14:textFill>
            <w14:solidFill>
              <w14:schemeClr w14:val="tx1"/>
            </w14:solidFill>
          </w14:textFill>
        </w:rPr>
        <w:t>11</w:t>
      </w:r>
      <w:r>
        <w:rPr>
          <w:rFonts w:hint="eastAsia" w:hAnsi="宋体" w:cs="宋体"/>
          <w:b/>
          <w:bCs/>
          <w:color w:val="000000" w:themeColor="text1"/>
          <w:szCs w:val="21"/>
          <w14:textFill>
            <w14:solidFill>
              <w14:schemeClr w14:val="tx1"/>
            </w14:solidFill>
          </w14:textFill>
        </w:rPr>
        <w:t xml:space="preserve"> 分</w:t>
      </w:r>
    </w:p>
    <w:p>
      <w:pPr>
        <w:pStyle w:val="15"/>
        <w:spacing w:line="400" w:lineRule="exact"/>
        <w:ind w:left="420" w:firstLine="420" w:firstLineChars="200"/>
        <w:rPr>
          <w:rFonts w:hint="eastAsia" w:hAnsi="宋体" w:eastAsia="宋体" w:cs="宋体"/>
          <w:bCs/>
          <w:color w:val="000000" w:themeColor="text1"/>
          <w:lang w:eastAsia="zh-CN"/>
          <w14:textFill>
            <w14:solidFill>
              <w14:schemeClr w14:val="tx1"/>
            </w14:solidFill>
          </w14:textFill>
        </w:rPr>
      </w:pPr>
      <w:r>
        <w:rPr>
          <w:rFonts w:hint="eastAsia" w:hAnsi="宋体" w:cs="宋体"/>
          <w:bCs/>
          <w:color w:val="000000" w:themeColor="text1"/>
          <w14:textFill>
            <w14:solidFill>
              <w14:schemeClr w14:val="tx1"/>
            </w14:solidFill>
          </w14:textFill>
        </w:rPr>
        <w:t>（1）项目配送、安装方案分</w:t>
      </w:r>
      <w:r>
        <w:rPr>
          <w:rFonts w:hint="eastAsia" w:hAnsi="宋体" w:cs="宋体"/>
          <w:bCs/>
          <w:color w:val="000000" w:themeColor="text1"/>
          <w:lang w:eastAsia="zh-CN"/>
          <w14:textFill>
            <w14:solidFill>
              <w14:schemeClr w14:val="tx1"/>
            </w14:solidFill>
          </w14:textFill>
        </w:rPr>
        <w:t>（</w:t>
      </w:r>
      <w:r>
        <w:rPr>
          <w:rFonts w:hint="eastAsia" w:hAnsi="宋体" w:cs="宋体"/>
          <w:bCs/>
          <w:color w:val="000000" w:themeColor="text1"/>
          <w:lang w:val="en-US" w:eastAsia="zh-CN"/>
          <w14:textFill>
            <w14:solidFill>
              <w14:schemeClr w14:val="tx1"/>
            </w14:solidFill>
          </w14:textFill>
        </w:rPr>
        <w:t>满分6分</w:t>
      </w:r>
      <w:r>
        <w:rPr>
          <w:rFonts w:hint="eastAsia" w:hAnsi="宋体" w:cs="宋体"/>
          <w:bCs/>
          <w:color w:val="000000" w:themeColor="text1"/>
          <w:lang w:eastAsia="zh-CN"/>
          <w14:textFill>
            <w14:solidFill>
              <w14:schemeClr w14:val="tx1"/>
            </w14:solidFill>
          </w14:textFill>
        </w:rPr>
        <w:t>）</w:t>
      </w:r>
    </w:p>
    <w:p>
      <w:pPr>
        <w:pStyle w:val="15"/>
        <w:spacing w:line="400" w:lineRule="exact"/>
        <w:ind w:left="420" w:firstLine="420" w:firstLineChars="200"/>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一档（0分）：未提供项目配送、安装方案的。</w:t>
      </w:r>
    </w:p>
    <w:p>
      <w:pPr>
        <w:pStyle w:val="15"/>
        <w:spacing w:line="400" w:lineRule="exact"/>
        <w:ind w:left="420" w:firstLine="420" w:firstLineChars="200"/>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二档（</w:t>
      </w:r>
      <w:r>
        <w:rPr>
          <w:rFonts w:hint="eastAsia" w:hAnsi="宋体" w:cs="宋体"/>
          <w:bCs/>
          <w:color w:val="000000" w:themeColor="text1"/>
          <w:lang w:val="en-US" w:eastAsia="zh-CN"/>
          <w14:textFill>
            <w14:solidFill>
              <w14:schemeClr w14:val="tx1"/>
            </w14:solidFill>
          </w14:textFill>
        </w:rPr>
        <w:t>3</w:t>
      </w:r>
      <w:r>
        <w:rPr>
          <w:rFonts w:hint="eastAsia" w:hAnsi="宋体" w:cs="宋体"/>
          <w:bCs/>
          <w:color w:val="000000" w:themeColor="text1"/>
          <w14:textFill>
            <w14:solidFill>
              <w14:schemeClr w14:val="tx1"/>
            </w14:solidFill>
          </w14:textFill>
        </w:rPr>
        <w:t>分）：对项目理解一般，配送、安装方案针对性不强，有项目执行组织措施、项目执行保障措施，有实施组织方案，保证项目正常实施。</w:t>
      </w:r>
    </w:p>
    <w:p>
      <w:pPr>
        <w:pStyle w:val="15"/>
        <w:spacing w:line="400" w:lineRule="exact"/>
        <w:ind w:left="420" w:firstLine="420" w:firstLineChars="200"/>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三档（</w:t>
      </w:r>
      <w:r>
        <w:rPr>
          <w:rFonts w:hint="eastAsia" w:hAnsi="宋体" w:cs="宋体"/>
          <w:bCs/>
          <w:color w:val="000000" w:themeColor="text1"/>
          <w:lang w:val="en-US" w:eastAsia="zh-CN"/>
          <w14:textFill>
            <w14:solidFill>
              <w14:schemeClr w14:val="tx1"/>
            </w14:solidFill>
          </w14:textFill>
        </w:rPr>
        <w:t>6</w:t>
      </w:r>
      <w:r>
        <w:rPr>
          <w:rFonts w:hint="eastAsia" w:hAnsi="宋体" w:cs="宋体"/>
          <w:bCs/>
          <w:color w:val="000000" w:themeColor="text1"/>
          <w14:textFill>
            <w14:solidFill>
              <w14:schemeClr w14:val="tx1"/>
            </w14:solidFill>
          </w14:textFill>
        </w:rPr>
        <w:t>分）：对项目理解清晰、准确，配送、安装方案详细合理、有针对性，组织机构健全、完善，项目执行保障措施清晰、合理，方案资料齐全、完善，具有针对性，保证项目正常实施。</w:t>
      </w:r>
    </w:p>
    <w:p>
      <w:pPr>
        <w:pStyle w:val="15"/>
        <w:spacing w:line="400" w:lineRule="exact"/>
        <w:ind w:left="420" w:firstLine="420" w:firstLineChars="200"/>
        <w:rPr>
          <w:rFonts w:hint="eastAsia" w:hAnsi="宋体" w:eastAsia="宋体" w:cs="宋体"/>
          <w:bCs/>
          <w:color w:val="000000" w:themeColor="text1"/>
          <w:lang w:eastAsia="zh-CN"/>
          <w14:textFill>
            <w14:solidFill>
              <w14:schemeClr w14:val="tx1"/>
            </w14:solidFill>
          </w14:textFill>
        </w:rPr>
      </w:pPr>
      <w:r>
        <w:rPr>
          <w:rFonts w:hint="eastAsia" w:hAnsi="宋体" w:cs="宋体"/>
          <w:bCs/>
          <w:color w:val="000000" w:themeColor="text1"/>
          <w14:textFill>
            <w14:solidFill>
              <w14:schemeClr w14:val="tx1"/>
            </w14:solidFill>
          </w14:textFill>
        </w:rPr>
        <w:t>（2）信誉分</w:t>
      </w:r>
      <w:r>
        <w:rPr>
          <w:rFonts w:hint="eastAsia" w:hAnsi="宋体" w:cs="宋体"/>
          <w:bCs/>
          <w:color w:val="000000" w:themeColor="text1"/>
          <w:lang w:eastAsia="zh-CN"/>
          <w14:textFill>
            <w14:solidFill>
              <w14:schemeClr w14:val="tx1"/>
            </w14:solidFill>
          </w14:textFill>
        </w:rPr>
        <w:t>（</w:t>
      </w:r>
      <w:r>
        <w:rPr>
          <w:rFonts w:hint="eastAsia" w:hAnsi="宋体" w:cs="宋体"/>
          <w:bCs/>
          <w:color w:val="000000" w:themeColor="text1"/>
          <w:lang w:val="en-US" w:eastAsia="zh-CN"/>
          <w14:textFill>
            <w14:solidFill>
              <w14:schemeClr w14:val="tx1"/>
            </w14:solidFill>
          </w14:textFill>
        </w:rPr>
        <w:t>满分3分</w:t>
      </w:r>
      <w:r>
        <w:rPr>
          <w:rFonts w:hint="eastAsia" w:hAnsi="宋体" w:cs="宋体"/>
          <w:bCs/>
          <w:color w:val="000000" w:themeColor="text1"/>
          <w:lang w:eastAsia="zh-CN"/>
          <w14:textFill>
            <w14:solidFill>
              <w14:schemeClr w14:val="tx1"/>
            </w14:solidFill>
          </w14:textFill>
        </w:rPr>
        <w:t>）</w:t>
      </w:r>
    </w:p>
    <w:p>
      <w:pPr>
        <w:pStyle w:val="15"/>
        <w:spacing w:line="400" w:lineRule="exact"/>
        <w:ind w:left="420" w:firstLine="420" w:firstLineChars="200"/>
        <w:rPr>
          <w:rFonts w:hAnsi="宋体" w:cs="宋体"/>
          <w:bCs/>
          <w:color w:val="000000" w:themeColor="text1"/>
          <w:u w:val="single"/>
          <w14:textFill>
            <w14:solidFill>
              <w14:schemeClr w14:val="tx1"/>
            </w14:solidFill>
          </w14:textFill>
        </w:rPr>
      </w:pPr>
      <w:r>
        <w:rPr>
          <w:rFonts w:hint="eastAsia" w:hAnsi="宋体" w:cs="宋体"/>
          <w:bCs/>
          <w:color w:val="000000" w:themeColor="text1"/>
          <w14:textFill>
            <w14:solidFill>
              <w14:schemeClr w14:val="tx1"/>
            </w14:solidFill>
          </w14:textFill>
        </w:rPr>
        <w:t>投标人（或产品生产厂家）通过ISO14001环境管理体系认证、ISO9001质量管理体系认证、</w:t>
      </w:r>
      <w:r>
        <w:rPr>
          <w:rFonts w:hint="eastAsia" w:hAnsi="宋体" w:cs="宋体"/>
          <w:bCs/>
          <w:color w:val="000000" w:themeColor="text1"/>
          <w:lang w:val="en-US" w:eastAsia="zh-CN"/>
          <w14:textFill>
            <w14:solidFill>
              <w14:schemeClr w14:val="tx1"/>
            </w14:solidFill>
          </w14:textFill>
        </w:rPr>
        <w:t>ISO45001:2018</w:t>
      </w:r>
      <w:r>
        <w:rPr>
          <w:rFonts w:hint="eastAsia" w:hAnsi="宋体" w:cs="宋体"/>
          <w:bCs/>
          <w:color w:val="000000" w:themeColor="text1"/>
          <w14:textFill>
            <w14:solidFill>
              <w14:schemeClr w14:val="tx1"/>
            </w14:solidFill>
          </w14:textFill>
        </w:rPr>
        <w:t>职业健康安全体系认证，每提供1项得1分，最多得3分。（需提供证书复印件并加盖投标人公章）</w:t>
      </w:r>
    </w:p>
    <w:p>
      <w:pPr>
        <w:pStyle w:val="15"/>
        <w:spacing w:line="400" w:lineRule="exact"/>
        <w:ind w:left="420" w:firstLine="420" w:firstLineChars="200"/>
        <w:rPr>
          <w:rFonts w:hint="eastAsia" w:hAnsi="宋体" w:eastAsia="宋体" w:cs="宋体"/>
          <w:bCs/>
          <w:color w:val="000000" w:themeColor="text1"/>
          <w:lang w:eastAsia="zh-CN"/>
          <w14:textFill>
            <w14:solidFill>
              <w14:schemeClr w14:val="tx1"/>
            </w14:solidFill>
          </w14:textFill>
        </w:rPr>
      </w:pPr>
      <w:r>
        <w:rPr>
          <w:rFonts w:hint="eastAsia" w:hAnsi="宋体" w:cs="宋体"/>
          <w:bCs/>
          <w:color w:val="000000" w:themeColor="text1"/>
          <w14:textFill>
            <w14:solidFill>
              <w14:schemeClr w14:val="tx1"/>
            </w14:solidFill>
          </w14:textFill>
        </w:rPr>
        <w:t>（3）业绩分</w:t>
      </w:r>
      <w:r>
        <w:rPr>
          <w:rFonts w:hint="eastAsia" w:hAnsi="宋体" w:cs="宋体"/>
          <w:bCs/>
          <w:color w:val="000000" w:themeColor="text1"/>
          <w:lang w:eastAsia="zh-CN"/>
          <w14:textFill>
            <w14:solidFill>
              <w14:schemeClr w14:val="tx1"/>
            </w14:solidFill>
          </w14:textFill>
        </w:rPr>
        <w:t>（</w:t>
      </w:r>
      <w:r>
        <w:rPr>
          <w:rFonts w:hint="eastAsia" w:hAnsi="宋体" w:cs="宋体"/>
          <w:bCs/>
          <w:color w:val="000000" w:themeColor="text1"/>
          <w:lang w:val="en-US" w:eastAsia="zh-CN"/>
          <w14:textFill>
            <w14:solidFill>
              <w14:schemeClr w14:val="tx1"/>
            </w14:solidFill>
          </w14:textFill>
        </w:rPr>
        <w:t>满分2分</w:t>
      </w:r>
      <w:r>
        <w:rPr>
          <w:rFonts w:hint="eastAsia" w:hAnsi="宋体" w:cs="宋体"/>
          <w:bCs/>
          <w:color w:val="000000" w:themeColor="text1"/>
          <w:lang w:eastAsia="zh-CN"/>
          <w14:textFill>
            <w14:solidFill>
              <w14:schemeClr w14:val="tx1"/>
            </w14:solidFill>
          </w14:textFill>
        </w:rPr>
        <w:t>）</w:t>
      </w:r>
    </w:p>
    <w:p>
      <w:pPr>
        <w:pStyle w:val="15"/>
        <w:spacing w:line="400" w:lineRule="exact"/>
        <w:ind w:left="420" w:firstLine="420" w:firstLineChars="200"/>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投标人自 201</w:t>
      </w:r>
      <w:r>
        <w:rPr>
          <w:rFonts w:hint="eastAsia" w:hAnsi="宋体" w:cs="宋体"/>
          <w:bCs/>
          <w:color w:val="000000" w:themeColor="text1"/>
          <w:lang w:val="en-US" w:eastAsia="zh-CN"/>
          <w14:textFill>
            <w14:solidFill>
              <w14:schemeClr w14:val="tx1"/>
            </w14:solidFill>
          </w14:textFill>
        </w:rPr>
        <w:t>9</w:t>
      </w:r>
      <w:r>
        <w:rPr>
          <w:rFonts w:hint="eastAsia" w:hAnsi="宋体" w:cs="宋体"/>
          <w:bCs/>
          <w:color w:val="000000" w:themeColor="text1"/>
          <w14:textFill>
            <w14:solidFill>
              <w14:schemeClr w14:val="tx1"/>
            </w14:solidFill>
          </w14:textFill>
        </w:rPr>
        <w:t>年 1 月 1 日以来具有同类产品（木质</w:t>
      </w:r>
      <w:r>
        <w:rPr>
          <w:rFonts w:hint="eastAsia" w:hAnsi="宋体" w:cs="宋体"/>
          <w:bCs/>
          <w:color w:val="000000" w:themeColor="text1"/>
          <w:lang w:eastAsia="zh-CN"/>
          <w14:textFill>
            <w14:solidFill>
              <w14:schemeClr w14:val="tx1"/>
            </w14:solidFill>
          </w14:textFill>
        </w:rPr>
        <w:t>、</w:t>
      </w:r>
      <w:r>
        <w:rPr>
          <w:rFonts w:hint="eastAsia" w:hAnsi="宋体" w:cs="宋体"/>
          <w:bCs/>
          <w:color w:val="000000" w:themeColor="text1"/>
          <w:lang w:val="en-US" w:eastAsia="zh-CN"/>
          <w14:textFill>
            <w14:solidFill>
              <w14:schemeClr w14:val="tx1"/>
            </w14:solidFill>
          </w14:textFill>
        </w:rPr>
        <w:t>金属</w:t>
      </w:r>
      <w:r>
        <w:rPr>
          <w:rFonts w:hint="eastAsia" w:hAnsi="宋体" w:cs="宋体"/>
          <w:bCs/>
          <w:color w:val="000000" w:themeColor="text1"/>
          <w14:textFill>
            <w14:solidFill>
              <w14:schemeClr w14:val="tx1"/>
            </w14:solidFill>
          </w14:textFill>
        </w:rPr>
        <w:t>家具）的销售业绩 [无不良记录，以中标（成交）通知书</w:t>
      </w:r>
      <w:r>
        <w:rPr>
          <w:rFonts w:hint="eastAsia" w:hAnsi="宋体" w:cs="宋体"/>
          <w:bCs/>
          <w:color w:val="000000" w:themeColor="text1"/>
          <w:lang w:val="en-US" w:eastAsia="zh-CN"/>
          <w14:textFill>
            <w14:solidFill>
              <w14:schemeClr w14:val="tx1"/>
            </w14:solidFill>
          </w14:textFill>
        </w:rPr>
        <w:t>或</w:t>
      </w:r>
      <w:r>
        <w:rPr>
          <w:rFonts w:hint="eastAsia" w:hAnsi="宋体" w:cs="宋体"/>
          <w:bCs/>
          <w:color w:val="000000" w:themeColor="text1"/>
          <w14:textFill>
            <w14:solidFill>
              <w14:schemeClr w14:val="tx1"/>
            </w14:solidFill>
          </w14:textFill>
        </w:rPr>
        <w:t>采购合同复印件为准（能清晰反映所销售的货物名称、种类、金额)，否则将不予计分；同一个编号的项目有两个或两个以上的分标中标的只算一次]，每提供一项得</w:t>
      </w:r>
      <w:r>
        <w:rPr>
          <w:rFonts w:hint="eastAsia" w:hAnsi="宋体" w:cs="宋体"/>
          <w:bCs/>
          <w:color w:val="000000" w:themeColor="text1"/>
          <w:lang w:val="en-US" w:eastAsia="zh-CN"/>
          <w14:textFill>
            <w14:solidFill>
              <w14:schemeClr w14:val="tx1"/>
            </w14:solidFill>
          </w14:textFill>
        </w:rPr>
        <w:t>0.5</w:t>
      </w:r>
      <w:r>
        <w:rPr>
          <w:rFonts w:hint="eastAsia" w:hAnsi="宋体" w:cs="宋体"/>
          <w:bCs/>
          <w:color w:val="000000" w:themeColor="text1"/>
          <w14:textFill>
            <w14:solidFill>
              <w14:schemeClr w14:val="tx1"/>
            </w14:solidFill>
          </w14:textFill>
        </w:rPr>
        <w:t>分，最多得</w:t>
      </w:r>
      <w:r>
        <w:rPr>
          <w:rFonts w:hint="eastAsia" w:hAnsi="宋体" w:cs="宋体"/>
          <w:bCs/>
          <w:color w:val="000000" w:themeColor="text1"/>
          <w:lang w:val="en-US" w:eastAsia="zh-CN"/>
          <w14:textFill>
            <w14:solidFill>
              <w14:schemeClr w14:val="tx1"/>
            </w14:solidFill>
          </w14:textFill>
        </w:rPr>
        <w:t>2</w:t>
      </w:r>
      <w:r>
        <w:rPr>
          <w:rFonts w:hint="eastAsia" w:hAnsi="宋体" w:cs="宋体"/>
          <w:bCs/>
          <w:color w:val="000000" w:themeColor="text1"/>
          <w14:textFill>
            <w14:solidFill>
              <w14:schemeClr w14:val="tx1"/>
            </w14:solidFill>
          </w14:textFill>
        </w:rPr>
        <w:t>分。</w:t>
      </w:r>
    </w:p>
    <w:p>
      <w:pPr>
        <w:pStyle w:val="15"/>
        <w:spacing w:line="390" w:lineRule="exact"/>
        <w:ind w:firstLine="422" w:firstLineChars="200"/>
        <w:rPr>
          <w:rFonts w:hAnsi="宋体" w:cs="宋体"/>
          <w:b/>
          <w:bCs/>
          <w:color w:val="000000" w:themeColor="text1"/>
          <w:szCs w:val="21"/>
          <w14:textFill>
            <w14:solidFill>
              <w14:schemeClr w14:val="tx1"/>
            </w14:solidFill>
          </w14:textFill>
        </w:rPr>
      </w:pPr>
      <w:bookmarkStart w:id="156" w:name="_Toc21599"/>
      <w:r>
        <w:rPr>
          <w:rFonts w:hint="eastAsia" w:hAnsi="宋体" w:cs="宋体"/>
          <w:b/>
          <w:bCs/>
          <w:color w:val="000000" w:themeColor="text1"/>
          <w:szCs w:val="21"/>
          <w14:textFill>
            <w14:solidFill>
              <w14:schemeClr w14:val="tx1"/>
            </w14:solidFill>
          </w14:textFill>
        </w:rPr>
        <w:t>4、售后服务分………………………</w:t>
      </w:r>
      <w:r>
        <w:rPr>
          <w:rFonts w:hint="eastAsia" w:hAnsi="宋体" w:cs="宋体"/>
          <w:b/>
          <w:bCs/>
          <w:color w:val="000000" w:themeColor="text1"/>
          <w:kern w:val="0"/>
          <w:szCs w:val="21"/>
          <w14:textFill>
            <w14:solidFill>
              <w14:schemeClr w14:val="tx1"/>
            </w14:solidFill>
          </w14:textFill>
        </w:rPr>
        <w:t>…</w:t>
      </w:r>
      <w:r>
        <w:rPr>
          <w:rFonts w:hint="eastAsia" w:hAnsi="宋体" w:cs="宋体"/>
          <w:b/>
          <w:bCs/>
          <w:color w:val="000000" w:themeColor="text1"/>
          <w:szCs w:val="21"/>
          <w14:textFill>
            <w14:solidFill>
              <w14:schemeClr w14:val="tx1"/>
            </w14:solidFill>
          </w14:textFill>
        </w:rPr>
        <w:t xml:space="preserve">…………………………………………………………满分 </w:t>
      </w:r>
      <w:r>
        <w:rPr>
          <w:rFonts w:hint="eastAsia" w:hAnsi="宋体" w:cs="宋体"/>
          <w:b/>
          <w:bCs/>
          <w:color w:val="000000" w:themeColor="text1"/>
          <w:szCs w:val="21"/>
          <w:lang w:val="en-US" w:eastAsia="zh-CN"/>
          <w14:textFill>
            <w14:solidFill>
              <w14:schemeClr w14:val="tx1"/>
            </w14:solidFill>
          </w14:textFill>
        </w:rPr>
        <w:t>11</w:t>
      </w:r>
      <w:r>
        <w:rPr>
          <w:rFonts w:hint="eastAsia" w:hAnsi="宋体" w:cs="宋体"/>
          <w:b/>
          <w:bCs/>
          <w:color w:val="000000" w:themeColor="text1"/>
          <w:szCs w:val="21"/>
          <w14:textFill>
            <w14:solidFill>
              <w14:schemeClr w14:val="tx1"/>
            </w14:solidFill>
          </w14:textFill>
        </w:rPr>
        <w:t xml:space="preserve">  分</w:t>
      </w:r>
      <w:bookmarkEnd w:id="156"/>
    </w:p>
    <w:p>
      <w:pPr>
        <w:pStyle w:val="15"/>
        <w:spacing w:line="400" w:lineRule="exact"/>
        <w:ind w:left="420" w:firstLine="420" w:firstLineChars="200"/>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（1）</w:t>
      </w:r>
      <w:r>
        <w:rPr>
          <w:rFonts w:hint="eastAsia" w:asciiTheme="minorEastAsia" w:hAnsiTheme="minorEastAsia" w:eastAsiaTheme="minorEastAsia" w:cstheme="minorEastAsia"/>
          <w:color w:val="000000" w:themeColor="text1"/>
          <w14:textFill>
            <w14:solidFill>
              <w14:schemeClr w14:val="tx1"/>
            </w14:solidFill>
          </w14:textFill>
        </w:rPr>
        <w:t>根据投标文件中售后服务方案内容的完整性、可行性，到达故障现场时间、人员配备情况、故障出现解决方案、定期维护 (注明时间)、免费保修期外维修方案、其他优惠措施等方面，由评委确定各投标人所属档次并独立打分，</w:t>
      </w:r>
      <w:r>
        <w:rPr>
          <w:rFonts w:hint="eastAsia" w:hAnsi="宋体" w:cs="宋体"/>
          <w:bCs/>
          <w:color w:val="000000" w:themeColor="text1"/>
          <w14:textFill>
            <w14:solidFill>
              <w14:schemeClr w14:val="tx1"/>
            </w14:solidFill>
          </w14:textFill>
        </w:rPr>
        <w:t>本项最多得分</w:t>
      </w:r>
      <w:r>
        <w:rPr>
          <w:rFonts w:hint="eastAsia" w:hAnsi="宋体" w:cs="宋体"/>
          <w:bCs/>
          <w:color w:val="000000" w:themeColor="text1"/>
          <w:lang w:val="en-US" w:eastAsia="zh-CN"/>
          <w14:textFill>
            <w14:solidFill>
              <w14:schemeClr w14:val="tx1"/>
            </w14:solidFill>
          </w14:textFill>
        </w:rPr>
        <w:t>9</w:t>
      </w:r>
      <w:r>
        <w:rPr>
          <w:rFonts w:hint="eastAsia" w:hAnsi="宋体" w:cs="宋体"/>
          <w:bCs/>
          <w:color w:val="000000" w:themeColor="text1"/>
          <w14:textFill>
            <w14:solidFill>
              <w14:schemeClr w14:val="tx1"/>
            </w14:solidFill>
          </w14:textFill>
        </w:rPr>
        <w:t xml:space="preserve">分。 </w:t>
      </w:r>
    </w:p>
    <w:p>
      <w:pPr>
        <w:pStyle w:val="15"/>
        <w:spacing w:line="400" w:lineRule="exact"/>
        <w:ind w:left="420" w:firstLine="420" w:firstLineChars="200"/>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一档（</w:t>
      </w:r>
      <w:r>
        <w:rPr>
          <w:rFonts w:hint="eastAsia" w:hAnsi="宋体" w:cs="宋体"/>
          <w:bCs/>
          <w:color w:val="000000" w:themeColor="text1"/>
          <w:lang w:val="en-US" w:eastAsia="zh-CN"/>
          <w14:textFill>
            <w14:solidFill>
              <w14:schemeClr w14:val="tx1"/>
            </w14:solidFill>
          </w14:textFill>
        </w:rPr>
        <w:t>3</w:t>
      </w:r>
      <w:r>
        <w:rPr>
          <w:rFonts w:hint="eastAsia" w:hAnsi="宋体" w:cs="宋体"/>
          <w:bCs/>
          <w:color w:val="000000" w:themeColor="text1"/>
          <w14:textFill>
            <w14:solidFill>
              <w14:schemeClr w14:val="tx1"/>
            </w14:solidFill>
          </w14:textFill>
        </w:rPr>
        <w:t>分）：售后服务方案</w:t>
      </w:r>
      <w:r>
        <w:rPr>
          <w:rFonts w:hint="eastAsia" w:hAnsi="宋体" w:cs="宋体"/>
          <w:bCs/>
          <w:color w:val="000000" w:themeColor="text1"/>
          <w:lang w:val="en-US" w:eastAsia="zh-CN"/>
          <w14:textFill>
            <w14:solidFill>
              <w14:schemeClr w14:val="tx1"/>
            </w14:solidFill>
          </w14:textFill>
        </w:rPr>
        <w:t>略优于</w:t>
      </w:r>
      <w:r>
        <w:rPr>
          <w:rFonts w:hint="eastAsia" w:hAnsi="宋体" w:cs="宋体"/>
          <w:bCs/>
          <w:color w:val="000000" w:themeColor="text1"/>
          <w14:textFill>
            <w14:solidFill>
              <w14:schemeClr w14:val="tx1"/>
            </w14:solidFill>
          </w14:textFill>
        </w:rPr>
        <w:t xml:space="preserve">招标文件要求。 </w:t>
      </w:r>
    </w:p>
    <w:p>
      <w:pPr>
        <w:pStyle w:val="15"/>
        <w:spacing w:line="400" w:lineRule="exact"/>
        <w:ind w:left="420" w:firstLine="420" w:firstLineChars="200"/>
        <w:rPr>
          <w:rFonts w:asciiTheme="minorEastAsia" w:hAnsiTheme="minorEastAsia" w:eastAsiaTheme="minorEastAsia" w:cstheme="minorEastAsia"/>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二档（</w:t>
      </w:r>
      <w:r>
        <w:rPr>
          <w:rFonts w:hint="eastAsia" w:hAnsi="宋体" w:cs="宋体"/>
          <w:bCs/>
          <w:color w:val="000000" w:themeColor="text1"/>
          <w:lang w:val="en-US" w:eastAsia="zh-CN"/>
          <w14:textFill>
            <w14:solidFill>
              <w14:schemeClr w14:val="tx1"/>
            </w14:solidFill>
          </w14:textFill>
        </w:rPr>
        <w:t>6</w:t>
      </w:r>
      <w:r>
        <w:rPr>
          <w:rFonts w:hint="eastAsia" w:hAnsi="宋体" w:cs="宋体"/>
          <w:bCs/>
          <w:color w:val="000000" w:themeColor="text1"/>
          <w14:textFill>
            <w14:solidFill>
              <w14:schemeClr w14:val="tx1"/>
            </w14:solidFill>
          </w14:textFill>
        </w:rPr>
        <w:t>分）：</w:t>
      </w:r>
      <w:r>
        <w:rPr>
          <w:rFonts w:hint="eastAsia" w:asciiTheme="minorEastAsia" w:hAnsiTheme="minorEastAsia" w:eastAsiaTheme="minorEastAsia" w:cstheme="minorEastAsia"/>
          <w:color w:val="000000" w:themeColor="text1"/>
          <w14:textFill>
            <w14:solidFill>
              <w14:schemeClr w14:val="tx1"/>
            </w14:solidFill>
          </w14:textFill>
        </w:rPr>
        <w:t xml:space="preserve">满足招标文件售后服务要求的同时，售后服务方案内完整、可行，故障响应时间、到达现场维护时间、修复时间优于招标文件要求，有项目售后实施计划，有售后服务车辆、人员及零配件仓库。(需提供有效售后服务车辆、人员及零配件仓库等证明材料复印件，证明材料不全或不能有力证明具备能够保证履行以上承诺的能力以及承诺内容的真实性的，视做无效承诺则不予计分) </w:t>
      </w:r>
    </w:p>
    <w:p>
      <w:pPr>
        <w:pStyle w:val="15"/>
        <w:spacing w:line="400" w:lineRule="exact"/>
        <w:ind w:left="420" w:firstLine="420" w:firstLineChars="200"/>
        <w:rPr>
          <w:rFonts w:hAnsi="宋体" w:cs="宋体"/>
          <w:bCs/>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三档（</w:t>
      </w:r>
      <w:r>
        <w:rPr>
          <w:rFonts w:hint="eastAsia" w:hAnsi="宋体" w:cs="宋体"/>
          <w:bCs/>
          <w:color w:val="000000" w:themeColor="text1"/>
          <w:lang w:val="en-US" w:eastAsia="zh-CN"/>
          <w14:textFill>
            <w14:solidFill>
              <w14:schemeClr w14:val="tx1"/>
            </w14:solidFill>
          </w14:textFill>
        </w:rPr>
        <w:t>9</w:t>
      </w:r>
      <w:r>
        <w:rPr>
          <w:rFonts w:hint="eastAsia" w:hAnsi="宋体" w:cs="宋体"/>
          <w:bCs/>
          <w:color w:val="000000" w:themeColor="text1"/>
          <w14:textFill>
            <w14:solidFill>
              <w14:schemeClr w14:val="tx1"/>
            </w14:solidFill>
          </w14:textFill>
        </w:rPr>
        <w:t>分）：</w:t>
      </w:r>
      <w:r>
        <w:rPr>
          <w:rFonts w:hint="eastAsia" w:asciiTheme="minorEastAsia" w:hAnsiTheme="minorEastAsia" w:eastAsiaTheme="minorEastAsia" w:cstheme="minorEastAsia"/>
          <w:color w:val="000000" w:themeColor="text1"/>
          <w14:textFill>
            <w14:solidFill>
              <w14:schemeClr w14:val="tx1"/>
            </w14:solidFill>
          </w14:textFill>
        </w:rPr>
        <w:t>满足招标文件售后服务要求的同时，售后服务方案内容完整、齐全、可行，故障响应时间、到达现场维护时间、修复时间优于招标文件要求，有项目售后实施计划且完整实用，有售后服务车辆、专业售后培训上岗人员及零配件仓库，其它实质性优惠措施等。(需提供有效售后服务车辆、人员及零配件仓库等证明材料复印件，证明材料不全或不能有力证明具备能够保证履行以上承诺的能力以及承诺内容的真实性的，视做无效承诺则不予计分)。</w:t>
      </w:r>
    </w:p>
    <w:p>
      <w:pPr>
        <w:pStyle w:val="15"/>
        <w:spacing w:line="400" w:lineRule="exact"/>
        <w:ind w:left="420" w:firstLine="420" w:firstLineChars="200"/>
        <w:rPr>
          <w:rFonts w:hAnsi="宋体" w:cs="宋体"/>
          <w:b/>
          <w:color w:val="000000" w:themeColor="text1"/>
          <w14:textFill>
            <w14:solidFill>
              <w14:schemeClr w14:val="tx1"/>
            </w14:solidFill>
          </w14:textFill>
        </w:rPr>
      </w:pPr>
      <w:r>
        <w:rPr>
          <w:rFonts w:hint="eastAsia" w:hAnsi="宋体" w:cs="宋体"/>
          <w:bCs/>
          <w:color w:val="000000" w:themeColor="text1"/>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承诺接到采购人故障报修后，能在1.5小时内到达项目现场的得2分。（需提供相关有效证明材料：可以是投标人营业执照副本或服务网点房屋租赁合同等证明材料复印件，以及百度、高德等地图中路线截图，并注明投标人服务网点详细地址、联系人及联系电话等相关信息）。</w:t>
      </w:r>
      <w:r>
        <w:rPr>
          <w:rFonts w:hint="eastAsia" w:hAnsi="宋体" w:cs="宋体"/>
          <w:bCs/>
          <w:color w:val="000000" w:themeColor="text1"/>
          <w14:textFill>
            <w14:solidFill>
              <w14:schemeClr w14:val="tx1"/>
            </w14:solidFill>
          </w14:textFill>
        </w:rPr>
        <w:t xml:space="preserve"> </w:t>
      </w:r>
    </w:p>
    <w:p>
      <w:pPr>
        <w:pStyle w:val="15"/>
        <w:spacing w:line="390" w:lineRule="exact"/>
        <w:ind w:firstLine="422" w:firstLineChars="200"/>
        <w:rPr>
          <w:rFonts w:hAnsi="宋体" w:cs="宋体"/>
          <w:b/>
          <w:bCs/>
          <w:color w:val="000000" w:themeColor="text1"/>
          <w:szCs w:val="21"/>
          <w14:textFill>
            <w14:solidFill>
              <w14:schemeClr w14:val="tx1"/>
            </w14:solidFill>
          </w14:textFill>
        </w:rPr>
      </w:pPr>
      <w:bookmarkStart w:id="157" w:name="_Toc4474"/>
      <w:r>
        <w:rPr>
          <w:rFonts w:hint="eastAsia" w:hAnsi="宋体" w:cs="宋体"/>
          <w:b/>
          <w:bCs/>
          <w:color w:val="000000" w:themeColor="text1"/>
          <w:szCs w:val="21"/>
          <w14:textFill>
            <w14:solidFill>
              <w14:schemeClr w14:val="tx1"/>
            </w14:solidFill>
          </w14:textFill>
        </w:rPr>
        <w:t>5、政策功能分（节能、环保、广西区内产品等）……</w:t>
      </w:r>
      <w:r>
        <w:rPr>
          <w:rFonts w:hint="eastAsia" w:hAnsi="宋体" w:cs="宋体"/>
          <w:b/>
          <w:bCs/>
          <w:color w:val="000000" w:themeColor="text1"/>
          <w:kern w:val="0"/>
          <w:szCs w:val="21"/>
          <w14:textFill>
            <w14:solidFill>
              <w14:schemeClr w14:val="tx1"/>
            </w14:solidFill>
          </w14:textFill>
        </w:rPr>
        <w:t>…</w:t>
      </w:r>
      <w:r>
        <w:rPr>
          <w:rFonts w:hint="eastAsia" w:hAnsi="宋体" w:cs="宋体"/>
          <w:b/>
          <w:bCs/>
          <w:color w:val="000000" w:themeColor="text1"/>
          <w:szCs w:val="21"/>
          <w14:textFill>
            <w14:solidFill>
              <w14:schemeClr w14:val="tx1"/>
            </w14:solidFill>
          </w14:textFill>
        </w:rPr>
        <w:t xml:space="preserve">………………………………………满分 </w:t>
      </w:r>
      <w:r>
        <w:rPr>
          <w:rFonts w:hint="eastAsia" w:hAnsi="宋体" w:cs="宋体"/>
          <w:b/>
          <w:bCs/>
          <w:color w:val="000000" w:themeColor="text1"/>
          <w:szCs w:val="21"/>
          <w:lang w:val="en-US" w:eastAsia="zh-CN"/>
          <w14:textFill>
            <w14:solidFill>
              <w14:schemeClr w14:val="tx1"/>
            </w14:solidFill>
          </w14:textFill>
        </w:rPr>
        <w:t>3</w:t>
      </w:r>
      <w:r>
        <w:rPr>
          <w:rFonts w:hint="eastAsia" w:hAnsi="宋体" w:cs="宋体"/>
          <w:b/>
          <w:bCs/>
          <w:color w:val="000000" w:themeColor="text1"/>
          <w:szCs w:val="21"/>
          <w14:textFill>
            <w14:solidFill>
              <w14:schemeClr w14:val="tx1"/>
            </w14:solidFill>
          </w14:textFill>
        </w:rPr>
        <w:t xml:space="preserve"> 分</w:t>
      </w:r>
      <w:bookmarkEnd w:id="157"/>
    </w:p>
    <w:p>
      <w:pPr>
        <w:pStyle w:val="15"/>
        <w:spacing w:line="400" w:lineRule="exact"/>
        <w:ind w:left="420" w:leftChars="200" w:firstLine="111" w:firstLineChars="53"/>
        <w:rPr>
          <w:rFonts w:hAnsi="宋体" w:cs="宋体"/>
          <w:color w:val="000000" w:themeColor="text1"/>
          <w14:textFill>
            <w14:solidFill>
              <w14:schemeClr w14:val="tx1"/>
            </w14:solidFill>
          </w14:textFill>
        </w:rPr>
      </w:pPr>
      <w:bookmarkStart w:id="158" w:name="_Toc18482"/>
      <w:r>
        <w:rPr>
          <w:rFonts w:hint="eastAsia" w:hAnsi="宋体" w:cs="宋体"/>
          <w:color w:val="000000" w:themeColor="text1"/>
          <w14:textFill>
            <w14:solidFill>
              <w14:schemeClr w14:val="tx1"/>
            </w14:solidFill>
          </w14:textFill>
        </w:rPr>
        <w:t>（1）应优先采购财政部现行《节能产品政府采购清单》目录内（政府强制采购节能产品除外）的产品（提供有效证明复印件）。    得</w:t>
      </w:r>
      <w:r>
        <w:rPr>
          <w:rFonts w:hint="eastAsia" w:hAnsi="宋体" w:cs="宋体"/>
          <w:color w:val="000000" w:themeColor="text1"/>
          <w:lang w:val="en-US" w:eastAsia="zh-CN"/>
          <w14:textFill>
            <w14:solidFill>
              <w14:schemeClr w14:val="tx1"/>
            </w14:solidFill>
          </w14:textFill>
        </w:rPr>
        <w:t>1</w:t>
      </w:r>
      <w:r>
        <w:rPr>
          <w:rFonts w:hint="eastAsia" w:hAnsi="宋体" w:cs="宋体"/>
          <w:color w:val="000000" w:themeColor="text1"/>
          <w14:textFill>
            <w14:solidFill>
              <w14:schemeClr w14:val="tx1"/>
            </w14:solidFill>
          </w14:textFill>
        </w:rPr>
        <w:t>分</w:t>
      </w:r>
      <w:bookmarkEnd w:id="158"/>
    </w:p>
    <w:p>
      <w:pPr>
        <w:pStyle w:val="15"/>
        <w:spacing w:line="400" w:lineRule="exact"/>
        <w:ind w:left="420" w:leftChars="200" w:firstLine="111" w:firstLineChars="53"/>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 xml:space="preserve">（2）应优先采购财政部现行《环境标志产品政府采购清单》目录内的产品（提供有效证明复印件）。                             </w:t>
      </w:r>
      <w:r>
        <w:rPr>
          <w:rFonts w:hint="eastAsia" w:hAnsi="宋体" w:cs="宋体"/>
          <w:bCs/>
          <w:color w:val="000000" w:themeColor="text1"/>
          <w:szCs w:val="21"/>
          <w14:textFill>
            <w14:solidFill>
              <w14:schemeClr w14:val="tx1"/>
            </w14:solidFill>
          </w14:textFill>
        </w:rPr>
        <w:t>得1分</w:t>
      </w:r>
    </w:p>
    <w:p>
      <w:pPr>
        <w:pStyle w:val="15"/>
        <w:spacing w:line="400" w:lineRule="exact"/>
        <w:ind w:left="421"/>
        <w:rPr>
          <w:rFonts w:hAnsi="宋体" w:cs="宋体"/>
          <w:b/>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（3）对使用广西工业产品（指在广西境内生产的工业产品）的金额占本项目（分标）总金额80%以上（含）的（以提供生产企业的工商营业执照复印件为准），得</w:t>
      </w:r>
      <w:r>
        <w:rPr>
          <w:rFonts w:hint="eastAsia" w:hAnsi="宋体" w:cs="宋体"/>
          <w:color w:val="000000" w:themeColor="text1"/>
          <w:lang w:val="en-US" w:eastAsia="zh-CN"/>
          <w14:textFill>
            <w14:solidFill>
              <w14:schemeClr w14:val="tx1"/>
            </w14:solidFill>
          </w14:textFill>
        </w:rPr>
        <w:t>1</w:t>
      </w:r>
      <w:r>
        <w:rPr>
          <w:rFonts w:hint="eastAsia" w:hAnsi="宋体" w:cs="宋体"/>
          <w:color w:val="000000" w:themeColor="text1"/>
          <w14:textFill>
            <w14:solidFill>
              <w14:schemeClr w14:val="tx1"/>
            </w14:solidFill>
          </w14:textFill>
        </w:rPr>
        <w:t>分。</w:t>
      </w:r>
    </w:p>
    <w:p>
      <w:pPr>
        <w:pStyle w:val="15"/>
        <w:spacing w:line="390" w:lineRule="exact"/>
        <w:ind w:firstLine="422" w:firstLineChars="200"/>
        <w:rPr>
          <w:rFonts w:hAnsi="宋体" w:cs="宋体"/>
          <w:b/>
          <w:bCs/>
          <w:color w:val="000000" w:themeColor="text1"/>
          <w:szCs w:val="21"/>
          <w14:textFill>
            <w14:solidFill>
              <w14:schemeClr w14:val="tx1"/>
            </w14:solidFill>
          </w14:textFill>
        </w:rPr>
      </w:pPr>
      <w:bookmarkStart w:id="159" w:name="_Toc7839"/>
      <w:r>
        <w:rPr>
          <w:rFonts w:hint="eastAsia" w:hAnsi="宋体" w:cs="宋体"/>
          <w:b/>
          <w:bCs/>
          <w:color w:val="000000" w:themeColor="text1"/>
          <w:szCs w:val="21"/>
          <w14:textFill>
            <w14:solidFill>
              <w14:schemeClr w14:val="tx1"/>
            </w14:solidFill>
          </w14:textFill>
        </w:rPr>
        <w:t>6、综合得分＝1+2+3+4+5</w:t>
      </w:r>
      <w:bookmarkEnd w:id="159"/>
    </w:p>
    <w:p>
      <w:pPr>
        <w:pStyle w:val="15"/>
        <w:tabs>
          <w:tab w:val="left" w:pos="4214"/>
        </w:tabs>
        <w:spacing w:line="380" w:lineRule="exact"/>
        <w:ind w:firstLine="422" w:firstLineChars="200"/>
        <w:rPr>
          <w:rFonts w:hAnsi="宋体" w:cs="宋体"/>
          <w:b/>
          <w:color w:val="000000" w:themeColor="text1"/>
          <w14:textFill>
            <w14:solidFill>
              <w14:schemeClr w14:val="tx1"/>
            </w14:solidFill>
          </w14:textFill>
        </w:rPr>
      </w:pPr>
      <w:r>
        <w:rPr>
          <w:rFonts w:hint="eastAsia" w:hAnsi="宋体" w:cs="宋体"/>
          <w:b/>
          <w:color w:val="000000" w:themeColor="text1"/>
          <w14:textFill>
            <w14:solidFill>
              <w14:schemeClr w14:val="tx1"/>
            </w14:solidFill>
          </w14:textFill>
        </w:rPr>
        <w:t>三、推荐及确定中标候选供应商原则</w:t>
      </w:r>
    </w:p>
    <w:p>
      <w:pPr>
        <w:pStyle w:val="15"/>
        <w:tabs>
          <w:tab w:val="left" w:pos="4214"/>
        </w:tabs>
        <w:spacing w:line="380" w:lineRule="exact"/>
        <w:ind w:firstLine="420" w:firstLineChars="20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（1）评标委员会根据综合得分由高到低排列次序，若得分相同时，按评标价由低到高顺序排列；得分相同且评标价也相同的由评标委员会按照抽签的方式决定排次次序</w:t>
      </w:r>
      <w:r>
        <w:rPr>
          <w:rFonts w:hint="eastAsia" w:hAnsi="宋体" w:cs="宋体"/>
          <w:color w:val="000000" w:themeColor="text1"/>
          <w:sz w:val="22"/>
          <w:szCs w:val="22"/>
          <w14:textFill>
            <w14:solidFill>
              <w14:schemeClr w14:val="tx1"/>
            </w14:solidFill>
          </w14:textFill>
        </w:rPr>
        <w:t>。</w:t>
      </w:r>
    </w:p>
    <w:p>
      <w:pPr>
        <w:pStyle w:val="15"/>
        <w:tabs>
          <w:tab w:val="left" w:pos="4214"/>
        </w:tabs>
        <w:spacing w:line="380" w:lineRule="exact"/>
        <w:ind w:firstLine="420" w:firstLineChars="20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（2）评标委员会可推荐前三名为中标候选人，采购人应当确定评标委员会推荐排名第一的中标候选人为中标人。</w:t>
      </w:r>
    </w:p>
    <w:p>
      <w:pPr>
        <w:pStyle w:val="15"/>
        <w:tabs>
          <w:tab w:val="left" w:pos="4214"/>
        </w:tabs>
        <w:spacing w:line="380" w:lineRule="exact"/>
        <w:ind w:firstLine="420" w:firstLineChars="20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3）排名第一的中标候选人放弃中标、因不可抗力提出不能履行合同，或者招标文件规定应当提交履约保证金而在规定的期限内未能提交的，或因失信行为被取消中标候选人资格的，采购人可以确定排名第二的中标候选人为中标人，并依此类推。</w:t>
      </w:r>
    </w:p>
    <w:p>
      <w:pPr>
        <w:spacing w:line="390" w:lineRule="exact"/>
        <w:ind w:firstLine="424" w:firstLineChars="202"/>
        <w:jc w:val="left"/>
        <w:rPr>
          <w:rFonts w:ascii="宋体" w:hAnsi="宋体" w:cs="宋体"/>
          <w:color w:val="000000" w:themeColor="text1"/>
          <w:szCs w:val="21"/>
          <w14:textFill>
            <w14:solidFill>
              <w14:schemeClr w14:val="tx1"/>
            </w14:solidFill>
          </w14:textFill>
        </w:rPr>
      </w:pPr>
    </w:p>
    <w:p>
      <w:pPr>
        <w:spacing w:line="390" w:lineRule="exact"/>
        <w:ind w:firstLine="426" w:firstLineChars="202"/>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四、特别说明</w:t>
      </w:r>
    </w:p>
    <w:p>
      <w:pPr>
        <w:pStyle w:val="15"/>
        <w:adjustRightInd w:val="0"/>
        <w:spacing w:line="390" w:lineRule="exact"/>
        <w:ind w:firstLine="422" w:firstLineChars="200"/>
        <w:contextualSpacing/>
        <w:rPr>
          <w:rFonts w:hAnsi="宋体" w:cs="宋体"/>
          <w:b/>
          <w:bCs/>
          <w:color w:val="000000" w:themeColor="text1"/>
          <w14:textFill>
            <w14:solidFill>
              <w14:schemeClr w14:val="tx1"/>
            </w14:solidFill>
          </w14:textFill>
        </w:rPr>
      </w:pPr>
      <w:r>
        <w:rPr>
          <w:rFonts w:hint="eastAsia" w:hAnsi="宋体" w:cs="宋体"/>
          <w:b/>
          <w:bCs/>
          <w:color w:val="000000" w:themeColor="text1"/>
          <w:szCs w:val="21"/>
          <w:u w:val="double"/>
          <w14:textFill>
            <w14:solidFill>
              <w14:schemeClr w14:val="tx1"/>
            </w14:solidFill>
          </w14:textFill>
        </w:rPr>
        <w:t>评审时，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bookmarkStart w:id="160" w:name="_Toc23297"/>
      <w:r>
        <w:rPr>
          <w:rFonts w:hint="eastAsia" w:hAnsi="宋体" w:cs="宋体"/>
          <w:b/>
          <w:bCs/>
          <w:color w:val="000000" w:themeColor="text1"/>
          <w14:textFill>
            <w14:solidFill>
              <w14:schemeClr w14:val="tx1"/>
            </w14:solidFill>
          </w14:textFill>
        </w:rPr>
        <w:br w:type="page"/>
      </w:r>
      <w:bookmarkEnd w:id="160"/>
      <w:r>
        <w:rPr>
          <w:rFonts w:hint="eastAsia"/>
          <w:b/>
          <w:bCs/>
          <w:color w:val="000000" w:themeColor="text1"/>
          <w14:textFill>
            <w14:solidFill>
              <w14:schemeClr w14:val="tx1"/>
            </w14:solidFill>
          </w14:textFill>
        </w:rPr>
        <w:t>附表</w:t>
      </w:r>
    </w:p>
    <w:p>
      <w:pPr>
        <w:widowControl/>
        <w:spacing w:before="156" w:beforeLines="50" w:after="156" w:afterLines="50" w:line="400" w:lineRule="exact"/>
        <w:jc w:val="center"/>
        <w:rPr>
          <w:rFonts w:ascii="宋体" w:hAnsi="宋体" w:cs="宋体"/>
          <w:b/>
          <w:bCs/>
          <w:color w:val="000000" w:themeColor="text1"/>
          <w:kern w:val="0"/>
          <w:sz w:val="30"/>
          <w:szCs w:val="30"/>
          <w14:textFill>
            <w14:solidFill>
              <w14:schemeClr w14:val="tx1"/>
            </w14:solidFill>
          </w14:textFill>
        </w:rPr>
      </w:pPr>
      <w:bookmarkStart w:id="161" w:name="_Toc28361_WPSOffice_Level2"/>
      <w:r>
        <w:rPr>
          <w:rFonts w:hint="eastAsia" w:ascii="宋体" w:hAnsi="宋体" w:cs="宋体"/>
          <w:b/>
          <w:bCs/>
          <w:color w:val="000000" w:themeColor="text1"/>
          <w:kern w:val="0"/>
          <w:sz w:val="30"/>
          <w:szCs w:val="30"/>
          <w14:textFill>
            <w14:solidFill>
              <w14:schemeClr w14:val="tx1"/>
            </w14:solidFill>
          </w14:textFill>
        </w:rPr>
        <w:t>统计上大中小微型企业划分标准</w:t>
      </w:r>
      <w:bookmarkEnd w:id="161"/>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blHeader/>
        </w:trPr>
        <w:tc>
          <w:tcPr>
            <w:tcW w:w="2113" w:type="dxa"/>
            <w:shd w:val="clear" w:color="auto" w:fill="8DB3E2"/>
            <w:vAlign w:val="center"/>
          </w:tcPr>
          <w:p>
            <w:pPr>
              <w:widowControl/>
              <w:spacing w:line="240" w:lineRule="exact"/>
              <w:jc w:val="center"/>
              <w:rPr>
                <w:rFonts w:ascii="宋体" w:hAnsi="宋体" w:cs="宋体"/>
                <w:b/>
                <w:bCs/>
                <w:color w:val="000000" w:themeColor="text1"/>
                <w:kern w:val="0"/>
                <w:sz w:val="18"/>
                <w:szCs w:val="21"/>
                <w14:textFill>
                  <w14:solidFill>
                    <w14:schemeClr w14:val="tx1"/>
                  </w14:solidFill>
                </w14:textFill>
              </w:rPr>
            </w:pPr>
            <w:r>
              <w:rPr>
                <w:rFonts w:hint="eastAsia" w:ascii="宋体" w:hAnsi="宋体" w:cs="宋体"/>
                <w:b/>
                <w:bCs/>
                <w:color w:val="000000" w:themeColor="text1"/>
                <w:kern w:val="0"/>
                <w:sz w:val="18"/>
                <w:szCs w:val="21"/>
                <w14:textFill>
                  <w14:solidFill>
                    <w14:schemeClr w14:val="tx1"/>
                  </w14:solidFill>
                </w14:textFill>
              </w:rPr>
              <w:t>行业名称</w:t>
            </w:r>
          </w:p>
        </w:tc>
        <w:tc>
          <w:tcPr>
            <w:tcW w:w="1369" w:type="dxa"/>
            <w:shd w:val="clear" w:color="auto" w:fill="8DB3E2"/>
            <w:vAlign w:val="center"/>
          </w:tcPr>
          <w:p>
            <w:pPr>
              <w:widowControl/>
              <w:jc w:val="center"/>
              <w:rPr>
                <w:rFonts w:ascii="宋体" w:hAnsi="宋体" w:cs="宋体"/>
                <w:b/>
                <w:bCs/>
                <w:color w:val="000000" w:themeColor="text1"/>
                <w:kern w:val="0"/>
                <w:sz w:val="18"/>
                <w:szCs w:val="18"/>
                <w14:textFill>
                  <w14:solidFill>
                    <w14:schemeClr w14:val="tx1"/>
                  </w14:solidFill>
                </w14:textFill>
              </w:rPr>
            </w:pPr>
            <w:r>
              <w:rPr>
                <w:rFonts w:hint="eastAsia" w:ascii="宋体" w:hAnsi="宋体" w:cs="宋体"/>
                <w:b/>
                <w:bCs/>
                <w:color w:val="000000" w:themeColor="text1"/>
                <w:kern w:val="0"/>
                <w:sz w:val="18"/>
                <w:szCs w:val="18"/>
                <w14:textFill>
                  <w14:solidFill>
                    <w14:schemeClr w14:val="tx1"/>
                  </w14:solidFill>
                </w14:textFill>
              </w:rPr>
              <w:t>指标名称</w:t>
            </w:r>
          </w:p>
        </w:tc>
        <w:tc>
          <w:tcPr>
            <w:tcW w:w="709" w:type="dxa"/>
            <w:shd w:val="clear" w:color="auto" w:fill="8DB3E2"/>
            <w:vAlign w:val="center"/>
          </w:tcPr>
          <w:p>
            <w:pPr>
              <w:widowControl/>
              <w:jc w:val="center"/>
              <w:rPr>
                <w:rFonts w:ascii="宋体" w:hAnsi="宋体" w:cs="宋体"/>
                <w:b/>
                <w:bCs/>
                <w:color w:val="000000" w:themeColor="text1"/>
                <w:kern w:val="0"/>
                <w:sz w:val="18"/>
                <w:szCs w:val="18"/>
                <w14:textFill>
                  <w14:solidFill>
                    <w14:schemeClr w14:val="tx1"/>
                  </w14:solidFill>
                </w14:textFill>
              </w:rPr>
            </w:pPr>
            <w:r>
              <w:rPr>
                <w:rFonts w:hint="eastAsia" w:ascii="宋体" w:hAnsi="宋体" w:cs="宋体"/>
                <w:b/>
                <w:bCs/>
                <w:color w:val="000000" w:themeColor="text1"/>
                <w:kern w:val="0"/>
                <w:sz w:val="18"/>
                <w:szCs w:val="18"/>
                <w14:textFill>
                  <w14:solidFill>
                    <w14:schemeClr w14:val="tx1"/>
                  </w14:solidFill>
                </w14:textFill>
              </w:rPr>
              <w:t>计量</w:t>
            </w:r>
            <w:r>
              <w:rPr>
                <w:rFonts w:hint="eastAsia" w:ascii="宋体" w:hAnsi="宋体" w:cs="宋体"/>
                <w:b/>
                <w:bCs/>
                <w:color w:val="000000" w:themeColor="text1"/>
                <w:kern w:val="0"/>
                <w:sz w:val="18"/>
                <w:szCs w:val="18"/>
                <w14:textFill>
                  <w14:solidFill>
                    <w14:schemeClr w14:val="tx1"/>
                  </w14:solidFill>
                </w14:textFill>
              </w:rPr>
              <w:br w:type="textWrapping"/>
            </w:r>
            <w:r>
              <w:rPr>
                <w:rFonts w:hint="eastAsia" w:ascii="宋体" w:hAnsi="宋体" w:cs="宋体"/>
                <w:b/>
                <w:bCs/>
                <w:color w:val="000000" w:themeColor="text1"/>
                <w:kern w:val="0"/>
                <w:sz w:val="18"/>
                <w:szCs w:val="18"/>
                <w14:textFill>
                  <w14:solidFill>
                    <w14:schemeClr w14:val="tx1"/>
                  </w14:solidFill>
                </w14:textFill>
              </w:rPr>
              <w:t>单位</w:t>
            </w:r>
          </w:p>
        </w:tc>
        <w:tc>
          <w:tcPr>
            <w:tcW w:w="1125" w:type="dxa"/>
            <w:shd w:val="clear" w:color="auto" w:fill="8DB3E2"/>
            <w:vAlign w:val="center"/>
          </w:tcPr>
          <w:p>
            <w:pPr>
              <w:widowControl/>
              <w:jc w:val="center"/>
              <w:rPr>
                <w:rFonts w:ascii="宋体" w:hAnsi="宋体" w:cs="宋体"/>
                <w:b/>
                <w:bCs/>
                <w:color w:val="000000" w:themeColor="text1"/>
                <w:kern w:val="0"/>
                <w:sz w:val="18"/>
                <w:szCs w:val="18"/>
                <w14:textFill>
                  <w14:solidFill>
                    <w14:schemeClr w14:val="tx1"/>
                  </w14:solidFill>
                </w14:textFill>
              </w:rPr>
            </w:pPr>
            <w:r>
              <w:rPr>
                <w:rFonts w:hint="eastAsia" w:ascii="宋体" w:hAnsi="宋体" w:cs="宋体"/>
                <w:b/>
                <w:bCs/>
                <w:color w:val="000000" w:themeColor="text1"/>
                <w:kern w:val="0"/>
                <w:sz w:val="18"/>
                <w:szCs w:val="18"/>
                <w14:textFill>
                  <w14:solidFill>
                    <w14:schemeClr w14:val="tx1"/>
                  </w14:solidFill>
                </w14:textFill>
              </w:rPr>
              <w:t>大型</w:t>
            </w:r>
          </w:p>
        </w:tc>
        <w:tc>
          <w:tcPr>
            <w:tcW w:w="1701" w:type="dxa"/>
            <w:shd w:val="clear" w:color="auto" w:fill="8DB3E2"/>
            <w:vAlign w:val="center"/>
          </w:tcPr>
          <w:p>
            <w:pPr>
              <w:widowControl/>
              <w:jc w:val="center"/>
              <w:rPr>
                <w:rFonts w:ascii="宋体" w:hAnsi="宋体" w:cs="宋体"/>
                <w:b/>
                <w:bCs/>
                <w:color w:val="000000" w:themeColor="text1"/>
                <w:kern w:val="0"/>
                <w:sz w:val="18"/>
                <w:szCs w:val="18"/>
                <w14:textFill>
                  <w14:solidFill>
                    <w14:schemeClr w14:val="tx1"/>
                  </w14:solidFill>
                </w14:textFill>
              </w:rPr>
            </w:pPr>
            <w:r>
              <w:rPr>
                <w:rFonts w:hint="eastAsia" w:ascii="宋体" w:hAnsi="宋体" w:cs="宋体"/>
                <w:b/>
                <w:bCs/>
                <w:color w:val="000000" w:themeColor="text1"/>
                <w:kern w:val="0"/>
                <w:sz w:val="18"/>
                <w:szCs w:val="18"/>
                <w14:textFill>
                  <w14:solidFill>
                    <w14:schemeClr w14:val="tx1"/>
                  </w14:solidFill>
                </w14:textFill>
              </w:rPr>
              <w:t>中型</w:t>
            </w:r>
          </w:p>
        </w:tc>
        <w:tc>
          <w:tcPr>
            <w:tcW w:w="1426" w:type="dxa"/>
            <w:shd w:val="clear" w:color="auto" w:fill="8DB3E2"/>
            <w:vAlign w:val="center"/>
          </w:tcPr>
          <w:p>
            <w:pPr>
              <w:widowControl/>
              <w:jc w:val="center"/>
              <w:rPr>
                <w:rFonts w:ascii="宋体" w:hAnsi="宋体" w:cs="宋体"/>
                <w:b/>
                <w:bCs/>
                <w:color w:val="000000" w:themeColor="text1"/>
                <w:kern w:val="0"/>
                <w:sz w:val="18"/>
                <w:szCs w:val="18"/>
                <w14:textFill>
                  <w14:solidFill>
                    <w14:schemeClr w14:val="tx1"/>
                  </w14:solidFill>
                </w14:textFill>
              </w:rPr>
            </w:pPr>
            <w:r>
              <w:rPr>
                <w:rFonts w:hint="eastAsia" w:ascii="宋体" w:hAnsi="宋体" w:cs="宋体"/>
                <w:b/>
                <w:bCs/>
                <w:color w:val="000000" w:themeColor="text1"/>
                <w:kern w:val="0"/>
                <w:sz w:val="18"/>
                <w:szCs w:val="18"/>
                <w14:textFill>
                  <w14:solidFill>
                    <w14:schemeClr w14:val="tx1"/>
                  </w14:solidFill>
                </w14:textFill>
              </w:rPr>
              <w:t>小型</w:t>
            </w:r>
          </w:p>
        </w:tc>
        <w:tc>
          <w:tcPr>
            <w:tcW w:w="992" w:type="dxa"/>
            <w:shd w:val="clear" w:color="auto" w:fill="8DB3E2"/>
            <w:vAlign w:val="center"/>
          </w:tcPr>
          <w:p>
            <w:pPr>
              <w:widowControl/>
              <w:jc w:val="center"/>
              <w:rPr>
                <w:rFonts w:ascii="宋体" w:hAnsi="宋体" w:cs="宋体"/>
                <w:b/>
                <w:bCs/>
                <w:color w:val="000000" w:themeColor="text1"/>
                <w:kern w:val="0"/>
                <w:sz w:val="18"/>
                <w:szCs w:val="18"/>
                <w14:textFill>
                  <w14:solidFill>
                    <w14:schemeClr w14:val="tx1"/>
                  </w14:solidFill>
                </w14:textFill>
              </w:rPr>
            </w:pPr>
            <w:r>
              <w:rPr>
                <w:rFonts w:hint="eastAsia" w:ascii="宋体" w:hAnsi="宋体" w:cs="宋体"/>
                <w:b/>
                <w:bCs/>
                <w:color w:val="000000" w:themeColor="text1"/>
                <w:kern w:val="0"/>
                <w:sz w:val="18"/>
                <w:szCs w:val="18"/>
                <w14:textFill>
                  <w14:solidFill>
                    <w14:schemeClr w14:val="tx1"/>
                  </w14:solidFill>
                </w14:textFill>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农、林、牧、渔业</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Y≥20000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500≤Y＜20000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50≤Y＜500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工业 *</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X≥1000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300≤X＜1000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20≤X＜300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Y≥40000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2000≤Y＜40000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300≤Y＜2000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建筑业</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Y≥80000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6000≤Y＜80000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300≤Y＜6000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资产总额(Z)</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Z≥80000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5000≤Z＜80000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300≤Z＜5000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Z＜300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批发业</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X≥200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20≤X＜200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5≤X＜20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Y≥40000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5000≤Y＜40000</w:t>
            </w:r>
          </w:p>
        </w:tc>
        <w:tc>
          <w:tcPr>
            <w:tcW w:w="1426" w:type="dxa"/>
            <w:vAlign w:val="center"/>
          </w:tcPr>
          <w:p>
            <w:pPr>
              <w:widowControl/>
              <w:ind w:left="-1" w:leftChars="-1" w:hanging="1"/>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1000≤Y＜5000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零售业</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X≥300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50≤X＜300</w:t>
            </w:r>
          </w:p>
        </w:tc>
        <w:tc>
          <w:tcPr>
            <w:tcW w:w="1426" w:type="dxa"/>
            <w:vAlign w:val="center"/>
          </w:tcPr>
          <w:p>
            <w:pPr>
              <w:widowControl/>
              <w:ind w:left="-1" w:leftChars="-1" w:hanging="1"/>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 xml:space="preserve">10≤X＜50 </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Y≥20000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500≤Y＜20000</w:t>
            </w:r>
          </w:p>
        </w:tc>
        <w:tc>
          <w:tcPr>
            <w:tcW w:w="1426" w:type="dxa"/>
            <w:vAlign w:val="center"/>
          </w:tcPr>
          <w:p>
            <w:pPr>
              <w:widowControl/>
              <w:ind w:left="-1" w:leftChars="-1" w:hanging="1"/>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100≤Y＜500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交通运输业 *</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X≥1000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300≤X＜1000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20≤X＜300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Y≥30000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3000≤Y＜30000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200≤Y＜3000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仓储业*</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X≥200</w:t>
            </w:r>
          </w:p>
        </w:tc>
        <w:tc>
          <w:tcPr>
            <w:tcW w:w="1701" w:type="dxa"/>
            <w:vAlign w:val="center"/>
          </w:tcPr>
          <w:p>
            <w:pPr>
              <w:widowControl/>
              <w:ind w:left="1" w:leftChars="-51" w:hanging="108" w:hangingChars="60"/>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100≤X＜200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20≤X＜100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Y≥30000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1000≤Y＜30000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100≤Y＜1000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邮政业</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X≥1000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300≤X＜1000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20≤X＜300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Y≥30000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2000≤Y＜30000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100≤Y＜2000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住宿业</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X≥300</w:t>
            </w:r>
          </w:p>
        </w:tc>
        <w:tc>
          <w:tcPr>
            <w:tcW w:w="1701" w:type="dxa"/>
            <w:vAlign w:val="center"/>
          </w:tcPr>
          <w:p>
            <w:pPr>
              <w:widowControl/>
              <w:ind w:left="1" w:leftChars="-51" w:hanging="108" w:hangingChars="60"/>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100≤X＜300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10≤X＜100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Y≥10000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2000≤Y＜10000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100≤Y＜2000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餐饮业</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X≥300</w:t>
            </w:r>
          </w:p>
        </w:tc>
        <w:tc>
          <w:tcPr>
            <w:tcW w:w="1701" w:type="dxa"/>
            <w:vAlign w:val="center"/>
          </w:tcPr>
          <w:p>
            <w:pPr>
              <w:widowControl/>
              <w:ind w:left="1" w:leftChars="-51" w:hanging="108" w:hangingChars="60"/>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 xml:space="preserve">100≤X＜300 </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10≤X＜100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Y≥10000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2000≤Y＜10000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100≤Y＜2000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信息传输业 *</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X≥2000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100≤X＜2000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10≤X＜100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Y≥100000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1000≤Y＜100000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100≤Y＜1000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restart"/>
            <w:vAlign w:val="center"/>
          </w:tcPr>
          <w:p>
            <w:pPr>
              <w:widowControl/>
              <w:spacing w:line="240" w:lineRule="exact"/>
              <w:jc w:val="left"/>
              <w:rPr>
                <w:rFonts w:ascii="宋体" w:hAnsi="宋体" w:cs="宋体"/>
                <w:color w:val="000000" w:themeColor="text1"/>
                <w:spacing w:val="-12"/>
                <w:kern w:val="0"/>
                <w:sz w:val="18"/>
                <w:szCs w:val="18"/>
                <w14:textFill>
                  <w14:solidFill>
                    <w14:schemeClr w14:val="tx1"/>
                  </w14:solidFill>
                </w14:textFill>
              </w:rPr>
            </w:pPr>
            <w:r>
              <w:rPr>
                <w:rFonts w:hint="eastAsia" w:ascii="宋体" w:hAnsi="宋体" w:cs="宋体"/>
                <w:color w:val="000000" w:themeColor="text1"/>
                <w:spacing w:val="-12"/>
                <w:kern w:val="0"/>
                <w:sz w:val="18"/>
                <w:szCs w:val="18"/>
                <w14:textFill>
                  <w14:solidFill>
                    <w14:schemeClr w14:val="tx1"/>
                  </w14:solidFill>
                </w14:textFill>
              </w:rPr>
              <w:t>软件和信息技术服</w:t>
            </w:r>
            <w:r>
              <w:rPr>
                <w:rFonts w:hint="eastAsia" w:ascii="宋体" w:hAnsi="宋体" w:cs="宋体"/>
                <w:color w:val="000000" w:themeColor="text1"/>
                <w:kern w:val="0"/>
                <w:sz w:val="18"/>
                <w:szCs w:val="18"/>
                <w14:textFill>
                  <w14:solidFill>
                    <w14:schemeClr w14:val="tx1"/>
                  </w14:solidFill>
                </w14:textFill>
              </w:rPr>
              <w:t>务业</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X≥300</w:t>
            </w:r>
          </w:p>
        </w:tc>
        <w:tc>
          <w:tcPr>
            <w:tcW w:w="1701" w:type="dxa"/>
            <w:vAlign w:val="center"/>
          </w:tcPr>
          <w:p>
            <w:pPr>
              <w:widowControl/>
              <w:ind w:left="1" w:leftChars="-51" w:hanging="108" w:hangingChars="60"/>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 xml:space="preserve">100≤X＜300 </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10≤X＜100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continue"/>
            <w:vAlign w:val="center"/>
          </w:tcPr>
          <w:p>
            <w:pPr>
              <w:widowControl/>
              <w:jc w:val="left"/>
              <w:rPr>
                <w:rFonts w:ascii="宋体" w:hAnsi="宋体" w:cs="宋体"/>
                <w:color w:val="000000" w:themeColor="text1"/>
                <w:spacing w:val="-12"/>
                <w:kern w:val="0"/>
                <w:sz w:val="18"/>
                <w:szCs w:val="18"/>
                <w14:textFill>
                  <w14:solidFill>
                    <w14:schemeClr w14:val="tx1"/>
                  </w14:solidFill>
                </w14:textFill>
              </w:rPr>
            </w:pP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Y≥10000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1000≤Y＜10000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50≤Y＜1000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房地产开发经营</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Y≥200000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1000≤Y＜200000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100≤Y＜1000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资产总额(Z)</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Z≥10000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5000≤Z＜10000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2000≤Z＜5000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Z＜2000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物业管理</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X≥1000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300≤X＜1000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100≤X＜300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Y≥5000</w:t>
            </w:r>
          </w:p>
        </w:tc>
        <w:tc>
          <w:tcPr>
            <w:tcW w:w="1701" w:type="dxa"/>
            <w:vAlign w:val="center"/>
          </w:tcPr>
          <w:p>
            <w:pPr>
              <w:widowControl/>
              <w:ind w:left="1" w:leftChars="-51" w:hanging="108" w:hangingChars="60"/>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1000≤Y＜5000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500≤Y＜1000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Y＜500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restart"/>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租赁和商务服务业</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X≥300</w:t>
            </w:r>
          </w:p>
        </w:tc>
        <w:tc>
          <w:tcPr>
            <w:tcW w:w="1701" w:type="dxa"/>
            <w:vAlign w:val="center"/>
          </w:tcPr>
          <w:p>
            <w:pPr>
              <w:widowControl/>
              <w:ind w:left="1" w:leftChars="-51" w:hanging="108" w:hangingChars="60"/>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100≤X＜300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10≤X＜100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continue"/>
            <w:vAlign w:val="center"/>
          </w:tcPr>
          <w:p>
            <w:pPr>
              <w:widowControl/>
              <w:jc w:val="left"/>
              <w:rPr>
                <w:rFonts w:ascii="宋体" w:hAnsi="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资产总额(Z)</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Z≥120000</w:t>
            </w:r>
          </w:p>
        </w:tc>
        <w:tc>
          <w:tcPr>
            <w:tcW w:w="1701"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8000≤Z＜120000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100≤Z＜8000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Z＜100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Align w:val="center"/>
          </w:tcPr>
          <w:p>
            <w:pPr>
              <w:widowControl/>
              <w:spacing w:line="240" w:lineRule="exact"/>
              <w:jc w:val="left"/>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其他未列明行业 *</w:t>
            </w:r>
          </w:p>
        </w:tc>
        <w:tc>
          <w:tcPr>
            <w:tcW w:w="136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X≥300</w:t>
            </w:r>
          </w:p>
        </w:tc>
        <w:tc>
          <w:tcPr>
            <w:tcW w:w="1701" w:type="dxa"/>
            <w:vAlign w:val="center"/>
          </w:tcPr>
          <w:p>
            <w:pPr>
              <w:widowControl/>
              <w:ind w:left="1" w:leftChars="-51" w:hanging="108" w:hangingChars="60"/>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100≤X＜300</w:t>
            </w:r>
          </w:p>
        </w:tc>
        <w:tc>
          <w:tcPr>
            <w:tcW w:w="1426"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10≤X＜100</w:t>
            </w:r>
          </w:p>
        </w:tc>
        <w:tc>
          <w:tcPr>
            <w:tcW w:w="992" w:type="dxa"/>
            <w:vAlign w:val="center"/>
          </w:tcPr>
          <w:p>
            <w:pPr>
              <w:widowControl/>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X＜10</w:t>
            </w:r>
          </w:p>
        </w:tc>
      </w:tr>
    </w:tbl>
    <w:p>
      <w:pPr>
        <w:widowControl/>
        <w:spacing w:line="540" w:lineRule="exact"/>
        <w:rPr>
          <w:rFonts w:ascii="宋体" w:hAnsi="宋体" w:cs="宋体"/>
          <w:color w:val="000000" w:themeColor="text1"/>
          <w:spacing w:val="8"/>
          <w:kern w:val="0"/>
          <w:sz w:val="24"/>
          <w14:textFill>
            <w14:solidFill>
              <w14:schemeClr w14:val="tx1"/>
            </w14:solidFill>
          </w14:textFill>
        </w:rPr>
      </w:pPr>
    </w:p>
    <w:p>
      <w:pPr>
        <w:widowControl/>
        <w:spacing w:line="540" w:lineRule="exact"/>
        <w:rPr>
          <w:rFonts w:ascii="宋体" w:hAnsi="宋体" w:cs="宋体"/>
          <w:color w:val="000000" w:themeColor="text1"/>
          <w:spacing w:val="8"/>
          <w:kern w:val="0"/>
          <w:sz w:val="24"/>
          <w14:textFill>
            <w14:solidFill>
              <w14:schemeClr w14:val="tx1"/>
            </w14:solidFill>
          </w14:textFill>
        </w:rPr>
      </w:pPr>
      <w:r>
        <w:rPr>
          <w:rFonts w:hint="eastAsia" w:ascii="宋体" w:hAnsi="宋体" w:cs="宋体"/>
          <w:color w:val="000000" w:themeColor="text1"/>
          <w:spacing w:val="8"/>
          <w:kern w:val="0"/>
          <w:sz w:val="24"/>
          <w14:textFill>
            <w14:solidFill>
              <w14:schemeClr w14:val="tx1"/>
            </w14:solidFill>
          </w14:textFill>
        </w:rPr>
        <w:t>说明：</w:t>
      </w:r>
    </w:p>
    <w:p>
      <w:pPr>
        <w:pStyle w:val="15"/>
        <w:adjustRightInd w:val="0"/>
        <w:spacing w:line="380" w:lineRule="exact"/>
        <w:ind w:firstLine="512" w:firstLineChars="200"/>
        <w:contextualSpacing/>
        <w:rPr>
          <w:rFonts w:hAnsi="宋体" w:cs="宋体"/>
          <w:color w:val="000000" w:themeColor="text1"/>
          <w:spacing w:val="8"/>
          <w:kern w:val="0"/>
          <w:sz w:val="24"/>
          <w:szCs w:val="24"/>
          <w14:textFill>
            <w14:solidFill>
              <w14:schemeClr w14:val="tx1"/>
            </w14:solidFill>
          </w14:textFill>
        </w:rPr>
      </w:pPr>
      <w:r>
        <w:rPr>
          <w:rFonts w:hint="eastAsia" w:hAnsi="宋体" w:cs="宋体"/>
          <w:color w:val="000000" w:themeColor="text1"/>
          <w:spacing w:val="8"/>
          <w:kern w:val="0"/>
          <w:sz w:val="24"/>
          <w:szCs w:val="24"/>
          <w14:textFill>
            <w14:solidFill>
              <w14:schemeClr w14:val="tx1"/>
            </w14:solidFill>
          </w14:textFill>
        </w:rPr>
        <w:t>1.大型、中型和小型企业须同时满足所列指标的下限，否则下划一档；微型企业只须满足所列指标中的一项即可。</w:t>
      </w:r>
    </w:p>
    <w:p>
      <w:pPr>
        <w:pStyle w:val="15"/>
        <w:adjustRightInd w:val="0"/>
        <w:spacing w:line="380" w:lineRule="exact"/>
        <w:ind w:firstLine="512" w:firstLineChars="200"/>
        <w:contextualSpacing/>
        <w:rPr>
          <w:rFonts w:hAnsi="宋体" w:cs="宋体"/>
          <w:color w:val="000000" w:themeColor="text1"/>
          <w:spacing w:val="8"/>
          <w:kern w:val="0"/>
          <w:sz w:val="24"/>
          <w:szCs w:val="24"/>
          <w14:textFill>
            <w14:solidFill>
              <w14:schemeClr w14:val="tx1"/>
            </w14:solidFill>
          </w14:textFill>
        </w:rPr>
      </w:pPr>
      <w:r>
        <w:rPr>
          <w:rFonts w:hint="eastAsia" w:hAnsi="宋体" w:cs="宋体"/>
          <w:color w:val="000000" w:themeColor="text1"/>
          <w:spacing w:val="8"/>
          <w:kern w:val="0"/>
          <w:sz w:val="24"/>
          <w:szCs w:val="24"/>
          <w14:textFill>
            <w14:solidFill>
              <w14:schemeClr w14:val="tx1"/>
            </w14:solidFill>
          </w14:textFill>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pPr>
        <w:pStyle w:val="15"/>
        <w:adjustRightInd w:val="0"/>
        <w:spacing w:line="380" w:lineRule="exact"/>
        <w:ind w:firstLine="512" w:firstLineChars="200"/>
        <w:contextualSpacing/>
        <w:rPr>
          <w:rFonts w:hAnsi="宋体" w:cs="宋体"/>
          <w:bCs/>
          <w:color w:val="000000" w:themeColor="text1"/>
          <w14:textFill>
            <w14:solidFill>
              <w14:schemeClr w14:val="tx1"/>
            </w14:solidFill>
          </w14:textFill>
        </w:rPr>
      </w:pPr>
      <w:r>
        <w:rPr>
          <w:rFonts w:hint="eastAsia" w:hAnsi="宋体" w:cs="宋体"/>
          <w:color w:val="000000" w:themeColor="text1"/>
          <w:spacing w:val="8"/>
          <w:kern w:val="0"/>
          <w:sz w:val="24"/>
          <w:szCs w:val="24"/>
          <w14:textFill>
            <w14:solidFill>
              <w14:schemeClr w14:val="tx1"/>
            </w14:solidFill>
          </w14:textFill>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pPr>
        <w:jc w:val="center"/>
        <w:outlineLvl w:val="0"/>
        <w:rPr>
          <w:rFonts w:hint="eastAsia" w:ascii="宋体" w:hAnsi="宋体" w:cs="宋体"/>
          <w:b/>
          <w:bCs/>
          <w:color w:val="000000" w:themeColor="text1"/>
          <w:kern w:val="44"/>
          <w:sz w:val="32"/>
          <w:szCs w:val="32"/>
          <w14:textFill>
            <w14:solidFill>
              <w14:schemeClr w14:val="tx1"/>
            </w14:solidFill>
          </w14:textFill>
        </w:rPr>
      </w:pPr>
      <w:r>
        <w:rPr>
          <w:rFonts w:hint="eastAsia" w:ascii="宋体" w:hAnsi="宋体" w:cs="宋体"/>
          <w:color w:val="000000" w:themeColor="text1"/>
          <w:sz w:val="32"/>
          <w:szCs w:val="32"/>
          <w14:textFill>
            <w14:solidFill>
              <w14:schemeClr w14:val="tx1"/>
            </w14:solidFill>
          </w14:textFill>
        </w:rPr>
        <w:br w:type="page"/>
      </w:r>
      <w:bookmarkStart w:id="162" w:name="_Toc14595"/>
      <w:bookmarkStart w:id="163" w:name="_Toc17890"/>
      <w:r>
        <w:rPr>
          <w:rFonts w:hint="eastAsia" w:ascii="宋体" w:hAnsi="宋体" w:cs="宋体"/>
          <w:b/>
          <w:bCs/>
          <w:color w:val="000000" w:themeColor="text1"/>
          <w:kern w:val="44"/>
          <w:sz w:val="32"/>
          <w:szCs w:val="32"/>
          <w14:textFill>
            <w14:solidFill>
              <w14:schemeClr w14:val="tx1"/>
            </w14:solidFill>
          </w14:textFill>
        </w:rPr>
        <w:t>第五章  采购合同（合同主要条款及格式）</w:t>
      </w:r>
      <w:bookmarkEnd w:id="162"/>
      <w:bookmarkEnd w:id="163"/>
    </w:p>
    <w:p>
      <w:pPr>
        <w:spacing w:line="400" w:lineRule="exact"/>
        <w:rPr>
          <w:rFonts w:hint="eastAsia" w:ascii="宋体" w:hAnsi="宋体" w:cs="宋体"/>
          <w:color w:val="000000" w:themeColor="text1"/>
          <w14:textFill>
            <w14:solidFill>
              <w14:schemeClr w14:val="tx1"/>
            </w14:solidFill>
          </w14:textFill>
        </w:rPr>
      </w:pPr>
    </w:p>
    <w:p>
      <w:pPr>
        <w:spacing w:line="400" w:lineRule="exact"/>
        <w:rPr>
          <w:rFonts w:hint="default" w:ascii="宋体" w:hAnsi="宋体" w:cs="宋体"/>
          <w:color w:val="000000" w:themeColor="text1"/>
          <w:lang w:val="en-US" w:eastAsia="zh-CN"/>
          <w14:textFill>
            <w14:solidFill>
              <w14:schemeClr w14:val="tx1"/>
            </w14:solidFill>
          </w14:textFill>
        </w:rPr>
      </w:pPr>
      <w:r>
        <w:rPr>
          <w:rFonts w:hint="eastAsia" w:ascii="宋体" w:hAnsi="宋体" w:cs="宋体"/>
          <w:color w:val="000000" w:themeColor="text1"/>
          <w:lang w:val="en-US" w:eastAsia="zh-CN"/>
          <w14:textFill>
            <w14:solidFill>
              <w14:schemeClr w14:val="tx1"/>
            </w14:solidFill>
          </w14:textFill>
        </w:rPr>
        <w:t>合同编号：</w:t>
      </w:r>
      <w:r>
        <w:rPr>
          <w:rFonts w:hint="eastAsia" w:ascii="宋体" w:hAnsi="宋体" w:cs="宋体"/>
          <w:color w:val="000000" w:themeColor="text1"/>
          <w14:textFill>
            <w14:solidFill>
              <w14:schemeClr w14:val="tx1"/>
            </w14:solidFill>
          </w14:textFill>
        </w:rPr>
        <w:t>GXZC2020-</w:t>
      </w:r>
      <w:r>
        <w:rPr>
          <w:rFonts w:hint="eastAsia" w:ascii="宋体" w:hAnsi="宋体" w:cs="宋体"/>
          <w:color w:val="000000" w:themeColor="text1"/>
          <w:lang w:val="en-US" w:eastAsia="zh-CN"/>
          <w14:textFill>
            <w14:solidFill>
              <w14:schemeClr w14:val="tx1"/>
            </w14:solidFill>
          </w14:textFill>
        </w:rPr>
        <w:t>HT</w:t>
      </w:r>
      <w:r>
        <w:rPr>
          <w:rFonts w:hint="eastAsia" w:ascii="宋体" w:hAnsi="宋体" w:cs="宋体"/>
          <w:color w:val="000000" w:themeColor="text1"/>
          <w14:textFill>
            <w14:solidFill>
              <w14:schemeClr w14:val="tx1"/>
            </w14:solidFill>
          </w14:textFill>
        </w:rPr>
        <w:t>G1-002663-JCZX</w:t>
      </w:r>
    </w:p>
    <w:p>
      <w:pPr>
        <w:spacing w:line="400" w:lineRule="exact"/>
        <w:rPr>
          <w:rFonts w:hint="eastAsia"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项目名称：雁山图书馆古籍馆货物采购</w:t>
      </w:r>
    </w:p>
    <w:p>
      <w:pPr>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项目编号：GXZC2020-G1-002663-JCZX</w:t>
      </w:r>
    </w:p>
    <w:p>
      <w:pPr>
        <w:spacing w:line="400" w:lineRule="exact"/>
        <w:rPr>
          <w:rFonts w:ascii="宋体" w:hAnsi="宋体" w:cs="宋体"/>
          <w:color w:val="000000" w:themeColor="text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甲方：</w:t>
      </w:r>
      <w:r>
        <w:rPr>
          <w:rFonts w:hint="eastAsia" w:ascii="宋体" w:hAnsi="宋体" w:cs="宋体"/>
          <w:color w:val="000000" w:themeColor="text1"/>
          <w:u w:val="single"/>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 xml:space="preserve">   广西师范大学                     </w:t>
      </w:r>
      <w:r>
        <w:rPr>
          <w:rFonts w:hint="eastAsia" w:ascii="宋体" w:hAnsi="宋体" w:cs="宋体"/>
          <w:color w:val="000000" w:themeColor="text1"/>
          <w14:textFill>
            <w14:solidFill>
              <w14:schemeClr w14:val="tx1"/>
            </w14:solidFill>
          </w14:textFill>
        </w:rPr>
        <w:t>（采购人）</w:t>
      </w:r>
    </w:p>
    <w:p>
      <w:pPr>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乙方：</w:t>
      </w:r>
      <w:r>
        <w:rPr>
          <w:rFonts w:hint="eastAsia" w:ascii="宋体" w:hAnsi="宋体" w:cs="宋体"/>
          <w:color w:val="000000" w:themeColor="text1"/>
          <w:u w:val="single"/>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（中标供应商）</w:t>
      </w:r>
    </w:p>
    <w:p>
      <w:pPr>
        <w:spacing w:line="400" w:lineRule="exact"/>
        <w:rPr>
          <w:rFonts w:ascii="宋体" w:hAnsi="宋体" w:cs="宋体"/>
          <w:color w:val="000000" w:themeColor="text1"/>
          <w14:textFill>
            <w14:solidFill>
              <w14:schemeClr w14:val="tx1"/>
            </w14:solidFill>
          </w14:textFill>
        </w:rPr>
      </w:pP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根据《中华人民共和国政府采购法》、《中华人民共和国政府采购法实施条例》、《中华人民共和国合同法》等法律、法规规定，按照招、投标文件规定条款和中标供应商承诺、甲乙双方签订本采购合同。</w:t>
      </w:r>
    </w:p>
    <w:p>
      <w:pPr>
        <w:numPr>
          <w:ilvl w:val="0"/>
          <w:numId w:val="21"/>
        </w:num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164" w:name="_Toc495841768"/>
      <w:bookmarkStart w:id="165" w:name="_Toc7911"/>
      <w:r>
        <w:rPr>
          <w:rFonts w:hint="eastAsia" w:ascii="宋体" w:hAnsi="宋体" w:cs="宋体"/>
          <w:b/>
          <w:color w:val="000000" w:themeColor="text1"/>
          <w:szCs w:val="21"/>
          <w14:textFill>
            <w14:solidFill>
              <w14:schemeClr w14:val="tx1"/>
            </w14:solidFill>
          </w14:textFill>
        </w:rPr>
        <w:t xml:space="preserve"> </w:t>
      </w:r>
      <w:bookmarkStart w:id="166" w:name="_Toc12937"/>
      <w:r>
        <w:rPr>
          <w:rFonts w:hint="eastAsia" w:ascii="宋体" w:hAnsi="宋体" w:cs="宋体"/>
          <w:b/>
          <w:color w:val="000000" w:themeColor="text1"/>
          <w:szCs w:val="21"/>
          <w14:textFill>
            <w14:solidFill>
              <w14:schemeClr w14:val="tx1"/>
            </w14:solidFill>
          </w14:textFill>
        </w:rPr>
        <w:t>合同标的及合同金额</w:t>
      </w:r>
      <w:bookmarkEnd w:id="164"/>
      <w:bookmarkEnd w:id="165"/>
      <w:bookmarkEnd w:id="166"/>
    </w:p>
    <w:p>
      <w:pPr>
        <w:pStyle w:val="43"/>
        <w:rPr>
          <w:color w:val="000000" w:themeColor="text1"/>
          <w14:textFill>
            <w14:solidFill>
              <w14:schemeClr w14:val="tx1"/>
            </w14:solidFill>
          </w14:textFill>
        </w:rPr>
      </w:pP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32"/>
        <w:gridCol w:w="1445"/>
        <w:gridCol w:w="1483"/>
        <w:gridCol w:w="1073"/>
        <w:gridCol w:w="714"/>
        <w:gridCol w:w="1545"/>
        <w:gridCol w:w="1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jc w:val="center"/>
        </w:trPr>
        <w:tc>
          <w:tcPr>
            <w:tcW w:w="709" w:type="dxa"/>
            <w:shd w:val="clear" w:color="auto" w:fill="8DB3E2"/>
            <w:vAlign w:val="center"/>
          </w:tcPr>
          <w:p>
            <w:pPr>
              <w:snapToGrid w:val="0"/>
              <w:spacing w:line="28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项号</w:t>
            </w:r>
          </w:p>
        </w:tc>
        <w:tc>
          <w:tcPr>
            <w:tcW w:w="1232" w:type="dxa"/>
            <w:shd w:val="clear" w:color="auto" w:fill="8DB3E2"/>
            <w:vAlign w:val="center"/>
          </w:tcPr>
          <w:p>
            <w:pPr>
              <w:snapToGrid w:val="0"/>
              <w:spacing w:line="28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货物名称</w:t>
            </w:r>
          </w:p>
        </w:tc>
        <w:tc>
          <w:tcPr>
            <w:tcW w:w="1445" w:type="dxa"/>
            <w:shd w:val="clear" w:color="auto" w:fill="8DB3E2"/>
            <w:vAlign w:val="center"/>
          </w:tcPr>
          <w:p>
            <w:pPr>
              <w:snapToGrid w:val="0"/>
              <w:spacing w:line="28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30"/>
                <w14:textFill>
                  <w14:solidFill>
                    <w14:schemeClr w14:val="tx1"/>
                  </w14:solidFill>
                </w14:textFill>
              </w:rPr>
              <w:t>生产厂家、品牌、规格型号</w:t>
            </w:r>
          </w:p>
        </w:tc>
        <w:tc>
          <w:tcPr>
            <w:tcW w:w="1483" w:type="dxa"/>
            <w:shd w:val="clear" w:color="auto" w:fill="8DB3E2"/>
            <w:vAlign w:val="center"/>
          </w:tcPr>
          <w:p>
            <w:pPr>
              <w:snapToGrid w:val="0"/>
              <w:spacing w:line="28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技术参数</w:t>
            </w:r>
          </w:p>
        </w:tc>
        <w:tc>
          <w:tcPr>
            <w:tcW w:w="1073" w:type="dxa"/>
            <w:shd w:val="clear" w:color="auto" w:fill="8DB3E2"/>
            <w:vAlign w:val="center"/>
          </w:tcPr>
          <w:p>
            <w:pPr>
              <w:snapToGrid w:val="0"/>
              <w:spacing w:line="28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数量</w:t>
            </w:r>
          </w:p>
          <w:p>
            <w:pPr>
              <w:snapToGrid w:val="0"/>
              <w:spacing w:line="28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①</w:t>
            </w:r>
          </w:p>
        </w:tc>
        <w:tc>
          <w:tcPr>
            <w:tcW w:w="714" w:type="dxa"/>
            <w:shd w:val="clear" w:color="auto" w:fill="8DB3E2"/>
            <w:vAlign w:val="center"/>
          </w:tcPr>
          <w:p>
            <w:pPr>
              <w:snapToGrid w:val="0"/>
              <w:spacing w:line="28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单位</w:t>
            </w:r>
          </w:p>
        </w:tc>
        <w:tc>
          <w:tcPr>
            <w:tcW w:w="1545" w:type="dxa"/>
            <w:shd w:val="clear" w:color="auto" w:fill="8DB3E2"/>
            <w:vAlign w:val="center"/>
          </w:tcPr>
          <w:p>
            <w:pPr>
              <w:snapToGrid w:val="0"/>
              <w:spacing w:line="28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单价（元）</w:t>
            </w:r>
          </w:p>
          <w:p>
            <w:pPr>
              <w:snapToGrid w:val="0"/>
              <w:spacing w:line="28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②</w:t>
            </w:r>
          </w:p>
        </w:tc>
        <w:tc>
          <w:tcPr>
            <w:tcW w:w="1575" w:type="dxa"/>
            <w:shd w:val="clear" w:color="auto" w:fill="8DB3E2"/>
            <w:vAlign w:val="center"/>
          </w:tcPr>
          <w:p>
            <w:pPr>
              <w:snapToGrid w:val="0"/>
              <w:spacing w:line="28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单项合计金额（元）</w:t>
            </w:r>
          </w:p>
          <w:p>
            <w:pPr>
              <w:snapToGrid w:val="0"/>
              <w:spacing w:line="28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③＝①×②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09"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1232"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445"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483"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073"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714"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545"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575"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09"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1232"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445"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483"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073"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714"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545"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575"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09"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p>
        </w:tc>
        <w:tc>
          <w:tcPr>
            <w:tcW w:w="1232"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445"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483"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073"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714"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545"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c>
          <w:tcPr>
            <w:tcW w:w="1575" w:type="dxa"/>
            <w:vAlign w:val="center"/>
          </w:tcPr>
          <w:p>
            <w:pPr>
              <w:snapToGrid w:val="0"/>
              <w:spacing w:line="400" w:lineRule="exact"/>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8201" w:type="dxa"/>
            <w:gridSpan w:val="7"/>
            <w:vAlign w:val="center"/>
          </w:tcPr>
          <w:p>
            <w:pPr>
              <w:snapToGrid w:val="0"/>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合     计</w:t>
            </w:r>
          </w:p>
        </w:tc>
        <w:tc>
          <w:tcPr>
            <w:tcW w:w="1575" w:type="dxa"/>
            <w:vAlign w:val="center"/>
          </w:tcPr>
          <w:p>
            <w:pPr>
              <w:snapToGrid w:val="0"/>
              <w:spacing w:line="400" w:lineRule="exact"/>
              <w:rPr>
                <w:rFonts w:ascii="宋体" w:hAnsi="宋体" w:cs="宋体"/>
                <w:color w:val="000000" w:themeColor="text1"/>
                <w:szCs w:val="21"/>
                <w14:textFill>
                  <w14:solidFill>
                    <w14:schemeClr w14:val="tx1"/>
                  </w14:solidFill>
                </w14:textFill>
              </w:rPr>
            </w:pPr>
          </w:p>
        </w:tc>
      </w:tr>
    </w:tbl>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根据《中标通知书》的中标内容，合同的总金额为：（大写）</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人民币（¥</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元）</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167" w:name="_Toc15939"/>
      <w:bookmarkStart w:id="168" w:name="_Toc22974"/>
      <w:bookmarkStart w:id="169" w:name="_Toc495841769"/>
      <w:r>
        <w:rPr>
          <w:rFonts w:hint="eastAsia" w:ascii="宋体" w:hAnsi="宋体" w:cs="宋体"/>
          <w:b/>
          <w:color w:val="000000" w:themeColor="text1"/>
          <w:szCs w:val="21"/>
          <w14:textFill>
            <w14:solidFill>
              <w14:schemeClr w14:val="tx1"/>
            </w14:solidFill>
          </w14:textFill>
        </w:rPr>
        <w:t>第二条  质量保证</w:t>
      </w:r>
      <w:bookmarkEnd w:id="167"/>
      <w:bookmarkEnd w:id="168"/>
      <w:bookmarkEnd w:id="169"/>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乙方应按投标文件承诺的货物规格型号、技术参数、质量标准等向甲方提供未经使用的全新原装产品，且在正常安装使用和保养条件下，其使用寿命期内各项指标均达到质量标准。乙方提供的节能和环境标志产品必须是列入现行政府采购清单目录内的产品。</w:t>
      </w:r>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乙方提供货物的质量保证期为自交货物验收合格之日起至五年内止（厂家规定质保期超过一年的，按厂家规定，“货物采购需求”有规定的，按规定执行）。在质保期内因货物本身的质量问题发生故障，乙方应负责免费修理和更换零部件。对达不到技术要求者，根据实际情况，经双方协商，可按以下第（1）款办法处理：</w:t>
      </w:r>
    </w:p>
    <w:p>
      <w:pPr>
        <w:spacing w:line="40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（1）更换：由乙方承担所有发生的全部费用。</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（2）贬值处理：由甲乙双方合议定价。</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（3）退货处理：乙方应退还甲方支付的合同款，同时应承担该货物的直接费用（运输、保险、检验、贷款利息及银行手续费等）。</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170" w:name="_Toc28745"/>
      <w:bookmarkStart w:id="171" w:name="_Toc495841770"/>
      <w:bookmarkStart w:id="172" w:name="_Toc2892"/>
      <w:r>
        <w:rPr>
          <w:rFonts w:hint="eastAsia" w:ascii="宋体" w:hAnsi="宋体" w:cs="宋体"/>
          <w:b/>
          <w:color w:val="000000" w:themeColor="text1"/>
          <w:szCs w:val="21"/>
          <w14:textFill>
            <w14:solidFill>
              <w14:schemeClr w14:val="tx1"/>
            </w14:solidFill>
          </w14:textFill>
        </w:rPr>
        <w:t>第三条  权力保证</w:t>
      </w:r>
      <w:bookmarkEnd w:id="170"/>
      <w:bookmarkEnd w:id="171"/>
      <w:bookmarkEnd w:id="172"/>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1.乙方应保证所提供货物在使用时不会侵犯任何第三方的专利权、商标权、工业设计权或其他权利。</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2.乙方应按招标文件规定的时间向甲方提供使用货物的有关技术资料。</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3.乙方保证所交付的货物的所有权完全属于乙方且无任何抵押、质押、查封等产权瑕疵。</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173" w:name="_Toc29967"/>
      <w:bookmarkStart w:id="174" w:name="_Toc495841771"/>
      <w:bookmarkStart w:id="175" w:name="_Toc24662"/>
      <w:r>
        <w:rPr>
          <w:rFonts w:hint="eastAsia" w:ascii="宋体" w:hAnsi="宋体" w:cs="宋体"/>
          <w:b/>
          <w:color w:val="000000" w:themeColor="text1"/>
          <w:szCs w:val="21"/>
          <w14:textFill>
            <w14:solidFill>
              <w14:schemeClr w14:val="tx1"/>
            </w14:solidFill>
          </w14:textFill>
        </w:rPr>
        <w:t>第四条  货物包装、运输</w:t>
      </w:r>
      <w:bookmarkEnd w:id="173"/>
      <w:bookmarkEnd w:id="174"/>
      <w:bookmarkEnd w:id="175"/>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1.乙方应在货物发运前对其进行满足运输距离、防潮、防震、防锈和防破损装卸等要求包装，以保证货物安全运达甲方指定地点。</w:t>
      </w:r>
    </w:p>
    <w:p>
      <w:pPr>
        <w:spacing w:line="400" w:lineRule="exact"/>
        <w:ind w:left="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2.使用中文说明书（货物属于进口产品的，供货时应同时附上中文使用说明书）、质量检验证明书、</w:t>
      </w:r>
    </w:p>
    <w:p>
      <w:pPr>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随配附件和工具以及清单一并附于货物内。</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3.乙方在货物发运手续办理完毕后二十四小时内或货到甲方四十八小时前通知甲方，以准备接货。</w:t>
      </w:r>
    </w:p>
    <w:p>
      <w:pPr>
        <w:spacing w:line="400" w:lineRule="exact"/>
        <w:ind w:left="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4.货物在交付甲方前发生的风险均由乙方负责。</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176" w:name="_Toc495841772"/>
      <w:bookmarkStart w:id="177" w:name="_Toc6786"/>
      <w:bookmarkStart w:id="178" w:name="_Toc8370"/>
      <w:r>
        <w:rPr>
          <w:rFonts w:hint="eastAsia" w:ascii="宋体" w:hAnsi="宋体" w:cs="宋体"/>
          <w:b/>
          <w:color w:val="000000" w:themeColor="text1"/>
          <w:szCs w:val="21"/>
          <w14:textFill>
            <w14:solidFill>
              <w14:schemeClr w14:val="tx1"/>
            </w14:solidFill>
          </w14:textFill>
        </w:rPr>
        <w:t>第五条  交付</w:t>
      </w:r>
      <w:bookmarkEnd w:id="176"/>
      <w:bookmarkEnd w:id="177"/>
      <w:bookmarkEnd w:id="178"/>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1.交付使用期：</w:t>
      </w:r>
      <w:r>
        <w:rPr>
          <w:rFonts w:hint="eastAsia" w:ascii="宋体" w:hAnsi="宋体" w:cs="宋体"/>
          <w:color w:val="000000" w:themeColor="text1"/>
          <w:szCs w:val="21"/>
          <w14:textFill>
            <w14:solidFill>
              <w14:schemeClr w14:val="tx1"/>
            </w14:solidFill>
          </w14:textFill>
        </w:rPr>
        <w:t>自签订合同之日起 60个日历日内全部安装调试合格完毕并交付使用</w:t>
      </w:r>
      <w:r>
        <w:rPr>
          <w:rFonts w:hint="eastAsia" w:ascii="宋体" w:hAnsi="宋体" w:cs="宋体"/>
          <w:color w:val="000000" w:themeColor="text1"/>
          <w:szCs w:val="21"/>
          <w14:textFill>
            <w14:solidFill>
              <w14:schemeClr w14:val="tx1"/>
            </w14:solidFill>
          </w14:textFill>
        </w:rPr>
        <w:t>（免费送货上门，免费安装调试）</w:t>
      </w:r>
      <w:r>
        <w:rPr>
          <w:rFonts w:hint="eastAsia" w:ascii="宋体" w:hAnsi="宋体" w:cs="宋体"/>
          <w:color w:val="000000" w:themeColor="text1"/>
          <w:szCs w:val="21"/>
          <w14:textFill>
            <w14:solidFill>
              <w14:schemeClr w14:val="tx1"/>
            </w14:solidFill>
          </w14:textFill>
        </w:rPr>
        <w:t>。</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交付地点：</w:t>
      </w:r>
      <w:r>
        <w:rPr>
          <w:rFonts w:hint="eastAsia" w:ascii="宋体" w:hAnsi="宋体" w:cs="宋体"/>
          <w:color w:val="000000" w:themeColor="text1"/>
          <w:szCs w:val="21"/>
          <w14:textFill>
            <w14:solidFill>
              <w14:schemeClr w14:val="tx1"/>
            </w14:solidFill>
          </w14:textFill>
        </w:rPr>
        <w:t>甲方指定地点。</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2.乙方提供不符合招投标文件和本合同规定的货物，甲方有权拒绝接受。</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3.乙方应将所有提供货物的装箱清单、用户手册、原厂保修卡、随机资料、工具和备用、备件等交付给甲方，货物属于进口产品的，供货时应同时附上中文使用说明书，如有缺失应及时补齐，否则视为逾期交货。</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179" w:name="_Toc14073"/>
      <w:bookmarkStart w:id="180" w:name="_Toc30320"/>
      <w:bookmarkStart w:id="181" w:name="_Toc495841773"/>
      <w:r>
        <w:rPr>
          <w:rFonts w:hint="eastAsia" w:ascii="宋体" w:hAnsi="宋体" w:cs="宋体"/>
          <w:b/>
          <w:color w:val="000000" w:themeColor="text1"/>
          <w:szCs w:val="21"/>
          <w14:textFill>
            <w14:solidFill>
              <w14:schemeClr w14:val="tx1"/>
            </w14:solidFill>
          </w14:textFill>
        </w:rPr>
        <w:t>第六条  调试和验收</w:t>
      </w:r>
      <w:bookmarkEnd w:id="179"/>
      <w:bookmarkEnd w:id="180"/>
      <w:bookmarkEnd w:id="181"/>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1.乙方交货前应对产品做出全面的检查和对验收文件进行整理，并列出清单，作为甲方验收和使用的技术条件依据，验收的结果应随货物交甲方。</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甲方依据招标文件、投标文件的技术规格要求及承诺和国家有关质量标准对货物进行现场初步验收，外观、说明书符合招标文件技术要求的，给予签收，初步验收不合格的不予签收。货到后，甲方应当在到货（安装、调试完）后七个工作日内进行验收。 验收合格后由甲乙双方签署货物验收单并加盖公章，甲乙双方各执一份。</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3.甲方对乙方提供的货物在使用前进行调试时，乙方需负责安装并培训甲方的使用操作人员，并协助甲方一起调试，直到符合技术要求，甲方才做最终验收。</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4.甲方对验收有异议的，在验收后五个工作日内以书面形式向乙方提出，乙方应自收到甲方书面异议后</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 xml:space="preserve">七 </w:t>
      </w:r>
      <w:r>
        <w:rPr>
          <w:rFonts w:hint="eastAsia" w:ascii="宋体" w:hAnsi="宋体" w:cs="宋体"/>
          <w:color w:val="000000" w:themeColor="text1"/>
          <w:szCs w:val="21"/>
          <w14:textFill>
            <w14:solidFill>
              <w14:schemeClr w14:val="tx1"/>
            </w14:solidFill>
          </w14:textFill>
        </w:rPr>
        <w:t>日内及时予以解决。</w:t>
      </w:r>
    </w:p>
    <w:p>
      <w:pPr>
        <w:spacing w:line="400" w:lineRule="exact"/>
        <w:ind w:firstLine="420" w:firstLineChars="20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r>
        <w:rPr>
          <w:rFonts w:hint="eastAsia" w:ascii="宋体" w:hAnsi="宋体" w:cs="宋体"/>
          <w:color w:val="000000" w:themeColor="text1"/>
          <w:kern w:val="0"/>
          <w:szCs w:val="21"/>
          <w14:textFill>
            <w14:solidFill>
              <w14:schemeClr w14:val="tx1"/>
            </w14:solidFill>
          </w14:textFill>
        </w:rPr>
        <w:t xml:space="preserve"> 所提供的产品必须为原装正品的、全新的、符合国家有关质量标准的产品；产品到货安装后，甲方将可能组织相关专家根据招标文件要求及投标文件承诺逐条对应进行现场核验，核验不合格的，甲方有权终止合同执行并全部退货，同时报相关监督管理部门处理，由此造成甲方经济损失的由乙方负责承担全部赔偿责任。</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6.对技术复杂的货物，甲方应请国家认可的专业检测机构参与初步验收及最终验收，并由其出具质量检测报告。</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7.验收时乙方必须在现场，验收完毕后作出验收结果报告。</w:t>
      </w:r>
    </w:p>
    <w:p>
      <w:pPr>
        <w:pStyle w:val="2"/>
        <w:rPr>
          <w:rFonts w:ascii="宋体" w:hAnsi="宋体" w:cs="宋体"/>
          <w:color w:val="000000" w:themeColor="text1"/>
          <w14:textFill>
            <w14:solidFill>
              <w14:schemeClr w14:val="tx1"/>
            </w14:solidFill>
          </w14:textFill>
        </w:rPr>
      </w:pP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182" w:name="_Toc28918"/>
      <w:bookmarkStart w:id="183" w:name="_Toc495841774"/>
      <w:bookmarkStart w:id="184" w:name="_Toc724"/>
      <w:r>
        <w:rPr>
          <w:rFonts w:hint="eastAsia" w:ascii="宋体" w:hAnsi="宋体" w:cs="宋体"/>
          <w:b/>
          <w:color w:val="000000" w:themeColor="text1"/>
          <w:szCs w:val="21"/>
          <w14:textFill>
            <w14:solidFill>
              <w14:schemeClr w14:val="tx1"/>
            </w14:solidFill>
          </w14:textFill>
        </w:rPr>
        <w:t>第七条  安装和培训</w:t>
      </w:r>
      <w:bookmarkEnd w:id="182"/>
      <w:bookmarkEnd w:id="183"/>
      <w:bookmarkEnd w:id="184"/>
    </w:p>
    <w:p>
      <w:pPr>
        <w:tabs>
          <w:tab w:val="left" w:pos="0"/>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1.甲方应提供必要安装条件（如场地、电源、水源等）。</w:t>
      </w:r>
    </w:p>
    <w:p>
      <w:pPr>
        <w:tabs>
          <w:tab w:val="left" w:pos="0"/>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2.乙方负责甲方有关人员的培训。培训时间、地点：广西桂林市甲方指定时间、地点 。</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185" w:name="_Toc29939"/>
      <w:bookmarkStart w:id="186" w:name="_Toc495841775"/>
      <w:bookmarkStart w:id="187" w:name="_Toc15638"/>
      <w:r>
        <w:rPr>
          <w:rFonts w:hint="eastAsia" w:ascii="宋体" w:hAnsi="宋体" w:cs="宋体"/>
          <w:b/>
          <w:color w:val="000000" w:themeColor="text1"/>
          <w:szCs w:val="21"/>
          <w14:textFill>
            <w14:solidFill>
              <w14:schemeClr w14:val="tx1"/>
            </w14:solidFill>
          </w14:textFill>
        </w:rPr>
        <w:t>第八条  售后服务、保修期</w:t>
      </w:r>
      <w:bookmarkEnd w:id="185"/>
      <w:bookmarkEnd w:id="186"/>
      <w:bookmarkEnd w:id="187"/>
    </w:p>
    <w:p>
      <w:pPr>
        <w:tabs>
          <w:tab w:val="left" w:pos="0"/>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1.乙方应按照国家有关法律规定和“三包”规定以及招投标文件和本合同所附《服务承诺》，为甲方提供售后服务。</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2.如在使用过程中发生质量问题，乙方在接到甲方通知后在 4 小时内到达甲方现场处理。</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3.在质保期内，乙方应对货物出现的质量及安全问题负责处理解决并承担一切费用。</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4.货物免费保修期为不得少于1 年（免费保修期自货物安装调试并在验收合格之日起计算），需免费上门保修服务。因人为因素出现的故障不在免费保修范围内。超过保修期的货物，终生维修，维修时只收部件成本费。</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188" w:name="_Toc12595"/>
      <w:bookmarkStart w:id="189" w:name="_Toc495841776"/>
      <w:bookmarkStart w:id="190" w:name="_Toc22733"/>
      <w:r>
        <w:rPr>
          <w:rFonts w:hint="eastAsia" w:ascii="宋体" w:hAnsi="宋体" w:cs="宋体"/>
          <w:b/>
          <w:color w:val="000000" w:themeColor="text1"/>
          <w:szCs w:val="21"/>
          <w14:textFill>
            <w14:solidFill>
              <w14:schemeClr w14:val="tx1"/>
            </w14:solidFill>
          </w14:textFill>
        </w:rPr>
        <w:t>第九条  税费</w:t>
      </w:r>
      <w:bookmarkEnd w:id="188"/>
      <w:bookmarkEnd w:id="189"/>
      <w:bookmarkEnd w:id="190"/>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本合同执行中相关的一切税费均由乙方负担。</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191" w:name="_Toc18828"/>
      <w:bookmarkStart w:id="192" w:name="_Toc11220"/>
      <w:bookmarkStart w:id="193" w:name="_Toc495841777"/>
      <w:r>
        <w:rPr>
          <w:rFonts w:hint="eastAsia" w:ascii="宋体" w:hAnsi="宋体" w:cs="宋体"/>
          <w:b/>
          <w:color w:val="000000" w:themeColor="text1"/>
          <w:szCs w:val="21"/>
          <w14:textFill>
            <w14:solidFill>
              <w14:schemeClr w14:val="tx1"/>
            </w14:solidFill>
          </w14:textFill>
        </w:rPr>
        <w:t>第十条  付款方式</w:t>
      </w:r>
      <w:bookmarkEnd w:id="191"/>
      <w:bookmarkEnd w:id="192"/>
      <w:bookmarkEnd w:id="193"/>
    </w:p>
    <w:p>
      <w:pPr>
        <w:spacing w:line="400" w:lineRule="exact"/>
        <w:ind w:firstLine="411" w:firstLineChars="196"/>
        <w:outlineLvl w:val="1"/>
        <w:rPr>
          <w:rFonts w:ascii="宋体" w:hAnsi="宋体" w:cs="宋体"/>
          <w:color w:val="000000" w:themeColor="text1"/>
          <w:szCs w:val="21"/>
          <w14:textFill>
            <w14:solidFill>
              <w14:schemeClr w14:val="tx1"/>
            </w14:solidFill>
          </w14:textFill>
        </w:rPr>
      </w:pPr>
      <w:bookmarkStart w:id="194" w:name="_Toc3309"/>
      <w:bookmarkStart w:id="195" w:name="_Toc495841778"/>
      <w:bookmarkStart w:id="196" w:name="_Toc19042"/>
      <w:r>
        <w:rPr>
          <w:rFonts w:hint="eastAsia" w:ascii="宋体" w:hAnsi="宋体" w:cs="宋体"/>
          <w:color w:val="000000" w:themeColor="text1"/>
          <w:szCs w:val="21"/>
          <w:lang w:val="en-US" w:eastAsia="zh-CN"/>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.本项目预付款为合同总金额的30%，在合同生效以及具备实施条件后，采购人在15日内支付预付款；设备交货验收合格后采购人支付合同总金额的70%（无息）。</w:t>
      </w:r>
      <w:bookmarkEnd w:id="194"/>
    </w:p>
    <w:p>
      <w:pPr>
        <w:spacing w:line="400" w:lineRule="exact"/>
        <w:ind w:firstLine="411" w:firstLineChars="196"/>
        <w:outlineLvl w:val="1"/>
        <w:rPr>
          <w:rFonts w:ascii="宋体" w:hAnsi="宋体" w:cs="宋体"/>
          <w:color w:val="000000" w:themeColor="text1"/>
          <w:szCs w:val="21"/>
          <w14:textFill>
            <w14:solidFill>
              <w14:schemeClr w14:val="tx1"/>
            </w14:solidFill>
          </w14:textFill>
        </w:rPr>
      </w:pPr>
      <w:bookmarkStart w:id="197" w:name="_Toc13576"/>
      <w:r>
        <w:rPr>
          <w:rFonts w:hint="eastAsia" w:ascii="宋体" w:hAnsi="宋体" w:cs="宋体"/>
          <w:color w:val="000000" w:themeColor="text1"/>
          <w:szCs w:val="21"/>
          <w:lang w:val="en-US" w:eastAsia="zh-CN"/>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根据桂财采〔2020〕25号《广西壮族自治区财政厅关于加强政府采购促进经济稳定发展有关事项的通知》的规定，在签订合同时，供应商明确表示无需预付款或者主动要求降低预付款比例的，采购单位可不适用前述规定。如成交供应商在签订合同时，明确表示无需预付款时，付款方式为：中标人按合同约定交货验收合格后采购人支付合同总金额的100%（无息）。</w:t>
      </w:r>
      <w:bookmarkEnd w:id="197"/>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198" w:name="_Toc3250"/>
      <w:r>
        <w:rPr>
          <w:rFonts w:hint="eastAsia" w:ascii="宋体" w:hAnsi="宋体" w:cs="宋体"/>
          <w:b/>
          <w:color w:val="000000" w:themeColor="text1"/>
          <w:szCs w:val="21"/>
          <w14:textFill>
            <w14:solidFill>
              <w14:schemeClr w14:val="tx1"/>
            </w14:solidFill>
          </w14:textFill>
        </w:rPr>
        <w:t>第十一条  违约责任</w:t>
      </w:r>
      <w:bookmarkEnd w:id="195"/>
      <w:bookmarkEnd w:id="196"/>
      <w:bookmarkEnd w:id="198"/>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 乙方所提供的货物规格、技术标准、材料等质量不合格的，应及时更换，更换不及时的按逾期交货处罚，乙方应向甲方支付合同金额</w:t>
      </w:r>
      <w:r>
        <w:rPr>
          <w:rFonts w:hint="eastAsia" w:ascii="宋体" w:hAnsi="宋体" w:cs="宋体"/>
          <w:color w:val="000000" w:themeColor="text1"/>
          <w:szCs w:val="21"/>
          <w:u w:val="single"/>
          <w14:textFill>
            <w14:solidFill>
              <w14:schemeClr w14:val="tx1"/>
            </w14:solidFill>
          </w14:textFill>
        </w:rPr>
        <w:t xml:space="preserve"> 5 </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违约金并赔偿甲方经济损失。</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 乙方提供的货物如果侵犯了第三方合法权益而引发的任何纠纷或诉讼，均由乙方负责交涉并承担全部责任。</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 因包装、运输引起的货物损坏，按质量不合格处理。</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 甲方无故延期接收货物、乙方逾期交货的，每天向对方偿付违约货款额</w:t>
      </w:r>
      <w:r>
        <w:rPr>
          <w:rFonts w:hint="eastAsia" w:ascii="宋体" w:hAnsi="宋体" w:cs="宋体"/>
          <w:color w:val="000000" w:themeColor="text1"/>
          <w:szCs w:val="21"/>
          <w:u w:val="single"/>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违约金，但违约金累计不得超过违约货款额</w:t>
      </w:r>
      <w:r>
        <w:rPr>
          <w:rFonts w:hint="eastAsia" w:ascii="宋体" w:hAnsi="宋体" w:cs="宋体"/>
          <w:color w:val="000000" w:themeColor="text1"/>
          <w:szCs w:val="21"/>
          <w:u w:val="single"/>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，超过</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20</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天对方有权解除合同，违约方承担因此给对方造成经济损失；甲方延期付货款的，每天向乙方偿付延期货款额</w:t>
      </w:r>
      <w:r>
        <w:rPr>
          <w:rFonts w:hint="eastAsia"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滞纳金，但滞纳金累计不得超过延期货款额</w:t>
      </w:r>
      <w:r>
        <w:rPr>
          <w:rFonts w:hint="eastAsia" w:ascii="宋体" w:hAnsi="宋体" w:cs="宋体"/>
          <w:color w:val="000000" w:themeColor="text1"/>
          <w:szCs w:val="21"/>
          <w:u w:val="single"/>
          <w14:textFill>
            <w14:solidFill>
              <w14:schemeClr w14:val="tx1"/>
            </w14:solidFill>
          </w14:textFill>
        </w:rPr>
        <w:t>5</w:t>
      </w:r>
      <w:r>
        <w:rPr>
          <w:rFonts w:hint="eastAsia" w:ascii="宋体" w:hAnsi="宋体" w:cs="宋体"/>
          <w:color w:val="000000" w:themeColor="text1"/>
          <w:szCs w:val="21"/>
          <w:u w:val="single"/>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 乙方未按本合同和投标文件中规定的服务承诺提供售后服务的，乙方应按本合同合同金额</w:t>
      </w:r>
      <w:r>
        <w:rPr>
          <w:rFonts w:hint="eastAsia" w:ascii="宋体" w:hAnsi="宋体" w:cs="宋体"/>
          <w:color w:val="000000" w:themeColor="text1"/>
          <w:szCs w:val="21"/>
          <w:u w:val="single"/>
          <w14:textFill>
            <w14:solidFill>
              <w14:schemeClr w14:val="tx1"/>
            </w14:solidFill>
          </w14:textFill>
        </w:rPr>
        <w:t xml:space="preserve"> 5</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%向甲方支付违约金。</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 乙方提供的货物在质保期内，因设计、工艺或材料的缺陷和其他质量原因造成的问题，由乙方负责，费用从质量保证金中扣除，不足另补。</w:t>
      </w:r>
    </w:p>
    <w:p>
      <w:pPr>
        <w:spacing w:line="400" w:lineRule="exact"/>
        <w:ind w:firstLine="411" w:firstLineChars="196"/>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 其他违约行为按违约货款额</w:t>
      </w:r>
      <w:r>
        <w:rPr>
          <w:rFonts w:hint="eastAsia" w:ascii="宋体" w:hAnsi="宋体" w:cs="宋体"/>
          <w:color w:val="000000" w:themeColor="text1"/>
          <w:szCs w:val="21"/>
          <w:u w:val="single"/>
          <w14:textFill>
            <w14:solidFill>
              <w14:schemeClr w14:val="tx1"/>
            </w14:solidFill>
          </w14:textFill>
        </w:rPr>
        <w:t xml:space="preserve"> 5 </w:t>
      </w:r>
      <w:r>
        <w:rPr>
          <w:rFonts w:hint="eastAsia" w:ascii="宋体" w:hAnsi="宋体" w:cs="宋体"/>
          <w:color w:val="000000" w:themeColor="text1"/>
          <w:szCs w:val="21"/>
          <w14:textFill>
            <w14:solidFill>
              <w14:schemeClr w14:val="tx1"/>
            </w14:solidFill>
          </w14:textFill>
        </w:rPr>
        <w:t>%收取违约金并赔偿经济损失。</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199" w:name="_Toc5808"/>
      <w:bookmarkStart w:id="200" w:name="_Toc495841779"/>
      <w:bookmarkStart w:id="201" w:name="_Toc16177"/>
      <w:r>
        <w:rPr>
          <w:rFonts w:hint="eastAsia" w:ascii="宋体" w:hAnsi="宋体" w:cs="宋体"/>
          <w:b/>
          <w:color w:val="000000" w:themeColor="text1"/>
          <w:szCs w:val="21"/>
          <w14:textFill>
            <w14:solidFill>
              <w14:schemeClr w14:val="tx1"/>
            </w14:solidFill>
          </w14:textFill>
        </w:rPr>
        <w:t>第十二条  不可抗力事件处理</w:t>
      </w:r>
      <w:bookmarkEnd w:id="199"/>
      <w:bookmarkEnd w:id="200"/>
      <w:bookmarkEnd w:id="201"/>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1.在合同有效期内，乙方因不可抗力事件导致不能履行合同，则合同履行期可延长，其延长期与不可抗力影响期相同。</w:t>
      </w:r>
    </w:p>
    <w:p>
      <w:pPr>
        <w:spacing w:line="400" w:lineRule="exact"/>
        <w:ind w:left="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2.不可抗力事件发生后，应立即通知对方，并寄送有关权威机构出具的证明。</w:t>
      </w:r>
    </w:p>
    <w:p>
      <w:pPr>
        <w:spacing w:line="400" w:lineRule="exact"/>
        <w:ind w:left="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3.不可抗力事件延续一百二十天以上，双方应通过友好协商，确定是否继续履行合同。</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202" w:name="_Toc9"/>
      <w:bookmarkStart w:id="203" w:name="_Toc16108"/>
      <w:bookmarkStart w:id="204" w:name="_Toc495841780"/>
      <w:r>
        <w:rPr>
          <w:rFonts w:hint="eastAsia" w:ascii="宋体" w:hAnsi="宋体" w:cs="宋体"/>
          <w:b/>
          <w:color w:val="000000" w:themeColor="text1"/>
          <w:szCs w:val="21"/>
          <w14:textFill>
            <w14:solidFill>
              <w14:schemeClr w14:val="tx1"/>
            </w14:solidFill>
          </w14:textFill>
        </w:rPr>
        <w:t>第十三条  合同争议解决</w:t>
      </w:r>
      <w:bookmarkEnd w:id="202"/>
      <w:bookmarkEnd w:id="203"/>
      <w:bookmarkEnd w:id="204"/>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1.因货物质量问题发生争议的，应邀请国家认可的质量检测机构对货物质量进行鉴定。货物符合标准的，鉴定费由甲方承担；货物不符合标准的，鉴定费由乙方承担。</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2.因履行本合同引起的或与本合同有关的争议，甲乙双方应首先通过友好协商解决，如果协商不能解决，可向项目所在地辖区人民法院提起诉讼。</w:t>
      </w:r>
    </w:p>
    <w:p>
      <w:pPr>
        <w:spacing w:line="400" w:lineRule="exact"/>
        <w:ind w:left="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3.诉讼期间，本合同继续履行。</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205" w:name="_Toc28417"/>
      <w:bookmarkStart w:id="206" w:name="_Toc26915"/>
      <w:bookmarkStart w:id="207" w:name="_Toc495841781"/>
      <w:r>
        <w:rPr>
          <w:rFonts w:hint="eastAsia" w:ascii="宋体" w:hAnsi="宋体" w:cs="宋体"/>
          <w:b/>
          <w:color w:val="000000" w:themeColor="text1"/>
          <w:szCs w:val="21"/>
          <w14:textFill>
            <w14:solidFill>
              <w14:schemeClr w14:val="tx1"/>
            </w14:solidFill>
          </w14:textFill>
        </w:rPr>
        <w:t>第十四条  合同生效及其它</w:t>
      </w:r>
      <w:bookmarkEnd w:id="205"/>
      <w:bookmarkEnd w:id="206"/>
      <w:bookmarkEnd w:id="207"/>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1.合同经甲乙双方法定代表人、负责人、</w:t>
      </w:r>
      <w:r>
        <w:rPr>
          <w:rFonts w:hint="eastAsia" w:ascii="宋体" w:hAnsi="宋体" w:cs="宋体"/>
          <w:color w:val="000000" w:themeColor="text1"/>
          <w:szCs w:val="21"/>
          <w14:textFill>
            <w14:solidFill>
              <w14:schemeClr w14:val="tx1"/>
            </w14:solidFill>
          </w14:textFill>
        </w:rPr>
        <w:t>自然人</w:t>
      </w:r>
      <w:r>
        <w:rPr>
          <w:rFonts w:hint="eastAsia" w:ascii="宋体" w:hAnsi="宋体" w:cs="宋体"/>
          <w:color w:val="000000" w:themeColor="text1"/>
          <w:szCs w:val="21"/>
          <w14:textFill>
            <w14:solidFill>
              <w14:schemeClr w14:val="tx1"/>
            </w14:solidFill>
          </w14:textFill>
        </w:rPr>
        <w:t>或相应的授权代表签字并加盖投标人公章后生效。</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2.合同执行中涉及采购资金和采购内容修改或补充的，需经</w:t>
      </w:r>
      <w:r>
        <w:rPr>
          <w:rFonts w:hint="eastAsia" w:ascii="宋体" w:hAnsi="宋体" w:cs="宋体"/>
          <w:color w:val="000000" w:themeColor="text1"/>
          <w:szCs w:val="21"/>
          <w14:textFill>
            <w14:solidFill>
              <w14:schemeClr w14:val="tx1"/>
            </w14:solidFill>
          </w14:textFill>
        </w:rPr>
        <w:t>本级</w:t>
      </w:r>
      <w:r>
        <w:rPr>
          <w:rFonts w:hint="eastAsia" w:ascii="宋体" w:hAnsi="宋体" w:cs="宋体"/>
          <w:color w:val="000000" w:themeColor="text1"/>
          <w:szCs w:val="21"/>
          <w14:textFill>
            <w14:solidFill>
              <w14:schemeClr w14:val="tx1"/>
            </w14:solidFill>
          </w14:textFill>
        </w:rPr>
        <w:t>财政部门审批，并签订书面补充协议报</w:t>
      </w:r>
      <w:r>
        <w:rPr>
          <w:rFonts w:hint="eastAsia" w:ascii="宋体" w:hAnsi="宋体" w:cs="宋体"/>
          <w:color w:val="000000" w:themeColor="text1"/>
          <w:szCs w:val="21"/>
          <w14:textFill>
            <w14:solidFill>
              <w14:schemeClr w14:val="tx1"/>
            </w14:solidFill>
          </w14:textFill>
        </w:rPr>
        <w:t>本级财政部门</w:t>
      </w:r>
      <w:r>
        <w:rPr>
          <w:rFonts w:hint="eastAsia" w:ascii="宋体" w:hAnsi="宋体" w:cs="宋体"/>
          <w:color w:val="000000" w:themeColor="text1"/>
          <w:szCs w:val="21"/>
          <w14:textFill>
            <w14:solidFill>
              <w14:schemeClr w14:val="tx1"/>
            </w14:solidFill>
          </w14:textFill>
        </w:rPr>
        <w:t>备案，方可作为主合同不可分割的一部分。</w:t>
      </w:r>
    </w:p>
    <w:p>
      <w:pPr>
        <w:spacing w:line="400" w:lineRule="exact"/>
        <w:ind w:left="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3.本合同未尽事宜，遵照《合同法》有关条文执行。</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208" w:name="_Toc12831"/>
      <w:bookmarkStart w:id="209" w:name="_Toc495841782"/>
      <w:bookmarkStart w:id="210" w:name="_Toc20115"/>
      <w:r>
        <w:rPr>
          <w:rFonts w:hint="eastAsia" w:ascii="宋体" w:hAnsi="宋体" w:cs="宋体"/>
          <w:b/>
          <w:color w:val="000000" w:themeColor="text1"/>
          <w:szCs w:val="21"/>
          <w14:textFill>
            <w14:solidFill>
              <w14:schemeClr w14:val="tx1"/>
            </w14:solidFill>
          </w14:textFill>
        </w:rPr>
        <w:t>第十五条  合同的变更、终止与转让</w:t>
      </w:r>
      <w:bookmarkEnd w:id="208"/>
      <w:bookmarkEnd w:id="209"/>
      <w:bookmarkEnd w:id="210"/>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1.除《中华人民共和国政府采购法》第五十条规定的情形外，本合同一经签订，甲乙双方不得擅自变更，中止或终止。</w:t>
      </w:r>
    </w:p>
    <w:p>
      <w:pPr>
        <w:spacing w:line="400" w:lineRule="exact"/>
        <w:ind w:left="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2.乙方不得擅自转让(无进口资格的供应商委托进口货物除外)其应履行的合同义务。</w:t>
      </w:r>
    </w:p>
    <w:p>
      <w:pPr>
        <w:spacing w:line="400" w:lineRule="exact"/>
        <w:ind w:firstLine="413" w:firstLineChars="196"/>
        <w:outlineLvl w:val="1"/>
        <w:rPr>
          <w:rFonts w:ascii="宋体" w:hAnsi="宋体" w:cs="宋体"/>
          <w:b/>
          <w:color w:val="000000" w:themeColor="text1"/>
          <w:szCs w:val="21"/>
          <w14:textFill>
            <w14:solidFill>
              <w14:schemeClr w14:val="tx1"/>
            </w14:solidFill>
          </w14:textFill>
        </w:rPr>
      </w:pPr>
      <w:bookmarkStart w:id="211" w:name="_Toc19322"/>
      <w:bookmarkStart w:id="212" w:name="_Toc495841783"/>
      <w:bookmarkStart w:id="213" w:name="_Toc2850"/>
      <w:r>
        <w:rPr>
          <w:rFonts w:hint="eastAsia" w:ascii="宋体" w:hAnsi="宋体" w:cs="宋体"/>
          <w:b/>
          <w:color w:val="000000" w:themeColor="text1"/>
          <w:szCs w:val="21"/>
          <w14:textFill>
            <w14:solidFill>
              <w14:schemeClr w14:val="tx1"/>
            </w14:solidFill>
          </w14:textFill>
        </w:rPr>
        <w:t>第十六条  签订本合同依据</w:t>
      </w:r>
      <w:bookmarkEnd w:id="211"/>
      <w:bookmarkEnd w:id="212"/>
      <w:bookmarkEnd w:id="213"/>
    </w:p>
    <w:p>
      <w:pPr>
        <w:spacing w:line="400" w:lineRule="exact"/>
        <w:ind w:left="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1.招标文件；</w:t>
      </w:r>
    </w:p>
    <w:p>
      <w:pPr>
        <w:spacing w:line="400" w:lineRule="exact"/>
        <w:ind w:left="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2.乙方提供的投标（或应答）文件；</w:t>
      </w:r>
    </w:p>
    <w:p>
      <w:pPr>
        <w:spacing w:line="400" w:lineRule="exact"/>
        <w:ind w:left="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3.售后服务承诺书；</w:t>
      </w:r>
    </w:p>
    <w:p>
      <w:pPr>
        <w:spacing w:line="400" w:lineRule="exact"/>
        <w:ind w:left="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4.中标通知书。</w:t>
      </w:r>
    </w:p>
    <w:p>
      <w:pPr>
        <w:spacing w:line="400" w:lineRule="exact"/>
        <w:ind w:left="420"/>
        <w:rPr>
          <w:rFonts w:ascii="宋体" w:hAnsi="宋体" w:cs="宋体"/>
          <w:color w:val="000000" w:themeColor="text1"/>
          <w:szCs w:val="21"/>
          <w14:textFill>
            <w14:solidFill>
              <w14:schemeClr w14:val="tx1"/>
            </w14:solidFill>
          </w14:textFill>
        </w:rPr>
      </w:pP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本合同甲乙双方签字盖章后生效，一式</w:t>
      </w:r>
      <w:r>
        <w:rPr>
          <w:rFonts w:hint="eastAsia" w:ascii="宋体" w:hAnsi="宋体" w:cs="宋体"/>
          <w:color w:val="000000" w:themeColor="text1"/>
          <w:szCs w:val="21"/>
          <w:lang w:val="en-US" w:eastAsia="zh-CN"/>
          <w14:textFill>
            <w14:solidFill>
              <w14:schemeClr w14:val="tx1"/>
            </w14:solidFill>
          </w14:textFill>
        </w:rPr>
        <w:t>肆</w:t>
      </w:r>
      <w:r>
        <w:rPr>
          <w:rFonts w:hint="eastAsia" w:ascii="宋体" w:hAnsi="宋体" w:cs="宋体"/>
          <w:color w:val="000000" w:themeColor="text1"/>
          <w:szCs w:val="21"/>
          <w14:textFill>
            <w14:solidFill>
              <w14:schemeClr w14:val="tx1"/>
            </w14:solidFill>
          </w14:textFill>
        </w:rPr>
        <w:t>份，具有同等法律效力，甲方持</w:t>
      </w:r>
      <w:r>
        <w:rPr>
          <w:rFonts w:hint="eastAsia" w:ascii="宋体" w:hAnsi="宋体" w:cs="宋体"/>
          <w:color w:val="000000" w:themeColor="text1"/>
          <w:szCs w:val="21"/>
          <w:lang w:val="en-US" w:eastAsia="zh-CN"/>
          <w14:textFill>
            <w14:solidFill>
              <w14:schemeClr w14:val="tx1"/>
            </w14:solidFill>
          </w14:textFill>
        </w:rPr>
        <w:t>壹</w:t>
      </w:r>
      <w:r>
        <w:rPr>
          <w:rFonts w:hint="eastAsia" w:ascii="宋体" w:hAnsi="宋体" w:cs="宋体"/>
          <w:color w:val="000000" w:themeColor="text1"/>
          <w:szCs w:val="21"/>
          <w14:textFill>
            <w14:solidFill>
              <w14:schemeClr w14:val="tx1"/>
            </w14:solidFill>
          </w14:textFill>
        </w:rPr>
        <w:t>份、乙方持</w:t>
      </w:r>
      <w:r>
        <w:rPr>
          <w:rFonts w:hint="eastAsia" w:ascii="宋体" w:hAnsi="宋体" w:cs="宋体"/>
          <w:color w:val="000000" w:themeColor="text1"/>
          <w:szCs w:val="21"/>
          <w:lang w:val="en-US" w:eastAsia="zh-CN"/>
          <w14:textFill>
            <w14:solidFill>
              <w14:schemeClr w14:val="tx1"/>
            </w14:solidFill>
          </w14:textFill>
        </w:rPr>
        <w:t>壹</w:t>
      </w:r>
      <w:r>
        <w:rPr>
          <w:rFonts w:hint="eastAsia" w:ascii="宋体" w:hAnsi="宋体" w:cs="宋体"/>
          <w:color w:val="000000" w:themeColor="text1"/>
          <w:szCs w:val="21"/>
          <w14:textFill>
            <w14:solidFill>
              <w14:schemeClr w14:val="tx1"/>
            </w14:solidFill>
          </w14:textFill>
        </w:rPr>
        <w:t>份。</w:t>
      </w:r>
      <w:r>
        <w:rPr>
          <w:rFonts w:hint="eastAsia" w:ascii="宋体" w:hAnsi="宋体" w:cs="宋体"/>
          <w:color w:val="000000" w:themeColor="text1"/>
          <w14:textFill>
            <w14:solidFill>
              <w14:schemeClr w14:val="tx1"/>
            </w14:solidFill>
          </w14:textFill>
        </w:rPr>
        <w:t>政府采购合同双方自签订之日起壹个工作日内，乙方</w:t>
      </w:r>
      <w:r>
        <w:rPr>
          <w:rFonts w:hint="eastAsia" w:ascii="宋体" w:hAnsi="宋体" w:cs="宋体"/>
          <w:color w:val="000000" w:themeColor="text1"/>
          <w:szCs w:val="21"/>
          <w14:textFill>
            <w14:solidFill>
              <w14:schemeClr w14:val="tx1"/>
            </w14:solidFill>
          </w14:textFill>
        </w:rPr>
        <w:t>将合同原件壹份交采购代理机构，</w:t>
      </w:r>
      <w:r>
        <w:rPr>
          <w:rFonts w:hint="eastAsia" w:ascii="宋体" w:hAnsi="宋体" w:cs="宋体"/>
          <w:color w:val="000000" w:themeColor="text1"/>
          <w:szCs w:val="21"/>
          <w:lang w:val="en-US" w:eastAsia="zh-CN"/>
          <w14:textFill>
            <w14:solidFill>
              <w14:schemeClr w14:val="tx1"/>
            </w14:solidFill>
          </w14:textFill>
        </w:rPr>
        <w:t>采购人</w:t>
      </w:r>
      <w:r>
        <w:rPr>
          <w:rFonts w:hint="eastAsia" w:ascii="宋体" w:hAnsi="宋体" w:cs="宋体"/>
          <w:color w:val="000000" w:themeColor="text1"/>
          <w:szCs w:val="21"/>
          <w14:textFill>
            <w14:solidFill>
              <w14:schemeClr w14:val="tx1"/>
            </w14:solidFill>
          </w14:textFill>
        </w:rPr>
        <w:t>于合同签订之日起柒个工作日内将</w:t>
      </w:r>
      <w:r>
        <w:rPr>
          <w:rFonts w:hint="eastAsia" w:ascii="宋体" w:hAnsi="宋体" w:cs="宋体"/>
          <w:color w:val="000000" w:themeColor="text1"/>
          <w:szCs w:val="21"/>
          <w:lang w:val="en-US" w:eastAsia="zh-CN"/>
          <w14:textFill>
            <w14:solidFill>
              <w14:schemeClr w14:val="tx1"/>
            </w14:solidFill>
          </w14:textFill>
        </w:rPr>
        <w:t>壹</w:t>
      </w:r>
      <w:r>
        <w:rPr>
          <w:rFonts w:hint="eastAsia" w:ascii="宋体" w:hAnsi="宋体" w:cs="宋体"/>
          <w:color w:val="000000" w:themeColor="text1"/>
          <w:szCs w:val="21"/>
          <w14:textFill>
            <w14:solidFill>
              <w14:schemeClr w14:val="tx1"/>
            </w14:solidFill>
          </w14:textFill>
        </w:rPr>
        <w:t>份合同原件送</w:t>
      </w:r>
      <w:r>
        <w:rPr>
          <w:rFonts w:hint="eastAsia" w:ascii="宋体" w:hAnsi="宋体" w:cs="宋体"/>
          <w:color w:val="000000" w:themeColor="text1"/>
          <w:szCs w:val="21"/>
          <w14:textFill>
            <w14:solidFill>
              <w14:schemeClr w14:val="tx1"/>
            </w14:solidFill>
          </w14:textFill>
        </w:rPr>
        <w:t>本级财政部门</w:t>
      </w:r>
      <w:r>
        <w:rPr>
          <w:rFonts w:hint="eastAsia" w:ascii="宋体" w:hAnsi="宋体" w:cs="宋体"/>
          <w:color w:val="000000" w:themeColor="text1"/>
          <w:szCs w:val="21"/>
          <w14:textFill>
            <w14:solidFill>
              <w14:schemeClr w14:val="tx1"/>
            </w14:solidFill>
          </w14:textFill>
        </w:rPr>
        <w:t>备案。</w:t>
      </w:r>
    </w:p>
    <w:p>
      <w:pPr>
        <w:pStyle w:val="12"/>
        <w:rPr>
          <w:rFonts w:ascii="宋体" w:hAnsi="宋体" w:cs="宋体"/>
          <w:color w:val="000000" w:themeColor="text1"/>
          <w14:textFill>
            <w14:solidFill>
              <w14:schemeClr w14:val="tx1"/>
            </w14:solidFill>
          </w14:textFill>
        </w:rPr>
      </w:pPr>
    </w:p>
    <w:p>
      <w:pPr>
        <w:pStyle w:val="12"/>
        <w:rPr>
          <w:rFonts w:ascii="宋体" w:hAnsi="宋体" w:cs="宋体"/>
          <w:color w:val="000000" w:themeColor="text1"/>
          <w14:textFill>
            <w14:solidFill>
              <w14:schemeClr w14:val="tx1"/>
            </w14:solidFill>
          </w14:textFill>
        </w:rPr>
      </w:pPr>
    </w:p>
    <w:p>
      <w:pPr>
        <w:spacing w:line="400" w:lineRule="exact"/>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甲方（公章）：</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乙方（公章，自然人除外）：</w:t>
      </w:r>
      <w:r>
        <w:rPr>
          <w:rFonts w:hint="eastAsia" w:ascii="宋体" w:hAnsi="宋体" w:cs="宋体"/>
          <w:color w:val="000000" w:themeColor="text1"/>
          <w:szCs w:val="21"/>
          <w:u w:val="single"/>
          <w14:textFill>
            <w14:solidFill>
              <w14:schemeClr w14:val="tx1"/>
            </w14:solidFill>
          </w14:textFill>
        </w:rPr>
        <w:t xml:space="preserve">                        </w:t>
      </w:r>
    </w:p>
    <w:p>
      <w:pPr>
        <w:spacing w:line="400" w:lineRule="exact"/>
        <w:ind w:left="4620" w:hanging="4620" w:hangingChars="22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法定代表人签字：</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法定代表人（负责人、自然人）签字（属自然人的应在签名处加盖大拇指指印）</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u w:val="single"/>
          <w14:textFill>
            <w14:solidFill>
              <w14:schemeClr w14:val="tx1"/>
            </w14:solidFill>
          </w14:textFill>
        </w:rPr>
        <w:t xml:space="preserve">                          </w:t>
      </w:r>
    </w:p>
    <w:p>
      <w:pPr>
        <w:tabs>
          <w:tab w:val="left" w:pos="4680"/>
        </w:tabs>
        <w:spacing w:line="400" w:lineRule="exact"/>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委托代理人：</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委托代理人：</w:t>
      </w:r>
      <w:r>
        <w:rPr>
          <w:rFonts w:hint="eastAsia" w:ascii="宋体" w:hAnsi="宋体" w:cs="宋体"/>
          <w:color w:val="000000" w:themeColor="text1"/>
          <w:szCs w:val="21"/>
          <w:u w:val="single"/>
          <w14:textFill>
            <w14:solidFill>
              <w14:schemeClr w14:val="tx1"/>
            </w14:solidFill>
          </w14:textFill>
        </w:rPr>
        <w:t xml:space="preserve">                                     </w:t>
      </w:r>
    </w:p>
    <w:p>
      <w:pPr>
        <w:tabs>
          <w:tab w:val="left" w:pos="5040"/>
        </w:tabs>
        <w:spacing w:line="400" w:lineRule="exact"/>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  话：</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电   话： </w:t>
      </w:r>
      <w:r>
        <w:rPr>
          <w:rFonts w:hint="eastAsia" w:ascii="宋体" w:hAnsi="宋体" w:cs="宋体"/>
          <w:color w:val="000000" w:themeColor="text1"/>
          <w:szCs w:val="21"/>
          <w:u w:val="single"/>
          <w14:textFill>
            <w14:solidFill>
              <w14:schemeClr w14:val="tx1"/>
            </w14:solidFill>
          </w14:textFill>
        </w:rPr>
        <w:t xml:space="preserve">                                       </w:t>
      </w:r>
    </w:p>
    <w:p>
      <w:pPr>
        <w:tabs>
          <w:tab w:val="left" w:pos="5040"/>
        </w:tabs>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开户名称：</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开户名称：</w:t>
      </w:r>
      <w:r>
        <w:rPr>
          <w:rFonts w:hint="eastAsia" w:ascii="宋体" w:hAnsi="宋体" w:cs="宋体"/>
          <w:color w:val="000000" w:themeColor="text1"/>
          <w:szCs w:val="21"/>
          <w:u w:val="single"/>
          <w14:textFill>
            <w14:solidFill>
              <w14:schemeClr w14:val="tx1"/>
            </w14:solidFill>
          </w14:textFill>
        </w:rPr>
        <w:t xml:space="preserve">                                       </w:t>
      </w:r>
    </w:p>
    <w:p>
      <w:pPr>
        <w:tabs>
          <w:tab w:val="left" w:pos="5040"/>
        </w:tabs>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开户银行：</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开户银行：</w:t>
      </w:r>
      <w:r>
        <w:rPr>
          <w:rFonts w:hint="eastAsia" w:ascii="宋体" w:hAnsi="宋体" w:cs="宋体"/>
          <w:color w:val="000000" w:themeColor="text1"/>
          <w:szCs w:val="21"/>
          <w:u w:val="single"/>
          <w14:textFill>
            <w14:solidFill>
              <w14:schemeClr w14:val="tx1"/>
            </w14:solidFill>
          </w14:textFill>
        </w:rPr>
        <w:t xml:space="preserve">                                       </w:t>
      </w:r>
    </w:p>
    <w:p>
      <w:pPr>
        <w:tabs>
          <w:tab w:val="left" w:pos="5040"/>
        </w:tabs>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银行账号：</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银行账号：</w:t>
      </w:r>
      <w:r>
        <w:rPr>
          <w:rFonts w:hint="eastAsia" w:ascii="宋体" w:hAnsi="宋体" w:cs="宋体"/>
          <w:color w:val="000000" w:themeColor="text1"/>
          <w:szCs w:val="21"/>
          <w:u w:val="single"/>
          <w14:textFill>
            <w14:solidFill>
              <w14:schemeClr w14:val="tx1"/>
            </w14:solidFill>
          </w14:textFill>
        </w:rPr>
        <w:t xml:space="preserve">                                       </w:t>
      </w:r>
    </w:p>
    <w:p>
      <w:pPr>
        <w:tabs>
          <w:tab w:val="left" w:pos="5040"/>
        </w:tabs>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    期：</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日    期：</w:t>
      </w:r>
      <w:r>
        <w:rPr>
          <w:rFonts w:hint="eastAsia" w:ascii="宋体" w:hAnsi="宋体" w:cs="宋体"/>
          <w:color w:val="000000" w:themeColor="text1"/>
          <w:szCs w:val="21"/>
          <w:u w:val="single"/>
          <w14:textFill>
            <w14:solidFill>
              <w14:schemeClr w14:val="tx1"/>
            </w14:solidFill>
          </w14:textFill>
        </w:rPr>
        <w:t xml:space="preserve">                                       </w:t>
      </w:r>
    </w:p>
    <w:p>
      <w:pP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w:t>
      </w:r>
    </w:p>
    <w:p>
      <w:pPr>
        <w:jc w:val="center"/>
        <w:outlineLvl w:val="0"/>
        <w:rPr>
          <w:rFonts w:ascii="宋体" w:hAnsi="宋体" w:cs="宋体"/>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br w:type="page"/>
      </w:r>
      <w:bookmarkStart w:id="214" w:name="_Toc24269"/>
      <w:bookmarkStart w:id="215" w:name="_Toc951"/>
      <w:r>
        <w:rPr>
          <w:rFonts w:hint="eastAsia" w:ascii="宋体" w:hAnsi="宋体" w:cs="宋体"/>
          <w:b/>
          <w:bCs/>
          <w:color w:val="000000" w:themeColor="text1"/>
          <w:kern w:val="44"/>
          <w:sz w:val="32"/>
          <w:szCs w:val="32"/>
          <w14:textFill>
            <w14:solidFill>
              <w14:schemeClr w14:val="tx1"/>
            </w14:solidFill>
          </w14:textFill>
        </w:rPr>
        <w:t>第六章  投标文件（格式）</w:t>
      </w:r>
      <w:bookmarkEnd w:id="214"/>
      <w:bookmarkEnd w:id="215"/>
    </w:p>
    <w:p>
      <w:pPr>
        <w:rPr>
          <w:b/>
          <w:bCs/>
          <w:color w:val="000000" w:themeColor="text1"/>
          <w:sz w:val="30"/>
          <w:szCs w:val="30"/>
          <w14:textFill>
            <w14:solidFill>
              <w14:schemeClr w14:val="tx1"/>
            </w14:solidFill>
          </w14:textFill>
        </w:rPr>
      </w:pPr>
      <w:bookmarkStart w:id="216" w:name="_Toc486695806"/>
      <w:bookmarkStart w:id="217" w:name="_Toc498627082"/>
      <w:bookmarkStart w:id="218" w:name="_Toc486867150"/>
      <w:bookmarkStart w:id="219" w:name="_Toc498698226"/>
      <w:bookmarkStart w:id="220" w:name="_Toc478137727"/>
      <w:bookmarkStart w:id="221" w:name="_Toc31410"/>
      <w:bookmarkStart w:id="222" w:name="_Toc1762"/>
      <w:r>
        <w:rPr>
          <w:rFonts w:hint="eastAsia"/>
          <w:b/>
          <w:bCs/>
          <w:color w:val="000000" w:themeColor="text1"/>
          <w:sz w:val="30"/>
          <w:szCs w:val="30"/>
          <w14:textFill>
            <w14:solidFill>
              <w14:schemeClr w14:val="tx1"/>
            </w14:solidFill>
          </w14:textFill>
        </w:rPr>
        <w:t>投标文件封面格式</w:t>
      </w:r>
      <w:bookmarkEnd w:id="216"/>
      <w:bookmarkEnd w:id="217"/>
      <w:bookmarkEnd w:id="218"/>
      <w:bookmarkEnd w:id="219"/>
      <w:bookmarkEnd w:id="220"/>
      <w:r>
        <w:rPr>
          <w:rFonts w:hint="eastAsia"/>
          <w:b/>
          <w:bCs/>
          <w:color w:val="000000" w:themeColor="text1"/>
          <w:sz w:val="30"/>
          <w:szCs w:val="30"/>
          <w14:textFill>
            <w14:solidFill>
              <w14:schemeClr w14:val="tx1"/>
            </w14:solidFill>
          </w14:textFill>
        </w:rPr>
        <w:t>：</w:t>
      </w:r>
      <w:bookmarkEnd w:id="221"/>
      <w:bookmarkEnd w:id="222"/>
    </w:p>
    <w:p>
      <w:pPr>
        <w:adjustRightInd w:val="0"/>
        <w:snapToGrid w:val="0"/>
        <w:jc w:val="right"/>
        <w:rPr>
          <w:rFonts w:ascii="宋体" w:hAnsi="宋体" w:cs="宋体"/>
          <w:b/>
          <w:color w:val="000000" w:themeColor="text1"/>
          <w:sz w:val="44"/>
          <w:szCs w:val="44"/>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正本/副本</w:t>
      </w:r>
    </w:p>
    <w:p>
      <w:pPr>
        <w:adjustRightInd w:val="0"/>
        <w:snapToGrid w:val="0"/>
        <w:rPr>
          <w:rFonts w:ascii="宋体" w:hAnsi="宋体" w:cs="宋体"/>
          <w:b/>
          <w:color w:val="000000" w:themeColor="text1"/>
          <w:sz w:val="44"/>
          <w:szCs w:val="44"/>
          <w14:textFill>
            <w14:solidFill>
              <w14:schemeClr w14:val="tx1"/>
            </w14:solidFill>
          </w14:textFill>
        </w:rPr>
      </w:pPr>
    </w:p>
    <w:p>
      <w:pPr>
        <w:adjustRightInd w:val="0"/>
        <w:snapToGrid w:val="0"/>
        <w:jc w:val="center"/>
        <w:rPr>
          <w:rFonts w:ascii="宋体" w:hAnsi="宋体" w:cs="宋体"/>
          <w:b/>
          <w:color w:val="000000" w:themeColor="text1"/>
          <w:sz w:val="44"/>
          <w:szCs w:val="44"/>
          <w14:textFill>
            <w14:solidFill>
              <w14:schemeClr w14:val="tx1"/>
            </w14:solidFill>
          </w14:textFill>
        </w:rPr>
      </w:pPr>
      <w:bookmarkStart w:id="223" w:name="_Toc3441_WPSOffice_Level1"/>
      <w:bookmarkStart w:id="224" w:name="_Toc13659_WPSOffice_Level1"/>
      <w:r>
        <w:rPr>
          <w:rFonts w:hint="eastAsia" w:ascii="宋体" w:hAnsi="宋体" w:cs="宋体"/>
          <w:bCs/>
          <w:color w:val="000000" w:themeColor="text1"/>
          <w:sz w:val="72"/>
          <w:szCs w:val="72"/>
          <w14:textFill>
            <w14:solidFill>
              <w14:schemeClr w14:val="tx1"/>
            </w14:solidFill>
          </w14:textFill>
        </w:rPr>
        <w:t>投标文件</w:t>
      </w:r>
      <w:bookmarkEnd w:id="223"/>
      <w:bookmarkEnd w:id="224"/>
    </w:p>
    <w:p>
      <w:pPr>
        <w:adjustRightInd w:val="0"/>
        <w:snapToGrid w:val="0"/>
        <w:rPr>
          <w:rFonts w:ascii="宋体" w:hAnsi="宋体" w:cs="宋体"/>
          <w:b/>
          <w:color w:val="000000" w:themeColor="text1"/>
          <w:sz w:val="44"/>
          <w:szCs w:val="44"/>
          <w14:textFill>
            <w14:solidFill>
              <w14:schemeClr w14:val="tx1"/>
            </w14:solidFill>
          </w14:textFill>
        </w:rPr>
      </w:pPr>
    </w:p>
    <w:p>
      <w:pPr>
        <w:adjustRightInd w:val="0"/>
        <w:snapToGrid w:val="0"/>
        <w:rPr>
          <w:rFonts w:ascii="宋体" w:hAnsi="宋体" w:cs="宋体"/>
          <w:b/>
          <w:color w:val="000000" w:themeColor="text1"/>
          <w:sz w:val="44"/>
          <w:szCs w:val="44"/>
          <w14:textFill>
            <w14:solidFill>
              <w14:schemeClr w14:val="tx1"/>
            </w14:solidFill>
          </w14:textFill>
        </w:rPr>
      </w:pPr>
    </w:p>
    <w:p>
      <w:pPr>
        <w:ind w:firstLine="1059" w:firstLineChars="353"/>
        <w:rPr>
          <w:rFonts w:ascii="宋体" w:hAnsi="宋体" w:cs="宋体"/>
          <w:color w:val="000000" w:themeColor="text1"/>
          <w:sz w:val="30"/>
          <w:szCs w:val="30"/>
          <w14:textFill>
            <w14:solidFill>
              <w14:schemeClr w14:val="tx1"/>
            </w14:solidFill>
          </w14:textFill>
        </w:rPr>
      </w:pPr>
      <w:r>
        <w:rPr>
          <w:rFonts w:hint="eastAsia" w:ascii="宋体" w:hAnsi="宋体" w:cs="宋体"/>
          <w:bCs/>
          <w:color w:val="000000" w:themeColor="text1"/>
          <w:sz w:val="30"/>
          <w:szCs w:val="30"/>
          <w14:textFill>
            <w14:solidFill>
              <w14:schemeClr w14:val="tx1"/>
            </w14:solidFill>
          </w14:textFill>
        </w:rPr>
        <w:t>项目名称：</w:t>
      </w:r>
      <w:r>
        <w:rPr>
          <w:rFonts w:hint="eastAsia" w:ascii="宋体" w:hAnsi="宋体" w:cs="宋体"/>
          <w:bCs/>
          <w:color w:val="000000" w:themeColor="text1"/>
          <w:sz w:val="30"/>
          <w:szCs w:val="30"/>
          <w:u w:val="single"/>
          <w14:textFill>
            <w14:solidFill>
              <w14:schemeClr w14:val="tx1"/>
            </w14:solidFill>
          </w14:textFill>
        </w:rPr>
        <w:t>雁山图书馆古籍馆货物采购</w:t>
      </w:r>
    </w:p>
    <w:p>
      <w:pPr>
        <w:ind w:firstLine="1059" w:firstLineChars="353"/>
        <w:rPr>
          <w:rFonts w:ascii="宋体" w:hAnsi="宋体" w:cs="宋体"/>
          <w:bCs/>
          <w:color w:val="000000" w:themeColor="text1"/>
          <w:sz w:val="30"/>
          <w:szCs w:val="30"/>
          <w:u w:val="single"/>
          <w14:textFill>
            <w14:solidFill>
              <w14:schemeClr w14:val="tx1"/>
            </w14:solidFill>
          </w14:textFill>
        </w:rPr>
      </w:pPr>
      <w:r>
        <w:rPr>
          <w:rFonts w:hint="eastAsia" w:ascii="宋体" w:hAnsi="宋体" w:cs="宋体"/>
          <w:bCs/>
          <w:color w:val="000000" w:themeColor="text1"/>
          <w:sz w:val="30"/>
          <w:szCs w:val="30"/>
          <w14:textFill>
            <w14:solidFill>
              <w14:schemeClr w14:val="tx1"/>
            </w14:solidFill>
          </w14:textFill>
        </w:rPr>
        <w:t>项目编号：</w:t>
      </w:r>
      <w:r>
        <w:rPr>
          <w:rFonts w:hint="eastAsia" w:ascii="宋体" w:hAnsi="宋体" w:cs="宋体"/>
          <w:bCs/>
          <w:color w:val="000000" w:themeColor="text1"/>
          <w:sz w:val="30"/>
          <w:szCs w:val="30"/>
          <w:u w:val="single"/>
          <w14:textFill>
            <w14:solidFill>
              <w14:schemeClr w14:val="tx1"/>
            </w14:solidFill>
          </w14:textFill>
        </w:rPr>
        <w:t>GXZC2020-G1-002663-JCZX</w:t>
      </w:r>
    </w:p>
    <w:p>
      <w:pPr>
        <w:ind w:firstLine="741" w:firstLineChars="353"/>
        <w:rPr>
          <w:rFonts w:ascii="宋体" w:hAnsi="宋体" w:cs="宋体"/>
          <w:color w:val="000000" w:themeColor="text1"/>
          <w14:textFill>
            <w14:solidFill>
              <w14:schemeClr w14:val="tx1"/>
            </w14:solidFill>
          </w14:textFill>
        </w:rPr>
      </w:pPr>
    </w:p>
    <w:p>
      <w:pPr>
        <w:snapToGrid w:val="0"/>
        <w:spacing w:before="156" w:beforeLines="50" w:after="50"/>
        <w:ind w:firstLine="1260" w:firstLineChars="450"/>
        <w:rPr>
          <w:rFonts w:ascii="宋体" w:hAnsi="宋体" w:cs="宋体"/>
          <w:bCs/>
          <w:color w:val="000000" w:themeColor="text1"/>
          <w:sz w:val="28"/>
          <w:szCs w:val="28"/>
          <w14:textFill>
            <w14:solidFill>
              <w14:schemeClr w14:val="tx1"/>
            </w14:solidFill>
          </w14:textFill>
        </w:rPr>
      </w:pPr>
    </w:p>
    <w:p>
      <w:pPr>
        <w:pStyle w:val="43"/>
        <w:rPr>
          <w:color w:val="000000" w:themeColor="text1"/>
          <w14:textFill>
            <w14:solidFill>
              <w14:schemeClr w14:val="tx1"/>
            </w14:solidFill>
          </w14:textFill>
        </w:rPr>
      </w:pPr>
    </w:p>
    <w:p>
      <w:pPr>
        <w:snapToGrid w:val="0"/>
        <w:spacing w:before="156" w:beforeLines="50" w:after="50"/>
        <w:ind w:firstLine="1260" w:firstLineChars="450"/>
        <w:rPr>
          <w:rFonts w:ascii="宋体" w:hAnsi="宋体" w:cs="宋体"/>
          <w:bCs/>
          <w:color w:val="000000" w:themeColor="text1"/>
          <w:sz w:val="28"/>
          <w:szCs w:val="28"/>
          <w14:textFill>
            <w14:solidFill>
              <w14:schemeClr w14:val="tx1"/>
            </w14:solidFill>
          </w14:textFill>
        </w:rPr>
      </w:pPr>
    </w:p>
    <w:p>
      <w:pPr>
        <w:snapToGrid w:val="0"/>
        <w:spacing w:before="156" w:beforeLines="50" w:after="50"/>
        <w:ind w:firstLine="1260" w:firstLineChars="450"/>
        <w:rPr>
          <w:rFonts w:ascii="宋体" w:hAnsi="宋体" w:cs="宋体"/>
          <w:bCs/>
          <w:color w:val="000000" w:themeColor="text1"/>
          <w:sz w:val="28"/>
          <w:szCs w:val="28"/>
          <w14:textFill>
            <w14:solidFill>
              <w14:schemeClr w14:val="tx1"/>
            </w14:solidFill>
          </w14:textFill>
        </w:rPr>
      </w:pPr>
    </w:p>
    <w:p>
      <w:pPr>
        <w:ind w:firstLine="964" w:firstLineChars="300"/>
        <w:jc w:val="left"/>
        <w:rPr>
          <w:rFonts w:ascii="宋体" w:hAnsi="宋体" w:cs="宋体"/>
          <w:b/>
          <w:color w:val="000000" w:themeColor="text1"/>
          <w:sz w:val="32"/>
          <w:szCs w:val="32"/>
          <w14:textFill>
            <w14:solidFill>
              <w14:schemeClr w14:val="tx1"/>
            </w14:solidFill>
          </w14:textFill>
        </w:rPr>
      </w:pPr>
    </w:p>
    <w:p>
      <w:pPr>
        <w:pStyle w:val="13"/>
        <w:ind w:left="980" w:hanging="560" w:hangingChars="200"/>
        <w:rPr>
          <w:rFonts w:ascii="宋体" w:hAnsi="宋体" w:cs="宋体"/>
          <w:bCs/>
          <w:color w:val="000000" w:themeColor="text1"/>
          <w:sz w:val="28"/>
          <w:szCs w:val="28"/>
          <w:u w:val="single"/>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采购代理机构：</w:t>
      </w:r>
      <w:r>
        <w:rPr>
          <w:rFonts w:hint="eastAsia" w:ascii="宋体" w:hAnsi="宋体" w:cs="宋体"/>
          <w:bCs/>
          <w:color w:val="000000" w:themeColor="text1"/>
          <w:sz w:val="28"/>
          <w:szCs w:val="28"/>
          <w:u w:val="single"/>
          <w14:textFill>
            <w14:solidFill>
              <w14:schemeClr w14:val="tx1"/>
            </w14:solidFill>
          </w14:textFill>
        </w:rPr>
        <w:t>桂林市政府集中采购中心</w:t>
      </w:r>
    </w:p>
    <w:p>
      <w:pPr>
        <w:pStyle w:val="13"/>
        <w:ind w:left="980" w:hanging="560" w:hangingChars="200"/>
        <w:rPr>
          <w:rFonts w:ascii="宋体" w:hAnsi="宋体" w:cs="宋体"/>
          <w:bCs/>
          <w:color w:val="000000" w:themeColor="text1"/>
          <w:sz w:val="28"/>
          <w:szCs w:val="28"/>
          <w14:textFill>
            <w14:solidFill>
              <w14:schemeClr w14:val="tx1"/>
            </w14:solidFill>
          </w14:textFill>
        </w:rPr>
      </w:pPr>
      <w:bookmarkStart w:id="225" w:name="_Toc4932_WPSOffice_Level2"/>
      <w:bookmarkStart w:id="226" w:name="_Toc20319_WPSOffice_Level2"/>
      <w:r>
        <w:rPr>
          <w:rFonts w:hint="eastAsia" w:ascii="宋体" w:hAnsi="宋体" w:cs="宋体"/>
          <w:bCs/>
          <w:color w:val="000000" w:themeColor="text1"/>
          <w:sz w:val="28"/>
          <w:szCs w:val="28"/>
          <w14:textFill>
            <w14:solidFill>
              <w14:schemeClr w14:val="tx1"/>
            </w14:solidFill>
          </w14:textFill>
        </w:rPr>
        <w:t>投标人（公章、自然人除外）：</w:t>
      </w:r>
      <w:r>
        <w:rPr>
          <w:rFonts w:hint="eastAsia" w:ascii="宋体" w:hAnsi="宋体" w:cs="宋体"/>
          <w:bCs/>
          <w:color w:val="000000" w:themeColor="text1"/>
          <w:sz w:val="28"/>
          <w:szCs w:val="28"/>
          <w:u w:val="single"/>
          <w14:textFill>
            <w14:solidFill>
              <w14:schemeClr w14:val="tx1"/>
            </w14:solidFill>
          </w14:textFill>
        </w:rPr>
        <w:t xml:space="preserve">                       </w:t>
      </w:r>
      <w:bookmarkEnd w:id="225"/>
      <w:bookmarkEnd w:id="226"/>
      <w:r>
        <w:rPr>
          <w:rFonts w:hint="eastAsia" w:ascii="宋体" w:hAnsi="宋体" w:cs="宋体"/>
          <w:bCs/>
          <w:color w:val="000000" w:themeColor="text1"/>
          <w:sz w:val="28"/>
          <w:szCs w:val="28"/>
          <w:u w:val="single"/>
          <w14:textFill>
            <w14:solidFill>
              <w14:schemeClr w14:val="tx1"/>
            </w14:solidFill>
          </w14:textFill>
        </w:rPr>
        <w:t xml:space="preserve">       </w:t>
      </w:r>
    </w:p>
    <w:p>
      <w:pPr>
        <w:pStyle w:val="15"/>
        <w:spacing w:line="320" w:lineRule="exact"/>
        <w:ind w:firstLine="420"/>
        <w:rPr>
          <w:rFonts w:hAnsi="宋体" w:cs="宋体"/>
          <w:color w:val="000000" w:themeColor="text1"/>
          <w:sz w:val="28"/>
          <w:szCs w:val="28"/>
          <w14:textFill>
            <w14:solidFill>
              <w14:schemeClr w14:val="tx1"/>
            </w14:solidFill>
          </w14:textFill>
        </w:rPr>
      </w:pPr>
      <w:bookmarkStart w:id="227" w:name="_Toc4767_WPSOffice_Level2"/>
      <w:bookmarkStart w:id="228" w:name="_Toc11679_WPSOffice_Level2"/>
      <w:r>
        <w:rPr>
          <w:rFonts w:hint="eastAsia" w:hAnsi="宋体" w:cs="宋体"/>
          <w:color w:val="000000" w:themeColor="text1"/>
          <w:sz w:val="28"/>
          <w:szCs w:val="28"/>
          <w14:textFill>
            <w14:solidFill>
              <w14:schemeClr w14:val="tx1"/>
            </w14:solidFill>
          </w14:textFill>
        </w:rPr>
        <w:t>法定代表人、负责人、自然人或相应的委托代理人签字（或盖章）</w:t>
      </w:r>
    </w:p>
    <w:p>
      <w:pPr>
        <w:pStyle w:val="13"/>
        <w:ind w:left="980" w:hanging="560" w:hangingChars="200"/>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（属自然人的应在签名处加盖大拇指指印）：</w:t>
      </w:r>
      <w:r>
        <w:rPr>
          <w:rFonts w:hint="eastAsia" w:ascii="宋体" w:hAnsi="宋体" w:cs="宋体"/>
          <w:color w:val="000000" w:themeColor="text1"/>
          <w:sz w:val="28"/>
          <w:szCs w:val="28"/>
          <w:u w:val="single"/>
          <w14:textFill>
            <w14:solidFill>
              <w14:schemeClr w14:val="tx1"/>
            </w14:solidFill>
          </w14:textFill>
        </w:rPr>
        <w:t xml:space="preserve">                  </w:t>
      </w:r>
      <w:bookmarkEnd w:id="227"/>
      <w:bookmarkEnd w:id="228"/>
      <w:bookmarkStart w:id="229" w:name="_Toc32056_WPSOffice_Level2"/>
      <w:bookmarkStart w:id="230" w:name="_Toc9622_WPSOffice_Level2"/>
    </w:p>
    <w:p>
      <w:pPr>
        <w:pStyle w:val="13"/>
        <w:ind w:left="980" w:hanging="560" w:hangingChars="200"/>
        <w:rPr>
          <w:rFonts w:ascii="宋体" w:hAnsi="宋体" w:cs="宋体"/>
          <w:bCs/>
          <w:color w:val="000000" w:themeColor="text1"/>
          <w:sz w:val="28"/>
          <w:szCs w:val="28"/>
          <w:u w:val="single"/>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联系电话：</w:t>
      </w:r>
      <w:bookmarkEnd w:id="229"/>
      <w:bookmarkEnd w:id="230"/>
      <w:r>
        <w:rPr>
          <w:rFonts w:hint="eastAsia" w:ascii="宋体" w:hAnsi="宋体" w:cs="宋体"/>
          <w:bCs/>
          <w:color w:val="000000" w:themeColor="text1"/>
          <w:sz w:val="28"/>
          <w:szCs w:val="28"/>
          <w:u w:val="single"/>
          <w14:textFill>
            <w14:solidFill>
              <w14:schemeClr w14:val="tx1"/>
            </w14:solidFill>
          </w14:textFill>
        </w:rPr>
        <w:t xml:space="preserve">                                                </w:t>
      </w:r>
    </w:p>
    <w:p>
      <w:pPr>
        <w:pStyle w:val="13"/>
        <w:ind w:left="980" w:hanging="560" w:hangingChars="200"/>
        <w:rPr>
          <w:rFonts w:ascii="宋体" w:hAnsi="宋体" w:cs="宋体"/>
          <w:b/>
          <w:color w:val="000000" w:themeColor="text1"/>
          <w:sz w:val="32"/>
          <w:szCs w:val="32"/>
          <w14:textFill>
            <w14:solidFill>
              <w14:schemeClr w14:val="tx1"/>
            </w14:solidFill>
          </w14:textFill>
        </w:rPr>
      </w:pPr>
      <w:bookmarkStart w:id="231" w:name="_Toc15933_WPSOffice_Level2"/>
      <w:bookmarkStart w:id="232" w:name="_Toc26465_WPSOffice_Level2"/>
      <w:r>
        <w:rPr>
          <w:rFonts w:hint="eastAsia" w:ascii="宋体" w:hAnsi="宋体" w:cs="宋体"/>
          <w:bCs/>
          <w:color w:val="000000" w:themeColor="text1"/>
          <w:sz w:val="28"/>
          <w:szCs w:val="28"/>
          <w14:textFill>
            <w14:solidFill>
              <w14:schemeClr w14:val="tx1"/>
            </w14:solidFill>
          </w14:textFill>
        </w:rPr>
        <w:t>日期：</w:t>
      </w:r>
      <w:r>
        <w:rPr>
          <w:rFonts w:hint="eastAsia" w:ascii="宋体" w:hAnsi="宋体" w:cs="宋体"/>
          <w:bCs/>
          <w:color w:val="000000" w:themeColor="text1"/>
          <w:sz w:val="28"/>
          <w:szCs w:val="28"/>
          <w:u w:val="single"/>
          <w14:textFill>
            <w14:solidFill>
              <w14:schemeClr w14:val="tx1"/>
            </w14:solidFill>
          </w14:textFill>
        </w:rPr>
        <w:t xml:space="preserve">              </w:t>
      </w:r>
      <w:r>
        <w:rPr>
          <w:rFonts w:hint="eastAsia" w:ascii="宋体" w:hAnsi="宋体" w:cs="宋体"/>
          <w:bCs/>
          <w:color w:val="000000" w:themeColor="text1"/>
          <w:sz w:val="28"/>
          <w:szCs w:val="28"/>
          <w14:textFill>
            <w14:solidFill>
              <w14:schemeClr w14:val="tx1"/>
            </w14:solidFill>
          </w14:textFill>
        </w:rPr>
        <w:t>年</w:t>
      </w:r>
      <w:r>
        <w:rPr>
          <w:rFonts w:hint="eastAsia" w:ascii="宋体" w:hAnsi="宋体" w:cs="宋体"/>
          <w:bCs/>
          <w:color w:val="000000" w:themeColor="text1"/>
          <w:sz w:val="28"/>
          <w:szCs w:val="28"/>
          <w:u w:val="single"/>
          <w14:textFill>
            <w14:solidFill>
              <w14:schemeClr w14:val="tx1"/>
            </w14:solidFill>
          </w14:textFill>
        </w:rPr>
        <w:t xml:space="preserve">           </w:t>
      </w:r>
      <w:r>
        <w:rPr>
          <w:rFonts w:hint="eastAsia" w:ascii="宋体" w:hAnsi="宋体" w:cs="宋体"/>
          <w:bCs/>
          <w:color w:val="000000" w:themeColor="text1"/>
          <w:sz w:val="28"/>
          <w:szCs w:val="28"/>
          <w14:textFill>
            <w14:solidFill>
              <w14:schemeClr w14:val="tx1"/>
            </w14:solidFill>
          </w14:textFill>
        </w:rPr>
        <w:t>月</w:t>
      </w:r>
      <w:r>
        <w:rPr>
          <w:rFonts w:hint="eastAsia" w:ascii="宋体" w:hAnsi="宋体" w:cs="宋体"/>
          <w:bCs/>
          <w:color w:val="000000" w:themeColor="text1"/>
          <w:sz w:val="28"/>
          <w:szCs w:val="28"/>
          <w:u w:val="single"/>
          <w14:textFill>
            <w14:solidFill>
              <w14:schemeClr w14:val="tx1"/>
            </w14:solidFill>
          </w14:textFill>
        </w:rPr>
        <w:t xml:space="preserve">           </w:t>
      </w:r>
      <w:r>
        <w:rPr>
          <w:rFonts w:hint="eastAsia" w:ascii="宋体" w:hAnsi="宋体" w:cs="宋体"/>
          <w:bCs/>
          <w:color w:val="000000" w:themeColor="text1"/>
          <w:sz w:val="28"/>
          <w:szCs w:val="28"/>
          <w14:textFill>
            <w14:solidFill>
              <w14:schemeClr w14:val="tx1"/>
            </w14:solidFill>
          </w14:textFill>
        </w:rPr>
        <w:t>日</w:t>
      </w:r>
      <w:bookmarkEnd w:id="231"/>
      <w:bookmarkEnd w:id="232"/>
    </w:p>
    <w:p>
      <w:pPr>
        <w:spacing w:line="400" w:lineRule="exact"/>
        <w:jc w:val="center"/>
        <w:outlineLvl w:val="1"/>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br w:type="page"/>
      </w:r>
    </w:p>
    <w:p>
      <w:pPr>
        <w:jc w:val="center"/>
        <w:rPr>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投标文件目录</w:t>
      </w:r>
    </w:p>
    <w:p>
      <w:pPr>
        <w:tabs>
          <w:tab w:val="left" w:pos="1305"/>
        </w:tabs>
        <w:spacing w:line="380" w:lineRule="exact"/>
        <w:ind w:firstLine="422" w:firstLineChars="150"/>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一、投标报价表</w:t>
      </w:r>
    </w:p>
    <w:p>
      <w:pPr>
        <w:tabs>
          <w:tab w:val="left" w:pos="1305"/>
        </w:tabs>
        <w:spacing w:line="380" w:lineRule="exact"/>
        <w:ind w:firstLine="422" w:firstLineChars="150"/>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二、资格性响应证明材料</w:t>
      </w:r>
    </w:p>
    <w:p>
      <w:pPr>
        <w:tabs>
          <w:tab w:val="left" w:pos="1305"/>
        </w:tabs>
        <w:spacing w:line="38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1.投标人相应的法定代表人、负责人、自然人身份证正反面复印件</w:t>
      </w:r>
      <w:r>
        <w:rPr>
          <w:rFonts w:hint="eastAsia" w:ascii="宋体" w:hAnsi="宋体" w:cs="宋体"/>
          <w:b/>
          <w:bCs/>
          <w:color w:val="000000" w:themeColor="text1"/>
          <w:szCs w:val="21"/>
          <w14:textFill>
            <w14:solidFill>
              <w14:schemeClr w14:val="tx1"/>
            </w14:solidFill>
          </w14:textFill>
        </w:rPr>
        <w:t>（必须提供）</w:t>
      </w:r>
      <w:r>
        <w:rPr>
          <w:rFonts w:hint="eastAsia" w:ascii="宋体" w:hAnsi="宋体" w:cs="宋体"/>
          <w:color w:val="000000" w:themeColor="text1"/>
          <w:szCs w:val="21"/>
          <w14:textFill>
            <w14:solidFill>
              <w14:schemeClr w14:val="tx1"/>
            </w14:solidFill>
          </w14:textFill>
        </w:rPr>
        <w:t>；</w:t>
      </w:r>
    </w:p>
    <w:p>
      <w:pPr>
        <w:tabs>
          <w:tab w:val="left" w:pos="1305"/>
        </w:tabs>
        <w:spacing w:line="38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u w:val="single"/>
          <w14:textFill>
            <w14:solidFill>
              <w14:schemeClr w14:val="tx1"/>
            </w14:solidFill>
          </w14:textFill>
        </w:rPr>
        <w:t>投标人的授权委托书原件、委托代理人身份证正反面复印件以及由县级以上（含县级）社会养老保险经办机构出具的投标人为委托代理人交纳的开标截止时间前半年内任意连续三个月社保证明复印件（如投标人为截标时间前60日以内成立的公司，可以提供投标人与委托代理人签订的劳动合同复印件代替社保证明复印件；如投标人为事业单位，可以提供事业单位机构编制管理证复印件或事业单位机构为其发放工资的工资条复印件代替社保证明复印件；如委托代理人为免缴纳社保人员，提供免缴纳社保的证明材料复印件及投标人与委托代理人签订的劳动合同复印件代替社保证明复印件）【自然人投标的应提供由县级以上（含县级）社会养老保险经办机构出具的自然人本人及委托代理人所交纳的开标截止时间前半年内任意连续三个月社保证明复印件】</w:t>
      </w:r>
      <w:r>
        <w:rPr>
          <w:rFonts w:hint="eastAsia" w:ascii="宋体" w:hAnsi="宋体" w:cs="宋体"/>
          <w:b/>
          <w:color w:val="000000" w:themeColor="text1"/>
          <w:szCs w:val="21"/>
          <w:u w:val="single"/>
          <w14:textFill>
            <w14:solidFill>
              <w14:schemeClr w14:val="tx1"/>
            </w14:solidFill>
          </w14:textFill>
        </w:rPr>
        <w:t>（委托代理时必须提供）；</w:t>
      </w:r>
    </w:p>
    <w:p>
      <w:pPr>
        <w:tabs>
          <w:tab w:val="left" w:pos="1305"/>
        </w:tabs>
        <w:spacing w:line="38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3.投标人的法人或者其他组织营业执照等证明文件复印件</w:t>
      </w:r>
      <w:r>
        <w:rPr>
          <w:rFonts w:hint="eastAsia" w:ascii="宋体" w:hAnsi="宋体" w:cs="宋体"/>
          <w:b/>
          <w:bCs/>
          <w:color w:val="000000" w:themeColor="text1"/>
          <w:szCs w:val="21"/>
          <w14:textFill>
            <w14:solidFill>
              <w14:schemeClr w14:val="tx1"/>
            </w14:solidFill>
          </w14:textFill>
        </w:rPr>
        <w:t>（必须提供，自然人除外）</w:t>
      </w:r>
      <w:r>
        <w:rPr>
          <w:rFonts w:hint="eastAsia" w:ascii="宋体" w:hAnsi="宋体" w:cs="宋体"/>
          <w:color w:val="000000" w:themeColor="text1"/>
          <w:szCs w:val="21"/>
          <w14:textFill>
            <w14:solidFill>
              <w14:schemeClr w14:val="tx1"/>
            </w14:solidFill>
          </w14:textFill>
        </w:rPr>
        <w:t>；</w:t>
      </w:r>
    </w:p>
    <w:p>
      <w:pPr>
        <w:tabs>
          <w:tab w:val="left" w:pos="1305"/>
        </w:tabs>
        <w:spacing w:line="380" w:lineRule="exact"/>
        <w:ind w:firstLine="422" w:firstLineChars="2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注：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所需材料均为复印件）</w:t>
      </w:r>
    </w:p>
    <w:p>
      <w:pPr>
        <w:tabs>
          <w:tab w:val="left" w:pos="1305"/>
        </w:tabs>
        <w:spacing w:line="38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4.供应商近三年中任一年度经第三方审计的财务状况报告复印件（或银行出具的资信证明或财政部门认可的政府采购专业担保机构出具的投标担保函）</w:t>
      </w:r>
      <w:r>
        <w:rPr>
          <w:rFonts w:hint="eastAsia" w:ascii="宋体" w:hAnsi="宋体" w:cs="宋体"/>
          <w:b/>
          <w:bCs/>
          <w:color w:val="000000" w:themeColor="text1"/>
          <w:szCs w:val="21"/>
          <w14:textFill>
            <w14:solidFill>
              <w14:schemeClr w14:val="tx1"/>
            </w14:solidFill>
          </w14:textFill>
        </w:rPr>
        <w:t>（必须提供）</w:t>
      </w:r>
      <w:r>
        <w:rPr>
          <w:rFonts w:hint="eastAsia" w:ascii="宋体" w:hAnsi="宋体" w:cs="宋体"/>
          <w:color w:val="000000" w:themeColor="text1"/>
          <w:szCs w:val="21"/>
          <w14:textFill>
            <w14:solidFill>
              <w14:schemeClr w14:val="tx1"/>
            </w14:solidFill>
          </w14:textFill>
        </w:rPr>
        <w:t>；</w:t>
      </w:r>
    </w:p>
    <w:p>
      <w:pPr>
        <w:tabs>
          <w:tab w:val="left" w:pos="1305"/>
        </w:tabs>
        <w:spacing w:line="38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5.投标人参加政府采购活动前3年内在经营活动中没有重大违法记录及有关信用信息的书面声明</w:t>
      </w:r>
      <w:r>
        <w:rPr>
          <w:rFonts w:hint="eastAsia" w:ascii="宋体" w:hAnsi="宋体" w:cs="宋体"/>
          <w:b/>
          <w:bCs/>
          <w:color w:val="000000" w:themeColor="text1"/>
          <w:szCs w:val="21"/>
          <w14:textFill>
            <w14:solidFill>
              <w14:schemeClr w14:val="tx1"/>
            </w14:solidFill>
          </w14:textFill>
        </w:rPr>
        <w:t>（必须提供）</w:t>
      </w:r>
      <w:r>
        <w:rPr>
          <w:rFonts w:hint="eastAsia" w:ascii="宋体" w:hAnsi="宋体" w:cs="宋体"/>
          <w:color w:val="000000" w:themeColor="text1"/>
          <w:szCs w:val="21"/>
          <w14:textFill>
            <w14:solidFill>
              <w14:schemeClr w14:val="tx1"/>
            </w14:solidFill>
          </w14:textFill>
        </w:rPr>
        <w:t>；</w:t>
      </w:r>
    </w:p>
    <w:p>
      <w:pPr>
        <w:pStyle w:val="43"/>
        <w:ind w:firstLine="420" w:firstLineChars="200"/>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2"/>
          <w:sz w:val="21"/>
          <w:szCs w:val="21"/>
          <w14:textFill>
            <w14:solidFill>
              <w14:schemeClr w14:val="tx1"/>
            </w14:solidFill>
          </w14:textFill>
        </w:rPr>
        <w:t>6.供应商近半年内任意一个月或任一季度依法缴纳税收的证明材料（增值税发票(税收完税证明)或企业所得税完税证明或税务部门出具的免税证明）复印件</w:t>
      </w:r>
      <w:r>
        <w:rPr>
          <w:rFonts w:hint="eastAsia" w:ascii="宋体" w:hAnsi="宋体" w:eastAsia="宋体" w:cs="宋体"/>
          <w:b/>
          <w:bCs/>
          <w:color w:val="000000" w:themeColor="text1"/>
          <w:kern w:val="2"/>
          <w:sz w:val="21"/>
          <w:szCs w:val="21"/>
          <w14:textFill>
            <w14:solidFill>
              <w14:schemeClr w14:val="tx1"/>
            </w14:solidFill>
          </w14:textFill>
        </w:rPr>
        <w:t>（必须提供）</w:t>
      </w:r>
      <w:r>
        <w:rPr>
          <w:rFonts w:hint="eastAsia" w:ascii="宋体" w:hAnsi="宋体" w:eastAsia="宋体" w:cs="宋体"/>
          <w:color w:val="000000" w:themeColor="text1"/>
          <w:kern w:val="2"/>
          <w:sz w:val="21"/>
          <w:szCs w:val="21"/>
          <w14:textFill>
            <w14:solidFill>
              <w14:schemeClr w14:val="tx1"/>
            </w14:solidFill>
          </w14:textFill>
        </w:rPr>
        <w:t>；</w:t>
      </w:r>
    </w:p>
    <w:p>
      <w:pPr>
        <w:tabs>
          <w:tab w:val="left" w:pos="1305"/>
        </w:tabs>
        <w:spacing w:line="380" w:lineRule="exact"/>
        <w:ind w:firstLine="422" w:firstLineChars="150"/>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三、商务、技术性响应及其他证明材料：</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 技术规格偏离表</w:t>
      </w:r>
      <w:r>
        <w:rPr>
          <w:rFonts w:hint="eastAsia" w:ascii="宋体" w:hAnsi="宋体" w:cs="宋体"/>
          <w:b/>
          <w:color w:val="000000" w:themeColor="text1"/>
          <w:szCs w:val="21"/>
          <w14:textFill>
            <w14:solidFill>
              <w14:schemeClr w14:val="tx1"/>
            </w14:solidFill>
          </w14:textFill>
        </w:rPr>
        <w:t>（必须提供）</w:t>
      </w:r>
      <w:r>
        <w:rPr>
          <w:rFonts w:hint="eastAsia" w:ascii="宋体" w:hAnsi="宋体" w:cs="宋体"/>
          <w:color w:val="000000" w:themeColor="text1"/>
          <w:szCs w:val="21"/>
          <w14:textFill>
            <w14:solidFill>
              <w14:schemeClr w14:val="tx1"/>
            </w14:solidFill>
          </w14:textFill>
        </w:rPr>
        <w:t>；</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 商务响应表</w:t>
      </w:r>
      <w:r>
        <w:rPr>
          <w:rFonts w:hint="eastAsia" w:ascii="宋体" w:hAnsi="宋体" w:cs="宋体"/>
          <w:b/>
          <w:color w:val="000000" w:themeColor="text1"/>
          <w:szCs w:val="21"/>
          <w14:textFill>
            <w14:solidFill>
              <w14:schemeClr w14:val="tx1"/>
            </w14:solidFill>
          </w14:textFill>
        </w:rPr>
        <w:t>（必须提供）；</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 “货物采购需求”需提供的有效证明文件</w:t>
      </w:r>
      <w:r>
        <w:rPr>
          <w:rFonts w:hint="eastAsia" w:ascii="宋体" w:hAnsi="宋体" w:cs="宋体"/>
          <w:b/>
          <w:color w:val="000000" w:themeColor="text1"/>
          <w:szCs w:val="21"/>
          <w14:textFill>
            <w14:solidFill>
              <w14:schemeClr w14:val="tx1"/>
            </w14:solidFill>
          </w14:textFill>
        </w:rPr>
        <w:t>（按其要求提供）</w:t>
      </w:r>
      <w:r>
        <w:rPr>
          <w:rFonts w:hint="eastAsia" w:ascii="宋体" w:hAnsi="宋体" w:cs="宋体"/>
          <w:color w:val="000000" w:themeColor="text1"/>
          <w:szCs w:val="21"/>
          <w14:textFill>
            <w14:solidFill>
              <w14:schemeClr w14:val="tx1"/>
            </w14:solidFill>
          </w14:textFill>
        </w:rPr>
        <w:t>；</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 投标人的售后服务承诺书（含免费保修期、交付使用期、技术服务、技术培训、售后服务的内容和措施等）</w:t>
      </w:r>
      <w:r>
        <w:rPr>
          <w:rFonts w:hint="eastAsia" w:ascii="宋体" w:hAnsi="宋体" w:cs="宋体"/>
          <w:b/>
          <w:color w:val="000000" w:themeColor="text1"/>
          <w:szCs w:val="21"/>
          <w14:textFill>
            <w14:solidFill>
              <w14:schemeClr w14:val="tx1"/>
            </w14:solidFill>
          </w14:textFill>
        </w:rPr>
        <w:t>（必须提供）</w:t>
      </w:r>
      <w:r>
        <w:rPr>
          <w:rFonts w:hint="eastAsia" w:ascii="宋体" w:hAnsi="宋体" w:cs="宋体"/>
          <w:color w:val="000000" w:themeColor="text1"/>
          <w:szCs w:val="21"/>
          <w14:textFill>
            <w14:solidFill>
              <w14:schemeClr w14:val="tx1"/>
            </w14:solidFill>
          </w14:textFill>
        </w:rPr>
        <w:t>；</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 项目实施人员一览表</w:t>
      </w:r>
      <w:r>
        <w:rPr>
          <w:rFonts w:hint="eastAsia" w:ascii="宋体" w:hAnsi="宋体" w:cs="宋体"/>
          <w:b/>
          <w:bCs/>
          <w:color w:val="000000" w:themeColor="text1"/>
          <w:szCs w:val="21"/>
          <w14:textFill>
            <w14:solidFill>
              <w14:schemeClr w14:val="tx1"/>
            </w14:solidFill>
          </w14:textFill>
        </w:rPr>
        <w:t>【如有，请提供，并一起提供由县级以上（含县级）社会养老保险经办机构出具的投标人为项目实施人员交纳的开标截止时间前半年内任意连续三个月社保证明复印件（如投标人为截标时间前60日以内成立的公司，可以提供投标人与项目实施人员签订的劳动合同复印件代替社保证明复印件；项目实施人员为免缴纳社保人员，提供免缴纳社保的证明材料复印件及投标人与项目实施人员签订的劳动合同复印件代替社保证明复印件）】；</w:t>
      </w:r>
    </w:p>
    <w:p>
      <w:pPr>
        <w:snapToGrid w:val="0"/>
        <w:spacing w:line="40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1"/>
          <w14:textFill>
            <w14:solidFill>
              <w14:schemeClr w14:val="tx1"/>
            </w14:solidFill>
          </w14:textFill>
        </w:rPr>
        <w:t>6. 节能方面的证书复印件</w:t>
      </w:r>
      <w:r>
        <w:rPr>
          <w:rFonts w:hint="eastAsia" w:ascii="宋体" w:hAnsi="宋体" w:cs="宋体"/>
          <w:b/>
          <w:color w:val="000000" w:themeColor="text1"/>
          <w:szCs w:val="21"/>
          <w14:textFill>
            <w14:solidFill>
              <w14:schemeClr w14:val="tx1"/>
            </w14:solidFill>
          </w14:textFill>
        </w:rPr>
        <w:t>（如有，请提供）；</w:t>
      </w:r>
    </w:p>
    <w:p>
      <w:pPr>
        <w:snapToGrid w:val="0"/>
        <w:spacing w:line="40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1"/>
          <w14:textFill>
            <w14:solidFill>
              <w14:schemeClr w14:val="tx1"/>
            </w14:solidFill>
          </w14:textFill>
        </w:rPr>
        <w:t>7. 环境标志方面的证书复印件</w:t>
      </w:r>
      <w:r>
        <w:rPr>
          <w:rFonts w:hint="eastAsia" w:ascii="宋体" w:hAnsi="宋体" w:cs="宋体"/>
          <w:b/>
          <w:color w:val="000000" w:themeColor="text1"/>
          <w:szCs w:val="21"/>
          <w14:textFill>
            <w14:solidFill>
              <w14:schemeClr w14:val="tx1"/>
            </w14:solidFill>
          </w14:textFill>
        </w:rPr>
        <w:t>（如有，请提供）；</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8. 投标人</w:t>
      </w:r>
      <w:r>
        <w:rPr>
          <w:rFonts w:hint="eastAsia" w:ascii="宋体" w:hAnsi="宋体" w:cs="宋体"/>
          <w:color w:val="000000" w:themeColor="text1"/>
          <w14:textFill>
            <w14:solidFill>
              <w14:schemeClr w14:val="tx1"/>
            </w14:solidFill>
          </w14:textFill>
        </w:rPr>
        <w:t>201</w:t>
      </w:r>
      <w:r>
        <w:rPr>
          <w:rFonts w:hint="eastAsia" w:ascii="宋体" w:hAnsi="宋体" w:cs="宋体"/>
          <w:color w:val="000000" w:themeColor="text1"/>
          <w:lang w:val="en-US" w:eastAsia="zh-CN"/>
          <w14:textFill>
            <w14:solidFill>
              <w14:schemeClr w14:val="tx1"/>
            </w14:solidFill>
          </w14:textFill>
        </w:rPr>
        <w:t>9</w:t>
      </w:r>
      <w:r>
        <w:rPr>
          <w:rFonts w:hint="eastAsia" w:ascii="宋体" w:hAnsi="宋体" w:cs="宋体"/>
          <w:color w:val="000000" w:themeColor="text1"/>
          <w14:textFill>
            <w14:solidFill>
              <w14:schemeClr w14:val="tx1"/>
            </w14:solidFill>
          </w14:textFill>
        </w:rPr>
        <w:t>年以来</w:t>
      </w:r>
      <w:r>
        <w:rPr>
          <w:rFonts w:hint="eastAsia" w:ascii="宋体" w:hAnsi="宋体" w:cs="宋体"/>
          <w:bCs/>
          <w:color w:val="000000" w:themeColor="text1"/>
          <w14:textFill>
            <w14:solidFill>
              <w14:schemeClr w14:val="tx1"/>
            </w14:solidFill>
          </w14:textFill>
        </w:rPr>
        <w:t>同类产品</w:t>
      </w:r>
      <w:r>
        <w:rPr>
          <w:rFonts w:hint="eastAsia" w:ascii="宋体" w:hAnsi="宋体" w:cs="宋体"/>
          <w:bCs/>
          <w:color w:val="000000" w:themeColor="text1"/>
          <w:lang w:eastAsia="zh-CN"/>
          <w14:textFill>
            <w14:solidFill>
              <w14:schemeClr w14:val="tx1"/>
            </w14:solidFill>
          </w14:textFill>
        </w:rPr>
        <w:t>（</w:t>
      </w:r>
      <w:r>
        <w:rPr>
          <w:rFonts w:hint="eastAsia" w:ascii="宋体" w:hAnsi="宋体" w:cs="宋体"/>
          <w:bCs/>
          <w:color w:val="000000" w:themeColor="text1"/>
          <w:lang w:val="en-US" w:eastAsia="zh-CN"/>
          <w14:textFill>
            <w14:solidFill>
              <w14:schemeClr w14:val="tx1"/>
            </w14:solidFill>
          </w14:textFill>
        </w:rPr>
        <w:t>木质、金属家具</w:t>
      </w:r>
      <w:r>
        <w:rPr>
          <w:rFonts w:hint="eastAsia" w:ascii="宋体" w:hAnsi="宋体" w:cs="宋体"/>
          <w:bCs/>
          <w:color w:val="000000" w:themeColor="text1"/>
          <w:lang w:eastAsia="zh-CN"/>
          <w14:textFill>
            <w14:solidFill>
              <w14:schemeClr w14:val="tx1"/>
            </w14:solidFill>
          </w14:textFill>
        </w:rPr>
        <w:t>）</w:t>
      </w:r>
      <w:r>
        <w:rPr>
          <w:rFonts w:hint="eastAsia" w:ascii="宋体" w:hAnsi="宋体" w:cs="宋体"/>
          <w:color w:val="000000" w:themeColor="text1"/>
          <w14:textFill>
            <w14:solidFill>
              <w14:schemeClr w14:val="tx1"/>
            </w14:solidFill>
          </w14:textFill>
        </w:rPr>
        <w:t>销售业绩的相关证明材料</w:t>
      </w:r>
      <w:r>
        <w:rPr>
          <w:rFonts w:hint="eastAsia" w:ascii="宋体" w:hAnsi="宋体" w:cs="宋体"/>
          <w:color w:val="000000" w:themeColor="text1"/>
          <w:szCs w:val="21"/>
          <w14:textFill>
            <w14:solidFill>
              <w14:schemeClr w14:val="tx1"/>
            </w14:solidFill>
          </w14:textFill>
        </w:rPr>
        <w:t>（无不良记录，以中标、成交通知书或签订的销售合同为准，并能清晰反映所销售的货物名称、金额</w:t>
      </w:r>
      <w:r>
        <w:rPr>
          <w:rFonts w:hint="eastAsia" w:ascii="宋体" w:hAnsi="宋体" w:cs="宋体"/>
          <w:color w:val="000000" w:themeColor="text1"/>
          <w14:textFill>
            <w14:solidFill>
              <w14:schemeClr w14:val="tx1"/>
            </w14:solidFill>
          </w14:textFill>
        </w:rPr>
        <w:t>）</w:t>
      </w:r>
      <w:r>
        <w:rPr>
          <w:rFonts w:hint="eastAsia" w:ascii="宋体" w:hAnsi="宋体" w:cs="宋体"/>
          <w:b/>
          <w:color w:val="000000" w:themeColor="text1"/>
          <w14:textFill>
            <w14:solidFill>
              <w14:schemeClr w14:val="tx1"/>
            </w14:solidFill>
          </w14:textFill>
        </w:rPr>
        <w:t>（如有，请提供）；</w:t>
      </w:r>
    </w:p>
    <w:p>
      <w:pPr>
        <w:tabs>
          <w:tab w:val="left" w:pos="1305"/>
        </w:tabs>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 投标人为生产厂家的，投标人的生产制造设备清单及专业技术能力说明</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14:textFill>
            <w14:solidFill>
              <w14:schemeClr w14:val="tx1"/>
            </w14:solidFill>
          </w14:textFill>
        </w:rPr>
        <w:t>；</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0"/>
          <w14:textFill>
            <w14:solidFill>
              <w14:schemeClr w14:val="tx1"/>
            </w14:solidFill>
          </w14:textFill>
        </w:rPr>
        <w:t>10. 投标人相关获奖证书、认证证书等复印件</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szCs w:val="20"/>
          <w14:textFill>
            <w14:solidFill>
              <w14:schemeClr w14:val="tx1"/>
            </w14:solidFill>
          </w14:textFill>
        </w:rPr>
        <w:t>；</w:t>
      </w:r>
    </w:p>
    <w:p>
      <w:pPr>
        <w:tabs>
          <w:tab w:val="left" w:pos="1305"/>
        </w:tabs>
        <w:spacing w:line="400" w:lineRule="exact"/>
        <w:ind w:firstLine="420" w:firstLineChars="200"/>
        <w:rPr>
          <w:rFonts w:ascii="宋体" w:hAnsi="宋体" w:cs="宋体"/>
          <w:b/>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11. 投标人所投产品为广西工业产品的，如实提供《广西工业产品声明函》</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14:textFill>
            <w14:solidFill>
              <w14:schemeClr w14:val="tx1"/>
            </w14:solidFill>
          </w14:textFill>
        </w:rPr>
        <w:t>；</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12. 如所提供服务企业属于小型、微型企业【中小微型企业划分标准按照《国家统计局关于印发《统计上大中小微型企业划分办法（2017）》的通知》（国统字[2017]213号）执行，具体划分标准见第四章评标办法中附表《统计上大中小微型企业划分标准》】，以提供的《中小企业声明函》（见附件）为准</w:t>
      </w:r>
      <w:r>
        <w:rPr>
          <w:rFonts w:hint="eastAsia" w:ascii="宋体" w:hAnsi="宋体" w:cs="宋体"/>
          <w:b/>
          <w:bCs/>
          <w:color w:val="000000" w:themeColor="text1"/>
          <w14:textFill>
            <w14:solidFill>
              <w14:schemeClr w14:val="tx1"/>
            </w14:solidFill>
          </w14:textFill>
        </w:rPr>
        <w:t>（如有，请提供）</w:t>
      </w:r>
      <w:r>
        <w:rPr>
          <w:rFonts w:hint="eastAsia" w:ascii="宋体" w:hAnsi="宋体" w:cs="宋体"/>
          <w:color w:val="000000" w:themeColor="text1"/>
          <w14:textFill>
            <w14:solidFill>
              <w14:schemeClr w14:val="tx1"/>
            </w14:solidFill>
          </w14:textFill>
        </w:rPr>
        <w:t>；</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13. 如产品属于监狱企业的，以提供由省级以上监狱管理局、戒毒管理局（含新疆生产建设兵团）出具的属于监狱企业的证明文件为准</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kern w:val="0"/>
          <w:sz w:val="24"/>
          <w14:textFill>
            <w14:solidFill>
              <w14:schemeClr w14:val="tx1"/>
            </w14:solidFill>
          </w14:textFill>
        </w:rPr>
        <w:t>）；</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14. 符合条件的残疾人福利性单位在参加政府采购活动时，应当提供《残疾人福利性单位声明函》（见附件），并对声明的真实性负责。</w:t>
      </w:r>
      <w:r>
        <w:rPr>
          <w:rFonts w:hint="eastAsia" w:ascii="宋体" w:hAnsi="宋体" w:cs="宋体"/>
          <w:b/>
          <w:bCs/>
          <w:color w:val="000000" w:themeColor="text1"/>
          <w14:textFill>
            <w14:solidFill>
              <w14:schemeClr w14:val="tx1"/>
            </w14:solidFill>
          </w14:textFill>
        </w:rPr>
        <w:t>（如有，请提供）</w:t>
      </w:r>
    </w:p>
    <w:p>
      <w:pPr>
        <w:tabs>
          <w:tab w:val="left" w:pos="1305"/>
        </w:tabs>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 投标人可结合本项目的评标办法视自身情况自行提交相关证明材料</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szCs w:val="21"/>
          <w14:textFill>
            <w14:solidFill>
              <w14:schemeClr w14:val="tx1"/>
            </w14:solidFill>
          </w14:textFill>
        </w:rPr>
        <w:t>。</w:t>
      </w:r>
    </w:p>
    <w:p>
      <w:pPr>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16. 项目配送、安装方案</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szCs w:val="21"/>
          <w14:textFill>
            <w14:solidFill>
              <w14:schemeClr w14:val="tx1"/>
            </w14:solidFill>
          </w14:textFill>
        </w:rPr>
        <w:t>。</w:t>
      </w:r>
    </w:p>
    <w:p>
      <w:pPr>
        <w:spacing w:line="400" w:lineRule="exact"/>
        <w:outlineLvl w:val="1"/>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br w:type="page"/>
      </w:r>
    </w:p>
    <w:p>
      <w:pPr>
        <w:spacing w:line="480" w:lineRule="exact"/>
        <w:jc w:val="left"/>
        <w:rPr>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一、投标报价表</w:t>
      </w:r>
    </w:p>
    <w:p>
      <w:pPr>
        <w:pStyle w:val="15"/>
        <w:spacing w:line="480" w:lineRule="exact"/>
        <w:ind w:left="420"/>
        <w:jc w:val="center"/>
        <w:rPr>
          <w:rFonts w:hAnsi="宋体" w:cs="宋体"/>
          <w:b/>
          <w:color w:val="000000" w:themeColor="text1"/>
          <w:sz w:val="32"/>
          <w:szCs w:val="24"/>
          <w14:textFill>
            <w14:solidFill>
              <w14:schemeClr w14:val="tx1"/>
            </w14:solidFill>
          </w14:textFill>
        </w:rPr>
      </w:pPr>
      <w:r>
        <w:rPr>
          <w:rFonts w:hint="eastAsia" w:hAnsi="宋体" w:cs="宋体"/>
          <w:b/>
          <w:color w:val="000000" w:themeColor="text1"/>
          <w:sz w:val="32"/>
          <w:szCs w:val="24"/>
          <w14:textFill>
            <w14:solidFill>
              <w14:schemeClr w14:val="tx1"/>
            </w14:solidFill>
          </w14:textFill>
        </w:rPr>
        <w:t>投标报价表（格式）（可根据项目类别进行调整）</w:t>
      </w:r>
    </w:p>
    <w:p>
      <w:pPr>
        <w:rPr>
          <w:color w:val="000000" w:themeColor="text1"/>
          <w14:textFill>
            <w14:solidFill>
              <w14:schemeClr w14:val="tx1"/>
            </w14:solidFill>
          </w14:textFill>
        </w:rPr>
      </w:pPr>
    </w:p>
    <w:p>
      <w:pPr>
        <w:pStyle w:val="15"/>
        <w:spacing w:line="300" w:lineRule="exact"/>
        <w:ind w:firstLine="551" w:firstLineChars="196"/>
        <w:rPr>
          <w:rFonts w:hAnsi="宋体"/>
          <w:b/>
          <w:color w:val="000000" w:themeColor="text1"/>
          <w:sz w:val="28"/>
          <w:szCs w:val="28"/>
          <w14:textFill>
            <w14:solidFill>
              <w14:schemeClr w14:val="tx1"/>
            </w14:solidFill>
          </w14:textFill>
        </w:rPr>
      </w:pPr>
      <w:r>
        <w:rPr>
          <w:rFonts w:hint="eastAsia" w:hAnsi="宋体"/>
          <w:b/>
          <w:color w:val="000000" w:themeColor="text1"/>
          <w:sz w:val="28"/>
          <w:szCs w:val="28"/>
          <w14:textFill>
            <w14:solidFill>
              <w14:schemeClr w14:val="tx1"/>
            </w14:solidFill>
          </w14:textFill>
        </w:rPr>
        <w:t>分标</w:t>
      </w:r>
    </w:p>
    <w:tbl>
      <w:tblPr>
        <w:tblStyle w:val="26"/>
        <w:tblW w:w="4996"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442"/>
        <w:gridCol w:w="1774"/>
        <w:gridCol w:w="1411"/>
        <w:gridCol w:w="954"/>
        <w:gridCol w:w="1398"/>
        <w:gridCol w:w="1228"/>
        <w:gridCol w:w="804"/>
        <w:gridCol w:w="1376"/>
        <w:gridCol w:w="56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1" w:hRule="atLeast"/>
        </w:trPr>
        <w:tc>
          <w:tcPr>
            <w:tcW w:w="222"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项号</w:t>
            </w:r>
          </w:p>
        </w:tc>
        <w:tc>
          <w:tcPr>
            <w:tcW w:w="891" w:type="pct"/>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货物名称</w:t>
            </w:r>
          </w:p>
        </w:tc>
        <w:tc>
          <w:tcPr>
            <w:tcW w:w="709" w:type="pct"/>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生产厂家</w:t>
            </w:r>
          </w:p>
        </w:tc>
        <w:tc>
          <w:tcPr>
            <w:tcW w:w="47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品牌、规格型号</w:t>
            </w:r>
          </w:p>
        </w:tc>
        <w:tc>
          <w:tcPr>
            <w:tcW w:w="702"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数量</w:t>
            </w:r>
          </w:p>
          <w:p>
            <w:pPr>
              <w:spacing w:line="30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①</w:t>
            </w:r>
          </w:p>
        </w:tc>
        <w:tc>
          <w:tcPr>
            <w:tcW w:w="617"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单位</w:t>
            </w:r>
          </w:p>
        </w:tc>
        <w:tc>
          <w:tcPr>
            <w:tcW w:w="404"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单价</w:t>
            </w:r>
          </w:p>
          <w:p>
            <w:pPr>
              <w:spacing w:line="30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②</w:t>
            </w:r>
          </w:p>
        </w:tc>
        <w:tc>
          <w:tcPr>
            <w:tcW w:w="691"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单项合计=数量×单价</w:t>
            </w:r>
          </w:p>
          <w:p>
            <w:pPr>
              <w:spacing w:line="30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③＝①×②</w:t>
            </w:r>
          </w:p>
        </w:tc>
        <w:tc>
          <w:tcPr>
            <w:tcW w:w="281" w:type="pct"/>
            <w:tcBorders>
              <w:bottom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222"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891"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70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p>
        </w:tc>
        <w:tc>
          <w:tcPr>
            <w:tcW w:w="47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p>
        </w:tc>
        <w:tc>
          <w:tcPr>
            <w:tcW w:w="702"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617"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404"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691"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281" w:type="pct"/>
            <w:tcBorders>
              <w:top w:val="single" w:color="auto" w:sz="4" w:space="0"/>
              <w:bottom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222" w:type="pct"/>
            <w:tcBorders>
              <w:top w:val="single" w:color="auto" w:sz="4" w:space="0"/>
              <w:left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891"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70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p>
        </w:tc>
        <w:tc>
          <w:tcPr>
            <w:tcW w:w="47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p>
        </w:tc>
        <w:tc>
          <w:tcPr>
            <w:tcW w:w="702"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617"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404"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691"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281" w:type="pct"/>
            <w:tcBorders>
              <w:top w:val="single" w:color="auto" w:sz="4" w:space="0"/>
              <w:bottom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222" w:type="pct"/>
            <w:tcBorders>
              <w:top w:val="single" w:color="auto" w:sz="4" w:space="0"/>
              <w:left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p>
        </w:tc>
        <w:tc>
          <w:tcPr>
            <w:tcW w:w="891"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70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p>
        </w:tc>
        <w:tc>
          <w:tcPr>
            <w:tcW w:w="47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p>
        </w:tc>
        <w:tc>
          <w:tcPr>
            <w:tcW w:w="702"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617"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404"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691"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281" w:type="pct"/>
            <w:tcBorders>
              <w:top w:val="single" w:color="auto" w:sz="4" w:space="0"/>
              <w:bottom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222" w:type="pct"/>
            <w:tcBorders>
              <w:top w:val="single" w:color="auto" w:sz="4" w:space="0"/>
              <w:left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N</w:t>
            </w:r>
          </w:p>
        </w:tc>
        <w:tc>
          <w:tcPr>
            <w:tcW w:w="891"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w:t>
            </w:r>
          </w:p>
        </w:tc>
        <w:tc>
          <w:tcPr>
            <w:tcW w:w="70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47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702"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w:t>
            </w:r>
          </w:p>
        </w:tc>
        <w:tc>
          <w:tcPr>
            <w:tcW w:w="617"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404"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691"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281" w:type="pct"/>
            <w:tcBorders>
              <w:top w:val="single" w:color="auto" w:sz="4" w:space="0"/>
              <w:bottom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222" w:type="pct"/>
            <w:tcBorders>
              <w:top w:val="single" w:color="auto" w:sz="4" w:space="0"/>
              <w:left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891"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70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47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702"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617"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404"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691"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c>
          <w:tcPr>
            <w:tcW w:w="281" w:type="pct"/>
            <w:tcBorders>
              <w:top w:val="single" w:color="auto" w:sz="4" w:space="0"/>
              <w:bottom w:val="single" w:color="auto" w:sz="4" w:space="0"/>
            </w:tcBorders>
            <w:vAlign w:val="center"/>
          </w:tcPr>
          <w:p>
            <w:pPr>
              <w:spacing w:line="300" w:lineRule="exact"/>
              <w:jc w:val="center"/>
              <w:rPr>
                <w:rFonts w:ascii="宋体" w:hAnsi="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5000" w:type="pct"/>
            <w:gridSpan w:val="9"/>
            <w:tcBorders>
              <w:top w:val="single" w:color="auto" w:sz="4" w:space="0"/>
              <w:left w:val="single" w:color="auto" w:sz="4" w:space="0"/>
              <w:bottom w:val="single" w:color="auto" w:sz="4" w:space="0"/>
            </w:tcBorders>
            <w:vAlign w:val="center"/>
          </w:tcPr>
          <w:p>
            <w:pPr>
              <w:spacing w:line="300" w:lineRule="exact"/>
              <w:rPr>
                <w:rFonts w:ascii="宋体" w:hAnsi="宋体"/>
                <w:b/>
                <w:bCs/>
                <w:color w:val="000000" w:themeColor="text1"/>
                <w14:textFill>
                  <w14:solidFill>
                    <w14:schemeClr w14:val="tx1"/>
                  </w14:solidFill>
                </w14:textFill>
              </w:rPr>
            </w:pPr>
            <w:r>
              <w:rPr>
                <w:rFonts w:hint="eastAsia" w:ascii="宋体" w:hAnsi="宋体"/>
                <w:color w:val="000000" w:themeColor="text1"/>
                <w:spacing w:val="-6"/>
                <w14:textFill>
                  <w14:solidFill>
                    <w14:schemeClr w14:val="tx1"/>
                  </w14:solidFill>
                </w14:textFill>
              </w:rPr>
              <w:t>投标总</w:t>
            </w:r>
            <w:r>
              <w:rPr>
                <w:rFonts w:ascii="宋体" w:hAnsi="宋体"/>
                <w:color w:val="000000" w:themeColor="text1"/>
                <w:spacing w:val="-6"/>
                <w14:textFill>
                  <w14:solidFill>
                    <w14:schemeClr w14:val="tx1"/>
                  </w14:solidFill>
                </w14:textFill>
              </w:rPr>
              <w:t xml:space="preserve">报价（大写）：                                     </w:t>
            </w:r>
            <w:r>
              <w:rPr>
                <w:rFonts w:hint="eastAsia" w:ascii="宋体" w:hAnsi="宋体"/>
                <w:color w:val="000000" w:themeColor="text1"/>
                <w:spacing w:val="-6"/>
                <w14:textFill>
                  <w14:solidFill>
                    <w14:schemeClr w14:val="tx1"/>
                  </w14:solidFill>
                </w14:textFill>
              </w:rPr>
              <w:t xml:space="preserve">                          </w:t>
            </w:r>
            <w:r>
              <w:rPr>
                <w:rFonts w:ascii="宋体" w:hAnsi="宋体"/>
                <w:color w:val="000000" w:themeColor="text1"/>
                <w:spacing w:val="-6"/>
                <w14:textFill>
                  <w14:solidFill>
                    <w14:schemeClr w14:val="tx1"/>
                  </w14:solidFill>
                </w14:textFill>
              </w:rPr>
              <w:t xml:space="preserve">  </w:t>
            </w:r>
            <w:r>
              <w:rPr>
                <w:rFonts w:hint="eastAsia" w:ascii="宋体" w:hAnsi="宋体"/>
                <w:color w:val="000000" w:themeColor="text1"/>
                <w:spacing w:val="-6"/>
                <w14:textFill>
                  <w14:solidFill>
                    <w14:schemeClr w14:val="tx1"/>
                  </w14:solidFill>
                </w14:textFill>
              </w:rPr>
              <w:t>元</w:t>
            </w:r>
            <w:r>
              <w:rPr>
                <w:rFonts w:ascii="宋体" w:hAnsi="宋体"/>
                <w:color w:val="000000" w:themeColor="text1"/>
                <w:spacing w:val="-6"/>
                <w14:textFill>
                  <w14:solidFill>
                    <w14:schemeClr w14:val="tx1"/>
                  </w14:solidFill>
                </w14:textFill>
              </w:rPr>
              <w:t>人民币（</w:t>
            </w:r>
            <w:r>
              <w:rPr>
                <w:rFonts w:hint="eastAsia" w:ascii="宋体" w:hAnsi="宋体"/>
                <w:color w:val="000000" w:themeColor="text1"/>
                <w:spacing w:val="-6"/>
                <w14:textFill>
                  <w14:solidFill>
                    <w14:schemeClr w14:val="tx1"/>
                  </w14:solidFill>
                </w14:textFill>
              </w:rPr>
              <w:t>¥</w:t>
            </w:r>
            <w:r>
              <w:rPr>
                <w:rFonts w:ascii="宋体" w:hAnsi="宋体"/>
                <w:color w:val="000000" w:themeColor="text1"/>
                <w:spacing w:val="-6"/>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5000" w:type="pct"/>
            <w:gridSpan w:val="9"/>
            <w:tcBorders>
              <w:top w:val="single" w:color="auto" w:sz="4" w:space="0"/>
              <w:left w:val="single" w:color="auto" w:sz="4" w:space="0"/>
              <w:bottom w:val="single" w:color="auto" w:sz="4" w:space="0"/>
            </w:tcBorders>
            <w:vAlign w:val="center"/>
          </w:tcPr>
          <w:p>
            <w:pPr>
              <w:spacing w:line="300" w:lineRule="exact"/>
              <w:rPr>
                <w:rFonts w:ascii="宋体" w:hAnsi="宋体"/>
                <w:color w:val="000000" w:themeColor="text1"/>
                <w:spacing w:val="-6"/>
                <w14:textFill>
                  <w14:solidFill>
                    <w14:schemeClr w14:val="tx1"/>
                  </w14:solidFill>
                </w14:textFill>
              </w:rPr>
            </w:pPr>
            <w:r>
              <w:rPr>
                <w:rFonts w:hint="eastAsia" w:ascii="宋体" w:hAnsi="宋体"/>
                <w:color w:val="000000" w:themeColor="text1"/>
                <w:spacing w:val="-6"/>
                <w14:textFill>
                  <w14:solidFill>
                    <w14:schemeClr w14:val="tx1"/>
                  </w14:solidFill>
                </w14:textFill>
              </w:rPr>
              <w:t>交付使用期: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5000" w:type="pct"/>
            <w:gridSpan w:val="9"/>
            <w:tcBorders>
              <w:top w:val="single" w:color="auto" w:sz="4" w:space="0"/>
              <w:left w:val="single" w:color="auto" w:sz="4" w:space="0"/>
              <w:bottom w:val="single" w:color="auto" w:sz="4" w:space="0"/>
            </w:tcBorders>
            <w:vAlign w:val="center"/>
          </w:tcPr>
          <w:p>
            <w:pPr>
              <w:spacing w:line="300" w:lineRule="exact"/>
              <w:rPr>
                <w:rFonts w:ascii="宋体" w:hAnsi="宋体"/>
                <w:color w:val="000000" w:themeColor="text1"/>
                <w:spacing w:val="-6"/>
                <w14:textFill>
                  <w14:solidFill>
                    <w14:schemeClr w14:val="tx1"/>
                  </w14:solidFill>
                </w14:textFill>
              </w:rPr>
            </w:pPr>
            <w:r>
              <w:rPr>
                <w:rFonts w:hint="eastAsia" w:ascii="宋体" w:hAnsi="宋体"/>
                <w:color w:val="000000" w:themeColor="text1"/>
                <w:spacing w:val="-6"/>
                <w14:textFill>
                  <w14:solidFill>
                    <w14:schemeClr w14:val="tx1"/>
                  </w14:solidFill>
                </w14:textFill>
              </w:rPr>
              <w:t>免费保修期: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5" w:hRule="atLeast"/>
        </w:trPr>
        <w:tc>
          <w:tcPr>
            <w:tcW w:w="5000" w:type="pct"/>
            <w:gridSpan w:val="9"/>
            <w:tcBorders>
              <w:top w:val="single" w:color="auto" w:sz="4" w:space="0"/>
              <w:left w:val="single" w:color="auto" w:sz="4" w:space="0"/>
              <w:bottom w:val="single" w:color="auto" w:sz="4" w:space="0"/>
            </w:tcBorders>
            <w:vAlign w:val="center"/>
          </w:tcPr>
          <w:p>
            <w:pPr>
              <w:spacing w:line="340" w:lineRule="exact"/>
              <w:rPr>
                <w:rFonts w:ascii="宋体" w:hAnsi="宋体"/>
                <w:color w:val="000000" w:themeColor="text1"/>
                <w:spacing w:val="-6"/>
                <w:szCs w:val="21"/>
                <w14:textFill>
                  <w14:solidFill>
                    <w14:schemeClr w14:val="tx1"/>
                  </w14:solidFill>
                </w14:textFill>
              </w:rPr>
            </w:pPr>
            <w:r>
              <w:rPr>
                <w:rFonts w:hint="eastAsia" w:ascii="宋体" w:hAnsi="宋体"/>
                <w:color w:val="000000" w:themeColor="text1"/>
                <w:spacing w:val="-6"/>
                <w:szCs w:val="21"/>
                <w14:textFill>
                  <w14:solidFill>
                    <w14:schemeClr w14:val="tx1"/>
                  </w14:solidFill>
                </w14:textFill>
              </w:rPr>
              <w:t>其中：属于《</w:t>
            </w:r>
            <w:r>
              <w:rPr>
                <w:rFonts w:ascii="宋体" w:hAnsi="宋体"/>
                <w:color w:val="000000" w:themeColor="text1"/>
                <w:spacing w:val="-6"/>
                <w:szCs w:val="21"/>
                <w14:textFill>
                  <w14:solidFill>
                    <w14:schemeClr w14:val="tx1"/>
                  </w14:solidFill>
                </w14:textFill>
              </w:rPr>
              <w:t>节能</w:t>
            </w:r>
            <w:r>
              <w:rPr>
                <w:rFonts w:hint="eastAsia" w:ascii="宋体" w:hAnsi="宋体"/>
                <w:color w:val="000000" w:themeColor="text1"/>
                <w:spacing w:val="-6"/>
                <w:szCs w:val="21"/>
                <w14:textFill>
                  <w14:solidFill>
                    <w14:schemeClr w14:val="tx1"/>
                  </w14:solidFill>
                </w14:textFill>
              </w:rPr>
              <w:t>产品政府采购</w:t>
            </w:r>
            <w:r>
              <w:rPr>
                <w:rFonts w:ascii="宋体" w:hAnsi="宋体"/>
                <w:color w:val="000000" w:themeColor="text1"/>
                <w:spacing w:val="-6"/>
                <w:szCs w:val="21"/>
                <w14:textFill>
                  <w14:solidFill>
                    <w14:schemeClr w14:val="tx1"/>
                  </w14:solidFill>
                </w14:textFill>
              </w:rPr>
              <w:t>清单</w:t>
            </w:r>
            <w:r>
              <w:rPr>
                <w:rFonts w:hint="eastAsia" w:ascii="宋体" w:hAnsi="宋体"/>
                <w:color w:val="000000" w:themeColor="text1"/>
                <w:spacing w:val="-6"/>
                <w:szCs w:val="21"/>
                <w14:textFill>
                  <w14:solidFill>
                    <w14:schemeClr w14:val="tx1"/>
                  </w14:solidFill>
                </w14:textFill>
              </w:rPr>
              <w:t>》目录内产品的总金额为</w:t>
            </w:r>
            <w:r>
              <w:rPr>
                <w:rFonts w:ascii="宋体" w:hAnsi="宋体"/>
                <w:color w:val="000000" w:themeColor="text1"/>
                <w:spacing w:val="-6"/>
                <w:szCs w:val="21"/>
                <w14:textFill>
                  <w14:solidFill>
                    <w14:schemeClr w14:val="tx1"/>
                  </w14:solidFill>
                </w14:textFill>
              </w:rPr>
              <w:t>人民币</w:t>
            </w:r>
            <w:r>
              <w:rPr>
                <w:rFonts w:hint="eastAsia" w:ascii="宋体" w:hAnsi="宋体"/>
                <w:color w:val="000000" w:themeColor="text1"/>
                <w:spacing w:val="-6"/>
                <w:szCs w:val="21"/>
                <w14:textFill>
                  <w14:solidFill>
                    <w14:schemeClr w14:val="tx1"/>
                  </w14:solidFill>
                </w14:textFill>
              </w:rPr>
              <w:t>（大写）：               元</w:t>
            </w:r>
            <w:r>
              <w:rPr>
                <w:rFonts w:ascii="宋体" w:hAnsi="宋体"/>
                <w:color w:val="000000" w:themeColor="text1"/>
                <w:spacing w:val="-6"/>
                <w:szCs w:val="21"/>
                <w14:textFill>
                  <w14:solidFill>
                    <w14:schemeClr w14:val="tx1"/>
                  </w14:solidFill>
                </w14:textFill>
              </w:rPr>
              <w:t>（</w:t>
            </w:r>
            <w:r>
              <w:rPr>
                <w:rFonts w:hint="eastAsia" w:ascii="宋体" w:hAnsi="宋体"/>
                <w:color w:val="000000" w:themeColor="text1"/>
                <w:spacing w:val="-6"/>
                <w:szCs w:val="21"/>
                <w14:textFill>
                  <w14:solidFill>
                    <w14:schemeClr w14:val="tx1"/>
                  </w14:solidFill>
                </w14:textFill>
              </w:rPr>
              <w:t>¥</w:t>
            </w:r>
            <w:r>
              <w:rPr>
                <w:rFonts w:ascii="宋体" w:hAnsi="宋体"/>
                <w:color w:val="000000" w:themeColor="text1"/>
                <w:spacing w:val="-6"/>
                <w:szCs w:val="21"/>
                <w14:textFill>
                  <w14:solidFill>
                    <w14:schemeClr w14:val="tx1"/>
                  </w14:solidFill>
                </w14:textFill>
              </w:rPr>
              <w:t xml:space="preserve">         </w:t>
            </w:r>
            <w:r>
              <w:rPr>
                <w:rFonts w:hint="eastAsia" w:ascii="宋体" w:hAnsi="宋体"/>
                <w:color w:val="000000" w:themeColor="text1"/>
                <w:spacing w:val="-6"/>
                <w:szCs w:val="21"/>
                <w14:textFill>
                  <w14:solidFill>
                    <w14:schemeClr w14:val="tx1"/>
                  </w14:solidFill>
                </w14:textFill>
              </w:rPr>
              <w:t xml:space="preserve">   </w:t>
            </w:r>
            <w:r>
              <w:rPr>
                <w:rFonts w:ascii="宋体" w:hAnsi="宋体"/>
                <w:color w:val="000000" w:themeColor="text1"/>
                <w:spacing w:val="-6"/>
                <w:szCs w:val="21"/>
                <w14:textFill>
                  <w14:solidFill>
                    <w14:schemeClr w14:val="tx1"/>
                  </w14:solidFill>
                </w14:textFill>
              </w:rPr>
              <w:t>）</w:t>
            </w:r>
            <w:r>
              <w:rPr>
                <w:rFonts w:hint="eastAsia" w:ascii="宋体" w:hAnsi="宋体"/>
                <w:color w:val="000000" w:themeColor="text1"/>
                <w:spacing w:val="-6"/>
                <w:szCs w:val="21"/>
                <w14:textFill>
                  <w14:solidFill>
                    <w14:schemeClr w14:val="tx1"/>
                  </w14:solidFill>
                </w14:textFill>
              </w:rPr>
              <w:t>；</w:t>
            </w:r>
          </w:p>
          <w:p>
            <w:pPr>
              <w:spacing w:line="340" w:lineRule="exact"/>
              <w:ind w:firstLine="594" w:firstLineChars="300"/>
              <w:rPr>
                <w:rFonts w:ascii="宋体" w:hAnsi="宋体"/>
                <w:color w:val="000000" w:themeColor="text1"/>
                <w:spacing w:val="-6"/>
                <w:szCs w:val="21"/>
                <w14:textFill>
                  <w14:solidFill>
                    <w14:schemeClr w14:val="tx1"/>
                  </w14:solidFill>
                </w14:textFill>
              </w:rPr>
            </w:pPr>
            <w:r>
              <w:rPr>
                <w:rFonts w:hint="eastAsia" w:ascii="宋体" w:hAnsi="宋体"/>
                <w:color w:val="000000" w:themeColor="text1"/>
                <w:spacing w:val="-6"/>
                <w:szCs w:val="21"/>
                <w14:textFill>
                  <w14:solidFill>
                    <w14:schemeClr w14:val="tx1"/>
                  </w14:solidFill>
                </w14:textFill>
              </w:rPr>
              <w:t>属于《环境标志产品政府采购清单》目录内产品的总金额为</w:t>
            </w:r>
            <w:r>
              <w:rPr>
                <w:rFonts w:ascii="宋体" w:hAnsi="宋体"/>
                <w:color w:val="000000" w:themeColor="text1"/>
                <w:spacing w:val="-6"/>
                <w:szCs w:val="21"/>
                <w14:textFill>
                  <w14:solidFill>
                    <w14:schemeClr w14:val="tx1"/>
                  </w14:solidFill>
                </w14:textFill>
              </w:rPr>
              <w:t>人民币</w:t>
            </w:r>
            <w:r>
              <w:rPr>
                <w:rFonts w:hint="eastAsia" w:ascii="宋体" w:hAnsi="宋体"/>
                <w:color w:val="000000" w:themeColor="text1"/>
                <w:spacing w:val="-6"/>
                <w:szCs w:val="21"/>
                <w14:textFill>
                  <w14:solidFill>
                    <w14:schemeClr w14:val="tx1"/>
                  </w14:solidFill>
                </w14:textFill>
              </w:rPr>
              <w:t>（大写）：                   元</w:t>
            </w:r>
            <w:r>
              <w:rPr>
                <w:rFonts w:ascii="宋体" w:hAnsi="宋体"/>
                <w:color w:val="000000" w:themeColor="text1"/>
                <w:spacing w:val="-6"/>
                <w:szCs w:val="21"/>
                <w14:textFill>
                  <w14:solidFill>
                    <w14:schemeClr w14:val="tx1"/>
                  </w14:solidFill>
                </w14:textFill>
              </w:rPr>
              <w:t>（</w:t>
            </w:r>
            <w:r>
              <w:rPr>
                <w:rFonts w:hint="eastAsia" w:ascii="宋体" w:hAnsi="宋体"/>
                <w:color w:val="000000" w:themeColor="text1"/>
                <w:spacing w:val="-6"/>
                <w:szCs w:val="21"/>
                <w14:textFill>
                  <w14:solidFill>
                    <w14:schemeClr w14:val="tx1"/>
                  </w14:solidFill>
                </w14:textFill>
              </w:rPr>
              <w:t>¥</w:t>
            </w:r>
            <w:r>
              <w:rPr>
                <w:rFonts w:ascii="宋体" w:hAnsi="宋体"/>
                <w:color w:val="000000" w:themeColor="text1"/>
                <w:spacing w:val="-6"/>
                <w:szCs w:val="21"/>
                <w14:textFill>
                  <w14:solidFill>
                    <w14:schemeClr w14:val="tx1"/>
                  </w14:solidFill>
                </w14:textFill>
              </w:rPr>
              <w:t xml:space="preserve">             ）</w:t>
            </w:r>
            <w:r>
              <w:rPr>
                <w:rFonts w:hint="eastAsia" w:ascii="宋体" w:hAnsi="宋体"/>
                <w:color w:val="000000" w:themeColor="text1"/>
                <w:spacing w:val="-6"/>
                <w:szCs w:val="21"/>
                <w14:textFill>
                  <w14:solidFill>
                    <w14:schemeClr w14:val="tx1"/>
                  </w14:solidFill>
                </w14:textFill>
              </w:rPr>
              <w:t>。</w:t>
            </w:r>
          </w:p>
          <w:p>
            <w:pPr>
              <w:spacing w:line="340" w:lineRule="exact"/>
              <w:rPr>
                <w:rFonts w:ascii="宋体" w:hAnsi="宋体"/>
                <w:b/>
                <w:bCs/>
                <w:color w:val="000000" w:themeColor="text1"/>
                <w14:textFill>
                  <w14:solidFill>
                    <w14:schemeClr w14:val="tx1"/>
                  </w14:solidFill>
                </w14:textFill>
              </w:rPr>
            </w:pPr>
            <w:r>
              <w:rPr>
                <w:rFonts w:hint="eastAsia" w:ascii="宋体" w:hAnsi="宋体"/>
                <w:b/>
                <w:color w:val="000000" w:themeColor="text1"/>
                <w:spacing w:val="-6"/>
                <w:szCs w:val="21"/>
                <w14:textFill>
                  <w14:solidFill>
                    <w14:schemeClr w14:val="tx1"/>
                  </w14:solidFill>
                </w14:textFill>
              </w:rPr>
              <w:t>备注：若不属于《</w:t>
            </w:r>
            <w:r>
              <w:rPr>
                <w:rFonts w:ascii="宋体" w:hAnsi="宋体"/>
                <w:b/>
                <w:color w:val="000000" w:themeColor="text1"/>
                <w:spacing w:val="-6"/>
                <w:szCs w:val="21"/>
                <w14:textFill>
                  <w14:solidFill>
                    <w14:schemeClr w14:val="tx1"/>
                  </w14:solidFill>
                </w14:textFill>
              </w:rPr>
              <w:t>节能</w:t>
            </w:r>
            <w:r>
              <w:rPr>
                <w:rFonts w:hint="eastAsia" w:ascii="宋体" w:hAnsi="宋体"/>
                <w:b/>
                <w:color w:val="000000" w:themeColor="text1"/>
                <w:spacing w:val="-6"/>
                <w:szCs w:val="21"/>
                <w14:textFill>
                  <w14:solidFill>
                    <w14:schemeClr w14:val="tx1"/>
                  </w14:solidFill>
                </w14:textFill>
              </w:rPr>
              <w:t>产品政府采购</w:t>
            </w:r>
            <w:r>
              <w:rPr>
                <w:rFonts w:ascii="宋体" w:hAnsi="宋体"/>
                <w:b/>
                <w:color w:val="000000" w:themeColor="text1"/>
                <w:spacing w:val="-6"/>
                <w:szCs w:val="21"/>
                <w14:textFill>
                  <w14:solidFill>
                    <w14:schemeClr w14:val="tx1"/>
                  </w14:solidFill>
                </w14:textFill>
              </w:rPr>
              <w:t>清单</w:t>
            </w:r>
            <w:r>
              <w:rPr>
                <w:rFonts w:hint="eastAsia" w:ascii="宋体" w:hAnsi="宋体"/>
                <w:b/>
                <w:color w:val="000000" w:themeColor="text1"/>
                <w:spacing w:val="-6"/>
                <w:szCs w:val="21"/>
                <w14:textFill>
                  <w14:solidFill>
                    <w14:schemeClr w14:val="tx1"/>
                  </w14:solidFill>
                </w14:textFill>
              </w:rPr>
              <w:t>》及《环境标志产品政府采购清单》目录内产品的，则该处填写“无”字样。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5" w:hRule="atLeast"/>
        </w:trPr>
        <w:tc>
          <w:tcPr>
            <w:tcW w:w="5000" w:type="pct"/>
            <w:gridSpan w:val="9"/>
            <w:tcBorders>
              <w:top w:val="single" w:color="auto" w:sz="4" w:space="0"/>
              <w:left w:val="single" w:color="auto" w:sz="4" w:space="0"/>
              <w:bottom w:val="single" w:color="auto" w:sz="4" w:space="0"/>
            </w:tcBorders>
            <w:vAlign w:val="center"/>
          </w:tcPr>
          <w:p>
            <w:pPr>
              <w:spacing w:line="340" w:lineRule="exact"/>
              <w:rPr>
                <w:rFonts w:ascii="宋体" w:hAnsi="宋体"/>
                <w:b/>
                <w:bCs/>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说明：投标报价指</w:t>
            </w:r>
            <w:r>
              <w:rPr>
                <w:rFonts w:hint="eastAsia" w:ascii="宋体" w:hAnsi="宋体"/>
                <w:color w:val="000000" w:themeColor="text1"/>
                <w:szCs w:val="21"/>
                <w14:textFill>
                  <w14:solidFill>
                    <w14:schemeClr w14:val="tx1"/>
                  </w14:solidFill>
                </w14:textFill>
              </w:rPr>
              <w:t>本次招标采购范围内货物价款、</w:t>
            </w:r>
            <w:r>
              <w:rPr>
                <w:rFonts w:hint="eastAsia" w:ascii="宋体" w:hAnsi="宋体" w:cs="Courier New"/>
                <w:color w:val="000000" w:themeColor="text1"/>
                <w:szCs w:val="21"/>
                <w14:textFill>
                  <w14:solidFill>
                    <w14:schemeClr w14:val="tx1"/>
                  </w14:solidFill>
                </w14:textFill>
              </w:rPr>
              <w:t>货物随配标准附件、</w:t>
            </w:r>
            <w:r>
              <w:rPr>
                <w:rFonts w:hint="eastAsia" w:ascii="宋体" w:hAnsi="宋体"/>
                <w:color w:val="000000" w:themeColor="text1"/>
                <w:szCs w:val="21"/>
                <w14:textFill>
                  <w14:solidFill>
                    <w14:schemeClr w14:val="tx1"/>
                  </w14:solidFill>
                </w14:textFill>
              </w:rPr>
              <w:t>包装、运输、装卸、保险、税金、货到位以及安装、安装所需辅材、调试、检验、售后服务、培训、保修</w:t>
            </w:r>
            <w:r>
              <w:rPr>
                <w:rFonts w:hint="eastAsia" w:ascii="宋体" w:hAnsi="宋体" w:cs="Courier New"/>
                <w:color w:val="000000" w:themeColor="text1"/>
                <w:szCs w:val="21"/>
                <w14:textFill>
                  <w14:solidFill>
                    <w14:schemeClr w14:val="tx1"/>
                  </w14:solidFill>
                </w14:textFill>
              </w:rPr>
              <w:t>及其他所有成本费用的总和</w:t>
            </w:r>
            <w:r>
              <w:rPr>
                <w:rFonts w:hint="eastAsia" w:ascii="宋体" w:hAnsi="宋体"/>
                <w:color w:val="000000" w:themeColor="text1"/>
                <w:szCs w:val="21"/>
                <w14:textFill>
                  <w14:solidFill>
                    <w14:schemeClr w14:val="tx1"/>
                  </w14:solidFill>
                </w14:textFill>
              </w:rPr>
              <w:t>；</w:t>
            </w:r>
            <w:r>
              <w:rPr>
                <w:rFonts w:hint="eastAsia" w:ascii="宋体" w:hAnsi="宋体"/>
                <w:color w:val="000000" w:themeColor="text1"/>
                <w14:textFill>
                  <w14:solidFill>
                    <w14:schemeClr w14:val="tx1"/>
                  </w14:solidFill>
                </w14:textFill>
              </w:rPr>
              <w:t>投标人综合考虑在报价中。</w:t>
            </w:r>
          </w:p>
        </w:tc>
      </w:tr>
    </w:tbl>
    <w:p>
      <w:pPr>
        <w:spacing w:line="340" w:lineRule="exact"/>
        <w:rPr>
          <w:rFonts w:ascii="宋体" w:hAnsi="宋体"/>
          <w:color w:val="000000" w:themeColor="text1"/>
          <w:szCs w:val="21"/>
          <w14:textFill>
            <w14:solidFill>
              <w14:schemeClr w14:val="tx1"/>
            </w14:solidFill>
          </w14:textFill>
        </w:rPr>
      </w:pPr>
    </w:p>
    <w:p>
      <w:pPr>
        <w:spacing w:line="340" w:lineRule="exact"/>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投标人（公章，自然人除外）：</w:t>
      </w:r>
      <w:r>
        <w:rPr>
          <w:rFonts w:hint="eastAsia" w:ascii="宋体" w:hAnsi="宋体"/>
          <w:color w:val="000000" w:themeColor="text1"/>
          <w:szCs w:val="21"/>
          <w:u w:val="single"/>
          <w14:textFill>
            <w14:solidFill>
              <w14:schemeClr w14:val="tx1"/>
            </w14:solidFill>
          </w14:textFill>
        </w:rPr>
        <w:t xml:space="preserve">                                        </w:t>
      </w:r>
    </w:p>
    <w:p>
      <w:pPr>
        <w:tabs>
          <w:tab w:val="left" w:pos="1305"/>
        </w:tabs>
        <w:spacing w:line="340" w:lineRule="exact"/>
        <w:ind w:firstLine="205" w:firstLineChars="98"/>
        <w:rPr>
          <w:rFonts w:ascii="宋体" w:hAnsi="宋体"/>
          <w:color w:val="000000" w:themeColor="text1"/>
          <w:szCs w:val="21"/>
          <w:u w:val="single"/>
          <w14:textFill>
            <w14:solidFill>
              <w14:schemeClr w14:val="tx1"/>
            </w14:solidFill>
          </w14:textFill>
        </w:rPr>
      </w:pPr>
      <w:r>
        <w:rPr>
          <w:rFonts w:hint="eastAsia" w:hAnsi="宋体"/>
          <w:color w:val="000000" w:themeColor="text1"/>
          <w14:textFill>
            <w14:solidFill>
              <w14:schemeClr w14:val="tx1"/>
            </w14:solidFill>
          </w14:textFill>
        </w:rPr>
        <w:t>法定代表人、负责人、自然人或相应的委托代理人签字或盖章（属自然人的应在签名处加盖食指指印）：</w:t>
      </w:r>
      <w:r>
        <w:rPr>
          <w:rFonts w:hint="eastAsia" w:ascii="宋体" w:hAnsi="宋体"/>
          <w:color w:val="000000" w:themeColor="text1"/>
          <w:szCs w:val="21"/>
          <w:u w:val="single"/>
          <w14:textFill>
            <w14:solidFill>
              <w14:schemeClr w14:val="tx1"/>
            </w14:solidFill>
          </w14:textFill>
        </w:rPr>
        <w:t xml:space="preserve"> </w:t>
      </w:r>
    </w:p>
    <w:p>
      <w:pPr>
        <w:tabs>
          <w:tab w:val="left" w:pos="1305"/>
        </w:tabs>
        <w:spacing w:line="340" w:lineRule="exact"/>
        <w:ind w:firstLine="205" w:firstLineChars="98"/>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u w:val="single"/>
          <w14:textFill>
            <w14:solidFill>
              <w14:schemeClr w14:val="tx1"/>
            </w14:solidFill>
          </w14:textFill>
        </w:rPr>
        <w:t xml:space="preserve">                  </w:t>
      </w:r>
    </w:p>
    <w:p>
      <w:pPr>
        <w:tabs>
          <w:tab w:val="left" w:pos="1305"/>
        </w:tabs>
        <w:spacing w:line="340" w:lineRule="exact"/>
        <w:ind w:firstLine="205" w:firstLineChars="98"/>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注</w:t>
      </w:r>
      <w:r>
        <w:rPr>
          <w:rFonts w:hint="eastAsia" w:ascii="宋体" w:hAnsi="宋体"/>
          <w:b/>
          <w:bCs/>
          <w:color w:val="000000" w:themeColor="text1"/>
          <w:szCs w:val="21"/>
          <w14:textFill>
            <w14:solidFill>
              <w14:schemeClr w14:val="tx1"/>
            </w14:solidFill>
          </w14:textFill>
        </w:rPr>
        <w:t>：</w:t>
      </w:r>
      <w:r>
        <w:rPr>
          <w:rFonts w:hint="eastAsia" w:ascii="宋体" w:hAnsi="宋体"/>
          <w:bCs/>
          <w:color w:val="000000" w:themeColor="text1"/>
          <w:szCs w:val="21"/>
          <w14:textFill>
            <w14:solidFill>
              <w14:schemeClr w14:val="tx1"/>
            </w14:solidFill>
          </w14:textFill>
        </w:rPr>
        <w:t>1.各投标人</w:t>
      </w:r>
      <w:r>
        <w:rPr>
          <w:rFonts w:hint="eastAsia" w:ascii="宋体" w:hAnsi="宋体"/>
          <w:color w:val="000000" w:themeColor="text1"/>
          <w:szCs w:val="21"/>
          <w14:textFill>
            <w14:solidFill>
              <w14:schemeClr w14:val="tx1"/>
            </w14:solidFill>
          </w14:textFill>
        </w:rPr>
        <w:t>必须就“货物采购需求”中所投分标的所有内容作完整唯一报价，否则，其投标将被拒绝。投标文件只允许有一个报价。</w:t>
      </w:r>
    </w:p>
    <w:p>
      <w:pPr>
        <w:pStyle w:val="15"/>
        <w:spacing w:line="360" w:lineRule="exact"/>
        <w:ind w:firstLine="630" w:firstLineChars="30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2.投标人应根据所投货物如实填写投标报价表</w:t>
      </w:r>
      <w:r>
        <w:rPr>
          <w:rFonts w:hint="eastAsia" w:hAnsi="宋体"/>
          <w:bCs/>
          <w:color w:val="000000" w:themeColor="text1"/>
          <w:szCs w:val="21"/>
          <w14:textFill>
            <w14:solidFill>
              <w14:schemeClr w14:val="tx1"/>
            </w14:solidFill>
          </w14:textFill>
        </w:rPr>
        <w:t>的各项内容。</w:t>
      </w:r>
    </w:p>
    <w:p>
      <w:pPr>
        <w:pStyle w:val="15"/>
        <w:spacing w:line="400" w:lineRule="exact"/>
        <w:ind w:left="630" w:leftChars="300"/>
        <w:rPr>
          <w:rFonts w:hAnsi="宋体"/>
          <w:b/>
          <w:bCs/>
          <w:color w:val="000000" w:themeColor="text1"/>
          <w:szCs w:val="21"/>
          <w14:textFill>
            <w14:solidFill>
              <w14:schemeClr w14:val="tx1"/>
            </w14:solidFill>
          </w14:textFill>
        </w:rPr>
      </w:pPr>
      <w:r>
        <w:rPr>
          <w:rFonts w:hint="eastAsia"/>
          <w:color w:val="000000" w:themeColor="text1"/>
          <w14:textFill>
            <w14:solidFill>
              <w14:schemeClr w14:val="tx1"/>
            </w14:solidFill>
          </w14:textFill>
        </w:rPr>
        <w:t>3.投标报价表须由法定代表人负责人、自然人或相应的委托代理人签字</w:t>
      </w:r>
      <w:r>
        <w:rPr>
          <w:rFonts w:hint="eastAsia" w:hAnsi="宋体"/>
          <w:color w:val="000000" w:themeColor="text1"/>
          <w14:textFill>
            <w14:solidFill>
              <w14:schemeClr w14:val="tx1"/>
            </w14:solidFill>
          </w14:textFill>
        </w:rPr>
        <w:t>或盖章（属自然人的应在签名处加盖食指指印）</w:t>
      </w:r>
      <w:r>
        <w:rPr>
          <w:rFonts w:hint="eastAsia"/>
          <w:color w:val="000000" w:themeColor="text1"/>
          <w14:textFill>
            <w14:solidFill>
              <w14:schemeClr w14:val="tx1"/>
            </w14:solidFill>
          </w14:textFill>
        </w:rPr>
        <w:t>并加盖投标人公章（自然人除外）。</w:t>
      </w:r>
      <w:r>
        <w:rPr>
          <w:rFonts w:hint="eastAsia"/>
          <w:b/>
          <w:color w:val="000000" w:themeColor="text1"/>
          <w14:textFill>
            <w14:solidFill>
              <w14:schemeClr w14:val="tx1"/>
            </w14:solidFill>
          </w14:textFill>
        </w:rPr>
        <w:t>当本表由多页构成时，需逐页加盖投标人公章（属自然人的须逐页签字）。</w:t>
      </w:r>
    </w:p>
    <w:p>
      <w:pPr>
        <w:keepNext w:val="0"/>
        <w:keepLines w:val="0"/>
        <w:widowControl/>
        <w:suppressLineNumbers w:val="0"/>
        <w:jc w:val="left"/>
        <w:rPr>
          <w:color w:val="000000" w:themeColor="text1"/>
          <w14:textFill>
            <w14:solidFill>
              <w14:schemeClr w14:val="tx1"/>
            </w14:solidFill>
          </w14:textFill>
        </w:rPr>
      </w:pPr>
      <w:r>
        <w:rPr>
          <w:rFonts w:hint="eastAsia" w:ascii="宋体" w:hAnsi="宋体"/>
          <w:bCs/>
          <w:color w:val="000000" w:themeColor="text1"/>
          <w:szCs w:val="21"/>
          <w14:textFill>
            <w14:solidFill>
              <w14:schemeClr w14:val="tx1"/>
            </w14:solidFill>
          </w14:textFill>
        </w:rPr>
        <w:t>4.如投标的全部或部分产品属于《</w:t>
      </w:r>
      <w:r>
        <w:rPr>
          <w:rFonts w:ascii="宋体" w:hAnsi="宋体"/>
          <w:bCs/>
          <w:color w:val="000000" w:themeColor="text1"/>
          <w:szCs w:val="21"/>
          <w14:textFill>
            <w14:solidFill>
              <w14:schemeClr w14:val="tx1"/>
            </w14:solidFill>
          </w14:textFill>
        </w:rPr>
        <w:t>节能</w:t>
      </w:r>
      <w:r>
        <w:rPr>
          <w:rFonts w:hint="eastAsia" w:ascii="宋体" w:hAnsi="宋体"/>
          <w:bCs/>
          <w:color w:val="000000" w:themeColor="text1"/>
          <w:szCs w:val="21"/>
          <w14:textFill>
            <w14:solidFill>
              <w14:schemeClr w14:val="tx1"/>
            </w14:solidFill>
          </w14:textFill>
        </w:rPr>
        <w:t>产品政府采购</w:t>
      </w:r>
      <w:r>
        <w:rPr>
          <w:rFonts w:ascii="宋体" w:hAnsi="宋体"/>
          <w:bCs/>
          <w:color w:val="000000" w:themeColor="text1"/>
          <w:szCs w:val="21"/>
          <w14:textFill>
            <w14:solidFill>
              <w14:schemeClr w14:val="tx1"/>
            </w14:solidFill>
          </w14:textFill>
        </w:rPr>
        <w:t>清单</w:t>
      </w:r>
      <w:r>
        <w:rPr>
          <w:rFonts w:hint="eastAsia" w:ascii="宋体" w:hAnsi="宋体"/>
          <w:bCs/>
          <w:color w:val="000000" w:themeColor="text1"/>
          <w:szCs w:val="21"/>
          <w14:textFill>
            <w14:solidFill>
              <w14:schemeClr w14:val="tx1"/>
            </w14:solidFill>
          </w14:textFill>
        </w:rPr>
        <w:t>》或《环境标志产品政府采购清单》目录范围</w:t>
      </w:r>
      <w:r>
        <w:rPr>
          <w:rFonts w:ascii="宋体" w:hAnsi="宋体"/>
          <w:bCs/>
          <w:color w:val="000000" w:themeColor="text1"/>
          <w:szCs w:val="21"/>
          <w14:textFill>
            <w14:solidFill>
              <w14:schemeClr w14:val="tx1"/>
            </w14:solidFill>
          </w14:textFill>
        </w:rPr>
        <w:t>的</w:t>
      </w:r>
      <w:r>
        <w:rPr>
          <w:rFonts w:hint="eastAsia" w:ascii="宋体" w:hAnsi="宋体"/>
          <w:bCs/>
          <w:color w:val="000000" w:themeColor="text1"/>
          <w:szCs w:val="21"/>
          <w14:textFill>
            <w14:solidFill>
              <w14:schemeClr w14:val="tx1"/>
            </w14:solidFill>
          </w14:textFill>
        </w:rPr>
        <w:t>，投标人应在本表备注栏内写明各分项货物属于节能（或环境标志）产品政府采购清单第几类第几项序号的产品</w:t>
      </w:r>
      <w:r>
        <w:rPr>
          <w:rFonts w:hint="eastAsia" w:ascii="宋体" w:hAnsi="宋体"/>
          <w:bCs/>
          <w:color w:val="000000" w:themeColor="text1"/>
          <w:szCs w:val="21"/>
          <w:lang w:eastAsia="zh-CN"/>
          <w14:textFill>
            <w14:solidFill>
              <w14:schemeClr w14:val="tx1"/>
            </w14:solidFill>
          </w14:textFill>
        </w:rPr>
        <w:t>；</w:t>
      </w:r>
      <w:r>
        <w:rPr>
          <w:rFonts w:hint="eastAsia" w:ascii="宋体" w:hAnsi="宋体" w:eastAsia="宋体" w:cs="宋体"/>
          <w:color w:val="000000" w:themeColor="text1"/>
          <w:kern w:val="0"/>
          <w:sz w:val="20"/>
          <w:szCs w:val="20"/>
          <w:lang w:val="en-US" w:eastAsia="zh-CN" w:bidi="ar"/>
          <w14:textFill>
            <w14:solidFill>
              <w14:schemeClr w14:val="tx1"/>
            </w14:solidFill>
          </w14:textFill>
        </w:rPr>
        <w:t>属于节能产品或环境标志产品，但不在上述最新目录范围内的，请在本表备注栏内写明“详见证明材料”，并提供相关证明材料复印件（加盖供应商公章），以便</w:t>
      </w:r>
      <w:r>
        <w:rPr>
          <w:rFonts w:hint="eastAsia" w:ascii="宋体" w:hAnsi="宋体" w:cs="宋体"/>
          <w:color w:val="000000" w:themeColor="text1"/>
          <w:kern w:val="0"/>
          <w:sz w:val="20"/>
          <w:szCs w:val="20"/>
          <w:lang w:val="en-US" w:eastAsia="zh-CN" w:bidi="ar"/>
          <w14:textFill>
            <w14:solidFill>
              <w14:schemeClr w14:val="tx1"/>
            </w14:solidFill>
          </w14:textFill>
        </w:rPr>
        <w:t>评审</w:t>
      </w:r>
      <w:r>
        <w:rPr>
          <w:rFonts w:hint="eastAsia" w:ascii="宋体" w:hAnsi="宋体" w:eastAsia="宋体" w:cs="宋体"/>
          <w:color w:val="000000" w:themeColor="text1"/>
          <w:kern w:val="0"/>
          <w:sz w:val="20"/>
          <w:szCs w:val="20"/>
          <w:lang w:val="en-US" w:eastAsia="zh-CN" w:bidi="ar"/>
          <w14:textFill>
            <w14:solidFill>
              <w14:schemeClr w14:val="tx1"/>
            </w14:solidFill>
          </w14:textFill>
        </w:rPr>
        <w:t>小组作为优先采购或评审的依据。</w:t>
      </w:r>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br w:type="page"/>
      </w:r>
      <w:bookmarkStart w:id="233" w:name="_Toc27290"/>
      <w:bookmarkStart w:id="234" w:name="_Toc495841787"/>
      <w:r>
        <w:rPr>
          <w:rFonts w:hint="eastAsia" w:ascii="宋体" w:hAnsi="宋体" w:cs="宋体"/>
          <w:b/>
          <w:bCs/>
          <w:color w:val="000000" w:themeColor="text1"/>
          <w:sz w:val="32"/>
          <w:szCs w:val="32"/>
          <w14:textFill>
            <w14:solidFill>
              <w14:schemeClr w14:val="tx1"/>
            </w14:solidFill>
          </w14:textFill>
        </w:rPr>
        <w:t>二、资格性响应证明材料（格式）</w:t>
      </w:r>
      <w:bookmarkEnd w:id="233"/>
      <w:bookmarkEnd w:id="234"/>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35" w:name="_Toc11828"/>
      <w:bookmarkStart w:id="236" w:name="_Toc495841788"/>
      <w:r>
        <w:rPr>
          <w:rFonts w:hint="eastAsia" w:ascii="宋体" w:hAnsi="宋体" w:cs="宋体"/>
          <w:b/>
          <w:bCs/>
          <w:color w:val="000000" w:themeColor="text1"/>
          <w:sz w:val="32"/>
          <w:szCs w:val="32"/>
          <w14:textFill>
            <w14:solidFill>
              <w14:schemeClr w14:val="tx1"/>
            </w14:solidFill>
          </w14:textFill>
        </w:rPr>
        <w:t>1.投标人相应的法定代表人、负责人、自然人身份证正反面复印件（必须提供）</w:t>
      </w:r>
      <w:bookmarkEnd w:id="235"/>
      <w:bookmarkEnd w:id="236"/>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37" w:name="_Toc495841789"/>
      <w:bookmarkStart w:id="238" w:name="_Toc11623"/>
      <w:r>
        <w:rPr>
          <w:rFonts w:hint="eastAsia" w:ascii="宋体" w:hAnsi="宋体" w:cs="宋体"/>
          <w:b/>
          <w:bCs/>
          <w:color w:val="000000" w:themeColor="text1"/>
          <w:sz w:val="32"/>
          <w:szCs w:val="32"/>
          <w14:textFill>
            <w14:solidFill>
              <w14:schemeClr w14:val="tx1"/>
            </w14:solidFill>
          </w14:textFill>
        </w:rPr>
        <w:t>2.投标人的授权委托书原件、委托代理人身份证正反面复印件以及由县级以上（含县级）社会养老保险经办机构出具的投标人为委托代理人交纳的开标截止时间前半年内任意连续三个月社保证明复印件（如投标人为截标时间前60日以内成立的公司，可以提供投标人与委托代理人签订的劳动合同复印件代替社保证明复印件；如投标人为事业单位，可以提供事业单位机构编制管理证复印件或事业单位机构为其发放工资的工资条复印件代替社保证明复印件；如委托代理人为免缴纳社保人员，提供免缴纳社保的证明材料复印件及投标人与委托代理人签订的劳动合同复印件代替社保证明复印件）【自然人投标的应提供由县级以上（含县级）社会养老保险经办机构出具的自然人本人及委托代理人所交纳的开标截止时间前半年内任意连续三个月社保证明复印件】（委托代理时必须提供；）</w:t>
      </w:r>
      <w:bookmarkEnd w:id="237"/>
      <w:bookmarkEnd w:id="238"/>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color w:val="000000" w:themeColor="text1"/>
          <w:sz w:val="32"/>
          <w14:textFill>
            <w14:solidFill>
              <w14:schemeClr w14:val="tx1"/>
            </w14:solidFill>
          </w14:textFill>
        </w:rPr>
      </w:pPr>
    </w:p>
    <w:p>
      <w:pPr>
        <w:jc w:val="center"/>
        <w:rPr>
          <w:rFonts w:ascii="宋体" w:hAnsi="宋体" w:cs="宋体"/>
          <w:b/>
          <w:color w:val="000000" w:themeColor="text1"/>
          <w:sz w:val="32"/>
          <w14:textFill>
            <w14:solidFill>
              <w14:schemeClr w14:val="tx1"/>
            </w14:solidFill>
          </w14:textFill>
        </w:rPr>
      </w:pPr>
      <w:r>
        <w:rPr>
          <w:rFonts w:hint="eastAsia" w:ascii="宋体" w:hAnsi="宋体" w:cs="宋体"/>
          <w:b/>
          <w:color w:val="000000" w:themeColor="text1"/>
          <w:sz w:val="32"/>
          <w14:textFill>
            <w14:solidFill>
              <w14:schemeClr w14:val="tx1"/>
            </w14:solidFill>
          </w14:textFill>
        </w:rPr>
        <w:t>授权委托书（格式一）</w:t>
      </w:r>
    </w:p>
    <w:p>
      <w:pPr>
        <w:snapToGrid w:val="0"/>
        <w:spacing w:line="400" w:lineRule="exact"/>
        <w:rPr>
          <w:rFonts w:ascii="宋体" w:hAnsi="宋体" w:cs="宋体"/>
          <w:color w:val="000000" w:themeColor="text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致</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u w:val="single"/>
          <w14:textFill>
            <w14:solidFill>
              <w14:schemeClr w14:val="tx1"/>
            </w14:solidFill>
          </w14:textFill>
        </w:rPr>
        <w:t>桂林市政府集中采购中心</w:t>
      </w:r>
    </w:p>
    <w:p>
      <w:pPr>
        <w:spacing w:line="400" w:lineRule="exact"/>
        <w:ind w:firstLine="525" w:firstLineChars="250"/>
        <w:rPr>
          <w:rFonts w:ascii="宋体" w:hAnsi="宋体" w:cs="宋体"/>
          <w:color w:val="000000" w:themeColor="text1"/>
          <w14:textFill>
            <w14:solidFill>
              <w14:schemeClr w14:val="tx1"/>
            </w14:solidFill>
          </w14:textFill>
        </w:rPr>
      </w:pPr>
      <w:r>
        <w:rPr>
          <w:rFonts w:hint="eastAsia" w:ascii="宋体" w:hAnsi="宋体" w:cs="宋体"/>
          <w:color w:val="000000" w:themeColor="text1"/>
          <w:kern w:val="0"/>
          <w14:textFill>
            <w14:solidFill>
              <w14:schemeClr w14:val="tx1"/>
            </w14:solidFill>
          </w14:textFill>
        </w:rPr>
        <w:t>我</w:t>
      </w:r>
      <w:r>
        <w:rPr>
          <w:rFonts w:hint="eastAsia" w:ascii="宋体" w:hAnsi="宋体" w:cs="宋体"/>
          <w:color w:val="000000" w:themeColor="text1"/>
          <w:kern w:val="0"/>
          <w:u w:val="single"/>
          <w14:textFill>
            <w14:solidFill>
              <w14:schemeClr w14:val="tx1"/>
            </w14:solidFill>
          </w14:textFill>
        </w:rPr>
        <w:t xml:space="preserve">              </w:t>
      </w:r>
      <w:r>
        <w:rPr>
          <w:rFonts w:hint="eastAsia" w:ascii="宋体" w:hAnsi="宋体" w:cs="宋体"/>
          <w:color w:val="000000" w:themeColor="text1"/>
          <w:kern w:val="0"/>
          <w14:textFill>
            <w14:solidFill>
              <w14:schemeClr w14:val="tx1"/>
            </w14:solidFill>
          </w14:textFill>
        </w:rPr>
        <w:t>（姓名）系</w:t>
      </w:r>
      <w:r>
        <w:rPr>
          <w:rFonts w:hint="eastAsia" w:ascii="宋体" w:hAnsi="宋体" w:cs="宋体"/>
          <w:color w:val="000000" w:themeColor="text1"/>
          <w:kern w:val="0"/>
          <w:u w:val="single"/>
          <w14:textFill>
            <w14:solidFill>
              <w14:schemeClr w14:val="tx1"/>
            </w14:solidFill>
          </w14:textFill>
        </w:rPr>
        <w:t xml:space="preserve">                           </w:t>
      </w:r>
      <w:r>
        <w:rPr>
          <w:rFonts w:hint="eastAsia" w:ascii="宋体" w:hAnsi="宋体" w:cs="宋体"/>
          <w:color w:val="000000" w:themeColor="text1"/>
          <w:kern w:val="0"/>
          <w14:textFill>
            <w14:solidFill>
              <w14:schemeClr w14:val="tx1"/>
            </w14:solidFill>
          </w14:textFill>
        </w:rPr>
        <w:t>（投标人名称）的法定代表人（负责人），现授权委托本单位在职职工</w:t>
      </w:r>
      <w:r>
        <w:rPr>
          <w:rFonts w:hint="eastAsia" w:ascii="宋体" w:hAnsi="宋体" w:cs="宋体"/>
          <w:color w:val="000000" w:themeColor="text1"/>
          <w:kern w:val="0"/>
          <w:u w:val="single"/>
          <w14:textFill>
            <w14:solidFill>
              <w14:schemeClr w14:val="tx1"/>
            </w14:solidFill>
          </w14:textFill>
        </w:rPr>
        <w:t xml:space="preserve">          </w:t>
      </w:r>
      <w:r>
        <w:rPr>
          <w:rFonts w:hint="eastAsia" w:ascii="宋体" w:hAnsi="宋体" w:cs="宋体"/>
          <w:color w:val="000000" w:themeColor="text1"/>
          <w:kern w:val="0"/>
          <w14:textFill>
            <w14:solidFill>
              <w14:schemeClr w14:val="tx1"/>
            </w14:solidFill>
          </w14:textFill>
        </w:rPr>
        <w:t>（姓名），身份证号码：</w:t>
      </w:r>
      <w:r>
        <w:rPr>
          <w:rFonts w:hint="eastAsia" w:ascii="宋体" w:hAnsi="宋体" w:cs="宋体"/>
          <w:color w:val="000000" w:themeColor="text1"/>
          <w:kern w:val="0"/>
          <w:u w:val="single"/>
          <w14:textFill>
            <w14:solidFill>
              <w14:schemeClr w14:val="tx1"/>
            </w14:solidFill>
          </w14:textFill>
        </w:rPr>
        <w:t xml:space="preserve">                      </w:t>
      </w:r>
      <w:r>
        <w:rPr>
          <w:rFonts w:hint="eastAsia" w:ascii="宋体" w:hAnsi="宋体" w:cs="宋体"/>
          <w:color w:val="000000" w:themeColor="text1"/>
          <w:kern w:val="0"/>
          <w14:textFill>
            <w14:solidFill>
              <w14:schemeClr w14:val="tx1"/>
            </w14:solidFill>
          </w14:textFill>
        </w:rPr>
        <w:t>以我公司名义参加</w:t>
      </w:r>
      <w:r>
        <w:rPr>
          <w:rFonts w:hint="eastAsia" w:ascii="宋体" w:hAnsi="宋体" w:cs="宋体"/>
          <w:color w:val="000000" w:themeColor="text1"/>
          <w:kern w:val="0"/>
          <w:u w:val="single"/>
          <w14:textFill>
            <w14:solidFill>
              <w14:schemeClr w14:val="tx1"/>
            </w14:solidFill>
          </w14:textFill>
        </w:rPr>
        <w:t xml:space="preserve">   </w:t>
      </w:r>
      <w:r>
        <w:rPr>
          <w:rFonts w:hint="eastAsia" w:ascii="宋体" w:hAnsi="宋体" w:cs="宋体"/>
          <w:color w:val="000000" w:themeColor="text1"/>
          <w:u w:val="single"/>
          <w14:textFill>
            <w14:solidFill>
              <w14:schemeClr w14:val="tx1"/>
            </w14:solidFill>
          </w14:textFill>
        </w:rPr>
        <w:t xml:space="preserve">（项目名称及项目编号）    </w:t>
      </w:r>
      <w:r>
        <w:rPr>
          <w:rFonts w:hint="eastAsia" w:ascii="宋体" w:hAnsi="宋体" w:cs="宋体"/>
          <w:color w:val="000000" w:themeColor="text1"/>
          <w14:textFill>
            <w14:solidFill>
              <w14:schemeClr w14:val="tx1"/>
            </w14:solidFill>
          </w14:textFill>
        </w:rPr>
        <w:t>项目的投标活动，并代表我方全权办理针对上述项目的投标、开标、评标、签约等具体事务和签署相关文件。</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我方对被授权人的签字事项负全部责任。</w:t>
      </w:r>
    </w:p>
    <w:p>
      <w:pPr>
        <w:spacing w:line="400" w:lineRule="exact"/>
        <w:ind w:firstLine="420" w:firstLineChars="200"/>
        <w:rPr>
          <w:rFonts w:ascii="宋体" w:hAnsi="宋体" w:cs="宋体"/>
          <w:color w:val="000000" w:themeColor="text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授权委托代理期限：自即日起至该项目政府采购活动结束。</w:t>
      </w:r>
    </w:p>
    <w:p>
      <w:pPr>
        <w:spacing w:line="400" w:lineRule="exact"/>
        <w:rPr>
          <w:rFonts w:ascii="宋体" w:hAnsi="宋体" w:cs="宋体"/>
          <w:color w:val="000000" w:themeColor="text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w:t>
      </w:r>
    </w:p>
    <w:p>
      <w:pPr>
        <w:spacing w:line="400" w:lineRule="exact"/>
        <w:ind w:firstLine="420" w:firstLineChars="200"/>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 xml:space="preserve">代理人无转委托权,特此委托。 </w:t>
      </w:r>
    </w:p>
    <w:p>
      <w:pPr>
        <w:snapToGrid w:val="0"/>
        <w:spacing w:line="400" w:lineRule="exact"/>
        <w:ind w:firstLine="525"/>
        <w:rPr>
          <w:rFonts w:ascii="宋体" w:hAnsi="宋体" w:cs="宋体"/>
          <w:color w:val="000000" w:themeColor="text1"/>
          <w:szCs w:val="21"/>
          <w14:textFill>
            <w14:solidFill>
              <w14:schemeClr w14:val="tx1"/>
            </w14:solidFill>
          </w14:textFill>
        </w:rPr>
      </w:pPr>
    </w:p>
    <w:p>
      <w:pPr>
        <w:snapToGrid w:val="0"/>
        <w:spacing w:line="40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我已在下面签字，以资证明。</w:t>
      </w:r>
    </w:p>
    <w:p>
      <w:pPr>
        <w:snapToGrid w:val="0"/>
        <w:spacing w:line="400" w:lineRule="exact"/>
        <w:ind w:firstLine="420"/>
        <w:rPr>
          <w:rFonts w:ascii="宋体" w:hAnsi="宋体" w:cs="宋体"/>
          <w:color w:val="000000" w:themeColor="text1"/>
          <w:szCs w:val="21"/>
          <w14:textFill>
            <w14:solidFill>
              <w14:schemeClr w14:val="tx1"/>
            </w14:solidFill>
          </w14:textFill>
        </w:rPr>
      </w:pPr>
    </w:p>
    <w:p>
      <w:pPr>
        <w:snapToGrid w:val="0"/>
        <w:spacing w:line="400" w:lineRule="exact"/>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投标人（公章）：</w:t>
      </w:r>
      <w:r>
        <w:rPr>
          <w:rFonts w:hint="eastAsia" w:ascii="宋体" w:hAnsi="宋体" w:cs="宋体"/>
          <w:color w:val="000000" w:themeColor="text1"/>
          <w:szCs w:val="21"/>
          <w:u w:val="single"/>
          <w14:textFill>
            <w14:solidFill>
              <w14:schemeClr w14:val="tx1"/>
            </w14:solidFill>
          </w14:textFill>
        </w:rPr>
        <w:t xml:space="preserve">                                   </w:t>
      </w:r>
    </w:p>
    <w:p>
      <w:pPr>
        <w:snapToGrid w:val="0"/>
        <w:spacing w:line="400" w:lineRule="exact"/>
        <w:ind w:firstLine="420"/>
        <w:rPr>
          <w:rFonts w:ascii="宋体" w:hAnsi="宋体" w:cs="宋体"/>
          <w:color w:val="000000" w:themeColor="text1"/>
          <w:szCs w:val="21"/>
          <w14:textFill>
            <w14:solidFill>
              <w14:schemeClr w14:val="tx1"/>
            </w14:solidFill>
          </w14:textFill>
        </w:rPr>
      </w:pPr>
    </w:p>
    <w:p>
      <w:pPr>
        <w:snapToGrid w:val="0"/>
        <w:spacing w:line="40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法定代表人（负责人）签字（或盖章）：</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年</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日</w:t>
      </w:r>
    </w:p>
    <w:p>
      <w:pPr>
        <w:snapToGrid w:val="0"/>
        <w:spacing w:line="400" w:lineRule="exact"/>
        <w:ind w:firstLine="420"/>
        <w:rPr>
          <w:rFonts w:ascii="宋体" w:hAnsi="宋体" w:cs="宋体"/>
          <w:color w:val="000000" w:themeColor="text1"/>
          <w:szCs w:val="21"/>
          <w14:textFill>
            <w14:solidFill>
              <w14:schemeClr w14:val="tx1"/>
            </w14:solidFill>
          </w14:textFill>
        </w:rPr>
      </w:pPr>
    </w:p>
    <w:p>
      <w:pPr>
        <w:spacing w:line="400" w:lineRule="exact"/>
        <w:ind w:firstLine="602" w:firstLineChars="250"/>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附：投标人的授权委托书原件、委托代理人身份证正反面复印件以及由县级以上（含县级）社会养老保险经办机构出具的投标人为委托代理人交纳的开标截止时间前半年内任意连续三个月社保证明复印件（如如投标人为截标时间前60日以内成立的公司，可以提供投标人与委托代理人签订的劳动合同复印件代替社保证明复印件；如投标人为事业单位，可以提供事业单位机构编制管理证复印件或事业单位机构为其发放工资的工资条复印件代替社保证明复印件；如委托代理人为免缴纳社保人员，提供免缴纳社保的证明材料复印件及投标人与委托代理人签订的劳动合同复印件代替社保证明复印件））（委托代理时必须提供）。</w:t>
      </w:r>
    </w:p>
    <w:p>
      <w:pPr>
        <w:pStyle w:val="15"/>
        <w:jc w:val="center"/>
        <w:rPr>
          <w:rFonts w:hAnsi="宋体" w:cs="宋体"/>
          <w:b/>
          <w:color w:val="000000" w:themeColor="text1"/>
          <w:sz w:val="32"/>
          <w14:textFill>
            <w14:solidFill>
              <w14:schemeClr w14:val="tx1"/>
            </w14:solidFill>
          </w14:textFill>
        </w:rPr>
      </w:pPr>
      <w:r>
        <w:rPr>
          <w:rFonts w:hint="eastAsia" w:hAnsi="宋体" w:cs="宋体"/>
          <w:b/>
          <w:color w:val="000000" w:themeColor="text1"/>
          <w:sz w:val="32"/>
          <w14:textFill>
            <w14:solidFill>
              <w14:schemeClr w14:val="tx1"/>
            </w14:solidFill>
          </w14:textFill>
        </w:rPr>
        <w:br w:type="page"/>
      </w:r>
    </w:p>
    <w:p>
      <w:pPr>
        <w:pStyle w:val="15"/>
        <w:jc w:val="center"/>
        <w:rPr>
          <w:rFonts w:hAnsi="宋体" w:cs="宋体"/>
          <w:b/>
          <w:color w:val="000000" w:themeColor="text1"/>
          <w:sz w:val="32"/>
          <w14:textFill>
            <w14:solidFill>
              <w14:schemeClr w14:val="tx1"/>
            </w14:solidFill>
          </w14:textFill>
        </w:rPr>
      </w:pPr>
      <w:r>
        <w:rPr>
          <w:rFonts w:hint="eastAsia" w:hAnsi="宋体" w:cs="宋体"/>
          <w:b/>
          <w:color w:val="000000" w:themeColor="text1"/>
          <w:sz w:val="32"/>
          <w14:textFill>
            <w14:solidFill>
              <w14:schemeClr w14:val="tx1"/>
            </w14:solidFill>
          </w14:textFill>
        </w:rPr>
        <w:t>授权委托书（格式二）</w:t>
      </w:r>
    </w:p>
    <w:p>
      <w:pPr>
        <w:snapToGrid w:val="0"/>
        <w:spacing w:line="400" w:lineRule="exact"/>
        <w:rPr>
          <w:rFonts w:ascii="宋体" w:hAnsi="宋体" w:cs="宋体"/>
          <w:color w:val="000000" w:themeColor="text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致</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u w:val="single"/>
          <w14:textFill>
            <w14:solidFill>
              <w14:schemeClr w14:val="tx1"/>
            </w14:solidFill>
          </w14:textFill>
        </w:rPr>
        <w:t>桂林市政府集中采购中心</w:t>
      </w:r>
    </w:p>
    <w:p>
      <w:pPr>
        <w:snapToGrid w:val="0"/>
        <w:spacing w:line="400" w:lineRule="exact"/>
        <w:rPr>
          <w:rFonts w:ascii="宋体" w:hAnsi="宋体" w:cs="宋体"/>
          <w:color w:val="000000" w:themeColor="text1"/>
          <w:szCs w:val="21"/>
          <w:u w:val="single"/>
          <w14:textFill>
            <w14:solidFill>
              <w14:schemeClr w14:val="tx1"/>
            </w14:solidFill>
          </w14:textFill>
        </w:rPr>
      </w:pPr>
    </w:p>
    <w:p>
      <w:pPr>
        <w:pStyle w:val="15"/>
        <w:spacing w:line="34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kern w:val="0"/>
          <w14:textFill>
            <w14:solidFill>
              <w14:schemeClr w14:val="tx1"/>
            </w14:solidFill>
          </w14:textFill>
        </w:rPr>
        <w:t>我</w:t>
      </w:r>
      <w:r>
        <w:rPr>
          <w:rFonts w:hint="eastAsia" w:hAnsi="宋体" w:cs="宋体"/>
          <w:color w:val="000000" w:themeColor="text1"/>
          <w:kern w:val="0"/>
          <w:u w:val="single"/>
          <w14:textFill>
            <w14:solidFill>
              <w14:schemeClr w14:val="tx1"/>
            </w14:solidFill>
          </w14:textFill>
        </w:rPr>
        <w:t xml:space="preserve">              </w:t>
      </w:r>
      <w:r>
        <w:rPr>
          <w:rFonts w:hint="eastAsia" w:hAnsi="宋体" w:cs="宋体"/>
          <w:color w:val="000000" w:themeColor="text1"/>
          <w:kern w:val="0"/>
          <w14:textFill>
            <w14:solidFill>
              <w14:schemeClr w14:val="tx1"/>
            </w14:solidFill>
          </w14:textFill>
        </w:rPr>
        <w:t>（姓名）系自然人，现授权委托</w:t>
      </w:r>
      <w:r>
        <w:rPr>
          <w:rFonts w:hint="eastAsia" w:hAnsi="宋体" w:cs="宋体"/>
          <w:color w:val="000000" w:themeColor="text1"/>
          <w:kern w:val="0"/>
          <w:u w:val="single"/>
          <w14:textFill>
            <w14:solidFill>
              <w14:schemeClr w14:val="tx1"/>
            </w14:solidFill>
          </w14:textFill>
        </w:rPr>
        <w:t xml:space="preserve">            </w:t>
      </w:r>
      <w:r>
        <w:rPr>
          <w:rFonts w:hint="eastAsia" w:hAnsi="宋体" w:cs="宋体"/>
          <w:color w:val="000000" w:themeColor="text1"/>
          <w:kern w:val="0"/>
          <w14:textFill>
            <w14:solidFill>
              <w14:schemeClr w14:val="tx1"/>
            </w14:solidFill>
          </w14:textFill>
        </w:rPr>
        <w:t>（姓 名），身份证号码：</w:t>
      </w:r>
      <w:r>
        <w:rPr>
          <w:rFonts w:hint="eastAsia" w:hAnsi="宋体" w:cs="宋体"/>
          <w:color w:val="000000" w:themeColor="text1"/>
          <w:kern w:val="0"/>
          <w:u w:val="single"/>
          <w14:textFill>
            <w14:solidFill>
              <w14:schemeClr w14:val="tx1"/>
            </w14:solidFill>
          </w14:textFill>
        </w:rPr>
        <w:t xml:space="preserve">              </w:t>
      </w:r>
      <w:r>
        <w:rPr>
          <w:rFonts w:hint="eastAsia" w:hAnsi="宋体" w:cs="宋体"/>
          <w:color w:val="000000" w:themeColor="text1"/>
          <w:kern w:val="0"/>
          <w14:textFill>
            <w14:solidFill>
              <w14:schemeClr w14:val="tx1"/>
            </w14:solidFill>
          </w14:textFill>
        </w:rPr>
        <w:t>以本人名义参加</w:t>
      </w:r>
      <w:r>
        <w:rPr>
          <w:rFonts w:hint="eastAsia" w:hAnsi="宋体" w:cs="宋体"/>
          <w:color w:val="000000" w:themeColor="text1"/>
          <w:kern w:val="0"/>
          <w:u w:val="single"/>
          <w14:textFill>
            <w14:solidFill>
              <w14:schemeClr w14:val="tx1"/>
            </w14:solidFill>
          </w14:textFill>
        </w:rPr>
        <w:t xml:space="preserve">      </w:t>
      </w:r>
      <w:r>
        <w:rPr>
          <w:rFonts w:hint="eastAsia" w:hAnsi="宋体" w:cs="宋体"/>
          <w:color w:val="000000" w:themeColor="text1"/>
          <w:u w:val="single"/>
          <w14:textFill>
            <w14:solidFill>
              <w14:schemeClr w14:val="tx1"/>
            </w14:solidFill>
          </w14:textFill>
        </w:rPr>
        <w:t xml:space="preserve">（项目名称及项目编号）        </w:t>
      </w:r>
      <w:r>
        <w:rPr>
          <w:rFonts w:hint="eastAsia" w:hAnsi="宋体" w:cs="宋体"/>
          <w:color w:val="000000" w:themeColor="text1"/>
          <w14:textFill>
            <w14:solidFill>
              <w14:schemeClr w14:val="tx1"/>
            </w14:solidFill>
          </w14:textFill>
        </w:rPr>
        <w:t>项目的投标活动，并代表本人全权办理针对上述项目的投标、开标、评标、签约等具体事务和签署相关文件。</w:t>
      </w:r>
    </w:p>
    <w:p>
      <w:pPr>
        <w:pStyle w:val="15"/>
        <w:spacing w:line="34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本人对被授权人的签字事项负全部责任。</w:t>
      </w:r>
    </w:p>
    <w:p>
      <w:pPr>
        <w:pStyle w:val="15"/>
        <w:spacing w:line="400" w:lineRule="exact"/>
        <w:ind w:firstLine="420" w:firstLineChars="200"/>
        <w:rPr>
          <w:rFonts w:hAnsi="宋体" w:cs="宋体"/>
          <w:color w:val="000000" w:themeColor="text1"/>
          <w:u w:val="single"/>
          <w14:textFill>
            <w14:solidFill>
              <w14:schemeClr w14:val="tx1"/>
            </w14:solidFill>
          </w14:textFill>
        </w:rPr>
      </w:pPr>
      <w:r>
        <w:rPr>
          <w:rFonts w:hint="eastAsia" w:hAnsi="宋体" w:cs="宋体"/>
          <w:color w:val="000000" w:themeColor="text1"/>
          <w14:textFill>
            <w14:solidFill>
              <w14:schemeClr w14:val="tx1"/>
            </w14:solidFill>
          </w14:textFill>
        </w:rPr>
        <w:t>授权委托代理期限：自即日起至该项目政府采购活动结束。</w:t>
      </w:r>
    </w:p>
    <w:p>
      <w:pPr>
        <w:pStyle w:val="15"/>
        <w:spacing w:line="340" w:lineRule="exact"/>
        <w:ind w:firstLine="420" w:firstLineChars="200"/>
        <w:rPr>
          <w:rFonts w:hAnsi="宋体" w:cs="宋体"/>
          <w:color w:val="000000" w:themeColor="text1"/>
          <w:u w:val="single"/>
          <w14:textFill>
            <w14:solidFill>
              <w14:schemeClr w14:val="tx1"/>
            </w14:solidFill>
          </w14:textFill>
        </w:rPr>
      </w:pPr>
    </w:p>
    <w:p>
      <w:pPr>
        <w:pStyle w:val="15"/>
        <w:spacing w:line="340" w:lineRule="exact"/>
        <w:rPr>
          <w:rFonts w:hAnsi="宋体" w:cs="宋体"/>
          <w:color w:val="000000" w:themeColor="text1"/>
          <w:u w:val="single"/>
          <w14:textFill>
            <w14:solidFill>
              <w14:schemeClr w14:val="tx1"/>
            </w14:solidFill>
          </w14:textFill>
        </w:rPr>
      </w:pPr>
      <w:r>
        <w:rPr>
          <w:rFonts w:hint="eastAsia" w:hAnsi="宋体" w:cs="宋体"/>
          <w:color w:val="000000" w:themeColor="text1"/>
          <w14:textFill>
            <w14:solidFill>
              <w14:schemeClr w14:val="tx1"/>
            </w14:solidFill>
          </w14:textFill>
        </w:rPr>
        <w:t xml:space="preserve">                                                                                             </w:t>
      </w:r>
    </w:p>
    <w:p>
      <w:pPr>
        <w:spacing w:line="340" w:lineRule="exact"/>
        <w:ind w:firstLine="420" w:firstLineChars="200"/>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 xml:space="preserve">代理人无转委托权,特此委托。 </w:t>
      </w:r>
    </w:p>
    <w:p>
      <w:pPr>
        <w:snapToGrid w:val="0"/>
        <w:spacing w:line="340" w:lineRule="exact"/>
        <w:ind w:firstLine="525"/>
        <w:rPr>
          <w:rFonts w:ascii="宋体" w:hAnsi="宋体" w:cs="宋体"/>
          <w:color w:val="000000" w:themeColor="text1"/>
          <w:szCs w:val="21"/>
          <w14:textFill>
            <w14:solidFill>
              <w14:schemeClr w14:val="tx1"/>
            </w14:solidFill>
          </w14:textFill>
        </w:rPr>
      </w:pPr>
    </w:p>
    <w:p>
      <w:pPr>
        <w:snapToGrid w:val="0"/>
        <w:spacing w:line="3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我已在下面签字，以资证明。</w:t>
      </w:r>
    </w:p>
    <w:p>
      <w:pPr>
        <w:snapToGrid w:val="0"/>
        <w:spacing w:line="340" w:lineRule="exact"/>
        <w:ind w:firstLine="420"/>
        <w:rPr>
          <w:rFonts w:ascii="宋体" w:hAnsi="宋体" w:cs="宋体"/>
          <w:color w:val="000000" w:themeColor="text1"/>
          <w:szCs w:val="21"/>
          <w14:textFill>
            <w14:solidFill>
              <w14:schemeClr w14:val="tx1"/>
            </w14:solidFill>
          </w14:textFill>
        </w:rPr>
      </w:pPr>
    </w:p>
    <w:p>
      <w:pPr>
        <w:snapToGrid w:val="0"/>
        <w:spacing w:line="34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自然人签字并在签名处加盖大拇指指印：</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年</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日</w:t>
      </w:r>
    </w:p>
    <w:p>
      <w:pPr>
        <w:snapToGrid w:val="0"/>
        <w:spacing w:line="340" w:lineRule="exact"/>
        <w:ind w:firstLine="420"/>
        <w:rPr>
          <w:rFonts w:ascii="宋体" w:hAnsi="宋体" w:cs="宋体"/>
          <w:color w:val="000000" w:themeColor="text1"/>
          <w:szCs w:val="21"/>
          <w14:textFill>
            <w14:solidFill>
              <w14:schemeClr w14:val="tx1"/>
            </w14:solidFill>
          </w14:textFill>
        </w:rPr>
      </w:pPr>
    </w:p>
    <w:p>
      <w:pPr>
        <w:spacing w:line="400" w:lineRule="exact"/>
        <w:ind w:firstLine="602" w:firstLineChars="250"/>
        <w:rPr>
          <w:rFonts w:ascii="宋体" w:hAnsi="宋体" w:cs="宋体"/>
          <w:b/>
          <w:color w:val="000000" w:themeColor="text1"/>
          <w:sz w:val="24"/>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39" w:name="_Toc12280"/>
      <w:bookmarkStart w:id="240" w:name="_Toc495841790"/>
      <w:r>
        <w:rPr>
          <w:rFonts w:hint="eastAsia" w:ascii="宋体" w:hAnsi="宋体" w:cs="宋体"/>
          <w:b/>
          <w:bCs/>
          <w:color w:val="000000" w:themeColor="text1"/>
          <w:sz w:val="32"/>
          <w:szCs w:val="32"/>
          <w14:textFill>
            <w14:solidFill>
              <w14:schemeClr w14:val="tx1"/>
            </w14:solidFill>
          </w14:textFill>
        </w:rPr>
        <w:t>3.投标人的法人或者其他组织营业执照等证明文件复印件（必须提供，自然人除外）</w:t>
      </w:r>
      <w:bookmarkEnd w:id="239"/>
      <w:bookmarkEnd w:id="240"/>
    </w:p>
    <w:p>
      <w:pPr>
        <w:tabs>
          <w:tab w:val="left" w:pos="1305"/>
        </w:tabs>
        <w:spacing w:line="400" w:lineRule="exac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注：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spacing w:line="400" w:lineRule="exact"/>
        <w:ind w:left="420" w:leftChars="200" w:firstLine="157" w:firstLineChars="49"/>
        <w:rPr>
          <w:rFonts w:ascii="宋体" w:hAnsi="宋体" w:cs="宋体"/>
          <w:b/>
          <w:color w:val="000000" w:themeColor="text1"/>
          <w:sz w:val="32"/>
          <w:szCs w:val="32"/>
          <w14:textFill>
            <w14:solidFill>
              <w14:schemeClr w14:val="tx1"/>
            </w14:solidFill>
          </w14:textFill>
        </w:rPr>
      </w:pPr>
    </w:p>
    <w:p>
      <w:pPr>
        <w:spacing w:line="400" w:lineRule="exact"/>
        <w:ind w:left="420" w:leftChars="200" w:firstLine="157" w:firstLineChars="49"/>
        <w:rPr>
          <w:rFonts w:ascii="宋体" w:hAnsi="宋体" w:cs="宋体"/>
          <w:b/>
          <w:color w:val="000000" w:themeColor="text1"/>
          <w:sz w:val="32"/>
          <w:szCs w:val="32"/>
          <w14:textFill>
            <w14:solidFill>
              <w14:schemeClr w14:val="tx1"/>
            </w14:solidFill>
          </w14:textFill>
        </w:rPr>
      </w:pPr>
    </w:p>
    <w:p>
      <w:pPr>
        <w:pStyle w:val="71"/>
        <w:rPr>
          <w:rFonts w:ascii="宋体" w:hAnsi="宋体" w:cs="宋体"/>
          <w:color w:val="000000" w:themeColor="text1"/>
          <w14:textFill>
            <w14:solidFill>
              <w14:schemeClr w14:val="tx1"/>
            </w14:solidFill>
          </w14:textFill>
        </w:rPr>
      </w:pPr>
    </w:p>
    <w:p>
      <w:pPr>
        <w:rPr>
          <w:rFonts w:ascii="宋体" w:hAnsi="宋体" w:cs="宋体"/>
          <w:color w:val="000000" w:themeColor="text1"/>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4.投标人近三年中任一年度经第三方审计的财务状况报告复印件（或银行出具的资信证明或财政部门认可的政府采购专业担保机构出具的投标担保函）（必须提供）；</w:t>
      </w:r>
      <w:bookmarkStart w:id="241" w:name="_Toc26950"/>
      <w:bookmarkStart w:id="242" w:name="_Toc495841793"/>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5.投标人参加政府采购活动前3年内在经营活动中没有重大违法记录及有关信用信息的书面声明（必须提供）</w:t>
      </w:r>
      <w:bookmarkEnd w:id="241"/>
      <w:bookmarkEnd w:id="242"/>
    </w:p>
    <w:p>
      <w:pPr>
        <w:spacing w:line="400" w:lineRule="exact"/>
        <w:jc w:val="center"/>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声   明</w:t>
      </w:r>
    </w:p>
    <w:p>
      <w:pPr>
        <w:snapToGrid w:val="0"/>
        <w:spacing w:line="400" w:lineRule="exact"/>
        <w:rPr>
          <w:rFonts w:ascii="宋体" w:hAnsi="宋体" w:cs="宋体"/>
          <w:color w:val="000000" w:themeColor="text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致</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u w:val="single"/>
          <w14:textFill>
            <w14:solidFill>
              <w14:schemeClr w14:val="tx1"/>
            </w14:solidFill>
          </w14:textFill>
        </w:rPr>
        <w:t>桂林市政府集中采购中心</w:t>
      </w:r>
    </w:p>
    <w:p>
      <w:pPr>
        <w:snapToGrid w:val="0"/>
        <w:spacing w:line="400" w:lineRule="exact"/>
        <w:rPr>
          <w:rFonts w:ascii="宋体" w:hAnsi="宋体" w:cs="宋体"/>
          <w:color w:val="000000" w:themeColor="text1"/>
          <w:szCs w:val="21"/>
          <w:u w:val="single"/>
          <w14:textFill>
            <w14:solidFill>
              <w14:schemeClr w14:val="tx1"/>
            </w14:solidFill>
          </w14:textFill>
        </w:rPr>
      </w:pPr>
    </w:p>
    <w:p>
      <w:pPr>
        <w:pStyle w:val="15"/>
        <w:spacing w:line="38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我（公司）郑重声明，在参加本项目政府采购活动前3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snapToGrid w:val="0"/>
        <w:spacing w:line="400" w:lineRule="exact"/>
        <w:ind w:firstLine="4515" w:firstLineChars="2150"/>
        <w:rPr>
          <w:rFonts w:ascii="宋体" w:hAnsi="宋体" w:cs="宋体"/>
          <w:color w:val="000000" w:themeColor="text1"/>
          <w:szCs w:val="21"/>
          <w14:textFill>
            <w14:solidFill>
              <w14:schemeClr w14:val="tx1"/>
            </w14:solidFill>
          </w14:textFill>
        </w:rPr>
      </w:pPr>
    </w:p>
    <w:p>
      <w:pPr>
        <w:snapToGrid w:val="0"/>
        <w:spacing w:line="400" w:lineRule="exact"/>
        <w:ind w:firstLine="1890" w:firstLineChars="9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投标人（公章，自然人除外）：</w:t>
      </w:r>
      <w:r>
        <w:rPr>
          <w:rFonts w:hint="eastAsia" w:ascii="宋体" w:hAnsi="宋体" w:cs="宋体"/>
          <w:color w:val="000000" w:themeColor="text1"/>
          <w:szCs w:val="21"/>
          <w:u w:val="single"/>
          <w14:textFill>
            <w14:solidFill>
              <w14:schemeClr w14:val="tx1"/>
            </w14:solidFill>
          </w14:textFill>
        </w:rPr>
        <w:t xml:space="preserve">                                         </w:t>
      </w:r>
    </w:p>
    <w:p>
      <w:pPr>
        <w:spacing w:line="340" w:lineRule="exact"/>
        <w:ind w:firstLine="1890" w:firstLineChars="9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法定代表人、负责人、自然人或相应的委托代理人签字（或盖章）</w:t>
      </w:r>
    </w:p>
    <w:p>
      <w:pPr>
        <w:spacing w:line="340" w:lineRule="exact"/>
        <w:ind w:firstLine="1680" w:firstLineChars="8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（属自然人的应在签名处加盖大拇指指印）：</w:t>
      </w:r>
      <w:r>
        <w:rPr>
          <w:rFonts w:hint="eastAsia" w:ascii="宋体" w:hAnsi="宋体" w:cs="宋体"/>
          <w:color w:val="000000" w:themeColor="text1"/>
          <w:szCs w:val="21"/>
          <w:u w:val="single"/>
          <w14:textFill>
            <w14:solidFill>
              <w14:schemeClr w14:val="tx1"/>
            </w14:solidFill>
          </w14:textFill>
        </w:rPr>
        <w:t xml:space="preserve">                              </w:t>
      </w:r>
    </w:p>
    <w:p>
      <w:pPr>
        <w:snapToGrid w:val="0"/>
        <w:spacing w:line="400" w:lineRule="exact"/>
        <w:ind w:firstLine="1890" w:firstLineChars="9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w:t>
      </w:r>
    </w:p>
    <w:p>
      <w:pPr>
        <w:snapToGrid w:val="0"/>
        <w:spacing w:line="400" w:lineRule="exact"/>
        <w:ind w:firstLine="1890" w:firstLineChars="9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日          期：</w:t>
      </w:r>
      <w:r>
        <w:rPr>
          <w:rFonts w:hint="eastAsia" w:ascii="宋体" w:hAnsi="宋体" w:cs="宋体"/>
          <w:color w:val="000000" w:themeColor="text1"/>
          <w:u w:val="single"/>
          <w14:textFill>
            <w14:solidFill>
              <w14:schemeClr w14:val="tx1"/>
            </w14:solidFill>
          </w14:textFill>
        </w:rPr>
        <w:t xml:space="preserve">                                                   </w:t>
      </w:r>
    </w:p>
    <w:p>
      <w:pPr>
        <w:spacing w:line="400" w:lineRule="exact"/>
        <w:rPr>
          <w:rFonts w:ascii="宋体" w:hAnsi="宋体" w:cs="宋体"/>
          <w:b/>
          <w:color w:val="000000" w:themeColor="text1"/>
          <w:sz w:val="32"/>
          <w:szCs w:val="32"/>
          <w14:textFill>
            <w14:solidFill>
              <w14:schemeClr w14:val="tx1"/>
            </w14:solidFill>
          </w14:textFill>
        </w:rPr>
      </w:pPr>
    </w:p>
    <w:p>
      <w:pPr>
        <w:spacing w:line="400" w:lineRule="exact"/>
        <w:rPr>
          <w:rFonts w:ascii="宋体" w:hAnsi="宋体" w:cs="宋体"/>
          <w:b/>
          <w:color w:val="000000" w:themeColor="text1"/>
          <w:sz w:val="32"/>
          <w:szCs w:val="32"/>
          <w14:textFill>
            <w14:solidFill>
              <w14:schemeClr w14:val="tx1"/>
            </w14:solidFill>
          </w14:textFill>
        </w:rPr>
      </w:pPr>
    </w:p>
    <w:p>
      <w:pPr>
        <w:spacing w:line="400" w:lineRule="exact"/>
        <w:rPr>
          <w:rFonts w:ascii="宋体" w:hAnsi="宋体" w:cs="宋体"/>
          <w:b/>
          <w:color w:val="000000" w:themeColor="text1"/>
          <w:sz w:val="32"/>
          <w:szCs w:val="32"/>
          <w14:textFill>
            <w14:solidFill>
              <w14:schemeClr w14:val="tx1"/>
            </w14:solidFill>
          </w14:textFill>
        </w:rPr>
      </w:pPr>
    </w:p>
    <w:p>
      <w:pPr>
        <w:spacing w:line="400" w:lineRule="exact"/>
        <w:jc w:val="center"/>
        <w:outlineLvl w:val="1"/>
        <w:rPr>
          <w:rFonts w:ascii="宋体" w:hAnsi="宋体" w:cs="宋体"/>
          <w:b/>
          <w:color w:val="000000" w:themeColor="text1"/>
          <w:sz w:val="32"/>
          <w:szCs w:val="32"/>
          <w14:textFill>
            <w14:solidFill>
              <w14:schemeClr w14:val="tx1"/>
            </w14:solidFill>
          </w14:textFill>
        </w:rPr>
      </w:pPr>
      <w:bookmarkStart w:id="243" w:name="_Toc495841794"/>
    </w:p>
    <w:p>
      <w:pPr>
        <w:spacing w:line="400" w:lineRule="exact"/>
        <w:jc w:val="center"/>
        <w:outlineLvl w:val="1"/>
        <w:rPr>
          <w:rFonts w:ascii="宋体" w:hAnsi="宋体" w:cs="宋体"/>
          <w:b/>
          <w:color w:val="000000" w:themeColor="text1"/>
          <w:sz w:val="32"/>
          <w:szCs w:val="32"/>
          <w14:textFill>
            <w14:solidFill>
              <w14:schemeClr w14:val="tx1"/>
            </w14:solidFill>
          </w14:textFill>
        </w:rPr>
      </w:pPr>
    </w:p>
    <w:p>
      <w:pPr>
        <w:spacing w:line="400" w:lineRule="exact"/>
        <w:jc w:val="center"/>
        <w:outlineLvl w:val="1"/>
        <w:rPr>
          <w:rFonts w:ascii="宋体" w:hAnsi="宋体" w:cs="宋体"/>
          <w:b/>
          <w:color w:val="000000" w:themeColor="text1"/>
          <w:sz w:val="32"/>
          <w:szCs w:val="32"/>
          <w14:textFill>
            <w14:solidFill>
              <w14:schemeClr w14:val="tx1"/>
            </w14:solidFill>
          </w14:textFill>
        </w:rPr>
      </w:pPr>
    </w:p>
    <w:p>
      <w:pPr>
        <w:spacing w:line="400" w:lineRule="exact"/>
        <w:jc w:val="center"/>
        <w:outlineLvl w:val="1"/>
        <w:rPr>
          <w:rFonts w:ascii="宋体" w:hAnsi="宋体" w:cs="宋体"/>
          <w:b/>
          <w:color w:val="000000" w:themeColor="text1"/>
          <w:sz w:val="32"/>
          <w:szCs w:val="32"/>
          <w14:textFill>
            <w14:solidFill>
              <w14:schemeClr w14:val="tx1"/>
            </w14:solidFill>
          </w14:textFill>
        </w:rPr>
      </w:pPr>
    </w:p>
    <w:p>
      <w:pPr>
        <w:spacing w:line="400" w:lineRule="exact"/>
        <w:jc w:val="center"/>
        <w:outlineLvl w:val="1"/>
        <w:rPr>
          <w:rFonts w:ascii="宋体" w:hAnsi="宋体" w:cs="宋体"/>
          <w:b/>
          <w:color w:val="000000" w:themeColor="text1"/>
          <w:sz w:val="32"/>
          <w:szCs w:val="32"/>
          <w14:textFill>
            <w14:solidFill>
              <w14:schemeClr w14:val="tx1"/>
            </w14:solidFill>
          </w14:textFill>
        </w:rPr>
      </w:pPr>
    </w:p>
    <w:p>
      <w:pPr>
        <w:spacing w:line="400" w:lineRule="exact"/>
        <w:jc w:val="center"/>
        <w:outlineLvl w:val="1"/>
        <w:rPr>
          <w:rFonts w:ascii="宋体" w:hAnsi="宋体" w:cs="宋体"/>
          <w:b/>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6.投标人近半年内任意一个月或任一季度依法缴纳税收的证明材料（增值税发票(税收完税证明)或企业所得税完税证明或税务部门出具的免税证明）复印件（必须提供）</w:t>
      </w: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br w:type="page"/>
      </w:r>
      <w:bookmarkStart w:id="244" w:name="_Toc26652"/>
      <w:r>
        <w:rPr>
          <w:rFonts w:hint="eastAsia" w:ascii="宋体" w:hAnsi="宋体" w:cs="宋体"/>
          <w:b/>
          <w:bCs/>
          <w:color w:val="000000" w:themeColor="text1"/>
          <w:sz w:val="32"/>
          <w:szCs w:val="32"/>
          <w14:textFill>
            <w14:solidFill>
              <w14:schemeClr w14:val="tx1"/>
            </w14:solidFill>
          </w14:textFill>
        </w:rPr>
        <w:t>三、商务、技术性响应及其他有效证明材料（格式）</w:t>
      </w:r>
      <w:bookmarkEnd w:id="243"/>
      <w:bookmarkEnd w:id="244"/>
    </w:p>
    <w:p>
      <w:pPr>
        <w:rPr>
          <w:rFonts w:ascii="宋体" w:hAnsi="宋体" w:cs="宋体"/>
          <w:b/>
          <w:bCs/>
          <w:color w:val="000000" w:themeColor="text1"/>
          <w:sz w:val="32"/>
          <w:szCs w:val="32"/>
          <w14:textFill>
            <w14:solidFill>
              <w14:schemeClr w14:val="tx1"/>
            </w14:solidFill>
          </w14:textFill>
        </w:rPr>
      </w:pPr>
      <w:bookmarkStart w:id="245" w:name="_Toc2409"/>
      <w:bookmarkStart w:id="246" w:name="_Toc495841795"/>
      <w:r>
        <w:rPr>
          <w:rFonts w:hint="eastAsia" w:ascii="宋体" w:hAnsi="宋体" w:cs="宋体"/>
          <w:b/>
          <w:bCs/>
          <w:color w:val="000000" w:themeColor="text1"/>
          <w:sz w:val="32"/>
          <w:szCs w:val="32"/>
          <w14:textFill>
            <w14:solidFill>
              <w14:schemeClr w14:val="tx1"/>
            </w14:solidFill>
          </w14:textFill>
        </w:rPr>
        <w:t>1.技术规格偏离表（必须提供）</w:t>
      </w:r>
      <w:bookmarkEnd w:id="245"/>
      <w:bookmarkEnd w:id="246"/>
    </w:p>
    <w:p>
      <w:pPr>
        <w:rPr>
          <w:rFonts w:ascii="宋体" w:hAnsi="宋体" w:cs="宋体"/>
          <w:b/>
          <w:color w:val="000000" w:themeColor="text1"/>
          <w:sz w:val="24"/>
          <w14:textFill>
            <w14:solidFill>
              <w14:schemeClr w14:val="tx1"/>
            </w14:solidFill>
          </w14:textFill>
        </w:rPr>
      </w:pPr>
    </w:p>
    <w:p>
      <w:pPr>
        <w:jc w:val="center"/>
        <w:rPr>
          <w:rFonts w:ascii="宋体" w:hAnsi="宋体" w:cs="宋体"/>
          <w:b/>
          <w:bCs/>
          <w:color w:val="000000" w:themeColor="text1"/>
          <w:sz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技术规格偏离表</w:t>
      </w:r>
      <w:r>
        <w:rPr>
          <w:rFonts w:hint="eastAsia" w:ascii="宋体" w:hAnsi="宋体" w:cs="宋体"/>
          <w:b/>
          <w:bCs/>
          <w:color w:val="000000" w:themeColor="text1"/>
          <w:sz w:val="32"/>
          <w14:textFill>
            <w14:solidFill>
              <w14:schemeClr w14:val="tx1"/>
            </w14:solidFill>
          </w14:textFill>
        </w:rPr>
        <w:t>（格式）</w:t>
      </w:r>
    </w:p>
    <w:p>
      <w:pPr>
        <w:pStyle w:val="43"/>
        <w:rPr>
          <w:color w:val="000000" w:themeColor="text1"/>
          <w14:textFill>
            <w14:solidFill>
              <w14:schemeClr w14:val="tx1"/>
            </w14:solidFill>
          </w14:textFill>
        </w:rPr>
      </w:pPr>
    </w:p>
    <w:tbl>
      <w:tblPr>
        <w:tblStyle w:val="26"/>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126"/>
        <w:gridCol w:w="2313"/>
        <w:gridCol w:w="2520"/>
        <w:gridCol w:w="21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709" w:type="dxa"/>
            <w:shd w:val="clear" w:color="auto" w:fill="8DB3E2"/>
            <w:vAlign w:val="center"/>
          </w:tcPr>
          <w:p>
            <w:pPr>
              <w:spacing w:line="400" w:lineRule="exact"/>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序号</w:t>
            </w:r>
          </w:p>
        </w:tc>
        <w:tc>
          <w:tcPr>
            <w:tcW w:w="2126" w:type="dxa"/>
            <w:shd w:val="clear" w:color="auto" w:fill="8DB3E2"/>
            <w:vAlign w:val="center"/>
          </w:tcPr>
          <w:p>
            <w:pPr>
              <w:spacing w:line="400" w:lineRule="exact"/>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货物名称</w:t>
            </w:r>
          </w:p>
        </w:tc>
        <w:tc>
          <w:tcPr>
            <w:tcW w:w="2313" w:type="dxa"/>
            <w:shd w:val="clear" w:color="auto" w:fill="8DB3E2"/>
            <w:vAlign w:val="center"/>
          </w:tcPr>
          <w:p>
            <w:pPr>
              <w:spacing w:line="400" w:lineRule="exact"/>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项目要求及技术需求</w:t>
            </w:r>
          </w:p>
        </w:tc>
        <w:tc>
          <w:tcPr>
            <w:tcW w:w="2520" w:type="dxa"/>
            <w:shd w:val="clear" w:color="auto" w:fill="8DB3E2"/>
            <w:vAlign w:val="center"/>
          </w:tcPr>
          <w:p>
            <w:pPr>
              <w:spacing w:line="400" w:lineRule="exact"/>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投标文件的响应情况</w:t>
            </w:r>
          </w:p>
        </w:tc>
        <w:tc>
          <w:tcPr>
            <w:tcW w:w="2113" w:type="dxa"/>
            <w:shd w:val="clear" w:color="auto" w:fill="8DB3E2"/>
            <w:vAlign w:val="center"/>
          </w:tcPr>
          <w:p>
            <w:pPr>
              <w:spacing w:line="400" w:lineRule="exact"/>
              <w:jc w:val="center"/>
              <w:rPr>
                <w:rFonts w:ascii="宋体" w:hAnsi="宋体" w:cs="宋体"/>
                <w:b/>
                <w:color w:val="000000" w:themeColor="text1"/>
                <w14:textFill>
                  <w14:solidFill>
                    <w14:schemeClr w14:val="tx1"/>
                  </w14:solidFill>
                </w14:textFill>
              </w:rPr>
            </w:pPr>
            <w:bookmarkStart w:id="247" w:name="_Toc254970560"/>
            <w:bookmarkStart w:id="248" w:name="_Toc254970701"/>
            <w:r>
              <w:rPr>
                <w:rFonts w:hint="eastAsia" w:ascii="宋体" w:hAnsi="宋体" w:cs="宋体"/>
                <w:b/>
                <w:color w:val="000000" w:themeColor="text1"/>
                <w14:textFill>
                  <w14:solidFill>
                    <w14:schemeClr w14:val="tx1"/>
                  </w14:solidFill>
                </w14:textFill>
              </w:rPr>
              <w:t>偏离情况</w:t>
            </w:r>
            <w:bookmarkEnd w:id="247"/>
            <w:bookmarkEnd w:id="248"/>
            <w:r>
              <w:rPr>
                <w:rFonts w:hint="eastAsia" w:ascii="宋体" w:hAnsi="宋体" w:cs="宋体"/>
                <w:b/>
                <w:color w:val="000000" w:themeColor="text1"/>
                <w14:textFill>
                  <w14:solidFill>
                    <w14:schemeClr w14:val="tx1"/>
                  </w14:solidFill>
                </w14:textFill>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2126" w:type="dxa"/>
            <w:vAlign w:val="center"/>
          </w:tcPr>
          <w:p>
            <w:pPr>
              <w:spacing w:line="400" w:lineRule="exact"/>
              <w:rPr>
                <w:rFonts w:ascii="宋体" w:hAnsi="宋体" w:cs="宋体"/>
                <w:color w:val="000000" w:themeColor="text1"/>
                <w:kern w:val="0"/>
                <w:szCs w:val="21"/>
                <w14:textFill>
                  <w14:solidFill>
                    <w14:schemeClr w14:val="tx1"/>
                  </w14:solidFill>
                </w14:textFill>
              </w:rPr>
            </w:pPr>
          </w:p>
        </w:tc>
        <w:tc>
          <w:tcPr>
            <w:tcW w:w="2313" w:type="dxa"/>
            <w:vAlign w:val="center"/>
          </w:tcPr>
          <w:p>
            <w:pPr>
              <w:spacing w:line="400" w:lineRule="exact"/>
              <w:jc w:val="left"/>
              <w:rPr>
                <w:rFonts w:ascii="宋体" w:hAnsi="宋体" w:cs="宋体"/>
                <w:color w:val="000000" w:themeColor="text1"/>
                <w14:textFill>
                  <w14:solidFill>
                    <w14:schemeClr w14:val="tx1"/>
                  </w14:solidFill>
                </w14:textFill>
              </w:rPr>
            </w:pPr>
          </w:p>
        </w:tc>
        <w:tc>
          <w:tcPr>
            <w:tcW w:w="2520" w:type="dxa"/>
          </w:tcPr>
          <w:p>
            <w:pPr>
              <w:spacing w:line="400" w:lineRule="exact"/>
              <w:jc w:val="left"/>
              <w:rPr>
                <w:rFonts w:ascii="宋体" w:hAnsi="宋体" w:cs="宋体"/>
                <w:color w:val="000000" w:themeColor="text1"/>
                <w14:textFill>
                  <w14:solidFill>
                    <w14:schemeClr w14:val="tx1"/>
                  </w14:solidFill>
                </w14:textFill>
              </w:rPr>
            </w:pPr>
          </w:p>
        </w:tc>
        <w:tc>
          <w:tcPr>
            <w:tcW w:w="2113" w:type="dxa"/>
            <w:vAlign w:val="center"/>
          </w:tcPr>
          <w:p>
            <w:pPr>
              <w:spacing w:line="400" w:lineRule="exact"/>
              <w:jc w:val="left"/>
              <w:rPr>
                <w:rFonts w:ascii="宋体" w:hAnsi="宋体"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2126" w:type="dxa"/>
            <w:vAlign w:val="center"/>
          </w:tcPr>
          <w:p>
            <w:pPr>
              <w:spacing w:line="400" w:lineRule="exact"/>
              <w:rPr>
                <w:rFonts w:ascii="宋体" w:hAnsi="宋体" w:cs="宋体"/>
                <w:color w:val="000000" w:themeColor="text1"/>
                <w:kern w:val="0"/>
                <w:szCs w:val="21"/>
                <w14:textFill>
                  <w14:solidFill>
                    <w14:schemeClr w14:val="tx1"/>
                  </w14:solidFill>
                </w14:textFill>
              </w:rPr>
            </w:pPr>
          </w:p>
        </w:tc>
        <w:tc>
          <w:tcPr>
            <w:tcW w:w="2313" w:type="dxa"/>
            <w:vAlign w:val="center"/>
          </w:tcPr>
          <w:p>
            <w:pPr>
              <w:spacing w:line="400" w:lineRule="exact"/>
              <w:jc w:val="left"/>
              <w:rPr>
                <w:rFonts w:ascii="宋体" w:hAnsi="宋体" w:cs="宋体"/>
                <w:color w:val="000000" w:themeColor="text1"/>
                <w14:textFill>
                  <w14:solidFill>
                    <w14:schemeClr w14:val="tx1"/>
                  </w14:solidFill>
                </w14:textFill>
              </w:rPr>
            </w:pPr>
          </w:p>
        </w:tc>
        <w:tc>
          <w:tcPr>
            <w:tcW w:w="2520" w:type="dxa"/>
          </w:tcPr>
          <w:p>
            <w:pPr>
              <w:spacing w:line="400" w:lineRule="exact"/>
              <w:jc w:val="left"/>
              <w:rPr>
                <w:rFonts w:ascii="宋体" w:hAnsi="宋体" w:cs="宋体"/>
                <w:color w:val="000000" w:themeColor="text1"/>
                <w14:textFill>
                  <w14:solidFill>
                    <w14:schemeClr w14:val="tx1"/>
                  </w14:solidFill>
                </w14:textFill>
              </w:rPr>
            </w:pPr>
          </w:p>
        </w:tc>
        <w:tc>
          <w:tcPr>
            <w:tcW w:w="2113" w:type="dxa"/>
            <w:vAlign w:val="center"/>
          </w:tcPr>
          <w:p>
            <w:pPr>
              <w:spacing w:line="400" w:lineRule="exact"/>
              <w:jc w:val="left"/>
              <w:rPr>
                <w:rFonts w:ascii="宋体" w:hAnsi="宋体"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2126" w:type="dxa"/>
            <w:vAlign w:val="center"/>
          </w:tcPr>
          <w:p>
            <w:pPr>
              <w:spacing w:line="400" w:lineRule="exact"/>
              <w:rPr>
                <w:rFonts w:ascii="宋体" w:hAnsi="宋体" w:cs="宋体"/>
                <w:color w:val="000000" w:themeColor="text1"/>
                <w:kern w:val="0"/>
                <w:szCs w:val="21"/>
                <w14:textFill>
                  <w14:solidFill>
                    <w14:schemeClr w14:val="tx1"/>
                  </w14:solidFill>
                </w14:textFill>
              </w:rPr>
            </w:pPr>
          </w:p>
        </w:tc>
        <w:tc>
          <w:tcPr>
            <w:tcW w:w="2313" w:type="dxa"/>
          </w:tcPr>
          <w:p>
            <w:pPr>
              <w:spacing w:line="400" w:lineRule="exact"/>
              <w:jc w:val="left"/>
              <w:rPr>
                <w:rFonts w:ascii="宋体" w:hAnsi="宋体" w:cs="宋体"/>
                <w:color w:val="000000" w:themeColor="text1"/>
                <w14:textFill>
                  <w14:solidFill>
                    <w14:schemeClr w14:val="tx1"/>
                  </w14:solidFill>
                </w14:textFill>
              </w:rPr>
            </w:pPr>
          </w:p>
        </w:tc>
        <w:tc>
          <w:tcPr>
            <w:tcW w:w="2520" w:type="dxa"/>
          </w:tcPr>
          <w:p>
            <w:pPr>
              <w:spacing w:line="400" w:lineRule="exact"/>
              <w:jc w:val="left"/>
              <w:rPr>
                <w:rFonts w:ascii="宋体" w:hAnsi="宋体" w:cs="宋体"/>
                <w:color w:val="000000" w:themeColor="text1"/>
                <w14:textFill>
                  <w14:solidFill>
                    <w14:schemeClr w14:val="tx1"/>
                  </w14:solidFill>
                </w14:textFill>
              </w:rPr>
            </w:pPr>
          </w:p>
        </w:tc>
        <w:tc>
          <w:tcPr>
            <w:tcW w:w="2113" w:type="dxa"/>
          </w:tcPr>
          <w:p>
            <w:pPr>
              <w:spacing w:line="400" w:lineRule="exact"/>
              <w:jc w:val="left"/>
              <w:rPr>
                <w:rFonts w:ascii="宋体" w:hAnsi="宋体"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p>
        </w:tc>
        <w:tc>
          <w:tcPr>
            <w:tcW w:w="2126" w:type="dxa"/>
            <w:vAlign w:val="center"/>
          </w:tcPr>
          <w:p>
            <w:pPr>
              <w:spacing w:line="400" w:lineRule="exact"/>
              <w:rPr>
                <w:rFonts w:ascii="宋体" w:hAnsi="宋体" w:cs="宋体"/>
                <w:color w:val="000000" w:themeColor="text1"/>
                <w:kern w:val="0"/>
                <w:szCs w:val="21"/>
                <w14:textFill>
                  <w14:solidFill>
                    <w14:schemeClr w14:val="tx1"/>
                  </w14:solidFill>
                </w14:textFill>
              </w:rPr>
            </w:pPr>
          </w:p>
        </w:tc>
        <w:tc>
          <w:tcPr>
            <w:tcW w:w="2313" w:type="dxa"/>
          </w:tcPr>
          <w:p>
            <w:pPr>
              <w:spacing w:line="400" w:lineRule="exact"/>
              <w:jc w:val="left"/>
              <w:rPr>
                <w:rFonts w:ascii="宋体" w:hAnsi="宋体" w:cs="宋体"/>
                <w:color w:val="000000" w:themeColor="text1"/>
                <w14:textFill>
                  <w14:solidFill>
                    <w14:schemeClr w14:val="tx1"/>
                  </w14:solidFill>
                </w14:textFill>
              </w:rPr>
            </w:pPr>
          </w:p>
        </w:tc>
        <w:tc>
          <w:tcPr>
            <w:tcW w:w="2520" w:type="dxa"/>
          </w:tcPr>
          <w:p>
            <w:pPr>
              <w:spacing w:line="400" w:lineRule="exact"/>
              <w:jc w:val="left"/>
              <w:rPr>
                <w:rFonts w:ascii="宋体" w:hAnsi="宋体" w:cs="宋体"/>
                <w:color w:val="000000" w:themeColor="text1"/>
                <w14:textFill>
                  <w14:solidFill>
                    <w14:schemeClr w14:val="tx1"/>
                  </w14:solidFill>
                </w14:textFill>
              </w:rPr>
            </w:pPr>
          </w:p>
        </w:tc>
        <w:tc>
          <w:tcPr>
            <w:tcW w:w="2113" w:type="dxa"/>
          </w:tcPr>
          <w:p>
            <w:pPr>
              <w:spacing w:line="400" w:lineRule="exact"/>
              <w:jc w:val="left"/>
              <w:rPr>
                <w:rFonts w:ascii="宋体" w:hAnsi="宋体"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p>
        </w:tc>
        <w:tc>
          <w:tcPr>
            <w:tcW w:w="2126" w:type="dxa"/>
            <w:vAlign w:val="center"/>
          </w:tcPr>
          <w:p>
            <w:pPr>
              <w:spacing w:line="400" w:lineRule="exact"/>
              <w:rPr>
                <w:rFonts w:ascii="宋体" w:hAnsi="宋体" w:cs="宋体"/>
                <w:color w:val="000000" w:themeColor="text1"/>
                <w:kern w:val="0"/>
                <w:szCs w:val="21"/>
                <w14:textFill>
                  <w14:solidFill>
                    <w14:schemeClr w14:val="tx1"/>
                  </w14:solidFill>
                </w14:textFill>
              </w:rPr>
            </w:pPr>
          </w:p>
        </w:tc>
        <w:tc>
          <w:tcPr>
            <w:tcW w:w="2313" w:type="dxa"/>
          </w:tcPr>
          <w:p>
            <w:pPr>
              <w:spacing w:line="400" w:lineRule="exact"/>
              <w:jc w:val="left"/>
              <w:rPr>
                <w:rFonts w:ascii="宋体" w:hAnsi="宋体" w:cs="宋体"/>
                <w:color w:val="000000" w:themeColor="text1"/>
                <w14:textFill>
                  <w14:solidFill>
                    <w14:schemeClr w14:val="tx1"/>
                  </w14:solidFill>
                </w14:textFill>
              </w:rPr>
            </w:pPr>
          </w:p>
        </w:tc>
        <w:tc>
          <w:tcPr>
            <w:tcW w:w="2520" w:type="dxa"/>
          </w:tcPr>
          <w:p>
            <w:pPr>
              <w:spacing w:line="400" w:lineRule="exact"/>
              <w:jc w:val="left"/>
              <w:rPr>
                <w:rFonts w:ascii="宋体" w:hAnsi="宋体" w:cs="宋体"/>
                <w:color w:val="000000" w:themeColor="text1"/>
                <w14:textFill>
                  <w14:solidFill>
                    <w14:schemeClr w14:val="tx1"/>
                  </w14:solidFill>
                </w14:textFill>
              </w:rPr>
            </w:pPr>
          </w:p>
        </w:tc>
        <w:tc>
          <w:tcPr>
            <w:tcW w:w="2113" w:type="dxa"/>
          </w:tcPr>
          <w:p>
            <w:pPr>
              <w:spacing w:line="400" w:lineRule="exact"/>
              <w:jc w:val="left"/>
              <w:rPr>
                <w:rFonts w:ascii="宋体" w:hAnsi="宋体"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N</w:t>
            </w:r>
          </w:p>
        </w:tc>
        <w:tc>
          <w:tcPr>
            <w:tcW w:w="2126" w:type="dxa"/>
            <w:vAlign w:val="center"/>
          </w:tcPr>
          <w:p>
            <w:pPr>
              <w:spacing w:line="400" w:lineRule="exact"/>
              <w:rPr>
                <w:rFonts w:ascii="宋体" w:hAnsi="宋体" w:cs="宋体"/>
                <w:b/>
                <w:bCs/>
                <w:color w:val="000000" w:themeColor="text1"/>
                <w:kern w:val="0"/>
                <w:szCs w:val="21"/>
                <w14:textFill>
                  <w14:solidFill>
                    <w14:schemeClr w14:val="tx1"/>
                  </w14:solidFill>
                </w14:textFill>
              </w:rPr>
            </w:pPr>
          </w:p>
        </w:tc>
        <w:tc>
          <w:tcPr>
            <w:tcW w:w="2313" w:type="dxa"/>
          </w:tcPr>
          <w:p>
            <w:pPr>
              <w:spacing w:line="400" w:lineRule="exact"/>
              <w:jc w:val="left"/>
              <w:rPr>
                <w:rFonts w:ascii="宋体" w:hAnsi="宋体" w:cs="宋体"/>
                <w:color w:val="000000" w:themeColor="text1"/>
                <w14:textFill>
                  <w14:solidFill>
                    <w14:schemeClr w14:val="tx1"/>
                  </w14:solidFill>
                </w14:textFill>
              </w:rPr>
            </w:pPr>
          </w:p>
        </w:tc>
        <w:tc>
          <w:tcPr>
            <w:tcW w:w="2520" w:type="dxa"/>
          </w:tcPr>
          <w:p>
            <w:pPr>
              <w:spacing w:line="400" w:lineRule="exact"/>
              <w:jc w:val="left"/>
              <w:rPr>
                <w:rFonts w:ascii="宋体" w:hAnsi="宋体" w:cs="宋体"/>
                <w:color w:val="000000" w:themeColor="text1"/>
                <w14:textFill>
                  <w14:solidFill>
                    <w14:schemeClr w14:val="tx1"/>
                  </w14:solidFill>
                </w14:textFill>
              </w:rPr>
            </w:pPr>
          </w:p>
        </w:tc>
        <w:tc>
          <w:tcPr>
            <w:tcW w:w="2113" w:type="dxa"/>
          </w:tcPr>
          <w:p>
            <w:pPr>
              <w:spacing w:line="400" w:lineRule="exact"/>
              <w:jc w:val="left"/>
              <w:rPr>
                <w:rFonts w:ascii="宋体" w:hAnsi="宋体" w:cs="宋体"/>
                <w:color w:val="000000" w:themeColor="text1"/>
                <w14:textFill>
                  <w14:solidFill>
                    <w14:schemeClr w14:val="tx1"/>
                  </w14:solidFill>
                </w14:textFill>
              </w:rPr>
            </w:pPr>
          </w:p>
        </w:tc>
      </w:tr>
    </w:tbl>
    <w:p>
      <w:pPr>
        <w:snapToGrid w:val="0"/>
        <w:spacing w:line="400" w:lineRule="exact"/>
        <w:rPr>
          <w:rFonts w:ascii="宋体" w:hAnsi="宋体" w:cs="宋体"/>
          <w:color w:val="000000" w:themeColor="text1"/>
          <w:szCs w:val="20"/>
          <w:u w:val="single"/>
          <w14:textFill>
            <w14:solidFill>
              <w14:schemeClr w14:val="tx1"/>
            </w14:solidFill>
          </w14:textFill>
        </w:rPr>
      </w:pPr>
      <w:r>
        <w:rPr>
          <w:rFonts w:hint="eastAsia" w:ascii="宋体" w:hAnsi="宋体" w:cs="宋体"/>
          <w:color w:val="000000" w:themeColor="text1"/>
          <w14:textFill>
            <w14:solidFill>
              <w14:schemeClr w14:val="tx1"/>
            </w14:solidFill>
          </w14:textFill>
        </w:rPr>
        <w:t>注：供应商应对照招标文件中项目要求及技术需求的内容逐条响应，并在“偏离情况说明”栏注明“正偏离”、“负偏离”或“无偏离”。</w:t>
      </w:r>
    </w:p>
    <w:p>
      <w:pPr>
        <w:snapToGrid w:val="0"/>
        <w:spacing w:line="400" w:lineRule="exact"/>
        <w:ind w:firstLine="3780" w:firstLineChars="1800"/>
        <w:rPr>
          <w:rFonts w:ascii="宋体" w:hAnsi="宋体" w:cs="宋体"/>
          <w:color w:val="000000" w:themeColor="text1"/>
          <w:szCs w:val="20"/>
          <w:u w:val="single"/>
          <w14:textFill>
            <w14:solidFill>
              <w14:schemeClr w14:val="tx1"/>
            </w14:solidFill>
          </w14:textFill>
        </w:rPr>
      </w:pPr>
    </w:p>
    <w:p>
      <w:pPr>
        <w:snapToGrid w:val="0"/>
        <w:spacing w:line="400" w:lineRule="exact"/>
        <w:ind w:firstLine="1890" w:firstLineChars="9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投标人（公章，自然人除外）：</w:t>
      </w:r>
      <w:r>
        <w:rPr>
          <w:rFonts w:hint="eastAsia" w:ascii="宋体" w:hAnsi="宋体" w:cs="宋体"/>
          <w:color w:val="000000" w:themeColor="text1"/>
          <w:szCs w:val="21"/>
          <w:u w:val="single"/>
          <w14:textFill>
            <w14:solidFill>
              <w14:schemeClr w14:val="tx1"/>
            </w14:solidFill>
          </w14:textFill>
        </w:rPr>
        <w:t xml:space="preserve">                                         </w:t>
      </w:r>
    </w:p>
    <w:p>
      <w:pPr>
        <w:spacing w:line="340" w:lineRule="exact"/>
        <w:ind w:firstLine="1890" w:firstLineChars="9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法定代表人、负责人、自然人或相应的委托代理人签字（或盖章）</w:t>
      </w:r>
    </w:p>
    <w:p>
      <w:pPr>
        <w:spacing w:line="340" w:lineRule="exact"/>
        <w:ind w:firstLine="1680" w:firstLineChars="8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（属自然人的应在签名处加盖大拇指指印）：</w:t>
      </w:r>
      <w:r>
        <w:rPr>
          <w:rFonts w:hint="eastAsia" w:ascii="宋体" w:hAnsi="宋体" w:cs="宋体"/>
          <w:color w:val="000000" w:themeColor="text1"/>
          <w:szCs w:val="21"/>
          <w:u w:val="single"/>
          <w14:textFill>
            <w14:solidFill>
              <w14:schemeClr w14:val="tx1"/>
            </w14:solidFill>
          </w14:textFill>
        </w:rPr>
        <w:t xml:space="preserve">                              </w:t>
      </w:r>
    </w:p>
    <w:p>
      <w:pPr>
        <w:spacing w:line="340" w:lineRule="exact"/>
        <w:ind w:firstLine="1680" w:firstLineChars="800"/>
        <w:rPr>
          <w:rFonts w:ascii="宋体" w:hAnsi="宋体" w:cs="宋体"/>
          <w:color w:val="000000" w:themeColor="text1"/>
          <w:szCs w:val="21"/>
          <w:u w:val="single"/>
          <w14:textFill>
            <w14:solidFill>
              <w14:schemeClr w14:val="tx1"/>
            </w14:solidFill>
          </w14:textFill>
        </w:rPr>
      </w:pPr>
    </w:p>
    <w:p>
      <w:pPr>
        <w:ind w:firstLine="1890" w:firstLineChars="900"/>
        <w:rPr>
          <w:rFonts w:ascii="宋体" w:hAnsi="宋体" w:cs="宋体"/>
          <w:color w:val="000000" w:themeColor="text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日          期：</w:t>
      </w:r>
      <w:r>
        <w:rPr>
          <w:rFonts w:hint="eastAsia" w:ascii="宋体" w:hAnsi="宋体" w:cs="宋体"/>
          <w:color w:val="000000" w:themeColor="text1"/>
          <w:u w:val="single"/>
          <w14:textFill>
            <w14:solidFill>
              <w14:schemeClr w14:val="tx1"/>
            </w14:solidFill>
          </w14:textFill>
        </w:rPr>
        <w:t xml:space="preserve">                                                   </w:t>
      </w:r>
    </w:p>
    <w:p>
      <w:pPr>
        <w:spacing w:line="360" w:lineRule="exact"/>
        <w:rPr>
          <w:rFonts w:ascii="宋体" w:hAnsi="宋体" w:cs="宋体"/>
          <w:color w:val="000000" w:themeColor="text1"/>
          <w14:textFill>
            <w14:solidFill>
              <w14:schemeClr w14:val="tx1"/>
            </w14:solidFill>
          </w14:textFill>
        </w:rPr>
      </w:pPr>
    </w:p>
    <w:p>
      <w:pPr>
        <w:spacing w:line="400" w:lineRule="exact"/>
        <w:ind w:left="982" w:leftChars="200" w:hanging="562" w:hangingChars="200"/>
        <w:rPr>
          <w:rFonts w:ascii="宋体" w:hAnsi="宋体" w:cs="宋体"/>
          <w:b/>
          <w:color w:val="000000" w:themeColor="text1"/>
          <w:sz w:val="24"/>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注：</w:t>
      </w:r>
      <w:r>
        <w:rPr>
          <w:rFonts w:hint="eastAsia" w:ascii="宋体" w:hAnsi="宋体" w:cs="宋体"/>
          <w:b/>
          <w:color w:val="000000" w:themeColor="text1"/>
          <w:sz w:val="24"/>
          <w14:textFill>
            <w14:solidFill>
              <w14:schemeClr w14:val="tx1"/>
            </w14:solidFill>
          </w14:textFill>
        </w:rPr>
        <w:t>1.“技术规格偏离表”各项内容必须如实填写。</w:t>
      </w:r>
    </w:p>
    <w:p>
      <w:pPr>
        <w:spacing w:line="400" w:lineRule="exact"/>
        <w:ind w:left="840" w:leftChars="400" w:firstLine="181" w:firstLineChars="75"/>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2.当本表由多页构成时，需逐页加盖投标人公章（属自然人的须逐页签字）。</w:t>
      </w:r>
    </w:p>
    <w:p>
      <w:pPr>
        <w:spacing w:line="400" w:lineRule="exact"/>
        <w:ind w:left="982" w:leftChars="200" w:hanging="562" w:hangingChars="200"/>
        <w:rPr>
          <w:rFonts w:ascii="宋体" w:hAnsi="宋体" w:cs="宋体"/>
          <w:b/>
          <w:bCs/>
          <w:color w:val="000000" w:themeColor="text1"/>
          <w:sz w:val="28"/>
          <w:szCs w:val="28"/>
          <w14:textFill>
            <w14:solidFill>
              <w14:schemeClr w14:val="tx1"/>
            </w14:solidFill>
          </w14:textFill>
        </w:rPr>
      </w:pPr>
    </w:p>
    <w:p>
      <w:pPr>
        <w:spacing w:line="360" w:lineRule="exact"/>
        <w:rPr>
          <w:rFonts w:ascii="宋体" w:hAnsi="宋体" w:cs="宋体"/>
          <w:color w:val="000000" w:themeColor="text1"/>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r>
        <w:rPr>
          <w:rFonts w:hint="eastAsia" w:ascii="宋体" w:hAnsi="宋体" w:cs="宋体"/>
          <w:color w:val="000000" w:themeColor="text1"/>
          <w14:textFill>
            <w14:solidFill>
              <w14:schemeClr w14:val="tx1"/>
            </w14:solidFill>
          </w14:textFill>
        </w:rPr>
        <w:br w:type="page"/>
      </w:r>
      <w:bookmarkStart w:id="249" w:name="_Toc15632"/>
      <w:r>
        <w:rPr>
          <w:rFonts w:hint="eastAsia" w:ascii="宋体" w:hAnsi="宋体" w:cs="宋体"/>
          <w:b/>
          <w:bCs/>
          <w:color w:val="000000" w:themeColor="text1"/>
          <w:sz w:val="32"/>
          <w:szCs w:val="32"/>
          <w14:textFill>
            <w14:solidFill>
              <w14:schemeClr w14:val="tx1"/>
            </w14:solidFill>
          </w14:textFill>
        </w:rPr>
        <w:t>2.商务响应表（必须提供）</w:t>
      </w:r>
      <w:bookmarkEnd w:id="249"/>
    </w:p>
    <w:p>
      <w:pPr>
        <w:jc w:val="cente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商务响应表（格式）</w:t>
      </w:r>
    </w:p>
    <w:p>
      <w:pPr>
        <w:pStyle w:val="43"/>
        <w:rPr>
          <w:color w:val="000000" w:themeColor="text1"/>
          <w14:textFill>
            <w14:solidFill>
              <w14:schemeClr w14:val="tx1"/>
            </w14:solidFill>
          </w14:textFill>
        </w:rPr>
      </w:pPr>
    </w:p>
    <w:tbl>
      <w:tblPr>
        <w:tblStyle w:val="26"/>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63"/>
        <w:gridCol w:w="1176"/>
        <w:gridCol w:w="2197"/>
        <w:gridCol w:w="2835"/>
        <w:gridCol w:w="241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1163" w:type="dxa"/>
            <w:tcBorders>
              <w:top w:val="single" w:color="auto" w:sz="4" w:space="0"/>
              <w:left w:val="single" w:color="auto" w:sz="4" w:space="0"/>
              <w:bottom w:val="single" w:color="auto" w:sz="4" w:space="0"/>
              <w:right w:val="single" w:color="auto" w:sz="4" w:space="0"/>
            </w:tcBorders>
            <w:shd w:val="clear" w:color="auto" w:fill="8DB3E2"/>
            <w:vAlign w:val="center"/>
          </w:tcPr>
          <w:p>
            <w:pPr>
              <w:snapToGrid w:val="0"/>
              <w:spacing w:line="360" w:lineRule="exact"/>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项号</w:t>
            </w:r>
          </w:p>
        </w:tc>
        <w:tc>
          <w:tcPr>
            <w:tcW w:w="3373" w:type="dxa"/>
            <w:gridSpan w:val="2"/>
            <w:tcBorders>
              <w:top w:val="single" w:color="auto" w:sz="4" w:space="0"/>
              <w:left w:val="single" w:color="auto" w:sz="4" w:space="0"/>
              <w:bottom w:val="single" w:color="auto" w:sz="4" w:space="0"/>
              <w:right w:val="single" w:color="auto" w:sz="4" w:space="0"/>
            </w:tcBorders>
            <w:shd w:val="clear" w:color="auto" w:fill="8DB3E2"/>
            <w:vAlign w:val="center"/>
          </w:tcPr>
          <w:p>
            <w:pPr>
              <w:pStyle w:val="15"/>
              <w:spacing w:line="360" w:lineRule="exact"/>
              <w:jc w:val="center"/>
              <w:rPr>
                <w:rFonts w:hAnsi="宋体" w:cs="宋体"/>
                <w:b/>
                <w:bCs/>
                <w:color w:val="000000" w:themeColor="text1"/>
                <w14:textFill>
                  <w14:solidFill>
                    <w14:schemeClr w14:val="tx1"/>
                  </w14:solidFill>
                </w14:textFill>
              </w:rPr>
            </w:pPr>
            <w:r>
              <w:rPr>
                <w:rFonts w:hint="eastAsia" w:hAnsi="宋体" w:cs="宋体"/>
                <w:b/>
                <w:bCs/>
                <w:color w:val="000000" w:themeColor="text1"/>
                <w:szCs w:val="24"/>
                <w14:textFill>
                  <w14:solidFill>
                    <w14:schemeClr w14:val="tx1"/>
                  </w14:solidFill>
                </w14:textFill>
              </w:rPr>
              <w:t>招标文件的商务条款</w:t>
            </w:r>
          </w:p>
        </w:tc>
        <w:tc>
          <w:tcPr>
            <w:tcW w:w="2835" w:type="dxa"/>
            <w:tcBorders>
              <w:top w:val="single" w:color="auto" w:sz="4" w:space="0"/>
              <w:left w:val="single" w:color="auto" w:sz="4" w:space="0"/>
              <w:bottom w:val="single" w:color="auto" w:sz="4" w:space="0"/>
              <w:right w:val="single" w:color="auto" w:sz="4" w:space="0"/>
            </w:tcBorders>
            <w:shd w:val="clear" w:color="auto" w:fill="8DB3E2"/>
            <w:vAlign w:val="center"/>
          </w:tcPr>
          <w:p>
            <w:pPr>
              <w:pStyle w:val="15"/>
              <w:spacing w:line="360" w:lineRule="exact"/>
              <w:jc w:val="center"/>
              <w:rPr>
                <w:rFonts w:hAnsi="宋体" w:cs="宋体"/>
                <w:b/>
                <w:bCs/>
                <w:color w:val="000000" w:themeColor="text1"/>
                <w14:textFill>
                  <w14:solidFill>
                    <w14:schemeClr w14:val="tx1"/>
                  </w14:solidFill>
                </w14:textFill>
              </w:rPr>
            </w:pPr>
            <w:r>
              <w:rPr>
                <w:rFonts w:hint="eastAsia" w:hAnsi="宋体" w:cs="宋体"/>
                <w:b/>
                <w:bCs/>
                <w:color w:val="000000" w:themeColor="text1"/>
                <w:szCs w:val="24"/>
                <w14:textFill>
                  <w14:solidFill>
                    <w14:schemeClr w14:val="tx1"/>
                  </w14:solidFill>
                </w14:textFill>
              </w:rPr>
              <w:t>投标文件承诺的商务条款</w:t>
            </w:r>
          </w:p>
        </w:tc>
        <w:tc>
          <w:tcPr>
            <w:tcW w:w="2410" w:type="dxa"/>
            <w:tcBorders>
              <w:top w:val="single" w:color="auto" w:sz="4" w:space="0"/>
              <w:left w:val="single" w:color="auto" w:sz="4" w:space="0"/>
              <w:bottom w:val="single" w:color="auto" w:sz="4" w:space="0"/>
              <w:right w:val="single" w:color="auto" w:sz="4" w:space="0"/>
            </w:tcBorders>
            <w:shd w:val="clear" w:color="auto" w:fill="8DB3E2"/>
            <w:vAlign w:val="center"/>
          </w:tcPr>
          <w:p>
            <w:pPr>
              <w:pStyle w:val="15"/>
              <w:spacing w:line="360" w:lineRule="exact"/>
              <w:jc w:val="center"/>
              <w:rPr>
                <w:rFonts w:hAnsi="宋体" w:cs="宋体"/>
                <w:b/>
                <w:bCs/>
                <w:color w:val="000000" w:themeColor="text1"/>
                <w14:textFill>
                  <w14:solidFill>
                    <w14:schemeClr w14:val="tx1"/>
                  </w14:solidFill>
                </w14:textFill>
              </w:rPr>
            </w:pPr>
            <w:r>
              <w:rPr>
                <w:rFonts w:hint="eastAsia" w:hAnsi="宋体" w:cs="宋体"/>
                <w:b/>
                <w:bCs/>
                <w:color w:val="000000" w:themeColor="text1"/>
                <w:szCs w:val="24"/>
                <w14:textFill>
                  <w14:solidFill>
                    <w14:schemeClr w14:val="tx1"/>
                  </w14:solidFill>
                </w14:textFill>
              </w:rPr>
              <w:t>偏离情况说明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1" w:hRule="atLeast"/>
        </w:trPr>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left="43"/>
              <w:jc w:val="center"/>
              <w:rPr>
                <w:rFonts w:ascii="宋体" w:hAnsi="宋体" w:cs="宋体"/>
                <w:color w:val="000000" w:themeColor="text1"/>
                <w:szCs w:val="21"/>
                <w14:textFill>
                  <w14:solidFill>
                    <w14:schemeClr w14:val="tx1"/>
                  </w14:solidFill>
                </w14:textFill>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left="43"/>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000000" w:themeColor="text1"/>
                <w:szCs w:val="21"/>
                <w14:textFill>
                  <w14:solidFill>
                    <w14:schemeClr w14:val="tx1"/>
                  </w14:solidFill>
                </w14:textFill>
              </w:rPr>
            </w:pPr>
          </w:p>
        </w:tc>
      </w:tr>
    </w:tbl>
    <w:p>
      <w:pPr>
        <w:snapToGrid w:val="0"/>
        <w:spacing w:before="50" w:after="5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注：供应商应对照招标文件中商务要求的内容逐条响应，并在“偏离情况说明”栏注明“正偏离”、“负偏离”或“无偏离”。</w:t>
      </w:r>
    </w:p>
    <w:p>
      <w:pPr>
        <w:snapToGrid w:val="0"/>
        <w:spacing w:before="50" w:after="50"/>
        <w:rPr>
          <w:rFonts w:ascii="宋体" w:hAnsi="宋体" w:cs="宋体"/>
          <w:color w:val="000000" w:themeColor="text1"/>
          <w:spacing w:val="20"/>
          <w:sz w:val="24"/>
          <w14:textFill>
            <w14:solidFill>
              <w14:schemeClr w14:val="tx1"/>
            </w14:solidFill>
          </w14:textFill>
        </w:rPr>
      </w:pPr>
    </w:p>
    <w:p>
      <w:pPr>
        <w:snapToGrid w:val="0"/>
        <w:spacing w:line="400" w:lineRule="exact"/>
        <w:ind w:firstLine="1890" w:firstLineChars="9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投标人（公章，自然人除外）：</w:t>
      </w:r>
      <w:r>
        <w:rPr>
          <w:rFonts w:hint="eastAsia" w:ascii="宋体" w:hAnsi="宋体" w:cs="宋体"/>
          <w:color w:val="000000" w:themeColor="text1"/>
          <w:szCs w:val="21"/>
          <w:u w:val="single"/>
          <w14:textFill>
            <w14:solidFill>
              <w14:schemeClr w14:val="tx1"/>
            </w14:solidFill>
          </w14:textFill>
        </w:rPr>
        <w:t xml:space="preserve">                                         </w:t>
      </w:r>
    </w:p>
    <w:p>
      <w:pPr>
        <w:spacing w:line="340" w:lineRule="exact"/>
        <w:ind w:firstLine="1890" w:firstLineChars="9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法定代表人、负责人、自然人或相应的委托代理人签字（或盖章）</w:t>
      </w:r>
    </w:p>
    <w:p>
      <w:pPr>
        <w:spacing w:line="340" w:lineRule="exact"/>
        <w:ind w:firstLine="1680" w:firstLineChars="8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（属自然人的应在签名处加盖大拇指指印）：</w:t>
      </w:r>
      <w:r>
        <w:rPr>
          <w:rFonts w:hint="eastAsia" w:ascii="宋体" w:hAnsi="宋体" w:cs="宋体"/>
          <w:color w:val="000000" w:themeColor="text1"/>
          <w:szCs w:val="21"/>
          <w:u w:val="single"/>
          <w14:textFill>
            <w14:solidFill>
              <w14:schemeClr w14:val="tx1"/>
            </w14:solidFill>
          </w14:textFill>
        </w:rPr>
        <w:t xml:space="preserve">                              </w:t>
      </w:r>
    </w:p>
    <w:p>
      <w:pPr>
        <w:spacing w:line="340" w:lineRule="exact"/>
        <w:ind w:firstLine="1680" w:firstLineChars="800"/>
        <w:rPr>
          <w:rFonts w:ascii="宋体" w:hAnsi="宋体" w:cs="宋体"/>
          <w:color w:val="000000" w:themeColor="text1"/>
          <w:szCs w:val="21"/>
          <w:u w:val="single"/>
          <w14:textFill>
            <w14:solidFill>
              <w14:schemeClr w14:val="tx1"/>
            </w14:solidFill>
          </w14:textFill>
        </w:rPr>
      </w:pPr>
    </w:p>
    <w:p>
      <w:pPr>
        <w:ind w:firstLine="1890" w:firstLineChars="900"/>
        <w:rPr>
          <w:rFonts w:ascii="宋体" w:hAnsi="宋体" w:cs="宋体"/>
          <w:color w:val="000000" w:themeColor="text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日          期：</w:t>
      </w:r>
      <w:r>
        <w:rPr>
          <w:rFonts w:hint="eastAsia" w:ascii="宋体" w:hAnsi="宋体" w:cs="宋体"/>
          <w:color w:val="000000" w:themeColor="text1"/>
          <w:u w:val="single"/>
          <w14:textFill>
            <w14:solidFill>
              <w14:schemeClr w14:val="tx1"/>
            </w14:solidFill>
          </w14:textFill>
        </w:rPr>
        <w:t xml:space="preserve">                                                   </w:t>
      </w:r>
    </w:p>
    <w:p>
      <w:pPr>
        <w:ind w:firstLine="1890" w:firstLineChars="900"/>
        <w:rPr>
          <w:rFonts w:ascii="宋体" w:hAnsi="宋体" w:cs="宋体"/>
          <w:color w:val="000000" w:themeColor="text1"/>
          <w:u w:val="single"/>
          <w14:textFill>
            <w14:solidFill>
              <w14:schemeClr w14:val="tx1"/>
            </w14:solidFill>
          </w14:textFill>
        </w:rPr>
      </w:pPr>
    </w:p>
    <w:p>
      <w:pPr>
        <w:ind w:firstLine="1890" w:firstLineChars="900"/>
        <w:rPr>
          <w:rFonts w:ascii="宋体" w:hAnsi="宋体" w:cs="宋体"/>
          <w:color w:val="000000" w:themeColor="text1"/>
          <w:u w:val="single"/>
          <w14:textFill>
            <w14:solidFill>
              <w14:schemeClr w14:val="tx1"/>
            </w14:solidFill>
          </w14:textFill>
        </w:rPr>
      </w:pPr>
    </w:p>
    <w:p>
      <w:pPr>
        <w:spacing w:line="400" w:lineRule="exact"/>
        <w:ind w:left="982" w:leftChars="200" w:hanging="562" w:hangingChars="200"/>
        <w:rPr>
          <w:rFonts w:ascii="宋体" w:hAnsi="宋体" w:cs="宋体"/>
          <w:b/>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注：</w:t>
      </w:r>
      <w:r>
        <w:rPr>
          <w:rFonts w:hint="eastAsia" w:ascii="宋体" w:hAnsi="宋体" w:cs="宋体"/>
          <w:b/>
          <w:color w:val="000000" w:themeColor="text1"/>
          <w:sz w:val="24"/>
          <w14:textFill>
            <w14:solidFill>
              <w14:schemeClr w14:val="tx1"/>
            </w14:solidFill>
          </w14:textFill>
        </w:rPr>
        <w:t>1.“商务响应表”各项内容必须如实填写。</w:t>
      </w:r>
    </w:p>
    <w:p>
      <w:pPr>
        <w:spacing w:line="400" w:lineRule="exact"/>
        <w:ind w:firstLine="964" w:firstLineChars="400"/>
        <w:rPr>
          <w:rFonts w:ascii="宋体" w:hAnsi="宋体" w:cs="宋体"/>
          <w:b/>
          <w:bCs/>
          <w:color w:val="000000" w:themeColor="text1"/>
          <w:sz w:val="28"/>
          <w:szCs w:val="28"/>
          <w14:textFill>
            <w14:solidFill>
              <w14:schemeClr w14:val="tx1"/>
            </w14:solidFill>
          </w14:textFill>
        </w:rPr>
      </w:pPr>
      <w:r>
        <w:rPr>
          <w:rFonts w:hint="eastAsia" w:ascii="宋体" w:hAnsi="宋体" w:cs="宋体"/>
          <w:b/>
          <w:color w:val="000000" w:themeColor="text1"/>
          <w:sz w:val="24"/>
          <w14:textFill>
            <w14:solidFill>
              <w14:schemeClr w14:val="tx1"/>
            </w14:solidFill>
          </w14:textFill>
        </w:rPr>
        <w:t>2.当本表由多页构成时，需逐页加盖投标人公章（属自然人的须逐页签字）。</w:t>
      </w:r>
    </w:p>
    <w:p>
      <w:pPr>
        <w:ind w:firstLine="1890" w:firstLineChars="900"/>
        <w:rPr>
          <w:rFonts w:ascii="宋体" w:hAnsi="宋体" w:cs="宋体"/>
          <w:color w:val="000000" w:themeColor="text1"/>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r>
        <w:rPr>
          <w:rFonts w:hint="eastAsia" w:ascii="宋体" w:hAnsi="宋体" w:cs="宋体"/>
          <w:color w:val="000000" w:themeColor="text1"/>
          <w14:textFill>
            <w14:solidFill>
              <w14:schemeClr w14:val="tx1"/>
            </w14:solidFill>
          </w14:textFill>
        </w:rPr>
        <w:br w:type="page"/>
      </w:r>
      <w:bookmarkStart w:id="250" w:name="_Toc18341"/>
      <w:bookmarkStart w:id="251" w:name="_Toc495841796"/>
      <w:r>
        <w:rPr>
          <w:rFonts w:hint="eastAsia" w:ascii="宋体" w:hAnsi="宋体" w:cs="宋体"/>
          <w:b/>
          <w:bCs/>
          <w:color w:val="000000" w:themeColor="text1"/>
          <w:sz w:val="32"/>
          <w:szCs w:val="32"/>
          <w14:textFill>
            <w14:solidFill>
              <w14:schemeClr w14:val="tx1"/>
            </w14:solidFill>
          </w14:textFill>
        </w:rPr>
        <w:t>3.“货物采购需求”需提供的有效证明文件（按其要求提供）：</w:t>
      </w:r>
      <w:bookmarkEnd w:id="250"/>
      <w:bookmarkEnd w:id="251"/>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52" w:name="_Toc12988"/>
      <w:bookmarkStart w:id="253" w:name="_Toc495841797"/>
      <w:r>
        <w:rPr>
          <w:rFonts w:hint="eastAsia" w:ascii="宋体" w:hAnsi="宋体" w:cs="宋体"/>
          <w:b/>
          <w:bCs/>
          <w:color w:val="000000" w:themeColor="text1"/>
          <w:sz w:val="32"/>
          <w:szCs w:val="32"/>
          <w14:textFill>
            <w14:solidFill>
              <w14:schemeClr w14:val="tx1"/>
            </w14:solidFill>
          </w14:textFill>
        </w:rPr>
        <w:t>4.投标人的售后服务承诺书（含免费保修期、交付使用期、技术服务、技术培训、售后服务的内容和措施等）（必须提供）</w:t>
      </w:r>
      <w:bookmarkEnd w:id="252"/>
      <w:bookmarkEnd w:id="253"/>
    </w:p>
    <w:p>
      <w:pPr>
        <w:ind w:firstLine="472" w:firstLineChars="147"/>
        <w:jc w:val="center"/>
        <w:rPr>
          <w:rFonts w:ascii="宋体" w:hAnsi="宋体" w:cs="宋体"/>
          <w:b/>
          <w:bCs/>
          <w:color w:val="000000" w:themeColor="text1"/>
          <w:sz w:val="32"/>
          <w:szCs w:val="32"/>
          <w14:textFill>
            <w14:solidFill>
              <w14:schemeClr w14:val="tx1"/>
            </w14:solidFill>
          </w14:textFill>
        </w:rPr>
      </w:pPr>
    </w:p>
    <w:p>
      <w:pPr>
        <w:ind w:firstLine="472" w:firstLineChars="147"/>
        <w:jc w:val="center"/>
        <w:rPr>
          <w:rFonts w:ascii="宋体" w:hAnsi="宋体" w:cs="宋体"/>
          <w:b/>
          <w:bCs/>
          <w:color w:val="000000" w:themeColor="text1"/>
          <w:sz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售后服务承诺书</w:t>
      </w:r>
      <w:r>
        <w:rPr>
          <w:rFonts w:hint="eastAsia" w:ascii="宋体" w:hAnsi="宋体" w:cs="宋体"/>
          <w:b/>
          <w:bCs/>
          <w:color w:val="000000" w:themeColor="text1"/>
          <w:sz w:val="32"/>
          <w14:textFill>
            <w14:solidFill>
              <w14:schemeClr w14:val="tx1"/>
            </w14:solidFill>
          </w14:textFill>
        </w:rPr>
        <w:t>（格式）</w:t>
      </w:r>
    </w:p>
    <w:p>
      <w:pPr>
        <w:spacing w:line="400" w:lineRule="exact"/>
        <w:rPr>
          <w:rFonts w:ascii="宋体" w:hAnsi="宋体" w:cs="宋体"/>
          <w:color w:val="000000" w:themeColor="text1"/>
          <w:sz w:val="32"/>
          <w:szCs w:val="32"/>
          <w14:textFill>
            <w14:solidFill>
              <w14:schemeClr w14:val="tx1"/>
            </w14:solidFill>
          </w14:textFill>
        </w:rPr>
      </w:pPr>
    </w:p>
    <w:p>
      <w:pPr>
        <w:pStyle w:val="43"/>
        <w:rPr>
          <w:color w:val="000000" w:themeColor="text1"/>
          <w14:textFill>
            <w14:solidFill>
              <w14:schemeClr w14:val="tx1"/>
            </w14:solidFill>
          </w14:textFill>
        </w:rPr>
      </w:pPr>
    </w:p>
    <w:p>
      <w:pPr>
        <w:spacing w:line="400" w:lineRule="exact"/>
        <w:rPr>
          <w:rFonts w:ascii="宋体" w:hAnsi="宋体" w:cs="宋体"/>
          <w:color w:val="000000" w:themeColor="text1"/>
          <w:sz w:val="32"/>
          <w:szCs w:val="32"/>
          <w14:textFill>
            <w14:solidFill>
              <w14:schemeClr w14:val="tx1"/>
            </w14:solidFill>
          </w14:textFill>
        </w:rPr>
      </w:pPr>
    </w:p>
    <w:p>
      <w:pPr>
        <w:spacing w:line="400" w:lineRule="exact"/>
        <w:rPr>
          <w:rFonts w:ascii="宋体" w:hAnsi="宋体" w:cs="宋体"/>
          <w:color w:val="000000" w:themeColor="text1"/>
          <w:sz w:val="32"/>
          <w:szCs w:val="32"/>
          <w14:textFill>
            <w14:solidFill>
              <w14:schemeClr w14:val="tx1"/>
            </w14:solidFill>
          </w14:textFill>
        </w:rPr>
      </w:pPr>
    </w:p>
    <w:p>
      <w:pPr>
        <w:spacing w:line="400" w:lineRule="exact"/>
        <w:rPr>
          <w:rFonts w:ascii="宋体" w:hAnsi="宋体" w:cs="宋体"/>
          <w:color w:val="000000" w:themeColor="text1"/>
          <w:sz w:val="32"/>
          <w:szCs w:val="32"/>
          <w14:textFill>
            <w14:solidFill>
              <w14:schemeClr w14:val="tx1"/>
            </w14:solidFill>
          </w14:textFill>
        </w:rPr>
      </w:pPr>
    </w:p>
    <w:p>
      <w:pPr>
        <w:snapToGrid w:val="0"/>
        <w:spacing w:line="400" w:lineRule="exact"/>
        <w:ind w:firstLine="1890" w:firstLineChars="9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投投标人（公章，自然人除外）：</w:t>
      </w:r>
      <w:r>
        <w:rPr>
          <w:rFonts w:hint="eastAsia" w:ascii="宋体" w:hAnsi="宋体" w:cs="宋体"/>
          <w:color w:val="000000" w:themeColor="text1"/>
          <w:szCs w:val="21"/>
          <w:u w:val="single"/>
          <w14:textFill>
            <w14:solidFill>
              <w14:schemeClr w14:val="tx1"/>
            </w14:solidFill>
          </w14:textFill>
        </w:rPr>
        <w:t xml:space="preserve">                                         </w:t>
      </w:r>
    </w:p>
    <w:p>
      <w:pPr>
        <w:spacing w:line="340" w:lineRule="exact"/>
        <w:ind w:firstLine="1890" w:firstLineChars="9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法定代表人、负责人、自然人或相应的委托代理人签字（或盖章）</w:t>
      </w:r>
    </w:p>
    <w:p>
      <w:pPr>
        <w:spacing w:line="340" w:lineRule="exact"/>
        <w:ind w:firstLine="1680" w:firstLineChars="8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（属自然人的应在签名处加盖大拇指指印）：</w:t>
      </w:r>
      <w:r>
        <w:rPr>
          <w:rFonts w:hint="eastAsia" w:ascii="宋体" w:hAnsi="宋体" w:cs="宋体"/>
          <w:color w:val="000000" w:themeColor="text1"/>
          <w:szCs w:val="21"/>
          <w:u w:val="single"/>
          <w14:textFill>
            <w14:solidFill>
              <w14:schemeClr w14:val="tx1"/>
            </w14:solidFill>
          </w14:textFill>
        </w:rPr>
        <w:t xml:space="preserve">                              </w:t>
      </w:r>
    </w:p>
    <w:p>
      <w:pPr>
        <w:spacing w:line="340" w:lineRule="exact"/>
        <w:ind w:firstLine="1680" w:firstLineChars="800"/>
        <w:rPr>
          <w:rFonts w:ascii="宋体" w:hAnsi="宋体" w:cs="宋体"/>
          <w:color w:val="000000" w:themeColor="text1"/>
          <w:szCs w:val="21"/>
          <w:u w:val="single"/>
          <w14:textFill>
            <w14:solidFill>
              <w14:schemeClr w14:val="tx1"/>
            </w14:solidFill>
          </w14:textFill>
        </w:rPr>
      </w:pPr>
    </w:p>
    <w:p>
      <w:pPr>
        <w:snapToGrid w:val="0"/>
        <w:spacing w:line="400" w:lineRule="exact"/>
        <w:ind w:firstLine="1680" w:firstLineChars="8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日          期：</w:t>
      </w:r>
      <w:r>
        <w:rPr>
          <w:rFonts w:hint="eastAsia" w:ascii="宋体" w:hAnsi="宋体" w:cs="宋体"/>
          <w:color w:val="000000" w:themeColor="text1"/>
          <w:u w:val="single"/>
          <w14:textFill>
            <w14:solidFill>
              <w14:schemeClr w14:val="tx1"/>
            </w14:solidFill>
          </w14:textFill>
        </w:rPr>
        <w:t xml:space="preserve">                                                   </w:t>
      </w:r>
    </w:p>
    <w:p>
      <w:pPr>
        <w:rPr>
          <w:rFonts w:ascii="宋体" w:hAnsi="宋体" w:cs="宋体"/>
          <w:color w:val="000000" w:themeColor="text1"/>
          <w14:textFill>
            <w14:solidFill>
              <w14:schemeClr w14:val="tx1"/>
            </w14:solidFill>
          </w14:textFill>
        </w:rPr>
      </w:pPr>
    </w:p>
    <w:p>
      <w:pPr>
        <w:rPr>
          <w:rFonts w:ascii="宋体" w:hAnsi="宋体" w:cs="宋体"/>
          <w:color w:val="000000" w:themeColor="text1"/>
          <w14:textFill>
            <w14:solidFill>
              <w14:schemeClr w14:val="tx1"/>
            </w14:solidFill>
          </w14:textFill>
        </w:rPr>
      </w:pPr>
    </w:p>
    <w:p>
      <w:pPr>
        <w:rPr>
          <w:rFonts w:ascii="宋体" w:hAnsi="宋体" w:cs="宋体"/>
          <w:color w:val="000000" w:themeColor="text1"/>
          <w14:textFill>
            <w14:solidFill>
              <w14:schemeClr w14:val="tx1"/>
            </w14:solidFill>
          </w14:textFill>
        </w:rPr>
      </w:pPr>
    </w:p>
    <w:p>
      <w:pPr>
        <w:rPr>
          <w:rFonts w:ascii="宋体" w:hAnsi="宋体" w:cs="宋体"/>
          <w:color w:val="000000" w:themeColor="text1"/>
          <w14:textFill>
            <w14:solidFill>
              <w14:schemeClr w14:val="tx1"/>
            </w14:solidFill>
          </w14:textFill>
        </w:rPr>
      </w:pPr>
    </w:p>
    <w:p>
      <w:pPr>
        <w:rPr>
          <w:rFonts w:ascii="宋体" w:hAnsi="宋体" w:cs="宋体"/>
          <w:color w:val="000000" w:themeColor="text1"/>
          <w14:textFill>
            <w14:solidFill>
              <w14:schemeClr w14:val="tx1"/>
            </w14:solidFill>
          </w14:textFill>
        </w:rPr>
      </w:pPr>
    </w:p>
    <w:p>
      <w:pPr>
        <w:spacing w:line="380" w:lineRule="exact"/>
        <w:rPr>
          <w:rFonts w:ascii="宋体" w:hAnsi="宋体" w:cs="宋体"/>
          <w:b/>
          <w:color w:val="000000" w:themeColor="text1"/>
          <w:sz w:val="32"/>
          <w:szCs w:val="32"/>
          <w14:textFill>
            <w14:solidFill>
              <w14:schemeClr w14:val="tx1"/>
            </w14:solidFill>
          </w14:textFill>
        </w:rPr>
      </w:pPr>
    </w:p>
    <w:p>
      <w:pPr>
        <w:spacing w:line="380" w:lineRule="exact"/>
        <w:rPr>
          <w:rFonts w:ascii="宋体" w:hAnsi="宋体" w:cs="宋体"/>
          <w:b/>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54" w:name="_Toc495841798"/>
      <w:r>
        <w:rPr>
          <w:rFonts w:hint="eastAsia" w:ascii="宋体" w:hAnsi="宋体" w:cs="宋体"/>
          <w:b/>
          <w:color w:val="000000" w:themeColor="text1"/>
          <w:sz w:val="32"/>
          <w:szCs w:val="32"/>
          <w14:textFill>
            <w14:solidFill>
              <w14:schemeClr w14:val="tx1"/>
            </w14:solidFill>
          </w14:textFill>
        </w:rPr>
        <w:br w:type="page"/>
      </w:r>
      <w:bookmarkStart w:id="255" w:name="_Toc7840"/>
      <w:r>
        <w:rPr>
          <w:rFonts w:hint="eastAsia" w:ascii="宋体" w:hAnsi="宋体" w:cs="宋体"/>
          <w:b/>
          <w:bCs/>
          <w:color w:val="000000" w:themeColor="text1"/>
          <w:sz w:val="32"/>
          <w:szCs w:val="32"/>
          <w14:textFill>
            <w14:solidFill>
              <w14:schemeClr w14:val="tx1"/>
            </w14:solidFill>
          </w14:textFill>
        </w:rPr>
        <w:t>5.</w:t>
      </w:r>
      <w:bookmarkEnd w:id="254"/>
      <w:r>
        <w:rPr>
          <w:rFonts w:hint="eastAsia" w:ascii="宋体" w:hAnsi="宋体" w:cs="宋体"/>
          <w:b/>
          <w:bCs/>
          <w:color w:val="000000" w:themeColor="text1"/>
          <w:sz w:val="32"/>
          <w:szCs w:val="32"/>
          <w14:textFill>
            <w14:solidFill>
              <w14:schemeClr w14:val="tx1"/>
            </w14:solidFill>
          </w14:textFill>
        </w:rPr>
        <w:t>项目实施人员一览表【如有，请提供，并一起提供由县级以上（含县级）社会养老保险经办机构出具的投标人为项目实施人员交纳的开标截止时间前半年内任意连续三个月社保证明复印件（如投标人为截标时间前60日以内成立的公司，可以提供投标人与项目实施人员签订的劳动合同复印件代替社保证明复印件；如投标人为事业单位，可以提供事业单位机构编制管理证复印件或事业单位机构为其发放工资的工资条复印件代替社保证明复印件；如项目实施人员为免缴纳社保人员，提供免缴纳社保的证明材料复印件及投标人与项目实施人员签订的劳动合同复印件代替社保证明复印件】</w:t>
      </w:r>
      <w:bookmarkEnd w:id="255"/>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 xml:space="preserve">                         </w:t>
      </w:r>
    </w:p>
    <w:p>
      <w:pPr>
        <w:jc w:val="cente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项目实施人员一览表（格式）</w:t>
      </w:r>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 xml:space="preserve">     </w:t>
      </w:r>
    </w:p>
    <w:tbl>
      <w:tblPr>
        <w:tblStyle w:val="26"/>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993"/>
        <w:gridCol w:w="1888"/>
        <w:gridCol w:w="1559"/>
        <w:gridCol w:w="2163"/>
        <w:gridCol w:w="14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shd w:val="clear" w:color="auto" w:fill="8DB3E2"/>
            <w:vAlign w:val="center"/>
          </w:tcPr>
          <w:p>
            <w:pPr>
              <w:spacing w:line="400" w:lineRule="exact"/>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姓 名</w:t>
            </w:r>
          </w:p>
        </w:tc>
        <w:tc>
          <w:tcPr>
            <w:tcW w:w="993" w:type="dxa"/>
            <w:shd w:val="clear" w:color="auto" w:fill="8DB3E2"/>
            <w:vAlign w:val="center"/>
          </w:tcPr>
          <w:p>
            <w:pPr>
              <w:spacing w:line="400" w:lineRule="exact"/>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职务</w:t>
            </w:r>
          </w:p>
        </w:tc>
        <w:tc>
          <w:tcPr>
            <w:tcW w:w="1888" w:type="dxa"/>
            <w:shd w:val="clear" w:color="auto" w:fill="8DB3E2"/>
            <w:vAlign w:val="center"/>
          </w:tcPr>
          <w:p>
            <w:pPr>
              <w:spacing w:line="400" w:lineRule="exact"/>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专业技术资格</w:t>
            </w:r>
          </w:p>
        </w:tc>
        <w:tc>
          <w:tcPr>
            <w:tcW w:w="1559" w:type="dxa"/>
            <w:shd w:val="clear" w:color="auto" w:fill="8DB3E2"/>
            <w:vAlign w:val="center"/>
          </w:tcPr>
          <w:p>
            <w:pPr>
              <w:spacing w:line="400" w:lineRule="exact"/>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证书编号</w:t>
            </w:r>
          </w:p>
        </w:tc>
        <w:tc>
          <w:tcPr>
            <w:tcW w:w="2163" w:type="dxa"/>
            <w:shd w:val="clear" w:color="auto" w:fill="8DB3E2"/>
            <w:vAlign w:val="center"/>
          </w:tcPr>
          <w:p>
            <w:pPr>
              <w:spacing w:line="400" w:lineRule="exact"/>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参加工作时间</w:t>
            </w:r>
          </w:p>
        </w:tc>
        <w:tc>
          <w:tcPr>
            <w:tcW w:w="1477" w:type="dxa"/>
            <w:shd w:val="clear" w:color="auto" w:fill="8DB3E2"/>
            <w:vAlign w:val="center"/>
          </w:tcPr>
          <w:p>
            <w:pPr>
              <w:spacing w:line="400" w:lineRule="exact"/>
              <w:jc w:val="center"/>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tcPr>
          <w:p>
            <w:pPr>
              <w:spacing w:line="400" w:lineRule="exact"/>
              <w:rPr>
                <w:rFonts w:ascii="宋体" w:hAnsi="宋体" w:cs="宋体"/>
                <w:color w:val="000000" w:themeColor="text1"/>
                <w:szCs w:val="21"/>
                <w14:textFill>
                  <w14:solidFill>
                    <w14:schemeClr w14:val="tx1"/>
                  </w14:solidFill>
                </w14:textFill>
              </w:rPr>
            </w:pPr>
          </w:p>
        </w:tc>
        <w:tc>
          <w:tcPr>
            <w:tcW w:w="993" w:type="dxa"/>
          </w:tcPr>
          <w:p>
            <w:pPr>
              <w:spacing w:line="400" w:lineRule="exact"/>
              <w:rPr>
                <w:rFonts w:ascii="宋体" w:hAnsi="宋体" w:cs="宋体"/>
                <w:color w:val="000000" w:themeColor="text1"/>
                <w:szCs w:val="21"/>
                <w14:textFill>
                  <w14:solidFill>
                    <w14:schemeClr w14:val="tx1"/>
                  </w14:solidFill>
                </w14:textFill>
              </w:rPr>
            </w:pPr>
          </w:p>
        </w:tc>
        <w:tc>
          <w:tcPr>
            <w:tcW w:w="1888" w:type="dxa"/>
          </w:tcPr>
          <w:p>
            <w:pPr>
              <w:spacing w:line="400" w:lineRule="exact"/>
              <w:rPr>
                <w:rFonts w:ascii="宋体" w:hAnsi="宋体" w:cs="宋体"/>
                <w:color w:val="000000" w:themeColor="text1"/>
                <w:szCs w:val="21"/>
                <w14:textFill>
                  <w14:solidFill>
                    <w14:schemeClr w14:val="tx1"/>
                  </w14:solidFill>
                </w14:textFill>
              </w:rPr>
            </w:pPr>
          </w:p>
        </w:tc>
        <w:tc>
          <w:tcPr>
            <w:tcW w:w="1559" w:type="dxa"/>
          </w:tcPr>
          <w:p>
            <w:pPr>
              <w:spacing w:line="400" w:lineRule="exact"/>
              <w:rPr>
                <w:rFonts w:ascii="宋体" w:hAnsi="宋体" w:cs="宋体"/>
                <w:color w:val="000000" w:themeColor="text1"/>
                <w:szCs w:val="21"/>
                <w14:textFill>
                  <w14:solidFill>
                    <w14:schemeClr w14:val="tx1"/>
                  </w14:solidFill>
                </w14:textFill>
              </w:rPr>
            </w:pPr>
          </w:p>
        </w:tc>
        <w:tc>
          <w:tcPr>
            <w:tcW w:w="2163" w:type="dxa"/>
          </w:tcPr>
          <w:p>
            <w:pPr>
              <w:spacing w:line="400" w:lineRule="exact"/>
              <w:rPr>
                <w:rFonts w:ascii="宋体" w:hAnsi="宋体" w:cs="宋体"/>
                <w:color w:val="000000" w:themeColor="text1"/>
                <w:szCs w:val="21"/>
                <w14:textFill>
                  <w14:solidFill>
                    <w14:schemeClr w14:val="tx1"/>
                  </w14:solidFill>
                </w14:textFill>
              </w:rPr>
            </w:pPr>
          </w:p>
        </w:tc>
        <w:tc>
          <w:tcPr>
            <w:tcW w:w="1477" w:type="dxa"/>
          </w:tcPr>
          <w:p>
            <w:pPr>
              <w:spacing w:line="400" w:lineRule="exact"/>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tcPr>
          <w:p>
            <w:pPr>
              <w:spacing w:line="400" w:lineRule="exact"/>
              <w:rPr>
                <w:rFonts w:ascii="宋体" w:hAnsi="宋体" w:cs="宋体"/>
                <w:color w:val="000000" w:themeColor="text1"/>
                <w:szCs w:val="21"/>
                <w14:textFill>
                  <w14:solidFill>
                    <w14:schemeClr w14:val="tx1"/>
                  </w14:solidFill>
                </w14:textFill>
              </w:rPr>
            </w:pPr>
          </w:p>
        </w:tc>
        <w:tc>
          <w:tcPr>
            <w:tcW w:w="993" w:type="dxa"/>
          </w:tcPr>
          <w:p>
            <w:pPr>
              <w:spacing w:line="400" w:lineRule="exact"/>
              <w:rPr>
                <w:rFonts w:ascii="宋体" w:hAnsi="宋体" w:cs="宋体"/>
                <w:color w:val="000000" w:themeColor="text1"/>
                <w:szCs w:val="21"/>
                <w14:textFill>
                  <w14:solidFill>
                    <w14:schemeClr w14:val="tx1"/>
                  </w14:solidFill>
                </w14:textFill>
              </w:rPr>
            </w:pPr>
          </w:p>
        </w:tc>
        <w:tc>
          <w:tcPr>
            <w:tcW w:w="1888" w:type="dxa"/>
          </w:tcPr>
          <w:p>
            <w:pPr>
              <w:spacing w:line="400" w:lineRule="exact"/>
              <w:rPr>
                <w:rFonts w:ascii="宋体" w:hAnsi="宋体" w:cs="宋体"/>
                <w:color w:val="000000" w:themeColor="text1"/>
                <w:szCs w:val="21"/>
                <w14:textFill>
                  <w14:solidFill>
                    <w14:schemeClr w14:val="tx1"/>
                  </w14:solidFill>
                </w14:textFill>
              </w:rPr>
            </w:pPr>
          </w:p>
        </w:tc>
        <w:tc>
          <w:tcPr>
            <w:tcW w:w="1559" w:type="dxa"/>
          </w:tcPr>
          <w:p>
            <w:pPr>
              <w:spacing w:line="400" w:lineRule="exact"/>
              <w:rPr>
                <w:rFonts w:ascii="宋体" w:hAnsi="宋体" w:cs="宋体"/>
                <w:color w:val="000000" w:themeColor="text1"/>
                <w:szCs w:val="21"/>
                <w14:textFill>
                  <w14:solidFill>
                    <w14:schemeClr w14:val="tx1"/>
                  </w14:solidFill>
                </w14:textFill>
              </w:rPr>
            </w:pPr>
          </w:p>
        </w:tc>
        <w:tc>
          <w:tcPr>
            <w:tcW w:w="2163" w:type="dxa"/>
          </w:tcPr>
          <w:p>
            <w:pPr>
              <w:spacing w:line="400" w:lineRule="exact"/>
              <w:rPr>
                <w:rFonts w:ascii="宋体" w:hAnsi="宋体" w:cs="宋体"/>
                <w:color w:val="000000" w:themeColor="text1"/>
                <w:szCs w:val="21"/>
                <w14:textFill>
                  <w14:solidFill>
                    <w14:schemeClr w14:val="tx1"/>
                  </w14:solidFill>
                </w14:textFill>
              </w:rPr>
            </w:pPr>
          </w:p>
        </w:tc>
        <w:tc>
          <w:tcPr>
            <w:tcW w:w="1477" w:type="dxa"/>
          </w:tcPr>
          <w:p>
            <w:pPr>
              <w:spacing w:line="400" w:lineRule="exact"/>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tcPr>
          <w:p>
            <w:pPr>
              <w:spacing w:line="400" w:lineRule="exact"/>
              <w:rPr>
                <w:rFonts w:ascii="宋体" w:hAnsi="宋体" w:cs="宋体"/>
                <w:color w:val="000000" w:themeColor="text1"/>
                <w:szCs w:val="21"/>
                <w14:textFill>
                  <w14:solidFill>
                    <w14:schemeClr w14:val="tx1"/>
                  </w14:solidFill>
                </w14:textFill>
              </w:rPr>
            </w:pPr>
          </w:p>
        </w:tc>
        <w:tc>
          <w:tcPr>
            <w:tcW w:w="993" w:type="dxa"/>
          </w:tcPr>
          <w:p>
            <w:pPr>
              <w:spacing w:line="400" w:lineRule="exact"/>
              <w:rPr>
                <w:rFonts w:ascii="宋体" w:hAnsi="宋体" w:cs="宋体"/>
                <w:color w:val="000000" w:themeColor="text1"/>
                <w:szCs w:val="21"/>
                <w14:textFill>
                  <w14:solidFill>
                    <w14:schemeClr w14:val="tx1"/>
                  </w14:solidFill>
                </w14:textFill>
              </w:rPr>
            </w:pPr>
          </w:p>
        </w:tc>
        <w:tc>
          <w:tcPr>
            <w:tcW w:w="1888" w:type="dxa"/>
          </w:tcPr>
          <w:p>
            <w:pPr>
              <w:spacing w:line="400" w:lineRule="exact"/>
              <w:rPr>
                <w:rFonts w:ascii="宋体" w:hAnsi="宋体" w:cs="宋体"/>
                <w:color w:val="000000" w:themeColor="text1"/>
                <w:szCs w:val="21"/>
                <w14:textFill>
                  <w14:solidFill>
                    <w14:schemeClr w14:val="tx1"/>
                  </w14:solidFill>
                </w14:textFill>
              </w:rPr>
            </w:pPr>
          </w:p>
        </w:tc>
        <w:tc>
          <w:tcPr>
            <w:tcW w:w="1559" w:type="dxa"/>
          </w:tcPr>
          <w:p>
            <w:pPr>
              <w:spacing w:line="400" w:lineRule="exact"/>
              <w:rPr>
                <w:rFonts w:ascii="宋体" w:hAnsi="宋体" w:cs="宋体"/>
                <w:color w:val="000000" w:themeColor="text1"/>
                <w:szCs w:val="21"/>
                <w14:textFill>
                  <w14:solidFill>
                    <w14:schemeClr w14:val="tx1"/>
                  </w14:solidFill>
                </w14:textFill>
              </w:rPr>
            </w:pPr>
          </w:p>
        </w:tc>
        <w:tc>
          <w:tcPr>
            <w:tcW w:w="2163" w:type="dxa"/>
          </w:tcPr>
          <w:p>
            <w:pPr>
              <w:spacing w:line="400" w:lineRule="exact"/>
              <w:rPr>
                <w:rFonts w:ascii="宋体" w:hAnsi="宋体" w:cs="宋体"/>
                <w:color w:val="000000" w:themeColor="text1"/>
                <w:szCs w:val="21"/>
                <w14:textFill>
                  <w14:solidFill>
                    <w14:schemeClr w14:val="tx1"/>
                  </w14:solidFill>
                </w14:textFill>
              </w:rPr>
            </w:pPr>
          </w:p>
        </w:tc>
        <w:tc>
          <w:tcPr>
            <w:tcW w:w="1477" w:type="dxa"/>
          </w:tcPr>
          <w:p>
            <w:pPr>
              <w:spacing w:line="400" w:lineRule="exact"/>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tcPr>
          <w:p>
            <w:pPr>
              <w:spacing w:line="400" w:lineRule="exact"/>
              <w:rPr>
                <w:rFonts w:ascii="宋体" w:hAnsi="宋体" w:cs="宋体"/>
                <w:color w:val="000000" w:themeColor="text1"/>
                <w:szCs w:val="21"/>
                <w14:textFill>
                  <w14:solidFill>
                    <w14:schemeClr w14:val="tx1"/>
                  </w14:solidFill>
                </w14:textFill>
              </w:rPr>
            </w:pPr>
          </w:p>
        </w:tc>
        <w:tc>
          <w:tcPr>
            <w:tcW w:w="993" w:type="dxa"/>
          </w:tcPr>
          <w:p>
            <w:pPr>
              <w:spacing w:line="400" w:lineRule="exact"/>
              <w:rPr>
                <w:rFonts w:ascii="宋体" w:hAnsi="宋体" w:cs="宋体"/>
                <w:color w:val="000000" w:themeColor="text1"/>
                <w:szCs w:val="21"/>
                <w14:textFill>
                  <w14:solidFill>
                    <w14:schemeClr w14:val="tx1"/>
                  </w14:solidFill>
                </w14:textFill>
              </w:rPr>
            </w:pPr>
          </w:p>
        </w:tc>
        <w:tc>
          <w:tcPr>
            <w:tcW w:w="1888" w:type="dxa"/>
          </w:tcPr>
          <w:p>
            <w:pPr>
              <w:spacing w:line="400" w:lineRule="exact"/>
              <w:rPr>
                <w:rFonts w:ascii="宋体" w:hAnsi="宋体" w:cs="宋体"/>
                <w:color w:val="000000" w:themeColor="text1"/>
                <w:szCs w:val="21"/>
                <w14:textFill>
                  <w14:solidFill>
                    <w14:schemeClr w14:val="tx1"/>
                  </w14:solidFill>
                </w14:textFill>
              </w:rPr>
            </w:pPr>
          </w:p>
        </w:tc>
        <w:tc>
          <w:tcPr>
            <w:tcW w:w="1559" w:type="dxa"/>
          </w:tcPr>
          <w:p>
            <w:pPr>
              <w:spacing w:line="400" w:lineRule="exact"/>
              <w:rPr>
                <w:rFonts w:ascii="宋体" w:hAnsi="宋体" w:cs="宋体"/>
                <w:color w:val="000000" w:themeColor="text1"/>
                <w:szCs w:val="21"/>
                <w14:textFill>
                  <w14:solidFill>
                    <w14:schemeClr w14:val="tx1"/>
                  </w14:solidFill>
                </w14:textFill>
              </w:rPr>
            </w:pPr>
          </w:p>
        </w:tc>
        <w:tc>
          <w:tcPr>
            <w:tcW w:w="2163" w:type="dxa"/>
          </w:tcPr>
          <w:p>
            <w:pPr>
              <w:spacing w:line="400" w:lineRule="exact"/>
              <w:rPr>
                <w:rFonts w:ascii="宋体" w:hAnsi="宋体" w:cs="宋体"/>
                <w:color w:val="000000" w:themeColor="text1"/>
                <w:szCs w:val="21"/>
                <w14:textFill>
                  <w14:solidFill>
                    <w14:schemeClr w14:val="tx1"/>
                  </w14:solidFill>
                </w14:textFill>
              </w:rPr>
            </w:pPr>
          </w:p>
        </w:tc>
        <w:tc>
          <w:tcPr>
            <w:tcW w:w="1477" w:type="dxa"/>
          </w:tcPr>
          <w:p>
            <w:pPr>
              <w:spacing w:line="400" w:lineRule="exact"/>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tcPr>
          <w:p>
            <w:pPr>
              <w:spacing w:line="400" w:lineRule="exact"/>
              <w:rPr>
                <w:rFonts w:ascii="宋体" w:hAnsi="宋体" w:cs="宋体"/>
                <w:color w:val="000000" w:themeColor="text1"/>
                <w:szCs w:val="21"/>
                <w14:textFill>
                  <w14:solidFill>
                    <w14:schemeClr w14:val="tx1"/>
                  </w14:solidFill>
                </w14:textFill>
              </w:rPr>
            </w:pPr>
          </w:p>
        </w:tc>
        <w:tc>
          <w:tcPr>
            <w:tcW w:w="993" w:type="dxa"/>
          </w:tcPr>
          <w:p>
            <w:pPr>
              <w:spacing w:line="400" w:lineRule="exact"/>
              <w:rPr>
                <w:rFonts w:ascii="宋体" w:hAnsi="宋体" w:cs="宋体"/>
                <w:color w:val="000000" w:themeColor="text1"/>
                <w:szCs w:val="21"/>
                <w14:textFill>
                  <w14:solidFill>
                    <w14:schemeClr w14:val="tx1"/>
                  </w14:solidFill>
                </w14:textFill>
              </w:rPr>
            </w:pPr>
          </w:p>
        </w:tc>
        <w:tc>
          <w:tcPr>
            <w:tcW w:w="1888" w:type="dxa"/>
          </w:tcPr>
          <w:p>
            <w:pPr>
              <w:spacing w:line="400" w:lineRule="exact"/>
              <w:rPr>
                <w:rFonts w:ascii="宋体" w:hAnsi="宋体" w:cs="宋体"/>
                <w:color w:val="000000" w:themeColor="text1"/>
                <w:szCs w:val="21"/>
                <w14:textFill>
                  <w14:solidFill>
                    <w14:schemeClr w14:val="tx1"/>
                  </w14:solidFill>
                </w14:textFill>
              </w:rPr>
            </w:pPr>
          </w:p>
        </w:tc>
        <w:tc>
          <w:tcPr>
            <w:tcW w:w="1559" w:type="dxa"/>
          </w:tcPr>
          <w:p>
            <w:pPr>
              <w:spacing w:line="400" w:lineRule="exact"/>
              <w:rPr>
                <w:rFonts w:ascii="宋体" w:hAnsi="宋体" w:cs="宋体"/>
                <w:color w:val="000000" w:themeColor="text1"/>
                <w:szCs w:val="21"/>
                <w14:textFill>
                  <w14:solidFill>
                    <w14:schemeClr w14:val="tx1"/>
                  </w14:solidFill>
                </w14:textFill>
              </w:rPr>
            </w:pPr>
          </w:p>
        </w:tc>
        <w:tc>
          <w:tcPr>
            <w:tcW w:w="2163" w:type="dxa"/>
          </w:tcPr>
          <w:p>
            <w:pPr>
              <w:spacing w:line="400" w:lineRule="exact"/>
              <w:rPr>
                <w:rFonts w:ascii="宋体" w:hAnsi="宋体" w:cs="宋体"/>
                <w:color w:val="000000" w:themeColor="text1"/>
                <w:szCs w:val="21"/>
                <w14:textFill>
                  <w14:solidFill>
                    <w14:schemeClr w14:val="tx1"/>
                  </w14:solidFill>
                </w14:textFill>
              </w:rPr>
            </w:pPr>
          </w:p>
        </w:tc>
        <w:tc>
          <w:tcPr>
            <w:tcW w:w="1477" w:type="dxa"/>
          </w:tcPr>
          <w:p>
            <w:pPr>
              <w:spacing w:line="400" w:lineRule="exact"/>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tcPr>
          <w:p>
            <w:pPr>
              <w:spacing w:line="400" w:lineRule="exact"/>
              <w:rPr>
                <w:rFonts w:ascii="宋体" w:hAnsi="宋体" w:cs="宋体"/>
                <w:color w:val="000000" w:themeColor="text1"/>
                <w:szCs w:val="21"/>
                <w14:textFill>
                  <w14:solidFill>
                    <w14:schemeClr w14:val="tx1"/>
                  </w14:solidFill>
                </w14:textFill>
              </w:rPr>
            </w:pPr>
          </w:p>
        </w:tc>
        <w:tc>
          <w:tcPr>
            <w:tcW w:w="993" w:type="dxa"/>
          </w:tcPr>
          <w:p>
            <w:pPr>
              <w:spacing w:line="400" w:lineRule="exact"/>
              <w:rPr>
                <w:rFonts w:ascii="宋体" w:hAnsi="宋体" w:cs="宋体"/>
                <w:color w:val="000000" w:themeColor="text1"/>
                <w:szCs w:val="21"/>
                <w14:textFill>
                  <w14:solidFill>
                    <w14:schemeClr w14:val="tx1"/>
                  </w14:solidFill>
                </w14:textFill>
              </w:rPr>
            </w:pPr>
          </w:p>
        </w:tc>
        <w:tc>
          <w:tcPr>
            <w:tcW w:w="1888" w:type="dxa"/>
          </w:tcPr>
          <w:p>
            <w:pPr>
              <w:spacing w:line="400" w:lineRule="exact"/>
              <w:rPr>
                <w:rFonts w:ascii="宋体" w:hAnsi="宋体" w:cs="宋体"/>
                <w:color w:val="000000" w:themeColor="text1"/>
                <w:szCs w:val="21"/>
                <w14:textFill>
                  <w14:solidFill>
                    <w14:schemeClr w14:val="tx1"/>
                  </w14:solidFill>
                </w14:textFill>
              </w:rPr>
            </w:pPr>
          </w:p>
        </w:tc>
        <w:tc>
          <w:tcPr>
            <w:tcW w:w="1559" w:type="dxa"/>
          </w:tcPr>
          <w:p>
            <w:pPr>
              <w:spacing w:line="400" w:lineRule="exact"/>
              <w:rPr>
                <w:rFonts w:ascii="宋体" w:hAnsi="宋体" w:cs="宋体"/>
                <w:color w:val="000000" w:themeColor="text1"/>
                <w:szCs w:val="21"/>
                <w14:textFill>
                  <w14:solidFill>
                    <w14:schemeClr w14:val="tx1"/>
                  </w14:solidFill>
                </w14:textFill>
              </w:rPr>
            </w:pPr>
          </w:p>
        </w:tc>
        <w:tc>
          <w:tcPr>
            <w:tcW w:w="2163" w:type="dxa"/>
          </w:tcPr>
          <w:p>
            <w:pPr>
              <w:spacing w:line="400" w:lineRule="exact"/>
              <w:rPr>
                <w:rFonts w:ascii="宋体" w:hAnsi="宋体" w:cs="宋体"/>
                <w:color w:val="000000" w:themeColor="text1"/>
                <w:szCs w:val="21"/>
                <w14:textFill>
                  <w14:solidFill>
                    <w14:schemeClr w14:val="tx1"/>
                  </w14:solidFill>
                </w14:textFill>
              </w:rPr>
            </w:pPr>
          </w:p>
        </w:tc>
        <w:tc>
          <w:tcPr>
            <w:tcW w:w="1477" w:type="dxa"/>
          </w:tcPr>
          <w:p>
            <w:pPr>
              <w:spacing w:line="400" w:lineRule="exact"/>
              <w:rPr>
                <w:rFonts w:ascii="宋体" w:hAnsi="宋体" w:cs="宋体"/>
                <w:color w:val="000000" w:themeColor="text1"/>
                <w:szCs w:val="21"/>
                <w14:textFill>
                  <w14:solidFill>
                    <w14:schemeClr w14:val="tx1"/>
                  </w14:solidFill>
                </w14:textFill>
              </w:rPr>
            </w:pPr>
          </w:p>
        </w:tc>
      </w:tr>
    </w:tbl>
    <w:p>
      <w:pPr>
        <w:spacing w:line="400" w:lineRule="exact"/>
        <w:rPr>
          <w:rFonts w:ascii="宋体" w:hAnsi="宋体" w:cs="宋体"/>
          <w:color w:val="000000" w:themeColor="text1"/>
          <w:szCs w:val="21"/>
          <w14:textFill>
            <w14:solidFill>
              <w14:schemeClr w14:val="tx1"/>
            </w14:solidFill>
          </w14:textFill>
        </w:rPr>
      </w:pPr>
    </w:p>
    <w:p>
      <w:pPr>
        <w:spacing w:line="40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注：1.在填写时，如本表格不适合投标单位的实际情况，可根据本表格式自行制表填写。</w:t>
      </w:r>
    </w:p>
    <w:p>
      <w:pPr>
        <w:spacing w:line="400" w:lineRule="exact"/>
        <w:ind w:firstLine="3255" w:firstLineChars="155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w:t>
      </w:r>
    </w:p>
    <w:p>
      <w:pPr>
        <w:spacing w:line="400" w:lineRule="exact"/>
        <w:ind w:firstLine="3255" w:firstLineChars="1550"/>
        <w:rPr>
          <w:rFonts w:ascii="宋体" w:hAnsi="宋体" w:cs="宋体"/>
          <w:color w:val="000000" w:themeColor="text1"/>
          <w14:textFill>
            <w14:solidFill>
              <w14:schemeClr w14:val="tx1"/>
            </w14:solidFill>
          </w14:textFill>
        </w:rPr>
      </w:pPr>
    </w:p>
    <w:p>
      <w:pPr>
        <w:snapToGrid w:val="0"/>
        <w:spacing w:line="400" w:lineRule="exact"/>
        <w:ind w:firstLine="1890" w:firstLineChars="9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投标人（公章，自然人除外）：</w:t>
      </w:r>
      <w:r>
        <w:rPr>
          <w:rFonts w:hint="eastAsia" w:ascii="宋体" w:hAnsi="宋体" w:cs="宋体"/>
          <w:color w:val="000000" w:themeColor="text1"/>
          <w:szCs w:val="21"/>
          <w:u w:val="single"/>
          <w14:textFill>
            <w14:solidFill>
              <w14:schemeClr w14:val="tx1"/>
            </w14:solidFill>
          </w14:textFill>
        </w:rPr>
        <w:t xml:space="preserve">                                         </w:t>
      </w:r>
    </w:p>
    <w:p>
      <w:pPr>
        <w:spacing w:line="340" w:lineRule="exact"/>
        <w:ind w:firstLine="1890" w:firstLineChars="9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法定代表人、负责人、自然人或相应的委托代理人签字（或盖章）</w:t>
      </w:r>
    </w:p>
    <w:p>
      <w:pPr>
        <w:spacing w:line="340" w:lineRule="exact"/>
        <w:ind w:firstLine="1680" w:firstLineChars="8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（属自然人的应在签名处加盖大拇指指印）：</w:t>
      </w:r>
      <w:r>
        <w:rPr>
          <w:rFonts w:hint="eastAsia" w:ascii="宋体" w:hAnsi="宋体" w:cs="宋体"/>
          <w:color w:val="000000" w:themeColor="text1"/>
          <w:szCs w:val="21"/>
          <w:u w:val="single"/>
          <w14:textFill>
            <w14:solidFill>
              <w14:schemeClr w14:val="tx1"/>
            </w14:solidFill>
          </w14:textFill>
        </w:rPr>
        <w:t xml:space="preserve">                              </w:t>
      </w:r>
    </w:p>
    <w:p>
      <w:pPr>
        <w:spacing w:line="340" w:lineRule="exact"/>
        <w:ind w:firstLine="1680" w:firstLineChars="800"/>
        <w:rPr>
          <w:rFonts w:ascii="宋体" w:hAnsi="宋体" w:cs="宋体"/>
          <w:color w:val="000000" w:themeColor="text1"/>
          <w:szCs w:val="21"/>
          <w:u w:val="single"/>
          <w14:textFill>
            <w14:solidFill>
              <w14:schemeClr w14:val="tx1"/>
            </w14:solidFill>
          </w14:textFill>
        </w:rPr>
      </w:pPr>
    </w:p>
    <w:p>
      <w:pPr>
        <w:spacing w:line="340" w:lineRule="exact"/>
        <w:ind w:firstLine="1890" w:firstLineChars="900"/>
        <w:rPr>
          <w:rFonts w:ascii="宋体" w:hAnsi="宋体" w:cs="宋体"/>
          <w:b/>
          <w:color w:val="000000" w:themeColor="text1"/>
          <w:sz w:val="32"/>
          <w:szCs w:val="32"/>
          <w14:textFill>
            <w14:solidFill>
              <w14:schemeClr w14:val="tx1"/>
            </w14:solidFill>
          </w14:textFill>
        </w:rPr>
      </w:pPr>
      <w:r>
        <w:rPr>
          <w:rFonts w:hint="eastAsia" w:ascii="宋体" w:hAnsi="宋体" w:cs="宋体"/>
          <w:color w:val="000000" w:themeColor="text1"/>
          <w14:textFill>
            <w14:solidFill>
              <w14:schemeClr w14:val="tx1"/>
            </w14:solidFill>
          </w14:textFill>
        </w:rPr>
        <w:t>日          期：</w:t>
      </w:r>
      <w:r>
        <w:rPr>
          <w:rFonts w:hint="eastAsia" w:ascii="宋体" w:hAnsi="宋体" w:cs="宋体"/>
          <w:color w:val="000000" w:themeColor="text1"/>
          <w:u w:val="single"/>
          <w14:textFill>
            <w14:solidFill>
              <w14:schemeClr w14:val="tx1"/>
            </w14:solidFill>
          </w14:textFill>
        </w:rPr>
        <w:t xml:space="preserve">                                                   </w:t>
      </w:r>
    </w:p>
    <w:p>
      <w:pPr>
        <w:spacing w:line="500" w:lineRule="exact"/>
        <w:rPr>
          <w:rFonts w:ascii="宋体" w:hAnsi="宋体" w:cs="宋体"/>
          <w:b/>
          <w:bCs/>
          <w:color w:val="000000" w:themeColor="text1"/>
          <w:sz w:val="32"/>
          <w:szCs w:val="32"/>
          <w14:textFill>
            <w14:solidFill>
              <w14:schemeClr w14:val="tx1"/>
            </w14:solidFill>
          </w14:textFill>
        </w:rPr>
      </w:pPr>
    </w:p>
    <w:p>
      <w:pPr>
        <w:spacing w:line="400" w:lineRule="exact"/>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56" w:name="_Toc10856"/>
      <w:bookmarkStart w:id="257" w:name="_Toc495841799"/>
      <w:r>
        <w:rPr>
          <w:rFonts w:hint="eastAsia" w:ascii="宋体" w:hAnsi="宋体" w:cs="宋体"/>
          <w:b/>
          <w:bCs/>
          <w:color w:val="000000" w:themeColor="text1"/>
          <w:sz w:val="32"/>
          <w:szCs w:val="32"/>
          <w14:textFill>
            <w14:solidFill>
              <w14:schemeClr w14:val="tx1"/>
            </w14:solidFill>
          </w14:textFill>
        </w:rPr>
        <w:t>6.节能方面的证书复印件（如有，请提供）</w:t>
      </w:r>
      <w:bookmarkEnd w:id="256"/>
      <w:bookmarkEnd w:id="257"/>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58" w:name="_Toc495841800"/>
      <w:bookmarkStart w:id="259" w:name="_Toc21473"/>
      <w:r>
        <w:rPr>
          <w:rFonts w:hint="eastAsia" w:ascii="宋体" w:hAnsi="宋体" w:cs="宋体"/>
          <w:b/>
          <w:bCs/>
          <w:color w:val="000000" w:themeColor="text1"/>
          <w:sz w:val="32"/>
          <w:szCs w:val="32"/>
          <w14:textFill>
            <w14:solidFill>
              <w14:schemeClr w14:val="tx1"/>
            </w14:solidFill>
          </w14:textFill>
        </w:rPr>
        <w:t>7.环境标志方面的证书复印件（如有，请提供）</w:t>
      </w:r>
      <w:bookmarkEnd w:id="258"/>
      <w:bookmarkEnd w:id="259"/>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60" w:name="_Toc495841802"/>
      <w:bookmarkStart w:id="261" w:name="_Toc6517"/>
      <w:r>
        <w:rPr>
          <w:rFonts w:hint="eastAsia" w:ascii="宋体" w:hAnsi="宋体" w:cs="宋体"/>
          <w:b/>
          <w:bCs/>
          <w:color w:val="000000" w:themeColor="text1"/>
          <w:sz w:val="32"/>
          <w:szCs w:val="32"/>
          <w14:textFill>
            <w14:solidFill>
              <w14:schemeClr w14:val="tx1"/>
            </w14:solidFill>
          </w14:textFill>
        </w:rPr>
        <w:t>8.投标人</w:t>
      </w:r>
      <w:r>
        <w:rPr>
          <w:rFonts w:hint="eastAsia" w:ascii="宋体" w:hAnsi="宋体" w:cs="宋体"/>
          <w:b/>
          <w:bCs/>
          <w:color w:val="000000" w:themeColor="text1"/>
          <w:sz w:val="32"/>
          <w:szCs w:val="32"/>
          <w14:textFill>
            <w14:solidFill>
              <w14:schemeClr w14:val="tx1"/>
            </w14:solidFill>
          </w14:textFill>
        </w:rPr>
        <w:t>201</w:t>
      </w:r>
      <w:r>
        <w:rPr>
          <w:rFonts w:hint="eastAsia" w:ascii="宋体" w:hAnsi="宋体" w:cs="宋体"/>
          <w:b/>
          <w:bCs/>
          <w:color w:val="000000" w:themeColor="text1"/>
          <w:sz w:val="32"/>
          <w:szCs w:val="32"/>
          <w:lang w:val="en-US" w:eastAsia="zh-CN"/>
          <w14:textFill>
            <w14:solidFill>
              <w14:schemeClr w14:val="tx1"/>
            </w14:solidFill>
          </w14:textFill>
        </w:rPr>
        <w:t>9</w:t>
      </w:r>
      <w:r>
        <w:rPr>
          <w:rFonts w:hint="eastAsia" w:ascii="宋体" w:hAnsi="宋体" w:cs="宋体"/>
          <w:b/>
          <w:bCs/>
          <w:color w:val="000000" w:themeColor="text1"/>
          <w:sz w:val="32"/>
          <w:szCs w:val="32"/>
          <w14:textFill>
            <w14:solidFill>
              <w14:schemeClr w14:val="tx1"/>
            </w14:solidFill>
          </w14:textFill>
        </w:rPr>
        <w:t>年1月1日</w:t>
      </w:r>
      <w:r>
        <w:rPr>
          <w:rFonts w:hint="eastAsia" w:ascii="宋体" w:hAnsi="宋体" w:cs="宋体"/>
          <w:b/>
          <w:bCs/>
          <w:color w:val="000000" w:themeColor="text1"/>
          <w:sz w:val="32"/>
          <w:szCs w:val="32"/>
          <w14:textFill>
            <w14:solidFill>
              <w14:schemeClr w14:val="tx1"/>
            </w14:solidFill>
          </w14:textFill>
        </w:rPr>
        <w:t>以来同类产品（</w:t>
      </w:r>
      <w:r>
        <w:rPr>
          <w:rFonts w:hint="eastAsia" w:ascii="宋体" w:hAnsi="宋体" w:cs="宋体"/>
          <w:b/>
          <w:bCs/>
          <w:color w:val="000000" w:themeColor="text1"/>
          <w:sz w:val="32"/>
          <w:szCs w:val="32"/>
          <w:lang w:val="en-US" w:eastAsia="zh-CN"/>
          <w14:textFill>
            <w14:solidFill>
              <w14:schemeClr w14:val="tx1"/>
            </w14:solidFill>
          </w14:textFill>
        </w:rPr>
        <w:t>木质、金属家具</w:t>
      </w:r>
      <w:r>
        <w:rPr>
          <w:rFonts w:hint="eastAsia" w:ascii="宋体" w:hAnsi="宋体" w:cs="宋体"/>
          <w:b/>
          <w:bCs/>
          <w:color w:val="000000" w:themeColor="text1"/>
          <w:sz w:val="32"/>
          <w:szCs w:val="32"/>
          <w14:textFill>
            <w14:solidFill>
              <w14:schemeClr w14:val="tx1"/>
            </w14:solidFill>
          </w14:textFill>
        </w:rPr>
        <w:t>）销售业绩的相关证明材料（无不良记录，以中标、成交通知书或签订的销售合同为准，并能清晰反映所销售的货物名称、金额）（如有，请提供）</w:t>
      </w:r>
      <w:bookmarkEnd w:id="260"/>
      <w:bookmarkEnd w:id="261"/>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62" w:name="_Toc495841803"/>
      <w:bookmarkStart w:id="263" w:name="_Toc30520"/>
      <w:r>
        <w:rPr>
          <w:rFonts w:hint="eastAsia" w:ascii="宋体" w:hAnsi="宋体" w:cs="宋体"/>
          <w:b/>
          <w:bCs/>
          <w:color w:val="000000" w:themeColor="text1"/>
          <w:sz w:val="32"/>
          <w:szCs w:val="32"/>
          <w14:textFill>
            <w14:solidFill>
              <w14:schemeClr w14:val="tx1"/>
            </w14:solidFill>
          </w14:textFill>
        </w:rPr>
        <w:t>9.投标人为生产厂家的，投标人的生产制造设备清单及专业技术能力说明（如有，请提供）</w:t>
      </w:r>
      <w:bookmarkEnd w:id="262"/>
      <w:bookmarkEnd w:id="263"/>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64" w:name="_Toc495841804"/>
      <w:bookmarkStart w:id="265" w:name="_Toc5317"/>
      <w:r>
        <w:rPr>
          <w:rFonts w:hint="eastAsia" w:ascii="宋体" w:hAnsi="宋体" w:cs="宋体"/>
          <w:b/>
          <w:bCs/>
          <w:color w:val="000000" w:themeColor="text1"/>
          <w:sz w:val="32"/>
          <w:szCs w:val="32"/>
          <w14:textFill>
            <w14:solidFill>
              <w14:schemeClr w14:val="tx1"/>
            </w14:solidFill>
          </w14:textFill>
        </w:rPr>
        <w:t>10.投标人相关获奖证书、认证证书等复印件（如有，请提供）</w:t>
      </w:r>
      <w:bookmarkEnd w:id="264"/>
      <w:bookmarkEnd w:id="265"/>
      <w:bookmarkStart w:id="266" w:name="_Toc495841805"/>
      <w:r>
        <w:rPr>
          <w:rFonts w:hint="eastAsia" w:ascii="宋体" w:hAnsi="宋体" w:cs="宋体"/>
          <w:b/>
          <w:color w:val="000000" w:themeColor="text1"/>
          <w:sz w:val="32"/>
          <w:szCs w:val="32"/>
          <w14:textFill>
            <w14:solidFill>
              <w14:schemeClr w14:val="tx1"/>
            </w14:solidFill>
          </w14:textFill>
        </w:rPr>
        <w:br w:type="page"/>
      </w:r>
      <w:bookmarkStart w:id="267" w:name="_Toc10511"/>
      <w:r>
        <w:rPr>
          <w:rFonts w:hint="eastAsia" w:ascii="宋体" w:hAnsi="宋体" w:cs="宋体"/>
          <w:b/>
          <w:bCs/>
          <w:color w:val="000000" w:themeColor="text1"/>
          <w:sz w:val="32"/>
          <w:szCs w:val="32"/>
          <w14:textFill>
            <w14:solidFill>
              <w14:schemeClr w14:val="tx1"/>
            </w14:solidFill>
          </w14:textFill>
        </w:rPr>
        <w:t>11.投标人所投产品为广西工业产品的，如实提供《广西工业产品声明函》（如有，请提供）</w:t>
      </w:r>
      <w:bookmarkEnd w:id="266"/>
      <w:bookmarkEnd w:id="267"/>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附件：</w:t>
      </w:r>
    </w:p>
    <w:p>
      <w:pPr>
        <w:spacing w:line="360" w:lineRule="exact"/>
        <w:jc w:val="center"/>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广西工业产品声明函</w:t>
      </w:r>
    </w:p>
    <w:p>
      <w:pPr>
        <w:spacing w:line="460" w:lineRule="exact"/>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w:t>
      </w:r>
    </w:p>
    <w:p>
      <w:pPr>
        <w:spacing w:line="460" w:lineRule="exact"/>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本公司郑重声明，根据《招标采购促进广西工业产品产销对接实施细则》的规定，本公司在本次投标/投标中或者工程项目中提供的下述产品为广西工业产品，详情如下：</w:t>
      </w:r>
    </w:p>
    <w:p>
      <w:pPr>
        <w:spacing w:line="360" w:lineRule="exact"/>
        <w:jc w:val="center"/>
        <w:rPr>
          <w:rFonts w:ascii="宋体" w:hAnsi="宋体" w:cs="宋体"/>
          <w:color w:val="000000" w:themeColor="text1"/>
          <w:sz w:val="24"/>
          <w14:textFill>
            <w14:solidFill>
              <w14:schemeClr w14:val="tx1"/>
            </w14:solidFill>
          </w14:textFill>
        </w:rPr>
      </w:pPr>
    </w:p>
    <w:tbl>
      <w:tblPr>
        <w:tblStyle w:val="26"/>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1617"/>
        <w:gridCol w:w="903"/>
        <w:gridCol w:w="2160"/>
        <w:gridCol w:w="1087"/>
        <w:gridCol w:w="1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720" w:type="dxa"/>
            <w:shd w:val="clear" w:color="auto" w:fill="8DB3E2"/>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1620" w:type="dxa"/>
            <w:shd w:val="clear" w:color="auto" w:fill="8DB3E2"/>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产品名称</w:t>
            </w:r>
          </w:p>
        </w:tc>
        <w:tc>
          <w:tcPr>
            <w:tcW w:w="1617" w:type="dxa"/>
            <w:shd w:val="clear" w:color="auto" w:fill="8DB3E2"/>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型号和规格</w:t>
            </w:r>
          </w:p>
        </w:tc>
        <w:tc>
          <w:tcPr>
            <w:tcW w:w="903" w:type="dxa"/>
            <w:shd w:val="clear" w:color="auto" w:fill="8DB3E2"/>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数量</w:t>
            </w:r>
          </w:p>
        </w:tc>
        <w:tc>
          <w:tcPr>
            <w:tcW w:w="2160" w:type="dxa"/>
            <w:shd w:val="clear" w:color="auto" w:fill="8DB3E2"/>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制造厂商及原产地</w:t>
            </w:r>
          </w:p>
        </w:tc>
        <w:tc>
          <w:tcPr>
            <w:tcW w:w="1087" w:type="dxa"/>
            <w:shd w:val="clear" w:color="auto" w:fill="8DB3E2"/>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投标价</w:t>
            </w:r>
          </w:p>
        </w:tc>
        <w:tc>
          <w:tcPr>
            <w:tcW w:w="1073" w:type="dxa"/>
            <w:shd w:val="clear" w:color="auto" w:fill="8DB3E2"/>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20"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1620"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1617"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903"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2160"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1087"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1073"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20"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1620"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1617"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903"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2160"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1087"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1073"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20"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p>
        </w:tc>
        <w:tc>
          <w:tcPr>
            <w:tcW w:w="1620"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1617"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903"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2160"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1087"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1073"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720" w:type="dxa"/>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1620"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广西工业产品合计价格</w:t>
            </w:r>
          </w:p>
        </w:tc>
        <w:tc>
          <w:tcPr>
            <w:tcW w:w="2520" w:type="dxa"/>
            <w:gridSpan w:val="2"/>
            <w:vAlign w:val="center"/>
          </w:tcPr>
          <w:p>
            <w:pPr>
              <w:spacing w:line="360" w:lineRule="exact"/>
              <w:jc w:val="center"/>
              <w:rPr>
                <w:rFonts w:ascii="宋体" w:hAnsi="宋体" w:cs="宋体"/>
                <w:color w:val="000000" w:themeColor="text1"/>
                <w:szCs w:val="21"/>
                <w14:textFill>
                  <w14:solidFill>
                    <w14:schemeClr w14:val="tx1"/>
                  </w14:solidFill>
                </w14:textFill>
              </w:rPr>
            </w:pPr>
          </w:p>
        </w:tc>
        <w:tc>
          <w:tcPr>
            <w:tcW w:w="2160" w:type="dxa"/>
            <w:vAlign w:val="center"/>
          </w:tcPr>
          <w:p>
            <w:pPr>
              <w:spacing w:line="36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占投标总价比例</w:t>
            </w:r>
          </w:p>
        </w:tc>
        <w:tc>
          <w:tcPr>
            <w:tcW w:w="2160" w:type="dxa"/>
            <w:gridSpan w:val="2"/>
            <w:vAlign w:val="center"/>
          </w:tcPr>
          <w:p>
            <w:pPr>
              <w:spacing w:line="360" w:lineRule="exact"/>
              <w:jc w:val="center"/>
              <w:rPr>
                <w:rFonts w:ascii="宋体" w:hAnsi="宋体" w:cs="宋体"/>
                <w:color w:val="000000" w:themeColor="text1"/>
                <w:szCs w:val="21"/>
                <w14:textFill>
                  <w14:solidFill>
                    <w14:schemeClr w14:val="tx1"/>
                  </w14:solidFill>
                </w14:textFill>
              </w:rPr>
            </w:pPr>
          </w:p>
        </w:tc>
      </w:tr>
    </w:tbl>
    <w:p>
      <w:pPr>
        <w:spacing w:line="460" w:lineRule="exact"/>
        <w:ind w:left="239" w:leftChars="114"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本公司对上述声明的真实性负责。如有虚假，将依法承担相应责任。</w:t>
      </w:r>
    </w:p>
    <w:p>
      <w:pPr>
        <w:spacing w:line="460" w:lineRule="exact"/>
        <w:ind w:left="239" w:leftChars="114" w:firstLine="240" w:firstLineChars="100"/>
        <w:rPr>
          <w:rFonts w:ascii="宋体" w:hAnsi="宋体" w:cs="宋体"/>
          <w:color w:val="000000" w:themeColor="text1"/>
          <w:sz w:val="24"/>
          <w14:textFill>
            <w14:solidFill>
              <w14:schemeClr w14:val="tx1"/>
            </w14:solidFill>
          </w14:textFill>
        </w:rPr>
      </w:pPr>
    </w:p>
    <w:p>
      <w:pPr>
        <w:spacing w:line="460" w:lineRule="exact"/>
        <w:ind w:left="239" w:leftChars="114" w:firstLine="240" w:firstLineChars="100"/>
        <w:rPr>
          <w:rFonts w:ascii="宋体" w:hAnsi="宋体" w:cs="宋体"/>
          <w:color w:val="000000" w:themeColor="text1"/>
          <w:sz w:val="24"/>
          <w14:textFill>
            <w14:solidFill>
              <w14:schemeClr w14:val="tx1"/>
            </w14:solidFill>
          </w14:textFill>
        </w:rPr>
      </w:pPr>
    </w:p>
    <w:p>
      <w:pPr>
        <w:spacing w:line="460" w:lineRule="exact"/>
        <w:ind w:left="239" w:leftChars="114" w:firstLine="6240" w:firstLineChars="26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企业名称（盖</w:t>
      </w:r>
      <w:r>
        <w:rPr>
          <w:rFonts w:hint="eastAsia" w:ascii="宋体" w:hAnsi="宋体" w:cs="宋体"/>
          <w:color w:val="000000" w:themeColor="text1"/>
          <w:spacing w:val="6"/>
          <w:sz w:val="30"/>
          <w:szCs w:val="30"/>
          <w14:textFill>
            <w14:solidFill>
              <w14:schemeClr w14:val="tx1"/>
            </w14:solidFill>
          </w14:textFill>
        </w:rPr>
        <w:t>公</w:t>
      </w:r>
      <w:r>
        <w:rPr>
          <w:rFonts w:hint="eastAsia" w:ascii="宋体" w:hAnsi="宋体" w:cs="宋体"/>
          <w:color w:val="000000" w:themeColor="text1"/>
          <w:sz w:val="24"/>
          <w14:textFill>
            <w14:solidFill>
              <w14:schemeClr w14:val="tx1"/>
            </w14:solidFill>
          </w14:textFill>
        </w:rPr>
        <w:t>章）：</w:t>
      </w:r>
    </w:p>
    <w:p>
      <w:pPr>
        <w:spacing w:line="460" w:lineRule="exact"/>
        <w:ind w:left="239" w:leftChars="114" w:firstLine="6600" w:firstLineChars="27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日 期：</w:t>
      </w:r>
    </w:p>
    <w:p>
      <w:pPr>
        <w:spacing w:line="500" w:lineRule="exact"/>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68" w:name="_Toc12562"/>
      <w:r>
        <w:rPr>
          <w:rFonts w:hint="eastAsia" w:ascii="宋体" w:hAnsi="宋体" w:cs="宋体"/>
          <w:b/>
          <w:color w:val="000000" w:themeColor="text1"/>
          <w:sz w:val="32"/>
          <w:szCs w:val="32"/>
          <w14:textFill>
            <w14:solidFill>
              <w14:schemeClr w14:val="tx1"/>
            </w14:solidFill>
          </w14:textFill>
        </w:rPr>
        <w:br w:type="page"/>
      </w:r>
      <w:r>
        <w:rPr>
          <w:rFonts w:hint="eastAsia" w:ascii="宋体" w:hAnsi="宋体" w:cs="宋体"/>
          <w:b/>
          <w:bCs/>
          <w:color w:val="000000" w:themeColor="text1"/>
          <w:sz w:val="32"/>
          <w:szCs w:val="32"/>
          <w14:textFill>
            <w14:solidFill>
              <w14:schemeClr w14:val="tx1"/>
            </w14:solidFill>
          </w14:textFill>
        </w:rPr>
        <w:t>12.如所提供服务企业属于小型、微型企业【中小微型企业划分标准按照《国家统计局关于印发《统计上大中小微型企业划分办法（2017）》的通知》（国统字[2017]213号）执行，具体划分标准见第四章评标办法中附表《统计上大中小微型企业划分标准》】，以提供的《中小企业声明函》（见附件）为准（如有，请提供）</w:t>
      </w:r>
      <w:bookmarkEnd w:id="268"/>
      <w:r>
        <w:rPr>
          <w:rFonts w:hint="eastAsia" w:ascii="宋体" w:hAnsi="宋体" w:cs="宋体"/>
          <w:b/>
          <w:bCs/>
          <w:color w:val="000000" w:themeColor="text1"/>
          <w:sz w:val="32"/>
          <w:szCs w:val="32"/>
          <w14:textFill>
            <w14:solidFill>
              <w14:schemeClr w14:val="tx1"/>
            </w14:solidFill>
          </w14:textFill>
        </w:rPr>
        <w:t>；</w:t>
      </w:r>
    </w:p>
    <w:p>
      <w:pPr>
        <w:rPr>
          <w:rFonts w:ascii="宋体" w:hAnsi="宋体" w:cs="宋体"/>
          <w:b/>
          <w:bCs/>
          <w:color w:val="000000" w:themeColor="text1"/>
          <w:sz w:val="28"/>
          <w:szCs w:val="28"/>
          <w14:textFill>
            <w14:solidFill>
              <w14:schemeClr w14:val="tx1"/>
            </w14:solidFill>
          </w14:textFill>
        </w:rPr>
      </w:pPr>
      <w:bookmarkStart w:id="269" w:name="_Toc24169_WPSOffice_Level1"/>
      <w:r>
        <w:rPr>
          <w:rFonts w:hint="eastAsia" w:ascii="宋体" w:hAnsi="宋体" w:cs="宋体"/>
          <w:b/>
          <w:bCs/>
          <w:color w:val="000000" w:themeColor="text1"/>
          <w:sz w:val="28"/>
          <w:szCs w:val="28"/>
          <w14:textFill>
            <w14:solidFill>
              <w14:schemeClr w14:val="tx1"/>
            </w14:solidFill>
          </w14:textFill>
        </w:rPr>
        <w:t>附件</w:t>
      </w:r>
      <w:bookmarkEnd w:id="269"/>
    </w:p>
    <w:p>
      <w:pPr>
        <w:pStyle w:val="15"/>
        <w:spacing w:line="440" w:lineRule="exact"/>
        <w:jc w:val="center"/>
        <w:rPr>
          <w:rFonts w:hAnsi="宋体" w:cs="宋体"/>
          <w:b/>
          <w:bCs/>
          <w:color w:val="000000" w:themeColor="text1"/>
          <w:sz w:val="28"/>
          <w:szCs w:val="28"/>
          <w14:textFill>
            <w14:solidFill>
              <w14:schemeClr w14:val="tx1"/>
            </w14:solidFill>
          </w14:textFill>
        </w:rPr>
      </w:pPr>
      <w:r>
        <w:rPr>
          <w:rFonts w:hint="eastAsia" w:hAnsi="宋体" w:cs="宋体"/>
          <w:b/>
          <w:bCs/>
          <w:color w:val="000000" w:themeColor="text1"/>
          <w:sz w:val="28"/>
          <w:szCs w:val="28"/>
          <w14:textFill>
            <w14:solidFill>
              <w14:schemeClr w14:val="tx1"/>
            </w14:solidFill>
          </w14:textFill>
        </w:rPr>
        <w:t>中小企业声明函</w:t>
      </w:r>
    </w:p>
    <w:p>
      <w:pPr>
        <w:spacing w:line="400" w:lineRule="exact"/>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本公司郑重声明，根据《政府采购促进中小企业发展暂行办法》（财库[2011]181号）的规定，本公司为</w:t>
      </w:r>
      <w:bookmarkStart w:id="270" w:name="OLE_LINK5"/>
      <w:r>
        <w:rPr>
          <w:rFonts w:hint="eastAsia" w:ascii="宋体" w:hAnsi="宋体" w:cs="宋体"/>
          <w:color w:val="000000" w:themeColor="text1"/>
          <w:spacing w:val="6"/>
          <w:szCs w:val="21"/>
          <w:u w:val="single"/>
          <w14:textFill>
            <w14:solidFill>
              <w14:schemeClr w14:val="tx1"/>
            </w14:solidFill>
          </w14:textFill>
        </w:rPr>
        <w:t xml:space="preserve">                 </w:t>
      </w:r>
      <w:r>
        <w:rPr>
          <w:rFonts w:hint="eastAsia" w:ascii="宋体" w:hAnsi="宋体" w:cs="宋体"/>
          <w:color w:val="000000" w:themeColor="text1"/>
          <w:spacing w:val="6"/>
          <w:szCs w:val="21"/>
          <w14:textFill>
            <w14:solidFill>
              <w14:schemeClr w14:val="tx1"/>
            </w14:solidFill>
          </w14:textFill>
        </w:rPr>
        <w:t>（请填写：中型、小型、微型）企业</w:t>
      </w:r>
      <w:bookmarkEnd w:id="270"/>
      <w:r>
        <w:rPr>
          <w:rFonts w:hint="eastAsia" w:ascii="宋体" w:hAnsi="宋体" w:cs="宋体"/>
          <w:color w:val="000000" w:themeColor="text1"/>
          <w:spacing w:val="6"/>
          <w:szCs w:val="21"/>
          <w14:textFill>
            <w14:solidFill>
              <w14:schemeClr w14:val="tx1"/>
            </w14:solidFill>
          </w14:textFill>
        </w:rPr>
        <w:t>。即，本公司同时满足以下条件：</w:t>
      </w:r>
    </w:p>
    <w:p>
      <w:pPr>
        <w:spacing w:line="400" w:lineRule="exact"/>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1.根据《工业和信息化部、国家统计局、国家发展和改革委员会、财政部关于印发中小企业划型标准规定的通知》（工信部联企业[2011]300号）规定的划分标准，本公司为</w:t>
      </w:r>
      <w:r>
        <w:rPr>
          <w:rFonts w:hint="eastAsia" w:ascii="宋体" w:hAnsi="宋体" w:cs="宋体"/>
          <w:color w:val="000000" w:themeColor="text1"/>
          <w:spacing w:val="6"/>
          <w:szCs w:val="21"/>
          <w:u w:val="single"/>
          <w14:textFill>
            <w14:solidFill>
              <w14:schemeClr w14:val="tx1"/>
            </w14:solidFill>
          </w14:textFill>
        </w:rPr>
        <w:t xml:space="preserve">        </w:t>
      </w:r>
      <w:r>
        <w:rPr>
          <w:rFonts w:hint="eastAsia" w:ascii="宋体" w:hAnsi="宋体" w:cs="宋体"/>
          <w:color w:val="000000" w:themeColor="text1"/>
          <w:spacing w:val="6"/>
          <w:szCs w:val="21"/>
          <w14:textFill>
            <w14:solidFill>
              <w14:schemeClr w14:val="tx1"/>
            </w14:solidFill>
          </w14:textFill>
        </w:rPr>
        <w:t>（请填写：中型、小型、微型）企业。</w:t>
      </w:r>
    </w:p>
    <w:p>
      <w:pPr>
        <w:spacing w:line="400" w:lineRule="exact"/>
        <w:ind w:firstLine="444" w:firstLineChars="200"/>
        <w:rPr>
          <w:rFonts w:ascii="宋体" w:hAnsi="宋体" w:cs="宋体"/>
          <w:color w:val="000000" w:themeColor="text1"/>
          <w:spacing w:val="6"/>
          <w:szCs w:val="21"/>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2.本公司参加</w:t>
      </w:r>
      <w:r>
        <w:rPr>
          <w:rFonts w:hint="eastAsia" w:ascii="宋体" w:hAnsi="宋体" w:cs="宋体"/>
          <w:color w:val="000000" w:themeColor="text1"/>
          <w:spacing w:val="6"/>
          <w:szCs w:val="21"/>
          <w:u w:val="single"/>
          <w14:textFill>
            <w14:solidFill>
              <w14:schemeClr w14:val="tx1"/>
            </w14:solidFill>
          </w14:textFill>
        </w:rPr>
        <w:t xml:space="preserve">           </w:t>
      </w:r>
      <w:r>
        <w:rPr>
          <w:rFonts w:hint="eastAsia" w:ascii="宋体" w:hAnsi="宋体" w:cs="宋体"/>
          <w:color w:val="000000" w:themeColor="text1"/>
          <w:spacing w:val="6"/>
          <w:szCs w:val="21"/>
          <w14:textFill>
            <w14:solidFill>
              <w14:schemeClr w14:val="tx1"/>
            </w14:solidFill>
          </w14:textFill>
        </w:rPr>
        <w:t>单位的</w:t>
      </w:r>
      <w:r>
        <w:rPr>
          <w:rFonts w:hint="eastAsia" w:ascii="宋体" w:hAnsi="宋体" w:cs="宋体"/>
          <w:color w:val="000000" w:themeColor="text1"/>
          <w:spacing w:val="6"/>
          <w:szCs w:val="21"/>
          <w:u w:val="single"/>
          <w14:textFill>
            <w14:solidFill>
              <w14:schemeClr w14:val="tx1"/>
            </w14:solidFill>
          </w14:textFill>
        </w:rPr>
        <w:t xml:space="preserve">          </w:t>
      </w:r>
      <w:r>
        <w:rPr>
          <w:rFonts w:hint="eastAsia" w:ascii="宋体" w:hAnsi="宋体" w:cs="宋体"/>
          <w:color w:val="000000" w:themeColor="text1"/>
          <w:spacing w:val="6"/>
          <w:szCs w:val="21"/>
          <w14:textFill>
            <w14:solidFill>
              <w14:schemeClr w14:val="tx1"/>
            </w14:solidFill>
          </w14:textFill>
        </w:rPr>
        <w:t>项目采购活动提供本企业制造的货物，由本企业承担工程、提供服务，或者提供其他</w:t>
      </w:r>
      <w:r>
        <w:rPr>
          <w:rFonts w:hint="eastAsia" w:ascii="宋体" w:hAnsi="宋体" w:cs="宋体"/>
          <w:color w:val="000000" w:themeColor="text1"/>
          <w:spacing w:val="6"/>
          <w:szCs w:val="21"/>
          <w:u w:val="single"/>
          <w14:textFill>
            <w14:solidFill>
              <w14:schemeClr w14:val="tx1"/>
            </w14:solidFill>
          </w14:textFill>
        </w:rPr>
        <w:t xml:space="preserve">            </w:t>
      </w:r>
      <w:r>
        <w:rPr>
          <w:rFonts w:hint="eastAsia" w:ascii="宋体" w:hAnsi="宋体" w:cs="宋体"/>
          <w:color w:val="000000" w:themeColor="text1"/>
          <w:spacing w:val="6"/>
          <w:szCs w:val="21"/>
          <w14:textFill>
            <w14:solidFill>
              <w14:schemeClr w14:val="tx1"/>
            </w14:solidFill>
          </w14:textFill>
        </w:rPr>
        <w:t>（请填写：中型、小型、微型）企业制造的货物。本条所称货物不包括使用大型企业注册商标的货物。</w:t>
      </w:r>
    </w:p>
    <w:p>
      <w:pPr>
        <w:pStyle w:val="15"/>
        <w:spacing w:line="400" w:lineRule="exact"/>
        <w:ind w:firstLine="444"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pacing w:val="6"/>
          <w:szCs w:val="21"/>
          <w14:textFill>
            <w14:solidFill>
              <w14:schemeClr w14:val="tx1"/>
            </w14:solidFill>
          </w14:textFill>
        </w:rPr>
        <w:t>本公司对上述声明的真实性负责。如有虚假，将依法承担相应责任。</w:t>
      </w:r>
    </w:p>
    <w:p>
      <w:pPr>
        <w:pStyle w:val="15"/>
        <w:spacing w:line="440" w:lineRule="exact"/>
        <w:ind w:firstLine="480" w:firstLineChars="200"/>
        <w:rPr>
          <w:rFonts w:hAnsi="宋体" w:cs="宋体"/>
          <w:color w:val="000000" w:themeColor="text1"/>
          <w:sz w:val="24"/>
          <w:szCs w:val="24"/>
          <w14:textFill>
            <w14:solidFill>
              <w14:schemeClr w14:val="tx1"/>
            </w14:solidFill>
          </w14:textFill>
        </w:rPr>
      </w:pPr>
    </w:p>
    <w:p>
      <w:pPr>
        <w:pStyle w:val="15"/>
        <w:spacing w:line="440" w:lineRule="exact"/>
        <w:ind w:firstLine="3614" w:firstLineChars="1500"/>
        <w:rPr>
          <w:rFonts w:hAnsi="宋体" w:cs="宋体"/>
          <w:b/>
          <w:bCs/>
          <w:color w:val="000000" w:themeColor="text1"/>
          <w:sz w:val="24"/>
          <w:szCs w:val="24"/>
          <w:u w:val="single"/>
          <w14:textFill>
            <w14:solidFill>
              <w14:schemeClr w14:val="tx1"/>
            </w14:solidFill>
          </w14:textFill>
        </w:rPr>
      </w:pPr>
      <w:r>
        <w:rPr>
          <w:rFonts w:hint="eastAsia" w:hAnsi="宋体" w:cs="宋体"/>
          <w:b/>
          <w:bCs/>
          <w:color w:val="000000" w:themeColor="text1"/>
          <w:sz w:val="24"/>
          <w:szCs w:val="24"/>
          <w14:textFill>
            <w14:solidFill>
              <w14:schemeClr w14:val="tx1"/>
            </w14:solidFill>
          </w14:textFill>
        </w:rPr>
        <w:t>企业名称（加盖公章）：</w:t>
      </w:r>
      <w:r>
        <w:rPr>
          <w:rFonts w:hint="eastAsia" w:hAnsi="宋体" w:cs="宋体"/>
          <w:b/>
          <w:bCs/>
          <w:color w:val="000000" w:themeColor="text1"/>
          <w:sz w:val="24"/>
          <w:szCs w:val="24"/>
          <w:u w:val="single"/>
          <w14:textFill>
            <w14:solidFill>
              <w14:schemeClr w14:val="tx1"/>
            </w14:solidFill>
          </w14:textFill>
        </w:rPr>
        <w:t xml:space="preserve">                   </w:t>
      </w:r>
    </w:p>
    <w:p>
      <w:pPr>
        <w:pStyle w:val="15"/>
        <w:spacing w:line="440" w:lineRule="exact"/>
        <w:ind w:firstLine="4819" w:firstLineChars="2000"/>
        <w:rPr>
          <w:rFonts w:hAnsi="宋体" w:cs="宋体"/>
          <w:b/>
          <w:bCs/>
          <w:color w:val="000000" w:themeColor="text1"/>
          <w:sz w:val="28"/>
          <w:szCs w:val="28"/>
          <w14:textFill>
            <w14:solidFill>
              <w14:schemeClr w14:val="tx1"/>
            </w14:solidFill>
          </w14:textFill>
        </w:rPr>
      </w:pPr>
      <w:r>
        <w:rPr>
          <w:rFonts w:hint="eastAsia" w:hAnsi="宋体" w:cs="宋体"/>
          <w:b/>
          <w:bCs/>
          <w:color w:val="000000" w:themeColor="text1"/>
          <w:sz w:val="24"/>
          <w:szCs w:val="24"/>
          <w14:textFill>
            <w14:solidFill>
              <w14:schemeClr w14:val="tx1"/>
            </w14:solidFill>
          </w14:textFill>
        </w:rPr>
        <w:t>日期：     年   月   日</w:t>
      </w:r>
    </w:p>
    <w:p>
      <w:pPr>
        <w:pStyle w:val="15"/>
        <w:spacing w:line="440" w:lineRule="exact"/>
        <w:rPr>
          <w:rFonts w:hAnsi="宋体" w:cs="宋体"/>
          <w:b/>
          <w:bCs/>
          <w:color w:val="000000" w:themeColor="text1"/>
          <w:sz w:val="24"/>
          <w:szCs w:val="24"/>
          <w14:textFill>
            <w14:solidFill>
              <w14:schemeClr w14:val="tx1"/>
            </w14:solidFill>
          </w14:textFill>
        </w:rPr>
      </w:pPr>
    </w:p>
    <w:p>
      <w:pPr>
        <w:pStyle w:val="15"/>
        <w:spacing w:line="440" w:lineRule="exact"/>
        <w:rPr>
          <w:rFonts w:hAnsi="宋体" w:cs="宋体"/>
          <w:b/>
          <w:bCs/>
          <w:color w:val="000000" w:themeColor="text1"/>
          <w:sz w:val="24"/>
          <w:szCs w:val="24"/>
          <w14:textFill>
            <w14:solidFill>
              <w14:schemeClr w14:val="tx1"/>
            </w14:solidFill>
          </w14:textFill>
        </w:rPr>
      </w:pPr>
      <w:r>
        <w:rPr>
          <w:rFonts w:hint="eastAsia" w:hAnsi="宋体" w:cs="宋体"/>
          <w:b/>
          <w:bCs/>
          <w:color w:val="000000" w:themeColor="text1"/>
          <w:sz w:val="24"/>
          <w:szCs w:val="24"/>
          <w14:textFill>
            <w14:solidFill>
              <w14:schemeClr w14:val="tx1"/>
            </w14:solidFill>
          </w14:textFill>
        </w:rPr>
        <w:t>注：</w:t>
      </w:r>
    </w:p>
    <w:p>
      <w:pPr>
        <w:pStyle w:val="15"/>
        <w:numPr>
          <w:ilvl w:val="0"/>
          <w:numId w:val="22"/>
        </w:numPr>
        <w:spacing w:line="440" w:lineRule="exact"/>
        <w:ind w:firstLine="480" w:firstLineChars="200"/>
        <w:rPr>
          <w:rFonts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如供应商属于中型、小型、微型企业的，请按此格式要求提供《中小企业声明函》享受相应优惠政策；同时又是提供其他中型、小型、微型企业制造的货物的，请按此格式要求提供其他中型、小型、微型企业的《中小企业声明函》享受相应优惠政策。</w:t>
      </w:r>
    </w:p>
    <w:p>
      <w:pPr>
        <w:pStyle w:val="15"/>
        <w:numPr>
          <w:ilvl w:val="0"/>
          <w:numId w:val="22"/>
        </w:numPr>
        <w:spacing w:line="440" w:lineRule="exact"/>
        <w:ind w:firstLine="480" w:firstLineChars="200"/>
        <w:rPr>
          <w:rFonts w:hAnsi="宋体" w:cs="宋体"/>
          <w:b/>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采购代理机构在公告中标结果时，将同时公告其《中小企业声明函》，接受社会监督，如有弄虚作假，中标供应商将承担相应责任。</w:t>
      </w:r>
    </w:p>
    <w:p>
      <w:pPr>
        <w:spacing w:line="500" w:lineRule="exact"/>
        <w:rPr>
          <w:rFonts w:ascii="宋体" w:hAnsi="宋体" w:cs="宋体"/>
          <w:b/>
          <w:color w:val="000000" w:themeColor="text1"/>
          <w:sz w:val="32"/>
          <w:szCs w:val="32"/>
          <w14:textFill>
            <w14:solidFill>
              <w14:schemeClr w14:val="tx1"/>
            </w14:solidFill>
          </w14:textFill>
        </w:rPr>
      </w:pPr>
    </w:p>
    <w:p>
      <w:pPr>
        <w:spacing w:line="500" w:lineRule="exact"/>
        <w:rPr>
          <w:rFonts w:ascii="宋体" w:hAnsi="宋体" w:cs="宋体"/>
          <w:b/>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71" w:name="_Toc26450"/>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13.如产品属于监狱企业的，以提供由省级以上监狱管理局、戒毒管理局（含新疆生产建设兵团）出具的属于监狱企业的证明文件为准（如有，请提供）；</w:t>
      </w:r>
      <w:bookmarkEnd w:id="271"/>
    </w:p>
    <w:p>
      <w:pPr>
        <w:rPr>
          <w:rFonts w:ascii="宋体" w:hAnsi="宋体" w:cs="宋体"/>
          <w:b/>
          <w:bCs/>
          <w:color w:val="000000" w:themeColor="text1"/>
          <w:sz w:val="32"/>
          <w:szCs w:val="32"/>
          <w14:textFill>
            <w14:solidFill>
              <w14:schemeClr w14:val="tx1"/>
            </w14:solidFill>
          </w14:textFill>
        </w:rPr>
      </w:pPr>
      <w:bookmarkStart w:id="272" w:name="_Toc17129"/>
      <w:r>
        <w:rPr>
          <w:rFonts w:hint="eastAsia" w:ascii="宋体" w:hAnsi="宋体" w:cs="宋体"/>
          <w:b/>
          <w:bCs/>
          <w:color w:val="000000" w:themeColor="text1"/>
          <w:sz w:val="32"/>
          <w:szCs w:val="32"/>
          <w14:textFill>
            <w14:solidFill>
              <w14:schemeClr w14:val="tx1"/>
            </w14:solidFill>
          </w14:textFill>
        </w:rPr>
        <w:t>14.符合条件的残疾人福利性单位在参加政府采购活动时，应当提供《残疾人福利性单位声明函》（见附件），并对声明的真实性负责。</w:t>
      </w:r>
      <w:bookmarkEnd w:id="272"/>
    </w:p>
    <w:p>
      <w:pPr>
        <w:spacing w:line="588" w:lineRule="exact"/>
        <w:jc w:val="center"/>
        <w:rPr>
          <w:rFonts w:ascii="宋体" w:hAnsi="宋体" w:cs="宋体"/>
          <w:b/>
          <w:color w:val="000000" w:themeColor="text1"/>
          <w:spacing w:val="6"/>
          <w:sz w:val="30"/>
          <w:szCs w:val="30"/>
          <w14:textFill>
            <w14:solidFill>
              <w14:schemeClr w14:val="tx1"/>
            </w14:solidFill>
          </w14:textFill>
        </w:rPr>
      </w:pPr>
      <w:r>
        <w:rPr>
          <w:rFonts w:hint="eastAsia" w:ascii="宋体" w:hAnsi="宋体" w:cs="宋体"/>
          <w:b/>
          <w:color w:val="000000" w:themeColor="text1"/>
          <w:spacing w:val="6"/>
          <w:sz w:val="32"/>
          <w:szCs w:val="32"/>
          <w14:textFill>
            <w14:solidFill>
              <w14:schemeClr w14:val="tx1"/>
            </w14:solidFill>
          </w14:textFill>
        </w:rPr>
        <w:t>残疾人福利性单位声明函</w:t>
      </w:r>
    </w:p>
    <w:p>
      <w:pPr>
        <w:spacing w:line="588" w:lineRule="exact"/>
        <w:ind w:firstLine="624" w:firstLineChars="200"/>
        <w:rPr>
          <w:rFonts w:ascii="宋体" w:hAnsi="宋体" w:cs="宋体"/>
          <w:color w:val="000000" w:themeColor="text1"/>
          <w:spacing w:val="6"/>
          <w:sz w:val="30"/>
          <w:szCs w:val="30"/>
          <w14:textFill>
            <w14:solidFill>
              <w14:schemeClr w14:val="tx1"/>
            </w14:solidFill>
          </w14:textFill>
        </w:rPr>
      </w:pPr>
      <w:r>
        <w:rPr>
          <w:rFonts w:hint="eastAsia" w:ascii="宋体" w:hAnsi="宋体" w:cs="宋体"/>
          <w:color w:val="000000" w:themeColor="text1"/>
          <w:spacing w:val="6"/>
          <w:sz w:val="30"/>
          <w:szCs w:val="30"/>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624" w:firstLineChars="200"/>
        <w:rPr>
          <w:rFonts w:ascii="宋体" w:hAnsi="宋体" w:cs="宋体"/>
          <w:color w:val="000000" w:themeColor="text1"/>
          <w:spacing w:val="6"/>
          <w:sz w:val="30"/>
          <w:szCs w:val="30"/>
          <w14:textFill>
            <w14:solidFill>
              <w14:schemeClr w14:val="tx1"/>
            </w14:solidFill>
          </w14:textFill>
        </w:rPr>
      </w:pPr>
      <w:r>
        <w:rPr>
          <w:rFonts w:hint="eastAsia" w:ascii="宋体" w:hAnsi="宋体" w:cs="宋体"/>
          <w:color w:val="000000" w:themeColor="text1"/>
          <w:spacing w:val="6"/>
          <w:sz w:val="30"/>
          <w:szCs w:val="30"/>
          <w14:textFill>
            <w14:solidFill>
              <w14:schemeClr w14:val="tx1"/>
            </w14:solidFill>
          </w14:textFill>
        </w:rPr>
        <w:t>本单位对上述声明的真实性负责。如有虚假，将依法承担相应责任。</w:t>
      </w:r>
    </w:p>
    <w:p>
      <w:pPr>
        <w:spacing w:line="588" w:lineRule="exact"/>
        <w:ind w:firstLine="624" w:firstLineChars="200"/>
        <w:rPr>
          <w:rFonts w:ascii="宋体" w:hAnsi="宋体" w:cs="宋体"/>
          <w:color w:val="000000" w:themeColor="text1"/>
          <w:spacing w:val="6"/>
          <w:sz w:val="30"/>
          <w:szCs w:val="30"/>
          <w14:textFill>
            <w14:solidFill>
              <w14:schemeClr w14:val="tx1"/>
            </w14:solidFill>
          </w14:textFill>
        </w:rPr>
      </w:pPr>
    </w:p>
    <w:p>
      <w:pPr>
        <w:spacing w:line="588" w:lineRule="exact"/>
        <w:ind w:firstLine="624" w:firstLineChars="200"/>
        <w:rPr>
          <w:rFonts w:ascii="宋体" w:hAnsi="宋体" w:cs="宋体"/>
          <w:color w:val="000000" w:themeColor="text1"/>
          <w:spacing w:val="6"/>
          <w:sz w:val="30"/>
          <w:szCs w:val="30"/>
          <w14:textFill>
            <w14:solidFill>
              <w14:schemeClr w14:val="tx1"/>
            </w14:solidFill>
          </w14:textFill>
        </w:rPr>
      </w:pPr>
    </w:p>
    <w:p>
      <w:pPr>
        <w:spacing w:line="588" w:lineRule="exact"/>
        <w:ind w:firstLine="624" w:firstLineChars="200"/>
        <w:rPr>
          <w:rFonts w:ascii="宋体" w:hAnsi="宋体" w:cs="宋体"/>
          <w:color w:val="000000" w:themeColor="text1"/>
          <w:spacing w:val="6"/>
          <w:sz w:val="30"/>
          <w:szCs w:val="30"/>
          <w14:textFill>
            <w14:solidFill>
              <w14:schemeClr w14:val="tx1"/>
            </w14:solidFill>
          </w14:textFill>
        </w:rPr>
      </w:pPr>
    </w:p>
    <w:p>
      <w:pPr>
        <w:tabs>
          <w:tab w:val="left" w:pos="4860"/>
        </w:tabs>
        <w:spacing w:line="588" w:lineRule="exact"/>
        <w:ind w:right="1560" w:firstLine="624" w:firstLineChars="200"/>
        <w:jc w:val="center"/>
        <w:rPr>
          <w:rFonts w:ascii="宋体" w:hAnsi="宋体" w:cs="宋体"/>
          <w:color w:val="000000" w:themeColor="text1"/>
          <w:spacing w:val="6"/>
          <w:sz w:val="30"/>
          <w:szCs w:val="30"/>
          <w14:textFill>
            <w14:solidFill>
              <w14:schemeClr w14:val="tx1"/>
            </w14:solidFill>
          </w14:textFill>
        </w:rPr>
      </w:pPr>
      <w:r>
        <w:rPr>
          <w:rFonts w:hint="eastAsia" w:ascii="宋体" w:hAnsi="宋体" w:cs="宋体"/>
          <w:color w:val="000000" w:themeColor="text1"/>
          <w:spacing w:val="6"/>
          <w:sz w:val="30"/>
          <w:szCs w:val="30"/>
          <w14:textFill>
            <w14:solidFill>
              <w14:schemeClr w14:val="tx1"/>
            </w14:solidFill>
          </w14:textFill>
        </w:rPr>
        <w:t>单位名称（盖公章）：</w:t>
      </w:r>
    </w:p>
    <w:p>
      <w:pPr>
        <w:tabs>
          <w:tab w:val="left" w:pos="4860"/>
        </w:tabs>
        <w:spacing w:line="588" w:lineRule="exact"/>
        <w:ind w:right="1560" w:firstLine="624" w:firstLineChars="200"/>
        <w:jc w:val="center"/>
        <w:rPr>
          <w:rFonts w:ascii="宋体" w:hAnsi="宋体" w:cs="宋体"/>
          <w:b/>
          <w:bCs/>
          <w:color w:val="000000" w:themeColor="text1"/>
          <w:sz w:val="32"/>
          <w:szCs w:val="32"/>
          <w14:textFill>
            <w14:solidFill>
              <w14:schemeClr w14:val="tx1"/>
            </w14:solidFill>
          </w14:textFill>
        </w:rPr>
      </w:pPr>
      <w:r>
        <w:rPr>
          <w:rFonts w:hint="eastAsia" w:ascii="宋体" w:hAnsi="宋体" w:cs="宋体"/>
          <w:color w:val="000000" w:themeColor="text1"/>
          <w:spacing w:val="6"/>
          <w:sz w:val="30"/>
          <w:szCs w:val="30"/>
          <w14:textFill>
            <w14:solidFill>
              <w14:schemeClr w14:val="tx1"/>
            </w14:solidFill>
          </w14:textFill>
        </w:rPr>
        <w:t>日  期：</w:t>
      </w:r>
    </w:p>
    <w:p>
      <w:pPr>
        <w:spacing w:line="500" w:lineRule="exact"/>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bookmarkStart w:id="273" w:name="_Toc14735"/>
      <w:bookmarkStart w:id="274" w:name="_Toc495841807"/>
      <w:r>
        <w:rPr>
          <w:rFonts w:hint="eastAsia" w:ascii="宋体" w:hAnsi="宋体" w:cs="宋体"/>
          <w:b/>
          <w:bCs/>
          <w:color w:val="000000" w:themeColor="text1"/>
          <w:sz w:val="32"/>
          <w:szCs w:val="32"/>
          <w14:textFill>
            <w14:solidFill>
              <w14:schemeClr w14:val="tx1"/>
            </w14:solidFill>
          </w14:textFill>
        </w:rPr>
        <w:t>15.投标人可结合本项目的评标办法视自身情况自行提交相关证明材料（如有，请提供）</w:t>
      </w:r>
      <w:bookmarkEnd w:id="273"/>
      <w:bookmarkEnd w:id="274"/>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 xml:space="preserve">  </w:t>
      </w:r>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 xml:space="preserve">  </w:t>
      </w:r>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16.项目配送、安装方案（如有，请提供）</w:t>
      </w:r>
    </w:p>
    <w:sectPr>
      <w:footerReference r:id="rId6" w:type="default"/>
      <w:pgSz w:w="11906" w:h="16838"/>
      <w:pgMar w:top="1440" w:right="1080" w:bottom="1440" w:left="108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monospace">
    <w:altName w:val="微软雅黑"/>
    <w:panose1 w:val="00000000000000000000"/>
    <w:charset w:val="00"/>
    <w:family w:val="auto"/>
    <w:pitch w:val="default"/>
    <w:sig w:usb0="00000000" w:usb1="00000000" w:usb2="00000000" w:usb3="00000000" w:csb0="00040001" w:csb1="00000000"/>
  </w:font>
  <w:font w:name="Sim Sun">
    <w:altName w:val="宋体"/>
    <w:panose1 w:val="00000000000000000000"/>
    <w:charset w:val="86"/>
    <w:family w:val="decorative"/>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Ђ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华文行楷">
    <w:panose1 w:val="02010800040101010101"/>
    <w:charset w:val="86"/>
    <w:family w:val="auto"/>
    <w:pitch w:val="default"/>
    <w:sig w:usb0="00000001" w:usb1="080F0000" w:usb2="00000000" w:usb3="00000000" w:csb0="00040000" w:csb1="00000000"/>
  </w:font>
  <w:font w:name="Gulim">
    <w:panose1 w:val="020B0600000101010101"/>
    <w:charset w:val="81"/>
    <w:family w:val="auto"/>
    <w:pitch w:val="default"/>
    <w:sig w:usb0="B00002AF" w:usb1="69D77CFB" w:usb2="00000030" w:usb3="00000000" w:csb0="4008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left"/>
      <w:rPr>
        <w:rFonts w:hint="default" w:eastAsia="宋体"/>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8"/>
                          </w:pPr>
                          <w:r>
                            <w:rPr>
                              <w:rFonts w:hint="eastAsia"/>
                            </w:rPr>
                            <w:fldChar w:fldCharType="begin"/>
                          </w:r>
                          <w:r>
                            <w:rPr>
                              <w:rFonts w:hint="eastAsia"/>
                            </w:rPr>
                            <w:instrText xml:space="preserve"> PAGE  \* MERGEFORMAT </w:instrText>
                          </w:r>
                          <w:r>
                            <w:rPr>
                              <w:rFonts w:hint="eastAsia"/>
                            </w:rPr>
                            <w:fldChar w:fldCharType="separate"/>
                          </w:r>
                          <w:r>
                            <w:t>II</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DOqXm5zwAAAAUBAAAPAAAAAAAAAAEA&#10;IAAAACIAAABkcnMvZG93bnJldi54bWxQSwECFAAUAAAACACHTuJAIZKpRaYBAAA/AwAADgAAAAAA&#10;AAABACAAAAAeAQAAZHJzL2Uyb0RvYy54bWxQSwUGAAAAAAYABgBZAQAANgUAAAAA&#10;">
              <v:fill on="f" focussize="0,0"/>
              <v:stroke on="f"/>
              <v:imagedata o:title=""/>
              <o:lock v:ext="edit" aspectratio="f"/>
              <v:textbox inset="0mm,0mm,0mm,0mm" style="mso-fit-shape-to-text:t;">
                <w:txbxContent>
                  <w:p>
                    <w:pPr>
                      <w:pStyle w:val="18"/>
                    </w:pPr>
                    <w:r>
                      <w:rPr>
                        <w:rFonts w:hint="eastAsia"/>
                      </w:rPr>
                      <w:fldChar w:fldCharType="begin"/>
                    </w:r>
                    <w:r>
                      <w:rPr>
                        <w:rFonts w:hint="eastAsia"/>
                      </w:rPr>
                      <w:instrText xml:space="preserve"> PAGE  \* MERGEFORMAT </w:instrText>
                    </w:r>
                    <w:r>
                      <w:rPr>
                        <w:rFonts w:hint="eastAsia"/>
                      </w:rPr>
                      <w:fldChar w:fldCharType="separate"/>
                    </w:r>
                    <w:r>
                      <w:t>II</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pPr>
    <w:r>
      <w:fldChar w:fldCharType="begin"/>
    </w:r>
    <w:r>
      <w:rPr>
        <w:rStyle w:val="119"/>
      </w:rPr>
      <w:instrText xml:space="preserve"> PAGE </w:instrText>
    </w:r>
    <w:r>
      <w:fldChar w:fldCharType="separate"/>
    </w:r>
    <w:r>
      <w:rPr>
        <w:rStyle w:val="119"/>
      </w:rPr>
      <w:t>4</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jc w:val="both"/>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80AF674"/>
    <w:multiLevelType w:val="singleLevel"/>
    <w:tmpl w:val="A80AF674"/>
    <w:lvl w:ilvl="0" w:tentative="0">
      <w:start w:val="1"/>
      <w:numFmt w:val="decimal"/>
      <w:suff w:val="nothing"/>
      <w:lvlText w:val="%1、"/>
      <w:lvlJc w:val="left"/>
    </w:lvl>
  </w:abstractNum>
  <w:abstractNum w:abstractNumId="1">
    <w:nsid w:val="AD09B180"/>
    <w:multiLevelType w:val="singleLevel"/>
    <w:tmpl w:val="AD09B180"/>
    <w:lvl w:ilvl="0" w:tentative="0">
      <w:start w:val="1"/>
      <w:numFmt w:val="chineseCounting"/>
      <w:suff w:val="nothing"/>
      <w:lvlText w:val="%1、"/>
      <w:lvlJc w:val="left"/>
      <w:rPr>
        <w:rFonts w:hint="eastAsia"/>
      </w:rPr>
    </w:lvl>
  </w:abstractNum>
  <w:abstractNum w:abstractNumId="2">
    <w:nsid w:val="AE8EBBE8"/>
    <w:multiLevelType w:val="singleLevel"/>
    <w:tmpl w:val="AE8EBBE8"/>
    <w:lvl w:ilvl="0" w:tentative="0">
      <w:start w:val="15"/>
      <w:numFmt w:val="decimal"/>
      <w:suff w:val="space"/>
      <w:lvlText w:val="%1."/>
      <w:lvlJc w:val="left"/>
    </w:lvl>
  </w:abstractNum>
  <w:abstractNum w:abstractNumId="3">
    <w:nsid w:val="B8DF3535"/>
    <w:multiLevelType w:val="singleLevel"/>
    <w:tmpl w:val="B8DF3535"/>
    <w:lvl w:ilvl="0" w:tentative="0">
      <w:start w:val="1"/>
      <w:numFmt w:val="decimal"/>
      <w:suff w:val="nothing"/>
      <w:lvlText w:val="%1、"/>
      <w:lvlJc w:val="left"/>
    </w:lvl>
  </w:abstractNum>
  <w:abstractNum w:abstractNumId="4">
    <w:nsid w:val="CADE2C0C"/>
    <w:multiLevelType w:val="singleLevel"/>
    <w:tmpl w:val="CADE2C0C"/>
    <w:lvl w:ilvl="0" w:tentative="0">
      <w:start w:val="1"/>
      <w:numFmt w:val="decimal"/>
      <w:suff w:val="nothing"/>
      <w:lvlText w:val="%1、"/>
      <w:lvlJc w:val="left"/>
    </w:lvl>
  </w:abstractNum>
  <w:abstractNum w:abstractNumId="5">
    <w:nsid w:val="CFF39718"/>
    <w:multiLevelType w:val="singleLevel"/>
    <w:tmpl w:val="CFF39718"/>
    <w:lvl w:ilvl="0" w:tentative="0">
      <w:start w:val="1"/>
      <w:numFmt w:val="decimal"/>
      <w:suff w:val="nothing"/>
      <w:lvlText w:val="%1、"/>
      <w:lvlJc w:val="left"/>
    </w:lvl>
  </w:abstractNum>
  <w:abstractNum w:abstractNumId="6">
    <w:nsid w:val="D55386AB"/>
    <w:multiLevelType w:val="singleLevel"/>
    <w:tmpl w:val="D55386AB"/>
    <w:lvl w:ilvl="0" w:tentative="0">
      <w:start w:val="1"/>
      <w:numFmt w:val="decimal"/>
      <w:suff w:val="nothing"/>
      <w:lvlText w:val="%1、"/>
      <w:lvlJc w:val="left"/>
    </w:lvl>
  </w:abstractNum>
  <w:abstractNum w:abstractNumId="7">
    <w:nsid w:val="D98FB91E"/>
    <w:multiLevelType w:val="singleLevel"/>
    <w:tmpl w:val="D98FB91E"/>
    <w:lvl w:ilvl="0" w:tentative="0">
      <w:start w:val="1"/>
      <w:numFmt w:val="decimal"/>
      <w:suff w:val="nothing"/>
      <w:lvlText w:val="%1、"/>
      <w:lvlJc w:val="left"/>
    </w:lvl>
  </w:abstractNum>
  <w:abstractNum w:abstractNumId="8">
    <w:nsid w:val="DC3C68CC"/>
    <w:multiLevelType w:val="singleLevel"/>
    <w:tmpl w:val="DC3C68CC"/>
    <w:lvl w:ilvl="0" w:tentative="0">
      <w:start w:val="1"/>
      <w:numFmt w:val="decimal"/>
      <w:suff w:val="nothing"/>
      <w:lvlText w:val="%1、"/>
      <w:lvlJc w:val="left"/>
    </w:lvl>
  </w:abstractNum>
  <w:abstractNum w:abstractNumId="9">
    <w:nsid w:val="0F3F0521"/>
    <w:multiLevelType w:val="singleLevel"/>
    <w:tmpl w:val="0F3F0521"/>
    <w:lvl w:ilvl="0" w:tentative="0">
      <w:start w:val="1"/>
      <w:numFmt w:val="decimal"/>
      <w:lvlText w:val="%1)"/>
      <w:lvlJc w:val="left"/>
      <w:pPr>
        <w:ind w:left="425" w:hanging="425"/>
      </w:pPr>
      <w:rPr>
        <w:rFonts w:hint="default"/>
      </w:rPr>
    </w:lvl>
  </w:abstractNum>
  <w:abstractNum w:abstractNumId="10">
    <w:nsid w:val="179A9516"/>
    <w:multiLevelType w:val="singleLevel"/>
    <w:tmpl w:val="179A9516"/>
    <w:lvl w:ilvl="0" w:tentative="0">
      <w:start w:val="4"/>
      <w:numFmt w:val="decimal"/>
      <w:suff w:val="nothing"/>
      <w:lvlText w:val="（%1）"/>
      <w:lvlJc w:val="left"/>
    </w:lvl>
  </w:abstractNum>
  <w:abstractNum w:abstractNumId="11">
    <w:nsid w:val="262694A4"/>
    <w:multiLevelType w:val="singleLevel"/>
    <w:tmpl w:val="262694A4"/>
    <w:lvl w:ilvl="0" w:tentative="0">
      <w:start w:val="1"/>
      <w:numFmt w:val="chineseCounting"/>
      <w:suff w:val="space"/>
      <w:lvlText w:val="第%1章"/>
      <w:lvlJc w:val="left"/>
      <w:rPr>
        <w:rFonts w:hint="eastAsia"/>
      </w:rPr>
    </w:lvl>
  </w:abstractNum>
  <w:abstractNum w:abstractNumId="12">
    <w:nsid w:val="2E3DCA9D"/>
    <w:multiLevelType w:val="singleLevel"/>
    <w:tmpl w:val="2E3DCA9D"/>
    <w:lvl w:ilvl="0" w:tentative="0">
      <w:start w:val="1"/>
      <w:numFmt w:val="chineseCounting"/>
      <w:suff w:val="space"/>
      <w:lvlText w:val="第%1条"/>
      <w:lvlJc w:val="left"/>
      <w:rPr>
        <w:rFonts w:hint="eastAsia"/>
      </w:rPr>
    </w:lvl>
  </w:abstractNum>
  <w:abstractNum w:abstractNumId="13">
    <w:nsid w:val="309B35C1"/>
    <w:multiLevelType w:val="singleLevel"/>
    <w:tmpl w:val="309B35C1"/>
    <w:lvl w:ilvl="0" w:tentative="0">
      <w:start w:val="1"/>
      <w:numFmt w:val="decimal"/>
      <w:lvlText w:val="%1."/>
      <w:lvlJc w:val="left"/>
      <w:pPr>
        <w:tabs>
          <w:tab w:val="left" w:pos="312"/>
        </w:tabs>
      </w:pPr>
    </w:lvl>
  </w:abstractNum>
  <w:abstractNum w:abstractNumId="14">
    <w:nsid w:val="3E77F6B6"/>
    <w:multiLevelType w:val="singleLevel"/>
    <w:tmpl w:val="3E77F6B6"/>
    <w:lvl w:ilvl="0" w:tentative="0">
      <w:start w:val="1"/>
      <w:numFmt w:val="decimal"/>
      <w:suff w:val="nothing"/>
      <w:lvlText w:val="%1、"/>
      <w:lvlJc w:val="left"/>
    </w:lvl>
  </w:abstractNum>
  <w:abstractNum w:abstractNumId="15">
    <w:nsid w:val="4603DC6E"/>
    <w:multiLevelType w:val="singleLevel"/>
    <w:tmpl w:val="4603DC6E"/>
    <w:lvl w:ilvl="0" w:tentative="0">
      <w:start w:val="2"/>
      <w:numFmt w:val="decimal"/>
      <w:suff w:val="nothing"/>
      <w:lvlText w:val="（%1）"/>
      <w:lvlJc w:val="left"/>
    </w:lvl>
  </w:abstractNum>
  <w:abstractNum w:abstractNumId="16">
    <w:nsid w:val="491EBDFD"/>
    <w:multiLevelType w:val="singleLevel"/>
    <w:tmpl w:val="491EBDFD"/>
    <w:lvl w:ilvl="0" w:tentative="0">
      <w:start w:val="1"/>
      <w:numFmt w:val="decimal"/>
      <w:lvlText w:val="%1."/>
      <w:lvlJc w:val="left"/>
      <w:pPr>
        <w:tabs>
          <w:tab w:val="left" w:pos="312"/>
        </w:tabs>
      </w:pPr>
    </w:lvl>
  </w:abstractNum>
  <w:abstractNum w:abstractNumId="17">
    <w:nsid w:val="524A5894"/>
    <w:multiLevelType w:val="singleLevel"/>
    <w:tmpl w:val="524A5894"/>
    <w:lvl w:ilvl="0" w:tentative="0">
      <w:start w:val="1"/>
      <w:numFmt w:val="decimal"/>
      <w:suff w:val="nothing"/>
      <w:lvlText w:val="%1、"/>
      <w:lvlJc w:val="left"/>
    </w:lvl>
  </w:abstractNum>
  <w:abstractNum w:abstractNumId="18">
    <w:nsid w:val="59DC546A"/>
    <w:multiLevelType w:val="singleLevel"/>
    <w:tmpl w:val="59DC546A"/>
    <w:lvl w:ilvl="0" w:tentative="0">
      <w:start w:val="1"/>
      <w:numFmt w:val="decimal"/>
      <w:suff w:val="nothing"/>
      <w:lvlText w:val="（%1）"/>
      <w:lvlJc w:val="left"/>
    </w:lvl>
  </w:abstractNum>
  <w:abstractNum w:abstractNumId="19">
    <w:nsid w:val="61717EBC"/>
    <w:multiLevelType w:val="singleLevel"/>
    <w:tmpl w:val="61717EBC"/>
    <w:lvl w:ilvl="0" w:tentative="0">
      <w:start w:val="1"/>
      <w:numFmt w:val="decimal"/>
      <w:suff w:val="nothing"/>
      <w:lvlText w:val="%1、"/>
      <w:lvlJc w:val="left"/>
    </w:lvl>
  </w:abstractNum>
  <w:abstractNum w:abstractNumId="20">
    <w:nsid w:val="6F53DBD9"/>
    <w:multiLevelType w:val="singleLevel"/>
    <w:tmpl w:val="6F53DBD9"/>
    <w:lvl w:ilvl="0" w:tentative="0">
      <w:start w:val="1"/>
      <w:numFmt w:val="decimal"/>
      <w:suff w:val="nothing"/>
      <w:lvlText w:val="%1、"/>
      <w:lvlJc w:val="left"/>
    </w:lvl>
  </w:abstractNum>
  <w:abstractNum w:abstractNumId="21">
    <w:nsid w:val="72C29F83"/>
    <w:multiLevelType w:val="singleLevel"/>
    <w:tmpl w:val="72C29F83"/>
    <w:lvl w:ilvl="0" w:tentative="0">
      <w:start w:val="1"/>
      <w:numFmt w:val="decimal"/>
      <w:suff w:val="nothing"/>
      <w:lvlText w:val="%1、"/>
      <w:lvlJc w:val="left"/>
    </w:lvl>
  </w:abstractNum>
  <w:num w:numId="1">
    <w:abstractNumId w:val="11"/>
  </w:num>
  <w:num w:numId="2">
    <w:abstractNumId w:val="16"/>
  </w:num>
  <w:num w:numId="3">
    <w:abstractNumId w:val="10"/>
  </w:num>
  <w:num w:numId="4">
    <w:abstractNumId w:val="18"/>
  </w:num>
  <w:num w:numId="5">
    <w:abstractNumId w:val="2"/>
  </w:num>
  <w:num w:numId="6">
    <w:abstractNumId w:val="9"/>
  </w:num>
  <w:num w:numId="7">
    <w:abstractNumId w:val="0"/>
  </w:num>
  <w:num w:numId="8">
    <w:abstractNumId w:val="20"/>
  </w:num>
  <w:num w:numId="9">
    <w:abstractNumId w:val="21"/>
  </w:num>
  <w:num w:numId="10">
    <w:abstractNumId w:val="19"/>
  </w:num>
  <w:num w:numId="11">
    <w:abstractNumId w:val="3"/>
  </w:num>
  <w:num w:numId="12">
    <w:abstractNumId w:val="14"/>
  </w:num>
  <w:num w:numId="13">
    <w:abstractNumId w:val="7"/>
  </w:num>
  <w:num w:numId="14">
    <w:abstractNumId w:val="6"/>
  </w:num>
  <w:num w:numId="15">
    <w:abstractNumId w:val="1"/>
  </w:num>
  <w:num w:numId="16">
    <w:abstractNumId w:val="5"/>
  </w:num>
  <w:num w:numId="17">
    <w:abstractNumId w:val="8"/>
  </w:num>
  <w:num w:numId="18">
    <w:abstractNumId w:val="13"/>
  </w:num>
  <w:num w:numId="19">
    <w:abstractNumId w:val="4"/>
  </w:num>
  <w:num w:numId="20">
    <w:abstractNumId w:val="15"/>
  </w:num>
  <w:num w:numId="21">
    <w:abstractNumId w:val="12"/>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2138"/>
    <w:rsid w:val="0000012A"/>
    <w:rsid w:val="000004C3"/>
    <w:rsid w:val="000007B3"/>
    <w:rsid w:val="000012F4"/>
    <w:rsid w:val="000013C5"/>
    <w:rsid w:val="0000245C"/>
    <w:rsid w:val="00002511"/>
    <w:rsid w:val="00002604"/>
    <w:rsid w:val="00002682"/>
    <w:rsid w:val="00002789"/>
    <w:rsid w:val="00003EA2"/>
    <w:rsid w:val="00004D43"/>
    <w:rsid w:val="00004D70"/>
    <w:rsid w:val="000064D3"/>
    <w:rsid w:val="000066AE"/>
    <w:rsid w:val="0000694B"/>
    <w:rsid w:val="00007562"/>
    <w:rsid w:val="00007A12"/>
    <w:rsid w:val="00007F96"/>
    <w:rsid w:val="00010484"/>
    <w:rsid w:val="00010630"/>
    <w:rsid w:val="0001073E"/>
    <w:rsid w:val="00010A38"/>
    <w:rsid w:val="00010C20"/>
    <w:rsid w:val="00010EAD"/>
    <w:rsid w:val="00011006"/>
    <w:rsid w:val="00011968"/>
    <w:rsid w:val="00012CDC"/>
    <w:rsid w:val="0001389F"/>
    <w:rsid w:val="000139C8"/>
    <w:rsid w:val="000139E0"/>
    <w:rsid w:val="00013C53"/>
    <w:rsid w:val="00014897"/>
    <w:rsid w:val="000154C2"/>
    <w:rsid w:val="00015616"/>
    <w:rsid w:val="00016164"/>
    <w:rsid w:val="000161E6"/>
    <w:rsid w:val="000168D8"/>
    <w:rsid w:val="00016CCE"/>
    <w:rsid w:val="00016DFC"/>
    <w:rsid w:val="00016E25"/>
    <w:rsid w:val="00016F9A"/>
    <w:rsid w:val="000171D6"/>
    <w:rsid w:val="00020282"/>
    <w:rsid w:val="000204F7"/>
    <w:rsid w:val="00020654"/>
    <w:rsid w:val="000206E4"/>
    <w:rsid w:val="00020A3D"/>
    <w:rsid w:val="00020C2E"/>
    <w:rsid w:val="00020C93"/>
    <w:rsid w:val="00020DFC"/>
    <w:rsid w:val="00021802"/>
    <w:rsid w:val="00021DAE"/>
    <w:rsid w:val="000226EF"/>
    <w:rsid w:val="00022A04"/>
    <w:rsid w:val="00022F6B"/>
    <w:rsid w:val="0002300B"/>
    <w:rsid w:val="00023496"/>
    <w:rsid w:val="00023CCC"/>
    <w:rsid w:val="00024D1C"/>
    <w:rsid w:val="000250DF"/>
    <w:rsid w:val="000253B5"/>
    <w:rsid w:val="000255CC"/>
    <w:rsid w:val="00025BFA"/>
    <w:rsid w:val="00026487"/>
    <w:rsid w:val="00026761"/>
    <w:rsid w:val="00026815"/>
    <w:rsid w:val="00026A9C"/>
    <w:rsid w:val="00026BD0"/>
    <w:rsid w:val="00026E89"/>
    <w:rsid w:val="00026FAA"/>
    <w:rsid w:val="00027726"/>
    <w:rsid w:val="00027F50"/>
    <w:rsid w:val="00030259"/>
    <w:rsid w:val="00031CD3"/>
    <w:rsid w:val="00031D23"/>
    <w:rsid w:val="000320DB"/>
    <w:rsid w:val="00032419"/>
    <w:rsid w:val="0003258D"/>
    <w:rsid w:val="00033233"/>
    <w:rsid w:val="00033A28"/>
    <w:rsid w:val="00033C3A"/>
    <w:rsid w:val="00033C62"/>
    <w:rsid w:val="00034267"/>
    <w:rsid w:val="00034581"/>
    <w:rsid w:val="00034D30"/>
    <w:rsid w:val="00034E5F"/>
    <w:rsid w:val="000353B8"/>
    <w:rsid w:val="000357BE"/>
    <w:rsid w:val="00035820"/>
    <w:rsid w:val="00035C6F"/>
    <w:rsid w:val="00036348"/>
    <w:rsid w:val="00036425"/>
    <w:rsid w:val="00036594"/>
    <w:rsid w:val="00037242"/>
    <w:rsid w:val="000373A3"/>
    <w:rsid w:val="00037991"/>
    <w:rsid w:val="000404A8"/>
    <w:rsid w:val="00040678"/>
    <w:rsid w:val="00040706"/>
    <w:rsid w:val="00040C08"/>
    <w:rsid w:val="000425C4"/>
    <w:rsid w:val="00042F69"/>
    <w:rsid w:val="000433E9"/>
    <w:rsid w:val="00043717"/>
    <w:rsid w:val="00043BC9"/>
    <w:rsid w:val="00044162"/>
    <w:rsid w:val="00044210"/>
    <w:rsid w:val="0004422A"/>
    <w:rsid w:val="00044409"/>
    <w:rsid w:val="000447E7"/>
    <w:rsid w:val="00044C3F"/>
    <w:rsid w:val="00044E0C"/>
    <w:rsid w:val="00044E5F"/>
    <w:rsid w:val="000457ED"/>
    <w:rsid w:val="00045A4C"/>
    <w:rsid w:val="00045FA3"/>
    <w:rsid w:val="0004657B"/>
    <w:rsid w:val="00047190"/>
    <w:rsid w:val="000473C1"/>
    <w:rsid w:val="00047877"/>
    <w:rsid w:val="000479BB"/>
    <w:rsid w:val="000479E2"/>
    <w:rsid w:val="000500EE"/>
    <w:rsid w:val="0005043F"/>
    <w:rsid w:val="000517CE"/>
    <w:rsid w:val="00052295"/>
    <w:rsid w:val="00052409"/>
    <w:rsid w:val="00052DFE"/>
    <w:rsid w:val="00053E02"/>
    <w:rsid w:val="0005424F"/>
    <w:rsid w:val="00054CFF"/>
    <w:rsid w:val="00055A2B"/>
    <w:rsid w:val="000561BD"/>
    <w:rsid w:val="00056276"/>
    <w:rsid w:val="0005641F"/>
    <w:rsid w:val="0005650A"/>
    <w:rsid w:val="00056832"/>
    <w:rsid w:val="00057D96"/>
    <w:rsid w:val="00057FA8"/>
    <w:rsid w:val="000606D6"/>
    <w:rsid w:val="0006095D"/>
    <w:rsid w:val="00061342"/>
    <w:rsid w:val="000617D3"/>
    <w:rsid w:val="00061A7B"/>
    <w:rsid w:val="0006269C"/>
    <w:rsid w:val="000629C0"/>
    <w:rsid w:val="00062EB9"/>
    <w:rsid w:val="0006313B"/>
    <w:rsid w:val="00063580"/>
    <w:rsid w:val="00063621"/>
    <w:rsid w:val="0006377B"/>
    <w:rsid w:val="00063C67"/>
    <w:rsid w:val="000645BF"/>
    <w:rsid w:val="00064792"/>
    <w:rsid w:val="00064E88"/>
    <w:rsid w:val="00064E8B"/>
    <w:rsid w:val="00065C6C"/>
    <w:rsid w:val="0006602F"/>
    <w:rsid w:val="00066231"/>
    <w:rsid w:val="00066254"/>
    <w:rsid w:val="0006630F"/>
    <w:rsid w:val="000663F2"/>
    <w:rsid w:val="00066927"/>
    <w:rsid w:val="000675B5"/>
    <w:rsid w:val="00070648"/>
    <w:rsid w:val="0007072F"/>
    <w:rsid w:val="000707BA"/>
    <w:rsid w:val="00070B84"/>
    <w:rsid w:val="000712BA"/>
    <w:rsid w:val="00072AF3"/>
    <w:rsid w:val="000731E0"/>
    <w:rsid w:val="0007321D"/>
    <w:rsid w:val="00073EB9"/>
    <w:rsid w:val="00074060"/>
    <w:rsid w:val="000740EE"/>
    <w:rsid w:val="00074441"/>
    <w:rsid w:val="000746A6"/>
    <w:rsid w:val="000746D3"/>
    <w:rsid w:val="00074890"/>
    <w:rsid w:val="00074AAC"/>
    <w:rsid w:val="00075405"/>
    <w:rsid w:val="000759B4"/>
    <w:rsid w:val="00075AC6"/>
    <w:rsid w:val="000763B8"/>
    <w:rsid w:val="00080266"/>
    <w:rsid w:val="00080A97"/>
    <w:rsid w:val="00080C72"/>
    <w:rsid w:val="00080FD4"/>
    <w:rsid w:val="00081197"/>
    <w:rsid w:val="000815D9"/>
    <w:rsid w:val="0008283C"/>
    <w:rsid w:val="00082B33"/>
    <w:rsid w:val="00082F26"/>
    <w:rsid w:val="000834F3"/>
    <w:rsid w:val="00083AFC"/>
    <w:rsid w:val="000840AE"/>
    <w:rsid w:val="00084236"/>
    <w:rsid w:val="000844B3"/>
    <w:rsid w:val="00085194"/>
    <w:rsid w:val="000858A2"/>
    <w:rsid w:val="00085993"/>
    <w:rsid w:val="00085EE0"/>
    <w:rsid w:val="00086806"/>
    <w:rsid w:val="000870A4"/>
    <w:rsid w:val="00087492"/>
    <w:rsid w:val="00087C2E"/>
    <w:rsid w:val="00087C30"/>
    <w:rsid w:val="00087D46"/>
    <w:rsid w:val="000900BE"/>
    <w:rsid w:val="0009120F"/>
    <w:rsid w:val="0009192D"/>
    <w:rsid w:val="00091A92"/>
    <w:rsid w:val="00091ADC"/>
    <w:rsid w:val="00091F7B"/>
    <w:rsid w:val="000921D6"/>
    <w:rsid w:val="00093502"/>
    <w:rsid w:val="0009423E"/>
    <w:rsid w:val="0009439C"/>
    <w:rsid w:val="0009450E"/>
    <w:rsid w:val="0009583E"/>
    <w:rsid w:val="00095D3B"/>
    <w:rsid w:val="0009609B"/>
    <w:rsid w:val="00096254"/>
    <w:rsid w:val="0009629E"/>
    <w:rsid w:val="0009657E"/>
    <w:rsid w:val="00096B3D"/>
    <w:rsid w:val="0009733E"/>
    <w:rsid w:val="00097B00"/>
    <w:rsid w:val="000A0243"/>
    <w:rsid w:val="000A1985"/>
    <w:rsid w:val="000A1B2D"/>
    <w:rsid w:val="000A1C5C"/>
    <w:rsid w:val="000A22E4"/>
    <w:rsid w:val="000A2348"/>
    <w:rsid w:val="000A482E"/>
    <w:rsid w:val="000A507F"/>
    <w:rsid w:val="000A5F1C"/>
    <w:rsid w:val="000A6BCA"/>
    <w:rsid w:val="000A6E55"/>
    <w:rsid w:val="000A7020"/>
    <w:rsid w:val="000A715A"/>
    <w:rsid w:val="000A7BC1"/>
    <w:rsid w:val="000B005F"/>
    <w:rsid w:val="000B0082"/>
    <w:rsid w:val="000B0948"/>
    <w:rsid w:val="000B147E"/>
    <w:rsid w:val="000B14E2"/>
    <w:rsid w:val="000B1865"/>
    <w:rsid w:val="000B25AB"/>
    <w:rsid w:val="000B27B0"/>
    <w:rsid w:val="000B2E07"/>
    <w:rsid w:val="000B3350"/>
    <w:rsid w:val="000B3403"/>
    <w:rsid w:val="000B3F43"/>
    <w:rsid w:val="000B414E"/>
    <w:rsid w:val="000B420E"/>
    <w:rsid w:val="000B517B"/>
    <w:rsid w:val="000B599B"/>
    <w:rsid w:val="000B6149"/>
    <w:rsid w:val="000B6464"/>
    <w:rsid w:val="000B6616"/>
    <w:rsid w:val="000B67FF"/>
    <w:rsid w:val="000B6D4B"/>
    <w:rsid w:val="000B7280"/>
    <w:rsid w:val="000B775D"/>
    <w:rsid w:val="000B7B41"/>
    <w:rsid w:val="000B7B6B"/>
    <w:rsid w:val="000C042D"/>
    <w:rsid w:val="000C16C7"/>
    <w:rsid w:val="000C17B3"/>
    <w:rsid w:val="000C18B9"/>
    <w:rsid w:val="000C1C14"/>
    <w:rsid w:val="000C1C47"/>
    <w:rsid w:val="000C1E87"/>
    <w:rsid w:val="000C1FFE"/>
    <w:rsid w:val="000C278F"/>
    <w:rsid w:val="000C3182"/>
    <w:rsid w:val="000C3627"/>
    <w:rsid w:val="000C3D7C"/>
    <w:rsid w:val="000C3EBF"/>
    <w:rsid w:val="000C3EF9"/>
    <w:rsid w:val="000C4226"/>
    <w:rsid w:val="000C46A7"/>
    <w:rsid w:val="000C4B4A"/>
    <w:rsid w:val="000C577C"/>
    <w:rsid w:val="000C5EBC"/>
    <w:rsid w:val="000C6007"/>
    <w:rsid w:val="000C63C1"/>
    <w:rsid w:val="000C6487"/>
    <w:rsid w:val="000C66D5"/>
    <w:rsid w:val="000C671D"/>
    <w:rsid w:val="000C6905"/>
    <w:rsid w:val="000C726B"/>
    <w:rsid w:val="000C79D7"/>
    <w:rsid w:val="000C7DC0"/>
    <w:rsid w:val="000C7E03"/>
    <w:rsid w:val="000D04B5"/>
    <w:rsid w:val="000D07D7"/>
    <w:rsid w:val="000D0A2A"/>
    <w:rsid w:val="000D197F"/>
    <w:rsid w:val="000D1F8E"/>
    <w:rsid w:val="000D2C99"/>
    <w:rsid w:val="000D3131"/>
    <w:rsid w:val="000D317E"/>
    <w:rsid w:val="000D3499"/>
    <w:rsid w:val="000D35D0"/>
    <w:rsid w:val="000D3ADD"/>
    <w:rsid w:val="000D416D"/>
    <w:rsid w:val="000D4271"/>
    <w:rsid w:val="000D565B"/>
    <w:rsid w:val="000D5A69"/>
    <w:rsid w:val="000D5C45"/>
    <w:rsid w:val="000D6183"/>
    <w:rsid w:val="000D6249"/>
    <w:rsid w:val="000D663D"/>
    <w:rsid w:val="000D713C"/>
    <w:rsid w:val="000D7241"/>
    <w:rsid w:val="000D7491"/>
    <w:rsid w:val="000D761D"/>
    <w:rsid w:val="000D7811"/>
    <w:rsid w:val="000E0233"/>
    <w:rsid w:val="000E07EE"/>
    <w:rsid w:val="000E1051"/>
    <w:rsid w:val="000E125D"/>
    <w:rsid w:val="000E17A5"/>
    <w:rsid w:val="000E1EA9"/>
    <w:rsid w:val="000E20CC"/>
    <w:rsid w:val="000E221C"/>
    <w:rsid w:val="000E2C59"/>
    <w:rsid w:val="000E2D2A"/>
    <w:rsid w:val="000E2D3C"/>
    <w:rsid w:val="000E3086"/>
    <w:rsid w:val="000E3A00"/>
    <w:rsid w:val="000E4218"/>
    <w:rsid w:val="000E4714"/>
    <w:rsid w:val="000E477C"/>
    <w:rsid w:val="000E4A2E"/>
    <w:rsid w:val="000E4AA0"/>
    <w:rsid w:val="000E5032"/>
    <w:rsid w:val="000E551D"/>
    <w:rsid w:val="000E6BBF"/>
    <w:rsid w:val="000E7078"/>
    <w:rsid w:val="000E75B1"/>
    <w:rsid w:val="000F07E0"/>
    <w:rsid w:val="000F0927"/>
    <w:rsid w:val="000F09EA"/>
    <w:rsid w:val="000F0AEC"/>
    <w:rsid w:val="000F0DF2"/>
    <w:rsid w:val="000F1BF2"/>
    <w:rsid w:val="000F1C7B"/>
    <w:rsid w:val="000F2448"/>
    <w:rsid w:val="000F25B0"/>
    <w:rsid w:val="000F2B3A"/>
    <w:rsid w:val="000F3291"/>
    <w:rsid w:val="000F33D3"/>
    <w:rsid w:val="000F3E81"/>
    <w:rsid w:val="000F4D92"/>
    <w:rsid w:val="000F512C"/>
    <w:rsid w:val="000F5A14"/>
    <w:rsid w:val="000F6137"/>
    <w:rsid w:val="000F6477"/>
    <w:rsid w:val="000F660D"/>
    <w:rsid w:val="000F72C5"/>
    <w:rsid w:val="000F7404"/>
    <w:rsid w:val="000F7D5B"/>
    <w:rsid w:val="001002A5"/>
    <w:rsid w:val="0010101A"/>
    <w:rsid w:val="0010113E"/>
    <w:rsid w:val="00101C2F"/>
    <w:rsid w:val="0010220C"/>
    <w:rsid w:val="001023DA"/>
    <w:rsid w:val="00103B1E"/>
    <w:rsid w:val="00103D34"/>
    <w:rsid w:val="001043E8"/>
    <w:rsid w:val="001051FB"/>
    <w:rsid w:val="00105E7C"/>
    <w:rsid w:val="00106635"/>
    <w:rsid w:val="0010772D"/>
    <w:rsid w:val="00107AAB"/>
    <w:rsid w:val="00107DBE"/>
    <w:rsid w:val="001100AC"/>
    <w:rsid w:val="00110BD9"/>
    <w:rsid w:val="0011171E"/>
    <w:rsid w:val="00111A1E"/>
    <w:rsid w:val="00111A2D"/>
    <w:rsid w:val="00111CA9"/>
    <w:rsid w:val="00112548"/>
    <w:rsid w:val="00112720"/>
    <w:rsid w:val="00112F5B"/>
    <w:rsid w:val="00113A0E"/>
    <w:rsid w:val="00113A99"/>
    <w:rsid w:val="00113AF4"/>
    <w:rsid w:val="00114B86"/>
    <w:rsid w:val="00115442"/>
    <w:rsid w:val="00115FBC"/>
    <w:rsid w:val="0011635D"/>
    <w:rsid w:val="00116CBB"/>
    <w:rsid w:val="0011747F"/>
    <w:rsid w:val="001174AE"/>
    <w:rsid w:val="00117B75"/>
    <w:rsid w:val="00117D20"/>
    <w:rsid w:val="00117DC0"/>
    <w:rsid w:val="00117E74"/>
    <w:rsid w:val="00120547"/>
    <w:rsid w:val="00120802"/>
    <w:rsid w:val="0012191A"/>
    <w:rsid w:val="001231A6"/>
    <w:rsid w:val="001234BD"/>
    <w:rsid w:val="001235F0"/>
    <w:rsid w:val="001236EF"/>
    <w:rsid w:val="001239B2"/>
    <w:rsid w:val="00123B65"/>
    <w:rsid w:val="001240C4"/>
    <w:rsid w:val="00124323"/>
    <w:rsid w:val="00124ACB"/>
    <w:rsid w:val="001255C6"/>
    <w:rsid w:val="0012638B"/>
    <w:rsid w:val="00130193"/>
    <w:rsid w:val="0013024C"/>
    <w:rsid w:val="001303EA"/>
    <w:rsid w:val="0013041D"/>
    <w:rsid w:val="00130436"/>
    <w:rsid w:val="00130EFA"/>
    <w:rsid w:val="00131BB7"/>
    <w:rsid w:val="00131C08"/>
    <w:rsid w:val="00131D21"/>
    <w:rsid w:val="0013248D"/>
    <w:rsid w:val="00132F97"/>
    <w:rsid w:val="00133180"/>
    <w:rsid w:val="00133205"/>
    <w:rsid w:val="001333DB"/>
    <w:rsid w:val="00133450"/>
    <w:rsid w:val="001335B1"/>
    <w:rsid w:val="00133C3B"/>
    <w:rsid w:val="00133F22"/>
    <w:rsid w:val="0013449B"/>
    <w:rsid w:val="001344C7"/>
    <w:rsid w:val="001346D2"/>
    <w:rsid w:val="00134862"/>
    <w:rsid w:val="00134BD1"/>
    <w:rsid w:val="00134CC0"/>
    <w:rsid w:val="00135E46"/>
    <w:rsid w:val="00136517"/>
    <w:rsid w:val="00140213"/>
    <w:rsid w:val="0014047C"/>
    <w:rsid w:val="0014115B"/>
    <w:rsid w:val="00141AE7"/>
    <w:rsid w:val="00141E3C"/>
    <w:rsid w:val="00142C09"/>
    <w:rsid w:val="00143102"/>
    <w:rsid w:val="0014329A"/>
    <w:rsid w:val="00143861"/>
    <w:rsid w:val="001440A4"/>
    <w:rsid w:val="00144815"/>
    <w:rsid w:val="00144F89"/>
    <w:rsid w:val="00145537"/>
    <w:rsid w:val="00145D1C"/>
    <w:rsid w:val="00146021"/>
    <w:rsid w:val="00150049"/>
    <w:rsid w:val="00150055"/>
    <w:rsid w:val="001502A2"/>
    <w:rsid w:val="00150373"/>
    <w:rsid w:val="00150AE6"/>
    <w:rsid w:val="00150C40"/>
    <w:rsid w:val="00150D03"/>
    <w:rsid w:val="00151F58"/>
    <w:rsid w:val="00151F67"/>
    <w:rsid w:val="0015285A"/>
    <w:rsid w:val="0015299C"/>
    <w:rsid w:val="0015313E"/>
    <w:rsid w:val="001531B4"/>
    <w:rsid w:val="001533BA"/>
    <w:rsid w:val="00153787"/>
    <w:rsid w:val="0015396D"/>
    <w:rsid w:val="00153BBF"/>
    <w:rsid w:val="001543DB"/>
    <w:rsid w:val="0015440E"/>
    <w:rsid w:val="001552FB"/>
    <w:rsid w:val="00155B83"/>
    <w:rsid w:val="00155E4D"/>
    <w:rsid w:val="00156262"/>
    <w:rsid w:val="001563CA"/>
    <w:rsid w:val="00156979"/>
    <w:rsid w:val="00156A19"/>
    <w:rsid w:val="00156D43"/>
    <w:rsid w:val="00157103"/>
    <w:rsid w:val="00157320"/>
    <w:rsid w:val="00157C06"/>
    <w:rsid w:val="00157CF4"/>
    <w:rsid w:val="001600D7"/>
    <w:rsid w:val="0016036D"/>
    <w:rsid w:val="001608AE"/>
    <w:rsid w:val="00160D3E"/>
    <w:rsid w:val="001610F5"/>
    <w:rsid w:val="00161375"/>
    <w:rsid w:val="001613B7"/>
    <w:rsid w:val="00162D4C"/>
    <w:rsid w:val="00163584"/>
    <w:rsid w:val="001635A4"/>
    <w:rsid w:val="001638BE"/>
    <w:rsid w:val="00163AF5"/>
    <w:rsid w:val="00163FCD"/>
    <w:rsid w:val="00164003"/>
    <w:rsid w:val="00164249"/>
    <w:rsid w:val="00164902"/>
    <w:rsid w:val="00164B0A"/>
    <w:rsid w:val="00164B7B"/>
    <w:rsid w:val="00165240"/>
    <w:rsid w:val="00165735"/>
    <w:rsid w:val="00166390"/>
    <w:rsid w:val="001666A4"/>
    <w:rsid w:val="00166B91"/>
    <w:rsid w:val="00166CED"/>
    <w:rsid w:val="00167F1C"/>
    <w:rsid w:val="00170706"/>
    <w:rsid w:val="00170B25"/>
    <w:rsid w:val="00170BD1"/>
    <w:rsid w:val="001718C5"/>
    <w:rsid w:val="00171A3B"/>
    <w:rsid w:val="00171CE9"/>
    <w:rsid w:val="00171F84"/>
    <w:rsid w:val="0017246C"/>
    <w:rsid w:val="00173282"/>
    <w:rsid w:val="001734B9"/>
    <w:rsid w:val="00173F97"/>
    <w:rsid w:val="00173FCF"/>
    <w:rsid w:val="00174754"/>
    <w:rsid w:val="00175739"/>
    <w:rsid w:val="00175FAB"/>
    <w:rsid w:val="001760DA"/>
    <w:rsid w:val="001769B1"/>
    <w:rsid w:val="00177096"/>
    <w:rsid w:val="001771F7"/>
    <w:rsid w:val="00180926"/>
    <w:rsid w:val="0018107F"/>
    <w:rsid w:val="00181CCB"/>
    <w:rsid w:val="00181D44"/>
    <w:rsid w:val="00181DE6"/>
    <w:rsid w:val="00181F65"/>
    <w:rsid w:val="001821F4"/>
    <w:rsid w:val="00183599"/>
    <w:rsid w:val="00183DF4"/>
    <w:rsid w:val="001841FA"/>
    <w:rsid w:val="00185480"/>
    <w:rsid w:val="001857E0"/>
    <w:rsid w:val="0018632C"/>
    <w:rsid w:val="001863AB"/>
    <w:rsid w:val="00186697"/>
    <w:rsid w:val="001866AB"/>
    <w:rsid w:val="001867C4"/>
    <w:rsid w:val="00186855"/>
    <w:rsid w:val="00186A0B"/>
    <w:rsid w:val="00186B2C"/>
    <w:rsid w:val="00186DB1"/>
    <w:rsid w:val="001870BC"/>
    <w:rsid w:val="001872B9"/>
    <w:rsid w:val="0018738A"/>
    <w:rsid w:val="00187BD2"/>
    <w:rsid w:val="00187CB1"/>
    <w:rsid w:val="00187CDD"/>
    <w:rsid w:val="00190215"/>
    <w:rsid w:val="001902E5"/>
    <w:rsid w:val="001904B0"/>
    <w:rsid w:val="00190ED8"/>
    <w:rsid w:val="001914DA"/>
    <w:rsid w:val="00191864"/>
    <w:rsid w:val="001919E8"/>
    <w:rsid w:val="00191DC4"/>
    <w:rsid w:val="0019308B"/>
    <w:rsid w:val="001934E3"/>
    <w:rsid w:val="001938D1"/>
    <w:rsid w:val="00194200"/>
    <w:rsid w:val="001942EB"/>
    <w:rsid w:val="00194589"/>
    <w:rsid w:val="00194761"/>
    <w:rsid w:val="001948C3"/>
    <w:rsid w:val="00194924"/>
    <w:rsid w:val="0019500A"/>
    <w:rsid w:val="0019565F"/>
    <w:rsid w:val="001958CA"/>
    <w:rsid w:val="00195D31"/>
    <w:rsid w:val="00195E63"/>
    <w:rsid w:val="00196835"/>
    <w:rsid w:val="00196FFE"/>
    <w:rsid w:val="00197957"/>
    <w:rsid w:val="00197DF4"/>
    <w:rsid w:val="001A0E8A"/>
    <w:rsid w:val="001A16A9"/>
    <w:rsid w:val="001A1A33"/>
    <w:rsid w:val="001A1AEE"/>
    <w:rsid w:val="001A1C41"/>
    <w:rsid w:val="001A2E4E"/>
    <w:rsid w:val="001A301F"/>
    <w:rsid w:val="001A3D9F"/>
    <w:rsid w:val="001A415B"/>
    <w:rsid w:val="001A43DB"/>
    <w:rsid w:val="001A4BAE"/>
    <w:rsid w:val="001A5377"/>
    <w:rsid w:val="001A5641"/>
    <w:rsid w:val="001A58E7"/>
    <w:rsid w:val="001A5C92"/>
    <w:rsid w:val="001A5EEF"/>
    <w:rsid w:val="001A612C"/>
    <w:rsid w:val="001A62A0"/>
    <w:rsid w:val="001A62BA"/>
    <w:rsid w:val="001A68C1"/>
    <w:rsid w:val="001A6B02"/>
    <w:rsid w:val="001A6F5F"/>
    <w:rsid w:val="001A714B"/>
    <w:rsid w:val="001A71C3"/>
    <w:rsid w:val="001A74B6"/>
    <w:rsid w:val="001A7D50"/>
    <w:rsid w:val="001B02BF"/>
    <w:rsid w:val="001B0531"/>
    <w:rsid w:val="001B0DD6"/>
    <w:rsid w:val="001B0E49"/>
    <w:rsid w:val="001B16EB"/>
    <w:rsid w:val="001B1A2F"/>
    <w:rsid w:val="001B1ACB"/>
    <w:rsid w:val="001B213D"/>
    <w:rsid w:val="001B2294"/>
    <w:rsid w:val="001B3238"/>
    <w:rsid w:val="001B3D61"/>
    <w:rsid w:val="001B4946"/>
    <w:rsid w:val="001B4A8B"/>
    <w:rsid w:val="001B5976"/>
    <w:rsid w:val="001B5ACC"/>
    <w:rsid w:val="001B5C67"/>
    <w:rsid w:val="001B7730"/>
    <w:rsid w:val="001C0110"/>
    <w:rsid w:val="001C0AF7"/>
    <w:rsid w:val="001C0C1A"/>
    <w:rsid w:val="001C0C6B"/>
    <w:rsid w:val="001C0E3E"/>
    <w:rsid w:val="001C0E71"/>
    <w:rsid w:val="001C1D54"/>
    <w:rsid w:val="001C256D"/>
    <w:rsid w:val="001C27CF"/>
    <w:rsid w:val="001C27DF"/>
    <w:rsid w:val="001C34BA"/>
    <w:rsid w:val="001C3AF1"/>
    <w:rsid w:val="001C4E4F"/>
    <w:rsid w:val="001C51B8"/>
    <w:rsid w:val="001C58F2"/>
    <w:rsid w:val="001C6458"/>
    <w:rsid w:val="001C6B56"/>
    <w:rsid w:val="001C701F"/>
    <w:rsid w:val="001C71B5"/>
    <w:rsid w:val="001D0D38"/>
    <w:rsid w:val="001D0F2A"/>
    <w:rsid w:val="001D120F"/>
    <w:rsid w:val="001D1E46"/>
    <w:rsid w:val="001D20A4"/>
    <w:rsid w:val="001D23BC"/>
    <w:rsid w:val="001D23F2"/>
    <w:rsid w:val="001D2E28"/>
    <w:rsid w:val="001D355E"/>
    <w:rsid w:val="001D3AB6"/>
    <w:rsid w:val="001D3AC0"/>
    <w:rsid w:val="001D3CDE"/>
    <w:rsid w:val="001D3F44"/>
    <w:rsid w:val="001D4377"/>
    <w:rsid w:val="001D465D"/>
    <w:rsid w:val="001D4C8D"/>
    <w:rsid w:val="001D55BB"/>
    <w:rsid w:val="001D5D94"/>
    <w:rsid w:val="001D5E08"/>
    <w:rsid w:val="001D5E18"/>
    <w:rsid w:val="001D5FED"/>
    <w:rsid w:val="001D6030"/>
    <w:rsid w:val="001D60FE"/>
    <w:rsid w:val="001D684F"/>
    <w:rsid w:val="001D6BA3"/>
    <w:rsid w:val="001E02D1"/>
    <w:rsid w:val="001E0C63"/>
    <w:rsid w:val="001E10B5"/>
    <w:rsid w:val="001E12CD"/>
    <w:rsid w:val="001E148F"/>
    <w:rsid w:val="001E1CC1"/>
    <w:rsid w:val="001E2128"/>
    <w:rsid w:val="001E267B"/>
    <w:rsid w:val="001E2BF6"/>
    <w:rsid w:val="001E3014"/>
    <w:rsid w:val="001E355A"/>
    <w:rsid w:val="001E3645"/>
    <w:rsid w:val="001E3AEC"/>
    <w:rsid w:val="001E40F0"/>
    <w:rsid w:val="001E4584"/>
    <w:rsid w:val="001E539D"/>
    <w:rsid w:val="001E59FB"/>
    <w:rsid w:val="001E5A19"/>
    <w:rsid w:val="001E696A"/>
    <w:rsid w:val="001E6A68"/>
    <w:rsid w:val="001E6C10"/>
    <w:rsid w:val="001E6C70"/>
    <w:rsid w:val="001E75C5"/>
    <w:rsid w:val="001E784D"/>
    <w:rsid w:val="001F02D9"/>
    <w:rsid w:val="001F0617"/>
    <w:rsid w:val="001F0875"/>
    <w:rsid w:val="001F0D48"/>
    <w:rsid w:val="001F0D4F"/>
    <w:rsid w:val="001F0DB7"/>
    <w:rsid w:val="001F10E4"/>
    <w:rsid w:val="001F14D8"/>
    <w:rsid w:val="001F1853"/>
    <w:rsid w:val="001F1982"/>
    <w:rsid w:val="001F22E7"/>
    <w:rsid w:val="001F2B87"/>
    <w:rsid w:val="001F2FC9"/>
    <w:rsid w:val="001F32A9"/>
    <w:rsid w:val="001F352D"/>
    <w:rsid w:val="001F3734"/>
    <w:rsid w:val="001F388F"/>
    <w:rsid w:val="001F50A7"/>
    <w:rsid w:val="001F50E9"/>
    <w:rsid w:val="001F542B"/>
    <w:rsid w:val="001F562A"/>
    <w:rsid w:val="001F565A"/>
    <w:rsid w:val="001F56EE"/>
    <w:rsid w:val="001F5959"/>
    <w:rsid w:val="001F5CA6"/>
    <w:rsid w:val="001F606B"/>
    <w:rsid w:val="001F662E"/>
    <w:rsid w:val="001F6B44"/>
    <w:rsid w:val="001F732C"/>
    <w:rsid w:val="001F75C1"/>
    <w:rsid w:val="001F7977"/>
    <w:rsid w:val="001F7A84"/>
    <w:rsid w:val="001F7EC3"/>
    <w:rsid w:val="0020050E"/>
    <w:rsid w:val="00200830"/>
    <w:rsid w:val="0020115A"/>
    <w:rsid w:val="00201F52"/>
    <w:rsid w:val="0020234A"/>
    <w:rsid w:val="00202DFC"/>
    <w:rsid w:val="00204142"/>
    <w:rsid w:val="00205FBE"/>
    <w:rsid w:val="00206225"/>
    <w:rsid w:val="00206463"/>
    <w:rsid w:val="00206878"/>
    <w:rsid w:val="00206D6A"/>
    <w:rsid w:val="00206DF4"/>
    <w:rsid w:val="002103F2"/>
    <w:rsid w:val="002106DB"/>
    <w:rsid w:val="002109BF"/>
    <w:rsid w:val="00210B4E"/>
    <w:rsid w:val="00210F83"/>
    <w:rsid w:val="00210FA9"/>
    <w:rsid w:val="0021128A"/>
    <w:rsid w:val="00211891"/>
    <w:rsid w:val="00211CED"/>
    <w:rsid w:val="00212153"/>
    <w:rsid w:val="00212499"/>
    <w:rsid w:val="002125D6"/>
    <w:rsid w:val="00212626"/>
    <w:rsid w:val="0021325E"/>
    <w:rsid w:val="002133B5"/>
    <w:rsid w:val="002135A1"/>
    <w:rsid w:val="00214CC2"/>
    <w:rsid w:val="00216381"/>
    <w:rsid w:val="00216D6C"/>
    <w:rsid w:val="0021787D"/>
    <w:rsid w:val="00217EDD"/>
    <w:rsid w:val="002201F5"/>
    <w:rsid w:val="00220601"/>
    <w:rsid w:val="0022092C"/>
    <w:rsid w:val="00220BB9"/>
    <w:rsid w:val="002210A3"/>
    <w:rsid w:val="00221704"/>
    <w:rsid w:val="00221C61"/>
    <w:rsid w:val="0022348B"/>
    <w:rsid w:val="002239A4"/>
    <w:rsid w:val="00223DBA"/>
    <w:rsid w:val="002248DF"/>
    <w:rsid w:val="00224E71"/>
    <w:rsid w:val="002253D1"/>
    <w:rsid w:val="00225858"/>
    <w:rsid w:val="00225AE7"/>
    <w:rsid w:val="00225E92"/>
    <w:rsid w:val="00226073"/>
    <w:rsid w:val="0022635C"/>
    <w:rsid w:val="00226B69"/>
    <w:rsid w:val="00226F25"/>
    <w:rsid w:val="002277F1"/>
    <w:rsid w:val="0023032D"/>
    <w:rsid w:val="00230D05"/>
    <w:rsid w:val="00230DF5"/>
    <w:rsid w:val="00230EDB"/>
    <w:rsid w:val="002312B3"/>
    <w:rsid w:val="00231C91"/>
    <w:rsid w:val="002323B1"/>
    <w:rsid w:val="00233414"/>
    <w:rsid w:val="002336EB"/>
    <w:rsid w:val="002339C1"/>
    <w:rsid w:val="00233BD9"/>
    <w:rsid w:val="0023410C"/>
    <w:rsid w:val="002346BF"/>
    <w:rsid w:val="00234B7A"/>
    <w:rsid w:val="00234C7A"/>
    <w:rsid w:val="00234DC8"/>
    <w:rsid w:val="00235085"/>
    <w:rsid w:val="0023591C"/>
    <w:rsid w:val="00235AD7"/>
    <w:rsid w:val="00235C84"/>
    <w:rsid w:val="00236898"/>
    <w:rsid w:val="00236F5D"/>
    <w:rsid w:val="00237617"/>
    <w:rsid w:val="00237D7B"/>
    <w:rsid w:val="00237DD4"/>
    <w:rsid w:val="002402FB"/>
    <w:rsid w:val="002403AB"/>
    <w:rsid w:val="0024086C"/>
    <w:rsid w:val="00240CCC"/>
    <w:rsid w:val="00241A5C"/>
    <w:rsid w:val="00241F12"/>
    <w:rsid w:val="00242092"/>
    <w:rsid w:val="00242709"/>
    <w:rsid w:val="0024302E"/>
    <w:rsid w:val="002433E8"/>
    <w:rsid w:val="0024369D"/>
    <w:rsid w:val="00243C1C"/>
    <w:rsid w:val="00243F0E"/>
    <w:rsid w:val="002441BE"/>
    <w:rsid w:val="002447C1"/>
    <w:rsid w:val="002451AA"/>
    <w:rsid w:val="002453BE"/>
    <w:rsid w:val="002458F3"/>
    <w:rsid w:val="00245F50"/>
    <w:rsid w:val="0024622C"/>
    <w:rsid w:val="00246238"/>
    <w:rsid w:val="0024656D"/>
    <w:rsid w:val="00246836"/>
    <w:rsid w:val="002468E5"/>
    <w:rsid w:val="00246B28"/>
    <w:rsid w:val="00246BC2"/>
    <w:rsid w:val="00246CF3"/>
    <w:rsid w:val="0024723E"/>
    <w:rsid w:val="002501A4"/>
    <w:rsid w:val="002502A8"/>
    <w:rsid w:val="0025120C"/>
    <w:rsid w:val="00251283"/>
    <w:rsid w:val="002513DE"/>
    <w:rsid w:val="00251C4A"/>
    <w:rsid w:val="00251E7B"/>
    <w:rsid w:val="002522E4"/>
    <w:rsid w:val="002527AC"/>
    <w:rsid w:val="002528CC"/>
    <w:rsid w:val="00252D16"/>
    <w:rsid w:val="00252F49"/>
    <w:rsid w:val="00253376"/>
    <w:rsid w:val="00253443"/>
    <w:rsid w:val="00253667"/>
    <w:rsid w:val="00253715"/>
    <w:rsid w:val="0025374C"/>
    <w:rsid w:val="00253ADA"/>
    <w:rsid w:val="00253C52"/>
    <w:rsid w:val="002544BE"/>
    <w:rsid w:val="00254BEC"/>
    <w:rsid w:val="0025555E"/>
    <w:rsid w:val="0025597E"/>
    <w:rsid w:val="00255BF6"/>
    <w:rsid w:val="00255DC5"/>
    <w:rsid w:val="00255E37"/>
    <w:rsid w:val="00256A19"/>
    <w:rsid w:val="00256D6E"/>
    <w:rsid w:val="00257100"/>
    <w:rsid w:val="00257272"/>
    <w:rsid w:val="00257557"/>
    <w:rsid w:val="00257747"/>
    <w:rsid w:val="002600ED"/>
    <w:rsid w:val="0026041B"/>
    <w:rsid w:val="00260586"/>
    <w:rsid w:val="00260593"/>
    <w:rsid w:val="002609CA"/>
    <w:rsid w:val="002616F3"/>
    <w:rsid w:val="00261726"/>
    <w:rsid w:val="00261A24"/>
    <w:rsid w:val="00262050"/>
    <w:rsid w:val="00262145"/>
    <w:rsid w:val="00262313"/>
    <w:rsid w:val="00262804"/>
    <w:rsid w:val="00262F55"/>
    <w:rsid w:val="002630F3"/>
    <w:rsid w:val="0026318C"/>
    <w:rsid w:val="002634B7"/>
    <w:rsid w:val="002637C6"/>
    <w:rsid w:val="00263CDC"/>
    <w:rsid w:val="00263D17"/>
    <w:rsid w:val="002645AA"/>
    <w:rsid w:val="002647D1"/>
    <w:rsid w:val="00264E2B"/>
    <w:rsid w:val="00264FFE"/>
    <w:rsid w:val="0026598F"/>
    <w:rsid w:val="0026658D"/>
    <w:rsid w:val="002674B7"/>
    <w:rsid w:val="0026774F"/>
    <w:rsid w:val="0026776F"/>
    <w:rsid w:val="00267B04"/>
    <w:rsid w:val="00270115"/>
    <w:rsid w:val="002704A0"/>
    <w:rsid w:val="0027076D"/>
    <w:rsid w:val="002709A1"/>
    <w:rsid w:val="00270AFF"/>
    <w:rsid w:val="00270EEB"/>
    <w:rsid w:val="00271456"/>
    <w:rsid w:val="00272CD9"/>
    <w:rsid w:val="00273516"/>
    <w:rsid w:val="00273FCE"/>
    <w:rsid w:val="00274B4D"/>
    <w:rsid w:val="00275110"/>
    <w:rsid w:val="002755BC"/>
    <w:rsid w:val="00275B61"/>
    <w:rsid w:val="0027652D"/>
    <w:rsid w:val="00276D77"/>
    <w:rsid w:val="00276EBC"/>
    <w:rsid w:val="0027768C"/>
    <w:rsid w:val="002778E6"/>
    <w:rsid w:val="00277CA8"/>
    <w:rsid w:val="00277EC2"/>
    <w:rsid w:val="002804B6"/>
    <w:rsid w:val="0028059E"/>
    <w:rsid w:val="002808EF"/>
    <w:rsid w:val="00280E4B"/>
    <w:rsid w:val="00280E9D"/>
    <w:rsid w:val="00280EB0"/>
    <w:rsid w:val="00281541"/>
    <w:rsid w:val="00281F87"/>
    <w:rsid w:val="002820E1"/>
    <w:rsid w:val="002824CA"/>
    <w:rsid w:val="00282762"/>
    <w:rsid w:val="0028343A"/>
    <w:rsid w:val="00283845"/>
    <w:rsid w:val="002839D5"/>
    <w:rsid w:val="00283A86"/>
    <w:rsid w:val="002846FC"/>
    <w:rsid w:val="00284FD0"/>
    <w:rsid w:val="0028552C"/>
    <w:rsid w:val="002874EA"/>
    <w:rsid w:val="00287CD3"/>
    <w:rsid w:val="00287E74"/>
    <w:rsid w:val="00290204"/>
    <w:rsid w:val="002903D6"/>
    <w:rsid w:val="002906A6"/>
    <w:rsid w:val="00290D12"/>
    <w:rsid w:val="00291DB8"/>
    <w:rsid w:val="002922EE"/>
    <w:rsid w:val="002923E8"/>
    <w:rsid w:val="002926ED"/>
    <w:rsid w:val="00292897"/>
    <w:rsid w:val="002928D7"/>
    <w:rsid w:val="00293034"/>
    <w:rsid w:val="002938C6"/>
    <w:rsid w:val="00293F65"/>
    <w:rsid w:val="00293FD7"/>
    <w:rsid w:val="002940BC"/>
    <w:rsid w:val="00294788"/>
    <w:rsid w:val="00295200"/>
    <w:rsid w:val="00295925"/>
    <w:rsid w:val="00295B4E"/>
    <w:rsid w:val="00296A2C"/>
    <w:rsid w:val="00296A4D"/>
    <w:rsid w:val="00296F7D"/>
    <w:rsid w:val="002973ED"/>
    <w:rsid w:val="002A1849"/>
    <w:rsid w:val="002A1EF2"/>
    <w:rsid w:val="002A22AA"/>
    <w:rsid w:val="002A2715"/>
    <w:rsid w:val="002A3296"/>
    <w:rsid w:val="002A39A3"/>
    <w:rsid w:val="002A3A57"/>
    <w:rsid w:val="002A3BA3"/>
    <w:rsid w:val="002A3CB1"/>
    <w:rsid w:val="002A3FF4"/>
    <w:rsid w:val="002A425F"/>
    <w:rsid w:val="002A44C2"/>
    <w:rsid w:val="002A46B7"/>
    <w:rsid w:val="002A4A83"/>
    <w:rsid w:val="002A4ADF"/>
    <w:rsid w:val="002A503D"/>
    <w:rsid w:val="002A541A"/>
    <w:rsid w:val="002A6A6B"/>
    <w:rsid w:val="002A6EBA"/>
    <w:rsid w:val="002A72EE"/>
    <w:rsid w:val="002A79A9"/>
    <w:rsid w:val="002A7A32"/>
    <w:rsid w:val="002B0292"/>
    <w:rsid w:val="002B02BA"/>
    <w:rsid w:val="002B055D"/>
    <w:rsid w:val="002B0D7C"/>
    <w:rsid w:val="002B1057"/>
    <w:rsid w:val="002B1200"/>
    <w:rsid w:val="002B1B23"/>
    <w:rsid w:val="002B1B61"/>
    <w:rsid w:val="002B1C8D"/>
    <w:rsid w:val="002B1F6E"/>
    <w:rsid w:val="002B2466"/>
    <w:rsid w:val="002B270F"/>
    <w:rsid w:val="002B27BC"/>
    <w:rsid w:val="002B330D"/>
    <w:rsid w:val="002B3F99"/>
    <w:rsid w:val="002B40BA"/>
    <w:rsid w:val="002B41E2"/>
    <w:rsid w:val="002B42FF"/>
    <w:rsid w:val="002B45E2"/>
    <w:rsid w:val="002B4AD8"/>
    <w:rsid w:val="002B4AF1"/>
    <w:rsid w:val="002B4FA8"/>
    <w:rsid w:val="002B519B"/>
    <w:rsid w:val="002B59CC"/>
    <w:rsid w:val="002B5F9F"/>
    <w:rsid w:val="002B673E"/>
    <w:rsid w:val="002B6870"/>
    <w:rsid w:val="002B6B4B"/>
    <w:rsid w:val="002B7E97"/>
    <w:rsid w:val="002C0149"/>
    <w:rsid w:val="002C0295"/>
    <w:rsid w:val="002C0B4C"/>
    <w:rsid w:val="002C1004"/>
    <w:rsid w:val="002C1375"/>
    <w:rsid w:val="002C15D0"/>
    <w:rsid w:val="002C1E19"/>
    <w:rsid w:val="002C209E"/>
    <w:rsid w:val="002C2153"/>
    <w:rsid w:val="002C2224"/>
    <w:rsid w:val="002C2536"/>
    <w:rsid w:val="002C2B29"/>
    <w:rsid w:val="002C2B67"/>
    <w:rsid w:val="002C4099"/>
    <w:rsid w:val="002C424A"/>
    <w:rsid w:val="002C4580"/>
    <w:rsid w:val="002C4D0A"/>
    <w:rsid w:val="002C5383"/>
    <w:rsid w:val="002C612B"/>
    <w:rsid w:val="002C6B47"/>
    <w:rsid w:val="002C6D53"/>
    <w:rsid w:val="002C6E0E"/>
    <w:rsid w:val="002C6E3A"/>
    <w:rsid w:val="002C6F79"/>
    <w:rsid w:val="002C73F6"/>
    <w:rsid w:val="002C7C68"/>
    <w:rsid w:val="002D0323"/>
    <w:rsid w:val="002D063F"/>
    <w:rsid w:val="002D0CC4"/>
    <w:rsid w:val="002D12C2"/>
    <w:rsid w:val="002D15A4"/>
    <w:rsid w:val="002D1988"/>
    <w:rsid w:val="002D19C1"/>
    <w:rsid w:val="002D232A"/>
    <w:rsid w:val="002D27C9"/>
    <w:rsid w:val="002D2CAE"/>
    <w:rsid w:val="002D2E7E"/>
    <w:rsid w:val="002D35BD"/>
    <w:rsid w:val="002D36C7"/>
    <w:rsid w:val="002D370A"/>
    <w:rsid w:val="002D3821"/>
    <w:rsid w:val="002D3DCC"/>
    <w:rsid w:val="002D3F19"/>
    <w:rsid w:val="002D42A0"/>
    <w:rsid w:val="002D52F6"/>
    <w:rsid w:val="002D55DE"/>
    <w:rsid w:val="002D5F03"/>
    <w:rsid w:val="002D624B"/>
    <w:rsid w:val="002D695F"/>
    <w:rsid w:val="002D6981"/>
    <w:rsid w:val="002D6CAE"/>
    <w:rsid w:val="002D713F"/>
    <w:rsid w:val="002D73C9"/>
    <w:rsid w:val="002D78F5"/>
    <w:rsid w:val="002E0209"/>
    <w:rsid w:val="002E045E"/>
    <w:rsid w:val="002E0470"/>
    <w:rsid w:val="002E04F8"/>
    <w:rsid w:val="002E051A"/>
    <w:rsid w:val="002E0AA5"/>
    <w:rsid w:val="002E0DE0"/>
    <w:rsid w:val="002E120D"/>
    <w:rsid w:val="002E1416"/>
    <w:rsid w:val="002E1DDD"/>
    <w:rsid w:val="002E2C4C"/>
    <w:rsid w:val="002E32B8"/>
    <w:rsid w:val="002E3507"/>
    <w:rsid w:val="002E39C5"/>
    <w:rsid w:val="002E3FE4"/>
    <w:rsid w:val="002E430C"/>
    <w:rsid w:val="002E46BB"/>
    <w:rsid w:val="002E4723"/>
    <w:rsid w:val="002E4DFF"/>
    <w:rsid w:val="002E5870"/>
    <w:rsid w:val="002E5B4C"/>
    <w:rsid w:val="002E5BA0"/>
    <w:rsid w:val="002E5DE0"/>
    <w:rsid w:val="002E77B5"/>
    <w:rsid w:val="002E7F0A"/>
    <w:rsid w:val="002F066C"/>
    <w:rsid w:val="002F096F"/>
    <w:rsid w:val="002F0B8A"/>
    <w:rsid w:val="002F0E87"/>
    <w:rsid w:val="002F111C"/>
    <w:rsid w:val="002F13E6"/>
    <w:rsid w:val="002F148C"/>
    <w:rsid w:val="002F1590"/>
    <w:rsid w:val="002F1BB3"/>
    <w:rsid w:val="002F1E2E"/>
    <w:rsid w:val="002F1FB4"/>
    <w:rsid w:val="002F2042"/>
    <w:rsid w:val="002F25EC"/>
    <w:rsid w:val="002F2C27"/>
    <w:rsid w:val="002F375C"/>
    <w:rsid w:val="002F3C9C"/>
    <w:rsid w:val="002F3E7D"/>
    <w:rsid w:val="002F43A6"/>
    <w:rsid w:val="002F4F60"/>
    <w:rsid w:val="002F51D4"/>
    <w:rsid w:val="002F5420"/>
    <w:rsid w:val="002F5A67"/>
    <w:rsid w:val="002F5FBD"/>
    <w:rsid w:val="002F6488"/>
    <w:rsid w:val="002F6D0E"/>
    <w:rsid w:val="002F73A0"/>
    <w:rsid w:val="003000B4"/>
    <w:rsid w:val="0030097B"/>
    <w:rsid w:val="00300A97"/>
    <w:rsid w:val="00300F4A"/>
    <w:rsid w:val="00301C9A"/>
    <w:rsid w:val="00301F57"/>
    <w:rsid w:val="003026B8"/>
    <w:rsid w:val="003026EB"/>
    <w:rsid w:val="00302969"/>
    <w:rsid w:val="003039DF"/>
    <w:rsid w:val="0030413D"/>
    <w:rsid w:val="003049C0"/>
    <w:rsid w:val="00304DAD"/>
    <w:rsid w:val="00304DF1"/>
    <w:rsid w:val="0030566A"/>
    <w:rsid w:val="003056F9"/>
    <w:rsid w:val="00305979"/>
    <w:rsid w:val="00305B81"/>
    <w:rsid w:val="00305DE0"/>
    <w:rsid w:val="0030646F"/>
    <w:rsid w:val="00306CE9"/>
    <w:rsid w:val="00306FE1"/>
    <w:rsid w:val="003071FE"/>
    <w:rsid w:val="00307420"/>
    <w:rsid w:val="003074F7"/>
    <w:rsid w:val="003103CE"/>
    <w:rsid w:val="0031074F"/>
    <w:rsid w:val="00310792"/>
    <w:rsid w:val="00310AB1"/>
    <w:rsid w:val="00310F5E"/>
    <w:rsid w:val="00310FED"/>
    <w:rsid w:val="0031115B"/>
    <w:rsid w:val="00311566"/>
    <w:rsid w:val="00311611"/>
    <w:rsid w:val="00311690"/>
    <w:rsid w:val="00313FF8"/>
    <w:rsid w:val="003146F7"/>
    <w:rsid w:val="0031474F"/>
    <w:rsid w:val="00314B45"/>
    <w:rsid w:val="00315142"/>
    <w:rsid w:val="0031603C"/>
    <w:rsid w:val="0031651E"/>
    <w:rsid w:val="00316F1B"/>
    <w:rsid w:val="00317092"/>
    <w:rsid w:val="003177C2"/>
    <w:rsid w:val="00317C22"/>
    <w:rsid w:val="00320A25"/>
    <w:rsid w:val="00321001"/>
    <w:rsid w:val="00321248"/>
    <w:rsid w:val="00321946"/>
    <w:rsid w:val="00321A1F"/>
    <w:rsid w:val="00321D92"/>
    <w:rsid w:val="00321EF8"/>
    <w:rsid w:val="003224C5"/>
    <w:rsid w:val="00322660"/>
    <w:rsid w:val="003226FF"/>
    <w:rsid w:val="003233C4"/>
    <w:rsid w:val="00323436"/>
    <w:rsid w:val="00323A96"/>
    <w:rsid w:val="003241F6"/>
    <w:rsid w:val="003248ED"/>
    <w:rsid w:val="00325256"/>
    <w:rsid w:val="00325C7F"/>
    <w:rsid w:val="0032622F"/>
    <w:rsid w:val="0032654A"/>
    <w:rsid w:val="00326855"/>
    <w:rsid w:val="00326936"/>
    <w:rsid w:val="00326FA8"/>
    <w:rsid w:val="003301C6"/>
    <w:rsid w:val="00330263"/>
    <w:rsid w:val="00330618"/>
    <w:rsid w:val="00330821"/>
    <w:rsid w:val="00331A3D"/>
    <w:rsid w:val="0033238F"/>
    <w:rsid w:val="00333A93"/>
    <w:rsid w:val="00334507"/>
    <w:rsid w:val="00335404"/>
    <w:rsid w:val="00335C87"/>
    <w:rsid w:val="003360CD"/>
    <w:rsid w:val="0033692A"/>
    <w:rsid w:val="00336D41"/>
    <w:rsid w:val="0033701B"/>
    <w:rsid w:val="0033794F"/>
    <w:rsid w:val="00337F00"/>
    <w:rsid w:val="003405CA"/>
    <w:rsid w:val="003408D2"/>
    <w:rsid w:val="00340A08"/>
    <w:rsid w:val="00340B21"/>
    <w:rsid w:val="00340DAB"/>
    <w:rsid w:val="00341BF9"/>
    <w:rsid w:val="003421BD"/>
    <w:rsid w:val="00342429"/>
    <w:rsid w:val="00342823"/>
    <w:rsid w:val="00342F51"/>
    <w:rsid w:val="00343144"/>
    <w:rsid w:val="00343C25"/>
    <w:rsid w:val="00343D34"/>
    <w:rsid w:val="00344781"/>
    <w:rsid w:val="00344D1A"/>
    <w:rsid w:val="00344DD0"/>
    <w:rsid w:val="00344F5E"/>
    <w:rsid w:val="00344FAF"/>
    <w:rsid w:val="003452DA"/>
    <w:rsid w:val="00345F66"/>
    <w:rsid w:val="003467A1"/>
    <w:rsid w:val="00347096"/>
    <w:rsid w:val="0034752B"/>
    <w:rsid w:val="003476A1"/>
    <w:rsid w:val="003501E5"/>
    <w:rsid w:val="0035045F"/>
    <w:rsid w:val="00350EBD"/>
    <w:rsid w:val="00350FAD"/>
    <w:rsid w:val="003513E3"/>
    <w:rsid w:val="003514CF"/>
    <w:rsid w:val="00351506"/>
    <w:rsid w:val="003516E4"/>
    <w:rsid w:val="00351731"/>
    <w:rsid w:val="00351A7E"/>
    <w:rsid w:val="00351BD6"/>
    <w:rsid w:val="003524B0"/>
    <w:rsid w:val="003527E7"/>
    <w:rsid w:val="00352D65"/>
    <w:rsid w:val="00352D90"/>
    <w:rsid w:val="00353588"/>
    <w:rsid w:val="0035368D"/>
    <w:rsid w:val="003537F1"/>
    <w:rsid w:val="00353F78"/>
    <w:rsid w:val="003557B7"/>
    <w:rsid w:val="0035744C"/>
    <w:rsid w:val="00360EC2"/>
    <w:rsid w:val="00361164"/>
    <w:rsid w:val="00362045"/>
    <w:rsid w:val="003621AD"/>
    <w:rsid w:val="00362353"/>
    <w:rsid w:val="0036262E"/>
    <w:rsid w:val="00362EF5"/>
    <w:rsid w:val="0036300A"/>
    <w:rsid w:val="003633B0"/>
    <w:rsid w:val="00363A57"/>
    <w:rsid w:val="00363E53"/>
    <w:rsid w:val="00363F68"/>
    <w:rsid w:val="003649E9"/>
    <w:rsid w:val="00364F4C"/>
    <w:rsid w:val="00365079"/>
    <w:rsid w:val="00365530"/>
    <w:rsid w:val="00366A02"/>
    <w:rsid w:val="00366B46"/>
    <w:rsid w:val="0036768B"/>
    <w:rsid w:val="00367B1F"/>
    <w:rsid w:val="003705F2"/>
    <w:rsid w:val="0037078C"/>
    <w:rsid w:val="00370E22"/>
    <w:rsid w:val="0037132A"/>
    <w:rsid w:val="00371991"/>
    <w:rsid w:val="00371BB4"/>
    <w:rsid w:val="00372AE6"/>
    <w:rsid w:val="00373063"/>
    <w:rsid w:val="00373080"/>
    <w:rsid w:val="003736CA"/>
    <w:rsid w:val="00373911"/>
    <w:rsid w:val="00373A66"/>
    <w:rsid w:val="00373ABC"/>
    <w:rsid w:val="00373E25"/>
    <w:rsid w:val="00373FCA"/>
    <w:rsid w:val="0037418D"/>
    <w:rsid w:val="003746AC"/>
    <w:rsid w:val="003747C9"/>
    <w:rsid w:val="00375873"/>
    <w:rsid w:val="0037610F"/>
    <w:rsid w:val="00376A71"/>
    <w:rsid w:val="003770CE"/>
    <w:rsid w:val="00380D09"/>
    <w:rsid w:val="00380F4E"/>
    <w:rsid w:val="00380F81"/>
    <w:rsid w:val="0038170D"/>
    <w:rsid w:val="00381D7C"/>
    <w:rsid w:val="0038203B"/>
    <w:rsid w:val="0038255D"/>
    <w:rsid w:val="003828BA"/>
    <w:rsid w:val="00384555"/>
    <w:rsid w:val="003845EF"/>
    <w:rsid w:val="00384BF3"/>
    <w:rsid w:val="00384D6A"/>
    <w:rsid w:val="0038519E"/>
    <w:rsid w:val="003853FB"/>
    <w:rsid w:val="0038615B"/>
    <w:rsid w:val="00386BDE"/>
    <w:rsid w:val="00386CBF"/>
    <w:rsid w:val="003870D7"/>
    <w:rsid w:val="00387253"/>
    <w:rsid w:val="003873DE"/>
    <w:rsid w:val="003906D3"/>
    <w:rsid w:val="00391BBA"/>
    <w:rsid w:val="0039272A"/>
    <w:rsid w:val="00392D7B"/>
    <w:rsid w:val="00392F64"/>
    <w:rsid w:val="00392FAA"/>
    <w:rsid w:val="003934E6"/>
    <w:rsid w:val="003936FE"/>
    <w:rsid w:val="0039391E"/>
    <w:rsid w:val="00393A8D"/>
    <w:rsid w:val="00393D55"/>
    <w:rsid w:val="00393EA4"/>
    <w:rsid w:val="00394061"/>
    <w:rsid w:val="003940DF"/>
    <w:rsid w:val="0039450B"/>
    <w:rsid w:val="0039469E"/>
    <w:rsid w:val="00394CA6"/>
    <w:rsid w:val="00394F18"/>
    <w:rsid w:val="003956A2"/>
    <w:rsid w:val="00395754"/>
    <w:rsid w:val="00395C8D"/>
    <w:rsid w:val="00396890"/>
    <w:rsid w:val="00397264"/>
    <w:rsid w:val="0039736F"/>
    <w:rsid w:val="00397F46"/>
    <w:rsid w:val="003A0AA5"/>
    <w:rsid w:val="003A0D83"/>
    <w:rsid w:val="003A1464"/>
    <w:rsid w:val="003A1A07"/>
    <w:rsid w:val="003A1E87"/>
    <w:rsid w:val="003A20AA"/>
    <w:rsid w:val="003A2173"/>
    <w:rsid w:val="003A2EF8"/>
    <w:rsid w:val="003A3447"/>
    <w:rsid w:val="003A3513"/>
    <w:rsid w:val="003A3C7F"/>
    <w:rsid w:val="003A3D3F"/>
    <w:rsid w:val="003A3D9F"/>
    <w:rsid w:val="003A3DC3"/>
    <w:rsid w:val="003A440C"/>
    <w:rsid w:val="003A44F5"/>
    <w:rsid w:val="003A4B57"/>
    <w:rsid w:val="003A51C6"/>
    <w:rsid w:val="003A587E"/>
    <w:rsid w:val="003A6A55"/>
    <w:rsid w:val="003A75A9"/>
    <w:rsid w:val="003A75F5"/>
    <w:rsid w:val="003A78E6"/>
    <w:rsid w:val="003B00EA"/>
    <w:rsid w:val="003B0263"/>
    <w:rsid w:val="003B038F"/>
    <w:rsid w:val="003B0B27"/>
    <w:rsid w:val="003B126D"/>
    <w:rsid w:val="003B153B"/>
    <w:rsid w:val="003B1E6B"/>
    <w:rsid w:val="003B1FA4"/>
    <w:rsid w:val="003B22E9"/>
    <w:rsid w:val="003B243A"/>
    <w:rsid w:val="003B248C"/>
    <w:rsid w:val="003B2494"/>
    <w:rsid w:val="003B39F0"/>
    <w:rsid w:val="003B3A2A"/>
    <w:rsid w:val="003B3E70"/>
    <w:rsid w:val="003B4980"/>
    <w:rsid w:val="003B4F2D"/>
    <w:rsid w:val="003B558E"/>
    <w:rsid w:val="003B5799"/>
    <w:rsid w:val="003B7721"/>
    <w:rsid w:val="003B773D"/>
    <w:rsid w:val="003B77DA"/>
    <w:rsid w:val="003B78E1"/>
    <w:rsid w:val="003C09A2"/>
    <w:rsid w:val="003C1032"/>
    <w:rsid w:val="003C1C19"/>
    <w:rsid w:val="003C1CFC"/>
    <w:rsid w:val="003C234A"/>
    <w:rsid w:val="003C23CA"/>
    <w:rsid w:val="003C27A2"/>
    <w:rsid w:val="003C2C05"/>
    <w:rsid w:val="003C35B8"/>
    <w:rsid w:val="003C380A"/>
    <w:rsid w:val="003C3850"/>
    <w:rsid w:val="003C3963"/>
    <w:rsid w:val="003C3B73"/>
    <w:rsid w:val="003C3E20"/>
    <w:rsid w:val="003C4323"/>
    <w:rsid w:val="003C4683"/>
    <w:rsid w:val="003C554A"/>
    <w:rsid w:val="003C5635"/>
    <w:rsid w:val="003C57F6"/>
    <w:rsid w:val="003C5C5B"/>
    <w:rsid w:val="003C6664"/>
    <w:rsid w:val="003C66C2"/>
    <w:rsid w:val="003C681E"/>
    <w:rsid w:val="003C7323"/>
    <w:rsid w:val="003C76A1"/>
    <w:rsid w:val="003C7BBC"/>
    <w:rsid w:val="003C7E0E"/>
    <w:rsid w:val="003D06F5"/>
    <w:rsid w:val="003D0EDD"/>
    <w:rsid w:val="003D173E"/>
    <w:rsid w:val="003D1882"/>
    <w:rsid w:val="003D1E17"/>
    <w:rsid w:val="003D22D5"/>
    <w:rsid w:val="003D24D7"/>
    <w:rsid w:val="003D2B4B"/>
    <w:rsid w:val="003D2BAD"/>
    <w:rsid w:val="003D2DA4"/>
    <w:rsid w:val="003D2E71"/>
    <w:rsid w:val="003D39BC"/>
    <w:rsid w:val="003D3D3A"/>
    <w:rsid w:val="003D3DF6"/>
    <w:rsid w:val="003D3E02"/>
    <w:rsid w:val="003D3F4C"/>
    <w:rsid w:val="003D3FE8"/>
    <w:rsid w:val="003D4218"/>
    <w:rsid w:val="003D42CA"/>
    <w:rsid w:val="003D43DA"/>
    <w:rsid w:val="003D43E0"/>
    <w:rsid w:val="003D47CC"/>
    <w:rsid w:val="003D5083"/>
    <w:rsid w:val="003D5264"/>
    <w:rsid w:val="003D6201"/>
    <w:rsid w:val="003D6DFF"/>
    <w:rsid w:val="003D7979"/>
    <w:rsid w:val="003D7BB8"/>
    <w:rsid w:val="003D7E78"/>
    <w:rsid w:val="003E03FF"/>
    <w:rsid w:val="003E0B58"/>
    <w:rsid w:val="003E15FC"/>
    <w:rsid w:val="003E1B37"/>
    <w:rsid w:val="003E1E28"/>
    <w:rsid w:val="003E2189"/>
    <w:rsid w:val="003E2231"/>
    <w:rsid w:val="003E2D16"/>
    <w:rsid w:val="003E3495"/>
    <w:rsid w:val="003E37ED"/>
    <w:rsid w:val="003E37F4"/>
    <w:rsid w:val="003E386F"/>
    <w:rsid w:val="003E465D"/>
    <w:rsid w:val="003E4D0E"/>
    <w:rsid w:val="003E4F71"/>
    <w:rsid w:val="003E522B"/>
    <w:rsid w:val="003E5530"/>
    <w:rsid w:val="003E55A9"/>
    <w:rsid w:val="003E5938"/>
    <w:rsid w:val="003E61DA"/>
    <w:rsid w:val="003E6558"/>
    <w:rsid w:val="003E6756"/>
    <w:rsid w:val="003E6F05"/>
    <w:rsid w:val="003E6F32"/>
    <w:rsid w:val="003E7809"/>
    <w:rsid w:val="003E7A46"/>
    <w:rsid w:val="003E7C5C"/>
    <w:rsid w:val="003E7ECA"/>
    <w:rsid w:val="003F0C9D"/>
    <w:rsid w:val="003F0D84"/>
    <w:rsid w:val="003F18E5"/>
    <w:rsid w:val="003F1A29"/>
    <w:rsid w:val="003F2356"/>
    <w:rsid w:val="003F2424"/>
    <w:rsid w:val="003F2A5C"/>
    <w:rsid w:val="003F33C6"/>
    <w:rsid w:val="003F3855"/>
    <w:rsid w:val="003F3900"/>
    <w:rsid w:val="003F3BD0"/>
    <w:rsid w:val="003F3C25"/>
    <w:rsid w:val="003F3DE2"/>
    <w:rsid w:val="003F4366"/>
    <w:rsid w:val="003F4884"/>
    <w:rsid w:val="003F4D9D"/>
    <w:rsid w:val="003F4DBF"/>
    <w:rsid w:val="003F52AD"/>
    <w:rsid w:val="003F62E3"/>
    <w:rsid w:val="003F6983"/>
    <w:rsid w:val="003F6DFE"/>
    <w:rsid w:val="003F7ABB"/>
    <w:rsid w:val="003F7AE7"/>
    <w:rsid w:val="003F7B0B"/>
    <w:rsid w:val="003F7D3A"/>
    <w:rsid w:val="0040015F"/>
    <w:rsid w:val="00400725"/>
    <w:rsid w:val="0040077A"/>
    <w:rsid w:val="00401210"/>
    <w:rsid w:val="00401ABB"/>
    <w:rsid w:val="00401EFC"/>
    <w:rsid w:val="004024B0"/>
    <w:rsid w:val="0040258E"/>
    <w:rsid w:val="00402723"/>
    <w:rsid w:val="00402DE3"/>
    <w:rsid w:val="00403474"/>
    <w:rsid w:val="004037D1"/>
    <w:rsid w:val="0040385D"/>
    <w:rsid w:val="00403F22"/>
    <w:rsid w:val="0040446F"/>
    <w:rsid w:val="004050A6"/>
    <w:rsid w:val="004050CC"/>
    <w:rsid w:val="00405529"/>
    <w:rsid w:val="00405958"/>
    <w:rsid w:val="004059E8"/>
    <w:rsid w:val="00405E9A"/>
    <w:rsid w:val="004062C0"/>
    <w:rsid w:val="004067A3"/>
    <w:rsid w:val="0040696A"/>
    <w:rsid w:val="00406EB0"/>
    <w:rsid w:val="0040790E"/>
    <w:rsid w:val="004103DB"/>
    <w:rsid w:val="00410F1F"/>
    <w:rsid w:val="00410F7D"/>
    <w:rsid w:val="00411200"/>
    <w:rsid w:val="004112AA"/>
    <w:rsid w:val="0041155F"/>
    <w:rsid w:val="0041191B"/>
    <w:rsid w:val="00411B47"/>
    <w:rsid w:val="00411B8A"/>
    <w:rsid w:val="00411C4A"/>
    <w:rsid w:val="0041220C"/>
    <w:rsid w:val="004124FE"/>
    <w:rsid w:val="00412D71"/>
    <w:rsid w:val="0041354D"/>
    <w:rsid w:val="00414152"/>
    <w:rsid w:val="004143A8"/>
    <w:rsid w:val="00414990"/>
    <w:rsid w:val="00414E56"/>
    <w:rsid w:val="004155C6"/>
    <w:rsid w:val="00416B07"/>
    <w:rsid w:val="00416C5B"/>
    <w:rsid w:val="00416E6C"/>
    <w:rsid w:val="00416F0A"/>
    <w:rsid w:val="004175EE"/>
    <w:rsid w:val="00417AFB"/>
    <w:rsid w:val="00417DA3"/>
    <w:rsid w:val="00417FF2"/>
    <w:rsid w:val="00420294"/>
    <w:rsid w:val="004205B3"/>
    <w:rsid w:val="004212E8"/>
    <w:rsid w:val="00421A4C"/>
    <w:rsid w:val="00421C9C"/>
    <w:rsid w:val="00421CEE"/>
    <w:rsid w:val="00422A2D"/>
    <w:rsid w:val="00422E10"/>
    <w:rsid w:val="00423387"/>
    <w:rsid w:val="004233B7"/>
    <w:rsid w:val="00423497"/>
    <w:rsid w:val="00423650"/>
    <w:rsid w:val="00423A79"/>
    <w:rsid w:val="0042472C"/>
    <w:rsid w:val="00424A37"/>
    <w:rsid w:val="00424FD0"/>
    <w:rsid w:val="00425056"/>
    <w:rsid w:val="0042506C"/>
    <w:rsid w:val="00425533"/>
    <w:rsid w:val="00425B44"/>
    <w:rsid w:val="00425B55"/>
    <w:rsid w:val="00425E95"/>
    <w:rsid w:val="00425F38"/>
    <w:rsid w:val="00425FCD"/>
    <w:rsid w:val="00426D48"/>
    <w:rsid w:val="004272E1"/>
    <w:rsid w:val="00427443"/>
    <w:rsid w:val="00427A97"/>
    <w:rsid w:val="00427B53"/>
    <w:rsid w:val="004302B8"/>
    <w:rsid w:val="0043080A"/>
    <w:rsid w:val="00431B0D"/>
    <w:rsid w:val="00431CEB"/>
    <w:rsid w:val="00432C69"/>
    <w:rsid w:val="00432DD6"/>
    <w:rsid w:val="0043340C"/>
    <w:rsid w:val="00433727"/>
    <w:rsid w:val="0043374C"/>
    <w:rsid w:val="00433D2C"/>
    <w:rsid w:val="00433ECD"/>
    <w:rsid w:val="0043411B"/>
    <w:rsid w:val="00434D61"/>
    <w:rsid w:val="00434F6A"/>
    <w:rsid w:val="00435054"/>
    <w:rsid w:val="004354D5"/>
    <w:rsid w:val="00435E77"/>
    <w:rsid w:val="00436E4B"/>
    <w:rsid w:val="004374CD"/>
    <w:rsid w:val="004376E7"/>
    <w:rsid w:val="00437E34"/>
    <w:rsid w:val="00441527"/>
    <w:rsid w:val="004417ED"/>
    <w:rsid w:val="00442FC0"/>
    <w:rsid w:val="0044391B"/>
    <w:rsid w:val="00443C2C"/>
    <w:rsid w:val="00443F66"/>
    <w:rsid w:val="0044435C"/>
    <w:rsid w:val="004443F4"/>
    <w:rsid w:val="004448C6"/>
    <w:rsid w:val="00444917"/>
    <w:rsid w:val="0044491E"/>
    <w:rsid w:val="00444D0E"/>
    <w:rsid w:val="00445DFA"/>
    <w:rsid w:val="004466E0"/>
    <w:rsid w:val="00447F91"/>
    <w:rsid w:val="0045013F"/>
    <w:rsid w:val="00450651"/>
    <w:rsid w:val="0045158A"/>
    <w:rsid w:val="00452259"/>
    <w:rsid w:val="00452DCC"/>
    <w:rsid w:val="00453477"/>
    <w:rsid w:val="00453B89"/>
    <w:rsid w:val="00454507"/>
    <w:rsid w:val="00454640"/>
    <w:rsid w:val="00454F85"/>
    <w:rsid w:val="0045554E"/>
    <w:rsid w:val="004563B7"/>
    <w:rsid w:val="004575E6"/>
    <w:rsid w:val="004575F0"/>
    <w:rsid w:val="00457A30"/>
    <w:rsid w:val="00457E27"/>
    <w:rsid w:val="004601EB"/>
    <w:rsid w:val="00461079"/>
    <w:rsid w:val="004611DD"/>
    <w:rsid w:val="00462981"/>
    <w:rsid w:val="0046298E"/>
    <w:rsid w:val="004629AB"/>
    <w:rsid w:val="0046326D"/>
    <w:rsid w:val="004634A3"/>
    <w:rsid w:val="00463DD3"/>
    <w:rsid w:val="0046410B"/>
    <w:rsid w:val="00464D5E"/>
    <w:rsid w:val="00465395"/>
    <w:rsid w:val="004657C4"/>
    <w:rsid w:val="0046650C"/>
    <w:rsid w:val="00467115"/>
    <w:rsid w:val="00467468"/>
    <w:rsid w:val="0046760E"/>
    <w:rsid w:val="00467E36"/>
    <w:rsid w:val="0047031F"/>
    <w:rsid w:val="00470AB7"/>
    <w:rsid w:val="004710B8"/>
    <w:rsid w:val="0047123D"/>
    <w:rsid w:val="004719E8"/>
    <w:rsid w:val="00472B8D"/>
    <w:rsid w:val="00473868"/>
    <w:rsid w:val="004740B1"/>
    <w:rsid w:val="004747D7"/>
    <w:rsid w:val="00474A04"/>
    <w:rsid w:val="00475897"/>
    <w:rsid w:val="0047610D"/>
    <w:rsid w:val="004767AE"/>
    <w:rsid w:val="00476940"/>
    <w:rsid w:val="00476A0C"/>
    <w:rsid w:val="00476B9B"/>
    <w:rsid w:val="00476EA1"/>
    <w:rsid w:val="00477661"/>
    <w:rsid w:val="00477A6A"/>
    <w:rsid w:val="0048054C"/>
    <w:rsid w:val="0048057C"/>
    <w:rsid w:val="00480FDF"/>
    <w:rsid w:val="00481171"/>
    <w:rsid w:val="004811E0"/>
    <w:rsid w:val="004819DB"/>
    <w:rsid w:val="00481A39"/>
    <w:rsid w:val="00481B41"/>
    <w:rsid w:val="00481D3F"/>
    <w:rsid w:val="00481E5B"/>
    <w:rsid w:val="00482561"/>
    <w:rsid w:val="00483199"/>
    <w:rsid w:val="004847DC"/>
    <w:rsid w:val="00484FB0"/>
    <w:rsid w:val="004855BF"/>
    <w:rsid w:val="00486272"/>
    <w:rsid w:val="00486433"/>
    <w:rsid w:val="00486DC2"/>
    <w:rsid w:val="004873D3"/>
    <w:rsid w:val="004876F8"/>
    <w:rsid w:val="0048793E"/>
    <w:rsid w:val="00487B07"/>
    <w:rsid w:val="00490807"/>
    <w:rsid w:val="004917DE"/>
    <w:rsid w:val="00491835"/>
    <w:rsid w:val="00491AD2"/>
    <w:rsid w:val="004928B0"/>
    <w:rsid w:val="00492F33"/>
    <w:rsid w:val="004930CC"/>
    <w:rsid w:val="00493C82"/>
    <w:rsid w:val="00493EEF"/>
    <w:rsid w:val="00493F3B"/>
    <w:rsid w:val="00494185"/>
    <w:rsid w:val="00494A95"/>
    <w:rsid w:val="00495870"/>
    <w:rsid w:val="00495A89"/>
    <w:rsid w:val="00496795"/>
    <w:rsid w:val="00496ACA"/>
    <w:rsid w:val="004970AD"/>
    <w:rsid w:val="004974CF"/>
    <w:rsid w:val="004974FF"/>
    <w:rsid w:val="004978C1"/>
    <w:rsid w:val="004A01CF"/>
    <w:rsid w:val="004A03AD"/>
    <w:rsid w:val="004A06D9"/>
    <w:rsid w:val="004A0BFD"/>
    <w:rsid w:val="004A146A"/>
    <w:rsid w:val="004A14E9"/>
    <w:rsid w:val="004A2B6E"/>
    <w:rsid w:val="004A312D"/>
    <w:rsid w:val="004A3329"/>
    <w:rsid w:val="004A3E75"/>
    <w:rsid w:val="004A4188"/>
    <w:rsid w:val="004A4D99"/>
    <w:rsid w:val="004A4E60"/>
    <w:rsid w:val="004A4EC7"/>
    <w:rsid w:val="004A51D4"/>
    <w:rsid w:val="004A5483"/>
    <w:rsid w:val="004A5C74"/>
    <w:rsid w:val="004A6327"/>
    <w:rsid w:val="004A681E"/>
    <w:rsid w:val="004A7053"/>
    <w:rsid w:val="004A73E3"/>
    <w:rsid w:val="004A7602"/>
    <w:rsid w:val="004A76DC"/>
    <w:rsid w:val="004B058F"/>
    <w:rsid w:val="004B08B2"/>
    <w:rsid w:val="004B1166"/>
    <w:rsid w:val="004B1267"/>
    <w:rsid w:val="004B19B1"/>
    <w:rsid w:val="004B1E9E"/>
    <w:rsid w:val="004B2029"/>
    <w:rsid w:val="004B20D1"/>
    <w:rsid w:val="004B2145"/>
    <w:rsid w:val="004B2642"/>
    <w:rsid w:val="004B2CFD"/>
    <w:rsid w:val="004B3181"/>
    <w:rsid w:val="004B382E"/>
    <w:rsid w:val="004B459B"/>
    <w:rsid w:val="004B4DBB"/>
    <w:rsid w:val="004B56F9"/>
    <w:rsid w:val="004B5D69"/>
    <w:rsid w:val="004B5E42"/>
    <w:rsid w:val="004B5ED6"/>
    <w:rsid w:val="004B5F11"/>
    <w:rsid w:val="004B605A"/>
    <w:rsid w:val="004B6742"/>
    <w:rsid w:val="004B67EA"/>
    <w:rsid w:val="004B69B2"/>
    <w:rsid w:val="004B7476"/>
    <w:rsid w:val="004B7849"/>
    <w:rsid w:val="004B7AD8"/>
    <w:rsid w:val="004B7BDF"/>
    <w:rsid w:val="004B7DDC"/>
    <w:rsid w:val="004C0BFB"/>
    <w:rsid w:val="004C1309"/>
    <w:rsid w:val="004C15DC"/>
    <w:rsid w:val="004C1985"/>
    <w:rsid w:val="004C287D"/>
    <w:rsid w:val="004C30F0"/>
    <w:rsid w:val="004C39E7"/>
    <w:rsid w:val="004C3F22"/>
    <w:rsid w:val="004C3FDD"/>
    <w:rsid w:val="004C42C7"/>
    <w:rsid w:val="004C4C13"/>
    <w:rsid w:val="004C50AB"/>
    <w:rsid w:val="004C518F"/>
    <w:rsid w:val="004C5C54"/>
    <w:rsid w:val="004C615B"/>
    <w:rsid w:val="004C6341"/>
    <w:rsid w:val="004C6857"/>
    <w:rsid w:val="004C6BA0"/>
    <w:rsid w:val="004C7106"/>
    <w:rsid w:val="004C7810"/>
    <w:rsid w:val="004C7AD9"/>
    <w:rsid w:val="004D0354"/>
    <w:rsid w:val="004D08AF"/>
    <w:rsid w:val="004D0E53"/>
    <w:rsid w:val="004D12E8"/>
    <w:rsid w:val="004D1770"/>
    <w:rsid w:val="004D1965"/>
    <w:rsid w:val="004D1A88"/>
    <w:rsid w:val="004D26B2"/>
    <w:rsid w:val="004D2DED"/>
    <w:rsid w:val="004D2E45"/>
    <w:rsid w:val="004D37A1"/>
    <w:rsid w:val="004D3A05"/>
    <w:rsid w:val="004D4166"/>
    <w:rsid w:val="004D439C"/>
    <w:rsid w:val="004D497D"/>
    <w:rsid w:val="004D4C48"/>
    <w:rsid w:val="004D53AC"/>
    <w:rsid w:val="004D5C94"/>
    <w:rsid w:val="004D640C"/>
    <w:rsid w:val="004D67F9"/>
    <w:rsid w:val="004D699D"/>
    <w:rsid w:val="004D69B4"/>
    <w:rsid w:val="004D7989"/>
    <w:rsid w:val="004D7B8D"/>
    <w:rsid w:val="004D7C30"/>
    <w:rsid w:val="004D7CD2"/>
    <w:rsid w:val="004E00A3"/>
    <w:rsid w:val="004E04BE"/>
    <w:rsid w:val="004E0623"/>
    <w:rsid w:val="004E0896"/>
    <w:rsid w:val="004E1230"/>
    <w:rsid w:val="004E12FF"/>
    <w:rsid w:val="004E1DA8"/>
    <w:rsid w:val="004E2CF7"/>
    <w:rsid w:val="004E2F97"/>
    <w:rsid w:val="004E3A1A"/>
    <w:rsid w:val="004E4111"/>
    <w:rsid w:val="004E4285"/>
    <w:rsid w:val="004E4AFF"/>
    <w:rsid w:val="004E5069"/>
    <w:rsid w:val="004E5213"/>
    <w:rsid w:val="004E5735"/>
    <w:rsid w:val="004E57B0"/>
    <w:rsid w:val="004E5816"/>
    <w:rsid w:val="004E6542"/>
    <w:rsid w:val="004E66DE"/>
    <w:rsid w:val="004E678D"/>
    <w:rsid w:val="004E7556"/>
    <w:rsid w:val="004E7913"/>
    <w:rsid w:val="004E7F54"/>
    <w:rsid w:val="004F01B1"/>
    <w:rsid w:val="004F075B"/>
    <w:rsid w:val="004F0C0D"/>
    <w:rsid w:val="004F1BD4"/>
    <w:rsid w:val="004F1FA2"/>
    <w:rsid w:val="004F2886"/>
    <w:rsid w:val="004F31EC"/>
    <w:rsid w:val="004F3AFA"/>
    <w:rsid w:val="004F3EA0"/>
    <w:rsid w:val="004F419B"/>
    <w:rsid w:val="004F4518"/>
    <w:rsid w:val="004F4D91"/>
    <w:rsid w:val="004F4EA1"/>
    <w:rsid w:val="004F5297"/>
    <w:rsid w:val="004F5B23"/>
    <w:rsid w:val="004F5CA2"/>
    <w:rsid w:val="004F6397"/>
    <w:rsid w:val="004F69B7"/>
    <w:rsid w:val="004F6B45"/>
    <w:rsid w:val="004F6E93"/>
    <w:rsid w:val="004F760C"/>
    <w:rsid w:val="004F79BB"/>
    <w:rsid w:val="004F7D9D"/>
    <w:rsid w:val="00500568"/>
    <w:rsid w:val="00501300"/>
    <w:rsid w:val="0050135C"/>
    <w:rsid w:val="00501383"/>
    <w:rsid w:val="00501897"/>
    <w:rsid w:val="00501DCF"/>
    <w:rsid w:val="00501E7B"/>
    <w:rsid w:val="00502228"/>
    <w:rsid w:val="005023DC"/>
    <w:rsid w:val="00502560"/>
    <w:rsid w:val="0050276C"/>
    <w:rsid w:val="00502D82"/>
    <w:rsid w:val="005040F2"/>
    <w:rsid w:val="0050467C"/>
    <w:rsid w:val="005046F6"/>
    <w:rsid w:val="00504E44"/>
    <w:rsid w:val="00504F8D"/>
    <w:rsid w:val="0050585D"/>
    <w:rsid w:val="00505880"/>
    <w:rsid w:val="00505AED"/>
    <w:rsid w:val="005069FB"/>
    <w:rsid w:val="005070CD"/>
    <w:rsid w:val="0050727D"/>
    <w:rsid w:val="00507462"/>
    <w:rsid w:val="00507530"/>
    <w:rsid w:val="00507D4E"/>
    <w:rsid w:val="005107EB"/>
    <w:rsid w:val="00510ACD"/>
    <w:rsid w:val="00511852"/>
    <w:rsid w:val="005118AF"/>
    <w:rsid w:val="00511C78"/>
    <w:rsid w:val="00512227"/>
    <w:rsid w:val="00512435"/>
    <w:rsid w:val="00512C8A"/>
    <w:rsid w:val="005130AB"/>
    <w:rsid w:val="005137F0"/>
    <w:rsid w:val="00513B89"/>
    <w:rsid w:val="00513D09"/>
    <w:rsid w:val="005140F2"/>
    <w:rsid w:val="00514815"/>
    <w:rsid w:val="0051481C"/>
    <w:rsid w:val="00514C92"/>
    <w:rsid w:val="0051574E"/>
    <w:rsid w:val="0051588A"/>
    <w:rsid w:val="00516056"/>
    <w:rsid w:val="00516680"/>
    <w:rsid w:val="0051694B"/>
    <w:rsid w:val="00517089"/>
    <w:rsid w:val="005178D5"/>
    <w:rsid w:val="00517A1E"/>
    <w:rsid w:val="00517AAB"/>
    <w:rsid w:val="005204F3"/>
    <w:rsid w:val="00520692"/>
    <w:rsid w:val="00520E32"/>
    <w:rsid w:val="00521117"/>
    <w:rsid w:val="00521419"/>
    <w:rsid w:val="005217C0"/>
    <w:rsid w:val="00521861"/>
    <w:rsid w:val="00521AC1"/>
    <w:rsid w:val="0052273E"/>
    <w:rsid w:val="005230C3"/>
    <w:rsid w:val="0052331B"/>
    <w:rsid w:val="0052340C"/>
    <w:rsid w:val="00523956"/>
    <w:rsid w:val="00523CAB"/>
    <w:rsid w:val="00523FAC"/>
    <w:rsid w:val="0052423E"/>
    <w:rsid w:val="005245A2"/>
    <w:rsid w:val="005246D4"/>
    <w:rsid w:val="005252CC"/>
    <w:rsid w:val="0052555D"/>
    <w:rsid w:val="005255F2"/>
    <w:rsid w:val="00525636"/>
    <w:rsid w:val="005256DD"/>
    <w:rsid w:val="00526021"/>
    <w:rsid w:val="00527A07"/>
    <w:rsid w:val="00527E60"/>
    <w:rsid w:val="0053000B"/>
    <w:rsid w:val="00530AC7"/>
    <w:rsid w:val="00530CE0"/>
    <w:rsid w:val="00530DE8"/>
    <w:rsid w:val="00530F9F"/>
    <w:rsid w:val="00531101"/>
    <w:rsid w:val="00531919"/>
    <w:rsid w:val="00531D55"/>
    <w:rsid w:val="00532187"/>
    <w:rsid w:val="005331A5"/>
    <w:rsid w:val="005339B1"/>
    <w:rsid w:val="00533D16"/>
    <w:rsid w:val="0053435F"/>
    <w:rsid w:val="0053477E"/>
    <w:rsid w:val="0053509C"/>
    <w:rsid w:val="00535170"/>
    <w:rsid w:val="00535513"/>
    <w:rsid w:val="005358B2"/>
    <w:rsid w:val="00535A8C"/>
    <w:rsid w:val="00536365"/>
    <w:rsid w:val="0053649C"/>
    <w:rsid w:val="005369C1"/>
    <w:rsid w:val="00537015"/>
    <w:rsid w:val="00537138"/>
    <w:rsid w:val="005372C9"/>
    <w:rsid w:val="00537577"/>
    <w:rsid w:val="00537934"/>
    <w:rsid w:val="0053796A"/>
    <w:rsid w:val="00537FFB"/>
    <w:rsid w:val="0054046A"/>
    <w:rsid w:val="00540509"/>
    <w:rsid w:val="0054053A"/>
    <w:rsid w:val="00541674"/>
    <w:rsid w:val="00541894"/>
    <w:rsid w:val="005418EE"/>
    <w:rsid w:val="00541C50"/>
    <w:rsid w:val="00541E39"/>
    <w:rsid w:val="0054236F"/>
    <w:rsid w:val="00542C2C"/>
    <w:rsid w:val="00542E32"/>
    <w:rsid w:val="00542ECA"/>
    <w:rsid w:val="00542F5F"/>
    <w:rsid w:val="0054322B"/>
    <w:rsid w:val="00543651"/>
    <w:rsid w:val="00543A3F"/>
    <w:rsid w:val="00543BDB"/>
    <w:rsid w:val="0054450E"/>
    <w:rsid w:val="00544685"/>
    <w:rsid w:val="005447B3"/>
    <w:rsid w:val="0054495C"/>
    <w:rsid w:val="00544AC1"/>
    <w:rsid w:val="00544D90"/>
    <w:rsid w:val="00544F17"/>
    <w:rsid w:val="00544F86"/>
    <w:rsid w:val="00545A48"/>
    <w:rsid w:val="00546369"/>
    <w:rsid w:val="0054659E"/>
    <w:rsid w:val="005465F1"/>
    <w:rsid w:val="00546751"/>
    <w:rsid w:val="005467ED"/>
    <w:rsid w:val="00546813"/>
    <w:rsid w:val="005468BC"/>
    <w:rsid w:val="0054690F"/>
    <w:rsid w:val="00547B3C"/>
    <w:rsid w:val="00550E1C"/>
    <w:rsid w:val="00551CC8"/>
    <w:rsid w:val="00552075"/>
    <w:rsid w:val="00552F88"/>
    <w:rsid w:val="00553377"/>
    <w:rsid w:val="00553943"/>
    <w:rsid w:val="0055406E"/>
    <w:rsid w:val="00554341"/>
    <w:rsid w:val="00554617"/>
    <w:rsid w:val="00554C0C"/>
    <w:rsid w:val="00554C29"/>
    <w:rsid w:val="0055516F"/>
    <w:rsid w:val="00555A02"/>
    <w:rsid w:val="00555C37"/>
    <w:rsid w:val="00556140"/>
    <w:rsid w:val="00556555"/>
    <w:rsid w:val="0055672C"/>
    <w:rsid w:val="00556B24"/>
    <w:rsid w:val="005571C1"/>
    <w:rsid w:val="005571DC"/>
    <w:rsid w:val="0055733F"/>
    <w:rsid w:val="0055749F"/>
    <w:rsid w:val="005574F9"/>
    <w:rsid w:val="00557553"/>
    <w:rsid w:val="005575C1"/>
    <w:rsid w:val="00557718"/>
    <w:rsid w:val="005578A4"/>
    <w:rsid w:val="00557C91"/>
    <w:rsid w:val="00557EB5"/>
    <w:rsid w:val="00557FD7"/>
    <w:rsid w:val="00561067"/>
    <w:rsid w:val="00561140"/>
    <w:rsid w:val="00562131"/>
    <w:rsid w:val="005625D1"/>
    <w:rsid w:val="00562DAB"/>
    <w:rsid w:val="00562E2C"/>
    <w:rsid w:val="0056425D"/>
    <w:rsid w:val="0056478C"/>
    <w:rsid w:val="00564E7A"/>
    <w:rsid w:val="00565215"/>
    <w:rsid w:val="00565970"/>
    <w:rsid w:val="00565D2A"/>
    <w:rsid w:val="00566020"/>
    <w:rsid w:val="00566713"/>
    <w:rsid w:val="00566852"/>
    <w:rsid w:val="00566DE1"/>
    <w:rsid w:val="0056766B"/>
    <w:rsid w:val="00567C8C"/>
    <w:rsid w:val="00570365"/>
    <w:rsid w:val="0057112A"/>
    <w:rsid w:val="005712CD"/>
    <w:rsid w:val="00571ED7"/>
    <w:rsid w:val="005725D7"/>
    <w:rsid w:val="0057268E"/>
    <w:rsid w:val="005728A9"/>
    <w:rsid w:val="005733B0"/>
    <w:rsid w:val="005735F4"/>
    <w:rsid w:val="0057372A"/>
    <w:rsid w:val="00573EE5"/>
    <w:rsid w:val="00574139"/>
    <w:rsid w:val="005743DE"/>
    <w:rsid w:val="00574524"/>
    <w:rsid w:val="00574930"/>
    <w:rsid w:val="0057566E"/>
    <w:rsid w:val="005758EA"/>
    <w:rsid w:val="00575F6E"/>
    <w:rsid w:val="005760F0"/>
    <w:rsid w:val="005761F8"/>
    <w:rsid w:val="005765F3"/>
    <w:rsid w:val="00576B47"/>
    <w:rsid w:val="00577202"/>
    <w:rsid w:val="005773A7"/>
    <w:rsid w:val="00577497"/>
    <w:rsid w:val="00577D54"/>
    <w:rsid w:val="00580971"/>
    <w:rsid w:val="0058099B"/>
    <w:rsid w:val="005809BA"/>
    <w:rsid w:val="00580E49"/>
    <w:rsid w:val="0058108C"/>
    <w:rsid w:val="005813A0"/>
    <w:rsid w:val="00581798"/>
    <w:rsid w:val="00581A18"/>
    <w:rsid w:val="0058236B"/>
    <w:rsid w:val="00582E32"/>
    <w:rsid w:val="005837C9"/>
    <w:rsid w:val="005837D7"/>
    <w:rsid w:val="0058404F"/>
    <w:rsid w:val="005844F5"/>
    <w:rsid w:val="00584D94"/>
    <w:rsid w:val="00584F6E"/>
    <w:rsid w:val="00585EFC"/>
    <w:rsid w:val="005861F5"/>
    <w:rsid w:val="00586448"/>
    <w:rsid w:val="00586936"/>
    <w:rsid w:val="00587590"/>
    <w:rsid w:val="0058760A"/>
    <w:rsid w:val="00587971"/>
    <w:rsid w:val="00587DB7"/>
    <w:rsid w:val="00590C13"/>
    <w:rsid w:val="00591771"/>
    <w:rsid w:val="005918CE"/>
    <w:rsid w:val="0059190C"/>
    <w:rsid w:val="00591C40"/>
    <w:rsid w:val="00591C8D"/>
    <w:rsid w:val="0059259D"/>
    <w:rsid w:val="0059296C"/>
    <w:rsid w:val="00593A00"/>
    <w:rsid w:val="005940EB"/>
    <w:rsid w:val="00595308"/>
    <w:rsid w:val="005954A7"/>
    <w:rsid w:val="00595902"/>
    <w:rsid w:val="005959AF"/>
    <w:rsid w:val="00595B9C"/>
    <w:rsid w:val="00596858"/>
    <w:rsid w:val="00596D1C"/>
    <w:rsid w:val="00596D54"/>
    <w:rsid w:val="00597674"/>
    <w:rsid w:val="00597884"/>
    <w:rsid w:val="00597EC7"/>
    <w:rsid w:val="005A0212"/>
    <w:rsid w:val="005A0479"/>
    <w:rsid w:val="005A098A"/>
    <w:rsid w:val="005A0F7E"/>
    <w:rsid w:val="005A128F"/>
    <w:rsid w:val="005A229B"/>
    <w:rsid w:val="005A24D7"/>
    <w:rsid w:val="005A25DE"/>
    <w:rsid w:val="005A2B76"/>
    <w:rsid w:val="005A32DD"/>
    <w:rsid w:val="005A33CD"/>
    <w:rsid w:val="005A392A"/>
    <w:rsid w:val="005A3A50"/>
    <w:rsid w:val="005A3C44"/>
    <w:rsid w:val="005A3C83"/>
    <w:rsid w:val="005A3E4B"/>
    <w:rsid w:val="005A3FF5"/>
    <w:rsid w:val="005A45AB"/>
    <w:rsid w:val="005A4BEE"/>
    <w:rsid w:val="005A4DC0"/>
    <w:rsid w:val="005A5D6E"/>
    <w:rsid w:val="005A6226"/>
    <w:rsid w:val="005A6407"/>
    <w:rsid w:val="005A641F"/>
    <w:rsid w:val="005A6DA4"/>
    <w:rsid w:val="005A794E"/>
    <w:rsid w:val="005B04AD"/>
    <w:rsid w:val="005B0652"/>
    <w:rsid w:val="005B0A14"/>
    <w:rsid w:val="005B0FEE"/>
    <w:rsid w:val="005B1267"/>
    <w:rsid w:val="005B1379"/>
    <w:rsid w:val="005B160A"/>
    <w:rsid w:val="005B1935"/>
    <w:rsid w:val="005B1BB2"/>
    <w:rsid w:val="005B1C83"/>
    <w:rsid w:val="005B2238"/>
    <w:rsid w:val="005B2242"/>
    <w:rsid w:val="005B2569"/>
    <w:rsid w:val="005B2E8F"/>
    <w:rsid w:val="005B312A"/>
    <w:rsid w:val="005B398E"/>
    <w:rsid w:val="005B3E44"/>
    <w:rsid w:val="005B3F2A"/>
    <w:rsid w:val="005B3F3B"/>
    <w:rsid w:val="005B4128"/>
    <w:rsid w:val="005B4208"/>
    <w:rsid w:val="005B434C"/>
    <w:rsid w:val="005B46BC"/>
    <w:rsid w:val="005B5018"/>
    <w:rsid w:val="005B5808"/>
    <w:rsid w:val="005B5B6C"/>
    <w:rsid w:val="005B5E35"/>
    <w:rsid w:val="005B668C"/>
    <w:rsid w:val="005B68BA"/>
    <w:rsid w:val="005B6E9D"/>
    <w:rsid w:val="005B70C6"/>
    <w:rsid w:val="005B7314"/>
    <w:rsid w:val="005C01B7"/>
    <w:rsid w:val="005C123A"/>
    <w:rsid w:val="005C2CC2"/>
    <w:rsid w:val="005C33E6"/>
    <w:rsid w:val="005C4558"/>
    <w:rsid w:val="005C46DF"/>
    <w:rsid w:val="005C4A36"/>
    <w:rsid w:val="005C4C15"/>
    <w:rsid w:val="005C4C84"/>
    <w:rsid w:val="005C5D23"/>
    <w:rsid w:val="005C5E4E"/>
    <w:rsid w:val="005C6579"/>
    <w:rsid w:val="005C6741"/>
    <w:rsid w:val="005C76DF"/>
    <w:rsid w:val="005C7843"/>
    <w:rsid w:val="005C7A73"/>
    <w:rsid w:val="005C7F8F"/>
    <w:rsid w:val="005D0F72"/>
    <w:rsid w:val="005D14EA"/>
    <w:rsid w:val="005D15CD"/>
    <w:rsid w:val="005D1830"/>
    <w:rsid w:val="005D1876"/>
    <w:rsid w:val="005D1B12"/>
    <w:rsid w:val="005D2653"/>
    <w:rsid w:val="005D29BD"/>
    <w:rsid w:val="005D2C7C"/>
    <w:rsid w:val="005D2E4B"/>
    <w:rsid w:val="005D2FFB"/>
    <w:rsid w:val="005D3056"/>
    <w:rsid w:val="005D32ED"/>
    <w:rsid w:val="005D3AC8"/>
    <w:rsid w:val="005D41D6"/>
    <w:rsid w:val="005D435C"/>
    <w:rsid w:val="005D4A70"/>
    <w:rsid w:val="005D4FBC"/>
    <w:rsid w:val="005D508A"/>
    <w:rsid w:val="005D551F"/>
    <w:rsid w:val="005D583D"/>
    <w:rsid w:val="005D589F"/>
    <w:rsid w:val="005D5E97"/>
    <w:rsid w:val="005D6D72"/>
    <w:rsid w:val="005D6EC0"/>
    <w:rsid w:val="005E00BF"/>
    <w:rsid w:val="005E04E8"/>
    <w:rsid w:val="005E0538"/>
    <w:rsid w:val="005E079D"/>
    <w:rsid w:val="005E0E84"/>
    <w:rsid w:val="005E13A7"/>
    <w:rsid w:val="005E17D9"/>
    <w:rsid w:val="005E1BD3"/>
    <w:rsid w:val="005E250F"/>
    <w:rsid w:val="005E3604"/>
    <w:rsid w:val="005E3AF0"/>
    <w:rsid w:val="005E43F2"/>
    <w:rsid w:val="005E4FBB"/>
    <w:rsid w:val="005E5412"/>
    <w:rsid w:val="005E595D"/>
    <w:rsid w:val="005E5A3A"/>
    <w:rsid w:val="005E5C20"/>
    <w:rsid w:val="005E5CC2"/>
    <w:rsid w:val="005E62B7"/>
    <w:rsid w:val="005E6630"/>
    <w:rsid w:val="005E6B1F"/>
    <w:rsid w:val="005E7BD0"/>
    <w:rsid w:val="005E7F3F"/>
    <w:rsid w:val="005F2018"/>
    <w:rsid w:val="005F2164"/>
    <w:rsid w:val="005F22FA"/>
    <w:rsid w:val="005F3150"/>
    <w:rsid w:val="005F4069"/>
    <w:rsid w:val="005F44A2"/>
    <w:rsid w:val="005F46FC"/>
    <w:rsid w:val="005F489D"/>
    <w:rsid w:val="005F49EC"/>
    <w:rsid w:val="005F4AD7"/>
    <w:rsid w:val="005F4C7B"/>
    <w:rsid w:val="005F504A"/>
    <w:rsid w:val="005F5AFE"/>
    <w:rsid w:val="005F5D65"/>
    <w:rsid w:val="005F5F8C"/>
    <w:rsid w:val="005F62EB"/>
    <w:rsid w:val="005F697D"/>
    <w:rsid w:val="005F6ED6"/>
    <w:rsid w:val="005F7102"/>
    <w:rsid w:val="005F757C"/>
    <w:rsid w:val="005F7952"/>
    <w:rsid w:val="005F7A25"/>
    <w:rsid w:val="005F7B74"/>
    <w:rsid w:val="006002E9"/>
    <w:rsid w:val="00600D04"/>
    <w:rsid w:val="006023B9"/>
    <w:rsid w:val="006023E9"/>
    <w:rsid w:val="00602441"/>
    <w:rsid w:val="00602864"/>
    <w:rsid w:val="00603BE1"/>
    <w:rsid w:val="00603CD7"/>
    <w:rsid w:val="00603CEE"/>
    <w:rsid w:val="006044D5"/>
    <w:rsid w:val="00604532"/>
    <w:rsid w:val="00604756"/>
    <w:rsid w:val="00604AA1"/>
    <w:rsid w:val="00605D73"/>
    <w:rsid w:val="006063F1"/>
    <w:rsid w:val="00606724"/>
    <w:rsid w:val="00606896"/>
    <w:rsid w:val="00607018"/>
    <w:rsid w:val="006074A5"/>
    <w:rsid w:val="00607E6C"/>
    <w:rsid w:val="0061022E"/>
    <w:rsid w:val="0061027F"/>
    <w:rsid w:val="00610D73"/>
    <w:rsid w:val="0061134F"/>
    <w:rsid w:val="0061187E"/>
    <w:rsid w:val="00611E3B"/>
    <w:rsid w:val="006121FC"/>
    <w:rsid w:val="006122A8"/>
    <w:rsid w:val="0061230C"/>
    <w:rsid w:val="006125B8"/>
    <w:rsid w:val="006144AF"/>
    <w:rsid w:val="006145E8"/>
    <w:rsid w:val="006151A2"/>
    <w:rsid w:val="00615839"/>
    <w:rsid w:val="006159D1"/>
    <w:rsid w:val="0061740D"/>
    <w:rsid w:val="00617C09"/>
    <w:rsid w:val="00620181"/>
    <w:rsid w:val="006203C0"/>
    <w:rsid w:val="00620E0D"/>
    <w:rsid w:val="0062148A"/>
    <w:rsid w:val="00621628"/>
    <w:rsid w:val="00621AB5"/>
    <w:rsid w:val="00622769"/>
    <w:rsid w:val="00622AFF"/>
    <w:rsid w:val="00622D94"/>
    <w:rsid w:val="00622E50"/>
    <w:rsid w:val="006235AB"/>
    <w:rsid w:val="00623683"/>
    <w:rsid w:val="00623D92"/>
    <w:rsid w:val="0062461B"/>
    <w:rsid w:val="00624E95"/>
    <w:rsid w:val="0062516A"/>
    <w:rsid w:val="006255FD"/>
    <w:rsid w:val="00625F5B"/>
    <w:rsid w:val="006262FF"/>
    <w:rsid w:val="006263A1"/>
    <w:rsid w:val="0062658D"/>
    <w:rsid w:val="00626B4D"/>
    <w:rsid w:val="00626EF5"/>
    <w:rsid w:val="00627084"/>
    <w:rsid w:val="00627838"/>
    <w:rsid w:val="00627A52"/>
    <w:rsid w:val="00627F99"/>
    <w:rsid w:val="006308E3"/>
    <w:rsid w:val="006309FC"/>
    <w:rsid w:val="0063152B"/>
    <w:rsid w:val="00631859"/>
    <w:rsid w:val="00631864"/>
    <w:rsid w:val="00631BC3"/>
    <w:rsid w:val="00632639"/>
    <w:rsid w:val="00632D60"/>
    <w:rsid w:val="00633057"/>
    <w:rsid w:val="0063374D"/>
    <w:rsid w:val="00635063"/>
    <w:rsid w:val="006356A1"/>
    <w:rsid w:val="006359FD"/>
    <w:rsid w:val="00635A8A"/>
    <w:rsid w:val="006362B8"/>
    <w:rsid w:val="00636579"/>
    <w:rsid w:val="006370CE"/>
    <w:rsid w:val="0063760A"/>
    <w:rsid w:val="006379B2"/>
    <w:rsid w:val="00637ED1"/>
    <w:rsid w:val="00637F05"/>
    <w:rsid w:val="00640460"/>
    <w:rsid w:val="0064060A"/>
    <w:rsid w:val="006409AE"/>
    <w:rsid w:val="00641228"/>
    <w:rsid w:val="00641694"/>
    <w:rsid w:val="00641999"/>
    <w:rsid w:val="00641C8B"/>
    <w:rsid w:val="00642817"/>
    <w:rsid w:val="00642F2D"/>
    <w:rsid w:val="0064311E"/>
    <w:rsid w:val="00643D31"/>
    <w:rsid w:val="00643DFF"/>
    <w:rsid w:val="00643E73"/>
    <w:rsid w:val="00644870"/>
    <w:rsid w:val="00644B86"/>
    <w:rsid w:val="00645087"/>
    <w:rsid w:val="0064534A"/>
    <w:rsid w:val="00645869"/>
    <w:rsid w:val="00646166"/>
    <w:rsid w:val="0064683D"/>
    <w:rsid w:val="00646AD0"/>
    <w:rsid w:val="00647317"/>
    <w:rsid w:val="00647539"/>
    <w:rsid w:val="00647A91"/>
    <w:rsid w:val="00650154"/>
    <w:rsid w:val="006502F5"/>
    <w:rsid w:val="006504BE"/>
    <w:rsid w:val="006508C5"/>
    <w:rsid w:val="00650AFF"/>
    <w:rsid w:val="00651095"/>
    <w:rsid w:val="006511B5"/>
    <w:rsid w:val="006513F2"/>
    <w:rsid w:val="006523D5"/>
    <w:rsid w:val="00652470"/>
    <w:rsid w:val="00652E0D"/>
    <w:rsid w:val="006530DA"/>
    <w:rsid w:val="00654B7B"/>
    <w:rsid w:val="0065539D"/>
    <w:rsid w:val="00655818"/>
    <w:rsid w:val="006558B6"/>
    <w:rsid w:val="00655DE1"/>
    <w:rsid w:val="00655E5D"/>
    <w:rsid w:val="006562E6"/>
    <w:rsid w:val="00656BFC"/>
    <w:rsid w:val="00656DFD"/>
    <w:rsid w:val="00656FD7"/>
    <w:rsid w:val="00656FD9"/>
    <w:rsid w:val="006572D9"/>
    <w:rsid w:val="006576CE"/>
    <w:rsid w:val="00657FBA"/>
    <w:rsid w:val="00661087"/>
    <w:rsid w:val="00661CD8"/>
    <w:rsid w:val="00663203"/>
    <w:rsid w:val="00663220"/>
    <w:rsid w:val="0066327F"/>
    <w:rsid w:val="006635F1"/>
    <w:rsid w:val="0066402C"/>
    <w:rsid w:val="0066410F"/>
    <w:rsid w:val="006641AF"/>
    <w:rsid w:val="006644DD"/>
    <w:rsid w:val="00664998"/>
    <w:rsid w:val="00664C26"/>
    <w:rsid w:val="00664C37"/>
    <w:rsid w:val="00665802"/>
    <w:rsid w:val="00665C41"/>
    <w:rsid w:val="00665CFD"/>
    <w:rsid w:val="00665DEB"/>
    <w:rsid w:val="00665E30"/>
    <w:rsid w:val="00666C39"/>
    <w:rsid w:val="00667A4B"/>
    <w:rsid w:val="006705BF"/>
    <w:rsid w:val="00670987"/>
    <w:rsid w:val="00670ACB"/>
    <w:rsid w:val="00671190"/>
    <w:rsid w:val="006716A2"/>
    <w:rsid w:val="0067176F"/>
    <w:rsid w:val="00671A3F"/>
    <w:rsid w:val="00671D00"/>
    <w:rsid w:val="006720F0"/>
    <w:rsid w:val="006722E8"/>
    <w:rsid w:val="00672918"/>
    <w:rsid w:val="00672A6F"/>
    <w:rsid w:val="00673030"/>
    <w:rsid w:val="0067394F"/>
    <w:rsid w:val="00673F46"/>
    <w:rsid w:val="006748B7"/>
    <w:rsid w:val="00674944"/>
    <w:rsid w:val="00674A91"/>
    <w:rsid w:val="00674F17"/>
    <w:rsid w:val="006753B7"/>
    <w:rsid w:val="006753C7"/>
    <w:rsid w:val="0067560C"/>
    <w:rsid w:val="00675964"/>
    <w:rsid w:val="00675EC1"/>
    <w:rsid w:val="00675FAE"/>
    <w:rsid w:val="00676862"/>
    <w:rsid w:val="00676ABE"/>
    <w:rsid w:val="006778DF"/>
    <w:rsid w:val="00677BD3"/>
    <w:rsid w:val="00680435"/>
    <w:rsid w:val="006804B0"/>
    <w:rsid w:val="006807EF"/>
    <w:rsid w:val="00680B69"/>
    <w:rsid w:val="00680C9D"/>
    <w:rsid w:val="006810DF"/>
    <w:rsid w:val="00681407"/>
    <w:rsid w:val="006818FD"/>
    <w:rsid w:val="00681DF3"/>
    <w:rsid w:val="0068211F"/>
    <w:rsid w:val="006822B4"/>
    <w:rsid w:val="006824F3"/>
    <w:rsid w:val="00682C98"/>
    <w:rsid w:val="00683A0A"/>
    <w:rsid w:val="00683BEE"/>
    <w:rsid w:val="00683C1B"/>
    <w:rsid w:val="00684689"/>
    <w:rsid w:val="006846C9"/>
    <w:rsid w:val="00684829"/>
    <w:rsid w:val="00684F89"/>
    <w:rsid w:val="00685218"/>
    <w:rsid w:val="00686142"/>
    <w:rsid w:val="00686573"/>
    <w:rsid w:val="006872CE"/>
    <w:rsid w:val="00687C63"/>
    <w:rsid w:val="00687FDD"/>
    <w:rsid w:val="0069015E"/>
    <w:rsid w:val="0069096E"/>
    <w:rsid w:val="00691709"/>
    <w:rsid w:val="00692AD5"/>
    <w:rsid w:val="00692D80"/>
    <w:rsid w:val="006931DF"/>
    <w:rsid w:val="006933AA"/>
    <w:rsid w:val="006936F8"/>
    <w:rsid w:val="0069393C"/>
    <w:rsid w:val="00693F24"/>
    <w:rsid w:val="006940BF"/>
    <w:rsid w:val="00694A83"/>
    <w:rsid w:val="00694AA9"/>
    <w:rsid w:val="00694BF3"/>
    <w:rsid w:val="00694F10"/>
    <w:rsid w:val="00694FFD"/>
    <w:rsid w:val="00695177"/>
    <w:rsid w:val="00695563"/>
    <w:rsid w:val="006956E6"/>
    <w:rsid w:val="00695FF9"/>
    <w:rsid w:val="00696977"/>
    <w:rsid w:val="00696B9B"/>
    <w:rsid w:val="00696C44"/>
    <w:rsid w:val="00696F55"/>
    <w:rsid w:val="00697721"/>
    <w:rsid w:val="00697754"/>
    <w:rsid w:val="00697832"/>
    <w:rsid w:val="006A09DF"/>
    <w:rsid w:val="006A0B64"/>
    <w:rsid w:val="006A11CB"/>
    <w:rsid w:val="006A1C6C"/>
    <w:rsid w:val="006A1DF3"/>
    <w:rsid w:val="006A1EC1"/>
    <w:rsid w:val="006A20A8"/>
    <w:rsid w:val="006A22A5"/>
    <w:rsid w:val="006A242B"/>
    <w:rsid w:val="006A260F"/>
    <w:rsid w:val="006A30F5"/>
    <w:rsid w:val="006A3C70"/>
    <w:rsid w:val="006A3FF8"/>
    <w:rsid w:val="006A50D7"/>
    <w:rsid w:val="006A538A"/>
    <w:rsid w:val="006A5B14"/>
    <w:rsid w:val="006A6C81"/>
    <w:rsid w:val="006A736C"/>
    <w:rsid w:val="006A7BB0"/>
    <w:rsid w:val="006B1255"/>
    <w:rsid w:val="006B3007"/>
    <w:rsid w:val="006B346D"/>
    <w:rsid w:val="006B37D0"/>
    <w:rsid w:val="006B3B7F"/>
    <w:rsid w:val="006B4328"/>
    <w:rsid w:val="006B4612"/>
    <w:rsid w:val="006B483E"/>
    <w:rsid w:val="006B4898"/>
    <w:rsid w:val="006B4E0D"/>
    <w:rsid w:val="006B4E91"/>
    <w:rsid w:val="006B5041"/>
    <w:rsid w:val="006B5720"/>
    <w:rsid w:val="006B5C3C"/>
    <w:rsid w:val="006B6027"/>
    <w:rsid w:val="006B6119"/>
    <w:rsid w:val="006B656A"/>
    <w:rsid w:val="006B7203"/>
    <w:rsid w:val="006B73AB"/>
    <w:rsid w:val="006B773E"/>
    <w:rsid w:val="006B7F1F"/>
    <w:rsid w:val="006C069D"/>
    <w:rsid w:val="006C06BB"/>
    <w:rsid w:val="006C098D"/>
    <w:rsid w:val="006C09B1"/>
    <w:rsid w:val="006C0BB6"/>
    <w:rsid w:val="006C0D1B"/>
    <w:rsid w:val="006C1A3C"/>
    <w:rsid w:val="006C1A99"/>
    <w:rsid w:val="006C2CA0"/>
    <w:rsid w:val="006C2D85"/>
    <w:rsid w:val="006C30F8"/>
    <w:rsid w:val="006C33AA"/>
    <w:rsid w:val="006C3563"/>
    <w:rsid w:val="006C3813"/>
    <w:rsid w:val="006C3862"/>
    <w:rsid w:val="006C3B01"/>
    <w:rsid w:val="006C3D0F"/>
    <w:rsid w:val="006C3F83"/>
    <w:rsid w:val="006C4893"/>
    <w:rsid w:val="006C4D46"/>
    <w:rsid w:val="006C5312"/>
    <w:rsid w:val="006C5E76"/>
    <w:rsid w:val="006C6D52"/>
    <w:rsid w:val="006C7184"/>
    <w:rsid w:val="006C7D8E"/>
    <w:rsid w:val="006D07D0"/>
    <w:rsid w:val="006D07FB"/>
    <w:rsid w:val="006D0EE7"/>
    <w:rsid w:val="006D1073"/>
    <w:rsid w:val="006D10F8"/>
    <w:rsid w:val="006D128B"/>
    <w:rsid w:val="006D14E7"/>
    <w:rsid w:val="006D150B"/>
    <w:rsid w:val="006D1641"/>
    <w:rsid w:val="006D18B7"/>
    <w:rsid w:val="006D1A62"/>
    <w:rsid w:val="006D2287"/>
    <w:rsid w:val="006D292A"/>
    <w:rsid w:val="006D29F5"/>
    <w:rsid w:val="006D3520"/>
    <w:rsid w:val="006D37BB"/>
    <w:rsid w:val="006D43AB"/>
    <w:rsid w:val="006D443F"/>
    <w:rsid w:val="006D52CB"/>
    <w:rsid w:val="006D614C"/>
    <w:rsid w:val="006D67EE"/>
    <w:rsid w:val="006D714F"/>
    <w:rsid w:val="006D71A1"/>
    <w:rsid w:val="006D7B45"/>
    <w:rsid w:val="006D7F2D"/>
    <w:rsid w:val="006D7F93"/>
    <w:rsid w:val="006E0298"/>
    <w:rsid w:val="006E15CD"/>
    <w:rsid w:val="006E1754"/>
    <w:rsid w:val="006E1767"/>
    <w:rsid w:val="006E1BE1"/>
    <w:rsid w:val="006E1E53"/>
    <w:rsid w:val="006E25B1"/>
    <w:rsid w:val="006E263E"/>
    <w:rsid w:val="006E284A"/>
    <w:rsid w:val="006E2BA8"/>
    <w:rsid w:val="006E30B7"/>
    <w:rsid w:val="006E36A7"/>
    <w:rsid w:val="006E36FB"/>
    <w:rsid w:val="006E37ED"/>
    <w:rsid w:val="006E3923"/>
    <w:rsid w:val="006E3C10"/>
    <w:rsid w:val="006E41F3"/>
    <w:rsid w:val="006E439C"/>
    <w:rsid w:val="006E45E5"/>
    <w:rsid w:val="006E4977"/>
    <w:rsid w:val="006E4C6A"/>
    <w:rsid w:val="006E4CA6"/>
    <w:rsid w:val="006E4EDC"/>
    <w:rsid w:val="006E50AB"/>
    <w:rsid w:val="006E5AC1"/>
    <w:rsid w:val="006E5EAB"/>
    <w:rsid w:val="006E66EE"/>
    <w:rsid w:val="006E6C62"/>
    <w:rsid w:val="006E72E4"/>
    <w:rsid w:val="006E738A"/>
    <w:rsid w:val="006E757B"/>
    <w:rsid w:val="006E790F"/>
    <w:rsid w:val="006F0153"/>
    <w:rsid w:val="006F039F"/>
    <w:rsid w:val="006F08F4"/>
    <w:rsid w:val="006F1804"/>
    <w:rsid w:val="006F1F90"/>
    <w:rsid w:val="006F2453"/>
    <w:rsid w:val="006F25F1"/>
    <w:rsid w:val="006F2891"/>
    <w:rsid w:val="006F2E8D"/>
    <w:rsid w:val="006F31EC"/>
    <w:rsid w:val="006F3B36"/>
    <w:rsid w:val="006F3D82"/>
    <w:rsid w:val="006F3E78"/>
    <w:rsid w:val="006F454C"/>
    <w:rsid w:val="006F49D8"/>
    <w:rsid w:val="006F4ED1"/>
    <w:rsid w:val="006F57A3"/>
    <w:rsid w:val="006F5A64"/>
    <w:rsid w:val="006F5E90"/>
    <w:rsid w:val="006F6209"/>
    <w:rsid w:val="006F646B"/>
    <w:rsid w:val="006F6472"/>
    <w:rsid w:val="006F69EC"/>
    <w:rsid w:val="006F705E"/>
    <w:rsid w:val="006F7301"/>
    <w:rsid w:val="006F7597"/>
    <w:rsid w:val="006F7F39"/>
    <w:rsid w:val="00700997"/>
    <w:rsid w:val="00700D85"/>
    <w:rsid w:val="007010EB"/>
    <w:rsid w:val="0070139F"/>
    <w:rsid w:val="00701A21"/>
    <w:rsid w:val="00701AFE"/>
    <w:rsid w:val="00701C5B"/>
    <w:rsid w:val="0070223D"/>
    <w:rsid w:val="0070260F"/>
    <w:rsid w:val="00702B67"/>
    <w:rsid w:val="00702C36"/>
    <w:rsid w:val="00702E9A"/>
    <w:rsid w:val="00703448"/>
    <w:rsid w:val="007036D4"/>
    <w:rsid w:val="00704603"/>
    <w:rsid w:val="00704BC1"/>
    <w:rsid w:val="00704E93"/>
    <w:rsid w:val="00705B67"/>
    <w:rsid w:val="00705DE6"/>
    <w:rsid w:val="00706119"/>
    <w:rsid w:val="00706623"/>
    <w:rsid w:val="00706C7B"/>
    <w:rsid w:val="007072DE"/>
    <w:rsid w:val="00707ADB"/>
    <w:rsid w:val="00707EB4"/>
    <w:rsid w:val="00710566"/>
    <w:rsid w:val="00710933"/>
    <w:rsid w:val="00710E5A"/>
    <w:rsid w:val="00710F4D"/>
    <w:rsid w:val="00711521"/>
    <w:rsid w:val="00711A3A"/>
    <w:rsid w:val="00711C7A"/>
    <w:rsid w:val="00711DB8"/>
    <w:rsid w:val="00711F37"/>
    <w:rsid w:val="0071272D"/>
    <w:rsid w:val="007130FC"/>
    <w:rsid w:val="0071325D"/>
    <w:rsid w:val="007135FD"/>
    <w:rsid w:val="00713E89"/>
    <w:rsid w:val="00714590"/>
    <w:rsid w:val="007147C3"/>
    <w:rsid w:val="0071540A"/>
    <w:rsid w:val="00715EDF"/>
    <w:rsid w:val="00716AA3"/>
    <w:rsid w:val="00716FE1"/>
    <w:rsid w:val="00717676"/>
    <w:rsid w:val="007177CC"/>
    <w:rsid w:val="00717F73"/>
    <w:rsid w:val="00720143"/>
    <w:rsid w:val="00720751"/>
    <w:rsid w:val="00720BDD"/>
    <w:rsid w:val="00720CB5"/>
    <w:rsid w:val="00720E00"/>
    <w:rsid w:val="00720E47"/>
    <w:rsid w:val="007214AD"/>
    <w:rsid w:val="007219A3"/>
    <w:rsid w:val="007219A6"/>
    <w:rsid w:val="00721DE0"/>
    <w:rsid w:val="00721E46"/>
    <w:rsid w:val="00722130"/>
    <w:rsid w:val="0072247E"/>
    <w:rsid w:val="0072278A"/>
    <w:rsid w:val="00722CA2"/>
    <w:rsid w:val="00722CE1"/>
    <w:rsid w:val="00723A2C"/>
    <w:rsid w:val="007241BB"/>
    <w:rsid w:val="00724A2F"/>
    <w:rsid w:val="00725001"/>
    <w:rsid w:val="00725B83"/>
    <w:rsid w:val="00725E63"/>
    <w:rsid w:val="007267B8"/>
    <w:rsid w:val="00726B61"/>
    <w:rsid w:val="00726C1B"/>
    <w:rsid w:val="007270C9"/>
    <w:rsid w:val="007276E6"/>
    <w:rsid w:val="0073018B"/>
    <w:rsid w:val="0073055A"/>
    <w:rsid w:val="00730FC2"/>
    <w:rsid w:val="0073104F"/>
    <w:rsid w:val="007314DA"/>
    <w:rsid w:val="0073176A"/>
    <w:rsid w:val="00731D2F"/>
    <w:rsid w:val="0073220A"/>
    <w:rsid w:val="00732F5E"/>
    <w:rsid w:val="007332CA"/>
    <w:rsid w:val="007336B7"/>
    <w:rsid w:val="00733CC2"/>
    <w:rsid w:val="00733F5A"/>
    <w:rsid w:val="00734ACE"/>
    <w:rsid w:val="00734D59"/>
    <w:rsid w:val="007352D8"/>
    <w:rsid w:val="00735CBF"/>
    <w:rsid w:val="00736281"/>
    <w:rsid w:val="0073679E"/>
    <w:rsid w:val="007367B2"/>
    <w:rsid w:val="007368C6"/>
    <w:rsid w:val="007368FB"/>
    <w:rsid w:val="00736BD8"/>
    <w:rsid w:val="00736CC4"/>
    <w:rsid w:val="007379C2"/>
    <w:rsid w:val="007379C4"/>
    <w:rsid w:val="00741112"/>
    <w:rsid w:val="0074146D"/>
    <w:rsid w:val="00741887"/>
    <w:rsid w:val="00742098"/>
    <w:rsid w:val="0074296C"/>
    <w:rsid w:val="00742974"/>
    <w:rsid w:val="00742CA6"/>
    <w:rsid w:val="007431DC"/>
    <w:rsid w:val="007434B9"/>
    <w:rsid w:val="00743846"/>
    <w:rsid w:val="00743966"/>
    <w:rsid w:val="00743B89"/>
    <w:rsid w:val="00744423"/>
    <w:rsid w:val="0074457E"/>
    <w:rsid w:val="00744E8D"/>
    <w:rsid w:val="00745422"/>
    <w:rsid w:val="00745A50"/>
    <w:rsid w:val="00745E97"/>
    <w:rsid w:val="00746595"/>
    <w:rsid w:val="00746D08"/>
    <w:rsid w:val="00746E8E"/>
    <w:rsid w:val="0074711F"/>
    <w:rsid w:val="0074741C"/>
    <w:rsid w:val="00747531"/>
    <w:rsid w:val="00747705"/>
    <w:rsid w:val="0074799E"/>
    <w:rsid w:val="00747DBC"/>
    <w:rsid w:val="00747E05"/>
    <w:rsid w:val="00750C86"/>
    <w:rsid w:val="00750F87"/>
    <w:rsid w:val="007510CA"/>
    <w:rsid w:val="00751111"/>
    <w:rsid w:val="007511CE"/>
    <w:rsid w:val="00751E3B"/>
    <w:rsid w:val="007521A1"/>
    <w:rsid w:val="00752361"/>
    <w:rsid w:val="007525CC"/>
    <w:rsid w:val="00752702"/>
    <w:rsid w:val="0075283F"/>
    <w:rsid w:val="0075291C"/>
    <w:rsid w:val="0075301F"/>
    <w:rsid w:val="0075362B"/>
    <w:rsid w:val="00753D75"/>
    <w:rsid w:val="00754354"/>
    <w:rsid w:val="00754F9B"/>
    <w:rsid w:val="007551C6"/>
    <w:rsid w:val="00755CA9"/>
    <w:rsid w:val="00756225"/>
    <w:rsid w:val="00756549"/>
    <w:rsid w:val="00756560"/>
    <w:rsid w:val="00756B64"/>
    <w:rsid w:val="00756CC6"/>
    <w:rsid w:val="00756F61"/>
    <w:rsid w:val="00756FDD"/>
    <w:rsid w:val="0075700F"/>
    <w:rsid w:val="007571FA"/>
    <w:rsid w:val="0075794B"/>
    <w:rsid w:val="00757CED"/>
    <w:rsid w:val="00757D41"/>
    <w:rsid w:val="0076060F"/>
    <w:rsid w:val="00760761"/>
    <w:rsid w:val="007609D0"/>
    <w:rsid w:val="00760F0D"/>
    <w:rsid w:val="00761651"/>
    <w:rsid w:val="0076186C"/>
    <w:rsid w:val="00761CF1"/>
    <w:rsid w:val="00762511"/>
    <w:rsid w:val="00762842"/>
    <w:rsid w:val="00762A25"/>
    <w:rsid w:val="00762C7F"/>
    <w:rsid w:val="00762F9F"/>
    <w:rsid w:val="0076325C"/>
    <w:rsid w:val="00763D08"/>
    <w:rsid w:val="00763DCB"/>
    <w:rsid w:val="0076469B"/>
    <w:rsid w:val="00764ADF"/>
    <w:rsid w:val="00764F42"/>
    <w:rsid w:val="00765074"/>
    <w:rsid w:val="00765A63"/>
    <w:rsid w:val="00765CCC"/>
    <w:rsid w:val="00765E44"/>
    <w:rsid w:val="00766737"/>
    <w:rsid w:val="0076691D"/>
    <w:rsid w:val="00766DA3"/>
    <w:rsid w:val="00767507"/>
    <w:rsid w:val="00767BF9"/>
    <w:rsid w:val="00770A5D"/>
    <w:rsid w:val="00770C3B"/>
    <w:rsid w:val="00770DFE"/>
    <w:rsid w:val="00770F75"/>
    <w:rsid w:val="0077130F"/>
    <w:rsid w:val="00771B30"/>
    <w:rsid w:val="00771F9B"/>
    <w:rsid w:val="00772248"/>
    <w:rsid w:val="0077260A"/>
    <w:rsid w:val="00772D3F"/>
    <w:rsid w:val="00772D64"/>
    <w:rsid w:val="00772D6D"/>
    <w:rsid w:val="007742FA"/>
    <w:rsid w:val="0077490F"/>
    <w:rsid w:val="0077502F"/>
    <w:rsid w:val="0077504B"/>
    <w:rsid w:val="00775546"/>
    <w:rsid w:val="00775620"/>
    <w:rsid w:val="00775F70"/>
    <w:rsid w:val="00776048"/>
    <w:rsid w:val="0077770F"/>
    <w:rsid w:val="00777B93"/>
    <w:rsid w:val="00777C40"/>
    <w:rsid w:val="007800DA"/>
    <w:rsid w:val="007801DD"/>
    <w:rsid w:val="00780437"/>
    <w:rsid w:val="007808B1"/>
    <w:rsid w:val="00780DBF"/>
    <w:rsid w:val="00780E46"/>
    <w:rsid w:val="00781095"/>
    <w:rsid w:val="00781CCB"/>
    <w:rsid w:val="00781FA8"/>
    <w:rsid w:val="007822BA"/>
    <w:rsid w:val="0078284E"/>
    <w:rsid w:val="00782EC7"/>
    <w:rsid w:val="0078334B"/>
    <w:rsid w:val="00783818"/>
    <w:rsid w:val="00783A40"/>
    <w:rsid w:val="0078418B"/>
    <w:rsid w:val="007846AF"/>
    <w:rsid w:val="00784C1F"/>
    <w:rsid w:val="00784C39"/>
    <w:rsid w:val="00785A21"/>
    <w:rsid w:val="00785FBD"/>
    <w:rsid w:val="00786515"/>
    <w:rsid w:val="0078660B"/>
    <w:rsid w:val="0078684F"/>
    <w:rsid w:val="00786F5E"/>
    <w:rsid w:val="007874B0"/>
    <w:rsid w:val="007876AF"/>
    <w:rsid w:val="00787AC1"/>
    <w:rsid w:val="00787F9E"/>
    <w:rsid w:val="007910A5"/>
    <w:rsid w:val="00791CBB"/>
    <w:rsid w:val="00792046"/>
    <w:rsid w:val="00792302"/>
    <w:rsid w:val="007927D6"/>
    <w:rsid w:val="00792AEC"/>
    <w:rsid w:val="00792B27"/>
    <w:rsid w:val="00792FFC"/>
    <w:rsid w:val="007933F3"/>
    <w:rsid w:val="0079343F"/>
    <w:rsid w:val="00793E86"/>
    <w:rsid w:val="00794031"/>
    <w:rsid w:val="007941C7"/>
    <w:rsid w:val="0079515A"/>
    <w:rsid w:val="007953DE"/>
    <w:rsid w:val="007957A3"/>
    <w:rsid w:val="0079588F"/>
    <w:rsid w:val="00795AD0"/>
    <w:rsid w:val="00795D31"/>
    <w:rsid w:val="00795DC9"/>
    <w:rsid w:val="00795EA6"/>
    <w:rsid w:val="007963AE"/>
    <w:rsid w:val="00797013"/>
    <w:rsid w:val="0079718C"/>
    <w:rsid w:val="00797A00"/>
    <w:rsid w:val="007A0EAE"/>
    <w:rsid w:val="007A17C0"/>
    <w:rsid w:val="007A1AA8"/>
    <w:rsid w:val="007A25CB"/>
    <w:rsid w:val="007A28EA"/>
    <w:rsid w:val="007A2D0F"/>
    <w:rsid w:val="007A31A4"/>
    <w:rsid w:val="007A3529"/>
    <w:rsid w:val="007A3E11"/>
    <w:rsid w:val="007A4779"/>
    <w:rsid w:val="007A4BB4"/>
    <w:rsid w:val="007A5016"/>
    <w:rsid w:val="007A606B"/>
    <w:rsid w:val="007A66AA"/>
    <w:rsid w:val="007A6897"/>
    <w:rsid w:val="007A6B2B"/>
    <w:rsid w:val="007A6B6C"/>
    <w:rsid w:val="007A7262"/>
    <w:rsid w:val="007A7395"/>
    <w:rsid w:val="007A7AA0"/>
    <w:rsid w:val="007A7ACE"/>
    <w:rsid w:val="007A7FA7"/>
    <w:rsid w:val="007B0593"/>
    <w:rsid w:val="007B0B2F"/>
    <w:rsid w:val="007B0B46"/>
    <w:rsid w:val="007B0BF1"/>
    <w:rsid w:val="007B14F1"/>
    <w:rsid w:val="007B1F92"/>
    <w:rsid w:val="007B1FAC"/>
    <w:rsid w:val="007B1FAD"/>
    <w:rsid w:val="007B20F2"/>
    <w:rsid w:val="007B20FF"/>
    <w:rsid w:val="007B2321"/>
    <w:rsid w:val="007B2492"/>
    <w:rsid w:val="007B2B95"/>
    <w:rsid w:val="007B2CC5"/>
    <w:rsid w:val="007B31BE"/>
    <w:rsid w:val="007B516F"/>
    <w:rsid w:val="007B5B51"/>
    <w:rsid w:val="007B62BF"/>
    <w:rsid w:val="007B745D"/>
    <w:rsid w:val="007B7664"/>
    <w:rsid w:val="007B79EF"/>
    <w:rsid w:val="007B7CCC"/>
    <w:rsid w:val="007B7CE2"/>
    <w:rsid w:val="007B7F9C"/>
    <w:rsid w:val="007C00F9"/>
    <w:rsid w:val="007C0AA1"/>
    <w:rsid w:val="007C20C2"/>
    <w:rsid w:val="007C2288"/>
    <w:rsid w:val="007C2432"/>
    <w:rsid w:val="007C2A61"/>
    <w:rsid w:val="007C371C"/>
    <w:rsid w:val="007C3C43"/>
    <w:rsid w:val="007C3F58"/>
    <w:rsid w:val="007C440F"/>
    <w:rsid w:val="007C4577"/>
    <w:rsid w:val="007C4A58"/>
    <w:rsid w:val="007C541C"/>
    <w:rsid w:val="007C55E0"/>
    <w:rsid w:val="007C5635"/>
    <w:rsid w:val="007C5697"/>
    <w:rsid w:val="007C608B"/>
    <w:rsid w:val="007C6335"/>
    <w:rsid w:val="007C671A"/>
    <w:rsid w:val="007C6D8E"/>
    <w:rsid w:val="007C6E8A"/>
    <w:rsid w:val="007C6F8E"/>
    <w:rsid w:val="007C72CB"/>
    <w:rsid w:val="007C7787"/>
    <w:rsid w:val="007C785C"/>
    <w:rsid w:val="007C79A6"/>
    <w:rsid w:val="007C7F63"/>
    <w:rsid w:val="007C7FF9"/>
    <w:rsid w:val="007D0295"/>
    <w:rsid w:val="007D053C"/>
    <w:rsid w:val="007D0EBF"/>
    <w:rsid w:val="007D0F0E"/>
    <w:rsid w:val="007D129C"/>
    <w:rsid w:val="007D1728"/>
    <w:rsid w:val="007D228F"/>
    <w:rsid w:val="007D34EB"/>
    <w:rsid w:val="007D380E"/>
    <w:rsid w:val="007D3AC7"/>
    <w:rsid w:val="007D4FF3"/>
    <w:rsid w:val="007D50AD"/>
    <w:rsid w:val="007D5254"/>
    <w:rsid w:val="007D54C4"/>
    <w:rsid w:val="007D5772"/>
    <w:rsid w:val="007D6579"/>
    <w:rsid w:val="007D682F"/>
    <w:rsid w:val="007D688E"/>
    <w:rsid w:val="007D68E9"/>
    <w:rsid w:val="007D6E20"/>
    <w:rsid w:val="007D7557"/>
    <w:rsid w:val="007D77FD"/>
    <w:rsid w:val="007D79ED"/>
    <w:rsid w:val="007E17F4"/>
    <w:rsid w:val="007E1F10"/>
    <w:rsid w:val="007E24C5"/>
    <w:rsid w:val="007E2859"/>
    <w:rsid w:val="007E2AFC"/>
    <w:rsid w:val="007E3E65"/>
    <w:rsid w:val="007E46E8"/>
    <w:rsid w:val="007E4A5B"/>
    <w:rsid w:val="007E4B91"/>
    <w:rsid w:val="007E4BDB"/>
    <w:rsid w:val="007E5796"/>
    <w:rsid w:val="007E5B71"/>
    <w:rsid w:val="007E621F"/>
    <w:rsid w:val="007E6444"/>
    <w:rsid w:val="007E676C"/>
    <w:rsid w:val="007E6FA4"/>
    <w:rsid w:val="007E7C24"/>
    <w:rsid w:val="007F0004"/>
    <w:rsid w:val="007F097E"/>
    <w:rsid w:val="007F107C"/>
    <w:rsid w:val="007F1363"/>
    <w:rsid w:val="007F1A76"/>
    <w:rsid w:val="007F275D"/>
    <w:rsid w:val="007F2A76"/>
    <w:rsid w:val="007F330E"/>
    <w:rsid w:val="007F34D4"/>
    <w:rsid w:val="007F355F"/>
    <w:rsid w:val="007F35EC"/>
    <w:rsid w:val="007F39FD"/>
    <w:rsid w:val="007F496A"/>
    <w:rsid w:val="007F49D8"/>
    <w:rsid w:val="007F5CE9"/>
    <w:rsid w:val="007F67E1"/>
    <w:rsid w:val="007F6A45"/>
    <w:rsid w:val="007F6A50"/>
    <w:rsid w:val="007F6F21"/>
    <w:rsid w:val="007F7655"/>
    <w:rsid w:val="007F7ED5"/>
    <w:rsid w:val="0080033E"/>
    <w:rsid w:val="0080072A"/>
    <w:rsid w:val="008009D0"/>
    <w:rsid w:val="00800AA6"/>
    <w:rsid w:val="008012A6"/>
    <w:rsid w:val="00802352"/>
    <w:rsid w:val="008023E1"/>
    <w:rsid w:val="00802513"/>
    <w:rsid w:val="008029E0"/>
    <w:rsid w:val="00802AEF"/>
    <w:rsid w:val="0080335D"/>
    <w:rsid w:val="0080381C"/>
    <w:rsid w:val="00803C64"/>
    <w:rsid w:val="008044BE"/>
    <w:rsid w:val="008048D4"/>
    <w:rsid w:val="008049CB"/>
    <w:rsid w:val="008049D5"/>
    <w:rsid w:val="00804B01"/>
    <w:rsid w:val="0080507A"/>
    <w:rsid w:val="00805E7E"/>
    <w:rsid w:val="0080624F"/>
    <w:rsid w:val="00806805"/>
    <w:rsid w:val="00806953"/>
    <w:rsid w:val="00806B2A"/>
    <w:rsid w:val="00806B77"/>
    <w:rsid w:val="0080742F"/>
    <w:rsid w:val="0080769F"/>
    <w:rsid w:val="00810012"/>
    <w:rsid w:val="00810E2C"/>
    <w:rsid w:val="008115A1"/>
    <w:rsid w:val="00811B37"/>
    <w:rsid w:val="00811C59"/>
    <w:rsid w:val="008137A7"/>
    <w:rsid w:val="0081411A"/>
    <w:rsid w:val="00814305"/>
    <w:rsid w:val="00814D15"/>
    <w:rsid w:val="0081510C"/>
    <w:rsid w:val="008159D3"/>
    <w:rsid w:val="00815F70"/>
    <w:rsid w:val="00816013"/>
    <w:rsid w:val="008167E6"/>
    <w:rsid w:val="00816A4E"/>
    <w:rsid w:val="008173A8"/>
    <w:rsid w:val="0081747E"/>
    <w:rsid w:val="0081769E"/>
    <w:rsid w:val="00817816"/>
    <w:rsid w:val="00817870"/>
    <w:rsid w:val="00817A97"/>
    <w:rsid w:val="00817CB6"/>
    <w:rsid w:val="00817FA3"/>
    <w:rsid w:val="00820138"/>
    <w:rsid w:val="00820522"/>
    <w:rsid w:val="008208E5"/>
    <w:rsid w:val="008208F6"/>
    <w:rsid w:val="0082095E"/>
    <w:rsid w:val="008209E6"/>
    <w:rsid w:val="00821402"/>
    <w:rsid w:val="00822A24"/>
    <w:rsid w:val="008233CE"/>
    <w:rsid w:val="00823635"/>
    <w:rsid w:val="008237A2"/>
    <w:rsid w:val="00824497"/>
    <w:rsid w:val="00825A65"/>
    <w:rsid w:val="00825CAA"/>
    <w:rsid w:val="0082644D"/>
    <w:rsid w:val="00827148"/>
    <w:rsid w:val="0082728A"/>
    <w:rsid w:val="0082745B"/>
    <w:rsid w:val="00827A5F"/>
    <w:rsid w:val="00830495"/>
    <w:rsid w:val="00830FAC"/>
    <w:rsid w:val="008314FE"/>
    <w:rsid w:val="00831695"/>
    <w:rsid w:val="0083201D"/>
    <w:rsid w:val="00832403"/>
    <w:rsid w:val="00832546"/>
    <w:rsid w:val="00832F24"/>
    <w:rsid w:val="00833083"/>
    <w:rsid w:val="00833CFD"/>
    <w:rsid w:val="00833DB2"/>
    <w:rsid w:val="008343B2"/>
    <w:rsid w:val="00836130"/>
    <w:rsid w:val="00836316"/>
    <w:rsid w:val="0083700E"/>
    <w:rsid w:val="0083711E"/>
    <w:rsid w:val="008371B9"/>
    <w:rsid w:val="00837442"/>
    <w:rsid w:val="008374EB"/>
    <w:rsid w:val="00837E15"/>
    <w:rsid w:val="008400F6"/>
    <w:rsid w:val="00840315"/>
    <w:rsid w:val="00840ED6"/>
    <w:rsid w:val="0084143F"/>
    <w:rsid w:val="00841DD8"/>
    <w:rsid w:val="00842317"/>
    <w:rsid w:val="00842FBE"/>
    <w:rsid w:val="00844B7E"/>
    <w:rsid w:val="00845035"/>
    <w:rsid w:val="00845221"/>
    <w:rsid w:val="008455D8"/>
    <w:rsid w:val="0084597C"/>
    <w:rsid w:val="008462BD"/>
    <w:rsid w:val="0084663B"/>
    <w:rsid w:val="00846B66"/>
    <w:rsid w:val="00846C07"/>
    <w:rsid w:val="00846C7F"/>
    <w:rsid w:val="008470ED"/>
    <w:rsid w:val="00847D1D"/>
    <w:rsid w:val="008500CB"/>
    <w:rsid w:val="00850154"/>
    <w:rsid w:val="00850155"/>
    <w:rsid w:val="00850A55"/>
    <w:rsid w:val="00851A9A"/>
    <w:rsid w:val="00852604"/>
    <w:rsid w:val="00852DC6"/>
    <w:rsid w:val="00853210"/>
    <w:rsid w:val="00854212"/>
    <w:rsid w:val="00854CFA"/>
    <w:rsid w:val="00854DE5"/>
    <w:rsid w:val="00854EBF"/>
    <w:rsid w:val="00855433"/>
    <w:rsid w:val="008558A5"/>
    <w:rsid w:val="008572B6"/>
    <w:rsid w:val="00860414"/>
    <w:rsid w:val="00860490"/>
    <w:rsid w:val="008606E5"/>
    <w:rsid w:val="00861575"/>
    <w:rsid w:val="008623ED"/>
    <w:rsid w:val="00862F26"/>
    <w:rsid w:val="008632DB"/>
    <w:rsid w:val="008634FC"/>
    <w:rsid w:val="008635AF"/>
    <w:rsid w:val="008638F1"/>
    <w:rsid w:val="008643DE"/>
    <w:rsid w:val="00864FF9"/>
    <w:rsid w:val="00865653"/>
    <w:rsid w:val="00865735"/>
    <w:rsid w:val="0086595F"/>
    <w:rsid w:val="00865F1B"/>
    <w:rsid w:val="00865FEB"/>
    <w:rsid w:val="008667DC"/>
    <w:rsid w:val="00866A88"/>
    <w:rsid w:val="0086702A"/>
    <w:rsid w:val="0086726B"/>
    <w:rsid w:val="008673E0"/>
    <w:rsid w:val="00867D97"/>
    <w:rsid w:val="008703FE"/>
    <w:rsid w:val="008706EE"/>
    <w:rsid w:val="008708A7"/>
    <w:rsid w:val="00871000"/>
    <w:rsid w:val="0087221D"/>
    <w:rsid w:val="008724DA"/>
    <w:rsid w:val="00872AD4"/>
    <w:rsid w:val="00872E7E"/>
    <w:rsid w:val="008742DD"/>
    <w:rsid w:val="008750C2"/>
    <w:rsid w:val="00876168"/>
    <w:rsid w:val="00876451"/>
    <w:rsid w:val="00876B2A"/>
    <w:rsid w:val="00877020"/>
    <w:rsid w:val="0087761B"/>
    <w:rsid w:val="00877AF4"/>
    <w:rsid w:val="00877D2D"/>
    <w:rsid w:val="00880B87"/>
    <w:rsid w:val="008816BA"/>
    <w:rsid w:val="00881D51"/>
    <w:rsid w:val="00882301"/>
    <w:rsid w:val="008827C0"/>
    <w:rsid w:val="00883328"/>
    <w:rsid w:val="00883AD3"/>
    <w:rsid w:val="00884A55"/>
    <w:rsid w:val="00884E7C"/>
    <w:rsid w:val="0088559D"/>
    <w:rsid w:val="0088562B"/>
    <w:rsid w:val="008856DB"/>
    <w:rsid w:val="008857EF"/>
    <w:rsid w:val="00885BA3"/>
    <w:rsid w:val="00885D8F"/>
    <w:rsid w:val="008861E0"/>
    <w:rsid w:val="00886762"/>
    <w:rsid w:val="00886CCF"/>
    <w:rsid w:val="00886E72"/>
    <w:rsid w:val="00886F2D"/>
    <w:rsid w:val="0088758A"/>
    <w:rsid w:val="00887B34"/>
    <w:rsid w:val="00887D59"/>
    <w:rsid w:val="008906EC"/>
    <w:rsid w:val="0089088B"/>
    <w:rsid w:val="00890F9F"/>
    <w:rsid w:val="008910B1"/>
    <w:rsid w:val="00891FBC"/>
    <w:rsid w:val="008922EE"/>
    <w:rsid w:val="00892561"/>
    <w:rsid w:val="00892A88"/>
    <w:rsid w:val="00893086"/>
    <w:rsid w:val="008937F2"/>
    <w:rsid w:val="008941B1"/>
    <w:rsid w:val="008941FD"/>
    <w:rsid w:val="0089472A"/>
    <w:rsid w:val="008947EA"/>
    <w:rsid w:val="00894DE7"/>
    <w:rsid w:val="00895C54"/>
    <w:rsid w:val="00895C99"/>
    <w:rsid w:val="0089606C"/>
    <w:rsid w:val="00896323"/>
    <w:rsid w:val="008963EB"/>
    <w:rsid w:val="00896590"/>
    <w:rsid w:val="0089665B"/>
    <w:rsid w:val="00896B83"/>
    <w:rsid w:val="00896C23"/>
    <w:rsid w:val="00896DC6"/>
    <w:rsid w:val="008975DD"/>
    <w:rsid w:val="008976DB"/>
    <w:rsid w:val="00897F88"/>
    <w:rsid w:val="00897FEF"/>
    <w:rsid w:val="008A019A"/>
    <w:rsid w:val="008A0267"/>
    <w:rsid w:val="008A05F3"/>
    <w:rsid w:val="008A0C86"/>
    <w:rsid w:val="008A125F"/>
    <w:rsid w:val="008A12C9"/>
    <w:rsid w:val="008A209D"/>
    <w:rsid w:val="008A29D2"/>
    <w:rsid w:val="008A2AA7"/>
    <w:rsid w:val="008A33A0"/>
    <w:rsid w:val="008A3710"/>
    <w:rsid w:val="008A3C73"/>
    <w:rsid w:val="008A4368"/>
    <w:rsid w:val="008A4668"/>
    <w:rsid w:val="008A4759"/>
    <w:rsid w:val="008A5BE5"/>
    <w:rsid w:val="008A6085"/>
    <w:rsid w:val="008A60BE"/>
    <w:rsid w:val="008A6542"/>
    <w:rsid w:val="008A66C1"/>
    <w:rsid w:val="008A756A"/>
    <w:rsid w:val="008B07EB"/>
    <w:rsid w:val="008B0EC5"/>
    <w:rsid w:val="008B1176"/>
    <w:rsid w:val="008B12E9"/>
    <w:rsid w:val="008B17C8"/>
    <w:rsid w:val="008B22B5"/>
    <w:rsid w:val="008B2400"/>
    <w:rsid w:val="008B304B"/>
    <w:rsid w:val="008B3317"/>
    <w:rsid w:val="008B3678"/>
    <w:rsid w:val="008B3A3C"/>
    <w:rsid w:val="008B453B"/>
    <w:rsid w:val="008B51D8"/>
    <w:rsid w:val="008B5674"/>
    <w:rsid w:val="008B621A"/>
    <w:rsid w:val="008B6568"/>
    <w:rsid w:val="008B6D1A"/>
    <w:rsid w:val="008B7023"/>
    <w:rsid w:val="008B713C"/>
    <w:rsid w:val="008B7890"/>
    <w:rsid w:val="008B7C67"/>
    <w:rsid w:val="008C0784"/>
    <w:rsid w:val="008C0BF8"/>
    <w:rsid w:val="008C0DAE"/>
    <w:rsid w:val="008C1B85"/>
    <w:rsid w:val="008C22D6"/>
    <w:rsid w:val="008C22E8"/>
    <w:rsid w:val="008C26CE"/>
    <w:rsid w:val="008C2827"/>
    <w:rsid w:val="008C31B1"/>
    <w:rsid w:val="008C37BB"/>
    <w:rsid w:val="008C3AC2"/>
    <w:rsid w:val="008C4217"/>
    <w:rsid w:val="008C50AB"/>
    <w:rsid w:val="008C52E6"/>
    <w:rsid w:val="008C57D7"/>
    <w:rsid w:val="008C597D"/>
    <w:rsid w:val="008C626E"/>
    <w:rsid w:val="008C6476"/>
    <w:rsid w:val="008C671C"/>
    <w:rsid w:val="008C6BD1"/>
    <w:rsid w:val="008C729D"/>
    <w:rsid w:val="008C78E2"/>
    <w:rsid w:val="008C7AA2"/>
    <w:rsid w:val="008C7DEF"/>
    <w:rsid w:val="008C7E0E"/>
    <w:rsid w:val="008D1D42"/>
    <w:rsid w:val="008D1D87"/>
    <w:rsid w:val="008D2120"/>
    <w:rsid w:val="008D266F"/>
    <w:rsid w:val="008D26D7"/>
    <w:rsid w:val="008D275B"/>
    <w:rsid w:val="008D2BE3"/>
    <w:rsid w:val="008D2E4D"/>
    <w:rsid w:val="008D497C"/>
    <w:rsid w:val="008D555A"/>
    <w:rsid w:val="008D5D70"/>
    <w:rsid w:val="008D6298"/>
    <w:rsid w:val="008D6DFA"/>
    <w:rsid w:val="008D70EE"/>
    <w:rsid w:val="008D71A2"/>
    <w:rsid w:val="008D7350"/>
    <w:rsid w:val="008E10AA"/>
    <w:rsid w:val="008E1388"/>
    <w:rsid w:val="008E1648"/>
    <w:rsid w:val="008E1704"/>
    <w:rsid w:val="008E1C76"/>
    <w:rsid w:val="008E1D39"/>
    <w:rsid w:val="008E1DAC"/>
    <w:rsid w:val="008E233E"/>
    <w:rsid w:val="008E233F"/>
    <w:rsid w:val="008E236F"/>
    <w:rsid w:val="008E23BD"/>
    <w:rsid w:val="008E26F5"/>
    <w:rsid w:val="008E28E3"/>
    <w:rsid w:val="008E3055"/>
    <w:rsid w:val="008E3210"/>
    <w:rsid w:val="008E392A"/>
    <w:rsid w:val="008E3F13"/>
    <w:rsid w:val="008E4176"/>
    <w:rsid w:val="008E4489"/>
    <w:rsid w:val="008E454D"/>
    <w:rsid w:val="008E4FE5"/>
    <w:rsid w:val="008E5728"/>
    <w:rsid w:val="008E6291"/>
    <w:rsid w:val="008E75E0"/>
    <w:rsid w:val="008F0BBF"/>
    <w:rsid w:val="008F0C29"/>
    <w:rsid w:val="008F0EC9"/>
    <w:rsid w:val="008F12C2"/>
    <w:rsid w:val="008F14F2"/>
    <w:rsid w:val="008F1870"/>
    <w:rsid w:val="008F1BB4"/>
    <w:rsid w:val="008F2409"/>
    <w:rsid w:val="008F2426"/>
    <w:rsid w:val="008F2754"/>
    <w:rsid w:val="008F30A8"/>
    <w:rsid w:val="008F38BC"/>
    <w:rsid w:val="008F3E0D"/>
    <w:rsid w:val="008F3F8D"/>
    <w:rsid w:val="008F4222"/>
    <w:rsid w:val="008F4406"/>
    <w:rsid w:val="008F4BC0"/>
    <w:rsid w:val="008F4EB9"/>
    <w:rsid w:val="008F4FEC"/>
    <w:rsid w:val="008F5A86"/>
    <w:rsid w:val="008F5B8C"/>
    <w:rsid w:val="008F6BA0"/>
    <w:rsid w:val="008F6CED"/>
    <w:rsid w:val="008F7027"/>
    <w:rsid w:val="008F762E"/>
    <w:rsid w:val="008F770B"/>
    <w:rsid w:val="008F7C1D"/>
    <w:rsid w:val="009007F0"/>
    <w:rsid w:val="00900CD8"/>
    <w:rsid w:val="0090102C"/>
    <w:rsid w:val="00901433"/>
    <w:rsid w:val="0090224A"/>
    <w:rsid w:val="009023F8"/>
    <w:rsid w:val="00902655"/>
    <w:rsid w:val="00903036"/>
    <w:rsid w:val="009030CD"/>
    <w:rsid w:val="00903798"/>
    <w:rsid w:val="00903CF7"/>
    <w:rsid w:val="00903DFE"/>
    <w:rsid w:val="009040F1"/>
    <w:rsid w:val="00904C10"/>
    <w:rsid w:val="00904EE1"/>
    <w:rsid w:val="00905012"/>
    <w:rsid w:val="009052E3"/>
    <w:rsid w:val="009068F7"/>
    <w:rsid w:val="009075C4"/>
    <w:rsid w:val="009079DE"/>
    <w:rsid w:val="00907BA0"/>
    <w:rsid w:val="009104A4"/>
    <w:rsid w:val="00910B09"/>
    <w:rsid w:val="00912AC1"/>
    <w:rsid w:val="0091300F"/>
    <w:rsid w:val="009130C6"/>
    <w:rsid w:val="0091355F"/>
    <w:rsid w:val="009142DA"/>
    <w:rsid w:val="00914F85"/>
    <w:rsid w:val="009150AC"/>
    <w:rsid w:val="009158CE"/>
    <w:rsid w:val="00915B45"/>
    <w:rsid w:val="009160D0"/>
    <w:rsid w:val="00916130"/>
    <w:rsid w:val="00916911"/>
    <w:rsid w:val="009170D0"/>
    <w:rsid w:val="00917371"/>
    <w:rsid w:val="009174F5"/>
    <w:rsid w:val="00920D3B"/>
    <w:rsid w:val="00921137"/>
    <w:rsid w:val="0092128E"/>
    <w:rsid w:val="0092133D"/>
    <w:rsid w:val="00921696"/>
    <w:rsid w:val="00921A86"/>
    <w:rsid w:val="00921DEE"/>
    <w:rsid w:val="00921F51"/>
    <w:rsid w:val="009226B3"/>
    <w:rsid w:val="00923B82"/>
    <w:rsid w:val="00923CFC"/>
    <w:rsid w:val="0092425A"/>
    <w:rsid w:val="009244E6"/>
    <w:rsid w:val="009249EA"/>
    <w:rsid w:val="00925422"/>
    <w:rsid w:val="00925711"/>
    <w:rsid w:val="00925918"/>
    <w:rsid w:val="00925C18"/>
    <w:rsid w:val="0092603B"/>
    <w:rsid w:val="009260F8"/>
    <w:rsid w:val="0092659B"/>
    <w:rsid w:val="00927BAC"/>
    <w:rsid w:val="0093032D"/>
    <w:rsid w:val="00930CB7"/>
    <w:rsid w:val="009312C6"/>
    <w:rsid w:val="009313A1"/>
    <w:rsid w:val="00931AA4"/>
    <w:rsid w:val="00931CA4"/>
    <w:rsid w:val="00931DCA"/>
    <w:rsid w:val="00931F56"/>
    <w:rsid w:val="00932649"/>
    <w:rsid w:val="0093285E"/>
    <w:rsid w:val="0093286F"/>
    <w:rsid w:val="00932CB0"/>
    <w:rsid w:val="009330F9"/>
    <w:rsid w:val="009336FA"/>
    <w:rsid w:val="00933A6F"/>
    <w:rsid w:val="00933BE3"/>
    <w:rsid w:val="009348D7"/>
    <w:rsid w:val="00934E07"/>
    <w:rsid w:val="00935912"/>
    <w:rsid w:val="0093660E"/>
    <w:rsid w:val="009366BF"/>
    <w:rsid w:val="00936838"/>
    <w:rsid w:val="00936A8A"/>
    <w:rsid w:val="00937482"/>
    <w:rsid w:val="009402DA"/>
    <w:rsid w:val="009411B9"/>
    <w:rsid w:val="0094122F"/>
    <w:rsid w:val="0094129C"/>
    <w:rsid w:val="00941B71"/>
    <w:rsid w:val="00941C8B"/>
    <w:rsid w:val="0094264B"/>
    <w:rsid w:val="009427E5"/>
    <w:rsid w:val="009432DD"/>
    <w:rsid w:val="009434F1"/>
    <w:rsid w:val="009439A2"/>
    <w:rsid w:val="009445BB"/>
    <w:rsid w:val="009449ED"/>
    <w:rsid w:val="00945418"/>
    <w:rsid w:val="009456D4"/>
    <w:rsid w:val="009461DC"/>
    <w:rsid w:val="0094686C"/>
    <w:rsid w:val="009473FE"/>
    <w:rsid w:val="00947B90"/>
    <w:rsid w:val="00947EBC"/>
    <w:rsid w:val="00950063"/>
    <w:rsid w:val="00950379"/>
    <w:rsid w:val="00950551"/>
    <w:rsid w:val="00950A77"/>
    <w:rsid w:val="00951B39"/>
    <w:rsid w:val="0095374C"/>
    <w:rsid w:val="0095387D"/>
    <w:rsid w:val="00953B1D"/>
    <w:rsid w:val="009544BE"/>
    <w:rsid w:val="0095469E"/>
    <w:rsid w:val="009548CA"/>
    <w:rsid w:val="0095515C"/>
    <w:rsid w:val="009551A9"/>
    <w:rsid w:val="00955C70"/>
    <w:rsid w:val="009566C7"/>
    <w:rsid w:val="00956D6E"/>
    <w:rsid w:val="00957999"/>
    <w:rsid w:val="00957AAC"/>
    <w:rsid w:val="00957E9B"/>
    <w:rsid w:val="00957FF7"/>
    <w:rsid w:val="00960165"/>
    <w:rsid w:val="009603AE"/>
    <w:rsid w:val="00961E59"/>
    <w:rsid w:val="00961FCA"/>
    <w:rsid w:val="0096274F"/>
    <w:rsid w:val="009627E1"/>
    <w:rsid w:val="0096283B"/>
    <w:rsid w:val="00962F22"/>
    <w:rsid w:val="0096308D"/>
    <w:rsid w:val="009644DE"/>
    <w:rsid w:val="009645C6"/>
    <w:rsid w:val="009645D8"/>
    <w:rsid w:val="00964802"/>
    <w:rsid w:val="00964BFE"/>
    <w:rsid w:val="00965C63"/>
    <w:rsid w:val="00965CED"/>
    <w:rsid w:val="0096610A"/>
    <w:rsid w:val="0096644E"/>
    <w:rsid w:val="00966645"/>
    <w:rsid w:val="009668EB"/>
    <w:rsid w:val="00966F47"/>
    <w:rsid w:val="0096754D"/>
    <w:rsid w:val="00970195"/>
    <w:rsid w:val="009702B3"/>
    <w:rsid w:val="009704BB"/>
    <w:rsid w:val="00970997"/>
    <w:rsid w:val="00970A2A"/>
    <w:rsid w:val="00970ADE"/>
    <w:rsid w:val="00970E76"/>
    <w:rsid w:val="00971024"/>
    <w:rsid w:val="00971A53"/>
    <w:rsid w:val="00971B5C"/>
    <w:rsid w:val="00971E4A"/>
    <w:rsid w:val="0097223A"/>
    <w:rsid w:val="00972395"/>
    <w:rsid w:val="0097268F"/>
    <w:rsid w:val="0097287C"/>
    <w:rsid w:val="00973164"/>
    <w:rsid w:val="0097378B"/>
    <w:rsid w:val="009745AE"/>
    <w:rsid w:val="009746ED"/>
    <w:rsid w:val="00974B1E"/>
    <w:rsid w:val="00974C73"/>
    <w:rsid w:val="00975926"/>
    <w:rsid w:val="00976376"/>
    <w:rsid w:val="009764A0"/>
    <w:rsid w:val="0097664A"/>
    <w:rsid w:val="00976669"/>
    <w:rsid w:val="00977579"/>
    <w:rsid w:val="00977875"/>
    <w:rsid w:val="00977C30"/>
    <w:rsid w:val="00977D01"/>
    <w:rsid w:val="00977DEB"/>
    <w:rsid w:val="0098002B"/>
    <w:rsid w:val="00980CC9"/>
    <w:rsid w:val="00980E62"/>
    <w:rsid w:val="00981897"/>
    <w:rsid w:val="009818B5"/>
    <w:rsid w:val="00982BDE"/>
    <w:rsid w:val="00982EBB"/>
    <w:rsid w:val="00982F44"/>
    <w:rsid w:val="00983903"/>
    <w:rsid w:val="00983956"/>
    <w:rsid w:val="009843C9"/>
    <w:rsid w:val="0098505F"/>
    <w:rsid w:val="00985485"/>
    <w:rsid w:val="00985554"/>
    <w:rsid w:val="009857EB"/>
    <w:rsid w:val="00985F9B"/>
    <w:rsid w:val="00986192"/>
    <w:rsid w:val="00986319"/>
    <w:rsid w:val="009867A3"/>
    <w:rsid w:val="0098698A"/>
    <w:rsid w:val="00986AAA"/>
    <w:rsid w:val="0098752F"/>
    <w:rsid w:val="00987933"/>
    <w:rsid w:val="00987987"/>
    <w:rsid w:val="00987995"/>
    <w:rsid w:val="009879D2"/>
    <w:rsid w:val="00987F1A"/>
    <w:rsid w:val="00987FDE"/>
    <w:rsid w:val="00990577"/>
    <w:rsid w:val="009905BC"/>
    <w:rsid w:val="00990B19"/>
    <w:rsid w:val="00990B38"/>
    <w:rsid w:val="00990B6B"/>
    <w:rsid w:val="00990FE4"/>
    <w:rsid w:val="00991777"/>
    <w:rsid w:val="009925C9"/>
    <w:rsid w:val="009928DB"/>
    <w:rsid w:val="00992A29"/>
    <w:rsid w:val="0099375D"/>
    <w:rsid w:val="009941F6"/>
    <w:rsid w:val="009942E0"/>
    <w:rsid w:val="00994832"/>
    <w:rsid w:val="0099496D"/>
    <w:rsid w:val="00994AB3"/>
    <w:rsid w:val="009951FC"/>
    <w:rsid w:val="009958CF"/>
    <w:rsid w:val="00995C7F"/>
    <w:rsid w:val="009961EC"/>
    <w:rsid w:val="0099625A"/>
    <w:rsid w:val="00996D1D"/>
    <w:rsid w:val="00996D6A"/>
    <w:rsid w:val="00996E07"/>
    <w:rsid w:val="009972B9"/>
    <w:rsid w:val="00997475"/>
    <w:rsid w:val="00997DB7"/>
    <w:rsid w:val="00997F99"/>
    <w:rsid w:val="009A01B9"/>
    <w:rsid w:val="009A0233"/>
    <w:rsid w:val="009A063D"/>
    <w:rsid w:val="009A0920"/>
    <w:rsid w:val="009A0BA4"/>
    <w:rsid w:val="009A1054"/>
    <w:rsid w:val="009A17EA"/>
    <w:rsid w:val="009A1821"/>
    <w:rsid w:val="009A25F5"/>
    <w:rsid w:val="009A2ADB"/>
    <w:rsid w:val="009A3D7C"/>
    <w:rsid w:val="009A3F33"/>
    <w:rsid w:val="009A3FE1"/>
    <w:rsid w:val="009A4923"/>
    <w:rsid w:val="009A4DDF"/>
    <w:rsid w:val="009A4EC6"/>
    <w:rsid w:val="009A54AB"/>
    <w:rsid w:val="009A5917"/>
    <w:rsid w:val="009A60AD"/>
    <w:rsid w:val="009A6958"/>
    <w:rsid w:val="009A6EDA"/>
    <w:rsid w:val="009A6F73"/>
    <w:rsid w:val="009A72B7"/>
    <w:rsid w:val="009A75DD"/>
    <w:rsid w:val="009A76F8"/>
    <w:rsid w:val="009A7FA3"/>
    <w:rsid w:val="009B0433"/>
    <w:rsid w:val="009B0665"/>
    <w:rsid w:val="009B0A5A"/>
    <w:rsid w:val="009B17E1"/>
    <w:rsid w:val="009B1CAB"/>
    <w:rsid w:val="009B1CCC"/>
    <w:rsid w:val="009B1E92"/>
    <w:rsid w:val="009B286D"/>
    <w:rsid w:val="009B2C2A"/>
    <w:rsid w:val="009B352A"/>
    <w:rsid w:val="009B35F1"/>
    <w:rsid w:val="009B3691"/>
    <w:rsid w:val="009B3917"/>
    <w:rsid w:val="009B3A05"/>
    <w:rsid w:val="009B46DE"/>
    <w:rsid w:val="009B48CA"/>
    <w:rsid w:val="009B49A9"/>
    <w:rsid w:val="009B5047"/>
    <w:rsid w:val="009B50C1"/>
    <w:rsid w:val="009B578F"/>
    <w:rsid w:val="009B6287"/>
    <w:rsid w:val="009B6333"/>
    <w:rsid w:val="009B793A"/>
    <w:rsid w:val="009B7B18"/>
    <w:rsid w:val="009C1004"/>
    <w:rsid w:val="009C23D5"/>
    <w:rsid w:val="009C279E"/>
    <w:rsid w:val="009C3F0D"/>
    <w:rsid w:val="009C4015"/>
    <w:rsid w:val="009C4048"/>
    <w:rsid w:val="009C43FF"/>
    <w:rsid w:val="009C4AD0"/>
    <w:rsid w:val="009C5017"/>
    <w:rsid w:val="009C51B3"/>
    <w:rsid w:val="009C566D"/>
    <w:rsid w:val="009C59E6"/>
    <w:rsid w:val="009C5D62"/>
    <w:rsid w:val="009C652D"/>
    <w:rsid w:val="009C67AC"/>
    <w:rsid w:val="009C6C69"/>
    <w:rsid w:val="009C7B74"/>
    <w:rsid w:val="009C7DB9"/>
    <w:rsid w:val="009C7E15"/>
    <w:rsid w:val="009D0308"/>
    <w:rsid w:val="009D03C3"/>
    <w:rsid w:val="009D0414"/>
    <w:rsid w:val="009D079B"/>
    <w:rsid w:val="009D0A37"/>
    <w:rsid w:val="009D0C9C"/>
    <w:rsid w:val="009D0D14"/>
    <w:rsid w:val="009D10B0"/>
    <w:rsid w:val="009D2493"/>
    <w:rsid w:val="009D338F"/>
    <w:rsid w:val="009D33E7"/>
    <w:rsid w:val="009D44D1"/>
    <w:rsid w:val="009D4DD5"/>
    <w:rsid w:val="009D506C"/>
    <w:rsid w:val="009D6FA9"/>
    <w:rsid w:val="009E0024"/>
    <w:rsid w:val="009E037D"/>
    <w:rsid w:val="009E050C"/>
    <w:rsid w:val="009E1C60"/>
    <w:rsid w:val="009E2590"/>
    <w:rsid w:val="009E2D94"/>
    <w:rsid w:val="009E31DC"/>
    <w:rsid w:val="009E364A"/>
    <w:rsid w:val="009E3745"/>
    <w:rsid w:val="009E4360"/>
    <w:rsid w:val="009E493F"/>
    <w:rsid w:val="009E5184"/>
    <w:rsid w:val="009E547B"/>
    <w:rsid w:val="009E5F69"/>
    <w:rsid w:val="009E6070"/>
    <w:rsid w:val="009E6A4B"/>
    <w:rsid w:val="009E6D16"/>
    <w:rsid w:val="009E71E1"/>
    <w:rsid w:val="009F02B3"/>
    <w:rsid w:val="009F03DF"/>
    <w:rsid w:val="009F0967"/>
    <w:rsid w:val="009F0A2E"/>
    <w:rsid w:val="009F0BD2"/>
    <w:rsid w:val="009F1176"/>
    <w:rsid w:val="009F2EB3"/>
    <w:rsid w:val="009F2FDF"/>
    <w:rsid w:val="009F3440"/>
    <w:rsid w:val="009F3474"/>
    <w:rsid w:val="009F4BBA"/>
    <w:rsid w:val="009F4D49"/>
    <w:rsid w:val="009F4D6C"/>
    <w:rsid w:val="009F4D71"/>
    <w:rsid w:val="009F6027"/>
    <w:rsid w:val="009F6B6B"/>
    <w:rsid w:val="009F6EBE"/>
    <w:rsid w:val="00A0011C"/>
    <w:rsid w:val="00A0083D"/>
    <w:rsid w:val="00A00988"/>
    <w:rsid w:val="00A00E35"/>
    <w:rsid w:val="00A01528"/>
    <w:rsid w:val="00A01BBC"/>
    <w:rsid w:val="00A01C31"/>
    <w:rsid w:val="00A01F61"/>
    <w:rsid w:val="00A021F7"/>
    <w:rsid w:val="00A0243C"/>
    <w:rsid w:val="00A0248E"/>
    <w:rsid w:val="00A0269F"/>
    <w:rsid w:val="00A02837"/>
    <w:rsid w:val="00A049DB"/>
    <w:rsid w:val="00A04B65"/>
    <w:rsid w:val="00A04FAB"/>
    <w:rsid w:val="00A0503F"/>
    <w:rsid w:val="00A05089"/>
    <w:rsid w:val="00A05141"/>
    <w:rsid w:val="00A0542F"/>
    <w:rsid w:val="00A055B2"/>
    <w:rsid w:val="00A05E90"/>
    <w:rsid w:val="00A0631C"/>
    <w:rsid w:val="00A0635C"/>
    <w:rsid w:val="00A0637F"/>
    <w:rsid w:val="00A06509"/>
    <w:rsid w:val="00A06848"/>
    <w:rsid w:val="00A068CE"/>
    <w:rsid w:val="00A069B4"/>
    <w:rsid w:val="00A06BB8"/>
    <w:rsid w:val="00A07221"/>
    <w:rsid w:val="00A07A4E"/>
    <w:rsid w:val="00A07D41"/>
    <w:rsid w:val="00A07FBD"/>
    <w:rsid w:val="00A1040F"/>
    <w:rsid w:val="00A104AC"/>
    <w:rsid w:val="00A10AE0"/>
    <w:rsid w:val="00A114E3"/>
    <w:rsid w:val="00A114F1"/>
    <w:rsid w:val="00A11B60"/>
    <w:rsid w:val="00A11D0D"/>
    <w:rsid w:val="00A124EC"/>
    <w:rsid w:val="00A12694"/>
    <w:rsid w:val="00A128B0"/>
    <w:rsid w:val="00A12B60"/>
    <w:rsid w:val="00A12ED5"/>
    <w:rsid w:val="00A13083"/>
    <w:rsid w:val="00A136F6"/>
    <w:rsid w:val="00A13A77"/>
    <w:rsid w:val="00A13F04"/>
    <w:rsid w:val="00A14E6F"/>
    <w:rsid w:val="00A14F11"/>
    <w:rsid w:val="00A15543"/>
    <w:rsid w:val="00A16A5F"/>
    <w:rsid w:val="00A16C3E"/>
    <w:rsid w:val="00A17558"/>
    <w:rsid w:val="00A2000D"/>
    <w:rsid w:val="00A20926"/>
    <w:rsid w:val="00A21C0B"/>
    <w:rsid w:val="00A21CDB"/>
    <w:rsid w:val="00A21D9F"/>
    <w:rsid w:val="00A223A5"/>
    <w:rsid w:val="00A230C4"/>
    <w:rsid w:val="00A231CC"/>
    <w:rsid w:val="00A23698"/>
    <w:rsid w:val="00A238ED"/>
    <w:rsid w:val="00A244EE"/>
    <w:rsid w:val="00A24799"/>
    <w:rsid w:val="00A252B8"/>
    <w:rsid w:val="00A25C70"/>
    <w:rsid w:val="00A26556"/>
    <w:rsid w:val="00A275FA"/>
    <w:rsid w:val="00A30415"/>
    <w:rsid w:val="00A30FAE"/>
    <w:rsid w:val="00A31748"/>
    <w:rsid w:val="00A3206C"/>
    <w:rsid w:val="00A3257A"/>
    <w:rsid w:val="00A328B9"/>
    <w:rsid w:val="00A328CA"/>
    <w:rsid w:val="00A32AD3"/>
    <w:rsid w:val="00A32C54"/>
    <w:rsid w:val="00A32D66"/>
    <w:rsid w:val="00A32F32"/>
    <w:rsid w:val="00A33102"/>
    <w:rsid w:val="00A33D95"/>
    <w:rsid w:val="00A34013"/>
    <w:rsid w:val="00A340AF"/>
    <w:rsid w:val="00A340EB"/>
    <w:rsid w:val="00A34B8F"/>
    <w:rsid w:val="00A35133"/>
    <w:rsid w:val="00A3528E"/>
    <w:rsid w:val="00A353B0"/>
    <w:rsid w:val="00A354DA"/>
    <w:rsid w:val="00A35738"/>
    <w:rsid w:val="00A3575C"/>
    <w:rsid w:val="00A35824"/>
    <w:rsid w:val="00A366AA"/>
    <w:rsid w:val="00A37078"/>
    <w:rsid w:val="00A37375"/>
    <w:rsid w:val="00A37B2B"/>
    <w:rsid w:val="00A40098"/>
    <w:rsid w:val="00A4012C"/>
    <w:rsid w:val="00A422C0"/>
    <w:rsid w:val="00A42716"/>
    <w:rsid w:val="00A42A30"/>
    <w:rsid w:val="00A42CEC"/>
    <w:rsid w:val="00A42E1E"/>
    <w:rsid w:val="00A44042"/>
    <w:rsid w:val="00A4416D"/>
    <w:rsid w:val="00A4448F"/>
    <w:rsid w:val="00A4455F"/>
    <w:rsid w:val="00A44841"/>
    <w:rsid w:val="00A44F21"/>
    <w:rsid w:val="00A45399"/>
    <w:rsid w:val="00A4565F"/>
    <w:rsid w:val="00A45C55"/>
    <w:rsid w:val="00A45FB0"/>
    <w:rsid w:val="00A4632A"/>
    <w:rsid w:val="00A46611"/>
    <w:rsid w:val="00A46810"/>
    <w:rsid w:val="00A46E8F"/>
    <w:rsid w:val="00A4714A"/>
    <w:rsid w:val="00A474A1"/>
    <w:rsid w:val="00A50081"/>
    <w:rsid w:val="00A503A0"/>
    <w:rsid w:val="00A503F7"/>
    <w:rsid w:val="00A50CD3"/>
    <w:rsid w:val="00A5201D"/>
    <w:rsid w:val="00A52525"/>
    <w:rsid w:val="00A525B8"/>
    <w:rsid w:val="00A5293B"/>
    <w:rsid w:val="00A52C3C"/>
    <w:rsid w:val="00A5391C"/>
    <w:rsid w:val="00A54237"/>
    <w:rsid w:val="00A543B5"/>
    <w:rsid w:val="00A543D9"/>
    <w:rsid w:val="00A54912"/>
    <w:rsid w:val="00A5582F"/>
    <w:rsid w:val="00A559B9"/>
    <w:rsid w:val="00A55A71"/>
    <w:rsid w:val="00A55BE8"/>
    <w:rsid w:val="00A560AF"/>
    <w:rsid w:val="00A5696A"/>
    <w:rsid w:val="00A56C25"/>
    <w:rsid w:val="00A57157"/>
    <w:rsid w:val="00A573BA"/>
    <w:rsid w:val="00A57B80"/>
    <w:rsid w:val="00A60244"/>
    <w:rsid w:val="00A60CD0"/>
    <w:rsid w:val="00A60EED"/>
    <w:rsid w:val="00A610C5"/>
    <w:rsid w:val="00A61885"/>
    <w:rsid w:val="00A62724"/>
    <w:rsid w:val="00A62BA8"/>
    <w:rsid w:val="00A62CEB"/>
    <w:rsid w:val="00A63CDA"/>
    <w:rsid w:val="00A63EB2"/>
    <w:rsid w:val="00A641E3"/>
    <w:rsid w:val="00A64E3A"/>
    <w:rsid w:val="00A6515A"/>
    <w:rsid w:val="00A652E5"/>
    <w:rsid w:val="00A658AD"/>
    <w:rsid w:val="00A659EF"/>
    <w:rsid w:val="00A65DB0"/>
    <w:rsid w:val="00A66483"/>
    <w:rsid w:val="00A66721"/>
    <w:rsid w:val="00A7043A"/>
    <w:rsid w:val="00A70CAB"/>
    <w:rsid w:val="00A710F5"/>
    <w:rsid w:val="00A71199"/>
    <w:rsid w:val="00A714B2"/>
    <w:rsid w:val="00A71C01"/>
    <w:rsid w:val="00A72324"/>
    <w:rsid w:val="00A7254A"/>
    <w:rsid w:val="00A726ED"/>
    <w:rsid w:val="00A738B1"/>
    <w:rsid w:val="00A7435B"/>
    <w:rsid w:val="00A749FD"/>
    <w:rsid w:val="00A74B13"/>
    <w:rsid w:val="00A74B5C"/>
    <w:rsid w:val="00A74EB0"/>
    <w:rsid w:val="00A755AD"/>
    <w:rsid w:val="00A76292"/>
    <w:rsid w:val="00A7666B"/>
    <w:rsid w:val="00A766F2"/>
    <w:rsid w:val="00A770BB"/>
    <w:rsid w:val="00A778D7"/>
    <w:rsid w:val="00A801C4"/>
    <w:rsid w:val="00A80710"/>
    <w:rsid w:val="00A809C0"/>
    <w:rsid w:val="00A80F86"/>
    <w:rsid w:val="00A812E7"/>
    <w:rsid w:val="00A82378"/>
    <w:rsid w:val="00A825EE"/>
    <w:rsid w:val="00A829FF"/>
    <w:rsid w:val="00A83C4D"/>
    <w:rsid w:val="00A83F31"/>
    <w:rsid w:val="00A8422D"/>
    <w:rsid w:val="00A84644"/>
    <w:rsid w:val="00A846BB"/>
    <w:rsid w:val="00A84B77"/>
    <w:rsid w:val="00A854BF"/>
    <w:rsid w:val="00A85935"/>
    <w:rsid w:val="00A859CD"/>
    <w:rsid w:val="00A85D67"/>
    <w:rsid w:val="00A866BC"/>
    <w:rsid w:val="00A8739B"/>
    <w:rsid w:val="00A87B27"/>
    <w:rsid w:val="00A87FFA"/>
    <w:rsid w:val="00A90249"/>
    <w:rsid w:val="00A90409"/>
    <w:rsid w:val="00A9045D"/>
    <w:rsid w:val="00A904AD"/>
    <w:rsid w:val="00A90972"/>
    <w:rsid w:val="00A90F1E"/>
    <w:rsid w:val="00A90FE2"/>
    <w:rsid w:val="00A91038"/>
    <w:rsid w:val="00A91BAD"/>
    <w:rsid w:val="00A91D2D"/>
    <w:rsid w:val="00A9290F"/>
    <w:rsid w:val="00A9310F"/>
    <w:rsid w:val="00A93B61"/>
    <w:rsid w:val="00A93F15"/>
    <w:rsid w:val="00A941EF"/>
    <w:rsid w:val="00A94905"/>
    <w:rsid w:val="00A9492E"/>
    <w:rsid w:val="00A94E7A"/>
    <w:rsid w:val="00A94EBE"/>
    <w:rsid w:val="00A95A66"/>
    <w:rsid w:val="00A95BA1"/>
    <w:rsid w:val="00A95E4B"/>
    <w:rsid w:val="00A9616C"/>
    <w:rsid w:val="00A96508"/>
    <w:rsid w:val="00A96DF1"/>
    <w:rsid w:val="00A9748A"/>
    <w:rsid w:val="00A977AC"/>
    <w:rsid w:val="00AA0AF7"/>
    <w:rsid w:val="00AA0FBC"/>
    <w:rsid w:val="00AA1174"/>
    <w:rsid w:val="00AA124B"/>
    <w:rsid w:val="00AA17F8"/>
    <w:rsid w:val="00AA1D3E"/>
    <w:rsid w:val="00AA1F6B"/>
    <w:rsid w:val="00AA262C"/>
    <w:rsid w:val="00AA2D5A"/>
    <w:rsid w:val="00AA31C5"/>
    <w:rsid w:val="00AA397B"/>
    <w:rsid w:val="00AA39C8"/>
    <w:rsid w:val="00AA51B8"/>
    <w:rsid w:val="00AA58B8"/>
    <w:rsid w:val="00AA5D08"/>
    <w:rsid w:val="00AA6922"/>
    <w:rsid w:val="00AA78B5"/>
    <w:rsid w:val="00AB05BD"/>
    <w:rsid w:val="00AB0724"/>
    <w:rsid w:val="00AB19C8"/>
    <w:rsid w:val="00AB1B6F"/>
    <w:rsid w:val="00AB22E6"/>
    <w:rsid w:val="00AB23D7"/>
    <w:rsid w:val="00AB2843"/>
    <w:rsid w:val="00AB351B"/>
    <w:rsid w:val="00AB39DA"/>
    <w:rsid w:val="00AB3AF5"/>
    <w:rsid w:val="00AB41D3"/>
    <w:rsid w:val="00AB467E"/>
    <w:rsid w:val="00AB4B6C"/>
    <w:rsid w:val="00AB50D0"/>
    <w:rsid w:val="00AB536C"/>
    <w:rsid w:val="00AB5D62"/>
    <w:rsid w:val="00AB5E5D"/>
    <w:rsid w:val="00AB6A3B"/>
    <w:rsid w:val="00AB6E33"/>
    <w:rsid w:val="00AB7587"/>
    <w:rsid w:val="00AC14A0"/>
    <w:rsid w:val="00AC1508"/>
    <w:rsid w:val="00AC165D"/>
    <w:rsid w:val="00AC23A8"/>
    <w:rsid w:val="00AC2440"/>
    <w:rsid w:val="00AC25F2"/>
    <w:rsid w:val="00AC2D98"/>
    <w:rsid w:val="00AC2DFC"/>
    <w:rsid w:val="00AC3009"/>
    <w:rsid w:val="00AC3035"/>
    <w:rsid w:val="00AC3401"/>
    <w:rsid w:val="00AC36A0"/>
    <w:rsid w:val="00AC3E40"/>
    <w:rsid w:val="00AC45DA"/>
    <w:rsid w:val="00AC53B7"/>
    <w:rsid w:val="00AC5CE9"/>
    <w:rsid w:val="00AC5D93"/>
    <w:rsid w:val="00AC61A2"/>
    <w:rsid w:val="00AC61AD"/>
    <w:rsid w:val="00AC6554"/>
    <w:rsid w:val="00AC65C3"/>
    <w:rsid w:val="00AC6BAB"/>
    <w:rsid w:val="00AC7190"/>
    <w:rsid w:val="00AC76A0"/>
    <w:rsid w:val="00AC784C"/>
    <w:rsid w:val="00AC7BB3"/>
    <w:rsid w:val="00AC7D5B"/>
    <w:rsid w:val="00AD0800"/>
    <w:rsid w:val="00AD12F8"/>
    <w:rsid w:val="00AD1BF6"/>
    <w:rsid w:val="00AD269E"/>
    <w:rsid w:val="00AD2DB6"/>
    <w:rsid w:val="00AD35EE"/>
    <w:rsid w:val="00AD5329"/>
    <w:rsid w:val="00AD632C"/>
    <w:rsid w:val="00AD632F"/>
    <w:rsid w:val="00AD6477"/>
    <w:rsid w:val="00AD6B94"/>
    <w:rsid w:val="00AD6D99"/>
    <w:rsid w:val="00AD6F66"/>
    <w:rsid w:val="00AD7438"/>
    <w:rsid w:val="00AE004A"/>
    <w:rsid w:val="00AE086E"/>
    <w:rsid w:val="00AE18FB"/>
    <w:rsid w:val="00AE1D6D"/>
    <w:rsid w:val="00AE1F65"/>
    <w:rsid w:val="00AE2812"/>
    <w:rsid w:val="00AE2DE0"/>
    <w:rsid w:val="00AE329C"/>
    <w:rsid w:val="00AE3E59"/>
    <w:rsid w:val="00AE3F8C"/>
    <w:rsid w:val="00AE46BC"/>
    <w:rsid w:val="00AE4838"/>
    <w:rsid w:val="00AE5179"/>
    <w:rsid w:val="00AE5CD8"/>
    <w:rsid w:val="00AE6F6A"/>
    <w:rsid w:val="00AE73B8"/>
    <w:rsid w:val="00AE73D2"/>
    <w:rsid w:val="00AE7455"/>
    <w:rsid w:val="00AE7CA1"/>
    <w:rsid w:val="00AF0EAA"/>
    <w:rsid w:val="00AF1113"/>
    <w:rsid w:val="00AF1303"/>
    <w:rsid w:val="00AF1733"/>
    <w:rsid w:val="00AF190F"/>
    <w:rsid w:val="00AF26FA"/>
    <w:rsid w:val="00AF2927"/>
    <w:rsid w:val="00AF2C5B"/>
    <w:rsid w:val="00AF316C"/>
    <w:rsid w:val="00AF3BE2"/>
    <w:rsid w:val="00AF41DA"/>
    <w:rsid w:val="00AF47BC"/>
    <w:rsid w:val="00AF4D8D"/>
    <w:rsid w:val="00AF52A9"/>
    <w:rsid w:val="00AF5599"/>
    <w:rsid w:val="00AF59AE"/>
    <w:rsid w:val="00AF5C3B"/>
    <w:rsid w:val="00AF625A"/>
    <w:rsid w:val="00AF6BE0"/>
    <w:rsid w:val="00B00AD6"/>
    <w:rsid w:val="00B019F6"/>
    <w:rsid w:val="00B01C4B"/>
    <w:rsid w:val="00B01CE3"/>
    <w:rsid w:val="00B020A8"/>
    <w:rsid w:val="00B02525"/>
    <w:rsid w:val="00B02F24"/>
    <w:rsid w:val="00B02FD2"/>
    <w:rsid w:val="00B030E2"/>
    <w:rsid w:val="00B032A5"/>
    <w:rsid w:val="00B03341"/>
    <w:rsid w:val="00B03C17"/>
    <w:rsid w:val="00B03F8F"/>
    <w:rsid w:val="00B03FAC"/>
    <w:rsid w:val="00B046D0"/>
    <w:rsid w:val="00B047DC"/>
    <w:rsid w:val="00B04ABA"/>
    <w:rsid w:val="00B04B6B"/>
    <w:rsid w:val="00B04BAF"/>
    <w:rsid w:val="00B04F1E"/>
    <w:rsid w:val="00B0506C"/>
    <w:rsid w:val="00B05994"/>
    <w:rsid w:val="00B062F6"/>
    <w:rsid w:val="00B0652F"/>
    <w:rsid w:val="00B067F5"/>
    <w:rsid w:val="00B06BFE"/>
    <w:rsid w:val="00B07556"/>
    <w:rsid w:val="00B076BD"/>
    <w:rsid w:val="00B104B0"/>
    <w:rsid w:val="00B106EB"/>
    <w:rsid w:val="00B10B2B"/>
    <w:rsid w:val="00B10B32"/>
    <w:rsid w:val="00B11221"/>
    <w:rsid w:val="00B12688"/>
    <w:rsid w:val="00B1277A"/>
    <w:rsid w:val="00B12B7F"/>
    <w:rsid w:val="00B12C4F"/>
    <w:rsid w:val="00B12F70"/>
    <w:rsid w:val="00B1399D"/>
    <w:rsid w:val="00B13CA3"/>
    <w:rsid w:val="00B13DCC"/>
    <w:rsid w:val="00B14402"/>
    <w:rsid w:val="00B15C30"/>
    <w:rsid w:val="00B16A34"/>
    <w:rsid w:val="00B16AAD"/>
    <w:rsid w:val="00B1736C"/>
    <w:rsid w:val="00B1778B"/>
    <w:rsid w:val="00B178F1"/>
    <w:rsid w:val="00B17BD2"/>
    <w:rsid w:val="00B20536"/>
    <w:rsid w:val="00B20A46"/>
    <w:rsid w:val="00B20A6E"/>
    <w:rsid w:val="00B218FC"/>
    <w:rsid w:val="00B21976"/>
    <w:rsid w:val="00B221E0"/>
    <w:rsid w:val="00B22473"/>
    <w:rsid w:val="00B22EBE"/>
    <w:rsid w:val="00B23062"/>
    <w:rsid w:val="00B238F8"/>
    <w:rsid w:val="00B23A13"/>
    <w:rsid w:val="00B23EB4"/>
    <w:rsid w:val="00B241D3"/>
    <w:rsid w:val="00B24F7B"/>
    <w:rsid w:val="00B254DE"/>
    <w:rsid w:val="00B2578A"/>
    <w:rsid w:val="00B25813"/>
    <w:rsid w:val="00B265CF"/>
    <w:rsid w:val="00B272C7"/>
    <w:rsid w:val="00B27711"/>
    <w:rsid w:val="00B30327"/>
    <w:rsid w:val="00B304BA"/>
    <w:rsid w:val="00B31932"/>
    <w:rsid w:val="00B31DAC"/>
    <w:rsid w:val="00B325BE"/>
    <w:rsid w:val="00B32E33"/>
    <w:rsid w:val="00B33018"/>
    <w:rsid w:val="00B34257"/>
    <w:rsid w:val="00B34925"/>
    <w:rsid w:val="00B34A76"/>
    <w:rsid w:val="00B34ADB"/>
    <w:rsid w:val="00B34B9B"/>
    <w:rsid w:val="00B34BA7"/>
    <w:rsid w:val="00B3544D"/>
    <w:rsid w:val="00B35A03"/>
    <w:rsid w:val="00B360F8"/>
    <w:rsid w:val="00B3680A"/>
    <w:rsid w:val="00B3683C"/>
    <w:rsid w:val="00B371B9"/>
    <w:rsid w:val="00B4024C"/>
    <w:rsid w:val="00B40E65"/>
    <w:rsid w:val="00B414A9"/>
    <w:rsid w:val="00B41C17"/>
    <w:rsid w:val="00B41D60"/>
    <w:rsid w:val="00B42585"/>
    <w:rsid w:val="00B431C7"/>
    <w:rsid w:val="00B4343C"/>
    <w:rsid w:val="00B44181"/>
    <w:rsid w:val="00B44DF0"/>
    <w:rsid w:val="00B461F3"/>
    <w:rsid w:val="00B46331"/>
    <w:rsid w:val="00B47005"/>
    <w:rsid w:val="00B4714D"/>
    <w:rsid w:val="00B47475"/>
    <w:rsid w:val="00B47A93"/>
    <w:rsid w:val="00B47D65"/>
    <w:rsid w:val="00B5024A"/>
    <w:rsid w:val="00B50397"/>
    <w:rsid w:val="00B50762"/>
    <w:rsid w:val="00B50FA7"/>
    <w:rsid w:val="00B510B0"/>
    <w:rsid w:val="00B517CC"/>
    <w:rsid w:val="00B51DAE"/>
    <w:rsid w:val="00B52561"/>
    <w:rsid w:val="00B5290D"/>
    <w:rsid w:val="00B530FD"/>
    <w:rsid w:val="00B5330C"/>
    <w:rsid w:val="00B53423"/>
    <w:rsid w:val="00B535F3"/>
    <w:rsid w:val="00B53927"/>
    <w:rsid w:val="00B539C5"/>
    <w:rsid w:val="00B55108"/>
    <w:rsid w:val="00B55C77"/>
    <w:rsid w:val="00B560A8"/>
    <w:rsid w:val="00B5643A"/>
    <w:rsid w:val="00B56515"/>
    <w:rsid w:val="00B5714C"/>
    <w:rsid w:val="00B5759C"/>
    <w:rsid w:val="00B60309"/>
    <w:rsid w:val="00B606AA"/>
    <w:rsid w:val="00B616B9"/>
    <w:rsid w:val="00B618F6"/>
    <w:rsid w:val="00B61DC7"/>
    <w:rsid w:val="00B62106"/>
    <w:rsid w:val="00B62177"/>
    <w:rsid w:val="00B6323C"/>
    <w:rsid w:val="00B639DE"/>
    <w:rsid w:val="00B63DB3"/>
    <w:rsid w:val="00B641ED"/>
    <w:rsid w:val="00B6497C"/>
    <w:rsid w:val="00B64BD1"/>
    <w:rsid w:val="00B65517"/>
    <w:rsid w:val="00B65D15"/>
    <w:rsid w:val="00B65E18"/>
    <w:rsid w:val="00B6641D"/>
    <w:rsid w:val="00B6685A"/>
    <w:rsid w:val="00B66B54"/>
    <w:rsid w:val="00B66F0C"/>
    <w:rsid w:val="00B678B1"/>
    <w:rsid w:val="00B71039"/>
    <w:rsid w:val="00B71860"/>
    <w:rsid w:val="00B71892"/>
    <w:rsid w:val="00B71936"/>
    <w:rsid w:val="00B71B2B"/>
    <w:rsid w:val="00B722A4"/>
    <w:rsid w:val="00B7270E"/>
    <w:rsid w:val="00B73933"/>
    <w:rsid w:val="00B73C86"/>
    <w:rsid w:val="00B73EB7"/>
    <w:rsid w:val="00B75B5D"/>
    <w:rsid w:val="00B75C1C"/>
    <w:rsid w:val="00B75FBB"/>
    <w:rsid w:val="00B761B3"/>
    <w:rsid w:val="00B763D7"/>
    <w:rsid w:val="00B76CFD"/>
    <w:rsid w:val="00B7753A"/>
    <w:rsid w:val="00B77904"/>
    <w:rsid w:val="00B77F88"/>
    <w:rsid w:val="00B80144"/>
    <w:rsid w:val="00B805DF"/>
    <w:rsid w:val="00B80705"/>
    <w:rsid w:val="00B80803"/>
    <w:rsid w:val="00B80B25"/>
    <w:rsid w:val="00B80C80"/>
    <w:rsid w:val="00B80E32"/>
    <w:rsid w:val="00B80F19"/>
    <w:rsid w:val="00B81004"/>
    <w:rsid w:val="00B815F5"/>
    <w:rsid w:val="00B81D66"/>
    <w:rsid w:val="00B825FC"/>
    <w:rsid w:val="00B82BE7"/>
    <w:rsid w:val="00B82D6C"/>
    <w:rsid w:val="00B83011"/>
    <w:rsid w:val="00B8301C"/>
    <w:rsid w:val="00B840DC"/>
    <w:rsid w:val="00B84667"/>
    <w:rsid w:val="00B84980"/>
    <w:rsid w:val="00B8533F"/>
    <w:rsid w:val="00B853B4"/>
    <w:rsid w:val="00B877B3"/>
    <w:rsid w:val="00B878EA"/>
    <w:rsid w:val="00B900BD"/>
    <w:rsid w:val="00B90146"/>
    <w:rsid w:val="00B901F8"/>
    <w:rsid w:val="00B90998"/>
    <w:rsid w:val="00B911D4"/>
    <w:rsid w:val="00B9172E"/>
    <w:rsid w:val="00B91E87"/>
    <w:rsid w:val="00B920BE"/>
    <w:rsid w:val="00B923F2"/>
    <w:rsid w:val="00B92F3E"/>
    <w:rsid w:val="00B932E4"/>
    <w:rsid w:val="00B93F9A"/>
    <w:rsid w:val="00B95175"/>
    <w:rsid w:val="00B957D6"/>
    <w:rsid w:val="00B95BA7"/>
    <w:rsid w:val="00B95E3A"/>
    <w:rsid w:val="00B960DB"/>
    <w:rsid w:val="00B96381"/>
    <w:rsid w:val="00B96586"/>
    <w:rsid w:val="00B96744"/>
    <w:rsid w:val="00B97492"/>
    <w:rsid w:val="00B97693"/>
    <w:rsid w:val="00B97864"/>
    <w:rsid w:val="00B9786A"/>
    <w:rsid w:val="00B9790D"/>
    <w:rsid w:val="00B97B23"/>
    <w:rsid w:val="00BA0C41"/>
    <w:rsid w:val="00BA0FA6"/>
    <w:rsid w:val="00BA13CD"/>
    <w:rsid w:val="00BA1440"/>
    <w:rsid w:val="00BA2B8A"/>
    <w:rsid w:val="00BA3053"/>
    <w:rsid w:val="00BA3295"/>
    <w:rsid w:val="00BA3B53"/>
    <w:rsid w:val="00BA40BB"/>
    <w:rsid w:val="00BA4C9F"/>
    <w:rsid w:val="00BA4F82"/>
    <w:rsid w:val="00BA505D"/>
    <w:rsid w:val="00BA52FA"/>
    <w:rsid w:val="00BA5573"/>
    <w:rsid w:val="00BA5C2D"/>
    <w:rsid w:val="00BA61ED"/>
    <w:rsid w:val="00BA6556"/>
    <w:rsid w:val="00BA754A"/>
    <w:rsid w:val="00BA7790"/>
    <w:rsid w:val="00BA7A07"/>
    <w:rsid w:val="00BA7E73"/>
    <w:rsid w:val="00BA7F13"/>
    <w:rsid w:val="00BB00F5"/>
    <w:rsid w:val="00BB0126"/>
    <w:rsid w:val="00BB037C"/>
    <w:rsid w:val="00BB0523"/>
    <w:rsid w:val="00BB0AF3"/>
    <w:rsid w:val="00BB1D25"/>
    <w:rsid w:val="00BB1E8D"/>
    <w:rsid w:val="00BB1F86"/>
    <w:rsid w:val="00BB2257"/>
    <w:rsid w:val="00BB2C9B"/>
    <w:rsid w:val="00BB2CCA"/>
    <w:rsid w:val="00BB2E0D"/>
    <w:rsid w:val="00BB331E"/>
    <w:rsid w:val="00BB3706"/>
    <w:rsid w:val="00BB3723"/>
    <w:rsid w:val="00BB37BB"/>
    <w:rsid w:val="00BB38DF"/>
    <w:rsid w:val="00BB3A53"/>
    <w:rsid w:val="00BB3F38"/>
    <w:rsid w:val="00BB43F1"/>
    <w:rsid w:val="00BB4441"/>
    <w:rsid w:val="00BB4534"/>
    <w:rsid w:val="00BB4634"/>
    <w:rsid w:val="00BB4680"/>
    <w:rsid w:val="00BB490D"/>
    <w:rsid w:val="00BB4EB8"/>
    <w:rsid w:val="00BB4EC4"/>
    <w:rsid w:val="00BB527B"/>
    <w:rsid w:val="00BB5486"/>
    <w:rsid w:val="00BB551F"/>
    <w:rsid w:val="00BB5DB8"/>
    <w:rsid w:val="00BB61C8"/>
    <w:rsid w:val="00BB647C"/>
    <w:rsid w:val="00BB6BA3"/>
    <w:rsid w:val="00BB6EA6"/>
    <w:rsid w:val="00BB739E"/>
    <w:rsid w:val="00BB7FB9"/>
    <w:rsid w:val="00BC006C"/>
    <w:rsid w:val="00BC08F9"/>
    <w:rsid w:val="00BC097D"/>
    <w:rsid w:val="00BC0B4E"/>
    <w:rsid w:val="00BC0BDE"/>
    <w:rsid w:val="00BC103B"/>
    <w:rsid w:val="00BC154D"/>
    <w:rsid w:val="00BC1FB9"/>
    <w:rsid w:val="00BC210E"/>
    <w:rsid w:val="00BC23D1"/>
    <w:rsid w:val="00BC3107"/>
    <w:rsid w:val="00BC3948"/>
    <w:rsid w:val="00BC45AD"/>
    <w:rsid w:val="00BC4744"/>
    <w:rsid w:val="00BC549D"/>
    <w:rsid w:val="00BC567F"/>
    <w:rsid w:val="00BC570E"/>
    <w:rsid w:val="00BC64AB"/>
    <w:rsid w:val="00BC66CE"/>
    <w:rsid w:val="00BC6ADD"/>
    <w:rsid w:val="00BC6E15"/>
    <w:rsid w:val="00BC71F8"/>
    <w:rsid w:val="00BC796E"/>
    <w:rsid w:val="00BC7DF5"/>
    <w:rsid w:val="00BC7E41"/>
    <w:rsid w:val="00BC7FED"/>
    <w:rsid w:val="00BD061B"/>
    <w:rsid w:val="00BD07D4"/>
    <w:rsid w:val="00BD0F61"/>
    <w:rsid w:val="00BD1B03"/>
    <w:rsid w:val="00BD1E78"/>
    <w:rsid w:val="00BD23DF"/>
    <w:rsid w:val="00BD291B"/>
    <w:rsid w:val="00BD2CBE"/>
    <w:rsid w:val="00BD4748"/>
    <w:rsid w:val="00BD4CCA"/>
    <w:rsid w:val="00BD4E00"/>
    <w:rsid w:val="00BD5A38"/>
    <w:rsid w:val="00BD5FA9"/>
    <w:rsid w:val="00BD6406"/>
    <w:rsid w:val="00BD7538"/>
    <w:rsid w:val="00BD76F4"/>
    <w:rsid w:val="00BD7C01"/>
    <w:rsid w:val="00BD7EAC"/>
    <w:rsid w:val="00BE0648"/>
    <w:rsid w:val="00BE0E42"/>
    <w:rsid w:val="00BE1513"/>
    <w:rsid w:val="00BE226A"/>
    <w:rsid w:val="00BE2BA6"/>
    <w:rsid w:val="00BE2FF6"/>
    <w:rsid w:val="00BE32BD"/>
    <w:rsid w:val="00BE3671"/>
    <w:rsid w:val="00BE56F4"/>
    <w:rsid w:val="00BE57A8"/>
    <w:rsid w:val="00BE5AF8"/>
    <w:rsid w:val="00BE5CFA"/>
    <w:rsid w:val="00BE60DF"/>
    <w:rsid w:val="00BE6123"/>
    <w:rsid w:val="00BE6202"/>
    <w:rsid w:val="00BE6F4C"/>
    <w:rsid w:val="00BE7A5E"/>
    <w:rsid w:val="00BF0756"/>
    <w:rsid w:val="00BF0E89"/>
    <w:rsid w:val="00BF1352"/>
    <w:rsid w:val="00BF18D0"/>
    <w:rsid w:val="00BF1B6D"/>
    <w:rsid w:val="00BF2731"/>
    <w:rsid w:val="00BF28F4"/>
    <w:rsid w:val="00BF3340"/>
    <w:rsid w:val="00BF359E"/>
    <w:rsid w:val="00BF3C66"/>
    <w:rsid w:val="00BF3FB4"/>
    <w:rsid w:val="00BF4E05"/>
    <w:rsid w:val="00BF63BF"/>
    <w:rsid w:val="00BF6705"/>
    <w:rsid w:val="00BF7186"/>
    <w:rsid w:val="00BF72E6"/>
    <w:rsid w:val="00BF74F9"/>
    <w:rsid w:val="00BF765A"/>
    <w:rsid w:val="00C005D3"/>
    <w:rsid w:val="00C00BEC"/>
    <w:rsid w:val="00C00FF7"/>
    <w:rsid w:val="00C0127C"/>
    <w:rsid w:val="00C01B4F"/>
    <w:rsid w:val="00C01F12"/>
    <w:rsid w:val="00C01F75"/>
    <w:rsid w:val="00C02BE6"/>
    <w:rsid w:val="00C02FC6"/>
    <w:rsid w:val="00C03733"/>
    <w:rsid w:val="00C03753"/>
    <w:rsid w:val="00C03869"/>
    <w:rsid w:val="00C04A1F"/>
    <w:rsid w:val="00C05032"/>
    <w:rsid w:val="00C0549D"/>
    <w:rsid w:val="00C06197"/>
    <w:rsid w:val="00C06738"/>
    <w:rsid w:val="00C07F97"/>
    <w:rsid w:val="00C101FB"/>
    <w:rsid w:val="00C1036A"/>
    <w:rsid w:val="00C103A4"/>
    <w:rsid w:val="00C1054F"/>
    <w:rsid w:val="00C1079D"/>
    <w:rsid w:val="00C10B9A"/>
    <w:rsid w:val="00C10DAC"/>
    <w:rsid w:val="00C10DE1"/>
    <w:rsid w:val="00C10F67"/>
    <w:rsid w:val="00C11712"/>
    <w:rsid w:val="00C11F21"/>
    <w:rsid w:val="00C1230B"/>
    <w:rsid w:val="00C12322"/>
    <w:rsid w:val="00C12391"/>
    <w:rsid w:val="00C12F25"/>
    <w:rsid w:val="00C1339D"/>
    <w:rsid w:val="00C1371A"/>
    <w:rsid w:val="00C14007"/>
    <w:rsid w:val="00C151D3"/>
    <w:rsid w:val="00C1550F"/>
    <w:rsid w:val="00C158E4"/>
    <w:rsid w:val="00C15CF2"/>
    <w:rsid w:val="00C15FEB"/>
    <w:rsid w:val="00C16358"/>
    <w:rsid w:val="00C16550"/>
    <w:rsid w:val="00C174D3"/>
    <w:rsid w:val="00C179F5"/>
    <w:rsid w:val="00C17C0F"/>
    <w:rsid w:val="00C2024C"/>
    <w:rsid w:val="00C20E42"/>
    <w:rsid w:val="00C2121B"/>
    <w:rsid w:val="00C21605"/>
    <w:rsid w:val="00C223B7"/>
    <w:rsid w:val="00C23542"/>
    <w:rsid w:val="00C23A48"/>
    <w:rsid w:val="00C23A66"/>
    <w:rsid w:val="00C23B11"/>
    <w:rsid w:val="00C23B2F"/>
    <w:rsid w:val="00C23CAC"/>
    <w:rsid w:val="00C23FE5"/>
    <w:rsid w:val="00C2448C"/>
    <w:rsid w:val="00C248E1"/>
    <w:rsid w:val="00C24904"/>
    <w:rsid w:val="00C252FE"/>
    <w:rsid w:val="00C25DC2"/>
    <w:rsid w:val="00C25FB5"/>
    <w:rsid w:val="00C26206"/>
    <w:rsid w:val="00C26542"/>
    <w:rsid w:val="00C2754F"/>
    <w:rsid w:val="00C27556"/>
    <w:rsid w:val="00C27D76"/>
    <w:rsid w:val="00C301C1"/>
    <w:rsid w:val="00C30D91"/>
    <w:rsid w:val="00C30FA2"/>
    <w:rsid w:val="00C318A9"/>
    <w:rsid w:val="00C31C89"/>
    <w:rsid w:val="00C3278E"/>
    <w:rsid w:val="00C32B32"/>
    <w:rsid w:val="00C32FFE"/>
    <w:rsid w:val="00C33167"/>
    <w:rsid w:val="00C33E2C"/>
    <w:rsid w:val="00C33E9F"/>
    <w:rsid w:val="00C33FF6"/>
    <w:rsid w:val="00C34119"/>
    <w:rsid w:val="00C342C7"/>
    <w:rsid w:val="00C345B2"/>
    <w:rsid w:val="00C34739"/>
    <w:rsid w:val="00C3473E"/>
    <w:rsid w:val="00C347B3"/>
    <w:rsid w:val="00C355B0"/>
    <w:rsid w:val="00C355DD"/>
    <w:rsid w:val="00C35659"/>
    <w:rsid w:val="00C3628B"/>
    <w:rsid w:val="00C3693D"/>
    <w:rsid w:val="00C36B14"/>
    <w:rsid w:val="00C3766B"/>
    <w:rsid w:val="00C37A29"/>
    <w:rsid w:val="00C37CDE"/>
    <w:rsid w:val="00C37CF7"/>
    <w:rsid w:val="00C37D28"/>
    <w:rsid w:val="00C37D9E"/>
    <w:rsid w:val="00C40331"/>
    <w:rsid w:val="00C406E6"/>
    <w:rsid w:val="00C409FD"/>
    <w:rsid w:val="00C4220B"/>
    <w:rsid w:val="00C427A9"/>
    <w:rsid w:val="00C42B40"/>
    <w:rsid w:val="00C432AE"/>
    <w:rsid w:val="00C4379F"/>
    <w:rsid w:val="00C444F6"/>
    <w:rsid w:val="00C4478A"/>
    <w:rsid w:val="00C4485B"/>
    <w:rsid w:val="00C44C33"/>
    <w:rsid w:val="00C452CB"/>
    <w:rsid w:val="00C456AC"/>
    <w:rsid w:val="00C456C5"/>
    <w:rsid w:val="00C45B61"/>
    <w:rsid w:val="00C45BF3"/>
    <w:rsid w:val="00C45D76"/>
    <w:rsid w:val="00C466C6"/>
    <w:rsid w:val="00C46879"/>
    <w:rsid w:val="00C47726"/>
    <w:rsid w:val="00C47C39"/>
    <w:rsid w:val="00C50570"/>
    <w:rsid w:val="00C50574"/>
    <w:rsid w:val="00C50D7F"/>
    <w:rsid w:val="00C51471"/>
    <w:rsid w:val="00C51610"/>
    <w:rsid w:val="00C51BD2"/>
    <w:rsid w:val="00C52026"/>
    <w:rsid w:val="00C528CD"/>
    <w:rsid w:val="00C52C49"/>
    <w:rsid w:val="00C52F66"/>
    <w:rsid w:val="00C538F3"/>
    <w:rsid w:val="00C54366"/>
    <w:rsid w:val="00C547CA"/>
    <w:rsid w:val="00C549CE"/>
    <w:rsid w:val="00C54F38"/>
    <w:rsid w:val="00C55DD1"/>
    <w:rsid w:val="00C56736"/>
    <w:rsid w:val="00C56D72"/>
    <w:rsid w:val="00C57214"/>
    <w:rsid w:val="00C57B78"/>
    <w:rsid w:val="00C57E44"/>
    <w:rsid w:val="00C606E8"/>
    <w:rsid w:val="00C60709"/>
    <w:rsid w:val="00C613B6"/>
    <w:rsid w:val="00C614A2"/>
    <w:rsid w:val="00C61B18"/>
    <w:rsid w:val="00C61B67"/>
    <w:rsid w:val="00C61EEC"/>
    <w:rsid w:val="00C620A4"/>
    <w:rsid w:val="00C62287"/>
    <w:rsid w:val="00C626E5"/>
    <w:rsid w:val="00C627E0"/>
    <w:rsid w:val="00C633E3"/>
    <w:rsid w:val="00C63443"/>
    <w:rsid w:val="00C634FE"/>
    <w:rsid w:val="00C63803"/>
    <w:rsid w:val="00C63E68"/>
    <w:rsid w:val="00C64240"/>
    <w:rsid w:val="00C64D3A"/>
    <w:rsid w:val="00C655C3"/>
    <w:rsid w:val="00C65C59"/>
    <w:rsid w:val="00C65CCB"/>
    <w:rsid w:val="00C65DFC"/>
    <w:rsid w:val="00C66763"/>
    <w:rsid w:val="00C66822"/>
    <w:rsid w:val="00C66C99"/>
    <w:rsid w:val="00C66EBF"/>
    <w:rsid w:val="00C6718D"/>
    <w:rsid w:val="00C677F5"/>
    <w:rsid w:val="00C70450"/>
    <w:rsid w:val="00C70A6A"/>
    <w:rsid w:val="00C70C4D"/>
    <w:rsid w:val="00C71239"/>
    <w:rsid w:val="00C712FD"/>
    <w:rsid w:val="00C71566"/>
    <w:rsid w:val="00C71EF4"/>
    <w:rsid w:val="00C73057"/>
    <w:rsid w:val="00C732ED"/>
    <w:rsid w:val="00C73370"/>
    <w:rsid w:val="00C7357C"/>
    <w:rsid w:val="00C73A49"/>
    <w:rsid w:val="00C7464F"/>
    <w:rsid w:val="00C748E3"/>
    <w:rsid w:val="00C74BA5"/>
    <w:rsid w:val="00C74BED"/>
    <w:rsid w:val="00C74C61"/>
    <w:rsid w:val="00C7554E"/>
    <w:rsid w:val="00C75683"/>
    <w:rsid w:val="00C75B36"/>
    <w:rsid w:val="00C7651D"/>
    <w:rsid w:val="00C767F8"/>
    <w:rsid w:val="00C76CA8"/>
    <w:rsid w:val="00C76E8D"/>
    <w:rsid w:val="00C771B0"/>
    <w:rsid w:val="00C772AE"/>
    <w:rsid w:val="00C77F3F"/>
    <w:rsid w:val="00C800B3"/>
    <w:rsid w:val="00C80165"/>
    <w:rsid w:val="00C80C46"/>
    <w:rsid w:val="00C813AC"/>
    <w:rsid w:val="00C81709"/>
    <w:rsid w:val="00C81730"/>
    <w:rsid w:val="00C81A8D"/>
    <w:rsid w:val="00C823E3"/>
    <w:rsid w:val="00C825B3"/>
    <w:rsid w:val="00C82A06"/>
    <w:rsid w:val="00C82DF4"/>
    <w:rsid w:val="00C8329C"/>
    <w:rsid w:val="00C84359"/>
    <w:rsid w:val="00C8453A"/>
    <w:rsid w:val="00C84716"/>
    <w:rsid w:val="00C85355"/>
    <w:rsid w:val="00C8558C"/>
    <w:rsid w:val="00C8592A"/>
    <w:rsid w:val="00C8603F"/>
    <w:rsid w:val="00C86281"/>
    <w:rsid w:val="00C866B2"/>
    <w:rsid w:val="00C869FA"/>
    <w:rsid w:val="00C90416"/>
    <w:rsid w:val="00C90CEA"/>
    <w:rsid w:val="00C9123D"/>
    <w:rsid w:val="00C9134C"/>
    <w:rsid w:val="00C9184E"/>
    <w:rsid w:val="00C91926"/>
    <w:rsid w:val="00C91A26"/>
    <w:rsid w:val="00C92125"/>
    <w:rsid w:val="00C9310F"/>
    <w:rsid w:val="00C93141"/>
    <w:rsid w:val="00C931BE"/>
    <w:rsid w:val="00C93A41"/>
    <w:rsid w:val="00C93C1A"/>
    <w:rsid w:val="00C93D32"/>
    <w:rsid w:val="00C95136"/>
    <w:rsid w:val="00C95324"/>
    <w:rsid w:val="00C95519"/>
    <w:rsid w:val="00C95610"/>
    <w:rsid w:val="00C9570A"/>
    <w:rsid w:val="00C95E23"/>
    <w:rsid w:val="00C96715"/>
    <w:rsid w:val="00C969E9"/>
    <w:rsid w:val="00C96FC2"/>
    <w:rsid w:val="00C97882"/>
    <w:rsid w:val="00C97A31"/>
    <w:rsid w:val="00CA059D"/>
    <w:rsid w:val="00CA07CE"/>
    <w:rsid w:val="00CA0CB0"/>
    <w:rsid w:val="00CA0DC5"/>
    <w:rsid w:val="00CA0EC8"/>
    <w:rsid w:val="00CA26D6"/>
    <w:rsid w:val="00CA28C7"/>
    <w:rsid w:val="00CA2E66"/>
    <w:rsid w:val="00CA363E"/>
    <w:rsid w:val="00CA3BAE"/>
    <w:rsid w:val="00CA49E1"/>
    <w:rsid w:val="00CA4CF1"/>
    <w:rsid w:val="00CA4CF2"/>
    <w:rsid w:val="00CA5043"/>
    <w:rsid w:val="00CA59BB"/>
    <w:rsid w:val="00CA6FE6"/>
    <w:rsid w:val="00CA745D"/>
    <w:rsid w:val="00CB054B"/>
    <w:rsid w:val="00CB0AEB"/>
    <w:rsid w:val="00CB0C30"/>
    <w:rsid w:val="00CB0D8F"/>
    <w:rsid w:val="00CB1571"/>
    <w:rsid w:val="00CB1A9F"/>
    <w:rsid w:val="00CB1DE9"/>
    <w:rsid w:val="00CB26DA"/>
    <w:rsid w:val="00CB3AF4"/>
    <w:rsid w:val="00CB42C0"/>
    <w:rsid w:val="00CB45B7"/>
    <w:rsid w:val="00CB49C5"/>
    <w:rsid w:val="00CB4B70"/>
    <w:rsid w:val="00CB5217"/>
    <w:rsid w:val="00CB56B7"/>
    <w:rsid w:val="00CB5DF7"/>
    <w:rsid w:val="00CB5F5D"/>
    <w:rsid w:val="00CB6122"/>
    <w:rsid w:val="00CB6385"/>
    <w:rsid w:val="00CB6DD8"/>
    <w:rsid w:val="00CB76B9"/>
    <w:rsid w:val="00CB77D0"/>
    <w:rsid w:val="00CB7B09"/>
    <w:rsid w:val="00CB7CCB"/>
    <w:rsid w:val="00CC008A"/>
    <w:rsid w:val="00CC12CD"/>
    <w:rsid w:val="00CC13A6"/>
    <w:rsid w:val="00CC1C10"/>
    <w:rsid w:val="00CC1D26"/>
    <w:rsid w:val="00CC22AD"/>
    <w:rsid w:val="00CC2598"/>
    <w:rsid w:val="00CC2CF3"/>
    <w:rsid w:val="00CC2D3A"/>
    <w:rsid w:val="00CC3001"/>
    <w:rsid w:val="00CC3032"/>
    <w:rsid w:val="00CC308F"/>
    <w:rsid w:val="00CC40AD"/>
    <w:rsid w:val="00CC47DD"/>
    <w:rsid w:val="00CC66C1"/>
    <w:rsid w:val="00CC73A7"/>
    <w:rsid w:val="00CC7972"/>
    <w:rsid w:val="00CC79A2"/>
    <w:rsid w:val="00CC7B22"/>
    <w:rsid w:val="00CC7D01"/>
    <w:rsid w:val="00CC7E01"/>
    <w:rsid w:val="00CD0029"/>
    <w:rsid w:val="00CD05F4"/>
    <w:rsid w:val="00CD0974"/>
    <w:rsid w:val="00CD0B23"/>
    <w:rsid w:val="00CD0E2B"/>
    <w:rsid w:val="00CD0ECA"/>
    <w:rsid w:val="00CD0F66"/>
    <w:rsid w:val="00CD1280"/>
    <w:rsid w:val="00CD18D6"/>
    <w:rsid w:val="00CD1B16"/>
    <w:rsid w:val="00CD2506"/>
    <w:rsid w:val="00CD2698"/>
    <w:rsid w:val="00CD3850"/>
    <w:rsid w:val="00CD3C96"/>
    <w:rsid w:val="00CD5136"/>
    <w:rsid w:val="00CD5CA5"/>
    <w:rsid w:val="00CD5D68"/>
    <w:rsid w:val="00CD5F97"/>
    <w:rsid w:val="00CD6579"/>
    <w:rsid w:val="00CD6666"/>
    <w:rsid w:val="00CD6B62"/>
    <w:rsid w:val="00CD6BBB"/>
    <w:rsid w:val="00CD73B5"/>
    <w:rsid w:val="00CD7D7A"/>
    <w:rsid w:val="00CE0291"/>
    <w:rsid w:val="00CE0BE2"/>
    <w:rsid w:val="00CE151A"/>
    <w:rsid w:val="00CE1533"/>
    <w:rsid w:val="00CE1ECF"/>
    <w:rsid w:val="00CE1F19"/>
    <w:rsid w:val="00CE23A4"/>
    <w:rsid w:val="00CE3421"/>
    <w:rsid w:val="00CE3659"/>
    <w:rsid w:val="00CE3B93"/>
    <w:rsid w:val="00CE452F"/>
    <w:rsid w:val="00CE4BB8"/>
    <w:rsid w:val="00CE4D9A"/>
    <w:rsid w:val="00CE5171"/>
    <w:rsid w:val="00CE543D"/>
    <w:rsid w:val="00CE54FD"/>
    <w:rsid w:val="00CE6269"/>
    <w:rsid w:val="00CE640A"/>
    <w:rsid w:val="00CE7277"/>
    <w:rsid w:val="00CE7AF8"/>
    <w:rsid w:val="00CF0032"/>
    <w:rsid w:val="00CF00F1"/>
    <w:rsid w:val="00CF0141"/>
    <w:rsid w:val="00CF014F"/>
    <w:rsid w:val="00CF087E"/>
    <w:rsid w:val="00CF0AE4"/>
    <w:rsid w:val="00CF0C13"/>
    <w:rsid w:val="00CF14F3"/>
    <w:rsid w:val="00CF19F7"/>
    <w:rsid w:val="00CF2511"/>
    <w:rsid w:val="00CF2692"/>
    <w:rsid w:val="00CF31A5"/>
    <w:rsid w:val="00CF3CB2"/>
    <w:rsid w:val="00CF425A"/>
    <w:rsid w:val="00CF42DD"/>
    <w:rsid w:val="00CF43F4"/>
    <w:rsid w:val="00CF4FB5"/>
    <w:rsid w:val="00CF5B34"/>
    <w:rsid w:val="00CF6749"/>
    <w:rsid w:val="00CF739E"/>
    <w:rsid w:val="00CF7D8A"/>
    <w:rsid w:val="00CF7D94"/>
    <w:rsid w:val="00CF7EA2"/>
    <w:rsid w:val="00CF7F79"/>
    <w:rsid w:val="00D00C88"/>
    <w:rsid w:val="00D00F33"/>
    <w:rsid w:val="00D01159"/>
    <w:rsid w:val="00D01248"/>
    <w:rsid w:val="00D01942"/>
    <w:rsid w:val="00D021F0"/>
    <w:rsid w:val="00D02686"/>
    <w:rsid w:val="00D027D9"/>
    <w:rsid w:val="00D02EA1"/>
    <w:rsid w:val="00D03332"/>
    <w:rsid w:val="00D034FE"/>
    <w:rsid w:val="00D0498A"/>
    <w:rsid w:val="00D05257"/>
    <w:rsid w:val="00D053F9"/>
    <w:rsid w:val="00D0561D"/>
    <w:rsid w:val="00D05AC6"/>
    <w:rsid w:val="00D06351"/>
    <w:rsid w:val="00D06C0D"/>
    <w:rsid w:val="00D0755B"/>
    <w:rsid w:val="00D07573"/>
    <w:rsid w:val="00D10113"/>
    <w:rsid w:val="00D101E9"/>
    <w:rsid w:val="00D1054C"/>
    <w:rsid w:val="00D122ED"/>
    <w:rsid w:val="00D127F2"/>
    <w:rsid w:val="00D1286E"/>
    <w:rsid w:val="00D12A92"/>
    <w:rsid w:val="00D12AA5"/>
    <w:rsid w:val="00D134CA"/>
    <w:rsid w:val="00D136B6"/>
    <w:rsid w:val="00D1406E"/>
    <w:rsid w:val="00D14759"/>
    <w:rsid w:val="00D14762"/>
    <w:rsid w:val="00D1550E"/>
    <w:rsid w:val="00D1563C"/>
    <w:rsid w:val="00D158D0"/>
    <w:rsid w:val="00D15B33"/>
    <w:rsid w:val="00D15C89"/>
    <w:rsid w:val="00D16B8F"/>
    <w:rsid w:val="00D17429"/>
    <w:rsid w:val="00D1796B"/>
    <w:rsid w:val="00D17C4D"/>
    <w:rsid w:val="00D20001"/>
    <w:rsid w:val="00D200F7"/>
    <w:rsid w:val="00D202BD"/>
    <w:rsid w:val="00D20342"/>
    <w:rsid w:val="00D20A32"/>
    <w:rsid w:val="00D212B6"/>
    <w:rsid w:val="00D219B6"/>
    <w:rsid w:val="00D22CFF"/>
    <w:rsid w:val="00D23921"/>
    <w:rsid w:val="00D23CA0"/>
    <w:rsid w:val="00D24372"/>
    <w:rsid w:val="00D244F0"/>
    <w:rsid w:val="00D24911"/>
    <w:rsid w:val="00D25BAA"/>
    <w:rsid w:val="00D26897"/>
    <w:rsid w:val="00D26C86"/>
    <w:rsid w:val="00D2725E"/>
    <w:rsid w:val="00D27CDB"/>
    <w:rsid w:val="00D27D7E"/>
    <w:rsid w:val="00D30678"/>
    <w:rsid w:val="00D30B00"/>
    <w:rsid w:val="00D315F4"/>
    <w:rsid w:val="00D316A3"/>
    <w:rsid w:val="00D31705"/>
    <w:rsid w:val="00D3183C"/>
    <w:rsid w:val="00D31AA0"/>
    <w:rsid w:val="00D32F92"/>
    <w:rsid w:val="00D33490"/>
    <w:rsid w:val="00D33916"/>
    <w:rsid w:val="00D33DFA"/>
    <w:rsid w:val="00D33EC3"/>
    <w:rsid w:val="00D33ED3"/>
    <w:rsid w:val="00D356BE"/>
    <w:rsid w:val="00D356DE"/>
    <w:rsid w:val="00D3617B"/>
    <w:rsid w:val="00D3628C"/>
    <w:rsid w:val="00D362C9"/>
    <w:rsid w:val="00D36364"/>
    <w:rsid w:val="00D36410"/>
    <w:rsid w:val="00D36518"/>
    <w:rsid w:val="00D3683E"/>
    <w:rsid w:val="00D369CB"/>
    <w:rsid w:val="00D374CA"/>
    <w:rsid w:val="00D407F3"/>
    <w:rsid w:val="00D408A3"/>
    <w:rsid w:val="00D40FB7"/>
    <w:rsid w:val="00D41086"/>
    <w:rsid w:val="00D41636"/>
    <w:rsid w:val="00D41BE7"/>
    <w:rsid w:val="00D420F1"/>
    <w:rsid w:val="00D429D7"/>
    <w:rsid w:val="00D42F55"/>
    <w:rsid w:val="00D42FCA"/>
    <w:rsid w:val="00D4353F"/>
    <w:rsid w:val="00D435E4"/>
    <w:rsid w:val="00D4372B"/>
    <w:rsid w:val="00D437AF"/>
    <w:rsid w:val="00D43B4D"/>
    <w:rsid w:val="00D43D58"/>
    <w:rsid w:val="00D441BC"/>
    <w:rsid w:val="00D441D8"/>
    <w:rsid w:val="00D44582"/>
    <w:rsid w:val="00D45715"/>
    <w:rsid w:val="00D45C81"/>
    <w:rsid w:val="00D46080"/>
    <w:rsid w:val="00D4622E"/>
    <w:rsid w:val="00D466B5"/>
    <w:rsid w:val="00D4731E"/>
    <w:rsid w:val="00D501AE"/>
    <w:rsid w:val="00D50AEC"/>
    <w:rsid w:val="00D50B7A"/>
    <w:rsid w:val="00D50BAB"/>
    <w:rsid w:val="00D5224A"/>
    <w:rsid w:val="00D524B0"/>
    <w:rsid w:val="00D527F0"/>
    <w:rsid w:val="00D52CC7"/>
    <w:rsid w:val="00D52D40"/>
    <w:rsid w:val="00D53571"/>
    <w:rsid w:val="00D5385E"/>
    <w:rsid w:val="00D53A3E"/>
    <w:rsid w:val="00D53CC7"/>
    <w:rsid w:val="00D548EA"/>
    <w:rsid w:val="00D54928"/>
    <w:rsid w:val="00D556FE"/>
    <w:rsid w:val="00D5576D"/>
    <w:rsid w:val="00D56385"/>
    <w:rsid w:val="00D563E5"/>
    <w:rsid w:val="00D56529"/>
    <w:rsid w:val="00D56E50"/>
    <w:rsid w:val="00D571DB"/>
    <w:rsid w:val="00D603A4"/>
    <w:rsid w:val="00D60D6F"/>
    <w:rsid w:val="00D610E2"/>
    <w:rsid w:val="00D61240"/>
    <w:rsid w:val="00D617A6"/>
    <w:rsid w:val="00D61D52"/>
    <w:rsid w:val="00D625E7"/>
    <w:rsid w:val="00D62762"/>
    <w:rsid w:val="00D62D8D"/>
    <w:rsid w:val="00D631A3"/>
    <w:rsid w:val="00D63323"/>
    <w:rsid w:val="00D63848"/>
    <w:rsid w:val="00D63D21"/>
    <w:rsid w:val="00D64451"/>
    <w:rsid w:val="00D644A3"/>
    <w:rsid w:val="00D6461B"/>
    <w:rsid w:val="00D65C1A"/>
    <w:rsid w:val="00D65C61"/>
    <w:rsid w:val="00D65EF7"/>
    <w:rsid w:val="00D66088"/>
    <w:rsid w:val="00D676F4"/>
    <w:rsid w:val="00D679CC"/>
    <w:rsid w:val="00D703C1"/>
    <w:rsid w:val="00D70FAD"/>
    <w:rsid w:val="00D716E2"/>
    <w:rsid w:val="00D7266D"/>
    <w:rsid w:val="00D72FA1"/>
    <w:rsid w:val="00D7335C"/>
    <w:rsid w:val="00D73C43"/>
    <w:rsid w:val="00D740D8"/>
    <w:rsid w:val="00D742DB"/>
    <w:rsid w:val="00D748B7"/>
    <w:rsid w:val="00D77325"/>
    <w:rsid w:val="00D809FF"/>
    <w:rsid w:val="00D81E37"/>
    <w:rsid w:val="00D821A2"/>
    <w:rsid w:val="00D8261B"/>
    <w:rsid w:val="00D8272B"/>
    <w:rsid w:val="00D83B96"/>
    <w:rsid w:val="00D844D4"/>
    <w:rsid w:val="00D848A7"/>
    <w:rsid w:val="00D85511"/>
    <w:rsid w:val="00D86726"/>
    <w:rsid w:val="00D875B3"/>
    <w:rsid w:val="00D901A3"/>
    <w:rsid w:val="00D915A4"/>
    <w:rsid w:val="00D92701"/>
    <w:rsid w:val="00D92FE1"/>
    <w:rsid w:val="00D9316E"/>
    <w:rsid w:val="00D932BC"/>
    <w:rsid w:val="00D93BF5"/>
    <w:rsid w:val="00D9450C"/>
    <w:rsid w:val="00D94C7A"/>
    <w:rsid w:val="00D952F9"/>
    <w:rsid w:val="00D95424"/>
    <w:rsid w:val="00D9556A"/>
    <w:rsid w:val="00D95A34"/>
    <w:rsid w:val="00D95D96"/>
    <w:rsid w:val="00D96951"/>
    <w:rsid w:val="00D974DC"/>
    <w:rsid w:val="00D97FB7"/>
    <w:rsid w:val="00DA0113"/>
    <w:rsid w:val="00DA063D"/>
    <w:rsid w:val="00DA1180"/>
    <w:rsid w:val="00DA1B28"/>
    <w:rsid w:val="00DA1B5C"/>
    <w:rsid w:val="00DA1E9E"/>
    <w:rsid w:val="00DA24C0"/>
    <w:rsid w:val="00DA25F0"/>
    <w:rsid w:val="00DA28AB"/>
    <w:rsid w:val="00DA2CC4"/>
    <w:rsid w:val="00DA2E4A"/>
    <w:rsid w:val="00DA305F"/>
    <w:rsid w:val="00DA32FE"/>
    <w:rsid w:val="00DA3D47"/>
    <w:rsid w:val="00DA46D3"/>
    <w:rsid w:val="00DA4BDA"/>
    <w:rsid w:val="00DA4CAC"/>
    <w:rsid w:val="00DA4EE4"/>
    <w:rsid w:val="00DA530D"/>
    <w:rsid w:val="00DA5588"/>
    <w:rsid w:val="00DA5BDE"/>
    <w:rsid w:val="00DA6275"/>
    <w:rsid w:val="00DA68D2"/>
    <w:rsid w:val="00DA79A5"/>
    <w:rsid w:val="00DA7FB0"/>
    <w:rsid w:val="00DB078E"/>
    <w:rsid w:val="00DB13D7"/>
    <w:rsid w:val="00DB14FC"/>
    <w:rsid w:val="00DB30B8"/>
    <w:rsid w:val="00DB3102"/>
    <w:rsid w:val="00DB33F0"/>
    <w:rsid w:val="00DB3585"/>
    <w:rsid w:val="00DB3A58"/>
    <w:rsid w:val="00DB3A7F"/>
    <w:rsid w:val="00DB3F63"/>
    <w:rsid w:val="00DB4B0D"/>
    <w:rsid w:val="00DB4DA1"/>
    <w:rsid w:val="00DB5F07"/>
    <w:rsid w:val="00DB6ABE"/>
    <w:rsid w:val="00DB6E8F"/>
    <w:rsid w:val="00DB6F52"/>
    <w:rsid w:val="00DC07BF"/>
    <w:rsid w:val="00DC0AD3"/>
    <w:rsid w:val="00DC1083"/>
    <w:rsid w:val="00DC1118"/>
    <w:rsid w:val="00DC1272"/>
    <w:rsid w:val="00DC18DB"/>
    <w:rsid w:val="00DC1B1B"/>
    <w:rsid w:val="00DC249D"/>
    <w:rsid w:val="00DC24E5"/>
    <w:rsid w:val="00DC24FD"/>
    <w:rsid w:val="00DC28AF"/>
    <w:rsid w:val="00DC2961"/>
    <w:rsid w:val="00DC330F"/>
    <w:rsid w:val="00DC3485"/>
    <w:rsid w:val="00DC3716"/>
    <w:rsid w:val="00DC3E3A"/>
    <w:rsid w:val="00DC5198"/>
    <w:rsid w:val="00DC5AB1"/>
    <w:rsid w:val="00DC5F39"/>
    <w:rsid w:val="00DC62C7"/>
    <w:rsid w:val="00DC68EB"/>
    <w:rsid w:val="00DC7960"/>
    <w:rsid w:val="00DD07C1"/>
    <w:rsid w:val="00DD087F"/>
    <w:rsid w:val="00DD0914"/>
    <w:rsid w:val="00DD0B9F"/>
    <w:rsid w:val="00DD0D93"/>
    <w:rsid w:val="00DD15AE"/>
    <w:rsid w:val="00DD1CC2"/>
    <w:rsid w:val="00DD2245"/>
    <w:rsid w:val="00DD26C8"/>
    <w:rsid w:val="00DD2918"/>
    <w:rsid w:val="00DD2985"/>
    <w:rsid w:val="00DD3139"/>
    <w:rsid w:val="00DD31C8"/>
    <w:rsid w:val="00DD3410"/>
    <w:rsid w:val="00DD3428"/>
    <w:rsid w:val="00DD4828"/>
    <w:rsid w:val="00DD4FBE"/>
    <w:rsid w:val="00DD536C"/>
    <w:rsid w:val="00DD555F"/>
    <w:rsid w:val="00DD5A67"/>
    <w:rsid w:val="00DD5BE3"/>
    <w:rsid w:val="00DD5E5E"/>
    <w:rsid w:val="00DD5ED0"/>
    <w:rsid w:val="00DD6254"/>
    <w:rsid w:val="00DD6782"/>
    <w:rsid w:val="00DD7573"/>
    <w:rsid w:val="00DD7EF8"/>
    <w:rsid w:val="00DE0113"/>
    <w:rsid w:val="00DE026E"/>
    <w:rsid w:val="00DE0475"/>
    <w:rsid w:val="00DE05AF"/>
    <w:rsid w:val="00DE0731"/>
    <w:rsid w:val="00DE0870"/>
    <w:rsid w:val="00DE09E2"/>
    <w:rsid w:val="00DE17FB"/>
    <w:rsid w:val="00DE1B72"/>
    <w:rsid w:val="00DE1C86"/>
    <w:rsid w:val="00DE1E75"/>
    <w:rsid w:val="00DE2849"/>
    <w:rsid w:val="00DE2C5A"/>
    <w:rsid w:val="00DE3B6C"/>
    <w:rsid w:val="00DE4A5C"/>
    <w:rsid w:val="00DE520E"/>
    <w:rsid w:val="00DE5872"/>
    <w:rsid w:val="00DE625D"/>
    <w:rsid w:val="00DE6D39"/>
    <w:rsid w:val="00DE6E8F"/>
    <w:rsid w:val="00DE77E9"/>
    <w:rsid w:val="00DF112A"/>
    <w:rsid w:val="00DF1167"/>
    <w:rsid w:val="00DF1B65"/>
    <w:rsid w:val="00DF1DF0"/>
    <w:rsid w:val="00DF248A"/>
    <w:rsid w:val="00DF2A17"/>
    <w:rsid w:val="00DF2C91"/>
    <w:rsid w:val="00DF3230"/>
    <w:rsid w:val="00DF37C8"/>
    <w:rsid w:val="00DF3871"/>
    <w:rsid w:val="00DF39D1"/>
    <w:rsid w:val="00DF3C7A"/>
    <w:rsid w:val="00DF402C"/>
    <w:rsid w:val="00DF412D"/>
    <w:rsid w:val="00DF4693"/>
    <w:rsid w:val="00DF4CAE"/>
    <w:rsid w:val="00DF5AB2"/>
    <w:rsid w:val="00DF65EC"/>
    <w:rsid w:val="00DF69EE"/>
    <w:rsid w:val="00DF6B7D"/>
    <w:rsid w:val="00DF73F3"/>
    <w:rsid w:val="00DF76BA"/>
    <w:rsid w:val="00DF77F0"/>
    <w:rsid w:val="00DF7E4E"/>
    <w:rsid w:val="00E007D4"/>
    <w:rsid w:val="00E00ADB"/>
    <w:rsid w:val="00E01050"/>
    <w:rsid w:val="00E016DC"/>
    <w:rsid w:val="00E01A54"/>
    <w:rsid w:val="00E022ED"/>
    <w:rsid w:val="00E024DB"/>
    <w:rsid w:val="00E026D1"/>
    <w:rsid w:val="00E03430"/>
    <w:rsid w:val="00E03497"/>
    <w:rsid w:val="00E03B77"/>
    <w:rsid w:val="00E048E7"/>
    <w:rsid w:val="00E050AB"/>
    <w:rsid w:val="00E05DAC"/>
    <w:rsid w:val="00E05E4E"/>
    <w:rsid w:val="00E05F7B"/>
    <w:rsid w:val="00E06B08"/>
    <w:rsid w:val="00E06B09"/>
    <w:rsid w:val="00E06C0A"/>
    <w:rsid w:val="00E07650"/>
    <w:rsid w:val="00E07664"/>
    <w:rsid w:val="00E0774C"/>
    <w:rsid w:val="00E07AB7"/>
    <w:rsid w:val="00E07BC0"/>
    <w:rsid w:val="00E07DB6"/>
    <w:rsid w:val="00E10508"/>
    <w:rsid w:val="00E10B32"/>
    <w:rsid w:val="00E11103"/>
    <w:rsid w:val="00E112E4"/>
    <w:rsid w:val="00E116DF"/>
    <w:rsid w:val="00E11F47"/>
    <w:rsid w:val="00E12B81"/>
    <w:rsid w:val="00E13163"/>
    <w:rsid w:val="00E13BE2"/>
    <w:rsid w:val="00E13F7B"/>
    <w:rsid w:val="00E143D4"/>
    <w:rsid w:val="00E1463E"/>
    <w:rsid w:val="00E14991"/>
    <w:rsid w:val="00E14F73"/>
    <w:rsid w:val="00E1577A"/>
    <w:rsid w:val="00E15F21"/>
    <w:rsid w:val="00E168B3"/>
    <w:rsid w:val="00E16CEE"/>
    <w:rsid w:val="00E17666"/>
    <w:rsid w:val="00E17AF9"/>
    <w:rsid w:val="00E20986"/>
    <w:rsid w:val="00E20A8C"/>
    <w:rsid w:val="00E20C6A"/>
    <w:rsid w:val="00E20E4C"/>
    <w:rsid w:val="00E2133D"/>
    <w:rsid w:val="00E21489"/>
    <w:rsid w:val="00E214F0"/>
    <w:rsid w:val="00E2167E"/>
    <w:rsid w:val="00E21890"/>
    <w:rsid w:val="00E2196D"/>
    <w:rsid w:val="00E21E89"/>
    <w:rsid w:val="00E226D8"/>
    <w:rsid w:val="00E22A2E"/>
    <w:rsid w:val="00E22ADF"/>
    <w:rsid w:val="00E22C8F"/>
    <w:rsid w:val="00E23072"/>
    <w:rsid w:val="00E23ACD"/>
    <w:rsid w:val="00E24D18"/>
    <w:rsid w:val="00E25040"/>
    <w:rsid w:val="00E2542A"/>
    <w:rsid w:val="00E2549B"/>
    <w:rsid w:val="00E25973"/>
    <w:rsid w:val="00E26C3D"/>
    <w:rsid w:val="00E26E59"/>
    <w:rsid w:val="00E27241"/>
    <w:rsid w:val="00E27B7D"/>
    <w:rsid w:val="00E27C1A"/>
    <w:rsid w:val="00E27FE8"/>
    <w:rsid w:val="00E303A6"/>
    <w:rsid w:val="00E304F4"/>
    <w:rsid w:val="00E3052E"/>
    <w:rsid w:val="00E30B0D"/>
    <w:rsid w:val="00E3141B"/>
    <w:rsid w:val="00E31A80"/>
    <w:rsid w:val="00E31AF5"/>
    <w:rsid w:val="00E31D6D"/>
    <w:rsid w:val="00E31DA0"/>
    <w:rsid w:val="00E32394"/>
    <w:rsid w:val="00E33795"/>
    <w:rsid w:val="00E345C9"/>
    <w:rsid w:val="00E3495F"/>
    <w:rsid w:val="00E35F62"/>
    <w:rsid w:val="00E35FC5"/>
    <w:rsid w:val="00E36269"/>
    <w:rsid w:val="00E3642D"/>
    <w:rsid w:val="00E37370"/>
    <w:rsid w:val="00E373B3"/>
    <w:rsid w:val="00E37632"/>
    <w:rsid w:val="00E416E8"/>
    <w:rsid w:val="00E41BDA"/>
    <w:rsid w:val="00E42698"/>
    <w:rsid w:val="00E429B1"/>
    <w:rsid w:val="00E436FC"/>
    <w:rsid w:val="00E43CE9"/>
    <w:rsid w:val="00E43F39"/>
    <w:rsid w:val="00E43F76"/>
    <w:rsid w:val="00E45451"/>
    <w:rsid w:val="00E45472"/>
    <w:rsid w:val="00E4564F"/>
    <w:rsid w:val="00E4566E"/>
    <w:rsid w:val="00E45931"/>
    <w:rsid w:val="00E465C1"/>
    <w:rsid w:val="00E46B44"/>
    <w:rsid w:val="00E46E51"/>
    <w:rsid w:val="00E472E5"/>
    <w:rsid w:val="00E47D0A"/>
    <w:rsid w:val="00E50507"/>
    <w:rsid w:val="00E50DF7"/>
    <w:rsid w:val="00E51243"/>
    <w:rsid w:val="00E51263"/>
    <w:rsid w:val="00E51F16"/>
    <w:rsid w:val="00E521A6"/>
    <w:rsid w:val="00E52BBC"/>
    <w:rsid w:val="00E52D47"/>
    <w:rsid w:val="00E5383C"/>
    <w:rsid w:val="00E54178"/>
    <w:rsid w:val="00E54E09"/>
    <w:rsid w:val="00E55638"/>
    <w:rsid w:val="00E55B6B"/>
    <w:rsid w:val="00E55F2A"/>
    <w:rsid w:val="00E56792"/>
    <w:rsid w:val="00E57167"/>
    <w:rsid w:val="00E57602"/>
    <w:rsid w:val="00E5763F"/>
    <w:rsid w:val="00E60ECB"/>
    <w:rsid w:val="00E6138D"/>
    <w:rsid w:val="00E61A30"/>
    <w:rsid w:val="00E62436"/>
    <w:rsid w:val="00E63402"/>
    <w:rsid w:val="00E63684"/>
    <w:rsid w:val="00E63915"/>
    <w:rsid w:val="00E639FB"/>
    <w:rsid w:val="00E63BED"/>
    <w:rsid w:val="00E63CEF"/>
    <w:rsid w:val="00E63F50"/>
    <w:rsid w:val="00E647C9"/>
    <w:rsid w:val="00E64896"/>
    <w:rsid w:val="00E6585D"/>
    <w:rsid w:val="00E65BB8"/>
    <w:rsid w:val="00E660C9"/>
    <w:rsid w:val="00E66581"/>
    <w:rsid w:val="00E66908"/>
    <w:rsid w:val="00E673E1"/>
    <w:rsid w:val="00E67972"/>
    <w:rsid w:val="00E70499"/>
    <w:rsid w:val="00E704C4"/>
    <w:rsid w:val="00E70719"/>
    <w:rsid w:val="00E70914"/>
    <w:rsid w:val="00E713F5"/>
    <w:rsid w:val="00E71546"/>
    <w:rsid w:val="00E719C1"/>
    <w:rsid w:val="00E71A82"/>
    <w:rsid w:val="00E72E67"/>
    <w:rsid w:val="00E7314C"/>
    <w:rsid w:val="00E73377"/>
    <w:rsid w:val="00E73448"/>
    <w:rsid w:val="00E7358D"/>
    <w:rsid w:val="00E73A82"/>
    <w:rsid w:val="00E7443F"/>
    <w:rsid w:val="00E74541"/>
    <w:rsid w:val="00E749B6"/>
    <w:rsid w:val="00E74A01"/>
    <w:rsid w:val="00E753E2"/>
    <w:rsid w:val="00E75895"/>
    <w:rsid w:val="00E76A62"/>
    <w:rsid w:val="00E7710B"/>
    <w:rsid w:val="00E7739B"/>
    <w:rsid w:val="00E776BF"/>
    <w:rsid w:val="00E80201"/>
    <w:rsid w:val="00E80EA6"/>
    <w:rsid w:val="00E8105B"/>
    <w:rsid w:val="00E81206"/>
    <w:rsid w:val="00E81649"/>
    <w:rsid w:val="00E816F3"/>
    <w:rsid w:val="00E8180A"/>
    <w:rsid w:val="00E81AA8"/>
    <w:rsid w:val="00E81CC0"/>
    <w:rsid w:val="00E82B13"/>
    <w:rsid w:val="00E8402D"/>
    <w:rsid w:val="00E84BDF"/>
    <w:rsid w:val="00E85E95"/>
    <w:rsid w:val="00E86927"/>
    <w:rsid w:val="00E86D38"/>
    <w:rsid w:val="00E876D3"/>
    <w:rsid w:val="00E87970"/>
    <w:rsid w:val="00E87E45"/>
    <w:rsid w:val="00E87EAF"/>
    <w:rsid w:val="00E901AC"/>
    <w:rsid w:val="00E90B62"/>
    <w:rsid w:val="00E90C0C"/>
    <w:rsid w:val="00E90CEA"/>
    <w:rsid w:val="00E914AB"/>
    <w:rsid w:val="00E9186A"/>
    <w:rsid w:val="00E919AB"/>
    <w:rsid w:val="00E91B0F"/>
    <w:rsid w:val="00E9291F"/>
    <w:rsid w:val="00E931EC"/>
    <w:rsid w:val="00E9367A"/>
    <w:rsid w:val="00E93A18"/>
    <w:rsid w:val="00E93C2B"/>
    <w:rsid w:val="00E944F1"/>
    <w:rsid w:val="00E94B0C"/>
    <w:rsid w:val="00E94F86"/>
    <w:rsid w:val="00E9517F"/>
    <w:rsid w:val="00E9599D"/>
    <w:rsid w:val="00E95A50"/>
    <w:rsid w:val="00E961A5"/>
    <w:rsid w:val="00E9628D"/>
    <w:rsid w:val="00E96567"/>
    <w:rsid w:val="00E969A7"/>
    <w:rsid w:val="00E97339"/>
    <w:rsid w:val="00EA01F5"/>
    <w:rsid w:val="00EA0324"/>
    <w:rsid w:val="00EA0BCB"/>
    <w:rsid w:val="00EA1152"/>
    <w:rsid w:val="00EA1173"/>
    <w:rsid w:val="00EA1829"/>
    <w:rsid w:val="00EA1A5B"/>
    <w:rsid w:val="00EA1C32"/>
    <w:rsid w:val="00EA1D34"/>
    <w:rsid w:val="00EA38FF"/>
    <w:rsid w:val="00EA3916"/>
    <w:rsid w:val="00EA3966"/>
    <w:rsid w:val="00EA3B34"/>
    <w:rsid w:val="00EA3C14"/>
    <w:rsid w:val="00EA44CA"/>
    <w:rsid w:val="00EA5B4A"/>
    <w:rsid w:val="00EA6074"/>
    <w:rsid w:val="00EA6AFD"/>
    <w:rsid w:val="00EA72C0"/>
    <w:rsid w:val="00EA790F"/>
    <w:rsid w:val="00EA7A36"/>
    <w:rsid w:val="00EA7C47"/>
    <w:rsid w:val="00EB0D83"/>
    <w:rsid w:val="00EB12C0"/>
    <w:rsid w:val="00EB15BE"/>
    <w:rsid w:val="00EB1CCE"/>
    <w:rsid w:val="00EB1E2E"/>
    <w:rsid w:val="00EB289E"/>
    <w:rsid w:val="00EB2A50"/>
    <w:rsid w:val="00EB323E"/>
    <w:rsid w:val="00EB35F9"/>
    <w:rsid w:val="00EB3693"/>
    <w:rsid w:val="00EB3A37"/>
    <w:rsid w:val="00EB3CFE"/>
    <w:rsid w:val="00EB4C35"/>
    <w:rsid w:val="00EB50B3"/>
    <w:rsid w:val="00EB5A35"/>
    <w:rsid w:val="00EB5FAD"/>
    <w:rsid w:val="00EB5FFF"/>
    <w:rsid w:val="00EB619F"/>
    <w:rsid w:val="00EB6340"/>
    <w:rsid w:val="00EB64C1"/>
    <w:rsid w:val="00EB6708"/>
    <w:rsid w:val="00EB739B"/>
    <w:rsid w:val="00EB7C5C"/>
    <w:rsid w:val="00EC04F2"/>
    <w:rsid w:val="00EC0BDE"/>
    <w:rsid w:val="00EC0F40"/>
    <w:rsid w:val="00EC1845"/>
    <w:rsid w:val="00EC190A"/>
    <w:rsid w:val="00EC218C"/>
    <w:rsid w:val="00EC2415"/>
    <w:rsid w:val="00EC2D36"/>
    <w:rsid w:val="00EC3A04"/>
    <w:rsid w:val="00EC3A56"/>
    <w:rsid w:val="00EC3A98"/>
    <w:rsid w:val="00EC3DAB"/>
    <w:rsid w:val="00EC3DCE"/>
    <w:rsid w:val="00EC3EB2"/>
    <w:rsid w:val="00EC3FA4"/>
    <w:rsid w:val="00EC4B6E"/>
    <w:rsid w:val="00EC53C8"/>
    <w:rsid w:val="00EC5404"/>
    <w:rsid w:val="00EC545B"/>
    <w:rsid w:val="00EC6228"/>
    <w:rsid w:val="00EC6BED"/>
    <w:rsid w:val="00EC6DB9"/>
    <w:rsid w:val="00EC6EFB"/>
    <w:rsid w:val="00EC71F1"/>
    <w:rsid w:val="00ED07FB"/>
    <w:rsid w:val="00ED08F7"/>
    <w:rsid w:val="00ED0E56"/>
    <w:rsid w:val="00ED1761"/>
    <w:rsid w:val="00ED18FE"/>
    <w:rsid w:val="00ED1946"/>
    <w:rsid w:val="00ED1C26"/>
    <w:rsid w:val="00ED1C96"/>
    <w:rsid w:val="00ED1E9C"/>
    <w:rsid w:val="00ED2874"/>
    <w:rsid w:val="00ED29C7"/>
    <w:rsid w:val="00ED2B36"/>
    <w:rsid w:val="00ED405A"/>
    <w:rsid w:val="00ED4146"/>
    <w:rsid w:val="00ED4A08"/>
    <w:rsid w:val="00ED5222"/>
    <w:rsid w:val="00ED5961"/>
    <w:rsid w:val="00ED631C"/>
    <w:rsid w:val="00ED6F48"/>
    <w:rsid w:val="00ED70D4"/>
    <w:rsid w:val="00ED758E"/>
    <w:rsid w:val="00ED7B17"/>
    <w:rsid w:val="00EE01C5"/>
    <w:rsid w:val="00EE0266"/>
    <w:rsid w:val="00EE0747"/>
    <w:rsid w:val="00EE11F6"/>
    <w:rsid w:val="00EE13E9"/>
    <w:rsid w:val="00EE1421"/>
    <w:rsid w:val="00EE15F8"/>
    <w:rsid w:val="00EE172E"/>
    <w:rsid w:val="00EE1BD9"/>
    <w:rsid w:val="00EE1D3E"/>
    <w:rsid w:val="00EE1E6C"/>
    <w:rsid w:val="00EE1F38"/>
    <w:rsid w:val="00EE216B"/>
    <w:rsid w:val="00EE224E"/>
    <w:rsid w:val="00EE26D9"/>
    <w:rsid w:val="00EE276E"/>
    <w:rsid w:val="00EE2A03"/>
    <w:rsid w:val="00EE2BA8"/>
    <w:rsid w:val="00EE3098"/>
    <w:rsid w:val="00EE344E"/>
    <w:rsid w:val="00EE3466"/>
    <w:rsid w:val="00EE3525"/>
    <w:rsid w:val="00EE3D1D"/>
    <w:rsid w:val="00EE3DA3"/>
    <w:rsid w:val="00EE3EB1"/>
    <w:rsid w:val="00EE3EBF"/>
    <w:rsid w:val="00EE3FE7"/>
    <w:rsid w:val="00EE400D"/>
    <w:rsid w:val="00EE4162"/>
    <w:rsid w:val="00EE43CE"/>
    <w:rsid w:val="00EE464B"/>
    <w:rsid w:val="00EE480A"/>
    <w:rsid w:val="00EE4EA1"/>
    <w:rsid w:val="00EE6139"/>
    <w:rsid w:val="00EE62D9"/>
    <w:rsid w:val="00EE732F"/>
    <w:rsid w:val="00EE772E"/>
    <w:rsid w:val="00EF03EB"/>
    <w:rsid w:val="00EF08DB"/>
    <w:rsid w:val="00EF0F65"/>
    <w:rsid w:val="00EF10FF"/>
    <w:rsid w:val="00EF11D3"/>
    <w:rsid w:val="00EF29BE"/>
    <w:rsid w:val="00EF340A"/>
    <w:rsid w:val="00EF3558"/>
    <w:rsid w:val="00EF35EE"/>
    <w:rsid w:val="00EF40D1"/>
    <w:rsid w:val="00EF491D"/>
    <w:rsid w:val="00EF4C12"/>
    <w:rsid w:val="00EF52BD"/>
    <w:rsid w:val="00EF5D9B"/>
    <w:rsid w:val="00EF69EC"/>
    <w:rsid w:val="00EF6B7C"/>
    <w:rsid w:val="00EF6E6E"/>
    <w:rsid w:val="00EF6FF1"/>
    <w:rsid w:val="00EF7CC3"/>
    <w:rsid w:val="00EF7F66"/>
    <w:rsid w:val="00F00103"/>
    <w:rsid w:val="00F007BD"/>
    <w:rsid w:val="00F00A48"/>
    <w:rsid w:val="00F012A1"/>
    <w:rsid w:val="00F015E1"/>
    <w:rsid w:val="00F019B0"/>
    <w:rsid w:val="00F01F9C"/>
    <w:rsid w:val="00F02542"/>
    <w:rsid w:val="00F02CCE"/>
    <w:rsid w:val="00F02CFD"/>
    <w:rsid w:val="00F03056"/>
    <w:rsid w:val="00F037F5"/>
    <w:rsid w:val="00F03982"/>
    <w:rsid w:val="00F039AD"/>
    <w:rsid w:val="00F03A95"/>
    <w:rsid w:val="00F03DBE"/>
    <w:rsid w:val="00F0447D"/>
    <w:rsid w:val="00F04589"/>
    <w:rsid w:val="00F0463A"/>
    <w:rsid w:val="00F048E0"/>
    <w:rsid w:val="00F05311"/>
    <w:rsid w:val="00F053D5"/>
    <w:rsid w:val="00F05513"/>
    <w:rsid w:val="00F059C5"/>
    <w:rsid w:val="00F05BA6"/>
    <w:rsid w:val="00F065BF"/>
    <w:rsid w:val="00F06733"/>
    <w:rsid w:val="00F06826"/>
    <w:rsid w:val="00F07965"/>
    <w:rsid w:val="00F10989"/>
    <w:rsid w:val="00F10F9F"/>
    <w:rsid w:val="00F114D8"/>
    <w:rsid w:val="00F11B0D"/>
    <w:rsid w:val="00F11C22"/>
    <w:rsid w:val="00F120F3"/>
    <w:rsid w:val="00F12435"/>
    <w:rsid w:val="00F1284E"/>
    <w:rsid w:val="00F12DC1"/>
    <w:rsid w:val="00F13112"/>
    <w:rsid w:val="00F13145"/>
    <w:rsid w:val="00F13300"/>
    <w:rsid w:val="00F1332E"/>
    <w:rsid w:val="00F13523"/>
    <w:rsid w:val="00F138B2"/>
    <w:rsid w:val="00F14335"/>
    <w:rsid w:val="00F144C3"/>
    <w:rsid w:val="00F14F06"/>
    <w:rsid w:val="00F15412"/>
    <w:rsid w:val="00F159C6"/>
    <w:rsid w:val="00F15CA8"/>
    <w:rsid w:val="00F15DBF"/>
    <w:rsid w:val="00F16431"/>
    <w:rsid w:val="00F16A94"/>
    <w:rsid w:val="00F17013"/>
    <w:rsid w:val="00F173EB"/>
    <w:rsid w:val="00F17595"/>
    <w:rsid w:val="00F17A85"/>
    <w:rsid w:val="00F20170"/>
    <w:rsid w:val="00F2096F"/>
    <w:rsid w:val="00F20D18"/>
    <w:rsid w:val="00F20F44"/>
    <w:rsid w:val="00F218DF"/>
    <w:rsid w:val="00F21A33"/>
    <w:rsid w:val="00F21A85"/>
    <w:rsid w:val="00F22577"/>
    <w:rsid w:val="00F2293D"/>
    <w:rsid w:val="00F22D00"/>
    <w:rsid w:val="00F23316"/>
    <w:rsid w:val="00F23700"/>
    <w:rsid w:val="00F23AB2"/>
    <w:rsid w:val="00F24121"/>
    <w:rsid w:val="00F24BC8"/>
    <w:rsid w:val="00F25718"/>
    <w:rsid w:val="00F25885"/>
    <w:rsid w:val="00F25E9D"/>
    <w:rsid w:val="00F26266"/>
    <w:rsid w:val="00F264DD"/>
    <w:rsid w:val="00F265DA"/>
    <w:rsid w:val="00F2669E"/>
    <w:rsid w:val="00F266AB"/>
    <w:rsid w:val="00F268C7"/>
    <w:rsid w:val="00F271BD"/>
    <w:rsid w:val="00F27410"/>
    <w:rsid w:val="00F2776B"/>
    <w:rsid w:val="00F27E27"/>
    <w:rsid w:val="00F30535"/>
    <w:rsid w:val="00F30EB3"/>
    <w:rsid w:val="00F31A0D"/>
    <w:rsid w:val="00F32148"/>
    <w:rsid w:val="00F324FD"/>
    <w:rsid w:val="00F33218"/>
    <w:rsid w:val="00F33F2F"/>
    <w:rsid w:val="00F3507D"/>
    <w:rsid w:val="00F35498"/>
    <w:rsid w:val="00F35E9E"/>
    <w:rsid w:val="00F35FD8"/>
    <w:rsid w:val="00F36145"/>
    <w:rsid w:val="00F3624D"/>
    <w:rsid w:val="00F366AD"/>
    <w:rsid w:val="00F36914"/>
    <w:rsid w:val="00F36BBA"/>
    <w:rsid w:val="00F37902"/>
    <w:rsid w:val="00F37905"/>
    <w:rsid w:val="00F37947"/>
    <w:rsid w:val="00F37997"/>
    <w:rsid w:val="00F40989"/>
    <w:rsid w:val="00F40C39"/>
    <w:rsid w:val="00F4129D"/>
    <w:rsid w:val="00F414C5"/>
    <w:rsid w:val="00F41F40"/>
    <w:rsid w:val="00F420E5"/>
    <w:rsid w:val="00F42730"/>
    <w:rsid w:val="00F42A4E"/>
    <w:rsid w:val="00F43445"/>
    <w:rsid w:val="00F43DA5"/>
    <w:rsid w:val="00F43E5E"/>
    <w:rsid w:val="00F448D2"/>
    <w:rsid w:val="00F44BB6"/>
    <w:rsid w:val="00F45073"/>
    <w:rsid w:val="00F45DD1"/>
    <w:rsid w:val="00F46513"/>
    <w:rsid w:val="00F46662"/>
    <w:rsid w:val="00F47044"/>
    <w:rsid w:val="00F4720D"/>
    <w:rsid w:val="00F47216"/>
    <w:rsid w:val="00F47376"/>
    <w:rsid w:val="00F474E9"/>
    <w:rsid w:val="00F479DD"/>
    <w:rsid w:val="00F47CE3"/>
    <w:rsid w:val="00F5024E"/>
    <w:rsid w:val="00F50E6F"/>
    <w:rsid w:val="00F519DC"/>
    <w:rsid w:val="00F52232"/>
    <w:rsid w:val="00F527B4"/>
    <w:rsid w:val="00F52990"/>
    <w:rsid w:val="00F52A7D"/>
    <w:rsid w:val="00F52C56"/>
    <w:rsid w:val="00F53E5C"/>
    <w:rsid w:val="00F548D3"/>
    <w:rsid w:val="00F54A53"/>
    <w:rsid w:val="00F5518C"/>
    <w:rsid w:val="00F552FA"/>
    <w:rsid w:val="00F55F24"/>
    <w:rsid w:val="00F56196"/>
    <w:rsid w:val="00F56606"/>
    <w:rsid w:val="00F568F1"/>
    <w:rsid w:val="00F572A9"/>
    <w:rsid w:val="00F57615"/>
    <w:rsid w:val="00F57650"/>
    <w:rsid w:val="00F5791F"/>
    <w:rsid w:val="00F57CB4"/>
    <w:rsid w:val="00F6022E"/>
    <w:rsid w:val="00F602B0"/>
    <w:rsid w:val="00F6038A"/>
    <w:rsid w:val="00F6056B"/>
    <w:rsid w:val="00F6074F"/>
    <w:rsid w:val="00F60783"/>
    <w:rsid w:val="00F60ABD"/>
    <w:rsid w:val="00F60F1B"/>
    <w:rsid w:val="00F61A5D"/>
    <w:rsid w:val="00F61E0E"/>
    <w:rsid w:val="00F6201B"/>
    <w:rsid w:val="00F62374"/>
    <w:rsid w:val="00F6238D"/>
    <w:rsid w:val="00F62D78"/>
    <w:rsid w:val="00F63413"/>
    <w:rsid w:val="00F63C4D"/>
    <w:rsid w:val="00F63FC3"/>
    <w:rsid w:val="00F643AE"/>
    <w:rsid w:val="00F644F3"/>
    <w:rsid w:val="00F645A5"/>
    <w:rsid w:val="00F6461F"/>
    <w:rsid w:val="00F64E86"/>
    <w:rsid w:val="00F64F7B"/>
    <w:rsid w:val="00F6564B"/>
    <w:rsid w:val="00F6564D"/>
    <w:rsid w:val="00F66367"/>
    <w:rsid w:val="00F670C0"/>
    <w:rsid w:val="00F70252"/>
    <w:rsid w:val="00F709BA"/>
    <w:rsid w:val="00F70D8C"/>
    <w:rsid w:val="00F70DF1"/>
    <w:rsid w:val="00F71183"/>
    <w:rsid w:val="00F71B86"/>
    <w:rsid w:val="00F725F3"/>
    <w:rsid w:val="00F72F2A"/>
    <w:rsid w:val="00F73829"/>
    <w:rsid w:val="00F73A12"/>
    <w:rsid w:val="00F73F99"/>
    <w:rsid w:val="00F73FC6"/>
    <w:rsid w:val="00F74DE1"/>
    <w:rsid w:val="00F74DEB"/>
    <w:rsid w:val="00F75405"/>
    <w:rsid w:val="00F7548A"/>
    <w:rsid w:val="00F75B48"/>
    <w:rsid w:val="00F75E70"/>
    <w:rsid w:val="00F76012"/>
    <w:rsid w:val="00F76A13"/>
    <w:rsid w:val="00F76AD3"/>
    <w:rsid w:val="00F76D7C"/>
    <w:rsid w:val="00F7716E"/>
    <w:rsid w:val="00F7766C"/>
    <w:rsid w:val="00F77900"/>
    <w:rsid w:val="00F7795E"/>
    <w:rsid w:val="00F80532"/>
    <w:rsid w:val="00F806DA"/>
    <w:rsid w:val="00F80ED3"/>
    <w:rsid w:val="00F80FB8"/>
    <w:rsid w:val="00F818FE"/>
    <w:rsid w:val="00F819D1"/>
    <w:rsid w:val="00F82508"/>
    <w:rsid w:val="00F82A6B"/>
    <w:rsid w:val="00F835D4"/>
    <w:rsid w:val="00F83943"/>
    <w:rsid w:val="00F83EB2"/>
    <w:rsid w:val="00F84D0B"/>
    <w:rsid w:val="00F84DAD"/>
    <w:rsid w:val="00F84DFF"/>
    <w:rsid w:val="00F84FED"/>
    <w:rsid w:val="00F85AC2"/>
    <w:rsid w:val="00F86173"/>
    <w:rsid w:val="00F866B4"/>
    <w:rsid w:val="00F86726"/>
    <w:rsid w:val="00F86B22"/>
    <w:rsid w:val="00F87247"/>
    <w:rsid w:val="00F87AF6"/>
    <w:rsid w:val="00F9072C"/>
    <w:rsid w:val="00F907A1"/>
    <w:rsid w:val="00F90B14"/>
    <w:rsid w:val="00F92138"/>
    <w:rsid w:val="00F92596"/>
    <w:rsid w:val="00F92D8E"/>
    <w:rsid w:val="00F92F1D"/>
    <w:rsid w:val="00F935D9"/>
    <w:rsid w:val="00F935DA"/>
    <w:rsid w:val="00F93A6A"/>
    <w:rsid w:val="00F93B95"/>
    <w:rsid w:val="00F9439F"/>
    <w:rsid w:val="00F94805"/>
    <w:rsid w:val="00F9516F"/>
    <w:rsid w:val="00F9559D"/>
    <w:rsid w:val="00F95C4E"/>
    <w:rsid w:val="00F960B0"/>
    <w:rsid w:val="00F96871"/>
    <w:rsid w:val="00F96D5B"/>
    <w:rsid w:val="00F97278"/>
    <w:rsid w:val="00F975D7"/>
    <w:rsid w:val="00FA1458"/>
    <w:rsid w:val="00FA1A3E"/>
    <w:rsid w:val="00FA1B66"/>
    <w:rsid w:val="00FA1BCE"/>
    <w:rsid w:val="00FA2150"/>
    <w:rsid w:val="00FA21D2"/>
    <w:rsid w:val="00FA22B7"/>
    <w:rsid w:val="00FA2C2F"/>
    <w:rsid w:val="00FA2E13"/>
    <w:rsid w:val="00FA2E68"/>
    <w:rsid w:val="00FA3669"/>
    <w:rsid w:val="00FA3742"/>
    <w:rsid w:val="00FA3746"/>
    <w:rsid w:val="00FA37B7"/>
    <w:rsid w:val="00FA3C37"/>
    <w:rsid w:val="00FA3C6C"/>
    <w:rsid w:val="00FA485F"/>
    <w:rsid w:val="00FA4999"/>
    <w:rsid w:val="00FA49A7"/>
    <w:rsid w:val="00FA4AA0"/>
    <w:rsid w:val="00FA54DE"/>
    <w:rsid w:val="00FA587B"/>
    <w:rsid w:val="00FA6579"/>
    <w:rsid w:val="00FA6892"/>
    <w:rsid w:val="00FA7AB6"/>
    <w:rsid w:val="00FA7B69"/>
    <w:rsid w:val="00FA7C9B"/>
    <w:rsid w:val="00FA7DF2"/>
    <w:rsid w:val="00FB0199"/>
    <w:rsid w:val="00FB0708"/>
    <w:rsid w:val="00FB0731"/>
    <w:rsid w:val="00FB1624"/>
    <w:rsid w:val="00FB169D"/>
    <w:rsid w:val="00FB1B9F"/>
    <w:rsid w:val="00FB1E2C"/>
    <w:rsid w:val="00FB20E0"/>
    <w:rsid w:val="00FB2890"/>
    <w:rsid w:val="00FB2BA0"/>
    <w:rsid w:val="00FB2D3D"/>
    <w:rsid w:val="00FB3624"/>
    <w:rsid w:val="00FB36D8"/>
    <w:rsid w:val="00FB36FE"/>
    <w:rsid w:val="00FB37BE"/>
    <w:rsid w:val="00FB3B0C"/>
    <w:rsid w:val="00FB4443"/>
    <w:rsid w:val="00FB44AB"/>
    <w:rsid w:val="00FB4B5C"/>
    <w:rsid w:val="00FB503C"/>
    <w:rsid w:val="00FB5662"/>
    <w:rsid w:val="00FB5B54"/>
    <w:rsid w:val="00FB5E4B"/>
    <w:rsid w:val="00FB63CF"/>
    <w:rsid w:val="00FC093A"/>
    <w:rsid w:val="00FC17B1"/>
    <w:rsid w:val="00FC20DF"/>
    <w:rsid w:val="00FC21BC"/>
    <w:rsid w:val="00FC2469"/>
    <w:rsid w:val="00FC3079"/>
    <w:rsid w:val="00FC343C"/>
    <w:rsid w:val="00FC37D5"/>
    <w:rsid w:val="00FC3B70"/>
    <w:rsid w:val="00FC42A3"/>
    <w:rsid w:val="00FC5489"/>
    <w:rsid w:val="00FC66DA"/>
    <w:rsid w:val="00FC70D5"/>
    <w:rsid w:val="00FD0237"/>
    <w:rsid w:val="00FD0577"/>
    <w:rsid w:val="00FD0DDD"/>
    <w:rsid w:val="00FD0FE8"/>
    <w:rsid w:val="00FD14EA"/>
    <w:rsid w:val="00FD169E"/>
    <w:rsid w:val="00FD1828"/>
    <w:rsid w:val="00FD1B05"/>
    <w:rsid w:val="00FD234E"/>
    <w:rsid w:val="00FD2D65"/>
    <w:rsid w:val="00FD3038"/>
    <w:rsid w:val="00FD3587"/>
    <w:rsid w:val="00FD415E"/>
    <w:rsid w:val="00FD432F"/>
    <w:rsid w:val="00FD44EA"/>
    <w:rsid w:val="00FD4775"/>
    <w:rsid w:val="00FD477B"/>
    <w:rsid w:val="00FD4872"/>
    <w:rsid w:val="00FD496D"/>
    <w:rsid w:val="00FD4D32"/>
    <w:rsid w:val="00FD5128"/>
    <w:rsid w:val="00FD57D0"/>
    <w:rsid w:val="00FD5974"/>
    <w:rsid w:val="00FD5D0B"/>
    <w:rsid w:val="00FD5F79"/>
    <w:rsid w:val="00FD63F3"/>
    <w:rsid w:val="00FD675A"/>
    <w:rsid w:val="00FD694D"/>
    <w:rsid w:val="00FD719E"/>
    <w:rsid w:val="00FD71F9"/>
    <w:rsid w:val="00FD78B1"/>
    <w:rsid w:val="00FD7C18"/>
    <w:rsid w:val="00FD7E9C"/>
    <w:rsid w:val="00FD7F39"/>
    <w:rsid w:val="00FE0530"/>
    <w:rsid w:val="00FE054D"/>
    <w:rsid w:val="00FE0B8F"/>
    <w:rsid w:val="00FE0DB1"/>
    <w:rsid w:val="00FE123B"/>
    <w:rsid w:val="00FE1E66"/>
    <w:rsid w:val="00FE224C"/>
    <w:rsid w:val="00FE2D21"/>
    <w:rsid w:val="00FE3263"/>
    <w:rsid w:val="00FE406D"/>
    <w:rsid w:val="00FE465D"/>
    <w:rsid w:val="00FE48DE"/>
    <w:rsid w:val="00FE533E"/>
    <w:rsid w:val="00FE5516"/>
    <w:rsid w:val="00FE5C3D"/>
    <w:rsid w:val="00FE625F"/>
    <w:rsid w:val="00FE6566"/>
    <w:rsid w:val="00FE7163"/>
    <w:rsid w:val="00FE72BE"/>
    <w:rsid w:val="00FE7A44"/>
    <w:rsid w:val="00FE7DB4"/>
    <w:rsid w:val="00FF004B"/>
    <w:rsid w:val="00FF052D"/>
    <w:rsid w:val="00FF0A4D"/>
    <w:rsid w:val="00FF0B8D"/>
    <w:rsid w:val="00FF1B56"/>
    <w:rsid w:val="00FF2133"/>
    <w:rsid w:val="00FF25A4"/>
    <w:rsid w:val="00FF2625"/>
    <w:rsid w:val="00FF2960"/>
    <w:rsid w:val="00FF2DE3"/>
    <w:rsid w:val="00FF358A"/>
    <w:rsid w:val="00FF40F5"/>
    <w:rsid w:val="00FF43D8"/>
    <w:rsid w:val="00FF47CC"/>
    <w:rsid w:val="00FF4EEB"/>
    <w:rsid w:val="00FF546B"/>
    <w:rsid w:val="00FF54A0"/>
    <w:rsid w:val="00FF5B6A"/>
    <w:rsid w:val="00FF5F39"/>
    <w:rsid w:val="00FF5FEF"/>
    <w:rsid w:val="00FF6162"/>
    <w:rsid w:val="00FF6AD6"/>
    <w:rsid w:val="00FF6ADB"/>
    <w:rsid w:val="00FF6D13"/>
    <w:rsid w:val="00FF6F4B"/>
    <w:rsid w:val="00FF7F16"/>
    <w:rsid w:val="01063B1B"/>
    <w:rsid w:val="011F6A70"/>
    <w:rsid w:val="01252366"/>
    <w:rsid w:val="0125681A"/>
    <w:rsid w:val="01351DB7"/>
    <w:rsid w:val="0150059B"/>
    <w:rsid w:val="016B250A"/>
    <w:rsid w:val="017658EE"/>
    <w:rsid w:val="018241E3"/>
    <w:rsid w:val="0187172A"/>
    <w:rsid w:val="01873E52"/>
    <w:rsid w:val="018A1439"/>
    <w:rsid w:val="018E24BD"/>
    <w:rsid w:val="0196032D"/>
    <w:rsid w:val="01AC6FF2"/>
    <w:rsid w:val="01B41481"/>
    <w:rsid w:val="01B84694"/>
    <w:rsid w:val="01CD5676"/>
    <w:rsid w:val="01E53944"/>
    <w:rsid w:val="01EA312A"/>
    <w:rsid w:val="01F068F2"/>
    <w:rsid w:val="02235224"/>
    <w:rsid w:val="02345E8B"/>
    <w:rsid w:val="02354F69"/>
    <w:rsid w:val="02500809"/>
    <w:rsid w:val="026B4332"/>
    <w:rsid w:val="02850BB3"/>
    <w:rsid w:val="02934CEF"/>
    <w:rsid w:val="02985EFC"/>
    <w:rsid w:val="02A75F90"/>
    <w:rsid w:val="02AA616C"/>
    <w:rsid w:val="02B53CBE"/>
    <w:rsid w:val="02C519A4"/>
    <w:rsid w:val="02C70C22"/>
    <w:rsid w:val="02C766DC"/>
    <w:rsid w:val="02CD15A9"/>
    <w:rsid w:val="02D012D4"/>
    <w:rsid w:val="02E42A9C"/>
    <w:rsid w:val="02FC2C26"/>
    <w:rsid w:val="030B0178"/>
    <w:rsid w:val="033B2F48"/>
    <w:rsid w:val="034B7E0E"/>
    <w:rsid w:val="03576E5E"/>
    <w:rsid w:val="03746140"/>
    <w:rsid w:val="03783D1C"/>
    <w:rsid w:val="038F1B8A"/>
    <w:rsid w:val="03A12977"/>
    <w:rsid w:val="03C0711D"/>
    <w:rsid w:val="03F457A5"/>
    <w:rsid w:val="040A45ED"/>
    <w:rsid w:val="041F0240"/>
    <w:rsid w:val="04687059"/>
    <w:rsid w:val="047636B0"/>
    <w:rsid w:val="047776B3"/>
    <w:rsid w:val="04797C66"/>
    <w:rsid w:val="04823210"/>
    <w:rsid w:val="04A32E9D"/>
    <w:rsid w:val="04A85A33"/>
    <w:rsid w:val="04CA4B7D"/>
    <w:rsid w:val="04DC5E9A"/>
    <w:rsid w:val="04EE3788"/>
    <w:rsid w:val="04EF33C9"/>
    <w:rsid w:val="04EF6E3D"/>
    <w:rsid w:val="04FD6405"/>
    <w:rsid w:val="050429A0"/>
    <w:rsid w:val="051657B3"/>
    <w:rsid w:val="05365FA5"/>
    <w:rsid w:val="05377777"/>
    <w:rsid w:val="05473182"/>
    <w:rsid w:val="05551897"/>
    <w:rsid w:val="0559116C"/>
    <w:rsid w:val="05642459"/>
    <w:rsid w:val="057B32AF"/>
    <w:rsid w:val="057D3D11"/>
    <w:rsid w:val="059443E4"/>
    <w:rsid w:val="0597302A"/>
    <w:rsid w:val="05A12F11"/>
    <w:rsid w:val="05A57D26"/>
    <w:rsid w:val="05A95E4F"/>
    <w:rsid w:val="05C134FC"/>
    <w:rsid w:val="06142543"/>
    <w:rsid w:val="061A594B"/>
    <w:rsid w:val="061B18C4"/>
    <w:rsid w:val="06606421"/>
    <w:rsid w:val="066B5016"/>
    <w:rsid w:val="066C6F4E"/>
    <w:rsid w:val="06721A40"/>
    <w:rsid w:val="067B7E89"/>
    <w:rsid w:val="0693146B"/>
    <w:rsid w:val="069D4928"/>
    <w:rsid w:val="069F07B9"/>
    <w:rsid w:val="06A25401"/>
    <w:rsid w:val="06A461B9"/>
    <w:rsid w:val="06B12033"/>
    <w:rsid w:val="06BF04CB"/>
    <w:rsid w:val="06D90323"/>
    <w:rsid w:val="06D949E3"/>
    <w:rsid w:val="06DD1AFD"/>
    <w:rsid w:val="06E445F8"/>
    <w:rsid w:val="06E87E13"/>
    <w:rsid w:val="06ED18D7"/>
    <w:rsid w:val="07075C9C"/>
    <w:rsid w:val="07590CF0"/>
    <w:rsid w:val="07797230"/>
    <w:rsid w:val="078B100F"/>
    <w:rsid w:val="079A3F2C"/>
    <w:rsid w:val="07A87F69"/>
    <w:rsid w:val="07A92473"/>
    <w:rsid w:val="07B465CB"/>
    <w:rsid w:val="07D40FD5"/>
    <w:rsid w:val="07D4316E"/>
    <w:rsid w:val="07E14ADB"/>
    <w:rsid w:val="07F15947"/>
    <w:rsid w:val="07F93805"/>
    <w:rsid w:val="07FA2903"/>
    <w:rsid w:val="08040837"/>
    <w:rsid w:val="081169D5"/>
    <w:rsid w:val="082A162C"/>
    <w:rsid w:val="082C5831"/>
    <w:rsid w:val="08364DDB"/>
    <w:rsid w:val="084F3B52"/>
    <w:rsid w:val="085E409F"/>
    <w:rsid w:val="08625F36"/>
    <w:rsid w:val="0868273B"/>
    <w:rsid w:val="0876656F"/>
    <w:rsid w:val="08782B49"/>
    <w:rsid w:val="087832DE"/>
    <w:rsid w:val="0893420B"/>
    <w:rsid w:val="08A47847"/>
    <w:rsid w:val="08BB0B7D"/>
    <w:rsid w:val="08D2725E"/>
    <w:rsid w:val="08D56BA9"/>
    <w:rsid w:val="08DE6430"/>
    <w:rsid w:val="08EE28CE"/>
    <w:rsid w:val="08FA460C"/>
    <w:rsid w:val="08FD1DB0"/>
    <w:rsid w:val="09135DEC"/>
    <w:rsid w:val="09245DBA"/>
    <w:rsid w:val="09311E5E"/>
    <w:rsid w:val="09364BFB"/>
    <w:rsid w:val="093B3D65"/>
    <w:rsid w:val="09924976"/>
    <w:rsid w:val="099B6A31"/>
    <w:rsid w:val="09A5375D"/>
    <w:rsid w:val="09C36367"/>
    <w:rsid w:val="09DC3A8A"/>
    <w:rsid w:val="09E426AA"/>
    <w:rsid w:val="09EE6F33"/>
    <w:rsid w:val="09EE6F5D"/>
    <w:rsid w:val="0A150CA6"/>
    <w:rsid w:val="0A1F5988"/>
    <w:rsid w:val="0A2B7FB7"/>
    <w:rsid w:val="0A313A0C"/>
    <w:rsid w:val="0A4859BC"/>
    <w:rsid w:val="0A654C02"/>
    <w:rsid w:val="0A667B75"/>
    <w:rsid w:val="0A7107EE"/>
    <w:rsid w:val="0A736854"/>
    <w:rsid w:val="0A8650D8"/>
    <w:rsid w:val="0A96040B"/>
    <w:rsid w:val="0A980FB2"/>
    <w:rsid w:val="0AA16F22"/>
    <w:rsid w:val="0ABF201D"/>
    <w:rsid w:val="0AE2367F"/>
    <w:rsid w:val="0AFA1FA1"/>
    <w:rsid w:val="0B073641"/>
    <w:rsid w:val="0B1622E9"/>
    <w:rsid w:val="0B1E2A0E"/>
    <w:rsid w:val="0B225152"/>
    <w:rsid w:val="0B303037"/>
    <w:rsid w:val="0B36269B"/>
    <w:rsid w:val="0B3E0F30"/>
    <w:rsid w:val="0B553B0A"/>
    <w:rsid w:val="0B6743F7"/>
    <w:rsid w:val="0B7D6096"/>
    <w:rsid w:val="0B801653"/>
    <w:rsid w:val="0BAE10F3"/>
    <w:rsid w:val="0BC63B0D"/>
    <w:rsid w:val="0BCC4159"/>
    <w:rsid w:val="0BCF7BF4"/>
    <w:rsid w:val="0BD0264B"/>
    <w:rsid w:val="0BD50850"/>
    <w:rsid w:val="0C0C591E"/>
    <w:rsid w:val="0C0F576D"/>
    <w:rsid w:val="0C50067B"/>
    <w:rsid w:val="0C507879"/>
    <w:rsid w:val="0C5478BF"/>
    <w:rsid w:val="0C56615C"/>
    <w:rsid w:val="0C6915F2"/>
    <w:rsid w:val="0C6E0DF7"/>
    <w:rsid w:val="0C856E52"/>
    <w:rsid w:val="0C8672C2"/>
    <w:rsid w:val="0C8835F1"/>
    <w:rsid w:val="0CB41A9D"/>
    <w:rsid w:val="0CC40501"/>
    <w:rsid w:val="0CED74B3"/>
    <w:rsid w:val="0CEE0F81"/>
    <w:rsid w:val="0CFC12EA"/>
    <w:rsid w:val="0D0D7A7B"/>
    <w:rsid w:val="0D2E173F"/>
    <w:rsid w:val="0D2E19E0"/>
    <w:rsid w:val="0D3B7E88"/>
    <w:rsid w:val="0D3F4624"/>
    <w:rsid w:val="0D442E57"/>
    <w:rsid w:val="0D842B3F"/>
    <w:rsid w:val="0D8A6929"/>
    <w:rsid w:val="0DA55243"/>
    <w:rsid w:val="0DB62113"/>
    <w:rsid w:val="0DC84055"/>
    <w:rsid w:val="0DC935B6"/>
    <w:rsid w:val="0DD80086"/>
    <w:rsid w:val="0DD922BC"/>
    <w:rsid w:val="0DE60B36"/>
    <w:rsid w:val="0DEE5B60"/>
    <w:rsid w:val="0E172E1A"/>
    <w:rsid w:val="0E1B33D4"/>
    <w:rsid w:val="0E271D31"/>
    <w:rsid w:val="0E29293A"/>
    <w:rsid w:val="0E2D4088"/>
    <w:rsid w:val="0E3B5080"/>
    <w:rsid w:val="0E416F09"/>
    <w:rsid w:val="0E582D17"/>
    <w:rsid w:val="0E5A2693"/>
    <w:rsid w:val="0E5E33BD"/>
    <w:rsid w:val="0E6C24F0"/>
    <w:rsid w:val="0E774B4E"/>
    <w:rsid w:val="0E90717B"/>
    <w:rsid w:val="0E913F3F"/>
    <w:rsid w:val="0E9226DE"/>
    <w:rsid w:val="0E941D8D"/>
    <w:rsid w:val="0E97378D"/>
    <w:rsid w:val="0E9C77E0"/>
    <w:rsid w:val="0EA5406C"/>
    <w:rsid w:val="0EA639FA"/>
    <w:rsid w:val="0EAB56CC"/>
    <w:rsid w:val="0EC67D03"/>
    <w:rsid w:val="0ED5743F"/>
    <w:rsid w:val="0EDD26E0"/>
    <w:rsid w:val="0EEF3F2E"/>
    <w:rsid w:val="0F016FDB"/>
    <w:rsid w:val="0F086673"/>
    <w:rsid w:val="0F135F9C"/>
    <w:rsid w:val="0F154C5A"/>
    <w:rsid w:val="0F260122"/>
    <w:rsid w:val="0F423C8F"/>
    <w:rsid w:val="0F486211"/>
    <w:rsid w:val="0F5A0205"/>
    <w:rsid w:val="0F5E7D64"/>
    <w:rsid w:val="0F6059F1"/>
    <w:rsid w:val="0FBB55A1"/>
    <w:rsid w:val="0FD97FF0"/>
    <w:rsid w:val="0FE30B63"/>
    <w:rsid w:val="0FEF2558"/>
    <w:rsid w:val="0FFB6D68"/>
    <w:rsid w:val="0FFD41FD"/>
    <w:rsid w:val="102A2746"/>
    <w:rsid w:val="10405DD6"/>
    <w:rsid w:val="104C5928"/>
    <w:rsid w:val="10532DA0"/>
    <w:rsid w:val="106916D0"/>
    <w:rsid w:val="106D2C14"/>
    <w:rsid w:val="106E0758"/>
    <w:rsid w:val="1088161D"/>
    <w:rsid w:val="1092036D"/>
    <w:rsid w:val="10A613B8"/>
    <w:rsid w:val="10B45948"/>
    <w:rsid w:val="10ED16BE"/>
    <w:rsid w:val="10F94749"/>
    <w:rsid w:val="11050F3A"/>
    <w:rsid w:val="110B7C86"/>
    <w:rsid w:val="111D46B4"/>
    <w:rsid w:val="11266968"/>
    <w:rsid w:val="112A5FF0"/>
    <w:rsid w:val="113A2D97"/>
    <w:rsid w:val="113A7E7D"/>
    <w:rsid w:val="113F7B1C"/>
    <w:rsid w:val="114C38FF"/>
    <w:rsid w:val="117C494C"/>
    <w:rsid w:val="119B6FB0"/>
    <w:rsid w:val="11A608E8"/>
    <w:rsid w:val="11A766E0"/>
    <w:rsid w:val="11AA4CE6"/>
    <w:rsid w:val="11B1249F"/>
    <w:rsid w:val="11BB3F75"/>
    <w:rsid w:val="11C27133"/>
    <w:rsid w:val="11C97AFC"/>
    <w:rsid w:val="11D76AC9"/>
    <w:rsid w:val="11D76B45"/>
    <w:rsid w:val="11E91A7A"/>
    <w:rsid w:val="120F4341"/>
    <w:rsid w:val="120F6A9E"/>
    <w:rsid w:val="121E178F"/>
    <w:rsid w:val="123E51A5"/>
    <w:rsid w:val="124A4CE1"/>
    <w:rsid w:val="124B09DE"/>
    <w:rsid w:val="12515293"/>
    <w:rsid w:val="125315ED"/>
    <w:rsid w:val="12565C90"/>
    <w:rsid w:val="125F485D"/>
    <w:rsid w:val="127F4FF0"/>
    <w:rsid w:val="128A5526"/>
    <w:rsid w:val="129070A2"/>
    <w:rsid w:val="12A61E8B"/>
    <w:rsid w:val="12A714C9"/>
    <w:rsid w:val="12C01FED"/>
    <w:rsid w:val="12C51E41"/>
    <w:rsid w:val="12DB2936"/>
    <w:rsid w:val="12ED55F4"/>
    <w:rsid w:val="12F4621D"/>
    <w:rsid w:val="1301042B"/>
    <w:rsid w:val="131360CC"/>
    <w:rsid w:val="132023CD"/>
    <w:rsid w:val="1342238B"/>
    <w:rsid w:val="13485252"/>
    <w:rsid w:val="13497000"/>
    <w:rsid w:val="13535B48"/>
    <w:rsid w:val="136D7CFE"/>
    <w:rsid w:val="13767ADB"/>
    <w:rsid w:val="13891A0B"/>
    <w:rsid w:val="13927E1B"/>
    <w:rsid w:val="1393350B"/>
    <w:rsid w:val="139A46AA"/>
    <w:rsid w:val="139D287A"/>
    <w:rsid w:val="13B859C9"/>
    <w:rsid w:val="13D53FA9"/>
    <w:rsid w:val="13D65416"/>
    <w:rsid w:val="13D8396B"/>
    <w:rsid w:val="13E52FB8"/>
    <w:rsid w:val="14010F13"/>
    <w:rsid w:val="1426603E"/>
    <w:rsid w:val="14404836"/>
    <w:rsid w:val="145950FC"/>
    <w:rsid w:val="147D3462"/>
    <w:rsid w:val="147D7658"/>
    <w:rsid w:val="147E798C"/>
    <w:rsid w:val="14950FCB"/>
    <w:rsid w:val="14A502E2"/>
    <w:rsid w:val="14B6588E"/>
    <w:rsid w:val="14BD12D2"/>
    <w:rsid w:val="14CE758B"/>
    <w:rsid w:val="14CF50F8"/>
    <w:rsid w:val="14D86E56"/>
    <w:rsid w:val="14E0464C"/>
    <w:rsid w:val="14FA3215"/>
    <w:rsid w:val="151E19F2"/>
    <w:rsid w:val="152C1024"/>
    <w:rsid w:val="15321BAC"/>
    <w:rsid w:val="153F6159"/>
    <w:rsid w:val="15402152"/>
    <w:rsid w:val="154B25EC"/>
    <w:rsid w:val="15573978"/>
    <w:rsid w:val="155C56E0"/>
    <w:rsid w:val="1562240A"/>
    <w:rsid w:val="158F3DE0"/>
    <w:rsid w:val="1594158F"/>
    <w:rsid w:val="15A44760"/>
    <w:rsid w:val="15CE6085"/>
    <w:rsid w:val="160142CD"/>
    <w:rsid w:val="162A58DA"/>
    <w:rsid w:val="1634210F"/>
    <w:rsid w:val="16342542"/>
    <w:rsid w:val="163C2B13"/>
    <w:rsid w:val="165F1FC3"/>
    <w:rsid w:val="1660277C"/>
    <w:rsid w:val="166139C2"/>
    <w:rsid w:val="168123F1"/>
    <w:rsid w:val="16845253"/>
    <w:rsid w:val="16855282"/>
    <w:rsid w:val="168C0184"/>
    <w:rsid w:val="16905BEC"/>
    <w:rsid w:val="169A5A8F"/>
    <w:rsid w:val="16A50B6A"/>
    <w:rsid w:val="16A57A69"/>
    <w:rsid w:val="16AA28FA"/>
    <w:rsid w:val="16B34D7B"/>
    <w:rsid w:val="16D77CBF"/>
    <w:rsid w:val="16DB0BFD"/>
    <w:rsid w:val="16FD5FCF"/>
    <w:rsid w:val="17033859"/>
    <w:rsid w:val="171E3822"/>
    <w:rsid w:val="173349C8"/>
    <w:rsid w:val="173D2EE9"/>
    <w:rsid w:val="174C4AA0"/>
    <w:rsid w:val="176355F8"/>
    <w:rsid w:val="17666413"/>
    <w:rsid w:val="1768254B"/>
    <w:rsid w:val="176C6D00"/>
    <w:rsid w:val="1772665E"/>
    <w:rsid w:val="177C149C"/>
    <w:rsid w:val="17800EC8"/>
    <w:rsid w:val="17915AC4"/>
    <w:rsid w:val="1791639B"/>
    <w:rsid w:val="179C70A9"/>
    <w:rsid w:val="17A72666"/>
    <w:rsid w:val="17AF6891"/>
    <w:rsid w:val="17B6028C"/>
    <w:rsid w:val="17BA5811"/>
    <w:rsid w:val="17BF757C"/>
    <w:rsid w:val="17C3509D"/>
    <w:rsid w:val="17D925B6"/>
    <w:rsid w:val="17E00F6E"/>
    <w:rsid w:val="17EF37F9"/>
    <w:rsid w:val="17F673B7"/>
    <w:rsid w:val="18047825"/>
    <w:rsid w:val="181A7AA6"/>
    <w:rsid w:val="182271D1"/>
    <w:rsid w:val="18327661"/>
    <w:rsid w:val="184B01F2"/>
    <w:rsid w:val="1850387F"/>
    <w:rsid w:val="185830D7"/>
    <w:rsid w:val="185C2EDF"/>
    <w:rsid w:val="18675385"/>
    <w:rsid w:val="186902BF"/>
    <w:rsid w:val="18701884"/>
    <w:rsid w:val="18704BAD"/>
    <w:rsid w:val="18902D39"/>
    <w:rsid w:val="189720E2"/>
    <w:rsid w:val="18AC3BEE"/>
    <w:rsid w:val="18EC0606"/>
    <w:rsid w:val="18FD4F90"/>
    <w:rsid w:val="19087026"/>
    <w:rsid w:val="190A5ABE"/>
    <w:rsid w:val="190C2389"/>
    <w:rsid w:val="192D6B20"/>
    <w:rsid w:val="19387784"/>
    <w:rsid w:val="193F069B"/>
    <w:rsid w:val="1961286F"/>
    <w:rsid w:val="19665D28"/>
    <w:rsid w:val="1989144C"/>
    <w:rsid w:val="19A8303F"/>
    <w:rsid w:val="19AF5DD1"/>
    <w:rsid w:val="19BC46A1"/>
    <w:rsid w:val="19C42EF9"/>
    <w:rsid w:val="19C94053"/>
    <w:rsid w:val="19D6173B"/>
    <w:rsid w:val="19F0523F"/>
    <w:rsid w:val="19FE6B05"/>
    <w:rsid w:val="1A02498D"/>
    <w:rsid w:val="1A126CE5"/>
    <w:rsid w:val="1A2364FA"/>
    <w:rsid w:val="1A2D79BA"/>
    <w:rsid w:val="1A3A554B"/>
    <w:rsid w:val="1A4221B0"/>
    <w:rsid w:val="1A4325D3"/>
    <w:rsid w:val="1A4C24FB"/>
    <w:rsid w:val="1A4E6954"/>
    <w:rsid w:val="1A5D3CBD"/>
    <w:rsid w:val="1A6E5FB1"/>
    <w:rsid w:val="1A7B717D"/>
    <w:rsid w:val="1A7C1BE7"/>
    <w:rsid w:val="1A7C5A17"/>
    <w:rsid w:val="1A920847"/>
    <w:rsid w:val="1A9766C0"/>
    <w:rsid w:val="1AA92FF4"/>
    <w:rsid w:val="1AB0573F"/>
    <w:rsid w:val="1AC53748"/>
    <w:rsid w:val="1AC64307"/>
    <w:rsid w:val="1AD37B8D"/>
    <w:rsid w:val="1AD47B96"/>
    <w:rsid w:val="1AD94DDF"/>
    <w:rsid w:val="1ADF6D58"/>
    <w:rsid w:val="1B1258BD"/>
    <w:rsid w:val="1B180311"/>
    <w:rsid w:val="1B183088"/>
    <w:rsid w:val="1B35569A"/>
    <w:rsid w:val="1B3B754B"/>
    <w:rsid w:val="1B563F9E"/>
    <w:rsid w:val="1B6C7155"/>
    <w:rsid w:val="1B72173B"/>
    <w:rsid w:val="1B744224"/>
    <w:rsid w:val="1B7A5099"/>
    <w:rsid w:val="1B7A6C0C"/>
    <w:rsid w:val="1B7E7D96"/>
    <w:rsid w:val="1B7F55A6"/>
    <w:rsid w:val="1B89508D"/>
    <w:rsid w:val="1BAE18A7"/>
    <w:rsid w:val="1BBA2DE0"/>
    <w:rsid w:val="1BC65E87"/>
    <w:rsid w:val="1BCE0F9D"/>
    <w:rsid w:val="1BE136C9"/>
    <w:rsid w:val="1BE83AC4"/>
    <w:rsid w:val="1BEE66EE"/>
    <w:rsid w:val="1BF12978"/>
    <w:rsid w:val="1C182E62"/>
    <w:rsid w:val="1C1A182E"/>
    <w:rsid w:val="1C3138A1"/>
    <w:rsid w:val="1C340F0E"/>
    <w:rsid w:val="1C4A1A70"/>
    <w:rsid w:val="1C50373A"/>
    <w:rsid w:val="1C5A78FA"/>
    <w:rsid w:val="1C7B1C92"/>
    <w:rsid w:val="1CBA4001"/>
    <w:rsid w:val="1CE03C2B"/>
    <w:rsid w:val="1D11447C"/>
    <w:rsid w:val="1D1F4F82"/>
    <w:rsid w:val="1D3C35D7"/>
    <w:rsid w:val="1D581489"/>
    <w:rsid w:val="1D582060"/>
    <w:rsid w:val="1D61678A"/>
    <w:rsid w:val="1D6864B5"/>
    <w:rsid w:val="1D8130A9"/>
    <w:rsid w:val="1D830B79"/>
    <w:rsid w:val="1D914288"/>
    <w:rsid w:val="1D9E300B"/>
    <w:rsid w:val="1DA75838"/>
    <w:rsid w:val="1DB65465"/>
    <w:rsid w:val="1DBC3A09"/>
    <w:rsid w:val="1DDD1FE1"/>
    <w:rsid w:val="1DEC0EC6"/>
    <w:rsid w:val="1E3E2693"/>
    <w:rsid w:val="1E40548E"/>
    <w:rsid w:val="1E4A19AF"/>
    <w:rsid w:val="1E5A579C"/>
    <w:rsid w:val="1E7223AB"/>
    <w:rsid w:val="1E7A3AEF"/>
    <w:rsid w:val="1E7F376F"/>
    <w:rsid w:val="1E874C28"/>
    <w:rsid w:val="1E8F3078"/>
    <w:rsid w:val="1EB3177A"/>
    <w:rsid w:val="1EB56858"/>
    <w:rsid w:val="1EC705C4"/>
    <w:rsid w:val="1EC83B25"/>
    <w:rsid w:val="1ED97BDC"/>
    <w:rsid w:val="1EE5351D"/>
    <w:rsid w:val="1EF8692C"/>
    <w:rsid w:val="1F02433E"/>
    <w:rsid w:val="1F2545A0"/>
    <w:rsid w:val="1F5B41C5"/>
    <w:rsid w:val="1F602B95"/>
    <w:rsid w:val="1F610464"/>
    <w:rsid w:val="1F6608F6"/>
    <w:rsid w:val="1F6B516B"/>
    <w:rsid w:val="1F737DA7"/>
    <w:rsid w:val="1F914072"/>
    <w:rsid w:val="1F974D47"/>
    <w:rsid w:val="1F9F7601"/>
    <w:rsid w:val="1FAA0518"/>
    <w:rsid w:val="1FAD7813"/>
    <w:rsid w:val="1FC97374"/>
    <w:rsid w:val="1FDF676A"/>
    <w:rsid w:val="1FF110DC"/>
    <w:rsid w:val="1FFE6231"/>
    <w:rsid w:val="200107D5"/>
    <w:rsid w:val="200F3C1D"/>
    <w:rsid w:val="201620B4"/>
    <w:rsid w:val="202E6805"/>
    <w:rsid w:val="202F793E"/>
    <w:rsid w:val="203D3166"/>
    <w:rsid w:val="20404305"/>
    <w:rsid w:val="20481907"/>
    <w:rsid w:val="206036D4"/>
    <w:rsid w:val="2064115A"/>
    <w:rsid w:val="206870D0"/>
    <w:rsid w:val="206E103C"/>
    <w:rsid w:val="20824104"/>
    <w:rsid w:val="208B6F33"/>
    <w:rsid w:val="20904241"/>
    <w:rsid w:val="20923102"/>
    <w:rsid w:val="209A12F6"/>
    <w:rsid w:val="20A5542D"/>
    <w:rsid w:val="20AA40A0"/>
    <w:rsid w:val="20AF6A38"/>
    <w:rsid w:val="20BD1C65"/>
    <w:rsid w:val="20D61ED3"/>
    <w:rsid w:val="20D85477"/>
    <w:rsid w:val="210D463D"/>
    <w:rsid w:val="21483DCB"/>
    <w:rsid w:val="21520506"/>
    <w:rsid w:val="215971DB"/>
    <w:rsid w:val="216840B7"/>
    <w:rsid w:val="21707ABA"/>
    <w:rsid w:val="217C7FFF"/>
    <w:rsid w:val="217F7DE1"/>
    <w:rsid w:val="218C712D"/>
    <w:rsid w:val="219B42AE"/>
    <w:rsid w:val="21B8627A"/>
    <w:rsid w:val="21DC1077"/>
    <w:rsid w:val="21E500BF"/>
    <w:rsid w:val="21F46DD7"/>
    <w:rsid w:val="21FE34D3"/>
    <w:rsid w:val="22102FC3"/>
    <w:rsid w:val="22106435"/>
    <w:rsid w:val="2211058E"/>
    <w:rsid w:val="2212793C"/>
    <w:rsid w:val="222446A3"/>
    <w:rsid w:val="22263305"/>
    <w:rsid w:val="22267251"/>
    <w:rsid w:val="224A3888"/>
    <w:rsid w:val="2258018F"/>
    <w:rsid w:val="226C7BAC"/>
    <w:rsid w:val="22834CF1"/>
    <w:rsid w:val="228F4F8F"/>
    <w:rsid w:val="229A773C"/>
    <w:rsid w:val="229C6E40"/>
    <w:rsid w:val="229F0037"/>
    <w:rsid w:val="22A77209"/>
    <w:rsid w:val="22B26378"/>
    <w:rsid w:val="22B649DD"/>
    <w:rsid w:val="22B83BBC"/>
    <w:rsid w:val="22DB1E07"/>
    <w:rsid w:val="22DF69C6"/>
    <w:rsid w:val="22F874E8"/>
    <w:rsid w:val="22FC4DA6"/>
    <w:rsid w:val="230F4FB3"/>
    <w:rsid w:val="232668D5"/>
    <w:rsid w:val="232A266D"/>
    <w:rsid w:val="232C327F"/>
    <w:rsid w:val="23384757"/>
    <w:rsid w:val="234E1D95"/>
    <w:rsid w:val="234E7067"/>
    <w:rsid w:val="23550AD0"/>
    <w:rsid w:val="23577E5C"/>
    <w:rsid w:val="235B0632"/>
    <w:rsid w:val="235F6585"/>
    <w:rsid w:val="2394513F"/>
    <w:rsid w:val="23B742F4"/>
    <w:rsid w:val="23B9450B"/>
    <w:rsid w:val="23BC0507"/>
    <w:rsid w:val="23DB5B4C"/>
    <w:rsid w:val="23DD1F6C"/>
    <w:rsid w:val="23E27873"/>
    <w:rsid w:val="240437AA"/>
    <w:rsid w:val="240C2B3A"/>
    <w:rsid w:val="240D2A9C"/>
    <w:rsid w:val="24210E4E"/>
    <w:rsid w:val="242C18C4"/>
    <w:rsid w:val="242C213A"/>
    <w:rsid w:val="245F17EC"/>
    <w:rsid w:val="24624B37"/>
    <w:rsid w:val="246E68E8"/>
    <w:rsid w:val="24895713"/>
    <w:rsid w:val="24A0399F"/>
    <w:rsid w:val="24B876B2"/>
    <w:rsid w:val="24C52B47"/>
    <w:rsid w:val="24CD287B"/>
    <w:rsid w:val="24E821FC"/>
    <w:rsid w:val="24EA0953"/>
    <w:rsid w:val="24F554E6"/>
    <w:rsid w:val="25090523"/>
    <w:rsid w:val="250A7D5C"/>
    <w:rsid w:val="251746F0"/>
    <w:rsid w:val="253F2264"/>
    <w:rsid w:val="2541397E"/>
    <w:rsid w:val="254B40B2"/>
    <w:rsid w:val="254D335F"/>
    <w:rsid w:val="255346CB"/>
    <w:rsid w:val="25712EAE"/>
    <w:rsid w:val="259A122B"/>
    <w:rsid w:val="25A179C3"/>
    <w:rsid w:val="25A23B72"/>
    <w:rsid w:val="25B33FA7"/>
    <w:rsid w:val="25BF3326"/>
    <w:rsid w:val="25BF627F"/>
    <w:rsid w:val="25C766C8"/>
    <w:rsid w:val="25D37304"/>
    <w:rsid w:val="25EE750F"/>
    <w:rsid w:val="26084AA7"/>
    <w:rsid w:val="260F58DC"/>
    <w:rsid w:val="2617264B"/>
    <w:rsid w:val="262420A3"/>
    <w:rsid w:val="264D2600"/>
    <w:rsid w:val="26916F1C"/>
    <w:rsid w:val="26A1465B"/>
    <w:rsid w:val="26A717FF"/>
    <w:rsid w:val="26AE7FF0"/>
    <w:rsid w:val="26B171B9"/>
    <w:rsid w:val="26B86B93"/>
    <w:rsid w:val="270812F9"/>
    <w:rsid w:val="27120152"/>
    <w:rsid w:val="27410905"/>
    <w:rsid w:val="275F7EF3"/>
    <w:rsid w:val="2764097C"/>
    <w:rsid w:val="278542B4"/>
    <w:rsid w:val="279069C1"/>
    <w:rsid w:val="27A66474"/>
    <w:rsid w:val="27CC091C"/>
    <w:rsid w:val="27E67A43"/>
    <w:rsid w:val="27FA15F4"/>
    <w:rsid w:val="27FC19AB"/>
    <w:rsid w:val="28187989"/>
    <w:rsid w:val="282B5E5B"/>
    <w:rsid w:val="28441B85"/>
    <w:rsid w:val="28445BA3"/>
    <w:rsid w:val="28572FF4"/>
    <w:rsid w:val="2861534B"/>
    <w:rsid w:val="28940373"/>
    <w:rsid w:val="28AA045C"/>
    <w:rsid w:val="28BD5251"/>
    <w:rsid w:val="28D01274"/>
    <w:rsid w:val="28D92391"/>
    <w:rsid w:val="28E901C4"/>
    <w:rsid w:val="28F72F9E"/>
    <w:rsid w:val="29040AEF"/>
    <w:rsid w:val="291717A7"/>
    <w:rsid w:val="2917705B"/>
    <w:rsid w:val="291974D7"/>
    <w:rsid w:val="29357C71"/>
    <w:rsid w:val="293E43CA"/>
    <w:rsid w:val="29753B56"/>
    <w:rsid w:val="2979190F"/>
    <w:rsid w:val="2980065D"/>
    <w:rsid w:val="2982372F"/>
    <w:rsid w:val="29A2287A"/>
    <w:rsid w:val="29A95FD6"/>
    <w:rsid w:val="29B915F2"/>
    <w:rsid w:val="29BF65D9"/>
    <w:rsid w:val="29C60BDD"/>
    <w:rsid w:val="29FD49E7"/>
    <w:rsid w:val="29FD5C67"/>
    <w:rsid w:val="2A205C5E"/>
    <w:rsid w:val="2A331DF3"/>
    <w:rsid w:val="2A3335E3"/>
    <w:rsid w:val="2A334528"/>
    <w:rsid w:val="2A3415B0"/>
    <w:rsid w:val="2A366446"/>
    <w:rsid w:val="2A492C82"/>
    <w:rsid w:val="2A4D00D1"/>
    <w:rsid w:val="2A6D366D"/>
    <w:rsid w:val="2A836E98"/>
    <w:rsid w:val="2A8B3817"/>
    <w:rsid w:val="2A8F385D"/>
    <w:rsid w:val="2A9034B4"/>
    <w:rsid w:val="2AA605A4"/>
    <w:rsid w:val="2AB33F87"/>
    <w:rsid w:val="2ACD0B36"/>
    <w:rsid w:val="2AD111FD"/>
    <w:rsid w:val="2B034328"/>
    <w:rsid w:val="2B052E66"/>
    <w:rsid w:val="2B057B58"/>
    <w:rsid w:val="2B0C6254"/>
    <w:rsid w:val="2B2E3CA3"/>
    <w:rsid w:val="2B507EB6"/>
    <w:rsid w:val="2B5F6EA6"/>
    <w:rsid w:val="2B692A79"/>
    <w:rsid w:val="2B7208B0"/>
    <w:rsid w:val="2B723083"/>
    <w:rsid w:val="2B761F1B"/>
    <w:rsid w:val="2BC02C71"/>
    <w:rsid w:val="2BD6261E"/>
    <w:rsid w:val="2BE0479E"/>
    <w:rsid w:val="2BF60E02"/>
    <w:rsid w:val="2C0C40B6"/>
    <w:rsid w:val="2C221352"/>
    <w:rsid w:val="2C340552"/>
    <w:rsid w:val="2C3A3A18"/>
    <w:rsid w:val="2C406671"/>
    <w:rsid w:val="2C5102C5"/>
    <w:rsid w:val="2C5F7ED0"/>
    <w:rsid w:val="2C701C82"/>
    <w:rsid w:val="2C770FA3"/>
    <w:rsid w:val="2C7929C9"/>
    <w:rsid w:val="2C7A2CDC"/>
    <w:rsid w:val="2C8C4DA7"/>
    <w:rsid w:val="2C940967"/>
    <w:rsid w:val="2CA3250F"/>
    <w:rsid w:val="2CA83BFD"/>
    <w:rsid w:val="2CB5245E"/>
    <w:rsid w:val="2CCC61DC"/>
    <w:rsid w:val="2CE30F22"/>
    <w:rsid w:val="2CFD1EAE"/>
    <w:rsid w:val="2CFF2CF1"/>
    <w:rsid w:val="2D004449"/>
    <w:rsid w:val="2D040A3A"/>
    <w:rsid w:val="2D1B6979"/>
    <w:rsid w:val="2D3065F6"/>
    <w:rsid w:val="2D3E159C"/>
    <w:rsid w:val="2D454F76"/>
    <w:rsid w:val="2D5E5ACD"/>
    <w:rsid w:val="2D664E53"/>
    <w:rsid w:val="2D764C10"/>
    <w:rsid w:val="2D7A291E"/>
    <w:rsid w:val="2D7A5B83"/>
    <w:rsid w:val="2D7E6051"/>
    <w:rsid w:val="2D9D3CD6"/>
    <w:rsid w:val="2DAB070C"/>
    <w:rsid w:val="2DB81BCA"/>
    <w:rsid w:val="2DBA421D"/>
    <w:rsid w:val="2DCA68D8"/>
    <w:rsid w:val="2DD123D5"/>
    <w:rsid w:val="2DD52E55"/>
    <w:rsid w:val="2DFF65A7"/>
    <w:rsid w:val="2E14172E"/>
    <w:rsid w:val="2E156C84"/>
    <w:rsid w:val="2E1F458A"/>
    <w:rsid w:val="2E344DAF"/>
    <w:rsid w:val="2E3933DD"/>
    <w:rsid w:val="2E542892"/>
    <w:rsid w:val="2E7C5CD1"/>
    <w:rsid w:val="2E827222"/>
    <w:rsid w:val="2E881839"/>
    <w:rsid w:val="2E936895"/>
    <w:rsid w:val="2E9C1619"/>
    <w:rsid w:val="2EA90574"/>
    <w:rsid w:val="2EB948EE"/>
    <w:rsid w:val="2EC767B9"/>
    <w:rsid w:val="2ECE30AA"/>
    <w:rsid w:val="2EDE7E92"/>
    <w:rsid w:val="2EDF2CF0"/>
    <w:rsid w:val="2EE32667"/>
    <w:rsid w:val="2EE70C2A"/>
    <w:rsid w:val="2EFE24FC"/>
    <w:rsid w:val="2F0B230D"/>
    <w:rsid w:val="2F1831B2"/>
    <w:rsid w:val="2F1D1825"/>
    <w:rsid w:val="2F1F6148"/>
    <w:rsid w:val="2F397ECA"/>
    <w:rsid w:val="2F622F67"/>
    <w:rsid w:val="2F77336C"/>
    <w:rsid w:val="2F831B61"/>
    <w:rsid w:val="2F8C627E"/>
    <w:rsid w:val="2FA86799"/>
    <w:rsid w:val="2FBB3BF3"/>
    <w:rsid w:val="2FDB3DFA"/>
    <w:rsid w:val="2FDD1EC2"/>
    <w:rsid w:val="2FDF0645"/>
    <w:rsid w:val="2FED5A57"/>
    <w:rsid w:val="300A7C9C"/>
    <w:rsid w:val="300B61F3"/>
    <w:rsid w:val="301256DD"/>
    <w:rsid w:val="30166435"/>
    <w:rsid w:val="301F4F73"/>
    <w:rsid w:val="3028126B"/>
    <w:rsid w:val="30325164"/>
    <w:rsid w:val="303B3444"/>
    <w:rsid w:val="304159E4"/>
    <w:rsid w:val="30461251"/>
    <w:rsid w:val="304F3F56"/>
    <w:rsid w:val="305E6FBC"/>
    <w:rsid w:val="30602CE0"/>
    <w:rsid w:val="30622D1F"/>
    <w:rsid w:val="3071398E"/>
    <w:rsid w:val="307D42E1"/>
    <w:rsid w:val="307D6BEE"/>
    <w:rsid w:val="30826F45"/>
    <w:rsid w:val="308512FF"/>
    <w:rsid w:val="30962223"/>
    <w:rsid w:val="309F66E8"/>
    <w:rsid w:val="30A208D6"/>
    <w:rsid w:val="30A820C2"/>
    <w:rsid w:val="30AD40B6"/>
    <w:rsid w:val="30B02ECD"/>
    <w:rsid w:val="30C97C89"/>
    <w:rsid w:val="30D0747B"/>
    <w:rsid w:val="31000E5F"/>
    <w:rsid w:val="310E2D17"/>
    <w:rsid w:val="311901A8"/>
    <w:rsid w:val="312C3581"/>
    <w:rsid w:val="313A7B20"/>
    <w:rsid w:val="3164256F"/>
    <w:rsid w:val="316C1AF9"/>
    <w:rsid w:val="316E5904"/>
    <w:rsid w:val="31890D85"/>
    <w:rsid w:val="31941E22"/>
    <w:rsid w:val="31CD4724"/>
    <w:rsid w:val="31D04565"/>
    <w:rsid w:val="31D60522"/>
    <w:rsid w:val="31DC5E9C"/>
    <w:rsid w:val="31E06BCA"/>
    <w:rsid w:val="31E37F93"/>
    <w:rsid w:val="31F816AF"/>
    <w:rsid w:val="32083CCE"/>
    <w:rsid w:val="322354C0"/>
    <w:rsid w:val="322B2CE8"/>
    <w:rsid w:val="323139FD"/>
    <w:rsid w:val="323B5551"/>
    <w:rsid w:val="32403CD5"/>
    <w:rsid w:val="32484430"/>
    <w:rsid w:val="326B0434"/>
    <w:rsid w:val="327E1E9E"/>
    <w:rsid w:val="328B180D"/>
    <w:rsid w:val="32A14C53"/>
    <w:rsid w:val="32BA27AC"/>
    <w:rsid w:val="32F24B3E"/>
    <w:rsid w:val="33273C28"/>
    <w:rsid w:val="332C1869"/>
    <w:rsid w:val="33357C0F"/>
    <w:rsid w:val="334B2CD9"/>
    <w:rsid w:val="33503CCC"/>
    <w:rsid w:val="335C6117"/>
    <w:rsid w:val="336026F6"/>
    <w:rsid w:val="33721AC2"/>
    <w:rsid w:val="33760000"/>
    <w:rsid w:val="337D67F0"/>
    <w:rsid w:val="338E2C59"/>
    <w:rsid w:val="339031A2"/>
    <w:rsid w:val="339F1ED0"/>
    <w:rsid w:val="33B212E1"/>
    <w:rsid w:val="33B5385B"/>
    <w:rsid w:val="33B817BD"/>
    <w:rsid w:val="33C95FB0"/>
    <w:rsid w:val="33DD6C96"/>
    <w:rsid w:val="33E71C0E"/>
    <w:rsid w:val="33EC63F3"/>
    <w:rsid w:val="33FB3502"/>
    <w:rsid w:val="33FC0C35"/>
    <w:rsid w:val="341C751F"/>
    <w:rsid w:val="342122F5"/>
    <w:rsid w:val="342343BE"/>
    <w:rsid w:val="3427000D"/>
    <w:rsid w:val="345536BE"/>
    <w:rsid w:val="346D289C"/>
    <w:rsid w:val="34870FF3"/>
    <w:rsid w:val="34AA308A"/>
    <w:rsid w:val="34AE3021"/>
    <w:rsid w:val="34B5369D"/>
    <w:rsid w:val="34C23927"/>
    <w:rsid w:val="34D74524"/>
    <w:rsid w:val="34FB21EC"/>
    <w:rsid w:val="351143AC"/>
    <w:rsid w:val="352B6064"/>
    <w:rsid w:val="353266FE"/>
    <w:rsid w:val="355B39D5"/>
    <w:rsid w:val="358C2E02"/>
    <w:rsid w:val="359E49E9"/>
    <w:rsid w:val="35C41F10"/>
    <w:rsid w:val="35D25FBE"/>
    <w:rsid w:val="35E20F81"/>
    <w:rsid w:val="35F257DC"/>
    <w:rsid w:val="35F52853"/>
    <w:rsid w:val="36036E4C"/>
    <w:rsid w:val="360646D4"/>
    <w:rsid w:val="360F2A66"/>
    <w:rsid w:val="36177C38"/>
    <w:rsid w:val="363A4100"/>
    <w:rsid w:val="36410A3A"/>
    <w:rsid w:val="364E7F63"/>
    <w:rsid w:val="36611E9F"/>
    <w:rsid w:val="36666D20"/>
    <w:rsid w:val="366A4252"/>
    <w:rsid w:val="367754DE"/>
    <w:rsid w:val="36784AF0"/>
    <w:rsid w:val="36900D69"/>
    <w:rsid w:val="369236D1"/>
    <w:rsid w:val="36A121B3"/>
    <w:rsid w:val="36C64BF6"/>
    <w:rsid w:val="36D72FA9"/>
    <w:rsid w:val="36DD1115"/>
    <w:rsid w:val="37013427"/>
    <w:rsid w:val="370653E7"/>
    <w:rsid w:val="370E3984"/>
    <w:rsid w:val="373B505A"/>
    <w:rsid w:val="374F2F07"/>
    <w:rsid w:val="3750792F"/>
    <w:rsid w:val="375463DB"/>
    <w:rsid w:val="375F7232"/>
    <w:rsid w:val="3768699A"/>
    <w:rsid w:val="379B76DA"/>
    <w:rsid w:val="37BE4787"/>
    <w:rsid w:val="37C83999"/>
    <w:rsid w:val="37D72D05"/>
    <w:rsid w:val="37DF41BC"/>
    <w:rsid w:val="37E21686"/>
    <w:rsid w:val="37F42AB8"/>
    <w:rsid w:val="37FB6790"/>
    <w:rsid w:val="37FD4445"/>
    <w:rsid w:val="380517DC"/>
    <w:rsid w:val="381A4EA7"/>
    <w:rsid w:val="38252598"/>
    <w:rsid w:val="38350332"/>
    <w:rsid w:val="383970A7"/>
    <w:rsid w:val="384E3BBB"/>
    <w:rsid w:val="38650C1B"/>
    <w:rsid w:val="38A04F91"/>
    <w:rsid w:val="38A07B54"/>
    <w:rsid w:val="38AC37B6"/>
    <w:rsid w:val="38CC4BED"/>
    <w:rsid w:val="38DC2F57"/>
    <w:rsid w:val="38F95415"/>
    <w:rsid w:val="390412D8"/>
    <w:rsid w:val="390C505F"/>
    <w:rsid w:val="392017C0"/>
    <w:rsid w:val="39252B76"/>
    <w:rsid w:val="392C4D9D"/>
    <w:rsid w:val="392E6F43"/>
    <w:rsid w:val="394D69CA"/>
    <w:rsid w:val="394F3CCB"/>
    <w:rsid w:val="3952140A"/>
    <w:rsid w:val="397F6E8D"/>
    <w:rsid w:val="39A209C1"/>
    <w:rsid w:val="39AD6790"/>
    <w:rsid w:val="39C84866"/>
    <w:rsid w:val="39C86214"/>
    <w:rsid w:val="39D252AE"/>
    <w:rsid w:val="39E276D4"/>
    <w:rsid w:val="39E93BC2"/>
    <w:rsid w:val="39F8422A"/>
    <w:rsid w:val="39F91CCB"/>
    <w:rsid w:val="3A0E457E"/>
    <w:rsid w:val="3A3D6D40"/>
    <w:rsid w:val="3A4112DA"/>
    <w:rsid w:val="3A462802"/>
    <w:rsid w:val="3A485C20"/>
    <w:rsid w:val="3A4A4CC7"/>
    <w:rsid w:val="3A60703D"/>
    <w:rsid w:val="3A6C2289"/>
    <w:rsid w:val="3A6F6FB5"/>
    <w:rsid w:val="3A955CCA"/>
    <w:rsid w:val="3A9B2460"/>
    <w:rsid w:val="3AB61DD5"/>
    <w:rsid w:val="3AC60DC7"/>
    <w:rsid w:val="3AC97FAA"/>
    <w:rsid w:val="3ACB4EA8"/>
    <w:rsid w:val="3AEA2742"/>
    <w:rsid w:val="3AFD6137"/>
    <w:rsid w:val="3AFF52EB"/>
    <w:rsid w:val="3B0376FA"/>
    <w:rsid w:val="3B0D52B2"/>
    <w:rsid w:val="3B143A56"/>
    <w:rsid w:val="3B367657"/>
    <w:rsid w:val="3B411A26"/>
    <w:rsid w:val="3B735F22"/>
    <w:rsid w:val="3B8904A2"/>
    <w:rsid w:val="3B9A7293"/>
    <w:rsid w:val="3BD24ADD"/>
    <w:rsid w:val="3BDF38AF"/>
    <w:rsid w:val="3C285D82"/>
    <w:rsid w:val="3C3E406C"/>
    <w:rsid w:val="3C536B06"/>
    <w:rsid w:val="3C58436E"/>
    <w:rsid w:val="3C672048"/>
    <w:rsid w:val="3CB74FF6"/>
    <w:rsid w:val="3CD741BF"/>
    <w:rsid w:val="3CE865B0"/>
    <w:rsid w:val="3CED427C"/>
    <w:rsid w:val="3CF038D6"/>
    <w:rsid w:val="3D083788"/>
    <w:rsid w:val="3D0D7049"/>
    <w:rsid w:val="3D144F76"/>
    <w:rsid w:val="3D2008A3"/>
    <w:rsid w:val="3D2E2411"/>
    <w:rsid w:val="3D337B31"/>
    <w:rsid w:val="3D5005EB"/>
    <w:rsid w:val="3D9307B4"/>
    <w:rsid w:val="3D9F4956"/>
    <w:rsid w:val="3DAA5311"/>
    <w:rsid w:val="3DBD041E"/>
    <w:rsid w:val="3E1A50E1"/>
    <w:rsid w:val="3E1C7725"/>
    <w:rsid w:val="3E26098F"/>
    <w:rsid w:val="3E3B04B0"/>
    <w:rsid w:val="3E3E7F7D"/>
    <w:rsid w:val="3E4D031B"/>
    <w:rsid w:val="3E4F3306"/>
    <w:rsid w:val="3E6B319E"/>
    <w:rsid w:val="3E796FBB"/>
    <w:rsid w:val="3E7D20AD"/>
    <w:rsid w:val="3E98343F"/>
    <w:rsid w:val="3EA12164"/>
    <w:rsid w:val="3EA22193"/>
    <w:rsid w:val="3EA77B3A"/>
    <w:rsid w:val="3EBD0BC4"/>
    <w:rsid w:val="3EBF0B79"/>
    <w:rsid w:val="3EC35584"/>
    <w:rsid w:val="3EC97CCB"/>
    <w:rsid w:val="3EE27E07"/>
    <w:rsid w:val="3F0A6D15"/>
    <w:rsid w:val="3F1C0B53"/>
    <w:rsid w:val="3F4802CD"/>
    <w:rsid w:val="3F822788"/>
    <w:rsid w:val="3F954106"/>
    <w:rsid w:val="3F9723FF"/>
    <w:rsid w:val="3FA24D04"/>
    <w:rsid w:val="3FA45CFF"/>
    <w:rsid w:val="3FB74B6A"/>
    <w:rsid w:val="3FC53F70"/>
    <w:rsid w:val="3FDA4009"/>
    <w:rsid w:val="40062D9D"/>
    <w:rsid w:val="401C76D3"/>
    <w:rsid w:val="402179A3"/>
    <w:rsid w:val="40330CA4"/>
    <w:rsid w:val="40890A0A"/>
    <w:rsid w:val="40963AA1"/>
    <w:rsid w:val="40A6613B"/>
    <w:rsid w:val="40AE1FF7"/>
    <w:rsid w:val="40B733A7"/>
    <w:rsid w:val="40BA68B9"/>
    <w:rsid w:val="40C16266"/>
    <w:rsid w:val="40C235CF"/>
    <w:rsid w:val="40CF00C1"/>
    <w:rsid w:val="40F759B0"/>
    <w:rsid w:val="40FD678B"/>
    <w:rsid w:val="410B5436"/>
    <w:rsid w:val="41176148"/>
    <w:rsid w:val="411E7E74"/>
    <w:rsid w:val="412344BF"/>
    <w:rsid w:val="41236C6D"/>
    <w:rsid w:val="412C5510"/>
    <w:rsid w:val="41356D45"/>
    <w:rsid w:val="415818BD"/>
    <w:rsid w:val="4173037E"/>
    <w:rsid w:val="41763898"/>
    <w:rsid w:val="4178619D"/>
    <w:rsid w:val="41997BF4"/>
    <w:rsid w:val="41A25E23"/>
    <w:rsid w:val="41BA20AB"/>
    <w:rsid w:val="41D33240"/>
    <w:rsid w:val="41DB32FB"/>
    <w:rsid w:val="41DB562E"/>
    <w:rsid w:val="41E00282"/>
    <w:rsid w:val="41F769F8"/>
    <w:rsid w:val="41FA44D3"/>
    <w:rsid w:val="41FF317F"/>
    <w:rsid w:val="42092855"/>
    <w:rsid w:val="420F3AD9"/>
    <w:rsid w:val="4222030E"/>
    <w:rsid w:val="426A1BC5"/>
    <w:rsid w:val="426E763A"/>
    <w:rsid w:val="42970839"/>
    <w:rsid w:val="429C47B7"/>
    <w:rsid w:val="42AB449F"/>
    <w:rsid w:val="42AE439D"/>
    <w:rsid w:val="42B55856"/>
    <w:rsid w:val="42BB0C2D"/>
    <w:rsid w:val="42BF2999"/>
    <w:rsid w:val="42C21EAE"/>
    <w:rsid w:val="42C60F27"/>
    <w:rsid w:val="42D33507"/>
    <w:rsid w:val="42F45061"/>
    <w:rsid w:val="43275C4F"/>
    <w:rsid w:val="43370D46"/>
    <w:rsid w:val="43451141"/>
    <w:rsid w:val="434F746B"/>
    <w:rsid w:val="43515022"/>
    <w:rsid w:val="437273A2"/>
    <w:rsid w:val="4373390F"/>
    <w:rsid w:val="43737750"/>
    <w:rsid w:val="43754326"/>
    <w:rsid w:val="437B2F7D"/>
    <w:rsid w:val="438D1048"/>
    <w:rsid w:val="439A257A"/>
    <w:rsid w:val="439B5FC3"/>
    <w:rsid w:val="43A32635"/>
    <w:rsid w:val="43C309A2"/>
    <w:rsid w:val="43C62AA3"/>
    <w:rsid w:val="43D77093"/>
    <w:rsid w:val="43D911A0"/>
    <w:rsid w:val="43D97147"/>
    <w:rsid w:val="43DE3D30"/>
    <w:rsid w:val="43E166FE"/>
    <w:rsid w:val="43E5401A"/>
    <w:rsid w:val="43E73CDC"/>
    <w:rsid w:val="43FA758D"/>
    <w:rsid w:val="43FC5E92"/>
    <w:rsid w:val="44017F76"/>
    <w:rsid w:val="440F49AF"/>
    <w:rsid w:val="441000C1"/>
    <w:rsid w:val="4424251F"/>
    <w:rsid w:val="442828F8"/>
    <w:rsid w:val="442F79B9"/>
    <w:rsid w:val="443058AA"/>
    <w:rsid w:val="444136BD"/>
    <w:rsid w:val="44674566"/>
    <w:rsid w:val="446C1472"/>
    <w:rsid w:val="446E0DE7"/>
    <w:rsid w:val="44855B8D"/>
    <w:rsid w:val="44A01FB0"/>
    <w:rsid w:val="44E173B8"/>
    <w:rsid w:val="44E33D42"/>
    <w:rsid w:val="44E94B58"/>
    <w:rsid w:val="44FD08B9"/>
    <w:rsid w:val="44FD4C59"/>
    <w:rsid w:val="45010901"/>
    <w:rsid w:val="4523483B"/>
    <w:rsid w:val="45432B13"/>
    <w:rsid w:val="45615A31"/>
    <w:rsid w:val="45631F71"/>
    <w:rsid w:val="45645083"/>
    <w:rsid w:val="45645939"/>
    <w:rsid w:val="45744428"/>
    <w:rsid w:val="457A431F"/>
    <w:rsid w:val="45873F2E"/>
    <w:rsid w:val="45903A89"/>
    <w:rsid w:val="459A2B4B"/>
    <w:rsid w:val="45AE56E5"/>
    <w:rsid w:val="45B03BFE"/>
    <w:rsid w:val="45B60586"/>
    <w:rsid w:val="45CE0436"/>
    <w:rsid w:val="45E74894"/>
    <w:rsid w:val="45F11718"/>
    <w:rsid w:val="461E34FB"/>
    <w:rsid w:val="462112DE"/>
    <w:rsid w:val="463B677F"/>
    <w:rsid w:val="46586BBB"/>
    <w:rsid w:val="465B2564"/>
    <w:rsid w:val="466361E0"/>
    <w:rsid w:val="46745329"/>
    <w:rsid w:val="46756101"/>
    <w:rsid w:val="467B665C"/>
    <w:rsid w:val="467F1B7C"/>
    <w:rsid w:val="46837434"/>
    <w:rsid w:val="46874FB5"/>
    <w:rsid w:val="46B52D8F"/>
    <w:rsid w:val="46C451FF"/>
    <w:rsid w:val="46D13F56"/>
    <w:rsid w:val="46D73768"/>
    <w:rsid w:val="46DB748E"/>
    <w:rsid w:val="46E00800"/>
    <w:rsid w:val="46EF4536"/>
    <w:rsid w:val="46F904F8"/>
    <w:rsid w:val="47036384"/>
    <w:rsid w:val="47195940"/>
    <w:rsid w:val="4735189F"/>
    <w:rsid w:val="47462CC4"/>
    <w:rsid w:val="47497311"/>
    <w:rsid w:val="47534AE8"/>
    <w:rsid w:val="47612048"/>
    <w:rsid w:val="476153EE"/>
    <w:rsid w:val="47AD369A"/>
    <w:rsid w:val="47B71D4B"/>
    <w:rsid w:val="47BB0D42"/>
    <w:rsid w:val="47BD3358"/>
    <w:rsid w:val="47D7281A"/>
    <w:rsid w:val="47E5751E"/>
    <w:rsid w:val="4832333D"/>
    <w:rsid w:val="48387293"/>
    <w:rsid w:val="483C1399"/>
    <w:rsid w:val="483C692C"/>
    <w:rsid w:val="484A137A"/>
    <w:rsid w:val="484E004A"/>
    <w:rsid w:val="485A7935"/>
    <w:rsid w:val="48680B85"/>
    <w:rsid w:val="486D3B4B"/>
    <w:rsid w:val="487F0AE0"/>
    <w:rsid w:val="48925F17"/>
    <w:rsid w:val="48974472"/>
    <w:rsid w:val="4898557D"/>
    <w:rsid w:val="489D0D0E"/>
    <w:rsid w:val="48A16470"/>
    <w:rsid w:val="48A27D40"/>
    <w:rsid w:val="48AA37A2"/>
    <w:rsid w:val="48B044FA"/>
    <w:rsid w:val="48BB5D35"/>
    <w:rsid w:val="48C470AA"/>
    <w:rsid w:val="48CB26CB"/>
    <w:rsid w:val="48DB204A"/>
    <w:rsid w:val="48F505DB"/>
    <w:rsid w:val="492B0536"/>
    <w:rsid w:val="4946107B"/>
    <w:rsid w:val="49694ABD"/>
    <w:rsid w:val="497D17F6"/>
    <w:rsid w:val="497D527C"/>
    <w:rsid w:val="49951847"/>
    <w:rsid w:val="49AC3B0D"/>
    <w:rsid w:val="49AD35FC"/>
    <w:rsid w:val="49B5767C"/>
    <w:rsid w:val="49BB5692"/>
    <w:rsid w:val="49BF5FA2"/>
    <w:rsid w:val="49C248DD"/>
    <w:rsid w:val="49D41534"/>
    <w:rsid w:val="49D42828"/>
    <w:rsid w:val="49E1749A"/>
    <w:rsid w:val="49F90D4B"/>
    <w:rsid w:val="4A1D15AB"/>
    <w:rsid w:val="4A6F336A"/>
    <w:rsid w:val="4A700CF9"/>
    <w:rsid w:val="4A712133"/>
    <w:rsid w:val="4A782BCF"/>
    <w:rsid w:val="4A7850FA"/>
    <w:rsid w:val="4A85354F"/>
    <w:rsid w:val="4AA87225"/>
    <w:rsid w:val="4AB463CE"/>
    <w:rsid w:val="4AB96C56"/>
    <w:rsid w:val="4ABB00CA"/>
    <w:rsid w:val="4ABC72DF"/>
    <w:rsid w:val="4AD31CEC"/>
    <w:rsid w:val="4AD745A3"/>
    <w:rsid w:val="4ADA101D"/>
    <w:rsid w:val="4AF26FD5"/>
    <w:rsid w:val="4AF75E99"/>
    <w:rsid w:val="4AF81F9F"/>
    <w:rsid w:val="4B036BAB"/>
    <w:rsid w:val="4B045962"/>
    <w:rsid w:val="4B0D625E"/>
    <w:rsid w:val="4B297D57"/>
    <w:rsid w:val="4B2B17CB"/>
    <w:rsid w:val="4B3A0462"/>
    <w:rsid w:val="4B5A1582"/>
    <w:rsid w:val="4B5A5E4A"/>
    <w:rsid w:val="4B844162"/>
    <w:rsid w:val="4B854101"/>
    <w:rsid w:val="4B8D1E94"/>
    <w:rsid w:val="4BB25E6F"/>
    <w:rsid w:val="4BB62985"/>
    <w:rsid w:val="4BB72DF0"/>
    <w:rsid w:val="4BC46E98"/>
    <w:rsid w:val="4BEA3114"/>
    <w:rsid w:val="4C2A0254"/>
    <w:rsid w:val="4C387FEA"/>
    <w:rsid w:val="4C4131C8"/>
    <w:rsid w:val="4C41408F"/>
    <w:rsid w:val="4C5B53E1"/>
    <w:rsid w:val="4C617EA0"/>
    <w:rsid w:val="4C6C058F"/>
    <w:rsid w:val="4C742C79"/>
    <w:rsid w:val="4C81376E"/>
    <w:rsid w:val="4C8D63BF"/>
    <w:rsid w:val="4CA24D1D"/>
    <w:rsid w:val="4CB04EFE"/>
    <w:rsid w:val="4CB93537"/>
    <w:rsid w:val="4CCE340B"/>
    <w:rsid w:val="4CD170E8"/>
    <w:rsid w:val="4CDB2ED1"/>
    <w:rsid w:val="4CE40296"/>
    <w:rsid w:val="4CE83472"/>
    <w:rsid w:val="4CFD2DA9"/>
    <w:rsid w:val="4D010936"/>
    <w:rsid w:val="4D0D702D"/>
    <w:rsid w:val="4D146429"/>
    <w:rsid w:val="4D3B22CD"/>
    <w:rsid w:val="4D3F2287"/>
    <w:rsid w:val="4D496228"/>
    <w:rsid w:val="4D521DFA"/>
    <w:rsid w:val="4D52786D"/>
    <w:rsid w:val="4D617E6D"/>
    <w:rsid w:val="4D661B93"/>
    <w:rsid w:val="4D78531A"/>
    <w:rsid w:val="4D7F6329"/>
    <w:rsid w:val="4D8D71BC"/>
    <w:rsid w:val="4DA8587B"/>
    <w:rsid w:val="4DAF7F7D"/>
    <w:rsid w:val="4DB972EA"/>
    <w:rsid w:val="4DDF7306"/>
    <w:rsid w:val="4DE87C74"/>
    <w:rsid w:val="4DEB6BA2"/>
    <w:rsid w:val="4DF2189D"/>
    <w:rsid w:val="4DF56B12"/>
    <w:rsid w:val="4DFE6DA4"/>
    <w:rsid w:val="4E0447E4"/>
    <w:rsid w:val="4E054EF1"/>
    <w:rsid w:val="4E0B28BA"/>
    <w:rsid w:val="4E273DF2"/>
    <w:rsid w:val="4E275E1F"/>
    <w:rsid w:val="4E2D718E"/>
    <w:rsid w:val="4E324791"/>
    <w:rsid w:val="4E3A332D"/>
    <w:rsid w:val="4E3B0B12"/>
    <w:rsid w:val="4E457CFC"/>
    <w:rsid w:val="4E5035B9"/>
    <w:rsid w:val="4E5D6EB6"/>
    <w:rsid w:val="4E764269"/>
    <w:rsid w:val="4E796130"/>
    <w:rsid w:val="4E8619E7"/>
    <w:rsid w:val="4E894E7D"/>
    <w:rsid w:val="4ED07F80"/>
    <w:rsid w:val="4ED22AD6"/>
    <w:rsid w:val="4EDB7BE2"/>
    <w:rsid w:val="4EE143E2"/>
    <w:rsid w:val="4EEC5DC2"/>
    <w:rsid w:val="4EF96C36"/>
    <w:rsid w:val="4EFA1A63"/>
    <w:rsid w:val="4F053BD8"/>
    <w:rsid w:val="4F1064A1"/>
    <w:rsid w:val="4F524FE5"/>
    <w:rsid w:val="4F5A6B06"/>
    <w:rsid w:val="4F6C544F"/>
    <w:rsid w:val="4F730BAE"/>
    <w:rsid w:val="4F774221"/>
    <w:rsid w:val="4F7A017A"/>
    <w:rsid w:val="4F921F77"/>
    <w:rsid w:val="4FA249BB"/>
    <w:rsid w:val="4FA56D18"/>
    <w:rsid w:val="4FBF4191"/>
    <w:rsid w:val="4FCB2AB8"/>
    <w:rsid w:val="4FDD33DB"/>
    <w:rsid w:val="4FE54559"/>
    <w:rsid w:val="4FFE322B"/>
    <w:rsid w:val="500510D1"/>
    <w:rsid w:val="500B69CE"/>
    <w:rsid w:val="500E0FC3"/>
    <w:rsid w:val="503F7E98"/>
    <w:rsid w:val="504F15D1"/>
    <w:rsid w:val="507B7075"/>
    <w:rsid w:val="50801A86"/>
    <w:rsid w:val="50843B54"/>
    <w:rsid w:val="5084607C"/>
    <w:rsid w:val="5087019C"/>
    <w:rsid w:val="509324F6"/>
    <w:rsid w:val="50AA4569"/>
    <w:rsid w:val="50AD363E"/>
    <w:rsid w:val="50C1453A"/>
    <w:rsid w:val="50CC7055"/>
    <w:rsid w:val="50D06BF1"/>
    <w:rsid w:val="50D35C50"/>
    <w:rsid w:val="50E0284F"/>
    <w:rsid w:val="50E047FE"/>
    <w:rsid w:val="50E06B31"/>
    <w:rsid w:val="50E536AE"/>
    <w:rsid w:val="50EA3832"/>
    <w:rsid w:val="50ED7405"/>
    <w:rsid w:val="50F0306A"/>
    <w:rsid w:val="50F52B7F"/>
    <w:rsid w:val="50FC79A0"/>
    <w:rsid w:val="51023D6D"/>
    <w:rsid w:val="510630D2"/>
    <w:rsid w:val="5108514E"/>
    <w:rsid w:val="512750E6"/>
    <w:rsid w:val="514D180D"/>
    <w:rsid w:val="51567810"/>
    <w:rsid w:val="51950E91"/>
    <w:rsid w:val="51CB2777"/>
    <w:rsid w:val="51CB522C"/>
    <w:rsid w:val="51DC5C72"/>
    <w:rsid w:val="52084C12"/>
    <w:rsid w:val="52131673"/>
    <w:rsid w:val="521A5044"/>
    <w:rsid w:val="522354C4"/>
    <w:rsid w:val="52285BEE"/>
    <w:rsid w:val="52365551"/>
    <w:rsid w:val="5271423C"/>
    <w:rsid w:val="52762A2B"/>
    <w:rsid w:val="528270C2"/>
    <w:rsid w:val="529A6C72"/>
    <w:rsid w:val="52AB3F4D"/>
    <w:rsid w:val="52B33BDC"/>
    <w:rsid w:val="52B434C6"/>
    <w:rsid w:val="52CD4DEE"/>
    <w:rsid w:val="52D007C3"/>
    <w:rsid w:val="52D34D35"/>
    <w:rsid w:val="52E9496A"/>
    <w:rsid w:val="52FE7E6C"/>
    <w:rsid w:val="5333696C"/>
    <w:rsid w:val="53385012"/>
    <w:rsid w:val="536D174D"/>
    <w:rsid w:val="536E2857"/>
    <w:rsid w:val="537E2CA8"/>
    <w:rsid w:val="538357A7"/>
    <w:rsid w:val="53907BCB"/>
    <w:rsid w:val="539C47DB"/>
    <w:rsid w:val="53A56F7F"/>
    <w:rsid w:val="53B603DC"/>
    <w:rsid w:val="53B67B60"/>
    <w:rsid w:val="53BE1C17"/>
    <w:rsid w:val="53D73191"/>
    <w:rsid w:val="53DF48D5"/>
    <w:rsid w:val="53ED6E6F"/>
    <w:rsid w:val="540253B3"/>
    <w:rsid w:val="541E1948"/>
    <w:rsid w:val="54275A2A"/>
    <w:rsid w:val="54365916"/>
    <w:rsid w:val="544C2D66"/>
    <w:rsid w:val="54600756"/>
    <w:rsid w:val="546432CE"/>
    <w:rsid w:val="546557E5"/>
    <w:rsid w:val="54701901"/>
    <w:rsid w:val="54780A20"/>
    <w:rsid w:val="54C3175A"/>
    <w:rsid w:val="54DE0561"/>
    <w:rsid w:val="55044D0F"/>
    <w:rsid w:val="550B15A7"/>
    <w:rsid w:val="55144508"/>
    <w:rsid w:val="551848D1"/>
    <w:rsid w:val="552A7B7B"/>
    <w:rsid w:val="55344AB0"/>
    <w:rsid w:val="5536730A"/>
    <w:rsid w:val="55377AD1"/>
    <w:rsid w:val="553E113E"/>
    <w:rsid w:val="5540237D"/>
    <w:rsid w:val="555518AD"/>
    <w:rsid w:val="55761DEC"/>
    <w:rsid w:val="55776979"/>
    <w:rsid w:val="559D7A1C"/>
    <w:rsid w:val="55C36371"/>
    <w:rsid w:val="56127BAF"/>
    <w:rsid w:val="56176400"/>
    <w:rsid w:val="561C280F"/>
    <w:rsid w:val="562C5CA2"/>
    <w:rsid w:val="56365852"/>
    <w:rsid w:val="563D1425"/>
    <w:rsid w:val="563F174E"/>
    <w:rsid w:val="56495CB7"/>
    <w:rsid w:val="564A0DC5"/>
    <w:rsid w:val="564A1FCE"/>
    <w:rsid w:val="564E3E87"/>
    <w:rsid w:val="56567E26"/>
    <w:rsid w:val="565A4801"/>
    <w:rsid w:val="56605189"/>
    <w:rsid w:val="5665180E"/>
    <w:rsid w:val="566C32B4"/>
    <w:rsid w:val="567337C7"/>
    <w:rsid w:val="567B79EB"/>
    <w:rsid w:val="569E221B"/>
    <w:rsid w:val="56B605A5"/>
    <w:rsid w:val="56CF0992"/>
    <w:rsid w:val="56D3618E"/>
    <w:rsid w:val="56E84067"/>
    <w:rsid w:val="570E2542"/>
    <w:rsid w:val="57105F22"/>
    <w:rsid w:val="571628AF"/>
    <w:rsid w:val="57190023"/>
    <w:rsid w:val="572478E2"/>
    <w:rsid w:val="57286DAB"/>
    <w:rsid w:val="574F31E1"/>
    <w:rsid w:val="5763331E"/>
    <w:rsid w:val="576D542E"/>
    <w:rsid w:val="579B29DB"/>
    <w:rsid w:val="57C61FCE"/>
    <w:rsid w:val="57CD6EFE"/>
    <w:rsid w:val="57D207B6"/>
    <w:rsid w:val="57EB1098"/>
    <w:rsid w:val="57ED7304"/>
    <w:rsid w:val="57FC04B2"/>
    <w:rsid w:val="580E5DA3"/>
    <w:rsid w:val="58167A35"/>
    <w:rsid w:val="581C39F0"/>
    <w:rsid w:val="58245DB2"/>
    <w:rsid w:val="58260813"/>
    <w:rsid w:val="5883673E"/>
    <w:rsid w:val="58866DB9"/>
    <w:rsid w:val="588C3FB5"/>
    <w:rsid w:val="589C20F4"/>
    <w:rsid w:val="58A0117C"/>
    <w:rsid w:val="58A02642"/>
    <w:rsid w:val="58AC4087"/>
    <w:rsid w:val="58AD7C1E"/>
    <w:rsid w:val="58AE77FC"/>
    <w:rsid w:val="58B53257"/>
    <w:rsid w:val="58C23DE8"/>
    <w:rsid w:val="58CD5DCD"/>
    <w:rsid w:val="58DA3788"/>
    <w:rsid w:val="58E76EAA"/>
    <w:rsid w:val="58F4772C"/>
    <w:rsid w:val="5909230E"/>
    <w:rsid w:val="591D1ECE"/>
    <w:rsid w:val="594D4198"/>
    <w:rsid w:val="596E1E52"/>
    <w:rsid w:val="597B41FB"/>
    <w:rsid w:val="59811429"/>
    <w:rsid w:val="59D01A6D"/>
    <w:rsid w:val="59D0629F"/>
    <w:rsid w:val="59E60AE1"/>
    <w:rsid w:val="59E65B63"/>
    <w:rsid w:val="59FC225C"/>
    <w:rsid w:val="59FE4ABB"/>
    <w:rsid w:val="5A007265"/>
    <w:rsid w:val="5A231AC2"/>
    <w:rsid w:val="5A310067"/>
    <w:rsid w:val="5A3B4856"/>
    <w:rsid w:val="5A534768"/>
    <w:rsid w:val="5A5930CA"/>
    <w:rsid w:val="5A5C0A1F"/>
    <w:rsid w:val="5A8955AF"/>
    <w:rsid w:val="5AA251E6"/>
    <w:rsid w:val="5AAD3CEF"/>
    <w:rsid w:val="5AB16450"/>
    <w:rsid w:val="5ACD2AC8"/>
    <w:rsid w:val="5AD32754"/>
    <w:rsid w:val="5ADE17A9"/>
    <w:rsid w:val="5AEA58A1"/>
    <w:rsid w:val="5AF552C4"/>
    <w:rsid w:val="5B07173B"/>
    <w:rsid w:val="5B110B78"/>
    <w:rsid w:val="5B1374B1"/>
    <w:rsid w:val="5B47501F"/>
    <w:rsid w:val="5B506F99"/>
    <w:rsid w:val="5B7230ED"/>
    <w:rsid w:val="5B771706"/>
    <w:rsid w:val="5B807034"/>
    <w:rsid w:val="5BA73EE2"/>
    <w:rsid w:val="5BA9593B"/>
    <w:rsid w:val="5BB7666F"/>
    <w:rsid w:val="5BBB0088"/>
    <w:rsid w:val="5BC333BC"/>
    <w:rsid w:val="5BC616E3"/>
    <w:rsid w:val="5BD73A7F"/>
    <w:rsid w:val="5BED6F4A"/>
    <w:rsid w:val="5C045C36"/>
    <w:rsid w:val="5C362E9D"/>
    <w:rsid w:val="5C457203"/>
    <w:rsid w:val="5C49705F"/>
    <w:rsid w:val="5C4A1567"/>
    <w:rsid w:val="5C533B03"/>
    <w:rsid w:val="5C78087D"/>
    <w:rsid w:val="5C7A1980"/>
    <w:rsid w:val="5CA20F74"/>
    <w:rsid w:val="5CAF25EF"/>
    <w:rsid w:val="5CC14995"/>
    <w:rsid w:val="5CC43A65"/>
    <w:rsid w:val="5CCA507C"/>
    <w:rsid w:val="5CD3738E"/>
    <w:rsid w:val="5CDF4A83"/>
    <w:rsid w:val="5CE13344"/>
    <w:rsid w:val="5D2C3E5A"/>
    <w:rsid w:val="5D5A4CE6"/>
    <w:rsid w:val="5DC47B64"/>
    <w:rsid w:val="5DDE50FB"/>
    <w:rsid w:val="5DE128B7"/>
    <w:rsid w:val="5DE73600"/>
    <w:rsid w:val="5DEA527B"/>
    <w:rsid w:val="5DF54A43"/>
    <w:rsid w:val="5E052968"/>
    <w:rsid w:val="5E0D5F92"/>
    <w:rsid w:val="5E217268"/>
    <w:rsid w:val="5E3D5F7C"/>
    <w:rsid w:val="5E5A1110"/>
    <w:rsid w:val="5E616F2D"/>
    <w:rsid w:val="5E6E7A01"/>
    <w:rsid w:val="5E710639"/>
    <w:rsid w:val="5EA03A56"/>
    <w:rsid w:val="5EA17018"/>
    <w:rsid w:val="5EB71C9C"/>
    <w:rsid w:val="5EBD5A8C"/>
    <w:rsid w:val="5ED82EFF"/>
    <w:rsid w:val="5EDF277D"/>
    <w:rsid w:val="5EE04748"/>
    <w:rsid w:val="5EFB05A6"/>
    <w:rsid w:val="5F026C79"/>
    <w:rsid w:val="5F10472F"/>
    <w:rsid w:val="5F132FD3"/>
    <w:rsid w:val="5F1753EF"/>
    <w:rsid w:val="5F2C5CBB"/>
    <w:rsid w:val="5F2E2C7D"/>
    <w:rsid w:val="5F3A7040"/>
    <w:rsid w:val="5F490292"/>
    <w:rsid w:val="5F563661"/>
    <w:rsid w:val="5F7A5459"/>
    <w:rsid w:val="5F855458"/>
    <w:rsid w:val="5F8930B2"/>
    <w:rsid w:val="5F8C14F7"/>
    <w:rsid w:val="5F9F5B1D"/>
    <w:rsid w:val="5FB764CF"/>
    <w:rsid w:val="5FBC3CFE"/>
    <w:rsid w:val="5FC55060"/>
    <w:rsid w:val="5FC81B85"/>
    <w:rsid w:val="5FCD6D01"/>
    <w:rsid w:val="5FE72417"/>
    <w:rsid w:val="5FE737C0"/>
    <w:rsid w:val="60273FDE"/>
    <w:rsid w:val="60376CFC"/>
    <w:rsid w:val="60472C3A"/>
    <w:rsid w:val="607140D0"/>
    <w:rsid w:val="607D34DA"/>
    <w:rsid w:val="60852CCE"/>
    <w:rsid w:val="60866FC5"/>
    <w:rsid w:val="60880163"/>
    <w:rsid w:val="6088786F"/>
    <w:rsid w:val="608973B8"/>
    <w:rsid w:val="60A3490B"/>
    <w:rsid w:val="60A65036"/>
    <w:rsid w:val="60D3357A"/>
    <w:rsid w:val="60DE464C"/>
    <w:rsid w:val="60E03EFA"/>
    <w:rsid w:val="60E66FE4"/>
    <w:rsid w:val="610142AB"/>
    <w:rsid w:val="610A00CE"/>
    <w:rsid w:val="61155851"/>
    <w:rsid w:val="61205B8C"/>
    <w:rsid w:val="61277E71"/>
    <w:rsid w:val="61550CC1"/>
    <w:rsid w:val="615922E4"/>
    <w:rsid w:val="61643FCD"/>
    <w:rsid w:val="617048F7"/>
    <w:rsid w:val="61707ED7"/>
    <w:rsid w:val="61724738"/>
    <w:rsid w:val="61814313"/>
    <w:rsid w:val="61821264"/>
    <w:rsid w:val="61A87651"/>
    <w:rsid w:val="61AC3F39"/>
    <w:rsid w:val="61BD5AE8"/>
    <w:rsid w:val="61E84CBE"/>
    <w:rsid w:val="6237573F"/>
    <w:rsid w:val="62405210"/>
    <w:rsid w:val="624D1200"/>
    <w:rsid w:val="624F517C"/>
    <w:rsid w:val="62843B1F"/>
    <w:rsid w:val="629532C2"/>
    <w:rsid w:val="62A2545B"/>
    <w:rsid w:val="62A849E9"/>
    <w:rsid w:val="631708CE"/>
    <w:rsid w:val="632424C1"/>
    <w:rsid w:val="634C3F40"/>
    <w:rsid w:val="634F395F"/>
    <w:rsid w:val="635C1D50"/>
    <w:rsid w:val="63613007"/>
    <w:rsid w:val="6362619B"/>
    <w:rsid w:val="63703AED"/>
    <w:rsid w:val="638148C7"/>
    <w:rsid w:val="63862258"/>
    <w:rsid w:val="63A669C9"/>
    <w:rsid w:val="63AB1E39"/>
    <w:rsid w:val="63CB179D"/>
    <w:rsid w:val="63D157DD"/>
    <w:rsid w:val="63F61AD4"/>
    <w:rsid w:val="63FF6C76"/>
    <w:rsid w:val="64004618"/>
    <w:rsid w:val="64073EDA"/>
    <w:rsid w:val="640D111D"/>
    <w:rsid w:val="64156BCB"/>
    <w:rsid w:val="641854A2"/>
    <w:rsid w:val="64284D06"/>
    <w:rsid w:val="64532BB0"/>
    <w:rsid w:val="646A467D"/>
    <w:rsid w:val="646D2223"/>
    <w:rsid w:val="647D193B"/>
    <w:rsid w:val="647F5CA1"/>
    <w:rsid w:val="6486038C"/>
    <w:rsid w:val="649F0473"/>
    <w:rsid w:val="64A65BB3"/>
    <w:rsid w:val="64C62351"/>
    <w:rsid w:val="64D64573"/>
    <w:rsid w:val="64D947CF"/>
    <w:rsid w:val="65130F31"/>
    <w:rsid w:val="65214347"/>
    <w:rsid w:val="653F637B"/>
    <w:rsid w:val="65792C9B"/>
    <w:rsid w:val="658A0863"/>
    <w:rsid w:val="658E643A"/>
    <w:rsid w:val="6590782D"/>
    <w:rsid w:val="659E2325"/>
    <w:rsid w:val="65A03D06"/>
    <w:rsid w:val="65A229CA"/>
    <w:rsid w:val="65B323F3"/>
    <w:rsid w:val="65B40A60"/>
    <w:rsid w:val="65CF78AC"/>
    <w:rsid w:val="65E01DC6"/>
    <w:rsid w:val="65E31996"/>
    <w:rsid w:val="65E6308E"/>
    <w:rsid w:val="65EE2CF5"/>
    <w:rsid w:val="660D6812"/>
    <w:rsid w:val="660F2269"/>
    <w:rsid w:val="66196C36"/>
    <w:rsid w:val="66633582"/>
    <w:rsid w:val="66651BDC"/>
    <w:rsid w:val="666D0DF2"/>
    <w:rsid w:val="66744D9F"/>
    <w:rsid w:val="667D0668"/>
    <w:rsid w:val="66832E6F"/>
    <w:rsid w:val="669A088D"/>
    <w:rsid w:val="669C5E53"/>
    <w:rsid w:val="669E4A4E"/>
    <w:rsid w:val="66B05B18"/>
    <w:rsid w:val="66C04166"/>
    <w:rsid w:val="66C43DC9"/>
    <w:rsid w:val="66D570E2"/>
    <w:rsid w:val="66E02C5B"/>
    <w:rsid w:val="66F425CE"/>
    <w:rsid w:val="66FA7FAF"/>
    <w:rsid w:val="670A28A8"/>
    <w:rsid w:val="670A76B6"/>
    <w:rsid w:val="671110C2"/>
    <w:rsid w:val="671A3B7C"/>
    <w:rsid w:val="672B7CC7"/>
    <w:rsid w:val="67414388"/>
    <w:rsid w:val="675024EE"/>
    <w:rsid w:val="6758406F"/>
    <w:rsid w:val="67591A5A"/>
    <w:rsid w:val="676A667F"/>
    <w:rsid w:val="67977CD1"/>
    <w:rsid w:val="67B93427"/>
    <w:rsid w:val="67D806ED"/>
    <w:rsid w:val="67DA1E3B"/>
    <w:rsid w:val="67DD1918"/>
    <w:rsid w:val="67E91C4C"/>
    <w:rsid w:val="67F6367D"/>
    <w:rsid w:val="687703E8"/>
    <w:rsid w:val="689748C0"/>
    <w:rsid w:val="68975E67"/>
    <w:rsid w:val="689B3943"/>
    <w:rsid w:val="689B5F72"/>
    <w:rsid w:val="68A92BBB"/>
    <w:rsid w:val="68AA3189"/>
    <w:rsid w:val="68B87AA8"/>
    <w:rsid w:val="68C4047A"/>
    <w:rsid w:val="68CE79E9"/>
    <w:rsid w:val="68CF5FBA"/>
    <w:rsid w:val="68E032BE"/>
    <w:rsid w:val="68EF4322"/>
    <w:rsid w:val="68F6064D"/>
    <w:rsid w:val="68FA155B"/>
    <w:rsid w:val="690B782E"/>
    <w:rsid w:val="69476849"/>
    <w:rsid w:val="694A6159"/>
    <w:rsid w:val="694C06A9"/>
    <w:rsid w:val="697D5A91"/>
    <w:rsid w:val="6999071C"/>
    <w:rsid w:val="69AE1E1C"/>
    <w:rsid w:val="69BF39B8"/>
    <w:rsid w:val="69C33F35"/>
    <w:rsid w:val="69C52D46"/>
    <w:rsid w:val="69C93673"/>
    <w:rsid w:val="69CD7DC8"/>
    <w:rsid w:val="69EF3AA6"/>
    <w:rsid w:val="69FD3BAD"/>
    <w:rsid w:val="6A2B7A6E"/>
    <w:rsid w:val="6A4609B2"/>
    <w:rsid w:val="6A516637"/>
    <w:rsid w:val="6A534F45"/>
    <w:rsid w:val="6A5F6513"/>
    <w:rsid w:val="6A6125E1"/>
    <w:rsid w:val="6A645A26"/>
    <w:rsid w:val="6A655D02"/>
    <w:rsid w:val="6A6F2A4D"/>
    <w:rsid w:val="6A910026"/>
    <w:rsid w:val="6A9A4C08"/>
    <w:rsid w:val="6AA1438C"/>
    <w:rsid w:val="6ADA058D"/>
    <w:rsid w:val="6AF55F2D"/>
    <w:rsid w:val="6AF620F3"/>
    <w:rsid w:val="6B210699"/>
    <w:rsid w:val="6B5B3E77"/>
    <w:rsid w:val="6B7278F9"/>
    <w:rsid w:val="6B76781E"/>
    <w:rsid w:val="6B806B86"/>
    <w:rsid w:val="6B912284"/>
    <w:rsid w:val="6B9504F2"/>
    <w:rsid w:val="6BA023E9"/>
    <w:rsid w:val="6BA45F22"/>
    <w:rsid w:val="6BAF11DE"/>
    <w:rsid w:val="6BB248AE"/>
    <w:rsid w:val="6BC03BE4"/>
    <w:rsid w:val="6C0333AB"/>
    <w:rsid w:val="6C0F32DC"/>
    <w:rsid w:val="6C1848DF"/>
    <w:rsid w:val="6C1D2F9F"/>
    <w:rsid w:val="6C206F72"/>
    <w:rsid w:val="6C2C6A38"/>
    <w:rsid w:val="6C3810A1"/>
    <w:rsid w:val="6C3A5834"/>
    <w:rsid w:val="6C4E22D9"/>
    <w:rsid w:val="6C530186"/>
    <w:rsid w:val="6C545E29"/>
    <w:rsid w:val="6C5A228B"/>
    <w:rsid w:val="6C5D23B9"/>
    <w:rsid w:val="6C8576CF"/>
    <w:rsid w:val="6C906DBE"/>
    <w:rsid w:val="6C940191"/>
    <w:rsid w:val="6C945EC1"/>
    <w:rsid w:val="6C9B5343"/>
    <w:rsid w:val="6C9C771D"/>
    <w:rsid w:val="6CA80F7D"/>
    <w:rsid w:val="6CB8006D"/>
    <w:rsid w:val="6CC97D25"/>
    <w:rsid w:val="6CDB120E"/>
    <w:rsid w:val="6CE056C8"/>
    <w:rsid w:val="6CF57915"/>
    <w:rsid w:val="6D0E445B"/>
    <w:rsid w:val="6D154B26"/>
    <w:rsid w:val="6D320AEC"/>
    <w:rsid w:val="6D4315B7"/>
    <w:rsid w:val="6D441015"/>
    <w:rsid w:val="6D476697"/>
    <w:rsid w:val="6D4F17DC"/>
    <w:rsid w:val="6D6171C7"/>
    <w:rsid w:val="6D64106F"/>
    <w:rsid w:val="6D663BF9"/>
    <w:rsid w:val="6D6C22C0"/>
    <w:rsid w:val="6D7E41EB"/>
    <w:rsid w:val="6DAC4AC0"/>
    <w:rsid w:val="6DBE2D94"/>
    <w:rsid w:val="6DCC42B3"/>
    <w:rsid w:val="6DEB30B5"/>
    <w:rsid w:val="6DFB2674"/>
    <w:rsid w:val="6E094A2E"/>
    <w:rsid w:val="6E1B1D04"/>
    <w:rsid w:val="6E4F65C4"/>
    <w:rsid w:val="6E753AFC"/>
    <w:rsid w:val="6E780D25"/>
    <w:rsid w:val="6E8D5AE2"/>
    <w:rsid w:val="6E8D6F92"/>
    <w:rsid w:val="6EB4252C"/>
    <w:rsid w:val="6EB85FF9"/>
    <w:rsid w:val="6EC7506B"/>
    <w:rsid w:val="6ECC79E0"/>
    <w:rsid w:val="6ECD3F4B"/>
    <w:rsid w:val="6EE11FA9"/>
    <w:rsid w:val="6EFC3D84"/>
    <w:rsid w:val="6EFC62C8"/>
    <w:rsid w:val="6F2171A4"/>
    <w:rsid w:val="6F5372B3"/>
    <w:rsid w:val="6F541627"/>
    <w:rsid w:val="6F547652"/>
    <w:rsid w:val="6F610BEC"/>
    <w:rsid w:val="6F6A6988"/>
    <w:rsid w:val="6F79580D"/>
    <w:rsid w:val="6F7D12F4"/>
    <w:rsid w:val="6F8D2D81"/>
    <w:rsid w:val="6F9749FB"/>
    <w:rsid w:val="6F9F5811"/>
    <w:rsid w:val="6FAE0351"/>
    <w:rsid w:val="6FC54716"/>
    <w:rsid w:val="6FC55C8A"/>
    <w:rsid w:val="6FC707AD"/>
    <w:rsid w:val="6FCF6A53"/>
    <w:rsid w:val="6FD33F3E"/>
    <w:rsid w:val="6FD44871"/>
    <w:rsid w:val="6FDE0649"/>
    <w:rsid w:val="6FE517B6"/>
    <w:rsid w:val="6FFA1C6B"/>
    <w:rsid w:val="70201662"/>
    <w:rsid w:val="7024187D"/>
    <w:rsid w:val="70257AF8"/>
    <w:rsid w:val="70503F25"/>
    <w:rsid w:val="70513947"/>
    <w:rsid w:val="70526725"/>
    <w:rsid w:val="705A4DB3"/>
    <w:rsid w:val="705E7338"/>
    <w:rsid w:val="707E3635"/>
    <w:rsid w:val="70870E3F"/>
    <w:rsid w:val="70B54D0D"/>
    <w:rsid w:val="70C81BA2"/>
    <w:rsid w:val="70CE1D3A"/>
    <w:rsid w:val="70D728AB"/>
    <w:rsid w:val="70E04AB7"/>
    <w:rsid w:val="70E752F8"/>
    <w:rsid w:val="70EE5669"/>
    <w:rsid w:val="70F00542"/>
    <w:rsid w:val="70F16666"/>
    <w:rsid w:val="71054859"/>
    <w:rsid w:val="71084A5A"/>
    <w:rsid w:val="710B3E50"/>
    <w:rsid w:val="71234CD4"/>
    <w:rsid w:val="712D5E72"/>
    <w:rsid w:val="71383FA3"/>
    <w:rsid w:val="71434BED"/>
    <w:rsid w:val="714D544E"/>
    <w:rsid w:val="71560B60"/>
    <w:rsid w:val="71641E43"/>
    <w:rsid w:val="716E5C58"/>
    <w:rsid w:val="71923A1E"/>
    <w:rsid w:val="71A70273"/>
    <w:rsid w:val="71C30463"/>
    <w:rsid w:val="71C84B93"/>
    <w:rsid w:val="71CE363D"/>
    <w:rsid w:val="71F42EB8"/>
    <w:rsid w:val="72143096"/>
    <w:rsid w:val="72214459"/>
    <w:rsid w:val="723B780F"/>
    <w:rsid w:val="724405BD"/>
    <w:rsid w:val="72474748"/>
    <w:rsid w:val="72606560"/>
    <w:rsid w:val="72746531"/>
    <w:rsid w:val="7279326C"/>
    <w:rsid w:val="727B0E73"/>
    <w:rsid w:val="729D67D7"/>
    <w:rsid w:val="72B7269E"/>
    <w:rsid w:val="72BF3070"/>
    <w:rsid w:val="72C82FDE"/>
    <w:rsid w:val="72CE136A"/>
    <w:rsid w:val="72DD1671"/>
    <w:rsid w:val="72E56B49"/>
    <w:rsid w:val="72EB6154"/>
    <w:rsid w:val="7312119F"/>
    <w:rsid w:val="73266077"/>
    <w:rsid w:val="73310AF2"/>
    <w:rsid w:val="73524BC5"/>
    <w:rsid w:val="7365769A"/>
    <w:rsid w:val="73744DDF"/>
    <w:rsid w:val="739E4751"/>
    <w:rsid w:val="73B115E6"/>
    <w:rsid w:val="73B41ED9"/>
    <w:rsid w:val="73B45B4B"/>
    <w:rsid w:val="73D420DC"/>
    <w:rsid w:val="73DB329B"/>
    <w:rsid w:val="73DF1BA8"/>
    <w:rsid w:val="740560C0"/>
    <w:rsid w:val="74101B27"/>
    <w:rsid w:val="74151F10"/>
    <w:rsid w:val="741833DC"/>
    <w:rsid w:val="743F3C36"/>
    <w:rsid w:val="745E364C"/>
    <w:rsid w:val="746E4153"/>
    <w:rsid w:val="7480721E"/>
    <w:rsid w:val="74A1543A"/>
    <w:rsid w:val="74BD5F94"/>
    <w:rsid w:val="74D74DC6"/>
    <w:rsid w:val="74E00F35"/>
    <w:rsid w:val="74EC2BF2"/>
    <w:rsid w:val="74F206D6"/>
    <w:rsid w:val="74FA443D"/>
    <w:rsid w:val="74FB1E15"/>
    <w:rsid w:val="74FD30C9"/>
    <w:rsid w:val="7505127B"/>
    <w:rsid w:val="750C5109"/>
    <w:rsid w:val="752C3E7A"/>
    <w:rsid w:val="75475154"/>
    <w:rsid w:val="754B62A6"/>
    <w:rsid w:val="75647E61"/>
    <w:rsid w:val="75705734"/>
    <w:rsid w:val="75723327"/>
    <w:rsid w:val="75862DDB"/>
    <w:rsid w:val="758B3BCD"/>
    <w:rsid w:val="758C661B"/>
    <w:rsid w:val="75A36394"/>
    <w:rsid w:val="75A54A07"/>
    <w:rsid w:val="75B2513F"/>
    <w:rsid w:val="75C8628B"/>
    <w:rsid w:val="75E955E5"/>
    <w:rsid w:val="75EE4A87"/>
    <w:rsid w:val="76003899"/>
    <w:rsid w:val="760100FA"/>
    <w:rsid w:val="76044B04"/>
    <w:rsid w:val="76121576"/>
    <w:rsid w:val="76252589"/>
    <w:rsid w:val="762E4E2F"/>
    <w:rsid w:val="763276C8"/>
    <w:rsid w:val="76366201"/>
    <w:rsid w:val="763B707E"/>
    <w:rsid w:val="76483C5A"/>
    <w:rsid w:val="765374A5"/>
    <w:rsid w:val="765F5436"/>
    <w:rsid w:val="76750E1C"/>
    <w:rsid w:val="7692155B"/>
    <w:rsid w:val="7698649F"/>
    <w:rsid w:val="76A1191A"/>
    <w:rsid w:val="76B471E7"/>
    <w:rsid w:val="76BE141B"/>
    <w:rsid w:val="76DD6660"/>
    <w:rsid w:val="76E617D5"/>
    <w:rsid w:val="77004BC5"/>
    <w:rsid w:val="77055A5F"/>
    <w:rsid w:val="77164E54"/>
    <w:rsid w:val="77175110"/>
    <w:rsid w:val="771918E8"/>
    <w:rsid w:val="77255BC6"/>
    <w:rsid w:val="7730549D"/>
    <w:rsid w:val="77332EB5"/>
    <w:rsid w:val="773859A6"/>
    <w:rsid w:val="773C557A"/>
    <w:rsid w:val="77422DE8"/>
    <w:rsid w:val="774232CD"/>
    <w:rsid w:val="77483056"/>
    <w:rsid w:val="77496A23"/>
    <w:rsid w:val="77647724"/>
    <w:rsid w:val="7775505E"/>
    <w:rsid w:val="7784630C"/>
    <w:rsid w:val="7788144F"/>
    <w:rsid w:val="779A60FD"/>
    <w:rsid w:val="77B5380B"/>
    <w:rsid w:val="77B73DB6"/>
    <w:rsid w:val="77BD62BD"/>
    <w:rsid w:val="77C955DF"/>
    <w:rsid w:val="77F5079C"/>
    <w:rsid w:val="780F0E00"/>
    <w:rsid w:val="782379C5"/>
    <w:rsid w:val="782E0CD5"/>
    <w:rsid w:val="78315774"/>
    <w:rsid w:val="78484950"/>
    <w:rsid w:val="784A595B"/>
    <w:rsid w:val="78571C44"/>
    <w:rsid w:val="787D0BB5"/>
    <w:rsid w:val="787D7C16"/>
    <w:rsid w:val="788077FA"/>
    <w:rsid w:val="788C162B"/>
    <w:rsid w:val="78A556E9"/>
    <w:rsid w:val="78C347BB"/>
    <w:rsid w:val="78C47752"/>
    <w:rsid w:val="78D005D7"/>
    <w:rsid w:val="78F07AFC"/>
    <w:rsid w:val="7904602B"/>
    <w:rsid w:val="791647D5"/>
    <w:rsid w:val="791C2D46"/>
    <w:rsid w:val="793769E2"/>
    <w:rsid w:val="79601FFF"/>
    <w:rsid w:val="79671272"/>
    <w:rsid w:val="79697C10"/>
    <w:rsid w:val="797377DF"/>
    <w:rsid w:val="79890C5D"/>
    <w:rsid w:val="79923CB3"/>
    <w:rsid w:val="79994FDB"/>
    <w:rsid w:val="799B49B2"/>
    <w:rsid w:val="79A023C6"/>
    <w:rsid w:val="79AF6CF7"/>
    <w:rsid w:val="79B83C71"/>
    <w:rsid w:val="79C71E03"/>
    <w:rsid w:val="79CA2953"/>
    <w:rsid w:val="79D05EA5"/>
    <w:rsid w:val="79D0613E"/>
    <w:rsid w:val="79D53D35"/>
    <w:rsid w:val="79DB3E6D"/>
    <w:rsid w:val="79DB7DBB"/>
    <w:rsid w:val="79E90504"/>
    <w:rsid w:val="7A0D78EC"/>
    <w:rsid w:val="7A171326"/>
    <w:rsid w:val="7A36742C"/>
    <w:rsid w:val="7A376FAD"/>
    <w:rsid w:val="7A7C72C4"/>
    <w:rsid w:val="7A900056"/>
    <w:rsid w:val="7A9F0501"/>
    <w:rsid w:val="7AA95841"/>
    <w:rsid w:val="7AAD7780"/>
    <w:rsid w:val="7AC41352"/>
    <w:rsid w:val="7AC70AE9"/>
    <w:rsid w:val="7ACE6C6A"/>
    <w:rsid w:val="7AD92855"/>
    <w:rsid w:val="7AE74A0C"/>
    <w:rsid w:val="7AE9630D"/>
    <w:rsid w:val="7AEA69B5"/>
    <w:rsid w:val="7B323B12"/>
    <w:rsid w:val="7B3D406D"/>
    <w:rsid w:val="7B595071"/>
    <w:rsid w:val="7B5B2270"/>
    <w:rsid w:val="7B6B0056"/>
    <w:rsid w:val="7B8F5F44"/>
    <w:rsid w:val="7B96610F"/>
    <w:rsid w:val="7BAA1965"/>
    <w:rsid w:val="7BC0698C"/>
    <w:rsid w:val="7BEB25BE"/>
    <w:rsid w:val="7BF34248"/>
    <w:rsid w:val="7BFA3A3D"/>
    <w:rsid w:val="7C14022C"/>
    <w:rsid w:val="7C16489D"/>
    <w:rsid w:val="7C222BB8"/>
    <w:rsid w:val="7C2358FF"/>
    <w:rsid w:val="7C2C7719"/>
    <w:rsid w:val="7C4A3E4B"/>
    <w:rsid w:val="7C636752"/>
    <w:rsid w:val="7C657B35"/>
    <w:rsid w:val="7C9D08C9"/>
    <w:rsid w:val="7CAF47B7"/>
    <w:rsid w:val="7CB86D53"/>
    <w:rsid w:val="7CBA32E5"/>
    <w:rsid w:val="7CC70CCE"/>
    <w:rsid w:val="7CCA0ED7"/>
    <w:rsid w:val="7CCE69FE"/>
    <w:rsid w:val="7CD072E2"/>
    <w:rsid w:val="7CD32F3F"/>
    <w:rsid w:val="7CE1380D"/>
    <w:rsid w:val="7CE60EAF"/>
    <w:rsid w:val="7CED5A0D"/>
    <w:rsid w:val="7D0E77C0"/>
    <w:rsid w:val="7D123CCA"/>
    <w:rsid w:val="7D2427B4"/>
    <w:rsid w:val="7D356E56"/>
    <w:rsid w:val="7D4F0510"/>
    <w:rsid w:val="7D601DC6"/>
    <w:rsid w:val="7D803E8C"/>
    <w:rsid w:val="7DA85098"/>
    <w:rsid w:val="7DB514C6"/>
    <w:rsid w:val="7DB70A93"/>
    <w:rsid w:val="7DDB5C86"/>
    <w:rsid w:val="7DE20D2D"/>
    <w:rsid w:val="7DE340C8"/>
    <w:rsid w:val="7DE77096"/>
    <w:rsid w:val="7DEE545D"/>
    <w:rsid w:val="7DFA631C"/>
    <w:rsid w:val="7E20335F"/>
    <w:rsid w:val="7E321B56"/>
    <w:rsid w:val="7E380FED"/>
    <w:rsid w:val="7E3E7829"/>
    <w:rsid w:val="7E4F79AF"/>
    <w:rsid w:val="7E675045"/>
    <w:rsid w:val="7E684851"/>
    <w:rsid w:val="7E733C56"/>
    <w:rsid w:val="7E7B41D7"/>
    <w:rsid w:val="7E8C2EDF"/>
    <w:rsid w:val="7EB11157"/>
    <w:rsid w:val="7EB53FFA"/>
    <w:rsid w:val="7EBE6507"/>
    <w:rsid w:val="7ECB2E11"/>
    <w:rsid w:val="7ECD1A2A"/>
    <w:rsid w:val="7ED368A2"/>
    <w:rsid w:val="7ED97EFB"/>
    <w:rsid w:val="7EDF2745"/>
    <w:rsid w:val="7EE15BB1"/>
    <w:rsid w:val="7EF33C03"/>
    <w:rsid w:val="7EF65A47"/>
    <w:rsid w:val="7EF9195B"/>
    <w:rsid w:val="7F137B09"/>
    <w:rsid w:val="7F201338"/>
    <w:rsid w:val="7F2809A6"/>
    <w:rsid w:val="7F2E3E36"/>
    <w:rsid w:val="7F7B0F72"/>
    <w:rsid w:val="7FAE7F5E"/>
    <w:rsid w:val="7FB70AB2"/>
    <w:rsid w:val="7FB7525C"/>
    <w:rsid w:val="7FC7186A"/>
    <w:rsid w:val="7FD94DD9"/>
    <w:rsid w:val="7FF40B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qFormat="1" w:uiPriority="99"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8"/>
    <w:qFormat/>
    <w:uiPriority w:val="0"/>
    <w:pPr>
      <w:keepNext/>
      <w:keepLines/>
      <w:spacing w:before="340" w:after="330" w:line="578" w:lineRule="auto"/>
      <w:outlineLvl w:val="0"/>
    </w:pPr>
    <w:rPr>
      <w:rFonts w:ascii="Tahoma" w:hAnsi="Tahoma"/>
      <w:b/>
      <w:bCs/>
      <w:kern w:val="44"/>
      <w:sz w:val="44"/>
      <w:szCs w:val="44"/>
    </w:rPr>
  </w:style>
  <w:style w:type="paragraph" w:styleId="2">
    <w:name w:val="heading 2"/>
    <w:basedOn w:val="1"/>
    <w:next w:val="1"/>
    <w:link w:val="92"/>
    <w:qFormat/>
    <w:uiPriority w:val="0"/>
    <w:pPr>
      <w:keepNext/>
      <w:keepLines/>
      <w:spacing w:before="260" w:after="260" w:line="416" w:lineRule="auto"/>
      <w:outlineLvl w:val="1"/>
    </w:pPr>
    <w:rPr>
      <w:rFonts w:ascii="Cambria" w:hAnsi="Cambria"/>
      <w:b/>
      <w:bCs/>
      <w:sz w:val="32"/>
      <w:szCs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spacing w:before="240" w:after="60"/>
      <w:outlineLvl w:val="3"/>
    </w:pPr>
    <w:rPr>
      <w:b/>
      <w:bCs/>
      <w:sz w:val="28"/>
      <w:szCs w:val="28"/>
    </w:rPr>
  </w:style>
  <w:style w:type="paragraph" w:styleId="6">
    <w:name w:val="heading 6"/>
    <w:basedOn w:val="1"/>
    <w:next w:val="1"/>
    <w:link w:val="118"/>
    <w:qFormat/>
    <w:uiPriority w:val="0"/>
    <w:pPr>
      <w:keepNext/>
      <w:keepLines/>
      <w:spacing w:before="240" w:after="64" w:line="320" w:lineRule="auto"/>
      <w:outlineLvl w:val="5"/>
    </w:pPr>
    <w:rPr>
      <w:rFonts w:ascii="Arial" w:hAnsi="Arial" w:eastAsia="黑体"/>
      <w:b/>
      <w:bCs/>
      <w:sz w:val="24"/>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7">
    <w:name w:val="List Number"/>
    <w:basedOn w:val="1"/>
    <w:qFormat/>
    <w:uiPriority w:val="0"/>
    <w:pPr>
      <w:widowControl/>
      <w:tabs>
        <w:tab w:val="left" w:pos="454"/>
        <w:tab w:val="left" w:pos="720"/>
        <w:tab w:val="left" w:pos="840"/>
      </w:tabs>
      <w:spacing w:afterLines="50"/>
      <w:ind w:left="454" w:hanging="284"/>
      <w:jc w:val="left"/>
    </w:pPr>
    <w:rPr>
      <w:kern w:val="0"/>
      <w:sz w:val="24"/>
      <w:szCs w:val="20"/>
    </w:rPr>
  </w:style>
  <w:style w:type="paragraph" w:styleId="8">
    <w:name w:val="Normal Indent"/>
    <w:basedOn w:val="1"/>
    <w:link w:val="100"/>
    <w:qFormat/>
    <w:uiPriority w:val="0"/>
    <w:pPr>
      <w:ind w:firstLine="420"/>
    </w:pPr>
    <w:rPr>
      <w:szCs w:val="20"/>
    </w:rPr>
  </w:style>
  <w:style w:type="paragraph" w:styleId="9">
    <w:name w:val="Document Map"/>
    <w:basedOn w:val="1"/>
    <w:link w:val="111"/>
    <w:qFormat/>
    <w:uiPriority w:val="0"/>
    <w:rPr>
      <w:rFonts w:ascii="宋体" w:hAnsi="Tahoma"/>
      <w:sz w:val="18"/>
      <w:szCs w:val="18"/>
    </w:rPr>
  </w:style>
  <w:style w:type="paragraph" w:styleId="10">
    <w:name w:val="annotation text"/>
    <w:basedOn w:val="1"/>
    <w:link w:val="108"/>
    <w:semiHidden/>
    <w:qFormat/>
    <w:uiPriority w:val="0"/>
    <w:pPr>
      <w:jc w:val="left"/>
    </w:pPr>
  </w:style>
  <w:style w:type="paragraph" w:styleId="11">
    <w:name w:val="Body Text 3"/>
    <w:basedOn w:val="1"/>
    <w:qFormat/>
    <w:uiPriority w:val="0"/>
    <w:pPr>
      <w:spacing w:line="240" w:lineRule="exact"/>
    </w:pPr>
    <w:rPr>
      <w:rFonts w:ascii="宋体" w:hAnsi="宋体"/>
      <w:color w:val="000000"/>
      <w:szCs w:val="21"/>
    </w:rPr>
  </w:style>
  <w:style w:type="paragraph" w:styleId="12">
    <w:name w:val="Body Text"/>
    <w:basedOn w:val="1"/>
    <w:qFormat/>
    <w:uiPriority w:val="0"/>
    <w:pPr>
      <w:spacing w:line="380" w:lineRule="exact"/>
    </w:pPr>
    <w:rPr>
      <w:sz w:val="24"/>
    </w:rPr>
  </w:style>
  <w:style w:type="paragraph" w:styleId="13">
    <w:name w:val="Body Text Indent"/>
    <w:basedOn w:val="1"/>
    <w:link w:val="116"/>
    <w:qFormat/>
    <w:uiPriority w:val="0"/>
    <w:pPr>
      <w:spacing w:after="120"/>
      <w:ind w:left="420" w:leftChars="200"/>
    </w:pPr>
    <w:rPr>
      <w:rFonts w:ascii="Tahoma" w:hAnsi="Tahoma"/>
    </w:rPr>
  </w:style>
  <w:style w:type="paragraph" w:styleId="14">
    <w:name w:val="toc 3"/>
    <w:basedOn w:val="1"/>
    <w:next w:val="1"/>
    <w:qFormat/>
    <w:uiPriority w:val="39"/>
    <w:pPr>
      <w:ind w:left="840" w:leftChars="400"/>
    </w:pPr>
  </w:style>
  <w:style w:type="paragraph" w:styleId="15">
    <w:name w:val="Plain Text"/>
    <w:basedOn w:val="1"/>
    <w:next w:val="1"/>
    <w:link w:val="115"/>
    <w:qFormat/>
    <w:uiPriority w:val="0"/>
    <w:rPr>
      <w:rFonts w:ascii="宋体" w:hAnsi="Courier New"/>
      <w:szCs w:val="20"/>
    </w:rPr>
  </w:style>
  <w:style w:type="paragraph" w:styleId="16">
    <w:name w:val="Date"/>
    <w:basedOn w:val="1"/>
    <w:next w:val="1"/>
    <w:qFormat/>
    <w:uiPriority w:val="0"/>
    <w:pPr>
      <w:ind w:left="100" w:leftChars="2500"/>
    </w:pPr>
  </w:style>
  <w:style w:type="paragraph" w:styleId="17">
    <w:name w:val="Balloon Text"/>
    <w:basedOn w:val="1"/>
    <w:semiHidden/>
    <w:qFormat/>
    <w:uiPriority w:val="0"/>
    <w:rPr>
      <w:sz w:val="18"/>
      <w:szCs w:val="18"/>
    </w:rPr>
  </w:style>
  <w:style w:type="paragraph" w:styleId="18">
    <w:name w:val="footer"/>
    <w:basedOn w:val="1"/>
    <w:link w:val="106"/>
    <w:qFormat/>
    <w:uiPriority w:val="99"/>
    <w:pPr>
      <w:tabs>
        <w:tab w:val="center" w:pos="4153"/>
        <w:tab w:val="right" w:pos="8306"/>
      </w:tabs>
      <w:snapToGrid w:val="0"/>
      <w:jc w:val="left"/>
    </w:pPr>
    <w:rPr>
      <w:rFonts w:ascii="Tahoma" w:hAnsi="Tahoma"/>
      <w:sz w:val="18"/>
      <w:szCs w:val="18"/>
    </w:rPr>
  </w:style>
  <w:style w:type="paragraph" w:styleId="19">
    <w:name w:val="header"/>
    <w:basedOn w:val="1"/>
    <w:link w:val="93"/>
    <w:qFormat/>
    <w:uiPriority w:val="99"/>
    <w:pPr>
      <w:pBdr>
        <w:bottom w:val="single" w:color="auto" w:sz="6" w:space="1"/>
      </w:pBdr>
      <w:tabs>
        <w:tab w:val="center" w:pos="4153"/>
        <w:tab w:val="right" w:pos="8306"/>
      </w:tabs>
      <w:snapToGrid w:val="0"/>
      <w:jc w:val="center"/>
    </w:pPr>
    <w:rPr>
      <w:rFonts w:ascii="Tahoma" w:hAnsi="Tahoma"/>
      <w:sz w:val="18"/>
      <w:szCs w:val="18"/>
    </w:rPr>
  </w:style>
  <w:style w:type="paragraph" w:styleId="20">
    <w:name w:val="toc 1"/>
    <w:basedOn w:val="1"/>
    <w:next w:val="1"/>
    <w:qFormat/>
    <w:uiPriority w:val="39"/>
  </w:style>
  <w:style w:type="paragraph" w:styleId="21">
    <w:name w:val="toc 2"/>
    <w:basedOn w:val="1"/>
    <w:next w:val="1"/>
    <w:qFormat/>
    <w:uiPriority w:val="39"/>
    <w:pPr>
      <w:ind w:left="420" w:leftChars="200"/>
    </w:pPr>
  </w:style>
  <w:style w:type="paragraph" w:styleId="22">
    <w:name w:val="toc 9"/>
    <w:basedOn w:val="1"/>
    <w:next w:val="1"/>
    <w:qFormat/>
    <w:uiPriority w:val="39"/>
    <w:pPr>
      <w:ind w:left="1680"/>
      <w:jc w:val="left"/>
    </w:pPr>
    <w:rPr>
      <w:sz w:val="18"/>
      <w:szCs w:val="18"/>
    </w:rPr>
  </w:style>
  <w:style w:type="paragraph" w:styleId="23">
    <w:name w:val="List 4"/>
    <w:basedOn w:val="1"/>
    <w:unhideWhenUsed/>
    <w:qFormat/>
    <w:uiPriority w:val="99"/>
    <w:pPr>
      <w:ind w:left="100" w:leftChars="600" w:hanging="200" w:hangingChars="200"/>
      <w:contextualSpacing/>
    </w:pPr>
  </w:style>
  <w:style w:type="paragraph" w:styleId="24">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5">
    <w:name w:val="annotation subject"/>
    <w:basedOn w:val="10"/>
    <w:next w:val="10"/>
    <w:semiHidden/>
    <w:qFormat/>
    <w:uiPriority w:val="0"/>
    <w:rPr>
      <w:b/>
      <w:bCs/>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qFormat/>
    <w:uiPriority w:val="0"/>
    <w:rPr>
      <w:rFonts w:ascii="Tahoma" w:hAnsi="Tahoma"/>
      <w:b/>
      <w:bCs/>
      <w:sz w:val="24"/>
      <w:szCs w:val="20"/>
    </w:rPr>
  </w:style>
  <w:style w:type="character" w:styleId="30">
    <w:name w:val="page number"/>
    <w:basedOn w:val="28"/>
    <w:qFormat/>
    <w:uiPriority w:val="0"/>
  </w:style>
  <w:style w:type="character" w:styleId="31">
    <w:name w:val="FollowedHyperlink"/>
    <w:unhideWhenUsed/>
    <w:qFormat/>
    <w:uiPriority w:val="99"/>
    <w:rPr>
      <w:color w:val="954F72"/>
      <w:u w:val="single"/>
    </w:rPr>
  </w:style>
  <w:style w:type="character" w:styleId="32">
    <w:name w:val="Emphasis"/>
    <w:qFormat/>
    <w:uiPriority w:val="0"/>
  </w:style>
  <w:style w:type="character" w:styleId="33">
    <w:name w:val="HTML Definition"/>
    <w:qFormat/>
    <w:uiPriority w:val="0"/>
  </w:style>
  <w:style w:type="character" w:styleId="34">
    <w:name w:val="HTML Typewriter"/>
    <w:qFormat/>
    <w:uiPriority w:val="0"/>
    <w:rPr>
      <w:rFonts w:hint="default" w:ascii="monospace" w:hAnsi="monospace" w:eastAsia="monospace" w:cs="monospace"/>
      <w:sz w:val="20"/>
    </w:rPr>
  </w:style>
  <w:style w:type="character" w:styleId="35">
    <w:name w:val="HTML Acronym"/>
    <w:basedOn w:val="28"/>
    <w:qFormat/>
    <w:uiPriority w:val="0"/>
  </w:style>
  <w:style w:type="character" w:styleId="36">
    <w:name w:val="HTML Variable"/>
    <w:qFormat/>
    <w:uiPriority w:val="0"/>
    <w:rPr>
      <w:rFonts w:ascii="Tahoma" w:hAnsi="Tahoma"/>
      <w:sz w:val="24"/>
      <w:szCs w:val="20"/>
    </w:rPr>
  </w:style>
  <w:style w:type="character" w:styleId="37">
    <w:name w:val="Hyperlink"/>
    <w:qFormat/>
    <w:uiPriority w:val="99"/>
    <w:rPr>
      <w:rFonts w:ascii="Tahoma" w:hAnsi="Tahoma"/>
      <w:color w:val="0000FF"/>
      <w:sz w:val="24"/>
      <w:szCs w:val="20"/>
      <w:u w:val="single"/>
    </w:rPr>
  </w:style>
  <w:style w:type="character" w:styleId="38">
    <w:name w:val="HTML Code"/>
    <w:qFormat/>
    <w:uiPriority w:val="0"/>
    <w:rPr>
      <w:rFonts w:ascii="monospace" w:hAnsi="monospace" w:eastAsia="monospace" w:cs="monospace"/>
      <w:sz w:val="20"/>
    </w:rPr>
  </w:style>
  <w:style w:type="character" w:styleId="39">
    <w:name w:val="annotation reference"/>
    <w:semiHidden/>
    <w:qFormat/>
    <w:uiPriority w:val="0"/>
    <w:rPr>
      <w:rFonts w:ascii="Tahoma" w:hAnsi="Tahoma"/>
      <w:sz w:val="21"/>
      <w:szCs w:val="21"/>
    </w:rPr>
  </w:style>
  <w:style w:type="character" w:styleId="40">
    <w:name w:val="HTML Cite"/>
    <w:qFormat/>
    <w:uiPriority w:val="0"/>
  </w:style>
  <w:style w:type="character" w:styleId="41">
    <w:name w:val="HTML Keyboard"/>
    <w:qFormat/>
    <w:uiPriority w:val="0"/>
    <w:rPr>
      <w:rFonts w:hint="default" w:ascii="monospace" w:hAnsi="monospace" w:eastAsia="monospace" w:cs="monospace"/>
      <w:sz w:val="20"/>
    </w:rPr>
  </w:style>
  <w:style w:type="character" w:styleId="42">
    <w:name w:val="HTML Sample"/>
    <w:qFormat/>
    <w:uiPriority w:val="0"/>
    <w:rPr>
      <w:rFonts w:hint="default" w:ascii="monospace" w:hAnsi="monospace" w:eastAsia="monospace" w:cs="monospace"/>
    </w:rPr>
  </w:style>
  <w:style w:type="paragraph" w:customStyle="1" w:styleId="43">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44">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45">
    <w:name w:val="p0"/>
    <w:basedOn w:val="1"/>
    <w:qFormat/>
    <w:uiPriority w:val="0"/>
    <w:pPr>
      <w:widowControl/>
    </w:pPr>
    <w:rPr>
      <w:kern w:val="0"/>
      <w:szCs w:val="20"/>
    </w:rPr>
  </w:style>
  <w:style w:type="paragraph" w:customStyle="1" w:styleId="46">
    <w:name w:val="xl84"/>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47">
    <w:name w:val="样式1"/>
    <w:basedOn w:val="1"/>
    <w:qFormat/>
    <w:uiPriority w:val="0"/>
    <w:pPr>
      <w:widowControl/>
      <w:jc w:val="left"/>
    </w:pPr>
    <w:rPr>
      <w:rFonts w:ascii="宋体" w:hAnsi="宋体"/>
      <w:kern w:val="0"/>
      <w:szCs w:val="21"/>
    </w:rPr>
  </w:style>
  <w:style w:type="paragraph" w:customStyle="1" w:styleId="48">
    <w:name w:val="普通(网站)1"/>
    <w:basedOn w:val="1"/>
    <w:qFormat/>
    <w:uiPriority w:val="0"/>
    <w:pPr>
      <w:jc w:val="left"/>
    </w:pPr>
    <w:rPr>
      <w:kern w:val="0"/>
      <w:sz w:val="24"/>
    </w:rPr>
  </w:style>
  <w:style w:type="paragraph" w:customStyle="1" w:styleId="49">
    <w:name w:val="1"/>
    <w:basedOn w:val="1"/>
    <w:next w:val="15"/>
    <w:qFormat/>
    <w:uiPriority w:val="0"/>
    <w:rPr>
      <w:rFonts w:ascii="宋体" w:hAnsi="Courier New"/>
      <w:szCs w:val="20"/>
    </w:rPr>
  </w:style>
  <w:style w:type="paragraph" w:customStyle="1" w:styleId="50">
    <w:name w:val="xl85"/>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51">
    <w:name w:val="CM14"/>
    <w:basedOn w:val="43"/>
    <w:next w:val="43"/>
    <w:qFormat/>
    <w:uiPriority w:val="0"/>
    <w:pPr>
      <w:spacing w:line="468" w:lineRule="atLeast"/>
    </w:pPr>
    <w:rPr>
      <w:rFonts w:ascii="Sim Sun" w:eastAsia="Sim Sun" w:cs="Times New Roman"/>
      <w:color w:val="auto"/>
    </w:rPr>
  </w:style>
  <w:style w:type="paragraph" w:customStyle="1" w:styleId="52">
    <w:name w:val="CM15"/>
    <w:basedOn w:val="43"/>
    <w:next w:val="43"/>
    <w:qFormat/>
    <w:uiPriority w:val="0"/>
    <w:pPr>
      <w:spacing w:line="468" w:lineRule="atLeast"/>
    </w:pPr>
    <w:rPr>
      <w:rFonts w:ascii="Sim Sun" w:eastAsia="Sim Sun" w:cs="Times New Roman"/>
      <w:color w:val="auto"/>
    </w:rPr>
  </w:style>
  <w:style w:type="paragraph" w:customStyle="1" w:styleId="53">
    <w:name w:val="xl89"/>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54">
    <w:name w:val="font6"/>
    <w:basedOn w:val="1"/>
    <w:qFormat/>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55">
    <w:name w:val="xl87"/>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56">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57">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58">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59">
    <w:name w:val="正文_0_0"/>
    <w:qFormat/>
    <w:uiPriority w:val="0"/>
    <w:pPr>
      <w:widowControl w:val="0"/>
      <w:spacing w:line="360" w:lineRule="auto"/>
      <w:ind w:firstLine="480" w:firstLineChars="200"/>
      <w:jc w:val="both"/>
    </w:pPr>
    <w:rPr>
      <w:rFonts w:ascii="宋体" w:hAnsi="宋体" w:eastAsia="宋体" w:cs="Times New Roman"/>
      <w:color w:val="000000"/>
      <w:kern w:val="2"/>
      <w:sz w:val="24"/>
      <w:szCs w:val="24"/>
      <w:lang w:val="en-US" w:eastAsia="zh-CN" w:bidi="ar-SA"/>
    </w:rPr>
  </w:style>
  <w:style w:type="paragraph" w:customStyle="1" w:styleId="6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61">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62">
    <w:name w:val="xl7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63">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64">
    <w:name w:val="font5"/>
    <w:basedOn w:val="1"/>
    <w:qFormat/>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65">
    <w:name w:val="xl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styleId="66">
    <w:name w:val="List Paragraph"/>
    <w:basedOn w:val="1"/>
    <w:link w:val="110"/>
    <w:qFormat/>
    <w:uiPriority w:val="0"/>
    <w:pPr>
      <w:ind w:firstLine="420" w:firstLineChars="200"/>
    </w:pPr>
  </w:style>
  <w:style w:type="paragraph" w:customStyle="1" w:styleId="67">
    <w:name w:val="Table Paragraph"/>
    <w:basedOn w:val="1"/>
    <w:qFormat/>
    <w:uiPriority w:val="1"/>
  </w:style>
  <w:style w:type="paragraph" w:customStyle="1" w:styleId="68">
    <w:name w:val="正文格式"/>
    <w:basedOn w:val="1"/>
    <w:qFormat/>
    <w:uiPriority w:val="0"/>
    <w:pPr>
      <w:widowControl/>
      <w:adjustRightInd w:val="0"/>
      <w:snapToGrid w:val="0"/>
      <w:spacing w:line="400" w:lineRule="atLeast"/>
      <w:ind w:firstLine="482"/>
      <w:textAlignment w:val="baseline"/>
    </w:pPr>
    <w:rPr>
      <w:kern w:val="0"/>
      <w:sz w:val="24"/>
    </w:rPr>
  </w:style>
  <w:style w:type="paragraph" w:customStyle="1" w:styleId="69">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70">
    <w:name w:val="xl78"/>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71">
    <w:name w:val="正文_0"/>
    <w:qFormat/>
    <w:uiPriority w:val="0"/>
    <w:pPr>
      <w:widowControl w:val="0"/>
      <w:tabs>
        <w:tab w:val="left" w:pos="480"/>
      </w:tabs>
      <w:spacing w:line="360" w:lineRule="auto"/>
      <w:jc w:val="both"/>
    </w:pPr>
    <w:rPr>
      <w:rFonts w:ascii="Times New Roman" w:hAnsi="Times New Roman" w:eastAsia="宋体" w:cs="Times New Roman"/>
      <w:kern w:val="2"/>
      <w:sz w:val="24"/>
      <w:szCs w:val="22"/>
      <w:lang w:val="en-US" w:eastAsia="zh-CN" w:bidi="ar-SA"/>
    </w:rPr>
  </w:style>
  <w:style w:type="paragraph" w:customStyle="1" w:styleId="72">
    <w:name w:val="TOC 标题1"/>
    <w:basedOn w:val="3"/>
    <w:next w:val="1"/>
    <w:qFormat/>
    <w:uiPriority w:val="39"/>
    <w:pPr>
      <w:widowControl/>
      <w:spacing w:before="240" w:after="0" w:line="259" w:lineRule="auto"/>
      <w:jc w:val="left"/>
      <w:outlineLvl w:val="9"/>
    </w:pPr>
    <w:rPr>
      <w:rFonts w:ascii="等线 Light" w:hAnsi="等线 Light" w:eastAsia="等线 Light"/>
      <w:b w:val="0"/>
      <w:bCs w:val="0"/>
      <w:color w:val="2F5496"/>
      <w:kern w:val="0"/>
      <w:sz w:val="32"/>
      <w:szCs w:val="32"/>
    </w:rPr>
  </w:style>
  <w:style w:type="paragraph" w:customStyle="1" w:styleId="73">
    <w:name w:val="Char Char8"/>
    <w:basedOn w:val="1"/>
    <w:qFormat/>
    <w:uiPriority w:val="0"/>
    <w:rPr>
      <w:rFonts w:ascii="Tahoma" w:hAnsi="Tahoma" w:eastAsia="Times New Roman"/>
      <w:kern w:val="0"/>
      <w:sz w:val="24"/>
      <w:szCs w:val="20"/>
    </w:rPr>
  </w:style>
  <w:style w:type="paragraph" w:customStyle="1" w:styleId="74">
    <w:name w:val="xl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75">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76">
    <w:name w:val="列出段落1"/>
    <w:basedOn w:val="1"/>
    <w:qFormat/>
    <w:uiPriority w:val="0"/>
    <w:pPr>
      <w:ind w:firstLine="420" w:firstLineChars="200"/>
    </w:pPr>
    <w:rPr>
      <w:rFonts w:ascii="仿宋_GB2312" w:eastAsia="仿宋_GB2312"/>
      <w:sz w:val="32"/>
    </w:rPr>
  </w:style>
  <w:style w:type="paragraph" w:customStyle="1" w:styleId="77">
    <w:name w:val="xl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78">
    <w:name w:val="_Style 36"/>
    <w:basedOn w:val="1"/>
    <w:qFormat/>
    <w:uiPriority w:val="0"/>
    <w:rPr>
      <w:rFonts w:ascii="Tahoma" w:hAnsi="Tahoma"/>
      <w:sz w:val="24"/>
      <w:szCs w:val="20"/>
    </w:rPr>
  </w:style>
  <w:style w:type="paragraph" w:customStyle="1" w:styleId="79">
    <w:name w:val="Char Char2 Char Char"/>
    <w:basedOn w:val="1"/>
    <w:qFormat/>
    <w:uiPriority w:val="0"/>
    <w:rPr>
      <w:rFonts w:ascii="Tahoma" w:hAnsi="Tahoma"/>
      <w:sz w:val="24"/>
      <w:szCs w:val="20"/>
    </w:rPr>
  </w:style>
  <w:style w:type="paragraph" w:customStyle="1" w:styleId="80">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1">
    <w:name w:val="xl8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2">
    <w:name w:val="p17"/>
    <w:basedOn w:val="1"/>
    <w:qFormat/>
    <w:uiPriority w:val="0"/>
    <w:pPr>
      <w:widowControl/>
    </w:pPr>
    <w:rPr>
      <w:rFonts w:ascii="宋体" w:hAnsi="宋体" w:cs="宋体"/>
      <w:kern w:val="0"/>
      <w:szCs w:val="21"/>
    </w:rPr>
  </w:style>
  <w:style w:type="paragraph" w:customStyle="1" w:styleId="83">
    <w:name w:val="xl88"/>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84">
    <w:name w:val="正文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5">
    <w:name w:val="xl72"/>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86">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7">
    <w:name w:val="xl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character" w:customStyle="1" w:styleId="88">
    <w:name w:val="标题 1 Char"/>
    <w:link w:val="3"/>
    <w:qFormat/>
    <w:uiPriority w:val="0"/>
    <w:rPr>
      <w:rFonts w:ascii="Tahoma" w:hAnsi="Tahoma"/>
      <w:b/>
      <w:bCs/>
      <w:kern w:val="44"/>
      <w:sz w:val="44"/>
      <w:szCs w:val="44"/>
    </w:rPr>
  </w:style>
  <w:style w:type="character" w:customStyle="1" w:styleId="89">
    <w:name w:val="main12"/>
    <w:qFormat/>
    <w:uiPriority w:val="0"/>
    <w:rPr>
      <w:rFonts w:ascii="Arial" w:hAnsi="Arial" w:cs="Arial"/>
      <w:color w:val="000000"/>
      <w:sz w:val="18"/>
      <w:szCs w:val="18"/>
    </w:rPr>
  </w:style>
  <w:style w:type="character" w:customStyle="1" w:styleId="90">
    <w:name w:val="纯文本 字符"/>
    <w:qFormat/>
    <w:uiPriority w:val="0"/>
    <w:rPr>
      <w:rFonts w:ascii="宋体" w:hAnsi="Courier New" w:eastAsia="宋体" w:cs="Courier New"/>
      <w:szCs w:val="21"/>
    </w:rPr>
  </w:style>
  <w:style w:type="character" w:customStyle="1" w:styleId="91">
    <w:name w:val="纯文本 字符2"/>
    <w:qFormat/>
    <w:uiPriority w:val="0"/>
    <w:rPr>
      <w:rFonts w:ascii="宋体" w:hAnsi="Courier New" w:eastAsia="宋体"/>
      <w:kern w:val="2"/>
      <w:sz w:val="21"/>
      <w:lang w:val="en-US" w:eastAsia="zh-CN" w:bidi="ar-SA"/>
    </w:rPr>
  </w:style>
  <w:style w:type="character" w:customStyle="1" w:styleId="92">
    <w:name w:val="标题 2 Char"/>
    <w:link w:val="2"/>
    <w:semiHidden/>
    <w:qFormat/>
    <w:uiPriority w:val="0"/>
    <w:rPr>
      <w:rFonts w:ascii="Cambria" w:hAnsi="Cambria" w:eastAsia="宋体" w:cs="Times New Roman"/>
      <w:b/>
      <w:bCs/>
      <w:kern w:val="2"/>
      <w:sz w:val="32"/>
      <w:szCs w:val="32"/>
    </w:rPr>
  </w:style>
  <w:style w:type="character" w:customStyle="1" w:styleId="93">
    <w:name w:val="页眉 Char"/>
    <w:link w:val="19"/>
    <w:qFormat/>
    <w:uiPriority w:val="99"/>
    <w:rPr>
      <w:rFonts w:ascii="Tahoma" w:hAnsi="Tahoma"/>
      <w:kern w:val="2"/>
      <w:sz w:val="18"/>
      <w:szCs w:val="18"/>
    </w:rPr>
  </w:style>
  <w:style w:type="character" w:customStyle="1" w:styleId="94">
    <w:name w:val="Char Char10"/>
    <w:qFormat/>
    <w:locked/>
    <w:uiPriority w:val="0"/>
    <w:rPr>
      <w:rFonts w:ascii="宋体" w:hAnsi="宋体" w:eastAsia="宋体"/>
      <w:kern w:val="2"/>
      <w:sz w:val="21"/>
      <w:szCs w:val="24"/>
      <w:lang w:val="en-US" w:eastAsia="zh-CN" w:bidi="ar-SA"/>
    </w:rPr>
  </w:style>
  <w:style w:type="character" w:customStyle="1" w:styleId="95">
    <w:name w:val="cfdate"/>
    <w:qFormat/>
    <w:uiPriority w:val="0"/>
    <w:rPr>
      <w:color w:val="333333"/>
      <w:sz w:val="18"/>
      <w:szCs w:val="18"/>
    </w:rPr>
  </w:style>
  <w:style w:type="character" w:customStyle="1" w:styleId="96">
    <w:name w:val="纯文本 字符1"/>
    <w:qFormat/>
    <w:uiPriority w:val="0"/>
    <w:rPr>
      <w:rFonts w:ascii="Ђˎ̥" w:hAnsi="Verdana" w:eastAsia="Ђˎ̥" w:cs="Verdana"/>
      <w:szCs w:val="21"/>
    </w:rPr>
  </w:style>
  <w:style w:type="character" w:customStyle="1" w:styleId="97">
    <w:name w:val="gjfg"/>
    <w:basedOn w:val="28"/>
    <w:qFormat/>
    <w:uiPriority w:val="0"/>
  </w:style>
  <w:style w:type="character" w:customStyle="1" w:styleId="98">
    <w:name w:val="正文文本缩进 Char"/>
    <w:qFormat/>
    <w:uiPriority w:val="0"/>
    <w:rPr>
      <w:rFonts w:ascii="Times New Roman" w:hAnsi="Times New Roman" w:eastAsia="宋体" w:cs="Times New Roman"/>
      <w:kern w:val="2"/>
      <w:sz w:val="21"/>
      <w:szCs w:val="24"/>
    </w:rPr>
  </w:style>
  <w:style w:type="character" w:customStyle="1" w:styleId="99">
    <w:name w:val="未处理的提及1"/>
    <w:unhideWhenUsed/>
    <w:qFormat/>
    <w:uiPriority w:val="99"/>
    <w:rPr>
      <w:rFonts w:ascii="Tahoma" w:hAnsi="Tahoma"/>
      <w:color w:val="808080"/>
      <w:sz w:val="24"/>
      <w:szCs w:val="20"/>
      <w:shd w:val="clear" w:color="auto" w:fill="E6E6E6"/>
    </w:rPr>
  </w:style>
  <w:style w:type="character" w:customStyle="1" w:styleId="100">
    <w:name w:val="正文缩进 Char"/>
    <w:link w:val="8"/>
    <w:qFormat/>
    <w:locked/>
    <w:uiPriority w:val="0"/>
    <w:rPr>
      <w:rFonts w:eastAsia="宋体"/>
      <w:kern w:val="2"/>
      <w:sz w:val="21"/>
      <w:lang w:val="en-US" w:eastAsia="zh-CN" w:bidi="ar-SA"/>
    </w:rPr>
  </w:style>
  <w:style w:type="character" w:customStyle="1" w:styleId="101">
    <w:name w:val="页脚 字符"/>
    <w:qFormat/>
    <w:uiPriority w:val="99"/>
  </w:style>
  <w:style w:type="character" w:customStyle="1" w:styleId="102">
    <w:name w:val="Char Char1"/>
    <w:qFormat/>
    <w:uiPriority w:val="0"/>
    <w:rPr>
      <w:rFonts w:eastAsia="宋体"/>
      <w:kern w:val="2"/>
      <w:sz w:val="21"/>
      <w:szCs w:val="24"/>
      <w:lang w:val="en-US" w:eastAsia="zh-CN" w:bidi="ar-SA"/>
    </w:rPr>
  </w:style>
  <w:style w:type="character" w:customStyle="1" w:styleId="103">
    <w:name w:val="qxdate"/>
    <w:qFormat/>
    <w:uiPriority w:val="0"/>
    <w:rPr>
      <w:color w:val="333333"/>
      <w:sz w:val="18"/>
      <w:szCs w:val="18"/>
    </w:rPr>
  </w:style>
  <w:style w:type="character" w:customStyle="1" w:styleId="104">
    <w:name w:val="fontstyle01"/>
    <w:qFormat/>
    <w:uiPriority w:val="0"/>
    <w:rPr>
      <w:rFonts w:hint="eastAsia" w:ascii="宋体" w:hAnsi="宋体" w:eastAsia="宋体"/>
      <w:color w:val="000000"/>
      <w:sz w:val="22"/>
      <w:szCs w:val="22"/>
    </w:rPr>
  </w:style>
  <w:style w:type="character" w:customStyle="1" w:styleId="105">
    <w:name w:val="redfilenumber"/>
    <w:qFormat/>
    <w:uiPriority w:val="0"/>
    <w:rPr>
      <w:color w:val="BA2636"/>
      <w:sz w:val="18"/>
      <w:szCs w:val="18"/>
    </w:rPr>
  </w:style>
  <w:style w:type="character" w:customStyle="1" w:styleId="106">
    <w:name w:val="页脚 Char"/>
    <w:link w:val="18"/>
    <w:qFormat/>
    <w:uiPriority w:val="99"/>
    <w:rPr>
      <w:rFonts w:ascii="Tahoma" w:hAnsi="Tahoma"/>
      <w:kern w:val="2"/>
      <w:sz w:val="18"/>
      <w:szCs w:val="18"/>
    </w:rPr>
  </w:style>
  <w:style w:type="character" w:customStyle="1" w:styleId="107">
    <w:name w:val="纯文本 Char"/>
    <w:qFormat/>
    <w:uiPriority w:val="0"/>
    <w:rPr>
      <w:rFonts w:ascii="宋体" w:hAnsi="Courier New" w:eastAsia="宋体"/>
    </w:rPr>
  </w:style>
  <w:style w:type="character" w:customStyle="1" w:styleId="108">
    <w:name w:val="批注文字 Char"/>
    <w:link w:val="10"/>
    <w:qFormat/>
    <w:uiPriority w:val="0"/>
    <w:rPr>
      <w:rFonts w:eastAsia="宋体"/>
      <w:kern w:val="2"/>
      <w:sz w:val="21"/>
      <w:szCs w:val="24"/>
      <w:lang w:val="en-US" w:eastAsia="zh-CN" w:bidi="ar-SA"/>
    </w:rPr>
  </w:style>
  <w:style w:type="character" w:customStyle="1" w:styleId="109">
    <w:name w:val="displayarti"/>
    <w:qFormat/>
    <w:uiPriority w:val="0"/>
    <w:rPr>
      <w:color w:val="FFFFFF"/>
      <w:shd w:val="clear" w:color="auto" w:fill="A00000"/>
    </w:rPr>
  </w:style>
  <w:style w:type="character" w:customStyle="1" w:styleId="110">
    <w:name w:val="列出段落 Char1"/>
    <w:link w:val="66"/>
    <w:qFormat/>
    <w:locked/>
    <w:uiPriority w:val="0"/>
    <w:rPr>
      <w:kern w:val="2"/>
      <w:sz w:val="21"/>
      <w:szCs w:val="24"/>
    </w:rPr>
  </w:style>
  <w:style w:type="character" w:customStyle="1" w:styleId="111">
    <w:name w:val="文档结构图 Char"/>
    <w:link w:val="9"/>
    <w:qFormat/>
    <w:uiPriority w:val="0"/>
    <w:rPr>
      <w:rFonts w:ascii="宋体" w:hAnsi="Tahoma"/>
      <w:kern w:val="2"/>
      <w:sz w:val="18"/>
      <w:szCs w:val="18"/>
    </w:rPr>
  </w:style>
  <w:style w:type="character" w:customStyle="1" w:styleId="112">
    <w:name w:val="正文缩进 Char1"/>
    <w:qFormat/>
    <w:locked/>
    <w:uiPriority w:val="0"/>
    <w:rPr>
      <w:rFonts w:eastAsia="宋体"/>
      <w:kern w:val="2"/>
      <w:sz w:val="21"/>
      <w:lang w:val="en-US" w:eastAsia="zh-CN" w:bidi="ar-SA"/>
    </w:rPr>
  </w:style>
  <w:style w:type="character" w:customStyle="1" w:styleId="113">
    <w:name w:val="普通文字 Char Char5"/>
    <w:qFormat/>
    <w:uiPriority w:val="0"/>
    <w:rPr>
      <w:rFonts w:ascii="宋体" w:hAnsi="Courier New" w:eastAsia="宋体"/>
      <w:szCs w:val="21"/>
      <w:lang w:bidi="ar-SA"/>
    </w:rPr>
  </w:style>
  <w:style w:type="character" w:customStyle="1" w:styleId="114">
    <w:name w:val="redfilefwwh"/>
    <w:qFormat/>
    <w:uiPriority w:val="0"/>
    <w:rPr>
      <w:color w:val="BA2636"/>
      <w:sz w:val="18"/>
      <w:szCs w:val="18"/>
    </w:rPr>
  </w:style>
  <w:style w:type="character" w:customStyle="1" w:styleId="115">
    <w:name w:val="纯文本 Char1"/>
    <w:link w:val="15"/>
    <w:qFormat/>
    <w:uiPriority w:val="0"/>
    <w:rPr>
      <w:rFonts w:ascii="宋体" w:hAnsi="Courier New" w:eastAsia="宋体"/>
      <w:kern w:val="2"/>
      <w:sz w:val="21"/>
      <w:szCs w:val="20"/>
      <w:lang w:val="en-US" w:eastAsia="zh-CN" w:bidi="ar-SA"/>
    </w:rPr>
  </w:style>
  <w:style w:type="character" w:customStyle="1" w:styleId="116">
    <w:name w:val="正文文本缩进 Char1"/>
    <w:link w:val="13"/>
    <w:qFormat/>
    <w:uiPriority w:val="0"/>
    <w:rPr>
      <w:rFonts w:ascii="Tahoma" w:hAnsi="Tahoma"/>
      <w:kern w:val="2"/>
      <w:sz w:val="21"/>
      <w:szCs w:val="24"/>
    </w:rPr>
  </w:style>
  <w:style w:type="character" w:customStyle="1" w:styleId="117">
    <w:name w:val="列出段落 Char"/>
    <w:qFormat/>
    <w:locked/>
    <w:uiPriority w:val="34"/>
    <w:rPr>
      <w:rFonts w:ascii="Times New Roman" w:hAnsi="Times New Roman" w:eastAsia="宋体" w:cs="Times New Roman"/>
      <w:kern w:val="0"/>
      <w:sz w:val="24"/>
      <w:szCs w:val="20"/>
    </w:rPr>
  </w:style>
  <w:style w:type="character" w:customStyle="1" w:styleId="118">
    <w:name w:val="标题 6 Char"/>
    <w:link w:val="6"/>
    <w:qFormat/>
    <w:uiPriority w:val="0"/>
    <w:rPr>
      <w:rFonts w:ascii="Arial" w:hAnsi="Arial" w:eastAsia="黑体"/>
      <w:b/>
      <w:bCs/>
      <w:kern w:val="2"/>
      <w:sz w:val="24"/>
      <w:szCs w:val="24"/>
      <w:lang w:val="en-US" w:eastAsia="zh-CN" w:bidi="ar-SA"/>
    </w:rPr>
  </w:style>
  <w:style w:type="character" w:customStyle="1" w:styleId="119">
    <w:name w:val="apple-converted-space"/>
    <w:basedOn w:val="28"/>
    <w:qFormat/>
    <w:uiPriority w:val="0"/>
  </w:style>
  <w:style w:type="character" w:customStyle="1" w:styleId="120">
    <w:name w:val="font91"/>
    <w:basedOn w:val="28"/>
    <w:qFormat/>
    <w:uiPriority w:val="0"/>
    <w:rPr>
      <w:rFonts w:hint="eastAsia" w:ascii="宋体" w:hAnsi="宋体" w:eastAsia="宋体" w:cs="宋体"/>
      <w:color w:val="000000"/>
      <w:sz w:val="24"/>
      <w:szCs w:val="24"/>
      <w:u w:val="none"/>
      <w:vertAlign w:val="superscript"/>
    </w:rPr>
  </w:style>
  <w:style w:type="paragraph" w:styleId="121">
    <w:name w:val="No Spacing"/>
    <w:qFormat/>
    <w:uiPriority w:val="99"/>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4" Type="http://schemas.openxmlformats.org/officeDocument/2006/relationships/fontTable" Target="fontTable.xml"/><Relationship Id="rId43" Type="http://schemas.openxmlformats.org/officeDocument/2006/relationships/customXml" Target="../customXml/item2.xml"/><Relationship Id="rId42" Type="http://schemas.openxmlformats.org/officeDocument/2006/relationships/numbering" Target="numbering.xml"/><Relationship Id="rId41" Type="http://schemas.openxmlformats.org/officeDocument/2006/relationships/customXml" Target="../customXml/item1.xml"/><Relationship Id="rId40" Type="http://schemas.openxmlformats.org/officeDocument/2006/relationships/image" Target="media/image33.jpeg"/><Relationship Id="rId4" Type="http://schemas.openxmlformats.org/officeDocument/2006/relationships/footer" Target="footer1.xml"/><Relationship Id="rId39" Type="http://schemas.openxmlformats.org/officeDocument/2006/relationships/image" Target="media/image32.png"/><Relationship Id="rId38" Type="http://schemas.openxmlformats.org/officeDocument/2006/relationships/image" Target="media/image31.png"/><Relationship Id="rId37" Type="http://schemas.openxmlformats.org/officeDocument/2006/relationships/image" Target="media/image30.png"/><Relationship Id="rId36" Type="http://schemas.openxmlformats.org/officeDocument/2006/relationships/image" Target="media/image29.png"/><Relationship Id="rId35" Type="http://schemas.openxmlformats.org/officeDocument/2006/relationships/image" Target="media/image28.png"/><Relationship Id="rId34" Type="http://schemas.openxmlformats.org/officeDocument/2006/relationships/image" Target="media/image27.png"/><Relationship Id="rId33" Type="http://schemas.openxmlformats.org/officeDocument/2006/relationships/image" Target="media/image26.png"/><Relationship Id="rId32" Type="http://schemas.openxmlformats.org/officeDocument/2006/relationships/image" Target="media/image25.jpeg"/><Relationship Id="rId31" Type="http://schemas.openxmlformats.org/officeDocument/2006/relationships/image" Target="media/image24.png"/><Relationship Id="rId30" Type="http://schemas.openxmlformats.org/officeDocument/2006/relationships/image" Target="media/image23.jpeg"/><Relationship Id="rId3" Type="http://schemas.openxmlformats.org/officeDocument/2006/relationships/header" Target="header1.xml"/><Relationship Id="rId29" Type="http://schemas.openxmlformats.org/officeDocument/2006/relationships/image" Target="media/image22.png"/><Relationship Id="rId28" Type="http://schemas.openxmlformats.org/officeDocument/2006/relationships/image" Target="media/image21.jpeg"/><Relationship Id="rId27" Type="http://schemas.openxmlformats.org/officeDocument/2006/relationships/image" Target="media/image20.png"/><Relationship Id="rId26" Type="http://schemas.openxmlformats.org/officeDocument/2006/relationships/image" Target="media/image19.png"/><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png"/><Relationship Id="rId22" Type="http://schemas.openxmlformats.org/officeDocument/2006/relationships/image" Target="media/image15.png"/><Relationship Id="rId21" Type="http://schemas.openxmlformats.org/officeDocument/2006/relationships/image" Target="media/image14.png"/><Relationship Id="rId20" Type="http://schemas.openxmlformats.org/officeDocument/2006/relationships/image" Target="media/image13.pn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png"/><Relationship Id="rId17" Type="http://schemas.openxmlformats.org/officeDocument/2006/relationships/image" Target="media/image10.png"/><Relationship Id="rId16" Type="http://schemas.openxmlformats.org/officeDocument/2006/relationships/image" Target="media/image9.png"/><Relationship Id="rId15" Type="http://schemas.openxmlformats.org/officeDocument/2006/relationships/image" Target="media/image8.png"/><Relationship Id="rId14" Type="http://schemas.openxmlformats.org/officeDocument/2006/relationships/image" Target="media/image7.pn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8D29C65-9AA0-4DE4-95C6-8BDD977245FD}">
  <ds:schemaRefs/>
</ds:datastoreItem>
</file>

<file path=docProps/app.xml><?xml version="1.0" encoding="utf-8"?>
<Properties xmlns="http://schemas.openxmlformats.org/officeDocument/2006/extended-properties" xmlns:vt="http://schemas.openxmlformats.org/officeDocument/2006/docPropsVTypes">
  <Template>Normal</Template>
  <Company>QBPC</Company>
  <Pages>1</Pages>
  <Words>10262</Words>
  <Characters>58496</Characters>
  <Lines>487</Lines>
  <Paragraphs>137</Paragraphs>
  <TotalTime>5</TotalTime>
  <ScaleCrop>false</ScaleCrop>
  <LinksUpToDate>false</LinksUpToDate>
  <CharactersWithSpaces>68621</CharactersWithSpaces>
  <Application>WPS Office_11.3.0.9228_F1E327BC-269C-435d-A152-05C5408002CA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2020-07-27T10:23:00Z</dcterms:created>
  <dc:creator>微软用户</dc:creator>
  <cp:lastModifiedBy>kk</cp:lastModifiedBy>
  <cp:lastPrinted>2020-06-02T06:38:00Z</cp:lastPrinted>
  <dcterms:modified xsi:type="dcterms:W3CDTF">2020-09-09T03:36:17Z</dcterms:modified>
  <dc:title>医疗设备采购</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