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jc w:val="left"/>
        <w:rPr>
          <w:rFonts w:hint="eastAsia" w:hAnsi="宋体" w:cs="宋体"/>
          <w:b/>
          <w:bCs/>
          <w:color w:val="auto"/>
          <w:spacing w:val="80"/>
          <w:sz w:val="64"/>
        </w:rPr>
      </w:pPr>
    </w:p>
    <w:p>
      <w:pPr>
        <w:pStyle w:val="17"/>
        <w:jc w:val="center"/>
        <w:rPr>
          <w:rFonts w:hAnsi="宋体" w:cs="宋体"/>
          <w:b/>
          <w:bCs/>
          <w:color w:val="auto"/>
          <w:spacing w:val="80"/>
          <w:sz w:val="60"/>
          <w:szCs w:val="60"/>
        </w:rPr>
      </w:pPr>
      <w:r>
        <w:rPr>
          <w:rFonts w:hint="eastAsia" w:hAnsi="宋体" w:cs="宋体"/>
          <w:b/>
          <w:bCs/>
          <w:color w:val="auto"/>
          <w:spacing w:val="80"/>
          <w:sz w:val="60"/>
          <w:szCs w:val="60"/>
        </w:rPr>
        <w:t>桂林市政府集中采购中心</w:t>
      </w:r>
    </w:p>
    <w:p>
      <w:pPr>
        <w:pStyle w:val="17"/>
        <w:jc w:val="center"/>
        <w:rPr>
          <w:rFonts w:hAnsi="宋体" w:cs="宋体"/>
          <w:b/>
          <w:bCs/>
          <w:color w:val="auto"/>
          <w:spacing w:val="80"/>
          <w:sz w:val="72"/>
        </w:rPr>
      </w:pPr>
    </w:p>
    <w:p>
      <w:pPr>
        <w:pStyle w:val="17"/>
        <w:jc w:val="center"/>
        <w:rPr>
          <w:rFonts w:hAnsi="宋体" w:cs="宋体"/>
          <w:b/>
          <w:bCs/>
          <w:color w:val="auto"/>
          <w:sz w:val="72"/>
        </w:rPr>
      </w:pPr>
    </w:p>
    <w:p>
      <w:pPr>
        <w:pStyle w:val="17"/>
        <w:jc w:val="center"/>
        <w:rPr>
          <w:rFonts w:hAnsi="宋体" w:cs="宋体"/>
          <w:color w:val="auto"/>
        </w:rPr>
      </w:pPr>
    </w:p>
    <w:p>
      <w:pPr>
        <w:spacing w:line="1400" w:lineRule="exact"/>
        <w:jc w:val="center"/>
        <w:rPr>
          <w:rFonts w:ascii="宋体" w:hAnsi="宋体" w:cs="宋体"/>
          <w:b/>
          <w:color w:val="auto"/>
          <w:spacing w:val="60"/>
          <w:sz w:val="112"/>
          <w:szCs w:val="112"/>
        </w:rPr>
      </w:pPr>
      <w:r>
        <w:rPr>
          <w:rFonts w:hint="eastAsia" w:ascii="宋体" w:hAnsi="宋体" w:cs="宋体"/>
          <w:b/>
          <w:color w:val="auto"/>
          <w:spacing w:val="60"/>
          <w:sz w:val="112"/>
          <w:szCs w:val="112"/>
        </w:rPr>
        <w:t>招标文件</w:t>
      </w:r>
    </w:p>
    <w:p>
      <w:pPr>
        <w:pStyle w:val="17"/>
        <w:rPr>
          <w:rFonts w:hAnsi="宋体" w:cs="宋体"/>
          <w:color w:val="auto"/>
        </w:rPr>
      </w:pPr>
    </w:p>
    <w:p>
      <w:pPr>
        <w:pStyle w:val="17"/>
        <w:ind w:firstLine="3885" w:firstLineChars="1850"/>
        <w:rPr>
          <w:rFonts w:hAnsi="宋体" w:cs="宋体"/>
          <w:color w:val="auto"/>
        </w:rPr>
      </w:pPr>
    </w:p>
    <w:p>
      <w:pPr>
        <w:pStyle w:val="17"/>
        <w:rPr>
          <w:rFonts w:hAnsi="宋体" w:cs="宋体"/>
          <w:color w:val="auto"/>
        </w:rPr>
      </w:pPr>
    </w:p>
    <w:p>
      <w:pPr>
        <w:pStyle w:val="17"/>
        <w:rPr>
          <w:rFonts w:hAnsi="宋体" w:cs="宋体"/>
          <w:color w:val="auto"/>
        </w:rPr>
      </w:pPr>
    </w:p>
    <w:p>
      <w:pPr>
        <w:pStyle w:val="17"/>
        <w:rPr>
          <w:rFonts w:hAnsi="宋体" w:cs="宋体"/>
          <w:color w:val="auto"/>
        </w:rPr>
      </w:pPr>
    </w:p>
    <w:p>
      <w:pPr>
        <w:ind w:left="3602" w:leftChars="760" w:hanging="2006" w:hangingChars="500"/>
        <w:rPr>
          <w:rFonts w:ascii="宋体" w:hAnsi="宋体" w:cs="宋体"/>
          <w:b/>
          <w:bCs/>
          <w:color w:val="auto"/>
          <w:spacing w:val="-36"/>
          <w:sz w:val="32"/>
        </w:rPr>
      </w:pPr>
      <w:r>
        <w:rPr>
          <w:rFonts w:hint="eastAsia" w:ascii="宋体" w:hAnsi="宋体" w:cs="宋体"/>
          <w:b/>
          <w:bCs/>
          <w:color w:val="auto"/>
          <w:spacing w:val="40"/>
          <w:sz w:val="32"/>
        </w:rPr>
        <w:t>项目名称：</w:t>
      </w:r>
      <w:r>
        <w:rPr>
          <w:rFonts w:hint="eastAsia" w:ascii="宋体" w:hAnsi="宋体" w:cs="宋体"/>
          <w:b/>
          <w:bCs/>
          <w:color w:val="auto"/>
          <w:spacing w:val="40"/>
          <w:sz w:val="32"/>
          <w:szCs w:val="32"/>
        </w:rPr>
        <w:t xml:space="preserve">临桂区2020年中小学班班通多媒体设备采购 </w:t>
      </w:r>
      <w:r>
        <w:rPr>
          <w:rFonts w:hint="eastAsia" w:ascii="宋体" w:hAnsi="宋体" w:cs="宋体"/>
          <w:b/>
          <w:color w:val="auto"/>
          <w:szCs w:val="21"/>
        </w:rPr>
        <w:t xml:space="preserve"> </w:t>
      </w:r>
    </w:p>
    <w:p>
      <w:pPr>
        <w:ind w:left="-2" w:leftChars="-1" w:firstLine="1605" w:firstLineChars="400"/>
        <w:rPr>
          <w:rFonts w:ascii="宋体" w:hAnsi="宋体" w:cs="宋体"/>
          <w:b/>
          <w:bCs/>
          <w:color w:val="auto"/>
          <w:sz w:val="32"/>
        </w:rPr>
      </w:pPr>
      <w:r>
        <w:rPr>
          <w:rFonts w:hint="eastAsia" w:ascii="宋体" w:hAnsi="宋体" w:cs="宋体"/>
          <w:b/>
          <w:bCs/>
          <w:color w:val="auto"/>
          <w:spacing w:val="40"/>
          <w:sz w:val="32"/>
        </w:rPr>
        <w:t>项目编号：</w:t>
      </w:r>
      <w:r>
        <w:rPr>
          <w:rFonts w:hint="eastAsia" w:ascii="宋体" w:hAnsi="宋体" w:cs="宋体"/>
          <w:b/>
          <w:bCs/>
          <w:color w:val="auto"/>
          <w:sz w:val="30"/>
          <w:szCs w:val="30"/>
        </w:rPr>
        <w:t>GLZC2020-G1-120018-JCZX</w:t>
      </w:r>
      <w:r>
        <w:rPr>
          <w:rFonts w:hint="eastAsia" w:ascii="宋体" w:hAnsi="宋体" w:cs="宋体"/>
          <w:b/>
          <w:bCs/>
          <w:color w:val="auto"/>
          <w:spacing w:val="40"/>
          <w:sz w:val="32"/>
        </w:rPr>
        <w:t xml:space="preserve"> </w:t>
      </w:r>
      <w:r>
        <w:rPr>
          <w:rFonts w:hint="eastAsia" w:ascii="宋体" w:hAnsi="宋体" w:cs="宋体"/>
          <w:b/>
          <w:bCs/>
          <w:color w:val="auto"/>
          <w:sz w:val="32"/>
        </w:rPr>
        <w:t xml:space="preserve">         </w:t>
      </w:r>
    </w:p>
    <w:p>
      <w:pPr>
        <w:ind w:left="-2" w:leftChars="-1" w:firstLine="1446" w:firstLineChars="400"/>
        <w:rPr>
          <w:rFonts w:ascii="宋体" w:hAnsi="宋体" w:cs="宋体"/>
          <w:color w:val="auto"/>
        </w:rPr>
      </w:pPr>
      <w:r>
        <w:rPr>
          <w:rFonts w:hint="eastAsia" w:ascii="宋体" w:hAnsi="宋体" w:cs="宋体"/>
          <w:b/>
          <w:bCs/>
          <w:color w:val="auto"/>
          <w:sz w:val="36"/>
        </w:rPr>
        <w:t xml:space="preserve">        </w:t>
      </w:r>
      <w:r>
        <w:rPr>
          <w:rFonts w:hint="eastAsia" w:ascii="宋体" w:hAnsi="宋体" w:cs="宋体"/>
          <w:color w:val="auto"/>
        </w:rPr>
        <w:cr/>
      </w:r>
    </w:p>
    <w:p>
      <w:pPr>
        <w:ind w:left="-2" w:leftChars="-1" w:firstLine="840" w:firstLineChars="400"/>
        <w:rPr>
          <w:rFonts w:ascii="宋体" w:hAnsi="宋体" w:cs="宋体"/>
          <w:color w:val="auto"/>
        </w:rPr>
      </w:pPr>
    </w:p>
    <w:p>
      <w:pPr>
        <w:ind w:left="-2" w:leftChars="-1" w:firstLine="630" w:firstLineChars="300"/>
        <w:rPr>
          <w:rFonts w:ascii="宋体" w:hAnsi="宋体" w:cs="宋体"/>
          <w:color w:val="auto"/>
        </w:rPr>
      </w:pPr>
      <w:r>
        <w:rPr>
          <w:rFonts w:hint="eastAsia" w:ascii="宋体" w:hAnsi="宋体" w:cs="宋体"/>
          <w:color w:val="auto"/>
        </w:rPr>
        <w:t>　</w:t>
      </w:r>
      <w:r>
        <w:rPr>
          <w:rFonts w:hint="eastAsia" w:ascii="宋体" w:hAnsi="宋体" w:cs="宋体"/>
          <w:color w:val="auto"/>
        </w:rPr>
        <w:tab/>
      </w:r>
    </w:p>
    <w:p>
      <w:pPr>
        <w:ind w:left="103" w:leftChars="49" w:firstLine="1470" w:firstLineChars="700"/>
        <w:jc w:val="center"/>
        <w:rPr>
          <w:rFonts w:ascii="宋体" w:hAnsi="宋体" w:cs="宋体"/>
          <w:b/>
          <w:bCs/>
          <w:color w:val="auto"/>
          <w:spacing w:val="40"/>
          <w:sz w:val="32"/>
          <w:szCs w:val="32"/>
        </w:rPr>
      </w:pPr>
      <w:r>
        <w:rPr>
          <w:rFonts w:hint="eastAsia" w:ascii="宋体" w:hAnsi="宋体" w:cs="宋体"/>
          <w:color w:val="auto"/>
        </w:rPr>
        <w:cr/>
      </w:r>
      <w:r>
        <w:rPr>
          <w:rFonts w:hint="eastAsia" w:ascii="宋体" w:hAnsi="宋体" w:cs="宋体"/>
          <w:b/>
          <w:bCs/>
          <w:color w:val="auto"/>
          <w:spacing w:val="40"/>
          <w:sz w:val="32"/>
          <w:szCs w:val="32"/>
        </w:rPr>
        <w:t>采购代理机构：桂林市政府集中采购中心</w:t>
      </w:r>
    </w:p>
    <w:p>
      <w:pPr>
        <w:jc w:val="center"/>
        <w:rPr>
          <w:rFonts w:ascii="宋体" w:hAnsi="宋体" w:cs="宋体"/>
          <w:b/>
          <w:bCs/>
          <w:color w:val="auto"/>
          <w:sz w:val="32"/>
        </w:rPr>
      </w:pPr>
      <w:r>
        <w:rPr>
          <w:rFonts w:hint="eastAsia" w:ascii="宋体" w:hAnsi="宋体" w:cs="宋体"/>
          <w:b/>
          <w:bCs/>
          <w:color w:val="auto"/>
          <w:sz w:val="32"/>
        </w:rPr>
        <w:t>2020年9月</w:t>
      </w:r>
      <w:r>
        <w:rPr>
          <w:rFonts w:hint="eastAsia" w:ascii="宋体" w:hAnsi="宋体" w:cs="宋体"/>
          <w:b/>
          <w:bCs/>
          <w:color w:val="auto"/>
          <w:sz w:val="32"/>
          <w:lang w:val="en-US" w:eastAsia="zh-CN"/>
        </w:rPr>
        <w:t>11</w:t>
      </w:r>
      <w:r>
        <w:rPr>
          <w:rFonts w:hint="eastAsia" w:ascii="宋体" w:hAnsi="宋体" w:cs="宋体"/>
          <w:b/>
          <w:bCs/>
          <w:color w:val="auto"/>
          <w:sz w:val="32"/>
        </w:rPr>
        <w:t>日</w:t>
      </w:r>
    </w:p>
    <w:p>
      <w:pPr>
        <w:jc w:val="center"/>
        <w:rPr>
          <w:rFonts w:ascii="宋体" w:hAnsi="宋体" w:cs="宋体"/>
          <w:bCs/>
          <w:color w:val="auto"/>
          <w:sz w:val="30"/>
          <w:szCs w:val="30"/>
        </w:rPr>
      </w:pPr>
    </w:p>
    <w:p>
      <w:pPr>
        <w:pStyle w:val="75"/>
        <w:jc w:val="center"/>
        <w:rPr>
          <w:rFonts w:ascii="宋体" w:hAnsi="宋体" w:eastAsia="宋体" w:cs="宋体"/>
          <w:color w:val="auto"/>
          <w:lang w:val="zh-CN"/>
        </w:rPr>
        <w:sectPr>
          <w:headerReference r:id="rId3" w:type="default"/>
          <w:footerReference r:id="rId4" w:type="default"/>
          <w:pgSz w:w="11906" w:h="16838"/>
          <w:pgMar w:top="1440" w:right="1080" w:bottom="1440" w:left="1080" w:header="851" w:footer="992" w:gutter="0"/>
          <w:pgNumType w:fmt="numberInDash"/>
          <w:cols w:space="720" w:num="1"/>
          <w:docGrid w:type="lines" w:linePitch="312" w:charSpace="0"/>
        </w:sectPr>
      </w:pPr>
    </w:p>
    <w:p>
      <w:pPr>
        <w:jc w:val="center"/>
        <w:rPr>
          <w:rFonts w:ascii="宋体" w:hAnsi="宋体" w:cs="宋体"/>
          <w:b/>
          <w:bCs/>
          <w:color w:val="auto"/>
        </w:rPr>
      </w:pPr>
      <w:r>
        <w:rPr>
          <w:rFonts w:hint="eastAsia" w:ascii="宋体" w:hAnsi="宋体" w:cs="宋体"/>
          <w:b/>
          <w:bCs/>
          <w:color w:val="auto"/>
        </w:rPr>
        <w:t>目 录</w:t>
      </w:r>
    </w:p>
    <w:p>
      <w:pPr>
        <w:pStyle w:val="23"/>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TOC \o "1-3" \h \u </w:instrText>
      </w:r>
      <w:r>
        <w:rPr>
          <w:rFonts w:hint="eastAsia" w:ascii="宋体" w:hAnsi="宋体" w:cs="宋体"/>
          <w:color w:val="auto"/>
          <w:szCs w:val="21"/>
        </w:rPr>
        <w:fldChar w:fldCharType="separate"/>
      </w:r>
      <w:r>
        <w:rPr>
          <w:rFonts w:hint="eastAsia" w:ascii="宋体" w:hAnsi="宋体" w:cs="宋体"/>
          <w:color w:val="auto"/>
          <w:szCs w:val="21"/>
        </w:rPr>
        <w:fldChar w:fldCharType="begin"/>
      </w:r>
      <w:r>
        <w:rPr>
          <w:rFonts w:hint="eastAsia" w:ascii="宋体" w:hAnsi="宋体" w:cs="宋体"/>
          <w:color w:val="auto"/>
          <w:szCs w:val="21"/>
        </w:rPr>
        <w:instrText xml:space="preserve"> HYPERLINK \l _Toc28012 </w:instrText>
      </w:r>
      <w:r>
        <w:rPr>
          <w:rFonts w:hint="eastAsia" w:ascii="宋体" w:hAnsi="宋体" w:cs="宋体"/>
          <w:color w:val="auto"/>
          <w:szCs w:val="21"/>
        </w:rPr>
        <w:fldChar w:fldCharType="separate"/>
      </w:r>
      <w:r>
        <w:rPr>
          <w:rFonts w:hint="eastAsia" w:ascii="宋体" w:hAnsi="宋体" w:cs="宋体"/>
          <w:color w:val="auto"/>
          <w:szCs w:val="32"/>
        </w:rPr>
        <w:t>第一章 公开招标公告</w:t>
      </w:r>
      <w:r>
        <w:rPr>
          <w:color w:val="auto"/>
        </w:rPr>
        <w:tab/>
      </w:r>
      <w:r>
        <w:rPr>
          <w:color w:val="auto"/>
        </w:rPr>
        <w:fldChar w:fldCharType="begin"/>
      </w:r>
      <w:r>
        <w:rPr>
          <w:color w:val="auto"/>
        </w:rPr>
        <w:instrText xml:space="preserve"> PAGEREF _Toc28012 </w:instrText>
      </w:r>
      <w:r>
        <w:rPr>
          <w:color w:val="auto"/>
        </w:rPr>
        <w:fldChar w:fldCharType="separate"/>
      </w:r>
      <w:r>
        <w:rPr>
          <w:color w:val="auto"/>
        </w:rPr>
        <w:t>- 1 -</w:t>
      </w:r>
      <w:r>
        <w:rPr>
          <w:color w:val="auto"/>
        </w:rPr>
        <w:fldChar w:fldCharType="end"/>
      </w:r>
      <w:r>
        <w:rPr>
          <w:rFonts w:hint="eastAsia" w:ascii="宋体" w:hAnsi="宋体" w:cs="宋体"/>
          <w:color w:val="auto"/>
          <w:szCs w:val="21"/>
        </w:rPr>
        <w:fldChar w:fldCharType="end"/>
      </w:r>
    </w:p>
    <w:p>
      <w:pPr>
        <w:pStyle w:val="23"/>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_Toc17992 </w:instrText>
      </w:r>
      <w:r>
        <w:rPr>
          <w:rFonts w:hint="eastAsia" w:ascii="宋体" w:hAnsi="宋体" w:cs="宋体"/>
          <w:color w:val="auto"/>
          <w:szCs w:val="21"/>
        </w:rPr>
        <w:fldChar w:fldCharType="separate"/>
      </w:r>
      <w:r>
        <w:rPr>
          <w:rFonts w:hint="eastAsia" w:ascii="宋体" w:hAnsi="宋体" w:cs="宋体"/>
          <w:bCs/>
          <w:color w:val="auto"/>
          <w:kern w:val="44"/>
          <w:szCs w:val="32"/>
        </w:rPr>
        <w:t>第二章  投标人须知</w:t>
      </w:r>
      <w:r>
        <w:rPr>
          <w:color w:val="auto"/>
        </w:rPr>
        <w:tab/>
      </w:r>
      <w:r>
        <w:rPr>
          <w:color w:val="auto"/>
        </w:rPr>
        <w:fldChar w:fldCharType="begin"/>
      </w:r>
      <w:r>
        <w:rPr>
          <w:color w:val="auto"/>
        </w:rPr>
        <w:instrText xml:space="preserve"> PAGEREF _Toc17992 </w:instrText>
      </w:r>
      <w:r>
        <w:rPr>
          <w:color w:val="auto"/>
        </w:rPr>
        <w:fldChar w:fldCharType="separate"/>
      </w:r>
      <w:r>
        <w:rPr>
          <w:color w:val="auto"/>
        </w:rPr>
        <w:t>- 4 -</w:t>
      </w:r>
      <w:r>
        <w:rPr>
          <w:color w:val="auto"/>
        </w:rPr>
        <w:fldChar w:fldCharType="end"/>
      </w:r>
      <w:r>
        <w:rPr>
          <w:rFonts w:hint="eastAsia" w:ascii="宋体" w:hAnsi="宋体" w:cs="宋体"/>
          <w:color w:val="auto"/>
          <w:szCs w:val="21"/>
        </w:rPr>
        <w:fldChar w:fldCharType="end"/>
      </w:r>
    </w:p>
    <w:p>
      <w:pPr>
        <w:pStyle w:val="2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_Toc30554 </w:instrText>
      </w:r>
      <w:r>
        <w:rPr>
          <w:rFonts w:hint="eastAsia" w:ascii="宋体" w:hAnsi="宋体" w:cs="宋体"/>
          <w:color w:val="auto"/>
          <w:szCs w:val="21"/>
        </w:rPr>
        <w:fldChar w:fldCharType="separate"/>
      </w:r>
      <w:r>
        <w:rPr>
          <w:rFonts w:hint="eastAsia" w:ascii="宋体" w:hAnsi="宋体" w:cs="宋体"/>
          <w:color w:val="auto"/>
        </w:rPr>
        <w:t>投标人须知前附表</w:t>
      </w:r>
      <w:r>
        <w:rPr>
          <w:color w:val="auto"/>
        </w:rPr>
        <w:tab/>
      </w:r>
      <w:r>
        <w:rPr>
          <w:color w:val="auto"/>
        </w:rPr>
        <w:fldChar w:fldCharType="begin"/>
      </w:r>
      <w:r>
        <w:rPr>
          <w:color w:val="auto"/>
        </w:rPr>
        <w:instrText xml:space="preserve"> PAGEREF _Toc30554 </w:instrText>
      </w:r>
      <w:r>
        <w:rPr>
          <w:color w:val="auto"/>
        </w:rPr>
        <w:fldChar w:fldCharType="separate"/>
      </w:r>
      <w:r>
        <w:rPr>
          <w:color w:val="auto"/>
        </w:rPr>
        <w:t>- 4 -</w:t>
      </w:r>
      <w:r>
        <w:rPr>
          <w:color w:val="auto"/>
        </w:rPr>
        <w:fldChar w:fldCharType="end"/>
      </w:r>
      <w:r>
        <w:rPr>
          <w:rFonts w:hint="eastAsia" w:ascii="宋体" w:hAnsi="宋体" w:cs="宋体"/>
          <w:color w:val="auto"/>
          <w:szCs w:val="21"/>
        </w:rPr>
        <w:fldChar w:fldCharType="end"/>
      </w:r>
    </w:p>
    <w:p>
      <w:pPr>
        <w:pStyle w:val="2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_Toc32 </w:instrText>
      </w:r>
      <w:r>
        <w:rPr>
          <w:rFonts w:hint="eastAsia" w:ascii="宋体" w:hAnsi="宋体" w:cs="宋体"/>
          <w:color w:val="auto"/>
          <w:szCs w:val="21"/>
        </w:rPr>
        <w:fldChar w:fldCharType="separate"/>
      </w:r>
      <w:r>
        <w:rPr>
          <w:rFonts w:hint="eastAsia" w:ascii="宋体" w:hAnsi="宋体" w:cs="宋体"/>
          <w:color w:val="auto"/>
          <w:szCs w:val="28"/>
        </w:rPr>
        <w:t>一、总则</w:t>
      </w:r>
      <w:r>
        <w:rPr>
          <w:color w:val="auto"/>
        </w:rPr>
        <w:tab/>
      </w:r>
      <w:r>
        <w:rPr>
          <w:color w:val="auto"/>
        </w:rPr>
        <w:fldChar w:fldCharType="begin"/>
      </w:r>
      <w:r>
        <w:rPr>
          <w:color w:val="auto"/>
        </w:rPr>
        <w:instrText xml:space="preserve"> PAGEREF _Toc32 </w:instrText>
      </w:r>
      <w:r>
        <w:rPr>
          <w:color w:val="auto"/>
        </w:rPr>
        <w:fldChar w:fldCharType="separate"/>
      </w:r>
      <w:r>
        <w:rPr>
          <w:color w:val="auto"/>
        </w:rPr>
        <w:t>- 7 -</w:t>
      </w:r>
      <w:r>
        <w:rPr>
          <w:color w:val="auto"/>
        </w:rPr>
        <w:fldChar w:fldCharType="end"/>
      </w:r>
      <w:r>
        <w:rPr>
          <w:rFonts w:hint="eastAsia" w:ascii="宋体" w:hAnsi="宋体" w:cs="宋体"/>
          <w:color w:val="auto"/>
          <w:szCs w:val="21"/>
        </w:rPr>
        <w:fldChar w:fldCharType="end"/>
      </w:r>
    </w:p>
    <w:p>
      <w:pPr>
        <w:pStyle w:val="16"/>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_Toc25870 </w:instrText>
      </w:r>
      <w:r>
        <w:rPr>
          <w:rFonts w:hint="eastAsia" w:ascii="宋体" w:hAnsi="宋体" w:cs="宋体"/>
          <w:color w:val="auto"/>
          <w:szCs w:val="21"/>
        </w:rPr>
        <w:fldChar w:fldCharType="separate"/>
      </w:r>
      <w:r>
        <w:rPr>
          <w:rFonts w:hint="eastAsia" w:ascii="宋体" w:hAnsi="宋体" w:cs="宋体"/>
          <w:color w:val="auto"/>
          <w:szCs w:val="21"/>
        </w:rPr>
        <w:t>1. 项目名称及项目编号</w:t>
      </w:r>
      <w:r>
        <w:rPr>
          <w:color w:val="auto"/>
        </w:rPr>
        <w:tab/>
      </w:r>
      <w:r>
        <w:rPr>
          <w:color w:val="auto"/>
        </w:rPr>
        <w:fldChar w:fldCharType="begin"/>
      </w:r>
      <w:r>
        <w:rPr>
          <w:color w:val="auto"/>
        </w:rPr>
        <w:instrText xml:space="preserve"> PAGEREF _Toc25870 </w:instrText>
      </w:r>
      <w:r>
        <w:rPr>
          <w:color w:val="auto"/>
        </w:rPr>
        <w:fldChar w:fldCharType="separate"/>
      </w:r>
      <w:r>
        <w:rPr>
          <w:color w:val="auto"/>
        </w:rPr>
        <w:t>- 7 -</w:t>
      </w:r>
      <w:r>
        <w:rPr>
          <w:color w:val="auto"/>
        </w:rPr>
        <w:fldChar w:fldCharType="end"/>
      </w:r>
      <w:r>
        <w:rPr>
          <w:rFonts w:hint="eastAsia" w:ascii="宋体" w:hAnsi="宋体" w:cs="宋体"/>
          <w:color w:val="auto"/>
          <w:szCs w:val="21"/>
        </w:rPr>
        <w:fldChar w:fldCharType="end"/>
      </w:r>
    </w:p>
    <w:p>
      <w:pPr>
        <w:pStyle w:val="16"/>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_Toc32503 </w:instrText>
      </w:r>
      <w:r>
        <w:rPr>
          <w:rFonts w:hint="eastAsia" w:ascii="宋体" w:hAnsi="宋体" w:cs="宋体"/>
          <w:color w:val="auto"/>
          <w:szCs w:val="21"/>
        </w:rPr>
        <w:fldChar w:fldCharType="separate"/>
      </w:r>
      <w:r>
        <w:rPr>
          <w:rFonts w:hint="eastAsia" w:ascii="宋体" w:hAnsi="宋体" w:cs="宋体"/>
          <w:color w:val="auto"/>
          <w:szCs w:val="21"/>
        </w:rPr>
        <w:t>2. 适应范围</w:t>
      </w:r>
      <w:r>
        <w:rPr>
          <w:color w:val="auto"/>
        </w:rPr>
        <w:tab/>
      </w:r>
      <w:r>
        <w:rPr>
          <w:color w:val="auto"/>
        </w:rPr>
        <w:fldChar w:fldCharType="begin"/>
      </w:r>
      <w:r>
        <w:rPr>
          <w:color w:val="auto"/>
        </w:rPr>
        <w:instrText xml:space="preserve"> PAGEREF _Toc32503 </w:instrText>
      </w:r>
      <w:r>
        <w:rPr>
          <w:color w:val="auto"/>
        </w:rPr>
        <w:fldChar w:fldCharType="separate"/>
      </w:r>
      <w:r>
        <w:rPr>
          <w:color w:val="auto"/>
        </w:rPr>
        <w:t>- 7 -</w:t>
      </w:r>
      <w:r>
        <w:rPr>
          <w:color w:val="auto"/>
        </w:rPr>
        <w:fldChar w:fldCharType="end"/>
      </w:r>
      <w:r>
        <w:rPr>
          <w:rFonts w:hint="eastAsia" w:ascii="宋体" w:hAnsi="宋体" w:cs="宋体"/>
          <w:color w:val="auto"/>
          <w:szCs w:val="21"/>
        </w:rPr>
        <w:fldChar w:fldCharType="end"/>
      </w:r>
    </w:p>
    <w:p>
      <w:pPr>
        <w:pStyle w:val="16"/>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_Toc17360 </w:instrText>
      </w:r>
      <w:r>
        <w:rPr>
          <w:rFonts w:hint="eastAsia" w:ascii="宋体" w:hAnsi="宋体" w:cs="宋体"/>
          <w:color w:val="auto"/>
          <w:szCs w:val="21"/>
        </w:rPr>
        <w:fldChar w:fldCharType="separate"/>
      </w:r>
      <w:r>
        <w:rPr>
          <w:rFonts w:hint="eastAsia" w:ascii="宋体" w:hAnsi="宋体" w:cs="宋体"/>
          <w:color w:val="auto"/>
          <w:szCs w:val="21"/>
        </w:rPr>
        <w:t>3. 定义</w:t>
      </w:r>
      <w:r>
        <w:rPr>
          <w:color w:val="auto"/>
        </w:rPr>
        <w:tab/>
      </w:r>
      <w:r>
        <w:rPr>
          <w:color w:val="auto"/>
        </w:rPr>
        <w:fldChar w:fldCharType="begin"/>
      </w:r>
      <w:r>
        <w:rPr>
          <w:color w:val="auto"/>
        </w:rPr>
        <w:instrText xml:space="preserve"> PAGEREF _Toc17360 </w:instrText>
      </w:r>
      <w:r>
        <w:rPr>
          <w:color w:val="auto"/>
        </w:rPr>
        <w:fldChar w:fldCharType="separate"/>
      </w:r>
      <w:r>
        <w:rPr>
          <w:color w:val="auto"/>
        </w:rPr>
        <w:t>- 7 -</w:t>
      </w:r>
      <w:r>
        <w:rPr>
          <w:color w:val="auto"/>
        </w:rPr>
        <w:fldChar w:fldCharType="end"/>
      </w:r>
      <w:r>
        <w:rPr>
          <w:rFonts w:hint="eastAsia" w:ascii="宋体" w:hAnsi="宋体" w:cs="宋体"/>
          <w:color w:val="auto"/>
          <w:szCs w:val="21"/>
        </w:rPr>
        <w:fldChar w:fldCharType="end"/>
      </w:r>
    </w:p>
    <w:p>
      <w:pPr>
        <w:pStyle w:val="16"/>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_Toc14198 </w:instrText>
      </w:r>
      <w:r>
        <w:rPr>
          <w:rFonts w:hint="eastAsia" w:ascii="宋体" w:hAnsi="宋体" w:cs="宋体"/>
          <w:color w:val="auto"/>
          <w:szCs w:val="21"/>
        </w:rPr>
        <w:fldChar w:fldCharType="separate"/>
      </w:r>
      <w:r>
        <w:rPr>
          <w:rFonts w:hint="eastAsia" w:ascii="宋体" w:hAnsi="宋体" w:cs="宋体"/>
          <w:color w:val="auto"/>
          <w:szCs w:val="21"/>
        </w:rPr>
        <w:t>4. 招标方式、评分办法</w:t>
      </w:r>
      <w:r>
        <w:rPr>
          <w:color w:val="auto"/>
        </w:rPr>
        <w:tab/>
      </w:r>
      <w:r>
        <w:rPr>
          <w:color w:val="auto"/>
        </w:rPr>
        <w:fldChar w:fldCharType="begin"/>
      </w:r>
      <w:r>
        <w:rPr>
          <w:color w:val="auto"/>
        </w:rPr>
        <w:instrText xml:space="preserve"> PAGEREF _Toc14198 </w:instrText>
      </w:r>
      <w:r>
        <w:rPr>
          <w:color w:val="auto"/>
        </w:rPr>
        <w:fldChar w:fldCharType="separate"/>
      </w:r>
      <w:r>
        <w:rPr>
          <w:color w:val="auto"/>
        </w:rPr>
        <w:t>- 7 -</w:t>
      </w:r>
      <w:r>
        <w:rPr>
          <w:color w:val="auto"/>
        </w:rPr>
        <w:fldChar w:fldCharType="end"/>
      </w:r>
      <w:r>
        <w:rPr>
          <w:rFonts w:hint="eastAsia" w:ascii="宋体" w:hAnsi="宋体" w:cs="宋体"/>
          <w:color w:val="auto"/>
          <w:szCs w:val="21"/>
        </w:rPr>
        <w:fldChar w:fldCharType="end"/>
      </w:r>
    </w:p>
    <w:p>
      <w:pPr>
        <w:pStyle w:val="16"/>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_Toc26663 </w:instrText>
      </w:r>
      <w:r>
        <w:rPr>
          <w:rFonts w:hint="eastAsia" w:ascii="宋体" w:hAnsi="宋体" w:cs="宋体"/>
          <w:color w:val="auto"/>
          <w:szCs w:val="21"/>
        </w:rPr>
        <w:fldChar w:fldCharType="separate"/>
      </w:r>
      <w:r>
        <w:rPr>
          <w:rFonts w:hint="eastAsia" w:ascii="宋体" w:hAnsi="宋体" w:cs="宋体"/>
          <w:color w:val="auto"/>
          <w:szCs w:val="21"/>
        </w:rPr>
        <w:t>5. 投标人资格</w:t>
      </w:r>
      <w:r>
        <w:rPr>
          <w:color w:val="auto"/>
        </w:rPr>
        <w:tab/>
      </w:r>
      <w:r>
        <w:rPr>
          <w:color w:val="auto"/>
        </w:rPr>
        <w:fldChar w:fldCharType="begin"/>
      </w:r>
      <w:r>
        <w:rPr>
          <w:color w:val="auto"/>
        </w:rPr>
        <w:instrText xml:space="preserve"> PAGEREF _Toc26663 </w:instrText>
      </w:r>
      <w:r>
        <w:rPr>
          <w:color w:val="auto"/>
        </w:rPr>
        <w:fldChar w:fldCharType="separate"/>
      </w:r>
      <w:r>
        <w:rPr>
          <w:color w:val="auto"/>
        </w:rPr>
        <w:t>- 7 -</w:t>
      </w:r>
      <w:r>
        <w:rPr>
          <w:color w:val="auto"/>
        </w:rPr>
        <w:fldChar w:fldCharType="end"/>
      </w:r>
      <w:r>
        <w:rPr>
          <w:rFonts w:hint="eastAsia" w:ascii="宋体" w:hAnsi="宋体" w:cs="宋体"/>
          <w:color w:val="auto"/>
          <w:szCs w:val="21"/>
        </w:rPr>
        <w:fldChar w:fldCharType="end"/>
      </w:r>
    </w:p>
    <w:p>
      <w:pPr>
        <w:pStyle w:val="16"/>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_Toc31896 </w:instrText>
      </w:r>
      <w:r>
        <w:rPr>
          <w:rFonts w:hint="eastAsia" w:ascii="宋体" w:hAnsi="宋体" w:cs="宋体"/>
          <w:color w:val="auto"/>
          <w:szCs w:val="21"/>
        </w:rPr>
        <w:fldChar w:fldCharType="separate"/>
      </w:r>
      <w:r>
        <w:rPr>
          <w:rFonts w:hint="eastAsia" w:ascii="宋体" w:hAnsi="宋体" w:cs="宋体"/>
          <w:color w:val="auto"/>
          <w:szCs w:val="21"/>
        </w:rPr>
        <w:t>6. 投标费用</w:t>
      </w:r>
      <w:r>
        <w:rPr>
          <w:color w:val="auto"/>
        </w:rPr>
        <w:tab/>
      </w:r>
      <w:r>
        <w:rPr>
          <w:color w:val="auto"/>
        </w:rPr>
        <w:fldChar w:fldCharType="begin"/>
      </w:r>
      <w:r>
        <w:rPr>
          <w:color w:val="auto"/>
        </w:rPr>
        <w:instrText xml:space="preserve"> PAGEREF _Toc31896 </w:instrText>
      </w:r>
      <w:r>
        <w:rPr>
          <w:color w:val="auto"/>
        </w:rPr>
        <w:fldChar w:fldCharType="separate"/>
      </w:r>
      <w:r>
        <w:rPr>
          <w:color w:val="auto"/>
        </w:rPr>
        <w:t>- 7 -</w:t>
      </w:r>
      <w:r>
        <w:rPr>
          <w:color w:val="auto"/>
        </w:rPr>
        <w:fldChar w:fldCharType="end"/>
      </w:r>
      <w:r>
        <w:rPr>
          <w:rFonts w:hint="eastAsia" w:ascii="宋体" w:hAnsi="宋体" w:cs="宋体"/>
          <w:color w:val="auto"/>
          <w:szCs w:val="21"/>
        </w:rPr>
        <w:fldChar w:fldCharType="end"/>
      </w:r>
    </w:p>
    <w:p>
      <w:pPr>
        <w:pStyle w:val="16"/>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_Toc12135 </w:instrText>
      </w:r>
      <w:r>
        <w:rPr>
          <w:rFonts w:hint="eastAsia" w:ascii="宋体" w:hAnsi="宋体" w:cs="宋体"/>
          <w:color w:val="auto"/>
          <w:szCs w:val="21"/>
        </w:rPr>
        <w:fldChar w:fldCharType="separate"/>
      </w:r>
      <w:r>
        <w:rPr>
          <w:rFonts w:hint="eastAsia" w:ascii="宋体" w:hAnsi="宋体" w:cs="宋体"/>
          <w:color w:val="auto"/>
          <w:szCs w:val="21"/>
        </w:rPr>
        <w:t>7. 联合体投标要求</w:t>
      </w:r>
      <w:r>
        <w:rPr>
          <w:color w:val="auto"/>
        </w:rPr>
        <w:tab/>
      </w:r>
      <w:r>
        <w:rPr>
          <w:color w:val="auto"/>
        </w:rPr>
        <w:fldChar w:fldCharType="begin"/>
      </w:r>
      <w:r>
        <w:rPr>
          <w:color w:val="auto"/>
        </w:rPr>
        <w:instrText xml:space="preserve"> PAGEREF _Toc12135 </w:instrText>
      </w:r>
      <w:r>
        <w:rPr>
          <w:color w:val="auto"/>
        </w:rPr>
        <w:fldChar w:fldCharType="separate"/>
      </w:r>
      <w:r>
        <w:rPr>
          <w:color w:val="auto"/>
        </w:rPr>
        <w:t>- 7 -</w:t>
      </w:r>
      <w:r>
        <w:rPr>
          <w:color w:val="auto"/>
        </w:rPr>
        <w:fldChar w:fldCharType="end"/>
      </w:r>
      <w:r>
        <w:rPr>
          <w:rFonts w:hint="eastAsia" w:ascii="宋体" w:hAnsi="宋体" w:cs="宋体"/>
          <w:color w:val="auto"/>
          <w:szCs w:val="21"/>
        </w:rPr>
        <w:fldChar w:fldCharType="end"/>
      </w:r>
    </w:p>
    <w:p>
      <w:pPr>
        <w:pStyle w:val="16"/>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_Toc23430 </w:instrText>
      </w:r>
      <w:r>
        <w:rPr>
          <w:rFonts w:hint="eastAsia" w:ascii="宋体" w:hAnsi="宋体" w:cs="宋体"/>
          <w:color w:val="auto"/>
          <w:szCs w:val="21"/>
        </w:rPr>
        <w:fldChar w:fldCharType="separate"/>
      </w:r>
      <w:r>
        <w:rPr>
          <w:rFonts w:hint="eastAsia" w:ascii="宋体" w:hAnsi="宋体" w:cs="宋体"/>
          <w:color w:val="auto"/>
          <w:szCs w:val="21"/>
        </w:rPr>
        <w:t>8. 转包与分包</w:t>
      </w:r>
      <w:r>
        <w:rPr>
          <w:color w:val="auto"/>
        </w:rPr>
        <w:tab/>
      </w:r>
      <w:r>
        <w:rPr>
          <w:color w:val="auto"/>
        </w:rPr>
        <w:fldChar w:fldCharType="begin"/>
      </w:r>
      <w:r>
        <w:rPr>
          <w:color w:val="auto"/>
        </w:rPr>
        <w:instrText xml:space="preserve"> PAGEREF _Toc23430 </w:instrText>
      </w:r>
      <w:r>
        <w:rPr>
          <w:color w:val="auto"/>
        </w:rPr>
        <w:fldChar w:fldCharType="separate"/>
      </w:r>
      <w:r>
        <w:rPr>
          <w:color w:val="auto"/>
        </w:rPr>
        <w:t>- 7 -</w:t>
      </w:r>
      <w:r>
        <w:rPr>
          <w:color w:val="auto"/>
        </w:rPr>
        <w:fldChar w:fldCharType="end"/>
      </w:r>
      <w:r>
        <w:rPr>
          <w:rFonts w:hint="eastAsia" w:ascii="宋体" w:hAnsi="宋体" w:cs="宋体"/>
          <w:color w:val="auto"/>
          <w:szCs w:val="21"/>
        </w:rPr>
        <w:fldChar w:fldCharType="end"/>
      </w:r>
    </w:p>
    <w:p>
      <w:pPr>
        <w:pStyle w:val="16"/>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_Toc2734 </w:instrText>
      </w:r>
      <w:r>
        <w:rPr>
          <w:rFonts w:hint="eastAsia" w:ascii="宋体" w:hAnsi="宋体" w:cs="宋体"/>
          <w:color w:val="auto"/>
          <w:szCs w:val="21"/>
        </w:rPr>
        <w:fldChar w:fldCharType="separate"/>
      </w:r>
      <w:r>
        <w:rPr>
          <w:rFonts w:hint="eastAsia" w:ascii="宋体" w:hAnsi="宋体" w:cs="宋体"/>
          <w:color w:val="auto"/>
          <w:szCs w:val="21"/>
        </w:rPr>
        <w:t>9. 特别说明</w:t>
      </w:r>
      <w:r>
        <w:rPr>
          <w:color w:val="auto"/>
        </w:rPr>
        <w:tab/>
      </w:r>
      <w:r>
        <w:rPr>
          <w:color w:val="auto"/>
        </w:rPr>
        <w:fldChar w:fldCharType="begin"/>
      </w:r>
      <w:r>
        <w:rPr>
          <w:color w:val="auto"/>
        </w:rPr>
        <w:instrText xml:space="preserve"> PAGEREF _Toc2734 </w:instrText>
      </w:r>
      <w:r>
        <w:rPr>
          <w:color w:val="auto"/>
        </w:rPr>
        <w:fldChar w:fldCharType="separate"/>
      </w:r>
      <w:r>
        <w:rPr>
          <w:color w:val="auto"/>
        </w:rPr>
        <w:t>- 7 -</w:t>
      </w:r>
      <w:r>
        <w:rPr>
          <w:color w:val="auto"/>
        </w:rPr>
        <w:fldChar w:fldCharType="end"/>
      </w:r>
      <w:r>
        <w:rPr>
          <w:rFonts w:hint="eastAsia" w:ascii="宋体" w:hAnsi="宋体" w:cs="宋体"/>
          <w:color w:val="auto"/>
          <w:szCs w:val="21"/>
        </w:rPr>
        <w:fldChar w:fldCharType="end"/>
      </w:r>
    </w:p>
    <w:p>
      <w:pPr>
        <w:pStyle w:val="16"/>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_Toc7963 </w:instrText>
      </w:r>
      <w:r>
        <w:rPr>
          <w:rFonts w:hint="eastAsia" w:ascii="宋体" w:hAnsi="宋体" w:cs="宋体"/>
          <w:color w:val="auto"/>
          <w:szCs w:val="21"/>
        </w:rPr>
        <w:fldChar w:fldCharType="separate"/>
      </w:r>
      <w:r>
        <w:rPr>
          <w:rFonts w:hint="eastAsia" w:ascii="宋体" w:hAnsi="宋体" w:cs="宋体"/>
          <w:color w:val="auto"/>
          <w:szCs w:val="21"/>
        </w:rPr>
        <w:t>10. 质疑和投诉</w:t>
      </w:r>
      <w:r>
        <w:rPr>
          <w:color w:val="auto"/>
        </w:rPr>
        <w:tab/>
      </w:r>
      <w:r>
        <w:rPr>
          <w:color w:val="auto"/>
        </w:rPr>
        <w:fldChar w:fldCharType="begin"/>
      </w:r>
      <w:r>
        <w:rPr>
          <w:color w:val="auto"/>
        </w:rPr>
        <w:instrText xml:space="preserve"> PAGEREF _Toc7963 </w:instrText>
      </w:r>
      <w:r>
        <w:rPr>
          <w:color w:val="auto"/>
        </w:rPr>
        <w:fldChar w:fldCharType="separate"/>
      </w:r>
      <w:r>
        <w:rPr>
          <w:color w:val="auto"/>
        </w:rPr>
        <w:t>- 8 -</w:t>
      </w:r>
      <w:r>
        <w:rPr>
          <w:color w:val="auto"/>
        </w:rPr>
        <w:fldChar w:fldCharType="end"/>
      </w:r>
      <w:r>
        <w:rPr>
          <w:rFonts w:hint="eastAsia" w:ascii="宋体" w:hAnsi="宋体" w:cs="宋体"/>
          <w:color w:val="auto"/>
          <w:szCs w:val="21"/>
        </w:rPr>
        <w:fldChar w:fldCharType="end"/>
      </w:r>
    </w:p>
    <w:p>
      <w:pPr>
        <w:pStyle w:val="2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_Toc1756 </w:instrText>
      </w:r>
      <w:r>
        <w:rPr>
          <w:rFonts w:hint="eastAsia" w:ascii="宋体" w:hAnsi="宋体" w:cs="宋体"/>
          <w:color w:val="auto"/>
          <w:szCs w:val="21"/>
        </w:rPr>
        <w:fldChar w:fldCharType="separate"/>
      </w:r>
      <w:r>
        <w:rPr>
          <w:rFonts w:hint="eastAsia" w:ascii="宋体" w:hAnsi="宋体" w:cs="宋体"/>
          <w:color w:val="auto"/>
          <w:szCs w:val="28"/>
        </w:rPr>
        <w:t>二、招标文件</w:t>
      </w:r>
      <w:r>
        <w:rPr>
          <w:color w:val="auto"/>
        </w:rPr>
        <w:tab/>
      </w:r>
      <w:r>
        <w:rPr>
          <w:color w:val="auto"/>
        </w:rPr>
        <w:fldChar w:fldCharType="begin"/>
      </w:r>
      <w:r>
        <w:rPr>
          <w:color w:val="auto"/>
        </w:rPr>
        <w:instrText xml:space="preserve"> PAGEREF _Toc1756 </w:instrText>
      </w:r>
      <w:r>
        <w:rPr>
          <w:color w:val="auto"/>
        </w:rPr>
        <w:fldChar w:fldCharType="separate"/>
      </w:r>
      <w:r>
        <w:rPr>
          <w:color w:val="auto"/>
        </w:rPr>
        <w:t>- 8 -</w:t>
      </w:r>
      <w:r>
        <w:rPr>
          <w:color w:val="auto"/>
        </w:rPr>
        <w:fldChar w:fldCharType="end"/>
      </w:r>
      <w:r>
        <w:rPr>
          <w:rFonts w:hint="eastAsia" w:ascii="宋体" w:hAnsi="宋体" w:cs="宋体"/>
          <w:color w:val="auto"/>
          <w:szCs w:val="21"/>
        </w:rPr>
        <w:fldChar w:fldCharType="end"/>
      </w:r>
    </w:p>
    <w:p>
      <w:pPr>
        <w:pStyle w:val="16"/>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_Toc115 </w:instrText>
      </w:r>
      <w:r>
        <w:rPr>
          <w:rFonts w:hint="eastAsia" w:ascii="宋体" w:hAnsi="宋体" w:cs="宋体"/>
          <w:color w:val="auto"/>
          <w:szCs w:val="21"/>
        </w:rPr>
        <w:fldChar w:fldCharType="separate"/>
      </w:r>
      <w:r>
        <w:rPr>
          <w:rFonts w:hint="eastAsia" w:ascii="宋体" w:hAnsi="宋体" w:cs="宋体"/>
          <w:color w:val="auto"/>
          <w:szCs w:val="21"/>
        </w:rPr>
        <w:t>11. 招标文件的构成</w:t>
      </w:r>
      <w:r>
        <w:rPr>
          <w:color w:val="auto"/>
        </w:rPr>
        <w:tab/>
      </w:r>
      <w:r>
        <w:rPr>
          <w:color w:val="auto"/>
        </w:rPr>
        <w:fldChar w:fldCharType="begin"/>
      </w:r>
      <w:r>
        <w:rPr>
          <w:color w:val="auto"/>
        </w:rPr>
        <w:instrText xml:space="preserve"> PAGEREF _Toc115 </w:instrText>
      </w:r>
      <w:r>
        <w:rPr>
          <w:color w:val="auto"/>
        </w:rPr>
        <w:fldChar w:fldCharType="separate"/>
      </w:r>
      <w:r>
        <w:rPr>
          <w:color w:val="auto"/>
        </w:rPr>
        <w:t>- 8 -</w:t>
      </w:r>
      <w:r>
        <w:rPr>
          <w:color w:val="auto"/>
        </w:rPr>
        <w:fldChar w:fldCharType="end"/>
      </w:r>
      <w:r>
        <w:rPr>
          <w:rFonts w:hint="eastAsia" w:ascii="宋体" w:hAnsi="宋体" w:cs="宋体"/>
          <w:color w:val="auto"/>
          <w:szCs w:val="21"/>
        </w:rPr>
        <w:fldChar w:fldCharType="end"/>
      </w:r>
    </w:p>
    <w:p>
      <w:pPr>
        <w:pStyle w:val="16"/>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_Toc24910 </w:instrText>
      </w:r>
      <w:r>
        <w:rPr>
          <w:rFonts w:hint="eastAsia" w:ascii="宋体" w:hAnsi="宋体" w:cs="宋体"/>
          <w:color w:val="auto"/>
          <w:szCs w:val="21"/>
        </w:rPr>
        <w:fldChar w:fldCharType="separate"/>
      </w:r>
      <w:r>
        <w:rPr>
          <w:rFonts w:hint="eastAsia" w:ascii="宋体" w:hAnsi="宋体" w:cs="宋体"/>
          <w:color w:val="auto"/>
          <w:szCs w:val="21"/>
        </w:rPr>
        <w:t>12. 招标文件的澄清与修改</w:t>
      </w:r>
      <w:r>
        <w:rPr>
          <w:color w:val="auto"/>
        </w:rPr>
        <w:tab/>
      </w:r>
      <w:r>
        <w:rPr>
          <w:color w:val="auto"/>
        </w:rPr>
        <w:fldChar w:fldCharType="begin"/>
      </w:r>
      <w:r>
        <w:rPr>
          <w:color w:val="auto"/>
        </w:rPr>
        <w:instrText xml:space="preserve"> PAGEREF _Toc24910 </w:instrText>
      </w:r>
      <w:r>
        <w:rPr>
          <w:color w:val="auto"/>
        </w:rPr>
        <w:fldChar w:fldCharType="separate"/>
      </w:r>
      <w:r>
        <w:rPr>
          <w:color w:val="auto"/>
        </w:rPr>
        <w:t>- 9 -</w:t>
      </w:r>
      <w:r>
        <w:rPr>
          <w:color w:val="auto"/>
        </w:rPr>
        <w:fldChar w:fldCharType="end"/>
      </w:r>
      <w:r>
        <w:rPr>
          <w:rFonts w:hint="eastAsia" w:ascii="宋体" w:hAnsi="宋体" w:cs="宋体"/>
          <w:color w:val="auto"/>
          <w:szCs w:val="21"/>
        </w:rPr>
        <w:fldChar w:fldCharType="end"/>
      </w:r>
    </w:p>
    <w:p>
      <w:pPr>
        <w:pStyle w:val="2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_Toc30026 </w:instrText>
      </w:r>
      <w:r>
        <w:rPr>
          <w:rFonts w:hint="eastAsia" w:ascii="宋体" w:hAnsi="宋体" w:cs="宋体"/>
          <w:color w:val="auto"/>
          <w:szCs w:val="21"/>
        </w:rPr>
        <w:fldChar w:fldCharType="separate"/>
      </w:r>
      <w:r>
        <w:rPr>
          <w:rFonts w:hint="eastAsia" w:ascii="宋体" w:hAnsi="宋体" w:cs="宋体"/>
          <w:color w:val="auto"/>
          <w:szCs w:val="28"/>
        </w:rPr>
        <w:t>三、投标文件的编制</w:t>
      </w:r>
      <w:r>
        <w:rPr>
          <w:color w:val="auto"/>
        </w:rPr>
        <w:tab/>
      </w:r>
      <w:r>
        <w:rPr>
          <w:color w:val="auto"/>
        </w:rPr>
        <w:fldChar w:fldCharType="begin"/>
      </w:r>
      <w:r>
        <w:rPr>
          <w:color w:val="auto"/>
        </w:rPr>
        <w:instrText xml:space="preserve"> PAGEREF _Toc30026 </w:instrText>
      </w:r>
      <w:r>
        <w:rPr>
          <w:color w:val="auto"/>
        </w:rPr>
        <w:fldChar w:fldCharType="separate"/>
      </w:r>
      <w:r>
        <w:rPr>
          <w:color w:val="auto"/>
        </w:rPr>
        <w:t>- 9 -</w:t>
      </w:r>
      <w:r>
        <w:rPr>
          <w:color w:val="auto"/>
        </w:rPr>
        <w:fldChar w:fldCharType="end"/>
      </w:r>
      <w:r>
        <w:rPr>
          <w:rFonts w:hint="eastAsia" w:ascii="宋体" w:hAnsi="宋体" w:cs="宋体"/>
          <w:color w:val="auto"/>
          <w:szCs w:val="21"/>
        </w:rPr>
        <w:fldChar w:fldCharType="end"/>
      </w:r>
    </w:p>
    <w:p>
      <w:pPr>
        <w:pStyle w:val="16"/>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_Toc30561 </w:instrText>
      </w:r>
      <w:r>
        <w:rPr>
          <w:rFonts w:hint="eastAsia" w:ascii="宋体" w:hAnsi="宋体" w:cs="宋体"/>
          <w:color w:val="auto"/>
          <w:szCs w:val="21"/>
        </w:rPr>
        <w:fldChar w:fldCharType="separate"/>
      </w:r>
      <w:r>
        <w:rPr>
          <w:rFonts w:hint="eastAsia" w:ascii="宋体" w:hAnsi="宋体" w:cs="宋体"/>
          <w:color w:val="auto"/>
          <w:szCs w:val="21"/>
        </w:rPr>
        <w:t>13. 投标文件的组成及要求</w:t>
      </w:r>
      <w:r>
        <w:rPr>
          <w:color w:val="auto"/>
        </w:rPr>
        <w:tab/>
      </w:r>
      <w:r>
        <w:rPr>
          <w:color w:val="auto"/>
        </w:rPr>
        <w:fldChar w:fldCharType="begin"/>
      </w:r>
      <w:r>
        <w:rPr>
          <w:color w:val="auto"/>
        </w:rPr>
        <w:instrText xml:space="preserve"> PAGEREF _Toc30561 </w:instrText>
      </w:r>
      <w:r>
        <w:rPr>
          <w:color w:val="auto"/>
        </w:rPr>
        <w:fldChar w:fldCharType="separate"/>
      </w:r>
      <w:r>
        <w:rPr>
          <w:color w:val="auto"/>
        </w:rPr>
        <w:t>- 9 -</w:t>
      </w:r>
      <w:r>
        <w:rPr>
          <w:color w:val="auto"/>
        </w:rPr>
        <w:fldChar w:fldCharType="end"/>
      </w:r>
      <w:r>
        <w:rPr>
          <w:rFonts w:hint="eastAsia" w:ascii="宋体" w:hAnsi="宋体" w:cs="宋体"/>
          <w:color w:val="auto"/>
          <w:szCs w:val="21"/>
        </w:rPr>
        <w:fldChar w:fldCharType="end"/>
      </w:r>
    </w:p>
    <w:p>
      <w:pPr>
        <w:pStyle w:val="16"/>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_Toc20973 </w:instrText>
      </w:r>
      <w:r>
        <w:rPr>
          <w:rFonts w:hint="eastAsia" w:ascii="宋体" w:hAnsi="宋体" w:cs="宋体"/>
          <w:color w:val="auto"/>
          <w:szCs w:val="21"/>
        </w:rPr>
        <w:fldChar w:fldCharType="separate"/>
      </w:r>
      <w:r>
        <w:rPr>
          <w:rFonts w:hint="eastAsia" w:ascii="宋体" w:hAnsi="宋体" w:cs="宋体"/>
          <w:color w:val="auto"/>
          <w:szCs w:val="21"/>
        </w:rPr>
        <w:t>14. 投标文件的语言及计量</w:t>
      </w:r>
      <w:r>
        <w:rPr>
          <w:color w:val="auto"/>
        </w:rPr>
        <w:tab/>
      </w:r>
      <w:r>
        <w:rPr>
          <w:color w:val="auto"/>
        </w:rPr>
        <w:fldChar w:fldCharType="begin"/>
      </w:r>
      <w:r>
        <w:rPr>
          <w:color w:val="auto"/>
        </w:rPr>
        <w:instrText xml:space="preserve"> PAGEREF _Toc20973 </w:instrText>
      </w:r>
      <w:r>
        <w:rPr>
          <w:color w:val="auto"/>
        </w:rPr>
        <w:fldChar w:fldCharType="separate"/>
      </w:r>
      <w:r>
        <w:rPr>
          <w:color w:val="auto"/>
        </w:rPr>
        <w:t>- 11 -</w:t>
      </w:r>
      <w:r>
        <w:rPr>
          <w:color w:val="auto"/>
        </w:rPr>
        <w:fldChar w:fldCharType="end"/>
      </w:r>
      <w:r>
        <w:rPr>
          <w:rFonts w:hint="eastAsia" w:ascii="宋体" w:hAnsi="宋体" w:cs="宋体"/>
          <w:color w:val="auto"/>
          <w:szCs w:val="21"/>
        </w:rPr>
        <w:fldChar w:fldCharType="end"/>
      </w:r>
    </w:p>
    <w:p>
      <w:pPr>
        <w:pStyle w:val="16"/>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_Toc3841 </w:instrText>
      </w:r>
      <w:r>
        <w:rPr>
          <w:rFonts w:hint="eastAsia" w:ascii="宋体" w:hAnsi="宋体" w:cs="宋体"/>
          <w:color w:val="auto"/>
          <w:szCs w:val="21"/>
        </w:rPr>
        <w:fldChar w:fldCharType="separate"/>
      </w:r>
      <w:r>
        <w:rPr>
          <w:rFonts w:ascii="宋体" w:hAnsi="宋体" w:cs="宋体"/>
          <w:color w:val="auto"/>
          <w:szCs w:val="21"/>
        </w:rPr>
        <w:t xml:space="preserve">15. </w:t>
      </w:r>
      <w:r>
        <w:rPr>
          <w:rFonts w:hint="eastAsia" w:ascii="宋体" w:hAnsi="宋体" w:cs="宋体"/>
          <w:color w:val="auto"/>
          <w:szCs w:val="21"/>
        </w:rPr>
        <w:t>投标报价</w:t>
      </w:r>
      <w:r>
        <w:rPr>
          <w:color w:val="auto"/>
        </w:rPr>
        <w:tab/>
      </w:r>
      <w:r>
        <w:rPr>
          <w:color w:val="auto"/>
        </w:rPr>
        <w:fldChar w:fldCharType="begin"/>
      </w:r>
      <w:r>
        <w:rPr>
          <w:color w:val="auto"/>
        </w:rPr>
        <w:instrText xml:space="preserve"> PAGEREF _Toc3841 </w:instrText>
      </w:r>
      <w:r>
        <w:rPr>
          <w:color w:val="auto"/>
        </w:rPr>
        <w:fldChar w:fldCharType="separate"/>
      </w:r>
      <w:r>
        <w:rPr>
          <w:color w:val="auto"/>
        </w:rPr>
        <w:t>- 11 -</w:t>
      </w:r>
      <w:r>
        <w:rPr>
          <w:color w:val="auto"/>
        </w:rPr>
        <w:fldChar w:fldCharType="end"/>
      </w:r>
      <w:r>
        <w:rPr>
          <w:rFonts w:hint="eastAsia" w:ascii="宋体" w:hAnsi="宋体" w:cs="宋体"/>
          <w:color w:val="auto"/>
          <w:szCs w:val="21"/>
        </w:rPr>
        <w:fldChar w:fldCharType="end"/>
      </w:r>
    </w:p>
    <w:p>
      <w:pPr>
        <w:pStyle w:val="16"/>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_Toc25609 </w:instrText>
      </w:r>
      <w:r>
        <w:rPr>
          <w:rFonts w:hint="eastAsia" w:ascii="宋体" w:hAnsi="宋体" w:cs="宋体"/>
          <w:color w:val="auto"/>
          <w:szCs w:val="21"/>
        </w:rPr>
        <w:fldChar w:fldCharType="separate"/>
      </w:r>
      <w:r>
        <w:rPr>
          <w:rFonts w:hint="eastAsia" w:ascii="宋体" w:hAnsi="宋体" w:cs="宋体"/>
          <w:color w:val="auto"/>
          <w:szCs w:val="21"/>
        </w:rPr>
        <w:t>16. 投标有效期</w:t>
      </w:r>
      <w:r>
        <w:rPr>
          <w:color w:val="auto"/>
        </w:rPr>
        <w:tab/>
      </w:r>
      <w:r>
        <w:rPr>
          <w:color w:val="auto"/>
        </w:rPr>
        <w:fldChar w:fldCharType="begin"/>
      </w:r>
      <w:r>
        <w:rPr>
          <w:color w:val="auto"/>
        </w:rPr>
        <w:instrText xml:space="preserve"> PAGEREF _Toc25609 </w:instrText>
      </w:r>
      <w:r>
        <w:rPr>
          <w:color w:val="auto"/>
        </w:rPr>
        <w:fldChar w:fldCharType="separate"/>
      </w:r>
      <w:r>
        <w:rPr>
          <w:color w:val="auto"/>
        </w:rPr>
        <w:t>- 11 -</w:t>
      </w:r>
      <w:r>
        <w:rPr>
          <w:color w:val="auto"/>
        </w:rPr>
        <w:fldChar w:fldCharType="end"/>
      </w:r>
      <w:r>
        <w:rPr>
          <w:rFonts w:hint="eastAsia" w:ascii="宋体" w:hAnsi="宋体" w:cs="宋体"/>
          <w:color w:val="auto"/>
          <w:szCs w:val="21"/>
        </w:rPr>
        <w:fldChar w:fldCharType="end"/>
      </w:r>
    </w:p>
    <w:p>
      <w:pPr>
        <w:pStyle w:val="16"/>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_Toc10458 </w:instrText>
      </w:r>
      <w:r>
        <w:rPr>
          <w:rFonts w:hint="eastAsia" w:ascii="宋体" w:hAnsi="宋体" w:cs="宋体"/>
          <w:color w:val="auto"/>
          <w:szCs w:val="21"/>
        </w:rPr>
        <w:fldChar w:fldCharType="separate"/>
      </w:r>
      <w:r>
        <w:rPr>
          <w:rFonts w:hint="eastAsia" w:ascii="宋体" w:hAnsi="宋体" w:cs="宋体"/>
          <w:color w:val="auto"/>
          <w:szCs w:val="21"/>
        </w:rPr>
        <w:t>17. 投标保证金</w:t>
      </w:r>
      <w:r>
        <w:rPr>
          <w:color w:val="auto"/>
        </w:rPr>
        <w:tab/>
      </w:r>
      <w:r>
        <w:rPr>
          <w:color w:val="auto"/>
        </w:rPr>
        <w:fldChar w:fldCharType="begin"/>
      </w:r>
      <w:r>
        <w:rPr>
          <w:color w:val="auto"/>
        </w:rPr>
        <w:instrText xml:space="preserve"> PAGEREF _Toc10458 </w:instrText>
      </w:r>
      <w:r>
        <w:rPr>
          <w:color w:val="auto"/>
        </w:rPr>
        <w:fldChar w:fldCharType="separate"/>
      </w:r>
      <w:r>
        <w:rPr>
          <w:color w:val="auto"/>
        </w:rPr>
        <w:t>- 11 -</w:t>
      </w:r>
      <w:r>
        <w:rPr>
          <w:color w:val="auto"/>
        </w:rPr>
        <w:fldChar w:fldCharType="end"/>
      </w:r>
      <w:r>
        <w:rPr>
          <w:rFonts w:hint="eastAsia" w:ascii="宋体" w:hAnsi="宋体" w:cs="宋体"/>
          <w:color w:val="auto"/>
          <w:szCs w:val="21"/>
        </w:rPr>
        <w:fldChar w:fldCharType="end"/>
      </w:r>
    </w:p>
    <w:p>
      <w:pPr>
        <w:pStyle w:val="16"/>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_Toc5278 </w:instrText>
      </w:r>
      <w:r>
        <w:rPr>
          <w:rFonts w:hint="eastAsia" w:ascii="宋体" w:hAnsi="宋体" w:cs="宋体"/>
          <w:color w:val="auto"/>
          <w:szCs w:val="21"/>
        </w:rPr>
        <w:fldChar w:fldCharType="separate"/>
      </w:r>
      <w:r>
        <w:rPr>
          <w:rFonts w:hint="eastAsia" w:ascii="宋体" w:hAnsi="宋体" w:cs="宋体"/>
          <w:color w:val="auto"/>
          <w:szCs w:val="21"/>
        </w:rPr>
        <w:t>18. 投标文件的份数、装订、签署和包装、密封</w:t>
      </w:r>
      <w:r>
        <w:rPr>
          <w:color w:val="auto"/>
        </w:rPr>
        <w:tab/>
      </w:r>
      <w:r>
        <w:rPr>
          <w:color w:val="auto"/>
        </w:rPr>
        <w:fldChar w:fldCharType="begin"/>
      </w:r>
      <w:r>
        <w:rPr>
          <w:color w:val="auto"/>
        </w:rPr>
        <w:instrText xml:space="preserve"> PAGEREF _Toc5278 </w:instrText>
      </w:r>
      <w:r>
        <w:rPr>
          <w:color w:val="auto"/>
        </w:rPr>
        <w:fldChar w:fldCharType="separate"/>
      </w:r>
      <w:r>
        <w:rPr>
          <w:color w:val="auto"/>
        </w:rPr>
        <w:t>- 11 -</w:t>
      </w:r>
      <w:r>
        <w:rPr>
          <w:color w:val="auto"/>
        </w:rPr>
        <w:fldChar w:fldCharType="end"/>
      </w:r>
      <w:r>
        <w:rPr>
          <w:rFonts w:hint="eastAsia" w:ascii="宋体" w:hAnsi="宋体" w:cs="宋体"/>
          <w:color w:val="auto"/>
          <w:szCs w:val="21"/>
        </w:rPr>
        <w:fldChar w:fldCharType="end"/>
      </w:r>
    </w:p>
    <w:p>
      <w:pPr>
        <w:pStyle w:val="16"/>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_Toc20704 </w:instrText>
      </w:r>
      <w:r>
        <w:rPr>
          <w:rFonts w:hint="eastAsia" w:ascii="宋体" w:hAnsi="宋体" w:cs="宋体"/>
          <w:color w:val="auto"/>
          <w:szCs w:val="21"/>
        </w:rPr>
        <w:fldChar w:fldCharType="separate"/>
      </w:r>
      <w:r>
        <w:rPr>
          <w:rFonts w:hint="eastAsia" w:ascii="宋体" w:hAnsi="宋体" w:cs="宋体"/>
          <w:color w:val="auto"/>
          <w:szCs w:val="21"/>
        </w:rPr>
        <w:t>19. 投标文件的补充、修改和撤回</w:t>
      </w:r>
      <w:r>
        <w:rPr>
          <w:color w:val="auto"/>
        </w:rPr>
        <w:tab/>
      </w:r>
      <w:r>
        <w:rPr>
          <w:color w:val="auto"/>
        </w:rPr>
        <w:fldChar w:fldCharType="begin"/>
      </w:r>
      <w:r>
        <w:rPr>
          <w:color w:val="auto"/>
        </w:rPr>
        <w:instrText xml:space="preserve"> PAGEREF _Toc20704 </w:instrText>
      </w:r>
      <w:r>
        <w:rPr>
          <w:color w:val="auto"/>
        </w:rPr>
        <w:fldChar w:fldCharType="separate"/>
      </w:r>
      <w:r>
        <w:rPr>
          <w:color w:val="auto"/>
        </w:rPr>
        <w:t>- 12 -</w:t>
      </w:r>
      <w:r>
        <w:rPr>
          <w:color w:val="auto"/>
        </w:rPr>
        <w:fldChar w:fldCharType="end"/>
      </w:r>
      <w:r>
        <w:rPr>
          <w:rFonts w:hint="eastAsia" w:ascii="宋体" w:hAnsi="宋体" w:cs="宋体"/>
          <w:color w:val="auto"/>
          <w:szCs w:val="21"/>
        </w:rPr>
        <w:fldChar w:fldCharType="end"/>
      </w:r>
    </w:p>
    <w:p>
      <w:pPr>
        <w:pStyle w:val="16"/>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_Toc21212 </w:instrText>
      </w:r>
      <w:r>
        <w:rPr>
          <w:rFonts w:hint="eastAsia" w:ascii="宋体" w:hAnsi="宋体" w:cs="宋体"/>
          <w:color w:val="auto"/>
          <w:szCs w:val="21"/>
        </w:rPr>
        <w:fldChar w:fldCharType="separate"/>
      </w:r>
      <w:r>
        <w:rPr>
          <w:rFonts w:hint="eastAsia" w:ascii="宋体" w:hAnsi="宋体" w:cs="宋体"/>
          <w:color w:val="auto"/>
          <w:szCs w:val="21"/>
        </w:rPr>
        <w:t>20. 投标文件的递交</w:t>
      </w:r>
      <w:r>
        <w:rPr>
          <w:color w:val="auto"/>
        </w:rPr>
        <w:tab/>
      </w:r>
      <w:r>
        <w:rPr>
          <w:color w:val="auto"/>
        </w:rPr>
        <w:fldChar w:fldCharType="begin"/>
      </w:r>
      <w:r>
        <w:rPr>
          <w:color w:val="auto"/>
        </w:rPr>
        <w:instrText xml:space="preserve"> PAGEREF _Toc21212 </w:instrText>
      </w:r>
      <w:r>
        <w:rPr>
          <w:color w:val="auto"/>
        </w:rPr>
        <w:fldChar w:fldCharType="separate"/>
      </w:r>
      <w:r>
        <w:rPr>
          <w:color w:val="auto"/>
        </w:rPr>
        <w:t>- 12 -</w:t>
      </w:r>
      <w:r>
        <w:rPr>
          <w:color w:val="auto"/>
        </w:rPr>
        <w:fldChar w:fldCharType="end"/>
      </w:r>
      <w:r>
        <w:rPr>
          <w:rFonts w:hint="eastAsia" w:ascii="宋体" w:hAnsi="宋体" w:cs="宋体"/>
          <w:color w:val="auto"/>
          <w:szCs w:val="21"/>
        </w:rPr>
        <w:fldChar w:fldCharType="end"/>
      </w:r>
    </w:p>
    <w:p>
      <w:pPr>
        <w:pStyle w:val="2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_Toc18507 </w:instrText>
      </w:r>
      <w:r>
        <w:rPr>
          <w:rFonts w:hint="eastAsia" w:ascii="宋体" w:hAnsi="宋体" w:cs="宋体"/>
          <w:color w:val="auto"/>
          <w:szCs w:val="21"/>
        </w:rPr>
        <w:fldChar w:fldCharType="separate"/>
      </w:r>
      <w:r>
        <w:rPr>
          <w:rFonts w:hint="eastAsia" w:ascii="宋体" w:hAnsi="宋体" w:cs="宋体"/>
          <w:color w:val="auto"/>
          <w:szCs w:val="28"/>
        </w:rPr>
        <w:t>四、开标</w:t>
      </w:r>
      <w:r>
        <w:rPr>
          <w:color w:val="auto"/>
        </w:rPr>
        <w:tab/>
      </w:r>
      <w:r>
        <w:rPr>
          <w:color w:val="auto"/>
        </w:rPr>
        <w:fldChar w:fldCharType="begin"/>
      </w:r>
      <w:r>
        <w:rPr>
          <w:color w:val="auto"/>
        </w:rPr>
        <w:instrText xml:space="preserve"> PAGEREF _Toc18507 </w:instrText>
      </w:r>
      <w:r>
        <w:rPr>
          <w:color w:val="auto"/>
        </w:rPr>
        <w:fldChar w:fldCharType="separate"/>
      </w:r>
      <w:r>
        <w:rPr>
          <w:color w:val="auto"/>
        </w:rPr>
        <w:t>- 12 -</w:t>
      </w:r>
      <w:r>
        <w:rPr>
          <w:color w:val="auto"/>
        </w:rPr>
        <w:fldChar w:fldCharType="end"/>
      </w:r>
      <w:r>
        <w:rPr>
          <w:rFonts w:hint="eastAsia" w:ascii="宋体" w:hAnsi="宋体" w:cs="宋体"/>
          <w:color w:val="auto"/>
          <w:szCs w:val="21"/>
        </w:rPr>
        <w:fldChar w:fldCharType="end"/>
      </w:r>
    </w:p>
    <w:p>
      <w:pPr>
        <w:pStyle w:val="16"/>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_Toc22212 </w:instrText>
      </w:r>
      <w:r>
        <w:rPr>
          <w:rFonts w:hint="eastAsia" w:ascii="宋体" w:hAnsi="宋体" w:cs="宋体"/>
          <w:color w:val="auto"/>
          <w:szCs w:val="21"/>
        </w:rPr>
        <w:fldChar w:fldCharType="separate"/>
      </w:r>
      <w:r>
        <w:rPr>
          <w:rFonts w:hint="eastAsia" w:ascii="宋体" w:hAnsi="宋体" w:cs="宋体"/>
          <w:color w:val="auto"/>
          <w:szCs w:val="21"/>
        </w:rPr>
        <w:t>21. 开标时间及地点</w:t>
      </w:r>
      <w:r>
        <w:rPr>
          <w:color w:val="auto"/>
        </w:rPr>
        <w:tab/>
      </w:r>
      <w:r>
        <w:rPr>
          <w:color w:val="auto"/>
        </w:rPr>
        <w:fldChar w:fldCharType="begin"/>
      </w:r>
      <w:r>
        <w:rPr>
          <w:color w:val="auto"/>
        </w:rPr>
        <w:instrText xml:space="preserve"> PAGEREF _Toc22212 </w:instrText>
      </w:r>
      <w:r>
        <w:rPr>
          <w:color w:val="auto"/>
        </w:rPr>
        <w:fldChar w:fldCharType="separate"/>
      </w:r>
      <w:r>
        <w:rPr>
          <w:color w:val="auto"/>
        </w:rPr>
        <w:t>- 12 -</w:t>
      </w:r>
      <w:r>
        <w:rPr>
          <w:color w:val="auto"/>
        </w:rPr>
        <w:fldChar w:fldCharType="end"/>
      </w:r>
      <w:r>
        <w:rPr>
          <w:rFonts w:hint="eastAsia" w:ascii="宋体" w:hAnsi="宋体" w:cs="宋体"/>
          <w:color w:val="auto"/>
          <w:szCs w:val="21"/>
        </w:rPr>
        <w:fldChar w:fldCharType="end"/>
      </w:r>
    </w:p>
    <w:p>
      <w:pPr>
        <w:pStyle w:val="16"/>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_Toc31802 </w:instrText>
      </w:r>
      <w:r>
        <w:rPr>
          <w:rFonts w:hint="eastAsia" w:ascii="宋体" w:hAnsi="宋体" w:cs="宋体"/>
          <w:color w:val="auto"/>
          <w:szCs w:val="21"/>
        </w:rPr>
        <w:fldChar w:fldCharType="separate"/>
      </w:r>
      <w:r>
        <w:rPr>
          <w:rFonts w:hint="eastAsia" w:ascii="宋体" w:hAnsi="宋体" w:cs="宋体"/>
          <w:color w:val="auto"/>
          <w:szCs w:val="21"/>
        </w:rPr>
        <w:t>22. 开标程序</w:t>
      </w:r>
      <w:r>
        <w:rPr>
          <w:color w:val="auto"/>
        </w:rPr>
        <w:tab/>
      </w:r>
      <w:r>
        <w:rPr>
          <w:color w:val="auto"/>
        </w:rPr>
        <w:fldChar w:fldCharType="begin"/>
      </w:r>
      <w:r>
        <w:rPr>
          <w:color w:val="auto"/>
        </w:rPr>
        <w:instrText xml:space="preserve"> PAGEREF _Toc31802 </w:instrText>
      </w:r>
      <w:r>
        <w:rPr>
          <w:color w:val="auto"/>
        </w:rPr>
        <w:fldChar w:fldCharType="separate"/>
      </w:r>
      <w:r>
        <w:rPr>
          <w:color w:val="auto"/>
        </w:rPr>
        <w:t>- 13 -</w:t>
      </w:r>
      <w:r>
        <w:rPr>
          <w:color w:val="auto"/>
        </w:rPr>
        <w:fldChar w:fldCharType="end"/>
      </w:r>
      <w:r>
        <w:rPr>
          <w:rFonts w:hint="eastAsia" w:ascii="宋体" w:hAnsi="宋体" w:cs="宋体"/>
          <w:color w:val="auto"/>
          <w:szCs w:val="21"/>
        </w:rPr>
        <w:fldChar w:fldCharType="end"/>
      </w:r>
    </w:p>
    <w:p>
      <w:pPr>
        <w:pStyle w:val="2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_Toc427 </w:instrText>
      </w:r>
      <w:r>
        <w:rPr>
          <w:rFonts w:hint="eastAsia" w:ascii="宋体" w:hAnsi="宋体" w:cs="宋体"/>
          <w:color w:val="auto"/>
          <w:szCs w:val="21"/>
        </w:rPr>
        <w:fldChar w:fldCharType="separate"/>
      </w:r>
      <w:r>
        <w:rPr>
          <w:rFonts w:hint="eastAsia" w:ascii="宋体" w:hAnsi="宋体" w:cs="宋体"/>
          <w:color w:val="auto"/>
          <w:szCs w:val="28"/>
        </w:rPr>
        <w:t>五、资格性审查</w:t>
      </w:r>
      <w:r>
        <w:rPr>
          <w:color w:val="auto"/>
        </w:rPr>
        <w:tab/>
      </w:r>
      <w:r>
        <w:rPr>
          <w:color w:val="auto"/>
        </w:rPr>
        <w:fldChar w:fldCharType="begin"/>
      </w:r>
      <w:r>
        <w:rPr>
          <w:color w:val="auto"/>
        </w:rPr>
        <w:instrText xml:space="preserve"> PAGEREF _Toc427 </w:instrText>
      </w:r>
      <w:r>
        <w:rPr>
          <w:color w:val="auto"/>
        </w:rPr>
        <w:fldChar w:fldCharType="separate"/>
      </w:r>
      <w:r>
        <w:rPr>
          <w:color w:val="auto"/>
        </w:rPr>
        <w:t>- 13 -</w:t>
      </w:r>
      <w:r>
        <w:rPr>
          <w:color w:val="auto"/>
        </w:rPr>
        <w:fldChar w:fldCharType="end"/>
      </w:r>
      <w:r>
        <w:rPr>
          <w:rFonts w:hint="eastAsia" w:ascii="宋体" w:hAnsi="宋体" w:cs="宋体"/>
          <w:color w:val="auto"/>
          <w:szCs w:val="21"/>
        </w:rPr>
        <w:fldChar w:fldCharType="end"/>
      </w:r>
    </w:p>
    <w:p>
      <w:pPr>
        <w:pStyle w:val="16"/>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_Toc5777 </w:instrText>
      </w:r>
      <w:r>
        <w:rPr>
          <w:rFonts w:hint="eastAsia" w:ascii="宋体" w:hAnsi="宋体" w:cs="宋体"/>
          <w:color w:val="auto"/>
          <w:szCs w:val="21"/>
        </w:rPr>
        <w:fldChar w:fldCharType="separate"/>
      </w:r>
      <w:r>
        <w:rPr>
          <w:rFonts w:hint="eastAsia" w:ascii="宋体" w:hAnsi="宋体" w:cs="宋体"/>
          <w:color w:val="auto"/>
          <w:szCs w:val="21"/>
        </w:rPr>
        <w:t>23. 资格性审查</w:t>
      </w:r>
      <w:r>
        <w:rPr>
          <w:color w:val="auto"/>
        </w:rPr>
        <w:tab/>
      </w:r>
      <w:r>
        <w:rPr>
          <w:color w:val="auto"/>
        </w:rPr>
        <w:fldChar w:fldCharType="begin"/>
      </w:r>
      <w:r>
        <w:rPr>
          <w:color w:val="auto"/>
        </w:rPr>
        <w:instrText xml:space="preserve"> PAGEREF _Toc5777 </w:instrText>
      </w:r>
      <w:r>
        <w:rPr>
          <w:color w:val="auto"/>
        </w:rPr>
        <w:fldChar w:fldCharType="separate"/>
      </w:r>
      <w:r>
        <w:rPr>
          <w:color w:val="auto"/>
        </w:rPr>
        <w:t>- 13 -</w:t>
      </w:r>
      <w:r>
        <w:rPr>
          <w:color w:val="auto"/>
        </w:rPr>
        <w:fldChar w:fldCharType="end"/>
      </w:r>
      <w:r>
        <w:rPr>
          <w:rFonts w:hint="eastAsia" w:ascii="宋体" w:hAnsi="宋体" w:cs="宋体"/>
          <w:color w:val="auto"/>
          <w:szCs w:val="21"/>
        </w:rPr>
        <w:fldChar w:fldCharType="end"/>
      </w:r>
    </w:p>
    <w:p>
      <w:pPr>
        <w:pStyle w:val="2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_Toc5151 </w:instrText>
      </w:r>
      <w:r>
        <w:rPr>
          <w:rFonts w:hint="eastAsia" w:ascii="宋体" w:hAnsi="宋体" w:cs="宋体"/>
          <w:color w:val="auto"/>
          <w:szCs w:val="21"/>
        </w:rPr>
        <w:fldChar w:fldCharType="separate"/>
      </w:r>
      <w:r>
        <w:rPr>
          <w:rFonts w:hint="eastAsia" w:ascii="宋体" w:hAnsi="宋体" w:cs="宋体"/>
          <w:color w:val="auto"/>
          <w:szCs w:val="28"/>
        </w:rPr>
        <w:t>六、评标</w:t>
      </w:r>
      <w:r>
        <w:rPr>
          <w:color w:val="auto"/>
        </w:rPr>
        <w:tab/>
      </w:r>
      <w:r>
        <w:rPr>
          <w:color w:val="auto"/>
        </w:rPr>
        <w:fldChar w:fldCharType="begin"/>
      </w:r>
      <w:r>
        <w:rPr>
          <w:color w:val="auto"/>
        </w:rPr>
        <w:instrText xml:space="preserve"> PAGEREF _Toc5151 </w:instrText>
      </w:r>
      <w:r>
        <w:rPr>
          <w:color w:val="auto"/>
        </w:rPr>
        <w:fldChar w:fldCharType="separate"/>
      </w:r>
      <w:r>
        <w:rPr>
          <w:color w:val="auto"/>
        </w:rPr>
        <w:t>- 14 -</w:t>
      </w:r>
      <w:r>
        <w:rPr>
          <w:color w:val="auto"/>
        </w:rPr>
        <w:fldChar w:fldCharType="end"/>
      </w:r>
      <w:r>
        <w:rPr>
          <w:rFonts w:hint="eastAsia" w:ascii="宋体" w:hAnsi="宋体" w:cs="宋体"/>
          <w:color w:val="auto"/>
          <w:szCs w:val="21"/>
        </w:rPr>
        <w:fldChar w:fldCharType="end"/>
      </w:r>
    </w:p>
    <w:p>
      <w:pPr>
        <w:pStyle w:val="16"/>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_Toc8931 </w:instrText>
      </w:r>
      <w:r>
        <w:rPr>
          <w:rFonts w:hint="eastAsia" w:ascii="宋体" w:hAnsi="宋体" w:cs="宋体"/>
          <w:color w:val="auto"/>
          <w:szCs w:val="21"/>
        </w:rPr>
        <w:fldChar w:fldCharType="separate"/>
      </w:r>
      <w:r>
        <w:rPr>
          <w:rFonts w:hint="eastAsia" w:ascii="宋体" w:hAnsi="宋体" w:cs="宋体"/>
          <w:color w:val="auto"/>
          <w:szCs w:val="21"/>
        </w:rPr>
        <w:t>24. 评标委员会组成</w:t>
      </w:r>
      <w:r>
        <w:rPr>
          <w:color w:val="auto"/>
        </w:rPr>
        <w:tab/>
      </w:r>
      <w:r>
        <w:rPr>
          <w:color w:val="auto"/>
        </w:rPr>
        <w:fldChar w:fldCharType="begin"/>
      </w:r>
      <w:r>
        <w:rPr>
          <w:color w:val="auto"/>
        </w:rPr>
        <w:instrText xml:space="preserve"> PAGEREF _Toc8931 </w:instrText>
      </w:r>
      <w:r>
        <w:rPr>
          <w:color w:val="auto"/>
        </w:rPr>
        <w:fldChar w:fldCharType="separate"/>
      </w:r>
      <w:r>
        <w:rPr>
          <w:color w:val="auto"/>
        </w:rPr>
        <w:t>- 14 -</w:t>
      </w:r>
      <w:r>
        <w:rPr>
          <w:color w:val="auto"/>
        </w:rPr>
        <w:fldChar w:fldCharType="end"/>
      </w:r>
      <w:r>
        <w:rPr>
          <w:rFonts w:hint="eastAsia" w:ascii="宋体" w:hAnsi="宋体" w:cs="宋体"/>
          <w:color w:val="auto"/>
          <w:szCs w:val="21"/>
        </w:rPr>
        <w:fldChar w:fldCharType="end"/>
      </w:r>
    </w:p>
    <w:p>
      <w:pPr>
        <w:pStyle w:val="16"/>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_Toc27586 </w:instrText>
      </w:r>
      <w:r>
        <w:rPr>
          <w:rFonts w:hint="eastAsia" w:ascii="宋体" w:hAnsi="宋体" w:cs="宋体"/>
          <w:color w:val="auto"/>
          <w:szCs w:val="21"/>
        </w:rPr>
        <w:fldChar w:fldCharType="separate"/>
      </w:r>
      <w:r>
        <w:rPr>
          <w:rFonts w:hint="eastAsia" w:ascii="宋体" w:hAnsi="宋体" w:cs="宋体"/>
          <w:color w:val="auto"/>
          <w:szCs w:val="21"/>
        </w:rPr>
        <w:t>25. 评标办法</w:t>
      </w:r>
      <w:r>
        <w:rPr>
          <w:color w:val="auto"/>
        </w:rPr>
        <w:tab/>
      </w:r>
      <w:r>
        <w:rPr>
          <w:color w:val="auto"/>
        </w:rPr>
        <w:fldChar w:fldCharType="begin"/>
      </w:r>
      <w:r>
        <w:rPr>
          <w:color w:val="auto"/>
        </w:rPr>
        <w:instrText xml:space="preserve"> PAGEREF _Toc27586 </w:instrText>
      </w:r>
      <w:r>
        <w:rPr>
          <w:color w:val="auto"/>
        </w:rPr>
        <w:fldChar w:fldCharType="separate"/>
      </w:r>
      <w:r>
        <w:rPr>
          <w:color w:val="auto"/>
        </w:rPr>
        <w:t>- 14 -</w:t>
      </w:r>
      <w:r>
        <w:rPr>
          <w:color w:val="auto"/>
        </w:rPr>
        <w:fldChar w:fldCharType="end"/>
      </w:r>
      <w:r>
        <w:rPr>
          <w:rFonts w:hint="eastAsia" w:ascii="宋体" w:hAnsi="宋体" w:cs="宋体"/>
          <w:color w:val="auto"/>
          <w:szCs w:val="21"/>
        </w:rPr>
        <w:fldChar w:fldCharType="end"/>
      </w:r>
    </w:p>
    <w:p>
      <w:pPr>
        <w:pStyle w:val="16"/>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_Toc20305 </w:instrText>
      </w:r>
      <w:r>
        <w:rPr>
          <w:rFonts w:hint="eastAsia" w:ascii="宋体" w:hAnsi="宋体" w:cs="宋体"/>
          <w:color w:val="auto"/>
          <w:szCs w:val="21"/>
        </w:rPr>
        <w:fldChar w:fldCharType="separate"/>
      </w:r>
      <w:r>
        <w:rPr>
          <w:rFonts w:hint="eastAsia" w:ascii="宋体" w:hAnsi="宋体" w:cs="宋体"/>
          <w:color w:val="auto"/>
          <w:szCs w:val="21"/>
        </w:rPr>
        <w:t>26. 评标</w:t>
      </w:r>
      <w:r>
        <w:rPr>
          <w:color w:val="auto"/>
        </w:rPr>
        <w:tab/>
      </w:r>
      <w:r>
        <w:rPr>
          <w:color w:val="auto"/>
        </w:rPr>
        <w:fldChar w:fldCharType="begin"/>
      </w:r>
      <w:r>
        <w:rPr>
          <w:color w:val="auto"/>
        </w:rPr>
        <w:instrText xml:space="preserve"> PAGEREF _Toc20305 </w:instrText>
      </w:r>
      <w:r>
        <w:rPr>
          <w:color w:val="auto"/>
        </w:rPr>
        <w:fldChar w:fldCharType="separate"/>
      </w:r>
      <w:r>
        <w:rPr>
          <w:color w:val="auto"/>
        </w:rPr>
        <w:t>- 14 -</w:t>
      </w:r>
      <w:r>
        <w:rPr>
          <w:color w:val="auto"/>
        </w:rPr>
        <w:fldChar w:fldCharType="end"/>
      </w:r>
      <w:r>
        <w:rPr>
          <w:rFonts w:hint="eastAsia" w:ascii="宋体" w:hAnsi="宋体" w:cs="宋体"/>
          <w:color w:val="auto"/>
          <w:szCs w:val="21"/>
        </w:rPr>
        <w:fldChar w:fldCharType="end"/>
      </w:r>
    </w:p>
    <w:p>
      <w:pPr>
        <w:pStyle w:val="16"/>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_Toc20749 </w:instrText>
      </w:r>
      <w:r>
        <w:rPr>
          <w:rFonts w:hint="eastAsia" w:ascii="宋体" w:hAnsi="宋体" w:cs="宋体"/>
          <w:color w:val="auto"/>
          <w:szCs w:val="21"/>
        </w:rPr>
        <w:fldChar w:fldCharType="separate"/>
      </w:r>
      <w:r>
        <w:rPr>
          <w:rFonts w:hint="eastAsia" w:ascii="宋体" w:hAnsi="宋体" w:cs="宋体"/>
          <w:color w:val="auto"/>
          <w:szCs w:val="21"/>
        </w:rPr>
        <w:t>27. 推荐及确定中标候选供应商原则</w:t>
      </w:r>
      <w:r>
        <w:rPr>
          <w:color w:val="auto"/>
        </w:rPr>
        <w:tab/>
      </w:r>
      <w:r>
        <w:rPr>
          <w:color w:val="auto"/>
        </w:rPr>
        <w:fldChar w:fldCharType="begin"/>
      </w:r>
      <w:r>
        <w:rPr>
          <w:color w:val="auto"/>
        </w:rPr>
        <w:instrText xml:space="preserve"> PAGEREF _Toc20749 </w:instrText>
      </w:r>
      <w:r>
        <w:rPr>
          <w:color w:val="auto"/>
        </w:rPr>
        <w:fldChar w:fldCharType="separate"/>
      </w:r>
      <w:r>
        <w:rPr>
          <w:color w:val="auto"/>
        </w:rPr>
        <w:t>- 15 -</w:t>
      </w:r>
      <w:r>
        <w:rPr>
          <w:color w:val="auto"/>
        </w:rPr>
        <w:fldChar w:fldCharType="end"/>
      </w:r>
      <w:r>
        <w:rPr>
          <w:rFonts w:hint="eastAsia" w:ascii="宋体" w:hAnsi="宋体" w:cs="宋体"/>
          <w:color w:val="auto"/>
          <w:szCs w:val="21"/>
        </w:rPr>
        <w:fldChar w:fldCharType="end"/>
      </w:r>
    </w:p>
    <w:p>
      <w:pPr>
        <w:pStyle w:val="16"/>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_Toc20942 </w:instrText>
      </w:r>
      <w:r>
        <w:rPr>
          <w:rFonts w:hint="eastAsia" w:ascii="宋体" w:hAnsi="宋体" w:cs="宋体"/>
          <w:color w:val="auto"/>
          <w:szCs w:val="21"/>
        </w:rPr>
        <w:fldChar w:fldCharType="separate"/>
      </w:r>
      <w:r>
        <w:rPr>
          <w:rFonts w:hint="eastAsia" w:ascii="宋体" w:hAnsi="宋体" w:cs="宋体"/>
          <w:color w:val="auto"/>
          <w:szCs w:val="21"/>
        </w:rPr>
        <w:t>28. 属于下列情况之一者，投标无效</w:t>
      </w:r>
      <w:r>
        <w:rPr>
          <w:color w:val="auto"/>
        </w:rPr>
        <w:tab/>
      </w:r>
      <w:r>
        <w:rPr>
          <w:color w:val="auto"/>
        </w:rPr>
        <w:fldChar w:fldCharType="begin"/>
      </w:r>
      <w:r>
        <w:rPr>
          <w:color w:val="auto"/>
        </w:rPr>
        <w:instrText xml:space="preserve"> PAGEREF _Toc20942 </w:instrText>
      </w:r>
      <w:r>
        <w:rPr>
          <w:color w:val="auto"/>
        </w:rPr>
        <w:fldChar w:fldCharType="separate"/>
      </w:r>
      <w:r>
        <w:rPr>
          <w:color w:val="auto"/>
        </w:rPr>
        <w:t>- 15 -</w:t>
      </w:r>
      <w:r>
        <w:rPr>
          <w:color w:val="auto"/>
        </w:rPr>
        <w:fldChar w:fldCharType="end"/>
      </w:r>
      <w:r>
        <w:rPr>
          <w:rFonts w:hint="eastAsia" w:ascii="宋体" w:hAnsi="宋体" w:cs="宋体"/>
          <w:color w:val="auto"/>
          <w:szCs w:val="21"/>
        </w:rPr>
        <w:fldChar w:fldCharType="end"/>
      </w:r>
    </w:p>
    <w:p>
      <w:pPr>
        <w:pStyle w:val="16"/>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_Toc23580 </w:instrText>
      </w:r>
      <w:r>
        <w:rPr>
          <w:rFonts w:hint="eastAsia" w:ascii="宋体" w:hAnsi="宋体" w:cs="宋体"/>
          <w:color w:val="auto"/>
          <w:szCs w:val="21"/>
        </w:rPr>
        <w:fldChar w:fldCharType="separate"/>
      </w:r>
      <w:r>
        <w:rPr>
          <w:rFonts w:hint="eastAsia" w:ascii="宋体" w:hAnsi="宋体" w:cs="宋体"/>
          <w:color w:val="auto"/>
          <w:szCs w:val="21"/>
        </w:rPr>
        <w:t>29. 投标人有下列情形之一的，视为串通投标，投标文件将被视为无效</w:t>
      </w:r>
      <w:r>
        <w:rPr>
          <w:color w:val="auto"/>
        </w:rPr>
        <w:tab/>
      </w:r>
      <w:r>
        <w:rPr>
          <w:color w:val="auto"/>
        </w:rPr>
        <w:fldChar w:fldCharType="begin"/>
      </w:r>
      <w:r>
        <w:rPr>
          <w:color w:val="auto"/>
        </w:rPr>
        <w:instrText xml:space="preserve"> PAGEREF _Toc23580 </w:instrText>
      </w:r>
      <w:r>
        <w:rPr>
          <w:color w:val="auto"/>
        </w:rPr>
        <w:fldChar w:fldCharType="separate"/>
      </w:r>
      <w:r>
        <w:rPr>
          <w:color w:val="auto"/>
        </w:rPr>
        <w:t>- 15 -</w:t>
      </w:r>
      <w:r>
        <w:rPr>
          <w:color w:val="auto"/>
        </w:rPr>
        <w:fldChar w:fldCharType="end"/>
      </w:r>
      <w:r>
        <w:rPr>
          <w:rFonts w:hint="eastAsia" w:ascii="宋体" w:hAnsi="宋体" w:cs="宋体"/>
          <w:color w:val="auto"/>
          <w:szCs w:val="21"/>
        </w:rPr>
        <w:fldChar w:fldCharType="end"/>
      </w:r>
    </w:p>
    <w:p>
      <w:pPr>
        <w:pStyle w:val="16"/>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_Toc31791 </w:instrText>
      </w:r>
      <w:r>
        <w:rPr>
          <w:rFonts w:hint="eastAsia" w:ascii="宋体" w:hAnsi="宋体" w:cs="宋体"/>
          <w:color w:val="auto"/>
          <w:szCs w:val="21"/>
        </w:rPr>
        <w:fldChar w:fldCharType="separate"/>
      </w:r>
      <w:r>
        <w:rPr>
          <w:rFonts w:hint="eastAsia" w:ascii="宋体" w:hAnsi="宋体" w:cs="宋体"/>
          <w:color w:val="auto"/>
          <w:szCs w:val="21"/>
        </w:rPr>
        <w:t>30. 属于下列情形之一的，应予废标</w:t>
      </w:r>
      <w:r>
        <w:rPr>
          <w:color w:val="auto"/>
        </w:rPr>
        <w:tab/>
      </w:r>
      <w:r>
        <w:rPr>
          <w:color w:val="auto"/>
        </w:rPr>
        <w:fldChar w:fldCharType="begin"/>
      </w:r>
      <w:r>
        <w:rPr>
          <w:color w:val="auto"/>
        </w:rPr>
        <w:instrText xml:space="preserve"> PAGEREF _Toc31791 </w:instrText>
      </w:r>
      <w:r>
        <w:rPr>
          <w:color w:val="auto"/>
        </w:rPr>
        <w:fldChar w:fldCharType="separate"/>
      </w:r>
      <w:r>
        <w:rPr>
          <w:color w:val="auto"/>
        </w:rPr>
        <w:t>- 16 -</w:t>
      </w:r>
      <w:r>
        <w:rPr>
          <w:color w:val="auto"/>
        </w:rPr>
        <w:fldChar w:fldCharType="end"/>
      </w:r>
      <w:r>
        <w:rPr>
          <w:rFonts w:hint="eastAsia" w:ascii="宋体" w:hAnsi="宋体" w:cs="宋体"/>
          <w:color w:val="auto"/>
          <w:szCs w:val="21"/>
        </w:rPr>
        <w:fldChar w:fldCharType="end"/>
      </w:r>
    </w:p>
    <w:p>
      <w:pPr>
        <w:pStyle w:val="16"/>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_Toc28916 </w:instrText>
      </w:r>
      <w:r>
        <w:rPr>
          <w:rFonts w:hint="eastAsia" w:ascii="宋体" w:hAnsi="宋体" w:cs="宋体"/>
          <w:color w:val="auto"/>
          <w:szCs w:val="21"/>
        </w:rPr>
        <w:fldChar w:fldCharType="separate"/>
      </w:r>
      <w:r>
        <w:rPr>
          <w:rFonts w:hint="eastAsia" w:ascii="宋体" w:hAnsi="宋体" w:cs="宋体"/>
          <w:color w:val="auto"/>
          <w:szCs w:val="21"/>
        </w:rPr>
        <w:t>31. 开标、评标过程的监控</w:t>
      </w:r>
      <w:r>
        <w:rPr>
          <w:color w:val="auto"/>
        </w:rPr>
        <w:tab/>
      </w:r>
      <w:r>
        <w:rPr>
          <w:color w:val="auto"/>
        </w:rPr>
        <w:fldChar w:fldCharType="begin"/>
      </w:r>
      <w:r>
        <w:rPr>
          <w:color w:val="auto"/>
        </w:rPr>
        <w:instrText xml:space="preserve"> PAGEREF _Toc28916 </w:instrText>
      </w:r>
      <w:r>
        <w:rPr>
          <w:color w:val="auto"/>
        </w:rPr>
        <w:fldChar w:fldCharType="separate"/>
      </w:r>
      <w:r>
        <w:rPr>
          <w:color w:val="auto"/>
        </w:rPr>
        <w:t>- 16 -</w:t>
      </w:r>
      <w:r>
        <w:rPr>
          <w:color w:val="auto"/>
        </w:rPr>
        <w:fldChar w:fldCharType="end"/>
      </w:r>
      <w:r>
        <w:rPr>
          <w:rFonts w:hint="eastAsia" w:ascii="宋体" w:hAnsi="宋体" w:cs="宋体"/>
          <w:color w:val="auto"/>
          <w:szCs w:val="21"/>
        </w:rPr>
        <w:fldChar w:fldCharType="end"/>
      </w:r>
    </w:p>
    <w:p>
      <w:pPr>
        <w:pStyle w:val="16"/>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_Toc7646 </w:instrText>
      </w:r>
      <w:r>
        <w:rPr>
          <w:rFonts w:hint="eastAsia" w:ascii="宋体" w:hAnsi="宋体" w:cs="宋体"/>
          <w:color w:val="auto"/>
          <w:szCs w:val="21"/>
        </w:rPr>
        <w:fldChar w:fldCharType="separate"/>
      </w:r>
      <w:r>
        <w:rPr>
          <w:rFonts w:hint="eastAsia" w:ascii="宋体" w:hAnsi="宋体" w:cs="宋体"/>
          <w:color w:val="auto"/>
          <w:szCs w:val="21"/>
        </w:rPr>
        <w:t>32. 信用查询</w:t>
      </w:r>
      <w:r>
        <w:rPr>
          <w:color w:val="auto"/>
        </w:rPr>
        <w:tab/>
      </w:r>
      <w:r>
        <w:rPr>
          <w:color w:val="auto"/>
        </w:rPr>
        <w:fldChar w:fldCharType="begin"/>
      </w:r>
      <w:r>
        <w:rPr>
          <w:color w:val="auto"/>
        </w:rPr>
        <w:instrText xml:space="preserve"> PAGEREF _Toc7646 </w:instrText>
      </w:r>
      <w:r>
        <w:rPr>
          <w:color w:val="auto"/>
        </w:rPr>
        <w:fldChar w:fldCharType="separate"/>
      </w:r>
      <w:r>
        <w:rPr>
          <w:color w:val="auto"/>
        </w:rPr>
        <w:t>- 16 -</w:t>
      </w:r>
      <w:r>
        <w:rPr>
          <w:color w:val="auto"/>
        </w:rPr>
        <w:fldChar w:fldCharType="end"/>
      </w:r>
      <w:r>
        <w:rPr>
          <w:rFonts w:hint="eastAsia" w:ascii="宋体" w:hAnsi="宋体" w:cs="宋体"/>
          <w:color w:val="auto"/>
          <w:szCs w:val="21"/>
        </w:rPr>
        <w:fldChar w:fldCharType="end"/>
      </w:r>
    </w:p>
    <w:p>
      <w:pPr>
        <w:pStyle w:val="16"/>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_Toc5857 </w:instrText>
      </w:r>
      <w:r>
        <w:rPr>
          <w:rFonts w:hint="eastAsia" w:ascii="宋体" w:hAnsi="宋体" w:cs="宋体"/>
          <w:color w:val="auto"/>
          <w:szCs w:val="21"/>
        </w:rPr>
        <w:fldChar w:fldCharType="separate"/>
      </w:r>
      <w:r>
        <w:rPr>
          <w:rFonts w:hint="eastAsia" w:ascii="宋体" w:hAnsi="宋体" w:cs="宋体"/>
          <w:color w:val="auto"/>
          <w:szCs w:val="21"/>
        </w:rPr>
        <w:t>33. 中标公告及中标通知书</w:t>
      </w:r>
      <w:r>
        <w:rPr>
          <w:color w:val="auto"/>
        </w:rPr>
        <w:tab/>
      </w:r>
      <w:r>
        <w:rPr>
          <w:color w:val="auto"/>
        </w:rPr>
        <w:fldChar w:fldCharType="begin"/>
      </w:r>
      <w:r>
        <w:rPr>
          <w:color w:val="auto"/>
        </w:rPr>
        <w:instrText xml:space="preserve"> PAGEREF _Toc5857 </w:instrText>
      </w:r>
      <w:r>
        <w:rPr>
          <w:color w:val="auto"/>
        </w:rPr>
        <w:fldChar w:fldCharType="separate"/>
      </w:r>
      <w:r>
        <w:rPr>
          <w:color w:val="auto"/>
        </w:rPr>
        <w:t>- 16 -</w:t>
      </w:r>
      <w:r>
        <w:rPr>
          <w:color w:val="auto"/>
        </w:rPr>
        <w:fldChar w:fldCharType="end"/>
      </w:r>
      <w:r>
        <w:rPr>
          <w:rFonts w:hint="eastAsia" w:ascii="宋体" w:hAnsi="宋体" w:cs="宋体"/>
          <w:color w:val="auto"/>
          <w:szCs w:val="21"/>
        </w:rPr>
        <w:fldChar w:fldCharType="end"/>
      </w:r>
    </w:p>
    <w:p>
      <w:pPr>
        <w:pStyle w:val="2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_Toc2112 </w:instrText>
      </w:r>
      <w:r>
        <w:rPr>
          <w:rFonts w:hint="eastAsia" w:ascii="宋体" w:hAnsi="宋体" w:cs="宋体"/>
          <w:color w:val="auto"/>
          <w:szCs w:val="21"/>
        </w:rPr>
        <w:fldChar w:fldCharType="separate"/>
      </w:r>
      <w:r>
        <w:rPr>
          <w:rFonts w:hint="eastAsia" w:ascii="宋体" w:hAnsi="宋体" w:cs="宋体"/>
          <w:color w:val="auto"/>
          <w:szCs w:val="28"/>
        </w:rPr>
        <w:t>七、履约保证金及签订合同</w:t>
      </w:r>
      <w:r>
        <w:rPr>
          <w:color w:val="auto"/>
        </w:rPr>
        <w:tab/>
      </w:r>
      <w:r>
        <w:rPr>
          <w:color w:val="auto"/>
        </w:rPr>
        <w:fldChar w:fldCharType="begin"/>
      </w:r>
      <w:r>
        <w:rPr>
          <w:color w:val="auto"/>
        </w:rPr>
        <w:instrText xml:space="preserve"> PAGEREF _Toc2112 </w:instrText>
      </w:r>
      <w:r>
        <w:rPr>
          <w:color w:val="auto"/>
        </w:rPr>
        <w:fldChar w:fldCharType="separate"/>
      </w:r>
      <w:r>
        <w:rPr>
          <w:color w:val="auto"/>
        </w:rPr>
        <w:t>- 16 -</w:t>
      </w:r>
      <w:r>
        <w:rPr>
          <w:color w:val="auto"/>
        </w:rPr>
        <w:fldChar w:fldCharType="end"/>
      </w:r>
      <w:r>
        <w:rPr>
          <w:rFonts w:hint="eastAsia" w:ascii="宋体" w:hAnsi="宋体" w:cs="宋体"/>
          <w:color w:val="auto"/>
          <w:szCs w:val="21"/>
        </w:rPr>
        <w:fldChar w:fldCharType="end"/>
      </w:r>
    </w:p>
    <w:p>
      <w:pPr>
        <w:pStyle w:val="16"/>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_Toc19424 </w:instrText>
      </w:r>
      <w:r>
        <w:rPr>
          <w:rFonts w:hint="eastAsia" w:ascii="宋体" w:hAnsi="宋体" w:cs="宋体"/>
          <w:color w:val="auto"/>
          <w:szCs w:val="21"/>
        </w:rPr>
        <w:fldChar w:fldCharType="separate"/>
      </w:r>
      <w:r>
        <w:rPr>
          <w:rFonts w:hint="eastAsia" w:ascii="宋体" w:hAnsi="宋体" w:cs="宋体"/>
          <w:color w:val="auto"/>
          <w:szCs w:val="21"/>
        </w:rPr>
        <w:t>34. 履约保证金</w:t>
      </w:r>
      <w:r>
        <w:rPr>
          <w:color w:val="auto"/>
        </w:rPr>
        <w:tab/>
      </w:r>
      <w:r>
        <w:rPr>
          <w:color w:val="auto"/>
        </w:rPr>
        <w:fldChar w:fldCharType="begin"/>
      </w:r>
      <w:r>
        <w:rPr>
          <w:color w:val="auto"/>
        </w:rPr>
        <w:instrText xml:space="preserve"> PAGEREF _Toc19424 </w:instrText>
      </w:r>
      <w:r>
        <w:rPr>
          <w:color w:val="auto"/>
        </w:rPr>
        <w:fldChar w:fldCharType="separate"/>
      </w:r>
      <w:r>
        <w:rPr>
          <w:color w:val="auto"/>
        </w:rPr>
        <w:t>- 16 -</w:t>
      </w:r>
      <w:r>
        <w:rPr>
          <w:color w:val="auto"/>
        </w:rPr>
        <w:fldChar w:fldCharType="end"/>
      </w:r>
      <w:r>
        <w:rPr>
          <w:rFonts w:hint="eastAsia" w:ascii="宋体" w:hAnsi="宋体" w:cs="宋体"/>
          <w:color w:val="auto"/>
          <w:szCs w:val="21"/>
        </w:rPr>
        <w:fldChar w:fldCharType="end"/>
      </w:r>
    </w:p>
    <w:p>
      <w:pPr>
        <w:pStyle w:val="16"/>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_Toc29434 </w:instrText>
      </w:r>
      <w:r>
        <w:rPr>
          <w:rFonts w:hint="eastAsia" w:ascii="宋体" w:hAnsi="宋体" w:cs="宋体"/>
          <w:color w:val="auto"/>
          <w:szCs w:val="21"/>
        </w:rPr>
        <w:fldChar w:fldCharType="separate"/>
      </w:r>
      <w:r>
        <w:rPr>
          <w:rFonts w:hint="eastAsia"/>
          <w:color w:val="auto"/>
          <w:szCs w:val="21"/>
        </w:rPr>
        <w:t>本项目</w:t>
      </w:r>
      <w:r>
        <w:rPr>
          <w:rFonts w:hint="eastAsia"/>
          <w:color w:val="auto"/>
          <w:szCs w:val="21"/>
          <w:lang w:eastAsia="zh-CN"/>
        </w:rPr>
        <w:t>免收</w:t>
      </w:r>
      <w:r>
        <w:rPr>
          <w:rFonts w:hint="eastAsia"/>
          <w:color w:val="auto"/>
          <w:szCs w:val="21"/>
        </w:rPr>
        <w:t>履约保证金</w:t>
      </w:r>
      <w:r>
        <w:rPr>
          <w:color w:val="auto"/>
        </w:rPr>
        <w:tab/>
      </w:r>
      <w:r>
        <w:rPr>
          <w:color w:val="auto"/>
        </w:rPr>
        <w:fldChar w:fldCharType="begin"/>
      </w:r>
      <w:r>
        <w:rPr>
          <w:color w:val="auto"/>
        </w:rPr>
        <w:instrText xml:space="preserve"> PAGEREF _Toc29434 </w:instrText>
      </w:r>
      <w:r>
        <w:rPr>
          <w:color w:val="auto"/>
        </w:rPr>
        <w:fldChar w:fldCharType="separate"/>
      </w:r>
      <w:r>
        <w:rPr>
          <w:color w:val="auto"/>
        </w:rPr>
        <w:t>- 16 -</w:t>
      </w:r>
      <w:r>
        <w:rPr>
          <w:color w:val="auto"/>
        </w:rPr>
        <w:fldChar w:fldCharType="end"/>
      </w:r>
      <w:r>
        <w:rPr>
          <w:rFonts w:hint="eastAsia" w:ascii="宋体" w:hAnsi="宋体" w:cs="宋体"/>
          <w:color w:val="auto"/>
          <w:szCs w:val="21"/>
        </w:rPr>
        <w:fldChar w:fldCharType="end"/>
      </w:r>
    </w:p>
    <w:p>
      <w:pPr>
        <w:pStyle w:val="16"/>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_Toc15405 </w:instrText>
      </w:r>
      <w:r>
        <w:rPr>
          <w:rFonts w:hint="eastAsia" w:ascii="宋体" w:hAnsi="宋体" w:cs="宋体"/>
          <w:color w:val="auto"/>
          <w:szCs w:val="21"/>
        </w:rPr>
        <w:fldChar w:fldCharType="separate"/>
      </w:r>
      <w:r>
        <w:rPr>
          <w:rFonts w:hint="eastAsia" w:ascii="宋体" w:hAnsi="宋体" w:cs="宋体"/>
          <w:color w:val="auto"/>
          <w:szCs w:val="21"/>
        </w:rPr>
        <w:t>35. 签订合同</w:t>
      </w:r>
      <w:r>
        <w:rPr>
          <w:color w:val="auto"/>
        </w:rPr>
        <w:tab/>
      </w:r>
      <w:r>
        <w:rPr>
          <w:color w:val="auto"/>
        </w:rPr>
        <w:fldChar w:fldCharType="begin"/>
      </w:r>
      <w:r>
        <w:rPr>
          <w:color w:val="auto"/>
        </w:rPr>
        <w:instrText xml:space="preserve"> PAGEREF _Toc15405 </w:instrText>
      </w:r>
      <w:r>
        <w:rPr>
          <w:color w:val="auto"/>
        </w:rPr>
        <w:fldChar w:fldCharType="separate"/>
      </w:r>
      <w:r>
        <w:rPr>
          <w:color w:val="auto"/>
        </w:rPr>
        <w:t>- 16 -</w:t>
      </w:r>
      <w:r>
        <w:rPr>
          <w:color w:val="auto"/>
        </w:rPr>
        <w:fldChar w:fldCharType="end"/>
      </w:r>
      <w:r>
        <w:rPr>
          <w:rFonts w:hint="eastAsia" w:ascii="宋体" w:hAnsi="宋体" w:cs="宋体"/>
          <w:color w:val="auto"/>
          <w:szCs w:val="21"/>
        </w:rPr>
        <w:fldChar w:fldCharType="end"/>
      </w:r>
    </w:p>
    <w:p>
      <w:pPr>
        <w:pStyle w:val="2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_Toc10177 </w:instrText>
      </w:r>
      <w:r>
        <w:rPr>
          <w:rFonts w:hint="eastAsia" w:ascii="宋体" w:hAnsi="宋体" w:cs="宋体"/>
          <w:color w:val="auto"/>
          <w:szCs w:val="21"/>
        </w:rPr>
        <w:fldChar w:fldCharType="separate"/>
      </w:r>
      <w:r>
        <w:rPr>
          <w:rFonts w:hint="eastAsia" w:ascii="宋体" w:hAnsi="宋体" w:cs="宋体"/>
          <w:color w:val="auto"/>
          <w:szCs w:val="28"/>
        </w:rPr>
        <w:t>八、其他事项</w:t>
      </w:r>
      <w:r>
        <w:rPr>
          <w:color w:val="auto"/>
        </w:rPr>
        <w:tab/>
      </w:r>
      <w:r>
        <w:rPr>
          <w:color w:val="auto"/>
        </w:rPr>
        <w:fldChar w:fldCharType="begin"/>
      </w:r>
      <w:r>
        <w:rPr>
          <w:color w:val="auto"/>
        </w:rPr>
        <w:instrText xml:space="preserve"> PAGEREF _Toc10177 </w:instrText>
      </w:r>
      <w:r>
        <w:rPr>
          <w:color w:val="auto"/>
        </w:rPr>
        <w:fldChar w:fldCharType="separate"/>
      </w:r>
      <w:r>
        <w:rPr>
          <w:color w:val="auto"/>
        </w:rPr>
        <w:t>- 17 -</w:t>
      </w:r>
      <w:r>
        <w:rPr>
          <w:color w:val="auto"/>
        </w:rPr>
        <w:fldChar w:fldCharType="end"/>
      </w:r>
      <w:r>
        <w:rPr>
          <w:rFonts w:hint="eastAsia" w:ascii="宋体" w:hAnsi="宋体" w:cs="宋体"/>
          <w:color w:val="auto"/>
          <w:szCs w:val="21"/>
        </w:rPr>
        <w:fldChar w:fldCharType="end"/>
      </w:r>
    </w:p>
    <w:p>
      <w:pPr>
        <w:pStyle w:val="16"/>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_Toc18285 </w:instrText>
      </w:r>
      <w:r>
        <w:rPr>
          <w:rFonts w:hint="eastAsia" w:ascii="宋体" w:hAnsi="宋体" w:cs="宋体"/>
          <w:color w:val="auto"/>
          <w:szCs w:val="21"/>
        </w:rPr>
        <w:fldChar w:fldCharType="separate"/>
      </w:r>
      <w:r>
        <w:rPr>
          <w:rFonts w:hint="eastAsia" w:ascii="宋体" w:hAnsi="宋体" w:cs="宋体"/>
          <w:color w:val="auto"/>
          <w:szCs w:val="21"/>
        </w:rPr>
        <w:t>36. 招标代理服务费</w:t>
      </w:r>
      <w:r>
        <w:rPr>
          <w:color w:val="auto"/>
        </w:rPr>
        <w:tab/>
      </w:r>
      <w:r>
        <w:rPr>
          <w:color w:val="auto"/>
        </w:rPr>
        <w:fldChar w:fldCharType="begin"/>
      </w:r>
      <w:r>
        <w:rPr>
          <w:color w:val="auto"/>
        </w:rPr>
        <w:instrText xml:space="preserve"> PAGEREF _Toc18285 </w:instrText>
      </w:r>
      <w:r>
        <w:rPr>
          <w:color w:val="auto"/>
        </w:rPr>
        <w:fldChar w:fldCharType="separate"/>
      </w:r>
      <w:r>
        <w:rPr>
          <w:color w:val="auto"/>
        </w:rPr>
        <w:t>- 17 -</w:t>
      </w:r>
      <w:r>
        <w:rPr>
          <w:color w:val="auto"/>
        </w:rPr>
        <w:fldChar w:fldCharType="end"/>
      </w:r>
      <w:r>
        <w:rPr>
          <w:rFonts w:hint="eastAsia" w:ascii="宋体" w:hAnsi="宋体" w:cs="宋体"/>
          <w:color w:val="auto"/>
          <w:szCs w:val="21"/>
        </w:rPr>
        <w:fldChar w:fldCharType="end"/>
      </w:r>
    </w:p>
    <w:p>
      <w:pPr>
        <w:pStyle w:val="16"/>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_Toc22880 </w:instrText>
      </w:r>
      <w:r>
        <w:rPr>
          <w:rFonts w:hint="eastAsia" w:ascii="宋体" w:hAnsi="宋体" w:cs="宋体"/>
          <w:color w:val="auto"/>
          <w:szCs w:val="21"/>
        </w:rPr>
        <w:fldChar w:fldCharType="separate"/>
      </w:r>
      <w:r>
        <w:rPr>
          <w:rFonts w:hint="eastAsia" w:ascii="宋体" w:hAnsi="宋体" w:cs="宋体"/>
          <w:color w:val="auto"/>
          <w:szCs w:val="21"/>
        </w:rPr>
        <w:t>37. 解释权</w:t>
      </w:r>
      <w:r>
        <w:rPr>
          <w:color w:val="auto"/>
        </w:rPr>
        <w:tab/>
      </w:r>
      <w:r>
        <w:rPr>
          <w:color w:val="auto"/>
        </w:rPr>
        <w:fldChar w:fldCharType="begin"/>
      </w:r>
      <w:r>
        <w:rPr>
          <w:color w:val="auto"/>
        </w:rPr>
        <w:instrText xml:space="preserve"> PAGEREF _Toc22880 </w:instrText>
      </w:r>
      <w:r>
        <w:rPr>
          <w:color w:val="auto"/>
        </w:rPr>
        <w:fldChar w:fldCharType="separate"/>
      </w:r>
      <w:r>
        <w:rPr>
          <w:color w:val="auto"/>
        </w:rPr>
        <w:t>- 17 -</w:t>
      </w:r>
      <w:r>
        <w:rPr>
          <w:color w:val="auto"/>
        </w:rPr>
        <w:fldChar w:fldCharType="end"/>
      </w:r>
      <w:r>
        <w:rPr>
          <w:rFonts w:hint="eastAsia" w:ascii="宋体" w:hAnsi="宋体" w:cs="宋体"/>
          <w:color w:val="auto"/>
          <w:szCs w:val="21"/>
        </w:rPr>
        <w:fldChar w:fldCharType="end"/>
      </w:r>
    </w:p>
    <w:p>
      <w:pPr>
        <w:pStyle w:val="16"/>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_Toc18451 </w:instrText>
      </w:r>
      <w:r>
        <w:rPr>
          <w:rFonts w:hint="eastAsia" w:ascii="宋体" w:hAnsi="宋体" w:cs="宋体"/>
          <w:color w:val="auto"/>
          <w:szCs w:val="21"/>
        </w:rPr>
        <w:fldChar w:fldCharType="separate"/>
      </w:r>
      <w:r>
        <w:rPr>
          <w:rFonts w:hint="eastAsia" w:ascii="宋体" w:hAnsi="宋体" w:cs="宋体"/>
          <w:color w:val="auto"/>
          <w:szCs w:val="21"/>
        </w:rPr>
        <w:t>38. 监督管理机构</w:t>
      </w:r>
      <w:r>
        <w:rPr>
          <w:color w:val="auto"/>
        </w:rPr>
        <w:tab/>
      </w:r>
      <w:r>
        <w:rPr>
          <w:color w:val="auto"/>
        </w:rPr>
        <w:fldChar w:fldCharType="begin"/>
      </w:r>
      <w:r>
        <w:rPr>
          <w:color w:val="auto"/>
        </w:rPr>
        <w:instrText xml:space="preserve"> PAGEREF _Toc18451 </w:instrText>
      </w:r>
      <w:r>
        <w:rPr>
          <w:color w:val="auto"/>
        </w:rPr>
        <w:fldChar w:fldCharType="separate"/>
      </w:r>
      <w:r>
        <w:rPr>
          <w:color w:val="auto"/>
        </w:rPr>
        <w:t>- 17 -</w:t>
      </w:r>
      <w:r>
        <w:rPr>
          <w:color w:val="auto"/>
        </w:rPr>
        <w:fldChar w:fldCharType="end"/>
      </w:r>
      <w:r>
        <w:rPr>
          <w:rFonts w:hint="eastAsia" w:ascii="宋体" w:hAnsi="宋体" w:cs="宋体"/>
          <w:color w:val="auto"/>
          <w:szCs w:val="21"/>
        </w:rPr>
        <w:fldChar w:fldCharType="end"/>
      </w:r>
    </w:p>
    <w:p>
      <w:pPr>
        <w:pStyle w:val="23"/>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_Toc26633 </w:instrText>
      </w:r>
      <w:r>
        <w:rPr>
          <w:rFonts w:hint="eastAsia" w:ascii="宋体" w:hAnsi="宋体" w:cs="宋体"/>
          <w:color w:val="auto"/>
          <w:szCs w:val="21"/>
        </w:rPr>
        <w:fldChar w:fldCharType="separate"/>
      </w:r>
      <w:r>
        <w:rPr>
          <w:rFonts w:hint="eastAsia" w:ascii="宋体" w:hAnsi="宋体" w:cs="宋体"/>
          <w:bCs/>
          <w:color w:val="auto"/>
          <w:kern w:val="44"/>
          <w:szCs w:val="32"/>
        </w:rPr>
        <w:t>第三章  货物采购需求</w:t>
      </w:r>
      <w:r>
        <w:rPr>
          <w:color w:val="auto"/>
        </w:rPr>
        <w:tab/>
      </w:r>
      <w:r>
        <w:rPr>
          <w:color w:val="auto"/>
        </w:rPr>
        <w:fldChar w:fldCharType="begin"/>
      </w:r>
      <w:r>
        <w:rPr>
          <w:color w:val="auto"/>
        </w:rPr>
        <w:instrText xml:space="preserve"> PAGEREF _Toc26633 </w:instrText>
      </w:r>
      <w:r>
        <w:rPr>
          <w:color w:val="auto"/>
        </w:rPr>
        <w:fldChar w:fldCharType="separate"/>
      </w:r>
      <w:r>
        <w:rPr>
          <w:color w:val="auto"/>
        </w:rPr>
        <w:t>- 18 -</w:t>
      </w:r>
      <w:r>
        <w:rPr>
          <w:color w:val="auto"/>
        </w:rPr>
        <w:fldChar w:fldCharType="end"/>
      </w:r>
      <w:r>
        <w:rPr>
          <w:rFonts w:hint="eastAsia" w:ascii="宋体" w:hAnsi="宋体" w:cs="宋体"/>
          <w:color w:val="auto"/>
          <w:szCs w:val="21"/>
        </w:rPr>
        <w:fldChar w:fldCharType="end"/>
      </w:r>
    </w:p>
    <w:p>
      <w:pPr>
        <w:pStyle w:val="23"/>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_Toc30440 </w:instrText>
      </w:r>
      <w:r>
        <w:rPr>
          <w:rFonts w:hint="eastAsia" w:ascii="宋体" w:hAnsi="宋体" w:cs="宋体"/>
          <w:color w:val="auto"/>
          <w:szCs w:val="21"/>
        </w:rPr>
        <w:fldChar w:fldCharType="separate"/>
      </w:r>
      <w:r>
        <w:rPr>
          <w:rFonts w:hint="eastAsia"/>
          <w:color w:val="auto"/>
          <w:szCs w:val="32"/>
        </w:rPr>
        <w:t>第四章  评标办法</w:t>
      </w:r>
      <w:r>
        <w:rPr>
          <w:color w:val="auto"/>
        </w:rPr>
        <w:tab/>
      </w:r>
      <w:r>
        <w:rPr>
          <w:color w:val="auto"/>
        </w:rPr>
        <w:fldChar w:fldCharType="begin"/>
      </w:r>
      <w:r>
        <w:rPr>
          <w:color w:val="auto"/>
        </w:rPr>
        <w:instrText xml:space="preserve"> PAGEREF _Toc30440 </w:instrText>
      </w:r>
      <w:r>
        <w:rPr>
          <w:color w:val="auto"/>
        </w:rPr>
        <w:fldChar w:fldCharType="separate"/>
      </w:r>
      <w:r>
        <w:rPr>
          <w:color w:val="auto"/>
        </w:rPr>
        <w:t>- 27 -</w:t>
      </w:r>
      <w:r>
        <w:rPr>
          <w:color w:val="auto"/>
        </w:rPr>
        <w:fldChar w:fldCharType="end"/>
      </w:r>
      <w:r>
        <w:rPr>
          <w:rFonts w:hint="eastAsia" w:ascii="宋体" w:hAnsi="宋体" w:cs="宋体"/>
          <w:color w:val="auto"/>
          <w:szCs w:val="21"/>
        </w:rPr>
        <w:fldChar w:fldCharType="end"/>
      </w:r>
    </w:p>
    <w:p>
      <w:pPr>
        <w:pStyle w:val="23"/>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_Toc9531 </w:instrText>
      </w:r>
      <w:r>
        <w:rPr>
          <w:rFonts w:hint="eastAsia" w:ascii="宋体" w:hAnsi="宋体" w:cs="宋体"/>
          <w:color w:val="auto"/>
          <w:szCs w:val="21"/>
        </w:rPr>
        <w:fldChar w:fldCharType="separate"/>
      </w:r>
      <w:r>
        <w:rPr>
          <w:rFonts w:hint="eastAsia" w:ascii="宋体" w:hAnsi="宋体" w:cs="宋体"/>
          <w:bCs/>
          <w:color w:val="auto"/>
          <w:kern w:val="44"/>
          <w:szCs w:val="32"/>
        </w:rPr>
        <w:t>第五章  采购合同（合同主要条款及格式）</w:t>
      </w:r>
      <w:r>
        <w:rPr>
          <w:color w:val="auto"/>
        </w:rPr>
        <w:tab/>
      </w:r>
      <w:r>
        <w:rPr>
          <w:color w:val="auto"/>
        </w:rPr>
        <w:fldChar w:fldCharType="begin"/>
      </w:r>
      <w:r>
        <w:rPr>
          <w:color w:val="auto"/>
        </w:rPr>
        <w:instrText xml:space="preserve"> PAGEREF _Toc9531 </w:instrText>
      </w:r>
      <w:r>
        <w:rPr>
          <w:color w:val="auto"/>
        </w:rPr>
        <w:fldChar w:fldCharType="separate"/>
      </w:r>
      <w:r>
        <w:rPr>
          <w:color w:val="auto"/>
        </w:rPr>
        <w:t>- 33 -</w:t>
      </w:r>
      <w:r>
        <w:rPr>
          <w:color w:val="auto"/>
        </w:rPr>
        <w:fldChar w:fldCharType="end"/>
      </w:r>
      <w:r>
        <w:rPr>
          <w:rFonts w:hint="eastAsia" w:ascii="宋体" w:hAnsi="宋体" w:cs="宋体"/>
          <w:color w:val="auto"/>
          <w:szCs w:val="21"/>
        </w:rPr>
        <w:fldChar w:fldCharType="end"/>
      </w:r>
    </w:p>
    <w:p>
      <w:pPr>
        <w:pStyle w:val="2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_Toc21474 </w:instrText>
      </w:r>
      <w:r>
        <w:rPr>
          <w:rFonts w:hint="eastAsia" w:ascii="宋体" w:hAnsi="宋体" w:cs="宋体"/>
          <w:color w:val="auto"/>
          <w:szCs w:val="21"/>
        </w:rPr>
        <w:fldChar w:fldCharType="separate"/>
      </w:r>
      <w:r>
        <w:rPr>
          <w:rFonts w:hint="eastAsia" w:ascii="宋体" w:hAnsi="宋体" w:cs="宋体"/>
          <w:color w:val="auto"/>
          <w:szCs w:val="21"/>
        </w:rPr>
        <w:t>第一条  合同标的及合同金额</w:t>
      </w:r>
      <w:r>
        <w:rPr>
          <w:color w:val="auto"/>
        </w:rPr>
        <w:tab/>
      </w:r>
      <w:r>
        <w:rPr>
          <w:color w:val="auto"/>
        </w:rPr>
        <w:fldChar w:fldCharType="begin"/>
      </w:r>
      <w:r>
        <w:rPr>
          <w:color w:val="auto"/>
        </w:rPr>
        <w:instrText xml:space="preserve"> PAGEREF _Toc21474 </w:instrText>
      </w:r>
      <w:r>
        <w:rPr>
          <w:color w:val="auto"/>
        </w:rPr>
        <w:fldChar w:fldCharType="separate"/>
      </w:r>
      <w:r>
        <w:rPr>
          <w:color w:val="auto"/>
        </w:rPr>
        <w:t>- 33 -</w:t>
      </w:r>
      <w:r>
        <w:rPr>
          <w:color w:val="auto"/>
        </w:rPr>
        <w:fldChar w:fldCharType="end"/>
      </w:r>
      <w:r>
        <w:rPr>
          <w:rFonts w:hint="eastAsia" w:ascii="宋体" w:hAnsi="宋体" w:cs="宋体"/>
          <w:color w:val="auto"/>
          <w:szCs w:val="21"/>
        </w:rPr>
        <w:fldChar w:fldCharType="end"/>
      </w:r>
    </w:p>
    <w:p>
      <w:pPr>
        <w:pStyle w:val="2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_Toc31676 </w:instrText>
      </w:r>
      <w:r>
        <w:rPr>
          <w:rFonts w:hint="eastAsia" w:ascii="宋体" w:hAnsi="宋体" w:cs="宋体"/>
          <w:color w:val="auto"/>
          <w:szCs w:val="21"/>
        </w:rPr>
        <w:fldChar w:fldCharType="separate"/>
      </w:r>
      <w:r>
        <w:rPr>
          <w:rFonts w:hint="eastAsia" w:ascii="宋体" w:hAnsi="宋体" w:cs="宋体"/>
          <w:color w:val="auto"/>
          <w:szCs w:val="21"/>
        </w:rPr>
        <w:t>第二条  质量保证</w:t>
      </w:r>
      <w:r>
        <w:rPr>
          <w:color w:val="auto"/>
        </w:rPr>
        <w:tab/>
      </w:r>
      <w:r>
        <w:rPr>
          <w:color w:val="auto"/>
        </w:rPr>
        <w:fldChar w:fldCharType="begin"/>
      </w:r>
      <w:r>
        <w:rPr>
          <w:color w:val="auto"/>
        </w:rPr>
        <w:instrText xml:space="preserve"> PAGEREF _Toc31676 </w:instrText>
      </w:r>
      <w:r>
        <w:rPr>
          <w:color w:val="auto"/>
        </w:rPr>
        <w:fldChar w:fldCharType="separate"/>
      </w:r>
      <w:r>
        <w:rPr>
          <w:color w:val="auto"/>
        </w:rPr>
        <w:t>- 33 -</w:t>
      </w:r>
      <w:r>
        <w:rPr>
          <w:color w:val="auto"/>
        </w:rPr>
        <w:fldChar w:fldCharType="end"/>
      </w:r>
      <w:r>
        <w:rPr>
          <w:rFonts w:hint="eastAsia" w:ascii="宋体" w:hAnsi="宋体" w:cs="宋体"/>
          <w:color w:val="auto"/>
          <w:szCs w:val="21"/>
        </w:rPr>
        <w:fldChar w:fldCharType="end"/>
      </w:r>
    </w:p>
    <w:p>
      <w:pPr>
        <w:pStyle w:val="2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_Toc1713 </w:instrText>
      </w:r>
      <w:r>
        <w:rPr>
          <w:rFonts w:hint="eastAsia" w:ascii="宋体" w:hAnsi="宋体" w:cs="宋体"/>
          <w:color w:val="auto"/>
          <w:szCs w:val="21"/>
        </w:rPr>
        <w:fldChar w:fldCharType="separate"/>
      </w:r>
      <w:r>
        <w:rPr>
          <w:rFonts w:hint="eastAsia" w:ascii="宋体" w:hAnsi="宋体" w:cs="宋体"/>
          <w:color w:val="auto"/>
          <w:szCs w:val="21"/>
        </w:rPr>
        <w:t>第三条  权力保证</w:t>
      </w:r>
      <w:r>
        <w:rPr>
          <w:color w:val="auto"/>
        </w:rPr>
        <w:tab/>
      </w:r>
      <w:r>
        <w:rPr>
          <w:color w:val="auto"/>
        </w:rPr>
        <w:fldChar w:fldCharType="begin"/>
      </w:r>
      <w:r>
        <w:rPr>
          <w:color w:val="auto"/>
        </w:rPr>
        <w:instrText xml:space="preserve"> PAGEREF _Toc1713 </w:instrText>
      </w:r>
      <w:r>
        <w:rPr>
          <w:color w:val="auto"/>
        </w:rPr>
        <w:fldChar w:fldCharType="separate"/>
      </w:r>
      <w:r>
        <w:rPr>
          <w:color w:val="auto"/>
        </w:rPr>
        <w:t>- 33 -</w:t>
      </w:r>
      <w:r>
        <w:rPr>
          <w:color w:val="auto"/>
        </w:rPr>
        <w:fldChar w:fldCharType="end"/>
      </w:r>
      <w:r>
        <w:rPr>
          <w:rFonts w:hint="eastAsia" w:ascii="宋体" w:hAnsi="宋体" w:cs="宋体"/>
          <w:color w:val="auto"/>
          <w:szCs w:val="21"/>
        </w:rPr>
        <w:fldChar w:fldCharType="end"/>
      </w:r>
    </w:p>
    <w:p>
      <w:pPr>
        <w:pStyle w:val="2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_Toc17527 </w:instrText>
      </w:r>
      <w:r>
        <w:rPr>
          <w:rFonts w:hint="eastAsia" w:ascii="宋体" w:hAnsi="宋体" w:cs="宋体"/>
          <w:color w:val="auto"/>
          <w:szCs w:val="21"/>
        </w:rPr>
        <w:fldChar w:fldCharType="separate"/>
      </w:r>
      <w:r>
        <w:rPr>
          <w:rFonts w:hint="eastAsia" w:ascii="宋体" w:hAnsi="宋体" w:cs="宋体"/>
          <w:color w:val="auto"/>
          <w:szCs w:val="21"/>
        </w:rPr>
        <w:t>第四条  货物包装、运输</w:t>
      </w:r>
      <w:r>
        <w:rPr>
          <w:color w:val="auto"/>
        </w:rPr>
        <w:tab/>
      </w:r>
      <w:r>
        <w:rPr>
          <w:color w:val="auto"/>
        </w:rPr>
        <w:fldChar w:fldCharType="begin"/>
      </w:r>
      <w:r>
        <w:rPr>
          <w:color w:val="auto"/>
        </w:rPr>
        <w:instrText xml:space="preserve"> PAGEREF _Toc17527 </w:instrText>
      </w:r>
      <w:r>
        <w:rPr>
          <w:color w:val="auto"/>
        </w:rPr>
        <w:fldChar w:fldCharType="separate"/>
      </w:r>
      <w:r>
        <w:rPr>
          <w:color w:val="auto"/>
        </w:rPr>
        <w:t>- 33 -</w:t>
      </w:r>
      <w:r>
        <w:rPr>
          <w:color w:val="auto"/>
        </w:rPr>
        <w:fldChar w:fldCharType="end"/>
      </w:r>
      <w:r>
        <w:rPr>
          <w:rFonts w:hint="eastAsia" w:ascii="宋体" w:hAnsi="宋体" w:cs="宋体"/>
          <w:color w:val="auto"/>
          <w:szCs w:val="21"/>
        </w:rPr>
        <w:fldChar w:fldCharType="end"/>
      </w:r>
    </w:p>
    <w:p>
      <w:pPr>
        <w:pStyle w:val="2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_Toc31910 </w:instrText>
      </w:r>
      <w:r>
        <w:rPr>
          <w:rFonts w:hint="eastAsia" w:ascii="宋体" w:hAnsi="宋体" w:cs="宋体"/>
          <w:color w:val="auto"/>
          <w:szCs w:val="21"/>
        </w:rPr>
        <w:fldChar w:fldCharType="separate"/>
      </w:r>
      <w:r>
        <w:rPr>
          <w:rFonts w:hint="eastAsia" w:ascii="宋体" w:hAnsi="宋体" w:cs="宋体"/>
          <w:color w:val="auto"/>
          <w:szCs w:val="21"/>
        </w:rPr>
        <w:t>第五条  交付</w:t>
      </w:r>
      <w:r>
        <w:rPr>
          <w:color w:val="auto"/>
        </w:rPr>
        <w:tab/>
      </w:r>
      <w:r>
        <w:rPr>
          <w:color w:val="auto"/>
        </w:rPr>
        <w:fldChar w:fldCharType="begin"/>
      </w:r>
      <w:r>
        <w:rPr>
          <w:color w:val="auto"/>
        </w:rPr>
        <w:instrText xml:space="preserve"> PAGEREF _Toc31910 </w:instrText>
      </w:r>
      <w:r>
        <w:rPr>
          <w:color w:val="auto"/>
        </w:rPr>
        <w:fldChar w:fldCharType="separate"/>
      </w:r>
      <w:r>
        <w:rPr>
          <w:color w:val="auto"/>
        </w:rPr>
        <w:t>- 34 -</w:t>
      </w:r>
      <w:r>
        <w:rPr>
          <w:color w:val="auto"/>
        </w:rPr>
        <w:fldChar w:fldCharType="end"/>
      </w:r>
      <w:r>
        <w:rPr>
          <w:rFonts w:hint="eastAsia" w:ascii="宋体" w:hAnsi="宋体" w:cs="宋体"/>
          <w:color w:val="auto"/>
          <w:szCs w:val="21"/>
        </w:rPr>
        <w:fldChar w:fldCharType="end"/>
      </w:r>
    </w:p>
    <w:p>
      <w:pPr>
        <w:pStyle w:val="2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_Toc5954 </w:instrText>
      </w:r>
      <w:r>
        <w:rPr>
          <w:rFonts w:hint="eastAsia" w:ascii="宋体" w:hAnsi="宋体" w:cs="宋体"/>
          <w:color w:val="auto"/>
          <w:szCs w:val="21"/>
        </w:rPr>
        <w:fldChar w:fldCharType="separate"/>
      </w:r>
      <w:r>
        <w:rPr>
          <w:rFonts w:hint="eastAsia" w:ascii="宋体" w:hAnsi="宋体" w:cs="宋体"/>
          <w:color w:val="auto"/>
          <w:szCs w:val="21"/>
        </w:rPr>
        <w:t>第六条  调试和验收</w:t>
      </w:r>
      <w:r>
        <w:rPr>
          <w:color w:val="auto"/>
        </w:rPr>
        <w:tab/>
      </w:r>
      <w:r>
        <w:rPr>
          <w:color w:val="auto"/>
        </w:rPr>
        <w:fldChar w:fldCharType="begin"/>
      </w:r>
      <w:r>
        <w:rPr>
          <w:color w:val="auto"/>
        </w:rPr>
        <w:instrText xml:space="preserve"> PAGEREF _Toc5954 </w:instrText>
      </w:r>
      <w:r>
        <w:rPr>
          <w:color w:val="auto"/>
        </w:rPr>
        <w:fldChar w:fldCharType="separate"/>
      </w:r>
      <w:r>
        <w:rPr>
          <w:color w:val="auto"/>
        </w:rPr>
        <w:t>- 34 -</w:t>
      </w:r>
      <w:r>
        <w:rPr>
          <w:color w:val="auto"/>
        </w:rPr>
        <w:fldChar w:fldCharType="end"/>
      </w:r>
      <w:r>
        <w:rPr>
          <w:rFonts w:hint="eastAsia" w:ascii="宋体" w:hAnsi="宋体" w:cs="宋体"/>
          <w:color w:val="auto"/>
          <w:szCs w:val="21"/>
        </w:rPr>
        <w:fldChar w:fldCharType="end"/>
      </w:r>
    </w:p>
    <w:p>
      <w:pPr>
        <w:pStyle w:val="2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_Toc30435 </w:instrText>
      </w:r>
      <w:r>
        <w:rPr>
          <w:rFonts w:hint="eastAsia" w:ascii="宋体" w:hAnsi="宋体" w:cs="宋体"/>
          <w:color w:val="auto"/>
          <w:szCs w:val="21"/>
        </w:rPr>
        <w:fldChar w:fldCharType="separate"/>
      </w:r>
      <w:r>
        <w:rPr>
          <w:rFonts w:hint="eastAsia" w:ascii="宋体" w:hAnsi="宋体" w:cs="宋体"/>
          <w:color w:val="auto"/>
          <w:szCs w:val="21"/>
        </w:rPr>
        <w:t>第七条  安装和培训</w:t>
      </w:r>
      <w:r>
        <w:rPr>
          <w:color w:val="auto"/>
        </w:rPr>
        <w:tab/>
      </w:r>
      <w:r>
        <w:rPr>
          <w:color w:val="auto"/>
        </w:rPr>
        <w:fldChar w:fldCharType="begin"/>
      </w:r>
      <w:r>
        <w:rPr>
          <w:color w:val="auto"/>
        </w:rPr>
        <w:instrText xml:space="preserve"> PAGEREF _Toc30435 </w:instrText>
      </w:r>
      <w:r>
        <w:rPr>
          <w:color w:val="auto"/>
        </w:rPr>
        <w:fldChar w:fldCharType="separate"/>
      </w:r>
      <w:r>
        <w:rPr>
          <w:color w:val="auto"/>
        </w:rPr>
        <w:t>- 34 -</w:t>
      </w:r>
      <w:r>
        <w:rPr>
          <w:color w:val="auto"/>
        </w:rPr>
        <w:fldChar w:fldCharType="end"/>
      </w:r>
      <w:r>
        <w:rPr>
          <w:rFonts w:hint="eastAsia" w:ascii="宋体" w:hAnsi="宋体" w:cs="宋体"/>
          <w:color w:val="auto"/>
          <w:szCs w:val="21"/>
        </w:rPr>
        <w:fldChar w:fldCharType="end"/>
      </w:r>
    </w:p>
    <w:p>
      <w:pPr>
        <w:pStyle w:val="2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_Toc7892 </w:instrText>
      </w:r>
      <w:r>
        <w:rPr>
          <w:rFonts w:hint="eastAsia" w:ascii="宋体" w:hAnsi="宋体" w:cs="宋体"/>
          <w:color w:val="auto"/>
          <w:szCs w:val="21"/>
        </w:rPr>
        <w:fldChar w:fldCharType="separate"/>
      </w:r>
      <w:r>
        <w:rPr>
          <w:rFonts w:hint="eastAsia" w:ascii="宋体" w:hAnsi="宋体" w:cs="宋体"/>
          <w:color w:val="auto"/>
          <w:szCs w:val="21"/>
        </w:rPr>
        <w:t>第八条  售后服务、保修期</w:t>
      </w:r>
      <w:r>
        <w:rPr>
          <w:color w:val="auto"/>
        </w:rPr>
        <w:tab/>
      </w:r>
      <w:r>
        <w:rPr>
          <w:color w:val="auto"/>
        </w:rPr>
        <w:fldChar w:fldCharType="begin"/>
      </w:r>
      <w:r>
        <w:rPr>
          <w:color w:val="auto"/>
        </w:rPr>
        <w:instrText xml:space="preserve"> PAGEREF _Toc7892 </w:instrText>
      </w:r>
      <w:r>
        <w:rPr>
          <w:color w:val="auto"/>
        </w:rPr>
        <w:fldChar w:fldCharType="separate"/>
      </w:r>
      <w:r>
        <w:rPr>
          <w:color w:val="auto"/>
        </w:rPr>
        <w:t>- 35 -</w:t>
      </w:r>
      <w:r>
        <w:rPr>
          <w:color w:val="auto"/>
        </w:rPr>
        <w:fldChar w:fldCharType="end"/>
      </w:r>
      <w:r>
        <w:rPr>
          <w:rFonts w:hint="eastAsia" w:ascii="宋体" w:hAnsi="宋体" w:cs="宋体"/>
          <w:color w:val="auto"/>
          <w:szCs w:val="21"/>
        </w:rPr>
        <w:fldChar w:fldCharType="end"/>
      </w:r>
    </w:p>
    <w:p>
      <w:pPr>
        <w:pStyle w:val="2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_Toc4850 </w:instrText>
      </w:r>
      <w:r>
        <w:rPr>
          <w:rFonts w:hint="eastAsia" w:ascii="宋体" w:hAnsi="宋体" w:cs="宋体"/>
          <w:color w:val="auto"/>
          <w:szCs w:val="21"/>
        </w:rPr>
        <w:fldChar w:fldCharType="separate"/>
      </w:r>
      <w:r>
        <w:rPr>
          <w:rFonts w:hint="eastAsia" w:ascii="宋体" w:hAnsi="宋体" w:cs="宋体"/>
          <w:color w:val="auto"/>
          <w:szCs w:val="21"/>
        </w:rPr>
        <w:t>第九条  税费</w:t>
      </w:r>
      <w:r>
        <w:rPr>
          <w:color w:val="auto"/>
        </w:rPr>
        <w:tab/>
      </w:r>
      <w:r>
        <w:rPr>
          <w:color w:val="auto"/>
        </w:rPr>
        <w:fldChar w:fldCharType="begin"/>
      </w:r>
      <w:r>
        <w:rPr>
          <w:color w:val="auto"/>
        </w:rPr>
        <w:instrText xml:space="preserve"> PAGEREF _Toc4850 </w:instrText>
      </w:r>
      <w:r>
        <w:rPr>
          <w:color w:val="auto"/>
        </w:rPr>
        <w:fldChar w:fldCharType="separate"/>
      </w:r>
      <w:r>
        <w:rPr>
          <w:color w:val="auto"/>
        </w:rPr>
        <w:t>- 35 -</w:t>
      </w:r>
      <w:r>
        <w:rPr>
          <w:color w:val="auto"/>
        </w:rPr>
        <w:fldChar w:fldCharType="end"/>
      </w:r>
      <w:r>
        <w:rPr>
          <w:rFonts w:hint="eastAsia" w:ascii="宋体" w:hAnsi="宋体" w:cs="宋体"/>
          <w:color w:val="auto"/>
          <w:szCs w:val="21"/>
        </w:rPr>
        <w:fldChar w:fldCharType="end"/>
      </w:r>
    </w:p>
    <w:p>
      <w:pPr>
        <w:pStyle w:val="2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_Toc29047 </w:instrText>
      </w:r>
      <w:r>
        <w:rPr>
          <w:rFonts w:hint="eastAsia" w:ascii="宋体" w:hAnsi="宋体" w:cs="宋体"/>
          <w:color w:val="auto"/>
          <w:szCs w:val="21"/>
        </w:rPr>
        <w:fldChar w:fldCharType="separate"/>
      </w:r>
      <w:r>
        <w:rPr>
          <w:rFonts w:hint="eastAsia" w:ascii="宋体" w:hAnsi="宋体" w:cs="宋体"/>
          <w:color w:val="auto"/>
          <w:szCs w:val="21"/>
        </w:rPr>
        <w:t>第十条  付款方式</w:t>
      </w:r>
      <w:r>
        <w:rPr>
          <w:color w:val="auto"/>
        </w:rPr>
        <w:tab/>
      </w:r>
      <w:r>
        <w:rPr>
          <w:color w:val="auto"/>
        </w:rPr>
        <w:fldChar w:fldCharType="begin"/>
      </w:r>
      <w:r>
        <w:rPr>
          <w:color w:val="auto"/>
        </w:rPr>
        <w:instrText xml:space="preserve"> PAGEREF _Toc29047 </w:instrText>
      </w:r>
      <w:r>
        <w:rPr>
          <w:color w:val="auto"/>
        </w:rPr>
        <w:fldChar w:fldCharType="separate"/>
      </w:r>
      <w:r>
        <w:rPr>
          <w:color w:val="auto"/>
        </w:rPr>
        <w:t>- 35 -</w:t>
      </w:r>
      <w:r>
        <w:rPr>
          <w:color w:val="auto"/>
        </w:rPr>
        <w:fldChar w:fldCharType="end"/>
      </w:r>
      <w:r>
        <w:rPr>
          <w:rFonts w:hint="eastAsia" w:ascii="宋体" w:hAnsi="宋体" w:cs="宋体"/>
          <w:color w:val="auto"/>
          <w:szCs w:val="21"/>
        </w:rPr>
        <w:fldChar w:fldCharType="end"/>
      </w:r>
    </w:p>
    <w:p>
      <w:pPr>
        <w:pStyle w:val="2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_Toc26935 </w:instrText>
      </w:r>
      <w:r>
        <w:rPr>
          <w:rFonts w:hint="eastAsia" w:ascii="宋体" w:hAnsi="宋体" w:cs="宋体"/>
          <w:color w:val="auto"/>
          <w:szCs w:val="21"/>
        </w:rPr>
        <w:fldChar w:fldCharType="separate"/>
      </w:r>
      <w:r>
        <w:rPr>
          <w:rFonts w:hint="eastAsia" w:ascii="宋体" w:hAnsi="宋体" w:cs="宋体"/>
          <w:color w:val="auto"/>
          <w:szCs w:val="21"/>
        </w:rPr>
        <w:t>第十一条  违约责任</w:t>
      </w:r>
      <w:r>
        <w:rPr>
          <w:color w:val="auto"/>
        </w:rPr>
        <w:tab/>
      </w:r>
      <w:r>
        <w:rPr>
          <w:color w:val="auto"/>
        </w:rPr>
        <w:fldChar w:fldCharType="begin"/>
      </w:r>
      <w:r>
        <w:rPr>
          <w:color w:val="auto"/>
        </w:rPr>
        <w:instrText xml:space="preserve"> PAGEREF _Toc26935 </w:instrText>
      </w:r>
      <w:r>
        <w:rPr>
          <w:color w:val="auto"/>
        </w:rPr>
        <w:fldChar w:fldCharType="separate"/>
      </w:r>
      <w:r>
        <w:rPr>
          <w:color w:val="auto"/>
        </w:rPr>
        <w:t>- 35 -</w:t>
      </w:r>
      <w:r>
        <w:rPr>
          <w:color w:val="auto"/>
        </w:rPr>
        <w:fldChar w:fldCharType="end"/>
      </w:r>
      <w:r>
        <w:rPr>
          <w:rFonts w:hint="eastAsia" w:ascii="宋体" w:hAnsi="宋体" w:cs="宋体"/>
          <w:color w:val="auto"/>
          <w:szCs w:val="21"/>
        </w:rPr>
        <w:fldChar w:fldCharType="end"/>
      </w:r>
    </w:p>
    <w:p>
      <w:pPr>
        <w:pStyle w:val="2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_Toc15417 </w:instrText>
      </w:r>
      <w:r>
        <w:rPr>
          <w:rFonts w:hint="eastAsia" w:ascii="宋体" w:hAnsi="宋体" w:cs="宋体"/>
          <w:color w:val="auto"/>
          <w:szCs w:val="21"/>
        </w:rPr>
        <w:fldChar w:fldCharType="separate"/>
      </w:r>
      <w:r>
        <w:rPr>
          <w:rFonts w:hint="eastAsia" w:ascii="宋体" w:hAnsi="宋体" w:cs="宋体"/>
          <w:color w:val="auto"/>
          <w:szCs w:val="21"/>
        </w:rPr>
        <w:t>第十二条  不可抗力事件处理</w:t>
      </w:r>
      <w:r>
        <w:rPr>
          <w:color w:val="auto"/>
        </w:rPr>
        <w:tab/>
      </w:r>
      <w:r>
        <w:rPr>
          <w:color w:val="auto"/>
        </w:rPr>
        <w:fldChar w:fldCharType="begin"/>
      </w:r>
      <w:r>
        <w:rPr>
          <w:color w:val="auto"/>
        </w:rPr>
        <w:instrText xml:space="preserve"> PAGEREF _Toc15417 </w:instrText>
      </w:r>
      <w:r>
        <w:rPr>
          <w:color w:val="auto"/>
        </w:rPr>
        <w:fldChar w:fldCharType="separate"/>
      </w:r>
      <w:r>
        <w:rPr>
          <w:color w:val="auto"/>
        </w:rPr>
        <w:t>- 35 -</w:t>
      </w:r>
      <w:r>
        <w:rPr>
          <w:color w:val="auto"/>
        </w:rPr>
        <w:fldChar w:fldCharType="end"/>
      </w:r>
      <w:r>
        <w:rPr>
          <w:rFonts w:hint="eastAsia" w:ascii="宋体" w:hAnsi="宋体" w:cs="宋体"/>
          <w:color w:val="auto"/>
          <w:szCs w:val="21"/>
        </w:rPr>
        <w:fldChar w:fldCharType="end"/>
      </w:r>
    </w:p>
    <w:p>
      <w:pPr>
        <w:pStyle w:val="2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_Toc30685 </w:instrText>
      </w:r>
      <w:r>
        <w:rPr>
          <w:rFonts w:hint="eastAsia" w:ascii="宋体" w:hAnsi="宋体" w:cs="宋体"/>
          <w:color w:val="auto"/>
          <w:szCs w:val="21"/>
        </w:rPr>
        <w:fldChar w:fldCharType="separate"/>
      </w:r>
      <w:r>
        <w:rPr>
          <w:rFonts w:hint="eastAsia" w:ascii="宋体" w:hAnsi="宋体" w:cs="宋体"/>
          <w:color w:val="auto"/>
          <w:szCs w:val="21"/>
        </w:rPr>
        <w:t>第十三条  合同争议解决</w:t>
      </w:r>
      <w:r>
        <w:rPr>
          <w:color w:val="auto"/>
        </w:rPr>
        <w:tab/>
      </w:r>
      <w:r>
        <w:rPr>
          <w:color w:val="auto"/>
        </w:rPr>
        <w:fldChar w:fldCharType="begin"/>
      </w:r>
      <w:r>
        <w:rPr>
          <w:color w:val="auto"/>
        </w:rPr>
        <w:instrText xml:space="preserve"> PAGEREF _Toc30685 </w:instrText>
      </w:r>
      <w:r>
        <w:rPr>
          <w:color w:val="auto"/>
        </w:rPr>
        <w:fldChar w:fldCharType="separate"/>
      </w:r>
      <w:r>
        <w:rPr>
          <w:color w:val="auto"/>
        </w:rPr>
        <w:t>- 36 -</w:t>
      </w:r>
      <w:r>
        <w:rPr>
          <w:color w:val="auto"/>
        </w:rPr>
        <w:fldChar w:fldCharType="end"/>
      </w:r>
      <w:r>
        <w:rPr>
          <w:rFonts w:hint="eastAsia" w:ascii="宋体" w:hAnsi="宋体" w:cs="宋体"/>
          <w:color w:val="auto"/>
          <w:szCs w:val="21"/>
        </w:rPr>
        <w:fldChar w:fldCharType="end"/>
      </w:r>
    </w:p>
    <w:p>
      <w:pPr>
        <w:pStyle w:val="2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_Toc15524 </w:instrText>
      </w:r>
      <w:r>
        <w:rPr>
          <w:rFonts w:hint="eastAsia" w:ascii="宋体" w:hAnsi="宋体" w:cs="宋体"/>
          <w:color w:val="auto"/>
          <w:szCs w:val="21"/>
        </w:rPr>
        <w:fldChar w:fldCharType="separate"/>
      </w:r>
      <w:r>
        <w:rPr>
          <w:rFonts w:hint="eastAsia" w:ascii="宋体" w:hAnsi="宋体" w:cs="宋体"/>
          <w:color w:val="auto"/>
          <w:szCs w:val="21"/>
        </w:rPr>
        <w:t>第十四条  合同生效及其它</w:t>
      </w:r>
      <w:r>
        <w:rPr>
          <w:color w:val="auto"/>
        </w:rPr>
        <w:tab/>
      </w:r>
      <w:r>
        <w:rPr>
          <w:color w:val="auto"/>
        </w:rPr>
        <w:fldChar w:fldCharType="begin"/>
      </w:r>
      <w:r>
        <w:rPr>
          <w:color w:val="auto"/>
        </w:rPr>
        <w:instrText xml:space="preserve"> PAGEREF _Toc15524 </w:instrText>
      </w:r>
      <w:r>
        <w:rPr>
          <w:color w:val="auto"/>
        </w:rPr>
        <w:fldChar w:fldCharType="separate"/>
      </w:r>
      <w:r>
        <w:rPr>
          <w:color w:val="auto"/>
        </w:rPr>
        <w:t>- 36 -</w:t>
      </w:r>
      <w:r>
        <w:rPr>
          <w:color w:val="auto"/>
        </w:rPr>
        <w:fldChar w:fldCharType="end"/>
      </w:r>
      <w:r>
        <w:rPr>
          <w:rFonts w:hint="eastAsia" w:ascii="宋体" w:hAnsi="宋体" w:cs="宋体"/>
          <w:color w:val="auto"/>
          <w:szCs w:val="21"/>
        </w:rPr>
        <w:fldChar w:fldCharType="end"/>
      </w:r>
    </w:p>
    <w:p>
      <w:pPr>
        <w:pStyle w:val="2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_Toc1574 </w:instrText>
      </w:r>
      <w:r>
        <w:rPr>
          <w:rFonts w:hint="eastAsia" w:ascii="宋体" w:hAnsi="宋体" w:cs="宋体"/>
          <w:color w:val="auto"/>
          <w:szCs w:val="21"/>
        </w:rPr>
        <w:fldChar w:fldCharType="separate"/>
      </w:r>
      <w:r>
        <w:rPr>
          <w:rFonts w:hint="eastAsia" w:ascii="宋体" w:hAnsi="宋体" w:cs="宋体"/>
          <w:color w:val="auto"/>
          <w:szCs w:val="21"/>
        </w:rPr>
        <w:t>第十五条  合同的变更、终止与转让</w:t>
      </w:r>
      <w:r>
        <w:rPr>
          <w:color w:val="auto"/>
        </w:rPr>
        <w:tab/>
      </w:r>
      <w:r>
        <w:rPr>
          <w:color w:val="auto"/>
        </w:rPr>
        <w:fldChar w:fldCharType="begin"/>
      </w:r>
      <w:r>
        <w:rPr>
          <w:color w:val="auto"/>
        </w:rPr>
        <w:instrText xml:space="preserve"> PAGEREF _Toc1574 </w:instrText>
      </w:r>
      <w:r>
        <w:rPr>
          <w:color w:val="auto"/>
        </w:rPr>
        <w:fldChar w:fldCharType="separate"/>
      </w:r>
      <w:r>
        <w:rPr>
          <w:color w:val="auto"/>
        </w:rPr>
        <w:t>- 36 -</w:t>
      </w:r>
      <w:r>
        <w:rPr>
          <w:color w:val="auto"/>
        </w:rPr>
        <w:fldChar w:fldCharType="end"/>
      </w:r>
      <w:r>
        <w:rPr>
          <w:rFonts w:hint="eastAsia" w:ascii="宋体" w:hAnsi="宋体" w:cs="宋体"/>
          <w:color w:val="auto"/>
          <w:szCs w:val="21"/>
        </w:rPr>
        <w:fldChar w:fldCharType="end"/>
      </w:r>
    </w:p>
    <w:p>
      <w:pPr>
        <w:pStyle w:val="24"/>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_Toc9548 </w:instrText>
      </w:r>
      <w:r>
        <w:rPr>
          <w:rFonts w:hint="eastAsia" w:ascii="宋体" w:hAnsi="宋体" w:cs="宋体"/>
          <w:color w:val="auto"/>
          <w:szCs w:val="21"/>
        </w:rPr>
        <w:fldChar w:fldCharType="separate"/>
      </w:r>
      <w:r>
        <w:rPr>
          <w:rFonts w:hint="eastAsia" w:ascii="宋体" w:hAnsi="宋体" w:cs="宋体"/>
          <w:color w:val="auto"/>
          <w:szCs w:val="21"/>
        </w:rPr>
        <w:t>第十六条  签订本合同依据</w:t>
      </w:r>
      <w:r>
        <w:rPr>
          <w:color w:val="auto"/>
        </w:rPr>
        <w:tab/>
      </w:r>
      <w:r>
        <w:rPr>
          <w:color w:val="auto"/>
        </w:rPr>
        <w:fldChar w:fldCharType="begin"/>
      </w:r>
      <w:r>
        <w:rPr>
          <w:color w:val="auto"/>
        </w:rPr>
        <w:instrText xml:space="preserve"> PAGEREF _Toc9548 </w:instrText>
      </w:r>
      <w:r>
        <w:rPr>
          <w:color w:val="auto"/>
        </w:rPr>
        <w:fldChar w:fldCharType="separate"/>
      </w:r>
      <w:r>
        <w:rPr>
          <w:color w:val="auto"/>
        </w:rPr>
        <w:t>- 36 -</w:t>
      </w:r>
      <w:r>
        <w:rPr>
          <w:color w:val="auto"/>
        </w:rPr>
        <w:fldChar w:fldCharType="end"/>
      </w:r>
      <w:r>
        <w:rPr>
          <w:rFonts w:hint="eastAsia" w:ascii="宋体" w:hAnsi="宋体" w:cs="宋体"/>
          <w:color w:val="auto"/>
          <w:szCs w:val="21"/>
        </w:rPr>
        <w:fldChar w:fldCharType="end"/>
      </w:r>
    </w:p>
    <w:p>
      <w:pPr>
        <w:pStyle w:val="23"/>
        <w:tabs>
          <w:tab w:val="right" w:leader="dot" w:pos="9746"/>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_Toc19275 </w:instrText>
      </w:r>
      <w:r>
        <w:rPr>
          <w:rFonts w:hint="eastAsia" w:ascii="宋体" w:hAnsi="宋体" w:cs="宋体"/>
          <w:color w:val="auto"/>
          <w:szCs w:val="21"/>
        </w:rPr>
        <w:fldChar w:fldCharType="separate"/>
      </w:r>
      <w:r>
        <w:rPr>
          <w:rFonts w:hint="eastAsia" w:ascii="宋体" w:hAnsi="宋体" w:cs="宋体"/>
          <w:bCs/>
          <w:color w:val="auto"/>
          <w:kern w:val="44"/>
          <w:szCs w:val="32"/>
        </w:rPr>
        <w:t>第六章  投标文件（格式）</w:t>
      </w:r>
      <w:r>
        <w:rPr>
          <w:color w:val="auto"/>
        </w:rPr>
        <w:tab/>
      </w:r>
      <w:r>
        <w:rPr>
          <w:color w:val="auto"/>
        </w:rPr>
        <w:fldChar w:fldCharType="begin"/>
      </w:r>
      <w:r>
        <w:rPr>
          <w:color w:val="auto"/>
        </w:rPr>
        <w:instrText xml:space="preserve"> PAGEREF _Toc19275 </w:instrText>
      </w:r>
      <w:r>
        <w:rPr>
          <w:color w:val="auto"/>
        </w:rPr>
        <w:fldChar w:fldCharType="separate"/>
      </w:r>
      <w:r>
        <w:rPr>
          <w:color w:val="auto"/>
        </w:rPr>
        <w:t>- 37 -</w:t>
      </w:r>
      <w:r>
        <w:rPr>
          <w:color w:val="auto"/>
        </w:rPr>
        <w:fldChar w:fldCharType="end"/>
      </w:r>
      <w:r>
        <w:rPr>
          <w:rFonts w:hint="eastAsia" w:ascii="宋体" w:hAnsi="宋体" w:cs="宋体"/>
          <w:color w:val="auto"/>
          <w:szCs w:val="21"/>
        </w:rPr>
        <w:fldChar w:fldCharType="end"/>
      </w:r>
    </w:p>
    <w:p>
      <w:pPr>
        <w:rPr>
          <w:rFonts w:ascii="宋体" w:hAnsi="宋体" w:cs="宋体"/>
          <w:color w:val="auto"/>
          <w:szCs w:val="21"/>
        </w:rPr>
      </w:pPr>
      <w:r>
        <w:rPr>
          <w:rFonts w:hint="eastAsia" w:ascii="宋体" w:hAnsi="宋体" w:cs="宋体"/>
          <w:color w:val="auto"/>
          <w:szCs w:val="21"/>
        </w:rPr>
        <w:fldChar w:fldCharType="end"/>
      </w:r>
    </w:p>
    <w:p>
      <w:pPr>
        <w:jc w:val="center"/>
        <w:outlineLvl w:val="0"/>
        <w:rPr>
          <w:rFonts w:ascii="宋体" w:hAnsi="宋体" w:cs="宋体"/>
          <w:color w:val="auto"/>
          <w:sz w:val="32"/>
          <w:szCs w:val="32"/>
        </w:rPr>
        <w:sectPr>
          <w:pgSz w:w="11906" w:h="16838"/>
          <w:pgMar w:top="1440" w:right="1080" w:bottom="1440" w:left="1080" w:header="851" w:footer="992" w:gutter="0"/>
          <w:pgNumType w:fmt="numberInDash" w:start="1"/>
          <w:cols w:space="720" w:num="1"/>
          <w:docGrid w:type="lines" w:linePitch="312" w:charSpace="0"/>
        </w:sectPr>
      </w:pPr>
    </w:p>
    <w:p>
      <w:pPr>
        <w:pStyle w:val="3"/>
        <w:numPr>
          <w:ilvl w:val="0"/>
          <w:numId w:val="1"/>
        </w:numPr>
        <w:tabs>
          <w:tab w:val="left" w:pos="0"/>
          <w:tab w:val="left" w:pos="3165"/>
          <w:tab w:val="center" w:pos="4153"/>
        </w:tabs>
        <w:autoSpaceDE w:val="0"/>
        <w:autoSpaceDN w:val="0"/>
        <w:adjustRightInd w:val="0"/>
        <w:spacing w:before="0" w:after="0" w:line="440" w:lineRule="exact"/>
        <w:jc w:val="center"/>
        <w:rPr>
          <w:rFonts w:ascii="宋体" w:hAnsi="宋体" w:cs="宋体"/>
          <w:color w:val="auto"/>
          <w:sz w:val="32"/>
          <w:szCs w:val="32"/>
        </w:rPr>
      </w:pPr>
      <w:bookmarkStart w:id="0" w:name="_Toc35393789"/>
      <w:bookmarkStart w:id="1" w:name="_Toc28359001"/>
      <w:r>
        <w:rPr>
          <w:rFonts w:hint="eastAsia" w:ascii="宋体" w:hAnsi="宋体" w:cs="宋体"/>
          <w:color w:val="auto"/>
          <w:sz w:val="32"/>
          <w:szCs w:val="32"/>
        </w:rPr>
        <w:t xml:space="preserve">  </w:t>
      </w:r>
      <w:bookmarkStart w:id="2" w:name="_Toc28012"/>
      <w:r>
        <w:rPr>
          <w:rFonts w:hint="eastAsia" w:ascii="宋体" w:hAnsi="宋体" w:cs="宋体"/>
          <w:color w:val="auto"/>
          <w:sz w:val="32"/>
          <w:szCs w:val="32"/>
        </w:rPr>
        <w:t>公开招标公告</w:t>
      </w:r>
      <w:bookmarkEnd w:id="0"/>
      <w:bookmarkEnd w:id="1"/>
      <w:bookmarkEnd w:id="2"/>
    </w:p>
    <w:tbl>
      <w:tblPr>
        <w:tblStyle w:val="30"/>
        <w:tblpPr w:leftFromText="180" w:rightFromText="180" w:vertAnchor="text" w:tblpX="38" w:tblpY="134"/>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5000" w:type="pct"/>
          </w:tcPr>
          <w:p>
            <w:pPr>
              <w:spacing w:line="380" w:lineRule="exact"/>
              <w:ind w:firstLine="480" w:firstLineChars="200"/>
              <w:rPr>
                <w:rFonts w:ascii="宋体" w:hAnsi="宋体" w:cs="宋体"/>
                <w:color w:val="auto"/>
                <w:sz w:val="24"/>
              </w:rPr>
            </w:pPr>
            <w:r>
              <w:rPr>
                <w:rFonts w:hint="eastAsia" w:ascii="宋体" w:hAnsi="宋体" w:cs="宋体"/>
                <w:color w:val="auto"/>
                <w:sz w:val="24"/>
              </w:rPr>
              <w:t>项目概况</w:t>
            </w:r>
          </w:p>
          <w:p>
            <w:pPr>
              <w:spacing w:line="380" w:lineRule="exact"/>
              <w:ind w:firstLine="480" w:firstLineChars="200"/>
              <w:rPr>
                <w:rFonts w:ascii="宋体" w:hAnsi="宋体" w:cs="宋体"/>
                <w:color w:val="auto"/>
                <w:sz w:val="24"/>
              </w:rPr>
            </w:pPr>
            <w:r>
              <w:rPr>
                <w:rFonts w:hint="eastAsia" w:ascii="宋体" w:hAnsi="宋体" w:cs="宋体"/>
                <w:color w:val="auto"/>
                <w:sz w:val="24"/>
              </w:rPr>
              <w:t>桂林市政府集中采购中心受</w:t>
            </w:r>
            <w:r>
              <w:rPr>
                <w:rFonts w:hint="eastAsia" w:ascii="宋体" w:hAnsi="宋体" w:cs="宋体"/>
                <w:color w:val="auto"/>
                <w:sz w:val="24"/>
                <w:u w:val="single"/>
              </w:rPr>
              <w:t>桂林市临桂区教育局</w:t>
            </w:r>
            <w:r>
              <w:rPr>
                <w:rFonts w:hint="eastAsia" w:ascii="宋体" w:hAnsi="宋体" w:cs="宋体"/>
                <w:color w:val="auto"/>
                <w:sz w:val="24"/>
              </w:rPr>
              <w:t>委托，根据《中华人民共和国政府采购法》、《中华人民共和国政府采购法实施条例》及财政部令第87号《政府采购货物和服务招标投标管理办法》等规定，现就</w:t>
            </w:r>
            <w:r>
              <w:rPr>
                <w:rFonts w:hint="eastAsia" w:ascii="宋体" w:hAnsi="宋体" w:cs="宋体"/>
                <w:color w:val="auto"/>
                <w:sz w:val="24"/>
                <w:u w:val="single"/>
              </w:rPr>
              <w:t>临桂区2020年中小学班班通多媒体设备采购</w:t>
            </w:r>
            <w:r>
              <w:rPr>
                <w:rFonts w:hint="eastAsia" w:ascii="宋体" w:hAnsi="宋体" w:cs="宋体"/>
                <w:color w:val="auto"/>
                <w:sz w:val="24"/>
              </w:rPr>
              <w:t>项目进行公开招标，欢迎符合条件的供应商前来投标，并于2020年</w:t>
            </w:r>
            <w:r>
              <w:rPr>
                <w:rFonts w:hint="eastAsia" w:ascii="宋体" w:hAnsi="宋体" w:cs="宋体"/>
                <w:color w:val="auto"/>
                <w:sz w:val="24"/>
                <w:lang w:val="en-US" w:eastAsia="zh-CN"/>
              </w:rPr>
              <w:t>10</w:t>
            </w:r>
            <w:r>
              <w:rPr>
                <w:rFonts w:hint="eastAsia" w:ascii="宋体" w:hAnsi="宋体" w:cs="宋体"/>
                <w:color w:val="auto"/>
                <w:sz w:val="24"/>
              </w:rPr>
              <w:t>月</w:t>
            </w:r>
            <w:r>
              <w:rPr>
                <w:rFonts w:hint="eastAsia" w:ascii="宋体" w:hAnsi="宋体" w:cs="宋体"/>
                <w:color w:val="auto"/>
                <w:sz w:val="24"/>
                <w:lang w:val="en-US" w:eastAsia="zh-CN"/>
              </w:rPr>
              <w:t>9</w:t>
            </w:r>
            <w:r>
              <w:rPr>
                <w:rFonts w:hint="eastAsia" w:ascii="宋体" w:hAnsi="宋体" w:cs="宋体"/>
                <w:color w:val="auto"/>
                <w:sz w:val="24"/>
              </w:rPr>
              <w:t>日上午</w:t>
            </w:r>
            <w:r>
              <w:rPr>
                <w:rFonts w:hint="eastAsia" w:ascii="宋体" w:hAnsi="宋体" w:cs="宋体"/>
                <w:color w:val="auto"/>
                <w:sz w:val="24"/>
                <w:lang w:val="en-US" w:eastAsia="zh-CN"/>
              </w:rPr>
              <w:t>10</w:t>
            </w:r>
            <w:r>
              <w:rPr>
                <w:rFonts w:hint="eastAsia" w:ascii="宋体" w:hAnsi="宋体" w:cs="宋体"/>
                <w:color w:val="auto"/>
                <w:sz w:val="24"/>
              </w:rPr>
              <w:t>点30分前递交投标文件。现将本次公开招标的有关事项公告如下：</w:t>
            </w:r>
          </w:p>
          <w:p>
            <w:pPr>
              <w:rPr>
                <w:rFonts w:ascii="宋体" w:hAnsi="宋体" w:cs="宋体"/>
                <w:color w:val="auto"/>
                <w:sz w:val="24"/>
              </w:rPr>
            </w:pPr>
          </w:p>
        </w:tc>
      </w:tr>
    </w:tbl>
    <w:p>
      <w:pPr>
        <w:rPr>
          <w:rFonts w:ascii="宋体" w:hAnsi="宋体" w:cs="宋体"/>
          <w:color w:val="auto"/>
          <w:sz w:val="24"/>
        </w:rPr>
      </w:pPr>
    </w:p>
    <w:p>
      <w:pPr>
        <w:rPr>
          <w:rFonts w:ascii="宋体" w:hAnsi="宋体" w:cs="宋体"/>
          <w:color w:val="auto"/>
          <w:sz w:val="24"/>
        </w:rPr>
      </w:pPr>
      <w:bookmarkStart w:id="3" w:name="_Toc35393621"/>
      <w:bookmarkStart w:id="4" w:name="_Toc28359002"/>
      <w:bookmarkStart w:id="5" w:name="_Toc28359079"/>
      <w:bookmarkStart w:id="6" w:name="_Toc35393790"/>
      <w:bookmarkStart w:id="7" w:name="_Hlk24379207"/>
      <w:r>
        <w:rPr>
          <w:rFonts w:hint="eastAsia" w:ascii="宋体" w:hAnsi="宋体" w:cs="宋体"/>
          <w:color w:val="auto"/>
          <w:sz w:val="24"/>
        </w:rPr>
        <w:t>一、项目基本情况</w:t>
      </w:r>
      <w:bookmarkEnd w:id="3"/>
      <w:bookmarkEnd w:id="4"/>
      <w:bookmarkEnd w:id="5"/>
      <w:bookmarkEnd w:id="6"/>
    </w:p>
    <w:p>
      <w:pPr>
        <w:spacing w:line="380" w:lineRule="exact"/>
        <w:ind w:firstLine="480" w:firstLineChars="200"/>
        <w:rPr>
          <w:rFonts w:ascii="宋体" w:hAnsi="宋体" w:cs="宋体"/>
          <w:color w:val="auto"/>
          <w:sz w:val="24"/>
        </w:rPr>
      </w:pPr>
      <w:r>
        <w:rPr>
          <w:rFonts w:hint="eastAsia" w:ascii="宋体" w:hAnsi="宋体" w:cs="宋体"/>
          <w:color w:val="auto"/>
          <w:sz w:val="24"/>
        </w:rPr>
        <w:t>项目编号：GLZC2020-G1-120018-JCZX</w:t>
      </w:r>
    </w:p>
    <w:p>
      <w:pPr>
        <w:spacing w:line="380" w:lineRule="exact"/>
        <w:ind w:firstLine="480" w:firstLineChars="200"/>
        <w:rPr>
          <w:rFonts w:ascii="宋体" w:hAnsi="宋体" w:cs="宋体"/>
          <w:color w:val="auto"/>
          <w:sz w:val="24"/>
        </w:rPr>
      </w:pPr>
      <w:r>
        <w:rPr>
          <w:rFonts w:hint="eastAsia" w:ascii="宋体" w:hAnsi="宋体" w:cs="宋体"/>
          <w:color w:val="auto"/>
          <w:sz w:val="24"/>
        </w:rPr>
        <w:t xml:space="preserve">项目名称：临桂区2020年中小学班班通多媒体设备采购 </w:t>
      </w:r>
    </w:p>
    <w:bookmarkEnd w:id="7"/>
    <w:p>
      <w:pPr>
        <w:spacing w:line="380" w:lineRule="exact"/>
        <w:ind w:firstLine="480" w:firstLineChars="200"/>
        <w:rPr>
          <w:rFonts w:ascii="宋体" w:hAnsi="宋体" w:cs="宋体"/>
          <w:color w:val="auto"/>
          <w:sz w:val="24"/>
        </w:rPr>
      </w:pPr>
      <w:r>
        <w:rPr>
          <w:rFonts w:hint="eastAsia" w:ascii="宋体" w:hAnsi="宋体" w:cs="宋体"/>
          <w:color w:val="auto"/>
          <w:sz w:val="24"/>
        </w:rPr>
        <w:t>预算金额：人民币贰佰零柒万元整（¥2070000.00元）</w:t>
      </w:r>
    </w:p>
    <w:p>
      <w:pPr>
        <w:spacing w:line="380" w:lineRule="exact"/>
        <w:ind w:firstLine="480" w:firstLineChars="200"/>
        <w:rPr>
          <w:rFonts w:ascii="宋体" w:hAnsi="宋体" w:cs="宋体"/>
          <w:color w:val="auto"/>
          <w:sz w:val="24"/>
        </w:rPr>
      </w:pPr>
      <w:r>
        <w:rPr>
          <w:rFonts w:hint="eastAsia" w:ascii="宋体" w:hAnsi="宋体" w:cs="宋体"/>
          <w:color w:val="auto"/>
          <w:sz w:val="24"/>
        </w:rPr>
        <w:t>采购需求：</w:t>
      </w:r>
    </w:p>
    <w:tbl>
      <w:tblPr>
        <w:tblStyle w:val="2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2617"/>
        <w:gridCol w:w="950"/>
        <w:gridCol w:w="1159"/>
        <w:gridCol w:w="1538"/>
        <w:gridCol w:w="1466"/>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 w:type="pct"/>
            <w:vAlign w:val="center"/>
          </w:tcPr>
          <w:p>
            <w:pPr>
              <w:spacing w:line="380" w:lineRule="exact"/>
              <w:rPr>
                <w:rFonts w:ascii="宋体" w:hAnsi="宋体" w:cs="宋体"/>
                <w:color w:val="auto"/>
                <w:sz w:val="24"/>
              </w:rPr>
            </w:pPr>
            <w:r>
              <w:rPr>
                <w:rFonts w:hint="eastAsia" w:ascii="宋体" w:hAnsi="宋体" w:cs="宋体"/>
                <w:color w:val="auto"/>
                <w:sz w:val="24"/>
              </w:rPr>
              <w:t>序号</w:t>
            </w:r>
          </w:p>
        </w:tc>
        <w:tc>
          <w:tcPr>
            <w:tcW w:w="1314" w:type="pct"/>
            <w:vAlign w:val="center"/>
          </w:tcPr>
          <w:p>
            <w:pPr>
              <w:spacing w:line="380" w:lineRule="exact"/>
              <w:ind w:firstLine="480" w:firstLineChars="200"/>
              <w:jc w:val="center"/>
              <w:rPr>
                <w:rFonts w:ascii="宋体" w:hAnsi="宋体" w:cs="宋体"/>
                <w:color w:val="auto"/>
                <w:sz w:val="24"/>
              </w:rPr>
            </w:pPr>
            <w:r>
              <w:rPr>
                <w:rFonts w:hint="eastAsia" w:ascii="宋体" w:hAnsi="宋体" w:cs="宋体"/>
                <w:color w:val="auto"/>
                <w:sz w:val="24"/>
              </w:rPr>
              <w:t>货物名称</w:t>
            </w:r>
          </w:p>
        </w:tc>
        <w:tc>
          <w:tcPr>
            <w:tcW w:w="477" w:type="pct"/>
            <w:vAlign w:val="center"/>
          </w:tcPr>
          <w:p>
            <w:pPr>
              <w:spacing w:line="380" w:lineRule="exact"/>
              <w:jc w:val="center"/>
              <w:rPr>
                <w:rFonts w:ascii="宋体" w:hAnsi="宋体" w:cs="宋体"/>
                <w:color w:val="auto"/>
                <w:sz w:val="24"/>
              </w:rPr>
            </w:pPr>
            <w:r>
              <w:rPr>
                <w:rFonts w:hint="eastAsia" w:ascii="宋体" w:hAnsi="宋体" w:cs="宋体"/>
                <w:color w:val="auto"/>
                <w:sz w:val="24"/>
              </w:rPr>
              <w:t>数量</w:t>
            </w:r>
          </w:p>
        </w:tc>
        <w:tc>
          <w:tcPr>
            <w:tcW w:w="582" w:type="pct"/>
            <w:vAlign w:val="center"/>
          </w:tcPr>
          <w:p>
            <w:pPr>
              <w:spacing w:line="380" w:lineRule="exact"/>
              <w:jc w:val="center"/>
              <w:rPr>
                <w:rFonts w:ascii="宋体" w:hAnsi="宋体" w:cs="宋体"/>
                <w:color w:val="auto"/>
                <w:sz w:val="24"/>
              </w:rPr>
            </w:pPr>
            <w:r>
              <w:rPr>
                <w:rFonts w:hint="eastAsia" w:ascii="宋体" w:hAnsi="宋体" w:cs="宋体"/>
                <w:color w:val="auto"/>
                <w:sz w:val="24"/>
              </w:rPr>
              <w:t>单位</w:t>
            </w:r>
          </w:p>
        </w:tc>
        <w:tc>
          <w:tcPr>
            <w:tcW w:w="772" w:type="pct"/>
            <w:vAlign w:val="center"/>
          </w:tcPr>
          <w:p>
            <w:pPr>
              <w:spacing w:line="380" w:lineRule="exact"/>
              <w:rPr>
                <w:rFonts w:ascii="宋体" w:hAnsi="宋体" w:cs="宋体"/>
                <w:color w:val="auto"/>
                <w:sz w:val="24"/>
              </w:rPr>
            </w:pPr>
            <w:r>
              <w:rPr>
                <w:rFonts w:hint="eastAsia" w:ascii="宋体" w:hAnsi="宋体" w:cs="宋体"/>
                <w:color w:val="auto"/>
                <w:sz w:val="24"/>
              </w:rPr>
              <w:t>参考单价（元）</w:t>
            </w:r>
          </w:p>
        </w:tc>
        <w:tc>
          <w:tcPr>
            <w:tcW w:w="736" w:type="pct"/>
            <w:vAlign w:val="center"/>
          </w:tcPr>
          <w:p>
            <w:pPr>
              <w:spacing w:line="380" w:lineRule="exact"/>
              <w:jc w:val="center"/>
              <w:rPr>
                <w:rFonts w:ascii="宋体" w:hAnsi="宋体" w:cs="宋体"/>
                <w:color w:val="auto"/>
                <w:sz w:val="24"/>
              </w:rPr>
            </w:pPr>
            <w:r>
              <w:rPr>
                <w:rFonts w:hint="eastAsia" w:ascii="宋体" w:hAnsi="宋体" w:cs="宋体"/>
                <w:color w:val="auto"/>
                <w:sz w:val="24"/>
              </w:rPr>
              <w:t>小计（元）</w:t>
            </w:r>
          </w:p>
        </w:tc>
        <w:tc>
          <w:tcPr>
            <w:tcW w:w="736" w:type="pct"/>
            <w:vAlign w:val="center"/>
          </w:tcPr>
          <w:p>
            <w:pPr>
              <w:spacing w:line="380" w:lineRule="exact"/>
              <w:jc w:val="center"/>
              <w:rPr>
                <w:rFonts w:hint="eastAsia" w:ascii="宋体" w:hAnsi="宋体" w:eastAsia="宋体" w:cs="宋体"/>
                <w:color w:val="auto"/>
                <w:sz w:val="24"/>
                <w:lang w:eastAsia="zh-CN"/>
              </w:rPr>
            </w:pPr>
            <w:r>
              <w:rPr>
                <w:rFonts w:hint="eastAsia" w:ascii="宋体" w:hAnsi="宋体" w:cs="宋体"/>
                <w:color w:val="auto"/>
                <w:sz w:val="24"/>
                <w:lang w:eastAsia="zh-CN"/>
              </w:rPr>
              <w:t>简要技术规格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 w:type="pct"/>
            <w:vAlign w:val="center"/>
          </w:tcPr>
          <w:p>
            <w:pPr>
              <w:spacing w:line="380" w:lineRule="exact"/>
              <w:jc w:val="center"/>
              <w:rPr>
                <w:rFonts w:ascii="宋体" w:hAnsi="宋体" w:cs="宋体"/>
                <w:color w:val="auto"/>
                <w:sz w:val="24"/>
              </w:rPr>
            </w:pPr>
            <w:r>
              <w:rPr>
                <w:rFonts w:hint="eastAsia" w:ascii="宋体" w:hAnsi="宋体" w:cs="宋体"/>
                <w:color w:val="auto"/>
                <w:sz w:val="24"/>
              </w:rPr>
              <w:t>1</w:t>
            </w:r>
          </w:p>
        </w:tc>
        <w:tc>
          <w:tcPr>
            <w:tcW w:w="1314" w:type="pct"/>
            <w:vAlign w:val="center"/>
          </w:tcPr>
          <w:p>
            <w:pPr>
              <w:spacing w:line="380" w:lineRule="exact"/>
              <w:ind w:firstLine="480" w:firstLineChars="200"/>
              <w:rPr>
                <w:rFonts w:ascii="宋体" w:hAnsi="宋体" w:cs="宋体"/>
                <w:color w:val="auto"/>
                <w:sz w:val="24"/>
              </w:rPr>
            </w:pPr>
            <w:r>
              <w:rPr>
                <w:rFonts w:hint="eastAsia" w:ascii="宋体" w:hAnsi="宋体" w:cs="宋体"/>
                <w:color w:val="auto"/>
                <w:sz w:val="24"/>
              </w:rPr>
              <w:t>86英寸交互智能平板</w:t>
            </w:r>
          </w:p>
        </w:tc>
        <w:tc>
          <w:tcPr>
            <w:tcW w:w="477" w:type="pct"/>
            <w:vAlign w:val="center"/>
          </w:tcPr>
          <w:p>
            <w:pPr>
              <w:spacing w:line="380" w:lineRule="exact"/>
              <w:ind w:firstLine="480" w:firstLineChars="200"/>
              <w:rPr>
                <w:rFonts w:ascii="宋体" w:hAnsi="宋体" w:cs="宋体"/>
                <w:color w:val="auto"/>
                <w:sz w:val="24"/>
              </w:rPr>
            </w:pPr>
            <w:r>
              <w:rPr>
                <w:rFonts w:hint="eastAsia" w:ascii="宋体" w:hAnsi="宋体" w:cs="宋体"/>
                <w:color w:val="auto"/>
                <w:sz w:val="24"/>
              </w:rPr>
              <w:t>69</w:t>
            </w:r>
          </w:p>
        </w:tc>
        <w:tc>
          <w:tcPr>
            <w:tcW w:w="582" w:type="pct"/>
            <w:vAlign w:val="center"/>
          </w:tcPr>
          <w:p>
            <w:pPr>
              <w:spacing w:line="380" w:lineRule="exact"/>
              <w:ind w:firstLine="480" w:firstLineChars="200"/>
              <w:rPr>
                <w:rFonts w:ascii="宋体" w:hAnsi="宋体" w:cs="宋体"/>
                <w:color w:val="auto"/>
                <w:sz w:val="24"/>
              </w:rPr>
            </w:pPr>
            <w:r>
              <w:rPr>
                <w:rFonts w:hint="eastAsia" w:ascii="宋体" w:hAnsi="宋体" w:cs="宋体"/>
                <w:color w:val="auto"/>
                <w:sz w:val="24"/>
              </w:rPr>
              <w:t>台</w:t>
            </w:r>
          </w:p>
        </w:tc>
        <w:tc>
          <w:tcPr>
            <w:tcW w:w="772" w:type="pct"/>
            <w:vAlign w:val="center"/>
          </w:tcPr>
          <w:p>
            <w:pPr>
              <w:spacing w:line="380" w:lineRule="exact"/>
              <w:ind w:firstLine="480" w:firstLineChars="200"/>
              <w:rPr>
                <w:rFonts w:ascii="宋体" w:hAnsi="宋体" w:cs="宋体"/>
                <w:color w:val="auto"/>
                <w:sz w:val="24"/>
              </w:rPr>
            </w:pPr>
            <w:r>
              <w:rPr>
                <w:rFonts w:hint="eastAsia" w:ascii="宋体" w:hAnsi="宋体" w:cs="宋体"/>
                <w:color w:val="auto"/>
                <w:sz w:val="24"/>
              </w:rPr>
              <w:t>26100</w:t>
            </w:r>
          </w:p>
        </w:tc>
        <w:tc>
          <w:tcPr>
            <w:tcW w:w="736" w:type="pct"/>
            <w:vAlign w:val="center"/>
          </w:tcPr>
          <w:p>
            <w:pPr>
              <w:spacing w:line="380" w:lineRule="exact"/>
              <w:jc w:val="center"/>
              <w:rPr>
                <w:rFonts w:ascii="宋体" w:hAnsi="宋体" w:cs="宋体"/>
                <w:color w:val="auto"/>
                <w:sz w:val="24"/>
              </w:rPr>
            </w:pPr>
            <w:r>
              <w:rPr>
                <w:rFonts w:hint="eastAsia" w:ascii="宋体" w:hAnsi="宋体" w:cs="宋体"/>
                <w:color w:val="auto"/>
                <w:sz w:val="24"/>
              </w:rPr>
              <w:t>1800900</w:t>
            </w:r>
          </w:p>
        </w:tc>
        <w:tc>
          <w:tcPr>
            <w:tcW w:w="736" w:type="pct"/>
            <w:vMerge w:val="restart"/>
            <w:vAlign w:val="center"/>
          </w:tcPr>
          <w:p>
            <w:pPr>
              <w:spacing w:line="380" w:lineRule="exact"/>
              <w:jc w:val="center"/>
              <w:rPr>
                <w:rFonts w:hint="eastAsia" w:ascii="宋体" w:hAnsi="宋体" w:cs="宋体"/>
                <w:color w:val="auto"/>
                <w:sz w:val="24"/>
              </w:rPr>
            </w:pPr>
            <w:r>
              <w:rPr>
                <w:rFonts w:hint="eastAsia" w:ascii="宋体" w:hAnsi="宋体" w:cs="宋体"/>
                <w:color w:val="auto"/>
                <w:sz w:val="24"/>
                <w:szCs w:val="24"/>
                <w:lang w:eastAsia="zh-CN"/>
              </w:rPr>
              <w:t>详见招标文件</w:t>
            </w:r>
            <w:bookmarkStart w:id="263" w:name="_GoBack"/>
            <w:bookmarkEnd w:id="2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 w:type="pct"/>
            <w:vAlign w:val="center"/>
          </w:tcPr>
          <w:p>
            <w:pPr>
              <w:spacing w:line="380" w:lineRule="exact"/>
              <w:jc w:val="center"/>
              <w:rPr>
                <w:rFonts w:ascii="宋体" w:hAnsi="宋体" w:cs="宋体"/>
                <w:color w:val="auto"/>
                <w:sz w:val="24"/>
              </w:rPr>
            </w:pPr>
            <w:r>
              <w:rPr>
                <w:rFonts w:hint="eastAsia" w:ascii="宋体" w:hAnsi="宋体" w:cs="宋体"/>
                <w:color w:val="auto"/>
                <w:sz w:val="24"/>
              </w:rPr>
              <w:t>2</w:t>
            </w:r>
          </w:p>
        </w:tc>
        <w:tc>
          <w:tcPr>
            <w:tcW w:w="1314" w:type="pct"/>
            <w:vAlign w:val="center"/>
          </w:tcPr>
          <w:p>
            <w:pPr>
              <w:spacing w:line="380" w:lineRule="exact"/>
              <w:ind w:firstLine="480" w:firstLineChars="200"/>
              <w:rPr>
                <w:rFonts w:ascii="宋体" w:hAnsi="宋体" w:cs="宋体"/>
                <w:color w:val="auto"/>
                <w:sz w:val="24"/>
              </w:rPr>
            </w:pPr>
            <w:r>
              <w:rPr>
                <w:rFonts w:hint="eastAsia" w:ascii="宋体" w:hAnsi="宋体" w:cs="宋体"/>
                <w:color w:val="auto"/>
                <w:sz w:val="24"/>
              </w:rPr>
              <w:t>环保推拉板</w:t>
            </w:r>
          </w:p>
        </w:tc>
        <w:tc>
          <w:tcPr>
            <w:tcW w:w="477" w:type="pct"/>
            <w:vAlign w:val="center"/>
          </w:tcPr>
          <w:p>
            <w:pPr>
              <w:spacing w:line="380" w:lineRule="exact"/>
              <w:ind w:firstLine="480" w:firstLineChars="200"/>
              <w:rPr>
                <w:rFonts w:ascii="宋体" w:hAnsi="宋体" w:cs="宋体"/>
                <w:color w:val="auto"/>
                <w:sz w:val="24"/>
              </w:rPr>
            </w:pPr>
            <w:r>
              <w:rPr>
                <w:rFonts w:hint="eastAsia" w:ascii="宋体" w:hAnsi="宋体" w:cs="宋体"/>
                <w:color w:val="auto"/>
                <w:sz w:val="24"/>
              </w:rPr>
              <w:t>69</w:t>
            </w:r>
          </w:p>
        </w:tc>
        <w:tc>
          <w:tcPr>
            <w:tcW w:w="582" w:type="pct"/>
            <w:vAlign w:val="center"/>
          </w:tcPr>
          <w:p>
            <w:pPr>
              <w:spacing w:line="380" w:lineRule="exact"/>
              <w:ind w:firstLine="480" w:firstLineChars="200"/>
              <w:rPr>
                <w:rFonts w:ascii="宋体" w:hAnsi="宋体" w:cs="宋体"/>
                <w:color w:val="auto"/>
                <w:sz w:val="24"/>
              </w:rPr>
            </w:pPr>
            <w:r>
              <w:rPr>
                <w:rFonts w:hint="eastAsia" w:ascii="宋体" w:hAnsi="宋体" w:cs="宋体"/>
                <w:color w:val="auto"/>
                <w:sz w:val="24"/>
              </w:rPr>
              <w:t>套</w:t>
            </w:r>
          </w:p>
        </w:tc>
        <w:tc>
          <w:tcPr>
            <w:tcW w:w="772" w:type="pct"/>
            <w:vAlign w:val="center"/>
          </w:tcPr>
          <w:p>
            <w:pPr>
              <w:spacing w:line="380" w:lineRule="exact"/>
              <w:ind w:firstLine="480" w:firstLineChars="200"/>
              <w:rPr>
                <w:rFonts w:ascii="宋体" w:hAnsi="宋体" w:cs="宋体"/>
                <w:color w:val="auto"/>
                <w:sz w:val="24"/>
              </w:rPr>
            </w:pPr>
            <w:r>
              <w:rPr>
                <w:rFonts w:hint="eastAsia" w:ascii="宋体" w:hAnsi="宋体" w:cs="宋体"/>
                <w:color w:val="auto"/>
                <w:sz w:val="24"/>
              </w:rPr>
              <w:t>1400</w:t>
            </w:r>
          </w:p>
        </w:tc>
        <w:tc>
          <w:tcPr>
            <w:tcW w:w="736" w:type="pct"/>
            <w:vAlign w:val="center"/>
          </w:tcPr>
          <w:p>
            <w:pPr>
              <w:spacing w:line="380" w:lineRule="exact"/>
              <w:jc w:val="center"/>
              <w:rPr>
                <w:rFonts w:ascii="宋体" w:hAnsi="宋体" w:cs="宋体"/>
                <w:color w:val="auto"/>
                <w:sz w:val="24"/>
              </w:rPr>
            </w:pPr>
            <w:r>
              <w:rPr>
                <w:rFonts w:hint="eastAsia" w:ascii="宋体" w:hAnsi="宋体" w:cs="宋体"/>
                <w:color w:val="auto"/>
                <w:sz w:val="24"/>
              </w:rPr>
              <w:t>96600</w:t>
            </w:r>
          </w:p>
        </w:tc>
        <w:tc>
          <w:tcPr>
            <w:tcW w:w="736" w:type="pct"/>
            <w:vMerge w:val="continue"/>
            <w:tcBorders/>
            <w:vAlign w:val="center"/>
          </w:tcPr>
          <w:p>
            <w:pPr>
              <w:spacing w:line="38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 w:type="pct"/>
            <w:vAlign w:val="center"/>
          </w:tcPr>
          <w:p>
            <w:pPr>
              <w:spacing w:line="380" w:lineRule="exact"/>
              <w:jc w:val="center"/>
              <w:rPr>
                <w:rFonts w:ascii="宋体" w:hAnsi="宋体" w:cs="宋体"/>
                <w:color w:val="auto"/>
                <w:sz w:val="24"/>
              </w:rPr>
            </w:pPr>
            <w:r>
              <w:rPr>
                <w:rFonts w:hint="eastAsia" w:ascii="宋体" w:hAnsi="宋体" w:cs="宋体"/>
                <w:color w:val="auto"/>
                <w:sz w:val="24"/>
              </w:rPr>
              <w:t>3</w:t>
            </w:r>
          </w:p>
        </w:tc>
        <w:tc>
          <w:tcPr>
            <w:tcW w:w="1314" w:type="pct"/>
            <w:vAlign w:val="center"/>
          </w:tcPr>
          <w:p>
            <w:pPr>
              <w:spacing w:line="380" w:lineRule="exact"/>
              <w:ind w:firstLine="480" w:firstLineChars="200"/>
              <w:rPr>
                <w:rFonts w:ascii="宋体" w:hAnsi="宋体" w:cs="宋体"/>
                <w:color w:val="auto"/>
                <w:sz w:val="24"/>
              </w:rPr>
            </w:pPr>
            <w:r>
              <w:rPr>
                <w:rFonts w:hint="eastAsia" w:ascii="宋体" w:hAnsi="宋体" w:cs="宋体"/>
                <w:color w:val="auto"/>
                <w:sz w:val="24"/>
              </w:rPr>
              <w:t>壁挂视频展台</w:t>
            </w:r>
          </w:p>
        </w:tc>
        <w:tc>
          <w:tcPr>
            <w:tcW w:w="477" w:type="pct"/>
            <w:vAlign w:val="center"/>
          </w:tcPr>
          <w:p>
            <w:pPr>
              <w:spacing w:line="380" w:lineRule="exact"/>
              <w:ind w:firstLine="480" w:firstLineChars="200"/>
              <w:rPr>
                <w:rFonts w:ascii="宋体" w:hAnsi="宋体" w:cs="宋体"/>
                <w:color w:val="auto"/>
                <w:sz w:val="24"/>
              </w:rPr>
            </w:pPr>
            <w:r>
              <w:rPr>
                <w:rFonts w:hint="eastAsia" w:ascii="宋体" w:hAnsi="宋体" w:cs="宋体"/>
                <w:color w:val="auto"/>
                <w:sz w:val="24"/>
              </w:rPr>
              <w:t>69</w:t>
            </w:r>
          </w:p>
        </w:tc>
        <w:tc>
          <w:tcPr>
            <w:tcW w:w="582" w:type="pct"/>
            <w:vAlign w:val="center"/>
          </w:tcPr>
          <w:p>
            <w:pPr>
              <w:spacing w:line="380" w:lineRule="exact"/>
              <w:ind w:firstLine="480" w:firstLineChars="200"/>
              <w:rPr>
                <w:rFonts w:ascii="宋体" w:hAnsi="宋体" w:cs="宋体"/>
                <w:color w:val="auto"/>
                <w:sz w:val="24"/>
              </w:rPr>
            </w:pPr>
            <w:r>
              <w:rPr>
                <w:rFonts w:hint="eastAsia" w:ascii="宋体" w:hAnsi="宋体" w:cs="宋体"/>
                <w:color w:val="auto"/>
                <w:sz w:val="24"/>
              </w:rPr>
              <w:t>台</w:t>
            </w:r>
          </w:p>
        </w:tc>
        <w:tc>
          <w:tcPr>
            <w:tcW w:w="772" w:type="pct"/>
            <w:vAlign w:val="center"/>
          </w:tcPr>
          <w:p>
            <w:pPr>
              <w:spacing w:line="380" w:lineRule="exact"/>
              <w:ind w:firstLine="480" w:firstLineChars="200"/>
              <w:rPr>
                <w:rFonts w:ascii="宋体" w:hAnsi="宋体" w:cs="宋体"/>
                <w:color w:val="auto"/>
                <w:sz w:val="24"/>
              </w:rPr>
            </w:pPr>
            <w:r>
              <w:rPr>
                <w:rFonts w:hint="eastAsia" w:ascii="宋体" w:hAnsi="宋体" w:cs="宋体"/>
                <w:color w:val="auto"/>
                <w:sz w:val="24"/>
              </w:rPr>
              <w:t>900</w:t>
            </w:r>
          </w:p>
        </w:tc>
        <w:tc>
          <w:tcPr>
            <w:tcW w:w="736" w:type="pct"/>
            <w:vAlign w:val="center"/>
          </w:tcPr>
          <w:p>
            <w:pPr>
              <w:spacing w:line="380" w:lineRule="exact"/>
              <w:jc w:val="center"/>
              <w:rPr>
                <w:rFonts w:ascii="宋体" w:hAnsi="宋体" w:cs="宋体"/>
                <w:color w:val="auto"/>
                <w:sz w:val="24"/>
              </w:rPr>
            </w:pPr>
            <w:r>
              <w:rPr>
                <w:rFonts w:hint="eastAsia" w:ascii="宋体" w:hAnsi="宋体" w:cs="宋体"/>
                <w:color w:val="auto"/>
                <w:sz w:val="24"/>
              </w:rPr>
              <w:t>62100</w:t>
            </w:r>
          </w:p>
        </w:tc>
        <w:tc>
          <w:tcPr>
            <w:tcW w:w="736" w:type="pct"/>
            <w:vMerge w:val="continue"/>
            <w:tcBorders/>
            <w:vAlign w:val="center"/>
          </w:tcPr>
          <w:p>
            <w:pPr>
              <w:spacing w:line="38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 w:type="pct"/>
            <w:vAlign w:val="center"/>
          </w:tcPr>
          <w:p>
            <w:pPr>
              <w:spacing w:line="380" w:lineRule="exact"/>
              <w:jc w:val="center"/>
              <w:rPr>
                <w:rFonts w:ascii="宋体" w:hAnsi="宋体" w:cs="宋体"/>
                <w:color w:val="auto"/>
                <w:sz w:val="24"/>
              </w:rPr>
            </w:pPr>
            <w:r>
              <w:rPr>
                <w:rFonts w:hint="eastAsia" w:ascii="宋体" w:hAnsi="宋体" w:cs="宋体"/>
                <w:color w:val="auto"/>
                <w:sz w:val="24"/>
              </w:rPr>
              <w:t>4</w:t>
            </w:r>
          </w:p>
        </w:tc>
        <w:tc>
          <w:tcPr>
            <w:tcW w:w="1314" w:type="pct"/>
            <w:vAlign w:val="center"/>
          </w:tcPr>
          <w:p>
            <w:pPr>
              <w:spacing w:line="380" w:lineRule="exact"/>
              <w:ind w:firstLine="480" w:firstLineChars="200"/>
              <w:rPr>
                <w:rFonts w:ascii="宋体" w:hAnsi="宋体" w:cs="宋体"/>
                <w:color w:val="auto"/>
                <w:sz w:val="24"/>
              </w:rPr>
            </w:pPr>
            <w:r>
              <w:rPr>
                <w:rFonts w:hint="eastAsia" w:ascii="宋体" w:hAnsi="宋体" w:cs="宋体"/>
                <w:color w:val="auto"/>
                <w:sz w:val="24"/>
              </w:rPr>
              <w:t>有源音箱套装</w:t>
            </w:r>
          </w:p>
        </w:tc>
        <w:tc>
          <w:tcPr>
            <w:tcW w:w="477" w:type="pct"/>
            <w:vAlign w:val="center"/>
          </w:tcPr>
          <w:p>
            <w:pPr>
              <w:spacing w:line="380" w:lineRule="exact"/>
              <w:ind w:firstLine="480" w:firstLineChars="200"/>
              <w:rPr>
                <w:rFonts w:ascii="宋体" w:hAnsi="宋体" w:cs="宋体"/>
                <w:color w:val="auto"/>
                <w:sz w:val="24"/>
              </w:rPr>
            </w:pPr>
            <w:r>
              <w:rPr>
                <w:rFonts w:hint="eastAsia" w:ascii="宋体" w:hAnsi="宋体" w:cs="宋体"/>
                <w:color w:val="auto"/>
                <w:sz w:val="24"/>
              </w:rPr>
              <w:t>69</w:t>
            </w:r>
          </w:p>
        </w:tc>
        <w:tc>
          <w:tcPr>
            <w:tcW w:w="582" w:type="pct"/>
            <w:vAlign w:val="center"/>
          </w:tcPr>
          <w:p>
            <w:pPr>
              <w:spacing w:line="380" w:lineRule="exact"/>
              <w:ind w:firstLine="480" w:firstLineChars="200"/>
              <w:rPr>
                <w:rFonts w:ascii="宋体" w:hAnsi="宋体" w:cs="宋体"/>
                <w:color w:val="auto"/>
                <w:sz w:val="24"/>
              </w:rPr>
            </w:pPr>
            <w:r>
              <w:rPr>
                <w:rFonts w:hint="eastAsia" w:ascii="宋体" w:hAnsi="宋体" w:cs="宋体"/>
                <w:color w:val="auto"/>
                <w:sz w:val="24"/>
              </w:rPr>
              <w:t>套</w:t>
            </w:r>
          </w:p>
        </w:tc>
        <w:tc>
          <w:tcPr>
            <w:tcW w:w="772" w:type="pct"/>
            <w:vAlign w:val="center"/>
          </w:tcPr>
          <w:p>
            <w:pPr>
              <w:spacing w:line="380" w:lineRule="exact"/>
              <w:ind w:firstLine="480" w:firstLineChars="200"/>
              <w:rPr>
                <w:rFonts w:ascii="宋体" w:hAnsi="宋体" w:cs="宋体"/>
                <w:color w:val="auto"/>
                <w:sz w:val="24"/>
              </w:rPr>
            </w:pPr>
            <w:r>
              <w:rPr>
                <w:rFonts w:hint="eastAsia" w:ascii="宋体" w:hAnsi="宋体" w:cs="宋体"/>
                <w:color w:val="auto"/>
                <w:sz w:val="24"/>
              </w:rPr>
              <w:t>800</w:t>
            </w:r>
          </w:p>
        </w:tc>
        <w:tc>
          <w:tcPr>
            <w:tcW w:w="736" w:type="pct"/>
            <w:vAlign w:val="center"/>
          </w:tcPr>
          <w:p>
            <w:pPr>
              <w:spacing w:line="380" w:lineRule="exact"/>
              <w:jc w:val="center"/>
              <w:rPr>
                <w:rFonts w:ascii="宋体" w:hAnsi="宋体" w:cs="宋体"/>
                <w:color w:val="auto"/>
                <w:sz w:val="24"/>
              </w:rPr>
            </w:pPr>
            <w:r>
              <w:rPr>
                <w:rFonts w:hint="eastAsia" w:ascii="宋体" w:hAnsi="宋体" w:cs="宋体"/>
                <w:color w:val="auto"/>
                <w:sz w:val="24"/>
              </w:rPr>
              <w:t>55200</w:t>
            </w:r>
          </w:p>
        </w:tc>
        <w:tc>
          <w:tcPr>
            <w:tcW w:w="736" w:type="pct"/>
            <w:vMerge w:val="continue"/>
            <w:tcBorders/>
            <w:vAlign w:val="center"/>
          </w:tcPr>
          <w:p>
            <w:pPr>
              <w:spacing w:line="38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 w:type="pct"/>
            <w:vAlign w:val="center"/>
          </w:tcPr>
          <w:p>
            <w:pPr>
              <w:spacing w:line="380" w:lineRule="exact"/>
              <w:jc w:val="center"/>
              <w:rPr>
                <w:rFonts w:ascii="宋体" w:hAnsi="宋体" w:cs="宋体"/>
                <w:color w:val="auto"/>
                <w:sz w:val="24"/>
              </w:rPr>
            </w:pPr>
            <w:r>
              <w:rPr>
                <w:rFonts w:hint="eastAsia" w:ascii="宋体" w:hAnsi="宋体" w:cs="宋体"/>
                <w:color w:val="auto"/>
                <w:sz w:val="24"/>
              </w:rPr>
              <w:t>5</w:t>
            </w:r>
          </w:p>
        </w:tc>
        <w:tc>
          <w:tcPr>
            <w:tcW w:w="1314" w:type="pct"/>
            <w:vAlign w:val="center"/>
          </w:tcPr>
          <w:p>
            <w:pPr>
              <w:spacing w:line="380" w:lineRule="exact"/>
              <w:ind w:firstLine="480" w:firstLineChars="200"/>
              <w:rPr>
                <w:rFonts w:ascii="宋体" w:hAnsi="宋体" w:cs="宋体"/>
                <w:color w:val="auto"/>
                <w:sz w:val="24"/>
              </w:rPr>
            </w:pPr>
            <w:r>
              <w:rPr>
                <w:rFonts w:hint="eastAsia" w:ascii="宋体" w:hAnsi="宋体" w:cs="宋体"/>
                <w:color w:val="auto"/>
                <w:sz w:val="24"/>
              </w:rPr>
              <w:t>智能笔</w:t>
            </w:r>
          </w:p>
        </w:tc>
        <w:tc>
          <w:tcPr>
            <w:tcW w:w="477" w:type="pct"/>
            <w:vAlign w:val="center"/>
          </w:tcPr>
          <w:p>
            <w:pPr>
              <w:spacing w:line="380" w:lineRule="exact"/>
              <w:ind w:firstLine="480" w:firstLineChars="200"/>
              <w:rPr>
                <w:rFonts w:ascii="宋体" w:hAnsi="宋体" w:cs="宋体"/>
                <w:color w:val="auto"/>
                <w:sz w:val="24"/>
              </w:rPr>
            </w:pPr>
            <w:r>
              <w:rPr>
                <w:rFonts w:hint="eastAsia" w:ascii="宋体" w:hAnsi="宋体" w:cs="宋体"/>
                <w:color w:val="auto"/>
                <w:sz w:val="24"/>
              </w:rPr>
              <w:t>69</w:t>
            </w:r>
          </w:p>
        </w:tc>
        <w:tc>
          <w:tcPr>
            <w:tcW w:w="582" w:type="pct"/>
            <w:vAlign w:val="center"/>
          </w:tcPr>
          <w:p>
            <w:pPr>
              <w:spacing w:line="380" w:lineRule="exact"/>
              <w:ind w:firstLine="480" w:firstLineChars="200"/>
              <w:rPr>
                <w:rFonts w:ascii="宋体" w:hAnsi="宋体" w:cs="宋体"/>
                <w:color w:val="auto"/>
                <w:sz w:val="24"/>
              </w:rPr>
            </w:pPr>
            <w:r>
              <w:rPr>
                <w:rFonts w:hint="eastAsia" w:ascii="宋体" w:hAnsi="宋体" w:cs="宋体"/>
                <w:color w:val="auto"/>
                <w:sz w:val="24"/>
              </w:rPr>
              <w:t>支</w:t>
            </w:r>
          </w:p>
        </w:tc>
        <w:tc>
          <w:tcPr>
            <w:tcW w:w="772" w:type="pct"/>
            <w:vAlign w:val="center"/>
          </w:tcPr>
          <w:p>
            <w:pPr>
              <w:spacing w:line="380" w:lineRule="exact"/>
              <w:ind w:firstLine="480" w:firstLineChars="200"/>
              <w:rPr>
                <w:rFonts w:ascii="宋体" w:hAnsi="宋体" w:cs="宋体"/>
                <w:color w:val="auto"/>
                <w:sz w:val="24"/>
              </w:rPr>
            </w:pPr>
            <w:r>
              <w:rPr>
                <w:rFonts w:hint="eastAsia" w:ascii="宋体" w:hAnsi="宋体" w:cs="宋体"/>
                <w:color w:val="auto"/>
                <w:sz w:val="24"/>
              </w:rPr>
              <w:t>300</w:t>
            </w:r>
          </w:p>
        </w:tc>
        <w:tc>
          <w:tcPr>
            <w:tcW w:w="736" w:type="pct"/>
            <w:vAlign w:val="center"/>
          </w:tcPr>
          <w:p>
            <w:pPr>
              <w:spacing w:line="380" w:lineRule="exact"/>
              <w:jc w:val="center"/>
              <w:rPr>
                <w:rFonts w:ascii="宋体" w:hAnsi="宋体" w:cs="宋体"/>
                <w:color w:val="auto"/>
                <w:sz w:val="24"/>
              </w:rPr>
            </w:pPr>
            <w:r>
              <w:rPr>
                <w:rFonts w:hint="eastAsia" w:ascii="宋体" w:hAnsi="宋体" w:cs="宋体"/>
                <w:color w:val="auto"/>
                <w:sz w:val="24"/>
              </w:rPr>
              <w:t>20700</w:t>
            </w:r>
          </w:p>
        </w:tc>
        <w:tc>
          <w:tcPr>
            <w:tcW w:w="736" w:type="pct"/>
            <w:vMerge w:val="continue"/>
            <w:tcBorders/>
            <w:vAlign w:val="center"/>
          </w:tcPr>
          <w:p>
            <w:pPr>
              <w:spacing w:line="38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 w:type="pct"/>
            <w:vAlign w:val="center"/>
          </w:tcPr>
          <w:p>
            <w:pPr>
              <w:spacing w:line="380" w:lineRule="exact"/>
              <w:jc w:val="center"/>
              <w:rPr>
                <w:rFonts w:ascii="宋体" w:hAnsi="宋体" w:cs="宋体"/>
                <w:color w:val="auto"/>
                <w:sz w:val="24"/>
              </w:rPr>
            </w:pPr>
            <w:r>
              <w:rPr>
                <w:rFonts w:hint="eastAsia" w:ascii="宋体" w:hAnsi="宋体" w:cs="宋体"/>
                <w:color w:val="auto"/>
                <w:sz w:val="24"/>
              </w:rPr>
              <w:t>6</w:t>
            </w:r>
          </w:p>
        </w:tc>
        <w:tc>
          <w:tcPr>
            <w:tcW w:w="1314" w:type="pct"/>
            <w:vAlign w:val="center"/>
          </w:tcPr>
          <w:p>
            <w:pPr>
              <w:spacing w:line="380" w:lineRule="exact"/>
              <w:ind w:firstLine="480" w:firstLineChars="200"/>
              <w:rPr>
                <w:rFonts w:ascii="宋体" w:hAnsi="宋体" w:cs="宋体"/>
                <w:color w:val="auto"/>
                <w:sz w:val="24"/>
              </w:rPr>
            </w:pPr>
            <w:r>
              <w:rPr>
                <w:rFonts w:hint="eastAsia" w:ascii="宋体" w:hAnsi="宋体" w:cs="宋体"/>
                <w:color w:val="auto"/>
                <w:sz w:val="24"/>
              </w:rPr>
              <w:t>辅材及安装实施</w:t>
            </w:r>
          </w:p>
        </w:tc>
        <w:tc>
          <w:tcPr>
            <w:tcW w:w="477" w:type="pct"/>
            <w:vAlign w:val="center"/>
          </w:tcPr>
          <w:p>
            <w:pPr>
              <w:spacing w:line="380" w:lineRule="exact"/>
              <w:ind w:firstLine="480" w:firstLineChars="200"/>
              <w:rPr>
                <w:rFonts w:ascii="宋体" w:hAnsi="宋体" w:cs="宋体"/>
                <w:color w:val="auto"/>
                <w:sz w:val="24"/>
              </w:rPr>
            </w:pPr>
            <w:r>
              <w:rPr>
                <w:rFonts w:hint="eastAsia" w:ascii="宋体" w:hAnsi="宋体" w:cs="宋体"/>
                <w:color w:val="auto"/>
                <w:sz w:val="24"/>
              </w:rPr>
              <w:t>69</w:t>
            </w:r>
          </w:p>
        </w:tc>
        <w:tc>
          <w:tcPr>
            <w:tcW w:w="582" w:type="pct"/>
            <w:vAlign w:val="center"/>
          </w:tcPr>
          <w:p>
            <w:pPr>
              <w:spacing w:line="380" w:lineRule="exact"/>
              <w:ind w:firstLine="480" w:firstLineChars="200"/>
              <w:rPr>
                <w:rFonts w:ascii="宋体" w:hAnsi="宋体" w:cs="宋体"/>
                <w:color w:val="auto"/>
                <w:sz w:val="24"/>
              </w:rPr>
            </w:pPr>
            <w:r>
              <w:rPr>
                <w:rFonts w:hint="eastAsia" w:ascii="宋体" w:hAnsi="宋体" w:cs="宋体"/>
                <w:color w:val="auto"/>
                <w:sz w:val="24"/>
              </w:rPr>
              <w:t>套</w:t>
            </w:r>
          </w:p>
        </w:tc>
        <w:tc>
          <w:tcPr>
            <w:tcW w:w="772" w:type="pct"/>
            <w:vAlign w:val="center"/>
          </w:tcPr>
          <w:p>
            <w:pPr>
              <w:spacing w:line="380" w:lineRule="exact"/>
              <w:ind w:firstLine="480" w:firstLineChars="200"/>
              <w:rPr>
                <w:rFonts w:ascii="宋体" w:hAnsi="宋体" w:cs="宋体"/>
                <w:color w:val="auto"/>
                <w:sz w:val="24"/>
              </w:rPr>
            </w:pPr>
            <w:r>
              <w:rPr>
                <w:rFonts w:hint="eastAsia" w:ascii="宋体" w:hAnsi="宋体" w:cs="宋体"/>
                <w:color w:val="auto"/>
                <w:sz w:val="24"/>
              </w:rPr>
              <w:t>500</w:t>
            </w:r>
          </w:p>
        </w:tc>
        <w:tc>
          <w:tcPr>
            <w:tcW w:w="736" w:type="pct"/>
            <w:vAlign w:val="center"/>
          </w:tcPr>
          <w:p>
            <w:pPr>
              <w:spacing w:line="380" w:lineRule="exact"/>
              <w:jc w:val="center"/>
              <w:rPr>
                <w:rFonts w:ascii="宋体" w:hAnsi="宋体" w:cs="宋体"/>
                <w:color w:val="auto"/>
                <w:sz w:val="24"/>
              </w:rPr>
            </w:pPr>
            <w:r>
              <w:rPr>
                <w:rFonts w:hint="eastAsia" w:ascii="宋体" w:hAnsi="宋体" w:cs="宋体"/>
                <w:color w:val="auto"/>
                <w:sz w:val="24"/>
              </w:rPr>
              <w:t>34500</w:t>
            </w:r>
          </w:p>
        </w:tc>
        <w:tc>
          <w:tcPr>
            <w:tcW w:w="736" w:type="pct"/>
            <w:vMerge w:val="continue"/>
            <w:tcBorders/>
            <w:vAlign w:val="center"/>
          </w:tcPr>
          <w:p>
            <w:pPr>
              <w:spacing w:line="38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 w:type="pct"/>
            <w:vAlign w:val="center"/>
          </w:tcPr>
          <w:p>
            <w:pPr>
              <w:spacing w:line="380" w:lineRule="exact"/>
              <w:rPr>
                <w:rFonts w:ascii="宋体" w:hAnsi="宋体" w:cs="宋体"/>
                <w:color w:val="auto"/>
                <w:sz w:val="24"/>
              </w:rPr>
            </w:pPr>
            <w:r>
              <w:rPr>
                <w:rFonts w:hint="eastAsia" w:ascii="宋体" w:hAnsi="宋体" w:cs="宋体"/>
                <w:color w:val="auto"/>
                <w:sz w:val="24"/>
              </w:rPr>
              <w:t>合计</w:t>
            </w:r>
          </w:p>
        </w:tc>
        <w:tc>
          <w:tcPr>
            <w:tcW w:w="3145" w:type="pct"/>
            <w:gridSpan w:val="4"/>
            <w:vAlign w:val="center"/>
          </w:tcPr>
          <w:p>
            <w:pPr>
              <w:spacing w:line="380" w:lineRule="exact"/>
              <w:ind w:firstLine="480" w:firstLineChars="200"/>
              <w:rPr>
                <w:rFonts w:ascii="宋体" w:hAnsi="宋体" w:cs="宋体"/>
                <w:color w:val="auto"/>
                <w:sz w:val="24"/>
              </w:rPr>
            </w:pPr>
            <w:r>
              <w:rPr>
                <w:rFonts w:hint="eastAsia" w:ascii="宋体" w:hAnsi="宋体" w:cs="宋体"/>
                <w:color w:val="auto"/>
                <w:sz w:val="24"/>
              </w:rPr>
              <w:t>大写：人民币贰佰零柒万元整</w:t>
            </w:r>
          </w:p>
        </w:tc>
        <w:tc>
          <w:tcPr>
            <w:tcW w:w="736" w:type="pct"/>
            <w:vAlign w:val="center"/>
          </w:tcPr>
          <w:p>
            <w:pPr>
              <w:spacing w:line="380" w:lineRule="exact"/>
              <w:jc w:val="center"/>
              <w:rPr>
                <w:rFonts w:ascii="宋体" w:hAnsi="宋体" w:cs="宋体"/>
                <w:color w:val="auto"/>
                <w:sz w:val="24"/>
              </w:rPr>
            </w:pPr>
            <w:r>
              <w:rPr>
                <w:rFonts w:hint="eastAsia" w:ascii="宋体" w:hAnsi="宋体" w:cs="宋体"/>
                <w:color w:val="auto"/>
                <w:sz w:val="24"/>
              </w:rPr>
              <w:fldChar w:fldCharType="begin"/>
            </w:r>
            <w:r>
              <w:rPr>
                <w:rFonts w:hint="eastAsia" w:ascii="宋体" w:hAnsi="宋体" w:cs="宋体"/>
                <w:color w:val="auto"/>
                <w:sz w:val="24"/>
              </w:rPr>
              <w:instrText xml:space="preserve"> =SUM(ABOVE) </w:instrText>
            </w:r>
            <w:r>
              <w:rPr>
                <w:rFonts w:hint="eastAsia" w:ascii="宋体" w:hAnsi="宋体" w:cs="宋体"/>
                <w:color w:val="auto"/>
                <w:sz w:val="24"/>
              </w:rPr>
              <w:fldChar w:fldCharType="separate"/>
            </w:r>
            <w:r>
              <w:rPr>
                <w:rFonts w:hint="eastAsia" w:ascii="宋体" w:hAnsi="宋体" w:cs="宋体"/>
                <w:color w:val="auto"/>
                <w:sz w:val="24"/>
              </w:rPr>
              <w:t>2070000</w:t>
            </w:r>
            <w:r>
              <w:rPr>
                <w:rFonts w:hint="eastAsia" w:ascii="宋体" w:hAnsi="宋体" w:cs="宋体"/>
                <w:color w:val="auto"/>
                <w:sz w:val="24"/>
              </w:rPr>
              <w:fldChar w:fldCharType="end"/>
            </w:r>
          </w:p>
        </w:tc>
        <w:tc>
          <w:tcPr>
            <w:tcW w:w="736" w:type="pct"/>
            <w:vMerge w:val="continue"/>
            <w:tcBorders/>
            <w:vAlign w:val="center"/>
          </w:tcPr>
          <w:p>
            <w:pPr>
              <w:spacing w:line="380" w:lineRule="exact"/>
              <w:jc w:val="center"/>
              <w:rPr>
                <w:rFonts w:hint="eastAsia" w:ascii="宋体" w:hAnsi="宋体" w:cs="宋体"/>
                <w:color w:val="auto"/>
                <w:sz w:val="24"/>
              </w:rPr>
            </w:pPr>
          </w:p>
        </w:tc>
      </w:tr>
    </w:tbl>
    <w:p>
      <w:pPr>
        <w:spacing w:line="380" w:lineRule="exact"/>
        <w:rPr>
          <w:rFonts w:ascii="宋体" w:hAnsi="宋体" w:cs="宋体"/>
          <w:color w:val="auto"/>
          <w:sz w:val="24"/>
        </w:rPr>
      </w:pPr>
    </w:p>
    <w:p>
      <w:pPr>
        <w:spacing w:line="380" w:lineRule="exact"/>
        <w:ind w:firstLine="480" w:firstLineChars="200"/>
        <w:rPr>
          <w:rFonts w:ascii="宋体" w:hAnsi="宋体" w:cs="宋体"/>
          <w:color w:val="auto"/>
          <w:sz w:val="24"/>
          <w:u w:val="single"/>
        </w:rPr>
      </w:pPr>
      <w:r>
        <w:rPr>
          <w:rFonts w:hint="eastAsia" w:ascii="宋体" w:hAnsi="宋体" w:cs="宋体"/>
          <w:color w:val="auto"/>
          <w:sz w:val="24"/>
        </w:rPr>
        <w:t>合同履行期限：自合同签订之日起至中标人承诺免费保修期满。</w:t>
      </w:r>
    </w:p>
    <w:p>
      <w:pPr>
        <w:spacing w:line="380" w:lineRule="exact"/>
        <w:ind w:firstLine="480" w:firstLineChars="200"/>
        <w:rPr>
          <w:rFonts w:ascii="宋体" w:hAnsi="宋体" w:cs="宋体"/>
          <w:color w:val="auto"/>
          <w:sz w:val="24"/>
        </w:rPr>
      </w:pPr>
      <w:r>
        <w:rPr>
          <w:rFonts w:hint="eastAsia" w:ascii="宋体" w:hAnsi="宋体" w:cs="宋体"/>
          <w:color w:val="auto"/>
          <w:sz w:val="24"/>
        </w:rPr>
        <w:t>本项目不接受联合体投标。</w:t>
      </w:r>
    </w:p>
    <w:p>
      <w:pPr>
        <w:rPr>
          <w:rFonts w:ascii="宋体" w:hAnsi="宋体" w:cs="宋体"/>
          <w:color w:val="auto"/>
          <w:sz w:val="24"/>
        </w:rPr>
      </w:pPr>
      <w:bookmarkStart w:id="8" w:name="_Toc28359003"/>
      <w:bookmarkStart w:id="9" w:name="_Toc35393622"/>
      <w:bookmarkStart w:id="10" w:name="_Toc35393791"/>
      <w:bookmarkStart w:id="11" w:name="_Toc28359080"/>
      <w:r>
        <w:rPr>
          <w:rFonts w:hint="eastAsia" w:ascii="宋体" w:hAnsi="宋体" w:cs="宋体"/>
          <w:color w:val="auto"/>
          <w:sz w:val="24"/>
        </w:rPr>
        <w:t>二、申请人的资格要求：</w:t>
      </w:r>
      <w:bookmarkEnd w:id="8"/>
      <w:bookmarkEnd w:id="9"/>
      <w:bookmarkEnd w:id="10"/>
      <w:bookmarkEnd w:id="11"/>
    </w:p>
    <w:p>
      <w:pPr>
        <w:spacing w:line="380" w:lineRule="exact"/>
        <w:ind w:firstLine="480" w:firstLineChars="200"/>
        <w:rPr>
          <w:rFonts w:ascii="宋体" w:hAnsi="宋体" w:cs="宋体"/>
          <w:color w:val="auto"/>
          <w:sz w:val="24"/>
        </w:rPr>
      </w:pPr>
      <w:r>
        <w:rPr>
          <w:rFonts w:hint="eastAsia" w:ascii="宋体" w:hAnsi="宋体" w:cs="宋体"/>
          <w:color w:val="auto"/>
          <w:sz w:val="24"/>
        </w:rPr>
        <w:t>1.满足《中华人民共和国政府采购法》第二十二条规定；</w:t>
      </w:r>
    </w:p>
    <w:p>
      <w:pPr>
        <w:spacing w:line="380" w:lineRule="exact"/>
        <w:ind w:firstLine="480" w:firstLineChars="200"/>
        <w:rPr>
          <w:rFonts w:ascii="宋体" w:hAnsi="宋体" w:cs="宋体"/>
          <w:color w:val="auto"/>
          <w:sz w:val="24"/>
        </w:rPr>
      </w:pPr>
      <w:r>
        <w:rPr>
          <w:rFonts w:hint="eastAsia" w:ascii="宋体" w:hAnsi="宋体" w:cs="宋体"/>
          <w:color w:val="auto"/>
          <w:sz w:val="24"/>
        </w:rPr>
        <w:t>2.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380" w:lineRule="exact"/>
        <w:ind w:firstLine="480" w:firstLineChars="200"/>
        <w:rPr>
          <w:rFonts w:ascii="宋体" w:hAnsi="宋体" w:cs="宋体"/>
          <w:color w:val="auto"/>
          <w:sz w:val="24"/>
        </w:rPr>
      </w:pPr>
      <w:bookmarkStart w:id="12" w:name="_Toc28359004"/>
      <w:bookmarkStart w:id="13" w:name="_Toc28359081"/>
      <w:r>
        <w:rPr>
          <w:rFonts w:hint="eastAsia" w:ascii="宋体" w:hAnsi="宋体" w:cs="宋体"/>
          <w:color w:val="auto"/>
          <w:sz w:val="24"/>
        </w:rPr>
        <w:t>3.落实政府采购政策需满足的资格要求：</w:t>
      </w:r>
    </w:p>
    <w:p>
      <w:pPr>
        <w:spacing w:line="380" w:lineRule="exact"/>
        <w:ind w:firstLine="480" w:firstLineChars="200"/>
        <w:rPr>
          <w:rFonts w:ascii="宋体" w:hAnsi="宋体" w:cs="宋体"/>
          <w:color w:val="auto"/>
          <w:sz w:val="24"/>
        </w:rPr>
      </w:pPr>
      <w:r>
        <w:rPr>
          <w:rFonts w:hint="eastAsia" w:ascii="宋体" w:hAnsi="宋体" w:cs="宋体"/>
          <w:color w:val="auto"/>
          <w:sz w:val="24"/>
        </w:rPr>
        <w:t>①《政府采购促进中小企业发展暂行办法》（财库[2011]181号）。</w:t>
      </w:r>
    </w:p>
    <w:p>
      <w:pPr>
        <w:spacing w:line="380" w:lineRule="exact"/>
        <w:ind w:firstLine="480" w:firstLineChars="200"/>
        <w:rPr>
          <w:rFonts w:ascii="宋体" w:hAnsi="宋体" w:cs="宋体"/>
          <w:color w:val="auto"/>
          <w:sz w:val="24"/>
        </w:rPr>
      </w:pPr>
      <w:r>
        <w:rPr>
          <w:rFonts w:hint="eastAsia" w:ascii="宋体" w:hAnsi="宋体" w:cs="宋体"/>
          <w:color w:val="auto"/>
          <w:sz w:val="24"/>
        </w:rPr>
        <w:t xml:space="preserve">②《关于政府采购支持监狱企业发展有关问题的通知》（财库[2014]68号）。 </w:t>
      </w:r>
    </w:p>
    <w:p>
      <w:pPr>
        <w:spacing w:line="380" w:lineRule="exact"/>
        <w:ind w:firstLine="480" w:firstLineChars="200"/>
        <w:rPr>
          <w:rFonts w:ascii="宋体" w:hAnsi="宋体" w:cs="宋体"/>
          <w:color w:val="auto"/>
          <w:sz w:val="24"/>
        </w:rPr>
      </w:pPr>
      <w:r>
        <w:rPr>
          <w:rFonts w:hint="eastAsia" w:ascii="宋体" w:hAnsi="宋体" w:cs="宋体"/>
          <w:color w:val="auto"/>
          <w:sz w:val="24"/>
        </w:rPr>
        <w:t>③《关于促进残疾人就业政府采购政策的通知》（财库[2017]141号）。</w:t>
      </w:r>
    </w:p>
    <w:p>
      <w:pPr>
        <w:spacing w:line="380" w:lineRule="exact"/>
        <w:ind w:firstLine="480" w:firstLineChars="200"/>
        <w:rPr>
          <w:rFonts w:ascii="宋体" w:hAnsi="宋体" w:cs="宋体"/>
          <w:color w:val="auto"/>
          <w:sz w:val="24"/>
        </w:rPr>
      </w:pPr>
      <w:r>
        <w:rPr>
          <w:rFonts w:hint="eastAsia" w:ascii="宋体" w:hAnsi="宋体" w:cs="宋体"/>
          <w:color w:val="auto"/>
          <w:sz w:val="24"/>
        </w:rPr>
        <w:t>④《广西壮族自治区人民政府办公厅关于印发招标采购促进广西工业产品产销对接实施细则的通知》(桂政办发〔2015〕78号) 。</w:t>
      </w:r>
    </w:p>
    <w:p>
      <w:pPr>
        <w:spacing w:line="380" w:lineRule="exact"/>
        <w:ind w:firstLine="480" w:firstLineChars="200"/>
        <w:rPr>
          <w:rFonts w:ascii="宋体" w:hAnsi="宋体" w:cs="宋体"/>
          <w:color w:val="auto"/>
          <w:sz w:val="24"/>
        </w:rPr>
      </w:pPr>
      <w:r>
        <w:rPr>
          <w:rFonts w:hint="eastAsia" w:ascii="宋体" w:hAnsi="宋体" w:cs="宋体"/>
          <w:color w:val="auto"/>
          <w:sz w:val="24"/>
        </w:rPr>
        <w:t>⑤《节能产品政府采购品目清单》。</w:t>
      </w:r>
    </w:p>
    <w:p>
      <w:pPr>
        <w:spacing w:line="380" w:lineRule="exact"/>
        <w:ind w:firstLine="480" w:firstLineChars="200"/>
        <w:rPr>
          <w:rFonts w:ascii="宋体" w:hAnsi="宋体" w:cs="宋体"/>
          <w:color w:val="auto"/>
          <w:sz w:val="24"/>
        </w:rPr>
      </w:pPr>
      <w:r>
        <w:rPr>
          <w:rFonts w:hint="eastAsia" w:ascii="宋体" w:hAnsi="宋体" w:cs="宋体"/>
          <w:color w:val="auto"/>
          <w:sz w:val="24"/>
        </w:rPr>
        <w:t>⑥《关于调整优化节能产品、环境标志产品政府采购执行机制的通知》（财库〔2019〕9号）。</w:t>
      </w:r>
    </w:p>
    <w:p>
      <w:pPr>
        <w:spacing w:line="380" w:lineRule="exact"/>
        <w:ind w:firstLine="480" w:firstLineChars="200"/>
        <w:rPr>
          <w:rFonts w:ascii="宋体" w:hAnsi="宋体" w:cs="宋体"/>
          <w:color w:val="auto"/>
          <w:sz w:val="24"/>
        </w:rPr>
      </w:pPr>
      <w:r>
        <w:rPr>
          <w:rFonts w:hint="eastAsia" w:ascii="宋体" w:hAnsi="宋体" w:cs="宋体"/>
          <w:bCs/>
          <w:color w:val="auto"/>
          <w:sz w:val="24"/>
        </w:rPr>
        <w:t>⑦</w:t>
      </w:r>
      <w:r>
        <w:rPr>
          <w:rFonts w:hint="eastAsia" w:ascii="宋体" w:hAnsi="宋体" w:cs="宋体"/>
          <w:b/>
          <w:color w:val="auto"/>
          <w:sz w:val="24"/>
        </w:rPr>
        <w:t>本项目非专门面向中小微企业采购。</w:t>
      </w:r>
    </w:p>
    <w:p>
      <w:pPr>
        <w:spacing w:line="380" w:lineRule="exact"/>
        <w:ind w:firstLine="480" w:firstLineChars="200"/>
        <w:rPr>
          <w:rFonts w:ascii="宋体" w:hAnsi="宋体" w:cs="宋体"/>
          <w:i/>
          <w:iCs/>
          <w:color w:val="auto"/>
          <w:sz w:val="24"/>
          <w:u w:val="single"/>
        </w:rPr>
      </w:pPr>
      <w:r>
        <w:rPr>
          <w:rFonts w:hint="eastAsia" w:ascii="宋体" w:hAnsi="宋体" w:cs="宋体"/>
          <w:color w:val="auto"/>
          <w:sz w:val="24"/>
        </w:rPr>
        <w:t>4.本项目的特定资格要求：无</w:t>
      </w:r>
    </w:p>
    <w:p>
      <w:pPr>
        <w:rPr>
          <w:rFonts w:ascii="宋体" w:hAnsi="宋体" w:cs="宋体"/>
          <w:color w:val="auto"/>
          <w:sz w:val="24"/>
        </w:rPr>
      </w:pPr>
      <w:bookmarkStart w:id="14" w:name="_Toc35393623"/>
      <w:bookmarkStart w:id="15" w:name="_Toc35393792"/>
      <w:r>
        <w:rPr>
          <w:rFonts w:hint="eastAsia" w:ascii="宋体" w:hAnsi="宋体" w:cs="宋体"/>
          <w:color w:val="auto"/>
          <w:sz w:val="24"/>
        </w:rPr>
        <w:t>三、获取招标文件</w:t>
      </w:r>
      <w:bookmarkEnd w:id="12"/>
      <w:bookmarkEnd w:id="13"/>
      <w:bookmarkEnd w:id="14"/>
      <w:bookmarkEnd w:id="15"/>
    </w:p>
    <w:p>
      <w:pPr>
        <w:spacing w:line="380" w:lineRule="exact"/>
        <w:ind w:firstLine="540"/>
        <w:rPr>
          <w:rFonts w:ascii="宋体" w:hAnsi="宋体" w:cs="宋体"/>
          <w:color w:val="auto"/>
          <w:sz w:val="24"/>
        </w:rPr>
      </w:pPr>
      <w:r>
        <w:rPr>
          <w:rFonts w:hint="eastAsia" w:ascii="宋体" w:hAnsi="宋体" w:cs="宋体"/>
          <w:color w:val="auto"/>
          <w:sz w:val="24"/>
        </w:rPr>
        <w:t>1.招标文件获取时间：2020年</w:t>
      </w:r>
      <w:r>
        <w:rPr>
          <w:rFonts w:hint="eastAsia" w:ascii="宋体" w:hAnsi="宋体" w:cs="宋体"/>
          <w:color w:val="auto"/>
          <w:sz w:val="24"/>
          <w:lang w:val="en-US" w:eastAsia="zh-CN"/>
        </w:rPr>
        <w:t>9</w:t>
      </w:r>
      <w:r>
        <w:rPr>
          <w:rFonts w:hint="eastAsia" w:ascii="宋体" w:hAnsi="宋体" w:cs="宋体"/>
          <w:color w:val="auto"/>
          <w:sz w:val="24"/>
        </w:rPr>
        <w:t>月1</w:t>
      </w:r>
      <w:r>
        <w:rPr>
          <w:rFonts w:hint="eastAsia" w:ascii="宋体" w:hAnsi="宋体" w:cs="宋体"/>
          <w:color w:val="auto"/>
          <w:sz w:val="24"/>
          <w:lang w:val="en-US" w:eastAsia="zh-CN"/>
        </w:rPr>
        <w:t>4</w:t>
      </w:r>
      <w:r>
        <w:rPr>
          <w:rFonts w:hint="eastAsia" w:ascii="宋体" w:hAnsi="宋体" w:cs="宋体"/>
          <w:color w:val="auto"/>
          <w:sz w:val="24"/>
        </w:rPr>
        <w:t>日至2020年</w:t>
      </w:r>
      <w:r>
        <w:rPr>
          <w:rFonts w:hint="eastAsia" w:ascii="宋体" w:hAnsi="宋体" w:cs="宋体"/>
          <w:color w:val="auto"/>
          <w:sz w:val="24"/>
          <w:lang w:val="en-US" w:eastAsia="zh-CN"/>
        </w:rPr>
        <w:t>10</w:t>
      </w:r>
      <w:r>
        <w:rPr>
          <w:rFonts w:hint="eastAsia" w:ascii="宋体" w:hAnsi="宋体" w:cs="宋体"/>
          <w:color w:val="auto"/>
          <w:sz w:val="24"/>
        </w:rPr>
        <w:t>月</w:t>
      </w:r>
      <w:r>
        <w:rPr>
          <w:rFonts w:hint="eastAsia" w:ascii="宋体" w:hAnsi="宋体" w:cs="宋体"/>
          <w:color w:val="auto"/>
          <w:sz w:val="24"/>
          <w:lang w:val="en-US" w:eastAsia="zh-CN"/>
        </w:rPr>
        <w:t>9</w:t>
      </w:r>
      <w:r>
        <w:rPr>
          <w:rFonts w:hint="eastAsia" w:ascii="宋体" w:hAnsi="宋体" w:cs="宋体"/>
          <w:color w:val="auto"/>
          <w:sz w:val="24"/>
        </w:rPr>
        <w:t>日</w:t>
      </w:r>
      <w:r>
        <w:rPr>
          <w:rFonts w:hint="eastAsia" w:ascii="宋体" w:hAnsi="宋体" w:cs="宋体"/>
          <w:color w:val="auto"/>
          <w:sz w:val="24"/>
          <w:lang w:val="en-US" w:eastAsia="zh-CN"/>
        </w:rPr>
        <w:t>10</w:t>
      </w:r>
      <w:r>
        <w:rPr>
          <w:rFonts w:hint="eastAsia" w:ascii="宋体" w:hAnsi="宋体" w:cs="宋体"/>
          <w:color w:val="auto"/>
          <w:sz w:val="24"/>
        </w:rPr>
        <w:t>时30分。</w:t>
      </w:r>
    </w:p>
    <w:p>
      <w:pPr>
        <w:spacing w:line="380" w:lineRule="exact"/>
        <w:ind w:firstLine="540"/>
        <w:rPr>
          <w:rFonts w:ascii="宋体" w:hAnsi="宋体" w:cs="宋体"/>
          <w:color w:val="auto"/>
          <w:sz w:val="24"/>
        </w:rPr>
      </w:pPr>
      <w:r>
        <w:rPr>
          <w:rFonts w:hint="eastAsia" w:ascii="宋体" w:hAnsi="宋体" w:cs="宋体"/>
          <w:color w:val="auto"/>
          <w:sz w:val="24"/>
        </w:rPr>
        <w:t>2.地点及方式：潜在供应商请自行选择以下网站，在本公告附件处下载招标文件电子版。</w:t>
      </w:r>
    </w:p>
    <w:p>
      <w:pPr>
        <w:spacing w:line="380" w:lineRule="exact"/>
        <w:ind w:firstLine="480" w:firstLineChars="200"/>
        <w:rPr>
          <w:rFonts w:ascii="宋体" w:hAnsi="宋体" w:cs="宋体"/>
          <w:color w:val="auto"/>
          <w:sz w:val="24"/>
        </w:rPr>
      </w:pPr>
      <w:r>
        <w:rPr>
          <w:rFonts w:hint="eastAsia" w:ascii="宋体" w:hAnsi="宋体" w:cs="宋体"/>
          <w:color w:val="auto"/>
          <w:sz w:val="24"/>
        </w:rPr>
        <w:t>桂林市公共资源交易中心网（glggzy.org.cn/gxglzbw）</w:t>
      </w:r>
    </w:p>
    <w:p>
      <w:pPr>
        <w:spacing w:line="380" w:lineRule="exact"/>
        <w:ind w:firstLine="480" w:firstLineChars="200"/>
        <w:rPr>
          <w:rFonts w:ascii="宋体" w:hAnsi="宋体" w:cs="宋体"/>
          <w:color w:val="auto"/>
          <w:sz w:val="24"/>
        </w:rPr>
      </w:pPr>
      <w:r>
        <w:rPr>
          <w:rFonts w:hint="eastAsia" w:ascii="宋体" w:hAnsi="宋体" w:cs="宋体"/>
          <w:color w:val="auto"/>
          <w:sz w:val="24"/>
        </w:rPr>
        <w:t>桂林市政府采购网（gl.zfcg.zcygov.cn）</w:t>
      </w:r>
    </w:p>
    <w:p>
      <w:pPr>
        <w:spacing w:line="380" w:lineRule="exact"/>
        <w:ind w:firstLine="480" w:firstLineChars="200"/>
        <w:rPr>
          <w:rFonts w:ascii="宋体" w:hAnsi="宋体" w:cs="宋体"/>
          <w:color w:val="auto"/>
          <w:sz w:val="24"/>
        </w:rPr>
      </w:pPr>
      <w:r>
        <w:rPr>
          <w:rFonts w:hint="eastAsia" w:ascii="宋体" w:hAnsi="宋体" w:cs="宋体"/>
          <w:color w:val="auto"/>
          <w:sz w:val="24"/>
        </w:rPr>
        <w:t>广西壮族自治区政府采购网（www.ccgp-guangxi.gov.cn）</w:t>
      </w:r>
    </w:p>
    <w:p>
      <w:pPr>
        <w:spacing w:line="380" w:lineRule="exact"/>
        <w:ind w:firstLine="420" w:firstLineChars="200"/>
        <w:rPr>
          <w:rFonts w:ascii="宋体" w:hAnsi="宋体" w:cs="宋体"/>
          <w:color w:val="auto"/>
          <w:sz w:val="24"/>
        </w:rPr>
      </w:pPr>
      <w:r>
        <w:rPr>
          <w:color w:val="auto"/>
        </w:rPr>
        <w:fldChar w:fldCharType="begin"/>
      </w:r>
      <w:r>
        <w:rPr>
          <w:color w:val="auto"/>
        </w:rPr>
        <w:instrText xml:space="preserve"> HYPERLINK "http://www.ccgp.gov.cn（中国政府采购网）" </w:instrText>
      </w:r>
      <w:r>
        <w:rPr>
          <w:color w:val="auto"/>
        </w:rPr>
        <w:fldChar w:fldCharType="separate"/>
      </w:r>
      <w:r>
        <w:rPr>
          <w:rFonts w:hint="eastAsia" w:ascii="宋体" w:hAnsi="宋体" w:cs="宋体"/>
          <w:color w:val="auto"/>
          <w:sz w:val="24"/>
        </w:rPr>
        <w:t>中国政府采购网（</w:t>
      </w:r>
      <w:r>
        <w:rPr>
          <w:rFonts w:hint="eastAsia" w:ascii="宋体" w:hAnsi="宋体" w:cs="宋体"/>
          <w:color w:val="auto"/>
          <w:sz w:val="24"/>
        </w:rPr>
        <w:fldChar w:fldCharType="end"/>
      </w:r>
      <w:r>
        <w:rPr>
          <w:rFonts w:hint="eastAsia" w:ascii="宋体" w:hAnsi="宋体" w:cs="宋体"/>
          <w:color w:val="auto"/>
          <w:sz w:val="24"/>
        </w:rPr>
        <w:t>www.ccgp.gov.cn）</w:t>
      </w:r>
    </w:p>
    <w:p>
      <w:pPr>
        <w:ind w:firstLine="480" w:firstLineChars="200"/>
        <w:rPr>
          <w:rFonts w:ascii="宋体" w:hAnsi="宋体" w:cs="宋体"/>
          <w:color w:val="auto"/>
          <w:sz w:val="24"/>
        </w:rPr>
      </w:pPr>
      <w:r>
        <w:rPr>
          <w:rFonts w:hint="eastAsia" w:ascii="宋体" w:hAnsi="宋体" w:cs="宋体"/>
          <w:color w:val="auto"/>
          <w:sz w:val="24"/>
        </w:rPr>
        <w:t>3.招标文件售价：本项目招标文件不收取费用。</w:t>
      </w:r>
    </w:p>
    <w:p>
      <w:pPr>
        <w:rPr>
          <w:rFonts w:ascii="宋体" w:hAnsi="宋体" w:cs="宋体"/>
          <w:color w:val="auto"/>
          <w:sz w:val="24"/>
        </w:rPr>
      </w:pPr>
      <w:bookmarkStart w:id="16" w:name="_Toc28359005"/>
      <w:bookmarkStart w:id="17" w:name="_Toc28359082"/>
      <w:bookmarkStart w:id="18" w:name="_Toc35393624"/>
      <w:bookmarkStart w:id="19" w:name="_Toc35393793"/>
      <w:r>
        <w:rPr>
          <w:rFonts w:hint="eastAsia" w:ascii="宋体" w:hAnsi="宋体" w:cs="宋体"/>
          <w:color w:val="auto"/>
          <w:sz w:val="24"/>
        </w:rPr>
        <w:t>四、提交投标文件</w:t>
      </w:r>
      <w:bookmarkEnd w:id="16"/>
      <w:bookmarkEnd w:id="17"/>
      <w:r>
        <w:rPr>
          <w:rFonts w:hint="eastAsia" w:ascii="宋体" w:hAnsi="宋体" w:cs="宋体"/>
          <w:color w:val="auto"/>
          <w:sz w:val="24"/>
        </w:rPr>
        <w:t>截止时间、开标时间和地点</w:t>
      </w:r>
      <w:bookmarkEnd w:id="18"/>
      <w:bookmarkEnd w:id="19"/>
    </w:p>
    <w:p>
      <w:pPr>
        <w:spacing w:line="380" w:lineRule="exact"/>
        <w:ind w:firstLine="480" w:firstLineChars="200"/>
        <w:rPr>
          <w:rFonts w:ascii="宋体" w:hAnsi="宋体" w:cs="宋体"/>
          <w:bCs/>
          <w:color w:val="auto"/>
          <w:sz w:val="24"/>
        </w:rPr>
      </w:pPr>
      <w:r>
        <w:rPr>
          <w:rFonts w:hint="eastAsia" w:ascii="宋体" w:hAnsi="宋体" w:cs="宋体"/>
          <w:bCs/>
          <w:color w:val="auto"/>
          <w:sz w:val="24"/>
        </w:rPr>
        <w:t>提交投标文件起止时间：</w:t>
      </w:r>
      <w:r>
        <w:rPr>
          <w:rFonts w:hint="eastAsia" w:ascii="宋体" w:hAnsi="宋体" w:cs="宋体"/>
          <w:bCs/>
          <w:color w:val="auto"/>
          <w:sz w:val="24"/>
          <w:u w:val="single"/>
        </w:rPr>
        <w:t>2020年</w:t>
      </w:r>
      <w:r>
        <w:rPr>
          <w:rFonts w:hint="eastAsia" w:ascii="宋体" w:hAnsi="宋体" w:cs="宋体"/>
          <w:bCs/>
          <w:color w:val="auto"/>
          <w:sz w:val="24"/>
          <w:u w:val="single"/>
          <w:lang w:val="en-US" w:eastAsia="zh-CN"/>
        </w:rPr>
        <w:t>10</w:t>
      </w:r>
      <w:r>
        <w:rPr>
          <w:rFonts w:hint="eastAsia" w:ascii="宋体" w:hAnsi="宋体" w:cs="宋体"/>
          <w:bCs/>
          <w:color w:val="auto"/>
          <w:sz w:val="24"/>
          <w:u w:val="single"/>
        </w:rPr>
        <w:t>月</w:t>
      </w:r>
      <w:r>
        <w:rPr>
          <w:rFonts w:hint="eastAsia" w:ascii="宋体" w:hAnsi="宋体" w:cs="宋体"/>
          <w:bCs/>
          <w:color w:val="auto"/>
          <w:sz w:val="24"/>
          <w:u w:val="single"/>
          <w:lang w:val="en-US" w:eastAsia="zh-CN"/>
        </w:rPr>
        <w:t>9</w:t>
      </w:r>
      <w:r>
        <w:rPr>
          <w:rFonts w:hint="eastAsia" w:ascii="宋体" w:hAnsi="宋体" w:cs="宋体"/>
          <w:bCs/>
          <w:color w:val="auto"/>
          <w:sz w:val="24"/>
          <w:u w:val="single"/>
        </w:rPr>
        <w:t>日</w:t>
      </w:r>
      <w:r>
        <w:rPr>
          <w:rFonts w:hint="eastAsia" w:ascii="宋体" w:hAnsi="宋体" w:cs="宋体"/>
          <w:bCs/>
          <w:color w:val="auto"/>
          <w:sz w:val="24"/>
          <w:u w:val="single"/>
          <w:lang w:val="en-US" w:eastAsia="zh-CN"/>
        </w:rPr>
        <w:t>10</w:t>
      </w:r>
      <w:r>
        <w:rPr>
          <w:rFonts w:hint="eastAsia" w:ascii="宋体" w:hAnsi="宋体" w:cs="宋体"/>
          <w:bCs/>
          <w:color w:val="auto"/>
          <w:sz w:val="24"/>
          <w:u w:val="single"/>
        </w:rPr>
        <w:t>点00分</w:t>
      </w:r>
      <w:r>
        <w:rPr>
          <w:rFonts w:hint="eastAsia" w:ascii="宋体" w:hAnsi="宋体" w:cs="宋体"/>
          <w:bCs/>
          <w:color w:val="auto"/>
          <w:sz w:val="24"/>
        </w:rPr>
        <w:t>（北京时间）至</w:t>
      </w:r>
      <w:r>
        <w:rPr>
          <w:rFonts w:hint="eastAsia" w:ascii="宋体" w:hAnsi="宋体" w:cs="宋体"/>
          <w:bCs/>
          <w:color w:val="auto"/>
          <w:sz w:val="24"/>
          <w:u w:val="single"/>
        </w:rPr>
        <w:t>2020年</w:t>
      </w:r>
      <w:r>
        <w:rPr>
          <w:rFonts w:hint="eastAsia" w:ascii="宋体" w:hAnsi="宋体" w:cs="宋体"/>
          <w:bCs/>
          <w:color w:val="auto"/>
          <w:sz w:val="24"/>
          <w:u w:val="single"/>
          <w:lang w:val="en-US" w:eastAsia="zh-CN"/>
        </w:rPr>
        <w:t>10</w:t>
      </w:r>
      <w:r>
        <w:rPr>
          <w:rFonts w:hint="eastAsia" w:ascii="宋体" w:hAnsi="宋体" w:cs="宋体"/>
          <w:bCs/>
          <w:color w:val="auto"/>
          <w:sz w:val="24"/>
          <w:u w:val="single"/>
        </w:rPr>
        <w:t>月</w:t>
      </w:r>
      <w:r>
        <w:rPr>
          <w:rFonts w:hint="eastAsia" w:ascii="宋体" w:hAnsi="宋体" w:cs="宋体"/>
          <w:bCs/>
          <w:color w:val="auto"/>
          <w:sz w:val="24"/>
          <w:u w:val="single"/>
          <w:lang w:val="en-US" w:eastAsia="zh-CN"/>
        </w:rPr>
        <w:t>9</w:t>
      </w:r>
      <w:r>
        <w:rPr>
          <w:rFonts w:hint="eastAsia" w:ascii="宋体" w:hAnsi="宋体" w:cs="宋体"/>
          <w:bCs/>
          <w:color w:val="auto"/>
          <w:sz w:val="24"/>
          <w:u w:val="single"/>
        </w:rPr>
        <w:t>日</w:t>
      </w:r>
      <w:r>
        <w:rPr>
          <w:rFonts w:hint="eastAsia" w:ascii="宋体" w:hAnsi="宋体" w:cs="宋体"/>
          <w:bCs/>
          <w:color w:val="auto"/>
          <w:sz w:val="24"/>
          <w:u w:val="single"/>
          <w:lang w:val="en-US" w:eastAsia="zh-CN"/>
        </w:rPr>
        <w:t>10</w:t>
      </w:r>
      <w:r>
        <w:rPr>
          <w:rFonts w:hint="eastAsia" w:ascii="宋体" w:hAnsi="宋体" w:cs="宋体"/>
          <w:bCs/>
          <w:color w:val="auto"/>
          <w:sz w:val="24"/>
          <w:u w:val="single"/>
        </w:rPr>
        <w:t>点30分</w:t>
      </w:r>
      <w:r>
        <w:rPr>
          <w:rFonts w:hint="eastAsia" w:ascii="宋体" w:hAnsi="宋体" w:cs="宋体"/>
          <w:bCs/>
          <w:color w:val="auto"/>
          <w:sz w:val="24"/>
        </w:rPr>
        <w:t>（北京时间）止。</w:t>
      </w:r>
    </w:p>
    <w:p>
      <w:pPr>
        <w:spacing w:line="380" w:lineRule="exact"/>
        <w:ind w:firstLine="480" w:firstLineChars="200"/>
        <w:rPr>
          <w:rFonts w:ascii="宋体" w:hAnsi="宋体" w:cs="宋体"/>
          <w:color w:val="auto"/>
          <w:sz w:val="24"/>
        </w:rPr>
      </w:pPr>
      <w:r>
        <w:rPr>
          <w:rFonts w:hint="eastAsia" w:ascii="宋体" w:hAnsi="宋体" w:cs="宋体"/>
          <w:color w:val="auto"/>
          <w:sz w:val="24"/>
        </w:rPr>
        <w:t>地点：桂林市公共资源交易中心</w:t>
      </w:r>
      <w:r>
        <w:rPr>
          <w:rFonts w:hint="eastAsia" w:ascii="宋体" w:hAnsi="宋体" w:cs="宋体"/>
          <w:color w:val="auto"/>
          <w:sz w:val="24"/>
          <w:lang w:val="en-US" w:eastAsia="zh-CN"/>
        </w:rPr>
        <w:t>2</w:t>
      </w:r>
      <w:r>
        <w:rPr>
          <w:rFonts w:hint="eastAsia" w:ascii="宋体" w:hAnsi="宋体" w:cs="宋体"/>
          <w:color w:val="auto"/>
          <w:sz w:val="24"/>
        </w:rPr>
        <w:t>号开标室（广西桂林市临桂区西城中路69号创业大厦西辅楼4楼）。</w:t>
      </w:r>
    </w:p>
    <w:p>
      <w:pPr>
        <w:pStyle w:val="14"/>
        <w:rPr>
          <w:rFonts w:ascii="宋体" w:hAnsi="宋体" w:cs="宋体"/>
          <w:color w:val="auto"/>
        </w:rPr>
      </w:pPr>
    </w:p>
    <w:p>
      <w:pPr>
        <w:spacing w:line="380" w:lineRule="exact"/>
        <w:ind w:firstLine="480" w:firstLineChars="200"/>
        <w:rPr>
          <w:rFonts w:ascii="宋体" w:hAnsi="宋体" w:cs="宋体"/>
          <w:bCs/>
          <w:color w:val="auto"/>
          <w:sz w:val="24"/>
          <w:u w:val="single"/>
        </w:rPr>
      </w:pPr>
      <w:r>
        <w:rPr>
          <w:rFonts w:hint="eastAsia" w:ascii="宋体" w:hAnsi="宋体" w:cs="宋体"/>
          <w:bCs/>
          <w:color w:val="auto"/>
          <w:sz w:val="24"/>
        </w:rPr>
        <w:t>开标时间：</w:t>
      </w:r>
      <w:r>
        <w:rPr>
          <w:rFonts w:hint="eastAsia" w:ascii="宋体" w:hAnsi="宋体" w:cs="宋体"/>
          <w:bCs/>
          <w:color w:val="auto"/>
          <w:sz w:val="24"/>
          <w:u w:val="single"/>
        </w:rPr>
        <w:t>2020年</w:t>
      </w:r>
      <w:r>
        <w:rPr>
          <w:rFonts w:hint="eastAsia" w:ascii="宋体" w:hAnsi="宋体" w:cs="宋体"/>
          <w:bCs/>
          <w:color w:val="auto"/>
          <w:sz w:val="24"/>
          <w:u w:val="single"/>
          <w:lang w:val="en-US" w:eastAsia="zh-CN"/>
        </w:rPr>
        <w:t>10</w:t>
      </w:r>
      <w:r>
        <w:rPr>
          <w:rFonts w:hint="eastAsia" w:ascii="宋体" w:hAnsi="宋体" w:cs="宋体"/>
          <w:bCs/>
          <w:color w:val="auto"/>
          <w:sz w:val="24"/>
          <w:u w:val="single"/>
        </w:rPr>
        <w:t>月</w:t>
      </w:r>
      <w:r>
        <w:rPr>
          <w:rFonts w:hint="eastAsia" w:ascii="宋体" w:hAnsi="宋体" w:cs="宋体"/>
          <w:bCs/>
          <w:color w:val="auto"/>
          <w:sz w:val="24"/>
          <w:u w:val="single"/>
          <w:lang w:val="en-US" w:eastAsia="zh-CN"/>
        </w:rPr>
        <w:t>9</w:t>
      </w:r>
      <w:r>
        <w:rPr>
          <w:rFonts w:hint="eastAsia" w:ascii="宋体" w:hAnsi="宋体" w:cs="宋体"/>
          <w:bCs/>
          <w:color w:val="auto"/>
          <w:sz w:val="24"/>
          <w:u w:val="single"/>
        </w:rPr>
        <w:t>日</w:t>
      </w:r>
      <w:r>
        <w:rPr>
          <w:rFonts w:hint="eastAsia" w:ascii="宋体" w:hAnsi="宋体" w:cs="宋体"/>
          <w:bCs/>
          <w:color w:val="auto"/>
          <w:sz w:val="24"/>
          <w:u w:val="single"/>
          <w:lang w:val="en-US" w:eastAsia="zh-CN"/>
        </w:rPr>
        <w:t>10</w:t>
      </w:r>
      <w:r>
        <w:rPr>
          <w:rFonts w:hint="eastAsia" w:ascii="宋体" w:hAnsi="宋体" w:cs="宋体"/>
          <w:bCs/>
          <w:color w:val="auto"/>
          <w:sz w:val="24"/>
          <w:u w:val="single"/>
        </w:rPr>
        <w:t>点30分</w:t>
      </w:r>
      <w:r>
        <w:rPr>
          <w:rFonts w:hint="eastAsia" w:ascii="宋体" w:hAnsi="宋体" w:cs="宋体"/>
          <w:bCs/>
          <w:color w:val="auto"/>
          <w:sz w:val="24"/>
        </w:rPr>
        <w:t>（北京时间）</w:t>
      </w:r>
    </w:p>
    <w:p>
      <w:pPr>
        <w:spacing w:line="380" w:lineRule="exact"/>
        <w:ind w:firstLine="480" w:firstLineChars="200"/>
        <w:rPr>
          <w:rFonts w:ascii="宋体" w:hAnsi="宋体" w:cs="宋体"/>
          <w:bCs/>
          <w:color w:val="auto"/>
          <w:sz w:val="24"/>
          <w:u w:val="single"/>
        </w:rPr>
      </w:pPr>
      <w:r>
        <w:rPr>
          <w:rFonts w:hint="eastAsia" w:ascii="宋体" w:hAnsi="宋体" w:cs="宋体"/>
          <w:color w:val="auto"/>
          <w:sz w:val="24"/>
        </w:rPr>
        <w:t>地点：桂林市公共资源交易中心</w:t>
      </w:r>
      <w:r>
        <w:rPr>
          <w:rFonts w:hint="eastAsia" w:ascii="宋体" w:hAnsi="宋体" w:cs="宋体"/>
          <w:color w:val="auto"/>
          <w:sz w:val="24"/>
          <w:lang w:val="en-US" w:eastAsia="zh-CN"/>
        </w:rPr>
        <w:t>2</w:t>
      </w:r>
      <w:r>
        <w:rPr>
          <w:rFonts w:hint="eastAsia" w:ascii="宋体" w:hAnsi="宋体" w:cs="宋体"/>
          <w:color w:val="auto"/>
          <w:sz w:val="24"/>
        </w:rPr>
        <w:t>号开标室（广西桂林市临桂区西城中路69号创业大厦西辅楼4楼）。</w:t>
      </w:r>
    </w:p>
    <w:p>
      <w:pPr>
        <w:rPr>
          <w:rFonts w:ascii="宋体" w:hAnsi="宋体" w:cs="宋体"/>
          <w:color w:val="auto"/>
          <w:sz w:val="24"/>
        </w:rPr>
      </w:pPr>
      <w:bookmarkStart w:id="20" w:name="_Toc28359084"/>
      <w:bookmarkStart w:id="21" w:name="_Toc28359007"/>
      <w:bookmarkStart w:id="22" w:name="_Toc35393625"/>
      <w:bookmarkStart w:id="23" w:name="_Toc35393794"/>
      <w:r>
        <w:rPr>
          <w:rFonts w:hint="eastAsia" w:ascii="宋体" w:hAnsi="宋体" w:cs="宋体"/>
          <w:color w:val="auto"/>
          <w:sz w:val="24"/>
        </w:rPr>
        <w:t>五、公告期限</w:t>
      </w:r>
      <w:bookmarkEnd w:id="20"/>
      <w:bookmarkEnd w:id="21"/>
      <w:bookmarkEnd w:id="22"/>
      <w:bookmarkEnd w:id="23"/>
    </w:p>
    <w:p>
      <w:pPr>
        <w:spacing w:line="380" w:lineRule="exact"/>
        <w:ind w:firstLine="480" w:firstLineChars="200"/>
        <w:rPr>
          <w:rFonts w:ascii="宋体" w:hAnsi="宋体" w:cs="宋体"/>
          <w:color w:val="auto"/>
          <w:kern w:val="0"/>
          <w:sz w:val="24"/>
        </w:rPr>
      </w:pPr>
      <w:r>
        <w:rPr>
          <w:rFonts w:hint="eastAsia" w:ascii="宋体" w:hAnsi="宋体" w:cs="宋体"/>
          <w:color w:val="auto"/>
          <w:kern w:val="0"/>
          <w:sz w:val="24"/>
        </w:rPr>
        <w:t>自本公告发布之日起5个工作日。</w:t>
      </w:r>
    </w:p>
    <w:p>
      <w:pPr>
        <w:rPr>
          <w:rFonts w:ascii="宋体" w:hAnsi="宋体" w:cs="宋体"/>
          <w:color w:val="auto"/>
          <w:sz w:val="24"/>
        </w:rPr>
      </w:pPr>
      <w:bookmarkStart w:id="24" w:name="_Toc35393795"/>
      <w:bookmarkStart w:id="25" w:name="_Toc35393626"/>
      <w:r>
        <w:rPr>
          <w:rFonts w:hint="eastAsia" w:ascii="宋体" w:hAnsi="宋体" w:cs="宋体"/>
          <w:color w:val="auto"/>
          <w:sz w:val="24"/>
        </w:rPr>
        <w:t>六、其他补充事宜</w:t>
      </w:r>
      <w:bookmarkEnd w:id="24"/>
      <w:bookmarkEnd w:id="25"/>
    </w:p>
    <w:p>
      <w:pPr>
        <w:numPr>
          <w:ilvl w:val="0"/>
          <w:numId w:val="2"/>
        </w:numPr>
        <w:spacing w:line="380" w:lineRule="exact"/>
        <w:ind w:firstLine="482" w:firstLineChars="200"/>
        <w:rPr>
          <w:rFonts w:ascii="宋体" w:hAnsi="宋体" w:cs="宋体"/>
          <w:color w:val="auto"/>
          <w:sz w:val="24"/>
        </w:rPr>
      </w:pPr>
      <w:r>
        <w:rPr>
          <w:rFonts w:hint="eastAsia" w:ascii="宋体" w:hAnsi="宋体" w:cs="宋体"/>
          <w:b/>
          <w:bCs/>
          <w:color w:val="auto"/>
          <w:sz w:val="24"/>
        </w:rPr>
        <w:t>本项目无需缴纳投标保证金。</w:t>
      </w:r>
    </w:p>
    <w:p>
      <w:pPr>
        <w:numPr>
          <w:ilvl w:val="0"/>
          <w:numId w:val="2"/>
        </w:numPr>
        <w:spacing w:line="380" w:lineRule="exact"/>
        <w:ind w:firstLine="480" w:firstLineChars="200"/>
        <w:rPr>
          <w:rFonts w:ascii="宋体" w:hAnsi="宋体" w:cs="宋体"/>
          <w:color w:val="auto"/>
          <w:sz w:val="24"/>
        </w:rPr>
      </w:pPr>
      <w:r>
        <w:rPr>
          <w:rFonts w:hint="eastAsia" w:ascii="宋体" w:hAnsi="宋体" w:cs="宋体"/>
          <w:color w:val="auto"/>
          <w:sz w:val="24"/>
        </w:rPr>
        <w:t>投标人可以由法定代表人、负责人、自然人或其委托代理人出席开标会议（出席代表和供应商授权委托人需携带本人身份证原件，未携带身份证所造成一切后果，由其自行承担）。</w:t>
      </w:r>
    </w:p>
    <w:p>
      <w:pPr>
        <w:numPr>
          <w:ilvl w:val="0"/>
          <w:numId w:val="2"/>
        </w:numPr>
        <w:spacing w:line="380" w:lineRule="exact"/>
        <w:ind w:firstLine="480" w:firstLineChars="200"/>
        <w:rPr>
          <w:rFonts w:ascii="宋体" w:hAnsi="宋体" w:cs="宋体"/>
          <w:color w:val="auto"/>
          <w:sz w:val="24"/>
        </w:rPr>
      </w:pPr>
      <w:r>
        <w:rPr>
          <w:rFonts w:hint="eastAsia" w:ascii="宋体" w:hAnsi="宋体" w:cs="宋体"/>
          <w:color w:val="auto"/>
          <w:sz w:val="24"/>
        </w:rPr>
        <w:t>本项目信息发布媒体：</w:t>
      </w:r>
    </w:p>
    <w:p>
      <w:pPr>
        <w:spacing w:line="380" w:lineRule="exact"/>
        <w:ind w:firstLine="480" w:firstLineChars="200"/>
        <w:rPr>
          <w:rFonts w:ascii="宋体" w:hAnsi="宋体" w:cs="宋体"/>
          <w:color w:val="auto"/>
          <w:sz w:val="24"/>
        </w:rPr>
      </w:pPr>
      <w:bookmarkStart w:id="26" w:name="_Toc35393796"/>
      <w:bookmarkStart w:id="27" w:name="_Toc28359008"/>
      <w:bookmarkStart w:id="28" w:name="_Toc28359085"/>
      <w:bookmarkStart w:id="29" w:name="_Toc35393627"/>
      <w:r>
        <w:rPr>
          <w:rFonts w:hint="eastAsia" w:ascii="宋体" w:hAnsi="宋体" w:cs="宋体"/>
          <w:color w:val="auto"/>
          <w:sz w:val="24"/>
        </w:rPr>
        <w:t>桂林市公共资源交易中心网（glggzy.org.cn/gxglzbw）</w:t>
      </w:r>
    </w:p>
    <w:p>
      <w:pPr>
        <w:spacing w:line="380" w:lineRule="exact"/>
        <w:ind w:firstLine="480" w:firstLineChars="200"/>
        <w:rPr>
          <w:rFonts w:ascii="宋体" w:hAnsi="宋体" w:cs="宋体"/>
          <w:color w:val="auto"/>
          <w:sz w:val="24"/>
        </w:rPr>
      </w:pPr>
      <w:r>
        <w:rPr>
          <w:rFonts w:hint="eastAsia" w:ascii="宋体" w:hAnsi="宋体" w:cs="宋体"/>
          <w:color w:val="auto"/>
          <w:sz w:val="24"/>
        </w:rPr>
        <w:t>桂林市政府采购网（gl.zfcg.zcygov.cn）</w:t>
      </w:r>
    </w:p>
    <w:p>
      <w:pPr>
        <w:spacing w:line="380" w:lineRule="exact"/>
        <w:ind w:firstLine="480" w:firstLineChars="200"/>
        <w:rPr>
          <w:rFonts w:ascii="宋体" w:hAnsi="宋体" w:cs="宋体"/>
          <w:color w:val="auto"/>
          <w:sz w:val="24"/>
        </w:rPr>
      </w:pPr>
      <w:r>
        <w:rPr>
          <w:rFonts w:hint="eastAsia" w:ascii="宋体" w:hAnsi="宋体" w:cs="宋体"/>
          <w:color w:val="auto"/>
          <w:sz w:val="24"/>
        </w:rPr>
        <w:t>广西壮族自治区政府采购网（www.ccgp-guangxi.gov.cn）</w:t>
      </w:r>
    </w:p>
    <w:p>
      <w:pPr>
        <w:spacing w:line="380" w:lineRule="exact"/>
        <w:ind w:firstLine="420" w:firstLineChars="200"/>
        <w:rPr>
          <w:rFonts w:ascii="宋体" w:hAnsi="宋体" w:cs="宋体"/>
          <w:color w:val="auto"/>
          <w:sz w:val="24"/>
        </w:rPr>
      </w:pPr>
      <w:r>
        <w:rPr>
          <w:color w:val="auto"/>
        </w:rPr>
        <w:fldChar w:fldCharType="begin"/>
      </w:r>
      <w:r>
        <w:rPr>
          <w:color w:val="auto"/>
        </w:rPr>
        <w:instrText xml:space="preserve"> HYPERLINK "http://www.ccgp.gov.cn（中国政府采购网）" </w:instrText>
      </w:r>
      <w:r>
        <w:rPr>
          <w:color w:val="auto"/>
        </w:rPr>
        <w:fldChar w:fldCharType="separate"/>
      </w:r>
      <w:r>
        <w:rPr>
          <w:rFonts w:hint="eastAsia" w:ascii="宋体" w:hAnsi="宋体" w:cs="宋体"/>
          <w:color w:val="auto"/>
          <w:sz w:val="24"/>
        </w:rPr>
        <w:t>中国政府采购网（</w:t>
      </w:r>
      <w:r>
        <w:rPr>
          <w:rFonts w:hint="eastAsia" w:ascii="宋体" w:hAnsi="宋体" w:cs="宋体"/>
          <w:color w:val="auto"/>
          <w:sz w:val="24"/>
        </w:rPr>
        <w:fldChar w:fldCharType="end"/>
      </w:r>
      <w:r>
        <w:rPr>
          <w:rFonts w:hint="eastAsia" w:ascii="宋体" w:hAnsi="宋体" w:cs="宋体"/>
          <w:color w:val="auto"/>
          <w:sz w:val="24"/>
        </w:rPr>
        <w:t>www.ccgp.gov.cn）</w:t>
      </w:r>
    </w:p>
    <w:p>
      <w:pPr>
        <w:rPr>
          <w:rFonts w:ascii="宋体" w:hAnsi="宋体" w:cs="宋体"/>
          <w:color w:val="auto"/>
          <w:sz w:val="24"/>
        </w:rPr>
      </w:pPr>
      <w:r>
        <w:rPr>
          <w:rFonts w:hint="eastAsia" w:ascii="宋体" w:hAnsi="宋体" w:cs="宋体"/>
          <w:color w:val="auto"/>
          <w:sz w:val="24"/>
        </w:rPr>
        <w:t>七、对本次招标提出询问，请按以下方式联系。</w:t>
      </w:r>
      <w:bookmarkEnd w:id="26"/>
      <w:bookmarkEnd w:id="27"/>
      <w:bookmarkEnd w:id="28"/>
      <w:bookmarkEnd w:id="29"/>
    </w:p>
    <w:p>
      <w:pPr>
        <w:widowControl/>
        <w:spacing w:line="380" w:lineRule="exact"/>
        <w:jc w:val="left"/>
        <w:rPr>
          <w:rFonts w:ascii="宋体" w:hAnsi="宋体" w:cs="宋体"/>
          <w:color w:val="auto"/>
          <w:sz w:val="24"/>
        </w:rPr>
      </w:pPr>
      <w:r>
        <w:rPr>
          <w:rFonts w:hint="eastAsia" w:ascii="宋体" w:hAnsi="宋体" w:cs="宋体"/>
          <w:color w:val="auto"/>
          <w:sz w:val="24"/>
        </w:rPr>
        <w:t>　　　1.采购人信息</w:t>
      </w:r>
    </w:p>
    <w:p>
      <w:pPr>
        <w:spacing w:line="380" w:lineRule="exact"/>
        <w:ind w:left="1079" w:leftChars="371" w:hanging="300" w:hangingChars="125"/>
        <w:jc w:val="left"/>
        <w:rPr>
          <w:rFonts w:ascii="宋体" w:hAnsi="宋体" w:cs="宋体"/>
          <w:color w:val="auto"/>
          <w:sz w:val="24"/>
        </w:rPr>
      </w:pPr>
      <w:r>
        <w:rPr>
          <w:rFonts w:hint="eastAsia" w:ascii="宋体" w:hAnsi="宋体" w:cs="宋体"/>
          <w:color w:val="auto"/>
          <w:sz w:val="24"/>
        </w:rPr>
        <w:t>名 称：</w:t>
      </w:r>
      <w:r>
        <w:rPr>
          <w:rFonts w:hint="eastAsia" w:ascii="宋体" w:hAnsi="宋体" w:cs="宋体"/>
          <w:color w:val="auto"/>
          <w:sz w:val="24"/>
          <w:u w:val="single"/>
        </w:rPr>
        <w:t>　桂林市临桂区教育局</w:t>
      </w:r>
    </w:p>
    <w:p>
      <w:pPr>
        <w:spacing w:line="380" w:lineRule="exact"/>
        <w:ind w:left="1079" w:leftChars="371" w:hanging="300" w:hangingChars="125"/>
        <w:jc w:val="left"/>
        <w:rPr>
          <w:rFonts w:hint="eastAsia" w:ascii="宋体" w:hAnsi="宋体" w:cs="宋体"/>
          <w:color w:val="auto"/>
          <w:sz w:val="24"/>
          <w:u w:val="single"/>
        </w:rPr>
      </w:pPr>
      <w:bookmarkStart w:id="30" w:name="_Toc28359009"/>
      <w:bookmarkStart w:id="31" w:name="_Toc28359086"/>
      <w:r>
        <w:rPr>
          <w:rFonts w:hint="eastAsia" w:ascii="宋体" w:hAnsi="宋体" w:cs="宋体"/>
          <w:color w:val="auto"/>
          <w:sz w:val="24"/>
        </w:rPr>
        <w:t>地址：</w:t>
      </w:r>
      <w:r>
        <w:rPr>
          <w:rFonts w:hint="eastAsia" w:ascii="宋体" w:hAnsi="宋体" w:cs="宋体"/>
          <w:color w:val="auto"/>
          <w:sz w:val="24"/>
          <w:u w:val="single"/>
        </w:rPr>
        <w:t>　 桂林市</w:t>
      </w:r>
      <w:r>
        <w:rPr>
          <w:rFonts w:hint="eastAsia" w:ascii="宋体" w:hAnsi="宋体" w:cs="宋体"/>
          <w:color w:val="auto"/>
          <w:sz w:val="24"/>
          <w:u w:val="single"/>
          <w:lang w:eastAsia="zh-CN"/>
        </w:rPr>
        <w:t>临桂区人民路</w:t>
      </w:r>
      <w:r>
        <w:rPr>
          <w:rFonts w:hint="eastAsia" w:ascii="宋体" w:hAnsi="宋体" w:cs="宋体"/>
          <w:color w:val="auto"/>
          <w:sz w:val="24"/>
          <w:u w:val="single"/>
          <w:lang w:val="en-US" w:eastAsia="zh-CN"/>
        </w:rPr>
        <w:t>19</w:t>
      </w:r>
      <w:r>
        <w:rPr>
          <w:rFonts w:hint="eastAsia" w:ascii="宋体" w:hAnsi="宋体" w:cs="宋体"/>
          <w:color w:val="auto"/>
          <w:sz w:val="24"/>
          <w:u w:val="single"/>
        </w:rPr>
        <w:t xml:space="preserve">号 </w:t>
      </w:r>
    </w:p>
    <w:p>
      <w:pPr>
        <w:spacing w:line="380" w:lineRule="exact"/>
        <w:ind w:left="1079" w:leftChars="371" w:hanging="300" w:hangingChars="125"/>
        <w:jc w:val="left"/>
        <w:rPr>
          <w:rFonts w:hint="eastAsia" w:ascii="宋体" w:hAnsi="宋体" w:cs="宋体"/>
          <w:color w:val="auto"/>
          <w:sz w:val="24"/>
          <w:u w:val="single"/>
        </w:rPr>
      </w:pPr>
      <w:r>
        <w:rPr>
          <w:rFonts w:hint="eastAsia" w:ascii="宋体" w:hAnsi="宋体" w:cs="宋体"/>
          <w:color w:val="auto"/>
          <w:sz w:val="24"/>
          <w:u w:val="single"/>
        </w:rPr>
        <w:t>联系方式：　0773-5</w:t>
      </w:r>
      <w:r>
        <w:rPr>
          <w:rFonts w:hint="eastAsia" w:ascii="宋体" w:hAnsi="宋体" w:cs="宋体"/>
          <w:color w:val="auto"/>
          <w:sz w:val="24"/>
          <w:u w:val="single"/>
          <w:lang w:val="en-US" w:eastAsia="zh-CN"/>
        </w:rPr>
        <w:t>591086</w:t>
      </w:r>
      <w:r>
        <w:rPr>
          <w:rFonts w:hint="eastAsia" w:ascii="宋体" w:hAnsi="宋体" w:cs="宋体"/>
          <w:color w:val="auto"/>
          <w:sz w:val="24"/>
          <w:u w:val="single"/>
        </w:rPr>
        <w:t>　</w:t>
      </w:r>
    </w:p>
    <w:p>
      <w:pPr>
        <w:spacing w:line="380" w:lineRule="exact"/>
        <w:ind w:left="1079" w:leftChars="371" w:hanging="300" w:hangingChars="125"/>
        <w:jc w:val="left"/>
        <w:rPr>
          <w:rFonts w:ascii="宋体" w:hAnsi="宋体" w:cs="宋体"/>
          <w:color w:val="auto"/>
          <w:sz w:val="24"/>
        </w:rPr>
      </w:pPr>
      <w:r>
        <w:rPr>
          <w:rFonts w:hint="eastAsia" w:ascii="宋体" w:hAnsi="宋体" w:cs="宋体"/>
          <w:color w:val="auto"/>
          <w:sz w:val="24"/>
        </w:rPr>
        <w:t>2.采购代理机构信息</w:t>
      </w:r>
      <w:bookmarkEnd w:id="30"/>
      <w:bookmarkEnd w:id="31"/>
    </w:p>
    <w:p>
      <w:pPr>
        <w:spacing w:line="380" w:lineRule="exact"/>
        <w:ind w:firstLine="720" w:firstLineChars="300"/>
        <w:rPr>
          <w:rFonts w:ascii="宋体" w:hAnsi="宋体" w:cs="宋体"/>
          <w:color w:val="auto"/>
          <w:sz w:val="24"/>
          <w:u w:val="single"/>
        </w:rPr>
      </w:pPr>
      <w:r>
        <w:rPr>
          <w:rFonts w:hint="eastAsia" w:ascii="宋体" w:hAnsi="宋体" w:cs="宋体"/>
          <w:color w:val="auto"/>
          <w:sz w:val="24"/>
        </w:rPr>
        <w:t>名 称：</w:t>
      </w:r>
      <w:r>
        <w:rPr>
          <w:rFonts w:hint="eastAsia" w:ascii="宋体" w:hAnsi="宋体" w:cs="宋体"/>
          <w:color w:val="auto"/>
          <w:sz w:val="24"/>
          <w:u w:val="single"/>
        </w:rPr>
        <w:t>　桂林市政府集中采购中心　</w:t>
      </w:r>
    </w:p>
    <w:p>
      <w:pPr>
        <w:spacing w:line="380" w:lineRule="exact"/>
        <w:ind w:firstLine="720" w:firstLineChars="300"/>
        <w:rPr>
          <w:rFonts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u w:val="single"/>
        </w:rPr>
        <w:t>桂林市临桂区西城中路69号创业大厦西辅楼5楼</w:t>
      </w:r>
    </w:p>
    <w:p>
      <w:pPr>
        <w:spacing w:line="380" w:lineRule="exact"/>
        <w:ind w:firstLine="720" w:firstLineChars="300"/>
        <w:rPr>
          <w:rFonts w:ascii="宋体" w:hAnsi="宋体" w:cs="宋体"/>
          <w:color w:val="auto"/>
          <w:sz w:val="24"/>
        </w:rPr>
      </w:pPr>
      <w:r>
        <w:rPr>
          <w:rFonts w:hint="eastAsia" w:ascii="宋体" w:hAnsi="宋体" w:cs="宋体"/>
          <w:color w:val="auto"/>
          <w:sz w:val="24"/>
        </w:rPr>
        <w:t>联系方式：</w:t>
      </w:r>
      <w:bookmarkStart w:id="32" w:name="_Toc28359087"/>
      <w:bookmarkStart w:id="33" w:name="_Toc28359010"/>
      <w:r>
        <w:rPr>
          <w:rFonts w:hint="eastAsia" w:ascii="宋体" w:hAnsi="宋体" w:cs="宋体"/>
          <w:color w:val="auto"/>
          <w:sz w:val="24"/>
          <w:u w:val="single"/>
        </w:rPr>
        <w:t>　0773-5625175</w:t>
      </w:r>
      <w:r>
        <w:rPr>
          <w:rFonts w:hint="eastAsia" w:ascii="宋体" w:hAnsi="宋体" w:cs="宋体"/>
          <w:color w:val="auto"/>
          <w:sz w:val="24"/>
          <w:u w:val="single"/>
          <w:lang w:eastAsia="zh-CN"/>
        </w:rPr>
        <w:t>、</w:t>
      </w:r>
      <w:r>
        <w:rPr>
          <w:rFonts w:hint="eastAsia" w:ascii="宋体" w:hAnsi="宋体" w:cs="宋体"/>
          <w:color w:val="auto"/>
          <w:sz w:val="24"/>
          <w:u w:val="single"/>
          <w:lang w:val="en-US" w:eastAsia="zh-CN"/>
        </w:rPr>
        <w:t>0773-5625143</w:t>
      </w:r>
      <w:r>
        <w:rPr>
          <w:rFonts w:hint="eastAsia" w:ascii="宋体" w:hAnsi="宋体" w:cs="宋体"/>
          <w:color w:val="auto"/>
          <w:sz w:val="24"/>
          <w:u w:val="single"/>
        </w:rPr>
        <w:t>　</w:t>
      </w:r>
    </w:p>
    <w:p>
      <w:pPr>
        <w:spacing w:line="380" w:lineRule="exact"/>
        <w:ind w:firstLine="720" w:firstLineChars="300"/>
        <w:rPr>
          <w:rFonts w:ascii="宋体" w:hAnsi="宋体" w:cs="宋体"/>
          <w:color w:val="auto"/>
          <w:sz w:val="24"/>
          <w:u w:val="single"/>
        </w:rPr>
      </w:pPr>
      <w:r>
        <w:rPr>
          <w:rFonts w:hint="eastAsia" w:ascii="宋体" w:hAnsi="宋体" w:cs="宋体"/>
          <w:color w:val="auto"/>
          <w:sz w:val="24"/>
        </w:rPr>
        <w:t>3.项目联系方式</w:t>
      </w:r>
      <w:bookmarkEnd w:id="32"/>
      <w:bookmarkEnd w:id="33"/>
    </w:p>
    <w:p>
      <w:pPr>
        <w:pStyle w:val="17"/>
        <w:spacing w:line="380" w:lineRule="exact"/>
        <w:ind w:firstLine="720" w:firstLineChars="300"/>
        <w:rPr>
          <w:rFonts w:hAnsi="宋体" w:cs="宋体"/>
          <w:color w:val="auto"/>
          <w:sz w:val="24"/>
          <w:szCs w:val="24"/>
        </w:rPr>
      </w:pPr>
      <w:r>
        <w:rPr>
          <w:rFonts w:hint="eastAsia" w:hAnsi="宋体" w:cs="宋体"/>
          <w:color w:val="auto"/>
          <w:sz w:val="24"/>
          <w:szCs w:val="24"/>
        </w:rPr>
        <w:t>项目联系人：</w:t>
      </w:r>
      <w:r>
        <w:rPr>
          <w:rFonts w:hint="eastAsia" w:hAnsi="宋体" w:cs="宋体"/>
          <w:color w:val="auto"/>
          <w:sz w:val="24"/>
          <w:szCs w:val="24"/>
          <w:u w:val="single"/>
        </w:rPr>
        <w:t>唐云</w:t>
      </w:r>
    </w:p>
    <w:p>
      <w:pPr>
        <w:spacing w:line="380" w:lineRule="exact"/>
        <w:ind w:firstLine="720" w:firstLineChars="300"/>
        <w:rPr>
          <w:rFonts w:ascii="宋体" w:hAnsi="宋体" w:cs="宋体"/>
          <w:color w:val="auto"/>
          <w:sz w:val="24"/>
          <w:u w:val="single"/>
        </w:rPr>
      </w:pPr>
      <w:r>
        <w:rPr>
          <w:rFonts w:hint="eastAsia" w:ascii="宋体" w:hAnsi="宋体" w:cs="宋体"/>
          <w:color w:val="auto"/>
          <w:sz w:val="24"/>
        </w:rPr>
        <w:t>电　话：</w:t>
      </w:r>
      <w:r>
        <w:rPr>
          <w:rFonts w:hint="eastAsia" w:ascii="宋体" w:hAnsi="宋体" w:cs="宋体"/>
          <w:color w:val="auto"/>
          <w:sz w:val="24"/>
          <w:u w:val="single"/>
        </w:rPr>
        <w:t>0773-5625175</w:t>
      </w:r>
    </w:p>
    <w:p>
      <w:pPr>
        <w:spacing w:line="380" w:lineRule="exact"/>
        <w:ind w:firstLine="720" w:firstLineChars="300"/>
        <w:rPr>
          <w:rFonts w:ascii="宋体" w:hAnsi="宋体" w:cs="宋体"/>
          <w:color w:val="auto"/>
          <w:sz w:val="24"/>
        </w:rPr>
      </w:pPr>
      <w:r>
        <w:rPr>
          <w:rFonts w:hint="eastAsia" w:ascii="宋体" w:hAnsi="宋体" w:cs="宋体"/>
          <w:color w:val="auto"/>
          <w:sz w:val="24"/>
        </w:rPr>
        <w:t>4.政府采购监督管理机构</w:t>
      </w:r>
    </w:p>
    <w:p>
      <w:pPr>
        <w:spacing w:line="380" w:lineRule="exact"/>
        <w:ind w:firstLine="720" w:firstLineChars="300"/>
        <w:rPr>
          <w:rFonts w:hint="eastAsia" w:ascii="宋体" w:hAnsi="宋体" w:eastAsia="宋体" w:cs="宋体"/>
          <w:color w:val="auto"/>
          <w:sz w:val="24"/>
          <w:lang w:eastAsia="zh-CN"/>
        </w:rPr>
      </w:pPr>
      <w:r>
        <w:rPr>
          <w:rFonts w:hint="eastAsia" w:ascii="宋体" w:hAnsi="宋体" w:cs="宋体"/>
          <w:color w:val="auto"/>
          <w:sz w:val="24"/>
        </w:rPr>
        <w:t>名 称：</w:t>
      </w:r>
      <w:r>
        <w:rPr>
          <w:rFonts w:hint="eastAsia" w:ascii="宋体" w:hAnsi="宋体" w:cs="宋体"/>
          <w:color w:val="auto"/>
          <w:sz w:val="24"/>
          <w:u w:val="single"/>
          <w:lang w:eastAsia="zh-CN"/>
        </w:rPr>
        <w:t>桂林市临桂区政府采购监督管理股</w:t>
      </w:r>
    </w:p>
    <w:p>
      <w:pPr>
        <w:spacing w:line="380" w:lineRule="exact"/>
        <w:ind w:firstLine="720" w:firstLineChars="300"/>
        <w:rPr>
          <w:rFonts w:hint="eastAsia" w:ascii="宋体" w:hAnsi="宋体" w:eastAsia="宋体" w:cs="宋体"/>
          <w:color w:val="auto"/>
          <w:sz w:val="24"/>
          <w:lang w:eastAsia="zh-CN"/>
        </w:rPr>
      </w:pPr>
      <w:r>
        <w:rPr>
          <w:rFonts w:hint="eastAsia" w:ascii="宋体" w:hAnsi="宋体" w:cs="宋体"/>
          <w:color w:val="auto"/>
          <w:sz w:val="24"/>
        </w:rPr>
        <w:t>联系方式：</w:t>
      </w:r>
      <w:r>
        <w:rPr>
          <w:rFonts w:hint="eastAsia" w:ascii="宋体" w:hAnsi="宋体" w:cs="宋体"/>
          <w:color w:val="auto"/>
          <w:sz w:val="24"/>
          <w:u w:val="single"/>
          <w:lang w:eastAsia="zh-CN"/>
        </w:rPr>
        <w:t>0773-</w:t>
      </w:r>
      <w:r>
        <w:rPr>
          <w:rFonts w:hint="eastAsia" w:ascii="宋体" w:hAnsi="宋体" w:cs="宋体"/>
          <w:color w:val="auto"/>
          <w:sz w:val="24"/>
          <w:u w:val="single"/>
          <w:lang w:val="en-US" w:eastAsia="zh-CN"/>
        </w:rPr>
        <w:t>5593932</w:t>
      </w:r>
    </w:p>
    <w:p>
      <w:pPr>
        <w:spacing w:line="360" w:lineRule="exact"/>
        <w:ind w:firstLine="7710" w:firstLineChars="3200"/>
        <w:jc w:val="left"/>
        <w:rPr>
          <w:rFonts w:ascii="宋体" w:hAnsi="宋体" w:cs="宋体"/>
          <w:b/>
          <w:color w:val="auto"/>
          <w:sz w:val="24"/>
        </w:rPr>
      </w:pPr>
    </w:p>
    <w:p>
      <w:pPr>
        <w:jc w:val="center"/>
        <w:outlineLvl w:val="0"/>
        <w:rPr>
          <w:rFonts w:ascii="宋体" w:hAnsi="宋体" w:cs="宋体"/>
          <w:color w:val="auto"/>
          <w:sz w:val="32"/>
          <w:szCs w:val="32"/>
        </w:rPr>
      </w:pPr>
      <w:r>
        <w:rPr>
          <w:rFonts w:hint="eastAsia" w:ascii="宋体" w:hAnsi="宋体" w:cs="宋体"/>
          <w:color w:val="auto"/>
          <w:sz w:val="32"/>
          <w:szCs w:val="32"/>
        </w:rPr>
        <w:br w:type="page"/>
      </w:r>
      <w:bookmarkStart w:id="34" w:name="_Toc12553"/>
      <w:bookmarkStart w:id="35" w:name="_Toc17992"/>
      <w:r>
        <w:rPr>
          <w:rFonts w:hint="eastAsia" w:ascii="宋体" w:hAnsi="宋体" w:cs="宋体"/>
          <w:b/>
          <w:bCs/>
          <w:color w:val="auto"/>
          <w:kern w:val="44"/>
          <w:sz w:val="32"/>
          <w:szCs w:val="32"/>
        </w:rPr>
        <w:t>第二章  投标人须知</w:t>
      </w:r>
      <w:bookmarkEnd w:id="34"/>
      <w:bookmarkEnd w:id="35"/>
    </w:p>
    <w:p>
      <w:pPr>
        <w:tabs>
          <w:tab w:val="left" w:pos="1065"/>
          <w:tab w:val="center" w:pos="4411"/>
        </w:tabs>
        <w:spacing w:line="440" w:lineRule="exact"/>
        <w:jc w:val="center"/>
        <w:outlineLvl w:val="1"/>
        <w:rPr>
          <w:rFonts w:ascii="宋体" w:hAnsi="宋体" w:cs="宋体"/>
          <w:b/>
          <w:color w:val="auto"/>
          <w:sz w:val="24"/>
        </w:rPr>
      </w:pPr>
      <w:bookmarkStart w:id="36" w:name="_Toc14222"/>
      <w:bookmarkStart w:id="37" w:name="_Toc495841753"/>
      <w:bookmarkStart w:id="38" w:name="_Toc30554"/>
      <w:r>
        <w:rPr>
          <w:rFonts w:hint="eastAsia" w:ascii="宋体" w:hAnsi="宋体" w:cs="宋体"/>
          <w:b/>
          <w:color w:val="auto"/>
          <w:sz w:val="24"/>
        </w:rPr>
        <w:t>投标人须知前附表</w:t>
      </w:r>
      <w:bookmarkEnd w:id="36"/>
      <w:bookmarkEnd w:id="37"/>
      <w:bookmarkEnd w:id="38"/>
    </w:p>
    <w:tbl>
      <w:tblPr>
        <w:tblStyle w:val="29"/>
        <w:tblW w:w="99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934"/>
        <w:gridCol w:w="1523"/>
        <w:gridCol w:w="6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blHeader/>
        </w:trPr>
        <w:tc>
          <w:tcPr>
            <w:tcW w:w="563" w:type="dxa"/>
            <w:shd w:val="clear" w:color="auto" w:fill="8DB3E2"/>
            <w:vAlign w:val="center"/>
          </w:tcPr>
          <w:p>
            <w:pPr>
              <w:spacing w:line="400" w:lineRule="exact"/>
              <w:jc w:val="center"/>
              <w:rPr>
                <w:rFonts w:ascii="宋体" w:hAnsi="宋体" w:cs="宋体"/>
                <w:b/>
                <w:color w:val="auto"/>
                <w:szCs w:val="21"/>
              </w:rPr>
            </w:pPr>
            <w:r>
              <w:rPr>
                <w:rFonts w:hint="eastAsia" w:ascii="宋体" w:hAnsi="宋体" w:cs="宋体"/>
                <w:b/>
                <w:color w:val="auto"/>
                <w:szCs w:val="21"/>
              </w:rPr>
              <w:t>序号</w:t>
            </w:r>
          </w:p>
        </w:tc>
        <w:tc>
          <w:tcPr>
            <w:tcW w:w="934" w:type="dxa"/>
            <w:shd w:val="clear" w:color="auto" w:fill="8DB3E2"/>
            <w:vAlign w:val="center"/>
          </w:tcPr>
          <w:p>
            <w:pPr>
              <w:spacing w:line="400" w:lineRule="exact"/>
              <w:jc w:val="center"/>
              <w:rPr>
                <w:rFonts w:ascii="宋体" w:hAnsi="宋体" w:cs="宋体"/>
                <w:b/>
                <w:color w:val="auto"/>
                <w:szCs w:val="21"/>
              </w:rPr>
            </w:pPr>
            <w:r>
              <w:rPr>
                <w:rFonts w:hint="eastAsia" w:ascii="宋体" w:hAnsi="宋体" w:cs="宋体"/>
                <w:b/>
                <w:color w:val="auto"/>
                <w:szCs w:val="21"/>
              </w:rPr>
              <w:t>条款号</w:t>
            </w:r>
          </w:p>
        </w:tc>
        <w:tc>
          <w:tcPr>
            <w:tcW w:w="1523" w:type="dxa"/>
            <w:shd w:val="clear" w:color="auto" w:fill="8DB3E2"/>
            <w:vAlign w:val="center"/>
          </w:tcPr>
          <w:p>
            <w:pPr>
              <w:spacing w:line="400" w:lineRule="exact"/>
              <w:jc w:val="center"/>
              <w:rPr>
                <w:rFonts w:ascii="宋体" w:hAnsi="宋体" w:cs="宋体"/>
                <w:b/>
                <w:color w:val="auto"/>
                <w:szCs w:val="21"/>
              </w:rPr>
            </w:pPr>
            <w:r>
              <w:rPr>
                <w:rFonts w:hint="eastAsia" w:ascii="宋体" w:hAnsi="宋体" w:cs="宋体"/>
                <w:b/>
                <w:color w:val="auto"/>
                <w:szCs w:val="21"/>
              </w:rPr>
              <w:t>条款名称</w:t>
            </w:r>
          </w:p>
        </w:tc>
        <w:tc>
          <w:tcPr>
            <w:tcW w:w="6897" w:type="dxa"/>
            <w:shd w:val="clear" w:color="auto" w:fill="8DB3E2"/>
            <w:vAlign w:val="center"/>
          </w:tcPr>
          <w:p>
            <w:pPr>
              <w:spacing w:line="400" w:lineRule="exact"/>
              <w:jc w:val="center"/>
              <w:rPr>
                <w:rFonts w:ascii="宋体" w:hAnsi="宋体" w:cs="宋体"/>
                <w:b/>
                <w:color w:val="auto"/>
                <w:szCs w:val="21"/>
              </w:rPr>
            </w:pPr>
            <w:r>
              <w:rPr>
                <w:rFonts w:hint="eastAsia" w:ascii="宋体" w:hAnsi="宋体" w:cs="宋体"/>
                <w:b/>
                <w:color w:val="auto"/>
                <w:szCs w:val="21"/>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63"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w:t>
            </w:r>
          </w:p>
        </w:tc>
        <w:tc>
          <w:tcPr>
            <w:tcW w:w="934"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w:t>
            </w:r>
          </w:p>
        </w:tc>
        <w:tc>
          <w:tcPr>
            <w:tcW w:w="1523"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项目名称及项目编号</w:t>
            </w:r>
          </w:p>
        </w:tc>
        <w:tc>
          <w:tcPr>
            <w:tcW w:w="6897" w:type="dxa"/>
            <w:vAlign w:val="center"/>
          </w:tcPr>
          <w:p>
            <w:pPr>
              <w:spacing w:line="340" w:lineRule="exact"/>
              <w:rPr>
                <w:rFonts w:ascii="宋体" w:hAnsi="宋体" w:cs="宋体"/>
                <w:color w:val="auto"/>
                <w:szCs w:val="21"/>
              </w:rPr>
            </w:pPr>
            <w:r>
              <w:rPr>
                <w:rFonts w:hint="eastAsia" w:ascii="宋体" w:hAnsi="宋体" w:cs="宋体"/>
                <w:color w:val="auto"/>
                <w:szCs w:val="21"/>
              </w:rPr>
              <w:t xml:space="preserve">项目名称：临桂区2020年中小学班班通多媒体设备采购 </w:t>
            </w:r>
          </w:p>
          <w:p>
            <w:pPr>
              <w:spacing w:line="340" w:lineRule="exact"/>
              <w:rPr>
                <w:rFonts w:ascii="宋体" w:hAnsi="宋体" w:cs="宋体"/>
                <w:color w:val="auto"/>
                <w:szCs w:val="21"/>
              </w:rPr>
            </w:pPr>
            <w:r>
              <w:rPr>
                <w:rFonts w:hint="eastAsia" w:ascii="宋体" w:hAnsi="宋体" w:cs="宋体"/>
                <w:color w:val="auto"/>
                <w:szCs w:val="21"/>
              </w:rPr>
              <w:t>项目编号：GLZC2020-G1-120018-JCZX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63"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2</w:t>
            </w:r>
          </w:p>
        </w:tc>
        <w:tc>
          <w:tcPr>
            <w:tcW w:w="934"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5</w:t>
            </w:r>
          </w:p>
        </w:tc>
        <w:tc>
          <w:tcPr>
            <w:tcW w:w="1523"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投标人资格</w:t>
            </w:r>
          </w:p>
        </w:tc>
        <w:tc>
          <w:tcPr>
            <w:tcW w:w="6897" w:type="dxa"/>
            <w:vAlign w:val="center"/>
          </w:tcPr>
          <w:p>
            <w:pPr>
              <w:spacing w:line="400" w:lineRule="exact"/>
              <w:rPr>
                <w:rFonts w:ascii="宋体" w:hAnsi="宋体" w:cs="宋体"/>
                <w:color w:val="auto"/>
                <w:szCs w:val="21"/>
              </w:rPr>
            </w:pPr>
            <w:r>
              <w:rPr>
                <w:rFonts w:hint="eastAsia" w:ascii="宋体" w:hAnsi="宋体" w:cs="宋体"/>
                <w:color w:val="auto"/>
                <w:szCs w:val="21"/>
              </w:rPr>
              <w:t>5.1符合《中华人民共和国政府采购法》第二十二条规定的供应商资格条件，并且国内注册或登记、具备合法资格，提供本次采购货物或服务的供应商。</w:t>
            </w:r>
          </w:p>
          <w:p>
            <w:pPr>
              <w:spacing w:line="400" w:lineRule="exact"/>
              <w:rPr>
                <w:rFonts w:ascii="宋体" w:hAnsi="宋体" w:cs="宋体"/>
                <w:color w:val="auto"/>
                <w:szCs w:val="21"/>
              </w:rPr>
            </w:pPr>
            <w:r>
              <w:rPr>
                <w:rFonts w:hint="eastAsia" w:ascii="宋体" w:hAnsi="宋体" w:cs="宋体"/>
                <w:color w:val="auto"/>
                <w:szCs w:val="21"/>
              </w:rPr>
              <w:t>5.2 本项目不接受联合体投标。</w:t>
            </w:r>
          </w:p>
          <w:p>
            <w:pPr>
              <w:spacing w:line="400" w:lineRule="exact"/>
              <w:rPr>
                <w:rFonts w:ascii="宋体" w:hAnsi="宋体" w:cs="宋体"/>
                <w:color w:val="auto"/>
                <w:szCs w:val="21"/>
              </w:rPr>
            </w:pPr>
            <w:r>
              <w:rPr>
                <w:rFonts w:hint="eastAsia" w:ascii="宋体" w:hAnsi="宋体" w:cs="宋体"/>
                <w:color w:val="auto"/>
                <w:szCs w:val="21"/>
              </w:rPr>
              <w:t>5.3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563"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3</w:t>
            </w:r>
          </w:p>
        </w:tc>
        <w:tc>
          <w:tcPr>
            <w:tcW w:w="934"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6</w:t>
            </w:r>
          </w:p>
        </w:tc>
        <w:tc>
          <w:tcPr>
            <w:tcW w:w="1523" w:type="dxa"/>
            <w:vAlign w:val="center"/>
          </w:tcPr>
          <w:p>
            <w:pPr>
              <w:spacing w:line="400" w:lineRule="exact"/>
              <w:jc w:val="center"/>
              <w:rPr>
                <w:rFonts w:ascii="宋体" w:hAnsi="宋体" w:cs="宋体"/>
                <w:color w:val="auto"/>
                <w:position w:val="-2"/>
                <w:szCs w:val="21"/>
              </w:rPr>
            </w:pPr>
            <w:r>
              <w:rPr>
                <w:rFonts w:hint="eastAsia" w:ascii="宋体" w:hAnsi="宋体" w:cs="宋体"/>
                <w:color w:val="auto"/>
                <w:szCs w:val="21"/>
              </w:rPr>
              <w:t>投标费用</w:t>
            </w:r>
          </w:p>
        </w:tc>
        <w:tc>
          <w:tcPr>
            <w:tcW w:w="6897" w:type="dxa"/>
            <w:vAlign w:val="center"/>
          </w:tcPr>
          <w:p>
            <w:pPr>
              <w:spacing w:line="400" w:lineRule="exact"/>
              <w:rPr>
                <w:rFonts w:ascii="宋体" w:hAnsi="宋体" w:cs="宋体"/>
                <w:color w:val="auto"/>
                <w:szCs w:val="21"/>
              </w:rPr>
            </w:pPr>
            <w:r>
              <w:rPr>
                <w:rFonts w:hint="eastAsia" w:ascii="宋体" w:hAnsi="宋体" w:cs="宋体"/>
                <w:color w:val="auto"/>
                <w:szCs w:val="21"/>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6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4</w:t>
            </w:r>
          </w:p>
        </w:tc>
        <w:tc>
          <w:tcPr>
            <w:tcW w:w="934" w:type="dxa"/>
            <w:vAlign w:val="center"/>
          </w:tcPr>
          <w:p>
            <w:pPr>
              <w:spacing w:line="360" w:lineRule="exact"/>
              <w:jc w:val="center"/>
              <w:rPr>
                <w:rFonts w:ascii="宋体" w:hAnsi="宋体" w:cs="宋体"/>
                <w:color w:val="auto"/>
                <w:position w:val="-2"/>
                <w:szCs w:val="21"/>
              </w:rPr>
            </w:pPr>
            <w:r>
              <w:rPr>
                <w:rFonts w:hint="eastAsia" w:ascii="宋体" w:hAnsi="宋体" w:cs="宋体"/>
                <w:color w:val="auto"/>
                <w:position w:val="-2"/>
                <w:szCs w:val="21"/>
              </w:rPr>
              <w:t>15</w:t>
            </w:r>
          </w:p>
        </w:tc>
        <w:tc>
          <w:tcPr>
            <w:tcW w:w="152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采购预算金额及投标报价</w:t>
            </w:r>
          </w:p>
        </w:tc>
        <w:tc>
          <w:tcPr>
            <w:tcW w:w="6897" w:type="dxa"/>
            <w:vAlign w:val="center"/>
          </w:tcPr>
          <w:p>
            <w:pPr>
              <w:spacing w:line="360" w:lineRule="exact"/>
              <w:rPr>
                <w:rFonts w:ascii="宋体" w:hAnsi="宋体" w:cs="宋体"/>
                <w:color w:val="auto"/>
                <w:szCs w:val="21"/>
              </w:rPr>
            </w:pPr>
            <w:r>
              <w:rPr>
                <w:rFonts w:hint="eastAsia" w:ascii="宋体" w:hAnsi="宋体" w:cs="宋体"/>
                <w:color w:val="auto"/>
                <w:szCs w:val="21"/>
              </w:rPr>
              <w:t>15.1投标报价应按招标文件中第六章“投标文件（格式）”填写，本项目采购预算金额：</w:t>
            </w:r>
            <w:r>
              <w:rPr>
                <w:rFonts w:hint="eastAsia" w:ascii="宋体" w:hAnsi="宋体" w:cs="宋体"/>
                <w:color w:val="auto"/>
                <w:szCs w:val="21"/>
                <w:u w:val="single"/>
              </w:rPr>
              <w:t>人民币贰佰零柒万元整（¥2070000.00）</w:t>
            </w:r>
            <w:r>
              <w:rPr>
                <w:rFonts w:hint="eastAsia" w:ascii="宋体" w:hAnsi="宋体" w:cs="宋体"/>
                <w:color w:val="auto"/>
                <w:szCs w:val="21"/>
              </w:rPr>
              <w:t>，投标报价超过采购预算金额的，投标文件按无效处理。</w:t>
            </w:r>
          </w:p>
          <w:p>
            <w:pPr>
              <w:spacing w:line="360" w:lineRule="exact"/>
              <w:rPr>
                <w:rFonts w:ascii="宋体" w:hAnsi="宋体" w:cs="宋体"/>
                <w:color w:val="auto"/>
                <w:szCs w:val="21"/>
              </w:rPr>
            </w:pPr>
            <w:r>
              <w:rPr>
                <w:rFonts w:hint="eastAsia" w:ascii="宋体" w:hAnsi="宋体" w:cs="宋体"/>
                <w:color w:val="auto"/>
                <w:szCs w:val="21"/>
              </w:rPr>
              <w:t>15.2投标人必须就“货物采购需求”中所投分标内容作完整唯一报价，否则，其投标将被拒绝；投标文件只允许有一个报价，有选择的或有条件的报价将不予接受。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563"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5</w:t>
            </w:r>
          </w:p>
        </w:tc>
        <w:tc>
          <w:tcPr>
            <w:tcW w:w="934"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16.1</w:t>
            </w:r>
          </w:p>
        </w:tc>
        <w:tc>
          <w:tcPr>
            <w:tcW w:w="1523"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投标有效期</w:t>
            </w:r>
          </w:p>
        </w:tc>
        <w:tc>
          <w:tcPr>
            <w:tcW w:w="6897" w:type="dxa"/>
            <w:vAlign w:val="center"/>
          </w:tcPr>
          <w:p>
            <w:pPr>
              <w:spacing w:line="400" w:lineRule="exact"/>
              <w:rPr>
                <w:rFonts w:ascii="宋体" w:hAnsi="宋体" w:cs="宋体"/>
                <w:color w:val="auto"/>
                <w:szCs w:val="21"/>
              </w:rPr>
            </w:pPr>
            <w:r>
              <w:rPr>
                <w:rFonts w:hint="eastAsia" w:ascii="宋体" w:hAnsi="宋体" w:cs="宋体"/>
                <w:color w:val="auto"/>
                <w:szCs w:val="21"/>
              </w:rPr>
              <w:t>投标截止时间之日起90天。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63"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6</w:t>
            </w:r>
          </w:p>
        </w:tc>
        <w:tc>
          <w:tcPr>
            <w:tcW w:w="934"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17</w:t>
            </w:r>
          </w:p>
        </w:tc>
        <w:tc>
          <w:tcPr>
            <w:tcW w:w="1523"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投标保证金</w:t>
            </w:r>
          </w:p>
        </w:tc>
        <w:tc>
          <w:tcPr>
            <w:tcW w:w="6897" w:type="dxa"/>
          </w:tcPr>
          <w:p>
            <w:pPr>
              <w:spacing w:line="400" w:lineRule="exact"/>
              <w:rPr>
                <w:rFonts w:ascii="宋体" w:hAnsi="宋体" w:cs="宋体"/>
                <w:color w:val="auto"/>
                <w:szCs w:val="21"/>
              </w:rPr>
            </w:pPr>
            <w:r>
              <w:rPr>
                <w:rFonts w:hint="eastAsia" w:ascii="宋体" w:hAnsi="宋体" w:cs="宋体"/>
                <w:b/>
                <w:bCs/>
                <w:color w:val="auto"/>
                <w:szCs w:val="21"/>
              </w:rPr>
              <w:t>本项目无需缴纳投标保证金</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563"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7</w:t>
            </w:r>
          </w:p>
        </w:tc>
        <w:tc>
          <w:tcPr>
            <w:tcW w:w="934"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18.1</w:t>
            </w:r>
          </w:p>
        </w:tc>
        <w:tc>
          <w:tcPr>
            <w:tcW w:w="1523"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投标文件份数</w:t>
            </w:r>
          </w:p>
        </w:tc>
        <w:tc>
          <w:tcPr>
            <w:tcW w:w="6897" w:type="dxa"/>
            <w:vAlign w:val="center"/>
          </w:tcPr>
          <w:p>
            <w:pPr>
              <w:spacing w:line="400" w:lineRule="exact"/>
              <w:rPr>
                <w:rFonts w:ascii="宋体" w:hAnsi="宋体" w:cs="宋体"/>
                <w:color w:val="auto"/>
                <w:szCs w:val="21"/>
                <w:u w:val="single"/>
              </w:rPr>
            </w:pPr>
            <w:r>
              <w:rPr>
                <w:rFonts w:hint="eastAsia" w:ascii="宋体" w:hAnsi="宋体" w:cs="宋体"/>
                <w:b/>
                <w:bCs/>
                <w:color w:val="auto"/>
                <w:szCs w:val="21"/>
                <w:u w:val="single"/>
              </w:rPr>
              <w:t>正本壹册，副本肆册，须完整提交</w:t>
            </w:r>
            <w:r>
              <w:rPr>
                <w:rFonts w:hint="eastAsia" w:ascii="宋体" w:hAnsi="宋体" w:cs="宋体"/>
                <w:color w:val="auto"/>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6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8</w:t>
            </w:r>
          </w:p>
        </w:tc>
        <w:tc>
          <w:tcPr>
            <w:tcW w:w="934" w:type="dxa"/>
            <w:vAlign w:val="center"/>
          </w:tcPr>
          <w:p>
            <w:pPr>
              <w:spacing w:line="360" w:lineRule="exact"/>
              <w:jc w:val="center"/>
              <w:rPr>
                <w:rFonts w:ascii="宋体" w:hAnsi="宋体" w:cs="宋体"/>
                <w:color w:val="auto"/>
                <w:position w:val="10"/>
                <w:szCs w:val="21"/>
              </w:rPr>
            </w:pPr>
            <w:r>
              <w:rPr>
                <w:rFonts w:hint="eastAsia" w:ascii="宋体" w:hAnsi="宋体" w:cs="宋体"/>
                <w:color w:val="auto"/>
                <w:szCs w:val="21"/>
              </w:rPr>
              <w:t>18.2</w:t>
            </w:r>
          </w:p>
        </w:tc>
        <w:tc>
          <w:tcPr>
            <w:tcW w:w="1523" w:type="dxa"/>
            <w:vAlign w:val="center"/>
          </w:tcPr>
          <w:p>
            <w:pPr>
              <w:spacing w:line="360" w:lineRule="exact"/>
              <w:jc w:val="center"/>
              <w:rPr>
                <w:rFonts w:ascii="宋体" w:hAnsi="宋体" w:cs="宋体"/>
                <w:color w:val="auto"/>
                <w:position w:val="10"/>
                <w:szCs w:val="21"/>
              </w:rPr>
            </w:pPr>
            <w:r>
              <w:rPr>
                <w:rFonts w:hint="eastAsia" w:ascii="宋体" w:hAnsi="宋体" w:cs="宋体"/>
                <w:color w:val="auto"/>
                <w:szCs w:val="21"/>
              </w:rPr>
              <w:t>投标文件装订</w:t>
            </w:r>
          </w:p>
        </w:tc>
        <w:tc>
          <w:tcPr>
            <w:tcW w:w="6897" w:type="dxa"/>
            <w:vAlign w:val="center"/>
          </w:tcPr>
          <w:p>
            <w:pPr>
              <w:spacing w:line="360" w:lineRule="exact"/>
              <w:rPr>
                <w:rFonts w:ascii="宋体" w:hAnsi="宋体" w:cs="宋体"/>
                <w:color w:val="auto"/>
                <w:szCs w:val="21"/>
              </w:rPr>
            </w:pPr>
            <w:r>
              <w:rPr>
                <w:rFonts w:hint="eastAsia" w:ascii="宋体" w:hAnsi="宋体" w:cs="宋体"/>
                <w:color w:val="auto"/>
                <w:szCs w:val="21"/>
              </w:rPr>
              <w:t>投标人应按投标人须知第13.1条“投标文件组成”规定的顺序自编目录及页码，投标文件的“正本”、“副本”应当单独装订成册并标注页码，装订应牢固，不易拆散和换页（A4标准纸装订，图纸除外）。封面应注明“正本”、“副本”字样，封面上写明项目名称、项目编号、采购代理机构、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9</w:t>
            </w:r>
          </w:p>
        </w:tc>
        <w:tc>
          <w:tcPr>
            <w:tcW w:w="93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18.6</w:t>
            </w:r>
          </w:p>
        </w:tc>
        <w:tc>
          <w:tcPr>
            <w:tcW w:w="152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投标人公章</w:t>
            </w:r>
          </w:p>
        </w:tc>
        <w:tc>
          <w:tcPr>
            <w:tcW w:w="6897" w:type="dxa"/>
            <w:vAlign w:val="center"/>
          </w:tcPr>
          <w:p>
            <w:pPr>
              <w:spacing w:line="360" w:lineRule="exact"/>
              <w:rPr>
                <w:rFonts w:ascii="宋体" w:hAnsi="宋体" w:cs="宋体"/>
                <w:color w:val="auto"/>
                <w:szCs w:val="21"/>
              </w:rPr>
            </w:pPr>
            <w:r>
              <w:rPr>
                <w:rFonts w:hint="eastAsia" w:ascii="宋体" w:hAnsi="宋体" w:cs="宋体"/>
                <w:color w:val="auto"/>
                <w:szCs w:val="21"/>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6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10</w:t>
            </w:r>
          </w:p>
        </w:tc>
        <w:tc>
          <w:tcPr>
            <w:tcW w:w="93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18.7</w:t>
            </w:r>
          </w:p>
        </w:tc>
        <w:tc>
          <w:tcPr>
            <w:tcW w:w="152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投标文件包装、密封</w:t>
            </w:r>
          </w:p>
        </w:tc>
        <w:tc>
          <w:tcPr>
            <w:tcW w:w="6897" w:type="dxa"/>
            <w:vAlign w:val="center"/>
          </w:tcPr>
          <w:p>
            <w:pPr>
              <w:spacing w:line="360" w:lineRule="exact"/>
              <w:rPr>
                <w:rFonts w:ascii="宋体" w:hAnsi="宋体" w:cs="宋体"/>
                <w:color w:val="auto"/>
                <w:szCs w:val="21"/>
              </w:rPr>
            </w:pPr>
            <w:r>
              <w:rPr>
                <w:rFonts w:hint="eastAsia" w:ascii="宋体" w:hAnsi="宋体" w:cs="宋体"/>
                <w:color w:val="auto"/>
                <w:szCs w:val="21"/>
              </w:rPr>
              <w:t>将投标文件“正本”、“副本”一并装入并密封在一个投标文件袋（盒、箱）中，并在密封处密封签章【公章、密封章、法定代表人、负责人或相应的授权委托代理人签字均可】。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6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11</w:t>
            </w:r>
          </w:p>
        </w:tc>
        <w:tc>
          <w:tcPr>
            <w:tcW w:w="93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18.8</w:t>
            </w:r>
          </w:p>
        </w:tc>
        <w:tc>
          <w:tcPr>
            <w:tcW w:w="152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投标文件袋（盒、箱）标记</w:t>
            </w:r>
          </w:p>
        </w:tc>
        <w:tc>
          <w:tcPr>
            <w:tcW w:w="6897" w:type="dxa"/>
            <w:vAlign w:val="center"/>
          </w:tcPr>
          <w:p>
            <w:pPr>
              <w:spacing w:line="360" w:lineRule="exact"/>
              <w:rPr>
                <w:rFonts w:ascii="宋体" w:hAnsi="宋体" w:cs="宋体"/>
                <w:color w:val="auto"/>
                <w:spacing w:val="-6"/>
                <w:kern w:val="0"/>
                <w:szCs w:val="21"/>
              </w:rPr>
            </w:pPr>
            <w:r>
              <w:rPr>
                <w:rFonts w:hint="eastAsia" w:ascii="宋体" w:hAnsi="宋体" w:cs="宋体"/>
                <w:color w:val="auto"/>
                <w:szCs w:val="21"/>
              </w:rPr>
              <w:t>项目名称：</w:t>
            </w:r>
            <w:r>
              <w:rPr>
                <w:rFonts w:hint="eastAsia" w:ascii="宋体" w:hAnsi="宋体" w:cs="宋体"/>
                <w:color w:val="auto"/>
                <w:szCs w:val="21"/>
                <w:u w:val="single"/>
              </w:rPr>
              <w:t xml:space="preserve">临桂区2020年中小学班班通多媒体设备采购 </w:t>
            </w:r>
          </w:p>
          <w:p>
            <w:pPr>
              <w:spacing w:line="360" w:lineRule="exact"/>
              <w:rPr>
                <w:rFonts w:ascii="宋体" w:hAnsi="宋体" w:cs="宋体"/>
                <w:color w:val="auto"/>
                <w:szCs w:val="21"/>
              </w:rPr>
            </w:pPr>
            <w:r>
              <w:rPr>
                <w:rFonts w:hint="eastAsia" w:ascii="宋体" w:hAnsi="宋体" w:cs="宋体"/>
                <w:color w:val="auto"/>
                <w:szCs w:val="21"/>
              </w:rPr>
              <w:t>项目编号：</w:t>
            </w:r>
            <w:r>
              <w:rPr>
                <w:rFonts w:hint="eastAsia" w:ascii="宋体" w:hAnsi="宋体" w:cs="宋体"/>
                <w:color w:val="auto"/>
                <w:szCs w:val="21"/>
                <w:u w:val="single"/>
              </w:rPr>
              <w:t>GLZC2020-G1-120018-JCZX</w:t>
            </w:r>
          </w:p>
          <w:p>
            <w:pPr>
              <w:spacing w:line="360" w:lineRule="exact"/>
              <w:rPr>
                <w:rFonts w:ascii="宋体" w:hAnsi="宋体" w:cs="宋体"/>
                <w:color w:val="auto"/>
                <w:szCs w:val="21"/>
              </w:rPr>
            </w:pPr>
            <w:r>
              <w:rPr>
                <w:rFonts w:hint="eastAsia" w:ascii="宋体" w:hAnsi="宋体" w:cs="宋体"/>
                <w:color w:val="auto"/>
                <w:szCs w:val="21"/>
              </w:rPr>
              <w:t>采购代理机构：</w:t>
            </w:r>
            <w:r>
              <w:rPr>
                <w:rFonts w:hint="eastAsia" w:ascii="宋体" w:hAnsi="宋体" w:cs="宋体"/>
                <w:color w:val="auto"/>
                <w:szCs w:val="21"/>
                <w:u w:val="single"/>
              </w:rPr>
              <w:t>桂林市政府集中采购中心</w:t>
            </w:r>
          </w:p>
          <w:p>
            <w:pPr>
              <w:spacing w:line="360" w:lineRule="exact"/>
              <w:rPr>
                <w:rFonts w:ascii="宋体" w:hAnsi="宋体" w:cs="宋体"/>
                <w:color w:val="auto"/>
                <w:szCs w:val="21"/>
              </w:rPr>
            </w:pPr>
            <w:r>
              <w:rPr>
                <w:rFonts w:hint="eastAsia" w:ascii="宋体" w:hAnsi="宋体" w:cs="宋体"/>
                <w:color w:val="auto"/>
                <w:szCs w:val="21"/>
              </w:rPr>
              <w:t>投标单位名称：</w:t>
            </w:r>
            <w:r>
              <w:rPr>
                <w:rFonts w:hint="eastAsia" w:ascii="宋体" w:hAnsi="宋体" w:cs="宋体"/>
                <w:color w:val="auto"/>
                <w:szCs w:val="21"/>
                <w:u w:val="single"/>
              </w:rPr>
              <w:t xml:space="preserve">                       </w:t>
            </w:r>
          </w:p>
          <w:p>
            <w:pPr>
              <w:spacing w:line="360" w:lineRule="exact"/>
              <w:rPr>
                <w:rFonts w:ascii="宋体" w:hAnsi="宋体" w:cs="宋体"/>
                <w:color w:val="auto"/>
                <w:szCs w:val="21"/>
              </w:rPr>
            </w:pPr>
            <w:r>
              <w:rPr>
                <w:rFonts w:hint="eastAsia" w:ascii="宋体" w:hAnsi="宋体" w:cs="宋体"/>
                <w:color w:val="auto"/>
                <w:szCs w:val="21"/>
              </w:rPr>
              <w:t>在2020年</w:t>
            </w:r>
            <w:r>
              <w:rPr>
                <w:rFonts w:hint="eastAsia" w:ascii="宋体" w:hAnsi="宋体" w:cs="宋体"/>
                <w:color w:val="auto"/>
                <w:szCs w:val="21"/>
                <w:lang w:val="en-US" w:eastAsia="zh-CN"/>
              </w:rPr>
              <w:t>10</w:t>
            </w:r>
            <w:r>
              <w:rPr>
                <w:rFonts w:hint="eastAsia" w:ascii="宋体" w:hAnsi="宋体" w:cs="宋体"/>
                <w:color w:val="auto"/>
                <w:szCs w:val="21"/>
              </w:rPr>
              <w:t>月</w:t>
            </w:r>
            <w:r>
              <w:rPr>
                <w:rFonts w:hint="eastAsia" w:ascii="宋体" w:hAnsi="宋体" w:cs="宋体"/>
                <w:color w:val="auto"/>
                <w:szCs w:val="21"/>
                <w:lang w:val="en-US" w:eastAsia="zh-CN"/>
              </w:rPr>
              <w:t>9</w:t>
            </w:r>
            <w:r>
              <w:rPr>
                <w:rFonts w:hint="eastAsia" w:ascii="宋体" w:hAnsi="宋体" w:cs="宋体"/>
                <w:color w:val="auto"/>
                <w:szCs w:val="21"/>
              </w:rPr>
              <w:t>日上午</w:t>
            </w:r>
            <w:r>
              <w:rPr>
                <w:rFonts w:hint="eastAsia" w:ascii="宋体" w:hAnsi="宋体" w:cs="宋体"/>
                <w:color w:val="auto"/>
                <w:szCs w:val="21"/>
                <w:lang w:val="en-US" w:eastAsia="zh-CN"/>
              </w:rPr>
              <w:t>10</w:t>
            </w:r>
            <w:r>
              <w:rPr>
                <w:rFonts w:hint="eastAsia" w:ascii="宋体" w:hAnsi="宋体" w:cs="宋体"/>
                <w:color w:val="auto"/>
                <w:szCs w:val="21"/>
              </w:rPr>
              <w:t xml:space="preserve">时30分前不得开启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6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12</w:t>
            </w:r>
          </w:p>
        </w:tc>
        <w:tc>
          <w:tcPr>
            <w:tcW w:w="934" w:type="dxa"/>
            <w:vAlign w:val="center"/>
          </w:tcPr>
          <w:p>
            <w:pPr>
              <w:spacing w:line="360" w:lineRule="exact"/>
              <w:jc w:val="center"/>
              <w:rPr>
                <w:rFonts w:ascii="宋体" w:hAnsi="宋体" w:cs="宋体"/>
                <w:color w:val="auto"/>
                <w:position w:val="-2"/>
                <w:szCs w:val="21"/>
              </w:rPr>
            </w:pPr>
            <w:r>
              <w:rPr>
                <w:rFonts w:hint="eastAsia" w:ascii="宋体" w:hAnsi="宋体" w:cs="宋体"/>
                <w:color w:val="auto"/>
                <w:szCs w:val="21"/>
              </w:rPr>
              <w:t>20.2</w:t>
            </w:r>
          </w:p>
        </w:tc>
        <w:tc>
          <w:tcPr>
            <w:tcW w:w="1523" w:type="dxa"/>
            <w:vAlign w:val="center"/>
          </w:tcPr>
          <w:p>
            <w:pPr>
              <w:spacing w:line="360" w:lineRule="exact"/>
              <w:jc w:val="center"/>
              <w:rPr>
                <w:rFonts w:ascii="宋体" w:hAnsi="宋体" w:cs="宋体"/>
                <w:color w:val="auto"/>
                <w:position w:val="-2"/>
                <w:szCs w:val="21"/>
              </w:rPr>
            </w:pPr>
            <w:r>
              <w:rPr>
                <w:rFonts w:hint="eastAsia" w:ascii="宋体" w:hAnsi="宋体" w:cs="宋体"/>
                <w:color w:val="auto"/>
                <w:szCs w:val="21"/>
              </w:rPr>
              <w:t>投标文件递交</w:t>
            </w:r>
          </w:p>
        </w:tc>
        <w:tc>
          <w:tcPr>
            <w:tcW w:w="6897" w:type="dxa"/>
            <w:vAlign w:val="center"/>
          </w:tcPr>
          <w:p>
            <w:pPr>
              <w:spacing w:line="360" w:lineRule="exact"/>
              <w:rPr>
                <w:rFonts w:ascii="宋体" w:hAnsi="宋体" w:cs="宋体"/>
                <w:color w:val="auto"/>
                <w:szCs w:val="21"/>
              </w:rPr>
            </w:pPr>
            <w:r>
              <w:rPr>
                <w:rFonts w:hint="eastAsia" w:ascii="宋体" w:hAnsi="宋体" w:cs="宋体"/>
                <w:color w:val="auto"/>
                <w:szCs w:val="21"/>
              </w:rPr>
              <w:t>投标人应于2020年10月9日上午10时00分至10时30分止，将投标文件密封提交至桂林市公共资源交易中心（临桂新区西城中路69号西辅楼四楼）2号开标室，逾期送达的或未送达指定地点的投标文件将予以拒收。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6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13</w:t>
            </w:r>
          </w:p>
        </w:tc>
        <w:tc>
          <w:tcPr>
            <w:tcW w:w="93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21.1</w:t>
            </w:r>
          </w:p>
        </w:tc>
        <w:tc>
          <w:tcPr>
            <w:tcW w:w="152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开标时间及地点</w:t>
            </w:r>
          </w:p>
        </w:tc>
        <w:tc>
          <w:tcPr>
            <w:tcW w:w="6897" w:type="dxa"/>
          </w:tcPr>
          <w:p>
            <w:pPr>
              <w:spacing w:line="360" w:lineRule="exact"/>
              <w:rPr>
                <w:rFonts w:ascii="宋体" w:hAnsi="宋体" w:cs="宋体"/>
                <w:color w:val="auto"/>
                <w:szCs w:val="21"/>
              </w:rPr>
            </w:pPr>
            <w:r>
              <w:rPr>
                <w:rFonts w:hint="eastAsia" w:ascii="宋体" w:hAnsi="宋体" w:cs="宋体"/>
                <w:color w:val="auto"/>
                <w:szCs w:val="21"/>
              </w:rPr>
              <w:t>开标时间：</w:t>
            </w:r>
            <w:r>
              <w:rPr>
                <w:rFonts w:hint="eastAsia" w:ascii="宋体" w:hAnsi="宋体" w:cs="宋体"/>
                <w:color w:val="auto"/>
                <w:szCs w:val="21"/>
                <w:u w:val="single"/>
              </w:rPr>
              <w:t>2020年</w:t>
            </w:r>
            <w:r>
              <w:rPr>
                <w:rFonts w:hint="eastAsia" w:ascii="宋体" w:hAnsi="宋体" w:cs="宋体"/>
                <w:color w:val="auto"/>
                <w:szCs w:val="21"/>
                <w:u w:val="single"/>
                <w:lang w:val="en-US" w:eastAsia="zh-CN"/>
              </w:rPr>
              <w:t>10</w:t>
            </w:r>
            <w:r>
              <w:rPr>
                <w:rFonts w:hint="eastAsia" w:ascii="宋体" w:hAnsi="宋体" w:cs="宋体"/>
                <w:color w:val="auto"/>
                <w:szCs w:val="21"/>
                <w:u w:val="single"/>
              </w:rPr>
              <w:t>月</w:t>
            </w:r>
            <w:r>
              <w:rPr>
                <w:rFonts w:hint="eastAsia" w:ascii="宋体" w:hAnsi="宋体" w:cs="宋体"/>
                <w:color w:val="auto"/>
                <w:szCs w:val="21"/>
                <w:u w:val="single"/>
                <w:lang w:val="en-US" w:eastAsia="zh-CN"/>
              </w:rPr>
              <w:t>9</w:t>
            </w:r>
            <w:r>
              <w:rPr>
                <w:rFonts w:hint="eastAsia" w:ascii="宋体" w:hAnsi="宋体" w:cs="宋体"/>
                <w:color w:val="auto"/>
                <w:szCs w:val="21"/>
                <w:u w:val="single"/>
              </w:rPr>
              <w:t>日上午</w:t>
            </w:r>
            <w:r>
              <w:rPr>
                <w:rFonts w:hint="eastAsia" w:ascii="宋体" w:hAnsi="宋体" w:cs="宋体"/>
                <w:color w:val="auto"/>
                <w:szCs w:val="21"/>
                <w:u w:val="single"/>
                <w:lang w:val="en-US" w:eastAsia="zh-CN"/>
              </w:rPr>
              <w:t>10</w:t>
            </w:r>
            <w:r>
              <w:rPr>
                <w:rFonts w:hint="eastAsia" w:ascii="宋体" w:hAnsi="宋体" w:cs="宋体"/>
                <w:color w:val="auto"/>
                <w:szCs w:val="21"/>
                <w:u w:val="single"/>
              </w:rPr>
              <w:t>时30分；</w:t>
            </w:r>
            <w:r>
              <w:rPr>
                <w:rFonts w:hint="eastAsia" w:ascii="宋体" w:hAnsi="宋体" w:cs="宋体"/>
                <w:color w:val="auto"/>
                <w:szCs w:val="21"/>
              </w:rPr>
              <w:t>开标地点：</w:t>
            </w:r>
            <w:r>
              <w:rPr>
                <w:rFonts w:hint="eastAsia" w:ascii="宋体" w:hAnsi="宋体" w:cs="宋体"/>
                <w:color w:val="auto"/>
                <w:szCs w:val="21"/>
                <w:u w:val="single"/>
              </w:rPr>
              <w:t>桂林市公共资源交易中心（临桂新区西城中路69号西辅楼四楼）</w:t>
            </w:r>
            <w:r>
              <w:rPr>
                <w:rFonts w:hint="eastAsia" w:ascii="宋体" w:hAnsi="宋体" w:cs="宋体"/>
                <w:color w:val="auto"/>
                <w:szCs w:val="21"/>
                <w:u w:val="single"/>
                <w:lang w:val="en-US" w:eastAsia="zh-CN"/>
              </w:rPr>
              <w:t>2</w:t>
            </w:r>
            <w:r>
              <w:rPr>
                <w:rFonts w:hint="eastAsia" w:ascii="宋体" w:hAnsi="宋体" w:cs="宋体"/>
                <w:color w:val="auto"/>
                <w:szCs w:val="21"/>
                <w:u w:val="single"/>
              </w:rPr>
              <w:t>号开标室</w:t>
            </w:r>
            <w:r>
              <w:rPr>
                <w:rFonts w:hint="eastAsia" w:ascii="宋体" w:hAnsi="宋体" w:cs="宋体"/>
                <w:color w:val="auto"/>
                <w:szCs w:val="21"/>
              </w:rPr>
              <w:t>；采购代理机构按以上规定的开标时间和地点进行公开开标，投标人准时参加开标会并签字，如未按时签字的，视同放弃开标监督权利，认可开标结果。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6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14</w:t>
            </w:r>
          </w:p>
        </w:tc>
        <w:tc>
          <w:tcPr>
            <w:tcW w:w="93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24</w:t>
            </w:r>
          </w:p>
        </w:tc>
        <w:tc>
          <w:tcPr>
            <w:tcW w:w="152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评标委员会组成</w:t>
            </w:r>
          </w:p>
        </w:tc>
        <w:tc>
          <w:tcPr>
            <w:tcW w:w="6897" w:type="dxa"/>
            <w:vAlign w:val="center"/>
          </w:tcPr>
          <w:p>
            <w:pPr>
              <w:spacing w:line="360" w:lineRule="exact"/>
              <w:rPr>
                <w:rFonts w:ascii="宋体" w:hAnsi="宋体" w:cs="宋体"/>
                <w:color w:val="auto"/>
                <w:szCs w:val="21"/>
              </w:rPr>
            </w:pPr>
            <w:r>
              <w:rPr>
                <w:rFonts w:hint="eastAsia" w:ascii="宋体" w:hAnsi="宋体" w:cs="宋体"/>
                <w:color w:val="auto"/>
                <w:szCs w:val="21"/>
              </w:rPr>
              <w:t>评标委员会由采购人代表和有关技术、经济等方面的专家组成，成员人</w:t>
            </w:r>
            <w:r>
              <w:rPr>
                <w:rFonts w:hint="eastAsia" w:ascii="宋体" w:hAnsi="宋体" w:cs="宋体"/>
                <w:color w:val="auto"/>
                <w:szCs w:val="21"/>
                <w:u w:val="single"/>
              </w:rPr>
              <w:t>数共</w:t>
            </w:r>
            <w:r>
              <w:rPr>
                <w:rFonts w:hint="eastAsia" w:ascii="宋体" w:hAnsi="宋体" w:cs="宋体"/>
                <w:color w:val="auto"/>
                <w:szCs w:val="21"/>
                <w:u w:val="single"/>
                <w:lang w:val="en-US" w:eastAsia="zh-CN"/>
              </w:rPr>
              <w:t>5</w:t>
            </w:r>
            <w:r>
              <w:rPr>
                <w:rFonts w:hint="eastAsia" w:ascii="宋体" w:hAnsi="宋体" w:cs="宋体"/>
                <w:color w:val="auto"/>
                <w:szCs w:val="21"/>
                <w:u w:val="single"/>
              </w:rPr>
              <w:t>人，其中采购人代表</w:t>
            </w:r>
            <w:r>
              <w:rPr>
                <w:rFonts w:hint="eastAsia" w:ascii="宋体" w:hAnsi="宋体" w:cs="宋体"/>
                <w:color w:val="auto"/>
                <w:szCs w:val="21"/>
                <w:u w:val="single"/>
                <w:lang w:val="en-US" w:eastAsia="zh-CN"/>
              </w:rPr>
              <w:t>0</w:t>
            </w:r>
            <w:r>
              <w:rPr>
                <w:rFonts w:hint="eastAsia" w:ascii="宋体" w:hAnsi="宋体" w:cs="宋体"/>
                <w:color w:val="auto"/>
                <w:szCs w:val="21"/>
                <w:u w:val="single"/>
              </w:rPr>
              <w:t xml:space="preserve">人，技术、经济等专家 </w:t>
            </w:r>
            <w:r>
              <w:rPr>
                <w:rFonts w:hint="eastAsia" w:ascii="宋体" w:hAnsi="宋体" w:cs="宋体"/>
                <w:color w:val="auto"/>
                <w:szCs w:val="21"/>
                <w:u w:val="single"/>
                <w:lang w:val="en-US" w:eastAsia="zh-CN"/>
              </w:rPr>
              <w:t>5</w:t>
            </w:r>
            <w:r>
              <w:rPr>
                <w:rFonts w:hint="eastAsia" w:ascii="宋体" w:hAnsi="宋体" w:cs="宋体"/>
                <w:color w:val="auto"/>
                <w:szCs w:val="21"/>
                <w:u w:val="single"/>
              </w:rPr>
              <w:t>人</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56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15</w:t>
            </w:r>
          </w:p>
        </w:tc>
        <w:tc>
          <w:tcPr>
            <w:tcW w:w="93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25.1</w:t>
            </w:r>
          </w:p>
        </w:tc>
        <w:tc>
          <w:tcPr>
            <w:tcW w:w="152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评标办法</w:t>
            </w:r>
          </w:p>
        </w:tc>
        <w:tc>
          <w:tcPr>
            <w:tcW w:w="6897" w:type="dxa"/>
            <w:vAlign w:val="center"/>
          </w:tcPr>
          <w:p>
            <w:pPr>
              <w:spacing w:line="360" w:lineRule="exact"/>
              <w:rPr>
                <w:rFonts w:ascii="宋体" w:hAnsi="宋体" w:cs="宋体"/>
                <w:color w:val="auto"/>
                <w:szCs w:val="21"/>
              </w:rPr>
            </w:pPr>
            <w:r>
              <w:rPr>
                <w:rFonts w:hint="eastAsia" w:ascii="宋体" w:hAnsi="宋体" w:cs="宋体"/>
                <w:color w:val="auto"/>
                <w:szCs w:val="21"/>
              </w:rPr>
              <w:t>综合评分法，具体评标内容及标准详见第四章。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6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16</w:t>
            </w:r>
          </w:p>
        </w:tc>
        <w:tc>
          <w:tcPr>
            <w:tcW w:w="93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32</w:t>
            </w:r>
          </w:p>
        </w:tc>
        <w:tc>
          <w:tcPr>
            <w:tcW w:w="1523" w:type="dxa"/>
            <w:vAlign w:val="center"/>
          </w:tcPr>
          <w:p>
            <w:pPr>
              <w:tabs>
                <w:tab w:val="left" w:pos="1140"/>
              </w:tabs>
              <w:spacing w:line="360" w:lineRule="exact"/>
              <w:jc w:val="center"/>
              <w:rPr>
                <w:rFonts w:ascii="宋体" w:hAnsi="宋体" w:cs="宋体"/>
                <w:color w:val="auto"/>
                <w:szCs w:val="21"/>
              </w:rPr>
            </w:pPr>
            <w:r>
              <w:rPr>
                <w:rFonts w:hint="eastAsia" w:ascii="宋体" w:hAnsi="宋体" w:cs="宋体"/>
                <w:color w:val="auto"/>
                <w:szCs w:val="21"/>
              </w:rPr>
              <w:t>信用查询</w:t>
            </w:r>
          </w:p>
        </w:tc>
        <w:tc>
          <w:tcPr>
            <w:tcW w:w="6897" w:type="dxa"/>
            <w:vAlign w:val="center"/>
          </w:tcPr>
          <w:p>
            <w:pPr>
              <w:autoSpaceDE w:val="0"/>
              <w:autoSpaceDN w:val="0"/>
              <w:snapToGrid w:val="0"/>
              <w:spacing w:line="340" w:lineRule="exact"/>
              <w:textAlignment w:val="bottom"/>
              <w:rPr>
                <w:rFonts w:ascii="宋体" w:hAnsi="宋体" w:cs="宋体"/>
                <w:color w:val="auto"/>
                <w:szCs w:val="21"/>
              </w:rPr>
            </w:pPr>
            <w:r>
              <w:rPr>
                <w:rFonts w:hint="eastAsia" w:ascii="宋体" w:hAnsi="宋体" w:cs="宋体"/>
                <w:color w:val="auto"/>
                <w:szCs w:val="21"/>
              </w:rPr>
              <w:t>根据《关于做好政府采购有关信用主体标识码登记及在政府采购活动中查询使用信用记录有关问题的通知》桂财采〔2016〕37号的通知，由采购代理机构对第一中标候选供应商进行信用查询：</w:t>
            </w:r>
          </w:p>
          <w:p>
            <w:pPr>
              <w:autoSpaceDE w:val="0"/>
              <w:autoSpaceDN w:val="0"/>
              <w:snapToGrid w:val="0"/>
              <w:spacing w:line="340" w:lineRule="exact"/>
              <w:textAlignment w:val="bottom"/>
              <w:rPr>
                <w:rFonts w:ascii="宋体" w:hAnsi="宋体" w:cs="宋体"/>
                <w:color w:val="auto"/>
                <w:szCs w:val="21"/>
              </w:rPr>
            </w:pPr>
            <w:r>
              <w:rPr>
                <w:rFonts w:hint="eastAsia" w:ascii="宋体" w:hAnsi="宋体" w:cs="宋体"/>
                <w:color w:val="auto"/>
                <w:szCs w:val="21"/>
              </w:rPr>
              <w:t>⑴查询渠道：“信用中国”网站(www.creditchina.gov.cn)、中国政府采购网(www.ccgp.gov.cn)等；</w:t>
            </w:r>
          </w:p>
          <w:p>
            <w:pPr>
              <w:autoSpaceDE w:val="0"/>
              <w:autoSpaceDN w:val="0"/>
              <w:snapToGrid w:val="0"/>
              <w:spacing w:line="340" w:lineRule="exact"/>
              <w:textAlignment w:val="bottom"/>
              <w:rPr>
                <w:rFonts w:ascii="宋体" w:hAnsi="宋体" w:cs="宋体"/>
                <w:color w:val="auto"/>
                <w:szCs w:val="21"/>
              </w:rPr>
            </w:pPr>
            <w:r>
              <w:rPr>
                <w:rFonts w:hint="eastAsia" w:ascii="宋体" w:hAnsi="宋体" w:cs="宋体"/>
                <w:color w:val="auto"/>
                <w:szCs w:val="21"/>
              </w:rPr>
              <w:t>⑵查询时间：中标通知书发出前；</w:t>
            </w:r>
          </w:p>
          <w:p>
            <w:pPr>
              <w:autoSpaceDE w:val="0"/>
              <w:autoSpaceDN w:val="0"/>
              <w:snapToGrid w:val="0"/>
              <w:spacing w:line="340" w:lineRule="exact"/>
              <w:textAlignment w:val="bottom"/>
              <w:rPr>
                <w:rFonts w:ascii="宋体" w:hAnsi="宋体" w:cs="宋体"/>
                <w:color w:val="auto"/>
                <w:szCs w:val="21"/>
              </w:rPr>
            </w:pPr>
            <w:r>
              <w:rPr>
                <w:rFonts w:hint="eastAsia" w:ascii="宋体" w:hAnsi="宋体" w:cs="宋体"/>
                <w:color w:val="auto"/>
                <w:szCs w:val="21"/>
              </w:rPr>
              <w:t>⑶信用信息查询记录和证据留存方式：在查询网站中直接打印查询记录，打印材料作为采购活动资料保存；</w:t>
            </w:r>
          </w:p>
          <w:p>
            <w:pPr>
              <w:spacing w:line="340" w:lineRule="exact"/>
              <w:rPr>
                <w:rFonts w:ascii="宋体" w:hAnsi="宋体" w:cs="宋体"/>
                <w:color w:val="auto"/>
                <w:szCs w:val="21"/>
              </w:rPr>
            </w:pPr>
            <w:r>
              <w:rPr>
                <w:rFonts w:hint="eastAsia" w:ascii="宋体" w:hAnsi="宋体" w:cs="宋体"/>
                <w:color w:val="auto"/>
                <w:szCs w:val="21"/>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p>
            <w:pPr>
              <w:spacing w:line="340" w:lineRule="exact"/>
              <w:rPr>
                <w:rFonts w:ascii="宋体" w:hAnsi="宋体" w:cs="宋体"/>
                <w:color w:val="auto"/>
                <w:szCs w:val="21"/>
              </w:rPr>
            </w:pPr>
            <w:r>
              <w:rPr>
                <w:rFonts w:hint="eastAsia" w:ascii="宋体" w:hAnsi="宋体" w:cs="宋体"/>
                <w:color w:val="auto"/>
                <w:szCs w:val="21"/>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6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17</w:t>
            </w:r>
          </w:p>
        </w:tc>
        <w:tc>
          <w:tcPr>
            <w:tcW w:w="93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33</w:t>
            </w:r>
          </w:p>
        </w:tc>
        <w:tc>
          <w:tcPr>
            <w:tcW w:w="152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中标公告及中标通知书</w:t>
            </w:r>
          </w:p>
        </w:tc>
        <w:tc>
          <w:tcPr>
            <w:tcW w:w="6897" w:type="dxa"/>
            <w:vAlign w:val="center"/>
          </w:tcPr>
          <w:p>
            <w:pPr>
              <w:tabs>
                <w:tab w:val="left" w:pos="455"/>
              </w:tabs>
              <w:spacing w:line="360" w:lineRule="exact"/>
              <w:rPr>
                <w:rFonts w:ascii="宋体" w:hAnsi="宋体" w:cs="宋体"/>
                <w:color w:val="auto"/>
                <w:szCs w:val="21"/>
              </w:rPr>
            </w:pPr>
            <w:r>
              <w:rPr>
                <w:rFonts w:hint="eastAsia" w:ascii="宋体" w:hAnsi="宋体" w:cs="宋体"/>
                <w:color w:val="auto"/>
                <w:szCs w:val="21"/>
              </w:rPr>
              <w:t>33.1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1个工作日。</w:t>
            </w:r>
          </w:p>
          <w:p>
            <w:pPr>
              <w:spacing w:line="360" w:lineRule="exact"/>
              <w:rPr>
                <w:rFonts w:ascii="宋体" w:hAnsi="宋体" w:cs="宋体"/>
                <w:color w:val="auto"/>
                <w:szCs w:val="21"/>
              </w:rPr>
            </w:pPr>
            <w:r>
              <w:rPr>
                <w:rFonts w:hint="eastAsia" w:ascii="宋体" w:hAnsi="宋体" w:cs="宋体"/>
                <w:color w:val="auto"/>
                <w:szCs w:val="21"/>
              </w:rPr>
              <w:t>33.2中标公告发布的同时，采购代理机构向中标供应商发出中标通知书，中标供应商应自接到通知之日起七个工作日内，办理中标通知书领取手续。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6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18</w:t>
            </w:r>
          </w:p>
        </w:tc>
        <w:tc>
          <w:tcPr>
            <w:tcW w:w="93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34</w:t>
            </w:r>
          </w:p>
        </w:tc>
        <w:tc>
          <w:tcPr>
            <w:tcW w:w="152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履约保证金</w:t>
            </w:r>
          </w:p>
        </w:tc>
        <w:tc>
          <w:tcPr>
            <w:tcW w:w="6897" w:type="dxa"/>
            <w:vAlign w:val="center"/>
          </w:tcPr>
          <w:p>
            <w:pPr>
              <w:pStyle w:val="17"/>
              <w:spacing w:line="360" w:lineRule="exact"/>
              <w:rPr>
                <w:rFonts w:hAnsi="宋体" w:cs="宋体"/>
                <w:color w:val="auto"/>
                <w:szCs w:val="21"/>
              </w:rPr>
            </w:pPr>
            <w:r>
              <w:rPr>
                <w:rFonts w:hint="eastAsia"/>
                <w:color w:val="auto"/>
                <w:szCs w:val="21"/>
              </w:rPr>
              <w:t>本项目</w:t>
            </w:r>
            <w:r>
              <w:rPr>
                <w:rFonts w:hint="eastAsia"/>
                <w:color w:val="auto"/>
                <w:szCs w:val="21"/>
                <w:lang w:eastAsia="zh-CN"/>
              </w:rPr>
              <w:t>免收</w:t>
            </w:r>
            <w:r>
              <w:rPr>
                <w:rFonts w:hint="eastAsia"/>
                <w:color w:val="auto"/>
                <w:szCs w:val="21"/>
              </w:rPr>
              <w:t>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56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19</w:t>
            </w:r>
          </w:p>
        </w:tc>
        <w:tc>
          <w:tcPr>
            <w:tcW w:w="93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35.1</w:t>
            </w:r>
          </w:p>
        </w:tc>
        <w:tc>
          <w:tcPr>
            <w:tcW w:w="152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签订合同时间</w:t>
            </w:r>
          </w:p>
        </w:tc>
        <w:tc>
          <w:tcPr>
            <w:tcW w:w="6897" w:type="dxa"/>
            <w:vAlign w:val="center"/>
          </w:tcPr>
          <w:p>
            <w:pPr>
              <w:spacing w:line="360" w:lineRule="exact"/>
              <w:rPr>
                <w:rFonts w:ascii="宋体" w:hAnsi="宋体" w:cs="宋体"/>
                <w:color w:val="auto"/>
                <w:szCs w:val="21"/>
              </w:rPr>
            </w:pPr>
            <w:r>
              <w:rPr>
                <w:rFonts w:hint="eastAsia" w:ascii="宋体" w:hAnsi="宋体" w:cs="宋体"/>
                <w:color w:val="auto"/>
                <w:szCs w:val="21"/>
              </w:rPr>
              <w:t>中标通知书发出之日起</w:t>
            </w:r>
            <w:r>
              <w:rPr>
                <w:rFonts w:hint="eastAsia" w:ascii="宋体" w:hAnsi="宋体" w:cs="宋体"/>
                <w:color w:val="auto"/>
                <w:szCs w:val="21"/>
                <w:lang w:eastAsia="zh-CN"/>
              </w:rPr>
              <w:t>七个工作日</w:t>
            </w:r>
            <w:r>
              <w:rPr>
                <w:rFonts w:hint="eastAsia" w:ascii="宋体" w:hAnsi="宋体" w:cs="宋体"/>
                <w:color w:val="auto"/>
                <w:szCs w:val="21"/>
              </w:rPr>
              <w:t>内。中标供应商领取中标通知书后，应按规定与采购人签订合同。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6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20</w:t>
            </w:r>
          </w:p>
        </w:tc>
        <w:tc>
          <w:tcPr>
            <w:tcW w:w="93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35.4</w:t>
            </w:r>
          </w:p>
        </w:tc>
        <w:tc>
          <w:tcPr>
            <w:tcW w:w="152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合同备案存档</w:t>
            </w:r>
          </w:p>
        </w:tc>
        <w:tc>
          <w:tcPr>
            <w:tcW w:w="6897" w:type="dxa"/>
            <w:vAlign w:val="center"/>
          </w:tcPr>
          <w:p>
            <w:pPr>
              <w:spacing w:line="360" w:lineRule="exact"/>
              <w:rPr>
                <w:rFonts w:ascii="宋体" w:hAnsi="宋体" w:cs="宋体"/>
                <w:color w:val="auto"/>
                <w:szCs w:val="21"/>
              </w:rPr>
            </w:pPr>
            <w:r>
              <w:rPr>
                <w:rFonts w:hint="eastAsia" w:ascii="宋体" w:hAnsi="宋体" w:cs="宋体"/>
                <w:color w:val="auto"/>
                <w:szCs w:val="21"/>
              </w:rPr>
              <w:t>政府采购合同双方自签订之日起一个工作日内将合同原件一份交采购代理机构，</w:t>
            </w:r>
            <w:r>
              <w:rPr>
                <w:rFonts w:hint="eastAsia" w:ascii="宋体" w:hAnsi="宋体" w:cs="宋体"/>
                <w:color w:val="auto"/>
                <w:szCs w:val="21"/>
                <w:lang w:val="en-US" w:eastAsia="zh-CN"/>
              </w:rPr>
              <w:t>采购人</w:t>
            </w:r>
            <w:r>
              <w:rPr>
                <w:rFonts w:hint="eastAsia" w:ascii="宋体" w:hAnsi="宋体" w:cs="宋体"/>
                <w:color w:val="auto"/>
                <w:szCs w:val="21"/>
              </w:rPr>
              <w:t>于合同签订之日起七个工作日内将一份合同原件送本级财政部门备案。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56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21</w:t>
            </w:r>
          </w:p>
        </w:tc>
        <w:tc>
          <w:tcPr>
            <w:tcW w:w="93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36</w:t>
            </w:r>
          </w:p>
        </w:tc>
        <w:tc>
          <w:tcPr>
            <w:tcW w:w="152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招标代理服务费</w:t>
            </w:r>
          </w:p>
        </w:tc>
        <w:tc>
          <w:tcPr>
            <w:tcW w:w="6897" w:type="dxa"/>
            <w:vAlign w:val="center"/>
          </w:tcPr>
          <w:p>
            <w:pPr>
              <w:spacing w:line="360" w:lineRule="exact"/>
              <w:rPr>
                <w:rFonts w:ascii="宋体" w:hAnsi="宋体" w:cs="宋体"/>
                <w:color w:val="auto"/>
                <w:szCs w:val="21"/>
              </w:rPr>
            </w:pPr>
            <w:r>
              <w:rPr>
                <w:rFonts w:hint="eastAsia" w:ascii="宋体" w:hAnsi="宋体" w:cs="宋体"/>
                <w:color w:val="auto"/>
                <w:szCs w:val="21"/>
              </w:rPr>
              <w:t>本项目免收代理服务费。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56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22</w:t>
            </w:r>
          </w:p>
        </w:tc>
        <w:tc>
          <w:tcPr>
            <w:tcW w:w="93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37</w:t>
            </w:r>
          </w:p>
        </w:tc>
        <w:tc>
          <w:tcPr>
            <w:tcW w:w="152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解释权</w:t>
            </w:r>
          </w:p>
        </w:tc>
        <w:tc>
          <w:tcPr>
            <w:tcW w:w="6897" w:type="dxa"/>
            <w:vAlign w:val="center"/>
          </w:tcPr>
          <w:p>
            <w:pPr>
              <w:spacing w:line="360" w:lineRule="exact"/>
              <w:rPr>
                <w:rFonts w:ascii="宋体" w:hAnsi="宋体" w:cs="宋体"/>
                <w:color w:val="auto"/>
                <w:szCs w:val="21"/>
              </w:rPr>
            </w:pPr>
            <w:r>
              <w:rPr>
                <w:rFonts w:hint="eastAsia" w:ascii="宋体" w:hAnsi="宋体" w:cs="宋体"/>
                <w:color w:val="auto"/>
                <w:szCs w:val="21"/>
              </w:rPr>
              <w:t>本招标文件是根据《中华人民共和国政府采购法》、《中华人民共和国政府采购法实施条例》及</w:t>
            </w:r>
            <w:r>
              <w:rPr>
                <w:rStyle w:val="111"/>
                <w:rFonts w:hint="eastAsia" w:ascii="宋体" w:hAnsi="宋体" w:cs="宋体"/>
                <w:color w:val="auto"/>
                <w:szCs w:val="21"/>
              </w:rPr>
              <w:t>财政部令第87号</w:t>
            </w:r>
            <w:r>
              <w:rPr>
                <w:rFonts w:hint="eastAsia" w:ascii="宋体" w:hAnsi="宋体" w:cs="宋体"/>
                <w:color w:val="auto"/>
                <w:szCs w:val="21"/>
              </w:rPr>
              <w:t>《政府采购货物和服务招标投标管理办法》等相关规定编制，本招标文件的解释权属于桂林市政府集中采购中心。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56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23</w:t>
            </w:r>
          </w:p>
        </w:tc>
        <w:tc>
          <w:tcPr>
            <w:tcW w:w="93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38</w:t>
            </w:r>
          </w:p>
        </w:tc>
        <w:tc>
          <w:tcPr>
            <w:tcW w:w="1523" w:type="dxa"/>
            <w:vAlign w:val="center"/>
          </w:tcPr>
          <w:p>
            <w:pPr>
              <w:spacing w:line="360" w:lineRule="exact"/>
              <w:jc w:val="center"/>
              <w:rPr>
                <w:rFonts w:ascii="宋体" w:hAnsi="宋体" w:cs="宋体"/>
                <w:color w:val="auto"/>
                <w:position w:val="10"/>
                <w:szCs w:val="21"/>
              </w:rPr>
            </w:pPr>
            <w:r>
              <w:rPr>
                <w:rFonts w:hint="eastAsia" w:ascii="宋体" w:hAnsi="宋体" w:cs="宋体"/>
                <w:color w:val="auto"/>
                <w:szCs w:val="21"/>
              </w:rPr>
              <w:t>监督管理机构</w:t>
            </w:r>
          </w:p>
        </w:tc>
        <w:tc>
          <w:tcPr>
            <w:tcW w:w="6897" w:type="dxa"/>
            <w:vAlign w:val="center"/>
          </w:tcPr>
          <w:p>
            <w:pPr>
              <w:spacing w:line="360" w:lineRule="exact"/>
              <w:rPr>
                <w:rFonts w:hint="eastAsia" w:ascii="宋体" w:hAnsi="宋体" w:eastAsia="宋体" w:cs="宋体"/>
                <w:color w:val="auto"/>
                <w:szCs w:val="21"/>
                <w:lang w:eastAsia="zh-CN"/>
              </w:rPr>
            </w:pPr>
            <w:r>
              <w:rPr>
                <w:rFonts w:hint="eastAsia" w:ascii="宋体" w:hAnsi="宋体" w:cs="宋体"/>
                <w:color w:val="auto"/>
                <w:szCs w:val="21"/>
                <w:lang w:eastAsia="zh-CN"/>
              </w:rPr>
              <w:t>桂林市临桂区政府采购监督管理股</w:t>
            </w:r>
            <w:r>
              <w:rPr>
                <w:rFonts w:hint="eastAsia" w:ascii="宋体" w:hAnsi="宋体" w:cs="宋体"/>
                <w:color w:val="auto"/>
                <w:szCs w:val="21"/>
              </w:rPr>
              <w:t xml:space="preserve">     电话：0773-5593932</w:t>
            </w:r>
          </w:p>
        </w:tc>
      </w:tr>
    </w:tbl>
    <w:p>
      <w:pPr>
        <w:spacing w:line="360" w:lineRule="auto"/>
        <w:jc w:val="center"/>
        <w:outlineLvl w:val="1"/>
        <w:rPr>
          <w:rFonts w:ascii="宋体" w:hAnsi="宋体" w:cs="宋体"/>
          <w:b/>
          <w:color w:val="auto"/>
          <w:sz w:val="28"/>
          <w:szCs w:val="28"/>
        </w:rPr>
      </w:pPr>
      <w:bookmarkStart w:id="39" w:name="_Toc3679"/>
      <w:bookmarkStart w:id="40" w:name="_Toc495841754"/>
      <w:r>
        <w:rPr>
          <w:rFonts w:hint="eastAsia" w:ascii="宋体" w:hAnsi="宋体" w:cs="宋体"/>
          <w:b/>
          <w:color w:val="auto"/>
          <w:sz w:val="28"/>
          <w:szCs w:val="28"/>
        </w:rPr>
        <w:br w:type="page"/>
      </w:r>
      <w:bookmarkStart w:id="41" w:name="_Toc32"/>
      <w:r>
        <w:rPr>
          <w:rFonts w:hint="eastAsia" w:ascii="宋体" w:hAnsi="宋体" w:cs="宋体"/>
          <w:b/>
          <w:color w:val="auto"/>
          <w:sz w:val="28"/>
          <w:szCs w:val="28"/>
        </w:rPr>
        <w:t>一、总则</w:t>
      </w:r>
      <w:bookmarkEnd w:id="39"/>
      <w:bookmarkEnd w:id="40"/>
      <w:bookmarkEnd w:id="41"/>
    </w:p>
    <w:p>
      <w:pPr>
        <w:spacing w:line="400" w:lineRule="exact"/>
        <w:ind w:firstLine="413" w:firstLineChars="196"/>
        <w:outlineLvl w:val="2"/>
        <w:rPr>
          <w:rFonts w:ascii="宋体" w:hAnsi="宋体" w:cs="宋体"/>
          <w:b/>
          <w:color w:val="auto"/>
          <w:szCs w:val="21"/>
        </w:rPr>
      </w:pPr>
      <w:bookmarkStart w:id="42" w:name="_Toc23807"/>
      <w:bookmarkStart w:id="43" w:name="_Toc25870"/>
      <w:r>
        <w:rPr>
          <w:rFonts w:hint="eastAsia" w:ascii="宋体" w:hAnsi="宋体" w:cs="宋体"/>
          <w:b/>
          <w:color w:val="auto"/>
          <w:szCs w:val="21"/>
        </w:rPr>
        <w:t>1. 项目名称及项目编号</w:t>
      </w:r>
      <w:bookmarkEnd w:id="42"/>
      <w:bookmarkEnd w:id="43"/>
    </w:p>
    <w:p>
      <w:pPr>
        <w:spacing w:line="400" w:lineRule="exact"/>
        <w:ind w:firstLine="420" w:firstLineChars="200"/>
        <w:rPr>
          <w:rFonts w:ascii="宋体" w:hAnsi="宋体" w:cs="宋体"/>
          <w:color w:val="auto"/>
          <w:szCs w:val="21"/>
        </w:rPr>
      </w:pPr>
      <w:r>
        <w:rPr>
          <w:rFonts w:hint="eastAsia" w:ascii="宋体" w:hAnsi="宋体" w:cs="宋体"/>
          <w:color w:val="auto"/>
          <w:szCs w:val="21"/>
        </w:rPr>
        <w:t xml:space="preserve">项目名称：临桂区2020年中小学班班通多媒体设备采购 </w:t>
      </w:r>
    </w:p>
    <w:p>
      <w:pPr>
        <w:spacing w:line="400" w:lineRule="exact"/>
        <w:ind w:firstLine="420" w:firstLineChars="200"/>
        <w:rPr>
          <w:rFonts w:ascii="宋体" w:hAnsi="宋体" w:cs="宋体"/>
          <w:color w:val="auto"/>
          <w:spacing w:val="-6"/>
          <w:kern w:val="0"/>
          <w:szCs w:val="21"/>
        </w:rPr>
      </w:pPr>
      <w:r>
        <w:rPr>
          <w:rFonts w:hint="eastAsia" w:ascii="宋体" w:hAnsi="宋体" w:cs="宋体"/>
          <w:color w:val="auto"/>
          <w:szCs w:val="21"/>
        </w:rPr>
        <w:t>项目编号：GLZC2020-G1-120018-JCZX</w:t>
      </w:r>
    </w:p>
    <w:p>
      <w:pPr>
        <w:spacing w:line="400" w:lineRule="exact"/>
        <w:ind w:firstLine="413" w:firstLineChars="196"/>
        <w:outlineLvl w:val="2"/>
        <w:rPr>
          <w:rFonts w:ascii="宋体" w:hAnsi="宋体" w:cs="宋体"/>
          <w:b/>
          <w:color w:val="auto"/>
          <w:szCs w:val="21"/>
        </w:rPr>
      </w:pPr>
      <w:bookmarkStart w:id="44" w:name="_Toc32503"/>
      <w:bookmarkStart w:id="45" w:name="_Toc340"/>
      <w:r>
        <w:rPr>
          <w:rFonts w:hint="eastAsia" w:ascii="宋体" w:hAnsi="宋体" w:cs="宋体"/>
          <w:b/>
          <w:color w:val="auto"/>
          <w:szCs w:val="21"/>
        </w:rPr>
        <w:t>2. 适应范围</w:t>
      </w:r>
      <w:bookmarkEnd w:id="44"/>
      <w:bookmarkEnd w:id="45"/>
    </w:p>
    <w:p>
      <w:pPr>
        <w:spacing w:line="400" w:lineRule="exact"/>
        <w:ind w:firstLine="420" w:firstLineChars="200"/>
        <w:rPr>
          <w:rFonts w:ascii="宋体" w:hAnsi="宋体" w:cs="宋体"/>
          <w:color w:val="auto"/>
          <w:szCs w:val="21"/>
        </w:rPr>
      </w:pPr>
      <w:r>
        <w:rPr>
          <w:rFonts w:hint="eastAsia" w:ascii="宋体" w:hAnsi="宋体" w:cs="宋体"/>
          <w:color w:val="auto"/>
          <w:szCs w:val="21"/>
        </w:rPr>
        <w:t>本招标文件适用本招标采购项目的招标、投标、评标、合同履约、验收、付款等行为（法律、法规另有规定的，从其规定）。</w:t>
      </w:r>
    </w:p>
    <w:p>
      <w:pPr>
        <w:spacing w:line="400" w:lineRule="exact"/>
        <w:ind w:firstLine="413" w:firstLineChars="196"/>
        <w:outlineLvl w:val="2"/>
        <w:rPr>
          <w:rFonts w:ascii="宋体" w:hAnsi="宋体" w:cs="宋体"/>
          <w:b/>
          <w:color w:val="auto"/>
          <w:szCs w:val="21"/>
        </w:rPr>
      </w:pPr>
      <w:bookmarkStart w:id="46" w:name="_Toc1895"/>
      <w:bookmarkStart w:id="47" w:name="_Toc17360"/>
      <w:r>
        <w:rPr>
          <w:rFonts w:hint="eastAsia" w:ascii="宋体" w:hAnsi="宋体" w:cs="宋体"/>
          <w:b/>
          <w:color w:val="auto"/>
          <w:szCs w:val="21"/>
        </w:rPr>
        <w:t>3. 定义</w:t>
      </w:r>
      <w:bookmarkEnd w:id="46"/>
      <w:bookmarkEnd w:id="47"/>
    </w:p>
    <w:p>
      <w:pPr>
        <w:spacing w:line="400" w:lineRule="exact"/>
        <w:ind w:firstLine="435"/>
        <w:rPr>
          <w:rFonts w:ascii="宋体" w:hAnsi="宋体" w:cs="宋体"/>
          <w:color w:val="auto"/>
          <w:szCs w:val="21"/>
        </w:rPr>
      </w:pPr>
      <w:r>
        <w:rPr>
          <w:rFonts w:hint="eastAsia" w:ascii="宋体" w:hAnsi="宋体" w:cs="宋体"/>
          <w:color w:val="auto"/>
          <w:szCs w:val="21"/>
        </w:rPr>
        <w:t>3.1“投标人”系指响应招标、参加投标竞争的法人、其他组织或者自然人。</w:t>
      </w:r>
    </w:p>
    <w:p>
      <w:pPr>
        <w:spacing w:line="400" w:lineRule="exact"/>
        <w:ind w:firstLine="435"/>
        <w:rPr>
          <w:rFonts w:ascii="宋体" w:hAnsi="宋体" w:cs="宋体"/>
          <w:color w:val="auto"/>
          <w:szCs w:val="21"/>
        </w:rPr>
      </w:pPr>
      <w:r>
        <w:rPr>
          <w:rFonts w:hint="eastAsia" w:ascii="宋体" w:hAnsi="宋体" w:cs="宋体"/>
          <w:color w:val="auto"/>
          <w:szCs w:val="21"/>
        </w:rPr>
        <w:t>3.2“货物”系指按招标文件规定，投标人须向采购人提供的一切设备、保险、税金、备品备件、工具、手册及其它有关技术资料和材料。</w:t>
      </w:r>
    </w:p>
    <w:p>
      <w:pPr>
        <w:spacing w:line="400" w:lineRule="exact"/>
        <w:ind w:firstLine="435"/>
        <w:rPr>
          <w:rFonts w:ascii="宋体" w:hAnsi="宋体" w:cs="宋体"/>
          <w:color w:val="auto"/>
          <w:szCs w:val="21"/>
        </w:rPr>
      </w:pPr>
      <w:r>
        <w:rPr>
          <w:rFonts w:hint="eastAsia" w:ascii="宋体" w:hAnsi="宋体" w:cs="宋体"/>
          <w:color w:val="auto"/>
          <w:szCs w:val="21"/>
        </w:rPr>
        <w:t>3.3“服务”系指按招标文件规定，投标人须承担的安装、调试、技术协助、校准、培训、技术指导以及其他类似的义务。</w:t>
      </w:r>
    </w:p>
    <w:p>
      <w:pPr>
        <w:spacing w:line="400" w:lineRule="exact"/>
        <w:ind w:firstLine="435"/>
        <w:rPr>
          <w:rFonts w:ascii="宋体" w:hAnsi="宋体" w:cs="宋体"/>
          <w:color w:val="auto"/>
          <w:szCs w:val="21"/>
        </w:rPr>
      </w:pPr>
      <w:r>
        <w:rPr>
          <w:rFonts w:hint="eastAsia" w:ascii="宋体" w:hAnsi="宋体" w:cs="宋体"/>
          <w:color w:val="auto"/>
          <w:szCs w:val="21"/>
        </w:rPr>
        <w:t>3.4“项目”系指投标人按招标文件规定向采购人提供的货物和服务。</w:t>
      </w:r>
    </w:p>
    <w:p>
      <w:pPr>
        <w:spacing w:line="400" w:lineRule="exact"/>
        <w:ind w:firstLine="435"/>
        <w:rPr>
          <w:rFonts w:ascii="宋体" w:hAnsi="宋体" w:cs="宋体"/>
          <w:color w:val="auto"/>
          <w:szCs w:val="21"/>
        </w:rPr>
      </w:pPr>
      <w:r>
        <w:rPr>
          <w:rFonts w:hint="eastAsia" w:ascii="宋体" w:hAnsi="宋体" w:cs="宋体"/>
          <w:color w:val="auto"/>
          <w:szCs w:val="21"/>
        </w:rPr>
        <w:t>3.5“书面形式”包括信函、传真、电报</w:t>
      </w:r>
      <w:r>
        <w:rPr>
          <w:rFonts w:hint="eastAsia" w:ascii="宋体" w:hAnsi="宋体" w:cs="宋体"/>
          <w:color w:val="auto"/>
          <w:szCs w:val="21"/>
          <w:lang w:eastAsia="zh-CN"/>
        </w:rPr>
        <w:t>等</w:t>
      </w:r>
      <w:r>
        <w:rPr>
          <w:rFonts w:hint="eastAsia" w:ascii="宋体" w:hAnsi="宋体" w:cs="宋体"/>
          <w:color w:val="auto"/>
          <w:szCs w:val="21"/>
        </w:rPr>
        <w:t>。</w:t>
      </w:r>
    </w:p>
    <w:p>
      <w:pPr>
        <w:spacing w:line="400" w:lineRule="exact"/>
        <w:ind w:firstLine="435"/>
        <w:rPr>
          <w:rFonts w:ascii="宋体" w:hAnsi="宋体" w:cs="宋体"/>
          <w:b/>
          <w:color w:val="auto"/>
          <w:szCs w:val="21"/>
        </w:rPr>
      </w:pPr>
      <w:r>
        <w:rPr>
          <w:rFonts w:hint="eastAsia" w:ascii="宋体" w:hAnsi="宋体" w:cs="宋体"/>
          <w:b/>
          <w:color w:val="auto"/>
          <w:szCs w:val="21"/>
        </w:rPr>
        <w:t>3.6实质性要求：标注★号项的要求为实质性要求，不允许负偏离，否则投标无效。</w:t>
      </w:r>
    </w:p>
    <w:p>
      <w:pPr>
        <w:spacing w:line="400" w:lineRule="exact"/>
        <w:ind w:firstLine="413" w:firstLineChars="196"/>
        <w:outlineLvl w:val="2"/>
        <w:rPr>
          <w:rFonts w:ascii="宋体" w:hAnsi="宋体" w:cs="宋体"/>
          <w:b/>
          <w:color w:val="auto"/>
          <w:szCs w:val="21"/>
        </w:rPr>
      </w:pPr>
      <w:bookmarkStart w:id="48" w:name="_Toc28906"/>
      <w:bookmarkStart w:id="49" w:name="_Toc14198"/>
      <w:r>
        <w:rPr>
          <w:rFonts w:hint="eastAsia" w:ascii="宋体" w:hAnsi="宋体" w:cs="宋体"/>
          <w:b/>
          <w:color w:val="auto"/>
          <w:szCs w:val="21"/>
        </w:rPr>
        <w:t>4. 招标方式、评分办法</w:t>
      </w:r>
      <w:bookmarkEnd w:id="48"/>
      <w:bookmarkEnd w:id="49"/>
    </w:p>
    <w:p>
      <w:pPr>
        <w:spacing w:line="400" w:lineRule="exact"/>
        <w:ind w:firstLine="435"/>
        <w:rPr>
          <w:rFonts w:ascii="宋体" w:hAnsi="宋体" w:cs="宋体"/>
          <w:color w:val="auto"/>
          <w:szCs w:val="21"/>
        </w:rPr>
      </w:pPr>
      <w:r>
        <w:rPr>
          <w:rFonts w:hint="eastAsia" w:ascii="宋体" w:hAnsi="宋体" w:cs="宋体"/>
          <w:color w:val="auto"/>
          <w:szCs w:val="21"/>
        </w:rPr>
        <w:t>公开招标、综合评分法</w:t>
      </w:r>
    </w:p>
    <w:p>
      <w:pPr>
        <w:spacing w:line="400" w:lineRule="exact"/>
        <w:ind w:firstLine="413" w:firstLineChars="196"/>
        <w:outlineLvl w:val="2"/>
        <w:rPr>
          <w:rFonts w:ascii="宋体" w:hAnsi="宋体" w:cs="宋体"/>
          <w:b/>
          <w:color w:val="auto"/>
          <w:szCs w:val="21"/>
        </w:rPr>
      </w:pPr>
      <w:bookmarkStart w:id="50" w:name="_Toc598"/>
      <w:bookmarkStart w:id="51" w:name="_Toc26663"/>
      <w:r>
        <w:rPr>
          <w:rFonts w:hint="eastAsia" w:ascii="宋体" w:hAnsi="宋体" w:cs="宋体"/>
          <w:b/>
          <w:color w:val="auto"/>
          <w:szCs w:val="21"/>
        </w:rPr>
        <w:t>5. 投标人资格</w:t>
      </w:r>
      <w:bookmarkEnd w:id="50"/>
      <w:bookmarkEnd w:id="51"/>
    </w:p>
    <w:p>
      <w:pPr>
        <w:spacing w:line="400" w:lineRule="exact"/>
        <w:ind w:firstLine="435"/>
        <w:rPr>
          <w:rFonts w:ascii="宋体" w:hAnsi="宋体" w:cs="宋体"/>
          <w:color w:val="auto"/>
          <w:szCs w:val="21"/>
        </w:rPr>
      </w:pPr>
      <w:r>
        <w:rPr>
          <w:rFonts w:hint="eastAsia" w:ascii="宋体" w:hAnsi="宋体" w:cs="宋体"/>
          <w:color w:val="auto"/>
          <w:szCs w:val="21"/>
        </w:rPr>
        <w:t>5.1符合《中华人民共和国政府采购法》第二十二条和《政府采购法实施条例》第十八条规定，并且在国内注册或登记、具备合法资格，提供本次采购货物或服务的供应商。</w:t>
      </w:r>
    </w:p>
    <w:p>
      <w:pPr>
        <w:spacing w:line="400" w:lineRule="exact"/>
        <w:ind w:firstLine="435"/>
        <w:rPr>
          <w:rFonts w:ascii="宋体" w:hAnsi="宋体" w:cs="宋体"/>
          <w:color w:val="auto"/>
          <w:szCs w:val="21"/>
        </w:rPr>
      </w:pPr>
      <w:r>
        <w:rPr>
          <w:rFonts w:hint="eastAsia" w:ascii="宋体" w:hAnsi="宋体" w:cs="宋体"/>
          <w:color w:val="auto"/>
          <w:szCs w:val="21"/>
        </w:rPr>
        <w:t>5.2 本项目不接受联合体投标。</w:t>
      </w:r>
    </w:p>
    <w:p>
      <w:pPr>
        <w:spacing w:line="400" w:lineRule="exact"/>
        <w:ind w:firstLine="435"/>
        <w:rPr>
          <w:rFonts w:hint="eastAsia" w:ascii="宋体" w:hAnsi="宋体" w:cs="宋体"/>
          <w:color w:val="auto"/>
          <w:szCs w:val="21"/>
        </w:rPr>
      </w:pPr>
      <w:r>
        <w:rPr>
          <w:rFonts w:hint="eastAsia" w:ascii="宋体" w:hAnsi="宋体" w:cs="宋体"/>
          <w:color w:val="auto"/>
          <w:szCs w:val="21"/>
        </w:rPr>
        <w:t>5.3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400" w:lineRule="exact"/>
        <w:ind w:firstLine="435"/>
        <w:rPr>
          <w:color w:val="auto"/>
        </w:rPr>
      </w:pPr>
      <w:r>
        <w:rPr>
          <w:rFonts w:hint="eastAsia" w:ascii="宋体" w:hAnsi="宋体" w:cs="宋体"/>
          <w:color w:val="auto"/>
          <w:szCs w:val="21"/>
          <w:lang w:val="en-US" w:eastAsia="zh-CN"/>
        </w:rPr>
        <w:t>5.4</w:t>
      </w:r>
      <w:r>
        <w:rPr>
          <w:rFonts w:hint="eastAsia" w:ascii="宋体" w:hAnsi="宋体" w:cs="宋体"/>
          <w:bCs/>
          <w:color w:val="auto"/>
          <w:szCs w:val="21"/>
          <w:lang w:val="en-US" w:eastAsia="zh-CN"/>
        </w:rPr>
        <w:t>本项目的特定资格要求：无。</w:t>
      </w:r>
    </w:p>
    <w:p>
      <w:pPr>
        <w:spacing w:line="400" w:lineRule="exact"/>
        <w:ind w:firstLine="413" w:firstLineChars="196"/>
        <w:outlineLvl w:val="2"/>
        <w:rPr>
          <w:rFonts w:ascii="宋体" w:hAnsi="宋体" w:cs="宋体"/>
          <w:b/>
          <w:color w:val="auto"/>
          <w:szCs w:val="21"/>
        </w:rPr>
      </w:pPr>
      <w:bookmarkStart w:id="52" w:name="_Toc24742"/>
      <w:bookmarkStart w:id="53" w:name="_Toc31896"/>
      <w:r>
        <w:rPr>
          <w:rFonts w:hint="eastAsia" w:ascii="宋体" w:hAnsi="宋体" w:cs="宋体"/>
          <w:b/>
          <w:color w:val="auto"/>
          <w:szCs w:val="21"/>
        </w:rPr>
        <w:t>6. 投标费用</w:t>
      </w:r>
      <w:bookmarkEnd w:id="52"/>
      <w:bookmarkEnd w:id="53"/>
    </w:p>
    <w:p>
      <w:pPr>
        <w:spacing w:line="400" w:lineRule="exact"/>
        <w:ind w:firstLine="435"/>
        <w:rPr>
          <w:rFonts w:ascii="宋体" w:hAnsi="宋体" w:cs="宋体"/>
          <w:b/>
          <w:color w:val="auto"/>
          <w:szCs w:val="21"/>
        </w:rPr>
      </w:pPr>
      <w:r>
        <w:rPr>
          <w:rFonts w:hint="eastAsia" w:ascii="宋体" w:hAnsi="宋体" w:cs="宋体"/>
          <w:color w:val="auto"/>
          <w:szCs w:val="21"/>
        </w:rPr>
        <w:t>不论投标结果如何，投标人均应自行承担所有与投标有关的全部费用。</w:t>
      </w:r>
    </w:p>
    <w:p>
      <w:pPr>
        <w:spacing w:line="400" w:lineRule="exact"/>
        <w:ind w:firstLine="413" w:firstLineChars="196"/>
        <w:outlineLvl w:val="2"/>
        <w:rPr>
          <w:rFonts w:ascii="宋体" w:hAnsi="宋体" w:cs="宋体"/>
          <w:b/>
          <w:color w:val="auto"/>
          <w:szCs w:val="21"/>
        </w:rPr>
      </w:pPr>
      <w:bookmarkStart w:id="54" w:name="_Toc12135"/>
      <w:bookmarkStart w:id="55" w:name="_Toc22702"/>
      <w:r>
        <w:rPr>
          <w:rFonts w:hint="eastAsia" w:ascii="宋体" w:hAnsi="宋体" w:cs="宋体"/>
          <w:b/>
          <w:color w:val="auto"/>
          <w:szCs w:val="21"/>
        </w:rPr>
        <w:t>7. 联合体投标要求</w:t>
      </w:r>
      <w:bookmarkEnd w:id="54"/>
      <w:bookmarkEnd w:id="55"/>
    </w:p>
    <w:p>
      <w:pPr>
        <w:spacing w:line="400" w:lineRule="exact"/>
        <w:ind w:firstLine="420" w:firstLineChars="200"/>
        <w:rPr>
          <w:rFonts w:ascii="宋体" w:hAnsi="宋体" w:cs="宋体"/>
          <w:color w:val="auto"/>
          <w:szCs w:val="21"/>
        </w:rPr>
      </w:pPr>
      <w:r>
        <w:rPr>
          <w:rFonts w:hint="eastAsia" w:ascii="宋体" w:hAnsi="宋体" w:cs="宋体"/>
          <w:color w:val="auto"/>
          <w:szCs w:val="21"/>
        </w:rPr>
        <w:t>本项目不接受联合体投标。</w:t>
      </w:r>
    </w:p>
    <w:p>
      <w:pPr>
        <w:spacing w:line="400" w:lineRule="exact"/>
        <w:ind w:firstLine="413" w:firstLineChars="196"/>
        <w:outlineLvl w:val="2"/>
        <w:rPr>
          <w:rFonts w:ascii="宋体" w:hAnsi="宋体" w:cs="宋体"/>
          <w:b/>
          <w:color w:val="auto"/>
          <w:szCs w:val="21"/>
        </w:rPr>
      </w:pPr>
      <w:bookmarkStart w:id="56" w:name="_Toc23430"/>
      <w:bookmarkStart w:id="57" w:name="_Toc6046"/>
      <w:r>
        <w:rPr>
          <w:rFonts w:hint="eastAsia" w:ascii="宋体" w:hAnsi="宋体" w:cs="宋体"/>
          <w:b/>
          <w:color w:val="auto"/>
          <w:szCs w:val="21"/>
        </w:rPr>
        <w:t>8. 转包与分包</w:t>
      </w:r>
      <w:bookmarkEnd w:id="56"/>
      <w:bookmarkEnd w:id="57"/>
    </w:p>
    <w:p>
      <w:pPr>
        <w:tabs>
          <w:tab w:val="left" w:pos="1635"/>
        </w:tabs>
        <w:spacing w:line="400" w:lineRule="exact"/>
        <w:ind w:firstLine="420" w:firstLineChars="200"/>
        <w:rPr>
          <w:rFonts w:ascii="宋体" w:hAnsi="宋体" w:cs="宋体"/>
          <w:color w:val="auto"/>
          <w:szCs w:val="21"/>
        </w:rPr>
      </w:pPr>
      <w:r>
        <w:rPr>
          <w:rFonts w:hint="eastAsia" w:ascii="宋体" w:hAnsi="宋体" w:cs="宋体"/>
          <w:color w:val="auto"/>
          <w:szCs w:val="21"/>
        </w:rPr>
        <w:t>8.1本项目不允许转包。</w:t>
      </w:r>
    </w:p>
    <w:p>
      <w:pPr>
        <w:tabs>
          <w:tab w:val="left" w:pos="1635"/>
        </w:tabs>
        <w:spacing w:line="400" w:lineRule="exact"/>
        <w:ind w:firstLine="435"/>
        <w:rPr>
          <w:rFonts w:ascii="宋体" w:hAnsi="宋体" w:cs="宋体"/>
          <w:color w:val="auto"/>
          <w:szCs w:val="21"/>
        </w:rPr>
      </w:pPr>
      <w:r>
        <w:rPr>
          <w:rFonts w:hint="eastAsia" w:ascii="宋体" w:hAnsi="宋体" w:cs="宋体"/>
          <w:color w:val="auto"/>
          <w:szCs w:val="21"/>
        </w:rPr>
        <w:t>8.2本项目不可以分包。</w:t>
      </w:r>
    </w:p>
    <w:p>
      <w:pPr>
        <w:spacing w:line="400" w:lineRule="exact"/>
        <w:ind w:firstLine="413" w:firstLineChars="196"/>
        <w:outlineLvl w:val="2"/>
        <w:rPr>
          <w:rFonts w:ascii="宋体" w:hAnsi="宋体" w:cs="宋体"/>
          <w:b/>
          <w:color w:val="auto"/>
          <w:szCs w:val="21"/>
        </w:rPr>
      </w:pPr>
      <w:bookmarkStart w:id="58" w:name="_Toc2734"/>
      <w:bookmarkStart w:id="59" w:name="_Toc1504"/>
      <w:r>
        <w:rPr>
          <w:rFonts w:hint="eastAsia" w:ascii="宋体" w:hAnsi="宋体" w:cs="宋体"/>
          <w:b/>
          <w:color w:val="auto"/>
          <w:szCs w:val="21"/>
        </w:rPr>
        <w:t>9. 特别说明</w:t>
      </w:r>
      <w:bookmarkEnd w:id="58"/>
      <w:bookmarkEnd w:id="59"/>
    </w:p>
    <w:p>
      <w:pPr>
        <w:tabs>
          <w:tab w:val="left" w:pos="1635"/>
        </w:tabs>
        <w:spacing w:line="400" w:lineRule="exact"/>
        <w:ind w:firstLine="420" w:firstLineChars="200"/>
        <w:rPr>
          <w:rFonts w:ascii="宋体" w:hAnsi="宋体" w:cs="宋体"/>
          <w:color w:val="auto"/>
          <w:szCs w:val="21"/>
        </w:rPr>
      </w:pPr>
      <w:r>
        <w:rPr>
          <w:rFonts w:hint="eastAsia" w:ascii="宋体" w:hAnsi="宋体" w:cs="宋体"/>
          <w:color w:val="auto"/>
          <w:szCs w:val="21"/>
        </w:rPr>
        <w:t>9.1提供相同品牌产品且通过资格审查、符合性审查的不同投标人参加同一合同项下投标的，按一家投标人计算，评审后得分最高的同品牌投标人获得中标供应商推荐资格；评审得分相同的，评标价最低的同品牌投标人获得中标供应商推荐资格；评标价也相同的，由评标委员会以抽签方式确定中标候选供应商。其他同品牌投标人不作为中标候选供应商。</w:t>
      </w:r>
    </w:p>
    <w:p>
      <w:pPr>
        <w:tabs>
          <w:tab w:val="left" w:pos="1635"/>
        </w:tabs>
        <w:spacing w:line="400" w:lineRule="exact"/>
        <w:ind w:firstLine="435"/>
        <w:rPr>
          <w:rFonts w:ascii="宋体" w:hAnsi="宋体" w:cs="宋体"/>
          <w:color w:val="auto"/>
          <w:szCs w:val="21"/>
        </w:rPr>
      </w:pPr>
      <w:r>
        <w:rPr>
          <w:rFonts w:hint="eastAsia" w:ascii="宋体" w:hAnsi="宋体" w:cs="宋体"/>
          <w:color w:val="auto"/>
          <w:szCs w:val="21"/>
        </w:rPr>
        <w:t>多家投标人提供的核心产品品牌相同的，按前款规定处理。</w:t>
      </w:r>
    </w:p>
    <w:p>
      <w:pPr>
        <w:tabs>
          <w:tab w:val="left" w:pos="1635"/>
        </w:tabs>
        <w:spacing w:line="400" w:lineRule="exact"/>
        <w:ind w:firstLine="435"/>
        <w:rPr>
          <w:rFonts w:ascii="宋体" w:hAnsi="宋体" w:cs="宋体"/>
          <w:color w:val="auto"/>
          <w:szCs w:val="21"/>
        </w:rPr>
      </w:pPr>
      <w:r>
        <w:rPr>
          <w:rFonts w:hint="eastAsia" w:ascii="宋体" w:hAnsi="宋体" w:cs="宋体"/>
          <w:color w:val="auto"/>
          <w:szCs w:val="21"/>
        </w:rPr>
        <w:t>9.2关联供应商不得参加同一合同项下政府采购活动，否则投标文件将被视为无效：</w:t>
      </w:r>
    </w:p>
    <w:p>
      <w:pPr>
        <w:tabs>
          <w:tab w:val="left" w:pos="1635"/>
        </w:tabs>
        <w:spacing w:line="400" w:lineRule="exact"/>
        <w:ind w:firstLine="420" w:firstLineChars="200"/>
        <w:rPr>
          <w:rFonts w:ascii="宋体" w:hAnsi="宋体" w:cs="宋体"/>
          <w:color w:val="auto"/>
          <w:szCs w:val="21"/>
        </w:rPr>
      </w:pPr>
      <w:r>
        <w:rPr>
          <w:rFonts w:hint="eastAsia" w:ascii="宋体" w:hAnsi="宋体" w:cs="宋体"/>
          <w:color w:val="auto"/>
          <w:szCs w:val="21"/>
        </w:rPr>
        <w:t>（1）单位负责人为同一人或者存在直接控股、管理关系的不同供应商，不得参加同一合同项下的政府采购活动。</w:t>
      </w:r>
    </w:p>
    <w:p>
      <w:pPr>
        <w:tabs>
          <w:tab w:val="left" w:pos="1635"/>
        </w:tabs>
        <w:spacing w:line="400" w:lineRule="exact"/>
        <w:ind w:firstLine="435"/>
        <w:rPr>
          <w:rFonts w:ascii="宋体" w:hAnsi="宋体" w:cs="宋体"/>
          <w:color w:val="auto"/>
          <w:szCs w:val="21"/>
        </w:rPr>
      </w:pPr>
      <w:r>
        <w:rPr>
          <w:rFonts w:hint="eastAsia" w:ascii="宋体" w:hAnsi="宋体" w:cs="宋体"/>
          <w:color w:val="auto"/>
          <w:szCs w:val="21"/>
        </w:rPr>
        <w:t>（2）为本采购项目提供整体设计、规范编制或者项目管理、监理、检测等服务的供应商，不得再参加本次采购活动。</w:t>
      </w:r>
    </w:p>
    <w:p>
      <w:pPr>
        <w:tabs>
          <w:tab w:val="left" w:pos="1635"/>
        </w:tabs>
        <w:spacing w:line="400" w:lineRule="exact"/>
        <w:ind w:firstLine="435"/>
        <w:rPr>
          <w:rFonts w:ascii="宋体" w:hAnsi="宋体" w:cs="宋体"/>
          <w:color w:val="auto"/>
          <w:szCs w:val="21"/>
        </w:rPr>
      </w:pPr>
      <w:r>
        <w:rPr>
          <w:rFonts w:hint="eastAsia" w:ascii="宋体" w:hAnsi="宋体" w:cs="宋体"/>
          <w:color w:val="auto"/>
          <w:szCs w:val="21"/>
        </w:rPr>
        <w:t>9.3投标人应仔细阅读招标文件的所有内容，按照招标文件的要求提交投标文件，并对所提供的全部资料的真实性承担法律责任。</w:t>
      </w:r>
    </w:p>
    <w:p>
      <w:pPr>
        <w:tabs>
          <w:tab w:val="left" w:pos="1635"/>
        </w:tabs>
        <w:spacing w:line="400" w:lineRule="exact"/>
        <w:ind w:firstLine="435"/>
        <w:rPr>
          <w:rFonts w:ascii="宋体" w:hAnsi="宋体" w:cs="宋体"/>
          <w:b/>
          <w:color w:val="auto"/>
          <w:szCs w:val="21"/>
        </w:rPr>
      </w:pPr>
      <w:r>
        <w:rPr>
          <w:rFonts w:hint="eastAsia" w:ascii="宋体" w:hAnsi="宋体" w:cs="宋体"/>
          <w:color w:val="auto"/>
          <w:szCs w:val="21"/>
        </w:rPr>
        <w:t>9.4投标人在投标活动中提供任何虚假材料，其投标无效，并报监管部门查处；中标后发现的，中标供应商须依照《中华人民共和国消费者权益保护法》赔偿采购人，且民事赔偿并不免除违法投标人的行政与刑事责任。</w:t>
      </w:r>
    </w:p>
    <w:p>
      <w:pPr>
        <w:spacing w:line="400" w:lineRule="exact"/>
        <w:ind w:firstLine="413" w:firstLineChars="196"/>
        <w:outlineLvl w:val="2"/>
        <w:rPr>
          <w:rFonts w:ascii="宋体" w:hAnsi="宋体" w:cs="宋体"/>
          <w:b/>
          <w:color w:val="auto"/>
          <w:szCs w:val="21"/>
        </w:rPr>
      </w:pPr>
      <w:bookmarkStart w:id="60" w:name="_Toc6489"/>
      <w:bookmarkStart w:id="61" w:name="_Toc7963"/>
      <w:r>
        <w:rPr>
          <w:rFonts w:hint="eastAsia" w:ascii="宋体" w:hAnsi="宋体" w:cs="宋体"/>
          <w:b/>
          <w:color w:val="auto"/>
          <w:szCs w:val="21"/>
        </w:rPr>
        <w:t>10. 质疑和投诉</w:t>
      </w:r>
      <w:bookmarkEnd w:id="60"/>
      <w:bookmarkEnd w:id="61"/>
    </w:p>
    <w:p>
      <w:pPr>
        <w:tabs>
          <w:tab w:val="left" w:pos="1635"/>
        </w:tabs>
        <w:spacing w:line="400" w:lineRule="exact"/>
        <w:ind w:firstLine="435"/>
        <w:rPr>
          <w:rFonts w:ascii="宋体" w:hAnsi="宋体" w:cs="宋体"/>
          <w:color w:val="auto"/>
          <w:szCs w:val="21"/>
        </w:rPr>
      </w:pPr>
      <w:bookmarkStart w:id="62" w:name="_Toc8195"/>
      <w:bookmarkStart w:id="63" w:name="_Toc26087"/>
      <w:r>
        <w:rPr>
          <w:rFonts w:hint="eastAsia" w:ascii="宋体" w:hAnsi="宋体" w:cs="宋体"/>
          <w:color w:val="auto"/>
          <w:szCs w:val="21"/>
        </w:rPr>
        <w:t>10.1投标人认为招标文件使自己的合法权益受到损害的，应当在本项目招标公告期限届满之日起七个工作日内以书面形式向桂林市政府集中采购中心提出质疑。投标人认为招标过程或中标结果使自己的合法权益受到损害的，应当在采购程序环节结束之日或中标公告期限届满之日起七个工作日内，以书面形式向桂林市政府集中采购中心提出质疑。桂林市政府集中采购中心应认真做好质疑处理工作。</w:t>
      </w:r>
      <w:bookmarkEnd w:id="62"/>
      <w:bookmarkEnd w:id="63"/>
    </w:p>
    <w:p>
      <w:pPr>
        <w:snapToGrid w:val="0"/>
        <w:spacing w:line="440" w:lineRule="exact"/>
        <w:ind w:firstLine="420" w:firstLineChars="200"/>
        <w:rPr>
          <w:rFonts w:ascii="宋体" w:hAnsi="宋体" w:cs="宋体"/>
          <w:color w:val="auto"/>
          <w:szCs w:val="20"/>
        </w:rPr>
      </w:pPr>
      <w:r>
        <w:rPr>
          <w:rFonts w:hint="eastAsia" w:ascii="宋体" w:hAnsi="宋体" w:cs="宋体"/>
          <w:color w:val="auto"/>
          <w:szCs w:val="20"/>
        </w:rPr>
        <w:t>接收质疑函方式：以书面形式（原件）提交</w:t>
      </w:r>
    </w:p>
    <w:p>
      <w:pPr>
        <w:snapToGrid w:val="0"/>
        <w:spacing w:line="440" w:lineRule="exact"/>
        <w:ind w:firstLine="420" w:firstLineChars="200"/>
        <w:rPr>
          <w:rFonts w:hint="eastAsia" w:ascii="宋体" w:hAnsi="宋体" w:eastAsia="宋体" w:cs="宋体"/>
          <w:color w:val="auto"/>
          <w:szCs w:val="20"/>
          <w:lang w:val="en-US" w:eastAsia="zh-CN"/>
        </w:rPr>
      </w:pPr>
      <w:r>
        <w:rPr>
          <w:rFonts w:hint="eastAsia" w:ascii="宋体" w:hAnsi="宋体" w:cs="宋体"/>
          <w:color w:val="auto"/>
          <w:szCs w:val="20"/>
        </w:rPr>
        <w:t>质疑联系人：唐</w:t>
      </w:r>
      <w:r>
        <w:rPr>
          <w:rFonts w:hint="eastAsia" w:ascii="宋体" w:hAnsi="宋体" w:cs="宋体"/>
          <w:color w:val="auto"/>
          <w:szCs w:val="20"/>
          <w:lang w:eastAsia="zh-CN"/>
        </w:rPr>
        <w:t>云</w:t>
      </w:r>
      <w:r>
        <w:rPr>
          <w:rFonts w:hint="eastAsia" w:ascii="宋体" w:hAnsi="宋体" w:cs="宋体"/>
          <w:color w:val="auto"/>
          <w:szCs w:val="20"/>
        </w:rPr>
        <w:t>，联系电话：0773-5625175</w:t>
      </w:r>
      <w:r>
        <w:rPr>
          <w:rFonts w:hint="eastAsia" w:ascii="宋体" w:hAnsi="宋体" w:cs="宋体"/>
          <w:color w:val="auto"/>
          <w:szCs w:val="20"/>
          <w:lang w:eastAsia="zh-CN"/>
        </w:rPr>
        <w:t>、</w:t>
      </w:r>
      <w:r>
        <w:rPr>
          <w:rFonts w:hint="eastAsia" w:ascii="宋体" w:hAnsi="宋体" w:cs="宋体"/>
          <w:color w:val="auto"/>
          <w:szCs w:val="20"/>
          <w:lang w:val="en-US" w:eastAsia="zh-CN"/>
        </w:rPr>
        <w:t>0773-5625166</w:t>
      </w:r>
    </w:p>
    <w:p>
      <w:pPr>
        <w:tabs>
          <w:tab w:val="left" w:pos="2190"/>
        </w:tabs>
        <w:spacing w:line="420" w:lineRule="exact"/>
        <w:ind w:firstLine="435"/>
        <w:rPr>
          <w:rFonts w:ascii="宋体" w:hAnsi="宋体" w:cs="宋体"/>
          <w:color w:val="auto"/>
        </w:rPr>
      </w:pPr>
      <w:r>
        <w:rPr>
          <w:rFonts w:hint="eastAsia" w:ascii="宋体" w:hAnsi="宋体" w:cs="宋体"/>
          <w:color w:val="auto"/>
          <w:szCs w:val="20"/>
        </w:rPr>
        <w:t>通讯地址：</w:t>
      </w:r>
      <w:r>
        <w:rPr>
          <w:rFonts w:hint="eastAsia" w:ascii="宋体" w:hAnsi="宋体" w:cs="宋体"/>
          <w:color w:val="auto"/>
        </w:rPr>
        <w:t>桂林市临桂区西城中路69号创业大厦西辅楼5楼577室</w:t>
      </w:r>
    </w:p>
    <w:p>
      <w:pPr>
        <w:tabs>
          <w:tab w:val="left" w:pos="1635"/>
        </w:tabs>
        <w:spacing w:line="400" w:lineRule="exact"/>
        <w:ind w:firstLine="435"/>
        <w:rPr>
          <w:rFonts w:ascii="宋体" w:hAnsi="宋体" w:cs="宋体"/>
          <w:color w:val="auto"/>
          <w:szCs w:val="21"/>
        </w:rPr>
      </w:pPr>
      <w:bookmarkStart w:id="64" w:name="_Toc5874"/>
      <w:bookmarkStart w:id="65" w:name="_Toc17981"/>
      <w:r>
        <w:rPr>
          <w:rFonts w:hint="eastAsia" w:ascii="宋体" w:hAnsi="宋体" w:cs="宋体"/>
          <w:color w:val="auto"/>
          <w:szCs w:val="21"/>
        </w:rPr>
        <w:t>10.2投标人对采购代理机构的答复不满意或者采购代理机构未在规定的时间内作出答复的，可以在答复期满后十五个工作日内向本级财政部门投诉。</w:t>
      </w:r>
      <w:bookmarkEnd w:id="64"/>
      <w:bookmarkEnd w:id="65"/>
    </w:p>
    <w:p>
      <w:pPr>
        <w:tabs>
          <w:tab w:val="left" w:pos="1635"/>
        </w:tabs>
        <w:spacing w:line="400" w:lineRule="exact"/>
        <w:ind w:firstLine="435"/>
        <w:rPr>
          <w:rFonts w:ascii="宋体" w:hAnsi="宋体" w:cs="宋体"/>
          <w:color w:val="auto"/>
          <w:szCs w:val="21"/>
        </w:rPr>
      </w:pPr>
      <w:bookmarkStart w:id="66" w:name="_Toc23108"/>
      <w:bookmarkStart w:id="67" w:name="_Toc613"/>
      <w:r>
        <w:rPr>
          <w:rFonts w:hint="eastAsia" w:ascii="宋体" w:hAnsi="宋体" w:cs="宋体"/>
          <w:color w:val="auto"/>
          <w:szCs w:val="21"/>
        </w:rPr>
        <w:t>10.3质疑、投诉应当采用书面形式，质疑书、投诉书实行实名制，均应明确阐述招标文件、招标过程或中标结果中使自己合法权益受到损害的实质性内容，并提供必要的证明材料。</w:t>
      </w:r>
      <w:bookmarkEnd w:id="66"/>
      <w:bookmarkEnd w:id="67"/>
    </w:p>
    <w:p>
      <w:pPr>
        <w:tabs>
          <w:tab w:val="left" w:pos="2190"/>
        </w:tabs>
        <w:spacing w:line="400" w:lineRule="exact"/>
        <w:ind w:firstLine="435"/>
        <w:rPr>
          <w:rFonts w:ascii="宋体" w:hAnsi="宋体" w:cs="宋体"/>
          <w:b/>
          <w:color w:val="auto"/>
          <w:sz w:val="28"/>
          <w:szCs w:val="28"/>
        </w:rPr>
      </w:pPr>
    </w:p>
    <w:p>
      <w:pPr>
        <w:spacing w:line="360" w:lineRule="auto"/>
        <w:jc w:val="center"/>
        <w:outlineLvl w:val="1"/>
        <w:rPr>
          <w:rFonts w:ascii="宋体" w:hAnsi="宋体" w:cs="宋体"/>
          <w:b/>
          <w:color w:val="auto"/>
          <w:sz w:val="28"/>
          <w:szCs w:val="28"/>
        </w:rPr>
      </w:pPr>
      <w:bookmarkStart w:id="68" w:name="_Toc495841755"/>
      <w:bookmarkStart w:id="69" w:name="_Toc26849"/>
      <w:bookmarkStart w:id="70" w:name="_Toc1756"/>
      <w:r>
        <w:rPr>
          <w:rFonts w:hint="eastAsia" w:ascii="宋体" w:hAnsi="宋体" w:cs="宋体"/>
          <w:b/>
          <w:color w:val="auto"/>
          <w:sz w:val="28"/>
          <w:szCs w:val="28"/>
        </w:rPr>
        <w:t>二、招标文件</w:t>
      </w:r>
      <w:bookmarkEnd w:id="68"/>
      <w:bookmarkEnd w:id="69"/>
      <w:bookmarkEnd w:id="70"/>
    </w:p>
    <w:p>
      <w:pPr>
        <w:spacing w:line="400" w:lineRule="exact"/>
        <w:ind w:firstLine="413" w:firstLineChars="196"/>
        <w:outlineLvl w:val="2"/>
        <w:rPr>
          <w:rFonts w:ascii="宋体" w:hAnsi="宋体" w:cs="宋体"/>
          <w:b/>
          <w:color w:val="auto"/>
          <w:szCs w:val="21"/>
        </w:rPr>
      </w:pPr>
      <w:bookmarkStart w:id="71" w:name="_Toc3397"/>
      <w:bookmarkStart w:id="72" w:name="_Toc115"/>
      <w:r>
        <w:rPr>
          <w:rFonts w:hint="eastAsia" w:ascii="宋体" w:hAnsi="宋体" w:cs="宋体"/>
          <w:b/>
          <w:color w:val="auto"/>
          <w:szCs w:val="21"/>
        </w:rPr>
        <w:t>11. 招标文件的构成</w:t>
      </w:r>
      <w:bookmarkEnd w:id="71"/>
      <w:bookmarkEnd w:id="72"/>
    </w:p>
    <w:p>
      <w:pPr>
        <w:spacing w:line="400" w:lineRule="exact"/>
        <w:ind w:firstLine="411" w:firstLineChars="196"/>
        <w:rPr>
          <w:rFonts w:ascii="宋体" w:hAnsi="宋体" w:cs="宋体"/>
          <w:color w:val="auto"/>
          <w:szCs w:val="21"/>
        </w:rPr>
      </w:pPr>
      <w:r>
        <w:rPr>
          <w:rFonts w:hint="eastAsia" w:ascii="宋体" w:hAnsi="宋体" w:cs="宋体"/>
          <w:color w:val="auto"/>
          <w:szCs w:val="21"/>
        </w:rPr>
        <w:t>（1）招标公告；</w:t>
      </w:r>
    </w:p>
    <w:p>
      <w:pPr>
        <w:spacing w:line="400" w:lineRule="exact"/>
        <w:ind w:firstLine="411" w:firstLineChars="196"/>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eastAsia="zh-CN"/>
        </w:rPr>
        <w:t>投标人须知</w:t>
      </w:r>
      <w:r>
        <w:rPr>
          <w:rFonts w:hint="eastAsia" w:ascii="宋体" w:hAnsi="宋体" w:cs="宋体"/>
          <w:color w:val="auto"/>
          <w:szCs w:val="21"/>
        </w:rPr>
        <w:t>；</w:t>
      </w:r>
    </w:p>
    <w:p>
      <w:pPr>
        <w:spacing w:line="400" w:lineRule="exact"/>
        <w:ind w:firstLine="411" w:firstLineChars="196"/>
        <w:rPr>
          <w:rFonts w:ascii="宋体" w:hAnsi="宋体" w:cs="宋体"/>
          <w:color w:val="auto"/>
          <w:szCs w:val="21"/>
        </w:rPr>
      </w:pPr>
      <w:r>
        <w:rPr>
          <w:rFonts w:hint="eastAsia" w:ascii="宋体" w:hAnsi="宋体" w:cs="宋体"/>
          <w:color w:val="auto"/>
          <w:szCs w:val="21"/>
        </w:rPr>
        <w:t>（3）货物采购需求；</w:t>
      </w:r>
    </w:p>
    <w:p>
      <w:pPr>
        <w:spacing w:line="400" w:lineRule="exact"/>
        <w:ind w:firstLine="411" w:firstLineChars="196"/>
        <w:rPr>
          <w:rFonts w:ascii="宋体" w:hAnsi="宋体" w:cs="宋体"/>
          <w:color w:val="auto"/>
          <w:szCs w:val="21"/>
        </w:rPr>
      </w:pPr>
      <w:r>
        <w:rPr>
          <w:rFonts w:hint="eastAsia" w:ascii="宋体" w:hAnsi="宋体" w:cs="宋体"/>
          <w:color w:val="auto"/>
          <w:szCs w:val="21"/>
        </w:rPr>
        <w:t>（4）评标办法；</w:t>
      </w:r>
    </w:p>
    <w:p>
      <w:pPr>
        <w:spacing w:line="400" w:lineRule="exact"/>
        <w:ind w:firstLine="411" w:firstLineChars="196"/>
        <w:rPr>
          <w:rFonts w:ascii="宋体" w:hAnsi="宋体" w:cs="宋体"/>
          <w:color w:val="auto"/>
          <w:szCs w:val="21"/>
        </w:rPr>
      </w:pPr>
      <w:r>
        <w:rPr>
          <w:rFonts w:hint="eastAsia" w:ascii="宋体" w:hAnsi="宋体" w:cs="宋体"/>
          <w:color w:val="auto"/>
          <w:szCs w:val="21"/>
        </w:rPr>
        <w:t>（5）采购合同（合同主要条款及格式）；</w:t>
      </w:r>
    </w:p>
    <w:p>
      <w:pPr>
        <w:spacing w:line="400" w:lineRule="exact"/>
        <w:ind w:firstLine="411" w:firstLineChars="196"/>
        <w:rPr>
          <w:rFonts w:ascii="宋体" w:hAnsi="宋体" w:cs="宋体"/>
          <w:color w:val="auto"/>
          <w:szCs w:val="21"/>
        </w:rPr>
      </w:pPr>
      <w:r>
        <w:rPr>
          <w:rFonts w:hint="eastAsia" w:ascii="宋体" w:hAnsi="宋体" w:cs="宋体"/>
          <w:color w:val="auto"/>
          <w:szCs w:val="21"/>
        </w:rPr>
        <w:t>（6）投标文件（格式）。</w:t>
      </w:r>
    </w:p>
    <w:p>
      <w:pPr>
        <w:spacing w:line="400" w:lineRule="exact"/>
        <w:ind w:firstLine="413" w:firstLineChars="196"/>
        <w:outlineLvl w:val="2"/>
        <w:rPr>
          <w:rFonts w:ascii="宋体" w:hAnsi="宋体" w:cs="宋体"/>
          <w:b/>
          <w:color w:val="auto"/>
          <w:szCs w:val="21"/>
        </w:rPr>
      </w:pPr>
      <w:bookmarkStart w:id="73" w:name="_Toc24191"/>
      <w:bookmarkStart w:id="74" w:name="_Toc24910"/>
      <w:r>
        <w:rPr>
          <w:rFonts w:hint="eastAsia" w:ascii="宋体" w:hAnsi="宋体" w:cs="宋体"/>
          <w:b/>
          <w:color w:val="auto"/>
          <w:szCs w:val="21"/>
        </w:rPr>
        <w:t>12. 招标文件的澄清与修改</w:t>
      </w:r>
      <w:bookmarkEnd w:id="73"/>
      <w:bookmarkEnd w:id="74"/>
    </w:p>
    <w:p>
      <w:pPr>
        <w:spacing w:line="400" w:lineRule="exact"/>
        <w:ind w:firstLine="411" w:firstLineChars="196"/>
        <w:rPr>
          <w:rFonts w:ascii="宋体" w:hAnsi="宋体" w:cs="宋体"/>
          <w:color w:val="auto"/>
          <w:szCs w:val="21"/>
        </w:rPr>
      </w:pPr>
      <w:r>
        <w:rPr>
          <w:rFonts w:hint="eastAsia" w:ascii="宋体" w:hAnsi="宋体" w:cs="宋体"/>
          <w:color w:val="auto"/>
          <w:szCs w:val="21"/>
        </w:rPr>
        <w:t>12.1投标人应认真阅读招标文件，发现其中有误或有不合理要求的，投标人必须在招标公告期限届满之日起七个工作日内以书面形式要求采购代理机构澄清。</w:t>
      </w:r>
    </w:p>
    <w:p>
      <w:pPr>
        <w:spacing w:line="400" w:lineRule="exact"/>
        <w:ind w:firstLine="411" w:firstLineChars="196"/>
        <w:rPr>
          <w:rFonts w:ascii="宋体" w:hAnsi="宋体" w:cs="宋体"/>
          <w:color w:val="auto"/>
          <w:szCs w:val="21"/>
        </w:rPr>
      </w:pPr>
      <w:r>
        <w:rPr>
          <w:rFonts w:hint="eastAsia" w:ascii="宋体" w:hAnsi="宋体" w:cs="宋体"/>
          <w:color w:val="auto"/>
          <w:szCs w:val="21"/>
        </w:rPr>
        <w:t>12.2采购代理机构可以对已发出的招标文件进行必要的澄清或者修改，但不得改变采购标的和资格条件。澄清或者修改应当在原公告发布媒体上发布澄清公告。澄清或者修改的内容为招标文件的组成部分。澄清或者修改的内容可能影响投标文件编制的，采购代理机构应当在投标截止时间至少15日前在本招标项目招标公告发布的同一媒体上发布更正公告；不足15日的，采购代理机构应当顺延提交投标文件的截止时间。</w:t>
      </w:r>
    </w:p>
    <w:p>
      <w:pPr>
        <w:spacing w:line="400" w:lineRule="exact"/>
        <w:ind w:firstLine="411" w:firstLineChars="196"/>
        <w:rPr>
          <w:rFonts w:ascii="宋体" w:hAnsi="宋体" w:cs="宋体"/>
          <w:color w:val="auto"/>
          <w:szCs w:val="21"/>
        </w:rPr>
      </w:pPr>
      <w:r>
        <w:rPr>
          <w:rFonts w:hint="eastAsia" w:ascii="宋体" w:hAnsi="宋体" w:cs="宋体"/>
          <w:color w:val="auto"/>
          <w:szCs w:val="21"/>
        </w:rPr>
        <w:t>12.3</w:t>
      </w:r>
      <w:r>
        <w:rPr>
          <w:rFonts w:hint="eastAsia" w:ascii="宋体" w:hAnsi="宋体" w:cs="宋体"/>
          <w:b/>
          <w:color w:val="auto"/>
          <w:szCs w:val="21"/>
        </w:rPr>
        <w:t>投标人下载招标文件后应实时关注相关网站了解澄清、修改等与项目有关的内容，如因投标人未及时登录相关网站了解澄清、修改等与项目有关的内容，从而导致投标无效的，由投标人自行承担责任。</w:t>
      </w:r>
    </w:p>
    <w:p>
      <w:pPr>
        <w:spacing w:line="400" w:lineRule="exact"/>
        <w:ind w:firstLine="411" w:firstLineChars="196"/>
        <w:rPr>
          <w:rFonts w:ascii="宋体" w:hAnsi="宋体" w:cs="宋体"/>
          <w:color w:val="auto"/>
          <w:szCs w:val="21"/>
        </w:rPr>
      </w:pPr>
      <w:r>
        <w:rPr>
          <w:rFonts w:hint="eastAsia" w:ascii="宋体" w:hAnsi="宋体" w:cs="宋体"/>
          <w:color w:val="auto"/>
          <w:szCs w:val="21"/>
        </w:rPr>
        <w:t>12.4必要的澄清、修改的内容为招标文件的组成部分。当澄清、修改通知就同一内容的表述不一致时，以最后发出的书面文件为准。</w:t>
      </w:r>
    </w:p>
    <w:p>
      <w:pPr>
        <w:spacing w:line="400" w:lineRule="exact"/>
        <w:ind w:firstLine="411" w:firstLineChars="196"/>
        <w:rPr>
          <w:rFonts w:ascii="宋体" w:hAnsi="宋体" w:cs="宋体"/>
          <w:color w:val="auto"/>
          <w:szCs w:val="21"/>
        </w:rPr>
      </w:pPr>
      <w:r>
        <w:rPr>
          <w:rFonts w:hint="eastAsia" w:ascii="宋体" w:hAnsi="宋体" w:cs="宋体"/>
          <w:color w:val="auto"/>
          <w:szCs w:val="21"/>
        </w:rPr>
        <w:t>12.5招标文件的澄清、修改都应该通过采购代理机构以法定形式发布，采购人非通过本机构，不得擅自澄清、修改招标文件。</w:t>
      </w:r>
    </w:p>
    <w:p>
      <w:pPr>
        <w:tabs>
          <w:tab w:val="left" w:pos="2190"/>
        </w:tabs>
        <w:spacing w:line="400" w:lineRule="exact"/>
        <w:ind w:firstLine="435"/>
        <w:rPr>
          <w:rFonts w:ascii="宋体" w:hAnsi="宋体" w:cs="宋体"/>
          <w:color w:val="auto"/>
          <w:szCs w:val="21"/>
        </w:rPr>
      </w:pPr>
    </w:p>
    <w:p>
      <w:pPr>
        <w:spacing w:line="360" w:lineRule="auto"/>
        <w:jc w:val="center"/>
        <w:outlineLvl w:val="1"/>
        <w:rPr>
          <w:rFonts w:ascii="宋体" w:hAnsi="宋体" w:cs="宋体"/>
          <w:b/>
          <w:color w:val="auto"/>
          <w:sz w:val="28"/>
          <w:szCs w:val="28"/>
        </w:rPr>
      </w:pPr>
      <w:bookmarkStart w:id="75" w:name="_Toc7631"/>
      <w:bookmarkStart w:id="76" w:name="_Toc495841756"/>
      <w:bookmarkStart w:id="77" w:name="_Toc30026"/>
      <w:r>
        <w:rPr>
          <w:rFonts w:hint="eastAsia" w:ascii="宋体" w:hAnsi="宋体" w:cs="宋体"/>
          <w:b/>
          <w:color w:val="auto"/>
          <w:sz w:val="28"/>
          <w:szCs w:val="28"/>
        </w:rPr>
        <w:t>三、投标文件的编制</w:t>
      </w:r>
      <w:bookmarkEnd w:id="75"/>
      <w:bookmarkEnd w:id="76"/>
      <w:bookmarkEnd w:id="77"/>
    </w:p>
    <w:p>
      <w:pPr>
        <w:spacing w:line="400" w:lineRule="exact"/>
        <w:ind w:firstLine="413" w:firstLineChars="196"/>
        <w:outlineLvl w:val="2"/>
        <w:rPr>
          <w:rFonts w:ascii="宋体" w:hAnsi="宋体" w:cs="宋体"/>
          <w:b/>
          <w:color w:val="auto"/>
          <w:szCs w:val="21"/>
        </w:rPr>
      </w:pPr>
      <w:bookmarkStart w:id="78" w:name="_Toc15443"/>
      <w:bookmarkStart w:id="79" w:name="_Toc30561"/>
      <w:r>
        <w:rPr>
          <w:rFonts w:hint="eastAsia" w:ascii="宋体" w:hAnsi="宋体" w:cs="宋体"/>
          <w:b/>
          <w:color w:val="auto"/>
          <w:szCs w:val="21"/>
        </w:rPr>
        <w:t>13. 投标文件的组成及要求</w:t>
      </w:r>
      <w:bookmarkEnd w:id="78"/>
      <w:bookmarkEnd w:id="79"/>
    </w:p>
    <w:p>
      <w:pPr>
        <w:tabs>
          <w:tab w:val="left" w:pos="2190"/>
        </w:tabs>
        <w:spacing w:line="400" w:lineRule="exact"/>
        <w:ind w:firstLine="435"/>
        <w:rPr>
          <w:rFonts w:ascii="宋体" w:hAnsi="宋体" w:cs="宋体"/>
          <w:b/>
          <w:color w:val="auto"/>
          <w:szCs w:val="21"/>
        </w:rPr>
      </w:pPr>
      <w:r>
        <w:rPr>
          <w:rFonts w:hint="eastAsia" w:ascii="宋体" w:hAnsi="宋体" w:cs="宋体"/>
          <w:b/>
          <w:bCs/>
          <w:color w:val="auto"/>
          <w:szCs w:val="21"/>
        </w:rPr>
        <w:t>13.1</w:t>
      </w:r>
      <w:r>
        <w:rPr>
          <w:rFonts w:hint="eastAsia" w:ascii="宋体" w:hAnsi="宋体" w:cs="宋体"/>
          <w:b/>
          <w:color w:val="auto"/>
          <w:szCs w:val="21"/>
        </w:rPr>
        <w:t>投标文件组成【格式见第六章“投标文件（格式）”】</w:t>
      </w:r>
    </w:p>
    <w:p>
      <w:pPr>
        <w:tabs>
          <w:tab w:val="left" w:pos="1305"/>
        </w:tabs>
        <w:spacing w:line="400" w:lineRule="exact"/>
        <w:ind w:firstLine="422" w:firstLineChars="200"/>
        <w:rPr>
          <w:rFonts w:ascii="宋体" w:hAnsi="宋体" w:cs="宋体"/>
          <w:b/>
          <w:color w:val="auto"/>
          <w:szCs w:val="21"/>
          <w:u w:val="single"/>
        </w:rPr>
      </w:pPr>
      <w:r>
        <w:rPr>
          <w:rFonts w:hint="eastAsia" w:ascii="宋体" w:hAnsi="宋体" w:cs="宋体"/>
          <w:b/>
          <w:color w:val="auto"/>
          <w:szCs w:val="21"/>
        </w:rPr>
        <w:t>13.1.1投标报价表（格式见附件）</w:t>
      </w:r>
      <w:r>
        <w:rPr>
          <w:rFonts w:hint="eastAsia" w:ascii="宋体" w:hAnsi="宋体" w:cs="宋体"/>
          <w:b/>
          <w:bCs/>
          <w:color w:val="auto"/>
          <w:szCs w:val="21"/>
        </w:rPr>
        <w:t>（必须提供）</w:t>
      </w:r>
    </w:p>
    <w:p>
      <w:pPr>
        <w:tabs>
          <w:tab w:val="left" w:pos="1305"/>
        </w:tabs>
        <w:spacing w:line="400" w:lineRule="exact"/>
        <w:ind w:firstLine="422" w:firstLineChars="200"/>
        <w:rPr>
          <w:rFonts w:ascii="宋体" w:hAnsi="宋体" w:cs="宋体"/>
          <w:b/>
          <w:color w:val="auto"/>
          <w:szCs w:val="21"/>
        </w:rPr>
      </w:pPr>
      <w:r>
        <w:rPr>
          <w:rFonts w:hint="eastAsia" w:ascii="宋体" w:hAnsi="宋体" w:cs="宋体"/>
          <w:b/>
          <w:color w:val="auto"/>
          <w:szCs w:val="21"/>
        </w:rPr>
        <w:t>13.1.2资格性响应证明材料：</w:t>
      </w:r>
    </w:p>
    <w:p>
      <w:pPr>
        <w:spacing w:line="400" w:lineRule="exact"/>
        <w:ind w:firstLine="411" w:firstLineChars="196"/>
        <w:rPr>
          <w:rFonts w:ascii="宋体" w:hAnsi="宋体" w:cs="宋体"/>
          <w:color w:val="auto"/>
          <w:szCs w:val="21"/>
        </w:rPr>
      </w:pPr>
      <w:r>
        <w:rPr>
          <w:rFonts w:hint="eastAsia" w:ascii="宋体" w:hAnsi="宋体" w:cs="宋体"/>
          <w:color w:val="auto"/>
          <w:szCs w:val="21"/>
        </w:rPr>
        <w:t>（1）投标人相应的法定代表人、负责人、自然人身份证正反面复印件</w:t>
      </w:r>
      <w:r>
        <w:rPr>
          <w:rFonts w:hint="eastAsia" w:ascii="宋体" w:hAnsi="宋体" w:cs="宋体"/>
          <w:b/>
          <w:bCs/>
          <w:color w:val="auto"/>
          <w:szCs w:val="21"/>
        </w:rPr>
        <w:t>（必须提供）</w:t>
      </w:r>
      <w:r>
        <w:rPr>
          <w:rFonts w:hint="eastAsia" w:ascii="宋体" w:hAnsi="宋体" w:cs="宋体"/>
          <w:color w:val="auto"/>
          <w:szCs w:val="21"/>
        </w:rPr>
        <w:t>；</w:t>
      </w:r>
    </w:p>
    <w:p>
      <w:pPr>
        <w:spacing w:line="400" w:lineRule="exact"/>
        <w:ind w:firstLine="411" w:firstLineChars="196"/>
        <w:rPr>
          <w:rFonts w:hint="eastAsia" w:ascii="宋体" w:hAnsi="宋体" w:cs="宋体"/>
          <w:color w:val="auto"/>
          <w:szCs w:val="21"/>
          <w:lang w:eastAsia="zh-CN"/>
        </w:rPr>
      </w:pPr>
      <w:r>
        <w:rPr>
          <w:rFonts w:hint="eastAsia" w:ascii="宋体" w:hAnsi="宋体" w:cs="宋体"/>
          <w:color w:val="auto"/>
          <w:szCs w:val="21"/>
          <w:u w:val="none"/>
        </w:rPr>
        <w:t>（2）投标人的授权委托书原件、委托代理人身份证正反面复印件以及由县级以上（含县级）社会养老保险经办机构出具的投标人为委托代理人交纳的开标截止时间前半年内任意连续三个月社保证明复印件</w:t>
      </w:r>
      <w:r>
        <w:rPr>
          <w:rFonts w:hint="eastAsia" w:ascii="宋体" w:hAnsi="宋体" w:cs="宋体"/>
          <w:color w:val="auto"/>
          <w:szCs w:val="21"/>
          <w:u w:val="none"/>
          <w:lang w:eastAsia="zh-CN"/>
        </w:rPr>
        <w:t>，</w:t>
      </w:r>
      <w:r>
        <w:rPr>
          <w:rFonts w:hint="eastAsia" w:ascii="宋体" w:hAnsi="宋体" w:cs="宋体"/>
          <w:color w:val="auto"/>
          <w:szCs w:val="21"/>
          <w:lang w:eastAsia="zh-CN"/>
        </w:rPr>
        <w:t>除投标人为以下三种情形的：</w:t>
      </w:r>
    </w:p>
    <w:p>
      <w:pPr>
        <w:spacing w:line="400" w:lineRule="exact"/>
        <w:ind w:firstLine="411" w:firstLineChars="196"/>
        <w:rPr>
          <w:rFonts w:hint="eastAsia" w:ascii="宋体" w:hAnsi="宋体" w:cs="宋体"/>
          <w:color w:val="auto"/>
          <w:szCs w:val="21"/>
        </w:rPr>
      </w:pPr>
      <w:r>
        <w:rPr>
          <w:rFonts w:hint="eastAsia" w:ascii="宋体" w:hAnsi="宋体" w:cs="宋体"/>
          <w:color w:val="auto"/>
          <w:szCs w:val="21"/>
          <w:lang w:eastAsia="zh-CN"/>
        </w:rPr>
        <w:t>①</w:t>
      </w:r>
      <w:r>
        <w:rPr>
          <w:rFonts w:hint="eastAsia" w:ascii="宋体" w:hAnsi="宋体" w:cs="宋体"/>
          <w:color w:val="auto"/>
          <w:szCs w:val="21"/>
        </w:rPr>
        <w:t>如投标人为截标时间前60日以内成立的公司，可以提供投标人与委托代理人签订的劳动合同复印件代替社保证明复印件；</w:t>
      </w:r>
    </w:p>
    <w:p>
      <w:pPr>
        <w:spacing w:line="400" w:lineRule="exact"/>
        <w:ind w:firstLine="411" w:firstLineChars="196"/>
        <w:rPr>
          <w:rFonts w:hint="eastAsia" w:ascii="宋体" w:hAnsi="宋体" w:cs="宋体"/>
          <w:color w:val="auto"/>
          <w:szCs w:val="21"/>
        </w:rPr>
      </w:pPr>
      <w:r>
        <w:rPr>
          <w:rFonts w:hint="eastAsia" w:ascii="宋体" w:hAnsi="宋体" w:cs="宋体"/>
          <w:color w:val="auto"/>
          <w:szCs w:val="21"/>
          <w:lang w:eastAsia="zh-CN"/>
        </w:rPr>
        <w:t>②</w:t>
      </w:r>
      <w:r>
        <w:rPr>
          <w:rFonts w:hint="eastAsia" w:ascii="宋体" w:hAnsi="宋体" w:cs="宋体"/>
          <w:color w:val="auto"/>
          <w:szCs w:val="21"/>
        </w:rPr>
        <w:t>如投标人为事业单位，可以提供事业单位机构编制管理证复印件或事业单位机构为其发放工资的工资条复印件代替社保证明复印件；</w:t>
      </w:r>
    </w:p>
    <w:p>
      <w:pPr>
        <w:spacing w:line="400" w:lineRule="exact"/>
        <w:ind w:firstLine="411" w:firstLineChars="196"/>
        <w:rPr>
          <w:rFonts w:hint="eastAsia" w:ascii="宋体" w:hAnsi="宋体" w:eastAsia="宋体" w:cs="宋体"/>
          <w:color w:val="auto"/>
          <w:szCs w:val="21"/>
          <w:lang w:eastAsia="zh-CN"/>
        </w:rPr>
      </w:pPr>
      <w:r>
        <w:rPr>
          <w:rFonts w:hint="eastAsia" w:ascii="宋体" w:hAnsi="宋体" w:cs="宋体"/>
          <w:color w:val="auto"/>
          <w:szCs w:val="21"/>
          <w:lang w:eastAsia="zh-CN"/>
        </w:rPr>
        <w:t>③</w:t>
      </w:r>
      <w:r>
        <w:rPr>
          <w:rFonts w:hint="eastAsia" w:ascii="宋体" w:hAnsi="宋体" w:cs="宋体"/>
          <w:color w:val="auto"/>
          <w:szCs w:val="21"/>
        </w:rPr>
        <w:t>如委托代理人为免缴纳社保人员，提供免缴纳社保的证明材料复印件及投标人与委托代理人签订的劳动合同复印件代替社保证明复印件</w:t>
      </w:r>
      <w:r>
        <w:rPr>
          <w:rFonts w:hint="eastAsia" w:ascii="宋体" w:hAnsi="宋体" w:cs="宋体"/>
          <w:color w:val="auto"/>
          <w:szCs w:val="21"/>
          <w:lang w:eastAsia="zh-CN"/>
        </w:rPr>
        <w:t>。</w:t>
      </w:r>
    </w:p>
    <w:p>
      <w:pPr>
        <w:spacing w:line="400" w:lineRule="exact"/>
        <w:ind w:firstLine="413" w:firstLineChars="196"/>
        <w:rPr>
          <w:rFonts w:ascii="宋体" w:hAnsi="宋体" w:cs="宋体"/>
          <w:color w:val="auto"/>
          <w:szCs w:val="21"/>
        </w:rPr>
      </w:pPr>
      <w:r>
        <w:rPr>
          <w:rFonts w:hint="eastAsia" w:ascii="宋体" w:hAnsi="宋体" w:cs="宋体"/>
          <w:b/>
          <w:bCs/>
          <w:color w:val="auto"/>
          <w:szCs w:val="21"/>
        </w:rPr>
        <w:t>【</w:t>
      </w:r>
      <w:r>
        <w:rPr>
          <w:rFonts w:hint="eastAsia" w:ascii="宋体" w:hAnsi="宋体" w:cs="宋体"/>
          <w:b/>
          <w:bCs/>
          <w:color w:val="auto"/>
          <w:szCs w:val="21"/>
          <w:lang w:eastAsia="zh-CN"/>
        </w:rPr>
        <w:t>属</w:t>
      </w:r>
      <w:r>
        <w:rPr>
          <w:rFonts w:hint="eastAsia" w:ascii="宋体" w:hAnsi="宋体" w:cs="宋体"/>
          <w:b/>
          <w:bCs/>
          <w:color w:val="auto"/>
          <w:szCs w:val="21"/>
        </w:rPr>
        <w:t>自然人的应提供由县级以上（含县级）社会养老保险经办机构出具的自然人本人及委托代理人所交纳的开标截止时间前半年内任意连续三个月社保证明复印件】</w:t>
      </w:r>
      <w:r>
        <w:rPr>
          <w:rFonts w:hint="eastAsia" w:ascii="宋体" w:hAnsi="宋体" w:cs="宋体"/>
          <w:b/>
          <w:color w:val="auto"/>
          <w:szCs w:val="21"/>
        </w:rPr>
        <w:t>（委托代理时必须提供</w:t>
      </w:r>
      <w:r>
        <w:rPr>
          <w:rFonts w:hint="eastAsia" w:ascii="宋体" w:hAnsi="宋体" w:cs="宋体"/>
          <w:b/>
          <w:color w:val="auto"/>
          <w:szCs w:val="21"/>
          <w:lang w:eastAsia="zh-CN"/>
        </w:rPr>
        <w:t>；</w:t>
      </w:r>
      <w:r>
        <w:rPr>
          <w:rFonts w:hint="eastAsia" w:ascii="宋体" w:hAnsi="宋体" w:cs="宋体"/>
          <w:b/>
          <w:bCs/>
          <w:color w:val="auto"/>
          <w:szCs w:val="21"/>
        </w:rPr>
        <w:t>如为联合体的，授权委托书原件须由牵头人出具</w:t>
      </w:r>
      <w:r>
        <w:rPr>
          <w:rFonts w:hint="eastAsia" w:ascii="宋体" w:hAnsi="宋体" w:cs="宋体"/>
          <w:b/>
          <w:color w:val="auto"/>
          <w:szCs w:val="21"/>
        </w:rPr>
        <w:t>）；</w:t>
      </w:r>
    </w:p>
    <w:p>
      <w:pPr>
        <w:spacing w:line="400" w:lineRule="exact"/>
        <w:ind w:firstLine="411" w:firstLineChars="196"/>
        <w:rPr>
          <w:rFonts w:ascii="宋体" w:hAnsi="宋体" w:cs="宋体"/>
          <w:color w:val="auto"/>
          <w:szCs w:val="21"/>
        </w:rPr>
      </w:pPr>
      <w:r>
        <w:rPr>
          <w:rFonts w:hint="eastAsia" w:ascii="宋体" w:hAnsi="宋体" w:cs="宋体"/>
          <w:color w:val="auto"/>
          <w:szCs w:val="21"/>
        </w:rPr>
        <w:t>（3）投标人的法人或者其他组织营业执照等证明文件复印件</w:t>
      </w:r>
      <w:r>
        <w:rPr>
          <w:rFonts w:hint="eastAsia" w:ascii="宋体" w:hAnsi="宋体" w:cs="宋体"/>
          <w:b/>
          <w:color w:val="auto"/>
          <w:szCs w:val="21"/>
        </w:rPr>
        <w:t>（必须提供，自然人除外）</w:t>
      </w:r>
      <w:r>
        <w:rPr>
          <w:rFonts w:hint="eastAsia" w:ascii="宋体" w:hAnsi="宋体" w:cs="宋体"/>
          <w:color w:val="auto"/>
          <w:szCs w:val="21"/>
        </w:rPr>
        <w:t>；</w:t>
      </w:r>
    </w:p>
    <w:p>
      <w:pPr>
        <w:tabs>
          <w:tab w:val="left" w:pos="1305"/>
        </w:tabs>
        <w:spacing w:line="400" w:lineRule="exact"/>
        <w:ind w:firstLine="422" w:firstLineChars="200"/>
        <w:rPr>
          <w:rFonts w:ascii="宋体" w:hAnsi="宋体" w:cs="宋体"/>
          <w:color w:val="auto"/>
          <w:szCs w:val="21"/>
          <w:u w:val="single"/>
        </w:rPr>
      </w:pPr>
      <w:r>
        <w:rPr>
          <w:rFonts w:hint="eastAsia" w:ascii="宋体" w:hAnsi="宋体" w:cs="宋体"/>
          <w:b/>
          <w:color w:val="auto"/>
          <w:szCs w:val="21"/>
          <w:u w:val="single"/>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所需材料均为复印件）</w:t>
      </w:r>
    </w:p>
    <w:p>
      <w:pPr>
        <w:numPr>
          <w:ilvl w:val="0"/>
          <w:numId w:val="3"/>
        </w:numPr>
        <w:spacing w:line="400" w:lineRule="exact"/>
        <w:ind w:firstLine="411" w:firstLineChars="196"/>
        <w:rPr>
          <w:rFonts w:ascii="宋体" w:hAnsi="宋体" w:cs="宋体"/>
          <w:color w:val="auto"/>
          <w:szCs w:val="21"/>
        </w:rPr>
      </w:pPr>
      <w:r>
        <w:rPr>
          <w:rFonts w:hint="eastAsia" w:ascii="宋体" w:hAnsi="宋体" w:cs="宋体"/>
          <w:color w:val="auto"/>
          <w:szCs w:val="21"/>
          <w:lang w:eastAsia="zh-CN"/>
        </w:rPr>
        <w:t>投标人</w:t>
      </w:r>
      <w:r>
        <w:rPr>
          <w:rFonts w:hint="eastAsia" w:ascii="宋体" w:hAnsi="宋体" w:cs="宋体"/>
          <w:color w:val="auto"/>
          <w:szCs w:val="21"/>
        </w:rPr>
        <w:t>近三年中任一年度经第三方审计的财务状况报告复印件（或银行出具的资信证明或财政部门认可的政府采购专业担保机构出具的投标担保函）</w:t>
      </w:r>
      <w:r>
        <w:rPr>
          <w:rFonts w:hint="eastAsia" w:ascii="宋体" w:hAnsi="宋体" w:cs="宋体"/>
          <w:b/>
          <w:bCs/>
          <w:color w:val="auto"/>
          <w:szCs w:val="21"/>
        </w:rPr>
        <w:t>（必须提供）</w:t>
      </w:r>
      <w:r>
        <w:rPr>
          <w:rFonts w:hint="eastAsia" w:ascii="宋体" w:hAnsi="宋体" w:cs="宋体"/>
          <w:color w:val="auto"/>
          <w:szCs w:val="21"/>
        </w:rPr>
        <w:t>；</w:t>
      </w:r>
    </w:p>
    <w:p>
      <w:pPr>
        <w:numPr>
          <w:ilvl w:val="0"/>
          <w:numId w:val="3"/>
        </w:numPr>
        <w:spacing w:line="400" w:lineRule="exact"/>
        <w:ind w:firstLine="411" w:firstLineChars="196"/>
        <w:rPr>
          <w:rFonts w:ascii="宋体" w:hAnsi="宋体" w:cs="宋体"/>
          <w:color w:val="auto"/>
          <w:szCs w:val="21"/>
        </w:rPr>
      </w:pPr>
      <w:r>
        <w:rPr>
          <w:rFonts w:hint="eastAsia" w:ascii="宋体" w:hAnsi="宋体" w:cs="宋体"/>
          <w:color w:val="auto"/>
          <w:szCs w:val="21"/>
        </w:rPr>
        <w:t>投标人参加政府采购活动前3年内在经营活动中没有重大违法记录及有关信用信息的书面声明</w:t>
      </w:r>
      <w:r>
        <w:rPr>
          <w:rFonts w:hint="eastAsia" w:ascii="宋体" w:hAnsi="宋体" w:cs="宋体"/>
          <w:b/>
          <w:color w:val="auto"/>
          <w:szCs w:val="21"/>
        </w:rPr>
        <w:t>（必须提供）</w:t>
      </w:r>
      <w:r>
        <w:rPr>
          <w:rFonts w:hint="eastAsia" w:ascii="宋体" w:hAnsi="宋体" w:cs="宋体"/>
          <w:color w:val="auto"/>
          <w:szCs w:val="21"/>
        </w:rPr>
        <w:t>；</w:t>
      </w:r>
    </w:p>
    <w:p>
      <w:pPr>
        <w:numPr>
          <w:ilvl w:val="0"/>
          <w:numId w:val="3"/>
        </w:numPr>
        <w:spacing w:line="400" w:lineRule="exact"/>
        <w:ind w:firstLine="411" w:firstLineChars="196"/>
        <w:rPr>
          <w:rFonts w:ascii="宋体" w:hAnsi="宋体" w:cs="宋体"/>
          <w:color w:val="auto"/>
          <w:szCs w:val="21"/>
        </w:rPr>
      </w:pPr>
      <w:r>
        <w:rPr>
          <w:rFonts w:hint="eastAsia" w:ascii="宋体" w:hAnsi="宋体" w:cs="宋体"/>
          <w:color w:val="auto"/>
          <w:szCs w:val="21"/>
          <w:lang w:eastAsia="zh-CN"/>
        </w:rPr>
        <w:t>投标人</w:t>
      </w:r>
      <w:r>
        <w:rPr>
          <w:rFonts w:hint="eastAsia" w:ascii="宋体" w:hAnsi="宋体" w:cs="宋体"/>
          <w:color w:val="auto"/>
          <w:szCs w:val="21"/>
        </w:rPr>
        <w:t>近半年内任意一个月或任一季度依法缴纳税收的证明材料</w:t>
      </w:r>
      <w:r>
        <w:rPr>
          <w:rFonts w:hint="eastAsia" w:ascii="宋体" w:hAnsi="宋体" w:cs="宋体"/>
          <w:color w:val="auto"/>
          <w:szCs w:val="21"/>
          <w:lang w:eastAsia="zh-CN"/>
        </w:rPr>
        <w:t>【</w:t>
      </w:r>
      <w:r>
        <w:rPr>
          <w:rFonts w:hint="eastAsia" w:ascii="宋体" w:hAnsi="宋体" w:cs="宋体"/>
          <w:color w:val="auto"/>
          <w:szCs w:val="21"/>
        </w:rPr>
        <w:t>增值税发票(税收完税证明)或企业所得税完税证明或税务部门出具的免税证明</w:t>
      </w:r>
      <w:r>
        <w:rPr>
          <w:rFonts w:hint="eastAsia" w:ascii="宋体" w:hAnsi="宋体" w:cs="宋体"/>
          <w:color w:val="auto"/>
          <w:szCs w:val="21"/>
          <w:lang w:eastAsia="zh-CN"/>
        </w:rPr>
        <w:t>】</w:t>
      </w:r>
      <w:r>
        <w:rPr>
          <w:rFonts w:hint="eastAsia" w:ascii="宋体" w:hAnsi="宋体" w:cs="宋体"/>
          <w:color w:val="auto"/>
          <w:szCs w:val="21"/>
        </w:rPr>
        <w:t>复印件</w:t>
      </w:r>
      <w:r>
        <w:rPr>
          <w:rFonts w:hint="eastAsia" w:ascii="宋体" w:hAnsi="宋体" w:cs="宋体"/>
          <w:b/>
          <w:bCs/>
          <w:color w:val="auto"/>
          <w:szCs w:val="21"/>
        </w:rPr>
        <w:t>（必须提供）；</w:t>
      </w:r>
    </w:p>
    <w:p>
      <w:pPr>
        <w:tabs>
          <w:tab w:val="left" w:pos="1305"/>
        </w:tabs>
        <w:spacing w:line="400" w:lineRule="exact"/>
        <w:ind w:firstLine="422" w:firstLineChars="200"/>
        <w:rPr>
          <w:rFonts w:ascii="宋体" w:hAnsi="宋体" w:cs="宋体"/>
          <w:color w:val="auto"/>
          <w:szCs w:val="21"/>
        </w:rPr>
      </w:pPr>
      <w:r>
        <w:rPr>
          <w:rFonts w:hint="eastAsia" w:ascii="宋体" w:hAnsi="宋体" w:cs="宋体"/>
          <w:b/>
          <w:color w:val="auto"/>
          <w:szCs w:val="21"/>
        </w:rPr>
        <w:t>13.1.3商务、技术性响应及其他证明材料：</w:t>
      </w:r>
    </w:p>
    <w:p>
      <w:pPr>
        <w:numPr>
          <w:ilvl w:val="0"/>
          <w:numId w:val="4"/>
        </w:num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技术规格偏离表</w:t>
      </w:r>
      <w:r>
        <w:rPr>
          <w:rFonts w:hint="eastAsia" w:ascii="宋体" w:hAnsi="宋体" w:cs="宋体"/>
          <w:bCs/>
          <w:color w:val="auto"/>
          <w:szCs w:val="21"/>
        </w:rPr>
        <w:t>（格式见附件）</w:t>
      </w:r>
      <w:r>
        <w:rPr>
          <w:rFonts w:hint="eastAsia" w:ascii="宋体" w:hAnsi="宋体" w:cs="宋体"/>
          <w:b/>
          <w:color w:val="auto"/>
          <w:szCs w:val="21"/>
        </w:rPr>
        <w:t>（必须提供）</w:t>
      </w:r>
      <w:r>
        <w:rPr>
          <w:rFonts w:hint="eastAsia" w:ascii="宋体" w:hAnsi="宋体" w:cs="宋体"/>
          <w:color w:val="auto"/>
          <w:szCs w:val="21"/>
        </w:rPr>
        <w:t>；</w:t>
      </w:r>
    </w:p>
    <w:p>
      <w:pPr>
        <w:numPr>
          <w:ilvl w:val="0"/>
          <w:numId w:val="4"/>
        </w:num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商务响应表</w:t>
      </w:r>
      <w:r>
        <w:rPr>
          <w:rFonts w:hint="eastAsia" w:ascii="宋体" w:hAnsi="宋体" w:cs="宋体"/>
          <w:bCs/>
          <w:color w:val="auto"/>
          <w:szCs w:val="21"/>
        </w:rPr>
        <w:t>（格式见附件）</w:t>
      </w:r>
      <w:r>
        <w:rPr>
          <w:rFonts w:hint="eastAsia" w:ascii="宋体" w:hAnsi="宋体" w:cs="宋体"/>
          <w:b/>
          <w:color w:val="auto"/>
          <w:szCs w:val="21"/>
        </w:rPr>
        <w:t>（必须提供）</w:t>
      </w:r>
      <w:r>
        <w:rPr>
          <w:rFonts w:hint="eastAsia" w:ascii="宋体" w:hAnsi="宋体" w:cs="宋体"/>
          <w:bCs/>
          <w:color w:val="auto"/>
          <w:szCs w:val="21"/>
        </w:rPr>
        <w:t>；</w:t>
      </w:r>
    </w:p>
    <w:p>
      <w:pPr>
        <w:numPr>
          <w:ilvl w:val="0"/>
          <w:numId w:val="4"/>
        </w:num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“货物采购需求”需提供的有效证明文件</w:t>
      </w:r>
      <w:r>
        <w:rPr>
          <w:rFonts w:hint="eastAsia" w:ascii="宋体" w:hAnsi="宋体" w:cs="宋体"/>
          <w:b/>
          <w:color w:val="auto"/>
          <w:szCs w:val="21"/>
        </w:rPr>
        <w:t>（按其要求提供）</w:t>
      </w:r>
      <w:r>
        <w:rPr>
          <w:rFonts w:hint="eastAsia" w:ascii="宋体" w:hAnsi="宋体" w:cs="宋体"/>
          <w:color w:val="auto"/>
          <w:szCs w:val="21"/>
        </w:rPr>
        <w:t>；</w:t>
      </w:r>
    </w:p>
    <w:p>
      <w:pPr>
        <w:numPr>
          <w:ilvl w:val="0"/>
          <w:numId w:val="4"/>
        </w:numPr>
        <w:tabs>
          <w:tab w:val="left" w:pos="1305"/>
        </w:tabs>
        <w:spacing w:line="400" w:lineRule="exact"/>
        <w:ind w:firstLine="420" w:firstLineChars="200"/>
        <w:rPr>
          <w:color w:val="auto"/>
        </w:rPr>
      </w:pPr>
      <w:r>
        <w:rPr>
          <w:rFonts w:hint="eastAsia" w:ascii="宋体" w:hAnsi="宋体" w:cs="宋体"/>
          <w:color w:val="auto"/>
          <w:szCs w:val="21"/>
        </w:rPr>
        <w:t>投标人的售后服务承诺书（含免费保修期、交付使用期、技术服务、技术培训、售后服务的内容和措施等）</w:t>
      </w:r>
      <w:r>
        <w:rPr>
          <w:rFonts w:hint="eastAsia" w:ascii="宋体" w:hAnsi="宋体" w:cs="宋体"/>
          <w:bCs/>
          <w:color w:val="auto"/>
          <w:szCs w:val="21"/>
        </w:rPr>
        <w:t>（格式见附件）</w:t>
      </w:r>
      <w:r>
        <w:rPr>
          <w:rFonts w:hint="eastAsia" w:ascii="宋体" w:hAnsi="宋体" w:cs="宋体"/>
          <w:b/>
          <w:color w:val="auto"/>
          <w:szCs w:val="21"/>
        </w:rPr>
        <w:t>（必须提供）</w:t>
      </w:r>
      <w:r>
        <w:rPr>
          <w:rFonts w:hint="eastAsia" w:ascii="宋体" w:hAnsi="宋体" w:cs="宋体"/>
          <w:color w:val="auto"/>
          <w:szCs w:val="21"/>
        </w:rPr>
        <w:t>；</w:t>
      </w:r>
    </w:p>
    <w:p>
      <w:pPr>
        <w:numPr>
          <w:ilvl w:val="0"/>
          <w:numId w:val="4"/>
        </w:numPr>
        <w:tabs>
          <w:tab w:val="left" w:pos="1305"/>
        </w:tabs>
        <w:spacing w:line="400" w:lineRule="exact"/>
        <w:ind w:firstLine="420" w:firstLineChars="200"/>
        <w:rPr>
          <w:color w:val="auto"/>
        </w:rPr>
      </w:pPr>
      <w:r>
        <w:rPr>
          <w:rFonts w:hint="eastAsia" w:ascii="宋体" w:hAnsi="宋体" w:cs="宋体"/>
          <w:color w:val="auto"/>
          <w:szCs w:val="21"/>
        </w:rPr>
        <w:t>项目</w:t>
      </w:r>
      <w:r>
        <w:rPr>
          <w:rFonts w:hint="eastAsia" w:ascii="宋体" w:hAnsi="宋体" w:cs="宋体"/>
          <w:color w:val="auto"/>
          <w:szCs w:val="21"/>
          <w:lang w:eastAsia="zh-CN"/>
        </w:rPr>
        <w:t>实施</w:t>
      </w:r>
      <w:r>
        <w:rPr>
          <w:rFonts w:hint="eastAsia" w:ascii="宋体" w:hAnsi="宋体" w:cs="宋体"/>
          <w:color w:val="auto"/>
          <w:szCs w:val="21"/>
        </w:rPr>
        <w:t>方案</w:t>
      </w:r>
      <w:r>
        <w:rPr>
          <w:rFonts w:hint="eastAsia" w:ascii="宋体" w:hAnsi="宋体" w:cs="宋体"/>
          <w:bCs/>
          <w:color w:val="auto"/>
          <w:szCs w:val="21"/>
        </w:rPr>
        <w:t>（格式见附件）</w:t>
      </w:r>
      <w:r>
        <w:rPr>
          <w:rFonts w:hint="eastAsia" w:ascii="宋体" w:hAnsi="宋体" w:cs="宋体"/>
          <w:b/>
          <w:color w:val="auto"/>
          <w:szCs w:val="21"/>
        </w:rPr>
        <w:t>（如有，请提供）；</w:t>
      </w:r>
    </w:p>
    <w:p>
      <w:pPr>
        <w:numPr>
          <w:ilvl w:val="0"/>
          <w:numId w:val="4"/>
        </w:numPr>
        <w:tabs>
          <w:tab w:val="left" w:pos="1305"/>
        </w:tabs>
        <w:spacing w:line="400" w:lineRule="exact"/>
        <w:ind w:firstLine="420" w:firstLineChars="200"/>
        <w:rPr>
          <w:rFonts w:ascii="宋体" w:hAnsi="宋体" w:cs="宋体"/>
          <w:color w:val="auto"/>
          <w:szCs w:val="20"/>
        </w:rPr>
      </w:pPr>
      <w:r>
        <w:rPr>
          <w:rFonts w:hint="eastAsia" w:ascii="宋体" w:hAnsi="宋体" w:cs="宋体"/>
          <w:color w:val="auto"/>
          <w:szCs w:val="21"/>
        </w:rPr>
        <w:t>项目实施人员一览表</w:t>
      </w:r>
      <w:r>
        <w:rPr>
          <w:rFonts w:hint="eastAsia" w:ascii="宋体" w:hAnsi="宋体" w:cs="宋体"/>
          <w:bCs/>
          <w:color w:val="auto"/>
          <w:szCs w:val="21"/>
        </w:rPr>
        <w:t>（格式见附件）</w:t>
      </w:r>
      <w:r>
        <w:rPr>
          <w:rFonts w:hint="eastAsia" w:ascii="宋体" w:hAnsi="宋体" w:cs="宋体"/>
          <w:b/>
          <w:bCs/>
          <w:color w:val="auto"/>
          <w:szCs w:val="21"/>
        </w:rPr>
        <w:t>【如有，请提供，并一起提供由县级以上（含县级）社会养老保险经办机构出具的投标人为项目实施人员交纳的开标截止时间前半年内任意连续三个月社保证明复印件（如投标人为截标时间前60日以内成立的公司，可以提供投标人与项目实施人员签订的劳动合同复印件代替社保证明复印件；项目实施人员为免缴纳社保人员，提供免缴纳社保的证明材料复印件及投标人与项目实施人员签订的劳动合同复印件代替社保证明复印件）】</w:t>
      </w:r>
      <w:r>
        <w:rPr>
          <w:rFonts w:hint="eastAsia" w:ascii="宋体" w:hAnsi="宋体" w:cs="宋体"/>
          <w:color w:val="auto"/>
          <w:szCs w:val="21"/>
        </w:rPr>
        <w:t>；</w:t>
      </w:r>
    </w:p>
    <w:p>
      <w:pPr>
        <w:numPr>
          <w:ilvl w:val="0"/>
          <w:numId w:val="4"/>
        </w:numPr>
        <w:tabs>
          <w:tab w:val="left" w:pos="1305"/>
        </w:tabs>
        <w:spacing w:line="400" w:lineRule="exact"/>
        <w:ind w:firstLine="420" w:firstLineChars="200"/>
        <w:rPr>
          <w:rFonts w:ascii="宋体" w:hAnsi="宋体" w:cs="宋体"/>
          <w:color w:val="auto"/>
          <w:szCs w:val="20"/>
        </w:rPr>
      </w:pPr>
      <w:r>
        <w:rPr>
          <w:rFonts w:hint="eastAsia" w:ascii="宋体" w:hAnsi="宋体" w:cs="宋体"/>
          <w:color w:val="auto"/>
          <w:szCs w:val="21"/>
        </w:rPr>
        <w:t>节能方面的证书复印件</w:t>
      </w:r>
      <w:r>
        <w:rPr>
          <w:rFonts w:hint="eastAsia" w:ascii="宋体" w:hAnsi="宋体" w:cs="宋体"/>
          <w:b/>
          <w:color w:val="auto"/>
          <w:szCs w:val="21"/>
        </w:rPr>
        <w:t>（如有，请提供）</w:t>
      </w:r>
      <w:r>
        <w:rPr>
          <w:rFonts w:hint="eastAsia" w:ascii="宋体" w:hAnsi="宋体" w:cs="宋体"/>
          <w:bCs/>
          <w:color w:val="auto"/>
          <w:szCs w:val="21"/>
        </w:rPr>
        <w:t>；</w:t>
      </w:r>
    </w:p>
    <w:p>
      <w:pPr>
        <w:numPr>
          <w:ilvl w:val="0"/>
          <w:numId w:val="4"/>
        </w:num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环境标志方面的证书复印件</w:t>
      </w:r>
      <w:r>
        <w:rPr>
          <w:rFonts w:hint="eastAsia" w:ascii="宋体" w:hAnsi="宋体" w:cs="宋体"/>
          <w:b/>
          <w:color w:val="auto"/>
          <w:szCs w:val="21"/>
        </w:rPr>
        <w:t>（如有，请提供）</w:t>
      </w:r>
      <w:r>
        <w:rPr>
          <w:rFonts w:hint="eastAsia" w:ascii="宋体" w:hAnsi="宋体" w:cs="宋体"/>
          <w:bCs/>
          <w:color w:val="auto"/>
          <w:szCs w:val="21"/>
        </w:rPr>
        <w:t>；</w:t>
      </w:r>
    </w:p>
    <w:p>
      <w:pPr>
        <w:numPr>
          <w:ilvl w:val="0"/>
          <w:numId w:val="4"/>
        </w:numPr>
        <w:tabs>
          <w:tab w:val="left" w:pos="1305"/>
        </w:tabs>
        <w:spacing w:line="400" w:lineRule="exact"/>
        <w:ind w:firstLine="420" w:firstLineChars="200"/>
        <w:rPr>
          <w:rFonts w:ascii="宋体" w:hAnsi="宋体" w:cs="宋体"/>
          <w:color w:val="auto"/>
        </w:rPr>
      </w:pPr>
      <w:r>
        <w:rPr>
          <w:rFonts w:hint="eastAsia" w:ascii="宋体" w:hAnsi="宋体" w:cs="宋体"/>
          <w:color w:val="auto"/>
        </w:rPr>
        <w:t>投标人2018年1月1日以来同类产品销售业绩的相关证明材料</w:t>
      </w:r>
      <w:r>
        <w:rPr>
          <w:rFonts w:hint="eastAsia" w:ascii="宋体" w:hAnsi="宋体" w:cs="宋体"/>
          <w:color w:val="auto"/>
          <w:szCs w:val="21"/>
        </w:rPr>
        <w:t>（无不良记录，以中标、成交通知书或签订的采购合同复印件为准，并能清晰反映所销售的货物名称、种类、金额</w:t>
      </w:r>
      <w:r>
        <w:rPr>
          <w:rFonts w:hint="eastAsia" w:ascii="宋体" w:hAnsi="宋体" w:cs="宋体"/>
          <w:color w:val="auto"/>
        </w:rPr>
        <w:t>）</w:t>
      </w:r>
      <w:r>
        <w:rPr>
          <w:rFonts w:hint="eastAsia" w:ascii="宋体" w:hAnsi="宋体" w:cs="宋体"/>
          <w:b/>
          <w:color w:val="auto"/>
        </w:rPr>
        <w:t>（如有，请提供）</w:t>
      </w:r>
      <w:r>
        <w:rPr>
          <w:rFonts w:hint="eastAsia" w:ascii="宋体" w:hAnsi="宋体" w:cs="宋体"/>
          <w:bCs/>
          <w:color w:val="auto"/>
        </w:rPr>
        <w:t>；</w:t>
      </w:r>
    </w:p>
    <w:p>
      <w:pPr>
        <w:numPr>
          <w:ilvl w:val="0"/>
          <w:numId w:val="4"/>
        </w:num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投标人为生产厂家的，投标人的生产制造设备清单及专业技术能力说明</w:t>
      </w:r>
      <w:r>
        <w:rPr>
          <w:rFonts w:hint="eastAsia" w:ascii="宋体" w:hAnsi="宋体" w:cs="宋体"/>
          <w:b/>
          <w:color w:val="auto"/>
        </w:rPr>
        <w:t>（如有，请提供）</w:t>
      </w:r>
      <w:r>
        <w:rPr>
          <w:rFonts w:hint="eastAsia" w:ascii="宋体" w:hAnsi="宋体" w:cs="宋体"/>
          <w:color w:val="auto"/>
        </w:rPr>
        <w:t>；</w:t>
      </w:r>
    </w:p>
    <w:p>
      <w:pPr>
        <w:numPr>
          <w:ilvl w:val="0"/>
          <w:numId w:val="4"/>
        </w:numPr>
        <w:tabs>
          <w:tab w:val="left" w:pos="1305"/>
        </w:tabs>
        <w:spacing w:line="400" w:lineRule="exact"/>
        <w:ind w:firstLine="420" w:firstLineChars="200"/>
        <w:rPr>
          <w:rFonts w:ascii="宋体" w:hAnsi="宋体" w:cs="宋体"/>
          <w:b/>
          <w:color w:val="auto"/>
        </w:rPr>
      </w:pPr>
      <w:r>
        <w:rPr>
          <w:rFonts w:hint="eastAsia" w:ascii="宋体" w:hAnsi="宋体" w:cs="宋体"/>
          <w:color w:val="auto"/>
          <w:szCs w:val="20"/>
        </w:rPr>
        <w:t>投标人相关获奖证书、认证证书等复印件</w:t>
      </w:r>
      <w:r>
        <w:rPr>
          <w:rFonts w:hint="eastAsia" w:ascii="宋体" w:hAnsi="宋体" w:cs="宋体"/>
          <w:b/>
          <w:color w:val="auto"/>
        </w:rPr>
        <w:t>（如有，请提供）</w:t>
      </w:r>
      <w:r>
        <w:rPr>
          <w:rFonts w:hint="eastAsia" w:ascii="宋体" w:hAnsi="宋体" w:cs="宋体"/>
          <w:color w:val="auto"/>
          <w:szCs w:val="20"/>
        </w:rPr>
        <w:t>；</w:t>
      </w:r>
    </w:p>
    <w:p>
      <w:pPr>
        <w:numPr>
          <w:ilvl w:val="0"/>
          <w:numId w:val="4"/>
        </w:numPr>
        <w:tabs>
          <w:tab w:val="left" w:pos="1305"/>
        </w:tabs>
        <w:spacing w:line="400" w:lineRule="exact"/>
        <w:ind w:firstLine="420" w:firstLineChars="200"/>
        <w:rPr>
          <w:rFonts w:ascii="宋体" w:hAnsi="宋体" w:cs="宋体"/>
          <w:color w:val="auto"/>
        </w:rPr>
      </w:pPr>
      <w:r>
        <w:rPr>
          <w:rFonts w:hint="eastAsia" w:ascii="宋体" w:hAnsi="宋体" w:cs="宋体"/>
          <w:color w:val="auto"/>
        </w:rPr>
        <w:t>投标人所投产品为广西工业产品的，如实提供《广西工业产品声明函》</w:t>
      </w:r>
      <w:r>
        <w:rPr>
          <w:rFonts w:hint="eastAsia" w:ascii="宋体" w:hAnsi="宋体" w:cs="宋体"/>
          <w:b/>
          <w:color w:val="auto"/>
        </w:rPr>
        <w:t>（如有，请提供）</w:t>
      </w:r>
      <w:r>
        <w:rPr>
          <w:rFonts w:hint="eastAsia" w:ascii="宋体" w:hAnsi="宋体" w:cs="宋体"/>
          <w:color w:val="auto"/>
        </w:rPr>
        <w:t>；</w:t>
      </w:r>
    </w:p>
    <w:p>
      <w:pPr>
        <w:numPr>
          <w:ilvl w:val="0"/>
          <w:numId w:val="4"/>
        </w:numPr>
        <w:tabs>
          <w:tab w:val="left" w:pos="1305"/>
        </w:tabs>
        <w:spacing w:line="400" w:lineRule="exact"/>
        <w:ind w:firstLine="420" w:firstLineChars="200"/>
        <w:rPr>
          <w:rFonts w:ascii="宋体" w:hAnsi="宋体" w:cs="宋体"/>
          <w:color w:val="auto"/>
        </w:rPr>
      </w:pPr>
      <w:r>
        <w:rPr>
          <w:rFonts w:hint="eastAsia" w:ascii="宋体" w:hAnsi="宋体" w:cs="宋体"/>
          <w:color w:val="auto"/>
        </w:rPr>
        <w:t>如所提供服务企业属于小型、微型企业【中小微型企业划分标准按照《国家统计局关于印发《统计上大中小微型企业划分办法（2017）》的通知》（国统字[2017]213号）执行，具体划分标准见第四章评标办法中附表《统计上大中小微型企业划分标准》】，以提供的《中小企业声明函》（见附件）为准</w:t>
      </w:r>
      <w:r>
        <w:rPr>
          <w:rFonts w:hint="eastAsia" w:ascii="宋体" w:hAnsi="宋体" w:cs="宋体"/>
          <w:b/>
          <w:bCs/>
          <w:color w:val="auto"/>
        </w:rPr>
        <w:t>（如有，请提供）</w:t>
      </w:r>
      <w:r>
        <w:rPr>
          <w:rFonts w:hint="eastAsia" w:ascii="宋体" w:hAnsi="宋体" w:cs="宋体"/>
          <w:color w:val="auto"/>
        </w:rPr>
        <w:t>；</w:t>
      </w:r>
    </w:p>
    <w:p>
      <w:pPr>
        <w:numPr>
          <w:ilvl w:val="0"/>
          <w:numId w:val="4"/>
        </w:num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rPr>
        <w:t>如产品属于监狱企业的，以提供由省级以上监狱管理局、戒毒管理局（含新疆生产建设兵团）出具的属于监狱企业的证明文件为准</w:t>
      </w:r>
      <w:r>
        <w:rPr>
          <w:rFonts w:hint="eastAsia" w:ascii="宋体" w:hAnsi="宋体" w:cs="宋体"/>
          <w:color w:val="auto"/>
          <w:kern w:val="0"/>
          <w:sz w:val="24"/>
        </w:rPr>
        <w:t>（</w:t>
      </w:r>
      <w:r>
        <w:rPr>
          <w:rFonts w:hint="eastAsia" w:ascii="宋体" w:hAnsi="宋体" w:cs="宋体"/>
          <w:b/>
          <w:color w:val="auto"/>
        </w:rPr>
        <w:t>如有，请提供</w:t>
      </w:r>
      <w:r>
        <w:rPr>
          <w:rFonts w:hint="eastAsia" w:ascii="宋体" w:hAnsi="宋体" w:cs="宋体"/>
          <w:color w:val="auto"/>
          <w:kern w:val="0"/>
          <w:sz w:val="24"/>
        </w:rPr>
        <w:t>）；</w:t>
      </w:r>
    </w:p>
    <w:p>
      <w:pPr>
        <w:numPr>
          <w:ilvl w:val="0"/>
          <w:numId w:val="4"/>
        </w:num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rPr>
        <w:t>符合条件的残疾人福利性单位在参加政府采购活动时，应当提供《残疾人福利性单位声明函》（见附件），并对声明的真实性负责</w:t>
      </w:r>
      <w:r>
        <w:rPr>
          <w:rFonts w:hint="eastAsia" w:ascii="宋体" w:hAnsi="宋体" w:cs="宋体"/>
          <w:b/>
          <w:bCs/>
          <w:color w:val="auto"/>
        </w:rPr>
        <w:t>（如有，请提供）</w:t>
      </w:r>
      <w:r>
        <w:rPr>
          <w:rFonts w:hint="eastAsia" w:ascii="宋体" w:hAnsi="宋体" w:cs="宋体"/>
          <w:color w:val="auto"/>
        </w:rPr>
        <w:t>；</w:t>
      </w:r>
    </w:p>
    <w:p>
      <w:pPr>
        <w:numPr>
          <w:ilvl w:val="0"/>
          <w:numId w:val="4"/>
        </w:num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投标人可结合本项目的评标办法视自身情况自行提交相关证明材料</w:t>
      </w:r>
      <w:r>
        <w:rPr>
          <w:rFonts w:hint="eastAsia" w:ascii="宋体" w:hAnsi="宋体" w:cs="宋体"/>
          <w:b/>
          <w:color w:val="auto"/>
        </w:rPr>
        <w:t>（如有，请提供）</w:t>
      </w:r>
      <w:r>
        <w:rPr>
          <w:rFonts w:hint="eastAsia" w:ascii="宋体" w:hAnsi="宋体" w:cs="宋体"/>
          <w:color w:val="auto"/>
          <w:szCs w:val="21"/>
        </w:rPr>
        <w:t>。</w:t>
      </w:r>
    </w:p>
    <w:p>
      <w:pPr>
        <w:spacing w:line="400" w:lineRule="exact"/>
        <w:ind w:firstLine="420"/>
        <w:rPr>
          <w:rFonts w:ascii="宋体" w:hAnsi="宋体" w:cs="宋体"/>
          <w:color w:val="auto"/>
          <w:szCs w:val="21"/>
        </w:rPr>
      </w:pPr>
      <w:r>
        <w:rPr>
          <w:rFonts w:hint="eastAsia" w:ascii="宋体" w:hAnsi="宋体" w:cs="宋体"/>
          <w:b/>
          <w:color w:val="auto"/>
          <w:szCs w:val="21"/>
        </w:rPr>
        <w:t>投标人提供的以上相关证明材料应真实有效，属于“必须提供”的文件应加盖投标人公章（扫描公章无效，自然人除外），否则投标无效。</w:t>
      </w:r>
    </w:p>
    <w:p>
      <w:pPr>
        <w:spacing w:line="400" w:lineRule="exact"/>
        <w:ind w:firstLine="420"/>
        <w:rPr>
          <w:rFonts w:ascii="宋体" w:hAnsi="宋体" w:cs="宋体"/>
          <w:color w:val="auto"/>
        </w:rPr>
      </w:pPr>
      <w:r>
        <w:rPr>
          <w:rFonts w:hint="eastAsia" w:ascii="宋体" w:hAnsi="宋体" w:cs="宋体"/>
          <w:color w:val="auto"/>
          <w:szCs w:val="21"/>
        </w:rPr>
        <w:t>13.2</w:t>
      </w:r>
      <w:r>
        <w:rPr>
          <w:rFonts w:hint="eastAsia" w:ascii="宋体" w:hAnsi="宋体" w:cs="宋体"/>
          <w:color w:val="auto"/>
        </w:rPr>
        <w:t>投标人应按招标文件第六章“投标文件（格式）”编制投标文件。</w:t>
      </w:r>
    </w:p>
    <w:p>
      <w:pPr>
        <w:spacing w:line="400" w:lineRule="exact"/>
        <w:ind w:firstLine="420"/>
        <w:rPr>
          <w:rFonts w:ascii="宋体" w:hAnsi="宋体" w:cs="宋体"/>
          <w:color w:val="auto"/>
        </w:rPr>
      </w:pPr>
      <w:r>
        <w:rPr>
          <w:rFonts w:hint="eastAsia" w:ascii="宋体" w:hAnsi="宋体" w:cs="宋体"/>
          <w:color w:val="auto"/>
        </w:rPr>
        <w:t>13.3投标文件应当对招标文件提出的要求和条件作出明确响应。</w:t>
      </w:r>
    </w:p>
    <w:p>
      <w:pPr>
        <w:spacing w:line="400" w:lineRule="exact"/>
        <w:ind w:firstLine="413" w:firstLineChars="196"/>
        <w:outlineLvl w:val="2"/>
        <w:rPr>
          <w:rFonts w:ascii="宋体" w:hAnsi="宋体" w:cs="宋体"/>
          <w:b/>
          <w:color w:val="auto"/>
          <w:szCs w:val="21"/>
        </w:rPr>
      </w:pPr>
      <w:bookmarkStart w:id="80" w:name="_Toc11037"/>
      <w:bookmarkStart w:id="81" w:name="_Toc20973"/>
      <w:r>
        <w:rPr>
          <w:rFonts w:hint="eastAsia" w:ascii="宋体" w:hAnsi="宋体" w:cs="宋体"/>
          <w:b/>
          <w:color w:val="auto"/>
          <w:szCs w:val="21"/>
        </w:rPr>
        <w:t>14. 投标文件的语言及计量</w:t>
      </w:r>
      <w:bookmarkEnd w:id="80"/>
      <w:bookmarkEnd w:id="81"/>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14.1投标文件以及投标人与采购人或者采购代理机构就有关投标事宜的所有来往函电，均应以中文汉语书写。投标人提交的支持文件和印刷的文献可以使用别的语言，但其相应内容必须附有中文翻译文本，在解释投标文件时以中文翻译文本为主。</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14.2投标计量单位，招标文件已有明确规定的，使用招标文件规定的计量单位；招标文件没有规定的，应采用中华人民共和国法定计量单位（货币单位：元人民币），否则视同未响应。</w:t>
      </w:r>
    </w:p>
    <w:p>
      <w:pPr>
        <w:numPr>
          <w:ilvl w:val="0"/>
          <w:numId w:val="5"/>
        </w:numPr>
        <w:spacing w:line="400" w:lineRule="exact"/>
        <w:ind w:firstLine="413" w:firstLineChars="196"/>
        <w:outlineLvl w:val="2"/>
        <w:rPr>
          <w:rFonts w:ascii="宋体" w:hAnsi="宋体" w:cs="宋体"/>
          <w:b/>
          <w:color w:val="auto"/>
          <w:szCs w:val="21"/>
        </w:rPr>
      </w:pPr>
      <w:bookmarkStart w:id="82" w:name="_Toc3841"/>
      <w:bookmarkStart w:id="83" w:name="_Toc8372"/>
      <w:r>
        <w:rPr>
          <w:rFonts w:hint="eastAsia" w:ascii="宋体" w:hAnsi="宋体" w:cs="宋体"/>
          <w:b/>
          <w:color w:val="auto"/>
          <w:szCs w:val="21"/>
        </w:rPr>
        <w:t>投标报价</w:t>
      </w:r>
      <w:bookmarkEnd w:id="82"/>
      <w:bookmarkEnd w:id="83"/>
    </w:p>
    <w:p>
      <w:pPr>
        <w:spacing w:line="360" w:lineRule="exact"/>
        <w:ind w:firstLine="420" w:firstLineChars="200"/>
        <w:rPr>
          <w:rFonts w:ascii="宋体" w:hAnsi="宋体" w:cs="宋体"/>
          <w:color w:val="auto"/>
          <w:szCs w:val="21"/>
        </w:rPr>
      </w:pPr>
      <w:r>
        <w:rPr>
          <w:rFonts w:hint="eastAsia" w:ascii="宋体" w:hAnsi="宋体" w:cs="宋体"/>
          <w:color w:val="auto"/>
          <w:szCs w:val="21"/>
        </w:rPr>
        <w:t>15.1投标报价应按招标文件中第六章“投标文件（格式）”填写，本项目采购预算金额：</w:t>
      </w:r>
      <w:r>
        <w:rPr>
          <w:rFonts w:hint="eastAsia" w:ascii="宋体" w:hAnsi="宋体" w:cs="宋体"/>
          <w:color w:val="auto"/>
          <w:szCs w:val="21"/>
          <w:u w:val="single"/>
        </w:rPr>
        <w:t>人民币贰佰零柒万元整（¥2070000.00）</w:t>
      </w:r>
      <w:r>
        <w:rPr>
          <w:rFonts w:hint="eastAsia" w:ascii="宋体" w:hAnsi="宋体" w:cs="宋体"/>
          <w:color w:val="auto"/>
          <w:szCs w:val="21"/>
        </w:rPr>
        <w:t>，投标报价超过采购预算金额的，投标文件按无效处理。</w:t>
      </w:r>
    </w:p>
    <w:p>
      <w:pPr>
        <w:spacing w:line="400" w:lineRule="exact"/>
        <w:ind w:firstLine="420" w:firstLineChars="200"/>
        <w:rPr>
          <w:rFonts w:ascii="宋体" w:hAnsi="宋体" w:cs="宋体"/>
          <w:color w:val="auto"/>
          <w:szCs w:val="21"/>
        </w:rPr>
      </w:pPr>
      <w:r>
        <w:rPr>
          <w:rFonts w:hint="eastAsia" w:ascii="宋体" w:hAnsi="宋体" w:cs="宋体"/>
          <w:color w:val="auto"/>
          <w:szCs w:val="21"/>
        </w:rPr>
        <w:t>15.2投标人必须就“货物采购需求”中所投分标内容作完整唯一报价，否则，其投标将被拒绝；投标文件只允许有一个报价，有选择的或有条件的报价将不予接受。</w:t>
      </w:r>
    </w:p>
    <w:p>
      <w:pPr>
        <w:spacing w:line="400" w:lineRule="exact"/>
        <w:ind w:firstLine="420" w:firstLineChars="200"/>
        <w:rPr>
          <w:rFonts w:ascii="宋体" w:hAnsi="宋体" w:cs="宋体"/>
          <w:color w:val="auto"/>
          <w:szCs w:val="21"/>
        </w:rPr>
      </w:pPr>
      <w:r>
        <w:rPr>
          <w:rFonts w:hint="eastAsia" w:ascii="宋体" w:hAnsi="宋体" w:cs="宋体"/>
          <w:color w:val="auto"/>
          <w:szCs w:val="21"/>
        </w:rPr>
        <w:t>15.3投标报价应包括本次招标采购范围内货物价款、货物随配标准附件、包装、运输、装卸、保险、税金、货到位以及安装、安装所需辅材、调试、检验、售后服务、培训、保修及其他所有成本费用的总和，</w:t>
      </w:r>
      <w:r>
        <w:rPr>
          <w:rFonts w:hint="eastAsia" w:ascii="宋体" w:hAnsi="宋体" w:cs="宋体"/>
          <w:color w:val="auto"/>
        </w:rPr>
        <w:t>投标人应综合考虑在报价中。</w:t>
      </w:r>
    </w:p>
    <w:p>
      <w:pPr>
        <w:spacing w:line="400" w:lineRule="exact"/>
        <w:ind w:firstLine="413" w:firstLineChars="196"/>
        <w:outlineLvl w:val="2"/>
        <w:rPr>
          <w:rFonts w:ascii="宋体" w:hAnsi="宋体" w:cs="宋体"/>
          <w:b/>
          <w:color w:val="auto"/>
          <w:szCs w:val="21"/>
        </w:rPr>
      </w:pPr>
      <w:bookmarkStart w:id="84" w:name="_Toc22333"/>
      <w:bookmarkStart w:id="85" w:name="_Toc25609"/>
      <w:r>
        <w:rPr>
          <w:rFonts w:hint="eastAsia" w:ascii="宋体" w:hAnsi="宋体" w:cs="宋体"/>
          <w:b/>
          <w:color w:val="auto"/>
          <w:szCs w:val="21"/>
        </w:rPr>
        <w:t>16. 投标有效期</w:t>
      </w:r>
      <w:bookmarkEnd w:id="84"/>
      <w:bookmarkEnd w:id="85"/>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16.1投标有效期：</w:t>
      </w:r>
      <w:r>
        <w:rPr>
          <w:rFonts w:hint="eastAsia" w:ascii="宋体" w:hAnsi="宋体" w:cs="宋体"/>
          <w:color w:val="auto"/>
        </w:rPr>
        <w:t>投标截止时间之日起90天</w:t>
      </w:r>
      <w:r>
        <w:rPr>
          <w:rFonts w:hint="eastAsia" w:ascii="宋体" w:hAnsi="宋体" w:cs="宋体"/>
          <w:color w:val="auto"/>
          <w:sz w:val="22"/>
          <w:szCs w:val="22"/>
        </w:rPr>
        <w:t>。</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16.2出现特殊情况下，需要延长投标有效期的，采购代理机构以书面形式通知投标人延长投标有效期。投标人同意延长的，原投标文件继续有效。投标人拒绝延长的，其投标无效。</w:t>
      </w:r>
    </w:p>
    <w:p>
      <w:pPr>
        <w:spacing w:line="400" w:lineRule="exact"/>
        <w:ind w:firstLine="413" w:firstLineChars="196"/>
        <w:outlineLvl w:val="2"/>
        <w:rPr>
          <w:rFonts w:ascii="宋体" w:hAnsi="宋体" w:cs="宋体"/>
          <w:b/>
          <w:color w:val="auto"/>
          <w:szCs w:val="21"/>
        </w:rPr>
      </w:pPr>
      <w:bookmarkStart w:id="86" w:name="_Toc5668"/>
      <w:bookmarkStart w:id="87" w:name="_Toc10458"/>
      <w:r>
        <w:rPr>
          <w:rFonts w:hint="eastAsia" w:ascii="宋体" w:hAnsi="宋体" w:cs="宋体"/>
          <w:b/>
          <w:color w:val="auto"/>
          <w:szCs w:val="21"/>
        </w:rPr>
        <w:t>17. 投标保证金</w:t>
      </w:r>
      <w:bookmarkEnd w:id="86"/>
      <w:bookmarkEnd w:id="87"/>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本项目无需缴纳投标保证金。</w:t>
      </w:r>
    </w:p>
    <w:p>
      <w:pPr>
        <w:spacing w:line="400" w:lineRule="exact"/>
        <w:ind w:firstLine="413" w:firstLineChars="196"/>
        <w:outlineLvl w:val="2"/>
        <w:rPr>
          <w:rFonts w:ascii="宋体" w:hAnsi="宋体" w:cs="宋体"/>
          <w:b/>
          <w:color w:val="auto"/>
          <w:szCs w:val="21"/>
        </w:rPr>
      </w:pPr>
      <w:bookmarkStart w:id="88" w:name="_Toc5278"/>
      <w:bookmarkStart w:id="89" w:name="_Toc30873"/>
      <w:r>
        <w:rPr>
          <w:rFonts w:hint="eastAsia" w:ascii="宋体" w:hAnsi="宋体" w:cs="宋体"/>
          <w:b/>
          <w:color w:val="auto"/>
          <w:szCs w:val="21"/>
        </w:rPr>
        <w:t>18. 投标文件的份数、装订、签署和包装、密封</w:t>
      </w:r>
      <w:bookmarkEnd w:id="88"/>
      <w:bookmarkEnd w:id="89"/>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18.1</w:t>
      </w:r>
      <w:r>
        <w:rPr>
          <w:rFonts w:hint="eastAsia" w:ascii="宋体" w:hAnsi="宋体" w:cs="宋体"/>
          <w:b/>
          <w:color w:val="auto"/>
          <w:szCs w:val="21"/>
        </w:rPr>
        <w:t>投标文件份数：</w:t>
      </w:r>
      <w:r>
        <w:rPr>
          <w:rFonts w:hint="eastAsia" w:ascii="宋体" w:hAnsi="宋体" w:cs="宋体"/>
          <w:color w:val="auto"/>
          <w:szCs w:val="21"/>
        </w:rPr>
        <w:t>正本壹册，副本肆册，须完整提交。</w:t>
      </w:r>
    </w:p>
    <w:p>
      <w:pPr>
        <w:tabs>
          <w:tab w:val="left" w:pos="1305"/>
          <w:tab w:val="center" w:pos="5029"/>
        </w:tabs>
        <w:spacing w:line="400" w:lineRule="exact"/>
        <w:ind w:firstLine="420" w:firstLineChars="200"/>
        <w:rPr>
          <w:rFonts w:ascii="宋体" w:hAnsi="宋体" w:cs="宋体"/>
          <w:color w:val="auto"/>
          <w:szCs w:val="21"/>
        </w:rPr>
      </w:pPr>
      <w:r>
        <w:rPr>
          <w:rFonts w:hint="eastAsia" w:ascii="宋体" w:hAnsi="宋体" w:cs="宋体"/>
          <w:color w:val="auto"/>
          <w:szCs w:val="21"/>
        </w:rPr>
        <w:t>18.2</w:t>
      </w:r>
      <w:r>
        <w:rPr>
          <w:rFonts w:hint="eastAsia" w:ascii="宋体" w:hAnsi="宋体" w:cs="宋体"/>
          <w:b/>
          <w:color w:val="auto"/>
          <w:szCs w:val="21"/>
        </w:rPr>
        <w:t>投标文件装订：</w:t>
      </w:r>
      <w:r>
        <w:rPr>
          <w:rFonts w:hint="eastAsia" w:ascii="宋体" w:hAnsi="宋体" w:cs="宋体"/>
          <w:color w:val="auto"/>
          <w:szCs w:val="21"/>
        </w:rPr>
        <w:t>投标人应按投标人须知第13.1条“投标文件组成”规定的顺序自编目录及页码，投标文件的“正本”、“副本”应当单独装订成册并标注页码，装订应牢固，不易拆散和换页（A4标准纸装订，图纸除外）。封面应注明“正本”、“副本”字样，封面上写明项目名称、项目编号、分标号、采购代理机构、投标单位名称。</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18.3投标文件的正本需打印或用不褪色的墨水填写，投标文件正本除本招标文件中规定的可提供复印件外均须提供原件。</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18.4投标文件须由投标人在规定位置盖投标人公章</w:t>
      </w:r>
      <w:r>
        <w:rPr>
          <w:rFonts w:hint="eastAsia" w:ascii="宋体" w:hAnsi="宋体" w:cs="宋体"/>
          <w:bCs/>
          <w:color w:val="auto"/>
          <w:szCs w:val="21"/>
        </w:rPr>
        <w:t>（扫描公章无效）</w:t>
      </w:r>
      <w:r>
        <w:rPr>
          <w:rFonts w:hint="eastAsia" w:ascii="宋体" w:hAnsi="宋体" w:cs="宋体"/>
          <w:color w:val="auto"/>
          <w:szCs w:val="21"/>
        </w:rPr>
        <w:t>并由法定代表人、负责人或相应的授权委托代理人签字，投标人应写全称，投标文件副本可以是加盖公章的正本的复印件，当正本与副本不一致时，以正本为准。</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18.5投标文件不得涂改，若有修改错漏处，须加盖投标人公章及法定代表人、负责人或相应的授权委托代理人签字。投标文件因字迹潦草或表达不清所引起的后果由投标人负责。</w:t>
      </w:r>
    </w:p>
    <w:p>
      <w:pPr>
        <w:tabs>
          <w:tab w:val="left" w:pos="1305"/>
        </w:tabs>
        <w:spacing w:line="400" w:lineRule="exact"/>
        <w:ind w:firstLine="420" w:firstLineChars="200"/>
        <w:rPr>
          <w:rFonts w:ascii="宋体" w:hAnsi="宋体" w:cs="宋体"/>
          <w:b/>
          <w:color w:val="auto"/>
          <w:szCs w:val="21"/>
        </w:rPr>
      </w:pPr>
      <w:r>
        <w:rPr>
          <w:rFonts w:hint="eastAsia" w:ascii="宋体" w:hAnsi="宋体" w:cs="宋体"/>
          <w:color w:val="auto"/>
          <w:szCs w:val="21"/>
        </w:rPr>
        <w:t>18.6</w:t>
      </w:r>
      <w:r>
        <w:rPr>
          <w:rFonts w:hint="eastAsia" w:ascii="宋体" w:hAnsi="宋体" w:cs="宋体"/>
          <w:b/>
          <w:color w:val="auto"/>
          <w:szCs w:val="21"/>
        </w:rPr>
        <w:t>投标人公章：</w:t>
      </w:r>
      <w:r>
        <w:rPr>
          <w:rFonts w:hint="eastAsia" w:ascii="宋体" w:hAnsi="宋体" w:cs="宋体"/>
          <w:color w:val="auto"/>
          <w:szCs w:val="21"/>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pPr>
        <w:tabs>
          <w:tab w:val="left" w:pos="1305"/>
        </w:tabs>
        <w:spacing w:line="400" w:lineRule="exact"/>
        <w:ind w:firstLine="420" w:firstLineChars="200"/>
        <w:rPr>
          <w:rFonts w:ascii="宋体" w:hAnsi="宋体" w:cs="宋体"/>
          <w:color w:val="auto"/>
        </w:rPr>
      </w:pPr>
      <w:r>
        <w:rPr>
          <w:rFonts w:hint="eastAsia" w:ascii="宋体" w:hAnsi="宋体" w:cs="宋体"/>
          <w:color w:val="auto"/>
          <w:szCs w:val="21"/>
        </w:rPr>
        <w:t>18.7</w:t>
      </w:r>
      <w:r>
        <w:rPr>
          <w:rFonts w:hint="eastAsia" w:ascii="宋体" w:hAnsi="宋体" w:cs="宋体"/>
          <w:b/>
          <w:color w:val="auto"/>
          <w:szCs w:val="21"/>
        </w:rPr>
        <w:t>投标文件包装、密封：</w:t>
      </w:r>
      <w:r>
        <w:rPr>
          <w:rFonts w:hint="eastAsia" w:ascii="宋体" w:hAnsi="宋体" w:cs="宋体"/>
          <w:color w:val="auto"/>
          <w:szCs w:val="21"/>
        </w:rPr>
        <w:t>将投标文件“正本”、“副本”一并装入并密封在一个投标文件袋（盒、箱）中，并在密封处密封签章</w:t>
      </w:r>
      <w:r>
        <w:rPr>
          <w:rFonts w:hint="eastAsia" w:ascii="宋体" w:hAnsi="宋体" w:cs="宋体"/>
          <w:color w:val="auto"/>
          <w:sz w:val="18"/>
          <w:szCs w:val="18"/>
        </w:rPr>
        <w:t>【</w:t>
      </w:r>
      <w:r>
        <w:rPr>
          <w:rFonts w:hint="eastAsia" w:ascii="宋体" w:hAnsi="宋体" w:cs="宋体"/>
          <w:b/>
          <w:color w:val="auto"/>
          <w:szCs w:val="21"/>
        </w:rPr>
        <w:t>公章、密封章、法定代表人、负责人或相应的授权委托代理人签字均可</w:t>
      </w:r>
      <w:r>
        <w:rPr>
          <w:rFonts w:hint="eastAsia" w:ascii="宋体" w:hAnsi="宋体" w:cs="宋体"/>
          <w:color w:val="auto"/>
          <w:sz w:val="18"/>
          <w:szCs w:val="18"/>
        </w:rPr>
        <w:t>】</w:t>
      </w:r>
      <w:r>
        <w:rPr>
          <w:rFonts w:hint="eastAsia" w:ascii="宋体" w:hAnsi="宋体" w:cs="宋体"/>
          <w:color w:val="auto"/>
        </w:rPr>
        <w:t>。</w:t>
      </w:r>
    </w:p>
    <w:p>
      <w:pPr>
        <w:spacing w:line="400" w:lineRule="exact"/>
        <w:ind w:firstLine="420" w:firstLineChars="200"/>
        <w:rPr>
          <w:rFonts w:ascii="宋体" w:hAnsi="宋体" w:cs="宋体"/>
          <w:b/>
          <w:color w:val="auto"/>
          <w:szCs w:val="21"/>
        </w:rPr>
      </w:pPr>
      <w:r>
        <w:rPr>
          <w:rFonts w:hint="eastAsia" w:ascii="宋体" w:hAnsi="宋体" w:cs="宋体"/>
          <w:color w:val="auto"/>
        </w:rPr>
        <w:t>18.8</w:t>
      </w:r>
      <w:r>
        <w:rPr>
          <w:rFonts w:hint="eastAsia" w:ascii="宋体" w:hAnsi="宋体" w:cs="宋体"/>
          <w:b/>
          <w:color w:val="auto"/>
          <w:szCs w:val="21"/>
        </w:rPr>
        <w:t>投标文件袋（盒、箱）标记：</w:t>
      </w:r>
    </w:p>
    <w:p>
      <w:pPr>
        <w:spacing w:line="400" w:lineRule="exact"/>
        <w:ind w:firstLine="630" w:firstLineChars="300"/>
        <w:rPr>
          <w:rFonts w:ascii="宋体" w:hAnsi="宋体" w:cs="宋体"/>
          <w:color w:val="auto"/>
          <w:szCs w:val="21"/>
        </w:rPr>
      </w:pPr>
      <w:r>
        <w:rPr>
          <w:rFonts w:hint="eastAsia" w:ascii="宋体" w:hAnsi="宋体" w:cs="宋体"/>
          <w:color w:val="auto"/>
          <w:szCs w:val="21"/>
        </w:rPr>
        <w:t xml:space="preserve">项目名称：临桂区2020年中小学班班通多媒体设备采购 </w:t>
      </w:r>
    </w:p>
    <w:p>
      <w:pPr>
        <w:spacing w:line="400" w:lineRule="exact"/>
        <w:ind w:firstLine="630" w:firstLineChars="300"/>
        <w:rPr>
          <w:rFonts w:ascii="宋体" w:hAnsi="宋体" w:cs="宋体"/>
          <w:color w:val="auto"/>
          <w:szCs w:val="21"/>
        </w:rPr>
      </w:pPr>
      <w:r>
        <w:rPr>
          <w:rFonts w:hint="eastAsia" w:ascii="宋体" w:hAnsi="宋体" w:cs="宋体"/>
          <w:color w:val="auto"/>
          <w:szCs w:val="21"/>
        </w:rPr>
        <w:t>项目编号：GLZC2020-G1-120018-JCZX</w:t>
      </w:r>
    </w:p>
    <w:p>
      <w:pPr>
        <w:spacing w:line="400" w:lineRule="exact"/>
        <w:ind w:firstLine="630" w:firstLineChars="300"/>
        <w:rPr>
          <w:rFonts w:ascii="宋体" w:hAnsi="宋体" w:cs="宋体"/>
          <w:color w:val="auto"/>
          <w:szCs w:val="21"/>
        </w:rPr>
      </w:pPr>
      <w:r>
        <w:rPr>
          <w:rFonts w:hint="eastAsia" w:ascii="宋体" w:hAnsi="宋体" w:cs="宋体"/>
          <w:color w:val="auto"/>
          <w:szCs w:val="21"/>
        </w:rPr>
        <w:t>采购代理机构：桂林市政府集中采购中心</w:t>
      </w:r>
    </w:p>
    <w:p>
      <w:pPr>
        <w:spacing w:line="400" w:lineRule="exact"/>
        <w:ind w:firstLine="630" w:firstLineChars="300"/>
        <w:rPr>
          <w:rFonts w:ascii="宋体" w:hAnsi="宋体" w:cs="宋体"/>
          <w:color w:val="auto"/>
          <w:szCs w:val="21"/>
        </w:rPr>
      </w:pPr>
      <w:r>
        <w:rPr>
          <w:rFonts w:hint="eastAsia" w:ascii="宋体" w:hAnsi="宋体" w:cs="宋体"/>
          <w:color w:val="auto"/>
          <w:szCs w:val="21"/>
        </w:rPr>
        <w:t>投标单位名称：</w:t>
      </w:r>
      <w:r>
        <w:rPr>
          <w:rFonts w:hint="eastAsia" w:ascii="宋体" w:hAnsi="宋体" w:cs="宋体"/>
          <w:color w:val="auto"/>
          <w:szCs w:val="21"/>
          <w:u w:val="single"/>
        </w:rPr>
        <w:t xml:space="preserve">                          </w:t>
      </w:r>
    </w:p>
    <w:p>
      <w:pPr>
        <w:spacing w:line="400" w:lineRule="exact"/>
        <w:ind w:firstLine="630" w:firstLineChars="300"/>
        <w:rPr>
          <w:rFonts w:ascii="宋体" w:hAnsi="宋体" w:cs="宋体"/>
          <w:color w:val="auto"/>
          <w:szCs w:val="21"/>
        </w:rPr>
      </w:pPr>
      <w:r>
        <w:rPr>
          <w:rFonts w:hint="eastAsia" w:ascii="宋体" w:hAnsi="宋体" w:cs="宋体"/>
          <w:color w:val="auto"/>
          <w:szCs w:val="21"/>
        </w:rPr>
        <w:t>在2020年</w:t>
      </w:r>
      <w:r>
        <w:rPr>
          <w:rFonts w:hint="eastAsia" w:ascii="宋体" w:hAnsi="宋体" w:cs="宋体"/>
          <w:color w:val="auto"/>
          <w:szCs w:val="21"/>
          <w:lang w:val="en-US" w:eastAsia="zh-CN"/>
        </w:rPr>
        <w:t>10</w:t>
      </w:r>
      <w:r>
        <w:rPr>
          <w:rFonts w:hint="eastAsia" w:ascii="宋体" w:hAnsi="宋体" w:cs="宋体"/>
          <w:color w:val="auto"/>
          <w:szCs w:val="21"/>
        </w:rPr>
        <w:t>月</w:t>
      </w:r>
      <w:r>
        <w:rPr>
          <w:rFonts w:hint="eastAsia" w:ascii="宋体" w:hAnsi="宋体" w:cs="宋体"/>
          <w:color w:val="auto"/>
          <w:szCs w:val="21"/>
          <w:lang w:val="en-US" w:eastAsia="zh-CN"/>
        </w:rPr>
        <w:t>9</w:t>
      </w:r>
      <w:r>
        <w:rPr>
          <w:rFonts w:hint="eastAsia" w:ascii="宋体" w:hAnsi="宋体" w:cs="宋体"/>
          <w:color w:val="auto"/>
          <w:szCs w:val="21"/>
        </w:rPr>
        <w:t>日上午</w:t>
      </w:r>
      <w:r>
        <w:rPr>
          <w:rFonts w:hint="eastAsia" w:ascii="宋体" w:hAnsi="宋体" w:cs="宋体"/>
          <w:color w:val="auto"/>
          <w:szCs w:val="21"/>
          <w:lang w:val="en-US" w:eastAsia="zh-CN"/>
        </w:rPr>
        <w:t>10</w:t>
      </w:r>
      <w:r>
        <w:rPr>
          <w:rFonts w:hint="eastAsia" w:ascii="宋体" w:hAnsi="宋体" w:cs="宋体"/>
          <w:color w:val="auto"/>
          <w:szCs w:val="21"/>
        </w:rPr>
        <w:t>时30分前不得开启</w:t>
      </w:r>
    </w:p>
    <w:p>
      <w:pPr>
        <w:spacing w:line="400" w:lineRule="exact"/>
        <w:ind w:firstLine="413" w:firstLineChars="196"/>
        <w:outlineLvl w:val="2"/>
        <w:rPr>
          <w:rFonts w:ascii="宋体" w:hAnsi="宋体" w:cs="宋体"/>
          <w:b/>
          <w:color w:val="auto"/>
          <w:szCs w:val="21"/>
        </w:rPr>
      </w:pPr>
      <w:bookmarkStart w:id="90" w:name="_Toc24490"/>
      <w:bookmarkStart w:id="91" w:name="_Toc20704"/>
      <w:r>
        <w:rPr>
          <w:rFonts w:hint="eastAsia" w:ascii="宋体" w:hAnsi="宋体" w:cs="宋体"/>
          <w:b/>
          <w:color w:val="auto"/>
          <w:szCs w:val="21"/>
        </w:rPr>
        <w:t>19. 投标文件的补充、修改和撤回</w:t>
      </w:r>
      <w:bookmarkEnd w:id="90"/>
      <w:bookmarkEnd w:id="91"/>
    </w:p>
    <w:p>
      <w:pPr>
        <w:spacing w:line="400" w:lineRule="exact"/>
        <w:ind w:firstLine="435"/>
        <w:rPr>
          <w:rFonts w:ascii="宋体" w:hAnsi="宋体" w:cs="宋体"/>
          <w:color w:val="auto"/>
          <w:szCs w:val="21"/>
        </w:rPr>
      </w:pPr>
      <w:r>
        <w:rPr>
          <w:rFonts w:hint="eastAsia" w:ascii="宋体" w:hAnsi="宋体" w:cs="宋体"/>
          <w:color w:val="auto"/>
        </w:rPr>
        <w:t>投标人在投标截止时间前，可以对所递交的投标文件进行补充、修改或者撤回，并书面通知采购代理机构。补充、修改的内容应当按照招标文件要求签署、盖章、密封后，作为投标文件的组成部分。</w:t>
      </w:r>
    </w:p>
    <w:p>
      <w:pPr>
        <w:spacing w:line="400" w:lineRule="exact"/>
        <w:ind w:firstLine="413" w:firstLineChars="196"/>
        <w:outlineLvl w:val="2"/>
        <w:rPr>
          <w:rFonts w:ascii="宋体" w:hAnsi="宋体" w:cs="宋体"/>
          <w:b/>
          <w:color w:val="auto"/>
          <w:szCs w:val="21"/>
        </w:rPr>
      </w:pPr>
      <w:bookmarkStart w:id="92" w:name="_Toc31572"/>
      <w:bookmarkStart w:id="93" w:name="_Toc21212"/>
      <w:r>
        <w:rPr>
          <w:rFonts w:hint="eastAsia" w:ascii="宋体" w:hAnsi="宋体" w:cs="宋体"/>
          <w:b/>
          <w:color w:val="auto"/>
          <w:szCs w:val="21"/>
        </w:rPr>
        <w:t>20. 投标文件的递交</w:t>
      </w:r>
      <w:bookmarkEnd w:id="92"/>
      <w:bookmarkEnd w:id="93"/>
    </w:p>
    <w:p>
      <w:pPr>
        <w:tabs>
          <w:tab w:val="left" w:pos="7200"/>
        </w:tabs>
        <w:spacing w:line="400" w:lineRule="exact"/>
        <w:ind w:firstLine="420" w:firstLineChars="200"/>
        <w:rPr>
          <w:rFonts w:ascii="宋体" w:hAnsi="宋体" w:cs="宋体"/>
          <w:color w:val="auto"/>
          <w:szCs w:val="21"/>
        </w:rPr>
      </w:pPr>
      <w:r>
        <w:rPr>
          <w:rFonts w:hint="eastAsia" w:ascii="宋体" w:hAnsi="宋体" w:cs="宋体"/>
          <w:color w:val="auto"/>
          <w:szCs w:val="21"/>
        </w:rPr>
        <w:t>20.1投标截止时间：2020年</w:t>
      </w:r>
      <w:r>
        <w:rPr>
          <w:rFonts w:hint="eastAsia" w:ascii="宋体" w:hAnsi="宋体" w:cs="宋体"/>
          <w:color w:val="auto"/>
          <w:szCs w:val="21"/>
          <w:lang w:val="en-US" w:eastAsia="zh-CN"/>
        </w:rPr>
        <w:t>10</w:t>
      </w:r>
      <w:r>
        <w:rPr>
          <w:rFonts w:hint="eastAsia" w:ascii="宋体" w:hAnsi="宋体" w:cs="宋体"/>
          <w:color w:val="auto"/>
          <w:szCs w:val="21"/>
        </w:rPr>
        <w:t>月</w:t>
      </w:r>
      <w:r>
        <w:rPr>
          <w:rFonts w:hint="eastAsia" w:ascii="宋体" w:hAnsi="宋体" w:cs="宋体"/>
          <w:color w:val="auto"/>
          <w:szCs w:val="21"/>
          <w:lang w:val="en-US" w:eastAsia="zh-CN"/>
        </w:rPr>
        <w:t>9</w:t>
      </w:r>
      <w:r>
        <w:rPr>
          <w:rFonts w:hint="eastAsia" w:ascii="宋体" w:hAnsi="宋体" w:cs="宋体"/>
          <w:color w:val="auto"/>
          <w:szCs w:val="21"/>
        </w:rPr>
        <w:t>日</w:t>
      </w:r>
      <w:r>
        <w:rPr>
          <w:rFonts w:hint="eastAsia" w:ascii="宋体" w:hAnsi="宋体" w:cs="宋体"/>
          <w:color w:val="auto"/>
          <w:szCs w:val="21"/>
          <w:lang w:val="en-US" w:eastAsia="zh-CN"/>
        </w:rPr>
        <w:t>10</w:t>
      </w:r>
      <w:r>
        <w:rPr>
          <w:rFonts w:hint="eastAsia" w:ascii="宋体" w:hAnsi="宋体" w:cs="宋体"/>
          <w:color w:val="auto"/>
          <w:szCs w:val="21"/>
        </w:rPr>
        <w:t>时30分。</w:t>
      </w:r>
    </w:p>
    <w:p>
      <w:pPr>
        <w:tabs>
          <w:tab w:val="left" w:pos="7200"/>
        </w:tabs>
        <w:spacing w:line="400" w:lineRule="exact"/>
        <w:ind w:firstLine="420" w:firstLineChars="200"/>
        <w:rPr>
          <w:rFonts w:ascii="宋体" w:hAnsi="宋体" w:cs="宋体"/>
          <w:color w:val="auto"/>
        </w:rPr>
      </w:pPr>
      <w:r>
        <w:rPr>
          <w:rFonts w:hint="eastAsia" w:ascii="宋体" w:hAnsi="宋体" w:cs="宋体"/>
          <w:color w:val="auto"/>
          <w:szCs w:val="21"/>
        </w:rPr>
        <w:t>20.2投标文件递交：投标人应于2020年</w:t>
      </w:r>
      <w:r>
        <w:rPr>
          <w:rFonts w:hint="eastAsia" w:ascii="宋体" w:hAnsi="宋体" w:cs="宋体"/>
          <w:color w:val="auto"/>
          <w:szCs w:val="21"/>
          <w:lang w:val="en-US" w:eastAsia="zh-CN"/>
        </w:rPr>
        <w:t>10</w:t>
      </w:r>
      <w:r>
        <w:rPr>
          <w:rFonts w:hint="eastAsia" w:ascii="宋体" w:hAnsi="宋体" w:cs="宋体"/>
          <w:color w:val="auto"/>
          <w:szCs w:val="21"/>
        </w:rPr>
        <w:t>月</w:t>
      </w:r>
      <w:r>
        <w:rPr>
          <w:rFonts w:hint="eastAsia" w:ascii="宋体" w:hAnsi="宋体" w:cs="宋体"/>
          <w:color w:val="auto"/>
          <w:szCs w:val="21"/>
          <w:lang w:val="en-US" w:eastAsia="zh-CN"/>
        </w:rPr>
        <w:t>9</w:t>
      </w:r>
      <w:r>
        <w:rPr>
          <w:rFonts w:hint="eastAsia" w:ascii="宋体" w:hAnsi="宋体" w:cs="宋体"/>
          <w:color w:val="auto"/>
          <w:szCs w:val="21"/>
        </w:rPr>
        <w:t>日上午</w:t>
      </w:r>
      <w:r>
        <w:rPr>
          <w:rFonts w:hint="eastAsia" w:ascii="宋体" w:hAnsi="宋体" w:cs="宋体"/>
          <w:color w:val="auto"/>
          <w:szCs w:val="21"/>
          <w:lang w:val="en-US" w:eastAsia="zh-CN"/>
        </w:rPr>
        <w:t>10</w:t>
      </w:r>
      <w:r>
        <w:rPr>
          <w:rFonts w:hint="eastAsia" w:ascii="宋体" w:hAnsi="宋体" w:cs="宋体"/>
          <w:color w:val="auto"/>
          <w:szCs w:val="21"/>
        </w:rPr>
        <w:t>时00分至</w:t>
      </w:r>
      <w:r>
        <w:rPr>
          <w:rFonts w:hint="eastAsia" w:ascii="宋体" w:hAnsi="宋体" w:cs="宋体"/>
          <w:color w:val="auto"/>
          <w:szCs w:val="21"/>
          <w:lang w:val="en-US" w:eastAsia="zh-CN"/>
        </w:rPr>
        <w:t>10</w:t>
      </w:r>
      <w:r>
        <w:rPr>
          <w:rFonts w:hint="eastAsia" w:ascii="宋体" w:hAnsi="宋体" w:cs="宋体"/>
          <w:color w:val="auto"/>
          <w:szCs w:val="21"/>
        </w:rPr>
        <w:t>时30分止</w:t>
      </w:r>
      <w:r>
        <w:rPr>
          <w:rFonts w:hint="eastAsia" w:ascii="宋体" w:hAnsi="宋体" w:cs="宋体"/>
          <w:b/>
          <w:color w:val="auto"/>
        </w:rPr>
        <w:t>，</w:t>
      </w:r>
      <w:r>
        <w:rPr>
          <w:rFonts w:hint="eastAsia" w:ascii="宋体" w:hAnsi="宋体" w:cs="宋体"/>
          <w:color w:val="auto"/>
          <w:szCs w:val="21"/>
        </w:rPr>
        <w:t>将投标文件密封提交至桂林市公共资源交易中心（临桂新区西城中路69号西辅楼四楼）</w:t>
      </w:r>
      <w:r>
        <w:rPr>
          <w:rFonts w:hint="eastAsia" w:ascii="宋体" w:hAnsi="宋体" w:cs="宋体"/>
          <w:color w:val="auto"/>
          <w:szCs w:val="21"/>
          <w:lang w:val="en-US" w:eastAsia="zh-CN"/>
        </w:rPr>
        <w:t>2</w:t>
      </w:r>
      <w:r>
        <w:rPr>
          <w:rFonts w:hint="eastAsia" w:ascii="宋体" w:hAnsi="宋体" w:cs="宋体"/>
          <w:color w:val="auto"/>
          <w:szCs w:val="21"/>
        </w:rPr>
        <w:t>号开标室</w:t>
      </w:r>
      <w:r>
        <w:rPr>
          <w:rFonts w:hint="eastAsia" w:ascii="宋体" w:hAnsi="宋体" w:cs="宋体"/>
          <w:color w:val="auto"/>
        </w:rPr>
        <w:t>，逾期送达的或未送达指定地点的投标文件将予以拒收。</w:t>
      </w:r>
    </w:p>
    <w:p>
      <w:pPr>
        <w:spacing w:line="400" w:lineRule="exact"/>
        <w:ind w:firstLine="435"/>
        <w:rPr>
          <w:rFonts w:ascii="宋体" w:hAnsi="宋体" w:cs="宋体"/>
          <w:color w:val="auto"/>
          <w:szCs w:val="21"/>
        </w:rPr>
      </w:pPr>
      <w:r>
        <w:rPr>
          <w:rFonts w:hint="eastAsia" w:ascii="宋体" w:hAnsi="宋体" w:cs="宋体"/>
          <w:color w:val="auto"/>
          <w:szCs w:val="21"/>
        </w:rPr>
        <w:t>20.3除招标文件另有规定外，投标人所递交的投标文件在投标截止时间后不予退还。</w:t>
      </w:r>
    </w:p>
    <w:p>
      <w:pPr>
        <w:spacing w:line="400" w:lineRule="exact"/>
        <w:ind w:firstLine="435"/>
        <w:rPr>
          <w:rFonts w:ascii="宋体" w:hAnsi="宋体" w:cs="宋体"/>
          <w:color w:val="auto"/>
        </w:rPr>
      </w:pPr>
      <w:r>
        <w:rPr>
          <w:rFonts w:hint="eastAsia" w:ascii="宋体" w:hAnsi="宋体" w:cs="宋体"/>
          <w:color w:val="auto"/>
        </w:rPr>
        <w:t>20.4投标人应当在招标文件要求提交投标文件的截止时间前，将投标文件密封送达投标地点。采购代理机构收到投标文件后，应当如实记载投标文件的送达时间和密封情况，签收保存，并向投标人出具签收回执。任何单位和个人不得在开标前开启投标文件。</w:t>
      </w:r>
    </w:p>
    <w:p>
      <w:pPr>
        <w:spacing w:line="400" w:lineRule="exact"/>
        <w:ind w:firstLine="435"/>
        <w:rPr>
          <w:rFonts w:ascii="宋体" w:hAnsi="宋体" w:cs="宋体"/>
          <w:color w:val="auto"/>
        </w:rPr>
      </w:pPr>
    </w:p>
    <w:p>
      <w:pPr>
        <w:spacing w:line="360" w:lineRule="auto"/>
        <w:jc w:val="center"/>
        <w:outlineLvl w:val="1"/>
        <w:rPr>
          <w:rFonts w:ascii="宋体" w:hAnsi="宋体" w:cs="宋体"/>
          <w:b/>
          <w:color w:val="auto"/>
          <w:sz w:val="28"/>
          <w:szCs w:val="28"/>
        </w:rPr>
      </w:pPr>
      <w:bookmarkStart w:id="94" w:name="_Toc307"/>
      <w:bookmarkStart w:id="95" w:name="_Toc495841757"/>
      <w:bookmarkStart w:id="96" w:name="_Toc18507"/>
      <w:r>
        <w:rPr>
          <w:rFonts w:hint="eastAsia" w:ascii="宋体" w:hAnsi="宋体" w:cs="宋体"/>
          <w:b/>
          <w:color w:val="auto"/>
          <w:sz w:val="28"/>
          <w:szCs w:val="28"/>
        </w:rPr>
        <w:t>四、开标</w:t>
      </w:r>
      <w:bookmarkEnd w:id="94"/>
      <w:bookmarkEnd w:id="95"/>
      <w:bookmarkEnd w:id="96"/>
    </w:p>
    <w:p>
      <w:pPr>
        <w:spacing w:line="400" w:lineRule="exact"/>
        <w:ind w:firstLine="413" w:firstLineChars="196"/>
        <w:outlineLvl w:val="2"/>
        <w:rPr>
          <w:rFonts w:ascii="宋体" w:hAnsi="宋体" w:cs="宋体"/>
          <w:b/>
          <w:color w:val="auto"/>
          <w:szCs w:val="21"/>
        </w:rPr>
      </w:pPr>
      <w:bookmarkStart w:id="97" w:name="_Toc17073"/>
      <w:bookmarkStart w:id="98" w:name="_Toc22212"/>
      <w:r>
        <w:rPr>
          <w:rFonts w:hint="eastAsia" w:ascii="宋体" w:hAnsi="宋体" w:cs="宋体"/>
          <w:b/>
          <w:color w:val="auto"/>
          <w:szCs w:val="21"/>
        </w:rPr>
        <w:t>21. 开标时间及地点</w:t>
      </w:r>
      <w:bookmarkEnd w:id="97"/>
      <w:bookmarkEnd w:id="98"/>
    </w:p>
    <w:p>
      <w:pPr>
        <w:spacing w:line="400" w:lineRule="exact"/>
        <w:ind w:firstLine="420" w:firstLineChars="200"/>
        <w:rPr>
          <w:rFonts w:ascii="宋体" w:hAnsi="宋体" w:cs="宋体"/>
          <w:b/>
          <w:color w:val="auto"/>
          <w:szCs w:val="21"/>
        </w:rPr>
      </w:pPr>
      <w:r>
        <w:rPr>
          <w:rFonts w:hint="eastAsia" w:ascii="宋体" w:hAnsi="宋体" w:cs="宋体"/>
          <w:color w:val="auto"/>
          <w:szCs w:val="21"/>
        </w:rPr>
        <w:t>21.1开标时间及地点：开标时间：2020年</w:t>
      </w:r>
      <w:r>
        <w:rPr>
          <w:rFonts w:hint="eastAsia" w:ascii="宋体" w:hAnsi="宋体" w:cs="宋体"/>
          <w:color w:val="auto"/>
          <w:szCs w:val="21"/>
          <w:lang w:val="en-US" w:eastAsia="zh-CN"/>
        </w:rPr>
        <w:t>10</w:t>
      </w:r>
      <w:r>
        <w:rPr>
          <w:rFonts w:hint="eastAsia" w:ascii="宋体" w:hAnsi="宋体" w:cs="宋体"/>
          <w:color w:val="auto"/>
          <w:szCs w:val="21"/>
        </w:rPr>
        <w:t>月</w:t>
      </w:r>
      <w:r>
        <w:rPr>
          <w:rFonts w:hint="eastAsia" w:ascii="宋体" w:hAnsi="宋体" w:cs="宋体"/>
          <w:color w:val="auto"/>
          <w:szCs w:val="21"/>
          <w:lang w:val="en-US" w:eastAsia="zh-CN"/>
        </w:rPr>
        <w:t>9</w:t>
      </w:r>
      <w:r>
        <w:rPr>
          <w:rFonts w:hint="eastAsia" w:ascii="宋体" w:hAnsi="宋体" w:cs="宋体"/>
          <w:color w:val="auto"/>
          <w:szCs w:val="21"/>
        </w:rPr>
        <w:t>日</w:t>
      </w:r>
      <w:r>
        <w:rPr>
          <w:rFonts w:hint="eastAsia" w:ascii="宋体" w:hAnsi="宋体" w:cs="宋体"/>
          <w:color w:val="auto"/>
          <w:szCs w:val="21"/>
          <w:lang w:val="en-US" w:eastAsia="zh-CN"/>
        </w:rPr>
        <w:t>10</w:t>
      </w:r>
      <w:r>
        <w:rPr>
          <w:rFonts w:hint="eastAsia" w:ascii="宋体" w:hAnsi="宋体" w:cs="宋体"/>
          <w:color w:val="auto"/>
          <w:szCs w:val="21"/>
        </w:rPr>
        <w:t>时30分；开标地点：桂林市公共资源交易中心（广西桂林市临桂区西城中路69号创业大厦西辅楼4楼）</w:t>
      </w:r>
      <w:r>
        <w:rPr>
          <w:rFonts w:hint="eastAsia" w:ascii="宋体" w:hAnsi="宋体" w:cs="宋体"/>
          <w:color w:val="auto"/>
          <w:szCs w:val="21"/>
          <w:lang w:val="en-US" w:eastAsia="zh-CN"/>
        </w:rPr>
        <w:t>2</w:t>
      </w:r>
      <w:r>
        <w:rPr>
          <w:rFonts w:hint="eastAsia" w:ascii="宋体" w:hAnsi="宋体" w:cs="宋体"/>
          <w:color w:val="auto"/>
          <w:szCs w:val="21"/>
        </w:rPr>
        <w:t>号开标室开标。</w:t>
      </w:r>
      <w:r>
        <w:rPr>
          <w:rFonts w:hint="eastAsia" w:ascii="宋体" w:hAnsi="宋体" w:cs="宋体"/>
          <w:color w:val="auto"/>
        </w:rPr>
        <w:t>投标人可以由法定代表人、负责人、自然人或其委托代理人出席开标会议</w:t>
      </w:r>
      <w:r>
        <w:rPr>
          <w:rFonts w:hint="eastAsia" w:ascii="宋体" w:hAnsi="宋体" w:cs="宋体"/>
          <w:color w:val="auto"/>
          <w:szCs w:val="21"/>
        </w:rPr>
        <w:t>；投标人准时参加开标会并签字，如未按时签字的，视同放弃开标监督权利，认可开标结果。</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21.2投标人不足3家的，不得开标，采购人或者采购代理机构应当重新组织采购。</w:t>
      </w:r>
    </w:p>
    <w:p>
      <w:pPr>
        <w:spacing w:line="400" w:lineRule="exact"/>
        <w:ind w:firstLine="413" w:firstLineChars="196"/>
        <w:outlineLvl w:val="2"/>
        <w:rPr>
          <w:rFonts w:ascii="宋体" w:hAnsi="宋体" w:cs="宋体"/>
          <w:b/>
          <w:color w:val="auto"/>
          <w:szCs w:val="21"/>
        </w:rPr>
      </w:pPr>
      <w:bookmarkStart w:id="99" w:name="_Toc11217"/>
      <w:bookmarkStart w:id="100" w:name="_Toc31802"/>
      <w:r>
        <w:rPr>
          <w:rFonts w:hint="eastAsia" w:ascii="宋体" w:hAnsi="宋体" w:cs="宋体"/>
          <w:b/>
          <w:color w:val="auto"/>
          <w:szCs w:val="21"/>
        </w:rPr>
        <w:t>22. 开标程序</w:t>
      </w:r>
      <w:bookmarkEnd w:id="99"/>
      <w:bookmarkEnd w:id="100"/>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（1）主持人宣布开标会正式开始，宣布开标程序、开标纪律，介绍项目情况和到会人员；</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（2）投标人对其投标文件的密封情况进行检查并确认签字；</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（3）按各投标人提交投标文件时间的先后顺序打开投标文件外包装；</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（4）唱标，宣读投标截止时间前接收的所有投标文件的投标人名称，投标报价表的投标报价、折扣；</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（5）采购代理机构做开标记录，投标人代表对开标记录进行当场校核及勘误并签字确认；同时由记录人、监督人（如有）当场签字确认；</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rPr>
        <w:t>（6）</w:t>
      </w:r>
      <w:r>
        <w:rPr>
          <w:rFonts w:hint="eastAsia" w:ascii="宋体" w:hAnsi="宋体" w:cs="宋体"/>
          <w:color w:val="auto"/>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（7）宣布开标结束，采购人、投标人和有关方面代表退场，由工作人员将投标文件等材料移交评标室。</w:t>
      </w:r>
    </w:p>
    <w:p>
      <w:pPr>
        <w:tabs>
          <w:tab w:val="left" w:pos="1305"/>
        </w:tabs>
        <w:spacing w:line="400" w:lineRule="exact"/>
        <w:ind w:firstLine="420" w:firstLineChars="200"/>
        <w:rPr>
          <w:rFonts w:ascii="宋体" w:hAnsi="宋体" w:cs="宋体"/>
          <w:color w:val="auto"/>
          <w:szCs w:val="21"/>
        </w:rPr>
      </w:pPr>
    </w:p>
    <w:p>
      <w:pPr>
        <w:spacing w:line="360" w:lineRule="auto"/>
        <w:jc w:val="center"/>
        <w:outlineLvl w:val="1"/>
        <w:rPr>
          <w:rFonts w:ascii="宋体" w:hAnsi="宋体" w:cs="宋体"/>
          <w:b/>
          <w:color w:val="auto"/>
          <w:sz w:val="28"/>
          <w:szCs w:val="28"/>
        </w:rPr>
      </w:pPr>
      <w:bookmarkStart w:id="101" w:name="_Toc13013"/>
      <w:bookmarkStart w:id="102" w:name="_Toc495841758"/>
      <w:bookmarkStart w:id="103" w:name="_Toc427"/>
      <w:r>
        <w:rPr>
          <w:rFonts w:hint="eastAsia" w:ascii="宋体" w:hAnsi="宋体" w:cs="宋体"/>
          <w:b/>
          <w:color w:val="auto"/>
          <w:sz w:val="28"/>
          <w:szCs w:val="28"/>
        </w:rPr>
        <w:t>五、资格性审查</w:t>
      </w:r>
      <w:bookmarkEnd w:id="101"/>
      <w:bookmarkEnd w:id="102"/>
      <w:bookmarkEnd w:id="103"/>
    </w:p>
    <w:p>
      <w:pPr>
        <w:spacing w:line="400" w:lineRule="exact"/>
        <w:ind w:firstLine="413" w:firstLineChars="196"/>
        <w:outlineLvl w:val="2"/>
        <w:rPr>
          <w:rFonts w:ascii="宋体" w:hAnsi="宋体" w:cs="宋体"/>
          <w:b/>
          <w:color w:val="auto"/>
          <w:szCs w:val="21"/>
        </w:rPr>
      </w:pPr>
      <w:bookmarkStart w:id="104" w:name="_Toc5777"/>
      <w:bookmarkStart w:id="105" w:name="_Toc13578"/>
      <w:r>
        <w:rPr>
          <w:rFonts w:hint="eastAsia" w:ascii="宋体" w:hAnsi="宋体" w:cs="宋体"/>
          <w:b/>
          <w:color w:val="auto"/>
          <w:szCs w:val="21"/>
        </w:rPr>
        <w:t>23. 资格性审查</w:t>
      </w:r>
      <w:bookmarkEnd w:id="104"/>
      <w:bookmarkEnd w:id="105"/>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23.1公开招标采购项目开标结束后，采购人应当依法对投标人的资格进行审查。合格投标人不足3家的，不得评标。</w:t>
      </w:r>
    </w:p>
    <w:p>
      <w:pPr>
        <w:spacing w:line="400" w:lineRule="exact"/>
        <w:ind w:firstLine="420" w:firstLineChars="200"/>
        <w:rPr>
          <w:rFonts w:ascii="宋体" w:hAnsi="宋体" w:cs="宋体"/>
          <w:b/>
          <w:color w:val="auto"/>
          <w:szCs w:val="21"/>
        </w:rPr>
      </w:pPr>
      <w:r>
        <w:rPr>
          <w:rFonts w:hint="eastAsia" w:ascii="宋体" w:hAnsi="宋体" w:cs="宋体"/>
          <w:color w:val="auto"/>
          <w:szCs w:val="21"/>
        </w:rPr>
        <w:t>23.2</w:t>
      </w:r>
      <w:r>
        <w:rPr>
          <w:rFonts w:hint="eastAsia" w:ascii="宋体" w:hAnsi="宋体" w:cs="宋体"/>
          <w:b/>
          <w:bCs/>
          <w:color w:val="auto"/>
          <w:szCs w:val="21"/>
        </w:rPr>
        <w:t>采购人或者采购代理机构</w:t>
      </w:r>
      <w:r>
        <w:rPr>
          <w:rFonts w:hint="eastAsia" w:ascii="宋体" w:hAnsi="宋体" w:cs="宋体"/>
          <w:b/>
          <w:color w:val="auto"/>
          <w:szCs w:val="21"/>
        </w:rPr>
        <w:t>在对投标人进行资格性审查时，将对投标人企业股东及出资等信息进行查询。根据《中华人民共和国政府采购法实施条例》第十八条第一款规定，审查中如发现投标人存在单位负责人为同一人或者存在直接控股、管理关系的不同供应商参加同一合同项下的政府采购活动的，按投标无效处理。</w:t>
      </w:r>
    </w:p>
    <w:p>
      <w:pPr>
        <w:spacing w:line="400" w:lineRule="exact"/>
        <w:ind w:firstLine="420" w:firstLineChars="200"/>
        <w:rPr>
          <w:rFonts w:ascii="宋体" w:hAnsi="宋体" w:cs="宋体"/>
          <w:color w:val="auto"/>
          <w:szCs w:val="21"/>
        </w:rPr>
      </w:pPr>
      <w:r>
        <w:rPr>
          <w:rFonts w:hint="eastAsia" w:ascii="宋体" w:hAnsi="宋体" w:cs="宋体"/>
          <w:color w:val="auto"/>
          <w:szCs w:val="21"/>
        </w:rPr>
        <w:t>查询渠道：《国家企业信用信息公示系统》（网址：www.gsxt.gov.cn/index.html）</w:t>
      </w:r>
    </w:p>
    <w:p>
      <w:pPr>
        <w:spacing w:line="400" w:lineRule="exact"/>
        <w:ind w:firstLine="420" w:firstLineChars="200"/>
        <w:rPr>
          <w:rFonts w:ascii="宋体" w:hAnsi="宋体" w:cs="宋体"/>
          <w:color w:val="auto"/>
          <w:szCs w:val="21"/>
        </w:rPr>
      </w:pPr>
      <w:r>
        <w:rPr>
          <w:rFonts w:hint="eastAsia" w:ascii="宋体" w:hAnsi="宋体" w:cs="宋体"/>
          <w:color w:val="auto"/>
          <w:szCs w:val="21"/>
        </w:rPr>
        <w:t>审查流程：</w:t>
      </w:r>
    </w:p>
    <w:p>
      <w:pPr>
        <w:spacing w:line="400" w:lineRule="exact"/>
        <w:ind w:firstLine="420" w:firstLineChars="200"/>
        <w:rPr>
          <w:rFonts w:ascii="宋体" w:hAnsi="宋体" w:cs="宋体"/>
          <w:color w:val="auto"/>
          <w:szCs w:val="21"/>
        </w:rPr>
      </w:pPr>
      <w:r>
        <w:rPr>
          <w:rFonts w:hint="eastAsia" w:ascii="宋体" w:hAnsi="宋体" w:cs="宋体"/>
          <w:color w:val="auto"/>
          <w:szCs w:val="21"/>
        </w:rPr>
        <w:t>（1）进入《国家企业信用信息公示系统》（网址：www.gsxt.gov.cn/index.html），输入企业名称，进入企业信息主页面；</w:t>
      </w:r>
    </w:p>
    <w:p>
      <w:pPr>
        <w:spacing w:line="400" w:lineRule="exact"/>
        <w:ind w:firstLine="420" w:firstLineChars="200"/>
        <w:rPr>
          <w:rFonts w:ascii="宋体" w:hAnsi="宋体" w:cs="宋体"/>
          <w:color w:val="auto"/>
          <w:szCs w:val="21"/>
        </w:rPr>
      </w:pPr>
      <w:r>
        <w:rPr>
          <w:rFonts w:hint="eastAsia" w:ascii="宋体" w:hAnsi="宋体" w:cs="宋体"/>
          <w:color w:val="auto"/>
          <w:szCs w:val="21"/>
        </w:rPr>
        <w:t>（2）查看主页“股东及出资信息”栏，或年报中的“股东及出资信息”栏信息；</w:t>
      </w:r>
    </w:p>
    <w:p>
      <w:pPr>
        <w:spacing w:line="400" w:lineRule="exact"/>
        <w:ind w:firstLine="420" w:firstLineChars="200"/>
        <w:rPr>
          <w:rFonts w:ascii="宋体" w:hAnsi="宋体" w:cs="宋体"/>
          <w:color w:val="auto"/>
          <w:szCs w:val="21"/>
        </w:rPr>
      </w:pPr>
      <w:r>
        <w:rPr>
          <w:rFonts w:hint="eastAsia" w:ascii="宋体" w:hAnsi="宋体" w:cs="宋体"/>
          <w:color w:val="auto"/>
          <w:szCs w:val="21"/>
        </w:rPr>
        <w:t>（3）将各投标人的股东及出资信息进行比对，得出审查结论；</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（4）将相关资料作为评审资料打印存档。</w:t>
      </w:r>
    </w:p>
    <w:p>
      <w:pPr>
        <w:spacing w:line="360" w:lineRule="auto"/>
        <w:outlineLvl w:val="1"/>
        <w:rPr>
          <w:rFonts w:ascii="宋体" w:hAnsi="宋体" w:cs="宋体"/>
          <w:b/>
          <w:color w:val="auto"/>
          <w:sz w:val="28"/>
          <w:szCs w:val="28"/>
        </w:rPr>
      </w:pPr>
      <w:bookmarkStart w:id="106" w:name="_Toc495841759"/>
      <w:bookmarkStart w:id="107" w:name="_Toc3415"/>
    </w:p>
    <w:p>
      <w:pPr>
        <w:spacing w:line="360" w:lineRule="auto"/>
        <w:jc w:val="center"/>
        <w:outlineLvl w:val="1"/>
        <w:rPr>
          <w:rFonts w:ascii="宋体" w:hAnsi="宋体" w:cs="宋体"/>
          <w:b/>
          <w:color w:val="auto"/>
          <w:sz w:val="28"/>
          <w:szCs w:val="28"/>
        </w:rPr>
      </w:pPr>
      <w:bookmarkStart w:id="108" w:name="_Toc5151"/>
      <w:r>
        <w:rPr>
          <w:rFonts w:hint="eastAsia" w:ascii="宋体" w:hAnsi="宋体" w:cs="宋体"/>
          <w:b/>
          <w:color w:val="auto"/>
          <w:sz w:val="28"/>
          <w:szCs w:val="28"/>
        </w:rPr>
        <w:t>六、评标</w:t>
      </w:r>
      <w:bookmarkEnd w:id="106"/>
      <w:bookmarkEnd w:id="107"/>
      <w:bookmarkEnd w:id="108"/>
    </w:p>
    <w:p>
      <w:pPr>
        <w:spacing w:line="360" w:lineRule="exact"/>
        <w:ind w:firstLine="413" w:firstLineChars="196"/>
        <w:outlineLvl w:val="2"/>
        <w:rPr>
          <w:rFonts w:ascii="宋体" w:hAnsi="宋体" w:cs="宋体"/>
          <w:b/>
          <w:color w:val="auto"/>
          <w:szCs w:val="21"/>
        </w:rPr>
      </w:pPr>
      <w:bookmarkStart w:id="109" w:name="_Toc14749"/>
      <w:bookmarkStart w:id="110" w:name="_Toc8931"/>
      <w:r>
        <w:rPr>
          <w:rFonts w:hint="eastAsia" w:ascii="宋体" w:hAnsi="宋体" w:cs="宋体"/>
          <w:b/>
          <w:color w:val="auto"/>
          <w:szCs w:val="21"/>
        </w:rPr>
        <w:t>24. 评标委员会组成</w:t>
      </w:r>
      <w:bookmarkEnd w:id="109"/>
      <w:bookmarkEnd w:id="110"/>
    </w:p>
    <w:p>
      <w:pPr>
        <w:spacing w:line="360" w:lineRule="exact"/>
        <w:ind w:firstLine="420" w:firstLineChars="200"/>
        <w:rPr>
          <w:rFonts w:ascii="宋体" w:hAnsi="宋体" w:cs="宋体"/>
          <w:color w:val="auto"/>
          <w:szCs w:val="21"/>
        </w:rPr>
      </w:pPr>
      <w:r>
        <w:rPr>
          <w:rFonts w:hint="eastAsia" w:ascii="宋体" w:hAnsi="宋体" w:cs="宋体"/>
          <w:color w:val="auto"/>
          <w:szCs w:val="21"/>
        </w:rPr>
        <w:t>评标委员会由采购人代表和有关技术、经济等方面的专家组成，成员人数共5人，其中采购人代表</w:t>
      </w:r>
      <w:r>
        <w:rPr>
          <w:rFonts w:hint="eastAsia" w:ascii="宋体" w:hAnsi="宋体" w:cs="宋体"/>
          <w:color w:val="auto"/>
          <w:szCs w:val="21"/>
          <w:lang w:val="en-US" w:eastAsia="zh-CN"/>
        </w:rPr>
        <w:t>0</w:t>
      </w:r>
      <w:r>
        <w:rPr>
          <w:rFonts w:hint="eastAsia" w:ascii="宋体" w:hAnsi="宋体" w:cs="宋体"/>
          <w:color w:val="auto"/>
          <w:szCs w:val="21"/>
        </w:rPr>
        <w:t>人，技术、经济等专家</w:t>
      </w:r>
      <w:r>
        <w:rPr>
          <w:rFonts w:hint="eastAsia" w:ascii="宋体" w:hAnsi="宋体" w:cs="宋体"/>
          <w:color w:val="auto"/>
          <w:szCs w:val="21"/>
          <w:lang w:val="en-US" w:eastAsia="zh-CN"/>
        </w:rPr>
        <w:t>5</w:t>
      </w:r>
      <w:r>
        <w:rPr>
          <w:rFonts w:hint="eastAsia" w:ascii="宋体" w:hAnsi="宋体" w:cs="宋体"/>
          <w:color w:val="auto"/>
          <w:szCs w:val="21"/>
        </w:rPr>
        <w:t>人。</w:t>
      </w:r>
    </w:p>
    <w:p>
      <w:pPr>
        <w:spacing w:line="360" w:lineRule="exact"/>
        <w:ind w:firstLine="413" w:firstLineChars="196"/>
        <w:outlineLvl w:val="2"/>
        <w:rPr>
          <w:rFonts w:ascii="宋体" w:hAnsi="宋体" w:cs="宋体"/>
          <w:b/>
          <w:color w:val="auto"/>
          <w:szCs w:val="21"/>
        </w:rPr>
      </w:pPr>
      <w:bookmarkStart w:id="111" w:name="_Toc24437"/>
      <w:bookmarkStart w:id="112" w:name="_Toc27586"/>
      <w:r>
        <w:rPr>
          <w:rFonts w:hint="eastAsia" w:ascii="宋体" w:hAnsi="宋体" w:cs="宋体"/>
          <w:b/>
          <w:color w:val="auto"/>
          <w:szCs w:val="21"/>
        </w:rPr>
        <w:t>25. 评标办法</w:t>
      </w:r>
      <w:bookmarkEnd w:id="111"/>
      <w:bookmarkEnd w:id="112"/>
    </w:p>
    <w:p>
      <w:pPr>
        <w:tabs>
          <w:tab w:val="left" w:pos="1140"/>
        </w:tabs>
        <w:spacing w:line="360" w:lineRule="exact"/>
        <w:ind w:firstLine="420" w:firstLineChars="200"/>
        <w:rPr>
          <w:rFonts w:ascii="宋体" w:hAnsi="宋体" w:cs="宋体"/>
          <w:color w:val="auto"/>
          <w:szCs w:val="21"/>
        </w:rPr>
      </w:pPr>
      <w:r>
        <w:rPr>
          <w:rFonts w:hint="eastAsia" w:ascii="宋体" w:hAnsi="宋体" w:cs="宋体"/>
          <w:color w:val="auto"/>
          <w:szCs w:val="21"/>
        </w:rPr>
        <w:t>25.1评标办法：综合评分法，具体评标内容及标准详见第四章。</w:t>
      </w:r>
    </w:p>
    <w:p>
      <w:pPr>
        <w:tabs>
          <w:tab w:val="left" w:pos="1140"/>
        </w:tabs>
        <w:spacing w:line="360" w:lineRule="exact"/>
        <w:ind w:firstLine="420" w:firstLineChars="200"/>
        <w:rPr>
          <w:rFonts w:ascii="宋体" w:hAnsi="宋体" w:cs="宋体"/>
          <w:color w:val="auto"/>
        </w:rPr>
      </w:pPr>
      <w:r>
        <w:rPr>
          <w:rFonts w:hint="eastAsia" w:ascii="宋体" w:hAnsi="宋体" w:cs="宋体"/>
          <w:color w:val="auto"/>
          <w:szCs w:val="21"/>
        </w:rPr>
        <w:t>25.2评标委员会应按招标文件进行评标，不得擅自更改评标办法。</w:t>
      </w:r>
    </w:p>
    <w:p>
      <w:pPr>
        <w:spacing w:line="360" w:lineRule="exact"/>
        <w:ind w:firstLine="413" w:firstLineChars="196"/>
        <w:outlineLvl w:val="2"/>
        <w:rPr>
          <w:rFonts w:ascii="宋体" w:hAnsi="宋体" w:cs="宋体"/>
          <w:b/>
          <w:color w:val="auto"/>
          <w:szCs w:val="21"/>
        </w:rPr>
      </w:pPr>
      <w:bookmarkStart w:id="113" w:name="_Toc20305"/>
      <w:bookmarkStart w:id="114" w:name="_Toc20321"/>
      <w:r>
        <w:rPr>
          <w:rFonts w:hint="eastAsia" w:ascii="宋体" w:hAnsi="宋体" w:cs="宋体"/>
          <w:b/>
          <w:color w:val="auto"/>
          <w:szCs w:val="21"/>
        </w:rPr>
        <w:t>26. 评标</w:t>
      </w:r>
      <w:bookmarkEnd w:id="113"/>
      <w:bookmarkEnd w:id="114"/>
    </w:p>
    <w:p>
      <w:pPr>
        <w:spacing w:line="360" w:lineRule="exact"/>
        <w:ind w:firstLine="420" w:firstLineChars="200"/>
        <w:rPr>
          <w:rFonts w:ascii="宋体" w:hAnsi="宋体" w:cs="宋体"/>
          <w:color w:val="auto"/>
          <w:szCs w:val="21"/>
        </w:rPr>
      </w:pPr>
      <w:r>
        <w:rPr>
          <w:rFonts w:hint="eastAsia" w:ascii="宋体" w:hAnsi="宋体" w:cs="宋体"/>
          <w:color w:val="auto"/>
          <w:szCs w:val="21"/>
        </w:rPr>
        <w:t>26.1采购代理机构负责评标组织工作，宣布评标工作纪律，公布投标人名单，告知评标专家应当回避的情形，组织评标委员会推选评标组长，采购人代表不得担任组长；在评标期间采取必要的通讯管理措施，保证评标活动不受外界干扰；根据评标委员会的要求介绍政府采购相关政策法规、招标文件；维护评标秩序，监督评标委员会依照招标文件规定的评标程序、方法和标准进行独立评审，及时制止和纠正采购人代表、评标专家的倾向性言论或者违法违规行为；核对评标结果，有投标无效情形的，要求评标委员会复核或者书面说明理由，评标委员会拒绝的，应予记录并向本级财政部门报告；评标工作完成后，按照规定向评标专家支付劳务报酬和异地评审差旅费，不得向评标专家以外的其他人员支付评审劳务报酬。</w:t>
      </w:r>
    </w:p>
    <w:p>
      <w:pPr>
        <w:spacing w:line="360" w:lineRule="exact"/>
        <w:ind w:firstLine="420" w:firstLineChars="200"/>
        <w:rPr>
          <w:rFonts w:ascii="宋体" w:hAnsi="宋体" w:cs="宋体"/>
          <w:color w:val="auto"/>
          <w:szCs w:val="21"/>
        </w:rPr>
      </w:pPr>
      <w:r>
        <w:rPr>
          <w:rFonts w:hint="eastAsia" w:ascii="宋体" w:hAnsi="宋体" w:cs="宋体"/>
          <w:color w:val="auto"/>
          <w:szCs w:val="21"/>
        </w:rPr>
        <w:t>26.2评标委员会负责具体评标事务；审查、评价投标文件是否符合招标文件的商务、技术等实质性要求；要求投标人对投标文件有关事项作出澄清或者说明；对投标文件进行比较和评价；确定中标候选供应商名单，以及根据采购人委托直接确定中标供应商；向采购人、采购代理机构或者有关部门报告评标中发现的违法行为。</w:t>
      </w:r>
    </w:p>
    <w:p>
      <w:pPr>
        <w:spacing w:line="360" w:lineRule="exact"/>
        <w:ind w:firstLine="420" w:firstLineChars="200"/>
        <w:rPr>
          <w:rFonts w:ascii="宋体" w:hAnsi="宋体" w:cs="宋体"/>
          <w:color w:val="auto"/>
          <w:szCs w:val="21"/>
        </w:rPr>
      </w:pPr>
      <w:r>
        <w:rPr>
          <w:rFonts w:hint="eastAsia" w:ascii="宋体" w:hAnsi="宋体" w:cs="宋体"/>
          <w:color w:val="auto"/>
          <w:szCs w:val="21"/>
        </w:rPr>
        <w:t>26.3在评标过程中，评标委员会任何人不得对某个投标人发表任何倾向性意见，不得向其他专家评委明示或者暗示自己的评审意见。</w:t>
      </w:r>
    </w:p>
    <w:p>
      <w:pPr>
        <w:spacing w:line="360" w:lineRule="exact"/>
        <w:ind w:firstLine="420" w:firstLineChars="200"/>
        <w:rPr>
          <w:rFonts w:ascii="宋体" w:hAnsi="宋体" w:cs="宋体"/>
          <w:color w:val="auto"/>
          <w:szCs w:val="21"/>
        </w:rPr>
      </w:pPr>
      <w:r>
        <w:rPr>
          <w:rFonts w:hint="eastAsia" w:ascii="宋体" w:hAnsi="宋体" w:cs="宋体"/>
          <w:color w:val="auto"/>
          <w:szCs w:val="21"/>
        </w:rPr>
        <w:t>26.4评标委员会应当对符合资格的投标人的投标文件进行符合性审查，以确定其是否满足招标文件的实质性要求。</w:t>
      </w:r>
    </w:p>
    <w:p>
      <w:pPr>
        <w:spacing w:line="360" w:lineRule="exact"/>
        <w:ind w:firstLine="420" w:firstLineChars="200"/>
        <w:rPr>
          <w:rFonts w:ascii="宋体" w:hAnsi="宋体" w:cs="宋体"/>
          <w:color w:val="auto"/>
          <w:szCs w:val="21"/>
        </w:rPr>
      </w:pPr>
      <w:r>
        <w:rPr>
          <w:rFonts w:hint="eastAsia" w:ascii="宋体" w:hAnsi="宋体" w:cs="宋体"/>
          <w:color w:val="auto"/>
          <w:szCs w:val="21"/>
        </w:rPr>
        <w:t>26.5对于投标文件中含义不明确、同类问题表述不一致、有明显文字和计算错误或属于投标人疏忽、笔误所造成差错的内容，评标委员会应当以书面形式要求投标人作出必要的澄清、说明或者补正。</w:t>
      </w:r>
    </w:p>
    <w:p>
      <w:pPr>
        <w:tabs>
          <w:tab w:val="left" w:pos="1140"/>
        </w:tabs>
        <w:spacing w:line="360" w:lineRule="exact"/>
        <w:ind w:firstLine="420" w:firstLineChars="200"/>
        <w:rPr>
          <w:rFonts w:ascii="宋体" w:hAnsi="宋体" w:cs="宋体"/>
          <w:color w:val="auto"/>
          <w:szCs w:val="21"/>
        </w:rPr>
      </w:pPr>
      <w:r>
        <w:rPr>
          <w:rFonts w:hint="eastAsia" w:ascii="宋体" w:hAnsi="宋体" w:cs="宋体"/>
          <w:color w:val="auto"/>
          <w:szCs w:val="21"/>
        </w:rPr>
        <w:t>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exact"/>
        <w:ind w:firstLine="411" w:firstLineChars="196"/>
        <w:rPr>
          <w:rFonts w:ascii="宋体" w:hAnsi="宋体" w:cs="宋体"/>
          <w:color w:val="auto"/>
          <w:szCs w:val="21"/>
        </w:rPr>
      </w:pPr>
      <w:r>
        <w:rPr>
          <w:rFonts w:hint="eastAsia" w:ascii="宋体" w:hAnsi="宋体" w:cs="宋体"/>
          <w:color w:val="auto"/>
          <w:szCs w:val="21"/>
        </w:rPr>
        <w:t>26.6评标委员会应当按照招标文件中规定的评标方法和标准，对符合性审查合格的投标文件进行商务和技术评估，综合比较与评价。</w:t>
      </w:r>
    </w:p>
    <w:p>
      <w:pPr>
        <w:spacing w:line="360" w:lineRule="exact"/>
        <w:ind w:firstLine="411" w:firstLineChars="196"/>
        <w:rPr>
          <w:rFonts w:ascii="宋体" w:hAnsi="宋体" w:cs="宋体"/>
          <w:color w:val="auto"/>
          <w:szCs w:val="21"/>
        </w:rPr>
      </w:pPr>
      <w:r>
        <w:rPr>
          <w:rFonts w:hint="eastAsia" w:ascii="宋体" w:hAnsi="宋体" w:cs="宋体"/>
          <w:color w:val="auto"/>
          <w:szCs w:val="21"/>
        </w:rPr>
        <w:t>26.7投标文件报价出现前后不一致的，除招标文件另有规定外，按照下列规定修正：</w:t>
      </w:r>
    </w:p>
    <w:p>
      <w:pPr>
        <w:spacing w:line="360" w:lineRule="exact"/>
        <w:ind w:firstLine="411" w:firstLineChars="196"/>
        <w:rPr>
          <w:rFonts w:ascii="宋体" w:hAnsi="宋体" w:cs="宋体"/>
          <w:color w:val="auto"/>
          <w:szCs w:val="21"/>
        </w:rPr>
      </w:pPr>
      <w:r>
        <w:rPr>
          <w:rFonts w:hint="eastAsia" w:ascii="宋体" w:hAnsi="宋体" w:cs="宋体"/>
          <w:color w:val="auto"/>
          <w:szCs w:val="21"/>
        </w:rPr>
        <w:t>（1）投标文件中投标报价表内容与投标文件中相应内容不一致的，以投标报价表为准；</w:t>
      </w:r>
    </w:p>
    <w:p>
      <w:pPr>
        <w:spacing w:line="360" w:lineRule="exact"/>
        <w:ind w:firstLine="411" w:firstLineChars="196"/>
        <w:rPr>
          <w:rFonts w:ascii="宋体" w:hAnsi="宋体" w:cs="宋体"/>
          <w:color w:val="auto"/>
          <w:szCs w:val="21"/>
        </w:rPr>
      </w:pPr>
      <w:r>
        <w:rPr>
          <w:rFonts w:hint="eastAsia" w:ascii="宋体" w:hAnsi="宋体" w:cs="宋体"/>
          <w:color w:val="auto"/>
          <w:szCs w:val="21"/>
        </w:rPr>
        <w:t>（2）大写金额和小写金额不一致的，以大写金额为准；</w:t>
      </w:r>
    </w:p>
    <w:p>
      <w:pPr>
        <w:spacing w:line="360" w:lineRule="exact"/>
        <w:ind w:firstLine="411" w:firstLineChars="196"/>
        <w:rPr>
          <w:rFonts w:ascii="宋体" w:hAnsi="宋体" w:cs="宋体"/>
          <w:color w:val="auto"/>
          <w:szCs w:val="21"/>
        </w:rPr>
      </w:pPr>
      <w:r>
        <w:rPr>
          <w:rFonts w:hint="eastAsia" w:ascii="宋体" w:hAnsi="宋体" w:cs="宋体"/>
          <w:color w:val="auto"/>
          <w:szCs w:val="21"/>
        </w:rPr>
        <w:t>（3）单价金额小数点或者百分比有明显错位的，以报价表的总价为准，并修改单价；</w:t>
      </w:r>
    </w:p>
    <w:p>
      <w:pPr>
        <w:spacing w:line="360" w:lineRule="exact"/>
        <w:ind w:firstLine="411" w:firstLineChars="196"/>
        <w:rPr>
          <w:rFonts w:ascii="宋体" w:hAnsi="宋体" w:cs="宋体"/>
          <w:color w:val="auto"/>
          <w:szCs w:val="21"/>
        </w:rPr>
      </w:pPr>
      <w:r>
        <w:rPr>
          <w:rFonts w:hint="eastAsia" w:ascii="宋体" w:hAnsi="宋体" w:cs="宋体"/>
          <w:color w:val="auto"/>
          <w:szCs w:val="21"/>
        </w:rPr>
        <w:t>（4）总价金额与按单价汇总金额不一致的，以单价金额计算结果为准。</w:t>
      </w:r>
    </w:p>
    <w:p>
      <w:pPr>
        <w:spacing w:line="360" w:lineRule="exact"/>
        <w:ind w:firstLine="411" w:firstLineChars="196"/>
        <w:rPr>
          <w:rFonts w:ascii="宋体" w:hAnsi="宋体" w:cs="宋体"/>
          <w:color w:val="auto"/>
          <w:szCs w:val="21"/>
        </w:rPr>
      </w:pPr>
      <w:r>
        <w:rPr>
          <w:rFonts w:hint="eastAsia" w:ascii="宋体" w:hAnsi="宋体" w:cs="宋体"/>
          <w:color w:val="auto"/>
          <w:szCs w:val="21"/>
        </w:rPr>
        <w:t>同时出现两种以上不一致的，按照前款规定的顺序修正。修正后的报价（不得超出投标文件的范围或者改变投标文件的实质性内容）经投标人确认后产生约束力，投标人不确认的，其投标无效。</w:t>
      </w:r>
    </w:p>
    <w:p>
      <w:pPr>
        <w:spacing w:line="360" w:lineRule="exact"/>
        <w:ind w:firstLine="411" w:firstLineChars="196"/>
        <w:rPr>
          <w:rFonts w:ascii="宋体" w:hAnsi="宋体" w:cs="宋体"/>
          <w:color w:val="auto"/>
          <w:szCs w:val="21"/>
        </w:rPr>
      </w:pPr>
      <w:r>
        <w:rPr>
          <w:rFonts w:hint="eastAsia" w:ascii="宋体" w:hAnsi="宋体" w:cs="宋体"/>
          <w:color w:val="auto"/>
          <w:szCs w:val="21"/>
        </w:rPr>
        <w:t>26.8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exact"/>
        <w:ind w:firstLine="411" w:firstLineChars="196"/>
        <w:rPr>
          <w:rFonts w:ascii="宋体" w:hAnsi="宋体" w:cs="宋体"/>
          <w:color w:val="auto"/>
          <w:szCs w:val="21"/>
        </w:rPr>
      </w:pPr>
      <w:r>
        <w:rPr>
          <w:rFonts w:hint="eastAsia" w:ascii="宋体" w:hAnsi="宋体" w:cs="宋体"/>
          <w:color w:val="auto"/>
          <w:szCs w:val="21"/>
        </w:rPr>
        <w:t>26.9评标委员会成员对需要共同认定的事项存在争议的，应当按照少数服从多数的原则作出结论。持不同意见的评标委员会成员应当在评标报告上签署不同意见及理由，否则视为同意评标报告。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26.10评标结果汇总完成后，除下列情形外，任何人不得修改评标结果：</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（一）分值汇总计算错误的；</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（二）分项评分超出评分标准范围的；</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（三）评标委员会成员对客观评审因素评分不一致的；</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（四）经评标委员会认定评分畸高、畸低的。</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投标人对本条第一款情形提出质疑的，采购人或者采购代理机构可以组织原评标委员会进行重新评审，重新评审改变评标结果的，应当书面报告本级财政部门。</w:t>
      </w:r>
    </w:p>
    <w:p>
      <w:pPr>
        <w:spacing w:line="360" w:lineRule="exact"/>
        <w:ind w:firstLine="411" w:firstLineChars="196"/>
        <w:rPr>
          <w:rFonts w:ascii="宋体" w:hAnsi="宋体" w:cs="宋体"/>
          <w:color w:val="auto"/>
          <w:szCs w:val="21"/>
        </w:rPr>
      </w:pPr>
      <w:r>
        <w:rPr>
          <w:rFonts w:hint="eastAsia" w:ascii="宋体" w:hAnsi="宋体" w:cs="宋体"/>
          <w:color w:val="auto"/>
          <w:szCs w:val="21"/>
        </w:rPr>
        <w:t>26.11采购代理机构发现评标委员会有明显的违规倾向或歧视现象，或不按评标办法进行，或其他不正常行为的，应当及时制止。如制止无效，应及时向本级财政部门报告。</w:t>
      </w:r>
    </w:p>
    <w:p>
      <w:pPr>
        <w:spacing w:line="360" w:lineRule="exact"/>
        <w:ind w:firstLine="413" w:firstLineChars="196"/>
        <w:outlineLvl w:val="2"/>
        <w:rPr>
          <w:rFonts w:ascii="宋体" w:hAnsi="宋体" w:cs="宋体"/>
          <w:b/>
          <w:color w:val="auto"/>
          <w:szCs w:val="21"/>
        </w:rPr>
      </w:pPr>
      <w:bookmarkStart w:id="115" w:name="_Toc20749"/>
      <w:bookmarkStart w:id="116" w:name="_Toc30450"/>
      <w:r>
        <w:rPr>
          <w:rFonts w:hint="eastAsia" w:ascii="宋体" w:hAnsi="宋体" w:cs="宋体"/>
          <w:b/>
          <w:color w:val="auto"/>
          <w:szCs w:val="21"/>
        </w:rPr>
        <w:t>27. 推荐及确定中标候选供应商原则</w:t>
      </w:r>
      <w:bookmarkEnd w:id="115"/>
      <w:bookmarkEnd w:id="116"/>
    </w:p>
    <w:p>
      <w:pPr>
        <w:tabs>
          <w:tab w:val="left" w:pos="4214"/>
        </w:tabs>
        <w:spacing w:line="360" w:lineRule="exact"/>
        <w:ind w:firstLine="420" w:firstLineChars="200"/>
        <w:rPr>
          <w:rFonts w:ascii="宋体" w:hAnsi="宋体" w:cs="宋体"/>
          <w:color w:val="auto"/>
          <w:szCs w:val="21"/>
        </w:rPr>
      </w:pPr>
      <w:r>
        <w:rPr>
          <w:rFonts w:hint="eastAsia" w:ascii="宋体" w:hAnsi="宋体" w:cs="宋体"/>
          <w:color w:val="auto"/>
          <w:szCs w:val="21"/>
        </w:rPr>
        <w:t>（1）评标委员会根据综合得分由高到低排列次序，若得分相同时，按评标价由低到高顺序排列；得分相同且评标价也相同的由评标委员会按照抽签的方式决定排次次序</w:t>
      </w:r>
      <w:r>
        <w:rPr>
          <w:rFonts w:hint="eastAsia" w:ascii="宋体" w:hAnsi="宋体" w:cs="宋体"/>
          <w:color w:val="auto"/>
          <w:sz w:val="22"/>
          <w:szCs w:val="22"/>
        </w:rPr>
        <w:t>。</w:t>
      </w:r>
    </w:p>
    <w:p>
      <w:pPr>
        <w:tabs>
          <w:tab w:val="left" w:pos="4214"/>
        </w:tabs>
        <w:spacing w:line="360" w:lineRule="exact"/>
        <w:ind w:firstLine="420" w:firstLineChars="200"/>
        <w:rPr>
          <w:rFonts w:ascii="宋体" w:hAnsi="宋体" w:cs="宋体"/>
          <w:color w:val="auto"/>
          <w:szCs w:val="21"/>
        </w:rPr>
      </w:pPr>
      <w:r>
        <w:rPr>
          <w:rFonts w:hint="eastAsia" w:ascii="宋体" w:hAnsi="宋体" w:cs="宋体"/>
          <w:color w:val="auto"/>
          <w:szCs w:val="21"/>
        </w:rPr>
        <w:t>（2）评标委员会可推荐前三名为中标候选供应商，采购人应当确定评标委员会推荐排名第一的中标候选供应商为中标供应商。</w:t>
      </w:r>
    </w:p>
    <w:p>
      <w:pPr>
        <w:spacing w:line="360" w:lineRule="exact"/>
        <w:ind w:firstLine="447" w:firstLineChars="213"/>
        <w:rPr>
          <w:rFonts w:ascii="宋体" w:hAnsi="宋体" w:cs="宋体"/>
          <w:color w:val="auto"/>
          <w:szCs w:val="21"/>
        </w:rPr>
      </w:pPr>
      <w:r>
        <w:rPr>
          <w:rFonts w:hint="eastAsia" w:ascii="宋体" w:hAnsi="宋体" w:cs="宋体"/>
          <w:color w:val="auto"/>
          <w:szCs w:val="21"/>
        </w:rPr>
        <w:t>（3）排名第一的中标候选供应商放弃中标、因不可抗力提出不能履行合同，或者招标文件规定应当提交履约保证金而在规定的期限内未能提交的，或因失信行为被取消中标候选供应商资格的，采购人可以确定排名第二的中标候选供应商为中标供应商，并依此类推。</w:t>
      </w:r>
    </w:p>
    <w:p>
      <w:pPr>
        <w:spacing w:line="360" w:lineRule="exact"/>
        <w:ind w:firstLine="413" w:firstLineChars="196"/>
        <w:outlineLvl w:val="2"/>
        <w:rPr>
          <w:rFonts w:ascii="宋体" w:hAnsi="宋体" w:cs="宋体"/>
          <w:b/>
          <w:color w:val="auto"/>
          <w:szCs w:val="21"/>
        </w:rPr>
      </w:pPr>
      <w:bookmarkStart w:id="117" w:name="_Toc20942"/>
      <w:bookmarkStart w:id="118" w:name="_Toc1836"/>
      <w:r>
        <w:rPr>
          <w:rFonts w:hint="eastAsia" w:ascii="宋体" w:hAnsi="宋体" w:cs="宋体"/>
          <w:b/>
          <w:color w:val="auto"/>
          <w:szCs w:val="21"/>
        </w:rPr>
        <w:t>28. 属于下列情况之一者，投标无效</w:t>
      </w:r>
      <w:bookmarkEnd w:id="117"/>
      <w:bookmarkEnd w:id="118"/>
    </w:p>
    <w:p>
      <w:pPr>
        <w:snapToGrid w:val="0"/>
        <w:spacing w:line="360" w:lineRule="exact"/>
        <w:ind w:firstLine="411" w:firstLineChars="196"/>
        <w:rPr>
          <w:rFonts w:ascii="宋体" w:hAnsi="宋体" w:cs="宋体"/>
          <w:color w:val="auto"/>
          <w:szCs w:val="21"/>
        </w:rPr>
      </w:pPr>
      <w:r>
        <w:rPr>
          <w:rFonts w:hint="eastAsia" w:ascii="宋体" w:hAnsi="宋体" w:cs="宋体"/>
          <w:color w:val="auto"/>
          <w:szCs w:val="21"/>
        </w:rPr>
        <w:t>（1）未按照招标文件规定要求签字、盖章的；</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（2）报价超过招标文件中规定的预算金额的；</w:t>
      </w:r>
    </w:p>
    <w:p>
      <w:pPr>
        <w:snapToGrid w:val="0"/>
        <w:spacing w:line="360" w:lineRule="exact"/>
        <w:ind w:firstLine="411" w:firstLineChars="196"/>
        <w:rPr>
          <w:rFonts w:ascii="宋体" w:hAnsi="宋体" w:cs="宋体"/>
          <w:color w:val="auto"/>
          <w:szCs w:val="21"/>
        </w:rPr>
      </w:pPr>
      <w:r>
        <w:rPr>
          <w:rFonts w:hint="eastAsia" w:ascii="宋体" w:hAnsi="宋体" w:cs="宋体"/>
          <w:color w:val="auto"/>
          <w:szCs w:val="21"/>
        </w:rPr>
        <w:t>（3）不具备招标文件中规定的资格要求的</w:t>
      </w:r>
      <w:r>
        <w:rPr>
          <w:rFonts w:hint="eastAsia" w:ascii="宋体" w:hAnsi="宋体" w:cs="宋体"/>
          <w:color w:val="auto"/>
        </w:rPr>
        <w:t>；</w:t>
      </w:r>
    </w:p>
    <w:p>
      <w:pPr>
        <w:snapToGrid w:val="0"/>
        <w:spacing w:line="360" w:lineRule="exact"/>
        <w:ind w:firstLine="411" w:firstLineChars="196"/>
        <w:rPr>
          <w:rFonts w:ascii="宋体" w:hAnsi="宋体" w:cs="宋体"/>
          <w:color w:val="auto"/>
          <w:szCs w:val="21"/>
        </w:rPr>
      </w:pPr>
      <w:r>
        <w:rPr>
          <w:rFonts w:hint="eastAsia" w:ascii="宋体" w:hAnsi="宋体" w:cs="宋体"/>
          <w:color w:val="auto"/>
          <w:szCs w:val="21"/>
        </w:rPr>
        <w:t>（4）投标文件含有采购人不能接受的附加条件的；</w:t>
      </w:r>
    </w:p>
    <w:p>
      <w:pPr>
        <w:snapToGrid w:val="0"/>
        <w:spacing w:line="360" w:lineRule="exact"/>
        <w:ind w:firstLine="411" w:firstLineChars="196"/>
        <w:rPr>
          <w:rFonts w:ascii="宋体" w:hAnsi="宋体" w:cs="宋体"/>
          <w:color w:val="auto"/>
          <w:szCs w:val="21"/>
        </w:rPr>
      </w:pPr>
      <w:r>
        <w:rPr>
          <w:rFonts w:hint="eastAsia" w:ascii="宋体" w:hAnsi="宋体" w:cs="宋体"/>
          <w:color w:val="auto"/>
          <w:szCs w:val="21"/>
        </w:rPr>
        <w:t>（5）投标文件未按招标文件的内容和要求编制，或提供虚假或无效材料的；</w:t>
      </w:r>
    </w:p>
    <w:p>
      <w:pPr>
        <w:snapToGrid w:val="0"/>
        <w:spacing w:line="360" w:lineRule="exact"/>
        <w:ind w:firstLine="411" w:firstLineChars="196"/>
        <w:rPr>
          <w:rFonts w:ascii="宋体" w:hAnsi="宋体" w:cs="宋体"/>
          <w:color w:val="auto"/>
        </w:rPr>
      </w:pPr>
      <w:r>
        <w:rPr>
          <w:rFonts w:hint="eastAsia" w:ascii="宋体" w:hAnsi="宋体" w:cs="宋体"/>
          <w:color w:val="auto"/>
          <w:szCs w:val="21"/>
        </w:rPr>
        <w:t>（6）</w:t>
      </w:r>
      <w:r>
        <w:rPr>
          <w:rFonts w:hint="eastAsia" w:ascii="宋体" w:hAnsi="宋体" w:cs="宋体"/>
          <w:color w:val="auto"/>
        </w:rPr>
        <w:t>投标</w:t>
      </w:r>
      <w:r>
        <w:rPr>
          <w:rFonts w:hint="eastAsia" w:ascii="宋体" w:hAnsi="宋体" w:cs="宋体"/>
          <w:color w:val="auto"/>
          <w:szCs w:val="21"/>
        </w:rPr>
        <w:t>人未就“货物采购需求”中的所有内容作完整唯一报价的</w:t>
      </w:r>
      <w:r>
        <w:rPr>
          <w:rFonts w:hint="eastAsia" w:ascii="宋体" w:hAnsi="宋体" w:cs="宋体"/>
          <w:color w:val="auto"/>
        </w:rPr>
        <w:t>；</w:t>
      </w:r>
    </w:p>
    <w:p>
      <w:pPr>
        <w:snapToGrid w:val="0"/>
        <w:spacing w:line="360" w:lineRule="exact"/>
        <w:ind w:firstLine="411" w:firstLineChars="196"/>
        <w:rPr>
          <w:rFonts w:ascii="宋体" w:hAnsi="宋体" w:cs="宋体"/>
          <w:color w:val="auto"/>
          <w:szCs w:val="21"/>
        </w:rPr>
      </w:pPr>
      <w:r>
        <w:rPr>
          <w:rFonts w:hint="eastAsia" w:ascii="宋体" w:hAnsi="宋体" w:cs="宋体"/>
          <w:color w:val="auto"/>
          <w:szCs w:val="21"/>
        </w:rPr>
        <w:t>（7）未完全响应招标文件实质性要求的；</w:t>
      </w:r>
    </w:p>
    <w:p>
      <w:pPr>
        <w:spacing w:line="360" w:lineRule="exact"/>
        <w:ind w:firstLine="420" w:firstLineChars="200"/>
        <w:rPr>
          <w:rFonts w:ascii="宋体" w:hAnsi="宋体" w:cs="宋体"/>
          <w:color w:val="auto"/>
          <w:szCs w:val="21"/>
        </w:rPr>
      </w:pPr>
      <w:r>
        <w:rPr>
          <w:rFonts w:hint="eastAsia" w:ascii="宋体" w:hAnsi="宋体" w:cs="宋体"/>
          <w:color w:val="auto"/>
          <w:szCs w:val="21"/>
        </w:rPr>
        <w:t>（8）法律、法规和招标文件规定的其他无效情形。</w:t>
      </w:r>
    </w:p>
    <w:p>
      <w:pPr>
        <w:spacing w:line="360" w:lineRule="exact"/>
        <w:ind w:firstLine="413" w:firstLineChars="196"/>
        <w:outlineLvl w:val="2"/>
        <w:rPr>
          <w:rFonts w:ascii="宋体" w:hAnsi="宋体" w:cs="宋体"/>
          <w:b/>
          <w:color w:val="auto"/>
          <w:szCs w:val="21"/>
        </w:rPr>
      </w:pPr>
      <w:bookmarkStart w:id="119" w:name="_Toc23580"/>
      <w:bookmarkStart w:id="120" w:name="_Toc15081"/>
      <w:r>
        <w:rPr>
          <w:rFonts w:hint="eastAsia" w:ascii="宋体" w:hAnsi="宋体" w:cs="宋体"/>
          <w:b/>
          <w:color w:val="auto"/>
          <w:szCs w:val="21"/>
        </w:rPr>
        <w:t>29. 投标人有下列情形之一的，视为串通投标，投标文件将被视为无效</w:t>
      </w:r>
      <w:bookmarkEnd w:id="119"/>
      <w:bookmarkEnd w:id="120"/>
    </w:p>
    <w:p>
      <w:pPr>
        <w:snapToGrid w:val="0"/>
        <w:spacing w:line="360" w:lineRule="exact"/>
        <w:ind w:left="355" w:leftChars="169" w:firstLine="102" w:firstLineChars="49"/>
        <w:rPr>
          <w:rFonts w:ascii="宋体" w:hAnsi="宋体" w:cs="宋体"/>
          <w:color w:val="auto"/>
        </w:rPr>
      </w:pPr>
      <w:r>
        <w:rPr>
          <w:rFonts w:hint="eastAsia" w:ascii="宋体" w:hAnsi="宋体" w:cs="宋体"/>
          <w:color w:val="auto"/>
        </w:rPr>
        <w:t>（1）不同投标人的投标文件由同一单位或者个人编制；</w:t>
      </w:r>
    </w:p>
    <w:p>
      <w:pPr>
        <w:snapToGrid w:val="0"/>
        <w:spacing w:line="360" w:lineRule="exact"/>
        <w:ind w:left="355" w:leftChars="169" w:firstLine="102" w:firstLineChars="49"/>
        <w:rPr>
          <w:rFonts w:ascii="宋体" w:hAnsi="宋体" w:cs="宋体"/>
          <w:color w:val="auto"/>
        </w:rPr>
      </w:pPr>
      <w:r>
        <w:rPr>
          <w:rFonts w:hint="eastAsia" w:ascii="宋体" w:hAnsi="宋体" w:cs="宋体"/>
          <w:color w:val="auto"/>
        </w:rPr>
        <w:t>（2）不同投标人委托同一单位或者个人办理投标事宜；</w:t>
      </w:r>
    </w:p>
    <w:p>
      <w:pPr>
        <w:snapToGrid w:val="0"/>
        <w:spacing w:line="360" w:lineRule="exact"/>
        <w:ind w:left="355" w:leftChars="169" w:firstLine="102" w:firstLineChars="49"/>
        <w:rPr>
          <w:rFonts w:ascii="宋体" w:hAnsi="宋体" w:cs="宋体"/>
          <w:color w:val="auto"/>
        </w:rPr>
      </w:pPr>
      <w:r>
        <w:rPr>
          <w:rFonts w:hint="eastAsia" w:ascii="宋体" w:hAnsi="宋体" w:cs="宋体"/>
          <w:color w:val="auto"/>
        </w:rPr>
        <w:t>（3）不同的投标人的投标文件载明的项目管理员或者联系人员为同一个人；</w:t>
      </w:r>
    </w:p>
    <w:p>
      <w:pPr>
        <w:snapToGrid w:val="0"/>
        <w:spacing w:line="360" w:lineRule="exact"/>
        <w:ind w:left="355" w:leftChars="169" w:firstLine="102" w:firstLineChars="49"/>
        <w:rPr>
          <w:rFonts w:ascii="宋体" w:hAnsi="宋体" w:cs="宋体"/>
          <w:color w:val="auto"/>
        </w:rPr>
      </w:pPr>
      <w:r>
        <w:rPr>
          <w:rFonts w:hint="eastAsia" w:ascii="宋体" w:hAnsi="宋体" w:cs="宋体"/>
          <w:color w:val="auto"/>
        </w:rPr>
        <w:t xml:space="preserve">（4）不同投标人的投标文件异常一致或投标报价呈规律性差异； </w:t>
      </w:r>
    </w:p>
    <w:p>
      <w:pPr>
        <w:snapToGrid w:val="0"/>
        <w:spacing w:line="360" w:lineRule="exact"/>
        <w:ind w:left="355" w:leftChars="169" w:firstLine="102" w:firstLineChars="49"/>
        <w:rPr>
          <w:rFonts w:ascii="宋体" w:hAnsi="宋体" w:cs="宋体"/>
          <w:color w:val="auto"/>
        </w:rPr>
      </w:pPr>
      <w:r>
        <w:rPr>
          <w:rFonts w:hint="eastAsia" w:ascii="宋体" w:hAnsi="宋体" w:cs="宋体"/>
          <w:color w:val="auto"/>
        </w:rPr>
        <w:t>（5）不同投标人的投标文件相互混装；</w:t>
      </w:r>
    </w:p>
    <w:p>
      <w:pPr>
        <w:snapToGrid w:val="0"/>
        <w:spacing w:line="360" w:lineRule="exact"/>
        <w:ind w:left="355" w:leftChars="169" w:firstLine="102" w:firstLineChars="49"/>
        <w:rPr>
          <w:rFonts w:ascii="宋体" w:hAnsi="宋体" w:cs="宋体"/>
          <w:color w:val="auto"/>
        </w:rPr>
      </w:pPr>
      <w:r>
        <w:rPr>
          <w:rFonts w:hint="eastAsia" w:ascii="宋体" w:hAnsi="宋体" w:cs="宋体"/>
          <w:color w:val="auto"/>
        </w:rPr>
        <w:t>（6）不同投标人的投标保证金从同一单位或者个人账户转出。</w:t>
      </w:r>
    </w:p>
    <w:p>
      <w:pPr>
        <w:spacing w:line="360" w:lineRule="exact"/>
        <w:ind w:firstLine="413" w:firstLineChars="196"/>
        <w:outlineLvl w:val="2"/>
        <w:rPr>
          <w:rFonts w:ascii="宋体" w:hAnsi="宋体" w:cs="宋体"/>
          <w:b/>
          <w:color w:val="auto"/>
          <w:szCs w:val="21"/>
        </w:rPr>
      </w:pPr>
      <w:bookmarkStart w:id="121" w:name="_Toc31791"/>
      <w:bookmarkStart w:id="122" w:name="_Toc18148"/>
      <w:r>
        <w:rPr>
          <w:rFonts w:hint="eastAsia" w:ascii="宋体" w:hAnsi="宋体" w:cs="宋体"/>
          <w:b/>
          <w:color w:val="auto"/>
          <w:szCs w:val="21"/>
        </w:rPr>
        <w:t>30. 属于下列情形之一的，应予废标</w:t>
      </w:r>
      <w:bookmarkEnd w:id="121"/>
      <w:bookmarkEnd w:id="122"/>
    </w:p>
    <w:p>
      <w:pPr>
        <w:tabs>
          <w:tab w:val="left" w:pos="840"/>
        </w:tabs>
        <w:snapToGrid w:val="0"/>
        <w:spacing w:line="360" w:lineRule="exact"/>
        <w:ind w:left="330" w:leftChars="157" w:firstLine="102" w:firstLineChars="49"/>
        <w:rPr>
          <w:rFonts w:ascii="宋体" w:hAnsi="宋体" w:cs="宋体"/>
          <w:color w:val="auto"/>
          <w:szCs w:val="21"/>
        </w:rPr>
      </w:pPr>
      <w:r>
        <w:rPr>
          <w:rFonts w:hint="eastAsia" w:ascii="宋体" w:hAnsi="宋体" w:cs="宋体"/>
          <w:color w:val="auto"/>
          <w:szCs w:val="21"/>
        </w:rPr>
        <w:t>（1）符合专业条件的供应商或者对招标文件作实质响应的供应商不足3家的；</w:t>
      </w:r>
    </w:p>
    <w:p>
      <w:pPr>
        <w:tabs>
          <w:tab w:val="left" w:pos="840"/>
        </w:tabs>
        <w:snapToGrid w:val="0"/>
        <w:spacing w:line="360" w:lineRule="exact"/>
        <w:ind w:left="330" w:leftChars="157" w:firstLine="105" w:firstLineChars="50"/>
        <w:rPr>
          <w:rFonts w:ascii="宋体" w:hAnsi="宋体" w:cs="宋体"/>
          <w:color w:val="auto"/>
          <w:szCs w:val="21"/>
        </w:rPr>
      </w:pPr>
      <w:r>
        <w:rPr>
          <w:rFonts w:hint="eastAsia" w:ascii="宋体" w:hAnsi="宋体" w:cs="宋体"/>
          <w:color w:val="auto"/>
          <w:szCs w:val="21"/>
        </w:rPr>
        <w:t>（2）出现影响采购公正的违法、违规行为的；</w:t>
      </w:r>
    </w:p>
    <w:p>
      <w:pPr>
        <w:tabs>
          <w:tab w:val="left" w:pos="840"/>
        </w:tabs>
        <w:snapToGrid w:val="0"/>
        <w:spacing w:line="360" w:lineRule="exact"/>
        <w:ind w:left="330" w:leftChars="157" w:firstLine="105" w:firstLineChars="50"/>
        <w:rPr>
          <w:rFonts w:ascii="宋体" w:hAnsi="宋体" w:cs="宋体"/>
          <w:color w:val="auto"/>
        </w:rPr>
      </w:pPr>
      <w:r>
        <w:rPr>
          <w:rFonts w:hint="eastAsia" w:ascii="宋体" w:hAnsi="宋体" w:cs="宋体"/>
          <w:color w:val="auto"/>
        </w:rPr>
        <w:t>（3）采购文件内容违反国家有关强制性规定的；</w:t>
      </w:r>
    </w:p>
    <w:p>
      <w:pPr>
        <w:tabs>
          <w:tab w:val="left" w:pos="840"/>
        </w:tabs>
        <w:snapToGrid w:val="0"/>
        <w:spacing w:line="360" w:lineRule="exact"/>
        <w:ind w:left="330" w:leftChars="157" w:firstLine="105" w:firstLineChars="50"/>
        <w:rPr>
          <w:rFonts w:ascii="宋体" w:hAnsi="宋体" w:cs="宋体"/>
          <w:color w:val="auto"/>
        </w:rPr>
      </w:pPr>
      <w:r>
        <w:rPr>
          <w:rFonts w:hint="eastAsia" w:ascii="宋体" w:hAnsi="宋体" w:cs="宋体"/>
          <w:color w:val="auto"/>
        </w:rPr>
        <w:t>（4）因重大变故，采购任务取消的。</w:t>
      </w:r>
    </w:p>
    <w:p>
      <w:pPr>
        <w:spacing w:line="360" w:lineRule="exact"/>
        <w:ind w:firstLine="413" w:firstLineChars="196"/>
        <w:outlineLvl w:val="2"/>
        <w:rPr>
          <w:rFonts w:ascii="宋体" w:hAnsi="宋体" w:cs="宋体"/>
          <w:b/>
          <w:color w:val="auto"/>
          <w:szCs w:val="21"/>
        </w:rPr>
      </w:pPr>
      <w:bookmarkStart w:id="123" w:name="_Toc28916"/>
      <w:bookmarkStart w:id="124" w:name="_Toc28686"/>
      <w:r>
        <w:rPr>
          <w:rFonts w:hint="eastAsia" w:ascii="宋体" w:hAnsi="宋体" w:cs="宋体"/>
          <w:b/>
          <w:color w:val="auto"/>
          <w:szCs w:val="21"/>
        </w:rPr>
        <w:t>31. 开标、评标过程的监控</w:t>
      </w:r>
      <w:bookmarkEnd w:id="123"/>
      <w:bookmarkEnd w:id="124"/>
    </w:p>
    <w:p>
      <w:pPr>
        <w:spacing w:line="360" w:lineRule="exact"/>
        <w:ind w:firstLine="411" w:firstLineChars="196"/>
        <w:rPr>
          <w:rFonts w:ascii="宋体" w:hAnsi="宋体" w:cs="宋体"/>
          <w:color w:val="auto"/>
        </w:rPr>
      </w:pPr>
      <w:r>
        <w:rPr>
          <w:rFonts w:hint="eastAsia" w:ascii="宋体" w:hAnsi="宋体" w:cs="宋体"/>
          <w:color w:val="auto"/>
        </w:rPr>
        <w:t>本项目开标、评标过程实行全程录音、录像监控，投标人在评标过程中所进行的试图影响评标结果的不公正活动，可能导致其投标被拒绝。</w:t>
      </w:r>
    </w:p>
    <w:p>
      <w:pPr>
        <w:spacing w:line="360" w:lineRule="exact"/>
        <w:ind w:firstLine="413" w:firstLineChars="196"/>
        <w:outlineLvl w:val="2"/>
        <w:rPr>
          <w:rFonts w:ascii="宋体" w:hAnsi="宋体" w:cs="宋体"/>
          <w:b/>
          <w:color w:val="auto"/>
          <w:szCs w:val="21"/>
        </w:rPr>
      </w:pPr>
      <w:bookmarkStart w:id="125" w:name="_Toc7646"/>
      <w:bookmarkStart w:id="126" w:name="_Toc1321"/>
      <w:r>
        <w:rPr>
          <w:rFonts w:hint="eastAsia" w:ascii="宋体" w:hAnsi="宋体" w:cs="宋体"/>
          <w:b/>
          <w:color w:val="auto"/>
          <w:szCs w:val="21"/>
        </w:rPr>
        <w:t>32. 信用查询</w:t>
      </w:r>
      <w:bookmarkEnd w:id="125"/>
      <w:bookmarkEnd w:id="126"/>
    </w:p>
    <w:p>
      <w:pPr>
        <w:spacing w:line="360" w:lineRule="exact"/>
        <w:ind w:firstLine="411" w:firstLineChars="196"/>
        <w:rPr>
          <w:rFonts w:ascii="宋体" w:hAnsi="宋体" w:cs="宋体"/>
          <w:color w:val="auto"/>
        </w:rPr>
      </w:pPr>
      <w:r>
        <w:rPr>
          <w:rFonts w:hint="eastAsia" w:ascii="宋体" w:hAnsi="宋体" w:cs="宋体"/>
          <w:color w:val="auto"/>
        </w:rPr>
        <w:t>根据《关于做好政府采购有关信用主体标识码登记及在政府采购活动中查询使用信用记录有关问题的通知》桂财采〔2016〕37号的通知，中标通知书发出前，由采购代理机构对第一中标候选供应商进行信用查询：</w:t>
      </w:r>
    </w:p>
    <w:p>
      <w:pPr>
        <w:spacing w:line="360" w:lineRule="exact"/>
        <w:ind w:firstLine="411" w:firstLineChars="196"/>
        <w:rPr>
          <w:rFonts w:ascii="宋体" w:hAnsi="宋体" w:cs="宋体"/>
          <w:color w:val="auto"/>
        </w:rPr>
      </w:pPr>
      <w:r>
        <w:rPr>
          <w:rFonts w:hint="eastAsia" w:ascii="宋体" w:hAnsi="宋体" w:cs="宋体"/>
          <w:color w:val="auto"/>
        </w:rPr>
        <w:t>⑴查询渠道：“信用中国”网站(www.creditchina.gov.cn)、中国政府采购网(www.ccgp.gov.cn)等；</w:t>
      </w:r>
    </w:p>
    <w:p>
      <w:pPr>
        <w:spacing w:line="360" w:lineRule="exact"/>
        <w:ind w:firstLine="411" w:firstLineChars="196"/>
        <w:rPr>
          <w:rFonts w:ascii="宋体" w:hAnsi="宋体" w:cs="宋体"/>
          <w:color w:val="auto"/>
        </w:rPr>
      </w:pPr>
      <w:r>
        <w:rPr>
          <w:rFonts w:hint="eastAsia" w:ascii="宋体" w:hAnsi="宋体" w:cs="宋体"/>
          <w:color w:val="auto"/>
        </w:rPr>
        <w:t>⑵查询时间：中标通知书发出前；</w:t>
      </w:r>
    </w:p>
    <w:p>
      <w:pPr>
        <w:spacing w:line="360" w:lineRule="exact"/>
        <w:ind w:firstLine="411" w:firstLineChars="196"/>
        <w:rPr>
          <w:rFonts w:ascii="宋体" w:hAnsi="宋体" w:cs="宋体"/>
          <w:color w:val="auto"/>
        </w:rPr>
      </w:pPr>
      <w:r>
        <w:rPr>
          <w:rFonts w:hint="eastAsia" w:ascii="宋体" w:hAnsi="宋体" w:cs="宋体"/>
          <w:color w:val="auto"/>
        </w:rPr>
        <w:t>⑶信用信息查询记录和证据留存方式：在查询网站中直接打印查询记录，打印材料作为采购活动资料保存；</w:t>
      </w:r>
    </w:p>
    <w:p>
      <w:pPr>
        <w:spacing w:line="360" w:lineRule="exact"/>
        <w:ind w:firstLine="411" w:firstLineChars="196"/>
        <w:rPr>
          <w:rFonts w:ascii="宋体" w:hAnsi="宋体" w:cs="宋体"/>
          <w:color w:val="auto"/>
        </w:rPr>
      </w:pPr>
      <w:r>
        <w:rPr>
          <w:rFonts w:hint="eastAsia" w:ascii="宋体" w:hAnsi="宋体" w:cs="宋体"/>
          <w:color w:val="auto"/>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p>
      <w:pPr>
        <w:spacing w:line="360" w:lineRule="exact"/>
        <w:ind w:firstLine="411" w:firstLineChars="196"/>
        <w:rPr>
          <w:rFonts w:ascii="宋体" w:hAnsi="宋体" w:cs="宋体"/>
          <w:color w:val="auto"/>
        </w:rPr>
      </w:pPr>
      <w:r>
        <w:rPr>
          <w:rFonts w:hint="eastAsia" w:ascii="宋体" w:hAnsi="宋体" w:cs="宋体"/>
          <w:color w:val="auto"/>
        </w:rPr>
        <w:t>两个以上的自然人、法人或者其他组织组成一个联合体，以一个供应商的身份共同参加政府采购活动的，对所有联合体成员进行信用记录查询，联合体成员存在不良信用记录的，视同联合体存在不良信用记录。</w:t>
      </w:r>
    </w:p>
    <w:p>
      <w:pPr>
        <w:spacing w:line="360" w:lineRule="exact"/>
        <w:ind w:firstLine="413" w:firstLineChars="196"/>
        <w:outlineLvl w:val="2"/>
        <w:rPr>
          <w:rFonts w:ascii="宋体" w:hAnsi="宋体" w:cs="宋体"/>
          <w:b/>
          <w:color w:val="auto"/>
          <w:szCs w:val="21"/>
        </w:rPr>
      </w:pPr>
      <w:bookmarkStart w:id="127" w:name="_Toc5857"/>
      <w:bookmarkStart w:id="128" w:name="_Toc27712"/>
      <w:r>
        <w:rPr>
          <w:rFonts w:hint="eastAsia" w:ascii="宋体" w:hAnsi="宋体" w:cs="宋体"/>
          <w:b/>
          <w:color w:val="auto"/>
          <w:szCs w:val="21"/>
        </w:rPr>
        <w:t>33. 中标公告及中标通知书</w:t>
      </w:r>
      <w:bookmarkEnd w:id="127"/>
      <w:bookmarkEnd w:id="128"/>
    </w:p>
    <w:p>
      <w:pPr>
        <w:tabs>
          <w:tab w:val="left" w:pos="455"/>
        </w:tabs>
        <w:spacing w:line="360" w:lineRule="exact"/>
        <w:ind w:firstLine="420" w:firstLineChars="200"/>
        <w:rPr>
          <w:rFonts w:ascii="宋体" w:hAnsi="宋体" w:cs="宋体"/>
          <w:color w:val="auto"/>
        </w:rPr>
      </w:pPr>
      <w:r>
        <w:rPr>
          <w:rFonts w:hint="eastAsia" w:ascii="宋体" w:hAnsi="宋体" w:cs="宋体"/>
          <w:color w:val="auto"/>
          <w:szCs w:val="21"/>
        </w:rPr>
        <w:t>33.1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一个工作日。</w:t>
      </w:r>
    </w:p>
    <w:p>
      <w:pPr>
        <w:spacing w:line="360" w:lineRule="exact"/>
        <w:ind w:firstLine="420" w:firstLineChars="200"/>
        <w:rPr>
          <w:rFonts w:ascii="宋体" w:hAnsi="宋体" w:cs="宋体"/>
          <w:color w:val="auto"/>
          <w:szCs w:val="21"/>
        </w:rPr>
      </w:pPr>
      <w:r>
        <w:rPr>
          <w:rFonts w:hint="eastAsia" w:ascii="宋体" w:hAnsi="宋体" w:cs="宋体"/>
          <w:color w:val="auto"/>
          <w:szCs w:val="21"/>
        </w:rPr>
        <w:t>33.2中标公告发布的同时，采购代理机构向中标供应商发出中标通知书，中标供应商应自接到通知之日起七个工作日内，办理中标通知书领取手续。</w:t>
      </w:r>
      <w:bookmarkStart w:id="129" w:name="_Toc495841760"/>
      <w:bookmarkStart w:id="130" w:name="_Toc31543"/>
    </w:p>
    <w:p>
      <w:pPr>
        <w:pStyle w:val="2"/>
        <w:rPr>
          <w:color w:val="auto"/>
        </w:rPr>
      </w:pPr>
    </w:p>
    <w:p>
      <w:pPr>
        <w:spacing w:line="360" w:lineRule="auto"/>
        <w:jc w:val="center"/>
        <w:outlineLvl w:val="1"/>
        <w:rPr>
          <w:rFonts w:ascii="宋体" w:hAnsi="宋体" w:cs="宋体"/>
          <w:b/>
          <w:color w:val="auto"/>
          <w:sz w:val="28"/>
          <w:szCs w:val="28"/>
        </w:rPr>
      </w:pPr>
      <w:bookmarkStart w:id="131" w:name="_Toc2112"/>
      <w:r>
        <w:rPr>
          <w:rFonts w:hint="eastAsia" w:ascii="宋体" w:hAnsi="宋体" w:cs="宋体"/>
          <w:b/>
          <w:color w:val="auto"/>
          <w:sz w:val="28"/>
          <w:szCs w:val="28"/>
        </w:rPr>
        <w:t>七、履约保证金及签订合同</w:t>
      </w:r>
      <w:bookmarkEnd w:id="129"/>
      <w:bookmarkEnd w:id="130"/>
      <w:bookmarkEnd w:id="131"/>
    </w:p>
    <w:p>
      <w:pPr>
        <w:spacing w:line="360" w:lineRule="exact"/>
        <w:ind w:firstLine="413" w:firstLineChars="196"/>
        <w:outlineLvl w:val="2"/>
        <w:rPr>
          <w:rFonts w:ascii="宋体" w:hAnsi="宋体" w:cs="宋体"/>
          <w:b/>
          <w:color w:val="auto"/>
          <w:szCs w:val="21"/>
        </w:rPr>
      </w:pPr>
      <w:bookmarkStart w:id="132" w:name="_Toc19424"/>
      <w:bookmarkStart w:id="133" w:name="_Toc6994"/>
      <w:r>
        <w:rPr>
          <w:rFonts w:hint="eastAsia" w:ascii="宋体" w:hAnsi="宋体" w:cs="宋体"/>
          <w:b/>
          <w:color w:val="auto"/>
          <w:szCs w:val="21"/>
        </w:rPr>
        <w:t>34. 履约保证金</w:t>
      </w:r>
      <w:bookmarkEnd w:id="132"/>
      <w:bookmarkEnd w:id="133"/>
    </w:p>
    <w:p>
      <w:pPr>
        <w:spacing w:line="360" w:lineRule="exact"/>
        <w:ind w:firstLine="411" w:firstLineChars="196"/>
        <w:outlineLvl w:val="2"/>
        <w:rPr>
          <w:rFonts w:hint="eastAsia"/>
          <w:color w:val="auto"/>
          <w:szCs w:val="21"/>
        </w:rPr>
      </w:pPr>
      <w:bookmarkStart w:id="134" w:name="_Toc29434"/>
      <w:bookmarkStart w:id="135" w:name="_Toc18160"/>
      <w:r>
        <w:rPr>
          <w:rFonts w:hint="eastAsia"/>
          <w:color w:val="auto"/>
          <w:szCs w:val="21"/>
        </w:rPr>
        <w:t>本项目</w:t>
      </w:r>
      <w:r>
        <w:rPr>
          <w:rFonts w:hint="eastAsia"/>
          <w:color w:val="auto"/>
          <w:szCs w:val="21"/>
          <w:lang w:eastAsia="zh-CN"/>
        </w:rPr>
        <w:t>免收</w:t>
      </w:r>
      <w:r>
        <w:rPr>
          <w:rFonts w:hint="eastAsia"/>
          <w:color w:val="auto"/>
          <w:szCs w:val="21"/>
        </w:rPr>
        <w:t>履约保证金</w:t>
      </w:r>
      <w:bookmarkEnd w:id="134"/>
    </w:p>
    <w:p>
      <w:pPr>
        <w:spacing w:line="360" w:lineRule="exact"/>
        <w:ind w:firstLine="413" w:firstLineChars="196"/>
        <w:outlineLvl w:val="2"/>
        <w:rPr>
          <w:rFonts w:ascii="宋体" w:hAnsi="宋体" w:cs="宋体"/>
          <w:b/>
          <w:color w:val="auto"/>
          <w:szCs w:val="21"/>
        </w:rPr>
      </w:pPr>
      <w:bookmarkStart w:id="136" w:name="_Toc15405"/>
      <w:r>
        <w:rPr>
          <w:rFonts w:hint="eastAsia" w:ascii="宋体" w:hAnsi="宋体" w:cs="宋体"/>
          <w:b/>
          <w:color w:val="auto"/>
          <w:szCs w:val="21"/>
        </w:rPr>
        <w:t>35. 签订合同</w:t>
      </w:r>
      <w:bookmarkEnd w:id="135"/>
      <w:bookmarkEnd w:id="136"/>
    </w:p>
    <w:p>
      <w:pPr>
        <w:spacing w:line="360" w:lineRule="exact"/>
        <w:ind w:left="2" w:leftChars="1" w:firstLine="420" w:firstLineChars="200"/>
        <w:rPr>
          <w:rFonts w:ascii="宋体" w:hAnsi="宋体" w:cs="宋体"/>
          <w:color w:val="auto"/>
          <w:szCs w:val="21"/>
        </w:rPr>
      </w:pPr>
      <w:r>
        <w:rPr>
          <w:rFonts w:hint="eastAsia" w:ascii="宋体" w:hAnsi="宋体" w:cs="宋体"/>
          <w:color w:val="auto"/>
          <w:szCs w:val="21"/>
        </w:rPr>
        <w:t>35.1签订合同时间：中标通知书发出之日起</w:t>
      </w:r>
      <w:r>
        <w:rPr>
          <w:rFonts w:hint="eastAsia" w:ascii="宋体" w:hAnsi="宋体" w:cs="宋体"/>
          <w:color w:val="auto"/>
          <w:szCs w:val="21"/>
          <w:lang w:eastAsia="zh-CN"/>
        </w:rPr>
        <w:t>七个工作</w:t>
      </w:r>
      <w:r>
        <w:rPr>
          <w:rFonts w:hint="eastAsia" w:ascii="宋体" w:hAnsi="宋体" w:cs="宋体"/>
          <w:color w:val="auto"/>
          <w:szCs w:val="21"/>
        </w:rPr>
        <w:t>日内。中标供应商领取中标通知书后，应按规定与采购人签订合同。</w:t>
      </w:r>
    </w:p>
    <w:p>
      <w:pPr>
        <w:spacing w:line="360" w:lineRule="exact"/>
        <w:ind w:left="2" w:leftChars="1" w:firstLine="420" w:firstLineChars="200"/>
        <w:rPr>
          <w:rFonts w:ascii="宋体" w:hAnsi="宋体" w:cs="宋体"/>
          <w:color w:val="auto"/>
          <w:szCs w:val="21"/>
        </w:rPr>
      </w:pPr>
      <w:r>
        <w:rPr>
          <w:rFonts w:hint="eastAsia" w:ascii="宋体" w:hAnsi="宋体" w:cs="宋体"/>
          <w:color w:val="auto"/>
        </w:rPr>
        <w:t>35.2中标供应商为联合体的，联合体各方均应与采购人签订合同，并承担连带责任。（本项目不接受联合体投标）</w:t>
      </w:r>
    </w:p>
    <w:p>
      <w:pPr>
        <w:spacing w:line="360" w:lineRule="exact"/>
        <w:ind w:left="2" w:leftChars="1" w:firstLine="420" w:firstLineChars="200"/>
        <w:rPr>
          <w:rFonts w:ascii="宋体" w:hAnsi="宋体" w:cs="宋体"/>
          <w:color w:val="auto"/>
          <w:szCs w:val="21"/>
        </w:rPr>
      </w:pPr>
      <w:r>
        <w:rPr>
          <w:rFonts w:hint="eastAsia" w:ascii="宋体" w:hAnsi="宋体" w:cs="宋体"/>
          <w:color w:val="auto"/>
          <w:szCs w:val="21"/>
        </w:rPr>
        <w:t>35.3如中标供应商有下列情形之一的，情节严重的，由财政部门将其列入不良行为记录名单，在一至三年内禁止参加政府采购活动，并予以通报。采购人或者采购代理机构可从评标委员会推荐的中标候选供应商中按顺序重新确定中标供应商或重新组织招标。</w:t>
      </w:r>
    </w:p>
    <w:p>
      <w:pPr>
        <w:spacing w:line="360" w:lineRule="exact"/>
        <w:ind w:firstLine="315" w:firstLineChars="150"/>
        <w:rPr>
          <w:rFonts w:ascii="宋体" w:hAnsi="宋体" w:cs="宋体"/>
          <w:color w:val="auto"/>
          <w:szCs w:val="21"/>
        </w:rPr>
      </w:pPr>
      <w:r>
        <w:rPr>
          <w:rFonts w:hint="eastAsia" w:ascii="宋体" w:hAnsi="宋体" w:cs="宋体"/>
          <w:color w:val="auto"/>
          <w:szCs w:val="21"/>
        </w:rPr>
        <w:t>（1）中标后不与采购人签订合同的（不可抗力除外）；</w:t>
      </w:r>
    </w:p>
    <w:p>
      <w:pPr>
        <w:spacing w:line="360" w:lineRule="exact"/>
        <w:ind w:left="2" w:leftChars="1" w:firstLine="315" w:firstLineChars="150"/>
        <w:rPr>
          <w:rFonts w:ascii="宋体" w:hAnsi="宋体" w:cs="宋体"/>
          <w:color w:val="auto"/>
          <w:szCs w:val="21"/>
        </w:rPr>
      </w:pPr>
      <w:r>
        <w:rPr>
          <w:rFonts w:hint="eastAsia" w:ascii="宋体" w:hAnsi="宋体" w:cs="宋体"/>
          <w:color w:val="auto"/>
          <w:szCs w:val="21"/>
        </w:rPr>
        <w:t>（2）将中标项目转让给他人，或者在投标文件中未说明，且未经采购人同意，将中标项目分包给他人的；</w:t>
      </w:r>
    </w:p>
    <w:p>
      <w:pPr>
        <w:spacing w:line="360" w:lineRule="exact"/>
        <w:ind w:firstLine="315" w:firstLineChars="150"/>
        <w:rPr>
          <w:rFonts w:ascii="宋体" w:hAnsi="宋体" w:cs="宋体"/>
          <w:color w:val="auto"/>
          <w:szCs w:val="21"/>
        </w:rPr>
      </w:pPr>
      <w:r>
        <w:rPr>
          <w:rFonts w:hint="eastAsia" w:ascii="宋体" w:hAnsi="宋体" w:cs="宋体"/>
          <w:color w:val="auto"/>
          <w:szCs w:val="21"/>
        </w:rPr>
        <w:t>（3）拒绝履行合同义务的。</w:t>
      </w:r>
    </w:p>
    <w:p>
      <w:pPr>
        <w:spacing w:line="360" w:lineRule="exact"/>
        <w:ind w:left="2" w:leftChars="1" w:firstLine="420" w:firstLineChars="200"/>
        <w:rPr>
          <w:rFonts w:ascii="宋体" w:hAnsi="宋体" w:cs="宋体"/>
          <w:color w:val="auto"/>
          <w:szCs w:val="21"/>
        </w:rPr>
      </w:pPr>
      <w:r>
        <w:rPr>
          <w:rFonts w:hint="eastAsia" w:ascii="宋体" w:hAnsi="宋体" w:cs="宋体"/>
          <w:color w:val="auto"/>
          <w:szCs w:val="21"/>
        </w:rPr>
        <w:t>35.4合同备案存档：政府采购合同双方自签订之日起一个工作日内将合同原件一份交采购代理机构，</w:t>
      </w:r>
      <w:r>
        <w:rPr>
          <w:rFonts w:hint="eastAsia" w:ascii="宋体" w:hAnsi="宋体" w:cs="宋体"/>
          <w:color w:val="auto"/>
          <w:szCs w:val="21"/>
          <w:lang w:val="en-US" w:eastAsia="zh-CN"/>
        </w:rPr>
        <w:t>采购人</w:t>
      </w:r>
      <w:r>
        <w:rPr>
          <w:rFonts w:hint="eastAsia" w:ascii="宋体" w:hAnsi="宋体" w:cs="宋体"/>
          <w:color w:val="auto"/>
          <w:szCs w:val="21"/>
        </w:rPr>
        <w:t>于合同签订之日起七个工作日内将一份合同原件送本级财政部门备案。</w:t>
      </w:r>
    </w:p>
    <w:p>
      <w:pPr>
        <w:spacing w:line="400" w:lineRule="exact"/>
        <w:ind w:left="2" w:leftChars="1" w:firstLine="420" w:firstLineChars="200"/>
        <w:rPr>
          <w:rFonts w:ascii="宋体" w:hAnsi="宋体" w:cs="宋体"/>
          <w:color w:val="auto"/>
          <w:szCs w:val="21"/>
        </w:rPr>
      </w:pPr>
    </w:p>
    <w:p>
      <w:pPr>
        <w:spacing w:line="360" w:lineRule="auto"/>
        <w:jc w:val="center"/>
        <w:outlineLvl w:val="1"/>
        <w:rPr>
          <w:rFonts w:ascii="宋体" w:hAnsi="宋体" w:cs="宋体"/>
          <w:b/>
          <w:color w:val="auto"/>
          <w:sz w:val="28"/>
          <w:szCs w:val="28"/>
        </w:rPr>
      </w:pPr>
      <w:bookmarkStart w:id="137" w:name="_Toc10177"/>
      <w:bookmarkStart w:id="138" w:name="_Toc495841761"/>
      <w:bookmarkStart w:id="139" w:name="_Toc1909"/>
      <w:r>
        <w:rPr>
          <w:rFonts w:hint="eastAsia" w:ascii="宋体" w:hAnsi="宋体" w:cs="宋体"/>
          <w:b/>
          <w:color w:val="auto"/>
          <w:sz w:val="28"/>
          <w:szCs w:val="28"/>
        </w:rPr>
        <w:t>八、其他事项</w:t>
      </w:r>
      <w:bookmarkEnd w:id="137"/>
      <w:bookmarkEnd w:id="138"/>
      <w:bookmarkEnd w:id="139"/>
    </w:p>
    <w:p>
      <w:pPr>
        <w:spacing w:line="380" w:lineRule="exact"/>
        <w:ind w:firstLine="413" w:firstLineChars="196"/>
        <w:outlineLvl w:val="2"/>
        <w:rPr>
          <w:rFonts w:ascii="宋体" w:hAnsi="宋体" w:cs="宋体"/>
          <w:b/>
          <w:color w:val="auto"/>
          <w:szCs w:val="21"/>
        </w:rPr>
      </w:pPr>
      <w:bookmarkStart w:id="140" w:name="_Toc18285"/>
      <w:bookmarkStart w:id="141" w:name="_Toc2437"/>
      <w:bookmarkStart w:id="142" w:name="_Toc19503"/>
      <w:bookmarkStart w:id="143" w:name="_Toc5655"/>
      <w:bookmarkStart w:id="144" w:name="_Toc4309"/>
      <w:bookmarkStart w:id="145" w:name="_Toc32243"/>
      <w:r>
        <w:rPr>
          <w:rFonts w:hint="eastAsia" w:ascii="宋体" w:hAnsi="宋体" w:cs="宋体"/>
          <w:b/>
          <w:color w:val="auto"/>
          <w:szCs w:val="21"/>
        </w:rPr>
        <w:t>36. 招标代理服务费</w:t>
      </w:r>
      <w:bookmarkEnd w:id="140"/>
      <w:bookmarkEnd w:id="141"/>
      <w:bookmarkEnd w:id="142"/>
      <w:bookmarkEnd w:id="143"/>
      <w:bookmarkEnd w:id="144"/>
    </w:p>
    <w:p>
      <w:pPr>
        <w:spacing w:line="380" w:lineRule="exact"/>
        <w:ind w:firstLine="420" w:firstLineChars="200"/>
        <w:rPr>
          <w:rFonts w:ascii="宋体" w:hAnsi="宋体" w:cs="宋体"/>
          <w:b/>
          <w:color w:val="auto"/>
          <w:szCs w:val="21"/>
        </w:rPr>
      </w:pPr>
      <w:r>
        <w:rPr>
          <w:rFonts w:hint="eastAsia" w:ascii="宋体" w:hAnsi="宋体" w:cs="宋体"/>
          <w:color w:val="auto"/>
          <w:szCs w:val="21"/>
        </w:rPr>
        <w:t>本项目免收代理服务费。</w:t>
      </w:r>
    </w:p>
    <w:p>
      <w:pPr>
        <w:spacing w:line="400" w:lineRule="exact"/>
        <w:ind w:firstLine="413" w:firstLineChars="196"/>
        <w:outlineLvl w:val="2"/>
        <w:rPr>
          <w:rFonts w:ascii="宋体" w:hAnsi="宋体" w:cs="宋体"/>
          <w:b/>
          <w:color w:val="auto"/>
          <w:szCs w:val="21"/>
        </w:rPr>
      </w:pPr>
      <w:bookmarkStart w:id="146" w:name="_Toc22880"/>
      <w:r>
        <w:rPr>
          <w:rFonts w:hint="eastAsia" w:ascii="宋体" w:hAnsi="宋体" w:cs="宋体"/>
          <w:b/>
          <w:color w:val="auto"/>
          <w:szCs w:val="21"/>
        </w:rPr>
        <w:t>37. 解释权</w:t>
      </w:r>
      <w:bookmarkEnd w:id="146"/>
    </w:p>
    <w:p>
      <w:pPr>
        <w:snapToGrid w:val="0"/>
        <w:spacing w:line="400" w:lineRule="exact"/>
        <w:ind w:firstLine="420" w:firstLineChars="200"/>
        <w:rPr>
          <w:rFonts w:ascii="宋体" w:hAnsi="宋体" w:cs="宋体"/>
          <w:color w:val="auto"/>
        </w:rPr>
      </w:pPr>
      <w:r>
        <w:rPr>
          <w:rFonts w:hint="eastAsia" w:ascii="宋体" w:hAnsi="宋体" w:cs="宋体"/>
          <w:color w:val="auto"/>
        </w:rPr>
        <w:t>本招标文件是根据《中华人民共和国政府采购法》、《中华人民共和国政府采购法实施条例》及财政部令第87号《政府采购货物和服务招标投标管理办法》和政府采购管理有关规定编制，本招标文件的解释权属于桂林市政府集中采购中心。</w:t>
      </w:r>
      <w:bookmarkEnd w:id="145"/>
    </w:p>
    <w:p>
      <w:pPr>
        <w:spacing w:line="400" w:lineRule="exact"/>
        <w:ind w:firstLine="413" w:firstLineChars="196"/>
        <w:outlineLvl w:val="2"/>
        <w:rPr>
          <w:rFonts w:ascii="宋体" w:hAnsi="宋体" w:cs="宋体"/>
          <w:b/>
          <w:color w:val="auto"/>
          <w:szCs w:val="21"/>
        </w:rPr>
      </w:pPr>
      <w:bookmarkStart w:id="147" w:name="_Toc18451"/>
      <w:bookmarkStart w:id="148" w:name="_Toc11077"/>
      <w:r>
        <w:rPr>
          <w:rFonts w:hint="eastAsia" w:ascii="宋体" w:hAnsi="宋体" w:cs="宋体"/>
          <w:b/>
          <w:color w:val="auto"/>
          <w:szCs w:val="21"/>
        </w:rPr>
        <w:t>38. 监督管理机构</w:t>
      </w:r>
      <w:bookmarkEnd w:id="147"/>
    </w:p>
    <w:p>
      <w:pPr>
        <w:snapToGrid w:val="0"/>
        <w:spacing w:line="400" w:lineRule="exact"/>
        <w:ind w:firstLine="420" w:firstLineChars="200"/>
        <w:rPr>
          <w:rFonts w:hint="eastAsia" w:ascii="宋体" w:hAnsi="宋体" w:eastAsia="宋体" w:cs="宋体"/>
          <w:color w:val="auto"/>
          <w:szCs w:val="21"/>
          <w:lang w:eastAsia="zh-CN"/>
        </w:rPr>
      </w:pPr>
      <w:r>
        <w:rPr>
          <w:rFonts w:hint="eastAsia" w:ascii="宋体" w:hAnsi="宋体" w:cs="宋体"/>
          <w:color w:val="auto"/>
          <w:szCs w:val="21"/>
          <w:lang w:eastAsia="zh-CN"/>
        </w:rPr>
        <w:t>桂林市临桂区政府采购监督管理股</w:t>
      </w:r>
      <w:r>
        <w:rPr>
          <w:rFonts w:hint="eastAsia" w:ascii="宋体" w:hAnsi="宋体" w:cs="宋体"/>
          <w:color w:val="auto"/>
          <w:szCs w:val="21"/>
        </w:rPr>
        <w:t xml:space="preserve">   </w:t>
      </w:r>
      <w:r>
        <w:rPr>
          <w:rFonts w:hint="eastAsia" w:ascii="宋体" w:hAnsi="宋体" w:cs="宋体"/>
          <w:color w:val="auto"/>
          <w:szCs w:val="21"/>
          <w:lang w:eastAsia="zh-CN"/>
        </w:rPr>
        <w:t>电话：0773-5593932</w:t>
      </w:r>
    </w:p>
    <w:bookmarkEnd w:id="148"/>
    <w:p>
      <w:pPr>
        <w:jc w:val="center"/>
        <w:outlineLvl w:val="0"/>
        <w:rPr>
          <w:rFonts w:ascii="宋体" w:hAnsi="宋体" w:cs="宋体"/>
          <w:color w:val="auto"/>
          <w:sz w:val="32"/>
          <w:szCs w:val="32"/>
        </w:rPr>
      </w:pPr>
      <w:r>
        <w:rPr>
          <w:rFonts w:hint="eastAsia" w:ascii="宋体" w:hAnsi="宋体" w:cs="宋体"/>
          <w:color w:val="auto"/>
          <w:sz w:val="32"/>
          <w:szCs w:val="32"/>
        </w:rPr>
        <w:br w:type="page"/>
      </w:r>
      <w:bookmarkStart w:id="149" w:name="_Toc26633"/>
      <w:bookmarkStart w:id="150" w:name="_Toc12929"/>
      <w:r>
        <w:rPr>
          <w:rFonts w:hint="eastAsia" w:ascii="宋体" w:hAnsi="宋体" w:cs="宋体"/>
          <w:b/>
          <w:bCs/>
          <w:color w:val="auto"/>
          <w:kern w:val="44"/>
          <w:sz w:val="32"/>
          <w:szCs w:val="32"/>
        </w:rPr>
        <w:t>第三章  货物采购需求</w:t>
      </w:r>
      <w:bookmarkEnd w:id="149"/>
      <w:bookmarkEnd w:id="150"/>
    </w:p>
    <w:p>
      <w:pPr>
        <w:adjustRightInd w:val="0"/>
        <w:spacing w:line="400" w:lineRule="exact"/>
        <w:rPr>
          <w:rFonts w:ascii="宋体" w:hAnsi="宋体" w:cs="宋体"/>
          <w:b/>
          <w:color w:val="auto"/>
          <w:sz w:val="18"/>
          <w:szCs w:val="18"/>
        </w:rPr>
      </w:pPr>
      <w:r>
        <w:rPr>
          <w:rFonts w:hint="eastAsia" w:ascii="宋体" w:hAnsi="宋体" w:cs="宋体"/>
          <w:b/>
          <w:color w:val="auto"/>
          <w:sz w:val="18"/>
          <w:szCs w:val="18"/>
        </w:rPr>
        <w:t>说明：</w:t>
      </w:r>
    </w:p>
    <w:p>
      <w:pPr>
        <w:adjustRightInd w:val="0"/>
        <w:spacing w:line="400" w:lineRule="exact"/>
        <w:ind w:firstLine="431"/>
        <w:rPr>
          <w:rFonts w:ascii="宋体" w:hAnsi="宋体" w:cs="宋体"/>
          <w:b/>
          <w:color w:val="auto"/>
          <w:sz w:val="18"/>
          <w:szCs w:val="18"/>
        </w:rPr>
      </w:pPr>
      <w:r>
        <w:rPr>
          <w:rFonts w:hint="eastAsia" w:ascii="宋体" w:hAnsi="宋体" w:cs="宋体"/>
          <w:b/>
          <w:color w:val="auto"/>
          <w:sz w:val="18"/>
          <w:szCs w:val="18"/>
        </w:rPr>
        <w:t>1、根据《关于调整优化节能产品、环境标志产品政府采购执行机制的通知》（财库〔2019〕9号）的规定，政府采购节能产品、环境标志产品实施品目清单管理，依据品目清单和认证证书实施政府优先采购。采购人拟采购的产品属于品目清单范围的，采购人及其委托的采购代理机构应当依据国家确定的认证机构出具的、处于有效期之内的节能产品、环境标志产品认证证书，对获得证书的产品实施政府优先采购。投标人投标时须提供投标产品的相关证明材料。</w:t>
      </w:r>
    </w:p>
    <w:p>
      <w:pPr>
        <w:adjustRightInd w:val="0"/>
        <w:spacing w:line="400" w:lineRule="exact"/>
        <w:ind w:firstLine="431"/>
        <w:rPr>
          <w:rFonts w:ascii="宋体" w:hAnsi="宋体" w:cs="宋体"/>
          <w:b/>
          <w:color w:val="auto"/>
          <w:sz w:val="18"/>
          <w:szCs w:val="18"/>
        </w:rPr>
      </w:pPr>
      <w:r>
        <w:rPr>
          <w:rFonts w:hint="eastAsia" w:ascii="宋体" w:hAnsi="宋体" w:cs="宋体"/>
          <w:b/>
          <w:color w:val="auto"/>
          <w:sz w:val="18"/>
          <w:szCs w:val="18"/>
        </w:rPr>
        <w:t>《节能产品政府采购品目清单》中：</w:t>
      </w:r>
    </w:p>
    <w:p>
      <w:pPr>
        <w:numPr>
          <w:ilvl w:val="0"/>
          <w:numId w:val="6"/>
        </w:numPr>
        <w:adjustRightInd w:val="0"/>
        <w:spacing w:line="400" w:lineRule="exact"/>
        <w:ind w:left="845"/>
        <w:rPr>
          <w:rFonts w:ascii="宋体" w:hAnsi="宋体" w:cs="宋体"/>
          <w:b/>
          <w:color w:val="auto"/>
          <w:sz w:val="18"/>
          <w:szCs w:val="18"/>
        </w:rPr>
      </w:pPr>
      <w:r>
        <w:rPr>
          <w:rFonts w:hint="eastAsia" w:ascii="宋体" w:hAnsi="宋体" w:cs="宋体"/>
          <w:b/>
          <w:color w:val="auto"/>
          <w:sz w:val="18"/>
          <w:szCs w:val="18"/>
        </w:rPr>
        <w:t>计算机设备（台式计算机、便携式计算机、平板式微型计算机）；</w:t>
      </w:r>
    </w:p>
    <w:p>
      <w:pPr>
        <w:numPr>
          <w:ilvl w:val="0"/>
          <w:numId w:val="6"/>
        </w:numPr>
        <w:adjustRightInd w:val="0"/>
        <w:spacing w:line="400" w:lineRule="exact"/>
        <w:ind w:left="845"/>
        <w:rPr>
          <w:rFonts w:ascii="宋体" w:hAnsi="宋体" w:cs="宋体"/>
          <w:b/>
          <w:color w:val="auto"/>
          <w:sz w:val="18"/>
          <w:szCs w:val="18"/>
        </w:rPr>
      </w:pPr>
      <w:r>
        <w:rPr>
          <w:rFonts w:hint="eastAsia" w:ascii="宋体" w:hAnsi="宋体" w:cs="宋体"/>
          <w:b/>
          <w:color w:val="auto"/>
          <w:sz w:val="18"/>
          <w:szCs w:val="18"/>
        </w:rPr>
        <w:t>输入输出设备【打印设备（喷墨打印机、激光打印机、针式打印机）、显示设备（液晶显示器）】；</w:t>
      </w:r>
    </w:p>
    <w:p>
      <w:pPr>
        <w:numPr>
          <w:ilvl w:val="0"/>
          <w:numId w:val="6"/>
        </w:numPr>
        <w:adjustRightInd w:val="0"/>
        <w:spacing w:line="400" w:lineRule="exact"/>
        <w:ind w:left="845"/>
        <w:rPr>
          <w:rFonts w:ascii="宋体" w:hAnsi="宋体" w:cs="宋体"/>
          <w:b/>
          <w:color w:val="auto"/>
          <w:sz w:val="18"/>
          <w:szCs w:val="18"/>
        </w:rPr>
      </w:pPr>
      <w:r>
        <w:rPr>
          <w:rFonts w:hint="eastAsia" w:ascii="宋体" w:hAnsi="宋体" w:cs="宋体"/>
          <w:b/>
          <w:color w:val="auto"/>
          <w:sz w:val="18"/>
          <w:szCs w:val="18"/>
        </w:rPr>
        <w:t>制冷空调设备【制冷压缩机（冷水机组、水源热泵机组、溴化锂吸收式冷水机组）、空调机组（多联式空调（热泵）机组（制冷量＞14000W）、单元式空气调节机（制冷量＞14000W））、专用制冷、空调设备（机房空调）】；</w:t>
      </w:r>
    </w:p>
    <w:p>
      <w:pPr>
        <w:numPr>
          <w:ilvl w:val="0"/>
          <w:numId w:val="6"/>
        </w:numPr>
        <w:adjustRightInd w:val="0"/>
        <w:spacing w:line="400" w:lineRule="exact"/>
        <w:ind w:left="845"/>
        <w:rPr>
          <w:rFonts w:ascii="宋体" w:hAnsi="宋体" w:cs="宋体"/>
          <w:b/>
          <w:color w:val="auto"/>
          <w:sz w:val="18"/>
          <w:szCs w:val="18"/>
        </w:rPr>
      </w:pPr>
      <w:r>
        <w:rPr>
          <w:rFonts w:hint="eastAsia" w:ascii="宋体" w:hAnsi="宋体" w:cs="宋体"/>
          <w:b/>
          <w:color w:val="auto"/>
          <w:sz w:val="18"/>
          <w:szCs w:val="18"/>
        </w:rPr>
        <w:t>镇流器（管型荧光灯镇流器）；</w:t>
      </w:r>
    </w:p>
    <w:p>
      <w:pPr>
        <w:numPr>
          <w:ilvl w:val="0"/>
          <w:numId w:val="6"/>
        </w:numPr>
        <w:adjustRightInd w:val="0"/>
        <w:spacing w:line="400" w:lineRule="exact"/>
        <w:ind w:left="845"/>
        <w:rPr>
          <w:rFonts w:ascii="宋体" w:hAnsi="宋体" w:cs="宋体"/>
          <w:b/>
          <w:color w:val="auto"/>
          <w:sz w:val="18"/>
          <w:szCs w:val="18"/>
        </w:rPr>
      </w:pPr>
      <w:r>
        <w:rPr>
          <w:rFonts w:hint="eastAsia" w:ascii="宋体" w:hAnsi="宋体" w:cs="宋体"/>
          <w:b/>
          <w:color w:val="auto"/>
          <w:sz w:val="18"/>
          <w:szCs w:val="18"/>
        </w:rPr>
        <w:t>生活用电器｛空调机【房间空气调节器、多联式空调（热泵）机组（制冷量≤14000W）、单元式空气调节机（制冷量≤14000W）】、热水器（电热水器）｝；</w:t>
      </w:r>
    </w:p>
    <w:p>
      <w:pPr>
        <w:numPr>
          <w:ilvl w:val="0"/>
          <w:numId w:val="6"/>
        </w:numPr>
        <w:adjustRightInd w:val="0"/>
        <w:spacing w:line="400" w:lineRule="exact"/>
        <w:ind w:left="845"/>
        <w:rPr>
          <w:rFonts w:ascii="宋体" w:hAnsi="宋体" w:cs="宋体"/>
          <w:b/>
          <w:color w:val="auto"/>
          <w:sz w:val="18"/>
          <w:szCs w:val="18"/>
        </w:rPr>
      </w:pPr>
      <w:r>
        <w:rPr>
          <w:rFonts w:hint="eastAsia" w:ascii="宋体" w:hAnsi="宋体" w:cs="宋体"/>
          <w:b/>
          <w:color w:val="auto"/>
          <w:sz w:val="18"/>
          <w:szCs w:val="18"/>
        </w:rPr>
        <w:t>照明设备（普通照明用双端荧光灯）；</w:t>
      </w:r>
    </w:p>
    <w:p>
      <w:pPr>
        <w:numPr>
          <w:ilvl w:val="0"/>
          <w:numId w:val="6"/>
        </w:numPr>
        <w:adjustRightInd w:val="0"/>
        <w:spacing w:line="400" w:lineRule="exact"/>
        <w:ind w:left="845"/>
        <w:rPr>
          <w:rFonts w:ascii="宋体" w:hAnsi="宋体" w:cs="宋体"/>
          <w:b/>
          <w:color w:val="auto"/>
          <w:sz w:val="18"/>
          <w:szCs w:val="18"/>
        </w:rPr>
      </w:pPr>
      <w:r>
        <w:rPr>
          <w:rFonts w:hint="eastAsia" w:ascii="宋体" w:hAnsi="宋体" w:cs="宋体"/>
          <w:b/>
          <w:color w:val="auto"/>
          <w:sz w:val="18"/>
          <w:szCs w:val="18"/>
        </w:rPr>
        <w:t>电视设备【普通电视设备（电视机）】；</w:t>
      </w:r>
    </w:p>
    <w:p>
      <w:pPr>
        <w:numPr>
          <w:ilvl w:val="0"/>
          <w:numId w:val="6"/>
        </w:numPr>
        <w:adjustRightInd w:val="0"/>
        <w:spacing w:line="400" w:lineRule="exact"/>
        <w:ind w:left="845"/>
        <w:rPr>
          <w:rFonts w:ascii="宋体" w:hAnsi="宋体" w:cs="宋体"/>
          <w:b/>
          <w:color w:val="auto"/>
          <w:sz w:val="18"/>
          <w:szCs w:val="18"/>
        </w:rPr>
      </w:pPr>
      <w:r>
        <w:rPr>
          <w:rFonts w:hint="eastAsia" w:ascii="宋体" w:hAnsi="宋体" w:cs="宋体"/>
          <w:b/>
          <w:color w:val="auto"/>
          <w:sz w:val="18"/>
          <w:szCs w:val="18"/>
        </w:rPr>
        <w:t>视频设备【视频监控设备（监视器）】；</w:t>
      </w:r>
    </w:p>
    <w:p>
      <w:pPr>
        <w:numPr>
          <w:ilvl w:val="0"/>
          <w:numId w:val="6"/>
        </w:numPr>
        <w:adjustRightInd w:val="0"/>
        <w:spacing w:line="400" w:lineRule="exact"/>
        <w:ind w:left="845"/>
        <w:rPr>
          <w:rFonts w:ascii="宋体" w:hAnsi="宋体" w:cs="宋体"/>
          <w:b/>
          <w:color w:val="auto"/>
          <w:sz w:val="18"/>
          <w:szCs w:val="18"/>
        </w:rPr>
      </w:pPr>
      <w:r>
        <w:rPr>
          <w:rFonts w:hint="eastAsia" w:ascii="宋体" w:hAnsi="宋体" w:cs="宋体"/>
          <w:b/>
          <w:color w:val="auto"/>
          <w:sz w:val="18"/>
          <w:szCs w:val="18"/>
        </w:rPr>
        <w:t>便器（坐便器、蹲便器、小便器）；</w:t>
      </w:r>
    </w:p>
    <w:p>
      <w:pPr>
        <w:numPr>
          <w:ilvl w:val="0"/>
          <w:numId w:val="6"/>
        </w:numPr>
        <w:adjustRightInd w:val="0"/>
        <w:spacing w:line="400" w:lineRule="exact"/>
        <w:ind w:left="845"/>
        <w:rPr>
          <w:rFonts w:ascii="宋体" w:hAnsi="宋体" w:cs="宋体"/>
          <w:b/>
          <w:color w:val="auto"/>
          <w:sz w:val="18"/>
          <w:szCs w:val="18"/>
        </w:rPr>
      </w:pPr>
      <w:r>
        <w:rPr>
          <w:rFonts w:hint="eastAsia" w:ascii="宋体" w:hAnsi="宋体" w:cs="宋体"/>
          <w:b/>
          <w:color w:val="auto"/>
          <w:sz w:val="18"/>
          <w:szCs w:val="18"/>
        </w:rPr>
        <w:t>水嘴。</w:t>
      </w:r>
    </w:p>
    <w:p>
      <w:pPr>
        <w:adjustRightInd w:val="0"/>
        <w:spacing w:line="400" w:lineRule="exact"/>
        <w:ind w:firstLine="431"/>
        <w:rPr>
          <w:rFonts w:ascii="宋体" w:hAnsi="宋体" w:cs="宋体"/>
          <w:color w:val="auto"/>
          <w:sz w:val="18"/>
          <w:szCs w:val="18"/>
        </w:rPr>
      </w:pPr>
      <w:r>
        <w:rPr>
          <w:rFonts w:hint="eastAsia" w:ascii="宋体" w:hAnsi="宋体" w:cs="宋体"/>
          <w:b/>
          <w:color w:val="auto"/>
          <w:sz w:val="18"/>
          <w:szCs w:val="18"/>
        </w:rPr>
        <w:t>以上所罗列的设备为《节能产品政府采购品目清单》中政府强制采购节能产品，采购人拟采购的产品属于政府强制采购产品的，投标人投标时必须针对该产品出具依据国家确定的认证机构出具的、处于有效期之内的节能产品认证证书复印件，并加盖投标人公章，否则投标无效。</w:t>
      </w:r>
    </w:p>
    <w:p>
      <w:pPr>
        <w:adjustRightInd w:val="0"/>
        <w:spacing w:line="400" w:lineRule="exact"/>
        <w:ind w:firstLine="431"/>
        <w:rPr>
          <w:rFonts w:ascii="宋体" w:hAnsi="宋体" w:cs="宋体"/>
          <w:b/>
          <w:color w:val="auto"/>
          <w:sz w:val="18"/>
          <w:szCs w:val="18"/>
        </w:rPr>
      </w:pPr>
      <w:r>
        <w:rPr>
          <w:rFonts w:hint="eastAsia" w:ascii="宋体" w:hAnsi="宋体" w:cs="宋体"/>
          <w:b/>
          <w:color w:val="auto"/>
          <w:sz w:val="18"/>
          <w:szCs w:val="18"/>
        </w:rPr>
        <w:t>2、投标人应对投标内容所涉及的专利承担法律责任，并负责保护业主的利益不受任何损害。一切由于文字、商标、技术和软件专利授权引起的法律裁决、诉讼和赔偿费用均由中标人负责。同时，具有产品专利的投标人应在其投标文件中提供与其自有产品专利相关的有效证明材料，否则，不能就其产品的专利在本项目投标过程中被侵权问题而提出异议。</w:t>
      </w:r>
    </w:p>
    <w:p>
      <w:pPr>
        <w:adjustRightInd w:val="0"/>
        <w:spacing w:line="400" w:lineRule="exact"/>
        <w:ind w:firstLine="431"/>
        <w:rPr>
          <w:rFonts w:ascii="宋体" w:hAnsi="宋体" w:cs="宋体"/>
          <w:b/>
          <w:color w:val="auto"/>
          <w:sz w:val="18"/>
          <w:szCs w:val="18"/>
        </w:rPr>
      </w:pPr>
      <w:r>
        <w:rPr>
          <w:rFonts w:hint="eastAsia" w:ascii="宋体" w:hAnsi="宋体" w:cs="宋体"/>
          <w:b/>
          <w:color w:val="auto"/>
          <w:sz w:val="18"/>
          <w:szCs w:val="18"/>
        </w:rPr>
        <w:t>3、根据《关于信息安全产品实施政府采购的通知》（财库[2010]48号）的规定，如采购需求中有涉及信息安全产品的设备，必须提供由中国信息安全认证中心按国家标准认证颁发的有效认证证书复印件。</w:t>
      </w:r>
    </w:p>
    <w:p>
      <w:pPr>
        <w:adjustRightInd w:val="0"/>
        <w:spacing w:line="400" w:lineRule="exact"/>
        <w:ind w:firstLine="431"/>
        <w:rPr>
          <w:rFonts w:ascii="宋体" w:hAnsi="宋体" w:cs="宋体"/>
          <w:b/>
          <w:color w:val="auto"/>
          <w:sz w:val="18"/>
          <w:szCs w:val="18"/>
        </w:rPr>
      </w:pPr>
      <w:r>
        <w:rPr>
          <w:rFonts w:hint="eastAsia" w:ascii="宋体" w:hAnsi="宋体" w:cs="宋体"/>
          <w:b/>
          <w:color w:val="auto"/>
          <w:sz w:val="18"/>
          <w:szCs w:val="18"/>
        </w:rPr>
        <w:t>4、投标人应注意下列内容：</w:t>
      </w:r>
    </w:p>
    <w:p>
      <w:pPr>
        <w:adjustRightInd w:val="0"/>
        <w:spacing w:line="400" w:lineRule="exact"/>
        <w:ind w:firstLine="431"/>
        <w:rPr>
          <w:rFonts w:ascii="宋体" w:hAnsi="宋体" w:cs="宋体"/>
          <w:b/>
          <w:color w:val="auto"/>
          <w:sz w:val="18"/>
          <w:szCs w:val="18"/>
        </w:rPr>
      </w:pPr>
      <w:r>
        <w:rPr>
          <w:rFonts w:hint="eastAsia" w:ascii="宋体" w:hAnsi="宋体" w:cs="宋体"/>
          <w:b/>
          <w:color w:val="auto"/>
          <w:sz w:val="18"/>
          <w:szCs w:val="18"/>
        </w:rPr>
        <w:t>1）本需求一览表中标注★号的内容为实质性要求和条件，投标人须满足或响应，若无法完全满足，将会被认定为无效投标。</w:t>
      </w:r>
    </w:p>
    <w:p>
      <w:pPr>
        <w:adjustRightInd w:val="0"/>
        <w:spacing w:line="400" w:lineRule="exact"/>
        <w:ind w:firstLine="431"/>
        <w:rPr>
          <w:rFonts w:ascii="宋体" w:hAnsi="宋体" w:cs="宋体"/>
          <w:b/>
          <w:color w:val="auto"/>
          <w:sz w:val="18"/>
          <w:szCs w:val="18"/>
        </w:rPr>
      </w:pPr>
      <w:r>
        <w:rPr>
          <w:rFonts w:hint="eastAsia" w:ascii="宋体" w:hAnsi="宋体" w:cs="宋体"/>
          <w:b/>
          <w:color w:val="auto"/>
          <w:sz w:val="18"/>
          <w:szCs w:val="18"/>
        </w:rPr>
        <w:t>2）投标人须在投标文件中填写/应答技术规格参数，当投标文件中技术参数与招标文件中技术参数有偏离时，须在“偏离”栏内如实注明是“正偏离”或“负偏离”，“正偏离”指投标设备的技术参数优于招标文件中要求，“负偏离”指投标设备的技术参数低于招标文件中要求。投标文件中的技术参数、功能或其它内容有“正偏离”的，投标人须对“正偏离”的情况单独作出说明。</w:t>
      </w:r>
    </w:p>
    <w:p>
      <w:pPr>
        <w:pStyle w:val="3"/>
        <w:spacing w:before="300" w:after="200" w:line="400" w:lineRule="exact"/>
        <w:rPr>
          <w:color w:val="auto"/>
          <w:sz w:val="32"/>
          <w:szCs w:val="32"/>
        </w:rPr>
      </w:pPr>
    </w:p>
    <w:tbl>
      <w:tblPr>
        <w:tblStyle w:val="29"/>
        <w:tblW w:w="49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
        <w:gridCol w:w="544"/>
        <w:gridCol w:w="230"/>
        <w:gridCol w:w="580"/>
        <w:gridCol w:w="5433"/>
        <w:gridCol w:w="519"/>
        <w:gridCol w:w="427"/>
        <w:gridCol w:w="741"/>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 w:type="pct"/>
            <w:vAlign w:val="center"/>
          </w:tcPr>
          <w:p>
            <w:pPr>
              <w:jc w:val="center"/>
              <w:textAlignment w:val="top"/>
              <w:rPr>
                <w:rFonts w:cs="宋体" w:asciiTheme="majorEastAsia" w:hAnsiTheme="majorEastAsia" w:eastAsiaTheme="majorEastAsia"/>
                <w:b/>
                <w:bCs/>
                <w:color w:val="auto"/>
                <w:szCs w:val="21"/>
              </w:rPr>
            </w:pPr>
            <w:r>
              <w:rPr>
                <w:rFonts w:hint="eastAsia" w:cs="宋体" w:asciiTheme="majorEastAsia" w:hAnsiTheme="majorEastAsia" w:eastAsiaTheme="majorEastAsia"/>
                <w:b/>
                <w:bCs/>
                <w:color w:val="auto"/>
                <w:szCs w:val="21"/>
              </w:rPr>
              <w:t>序号</w:t>
            </w:r>
          </w:p>
        </w:tc>
        <w:tc>
          <w:tcPr>
            <w:tcW w:w="279" w:type="pct"/>
            <w:vAlign w:val="center"/>
          </w:tcPr>
          <w:p>
            <w:pPr>
              <w:jc w:val="center"/>
              <w:textAlignment w:val="top"/>
              <w:rPr>
                <w:rFonts w:cs="宋体" w:asciiTheme="majorEastAsia" w:hAnsiTheme="majorEastAsia" w:eastAsiaTheme="majorEastAsia"/>
                <w:b/>
                <w:bCs/>
                <w:color w:val="auto"/>
                <w:szCs w:val="21"/>
              </w:rPr>
            </w:pPr>
            <w:r>
              <w:rPr>
                <w:rFonts w:hint="eastAsia" w:cs="宋体" w:asciiTheme="majorEastAsia" w:hAnsiTheme="majorEastAsia" w:eastAsiaTheme="majorEastAsia"/>
                <w:b/>
                <w:bCs/>
                <w:color w:val="auto"/>
                <w:szCs w:val="21"/>
              </w:rPr>
              <w:t>货物名称</w:t>
            </w:r>
          </w:p>
        </w:tc>
        <w:tc>
          <w:tcPr>
            <w:tcW w:w="3166" w:type="pct"/>
            <w:gridSpan w:val="3"/>
            <w:vAlign w:val="center"/>
          </w:tcPr>
          <w:p>
            <w:pPr>
              <w:jc w:val="center"/>
              <w:textAlignment w:val="top"/>
              <w:rPr>
                <w:rFonts w:cs="宋体" w:asciiTheme="majorEastAsia" w:hAnsiTheme="majorEastAsia" w:eastAsiaTheme="majorEastAsia"/>
                <w:b/>
                <w:bCs/>
                <w:color w:val="auto"/>
                <w:szCs w:val="21"/>
              </w:rPr>
            </w:pPr>
            <w:r>
              <w:rPr>
                <w:rFonts w:hint="eastAsia" w:cs="宋体" w:asciiTheme="majorEastAsia" w:hAnsiTheme="majorEastAsia" w:eastAsiaTheme="majorEastAsia"/>
                <w:b/>
                <w:bCs/>
                <w:color w:val="auto"/>
                <w:szCs w:val="21"/>
              </w:rPr>
              <w:t>项目要求及技术需求</w:t>
            </w:r>
          </w:p>
        </w:tc>
        <w:tc>
          <w:tcPr>
            <w:tcW w:w="266" w:type="pct"/>
            <w:vAlign w:val="center"/>
          </w:tcPr>
          <w:p>
            <w:pPr>
              <w:jc w:val="left"/>
              <w:textAlignment w:val="top"/>
              <w:rPr>
                <w:rFonts w:cs="宋体" w:asciiTheme="majorEastAsia" w:hAnsiTheme="majorEastAsia" w:eastAsiaTheme="majorEastAsia"/>
                <w:b/>
                <w:bCs/>
                <w:color w:val="auto"/>
                <w:szCs w:val="21"/>
              </w:rPr>
            </w:pPr>
            <w:r>
              <w:rPr>
                <w:rFonts w:hint="eastAsia" w:cs="宋体" w:asciiTheme="majorEastAsia" w:hAnsiTheme="majorEastAsia" w:eastAsiaTheme="majorEastAsia"/>
                <w:b/>
                <w:bCs/>
                <w:color w:val="auto"/>
                <w:szCs w:val="21"/>
              </w:rPr>
              <w:t>数量</w:t>
            </w:r>
          </w:p>
        </w:tc>
        <w:tc>
          <w:tcPr>
            <w:tcW w:w="206" w:type="pct"/>
            <w:vAlign w:val="center"/>
          </w:tcPr>
          <w:p>
            <w:pPr>
              <w:jc w:val="center"/>
              <w:textAlignment w:val="top"/>
              <w:rPr>
                <w:rFonts w:cs="宋体" w:asciiTheme="majorEastAsia" w:hAnsiTheme="majorEastAsia" w:eastAsiaTheme="majorEastAsia"/>
                <w:b/>
                <w:bCs/>
                <w:color w:val="auto"/>
                <w:szCs w:val="21"/>
              </w:rPr>
            </w:pPr>
            <w:r>
              <w:rPr>
                <w:rFonts w:hint="eastAsia" w:cs="宋体" w:asciiTheme="majorEastAsia" w:hAnsiTheme="majorEastAsia" w:eastAsiaTheme="majorEastAsia"/>
                <w:b/>
                <w:bCs/>
                <w:color w:val="auto"/>
                <w:szCs w:val="21"/>
              </w:rPr>
              <w:t>单位</w:t>
            </w:r>
          </w:p>
        </w:tc>
        <w:tc>
          <w:tcPr>
            <w:tcW w:w="376" w:type="pct"/>
            <w:vAlign w:val="center"/>
          </w:tcPr>
          <w:p>
            <w:pPr>
              <w:jc w:val="center"/>
              <w:textAlignment w:val="top"/>
              <w:rPr>
                <w:rFonts w:cs="宋体" w:asciiTheme="majorEastAsia" w:hAnsiTheme="majorEastAsia" w:eastAsiaTheme="majorEastAsia"/>
                <w:b/>
                <w:bCs/>
                <w:color w:val="auto"/>
                <w:szCs w:val="21"/>
              </w:rPr>
            </w:pPr>
            <w:r>
              <w:rPr>
                <w:rFonts w:hint="eastAsia" w:cs="宋体" w:asciiTheme="majorEastAsia" w:hAnsiTheme="majorEastAsia" w:eastAsiaTheme="majorEastAsia"/>
                <w:b/>
                <w:bCs/>
                <w:color w:val="auto"/>
                <w:szCs w:val="21"/>
              </w:rPr>
              <w:t>参考单价</w:t>
            </w:r>
          </w:p>
        </w:tc>
        <w:tc>
          <w:tcPr>
            <w:tcW w:w="462" w:type="pct"/>
            <w:vAlign w:val="center"/>
          </w:tcPr>
          <w:p>
            <w:pPr>
              <w:jc w:val="center"/>
              <w:textAlignment w:val="top"/>
              <w:rPr>
                <w:rFonts w:cs="宋体" w:asciiTheme="majorEastAsia" w:hAnsiTheme="majorEastAsia" w:eastAsiaTheme="majorEastAsia"/>
                <w:b/>
                <w:bCs/>
                <w:color w:val="auto"/>
                <w:szCs w:val="21"/>
              </w:rPr>
            </w:pPr>
            <w:r>
              <w:rPr>
                <w:rFonts w:hint="eastAsia" w:cs="宋体" w:asciiTheme="majorEastAsia" w:hAnsiTheme="majorEastAsia" w:eastAsiaTheme="majorEastAsia"/>
                <w:b/>
                <w:bCs/>
                <w:color w:val="auto"/>
                <w:szCs w:val="21"/>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 w:type="pct"/>
            <w:vAlign w:val="center"/>
          </w:tcPr>
          <w:p>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1</w:t>
            </w:r>
          </w:p>
        </w:tc>
        <w:tc>
          <w:tcPr>
            <w:tcW w:w="279" w:type="pct"/>
            <w:vAlign w:val="center"/>
          </w:tcPr>
          <w:p>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86英寸交互智能平板</w:t>
            </w:r>
          </w:p>
        </w:tc>
        <w:tc>
          <w:tcPr>
            <w:tcW w:w="3166" w:type="pct"/>
            <w:gridSpan w:val="3"/>
            <w:vAlign w:val="center"/>
          </w:tcPr>
          <w:p>
            <w:pPr>
              <w:pStyle w:val="126"/>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一、屏幕及接口要求：</w:t>
            </w:r>
          </w:p>
          <w:p>
            <w:pPr>
              <w:pStyle w:val="126"/>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1.整机屏幕采用≥86英寸LED液晶屏，钢化玻璃，显示比例16:9，高清显示，分辨率≥3840*2160，具备防眩光效果；屏幕显示灰度分辨等级≥128灰阶，保证画面显示效果。</w:t>
            </w:r>
          </w:p>
          <w:p>
            <w:pPr>
              <w:pStyle w:val="126"/>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2. 输入端子: ≥1路VGA；≥1路Audio；≥1路AV；≥1路YPbPr；≥2路HDMI；≥1路TV RF；≥2路USB,至少一路可随通道自动切换，方便外接其他设备时在任意通道均可使用；≥1路Line in；≥1路RS232接口；≥1路RJ45；输出：≥1路耳机；≥1路同轴输出；≥1路Touch USB out。</w:t>
            </w:r>
          </w:p>
          <w:p>
            <w:pPr>
              <w:pStyle w:val="126"/>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★3.内置摄像头：内置（非外接拓展）≥500万像素摄像头，支持二维码扫码识别功能，帮助用户调用在线资源。</w:t>
            </w:r>
            <w:r>
              <w:rPr>
                <w:rFonts w:hint="eastAsia" w:ascii="宋体" w:hAnsi="宋体" w:cs="宋体"/>
                <w:b/>
                <w:bCs/>
                <w:color w:val="auto"/>
                <w:szCs w:val="21"/>
              </w:rPr>
              <w:t>（投标时须提供由第三方检验（测）机构出具带有CMA标识的内置摄像头功能的检验（测）报告复印件）</w:t>
            </w:r>
          </w:p>
          <w:p>
            <w:pPr>
              <w:pStyle w:val="126"/>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4.图像制式：PAL/SECAM/NTSC；喇叭输出功率≥15瓦x2。</w:t>
            </w:r>
          </w:p>
          <w:p>
            <w:pPr>
              <w:pStyle w:val="126"/>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5.中控菜单功能：设备支持</w:t>
            </w:r>
            <w:r>
              <w:rPr>
                <w:rFonts w:cs="宋体" w:asciiTheme="majorEastAsia" w:hAnsiTheme="majorEastAsia" w:eastAsiaTheme="majorEastAsia"/>
                <w:color w:val="auto"/>
                <w:szCs w:val="21"/>
              </w:rPr>
              <w:t>dbx-tv</w:t>
            </w:r>
            <w:r>
              <w:rPr>
                <w:rFonts w:hint="eastAsia" w:cs="宋体" w:asciiTheme="majorEastAsia" w:hAnsiTheme="majorEastAsia" w:eastAsiaTheme="majorEastAsia"/>
                <w:color w:val="auto"/>
                <w:szCs w:val="21"/>
              </w:rPr>
              <w:t>音效，可实现环绕音质，并支持用户在中控菜单中随时开启/关闭</w:t>
            </w:r>
            <w:r>
              <w:rPr>
                <w:rFonts w:cs="宋体" w:asciiTheme="majorEastAsia" w:hAnsiTheme="majorEastAsia" w:eastAsiaTheme="majorEastAsia"/>
                <w:color w:val="auto"/>
                <w:szCs w:val="21"/>
              </w:rPr>
              <w:t>dbx-tv</w:t>
            </w:r>
            <w:r>
              <w:rPr>
                <w:rFonts w:hint="eastAsia" w:cs="宋体" w:asciiTheme="majorEastAsia" w:hAnsiTheme="majorEastAsia" w:eastAsiaTheme="majorEastAsia"/>
                <w:color w:val="auto"/>
                <w:szCs w:val="21"/>
              </w:rPr>
              <w:t>音效功能；同时设备中控菜单的通道信号源，支持自定义命名，易于辨认。</w:t>
            </w:r>
            <w:r>
              <w:rPr>
                <w:rFonts w:hint="eastAsia" w:ascii="宋体" w:hAnsi="宋体" w:cs="宋体"/>
                <w:b/>
                <w:bCs/>
                <w:color w:val="auto"/>
                <w:szCs w:val="21"/>
              </w:rPr>
              <w:t>（投标时须提供由第三方检验（测）机构出具带有CMA标识的dbx-tv音效功能的检验（测）报告复印件）</w:t>
            </w:r>
          </w:p>
          <w:p>
            <w:pPr>
              <w:pStyle w:val="126"/>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6.整机具备一键护眼的蓝光过滤功能：整机具有减滤蓝光功能，为配合组合式推拉黑板且方便老师日常使用，要求可通过前置面板物理功能按键一键启用减滤蓝光模式，显示效果更加柔和。</w:t>
            </w:r>
          </w:p>
          <w:p>
            <w:pPr>
              <w:pStyle w:val="126"/>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二、整机功能：</w:t>
            </w:r>
          </w:p>
          <w:p>
            <w:pPr>
              <w:pStyle w:val="126"/>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★1.为配合组合式推拉黑板且方便老师日常使用，要求设备支持通过整机前置按键一键启动录屏功能，可将屏幕中显示的课件、音频等内容与老师人声同步录制，方便制作教学视频。</w:t>
            </w:r>
          </w:p>
          <w:p>
            <w:pPr>
              <w:pStyle w:val="126"/>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2.整机只需要一根网线，即可实现Windows及Android双系统上网。</w:t>
            </w:r>
          </w:p>
          <w:p>
            <w:pPr>
              <w:pStyle w:val="126"/>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3.为配合组合式推拉黑板且方便老师日常使用，要求整机具备≥3路前置USB3.0接口，且前置USB接口全部支持Windows及Android双系统读取，将U盘逐一插入前置USB接口，在Windows及Android系统中均能看到清晰的识别过程并且能打开相应文件，防止老师误操作。</w:t>
            </w:r>
          </w:p>
          <w:p>
            <w:pPr>
              <w:pStyle w:val="126"/>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4. 为配合组合式推拉黑板且方便老师日常使用，要求整机面板前置按键功能三合一，整机电视开关、电脑开关和节能待机功能使用同一个按键完成操作，方便老师操作使用。</w:t>
            </w:r>
          </w:p>
          <w:p>
            <w:pPr>
              <w:pStyle w:val="126"/>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5.节能功能：整机可一键黑屏节能70%以上；自动关机节能功能：当设备在五分钟内处于无信号接收状态且无人操作时，将会自动关机；黑板关闭自动节能：当整机安装到推拉黑板中时，关闭推拉黑板，整机将在短时间内自动进入黑屏节能模式。</w:t>
            </w:r>
          </w:p>
          <w:p>
            <w:pPr>
              <w:pStyle w:val="126"/>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6.智能童锁软件：支持智能U盘锁功能，整机可设置触摸及按键自动锁定，保证无关人士无法自由操作，需要使用时只需插入USB key即可解锁，为配合组合式推拉黑板且方便老师日常使用，要求也支持整机面板前置组合按键锁/解锁定整机（至少涉及3个前置按键），通过前置组合按键的形式锁定/解锁触摸功能和整机前置面板按键，防止课间无关人员操作。</w:t>
            </w:r>
          </w:p>
          <w:p>
            <w:pPr>
              <w:pStyle w:val="126"/>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7.配备无线智能遥控：具备电视遥控功能和电脑键盘常用的F1—F12功能键及Alt+F4、Alt+Tab、windows等快捷按键；设备可通过遥控器。</w:t>
            </w:r>
          </w:p>
          <w:p>
            <w:pPr>
              <w:pStyle w:val="126"/>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8.内置触摸中控菜单，支持快速通道跳转：整机处于非内置PC通道下，在屏幕侧边可调出PC通道按钮，支持用户一键回到PC通道；同时支持用户自定义设置常用快捷通道，可从侧边栏一键进入该通道，提升老师教学效率。</w:t>
            </w:r>
          </w:p>
          <w:p>
            <w:pPr>
              <w:pStyle w:val="126"/>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9.当整机外接电脑设备并连接触摸线使用时，外接电脑可直接读取插在整机上的U盘，并识别连接至整机的翻页笔、无线键鼠等USB连接设备。</w:t>
            </w:r>
          </w:p>
          <w:p>
            <w:pPr>
              <w:pStyle w:val="126"/>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10.PPT助手软件：在无需打开除PPT以外的其他软件时，可实现新建PPT并课件及板书内容直接生成二维码分享，且扫码后支持在手持终端生成二维码进行再次分享，支持点赞。支持发送课件链接至邮箱，方便教师下载保存课件板书内容。</w:t>
            </w:r>
          </w:p>
          <w:p>
            <w:pPr>
              <w:pStyle w:val="126"/>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11.整机处于任意通道下，可调用便捷工具；可通过手势识别调出板擦工具进行擦除，并可在屏幕侧边快速调出触摸便捷菜单，实现十笔批注、荧光笔书写、截图、快捷白板、任意通道放大等快捷小工具，方便老师组合使用。</w:t>
            </w:r>
          </w:p>
          <w:p>
            <w:pPr>
              <w:pStyle w:val="126"/>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12.整机支持任意通道画面放大功能，可在整机任意通道下将画面冻结并双击画面任一部分进行放大，也可以通过按键将整个画面自由缩放，放大后的屏幕画面可进行任意拖拽。</w:t>
            </w:r>
          </w:p>
          <w:p>
            <w:pPr>
              <w:pStyle w:val="126"/>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13.合成输入软件：只使用一根USB线，可实现外部电脑对交互智能平板的高清视频信号、音频信号实时传输，也可实现交互智能平板对外部电脑的触摸回传；采用USB端口进行传输，外置电脑免驱无需额外安装驱动连接上即可使用；USB传屏线采用单按键设计，只需按一下即可传屏，无需在智能平板上做任何操作。</w:t>
            </w:r>
          </w:p>
          <w:p>
            <w:pPr>
              <w:pStyle w:val="126"/>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★14.白板软件分辨率调整功能：为配合组合式推拉黑板且方便老师日常使用，要求支持通过整机前置实体按键对电脑画面实现一键切换屏幕分辨率，调整画面显示比例。</w:t>
            </w:r>
          </w:p>
          <w:p>
            <w:pPr>
              <w:pStyle w:val="126"/>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15.为确保整机在雷雨天气中的使用安全，整机须符合浪涌（冲击）抗扰度、静电放电抗扰度、射频电磁场辐射抗扰度、电快速瞬变脉冲群抗扰度、射频场感应的传导抗扰度的要求。</w:t>
            </w:r>
          </w:p>
          <w:p>
            <w:pPr>
              <w:pStyle w:val="126"/>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16.为确保整机在高低温环境、盐雾环境和复杂运输情况中的稳定性，机身具备防盐雾锈蚀特性，且满足GB4943.1-2011标准中的防火要求；整机具备抗振动、防跌落特性，保证整机运输或使用过程中不易受损；整机在0℃—40℃环境下可正常工作，在-20℃—60℃的环境下可正常贮存且贮存后功能无损。</w:t>
            </w:r>
          </w:p>
          <w:p>
            <w:pPr>
              <w:pStyle w:val="126"/>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三、模块化电脑：</w:t>
            </w:r>
          </w:p>
          <w:p>
            <w:pPr>
              <w:pStyle w:val="126"/>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1.采用模块化电脑方案，抽拉内置式，采用≥120pin或以上接口，实现无单独接线的插拔，低噪音热管传导散热设计，不接受其它接口方式；</w:t>
            </w:r>
          </w:p>
          <w:p>
            <w:pPr>
              <w:pStyle w:val="126"/>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2.处理器：Intel 8代 Core i5或同档次以上处理器；</w:t>
            </w:r>
          </w:p>
          <w:p>
            <w:pPr>
              <w:pStyle w:val="126"/>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3.内存：8GB DDR4笔记本内存或同档次以上配置；</w:t>
            </w:r>
          </w:p>
          <w:p>
            <w:pPr>
              <w:pStyle w:val="126"/>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 xml:space="preserve">4.硬盘：256GB或同档次以上SSD固态硬盘； </w:t>
            </w:r>
          </w:p>
          <w:p>
            <w:pPr>
              <w:pStyle w:val="126"/>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★5.具有独立非外扩展的电脑USB接口：电脑上至少6个USB接口，其中至少2个USB3.0接口；</w:t>
            </w:r>
          </w:p>
          <w:p>
            <w:pPr>
              <w:pStyle w:val="126"/>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6.接口设计：≥1路HDMI ；≥1路DP，DP接口可传输高清视频信号到外部显示设备；</w:t>
            </w:r>
          </w:p>
          <w:p>
            <w:pPr>
              <w:pStyle w:val="126"/>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四、嵌入式系统：</w:t>
            </w:r>
          </w:p>
          <w:p>
            <w:pPr>
              <w:pStyle w:val="126"/>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1.嵌入式安卓系统版本需Android 4.0或同档次或以上系统，存储容量（ROM）≥8GB，系统内存（RAM）≥1GB，确保底层系统流畅与操作顺滑。</w:t>
            </w:r>
          </w:p>
          <w:p>
            <w:pPr>
              <w:pStyle w:val="126"/>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2.无PC状态下，嵌入式安卓操作系统可实现windows系统中常用的教学应用功能，如白板书写、Office软件使用、网页浏览等。</w:t>
            </w:r>
          </w:p>
          <w:p>
            <w:pPr>
              <w:pStyle w:val="126"/>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3.换色功能：老师在嵌入式系统上选中笔迹或形状后，可选择不同颜色，对笔迹或形状进行换色，区别各类内容，突出重点。</w:t>
            </w:r>
          </w:p>
          <w:p>
            <w:pPr>
              <w:pStyle w:val="126"/>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4.在嵌入式安卓操作系统下，能对TV多媒体USB所读取到的课件文件进行自动归类，可快速分类查找office文档、音乐、视频、图片等文件，检索后可直接在界面中打开。</w:t>
            </w:r>
          </w:p>
          <w:p>
            <w:pPr>
              <w:pStyle w:val="126"/>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★5.嵌入式系统中支持超级计算器功能，可进行初级计算、方程（组）智能求解等操作；该计算器还可根据用户输入的函数，智能绘制函数图像，提升老师课堂效率。</w:t>
            </w:r>
            <w:r>
              <w:rPr>
                <w:rFonts w:hint="eastAsia" w:ascii="宋体" w:hAnsi="宋体" w:cs="宋体"/>
                <w:b/>
                <w:bCs/>
                <w:color w:val="auto"/>
                <w:szCs w:val="21"/>
              </w:rPr>
              <w:t>（投标时须提供由第三方检验（测）机构出具带有CMA标识的超级计算器功能的检验（测）报告复印件）</w:t>
            </w:r>
          </w:p>
          <w:p>
            <w:pPr>
              <w:pStyle w:val="126"/>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6.无PC状态下，支持在嵌入式系统下直接启动视频展台，可进行批注、旋转及截图，且支持二分屏或四分屏同时展示展台内容，可任意更换分屏幕画面内容。</w:t>
            </w:r>
          </w:p>
          <w:p>
            <w:pPr>
              <w:pStyle w:val="126"/>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7.无需借助PC，整机可一键进行硬件自检，包括对触摸框、PC模块、光感系统等模块进行检测，并针对不同模块给出问题原因提示。</w:t>
            </w:r>
          </w:p>
          <w:p>
            <w:pPr>
              <w:pStyle w:val="126"/>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8.整机无需外接无线网卡，在嵌入式系统下接入无线网络，切换到windows系统下可同时实现无线上网功能，不需手动重复设置。</w:t>
            </w:r>
          </w:p>
          <w:p>
            <w:pPr>
              <w:pStyle w:val="126"/>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五、教学白板软件要求</w:t>
            </w:r>
          </w:p>
          <w:p>
            <w:pPr>
              <w:pStyle w:val="126"/>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1.备授课一体化，具有备课模式及授课模式， 且操作界面根据备课和授课使用场景不同而区别设计，符合用户使用需求。</w:t>
            </w:r>
          </w:p>
          <w:p>
            <w:pPr>
              <w:pStyle w:val="126"/>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2.备课模式工具栏会自动根据老师账号中关联的学科不同而提供相对应的教学工具， 例如语文学科会出现田字格工具， 数学学科则出现几何工具，无需老师自行选择。</w:t>
            </w:r>
          </w:p>
          <w:p>
            <w:pPr>
              <w:pStyle w:val="126"/>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3.支持课件云存储，无需使用 U 盘等存储设备，老师只需联网登录即可获取云课件， 并支持课件云分享，可将课件直接分享给其他用户，只需输入其他用户移动终端号即可。</w:t>
            </w:r>
          </w:p>
          <w:p>
            <w:pPr>
              <w:pStyle w:val="126"/>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4.支持课件云同步，课件上的所有修改、操作均可实时同步至云端，无需单独保存上传，确保多终端调用同个课件均为最新版本。</w:t>
            </w:r>
          </w:p>
          <w:p>
            <w:pPr>
              <w:pStyle w:val="126"/>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★5.互动分类游戏： 支持创建互动分类游戏，可自定义不同类别及相对应的对象， 实现将不同对象拖拽到对应的类别容器中可自动辨识分类， 分类正确或错误均有相应提示。 类别和对象的样式、 数量均可以自定义设置。 系统需提供不少于 10 种游戏模板，直接选择并输入相应内容即可轻松生成互动分类游戏，提升课堂趣味性。</w:t>
            </w:r>
          </w:p>
          <w:p>
            <w:pPr>
              <w:pStyle w:val="126"/>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6.支持软件联网自动静默升级，无需用户手动更新。</w:t>
            </w:r>
          </w:p>
          <w:p>
            <w:pPr>
              <w:pStyle w:val="126"/>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7.课件背景：提供不少于12 种以上背景模板供老师选择，持自定义背景。</w:t>
            </w:r>
          </w:p>
          <w:p>
            <w:pPr>
              <w:pStyle w:val="126"/>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8.美术画板：支持美术画板工具，提供铅笔、毛笔、油画笔，可实现模拟调色盘功能，老师可自由选择不同颜色进行混合调色，搭配出任意色彩。</w:t>
            </w:r>
          </w:p>
          <w:p>
            <w:pPr>
              <w:pStyle w:val="126"/>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9.快捷抠图：无需借助专业图片处理软件，即可在白板软件中对导入的图片进行快捷抠图、去背景，处理后的图片主体边缘没有明显毛边，可导出保存成 PNG 格式。</w:t>
            </w:r>
          </w:p>
          <w:p>
            <w:pPr>
              <w:pStyle w:val="126"/>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10.思维导图：提供思维导图、鱼骨图及组织结构图编辑功能，可轻松增删或拖拽编辑内容节点，并支持在节点上插入图片、音频、视频、网页链接、课件页面链接。支持思维导图逐级、逐个节点展开，并可任意缩放，满足不同演示需求。</w:t>
            </w:r>
          </w:p>
          <w:p>
            <w:pPr>
              <w:pStyle w:val="126"/>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11.数学公式编辑器：支持复杂数学公式输入，提供不少于 20 个数学符号及15个数学模板，输出的公式内容支持不同颜色标记及二次编辑。</w:t>
            </w:r>
          </w:p>
          <w:p>
            <w:pPr>
              <w:pStyle w:val="126"/>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12.3D星球模型：提供3D立体星球模型，包括地球、太阳、火星、水星等太阳系行星，支持360°自由旋转、缩放展示；并支持在地球教学工具中，清晰展现地球表面的六大板块、降水分布、气温分布、气候分布、人口分布、表层洋流、陆地自然带、海平面等压线等内容；且支持三维、二维切换展示，方便地理学科教学。</w:t>
            </w:r>
          </w:p>
          <w:p>
            <w:pPr>
              <w:pStyle w:val="126"/>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13.古诗词资源：</w:t>
            </w:r>
          </w:p>
          <w:p>
            <w:pPr>
              <w:pStyle w:val="126"/>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①提供涉及小学、初中、高中的古诗词、古文资源，包含原文、翻译、背景介绍、作者介绍、朗诵音频等。</w:t>
            </w:r>
          </w:p>
          <w:p>
            <w:pPr>
              <w:pStyle w:val="126"/>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②支持用户根据年级、朝代、诗人等进行分类查找，也可直接搜索诗词、古文名称或作者名查找。</w:t>
            </w:r>
          </w:p>
          <w:p>
            <w:pPr>
              <w:pStyle w:val="126"/>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③提供不少于9种古诗词专用背景模板，老师可贴合古诗词意境选择合适背景进行教学。</w:t>
            </w:r>
          </w:p>
          <w:p>
            <w:pPr>
              <w:pStyle w:val="126"/>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④每篇古诗词、古文均提供原文及翻译、背景介绍、作者介绍等，同时支持一键跳转打开网页，展示对应的背景或作者介绍。</w:t>
            </w:r>
          </w:p>
          <w:p>
            <w:pPr>
              <w:pStyle w:val="126"/>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⑤支持老师备课时对原文进行注释、标重点等操作，方便老师讲解重点字词。</w:t>
            </w:r>
          </w:p>
          <w:p>
            <w:pPr>
              <w:pStyle w:val="126"/>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⑥提供原文朗读功能，全部诗词、古文均配备专业朗读配音，且支持老师在备课时对朗读音频进行打点操作，上课时可播放提前选择好的片段。</w:t>
            </w:r>
          </w:p>
          <w:p>
            <w:pPr>
              <w:pStyle w:val="126"/>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14.多学科题库：</w:t>
            </w:r>
          </w:p>
          <w:p>
            <w:pPr>
              <w:pStyle w:val="126"/>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①提供不少于30万道试题供老师使用。</w:t>
            </w:r>
          </w:p>
          <w:p>
            <w:pPr>
              <w:pStyle w:val="126"/>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②涵盖小学、初中、高中，其中中学部分包含语文、数学、英语、物理、化学、生物、政治、历史、地理等9大学科。</w:t>
            </w:r>
          </w:p>
          <w:p>
            <w:pPr>
              <w:pStyle w:val="126"/>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③题库总知识点不少于9000个，除选择、填空、判断等基本题型外，还包含诗歌阅读、完形填空、阅读理解、辨析题、材料题、实验题、作图题等。</w:t>
            </w:r>
          </w:p>
          <w:p>
            <w:pPr>
              <w:pStyle w:val="126"/>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④可批量选择多题并以交互式试题卡的形式插入到白板中。试题卡包含题干、答案和解析，并可一键实时展开、收起答案和解析。</w:t>
            </w:r>
          </w:p>
          <w:p>
            <w:pPr>
              <w:pStyle w:val="126"/>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六、互动课堂系统</w:t>
            </w:r>
          </w:p>
          <w:p>
            <w:pPr>
              <w:pStyle w:val="126"/>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1.无需借助任何驱动，整机处于任意通道下，可调用互动课堂功能。</w:t>
            </w:r>
          </w:p>
          <w:p>
            <w:pPr>
              <w:pStyle w:val="126"/>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2.支持手持终端扫描二维码，实现互动答题功能。</w:t>
            </w:r>
          </w:p>
          <w:p>
            <w:pPr>
              <w:pStyle w:val="126"/>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3.学生在手持终端自定义设置姓名，方便用户了解课堂答题情况。</w:t>
            </w:r>
          </w:p>
          <w:p>
            <w:pPr>
              <w:pStyle w:val="126"/>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4.支持用户发起单选题、多选题、抢答题等，其中单选题答题结束可在交互智能平板上查看答题结果，帮助用户了解课堂学习情况。</w:t>
            </w:r>
          </w:p>
          <w:p>
            <w:pPr>
              <w:pStyle w:val="126"/>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5.弹幕功能：支持开启或关闭弹幕功能，开启后学生可通过手持终端发送弹幕至智能平板展示，增加课堂互动方式。</w:t>
            </w:r>
          </w:p>
          <w:p>
            <w:pPr>
              <w:pStyle w:val="126"/>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七、移动授课系统</w:t>
            </w:r>
          </w:p>
          <w:p>
            <w:pPr>
              <w:pStyle w:val="126"/>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★1.Android 4.0及IOS 6.0或同档次以上版本系统，可与交互智能平板实现无线连接，可对连接的设备进行密码的权限管理，支持二维码拍照自动连接服务器功能，无需手动设置网络，终端界面上主动监控并实时提示网络信号强度。</w:t>
            </w:r>
          </w:p>
          <w:p>
            <w:pPr>
              <w:pStyle w:val="126"/>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2.可实现交互智能平板与手持终端屏幕同步显示，且支持双屏同步操作、大小屏双向批注、擦除、截图功能。</w:t>
            </w:r>
          </w:p>
          <w:p>
            <w:pPr>
              <w:pStyle w:val="126"/>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3.支持模拟笔记本电脑触摸板功能，能够对智能平板进行远程控制，并有常用快键按键集成，如一键关闭窗口、一键切换窗口、一键回到桌面、一键打开键盘等。</w:t>
            </w:r>
          </w:p>
          <w:p>
            <w:pPr>
              <w:pStyle w:val="126"/>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4.双屏同步模式下支持多种手持终端的手势识别，包括单指点击、双指缩放、双指滚轮、三指漫游，支持远程聚光灯展示，可对屏幕演示内容进行聚光灯效果重点强调。</w:t>
            </w:r>
          </w:p>
          <w:p>
            <w:pPr>
              <w:pStyle w:val="126"/>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八、学生评价系统</w:t>
            </w:r>
          </w:p>
          <w:p>
            <w:pPr>
              <w:pStyle w:val="126"/>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1.学生行为评价系统，集成三大功能模块：基础信息管理、课堂表现评价、家校互联互通，功能及操作均统一在同一软件平台同一账号体系实现。</w:t>
            </w:r>
          </w:p>
          <w:p>
            <w:pPr>
              <w:pStyle w:val="126"/>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2.支持 PC客户端、PC 网页端、安卓手持终端端、苹果手持终端端登陆使用，且各个端的数据是互通的，方便用户随时随地对学生进行管理与评价。</w:t>
            </w:r>
          </w:p>
          <w:p>
            <w:pPr>
              <w:pStyle w:val="126"/>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3.支持多个用户管理同一个班级，从而满足一个班级有班主任和多个任课用户的实际情况。</w:t>
            </w:r>
          </w:p>
          <w:p>
            <w:pPr>
              <w:pStyle w:val="126"/>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4.支持邀请家长入班，使家长可查看到自己的孩子在学校的各种表现。</w:t>
            </w:r>
          </w:p>
          <w:p>
            <w:pPr>
              <w:pStyle w:val="126"/>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5.用户可通过移动端、PC端及网页端对学生、小组及班级进行行为评价，通过卡通游戏化的方式对学生进行表扬或提醒。</w:t>
            </w:r>
          </w:p>
          <w:p>
            <w:pPr>
              <w:pStyle w:val="126"/>
              <w:rPr>
                <w:rFonts w:hint="eastAsia"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6.支持查看课堂表现评价统计报表，按饼状图形式展现学生课堂表现情况，支持查看班级或学生个人的评价情况，并可具体查看到每一条评价的原因、对象、分值，便于用户做统计分析。</w:t>
            </w:r>
          </w:p>
        </w:tc>
        <w:tc>
          <w:tcPr>
            <w:tcW w:w="266" w:type="pct"/>
            <w:vAlign w:val="center"/>
          </w:tcPr>
          <w:p>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69</w:t>
            </w:r>
          </w:p>
        </w:tc>
        <w:tc>
          <w:tcPr>
            <w:tcW w:w="206" w:type="pct"/>
            <w:vAlign w:val="center"/>
          </w:tcPr>
          <w:p>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台</w:t>
            </w:r>
          </w:p>
        </w:tc>
        <w:tc>
          <w:tcPr>
            <w:tcW w:w="376" w:type="pct"/>
            <w:vAlign w:val="center"/>
          </w:tcPr>
          <w:p>
            <w:pPr>
              <w:widowControl/>
              <w:jc w:val="center"/>
              <w:textAlignment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26100</w:t>
            </w:r>
          </w:p>
        </w:tc>
        <w:tc>
          <w:tcPr>
            <w:tcW w:w="462" w:type="pct"/>
            <w:vAlign w:val="center"/>
          </w:tcPr>
          <w:p>
            <w:pPr>
              <w:widowControl/>
              <w:jc w:val="center"/>
              <w:textAlignment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1800900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 w:type="pct"/>
            <w:vAlign w:val="center"/>
          </w:tcPr>
          <w:p>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2</w:t>
            </w:r>
          </w:p>
        </w:tc>
        <w:tc>
          <w:tcPr>
            <w:tcW w:w="279" w:type="pct"/>
            <w:vAlign w:val="center"/>
          </w:tcPr>
          <w:p>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环保推拉板</w:t>
            </w:r>
          </w:p>
        </w:tc>
        <w:tc>
          <w:tcPr>
            <w:tcW w:w="3166" w:type="pct"/>
            <w:gridSpan w:val="3"/>
            <w:vAlign w:val="center"/>
          </w:tcPr>
          <w:p>
            <w:pPr>
              <w:widowControl/>
              <w:jc w:val="left"/>
              <w:textAlignment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1、结构：推拉板由四块书写板及铝合金边框组装而成，书写板分内外双层结构，内层为两块固定书写板与液晶一体机正面平齐，外层为两块滑动书写板，滑动板配装刻有黑板品牌LOGO标识的挂锁，开闭自如确保液晶一体机的安全管理。</w:t>
            </w:r>
          </w:p>
          <w:p>
            <w:pPr>
              <w:widowControl/>
              <w:jc w:val="left"/>
              <w:textAlignment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2、基本尺寸：≥4300mm×1305mm，可根据所配电子产品适当调整，确保与一体机的有效配套。</w:t>
            </w:r>
          </w:p>
          <w:p>
            <w:pPr>
              <w:widowControl/>
              <w:jc w:val="left"/>
              <w:textAlignment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3、书写板面：环保教学专用彩色涂层钢板，浅米黄色，厚度≥0.3mm，硬度≥4H，板面可吸附磁针、磁片，书写面光滑、平整，颜色均匀，坚固耐用、哑光，投影可视效果佳，有效地保护了师生的视力健康。</w:t>
            </w:r>
          </w:p>
          <w:p>
            <w:pPr>
              <w:widowControl/>
              <w:jc w:val="left"/>
              <w:textAlignment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4、内芯材料：高强度、吸音、聚苯乙烯泡沫板，采用国际适用工艺，书写无吱咔声，改善书写手感。</w:t>
            </w:r>
          </w:p>
          <w:p>
            <w:pPr>
              <w:widowControl/>
              <w:jc w:val="left"/>
              <w:textAlignment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5、背板：采用优质防锈热镀锌钢板，厚度≥0.25mm，流水线一次成型，间隔80mm压有20mm凹槽加强筋,确保均布承压不低于635N，凹槽造型美观、增加强度，更加耐用。</w:t>
            </w:r>
          </w:p>
          <w:p>
            <w:pPr>
              <w:widowControl/>
              <w:jc w:val="left"/>
              <w:textAlignment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6、覆板：采用环保型双组份聚氨酯胶水，自动化流水线覆板作业，牵引、滴胶、刷胶、压固、切割下料一次完成，确保粘接牢固板面平整，甲醛释放量≤0.3mg/L，符合GB/T 28231-2011《书写板安全卫生要求》。</w:t>
            </w:r>
          </w:p>
          <w:p>
            <w:pPr>
              <w:widowControl/>
              <w:jc w:val="left"/>
              <w:textAlignment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7、边框：采用工业用高强度铝合金型材，电泳香槟色，模具挤压一次成型，上框规格57mm×100mm，左右框规格29mm×100mm。轨道上置隐藏式平滑轮滑道，结构性解决滑轮受灰尘影响的情况，配有宽度≥30mm的板托，板托与滑动系统分离，与边框一次模具成形，可放置书写笔，方便实用。</w:t>
            </w:r>
          </w:p>
          <w:p>
            <w:pPr>
              <w:widowControl/>
              <w:jc w:val="left"/>
              <w:textAlignment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8、包角材料：采用抗老化高强度ABS工程塑料注塑成型。规格：100mm×29mm×29mm，采用双壁成腔流线型设计，≥R25mm的圆角，正面带黑板品牌LOGO标识，无尖角毛刺，符合JY0001-2003《教学仪器设备产品一般质量要求》。</w:t>
            </w:r>
          </w:p>
          <w:p>
            <w:pPr>
              <w:widowControl/>
              <w:jc w:val="left"/>
              <w:textAlignment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9、黑板滑轮：上轨采用减震消音双组吊轮，滑轮使用高精度轴承，下轨采用双组滑块，保证滑动流畅、噪音小、前后定位精确不晃动、滑动板前后晃动小于0.5mm，经久耐用。数目各4组，上下均匀安装，推拉顺畅自如，无卡挤现象和尖锐的摩擦声，稳定性好。</w:t>
            </w:r>
          </w:p>
          <w:p>
            <w:pPr>
              <w:widowControl/>
              <w:jc w:val="left"/>
              <w:textAlignment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10、限位档：黑板边框内部两侧安装滑动板限位档，防止活动黑板开启时撞击立框。</w:t>
            </w:r>
          </w:p>
          <w:p>
            <w:pPr>
              <w:widowControl/>
              <w:jc w:val="left"/>
              <w:textAlignment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11、易维护性：一体机上下配同色同质书写板，上下可根据一体机尺寸进行微调，两侧用H型边框与固定板配合，可自由拆装。使一体机不用拆整个黑板即可直接拆装维护，减少麻烦，延长使用寿命。</w:t>
            </w:r>
          </w:p>
          <w:p>
            <w:pPr>
              <w:widowControl/>
              <w:jc w:val="left"/>
              <w:textAlignment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12、安全性：一把锁实现对滑动黑板的锁定，钥匙通用，方便实用。</w:t>
            </w:r>
          </w:p>
          <w:p>
            <w:pPr>
              <w:widowControl/>
              <w:jc w:val="left"/>
              <w:textAlignment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配套环保耗材：耗材如下：</w:t>
            </w:r>
          </w:p>
          <w:p>
            <w:pPr>
              <w:widowControl/>
              <w:jc w:val="left"/>
              <w:textAlignment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新型成膜墨水笔：</w:t>
            </w:r>
          </w:p>
          <w:p>
            <w:pPr>
              <w:widowControl/>
              <w:jc w:val="left"/>
              <w:textAlignment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 xml:space="preserve">    3支（红色蓝色黑色各1支），字迹亮丽清晰，遮盖力高，速干易擦，不留底，不糊板，无尘无毒健康环保，合理的结构设计，实现更换笔头，添加墨水，方便快捷，专用聚酯笔头，渗透性强，书写流畅，颜色多样可随意搭配组合，适用于米黄板、亚光白板、玻璃、专用膜等不吸水板面。</w:t>
            </w:r>
          </w:p>
          <w:p>
            <w:pPr>
              <w:widowControl/>
              <w:jc w:val="left"/>
              <w:textAlignment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环保墨水：</w:t>
            </w:r>
          </w:p>
          <w:p>
            <w:pPr>
              <w:widowControl/>
              <w:jc w:val="left"/>
              <w:textAlignment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 xml:space="preserve">     3瓶（红色蓝色黑色各1瓶），环保醇溶、纳米颜料墨水，所用原料均无毒无害，保证师生健康。长期放置无沉淀和分层现象，书写流畅。旋盖滴液嘴设计，可以有效控制加墨量，加墨方便。</w:t>
            </w:r>
          </w:p>
          <w:p>
            <w:pPr>
              <w:widowControl/>
              <w:jc w:val="left"/>
              <w:textAlignment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墨水容量每瓶100ml。</w:t>
            </w:r>
          </w:p>
          <w:p>
            <w:pPr>
              <w:widowControl/>
              <w:ind w:firstLine="420" w:firstLineChars="200"/>
              <w:jc w:val="left"/>
              <w:textAlignment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板擦：1个，直径95mm*厚30mm，特质EVA板擦，擦除性好，干擦无需用水、不伤板面；</w:t>
            </w:r>
          </w:p>
          <w:p>
            <w:pPr>
              <w:widowControl/>
              <w:ind w:firstLine="420" w:firstLineChars="200"/>
              <w:jc w:val="left"/>
              <w:textAlignment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黑板专用清洁毛巾 1条，尺寸：35cm*35cm，优质材料定做，使用方便，清洗效果好，保护书写板面，脏后清水清洗，拧干即可；</w:t>
            </w:r>
          </w:p>
          <w:p>
            <w:pPr>
              <w:widowControl/>
              <w:ind w:firstLine="420" w:firstLineChars="200"/>
              <w:jc w:val="left"/>
              <w:textAlignment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多功能盒 ： 1套 长*宽*高尺寸：120mm*145mm*168mm，优质ABS材料制成，设计合理，一盒多用，整体轻便，便于携带，盒盖采用格网结构设计，该结构设计有清洁板擦面,收集的墨水污物的作用，方便清洗，内附可吸附式环保板擦盒，可吸附在板面任何位置上，方便使用，盒体兼有包装及储存墨水的作用。</w:t>
            </w:r>
          </w:p>
        </w:tc>
        <w:tc>
          <w:tcPr>
            <w:tcW w:w="266" w:type="pct"/>
            <w:vAlign w:val="center"/>
          </w:tcPr>
          <w:p>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69</w:t>
            </w:r>
          </w:p>
        </w:tc>
        <w:tc>
          <w:tcPr>
            <w:tcW w:w="206" w:type="pct"/>
            <w:vAlign w:val="center"/>
          </w:tcPr>
          <w:p>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套</w:t>
            </w:r>
          </w:p>
        </w:tc>
        <w:tc>
          <w:tcPr>
            <w:tcW w:w="376" w:type="pct"/>
            <w:vAlign w:val="center"/>
          </w:tcPr>
          <w:p>
            <w:pPr>
              <w:widowControl/>
              <w:jc w:val="center"/>
              <w:textAlignment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1400</w:t>
            </w:r>
          </w:p>
        </w:tc>
        <w:tc>
          <w:tcPr>
            <w:tcW w:w="462" w:type="pct"/>
            <w:vAlign w:val="center"/>
          </w:tcPr>
          <w:p>
            <w:pPr>
              <w:widowControl/>
              <w:jc w:val="center"/>
              <w:textAlignment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96600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 w:type="pct"/>
            <w:vAlign w:val="center"/>
          </w:tcPr>
          <w:p>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3</w:t>
            </w:r>
          </w:p>
        </w:tc>
        <w:tc>
          <w:tcPr>
            <w:tcW w:w="279" w:type="pct"/>
            <w:vAlign w:val="center"/>
          </w:tcPr>
          <w:p>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壁挂视频展台</w:t>
            </w:r>
          </w:p>
        </w:tc>
        <w:tc>
          <w:tcPr>
            <w:tcW w:w="3166" w:type="pct"/>
            <w:gridSpan w:val="3"/>
            <w:vAlign w:val="center"/>
          </w:tcPr>
          <w:p>
            <w:pP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1、采用≥800万像素摄像头；采用 USB五伏电源直接供电，无需额外配置电源适配器，环保无辐射；箱内USB连线采用隐藏式设计，箱内无可见连线且USB口下出，有效防止积尘，且方便布线和返修。</w:t>
            </w:r>
          </w:p>
          <w:p>
            <w:pP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2、A4大小拍摄幅面，1080P动态视频预览达到30帧/秒；托板及挂墙部分采用金属加强，托板可承重≥3kg，整机壁挂式安装。</w:t>
            </w:r>
          </w:p>
          <w:p>
            <w:pP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★3、支持展台成像画面实时批注，预设多种笔划粗细及颜色供选择，且支持对展台成像画面联同批注内容进行同步缩放、移动。</w:t>
            </w:r>
          </w:p>
          <w:p>
            <w:pP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4、展示托板正上方具备LED补光灯，保证展示区域的亮度及展示效果，补光灯开关采用触摸按键设计，同时可通过交互智能平板中的软件直接控制开关；带自动对焦摄像头。</w:t>
            </w:r>
          </w:p>
          <w:p>
            <w:pP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★5、具有故障自动检测功能：在调用展台却无法出现镜头采集画面信号时，可自动出现检测链接，并给出导致性原因（如硬件连接、摄像头占用、配套软件版本等问题）。</w:t>
            </w:r>
          </w:p>
        </w:tc>
        <w:tc>
          <w:tcPr>
            <w:tcW w:w="266" w:type="pct"/>
            <w:vAlign w:val="center"/>
          </w:tcPr>
          <w:p>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69</w:t>
            </w:r>
          </w:p>
        </w:tc>
        <w:tc>
          <w:tcPr>
            <w:tcW w:w="206" w:type="pct"/>
            <w:vAlign w:val="center"/>
          </w:tcPr>
          <w:p>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台</w:t>
            </w:r>
          </w:p>
        </w:tc>
        <w:tc>
          <w:tcPr>
            <w:tcW w:w="376" w:type="pct"/>
            <w:vAlign w:val="center"/>
          </w:tcPr>
          <w:p>
            <w:pPr>
              <w:widowControl/>
              <w:jc w:val="center"/>
              <w:textAlignment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900</w:t>
            </w:r>
          </w:p>
        </w:tc>
        <w:tc>
          <w:tcPr>
            <w:tcW w:w="462" w:type="pct"/>
            <w:vAlign w:val="center"/>
          </w:tcPr>
          <w:p>
            <w:pPr>
              <w:widowControl/>
              <w:jc w:val="center"/>
              <w:textAlignment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62100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 w:type="pct"/>
            <w:vAlign w:val="center"/>
          </w:tcPr>
          <w:p>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4</w:t>
            </w:r>
          </w:p>
        </w:tc>
        <w:tc>
          <w:tcPr>
            <w:tcW w:w="279" w:type="pct"/>
            <w:vAlign w:val="center"/>
          </w:tcPr>
          <w:p>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有源音箱套装</w:t>
            </w:r>
          </w:p>
        </w:tc>
        <w:tc>
          <w:tcPr>
            <w:tcW w:w="3166" w:type="pct"/>
            <w:gridSpan w:val="3"/>
            <w:vAlign w:val="center"/>
          </w:tcPr>
          <w:p>
            <w:pPr>
              <w:pStyle w:val="126"/>
              <w:tabs>
                <w:tab w:val="left" w:pos="1802"/>
              </w:tabs>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一、有源音箱</w:t>
            </w:r>
            <w:r>
              <w:rPr>
                <w:rFonts w:hint="eastAsia" w:cs="宋体" w:asciiTheme="majorEastAsia" w:hAnsiTheme="majorEastAsia" w:eastAsiaTheme="majorEastAsia"/>
                <w:color w:val="auto"/>
                <w:szCs w:val="21"/>
                <w:lang w:eastAsia="zh-CN"/>
              </w:rPr>
              <w:t>（一对）</w:t>
            </w:r>
            <w:r>
              <w:rPr>
                <w:rFonts w:hint="eastAsia" w:cs="宋体" w:asciiTheme="majorEastAsia" w:hAnsiTheme="majorEastAsia" w:eastAsiaTheme="majorEastAsia"/>
                <w:color w:val="auto"/>
                <w:szCs w:val="21"/>
              </w:rPr>
              <w:t>：</w:t>
            </w:r>
          </w:p>
          <w:p>
            <w:pPr>
              <w:pStyle w:val="126"/>
              <w:tabs>
                <w:tab w:val="left" w:pos="1802"/>
              </w:tabs>
              <w:rPr>
                <w:rFonts w:hint="eastAsia"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1、采用功放与有源音箱一体化设计，内置麦克风无线接收模块，帮助教师实现多媒体扩音以及本地扩声功能。</w:t>
            </w:r>
          </w:p>
          <w:p>
            <w:pPr>
              <w:pStyle w:val="126"/>
              <w:tabs>
                <w:tab w:val="left" w:pos="1802"/>
              </w:tabs>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2、双音箱有线连接，机箱采用塑胶材质，保护设备免受环境影响。</w:t>
            </w:r>
          </w:p>
          <w:p>
            <w:pPr>
              <w:pStyle w:val="126"/>
              <w:tabs>
                <w:tab w:val="left" w:pos="1802"/>
              </w:tabs>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3、输出额定功率: 2*15W，喇叭单元尺寸≥5</w:t>
            </w:r>
            <w:r>
              <w:rPr>
                <w:rFonts w:hint="eastAsia" w:cs="宋体" w:asciiTheme="majorEastAsia" w:hAnsiTheme="majorEastAsia" w:eastAsiaTheme="majorEastAsia"/>
                <w:color w:val="auto"/>
                <w:szCs w:val="21"/>
                <w:lang w:eastAsia="zh-CN"/>
              </w:rPr>
              <w:t>英寸</w:t>
            </w:r>
            <w:r>
              <w:rPr>
                <w:rFonts w:hint="eastAsia" w:cs="宋体" w:asciiTheme="majorEastAsia" w:hAnsiTheme="majorEastAsia" w:eastAsiaTheme="majorEastAsia"/>
                <w:color w:val="auto"/>
                <w:szCs w:val="21"/>
              </w:rPr>
              <w:t>。</w:t>
            </w:r>
          </w:p>
          <w:p>
            <w:pPr>
              <w:pStyle w:val="126"/>
              <w:tabs>
                <w:tab w:val="left" w:pos="1802"/>
              </w:tabs>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4、端口：220V电源接口*1、Line in*1、USB*1。</w:t>
            </w:r>
          </w:p>
          <w:p>
            <w:pPr>
              <w:pStyle w:val="126"/>
              <w:tabs>
                <w:tab w:val="left" w:pos="1802"/>
              </w:tabs>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5、麦克风和功放音箱之间采用数字U段传输技术，有效避免环境中2.4G信号干扰，例如蓝牙及WIFI设备。</w:t>
            </w:r>
          </w:p>
          <w:p>
            <w:pPr>
              <w:pStyle w:val="126"/>
              <w:tabs>
                <w:tab w:val="left" w:pos="1802"/>
              </w:tabs>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6、配置独立音频数字信号处理芯片，支持啸叫抑制功能。</w:t>
            </w:r>
          </w:p>
          <w:p>
            <w:pPr>
              <w:pStyle w:val="126"/>
              <w:tabs>
                <w:tab w:val="left" w:pos="1802"/>
              </w:tabs>
              <w:rPr>
                <w:rFonts w:hint="eastAsia"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7、支持教师扩声和输入音源叠加输出，可对接录播系统实现教师扩声音频的纯净采集，避免环境杂音干扰采集效果。</w:t>
            </w:r>
          </w:p>
          <w:p>
            <w:pPr>
              <w:pStyle w:val="126"/>
              <w:tabs>
                <w:tab w:val="left" w:pos="1802"/>
              </w:tabs>
              <w:rPr>
                <w:rFonts w:hint="eastAsia"/>
                <w:color w:val="auto"/>
                <w:lang w:eastAsia="zh-CN"/>
              </w:rPr>
            </w:pPr>
            <w:r>
              <w:rPr>
                <w:rFonts w:hint="eastAsia" w:cs="宋体" w:asciiTheme="majorEastAsia" w:hAnsiTheme="majorEastAsia" w:eastAsiaTheme="majorEastAsia"/>
                <w:color w:val="auto"/>
                <w:szCs w:val="21"/>
                <w:lang w:eastAsia="zh-CN"/>
              </w:rPr>
              <w:t>二、</w:t>
            </w:r>
            <w:r>
              <w:rPr>
                <w:rFonts w:hint="eastAsia"/>
                <w:color w:val="auto"/>
                <w:lang w:eastAsia="zh-CN"/>
              </w:rPr>
              <w:t>麦克风（</w:t>
            </w:r>
            <w:r>
              <w:rPr>
                <w:rFonts w:hint="eastAsia"/>
                <w:color w:val="auto"/>
                <w:lang w:val="en-US" w:eastAsia="zh-CN"/>
              </w:rPr>
              <w:t>1个</w:t>
            </w:r>
            <w:r>
              <w:rPr>
                <w:rFonts w:hint="eastAsia"/>
                <w:color w:val="auto"/>
                <w:lang w:eastAsia="zh-CN"/>
              </w:rPr>
              <w:t>）</w:t>
            </w:r>
          </w:p>
          <w:p>
            <w:pPr>
              <w:pStyle w:val="126"/>
              <w:tabs>
                <w:tab w:val="left" w:pos="1802"/>
              </w:tabs>
              <w:rPr>
                <w:rFonts w:hint="eastAsia"/>
                <w:color w:val="auto"/>
                <w:lang w:val="en-US" w:eastAsia="zh-CN"/>
              </w:rPr>
            </w:pPr>
            <w:r>
              <w:rPr>
                <w:rFonts w:hint="eastAsia"/>
                <w:color w:val="auto"/>
                <w:lang w:val="en-US" w:eastAsia="zh-CN"/>
              </w:rPr>
              <w:t>1、无线麦克风集成音频发射处理器、天线、拾音麦克风于一体。</w:t>
            </w:r>
          </w:p>
          <w:p>
            <w:pPr>
              <w:pStyle w:val="126"/>
              <w:tabs>
                <w:tab w:val="left" w:pos="1802"/>
              </w:tabs>
              <w:rPr>
                <w:rFonts w:hint="eastAsia"/>
                <w:color w:val="auto"/>
                <w:lang w:val="en-US" w:eastAsia="zh-CN"/>
              </w:rPr>
            </w:pPr>
            <w:r>
              <w:rPr>
                <w:rFonts w:hint="eastAsia"/>
                <w:color w:val="auto"/>
                <w:lang w:val="en-US" w:eastAsia="zh-CN"/>
              </w:rPr>
              <w:t>2、无线麦克风与音响之间采用U段传输技术，有效避免2.4G信号如蓝牙信号的干扰。</w:t>
            </w:r>
          </w:p>
          <w:p>
            <w:pPr>
              <w:pStyle w:val="126"/>
              <w:tabs>
                <w:tab w:val="left" w:pos="1802"/>
              </w:tabs>
              <w:rPr>
                <w:rFonts w:hint="eastAsia"/>
                <w:color w:val="auto"/>
                <w:lang w:val="en-US" w:eastAsia="zh-CN"/>
              </w:rPr>
            </w:pPr>
            <w:r>
              <w:rPr>
                <w:rFonts w:hint="eastAsia"/>
                <w:color w:val="auto"/>
                <w:lang w:val="en-US" w:eastAsia="zh-CN"/>
              </w:rPr>
              <w:t>3、支持红外对码，可以在5秒内就完成与有源音响的快速连接。</w:t>
            </w:r>
          </w:p>
          <w:p>
            <w:pPr>
              <w:pStyle w:val="126"/>
              <w:tabs>
                <w:tab w:val="left" w:pos="1802"/>
              </w:tabs>
              <w:rPr>
                <w:rFonts w:hint="eastAsia"/>
                <w:color w:val="auto"/>
                <w:lang w:val="en-US" w:eastAsia="zh-CN"/>
              </w:rPr>
            </w:pPr>
            <w:r>
              <w:rPr>
                <w:rFonts w:hint="eastAsia"/>
                <w:color w:val="auto"/>
                <w:lang w:val="en-US" w:eastAsia="zh-CN"/>
              </w:rPr>
              <w:t>4、采用磁吸式充电方式，支持快速充电及超低功耗工作模式，实现课间充电10分钟，至少60分钟续航。</w:t>
            </w:r>
          </w:p>
          <w:p>
            <w:pPr>
              <w:pStyle w:val="126"/>
              <w:tabs>
                <w:tab w:val="left" w:pos="1802"/>
              </w:tabs>
              <w:rPr>
                <w:rFonts w:hint="eastAsia"/>
                <w:color w:val="auto"/>
                <w:lang w:eastAsia="zh-CN"/>
              </w:rPr>
            </w:pPr>
            <w:r>
              <w:rPr>
                <w:rFonts w:hint="eastAsia"/>
                <w:color w:val="auto"/>
                <w:lang w:val="en-US" w:eastAsia="zh-CN"/>
              </w:rPr>
              <w:t>5、麦克风与有源音箱最大工作距离≥10米，确保全教室覆盖。</w:t>
            </w:r>
          </w:p>
        </w:tc>
        <w:tc>
          <w:tcPr>
            <w:tcW w:w="266" w:type="pct"/>
            <w:vAlign w:val="center"/>
          </w:tcPr>
          <w:p>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69</w:t>
            </w:r>
          </w:p>
        </w:tc>
        <w:tc>
          <w:tcPr>
            <w:tcW w:w="206" w:type="pct"/>
            <w:vAlign w:val="center"/>
          </w:tcPr>
          <w:p>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套</w:t>
            </w:r>
          </w:p>
        </w:tc>
        <w:tc>
          <w:tcPr>
            <w:tcW w:w="376" w:type="pct"/>
            <w:vAlign w:val="center"/>
          </w:tcPr>
          <w:p>
            <w:pPr>
              <w:widowControl/>
              <w:jc w:val="center"/>
              <w:textAlignment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800</w:t>
            </w:r>
          </w:p>
        </w:tc>
        <w:tc>
          <w:tcPr>
            <w:tcW w:w="462" w:type="pct"/>
            <w:vAlign w:val="center"/>
          </w:tcPr>
          <w:p>
            <w:pPr>
              <w:widowControl/>
              <w:jc w:val="center"/>
              <w:textAlignment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55200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 w:type="pct"/>
            <w:vAlign w:val="center"/>
          </w:tcPr>
          <w:p>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5</w:t>
            </w:r>
          </w:p>
        </w:tc>
        <w:tc>
          <w:tcPr>
            <w:tcW w:w="279" w:type="pct"/>
            <w:vAlign w:val="center"/>
          </w:tcPr>
          <w:p>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智能笔</w:t>
            </w:r>
          </w:p>
        </w:tc>
        <w:tc>
          <w:tcPr>
            <w:tcW w:w="3166" w:type="pct"/>
            <w:gridSpan w:val="3"/>
            <w:vAlign w:val="center"/>
          </w:tcPr>
          <w:p>
            <w:pPr>
              <w:pStyle w:val="126"/>
              <w:tabs>
                <w:tab w:val="left" w:pos="1802"/>
              </w:tabs>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1、采用笔型设计，外观使用防滑材料，带四个遥控按键。</w:t>
            </w:r>
          </w:p>
          <w:p>
            <w:pPr>
              <w:pStyle w:val="126"/>
              <w:tabs>
                <w:tab w:val="left" w:pos="1802"/>
              </w:tabs>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2、采用2.4G无线连接技术，无线接收距离最大可达15米。</w:t>
            </w:r>
          </w:p>
          <w:p>
            <w:pPr>
              <w:pStyle w:val="126"/>
              <w:tabs>
                <w:tab w:val="left" w:pos="1802"/>
              </w:tabs>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3、本智能笔能配合本次采购的86英寸交互智能平板使用。</w:t>
            </w:r>
          </w:p>
        </w:tc>
        <w:tc>
          <w:tcPr>
            <w:tcW w:w="266" w:type="pct"/>
            <w:vAlign w:val="center"/>
          </w:tcPr>
          <w:p>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69</w:t>
            </w:r>
          </w:p>
        </w:tc>
        <w:tc>
          <w:tcPr>
            <w:tcW w:w="206" w:type="pct"/>
            <w:vAlign w:val="center"/>
          </w:tcPr>
          <w:p>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支</w:t>
            </w:r>
          </w:p>
        </w:tc>
        <w:tc>
          <w:tcPr>
            <w:tcW w:w="376" w:type="pct"/>
            <w:vAlign w:val="center"/>
          </w:tcPr>
          <w:p>
            <w:pPr>
              <w:widowControl/>
              <w:jc w:val="center"/>
              <w:textAlignment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300</w:t>
            </w:r>
          </w:p>
        </w:tc>
        <w:tc>
          <w:tcPr>
            <w:tcW w:w="462" w:type="pct"/>
            <w:vAlign w:val="center"/>
          </w:tcPr>
          <w:p>
            <w:pPr>
              <w:widowControl/>
              <w:jc w:val="center"/>
              <w:textAlignment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20700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 w:type="pct"/>
            <w:vAlign w:val="center"/>
          </w:tcPr>
          <w:p>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6</w:t>
            </w:r>
          </w:p>
        </w:tc>
        <w:tc>
          <w:tcPr>
            <w:tcW w:w="279" w:type="pct"/>
            <w:vAlign w:val="center"/>
          </w:tcPr>
          <w:p>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辅材及安装实施</w:t>
            </w:r>
          </w:p>
        </w:tc>
        <w:tc>
          <w:tcPr>
            <w:tcW w:w="3166" w:type="pct"/>
            <w:gridSpan w:val="3"/>
            <w:vAlign w:val="center"/>
          </w:tcPr>
          <w:p>
            <w:pPr>
              <w:rPr>
                <w:rFonts w:cs="宋体" w:asciiTheme="majorEastAsia" w:hAnsiTheme="majorEastAsia" w:eastAsiaTheme="majorEastAsia"/>
                <w:bCs/>
                <w:color w:val="auto"/>
                <w:szCs w:val="21"/>
              </w:rPr>
            </w:pPr>
            <w:r>
              <w:rPr>
                <w:rFonts w:hint="eastAsia" w:cs="宋体" w:asciiTheme="majorEastAsia" w:hAnsiTheme="majorEastAsia" w:eastAsiaTheme="majorEastAsia"/>
                <w:bCs/>
                <w:color w:val="auto"/>
                <w:szCs w:val="21"/>
              </w:rPr>
              <w:t>完成本次项目的货物装卸、运杂费、安装调试、培训；室内国标全铜芯六类千兆网线、六类水晶头、国标全铜芯电线、音视频线、插座空关、PVC线槽线管、钢钉、线卡、扎带等（主线6 mm</w:t>
            </w:r>
            <w:r>
              <w:rPr>
                <w:rFonts w:hint="eastAsia" w:cs="宋体" w:asciiTheme="majorEastAsia" w:hAnsiTheme="majorEastAsia" w:eastAsiaTheme="majorEastAsia"/>
                <w:bCs/>
                <w:color w:val="auto"/>
                <w:szCs w:val="21"/>
                <w:lang w:val="en-US" w:eastAsia="zh-CN"/>
              </w:rPr>
              <w:t>²</w:t>
            </w:r>
            <w:r>
              <w:rPr>
                <w:rFonts w:hint="eastAsia" w:cs="宋体" w:asciiTheme="majorEastAsia" w:hAnsiTheme="majorEastAsia" w:eastAsiaTheme="majorEastAsia"/>
                <w:bCs/>
                <w:color w:val="auto"/>
                <w:szCs w:val="21"/>
              </w:rPr>
              <w:t>；支线2.5 mm</w:t>
            </w:r>
            <w:r>
              <w:rPr>
                <w:rFonts w:hint="eastAsia" w:cs="宋体" w:asciiTheme="majorEastAsia" w:hAnsiTheme="majorEastAsia" w:eastAsiaTheme="majorEastAsia"/>
                <w:bCs/>
                <w:color w:val="auto"/>
                <w:szCs w:val="21"/>
                <w:lang w:val="en-US" w:eastAsia="zh-CN"/>
              </w:rPr>
              <w:t>²</w:t>
            </w:r>
            <w:r>
              <w:rPr>
                <w:rFonts w:hint="eastAsia" w:cs="宋体" w:asciiTheme="majorEastAsia" w:hAnsiTheme="majorEastAsia" w:eastAsiaTheme="majorEastAsia"/>
                <w:bCs/>
                <w:color w:val="auto"/>
                <w:szCs w:val="21"/>
              </w:rPr>
              <w:t>），要求所有布线均入线盒，不能裸露在外；布线规范，横平竖直。</w:t>
            </w:r>
          </w:p>
        </w:tc>
        <w:tc>
          <w:tcPr>
            <w:tcW w:w="266" w:type="pct"/>
            <w:vAlign w:val="center"/>
          </w:tcPr>
          <w:p>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69</w:t>
            </w:r>
          </w:p>
        </w:tc>
        <w:tc>
          <w:tcPr>
            <w:tcW w:w="206" w:type="pct"/>
            <w:vAlign w:val="center"/>
          </w:tcPr>
          <w:p>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套</w:t>
            </w:r>
          </w:p>
        </w:tc>
        <w:tc>
          <w:tcPr>
            <w:tcW w:w="376" w:type="pct"/>
            <w:vAlign w:val="center"/>
          </w:tcPr>
          <w:p>
            <w:pPr>
              <w:widowControl/>
              <w:jc w:val="center"/>
              <w:textAlignment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500</w:t>
            </w:r>
          </w:p>
        </w:tc>
        <w:tc>
          <w:tcPr>
            <w:tcW w:w="462" w:type="pct"/>
            <w:vAlign w:val="center"/>
          </w:tcPr>
          <w:p>
            <w:pPr>
              <w:widowControl/>
              <w:jc w:val="center"/>
              <w:textAlignment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34500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 w:type="pct"/>
            <w:gridSpan w:val="4"/>
            <w:vAlign w:val="center"/>
          </w:tcPr>
          <w:p>
            <w:pPr>
              <w:widowControl/>
              <w:jc w:val="center"/>
              <w:textAlignment w:val="center"/>
              <w:rPr>
                <w:rFonts w:cs="宋体" w:asciiTheme="majorEastAsia" w:hAnsiTheme="majorEastAsia" w:eastAsiaTheme="majorEastAsia"/>
                <w:b/>
                <w:color w:val="auto"/>
                <w:szCs w:val="21"/>
              </w:rPr>
            </w:pPr>
            <w:r>
              <w:rPr>
                <w:rFonts w:hint="eastAsia" w:cs="宋体" w:asciiTheme="majorEastAsia" w:hAnsiTheme="majorEastAsia" w:eastAsiaTheme="majorEastAsia"/>
                <w:b/>
                <w:color w:val="auto"/>
                <w:szCs w:val="21"/>
              </w:rPr>
              <w:t>合计：</w:t>
            </w:r>
          </w:p>
        </w:tc>
        <w:tc>
          <w:tcPr>
            <w:tcW w:w="3598" w:type="pct"/>
            <w:gridSpan w:val="4"/>
            <w:vAlign w:val="center"/>
          </w:tcPr>
          <w:p>
            <w:pPr>
              <w:widowControl/>
              <w:jc w:val="left"/>
              <w:textAlignment w:val="center"/>
              <w:rPr>
                <w:rFonts w:cs="宋体" w:asciiTheme="majorEastAsia" w:hAnsiTheme="majorEastAsia" w:eastAsiaTheme="majorEastAsia"/>
                <w:color w:val="auto"/>
                <w:szCs w:val="21"/>
              </w:rPr>
            </w:pPr>
            <w:r>
              <w:rPr>
                <w:rFonts w:hint="eastAsia" w:cs="宋体" w:asciiTheme="majorEastAsia" w:hAnsiTheme="majorEastAsia" w:eastAsiaTheme="majorEastAsia"/>
                <w:b/>
                <w:color w:val="auto"/>
                <w:szCs w:val="21"/>
              </w:rPr>
              <w:t>大写：人民币贰佰零柒万元整</w:t>
            </w:r>
          </w:p>
        </w:tc>
        <w:tc>
          <w:tcPr>
            <w:tcW w:w="462" w:type="pct"/>
            <w:vAlign w:val="center"/>
          </w:tcPr>
          <w:p>
            <w:pPr>
              <w:widowControl/>
              <w:jc w:val="center"/>
              <w:textAlignment w:val="center"/>
              <w:rPr>
                <w:rFonts w:cs="宋体" w:asciiTheme="majorEastAsia" w:hAnsiTheme="majorEastAsia" w:eastAsiaTheme="majorEastAsia"/>
                <w:color w:val="auto"/>
                <w:szCs w:val="21"/>
              </w:rPr>
            </w:pPr>
            <w:r>
              <w:rPr>
                <w:rFonts w:cs="宋体" w:asciiTheme="majorEastAsia" w:hAnsiTheme="majorEastAsia" w:eastAsiaTheme="majorEastAsia"/>
                <w:color w:val="auto"/>
                <w:szCs w:val="21"/>
              </w:rPr>
              <w:fldChar w:fldCharType="begin"/>
            </w:r>
            <w:r>
              <w:rPr>
                <w:rFonts w:cs="宋体" w:asciiTheme="majorEastAsia" w:hAnsiTheme="majorEastAsia" w:eastAsiaTheme="majorEastAsia"/>
                <w:color w:val="auto"/>
                <w:szCs w:val="21"/>
              </w:rPr>
              <w:instrText xml:space="preserve"> =SUM(ABOVE) </w:instrText>
            </w:r>
            <w:r>
              <w:rPr>
                <w:rFonts w:cs="宋体" w:asciiTheme="majorEastAsia" w:hAnsiTheme="majorEastAsia" w:eastAsiaTheme="majorEastAsia"/>
                <w:color w:val="auto"/>
                <w:szCs w:val="21"/>
              </w:rPr>
              <w:fldChar w:fldCharType="separate"/>
            </w:r>
            <w:r>
              <w:rPr>
                <w:rFonts w:cs="宋体" w:asciiTheme="majorEastAsia" w:hAnsiTheme="majorEastAsia" w:eastAsiaTheme="majorEastAsia"/>
                <w:color w:val="auto"/>
                <w:szCs w:val="21"/>
              </w:rPr>
              <w:t>2070000</w:t>
            </w:r>
            <w:r>
              <w:rPr>
                <w:rFonts w:cs="宋体" w:asciiTheme="majorEastAsia" w:hAnsiTheme="majorEastAsia" w:eastAsiaTheme="majorEastAsia"/>
                <w:color w:val="auto"/>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9"/>
            <w:tcBorders>
              <w:top w:val="single" w:color="auto" w:sz="4" w:space="0"/>
              <w:left w:val="single" w:color="auto" w:sz="4" w:space="0"/>
              <w:bottom w:val="single" w:color="auto" w:sz="4" w:space="0"/>
              <w:right w:val="single" w:color="auto" w:sz="4" w:space="0"/>
            </w:tcBorders>
            <w:shd w:val="clear" w:color="auto" w:fill="8DB3E2"/>
            <w:tcMar>
              <w:top w:w="15" w:type="dxa"/>
              <w:left w:w="15" w:type="dxa"/>
              <w:bottom w:w="15" w:type="dxa"/>
              <w:right w:w="15" w:type="dxa"/>
            </w:tcMar>
            <w:vAlign w:val="center"/>
          </w:tcPr>
          <w:p>
            <w:pPr>
              <w:pStyle w:val="52"/>
              <w:widowControl/>
              <w:spacing w:line="400" w:lineRule="exact"/>
              <w:jc w:val="left"/>
              <w:rPr>
                <w:rFonts w:ascii="Times New Roman" w:hAnsi="Times New Roman"/>
                <w:color w:val="auto"/>
                <w:szCs w:val="21"/>
              </w:rPr>
            </w:pPr>
            <w:r>
              <w:rPr>
                <w:rFonts w:hint="eastAsia"/>
                <w:bCs/>
                <w:color w:val="auto"/>
                <w:szCs w:val="21"/>
              </w:rPr>
              <w:t>★</w:t>
            </w:r>
            <w:r>
              <w:rPr>
                <w:rFonts w:ascii="Times New Roman" w:hAnsi="Times New Roman"/>
                <w:b/>
                <w:bCs/>
                <w:color w:val="auto"/>
                <w:szCs w:val="21"/>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1" w:type="pct"/>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widowControl/>
              <w:snapToGrid w:val="0"/>
              <w:spacing w:line="400" w:lineRule="exact"/>
              <w:jc w:val="center"/>
              <w:textAlignment w:val="bottom"/>
              <w:rPr>
                <w:bCs/>
                <w:color w:val="auto"/>
                <w:szCs w:val="21"/>
              </w:rPr>
            </w:pPr>
            <w:r>
              <w:rPr>
                <w:rFonts w:hint="eastAsia"/>
                <w:color w:val="auto"/>
                <w:kern w:val="0"/>
                <w:szCs w:val="21"/>
              </w:rPr>
              <w:t>售后服务要求</w:t>
            </w:r>
          </w:p>
        </w:tc>
        <w:tc>
          <w:tcPr>
            <w:tcW w:w="4358" w:type="pct"/>
            <w:gridSpan w:val="6"/>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spacing w:line="400" w:lineRule="exact"/>
              <w:jc w:val="left"/>
              <w:textAlignment w:val="bottom"/>
              <w:rPr>
                <w:rFonts w:ascii="宋体" w:hAnsi="宋体"/>
                <w:b/>
                <w:bCs/>
                <w:color w:val="auto"/>
              </w:rPr>
            </w:pPr>
            <w:r>
              <w:rPr>
                <w:rFonts w:ascii="宋体" w:hAnsi="宋体"/>
                <w:b/>
                <w:bCs/>
                <w:color w:val="auto"/>
              </w:rPr>
              <w:t>1</w:t>
            </w:r>
            <w:r>
              <w:rPr>
                <w:rFonts w:hint="eastAsia" w:ascii="宋体" w:hAnsi="宋体"/>
                <w:b/>
                <w:bCs/>
                <w:color w:val="auto"/>
              </w:rPr>
              <w:t>、按国家有关产品“三包”规定执行“三包”，所有设备免费保修期不少于3年（免费保修期从设备验收合格之日起计算），上门服务。</w:t>
            </w:r>
          </w:p>
          <w:p>
            <w:pPr>
              <w:widowControl/>
              <w:snapToGrid w:val="0"/>
              <w:spacing w:line="400" w:lineRule="exact"/>
              <w:jc w:val="left"/>
              <w:textAlignment w:val="bottom"/>
              <w:rPr>
                <w:rFonts w:ascii="宋体" w:hAnsi="宋体"/>
                <w:color w:val="auto"/>
              </w:rPr>
            </w:pPr>
            <w:r>
              <w:rPr>
                <w:rFonts w:hint="eastAsia" w:ascii="宋体" w:hAnsi="宋体"/>
                <w:color w:val="auto"/>
              </w:rPr>
              <w:t>2、培训：</w:t>
            </w:r>
            <w:r>
              <w:rPr>
                <w:rFonts w:hint="eastAsia" w:ascii="宋体" w:hAnsi="宋体"/>
                <w:color w:val="auto"/>
                <w:szCs w:val="21"/>
              </w:rPr>
              <w:t>通过线下实地培训，或线上云直播、网课或者录播课等形式</w:t>
            </w:r>
            <w:r>
              <w:rPr>
                <w:rFonts w:hint="eastAsia" w:ascii="宋体" w:hAnsi="宋体"/>
                <w:color w:val="auto"/>
              </w:rPr>
              <w:t>免费对项目学校教师培训</w:t>
            </w:r>
            <w:r>
              <w:rPr>
                <w:rFonts w:hint="eastAsia" w:ascii="宋体" w:hAnsi="宋体"/>
                <w:color w:val="auto"/>
                <w:lang w:val="en-US" w:eastAsia="zh-CN"/>
              </w:rPr>
              <w:t>,</w:t>
            </w:r>
            <w:r>
              <w:rPr>
                <w:rFonts w:hint="eastAsia"/>
                <w:color w:val="auto"/>
                <w:lang w:eastAsia="zh-CN"/>
              </w:rPr>
              <w:t>每校不少于</w:t>
            </w:r>
            <w:r>
              <w:rPr>
                <w:rFonts w:hint="eastAsia"/>
                <w:color w:val="auto"/>
                <w:lang w:val="en-US" w:eastAsia="zh-CN"/>
              </w:rPr>
              <w:t>10人，每人</w:t>
            </w:r>
            <w:r>
              <w:rPr>
                <w:rFonts w:hint="eastAsia" w:ascii="宋体" w:hAnsi="宋体"/>
                <w:color w:val="auto"/>
              </w:rPr>
              <w:t>不少于6课时，经培训后，教师能完成实验多媒体教学系统设备日常管理与维护工作，能熟练操作交互式智能平板，骨干学科教师能将交互式智能平板应用于学科教学之中，培训所需的资料费、授课费由中标供应商负责；培训详细方案内容需报学校主管部门审定后方可实施。</w:t>
            </w:r>
          </w:p>
          <w:p>
            <w:pPr>
              <w:widowControl/>
              <w:snapToGrid w:val="0"/>
              <w:spacing w:line="400" w:lineRule="exact"/>
              <w:jc w:val="left"/>
              <w:textAlignment w:val="bottom"/>
              <w:rPr>
                <w:color w:val="auto"/>
              </w:rPr>
            </w:pPr>
            <w:r>
              <w:rPr>
                <w:rFonts w:hint="eastAsia" w:ascii="宋体" w:hAnsi="宋体"/>
                <w:color w:val="auto"/>
              </w:rPr>
              <w:t>3、维修响应：在接到用户的维修电话后4小时内响应。在质量保证期内，供应商在收到设备用户第一个报修电话后，应在6小时内赶到现场，并免费维修更换有缺陷的货物或部件，若现场不能解决，应最多不超过24小时内将设备修好，如24小时内未能修复提供同档次备机，保证教学工作正常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1" w:type="pct"/>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widowControl/>
              <w:snapToGrid w:val="0"/>
              <w:spacing w:line="400" w:lineRule="exact"/>
              <w:jc w:val="center"/>
              <w:textAlignment w:val="bottom"/>
              <w:rPr>
                <w:color w:val="auto"/>
                <w:kern w:val="0"/>
                <w:szCs w:val="21"/>
              </w:rPr>
            </w:pPr>
            <w:r>
              <w:rPr>
                <w:color w:val="auto"/>
                <w:kern w:val="0"/>
                <w:szCs w:val="21"/>
              </w:rPr>
              <w:t>核心产品</w:t>
            </w:r>
          </w:p>
        </w:tc>
        <w:tc>
          <w:tcPr>
            <w:tcW w:w="4358" w:type="pct"/>
            <w:gridSpan w:val="6"/>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spacing w:line="400" w:lineRule="exact"/>
              <w:jc w:val="left"/>
              <w:textAlignment w:val="bottom"/>
              <w:rPr>
                <w:bCs/>
                <w:color w:val="auto"/>
                <w:szCs w:val="21"/>
              </w:rPr>
            </w:pPr>
            <w:r>
              <w:rPr>
                <w:rFonts w:hint="eastAsia"/>
                <w:b/>
                <w:bCs/>
                <w:color w:val="auto"/>
                <w:szCs w:val="21"/>
              </w:rPr>
              <w:t>第</w:t>
            </w:r>
            <w:r>
              <w:rPr>
                <w:rFonts w:hint="eastAsia"/>
                <w:b/>
                <w:bCs/>
                <w:color w:val="auto"/>
                <w:szCs w:val="21"/>
                <w:u w:val="single"/>
              </w:rPr>
              <w:t xml:space="preserve"> 1 </w:t>
            </w:r>
            <w:r>
              <w:rPr>
                <w:rFonts w:hint="eastAsia"/>
                <w:b/>
                <w:bCs/>
                <w:color w:val="auto"/>
                <w:szCs w:val="21"/>
              </w:rPr>
              <w:t>项货物</w:t>
            </w:r>
            <w:r>
              <w:rPr>
                <w:b/>
                <w:bCs/>
                <w:color w:val="auto"/>
                <w:szCs w:val="21"/>
              </w:rPr>
              <w:t>“</w:t>
            </w:r>
            <w:r>
              <w:rPr>
                <w:rFonts w:hint="eastAsia" w:ascii="宋体" w:hAnsi="宋体" w:cs="宋体"/>
                <w:color w:val="auto"/>
                <w:kern w:val="0"/>
                <w:szCs w:val="21"/>
                <w:u w:val="single"/>
              </w:rPr>
              <w:t>86英寸交互智能平板</w:t>
            </w:r>
            <w:r>
              <w:rPr>
                <w:b/>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1" w:type="pct"/>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widowControl/>
              <w:snapToGrid w:val="0"/>
              <w:spacing w:line="400" w:lineRule="exact"/>
              <w:jc w:val="center"/>
              <w:textAlignment w:val="bottom"/>
              <w:rPr>
                <w:color w:val="auto"/>
                <w:kern w:val="0"/>
                <w:szCs w:val="21"/>
              </w:rPr>
            </w:pPr>
            <w:r>
              <w:rPr>
                <w:rFonts w:hint="eastAsia" w:ascii="宋体" w:hAnsi="宋体" w:cs="宋体"/>
                <w:bCs/>
                <w:color w:val="auto"/>
                <w:kern w:val="0"/>
                <w:szCs w:val="21"/>
              </w:rPr>
              <w:t>合同签订期</w:t>
            </w:r>
          </w:p>
        </w:tc>
        <w:tc>
          <w:tcPr>
            <w:tcW w:w="4358" w:type="pct"/>
            <w:gridSpan w:val="6"/>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spacing w:line="400" w:lineRule="exact"/>
              <w:jc w:val="left"/>
              <w:textAlignment w:val="bottom"/>
              <w:rPr>
                <w:rFonts w:hint="eastAsia" w:eastAsia="宋体"/>
                <w:b/>
                <w:bCs/>
                <w:color w:val="auto"/>
                <w:szCs w:val="21"/>
                <w:lang w:eastAsia="zh-CN"/>
              </w:rPr>
            </w:pPr>
            <w:r>
              <w:rPr>
                <w:rFonts w:hint="eastAsia" w:ascii="宋体" w:hAnsi="宋体" w:cs="宋体"/>
                <w:bCs/>
                <w:color w:val="auto"/>
                <w:kern w:val="0"/>
                <w:szCs w:val="21"/>
              </w:rPr>
              <w:t>中标通知书发出之日起</w:t>
            </w:r>
            <w:r>
              <w:rPr>
                <w:rFonts w:hint="eastAsia" w:ascii="宋体" w:hAnsi="宋体" w:cs="宋体"/>
                <w:bCs/>
                <w:color w:val="auto"/>
                <w:kern w:val="0"/>
                <w:szCs w:val="21"/>
                <w:lang w:eastAsia="zh-CN"/>
              </w:rPr>
              <w:t>七个工作</w:t>
            </w:r>
            <w:r>
              <w:rPr>
                <w:rFonts w:hint="eastAsia" w:ascii="宋体" w:hAnsi="宋体" w:cs="宋体"/>
                <w:bCs/>
                <w:color w:val="auto"/>
                <w:kern w:val="0"/>
                <w:szCs w:val="21"/>
              </w:rPr>
              <w:t>内</w:t>
            </w:r>
            <w:r>
              <w:rPr>
                <w:rFonts w:hint="eastAsia" w:ascii="宋体" w:hAnsi="宋体" w:cs="宋体"/>
                <w:bCs/>
                <w:color w:val="auto"/>
                <w:kern w:val="0"/>
                <w:szCs w:val="21"/>
                <w:lang w:eastAsia="zh-CN"/>
              </w:rPr>
              <w:t>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1" w:type="pct"/>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snapToGrid w:val="0"/>
              <w:spacing w:line="400" w:lineRule="exact"/>
              <w:jc w:val="center"/>
              <w:textAlignment w:val="bottom"/>
              <w:rPr>
                <w:bCs/>
                <w:color w:val="auto"/>
                <w:szCs w:val="21"/>
              </w:rPr>
            </w:pPr>
            <w:r>
              <w:rPr>
                <w:color w:val="auto"/>
                <w:kern w:val="0"/>
                <w:szCs w:val="21"/>
              </w:rPr>
              <w:t>交货时间及地点</w:t>
            </w:r>
          </w:p>
        </w:tc>
        <w:tc>
          <w:tcPr>
            <w:tcW w:w="4358" w:type="pct"/>
            <w:gridSpan w:val="6"/>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spacing w:line="400" w:lineRule="exact"/>
              <w:jc w:val="left"/>
              <w:textAlignment w:val="bottom"/>
              <w:rPr>
                <w:bCs/>
                <w:color w:val="auto"/>
                <w:szCs w:val="21"/>
              </w:rPr>
            </w:pPr>
            <w:r>
              <w:rPr>
                <w:bCs/>
                <w:color w:val="auto"/>
                <w:szCs w:val="21"/>
              </w:rPr>
              <w:t>1</w:t>
            </w:r>
            <w:r>
              <w:rPr>
                <w:rFonts w:hint="eastAsia"/>
                <w:bCs/>
                <w:color w:val="auto"/>
                <w:szCs w:val="21"/>
                <w:lang w:eastAsia="zh-CN"/>
              </w:rPr>
              <w:t>、</w:t>
            </w:r>
            <w:r>
              <w:rPr>
                <w:bCs/>
                <w:color w:val="auto"/>
                <w:szCs w:val="21"/>
              </w:rPr>
              <w:t>交货时间：</w:t>
            </w:r>
            <w:r>
              <w:rPr>
                <w:rFonts w:hint="eastAsia" w:ascii="宋体" w:hAnsi="宋体" w:cs="宋体"/>
                <w:bCs/>
                <w:color w:val="auto"/>
                <w:kern w:val="0"/>
                <w:szCs w:val="21"/>
              </w:rPr>
              <w:t>自签订合同之日起</w:t>
            </w:r>
            <w:r>
              <w:rPr>
                <w:rFonts w:hint="eastAsia" w:ascii="宋体" w:hAnsi="宋体" w:cs="宋体"/>
                <w:bCs/>
                <w:color w:val="auto"/>
                <w:kern w:val="0"/>
                <w:szCs w:val="21"/>
                <w:lang w:val="en-US" w:eastAsia="zh-CN"/>
              </w:rPr>
              <w:t>15</w:t>
            </w:r>
            <w:r>
              <w:rPr>
                <w:rFonts w:hint="eastAsia" w:ascii="宋体" w:hAnsi="宋体" w:cs="宋体"/>
                <w:bCs/>
                <w:color w:val="auto"/>
                <w:kern w:val="0"/>
                <w:szCs w:val="21"/>
              </w:rPr>
              <w:t>天内全部安装调试合格并通过验收。货到学校有货物签收单由学校清点签收。</w:t>
            </w:r>
          </w:p>
          <w:p>
            <w:pPr>
              <w:widowControl/>
              <w:snapToGrid w:val="0"/>
              <w:spacing w:line="400" w:lineRule="exact"/>
              <w:textAlignment w:val="bottom"/>
              <w:rPr>
                <w:bCs/>
                <w:color w:val="auto"/>
                <w:szCs w:val="21"/>
              </w:rPr>
            </w:pPr>
            <w:r>
              <w:rPr>
                <w:bCs/>
                <w:color w:val="auto"/>
                <w:szCs w:val="21"/>
              </w:rPr>
              <w:t>2</w:t>
            </w:r>
            <w:r>
              <w:rPr>
                <w:rFonts w:hint="eastAsia"/>
                <w:bCs/>
                <w:color w:val="auto"/>
                <w:szCs w:val="21"/>
                <w:lang w:eastAsia="zh-CN"/>
              </w:rPr>
              <w:t>、</w:t>
            </w:r>
            <w:r>
              <w:rPr>
                <w:rFonts w:hint="eastAsia" w:ascii="宋体" w:hAnsi="宋体" w:cs="宋体"/>
                <w:bCs/>
                <w:color w:val="auto"/>
                <w:kern w:val="0"/>
                <w:szCs w:val="21"/>
              </w:rPr>
              <w:t>交货地点：</w:t>
            </w:r>
            <w:r>
              <w:rPr>
                <w:rFonts w:hint="eastAsia" w:ascii="宋体" w:hAnsi="宋体" w:cs="宋体"/>
                <w:bCs/>
                <w:color w:val="auto"/>
                <w:kern w:val="0"/>
                <w:szCs w:val="21"/>
                <w:u w:val="single"/>
              </w:rPr>
              <w:t>广西桂林市临桂区采购人指定地点（临桂区内县直中小学）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1" w:type="pct"/>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snapToGrid w:val="0"/>
              <w:spacing w:line="400" w:lineRule="exact"/>
              <w:jc w:val="center"/>
              <w:textAlignment w:val="bottom"/>
              <w:rPr>
                <w:color w:val="auto"/>
                <w:szCs w:val="21"/>
              </w:rPr>
            </w:pPr>
            <w:r>
              <w:rPr>
                <w:rFonts w:hint="eastAsia"/>
                <w:color w:val="auto"/>
                <w:kern w:val="0"/>
                <w:szCs w:val="21"/>
              </w:rPr>
              <w:t>付款时间和方式</w:t>
            </w:r>
          </w:p>
        </w:tc>
        <w:tc>
          <w:tcPr>
            <w:tcW w:w="4358" w:type="pct"/>
            <w:gridSpan w:val="6"/>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line="400" w:lineRule="exact"/>
              <w:rPr>
                <w:bCs/>
                <w:color w:val="auto"/>
                <w:szCs w:val="21"/>
              </w:rPr>
            </w:pPr>
            <w:r>
              <w:rPr>
                <w:rFonts w:hint="eastAsia"/>
                <w:bCs/>
                <w:color w:val="auto"/>
                <w:szCs w:val="21"/>
              </w:rPr>
              <w:t>本项目的资金拨付根据项目资金的到帐情况及财政部门的付款流程、付款期限执行，采购人不承担延期付款的责任。专项资金到帐且项目验收合格后，成交供应商开具全额发票给采购人，采购人收到发票后付至合同价款的100%（无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1" w:type="pct"/>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snapToGrid w:val="0"/>
              <w:spacing w:line="400" w:lineRule="exact"/>
              <w:jc w:val="center"/>
              <w:textAlignment w:val="bottom"/>
              <w:rPr>
                <w:color w:val="auto"/>
                <w:szCs w:val="21"/>
              </w:rPr>
            </w:pPr>
            <w:r>
              <w:rPr>
                <w:rFonts w:hint="eastAsia"/>
                <w:color w:val="auto"/>
                <w:szCs w:val="21"/>
              </w:rPr>
              <w:t>质量标准及验收要求</w:t>
            </w:r>
          </w:p>
        </w:tc>
        <w:tc>
          <w:tcPr>
            <w:tcW w:w="4358" w:type="pct"/>
            <w:gridSpan w:val="6"/>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spacing w:line="400" w:lineRule="exact"/>
              <w:jc w:val="left"/>
              <w:textAlignment w:val="bottom"/>
              <w:rPr>
                <w:color w:val="auto"/>
              </w:rPr>
            </w:pPr>
            <w:r>
              <w:rPr>
                <w:rFonts w:hint="eastAsia"/>
                <w:color w:val="auto"/>
              </w:rPr>
              <w:t>1、中标供应商必须于供货时提供投标文件中第1、2项产品由第三方检验（</w:t>
            </w:r>
            <w:r>
              <w:rPr>
                <w:rFonts w:hint="eastAsia"/>
                <w:color w:val="auto"/>
                <w:lang w:eastAsia="zh-CN"/>
              </w:rPr>
              <w:t>检</w:t>
            </w:r>
            <w:r>
              <w:rPr>
                <w:rFonts w:hint="eastAsia"/>
                <w:color w:val="auto"/>
              </w:rPr>
              <w:t>测）机构出具带有CMA标识的</w:t>
            </w:r>
            <w:r>
              <w:rPr>
                <w:rFonts w:hint="eastAsia"/>
                <w:color w:val="auto"/>
                <w:lang w:eastAsia="zh-CN"/>
              </w:rPr>
              <w:t>检验</w:t>
            </w:r>
            <w:r>
              <w:rPr>
                <w:rFonts w:hint="eastAsia"/>
                <w:color w:val="auto"/>
              </w:rPr>
              <w:t>（</w:t>
            </w:r>
            <w:r>
              <w:rPr>
                <w:rFonts w:hint="eastAsia"/>
                <w:color w:val="auto"/>
                <w:lang w:eastAsia="zh-CN"/>
              </w:rPr>
              <w:t>检测</w:t>
            </w:r>
            <w:r>
              <w:rPr>
                <w:rFonts w:hint="eastAsia"/>
                <w:color w:val="auto"/>
              </w:rPr>
              <w:t>）报告原件进行核对，如检测（检验）报告原件与投标文件中响应的技术参数不符，按虚假应标处理，所供货物不予验收，并追究法律责任。</w:t>
            </w:r>
          </w:p>
          <w:p>
            <w:pPr>
              <w:widowControl/>
              <w:snapToGrid w:val="0"/>
              <w:spacing w:line="400" w:lineRule="exact"/>
              <w:jc w:val="left"/>
              <w:textAlignment w:val="bottom"/>
              <w:rPr>
                <w:color w:val="auto"/>
              </w:rPr>
            </w:pPr>
            <w:r>
              <w:rPr>
                <w:rFonts w:hint="eastAsia"/>
                <w:color w:val="auto"/>
              </w:rPr>
              <w:t>2、中标供应商必须于供货时提供投标文件中第1、2项产品生产厂家出具的供货证明及售后服务承诺函原件，以证实其产品来源的合法性，保证售后服务质量。否则，所供设备不予验收。</w:t>
            </w:r>
          </w:p>
          <w:p>
            <w:pPr>
              <w:pStyle w:val="12"/>
              <w:rPr>
                <w:color w:val="auto"/>
              </w:rPr>
            </w:pPr>
            <w:r>
              <w:rPr>
                <w:rFonts w:hint="eastAsia"/>
                <w:color w:val="auto"/>
              </w:rPr>
              <w:t>3、中标供应商须于供货时配合采购人进行检测测试，采购人将根据采购需求对所提供部分产品参数的真实性和实际效果进行验证，通过检测测试方可进行验收。在检测测试过程中如发现有虚假应标行为的，采购人将拒绝接收货物、验收并退货。</w:t>
            </w:r>
            <w:r>
              <w:rPr>
                <w:rFonts w:hint="eastAsia"/>
                <w:color w:val="auto"/>
                <w:lang w:eastAsia="zh-CN"/>
              </w:rPr>
              <w:t>如</w:t>
            </w:r>
            <w:r>
              <w:rPr>
                <w:rFonts w:hint="eastAsia"/>
                <w:color w:val="auto"/>
              </w:rPr>
              <w:t>检测结果合格</w:t>
            </w:r>
            <w:r>
              <w:rPr>
                <w:rFonts w:hint="eastAsia"/>
                <w:color w:val="auto"/>
                <w:lang w:eastAsia="zh-CN"/>
              </w:rPr>
              <w:t>，</w:t>
            </w:r>
            <w:r>
              <w:rPr>
                <w:rFonts w:hint="eastAsia"/>
                <w:color w:val="auto"/>
              </w:rPr>
              <w:t>检测费用由采购人承担</w:t>
            </w:r>
            <w:r>
              <w:rPr>
                <w:rFonts w:hint="eastAsia"/>
                <w:color w:val="auto"/>
                <w:lang w:eastAsia="zh-CN"/>
              </w:rPr>
              <w:t>；</w:t>
            </w:r>
            <w:r>
              <w:rPr>
                <w:rFonts w:hint="eastAsia"/>
                <w:color w:val="auto"/>
              </w:rPr>
              <w:t>检测</w:t>
            </w:r>
            <w:r>
              <w:rPr>
                <w:rFonts w:hint="eastAsia"/>
                <w:color w:val="auto"/>
                <w:lang w:eastAsia="zh-CN"/>
              </w:rPr>
              <w:t>结果</w:t>
            </w:r>
            <w:r>
              <w:rPr>
                <w:rFonts w:hint="eastAsia"/>
                <w:color w:val="auto"/>
              </w:rPr>
              <w:t>不合格</w:t>
            </w:r>
            <w:r>
              <w:rPr>
                <w:rFonts w:hint="eastAsia"/>
                <w:color w:val="auto"/>
                <w:lang w:eastAsia="zh-CN"/>
              </w:rPr>
              <w:t>，检测费用</w:t>
            </w:r>
            <w:r>
              <w:rPr>
                <w:rFonts w:hint="eastAsia"/>
                <w:color w:val="auto"/>
              </w:rPr>
              <w:t>由</w:t>
            </w:r>
            <w:r>
              <w:rPr>
                <w:rFonts w:hint="eastAsia"/>
                <w:color w:val="auto"/>
                <w:lang w:eastAsia="zh-CN"/>
              </w:rPr>
              <w:t>中标</w:t>
            </w:r>
            <w:r>
              <w:rPr>
                <w:rFonts w:hint="eastAsia"/>
                <w:color w:val="auto"/>
              </w:rPr>
              <w:t>供应商承担</w:t>
            </w:r>
            <w:r>
              <w:rPr>
                <w:rFonts w:hint="eastAsia"/>
                <w:color w:val="auto"/>
                <w:lang w:eastAsia="zh-CN"/>
              </w:rPr>
              <w:t>，</w:t>
            </w:r>
            <w:r>
              <w:rPr>
                <w:rFonts w:hint="eastAsia"/>
                <w:color w:val="auto"/>
              </w:rPr>
              <w:t>并依法进行处罚，</w:t>
            </w:r>
            <w:r>
              <w:rPr>
                <w:rFonts w:hint="eastAsia"/>
                <w:color w:val="auto"/>
                <w:lang w:eastAsia="zh-CN"/>
              </w:rPr>
              <w:t>且</w:t>
            </w:r>
            <w:r>
              <w:rPr>
                <w:rFonts w:hint="eastAsia"/>
                <w:color w:val="auto"/>
              </w:rPr>
              <w:t>赔偿采购人一切损失。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1" w:type="pct"/>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widowControl/>
              <w:snapToGrid w:val="0"/>
              <w:spacing w:line="400" w:lineRule="exact"/>
              <w:jc w:val="center"/>
              <w:textAlignment w:val="bottom"/>
              <w:rPr>
                <w:color w:val="auto"/>
                <w:kern w:val="0"/>
                <w:szCs w:val="21"/>
              </w:rPr>
            </w:pPr>
            <w:r>
              <w:rPr>
                <w:rFonts w:hint="eastAsia"/>
                <w:color w:val="auto"/>
                <w:kern w:val="0"/>
                <w:szCs w:val="21"/>
              </w:rPr>
              <w:t>其他要求</w:t>
            </w:r>
          </w:p>
        </w:tc>
        <w:tc>
          <w:tcPr>
            <w:tcW w:w="4358" w:type="pct"/>
            <w:gridSpan w:val="6"/>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spacing w:line="400" w:lineRule="exact"/>
              <w:jc w:val="left"/>
              <w:textAlignment w:val="bottom"/>
              <w:rPr>
                <w:color w:val="auto"/>
                <w:kern w:val="0"/>
                <w:szCs w:val="21"/>
              </w:rPr>
            </w:pPr>
            <w:r>
              <w:rPr>
                <w:rFonts w:hint="eastAsia"/>
                <w:color w:val="auto"/>
                <w:kern w:val="0"/>
                <w:szCs w:val="21"/>
              </w:rPr>
              <w:t>1、本分标政府采购预算总金额（人民币）：贰佰零柒万元整（￥2070000.00），超出政府采购预算总金额的投标报价为无效报价。</w:t>
            </w:r>
          </w:p>
          <w:p>
            <w:pPr>
              <w:widowControl/>
              <w:snapToGrid w:val="0"/>
              <w:spacing w:line="400" w:lineRule="exact"/>
              <w:jc w:val="left"/>
              <w:textAlignment w:val="bottom"/>
              <w:rPr>
                <w:color w:val="auto"/>
                <w:kern w:val="0"/>
                <w:szCs w:val="21"/>
              </w:rPr>
            </w:pPr>
            <w:r>
              <w:rPr>
                <w:rFonts w:hint="eastAsia"/>
                <w:color w:val="auto"/>
                <w:kern w:val="0"/>
                <w:szCs w:val="21"/>
              </w:rPr>
              <w:t>2、本分标货物不接受进口产品投标（即通过中国海关报关验放进入中国境内且产自关境外的产品），如有此类产品参与竞标的作无效竞标处理。</w:t>
            </w:r>
          </w:p>
          <w:p>
            <w:pPr>
              <w:widowControl/>
              <w:snapToGrid w:val="0"/>
              <w:spacing w:line="400" w:lineRule="exact"/>
              <w:jc w:val="left"/>
              <w:textAlignment w:val="bottom"/>
              <w:rPr>
                <w:color w:val="auto"/>
                <w:kern w:val="0"/>
                <w:szCs w:val="21"/>
              </w:rPr>
            </w:pPr>
            <w:r>
              <w:rPr>
                <w:bCs/>
                <w:color w:val="auto"/>
                <w:szCs w:val="21"/>
              </w:rPr>
              <w:t>3</w:t>
            </w:r>
            <w:r>
              <w:rPr>
                <w:rFonts w:hint="eastAsia"/>
                <w:bCs/>
                <w:color w:val="auto"/>
                <w:szCs w:val="21"/>
              </w:rPr>
              <w:t>、非★号技术参数负偏离超过5项（包含）或以上的，投标人投标无效。</w:t>
            </w:r>
          </w:p>
        </w:tc>
      </w:tr>
    </w:tbl>
    <w:p>
      <w:pPr>
        <w:pStyle w:val="3"/>
        <w:spacing w:before="300" w:after="200" w:line="400" w:lineRule="exact"/>
        <w:rPr>
          <w:color w:val="auto"/>
          <w:sz w:val="32"/>
          <w:szCs w:val="32"/>
        </w:rPr>
      </w:pPr>
    </w:p>
    <w:p>
      <w:pPr>
        <w:rPr>
          <w:color w:val="auto"/>
        </w:rPr>
      </w:pPr>
    </w:p>
    <w:p>
      <w:pPr>
        <w:pStyle w:val="3"/>
        <w:spacing w:before="300" w:after="200" w:line="400" w:lineRule="exact"/>
        <w:jc w:val="center"/>
        <w:rPr>
          <w:color w:val="auto"/>
          <w:sz w:val="32"/>
          <w:szCs w:val="32"/>
        </w:rPr>
      </w:pPr>
      <w:bookmarkStart w:id="151" w:name="_Toc30440"/>
      <w:r>
        <w:rPr>
          <w:rFonts w:hint="eastAsia"/>
          <w:color w:val="auto"/>
          <w:sz w:val="32"/>
          <w:szCs w:val="32"/>
        </w:rPr>
        <w:t>第四章  评标办法</w:t>
      </w:r>
      <w:bookmarkEnd w:id="151"/>
    </w:p>
    <w:p>
      <w:pPr>
        <w:spacing w:line="390" w:lineRule="exact"/>
        <w:jc w:val="left"/>
        <w:rPr>
          <w:rFonts w:ascii="宋体" w:hAnsi="宋体" w:cs="宋体"/>
          <w:b/>
          <w:color w:val="auto"/>
          <w:szCs w:val="21"/>
        </w:rPr>
      </w:pPr>
      <w:r>
        <w:rPr>
          <w:rFonts w:hint="eastAsia" w:ascii="宋体" w:hAnsi="宋体" w:cs="宋体"/>
          <w:b/>
          <w:color w:val="auto"/>
          <w:szCs w:val="21"/>
        </w:rPr>
        <w:t>一、评标原则</w:t>
      </w:r>
    </w:p>
    <w:p>
      <w:pPr>
        <w:pStyle w:val="17"/>
        <w:adjustRightInd w:val="0"/>
        <w:spacing w:line="390" w:lineRule="exact"/>
        <w:ind w:firstLine="420" w:firstLineChars="200"/>
        <w:contextualSpacing/>
        <w:rPr>
          <w:rFonts w:hAnsi="宋体" w:cs="宋体"/>
          <w:bCs/>
          <w:color w:val="auto"/>
        </w:rPr>
      </w:pPr>
      <w:r>
        <w:rPr>
          <w:rFonts w:hint="eastAsia" w:hAnsi="宋体" w:cs="宋体"/>
          <w:bCs/>
          <w:color w:val="auto"/>
        </w:rPr>
        <w:t>（一）评委会组成：本招标采购项目的评标委员会由采购人代表、技术和经济等方面的专家组成。其中，专家评委不得少于成员总数的三分之二。</w:t>
      </w:r>
    </w:p>
    <w:p>
      <w:pPr>
        <w:pStyle w:val="17"/>
        <w:adjustRightInd w:val="0"/>
        <w:spacing w:line="390" w:lineRule="exact"/>
        <w:ind w:firstLine="420" w:firstLineChars="200"/>
        <w:contextualSpacing/>
        <w:rPr>
          <w:rFonts w:hAnsi="宋体" w:cs="宋体"/>
          <w:bCs/>
          <w:color w:val="auto"/>
        </w:rPr>
      </w:pPr>
      <w:r>
        <w:rPr>
          <w:rFonts w:hint="eastAsia" w:hAnsi="宋体" w:cs="宋体"/>
          <w:bCs/>
          <w:color w:val="auto"/>
        </w:rPr>
        <w:t>（二）评标依据：评委将以招投标文件为评标依据，对投标人的投标</w:t>
      </w:r>
      <w:r>
        <w:rPr>
          <w:rFonts w:hint="eastAsia" w:hAnsi="宋体" w:cs="宋体"/>
          <w:color w:val="auto"/>
          <w:szCs w:val="21"/>
        </w:rPr>
        <w:t>报价、技术性能、履约能力、售后服务及政策功能等方面内容按百分制打分。</w:t>
      </w:r>
    </w:p>
    <w:p>
      <w:pPr>
        <w:pStyle w:val="17"/>
        <w:adjustRightInd w:val="0"/>
        <w:spacing w:line="390" w:lineRule="exact"/>
        <w:ind w:firstLine="420" w:firstLineChars="200"/>
        <w:contextualSpacing/>
        <w:rPr>
          <w:rFonts w:hAnsi="宋体" w:cs="宋体"/>
          <w:bCs/>
          <w:color w:val="auto"/>
        </w:rPr>
      </w:pPr>
      <w:r>
        <w:rPr>
          <w:rFonts w:hint="eastAsia" w:hAnsi="宋体" w:cs="宋体"/>
          <w:bCs/>
          <w:color w:val="auto"/>
        </w:rPr>
        <w:t>（三）评标方式：以封闭方式进行。</w:t>
      </w:r>
    </w:p>
    <w:p>
      <w:pPr>
        <w:pStyle w:val="17"/>
        <w:adjustRightInd w:val="0"/>
        <w:spacing w:line="390" w:lineRule="exact"/>
        <w:ind w:firstLine="420" w:firstLineChars="200"/>
        <w:contextualSpacing/>
        <w:rPr>
          <w:rFonts w:hAnsi="宋体" w:cs="宋体"/>
          <w:bCs/>
          <w:color w:val="auto"/>
        </w:rPr>
      </w:pPr>
      <w:r>
        <w:rPr>
          <w:rFonts w:hint="eastAsia" w:hAnsi="宋体" w:cs="宋体"/>
          <w:bCs/>
          <w:color w:val="auto"/>
        </w:rPr>
        <w:t>（四）采购人和采购代理机构、评标委员会成员要严格遵守政府采购相关法律制度，依法履行各自职责，公正、客观、审慎地组织和参与评审工作。</w:t>
      </w:r>
    </w:p>
    <w:p>
      <w:pPr>
        <w:spacing w:line="390" w:lineRule="exact"/>
        <w:jc w:val="left"/>
        <w:rPr>
          <w:rFonts w:ascii="宋体" w:hAnsi="宋体" w:cs="宋体"/>
          <w:b/>
          <w:color w:val="auto"/>
          <w:szCs w:val="21"/>
        </w:rPr>
      </w:pPr>
      <w:r>
        <w:rPr>
          <w:rFonts w:hint="eastAsia" w:ascii="宋体" w:hAnsi="宋体" w:cs="宋体"/>
          <w:b/>
          <w:color w:val="auto"/>
          <w:szCs w:val="21"/>
        </w:rPr>
        <w:t>二、评定方法</w:t>
      </w:r>
    </w:p>
    <w:p>
      <w:pPr>
        <w:pStyle w:val="17"/>
        <w:adjustRightInd w:val="0"/>
        <w:spacing w:line="390" w:lineRule="exact"/>
        <w:ind w:firstLine="420" w:firstLineChars="200"/>
        <w:contextualSpacing/>
        <w:rPr>
          <w:rFonts w:hAnsi="宋体" w:cs="宋体"/>
          <w:bCs/>
          <w:color w:val="auto"/>
        </w:rPr>
      </w:pPr>
      <w:r>
        <w:rPr>
          <w:rFonts w:hint="eastAsia" w:hAnsi="宋体" w:cs="宋体"/>
          <w:bCs/>
          <w:color w:val="auto"/>
        </w:rPr>
        <w:t>（一）对进入详评的，采用百分制综合评分法。</w:t>
      </w:r>
    </w:p>
    <w:p>
      <w:pPr>
        <w:pStyle w:val="17"/>
        <w:adjustRightInd w:val="0"/>
        <w:spacing w:line="390" w:lineRule="exact"/>
        <w:ind w:firstLine="420" w:firstLineChars="200"/>
        <w:contextualSpacing/>
        <w:rPr>
          <w:rFonts w:hAnsi="宋体" w:cs="宋体"/>
          <w:bCs/>
          <w:color w:val="auto"/>
        </w:rPr>
      </w:pPr>
      <w:r>
        <w:rPr>
          <w:rFonts w:hint="eastAsia" w:hAnsi="宋体" w:cs="宋体"/>
          <w:bCs/>
          <w:color w:val="auto"/>
        </w:rPr>
        <w:t>（二）计分办法（按四舍五入取至百分位）：</w:t>
      </w:r>
    </w:p>
    <w:p>
      <w:pPr>
        <w:pStyle w:val="17"/>
        <w:spacing w:line="390" w:lineRule="exact"/>
        <w:rPr>
          <w:rFonts w:hAnsi="宋体" w:cs="宋体"/>
          <w:b/>
          <w:bCs/>
          <w:color w:val="auto"/>
          <w:kern w:val="0"/>
          <w:szCs w:val="21"/>
        </w:rPr>
      </w:pPr>
      <w:bookmarkStart w:id="152" w:name="_Toc7653"/>
      <w:r>
        <w:rPr>
          <w:rFonts w:hint="eastAsia" w:hAnsi="宋体" w:cs="宋体"/>
          <w:b/>
          <w:bCs/>
          <w:color w:val="auto"/>
          <w:kern w:val="0"/>
          <w:szCs w:val="21"/>
        </w:rPr>
        <w:t>1、价格分………………………………………………………………………………………………………50分</w:t>
      </w:r>
      <w:bookmarkEnd w:id="152"/>
    </w:p>
    <w:p>
      <w:pPr>
        <w:pStyle w:val="17"/>
        <w:spacing w:line="390" w:lineRule="exact"/>
        <w:ind w:firstLine="420" w:firstLineChars="200"/>
        <w:rPr>
          <w:rFonts w:hAnsi="宋体" w:cs="宋体"/>
          <w:bCs/>
          <w:color w:val="auto"/>
        </w:rPr>
      </w:pPr>
      <w:r>
        <w:rPr>
          <w:rFonts w:hint="eastAsia" w:hAnsi="宋体" w:cs="宋体"/>
          <w:bCs/>
          <w:color w:val="auto"/>
        </w:rPr>
        <w:t>（1）</w:t>
      </w:r>
      <w:r>
        <w:rPr>
          <w:rFonts w:hint="eastAsia" w:hAnsi="宋体" w:cs="宋体"/>
          <w:color w:val="auto"/>
        </w:rPr>
        <w:t>按照《政府采购促进中小企业发展暂行办法》（财库[2011]181号）规定：</w:t>
      </w:r>
    </w:p>
    <w:p>
      <w:pPr>
        <w:pStyle w:val="17"/>
        <w:spacing w:line="390" w:lineRule="exact"/>
        <w:ind w:firstLine="420" w:firstLineChars="200"/>
        <w:rPr>
          <w:rFonts w:hAnsi="宋体" w:cs="宋体"/>
          <w:color w:val="auto"/>
        </w:rPr>
      </w:pPr>
      <w:r>
        <w:rPr>
          <w:rFonts w:hint="eastAsia" w:hAnsi="宋体" w:cs="宋体"/>
          <w:color w:val="auto"/>
          <w:szCs w:val="21"/>
        </w:rPr>
        <w:t>投标单位认定为小型和微型企业的（以投标文件提供的符合规定的有关证明材料为准)，并提供本企业制造的货物，由本企业承担工程、提供服务，或者提供其他小型、微型企业制造的货物的（不包括使用大型企业注册商标的货物）</w:t>
      </w:r>
      <w:r>
        <w:rPr>
          <w:rFonts w:hint="eastAsia" w:hAnsi="宋体" w:cs="宋体"/>
          <w:color w:val="auto"/>
        </w:rPr>
        <w:t>，投标价给予</w:t>
      </w:r>
      <w:r>
        <w:rPr>
          <w:rFonts w:hint="eastAsia" w:hAnsi="宋体" w:cs="宋体"/>
          <w:b/>
          <w:bCs/>
          <w:color w:val="auto"/>
        </w:rPr>
        <w:t>10%</w:t>
      </w:r>
      <w:r>
        <w:rPr>
          <w:rFonts w:hint="eastAsia" w:hAnsi="宋体" w:cs="宋体"/>
          <w:color w:val="auto"/>
        </w:rPr>
        <w:t>的扣除，扣除后的价格为评标报价，即评标报价=投标报价×（1-10%）；</w:t>
      </w:r>
    </w:p>
    <w:p>
      <w:pPr>
        <w:pStyle w:val="17"/>
        <w:spacing w:line="390" w:lineRule="exact"/>
        <w:ind w:firstLine="420"/>
        <w:rPr>
          <w:rFonts w:hAnsi="宋体" w:cs="宋体"/>
          <w:color w:val="auto"/>
        </w:rPr>
      </w:pPr>
      <w:r>
        <w:rPr>
          <w:rFonts w:hint="eastAsia" w:hAnsi="宋体" w:cs="宋体"/>
          <w:b/>
          <w:color w:val="auto"/>
        </w:rPr>
        <w:t>注：中小微型企业划分标准按照《国家统计局关于印发《统计上大中小微型企业划分办法（2017）》的通知》（国统字[2017]213号）执行，具体划分标准见附表《统计上大中小微型企业划分标准》。</w:t>
      </w:r>
    </w:p>
    <w:p>
      <w:pPr>
        <w:pStyle w:val="17"/>
        <w:numPr>
          <w:ilvl w:val="0"/>
          <w:numId w:val="7"/>
        </w:numPr>
        <w:spacing w:line="390" w:lineRule="exact"/>
        <w:ind w:firstLine="420"/>
        <w:rPr>
          <w:rFonts w:hAnsi="宋体" w:cs="宋体"/>
          <w:color w:val="auto"/>
          <w:kern w:val="0"/>
          <w:szCs w:val="21"/>
        </w:rPr>
      </w:pPr>
      <w:r>
        <w:rPr>
          <w:rFonts w:hint="eastAsia" w:hAnsi="宋体" w:cs="宋体"/>
          <w:color w:val="auto"/>
          <w:kern w:val="0"/>
          <w:szCs w:val="21"/>
        </w:rPr>
        <w:t>根据《关于政府采购支持监狱企业发展有关问题的通知》（财库[2014]68号）和</w:t>
      </w:r>
      <w:r>
        <w:rPr>
          <w:rFonts w:hint="eastAsia" w:hAnsi="宋体" w:cs="宋体"/>
          <w:color w:val="auto"/>
          <w:szCs w:val="21"/>
        </w:rPr>
        <w:t>《关于促进残疾人就业政府采购政策的通知》（财库[2017]141号）</w:t>
      </w:r>
      <w:r>
        <w:rPr>
          <w:rFonts w:hint="eastAsia" w:hAnsi="宋体" w:cs="宋体"/>
          <w:color w:val="auto"/>
          <w:kern w:val="0"/>
          <w:szCs w:val="21"/>
        </w:rPr>
        <w:t>，监狱企业和符合条件的残疾人企业视同小型、微型企业，享受小型、微型企业评审中价格扣除的政府采购政策。</w:t>
      </w:r>
    </w:p>
    <w:p>
      <w:pPr>
        <w:pStyle w:val="17"/>
        <w:numPr>
          <w:ilvl w:val="0"/>
          <w:numId w:val="7"/>
        </w:numPr>
        <w:spacing w:line="380" w:lineRule="exact"/>
        <w:ind w:firstLine="420"/>
        <w:rPr>
          <w:rFonts w:hAnsi="宋体" w:cs="宋体"/>
          <w:color w:val="auto"/>
          <w:szCs w:val="21"/>
        </w:rPr>
      </w:pPr>
      <w:r>
        <w:rPr>
          <w:rFonts w:hint="eastAsia" w:hAnsi="宋体" w:cs="宋体"/>
          <w:color w:val="auto"/>
          <w:szCs w:val="21"/>
        </w:rPr>
        <w:t>根据《关于促进残疾人就业政府采购政策的通知》（财库【2017】141号）规定，残疾人福利性单位视同小型、微型企业，评审中对价格给予折扣，残疾人福利性单位属于小型、微型企业的，不重复享受政策。符合条件的残疾人福利性单位在参加政府采购活动时，应当提供本通知规定的《残疾人福利性单位声明函》（见附件），并对声明的真实性负责。中标为残疾人福利性单位的，采购代理机构应当随中标、成交结果同时公告其《残疾人福利性单位声明函》，接受社会监督。</w:t>
      </w:r>
    </w:p>
    <w:p>
      <w:pPr>
        <w:pStyle w:val="17"/>
        <w:spacing w:line="380" w:lineRule="exact"/>
        <w:ind w:firstLine="420" w:firstLineChars="200"/>
        <w:rPr>
          <w:rFonts w:hAnsi="宋体" w:cs="宋体"/>
          <w:color w:val="auto"/>
        </w:rPr>
      </w:pPr>
      <w:r>
        <w:rPr>
          <w:rFonts w:hint="eastAsia" w:hAnsi="宋体" w:cs="宋体"/>
          <w:color w:val="auto"/>
          <w:szCs w:val="21"/>
        </w:rPr>
        <w:t>对于不属于以上情形的投标人，其投标报价即为评标价。</w:t>
      </w:r>
    </w:p>
    <w:p>
      <w:pPr>
        <w:pStyle w:val="17"/>
        <w:spacing w:line="390" w:lineRule="exact"/>
        <w:ind w:firstLine="420"/>
        <w:rPr>
          <w:rFonts w:hAnsi="宋体" w:cs="宋体"/>
          <w:color w:val="auto"/>
          <w:kern w:val="0"/>
          <w:szCs w:val="21"/>
        </w:rPr>
      </w:pPr>
      <w:r>
        <w:rPr>
          <w:rFonts w:hint="eastAsia" w:hAnsi="宋体" w:cs="宋体"/>
          <w:color w:val="auto"/>
          <w:kern w:val="0"/>
          <w:szCs w:val="21"/>
        </w:rPr>
        <w:t>（4）价格分采用低价优先法计算，即满足招标文件要求且评标报价最低的评标报价为评标基准价，其价格分为50分。</w:t>
      </w:r>
    </w:p>
    <w:p>
      <w:pPr>
        <w:pStyle w:val="17"/>
        <w:spacing w:line="390" w:lineRule="exact"/>
        <w:ind w:firstLine="420"/>
        <w:rPr>
          <w:rFonts w:hAnsi="宋体" w:cs="宋体"/>
          <w:color w:val="auto"/>
          <w:kern w:val="0"/>
          <w:szCs w:val="21"/>
        </w:rPr>
      </w:pPr>
      <w:r>
        <w:rPr>
          <w:rFonts w:hint="eastAsia" w:hAnsi="宋体" w:cs="宋体"/>
          <w:color w:val="auto"/>
          <w:kern w:val="0"/>
          <w:szCs w:val="21"/>
        </w:rPr>
        <w:t>（5）价格分计算公式：</w:t>
      </w:r>
    </w:p>
    <w:p>
      <w:pPr>
        <w:pStyle w:val="17"/>
        <w:spacing w:line="400" w:lineRule="exact"/>
        <w:ind w:firstLine="3087" w:firstLineChars="1470"/>
        <w:rPr>
          <w:rFonts w:hAnsi="宋体" w:cs="宋体"/>
          <w:bCs/>
          <w:color w:val="auto"/>
        </w:rPr>
      </w:pPr>
      <w:r>
        <w:rPr>
          <w:rFonts w:hint="eastAsia" w:hAnsi="宋体" w:cs="宋体"/>
          <w:bCs/>
          <w:color w:val="auto"/>
        </w:rPr>
        <w:t>最低投标人</w:t>
      </w:r>
      <w:r>
        <w:rPr>
          <w:rFonts w:hint="eastAsia" w:hAnsi="宋体" w:cs="宋体"/>
          <w:color w:val="auto"/>
        </w:rPr>
        <w:t>评标报价</w:t>
      </w:r>
      <w:r>
        <w:rPr>
          <w:rFonts w:hint="eastAsia" w:hAnsi="宋体" w:cs="宋体"/>
          <w:bCs/>
          <w:color w:val="auto"/>
        </w:rPr>
        <w:t xml:space="preserve">金额          </w:t>
      </w:r>
    </w:p>
    <w:p>
      <w:pPr>
        <w:pStyle w:val="17"/>
        <w:spacing w:line="400" w:lineRule="exact"/>
        <w:ind w:firstLine="420"/>
        <w:rPr>
          <w:rFonts w:hAnsi="宋体" w:cs="宋体"/>
          <w:bCs/>
          <w:color w:val="auto"/>
        </w:rPr>
      </w:pPr>
      <w:r>
        <w:rPr>
          <w:rFonts w:hint="eastAsia" w:hAnsi="宋体" w:cs="宋体"/>
          <w:bCs/>
          <w:color w:val="auto"/>
        </w:rPr>
        <mc:AlternateContent>
          <mc:Choice Requires="wps">
            <w:drawing>
              <wp:anchor distT="0" distB="0" distL="114300" distR="114300" simplePos="0" relativeHeight="251658240" behindDoc="0" locked="0" layoutInCell="1" allowOverlap="1">
                <wp:simplePos x="0" y="0"/>
                <wp:positionH relativeFrom="column">
                  <wp:posOffset>1828800</wp:posOffset>
                </wp:positionH>
                <wp:positionV relativeFrom="paragraph">
                  <wp:posOffset>196850</wp:posOffset>
                </wp:positionV>
                <wp:extent cx="2200275" cy="0"/>
                <wp:effectExtent l="0" t="0" r="0" b="0"/>
                <wp:wrapNone/>
                <wp:docPr id="1" name="直线 4"/>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margin-left:144pt;margin-top:15.5pt;height:0pt;width:173.25pt;z-index:251658240;mso-width-relative:page;mso-height-relative:page;" filled="f" stroked="t" coordsize="21600,21600" o:gfxdata="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UKpDrXAAAACQEAAA8AAAAAAAAAAQAgAAAAIgAAAGRycy9kb3ducmV2&#10;LnhtbFBLAQIUABQAAAAIAIdO4kBv0c86xAEAAIEDAAAOAAAAAAAAAAEAIAAAACYBAABkcnMvZTJv&#10;RG9jLnhtbFBLBQYAAAAABgAGAFkBAABcBQAAAAA=&#10;">
                <v:fill on="f" focussize="0,0"/>
                <v:stroke color="#000000" joinstyle="round"/>
                <v:imagedata o:title=""/>
                <o:lock v:ext="edit" aspectratio="f"/>
              </v:line>
            </w:pict>
          </mc:Fallback>
        </mc:AlternateContent>
      </w:r>
      <w:r>
        <w:rPr>
          <w:rFonts w:hint="eastAsia" w:hAnsi="宋体" w:cs="宋体"/>
          <w:bCs/>
          <w:color w:val="auto"/>
        </w:rPr>
        <w:t>某投标人价格分 =                                    　　×  50   分</w:t>
      </w:r>
    </w:p>
    <w:p>
      <w:pPr>
        <w:pStyle w:val="17"/>
        <w:spacing w:line="400" w:lineRule="exact"/>
        <w:ind w:firstLine="420" w:firstLineChars="200"/>
        <w:rPr>
          <w:color w:val="auto"/>
        </w:rPr>
      </w:pPr>
      <w:r>
        <w:rPr>
          <w:rFonts w:hint="eastAsia" w:hAnsi="宋体" w:cs="宋体"/>
          <w:bCs/>
          <w:color w:val="auto"/>
        </w:rPr>
        <w:t xml:space="preserve">                           某投标人</w:t>
      </w:r>
      <w:r>
        <w:rPr>
          <w:rFonts w:hint="eastAsia" w:hAnsi="宋体" w:cs="宋体"/>
          <w:color w:val="auto"/>
        </w:rPr>
        <w:t>评标报价</w:t>
      </w:r>
      <w:r>
        <w:rPr>
          <w:rFonts w:hint="eastAsia" w:hAnsi="宋体" w:cs="宋体"/>
          <w:bCs/>
          <w:color w:val="auto"/>
        </w:rPr>
        <w:t xml:space="preserve">金额  </w:t>
      </w:r>
    </w:p>
    <w:p>
      <w:pPr>
        <w:pStyle w:val="17"/>
        <w:spacing w:line="390" w:lineRule="exact"/>
        <w:rPr>
          <w:rFonts w:hAnsi="宋体" w:cs="宋体"/>
          <w:b/>
          <w:bCs/>
          <w:color w:val="auto"/>
          <w:kern w:val="0"/>
          <w:szCs w:val="21"/>
        </w:rPr>
      </w:pPr>
      <w:bookmarkStart w:id="153" w:name="_Toc7839"/>
      <w:r>
        <w:rPr>
          <w:rFonts w:hint="eastAsia" w:hAnsi="宋体" w:cs="宋体"/>
          <w:b/>
          <w:bCs/>
          <w:color w:val="auto"/>
          <w:kern w:val="0"/>
          <w:szCs w:val="21"/>
        </w:rPr>
        <w:t>2、技术性能分 ………………………………………………………………………………………… 满分26分</w:t>
      </w:r>
    </w:p>
    <w:p>
      <w:pPr>
        <w:pStyle w:val="17"/>
        <w:spacing w:line="390" w:lineRule="exact"/>
        <w:ind w:firstLine="420" w:firstLineChars="200"/>
        <w:rPr>
          <w:rFonts w:hAnsi="宋体" w:cs="宋体"/>
          <w:color w:val="auto"/>
          <w:kern w:val="0"/>
          <w:szCs w:val="21"/>
        </w:rPr>
      </w:pPr>
      <w:r>
        <w:rPr>
          <w:rFonts w:hint="eastAsia" w:hAnsi="宋体" w:cs="宋体"/>
          <w:color w:val="auto"/>
          <w:kern w:val="0"/>
          <w:szCs w:val="21"/>
        </w:rPr>
        <w:t>（1）货物性能基本分</w:t>
      </w:r>
      <w:r>
        <w:rPr>
          <w:rFonts w:hint="eastAsia" w:hAnsi="宋体" w:cs="宋体"/>
          <w:b/>
          <w:bCs/>
          <w:color w:val="auto"/>
          <w:kern w:val="0"/>
          <w:szCs w:val="21"/>
        </w:rPr>
        <w:t>（满分8分）</w:t>
      </w:r>
    </w:p>
    <w:p>
      <w:pPr>
        <w:pStyle w:val="17"/>
        <w:spacing w:line="380" w:lineRule="exact"/>
        <w:ind w:firstLine="420" w:firstLineChars="200"/>
        <w:rPr>
          <w:rFonts w:hAnsi="宋体" w:cs="宋体"/>
          <w:color w:val="auto"/>
          <w:szCs w:val="21"/>
        </w:rPr>
      </w:pPr>
      <w:r>
        <w:rPr>
          <w:rFonts w:hint="eastAsia" w:hAnsi="宋体" w:cs="宋体"/>
          <w:color w:val="auto"/>
          <w:szCs w:val="21"/>
        </w:rPr>
        <w:t>非★项目每有1项负偏离，扣2分，共计8分，扣完为止。</w:t>
      </w:r>
    </w:p>
    <w:p>
      <w:pPr>
        <w:pStyle w:val="17"/>
        <w:spacing w:line="390" w:lineRule="exact"/>
        <w:ind w:firstLine="420" w:firstLineChars="200"/>
        <w:rPr>
          <w:rFonts w:hAnsi="宋体" w:cs="宋体"/>
          <w:color w:val="auto"/>
          <w:kern w:val="0"/>
          <w:szCs w:val="21"/>
        </w:rPr>
      </w:pPr>
      <w:r>
        <w:rPr>
          <w:rFonts w:hint="eastAsia" w:hAnsi="宋体" w:cs="宋体"/>
          <w:color w:val="auto"/>
          <w:kern w:val="0"/>
          <w:szCs w:val="21"/>
        </w:rPr>
        <w:t>（2）货物性能</w:t>
      </w:r>
      <w:r>
        <w:rPr>
          <w:rFonts w:hint="eastAsia" w:hAnsi="宋体" w:cs="宋体"/>
          <w:color w:val="auto"/>
          <w:kern w:val="0"/>
          <w:szCs w:val="21"/>
          <w:lang w:eastAsia="zh-CN"/>
        </w:rPr>
        <w:t>提升分</w:t>
      </w:r>
      <w:r>
        <w:rPr>
          <w:rFonts w:hint="eastAsia" w:hAnsi="宋体" w:cs="宋体"/>
          <w:b/>
          <w:bCs/>
          <w:color w:val="auto"/>
          <w:kern w:val="0"/>
          <w:szCs w:val="21"/>
        </w:rPr>
        <w:t>（满分</w:t>
      </w:r>
      <w:r>
        <w:rPr>
          <w:rFonts w:hint="eastAsia" w:hAnsi="宋体" w:cs="宋体"/>
          <w:b/>
          <w:bCs/>
          <w:color w:val="auto"/>
          <w:kern w:val="0"/>
          <w:szCs w:val="21"/>
          <w:lang w:val="en-US" w:eastAsia="zh-CN"/>
        </w:rPr>
        <w:t>9</w:t>
      </w:r>
      <w:r>
        <w:rPr>
          <w:rFonts w:hint="eastAsia" w:hAnsi="宋体" w:cs="宋体"/>
          <w:b/>
          <w:bCs/>
          <w:color w:val="auto"/>
          <w:kern w:val="0"/>
          <w:szCs w:val="21"/>
        </w:rPr>
        <w:t>分）</w:t>
      </w:r>
    </w:p>
    <w:p>
      <w:pPr>
        <w:pStyle w:val="8"/>
        <w:ind w:left="0" w:leftChars="0" w:firstLine="420" w:firstLineChars="200"/>
        <w:rPr>
          <w:rFonts w:hint="eastAsia" w:hAnsi="宋体" w:cs="宋体"/>
          <w:color w:val="auto"/>
          <w:kern w:val="0"/>
          <w:szCs w:val="21"/>
          <w:lang w:val="en-US" w:eastAsia="zh-CN"/>
        </w:rPr>
      </w:pPr>
      <w:r>
        <w:rPr>
          <w:rFonts w:hint="eastAsia" w:hAnsi="宋体" w:cs="宋体"/>
          <w:color w:val="auto"/>
          <w:szCs w:val="21"/>
          <w:lang w:eastAsia="zh-CN"/>
        </w:rPr>
        <w:t>①</w:t>
      </w:r>
      <w:r>
        <w:rPr>
          <w:rFonts w:hint="eastAsia" w:hAnsi="宋体" w:cs="宋体"/>
          <w:color w:val="auto"/>
          <w:szCs w:val="21"/>
        </w:rPr>
        <w:t>★</w:t>
      </w:r>
      <w:r>
        <w:rPr>
          <w:rStyle w:val="42"/>
          <w:rFonts w:hint="eastAsia"/>
          <w:color w:val="auto"/>
          <w:lang w:eastAsia="zh-CN"/>
        </w:rPr>
        <w:t>项目</w:t>
      </w:r>
      <w:r>
        <w:rPr>
          <w:rFonts w:hint="eastAsia" w:hAnsi="宋体" w:cs="宋体"/>
          <w:color w:val="auto"/>
          <w:kern w:val="0"/>
          <w:szCs w:val="21"/>
        </w:rPr>
        <w:t>技术参数</w:t>
      </w:r>
      <w:r>
        <w:rPr>
          <w:rFonts w:hint="eastAsia" w:hAnsi="宋体" w:cs="宋体"/>
          <w:color w:val="auto"/>
          <w:kern w:val="0"/>
          <w:szCs w:val="21"/>
          <w:lang w:eastAsia="zh-CN"/>
        </w:rPr>
        <w:t>每</w:t>
      </w:r>
      <w:r>
        <w:rPr>
          <w:rFonts w:hint="eastAsia" w:hAnsi="宋体" w:cs="宋体"/>
          <w:color w:val="auto"/>
          <w:kern w:val="0"/>
          <w:szCs w:val="21"/>
        </w:rPr>
        <w:t>有1项优于采购文件要求</w:t>
      </w:r>
      <w:r>
        <w:rPr>
          <w:rFonts w:hint="eastAsia" w:hAnsi="宋体" w:cs="宋体"/>
          <w:color w:val="auto"/>
          <w:kern w:val="0"/>
          <w:szCs w:val="21"/>
          <w:lang w:eastAsia="zh-CN"/>
        </w:rPr>
        <w:t>的，得</w:t>
      </w:r>
      <w:r>
        <w:rPr>
          <w:rFonts w:hint="eastAsia" w:hAnsi="宋体" w:cs="宋体"/>
          <w:color w:val="auto"/>
          <w:kern w:val="0"/>
          <w:szCs w:val="21"/>
          <w:lang w:val="en-US" w:eastAsia="zh-CN"/>
        </w:rPr>
        <w:t>2分，最多得6分；</w:t>
      </w:r>
    </w:p>
    <w:p>
      <w:pPr>
        <w:ind w:firstLine="420" w:firstLineChars="200"/>
        <w:rPr>
          <w:rFonts w:hint="eastAsia"/>
          <w:color w:val="auto"/>
        </w:rPr>
      </w:pPr>
      <w:r>
        <w:rPr>
          <w:rFonts w:hint="eastAsia" w:hAnsi="宋体" w:cs="宋体"/>
          <w:color w:val="auto"/>
          <w:kern w:val="0"/>
          <w:szCs w:val="21"/>
          <w:lang w:val="en-US" w:eastAsia="zh-CN"/>
        </w:rPr>
        <w:t>②非</w:t>
      </w:r>
      <w:r>
        <w:rPr>
          <w:rFonts w:hint="eastAsia" w:hAnsi="宋体" w:cs="宋体"/>
          <w:color w:val="auto"/>
          <w:szCs w:val="21"/>
        </w:rPr>
        <w:t>★</w:t>
      </w:r>
      <w:r>
        <w:rPr>
          <w:rFonts w:hint="eastAsia" w:hAnsi="宋体" w:cs="宋体"/>
          <w:color w:val="auto"/>
          <w:szCs w:val="21"/>
          <w:lang w:eastAsia="zh-CN"/>
        </w:rPr>
        <w:t>项目技术参数每有</w:t>
      </w:r>
      <w:r>
        <w:rPr>
          <w:rFonts w:hint="eastAsia" w:hAnsi="宋体" w:cs="宋体"/>
          <w:color w:val="auto"/>
          <w:szCs w:val="21"/>
          <w:lang w:val="en-US" w:eastAsia="zh-CN"/>
        </w:rPr>
        <w:t>1项优于采购文件要求的，得1分，最多得3分。</w:t>
      </w:r>
    </w:p>
    <w:p>
      <w:pPr>
        <w:pStyle w:val="17"/>
        <w:spacing w:line="380" w:lineRule="exact"/>
        <w:ind w:firstLine="422" w:firstLineChars="200"/>
        <w:rPr>
          <w:rFonts w:hint="eastAsia" w:hAnsi="宋体" w:cs="宋体"/>
          <w:color w:val="auto"/>
          <w:kern w:val="0"/>
          <w:szCs w:val="21"/>
        </w:rPr>
      </w:pPr>
      <w:r>
        <w:rPr>
          <w:rFonts w:hint="eastAsia" w:hAnsi="宋体" w:cs="宋体"/>
          <w:b/>
          <w:bCs/>
          <w:color w:val="auto"/>
          <w:szCs w:val="21"/>
        </w:rPr>
        <w:t>注：投标人应对照本项目“货物采购需求”注明所投产品技术参数的响应情况及偏离情况（无偏离、正偏离、负偏离），当出现“正偏离”情况时应对应填写偏离情况说明及提供相应有效的证明材料，否则，投标人投标文件中承诺的相应“正偏离”项不予评定并不计相应得分。证明材料可以是含有技术参数的原厂产品规格书、宣传单页或者含有技术参数的截图、说明书或者提供由第三方检验（检测）机构出具带有CMA标识的检验（检测）报告复印件。</w:t>
      </w:r>
    </w:p>
    <w:p>
      <w:pPr>
        <w:pStyle w:val="17"/>
        <w:spacing w:line="390" w:lineRule="exact"/>
        <w:ind w:firstLine="420" w:firstLineChars="200"/>
        <w:rPr>
          <w:rFonts w:hAnsi="宋体" w:cs="宋体"/>
          <w:color w:val="auto"/>
          <w:kern w:val="0"/>
          <w:szCs w:val="21"/>
        </w:rPr>
      </w:pPr>
      <w:r>
        <w:rPr>
          <w:rFonts w:hint="eastAsia" w:hAnsi="宋体" w:cs="宋体"/>
          <w:color w:val="auto"/>
          <w:kern w:val="0"/>
          <w:szCs w:val="21"/>
        </w:rPr>
        <w:t>（3）项目实施方案分</w:t>
      </w:r>
      <w:r>
        <w:rPr>
          <w:rFonts w:hint="eastAsia" w:hAnsi="宋体" w:cs="宋体"/>
          <w:b/>
          <w:bCs/>
          <w:color w:val="auto"/>
          <w:kern w:val="0"/>
          <w:szCs w:val="21"/>
        </w:rPr>
        <w:t>（满分9分）</w:t>
      </w:r>
    </w:p>
    <w:p>
      <w:pPr>
        <w:pStyle w:val="17"/>
        <w:spacing w:line="380" w:lineRule="exact"/>
        <w:ind w:firstLine="420" w:firstLineChars="200"/>
        <w:rPr>
          <w:color w:val="auto"/>
        </w:rPr>
      </w:pPr>
      <w:r>
        <w:rPr>
          <w:rFonts w:hint="eastAsia" w:hAnsi="宋体" w:cs="宋体"/>
          <w:color w:val="auto"/>
          <w:szCs w:val="21"/>
        </w:rPr>
        <w:t>评委根据招标文件要求投标人对本项目总体要求的理解、进度安排、</w:t>
      </w:r>
      <w:r>
        <w:rPr>
          <w:rFonts w:hint="eastAsia" w:hAnsi="宋体" w:cs="宋体"/>
          <w:color w:val="auto"/>
          <w:szCs w:val="21"/>
          <w:lang w:eastAsia="zh-CN"/>
        </w:rPr>
        <w:t>保障措施、关键工作安排</w:t>
      </w:r>
      <w:r>
        <w:rPr>
          <w:rFonts w:hint="eastAsia" w:hAnsi="宋体" w:cs="宋体"/>
          <w:color w:val="auto"/>
          <w:szCs w:val="21"/>
        </w:rPr>
        <w:t>、项目</w:t>
      </w:r>
      <w:r>
        <w:rPr>
          <w:rFonts w:hint="eastAsia" w:hAnsi="宋体" w:cs="宋体"/>
          <w:color w:val="auto"/>
          <w:szCs w:val="21"/>
          <w:lang w:eastAsia="zh-CN"/>
        </w:rPr>
        <w:t>风险方案</w:t>
      </w:r>
      <w:r>
        <w:rPr>
          <w:rFonts w:hint="eastAsia" w:hAnsi="宋体" w:cs="宋体"/>
          <w:color w:val="auto"/>
          <w:szCs w:val="21"/>
        </w:rPr>
        <w:t>、</w:t>
      </w:r>
      <w:r>
        <w:rPr>
          <w:rFonts w:hint="eastAsia" w:hAnsi="宋体" w:cs="宋体"/>
          <w:color w:val="auto"/>
          <w:szCs w:val="21"/>
          <w:lang w:eastAsia="zh-CN"/>
        </w:rPr>
        <w:t>项目管理方案、组织机构和人员分工、</w:t>
      </w:r>
      <w:r>
        <w:rPr>
          <w:rFonts w:hint="eastAsia" w:hAnsi="宋体" w:cs="宋体"/>
          <w:color w:val="auto"/>
          <w:szCs w:val="21"/>
        </w:rPr>
        <w:t>项目合理化建议等内容，集体讨论确定投标人各所属档次，由评委按确定后的各投标人所属档次以及等级评定说明内容，在相应档次内独立打分。</w:t>
      </w:r>
    </w:p>
    <w:p>
      <w:pPr>
        <w:pStyle w:val="17"/>
        <w:spacing w:line="390" w:lineRule="exact"/>
        <w:ind w:firstLine="420"/>
        <w:rPr>
          <w:rFonts w:hint="eastAsia" w:hAnsi="宋体" w:eastAsia="宋体" w:cs="宋体"/>
          <w:color w:val="auto"/>
          <w:kern w:val="0"/>
          <w:szCs w:val="21"/>
          <w:lang w:eastAsia="zh-CN"/>
        </w:rPr>
      </w:pPr>
      <w:r>
        <w:rPr>
          <w:rFonts w:hint="eastAsia" w:hAnsi="宋体" w:cs="宋体"/>
          <w:color w:val="auto"/>
          <w:kern w:val="0"/>
          <w:szCs w:val="21"/>
          <w:lang w:eastAsia="zh-CN"/>
        </w:rPr>
        <w:t>一档（</w:t>
      </w:r>
      <w:r>
        <w:rPr>
          <w:rFonts w:hint="eastAsia" w:hAnsi="宋体" w:cs="宋体"/>
          <w:color w:val="auto"/>
          <w:kern w:val="0"/>
          <w:szCs w:val="21"/>
          <w:lang w:val="en-US" w:eastAsia="zh-CN"/>
        </w:rPr>
        <w:t>0分</w:t>
      </w:r>
      <w:r>
        <w:rPr>
          <w:rFonts w:hint="eastAsia" w:hAnsi="宋体" w:cs="宋体"/>
          <w:color w:val="auto"/>
          <w:kern w:val="0"/>
          <w:szCs w:val="21"/>
          <w:lang w:eastAsia="zh-CN"/>
        </w:rPr>
        <w:t>）：未提供项目实施方案。</w:t>
      </w:r>
    </w:p>
    <w:p>
      <w:pPr>
        <w:pStyle w:val="17"/>
        <w:spacing w:line="390" w:lineRule="exact"/>
        <w:ind w:firstLine="420"/>
        <w:rPr>
          <w:rFonts w:hint="eastAsia" w:hAnsi="宋体" w:eastAsia="宋体" w:cs="宋体"/>
          <w:color w:val="auto"/>
          <w:kern w:val="0"/>
          <w:szCs w:val="21"/>
          <w:lang w:eastAsia="zh-CN"/>
        </w:rPr>
      </w:pPr>
      <w:r>
        <w:rPr>
          <w:rFonts w:hint="eastAsia" w:hAnsi="宋体" w:cs="宋体"/>
          <w:color w:val="auto"/>
          <w:kern w:val="0"/>
          <w:szCs w:val="21"/>
          <w:lang w:eastAsia="zh-CN"/>
        </w:rPr>
        <w:t>二</w:t>
      </w:r>
      <w:r>
        <w:rPr>
          <w:rFonts w:hint="eastAsia" w:hAnsi="宋体" w:cs="宋体"/>
          <w:color w:val="auto"/>
          <w:kern w:val="0"/>
          <w:szCs w:val="21"/>
        </w:rPr>
        <w:t>档（</w:t>
      </w:r>
      <w:r>
        <w:rPr>
          <w:rFonts w:hint="eastAsia" w:hAnsi="宋体" w:cs="宋体"/>
          <w:color w:val="auto"/>
          <w:kern w:val="0"/>
          <w:szCs w:val="21"/>
          <w:lang w:val="en-US" w:eastAsia="zh-CN"/>
        </w:rPr>
        <w:t>0.1-3.0</w:t>
      </w:r>
      <w:r>
        <w:rPr>
          <w:rFonts w:hint="eastAsia" w:hAnsi="宋体" w:cs="宋体"/>
          <w:color w:val="auto"/>
          <w:kern w:val="0"/>
          <w:szCs w:val="21"/>
        </w:rPr>
        <w:t>分）：</w:t>
      </w:r>
      <w:r>
        <w:rPr>
          <w:rFonts w:hint="eastAsia" w:hAnsi="宋体" w:cs="宋体"/>
          <w:color w:val="auto"/>
          <w:kern w:val="0"/>
          <w:szCs w:val="21"/>
          <w:lang w:eastAsia="zh-CN"/>
        </w:rPr>
        <w:t>有</w:t>
      </w:r>
      <w:r>
        <w:rPr>
          <w:rFonts w:hint="eastAsia" w:hAnsi="宋体" w:cs="宋体"/>
          <w:color w:val="auto"/>
          <w:kern w:val="0"/>
          <w:szCs w:val="21"/>
        </w:rPr>
        <w:t>对本项目总体要求的理解、进度安排、相关保障措施能力、对各项关键工作安排、对本项目的风险预见、风险应对措施、项目管理方案、组织机构安排及分工与职责安排等描述</w:t>
      </w:r>
      <w:r>
        <w:rPr>
          <w:rFonts w:hint="eastAsia" w:hAnsi="宋体" w:cs="宋体"/>
          <w:color w:val="auto"/>
          <w:kern w:val="0"/>
          <w:szCs w:val="21"/>
          <w:lang w:eastAsia="zh-CN"/>
        </w:rPr>
        <w:t>。</w:t>
      </w:r>
    </w:p>
    <w:p>
      <w:pPr>
        <w:pStyle w:val="17"/>
        <w:spacing w:line="390" w:lineRule="exact"/>
        <w:ind w:firstLine="420"/>
        <w:rPr>
          <w:rFonts w:hAnsi="宋体" w:cs="宋体"/>
          <w:color w:val="auto"/>
          <w:kern w:val="0"/>
          <w:szCs w:val="21"/>
        </w:rPr>
      </w:pPr>
      <w:r>
        <w:rPr>
          <w:rFonts w:hint="eastAsia" w:hAnsi="宋体" w:cs="宋体"/>
          <w:color w:val="auto"/>
          <w:kern w:val="0"/>
          <w:szCs w:val="21"/>
          <w:lang w:eastAsia="zh-CN"/>
        </w:rPr>
        <w:t>三</w:t>
      </w:r>
      <w:r>
        <w:rPr>
          <w:rFonts w:hint="eastAsia" w:hAnsi="宋体" w:cs="宋体"/>
          <w:color w:val="auto"/>
          <w:kern w:val="0"/>
          <w:szCs w:val="21"/>
        </w:rPr>
        <w:t>档（</w:t>
      </w:r>
      <w:r>
        <w:rPr>
          <w:rFonts w:hint="eastAsia" w:hAnsi="宋体" w:cs="宋体"/>
          <w:color w:val="auto"/>
          <w:kern w:val="0"/>
          <w:szCs w:val="21"/>
          <w:lang w:val="en-US" w:eastAsia="zh-CN"/>
        </w:rPr>
        <w:t>3.1-6.0</w:t>
      </w:r>
      <w:r>
        <w:rPr>
          <w:rFonts w:hint="eastAsia" w:hAnsi="宋体" w:cs="宋体"/>
          <w:color w:val="auto"/>
          <w:kern w:val="0"/>
          <w:szCs w:val="21"/>
        </w:rPr>
        <w:t>分）：投标人对本项目总体要求的理解</w:t>
      </w:r>
      <w:r>
        <w:rPr>
          <w:rFonts w:hint="eastAsia" w:hAnsi="宋体" w:cs="宋体"/>
          <w:color w:val="auto"/>
          <w:kern w:val="0"/>
          <w:szCs w:val="21"/>
          <w:lang w:eastAsia="zh-CN"/>
        </w:rPr>
        <w:t>、</w:t>
      </w:r>
      <w:r>
        <w:rPr>
          <w:rFonts w:hint="eastAsia" w:hAnsi="宋体" w:cs="宋体"/>
          <w:color w:val="auto"/>
          <w:kern w:val="0"/>
          <w:szCs w:val="21"/>
        </w:rPr>
        <w:t>进度安排合理较好</w:t>
      </w:r>
      <w:r>
        <w:rPr>
          <w:rFonts w:hint="eastAsia" w:hAnsi="宋体" w:cs="宋体"/>
          <w:color w:val="auto"/>
          <w:kern w:val="0"/>
          <w:szCs w:val="21"/>
          <w:lang w:eastAsia="zh-CN"/>
        </w:rPr>
        <w:t>；</w:t>
      </w:r>
      <w:r>
        <w:rPr>
          <w:rFonts w:hint="eastAsia" w:hAnsi="宋体" w:cs="宋体"/>
          <w:color w:val="auto"/>
          <w:kern w:val="0"/>
          <w:szCs w:val="21"/>
        </w:rPr>
        <w:t>相关保障措施</w:t>
      </w:r>
      <w:r>
        <w:rPr>
          <w:rFonts w:hint="eastAsia" w:hAnsi="宋体" w:cs="宋体"/>
          <w:color w:val="auto"/>
          <w:kern w:val="0"/>
          <w:szCs w:val="21"/>
          <w:lang w:eastAsia="zh-CN"/>
        </w:rPr>
        <w:t>、</w:t>
      </w:r>
      <w:r>
        <w:rPr>
          <w:rFonts w:hint="eastAsia" w:hAnsi="宋体" w:cs="宋体"/>
          <w:color w:val="auto"/>
          <w:kern w:val="0"/>
          <w:szCs w:val="21"/>
        </w:rPr>
        <w:t>对各项关键工作安排较合理；对本项目的风险预见、风险应对措施较好</w:t>
      </w:r>
      <w:r>
        <w:rPr>
          <w:rFonts w:hint="eastAsia" w:hAnsi="宋体" w:cs="宋体"/>
          <w:color w:val="auto"/>
          <w:kern w:val="0"/>
          <w:szCs w:val="21"/>
          <w:lang w:eastAsia="zh-CN"/>
        </w:rPr>
        <w:t>；</w:t>
      </w:r>
      <w:r>
        <w:rPr>
          <w:rFonts w:hint="eastAsia" w:hAnsi="宋体" w:cs="宋体"/>
          <w:color w:val="auto"/>
          <w:kern w:val="0"/>
          <w:szCs w:val="21"/>
        </w:rPr>
        <w:t>项目管理方案比较完整,组织机构比较合理，人员有保障，分工与职责比较明确。</w:t>
      </w:r>
    </w:p>
    <w:p>
      <w:pPr>
        <w:pStyle w:val="17"/>
        <w:spacing w:line="390" w:lineRule="exact"/>
        <w:ind w:firstLine="420"/>
        <w:rPr>
          <w:rFonts w:hAnsi="宋体" w:cs="宋体"/>
          <w:color w:val="auto"/>
          <w:kern w:val="0"/>
          <w:szCs w:val="21"/>
        </w:rPr>
      </w:pPr>
      <w:r>
        <w:rPr>
          <w:rFonts w:hint="eastAsia" w:hAnsi="宋体" w:cs="宋体"/>
          <w:color w:val="auto"/>
          <w:kern w:val="0"/>
          <w:szCs w:val="21"/>
          <w:lang w:eastAsia="zh-CN"/>
        </w:rPr>
        <w:t>四</w:t>
      </w:r>
      <w:r>
        <w:rPr>
          <w:rFonts w:hint="eastAsia" w:hAnsi="宋体" w:cs="宋体"/>
          <w:color w:val="auto"/>
          <w:kern w:val="0"/>
          <w:szCs w:val="21"/>
        </w:rPr>
        <w:t>档（</w:t>
      </w:r>
      <w:r>
        <w:rPr>
          <w:rFonts w:hint="eastAsia" w:hAnsi="宋体" w:cs="宋体"/>
          <w:color w:val="auto"/>
          <w:kern w:val="0"/>
          <w:szCs w:val="21"/>
          <w:lang w:val="en-US" w:eastAsia="zh-CN"/>
        </w:rPr>
        <w:t>6.1-9.0</w:t>
      </w:r>
      <w:r>
        <w:rPr>
          <w:rFonts w:hint="eastAsia" w:hAnsi="宋体" w:cs="宋体"/>
          <w:color w:val="auto"/>
          <w:kern w:val="0"/>
          <w:szCs w:val="21"/>
        </w:rPr>
        <w:t>分）：投标人对本项目总体要求的理解</w:t>
      </w:r>
      <w:r>
        <w:rPr>
          <w:rFonts w:hint="eastAsia" w:hAnsi="宋体" w:cs="宋体"/>
          <w:color w:val="auto"/>
          <w:kern w:val="0"/>
          <w:szCs w:val="21"/>
          <w:lang w:eastAsia="zh-CN"/>
        </w:rPr>
        <w:t>、</w:t>
      </w:r>
      <w:r>
        <w:rPr>
          <w:rFonts w:hint="eastAsia" w:hAnsi="宋体" w:cs="宋体"/>
          <w:color w:val="auto"/>
          <w:kern w:val="0"/>
          <w:szCs w:val="21"/>
        </w:rPr>
        <w:t>进度安排合理，且相关保障措施到位；对各项关键工作安排合理；对本项目的风险预见、风险应对措施完备，有完善的项目于解决方案；项目管理方案完整,组织机构合理，人员有保障，分工与职责明确；提出具有建设性的方案优化建议。</w:t>
      </w:r>
    </w:p>
    <w:p>
      <w:pPr>
        <w:pStyle w:val="17"/>
        <w:spacing w:line="440" w:lineRule="exact"/>
        <w:rPr>
          <w:rFonts w:hAnsi="宋体" w:cs="宋体"/>
          <w:b/>
          <w:bCs/>
          <w:color w:val="auto"/>
          <w:szCs w:val="21"/>
        </w:rPr>
      </w:pPr>
      <w:r>
        <w:rPr>
          <w:rFonts w:hint="eastAsia" w:hAnsi="宋体" w:cs="宋体"/>
          <w:b/>
          <w:bCs/>
          <w:color w:val="auto"/>
          <w:szCs w:val="21"/>
        </w:rPr>
        <w:t>3、履约能力分……………………………………………………………………………………………满分</w:t>
      </w:r>
      <w:r>
        <w:rPr>
          <w:rFonts w:hint="eastAsia" w:hAnsi="宋体" w:cs="宋体"/>
          <w:b/>
          <w:bCs/>
          <w:color w:val="auto"/>
          <w:szCs w:val="21"/>
          <w:lang w:val="en-US" w:eastAsia="zh-CN"/>
        </w:rPr>
        <w:t>9</w:t>
      </w:r>
      <w:r>
        <w:rPr>
          <w:rFonts w:hint="eastAsia" w:hAnsi="宋体" w:cs="宋体"/>
          <w:b/>
          <w:bCs/>
          <w:color w:val="auto"/>
          <w:szCs w:val="21"/>
        </w:rPr>
        <w:t>分</w:t>
      </w:r>
    </w:p>
    <w:p>
      <w:pPr>
        <w:spacing w:before="22" w:line="312"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（1）信誉分</w:t>
      </w:r>
      <w:r>
        <w:rPr>
          <w:rFonts w:hint="eastAsia" w:hAnsi="宋体" w:cs="宋体"/>
          <w:b/>
          <w:color w:val="auto"/>
        </w:rPr>
        <w:t>（满分</w:t>
      </w:r>
      <w:r>
        <w:rPr>
          <w:rFonts w:hint="eastAsia" w:hAnsi="宋体" w:cs="宋体"/>
          <w:b/>
          <w:color w:val="auto"/>
          <w:lang w:val="en-US" w:eastAsia="zh-CN"/>
        </w:rPr>
        <w:t>7</w:t>
      </w:r>
      <w:r>
        <w:rPr>
          <w:rFonts w:hint="eastAsia" w:hAnsi="宋体" w:cs="宋体"/>
          <w:b/>
          <w:color w:val="auto"/>
        </w:rPr>
        <w:t>分）</w:t>
      </w:r>
    </w:p>
    <w:p>
      <w:pPr>
        <w:spacing w:before="22" w:line="312" w:lineRule="auto"/>
        <w:ind w:firstLine="420" w:firstLineChars="200"/>
        <w:jc w:val="left"/>
        <w:rPr>
          <w:rFonts w:hint="eastAsia" w:ascii="宋体" w:hAnsi="宋体" w:eastAsia="宋体" w:cs="宋体"/>
          <w:color w:val="auto"/>
          <w:kern w:val="0"/>
          <w:szCs w:val="21"/>
          <w:lang w:eastAsia="zh-CN"/>
        </w:rPr>
      </w:pPr>
      <w:r>
        <w:rPr>
          <w:rFonts w:hint="eastAsia" w:ascii="宋体" w:hAnsi="宋体" w:cs="宋体"/>
          <w:color w:val="auto"/>
          <w:kern w:val="0"/>
          <w:szCs w:val="21"/>
        </w:rPr>
        <w:t>①为确保所投“86英寸交互智能平板”音效满足英语听力、音乐课等方面使用需求，生产厂商提供dbx-tv颁布的总音频增强技术许可证证书复印件</w:t>
      </w:r>
      <w:r>
        <w:rPr>
          <w:rFonts w:hint="eastAsia" w:ascii="宋体" w:hAnsi="宋体" w:cs="宋体"/>
          <w:color w:val="auto"/>
          <w:kern w:val="0"/>
          <w:szCs w:val="21"/>
          <w:lang w:eastAsia="zh-CN"/>
        </w:rPr>
        <w:t>的</w:t>
      </w:r>
      <w:r>
        <w:rPr>
          <w:rFonts w:hint="eastAsia" w:ascii="宋体" w:hAnsi="宋体" w:cs="宋体"/>
          <w:color w:val="auto"/>
          <w:kern w:val="0"/>
          <w:szCs w:val="21"/>
        </w:rPr>
        <w:t>，得1分</w:t>
      </w:r>
      <w:r>
        <w:rPr>
          <w:rFonts w:hint="eastAsia" w:ascii="宋体" w:hAnsi="宋体" w:cs="宋体"/>
          <w:color w:val="auto"/>
          <w:kern w:val="0"/>
          <w:szCs w:val="21"/>
          <w:lang w:eastAsia="zh-CN"/>
        </w:rPr>
        <w:t>；</w:t>
      </w:r>
    </w:p>
    <w:p>
      <w:pPr>
        <w:spacing w:before="22" w:line="312" w:lineRule="auto"/>
        <w:ind w:firstLine="420" w:firstLineChars="200"/>
        <w:jc w:val="left"/>
        <w:rPr>
          <w:rFonts w:hint="eastAsia" w:ascii="宋体" w:hAnsi="宋体" w:eastAsia="宋体" w:cs="宋体"/>
          <w:color w:val="auto"/>
          <w:kern w:val="0"/>
          <w:szCs w:val="21"/>
          <w:lang w:eastAsia="zh-CN"/>
        </w:rPr>
      </w:pPr>
      <w:r>
        <w:rPr>
          <w:rFonts w:hint="eastAsia" w:ascii="宋体" w:hAnsi="宋体" w:cs="宋体"/>
          <w:color w:val="auto"/>
          <w:kern w:val="0"/>
          <w:szCs w:val="21"/>
        </w:rPr>
        <w:t>②为提供用户良好稳定的软件使用体验，投标时提供“86英寸交互智能平板”生产厂家具有的CMMI3及以上证书复印件并加盖投标人公章的</w:t>
      </w:r>
      <w:r>
        <w:rPr>
          <w:rFonts w:hint="eastAsia" w:ascii="宋体" w:hAnsi="宋体" w:cs="宋体"/>
          <w:color w:val="auto"/>
          <w:kern w:val="0"/>
          <w:szCs w:val="21"/>
          <w:lang w:eastAsia="zh-CN"/>
        </w:rPr>
        <w:t>，</w:t>
      </w:r>
      <w:r>
        <w:rPr>
          <w:rFonts w:hint="eastAsia" w:ascii="宋体" w:hAnsi="宋体" w:cs="宋体"/>
          <w:color w:val="auto"/>
          <w:kern w:val="0"/>
          <w:szCs w:val="21"/>
        </w:rPr>
        <w:t>得2分</w:t>
      </w:r>
      <w:r>
        <w:rPr>
          <w:rFonts w:hint="eastAsia" w:ascii="宋体" w:hAnsi="宋体" w:cs="宋体"/>
          <w:color w:val="auto"/>
          <w:kern w:val="0"/>
          <w:szCs w:val="21"/>
          <w:lang w:eastAsia="zh-CN"/>
        </w:rPr>
        <w:t>；</w:t>
      </w:r>
    </w:p>
    <w:p>
      <w:pPr>
        <w:spacing w:before="22" w:line="312"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③响应环境保护政策，所投“86英寸交互智能平板”生产厂商提供ISO14064温室气体核查认证证书复印件</w:t>
      </w:r>
      <w:r>
        <w:rPr>
          <w:rFonts w:hint="eastAsia" w:ascii="宋体" w:hAnsi="宋体" w:cs="宋体"/>
          <w:color w:val="auto"/>
          <w:kern w:val="0"/>
          <w:szCs w:val="21"/>
          <w:lang w:eastAsia="zh-CN"/>
        </w:rPr>
        <w:t>的</w:t>
      </w:r>
      <w:r>
        <w:rPr>
          <w:rFonts w:hint="eastAsia" w:ascii="宋体" w:hAnsi="宋体" w:cs="宋体"/>
          <w:color w:val="auto"/>
          <w:kern w:val="0"/>
          <w:szCs w:val="21"/>
        </w:rPr>
        <w:t>，得2分；</w:t>
      </w:r>
    </w:p>
    <w:p>
      <w:pPr>
        <w:spacing w:before="22" w:line="312"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④投标货物“86英寸交互智能平板”的生产企业通过信息安全管理（ISO/IEC27001）认证证书、GB/T29490的知识产权管理体系认证，提供证书复印件并加盖投标人公章</w:t>
      </w:r>
      <w:r>
        <w:rPr>
          <w:rFonts w:hint="eastAsia" w:ascii="宋体" w:hAnsi="宋体" w:cs="宋体"/>
          <w:color w:val="auto"/>
          <w:kern w:val="0"/>
          <w:szCs w:val="21"/>
          <w:lang w:eastAsia="zh-CN"/>
        </w:rPr>
        <w:t>的</w:t>
      </w:r>
      <w:r>
        <w:rPr>
          <w:rFonts w:hint="eastAsia" w:ascii="宋体" w:hAnsi="宋体" w:cs="宋体"/>
          <w:color w:val="auto"/>
          <w:kern w:val="0"/>
          <w:szCs w:val="21"/>
        </w:rPr>
        <w:t>，每提供一个得1分，满分</w:t>
      </w:r>
      <w:r>
        <w:rPr>
          <w:rFonts w:hint="eastAsia" w:ascii="宋体" w:hAnsi="宋体" w:cs="宋体"/>
          <w:color w:val="auto"/>
          <w:kern w:val="0"/>
          <w:szCs w:val="21"/>
          <w:lang w:val="en-US" w:eastAsia="zh-CN"/>
        </w:rPr>
        <w:t>2</w:t>
      </w:r>
      <w:r>
        <w:rPr>
          <w:rFonts w:hint="eastAsia" w:ascii="宋体" w:hAnsi="宋体" w:cs="宋体"/>
          <w:color w:val="auto"/>
          <w:kern w:val="0"/>
          <w:szCs w:val="21"/>
        </w:rPr>
        <w:t>分。</w:t>
      </w:r>
    </w:p>
    <w:p>
      <w:pPr>
        <w:spacing w:before="22" w:line="312" w:lineRule="auto"/>
        <w:ind w:firstLine="420" w:firstLineChars="200"/>
        <w:jc w:val="left"/>
        <w:rPr>
          <w:color w:val="auto"/>
        </w:rPr>
      </w:pPr>
      <w:r>
        <w:rPr>
          <w:rFonts w:hint="eastAsia" w:ascii="宋体" w:hAnsi="宋体" w:cs="宋体"/>
          <w:color w:val="auto"/>
          <w:kern w:val="0"/>
          <w:szCs w:val="21"/>
        </w:rPr>
        <w:t>（2）业绩分</w:t>
      </w:r>
      <w:r>
        <w:rPr>
          <w:rFonts w:hint="eastAsia" w:hAnsi="宋体" w:cs="宋体"/>
          <w:b/>
          <w:color w:val="auto"/>
        </w:rPr>
        <w:t>（满分2分）</w:t>
      </w:r>
    </w:p>
    <w:p>
      <w:pPr>
        <w:spacing w:before="22" w:line="312"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投标人自 201</w:t>
      </w:r>
      <w:r>
        <w:rPr>
          <w:rFonts w:hint="eastAsia" w:ascii="宋体" w:hAnsi="宋体" w:cs="宋体"/>
          <w:color w:val="auto"/>
          <w:kern w:val="0"/>
          <w:sz w:val="21"/>
          <w:szCs w:val="21"/>
          <w:lang w:val="en-US" w:eastAsia="zh-CN"/>
        </w:rPr>
        <w:t>8</w:t>
      </w:r>
      <w:r>
        <w:rPr>
          <w:rFonts w:hint="eastAsia" w:ascii="宋体" w:hAnsi="宋体" w:eastAsia="宋体" w:cs="宋体"/>
          <w:color w:val="auto"/>
          <w:kern w:val="0"/>
          <w:sz w:val="21"/>
          <w:szCs w:val="21"/>
        </w:rPr>
        <w:t xml:space="preserve"> 年 1 月 1 日以来具有同类产品的销售业绩 [无不良记录，以中标（成交）通知书</w:t>
      </w:r>
      <w:r>
        <w:rPr>
          <w:rFonts w:hint="eastAsia" w:ascii="宋体" w:hAnsi="宋体" w:eastAsia="宋体" w:cs="宋体"/>
          <w:color w:val="auto"/>
          <w:kern w:val="0"/>
          <w:sz w:val="21"/>
          <w:szCs w:val="21"/>
          <w:lang w:val="en-US" w:eastAsia="zh-CN"/>
        </w:rPr>
        <w:t>或</w:t>
      </w:r>
      <w:r>
        <w:rPr>
          <w:rFonts w:hint="eastAsia" w:ascii="宋体" w:hAnsi="宋体" w:eastAsia="宋体" w:cs="宋体"/>
          <w:color w:val="auto"/>
          <w:kern w:val="0"/>
          <w:sz w:val="21"/>
          <w:szCs w:val="21"/>
        </w:rPr>
        <w:t>采购合同复印件为准（能清晰反映所销售的货物名称、种类、金额)，否则将不予计分；同一个编号的项目有两个或两个以上的分标中标的只算一次]，</w:t>
      </w:r>
      <w:r>
        <w:rPr>
          <w:rFonts w:hint="eastAsia" w:ascii="宋体" w:hAnsi="宋体" w:cs="宋体"/>
          <w:color w:val="auto"/>
          <w:kern w:val="0"/>
          <w:sz w:val="21"/>
          <w:szCs w:val="21"/>
          <w:lang w:eastAsia="zh-CN"/>
        </w:rPr>
        <w:t>并获得评委会认可的，</w:t>
      </w:r>
      <w:r>
        <w:rPr>
          <w:rFonts w:hint="eastAsia" w:ascii="宋体" w:hAnsi="宋体" w:eastAsia="宋体" w:cs="宋体"/>
          <w:color w:val="auto"/>
          <w:kern w:val="0"/>
          <w:sz w:val="21"/>
          <w:szCs w:val="21"/>
        </w:rPr>
        <w:t>每提供一项得</w:t>
      </w:r>
      <w:r>
        <w:rPr>
          <w:rFonts w:hint="eastAsia" w:ascii="宋体" w:hAnsi="宋体" w:cs="宋体"/>
          <w:color w:val="auto"/>
          <w:kern w:val="0"/>
          <w:sz w:val="21"/>
          <w:szCs w:val="21"/>
          <w:lang w:val="en-US" w:eastAsia="zh-CN"/>
        </w:rPr>
        <w:t>0.5</w:t>
      </w:r>
      <w:r>
        <w:rPr>
          <w:rFonts w:hint="eastAsia" w:ascii="宋体" w:hAnsi="宋体" w:eastAsia="宋体" w:cs="宋体"/>
          <w:color w:val="auto"/>
          <w:kern w:val="0"/>
          <w:sz w:val="21"/>
          <w:szCs w:val="21"/>
        </w:rPr>
        <w:t>分，最多得</w:t>
      </w:r>
      <w:r>
        <w:rPr>
          <w:rFonts w:hint="eastAsia" w:ascii="宋体" w:hAnsi="宋体" w:cs="宋体"/>
          <w:color w:val="auto"/>
          <w:kern w:val="0"/>
          <w:sz w:val="21"/>
          <w:szCs w:val="21"/>
          <w:lang w:val="en-US" w:eastAsia="zh-CN"/>
        </w:rPr>
        <w:t>2</w:t>
      </w:r>
      <w:r>
        <w:rPr>
          <w:rFonts w:hint="eastAsia" w:ascii="宋体" w:hAnsi="宋体" w:eastAsia="宋体" w:cs="宋体"/>
          <w:color w:val="auto"/>
          <w:kern w:val="0"/>
          <w:sz w:val="21"/>
          <w:szCs w:val="21"/>
        </w:rPr>
        <w:t>分。</w:t>
      </w:r>
    </w:p>
    <w:p>
      <w:pPr>
        <w:pStyle w:val="17"/>
        <w:spacing w:line="440" w:lineRule="exact"/>
        <w:rPr>
          <w:rFonts w:hint="eastAsia" w:hAnsi="宋体" w:cs="宋体"/>
          <w:b/>
          <w:bCs/>
          <w:color w:val="auto"/>
          <w:szCs w:val="21"/>
        </w:rPr>
      </w:pPr>
      <w:r>
        <w:rPr>
          <w:rFonts w:hint="eastAsia" w:hAnsi="宋体" w:cs="宋体"/>
          <w:b/>
          <w:bCs/>
          <w:color w:val="auto"/>
          <w:szCs w:val="21"/>
        </w:rPr>
        <w:t>4、售后服务分 ……………………………………………………………………………………………</w:t>
      </w:r>
      <w:r>
        <w:rPr>
          <w:rFonts w:hint="eastAsia" w:hAnsi="宋体" w:cs="宋体"/>
          <w:b/>
          <w:bCs/>
          <w:color w:val="auto"/>
          <w:szCs w:val="21"/>
          <w:lang w:eastAsia="zh-CN"/>
        </w:rPr>
        <w:t>满分</w:t>
      </w:r>
      <w:r>
        <w:rPr>
          <w:rFonts w:hint="eastAsia" w:hAnsi="宋体" w:cs="宋体"/>
          <w:b/>
          <w:bCs/>
          <w:color w:val="auto"/>
          <w:szCs w:val="21"/>
        </w:rPr>
        <w:t>12分</w:t>
      </w:r>
    </w:p>
    <w:p>
      <w:pPr>
        <w:pStyle w:val="17"/>
        <w:spacing w:line="400" w:lineRule="exact"/>
        <w:ind w:firstLine="420" w:firstLineChars="200"/>
        <w:rPr>
          <w:rFonts w:hint="eastAsia" w:hAnsi="宋体" w:eastAsia="宋体" w:cs="宋体"/>
          <w:color w:val="auto"/>
          <w:szCs w:val="21"/>
          <w:lang w:eastAsia="zh-CN"/>
        </w:rPr>
      </w:pPr>
      <w:r>
        <w:rPr>
          <w:rFonts w:hint="eastAsia" w:hAnsi="宋体" w:cs="宋体"/>
          <w:color w:val="auto"/>
          <w:szCs w:val="21"/>
          <w:lang w:eastAsia="zh-CN"/>
        </w:rPr>
        <w:t>（</w:t>
      </w:r>
      <w:r>
        <w:rPr>
          <w:rFonts w:hint="eastAsia" w:hAnsi="宋体" w:cs="宋体"/>
          <w:color w:val="auto"/>
          <w:szCs w:val="21"/>
          <w:lang w:val="en-US" w:eastAsia="zh-CN"/>
        </w:rPr>
        <w:t>1</w:t>
      </w:r>
      <w:r>
        <w:rPr>
          <w:rFonts w:hint="eastAsia" w:hAnsi="宋体" w:cs="宋体"/>
          <w:color w:val="auto"/>
          <w:szCs w:val="21"/>
          <w:lang w:eastAsia="zh-CN"/>
        </w:rPr>
        <w:t>）</w:t>
      </w:r>
      <w:r>
        <w:rPr>
          <w:rFonts w:hint="eastAsia" w:hAnsi="宋体" w:cs="宋体"/>
          <w:color w:val="auto"/>
          <w:szCs w:val="21"/>
        </w:rPr>
        <w:t>由评标委员会根据投标文件中售后服务承诺书内容的完整性、可行性、到达故障现场时间、故障出现解决方案、定期维护（注明时间）、免费技术培训方案、保修期外维修方案、其他优惠措施，集体讨论后综合评定其档次</w:t>
      </w:r>
      <w:r>
        <w:rPr>
          <w:rFonts w:hint="eastAsia" w:hAnsi="宋体" w:cs="宋体"/>
          <w:color w:val="auto"/>
          <w:szCs w:val="21"/>
          <w:lang w:eastAsia="zh-CN"/>
        </w:rPr>
        <w:t>。</w:t>
      </w:r>
    </w:p>
    <w:p>
      <w:pPr>
        <w:pStyle w:val="17"/>
        <w:spacing w:line="400" w:lineRule="exact"/>
        <w:ind w:firstLine="420" w:firstLineChars="200"/>
        <w:rPr>
          <w:rFonts w:hint="eastAsia" w:hAnsi="宋体" w:eastAsia="宋体"/>
          <w:bCs/>
          <w:color w:val="auto"/>
          <w:lang w:eastAsia="zh-CN"/>
        </w:rPr>
      </w:pPr>
      <w:r>
        <w:rPr>
          <w:rFonts w:hint="eastAsia" w:hAnsi="宋体"/>
          <w:bCs/>
          <w:color w:val="auto"/>
        </w:rPr>
        <w:t>一档（</w:t>
      </w:r>
      <w:r>
        <w:rPr>
          <w:rFonts w:hint="eastAsia" w:hAnsi="宋体"/>
          <w:bCs/>
          <w:color w:val="auto"/>
          <w:lang w:val="en-US" w:eastAsia="zh-CN"/>
        </w:rPr>
        <w:t>2</w:t>
      </w:r>
      <w:r>
        <w:rPr>
          <w:rFonts w:hint="eastAsia" w:hAnsi="宋体"/>
          <w:bCs/>
          <w:color w:val="auto"/>
        </w:rPr>
        <w:t>分）：满足招标文件要求</w:t>
      </w:r>
      <w:r>
        <w:rPr>
          <w:rFonts w:hint="eastAsia" w:hAnsi="宋体"/>
          <w:bCs/>
          <w:color w:val="auto"/>
          <w:lang w:eastAsia="zh-CN"/>
        </w:rPr>
        <w:t>且</w:t>
      </w:r>
      <w:r>
        <w:rPr>
          <w:rFonts w:hint="eastAsia" w:hAnsi="宋体"/>
          <w:bCs/>
          <w:color w:val="auto"/>
        </w:rPr>
        <w:t>售后服务承诺书</w:t>
      </w:r>
      <w:r>
        <w:rPr>
          <w:rFonts w:hint="eastAsia" w:hAnsi="宋体"/>
          <w:bCs/>
          <w:color w:val="auto"/>
          <w:lang w:eastAsia="zh-CN"/>
        </w:rPr>
        <w:t>没有</w:t>
      </w:r>
      <w:r>
        <w:rPr>
          <w:rFonts w:hint="eastAsia" w:hAnsi="宋体"/>
          <w:bCs/>
          <w:color w:val="auto"/>
        </w:rPr>
        <w:t>优于</w:t>
      </w:r>
      <w:r>
        <w:rPr>
          <w:rFonts w:hint="eastAsia" w:hAnsi="宋体"/>
          <w:bCs/>
          <w:color w:val="auto"/>
          <w:lang w:eastAsia="zh-CN"/>
        </w:rPr>
        <w:t>招标</w:t>
      </w:r>
      <w:r>
        <w:rPr>
          <w:rFonts w:hint="eastAsia" w:hAnsi="宋体"/>
          <w:bCs/>
          <w:color w:val="auto"/>
        </w:rPr>
        <w:t>文件要求</w:t>
      </w:r>
      <w:r>
        <w:rPr>
          <w:rFonts w:hint="eastAsia" w:hAnsi="宋体"/>
          <w:bCs/>
          <w:color w:val="auto"/>
          <w:lang w:eastAsia="zh-CN"/>
        </w:rPr>
        <w:t>；</w:t>
      </w:r>
    </w:p>
    <w:p>
      <w:pPr>
        <w:pStyle w:val="17"/>
        <w:spacing w:line="400" w:lineRule="exact"/>
        <w:ind w:firstLine="420" w:firstLineChars="200"/>
        <w:rPr>
          <w:rFonts w:hAnsi="宋体"/>
          <w:bCs/>
          <w:color w:val="auto"/>
        </w:rPr>
      </w:pPr>
      <w:r>
        <w:rPr>
          <w:rFonts w:hint="eastAsia" w:hAnsi="宋体"/>
          <w:bCs/>
          <w:color w:val="auto"/>
        </w:rPr>
        <w:t>二档（</w:t>
      </w:r>
      <w:r>
        <w:rPr>
          <w:rFonts w:hint="eastAsia" w:hAnsi="宋体"/>
          <w:bCs/>
          <w:color w:val="auto"/>
          <w:lang w:val="en-US" w:eastAsia="zh-CN"/>
        </w:rPr>
        <w:t>4</w:t>
      </w:r>
      <w:r>
        <w:rPr>
          <w:rFonts w:hint="eastAsia" w:hAnsi="宋体"/>
          <w:bCs/>
          <w:color w:val="auto"/>
        </w:rPr>
        <w:t>分）：满足招标文件要求</w:t>
      </w:r>
      <w:r>
        <w:rPr>
          <w:rFonts w:hint="eastAsia" w:hAnsi="宋体"/>
          <w:bCs/>
          <w:color w:val="auto"/>
          <w:lang w:eastAsia="zh-CN"/>
        </w:rPr>
        <w:t>且</w:t>
      </w:r>
      <w:r>
        <w:rPr>
          <w:rFonts w:hint="eastAsia" w:hAnsi="宋体"/>
          <w:bCs/>
          <w:color w:val="auto"/>
        </w:rPr>
        <w:t>售后服务承诺书有一项优于</w:t>
      </w:r>
      <w:r>
        <w:rPr>
          <w:rFonts w:hint="eastAsia" w:hAnsi="宋体"/>
          <w:bCs/>
          <w:color w:val="auto"/>
          <w:lang w:eastAsia="zh-CN"/>
        </w:rPr>
        <w:t>招标</w:t>
      </w:r>
      <w:r>
        <w:rPr>
          <w:rFonts w:hint="eastAsia" w:hAnsi="宋体"/>
          <w:bCs/>
          <w:color w:val="auto"/>
        </w:rPr>
        <w:t>文件要求；</w:t>
      </w:r>
    </w:p>
    <w:p>
      <w:pPr>
        <w:pStyle w:val="17"/>
        <w:spacing w:line="400" w:lineRule="exact"/>
        <w:ind w:firstLine="420" w:firstLineChars="200"/>
        <w:rPr>
          <w:rFonts w:hAnsi="宋体"/>
          <w:bCs/>
          <w:color w:val="auto"/>
        </w:rPr>
      </w:pPr>
      <w:r>
        <w:rPr>
          <w:rFonts w:hint="eastAsia" w:hAnsi="宋体"/>
          <w:bCs/>
          <w:color w:val="auto"/>
        </w:rPr>
        <w:t>三档（</w:t>
      </w:r>
      <w:r>
        <w:rPr>
          <w:rFonts w:hint="eastAsia" w:hAnsi="宋体"/>
          <w:bCs/>
          <w:color w:val="auto"/>
          <w:lang w:val="en-US" w:eastAsia="zh-CN"/>
        </w:rPr>
        <w:t>6</w:t>
      </w:r>
      <w:r>
        <w:rPr>
          <w:rFonts w:hint="eastAsia" w:hAnsi="宋体"/>
          <w:bCs/>
          <w:color w:val="auto"/>
        </w:rPr>
        <w:t>分）：满足招标文件要求</w:t>
      </w:r>
      <w:r>
        <w:rPr>
          <w:rFonts w:hint="eastAsia" w:hAnsi="宋体"/>
          <w:bCs/>
          <w:color w:val="auto"/>
          <w:lang w:eastAsia="zh-CN"/>
        </w:rPr>
        <w:t>且</w:t>
      </w:r>
      <w:r>
        <w:rPr>
          <w:rFonts w:hint="eastAsia" w:hAnsi="宋体"/>
          <w:bCs/>
          <w:color w:val="auto"/>
        </w:rPr>
        <w:t>售后服务承诺书有</w:t>
      </w:r>
      <w:r>
        <w:rPr>
          <w:rFonts w:hint="eastAsia" w:hAnsi="宋体"/>
          <w:bCs/>
          <w:color w:val="auto"/>
          <w:lang w:eastAsia="zh-CN"/>
        </w:rPr>
        <w:t>二</w:t>
      </w:r>
      <w:r>
        <w:rPr>
          <w:rFonts w:hint="eastAsia" w:hAnsi="宋体"/>
          <w:bCs/>
          <w:color w:val="auto"/>
        </w:rPr>
        <w:t>项优于</w:t>
      </w:r>
      <w:r>
        <w:rPr>
          <w:rFonts w:hint="eastAsia" w:hAnsi="宋体"/>
          <w:bCs/>
          <w:color w:val="auto"/>
          <w:lang w:eastAsia="zh-CN"/>
        </w:rPr>
        <w:t>招标</w:t>
      </w:r>
      <w:r>
        <w:rPr>
          <w:rFonts w:hint="eastAsia" w:hAnsi="宋体"/>
          <w:bCs/>
          <w:color w:val="auto"/>
        </w:rPr>
        <w:t>文件要求；</w:t>
      </w:r>
    </w:p>
    <w:p>
      <w:pPr>
        <w:pStyle w:val="17"/>
        <w:spacing w:line="400" w:lineRule="exact"/>
        <w:ind w:firstLine="420" w:firstLineChars="200"/>
        <w:rPr>
          <w:rFonts w:hAnsi="宋体"/>
          <w:bCs/>
          <w:color w:val="auto"/>
        </w:rPr>
      </w:pPr>
      <w:r>
        <w:rPr>
          <w:rFonts w:hint="eastAsia" w:hAnsi="宋体"/>
          <w:bCs/>
          <w:color w:val="auto"/>
        </w:rPr>
        <w:t>四档（</w:t>
      </w:r>
      <w:r>
        <w:rPr>
          <w:rFonts w:hint="eastAsia" w:hAnsi="宋体"/>
          <w:bCs/>
          <w:color w:val="auto"/>
          <w:lang w:val="en-US" w:eastAsia="zh-CN"/>
        </w:rPr>
        <w:t>8</w:t>
      </w:r>
      <w:r>
        <w:rPr>
          <w:rFonts w:hint="eastAsia" w:hAnsi="宋体"/>
          <w:bCs/>
          <w:color w:val="auto"/>
        </w:rPr>
        <w:t>分）：满足招标文件要求</w:t>
      </w:r>
      <w:r>
        <w:rPr>
          <w:rFonts w:hint="eastAsia" w:hAnsi="宋体"/>
          <w:bCs/>
          <w:color w:val="auto"/>
          <w:lang w:eastAsia="zh-CN"/>
        </w:rPr>
        <w:t>且</w:t>
      </w:r>
      <w:r>
        <w:rPr>
          <w:rFonts w:hint="eastAsia" w:hAnsi="宋体"/>
          <w:bCs/>
          <w:color w:val="auto"/>
        </w:rPr>
        <w:t>售后服务承诺书有</w:t>
      </w:r>
      <w:r>
        <w:rPr>
          <w:rFonts w:hint="eastAsia" w:hAnsi="宋体"/>
          <w:bCs/>
          <w:color w:val="auto"/>
          <w:lang w:eastAsia="zh-CN"/>
        </w:rPr>
        <w:t>三</w:t>
      </w:r>
      <w:r>
        <w:rPr>
          <w:rFonts w:hint="eastAsia" w:hAnsi="宋体"/>
          <w:bCs/>
          <w:color w:val="auto"/>
        </w:rPr>
        <w:t>项</w:t>
      </w:r>
      <w:r>
        <w:rPr>
          <w:rFonts w:hint="eastAsia" w:hAnsi="宋体"/>
          <w:bCs/>
          <w:color w:val="auto"/>
          <w:lang w:eastAsia="zh-CN"/>
        </w:rPr>
        <w:t>及以上</w:t>
      </w:r>
      <w:r>
        <w:rPr>
          <w:rFonts w:hint="eastAsia" w:hAnsi="宋体"/>
          <w:bCs/>
          <w:color w:val="auto"/>
        </w:rPr>
        <w:t>优于</w:t>
      </w:r>
      <w:r>
        <w:rPr>
          <w:rFonts w:hint="eastAsia" w:hAnsi="宋体"/>
          <w:bCs/>
          <w:color w:val="auto"/>
          <w:lang w:eastAsia="zh-CN"/>
        </w:rPr>
        <w:t>招标</w:t>
      </w:r>
      <w:r>
        <w:rPr>
          <w:rFonts w:hint="eastAsia" w:hAnsi="宋体"/>
          <w:bCs/>
          <w:color w:val="auto"/>
        </w:rPr>
        <w:t>文件要求；</w:t>
      </w:r>
    </w:p>
    <w:p>
      <w:pPr>
        <w:pStyle w:val="17"/>
        <w:numPr>
          <w:ilvl w:val="0"/>
          <w:numId w:val="0"/>
        </w:numPr>
        <w:spacing w:line="400" w:lineRule="exact"/>
        <w:ind w:firstLine="420" w:firstLineChars="200"/>
        <w:rPr>
          <w:rFonts w:hint="eastAsia" w:ascii="宋体" w:hAnsi="宋体" w:eastAsia="宋体" w:cs="宋体"/>
          <w:color w:val="auto"/>
          <w:sz w:val="21"/>
          <w:szCs w:val="21"/>
        </w:rPr>
      </w:pPr>
      <w:r>
        <w:rPr>
          <w:rFonts w:hint="eastAsia" w:hAnsi="宋体" w:cs="宋体"/>
          <w:color w:val="auto"/>
          <w:szCs w:val="21"/>
          <w:lang w:eastAsia="zh-CN"/>
        </w:rPr>
        <w:t>（</w:t>
      </w:r>
      <w:r>
        <w:rPr>
          <w:rFonts w:hint="eastAsia" w:hAnsi="宋体" w:cs="宋体"/>
          <w:color w:val="auto"/>
          <w:szCs w:val="21"/>
          <w:lang w:val="en-US" w:eastAsia="zh-CN"/>
        </w:rPr>
        <w:t>2</w:t>
      </w:r>
      <w:r>
        <w:rPr>
          <w:rFonts w:hint="eastAsia" w:hAnsi="宋体" w:cs="宋体"/>
          <w:color w:val="auto"/>
          <w:szCs w:val="21"/>
          <w:lang w:eastAsia="zh-CN"/>
        </w:rPr>
        <w:t>）</w:t>
      </w:r>
      <w:r>
        <w:rPr>
          <w:rFonts w:hint="eastAsia" w:ascii="宋体" w:hAnsi="宋体" w:eastAsia="宋体" w:cs="宋体"/>
          <w:color w:val="auto"/>
          <w:sz w:val="21"/>
          <w:szCs w:val="21"/>
        </w:rPr>
        <w:t xml:space="preserve">承诺更长保修期：在满足基本免费保修 </w:t>
      </w:r>
      <w:r>
        <w:rPr>
          <w:rFonts w:hint="eastAsia" w:hAnsi="宋体" w:cs="宋体"/>
          <w:color w:val="auto"/>
          <w:sz w:val="21"/>
          <w:szCs w:val="21"/>
          <w:lang w:val="en-US" w:eastAsia="zh-CN"/>
        </w:rPr>
        <w:t>3</w:t>
      </w:r>
      <w:r>
        <w:rPr>
          <w:rFonts w:hint="eastAsia" w:ascii="宋体" w:hAnsi="宋体" w:eastAsia="宋体" w:cs="宋体"/>
          <w:color w:val="auto"/>
          <w:sz w:val="21"/>
          <w:szCs w:val="21"/>
        </w:rPr>
        <w:t>年期基础上，免费保修期每延长一年得</w:t>
      </w:r>
      <w:r>
        <w:rPr>
          <w:rFonts w:hint="eastAsia" w:hAnsi="宋体" w:cs="宋体"/>
          <w:color w:val="auto"/>
          <w:sz w:val="21"/>
          <w:szCs w:val="21"/>
          <w:lang w:val="en-US" w:eastAsia="zh-CN"/>
        </w:rPr>
        <w:t>1</w:t>
      </w:r>
      <w:r>
        <w:rPr>
          <w:rFonts w:hint="eastAsia" w:ascii="宋体" w:hAnsi="宋体" w:eastAsia="宋体" w:cs="宋体"/>
          <w:color w:val="auto"/>
          <w:sz w:val="21"/>
          <w:szCs w:val="21"/>
        </w:rPr>
        <w:t xml:space="preserve"> 分，最多得</w:t>
      </w:r>
      <w:r>
        <w:rPr>
          <w:rFonts w:hint="eastAsia" w:hAnsi="宋体" w:cs="宋体"/>
          <w:color w:val="auto"/>
          <w:sz w:val="21"/>
          <w:szCs w:val="21"/>
          <w:lang w:val="en-US" w:eastAsia="zh-CN"/>
        </w:rPr>
        <w:t>4</w:t>
      </w:r>
      <w:r>
        <w:rPr>
          <w:rFonts w:hint="eastAsia" w:ascii="宋体" w:hAnsi="宋体" w:eastAsia="宋体" w:cs="宋体"/>
          <w:color w:val="auto"/>
          <w:sz w:val="21"/>
          <w:szCs w:val="21"/>
        </w:rPr>
        <w:t xml:space="preserve"> 分。</w:t>
      </w:r>
    </w:p>
    <w:p>
      <w:pPr>
        <w:spacing w:line="360" w:lineRule="exact"/>
        <w:jc w:val="left"/>
        <w:rPr>
          <w:rFonts w:ascii="宋体" w:hAnsi="宋体" w:cs="宋体"/>
          <w:b/>
          <w:color w:val="auto"/>
          <w:szCs w:val="20"/>
        </w:rPr>
      </w:pPr>
      <w:r>
        <w:rPr>
          <w:rFonts w:hint="eastAsia" w:ascii="宋体" w:hAnsi="宋体" w:cs="宋体"/>
          <w:b/>
          <w:color w:val="auto"/>
          <w:szCs w:val="20"/>
          <w:lang w:val="en-US" w:eastAsia="zh-CN"/>
        </w:rPr>
        <w:t>5</w:t>
      </w:r>
      <w:r>
        <w:rPr>
          <w:rFonts w:hint="eastAsia" w:ascii="宋体" w:hAnsi="宋体" w:cs="宋体"/>
          <w:b/>
          <w:color w:val="auto"/>
          <w:szCs w:val="20"/>
        </w:rPr>
        <w:t>.政策功能分</w:t>
      </w:r>
      <w:r>
        <w:rPr>
          <w:rFonts w:hint="eastAsia" w:ascii="宋体" w:hAnsi="宋体" w:cs="宋体"/>
          <w:b/>
          <w:color w:val="auto"/>
          <w:szCs w:val="21"/>
        </w:rPr>
        <w:t>………………………………………………………………………………………………</w:t>
      </w:r>
      <w:r>
        <w:rPr>
          <w:rFonts w:hint="eastAsia" w:ascii="宋体" w:hAnsi="宋体" w:cs="宋体"/>
          <w:b/>
          <w:color w:val="auto"/>
          <w:szCs w:val="21"/>
          <w:lang w:eastAsia="zh-CN"/>
        </w:rPr>
        <w:t>满分</w:t>
      </w:r>
      <w:r>
        <w:rPr>
          <w:rFonts w:hint="eastAsia" w:ascii="宋体" w:hAnsi="宋体" w:cs="宋体"/>
          <w:b/>
          <w:color w:val="auto"/>
          <w:szCs w:val="20"/>
          <w:lang w:val="en-US" w:eastAsia="zh-CN"/>
        </w:rPr>
        <w:t>3</w:t>
      </w:r>
      <w:r>
        <w:rPr>
          <w:rFonts w:hint="eastAsia" w:ascii="宋体" w:hAnsi="宋体" w:cs="宋体"/>
          <w:b/>
          <w:color w:val="auto"/>
          <w:szCs w:val="20"/>
        </w:rPr>
        <w:t>分</w:t>
      </w:r>
    </w:p>
    <w:p>
      <w:pPr>
        <w:pStyle w:val="17"/>
        <w:spacing w:line="390" w:lineRule="exact"/>
        <w:ind w:firstLine="420" w:firstLineChars="200"/>
        <w:rPr>
          <w:rFonts w:hint="eastAsia" w:hAnsi="宋体" w:cs="宋体"/>
          <w:color w:val="auto"/>
          <w:szCs w:val="21"/>
          <w:lang w:val="en-US" w:eastAsia="zh-CN"/>
        </w:rPr>
      </w:pPr>
      <w:r>
        <w:rPr>
          <w:rFonts w:hint="eastAsia" w:hAnsi="宋体" w:cs="宋体"/>
          <w:color w:val="auto"/>
          <w:szCs w:val="21"/>
          <w:lang w:val="en-US" w:eastAsia="zh-CN"/>
        </w:rPr>
        <w:t>（1）节能产品分：</w:t>
      </w:r>
      <w:r>
        <w:rPr>
          <w:rFonts w:hint="eastAsia" w:hAnsi="宋体" w:cs="宋体"/>
          <w:color w:val="auto"/>
        </w:rPr>
        <w:t>应优先采购财政部现行《节能产品政府采购清单》目录内（政府强制采购节能产品除外）的产品（提供有效证明复印件）</w:t>
      </w:r>
      <w:r>
        <w:rPr>
          <w:rFonts w:hint="eastAsia" w:hAnsi="宋体" w:cs="宋体"/>
          <w:color w:val="auto"/>
          <w:szCs w:val="21"/>
          <w:lang w:val="en-US" w:eastAsia="zh-CN"/>
        </w:rPr>
        <w:t>，得1分。</w:t>
      </w:r>
    </w:p>
    <w:p>
      <w:pPr>
        <w:pStyle w:val="17"/>
        <w:spacing w:line="390" w:lineRule="exact"/>
        <w:ind w:firstLine="420" w:firstLineChars="200"/>
        <w:rPr>
          <w:rFonts w:hint="eastAsia" w:hAnsi="宋体" w:cs="宋体"/>
          <w:color w:val="auto"/>
          <w:szCs w:val="21"/>
          <w:lang w:val="en-US" w:eastAsia="zh-CN"/>
        </w:rPr>
      </w:pPr>
      <w:r>
        <w:rPr>
          <w:rFonts w:hint="eastAsia" w:hAnsi="宋体" w:cs="宋体"/>
          <w:color w:val="auto"/>
          <w:szCs w:val="21"/>
          <w:lang w:val="en-US" w:eastAsia="zh-CN"/>
        </w:rPr>
        <w:t>（2）环保标志产品分：</w:t>
      </w:r>
      <w:r>
        <w:rPr>
          <w:rFonts w:hint="eastAsia" w:hAnsi="宋体" w:cs="宋体"/>
          <w:color w:val="auto"/>
        </w:rPr>
        <w:t>应优先采购财政部现行《环境标志产品政府采购清单》目录内的产品（提供有效证明复印件）</w:t>
      </w:r>
      <w:r>
        <w:rPr>
          <w:rFonts w:hint="eastAsia" w:hAnsi="宋体" w:cs="宋体"/>
          <w:color w:val="auto"/>
          <w:szCs w:val="21"/>
          <w:lang w:val="en-US" w:eastAsia="zh-CN"/>
        </w:rPr>
        <w:t>，得1分。</w:t>
      </w:r>
    </w:p>
    <w:p>
      <w:pPr>
        <w:pStyle w:val="17"/>
        <w:spacing w:line="390" w:lineRule="exact"/>
        <w:ind w:firstLine="420" w:firstLineChars="200"/>
        <w:rPr>
          <w:rFonts w:hint="default" w:hAnsi="宋体" w:cs="宋体"/>
          <w:color w:val="auto"/>
          <w:szCs w:val="21"/>
          <w:lang w:val="en-US" w:eastAsia="zh-CN"/>
        </w:rPr>
      </w:pPr>
      <w:r>
        <w:rPr>
          <w:rFonts w:hint="eastAsia" w:hAnsi="宋体" w:cs="宋体"/>
          <w:color w:val="auto"/>
          <w:szCs w:val="21"/>
          <w:lang w:val="en-US" w:eastAsia="zh-CN"/>
        </w:rPr>
        <w:t>（3）广西工业产品分：</w:t>
      </w:r>
      <w:r>
        <w:rPr>
          <w:rFonts w:hint="eastAsia" w:hAnsi="宋体" w:cs="宋体"/>
          <w:color w:val="auto"/>
        </w:rPr>
        <w:t>对使用广西工业产品（指在广西境内生产的工业产品）的金额占本项目（分标）总金额80%以上（含）的（以提供生产企业的工商营业执照复印件为准</w:t>
      </w:r>
      <w:r>
        <w:rPr>
          <w:rFonts w:hint="eastAsia" w:hAnsi="宋体" w:cs="宋体"/>
          <w:color w:val="auto"/>
          <w:lang w:eastAsia="zh-CN"/>
        </w:rPr>
        <w:t>）</w:t>
      </w:r>
      <w:r>
        <w:rPr>
          <w:rFonts w:hint="eastAsia" w:hAnsi="宋体" w:cs="宋体"/>
          <w:color w:val="auto"/>
          <w:szCs w:val="21"/>
          <w:lang w:val="en-US" w:eastAsia="zh-CN"/>
        </w:rPr>
        <w:t>，得1分。</w:t>
      </w:r>
    </w:p>
    <w:p>
      <w:pPr>
        <w:spacing w:line="390" w:lineRule="exact"/>
        <w:rPr>
          <w:rFonts w:ascii="宋体" w:hAnsi="宋体" w:cs="宋体"/>
          <w:b/>
          <w:bCs/>
          <w:color w:val="auto"/>
          <w:szCs w:val="21"/>
        </w:rPr>
      </w:pPr>
      <w:r>
        <w:rPr>
          <w:rFonts w:hint="eastAsia" w:ascii="宋体" w:hAnsi="宋体" w:cs="宋体"/>
          <w:b/>
          <w:bCs/>
          <w:color w:val="auto"/>
          <w:szCs w:val="21"/>
        </w:rPr>
        <w:t>6、综合得分＝1+2+3+4</w:t>
      </w:r>
      <w:bookmarkEnd w:id="153"/>
      <w:r>
        <w:rPr>
          <w:rFonts w:hint="eastAsia" w:ascii="宋体" w:hAnsi="宋体" w:cs="宋体"/>
          <w:b/>
          <w:bCs/>
          <w:color w:val="auto"/>
          <w:szCs w:val="21"/>
        </w:rPr>
        <w:t>+5</w:t>
      </w:r>
    </w:p>
    <w:p>
      <w:pPr>
        <w:pStyle w:val="17"/>
        <w:tabs>
          <w:tab w:val="left" w:pos="4214"/>
        </w:tabs>
        <w:spacing w:line="380" w:lineRule="exact"/>
        <w:ind w:firstLine="422" w:firstLineChars="200"/>
        <w:rPr>
          <w:rFonts w:hAnsi="宋体" w:cs="宋体"/>
          <w:b/>
          <w:color w:val="auto"/>
        </w:rPr>
      </w:pPr>
      <w:r>
        <w:rPr>
          <w:rFonts w:hint="eastAsia" w:hAnsi="宋体" w:cs="宋体"/>
          <w:b/>
          <w:color w:val="auto"/>
        </w:rPr>
        <w:t>三、推荐及确定中标候选供应商原则</w:t>
      </w:r>
    </w:p>
    <w:p>
      <w:pPr>
        <w:pStyle w:val="17"/>
        <w:tabs>
          <w:tab w:val="left" w:pos="4214"/>
        </w:tabs>
        <w:spacing w:line="380" w:lineRule="exact"/>
        <w:ind w:firstLine="420" w:firstLineChars="200"/>
        <w:rPr>
          <w:rFonts w:hAnsi="宋体" w:cs="宋体"/>
          <w:color w:val="auto"/>
          <w:szCs w:val="21"/>
        </w:rPr>
      </w:pPr>
      <w:r>
        <w:rPr>
          <w:rFonts w:hint="eastAsia" w:hAnsi="宋体" w:cs="宋体"/>
          <w:color w:val="auto"/>
          <w:szCs w:val="21"/>
        </w:rPr>
        <w:t>（1）评标委员会根据综合得分由高到低排列次序，若得分相同时，按评标价由低到高顺序排列；得分相同且评标价也相同的由评标委员会按照抽签的方式决定排次次序</w:t>
      </w:r>
      <w:r>
        <w:rPr>
          <w:rFonts w:hint="eastAsia" w:hAnsi="宋体" w:cs="宋体"/>
          <w:color w:val="auto"/>
          <w:sz w:val="22"/>
          <w:szCs w:val="22"/>
        </w:rPr>
        <w:t>。</w:t>
      </w:r>
    </w:p>
    <w:p>
      <w:pPr>
        <w:pStyle w:val="17"/>
        <w:tabs>
          <w:tab w:val="left" w:pos="4214"/>
        </w:tabs>
        <w:spacing w:line="380" w:lineRule="exact"/>
        <w:ind w:firstLine="420" w:firstLineChars="200"/>
        <w:rPr>
          <w:rFonts w:hAnsi="宋体" w:cs="宋体"/>
          <w:color w:val="auto"/>
          <w:szCs w:val="21"/>
        </w:rPr>
      </w:pPr>
      <w:r>
        <w:rPr>
          <w:rFonts w:hint="eastAsia" w:hAnsi="宋体" w:cs="宋体"/>
          <w:color w:val="auto"/>
          <w:szCs w:val="21"/>
        </w:rPr>
        <w:t>（2）评标委员会可推荐前三名为中标候选人，采购人应当确定评标委员会推荐排名第一的中标候选人为中标人。</w:t>
      </w:r>
    </w:p>
    <w:p>
      <w:pPr>
        <w:pStyle w:val="17"/>
        <w:tabs>
          <w:tab w:val="left" w:pos="4214"/>
        </w:tabs>
        <w:spacing w:line="380" w:lineRule="exact"/>
        <w:ind w:firstLine="420" w:firstLineChars="200"/>
        <w:rPr>
          <w:rFonts w:hAnsi="宋体" w:cs="宋体"/>
          <w:color w:val="auto"/>
          <w:szCs w:val="21"/>
        </w:rPr>
      </w:pPr>
      <w:r>
        <w:rPr>
          <w:rFonts w:hint="eastAsia" w:hAnsi="宋体" w:cs="宋体"/>
          <w:color w:val="auto"/>
          <w:szCs w:val="21"/>
        </w:rPr>
        <w:t>（3）排名第一的中标候选人放弃中标、因不可抗力提出不能履行合同，或者招标文件规定应当提交履约保证金而在规定的期限内未能提交的，或因失信行为被取消中标候选人资格的，采购人可以确定排名第二的中标候选人为中标人，并依此类推。</w:t>
      </w:r>
    </w:p>
    <w:p>
      <w:pPr>
        <w:spacing w:line="390" w:lineRule="exact"/>
        <w:ind w:firstLine="426" w:firstLineChars="202"/>
        <w:jc w:val="left"/>
        <w:rPr>
          <w:rFonts w:ascii="宋体" w:hAnsi="宋体" w:cs="宋体"/>
          <w:b/>
          <w:color w:val="auto"/>
          <w:szCs w:val="21"/>
        </w:rPr>
      </w:pPr>
      <w:r>
        <w:rPr>
          <w:rFonts w:hint="eastAsia" w:ascii="宋体" w:hAnsi="宋体" w:cs="宋体"/>
          <w:b/>
          <w:color w:val="auto"/>
          <w:szCs w:val="21"/>
        </w:rPr>
        <w:t>四、特别说明</w:t>
      </w:r>
    </w:p>
    <w:p>
      <w:pPr>
        <w:pStyle w:val="17"/>
        <w:adjustRightInd w:val="0"/>
        <w:spacing w:line="390" w:lineRule="exact"/>
        <w:ind w:firstLine="422" w:firstLineChars="200"/>
        <w:contextualSpacing/>
        <w:rPr>
          <w:rFonts w:hAnsi="宋体" w:cs="宋体"/>
          <w:b/>
          <w:bCs/>
          <w:color w:val="auto"/>
        </w:rPr>
      </w:pPr>
      <w:r>
        <w:rPr>
          <w:rFonts w:hint="eastAsia" w:hAnsi="宋体" w:cs="宋体"/>
          <w:b/>
          <w:bCs/>
          <w:color w:val="auto"/>
          <w:szCs w:val="21"/>
          <w:u w:val="double"/>
        </w:rPr>
        <w:t>评审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bookmarkStart w:id="154" w:name="_Toc23297"/>
      <w:r>
        <w:rPr>
          <w:rFonts w:hint="eastAsia" w:hAnsi="宋体" w:cs="宋体"/>
          <w:b/>
          <w:bCs/>
          <w:color w:val="auto"/>
        </w:rPr>
        <w:br w:type="page"/>
      </w:r>
      <w:bookmarkEnd w:id="154"/>
      <w:r>
        <w:rPr>
          <w:rFonts w:hint="eastAsia"/>
          <w:b/>
          <w:bCs/>
          <w:color w:val="auto"/>
        </w:rPr>
        <w:t>附表</w:t>
      </w:r>
    </w:p>
    <w:p>
      <w:pPr>
        <w:widowControl/>
        <w:spacing w:before="156" w:beforeLines="50" w:after="156" w:afterLines="50" w:line="400" w:lineRule="exact"/>
        <w:jc w:val="center"/>
        <w:rPr>
          <w:rFonts w:ascii="宋体" w:hAnsi="宋体" w:cs="宋体"/>
          <w:b/>
          <w:bCs/>
          <w:color w:val="auto"/>
          <w:kern w:val="0"/>
          <w:sz w:val="30"/>
          <w:szCs w:val="30"/>
        </w:rPr>
      </w:pPr>
      <w:bookmarkStart w:id="155" w:name="_Toc28361_WPSOffice_Level2"/>
      <w:r>
        <w:rPr>
          <w:rFonts w:hint="eastAsia" w:ascii="宋体" w:hAnsi="宋体" w:cs="宋体"/>
          <w:b/>
          <w:bCs/>
          <w:color w:val="auto"/>
          <w:kern w:val="0"/>
          <w:sz w:val="30"/>
          <w:szCs w:val="30"/>
        </w:rPr>
        <w:t>统计上大中小微型企业划分标准</w:t>
      </w:r>
      <w:bookmarkEnd w:id="155"/>
    </w:p>
    <w:tbl>
      <w:tblPr>
        <w:tblStyle w:val="2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1"/>
        <w:gridCol w:w="1445"/>
        <w:gridCol w:w="748"/>
        <w:gridCol w:w="1188"/>
        <w:gridCol w:w="1796"/>
        <w:gridCol w:w="1505"/>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1119" w:type="pct"/>
            <w:shd w:val="clear" w:color="auto" w:fill="8DB3E2"/>
            <w:vAlign w:val="center"/>
          </w:tcPr>
          <w:p>
            <w:pPr>
              <w:widowControl/>
              <w:spacing w:line="240" w:lineRule="exact"/>
              <w:jc w:val="center"/>
              <w:rPr>
                <w:rFonts w:ascii="宋体" w:hAnsi="宋体" w:cs="宋体"/>
                <w:b/>
                <w:bCs/>
                <w:color w:val="auto"/>
                <w:kern w:val="0"/>
                <w:sz w:val="18"/>
                <w:szCs w:val="21"/>
              </w:rPr>
            </w:pPr>
            <w:r>
              <w:rPr>
                <w:rFonts w:hint="eastAsia" w:ascii="宋体" w:hAnsi="宋体" w:cs="宋体"/>
                <w:b/>
                <w:bCs/>
                <w:color w:val="auto"/>
                <w:kern w:val="0"/>
                <w:sz w:val="18"/>
                <w:szCs w:val="21"/>
              </w:rPr>
              <w:t>行业名称</w:t>
            </w:r>
          </w:p>
        </w:tc>
        <w:tc>
          <w:tcPr>
            <w:tcW w:w="725" w:type="pct"/>
            <w:shd w:val="clear" w:color="auto" w:fill="8DB3E2"/>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指标名称</w:t>
            </w:r>
          </w:p>
        </w:tc>
        <w:tc>
          <w:tcPr>
            <w:tcW w:w="375" w:type="pct"/>
            <w:shd w:val="clear" w:color="auto" w:fill="8DB3E2"/>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计量</w:t>
            </w:r>
            <w:r>
              <w:rPr>
                <w:rFonts w:hint="eastAsia" w:ascii="宋体" w:hAnsi="宋体" w:cs="宋体"/>
                <w:b/>
                <w:bCs/>
                <w:color w:val="auto"/>
                <w:kern w:val="0"/>
                <w:sz w:val="18"/>
                <w:szCs w:val="18"/>
              </w:rPr>
              <w:br w:type="textWrapping"/>
            </w:r>
            <w:r>
              <w:rPr>
                <w:rFonts w:hint="eastAsia" w:ascii="宋体" w:hAnsi="宋体" w:cs="宋体"/>
                <w:b/>
                <w:bCs/>
                <w:color w:val="auto"/>
                <w:kern w:val="0"/>
                <w:sz w:val="18"/>
                <w:szCs w:val="18"/>
              </w:rPr>
              <w:t>单位</w:t>
            </w:r>
          </w:p>
        </w:tc>
        <w:tc>
          <w:tcPr>
            <w:tcW w:w="596" w:type="pct"/>
            <w:shd w:val="clear" w:color="auto" w:fill="8DB3E2"/>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大型</w:t>
            </w:r>
          </w:p>
        </w:tc>
        <w:tc>
          <w:tcPr>
            <w:tcW w:w="901" w:type="pct"/>
            <w:shd w:val="clear" w:color="auto" w:fill="8DB3E2"/>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中型</w:t>
            </w:r>
          </w:p>
        </w:tc>
        <w:tc>
          <w:tcPr>
            <w:tcW w:w="755" w:type="pct"/>
            <w:shd w:val="clear" w:color="auto" w:fill="8DB3E2"/>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小型</w:t>
            </w:r>
          </w:p>
        </w:tc>
        <w:tc>
          <w:tcPr>
            <w:tcW w:w="525" w:type="pct"/>
            <w:shd w:val="clear" w:color="auto" w:fill="8DB3E2"/>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农、林、牧、渔业</w:t>
            </w:r>
          </w:p>
        </w:tc>
        <w:tc>
          <w:tcPr>
            <w:tcW w:w="72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37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596"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901"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500≤Y＜20000</w:t>
            </w:r>
          </w:p>
        </w:tc>
        <w:tc>
          <w:tcPr>
            <w:tcW w:w="75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50≤Y＜500</w:t>
            </w:r>
          </w:p>
        </w:tc>
        <w:tc>
          <w:tcPr>
            <w:tcW w:w="52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restar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工业 *</w:t>
            </w:r>
          </w:p>
        </w:tc>
        <w:tc>
          <w:tcPr>
            <w:tcW w:w="72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37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596"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901"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75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52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continue"/>
            <w:vAlign w:val="center"/>
          </w:tcPr>
          <w:p>
            <w:pPr>
              <w:widowControl/>
              <w:jc w:val="left"/>
              <w:rPr>
                <w:rFonts w:ascii="宋体" w:hAnsi="宋体" w:cs="宋体"/>
                <w:color w:val="auto"/>
                <w:kern w:val="0"/>
                <w:sz w:val="18"/>
                <w:szCs w:val="18"/>
              </w:rPr>
            </w:pPr>
          </w:p>
        </w:tc>
        <w:tc>
          <w:tcPr>
            <w:tcW w:w="725" w:type="pct"/>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37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596"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901"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2000≤Y＜40000</w:t>
            </w:r>
          </w:p>
        </w:tc>
        <w:tc>
          <w:tcPr>
            <w:tcW w:w="75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300≤Y＜2000</w:t>
            </w:r>
          </w:p>
        </w:tc>
        <w:tc>
          <w:tcPr>
            <w:tcW w:w="52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restar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建筑业</w:t>
            </w:r>
          </w:p>
        </w:tc>
        <w:tc>
          <w:tcPr>
            <w:tcW w:w="72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37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596"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Y≥80000</w:t>
            </w:r>
          </w:p>
        </w:tc>
        <w:tc>
          <w:tcPr>
            <w:tcW w:w="901"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6000≤Y＜80000</w:t>
            </w:r>
          </w:p>
        </w:tc>
        <w:tc>
          <w:tcPr>
            <w:tcW w:w="75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300≤Y＜6000</w:t>
            </w:r>
          </w:p>
        </w:tc>
        <w:tc>
          <w:tcPr>
            <w:tcW w:w="52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continue"/>
            <w:vAlign w:val="center"/>
          </w:tcPr>
          <w:p>
            <w:pPr>
              <w:widowControl/>
              <w:jc w:val="left"/>
              <w:rPr>
                <w:rFonts w:ascii="宋体" w:hAnsi="宋体" w:cs="宋体"/>
                <w:color w:val="auto"/>
                <w:kern w:val="0"/>
                <w:sz w:val="18"/>
                <w:szCs w:val="18"/>
              </w:rPr>
            </w:pPr>
          </w:p>
        </w:tc>
        <w:tc>
          <w:tcPr>
            <w:tcW w:w="725" w:type="pct"/>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37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596"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Z≥80000</w:t>
            </w:r>
          </w:p>
        </w:tc>
        <w:tc>
          <w:tcPr>
            <w:tcW w:w="901"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5000≤Z＜80000</w:t>
            </w:r>
          </w:p>
        </w:tc>
        <w:tc>
          <w:tcPr>
            <w:tcW w:w="75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300≤Z＜5000</w:t>
            </w:r>
          </w:p>
        </w:tc>
        <w:tc>
          <w:tcPr>
            <w:tcW w:w="52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restar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批发业</w:t>
            </w:r>
          </w:p>
        </w:tc>
        <w:tc>
          <w:tcPr>
            <w:tcW w:w="72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37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596"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901"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20≤X＜200</w:t>
            </w:r>
          </w:p>
        </w:tc>
        <w:tc>
          <w:tcPr>
            <w:tcW w:w="75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5≤X＜20</w:t>
            </w:r>
          </w:p>
        </w:tc>
        <w:tc>
          <w:tcPr>
            <w:tcW w:w="52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continue"/>
            <w:vAlign w:val="center"/>
          </w:tcPr>
          <w:p>
            <w:pPr>
              <w:widowControl/>
              <w:jc w:val="left"/>
              <w:rPr>
                <w:rFonts w:ascii="宋体" w:hAnsi="宋体" w:cs="宋体"/>
                <w:color w:val="auto"/>
                <w:kern w:val="0"/>
                <w:sz w:val="18"/>
                <w:szCs w:val="18"/>
              </w:rPr>
            </w:pPr>
          </w:p>
        </w:tc>
        <w:tc>
          <w:tcPr>
            <w:tcW w:w="725" w:type="pct"/>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37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596"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901"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5000≤Y＜40000</w:t>
            </w:r>
          </w:p>
        </w:tc>
        <w:tc>
          <w:tcPr>
            <w:tcW w:w="755" w:type="pct"/>
            <w:vAlign w:val="center"/>
          </w:tcPr>
          <w:p>
            <w:pPr>
              <w:widowControl/>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52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restar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零售业</w:t>
            </w:r>
          </w:p>
        </w:tc>
        <w:tc>
          <w:tcPr>
            <w:tcW w:w="72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37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596"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901"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50≤X＜300</w:t>
            </w:r>
          </w:p>
        </w:tc>
        <w:tc>
          <w:tcPr>
            <w:tcW w:w="755" w:type="pct"/>
            <w:vAlign w:val="center"/>
          </w:tcPr>
          <w:p>
            <w:pPr>
              <w:widowControl/>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 xml:space="preserve">10≤X＜50 </w:t>
            </w:r>
          </w:p>
        </w:tc>
        <w:tc>
          <w:tcPr>
            <w:tcW w:w="52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continue"/>
            <w:vAlign w:val="center"/>
          </w:tcPr>
          <w:p>
            <w:pPr>
              <w:widowControl/>
              <w:jc w:val="left"/>
              <w:rPr>
                <w:rFonts w:ascii="宋体" w:hAnsi="宋体" w:cs="宋体"/>
                <w:color w:val="auto"/>
                <w:kern w:val="0"/>
                <w:sz w:val="18"/>
                <w:szCs w:val="18"/>
              </w:rPr>
            </w:pPr>
          </w:p>
        </w:tc>
        <w:tc>
          <w:tcPr>
            <w:tcW w:w="725" w:type="pct"/>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37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596"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901"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500≤Y＜20000</w:t>
            </w:r>
          </w:p>
        </w:tc>
        <w:tc>
          <w:tcPr>
            <w:tcW w:w="755" w:type="pct"/>
            <w:vAlign w:val="center"/>
          </w:tcPr>
          <w:p>
            <w:pPr>
              <w:widowControl/>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100≤Y＜500</w:t>
            </w:r>
          </w:p>
        </w:tc>
        <w:tc>
          <w:tcPr>
            <w:tcW w:w="52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restar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交通运输业 *</w:t>
            </w:r>
          </w:p>
        </w:tc>
        <w:tc>
          <w:tcPr>
            <w:tcW w:w="72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37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596"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901"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75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52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continue"/>
            <w:vAlign w:val="center"/>
          </w:tcPr>
          <w:p>
            <w:pPr>
              <w:widowControl/>
              <w:jc w:val="left"/>
              <w:rPr>
                <w:rFonts w:ascii="宋体" w:hAnsi="宋体" w:cs="宋体"/>
                <w:color w:val="auto"/>
                <w:kern w:val="0"/>
                <w:sz w:val="18"/>
                <w:szCs w:val="18"/>
              </w:rPr>
            </w:pPr>
          </w:p>
        </w:tc>
        <w:tc>
          <w:tcPr>
            <w:tcW w:w="725" w:type="pct"/>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37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596"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901"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3000≤Y＜30000</w:t>
            </w:r>
          </w:p>
        </w:tc>
        <w:tc>
          <w:tcPr>
            <w:tcW w:w="75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200≤Y＜3000</w:t>
            </w:r>
          </w:p>
        </w:tc>
        <w:tc>
          <w:tcPr>
            <w:tcW w:w="52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restar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仓储业*</w:t>
            </w:r>
          </w:p>
        </w:tc>
        <w:tc>
          <w:tcPr>
            <w:tcW w:w="72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37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596"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901" w:type="pct"/>
            <w:vAlign w:val="center"/>
          </w:tcPr>
          <w:p>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100≤X＜200</w:t>
            </w:r>
          </w:p>
        </w:tc>
        <w:tc>
          <w:tcPr>
            <w:tcW w:w="75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20≤X＜100</w:t>
            </w:r>
          </w:p>
        </w:tc>
        <w:tc>
          <w:tcPr>
            <w:tcW w:w="52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continue"/>
            <w:vAlign w:val="center"/>
          </w:tcPr>
          <w:p>
            <w:pPr>
              <w:widowControl/>
              <w:jc w:val="left"/>
              <w:rPr>
                <w:rFonts w:ascii="宋体" w:hAnsi="宋体" w:cs="宋体"/>
                <w:color w:val="auto"/>
                <w:kern w:val="0"/>
                <w:sz w:val="18"/>
                <w:szCs w:val="18"/>
              </w:rPr>
            </w:pPr>
          </w:p>
        </w:tc>
        <w:tc>
          <w:tcPr>
            <w:tcW w:w="725" w:type="pct"/>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37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596"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901"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1000≤Y＜30000</w:t>
            </w:r>
          </w:p>
        </w:tc>
        <w:tc>
          <w:tcPr>
            <w:tcW w:w="75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52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restar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邮政业</w:t>
            </w:r>
          </w:p>
        </w:tc>
        <w:tc>
          <w:tcPr>
            <w:tcW w:w="72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37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596"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901"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75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52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continue"/>
            <w:vAlign w:val="center"/>
          </w:tcPr>
          <w:p>
            <w:pPr>
              <w:widowControl/>
              <w:jc w:val="left"/>
              <w:rPr>
                <w:rFonts w:ascii="宋体" w:hAnsi="宋体" w:cs="宋体"/>
                <w:color w:val="auto"/>
                <w:kern w:val="0"/>
                <w:sz w:val="18"/>
                <w:szCs w:val="18"/>
              </w:rPr>
            </w:pPr>
          </w:p>
        </w:tc>
        <w:tc>
          <w:tcPr>
            <w:tcW w:w="725" w:type="pct"/>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37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596"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901"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2000≤Y＜30000</w:t>
            </w:r>
          </w:p>
        </w:tc>
        <w:tc>
          <w:tcPr>
            <w:tcW w:w="75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52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restar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住宿业</w:t>
            </w:r>
          </w:p>
        </w:tc>
        <w:tc>
          <w:tcPr>
            <w:tcW w:w="72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37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596"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901" w:type="pct"/>
            <w:vAlign w:val="center"/>
          </w:tcPr>
          <w:p>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75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52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continue"/>
            <w:vAlign w:val="center"/>
          </w:tcPr>
          <w:p>
            <w:pPr>
              <w:widowControl/>
              <w:jc w:val="left"/>
              <w:rPr>
                <w:rFonts w:ascii="宋体" w:hAnsi="宋体" w:cs="宋体"/>
                <w:color w:val="auto"/>
                <w:kern w:val="0"/>
                <w:sz w:val="18"/>
                <w:szCs w:val="18"/>
              </w:rPr>
            </w:pPr>
          </w:p>
        </w:tc>
        <w:tc>
          <w:tcPr>
            <w:tcW w:w="725" w:type="pct"/>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37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596"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901"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75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52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restar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餐饮业</w:t>
            </w:r>
          </w:p>
        </w:tc>
        <w:tc>
          <w:tcPr>
            <w:tcW w:w="72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37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596"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901" w:type="pct"/>
            <w:vAlign w:val="center"/>
          </w:tcPr>
          <w:p>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75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52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continue"/>
            <w:vAlign w:val="center"/>
          </w:tcPr>
          <w:p>
            <w:pPr>
              <w:widowControl/>
              <w:jc w:val="left"/>
              <w:rPr>
                <w:rFonts w:ascii="宋体" w:hAnsi="宋体" w:cs="宋体"/>
                <w:color w:val="auto"/>
                <w:kern w:val="0"/>
                <w:sz w:val="18"/>
                <w:szCs w:val="18"/>
              </w:rPr>
            </w:pPr>
          </w:p>
        </w:tc>
        <w:tc>
          <w:tcPr>
            <w:tcW w:w="725" w:type="pct"/>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37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596"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901"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75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52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restar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信息传输业 *</w:t>
            </w:r>
          </w:p>
        </w:tc>
        <w:tc>
          <w:tcPr>
            <w:tcW w:w="72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37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596"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X≥2000</w:t>
            </w:r>
          </w:p>
        </w:tc>
        <w:tc>
          <w:tcPr>
            <w:tcW w:w="901"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100≤X＜2000</w:t>
            </w:r>
          </w:p>
        </w:tc>
        <w:tc>
          <w:tcPr>
            <w:tcW w:w="75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52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continue"/>
            <w:vAlign w:val="center"/>
          </w:tcPr>
          <w:p>
            <w:pPr>
              <w:widowControl/>
              <w:jc w:val="left"/>
              <w:rPr>
                <w:rFonts w:ascii="宋体" w:hAnsi="宋体" w:cs="宋体"/>
                <w:color w:val="auto"/>
                <w:kern w:val="0"/>
                <w:sz w:val="18"/>
                <w:szCs w:val="18"/>
              </w:rPr>
            </w:pPr>
          </w:p>
        </w:tc>
        <w:tc>
          <w:tcPr>
            <w:tcW w:w="725" w:type="pct"/>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37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596"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Y≥100000</w:t>
            </w:r>
          </w:p>
        </w:tc>
        <w:tc>
          <w:tcPr>
            <w:tcW w:w="901"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1000≤Y＜100000</w:t>
            </w:r>
          </w:p>
        </w:tc>
        <w:tc>
          <w:tcPr>
            <w:tcW w:w="75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52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19" w:type="pct"/>
            <w:vMerge w:val="restart"/>
            <w:vAlign w:val="center"/>
          </w:tcPr>
          <w:p>
            <w:pPr>
              <w:widowControl/>
              <w:spacing w:line="240" w:lineRule="exact"/>
              <w:jc w:val="left"/>
              <w:rPr>
                <w:rFonts w:ascii="宋体" w:hAnsi="宋体" w:cs="宋体"/>
                <w:color w:val="auto"/>
                <w:spacing w:val="-12"/>
                <w:kern w:val="0"/>
                <w:sz w:val="18"/>
                <w:szCs w:val="18"/>
              </w:rPr>
            </w:pPr>
            <w:r>
              <w:rPr>
                <w:rFonts w:hint="eastAsia" w:ascii="宋体" w:hAnsi="宋体" w:cs="宋体"/>
                <w:color w:val="auto"/>
                <w:spacing w:val="-12"/>
                <w:kern w:val="0"/>
                <w:sz w:val="18"/>
                <w:szCs w:val="18"/>
              </w:rPr>
              <w:t>软件和信息技术服</w:t>
            </w:r>
            <w:r>
              <w:rPr>
                <w:rFonts w:hint="eastAsia" w:ascii="宋体" w:hAnsi="宋体" w:cs="宋体"/>
                <w:color w:val="auto"/>
                <w:kern w:val="0"/>
                <w:sz w:val="18"/>
                <w:szCs w:val="18"/>
              </w:rPr>
              <w:t>务业</w:t>
            </w:r>
          </w:p>
        </w:tc>
        <w:tc>
          <w:tcPr>
            <w:tcW w:w="72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37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596"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901" w:type="pct"/>
            <w:vAlign w:val="center"/>
          </w:tcPr>
          <w:p>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75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52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19" w:type="pct"/>
            <w:vMerge w:val="continue"/>
            <w:vAlign w:val="center"/>
          </w:tcPr>
          <w:p>
            <w:pPr>
              <w:widowControl/>
              <w:jc w:val="left"/>
              <w:rPr>
                <w:rFonts w:ascii="宋体" w:hAnsi="宋体" w:cs="宋体"/>
                <w:color w:val="auto"/>
                <w:spacing w:val="-12"/>
                <w:kern w:val="0"/>
                <w:sz w:val="18"/>
                <w:szCs w:val="18"/>
              </w:rPr>
            </w:pPr>
          </w:p>
        </w:tc>
        <w:tc>
          <w:tcPr>
            <w:tcW w:w="72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37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596"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901"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1000≤Y＜10000</w:t>
            </w:r>
          </w:p>
        </w:tc>
        <w:tc>
          <w:tcPr>
            <w:tcW w:w="75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50≤Y＜1000</w:t>
            </w:r>
          </w:p>
        </w:tc>
        <w:tc>
          <w:tcPr>
            <w:tcW w:w="52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19" w:type="pct"/>
            <w:vMerge w:val="restar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房地产开发经营</w:t>
            </w:r>
          </w:p>
        </w:tc>
        <w:tc>
          <w:tcPr>
            <w:tcW w:w="72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37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596"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Y≥200000</w:t>
            </w:r>
          </w:p>
        </w:tc>
        <w:tc>
          <w:tcPr>
            <w:tcW w:w="901"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1000≤Y＜200000</w:t>
            </w:r>
          </w:p>
        </w:tc>
        <w:tc>
          <w:tcPr>
            <w:tcW w:w="75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52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19" w:type="pct"/>
            <w:vMerge w:val="continue"/>
            <w:vAlign w:val="center"/>
          </w:tcPr>
          <w:p>
            <w:pPr>
              <w:widowControl/>
              <w:jc w:val="left"/>
              <w:rPr>
                <w:rFonts w:ascii="宋体" w:hAnsi="宋体" w:cs="宋体"/>
                <w:color w:val="auto"/>
                <w:kern w:val="0"/>
                <w:sz w:val="18"/>
                <w:szCs w:val="18"/>
              </w:rPr>
            </w:pPr>
          </w:p>
        </w:tc>
        <w:tc>
          <w:tcPr>
            <w:tcW w:w="725" w:type="pct"/>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37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596"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Z≥10000</w:t>
            </w:r>
          </w:p>
        </w:tc>
        <w:tc>
          <w:tcPr>
            <w:tcW w:w="901"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5000≤Z＜10000</w:t>
            </w:r>
          </w:p>
        </w:tc>
        <w:tc>
          <w:tcPr>
            <w:tcW w:w="75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2000≤Z＜5000</w:t>
            </w:r>
          </w:p>
        </w:tc>
        <w:tc>
          <w:tcPr>
            <w:tcW w:w="52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19" w:type="pct"/>
            <w:vMerge w:val="restar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物业管理</w:t>
            </w:r>
          </w:p>
        </w:tc>
        <w:tc>
          <w:tcPr>
            <w:tcW w:w="72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37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596"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901"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75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52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19" w:type="pct"/>
            <w:vMerge w:val="continue"/>
            <w:vAlign w:val="center"/>
          </w:tcPr>
          <w:p>
            <w:pPr>
              <w:widowControl/>
              <w:jc w:val="left"/>
              <w:rPr>
                <w:rFonts w:ascii="宋体" w:hAnsi="宋体" w:cs="宋体"/>
                <w:color w:val="auto"/>
                <w:kern w:val="0"/>
                <w:sz w:val="18"/>
                <w:szCs w:val="18"/>
              </w:rPr>
            </w:pPr>
          </w:p>
        </w:tc>
        <w:tc>
          <w:tcPr>
            <w:tcW w:w="725" w:type="pct"/>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37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596"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Y≥5000</w:t>
            </w:r>
          </w:p>
        </w:tc>
        <w:tc>
          <w:tcPr>
            <w:tcW w:w="901" w:type="pct"/>
            <w:vAlign w:val="center"/>
          </w:tcPr>
          <w:p>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75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500≤Y＜1000</w:t>
            </w:r>
          </w:p>
        </w:tc>
        <w:tc>
          <w:tcPr>
            <w:tcW w:w="52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19" w:type="pct"/>
            <w:vMerge w:val="restar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租赁和商务服务业</w:t>
            </w:r>
          </w:p>
        </w:tc>
        <w:tc>
          <w:tcPr>
            <w:tcW w:w="72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37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596"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901" w:type="pct"/>
            <w:vAlign w:val="center"/>
          </w:tcPr>
          <w:p>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75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52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19" w:type="pct"/>
            <w:vMerge w:val="continue"/>
            <w:vAlign w:val="center"/>
          </w:tcPr>
          <w:p>
            <w:pPr>
              <w:widowControl/>
              <w:jc w:val="left"/>
              <w:rPr>
                <w:rFonts w:ascii="宋体" w:hAnsi="宋体" w:cs="宋体"/>
                <w:color w:val="auto"/>
                <w:kern w:val="0"/>
                <w:sz w:val="18"/>
                <w:szCs w:val="18"/>
              </w:rPr>
            </w:pPr>
          </w:p>
        </w:tc>
        <w:tc>
          <w:tcPr>
            <w:tcW w:w="725" w:type="pct"/>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37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596"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Z≥120000</w:t>
            </w:r>
          </w:p>
        </w:tc>
        <w:tc>
          <w:tcPr>
            <w:tcW w:w="901"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8000≤Z＜120000</w:t>
            </w:r>
          </w:p>
        </w:tc>
        <w:tc>
          <w:tcPr>
            <w:tcW w:w="75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100≤Z＜8000</w:t>
            </w:r>
          </w:p>
        </w:tc>
        <w:tc>
          <w:tcPr>
            <w:tcW w:w="52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其他未列明行业 *</w:t>
            </w:r>
          </w:p>
        </w:tc>
        <w:tc>
          <w:tcPr>
            <w:tcW w:w="72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37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596"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901" w:type="pct"/>
            <w:vAlign w:val="center"/>
          </w:tcPr>
          <w:p>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75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52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bl>
    <w:p>
      <w:pPr>
        <w:widowControl/>
        <w:spacing w:line="540" w:lineRule="exact"/>
        <w:rPr>
          <w:rFonts w:ascii="宋体" w:hAnsi="宋体" w:cs="宋体"/>
          <w:color w:val="auto"/>
          <w:spacing w:val="8"/>
          <w:kern w:val="0"/>
          <w:sz w:val="24"/>
        </w:rPr>
      </w:pPr>
    </w:p>
    <w:p>
      <w:pPr>
        <w:widowControl/>
        <w:spacing w:line="540" w:lineRule="exact"/>
        <w:rPr>
          <w:rFonts w:ascii="宋体" w:hAnsi="宋体" w:cs="宋体"/>
          <w:color w:val="auto"/>
          <w:spacing w:val="8"/>
          <w:kern w:val="0"/>
          <w:sz w:val="24"/>
        </w:rPr>
      </w:pPr>
      <w:r>
        <w:rPr>
          <w:rFonts w:hint="eastAsia" w:ascii="宋体" w:hAnsi="宋体" w:cs="宋体"/>
          <w:color w:val="auto"/>
          <w:spacing w:val="8"/>
          <w:kern w:val="0"/>
          <w:sz w:val="24"/>
        </w:rPr>
        <w:t>说明：</w:t>
      </w:r>
    </w:p>
    <w:p>
      <w:pPr>
        <w:pStyle w:val="17"/>
        <w:adjustRightInd w:val="0"/>
        <w:spacing w:line="380" w:lineRule="exact"/>
        <w:ind w:firstLine="512" w:firstLineChars="200"/>
        <w:contextualSpacing/>
        <w:rPr>
          <w:rFonts w:hAnsi="宋体" w:cs="宋体"/>
          <w:color w:val="auto"/>
          <w:spacing w:val="8"/>
          <w:kern w:val="0"/>
          <w:sz w:val="24"/>
          <w:szCs w:val="24"/>
        </w:rPr>
      </w:pPr>
      <w:r>
        <w:rPr>
          <w:rFonts w:hint="eastAsia" w:hAnsi="宋体" w:cs="宋体"/>
          <w:color w:val="auto"/>
          <w:spacing w:val="8"/>
          <w:kern w:val="0"/>
          <w:sz w:val="24"/>
          <w:szCs w:val="24"/>
        </w:rPr>
        <w:t>1.大型、中型和小型企业须同时满足所列指标的下限，否则下划一档；微型企业只须满足所列指标中的一项即可。</w:t>
      </w:r>
    </w:p>
    <w:p>
      <w:pPr>
        <w:pStyle w:val="17"/>
        <w:adjustRightInd w:val="0"/>
        <w:spacing w:line="380" w:lineRule="exact"/>
        <w:ind w:firstLine="512" w:firstLineChars="200"/>
        <w:contextualSpacing/>
        <w:rPr>
          <w:rFonts w:hAnsi="宋体" w:cs="宋体"/>
          <w:color w:val="auto"/>
          <w:spacing w:val="8"/>
          <w:kern w:val="0"/>
          <w:sz w:val="24"/>
          <w:szCs w:val="24"/>
        </w:rPr>
      </w:pPr>
      <w:r>
        <w:rPr>
          <w:rFonts w:hint="eastAsia" w:hAnsi="宋体" w:cs="宋体"/>
          <w:color w:val="auto"/>
          <w:spacing w:val="8"/>
          <w:kern w:val="0"/>
          <w:sz w:val="24"/>
          <w:szCs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17"/>
        <w:adjustRightInd w:val="0"/>
        <w:spacing w:line="380" w:lineRule="exact"/>
        <w:ind w:firstLine="512" w:firstLineChars="200"/>
        <w:contextualSpacing/>
        <w:rPr>
          <w:rFonts w:hAnsi="宋体" w:cs="宋体"/>
          <w:bCs/>
          <w:color w:val="auto"/>
        </w:rPr>
      </w:pPr>
      <w:r>
        <w:rPr>
          <w:rFonts w:hint="eastAsia" w:hAnsi="宋体" w:cs="宋体"/>
          <w:color w:val="auto"/>
          <w:spacing w:val="8"/>
          <w:kern w:val="0"/>
          <w:sz w:val="24"/>
          <w:szCs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jc w:val="center"/>
        <w:outlineLvl w:val="0"/>
        <w:rPr>
          <w:rFonts w:ascii="宋体" w:hAnsi="宋体" w:cs="宋体"/>
          <w:color w:val="auto"/>
          <w:sz w:val="32"/>
          <w:szCs w:val="32"/>
        </w:rPr>
      </w:pPr>
      <w:r>
        <w:rPr>
          <w:rFonts w:hint="eastAsia" w:ascii="宋体" w:hAnsi="宋体" w:cs="宋体"/>
          <w:color w:val="auto"/>
          <w:sz w:val="32"/>
          <w:szCs w:val="32"/>
        </w:rPr>
        <w:br w:type="page"/>
      </w:r>
      <w:bookmarkStart w:id="156" w:name="_Toc14595"/>
      <w:bookmarkStart w:id="157" w:name="_Toc9531"/>
      <w:r>
        <w:rPr>
          <w:rFonts w:hint="eastAsia" w:ascii="宋体" w:hAnsi="宋体" w:cs="宋体"/>
          <w:b/>
          <w:bCs/>
          <w:color w:val="auto"/>
          <w:kern w:val="44"/>
          <w:sz w:val="32"/>
          <w:szCs w:val="32"/>
        </w:rPr>
        <w:t>第五章  采购合同（合同主要条款及格式）</w:t>
      </w:r>
      <w:bookmarkEnd w:id="156"/>
      <w:bookmarkEnd w:id="157"/>
    </w:p>
    <w:p>
      <w:pPr>
        <w:spacing w:line="400" w:lineRule="exact"/>
        <w:rPr>
          <w:rFonts w:ascii="宋体" w:hAnsi="宋体" w:cs="宋体"/>
          <w:color w:val="auto"/>
        </w:rPr>
      </w:pPr>
      <w:r>
        <w:rPr>
          <w:rFonts w:hint="eastAsia" w:ascii="宋体" w:hAnsi="宋体" w:cs="宋体"/>
          <w:color w:val="auto"/>
        </w:rPr>
        <w:t>合同编号：GLZC2020-HTG1-120018-JCZX</w:t>
      </w:r>
    </w:p>
    <w:p>
      <w:pPr>
        <w:spacing w:line="400" w:lineRule="exact"/>
        <w:rPr>
          <w:rFonts w:ascii="宋体" w:hAnsi="宋体" w:cs="宋体"/>
          <w:color w:val="auto"/>
        </w:rPr>
      </w:pPr>
      <w:r>
        <w:rPr>
          <w:rFonts w:hint="eastAsia" w:ascii="宋体" w:hAnsi="宋体" w:cs="宋体"/>
          <w:color w:val="auto"/>
        </w:rPr>
        <w:t xml:space="preserve">项目名称：临桂区2020年中小学班班通多媒体设备采购 </w:t>
      </w:r>
    </w:p>
    <w:p>
      <w:pPr>
        <w:spacing w:line="400" w:lineRule="exact"/>
        <w:rPr>
          <w:rFonts w:ascii="宋体" w:hAnsi="宋体" w:cs="宋体"/>
          <w:color w:val="auto"/>
        </w:rPr>
      </w:pPr>
      <w:r>
        <w:rPr>
          <w:rFonts w:hint="eastAsia" w:ascii="宋体" w:hAnsi="宋体" w:cs="宋体"/>
          <w:color w:val="auto"/>
        </w:rPr>
        <w:t>项目编号：GLZC2020-G1-120018-JCZX</w:t>
      </w:r>
    </w:p>
    <w:p>
      <w:pPr>
        <w:spacing w:line="400" w:lineRule="exact"/>
        <w:rPr>
          <w:rFonts w:ascii="宋体" w:hAnsi="宋体" w:cs="宋体"/>
          <w:color w:val="auto"/>
          <w:u w:val="single"/>
        </w:rPr>
      </w:pPr>
      <w:r>
        <w:rPr>
          <w:rFonts w:hint="eastAsia" w:ascii="宋体" w:hAnsi="宋体" w:cs="宋体"/>
          <w:color w:val="auto"/>
        </w:rPr>
        <w:t>甲方：</w:t>
      </w:r>
      <w:r>
        <w:rPr>
          <w:rFonts w:hint="eastAsia" w:ascii="宋体" w:hAnsi="宋体" w:cs="宋体"/>
          <w:color w:val="auto"/>
          <w:u w:val="single"/>
        </w:rPr>
        <w:t xml:space="preserve">   </w:t>
      </w:r>
      <w:r>
        <w:rPr>
          <w:rFonts w:hint="eastAsia" w:ascii="宋体" w:hAnsi="宋体" w:cs="宋体"/>
          <w:color w:val="auto"/>
          <w:szCs w:val="21"/>
          <w:u w:val="single"/>
        </w:rPr>
        <w:t xml:space="preserve">   桂林市临桂区教育局       </w:t>
      </w:r>
      <w:r>
        <w:rPr>
          <w:rFonts w:hint="eastAsia" w:ascii="宋体" w:hAnsi="宋体" w:cs="宋体"/>
          <w:color w:val="auto"/>
        </w:rPr>
        <w:t>（采购人）</w:t>
      </w:r>
    </w:p>
    <w:p>
      <w:pPr>
        <w:spacing w:line="400" w:lineRule="exact"/>
        <w:rPr>
          <w:rFonts w:ascii="宋体" w:hAnsi="宋体" w:cs="宋体"/>
          <w:color w:val="auto"/>
        </w:rPr>
      </w:pPr>
      <w:r>
        <w:rPr>
          <w:rFonts w:hint="eastAsia" w:ascii="宋体" w:hAnsi="宋体" w:cs="宋体"/>
          <w:color w:val="auto"/>
        </w:rPr>
        <w:t>乙方：</w:t>
      </w:r>
      <w:r>
        <w:rPr>
          <w:rFonts w:hint="eastAsia" w:ascii="宋体" w:hAnsi="宋体" w:cs="宋体"/>
          <w:color w:val="auto"/>
          <w:u w:val="single"/>
        </w:rPr>
        <w:t xml:space="preserve">                                       </w:t>
      </w:r>
      <w:r>
        <w:rPr>
          <w:rFonts w:hint="eastAsia" w:ascii="宋体" w:hAnsi="宋体" w:cs="宋体"/>
          <w:color w:val="auto"/>
        </w:rPr>
        <w:t>（中标供应商）</w:t>
      </w:r>
    </w:p>
    <w:p>
      <w:pPr>
        <w:spacing w:line="400" w:lineRule="exact"/>
        <w:ind w:firstLine="420" w:firstLineChars="200"/>
        <w:rPr>
          <w:rFonts w:ascii="宋体" w:hAnsi="宋体" w:cs="宋体"/>
          <w:color w:val="auto"/>
        </w:rPr>
      </w:pPr>
      <w:r>
        <w:rPr>
          <w:rFonts w:hint="eastAsia" w:ascii="宋体" w:hAnsi="宋体" w:cs="宋体"/>
          <w:color w:val="auto"/>
        </w:rPr>
        <w:t>根据《中华人民共和国政府采购法》、《中华人民共和国政府采购法实施条例》、《中华人民共和国合同法》等法律、法规规定，按照招、投标文件规定条款和中标供应商承诺、甲乙双方签订本采购合同。</w:t>
      </w:r>
    </w:p>
    <w:p>
      <w:pPr>
        <w:spacing w:line="400" w:lineRule="exact"/>
        <w:ind w:firstLine="413" w:firstLineChars="196"/>
        <w:outlineLvl w:val="1"/>
        <w:rPr>
          <w:color w:val="auto"/>
        </w:rPr>
      </w:pPr>
      <w:bookmarkStart w:id="158" w:name="_Toc7911"/>
      <w:bookmarkStart w:id="159" w:name="_Toc495841768"/>
      <w:bookmarkStart w:id="160" w:name="_Toc21474"/>
      <w:r>
        <w:rPr>
          <w:rFonts w:hint="eastAsia" w:ascii="宋体" w:hAnsi="宋体" w:cs="宋体"/>
          <w:b/>
          <w:color w:val="auto"/>
          <w:szCs w:val="21"/>
        </w:rPr>
        <w:t>第一条  合同标的及合同金额</w:t>
      </w:r>
      <w:bookmarkEnd w:id="158"/>
      <w:bookmarkEnd w:id="159"/>
      <w:bookmarkEnd w:id="160"/>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2"/>
        <w:gridCol w:w="1445"/>
        <w:gridCol w:w="1483"/>
        <w:gridCol w:w="1073"/>
        <w:gridCol w:w="714"/>
        <w:gridCol w:w="154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709" w:type="dxa"/>
            <w:shd w:val="clear" w:color="auto" w:fill="8DB3E2"/>
            <w:vAlign w:val="center"/>
          </w:tcPr>
          <w:p>
            <w:pPr>
              <w:snapToGrid w:val="0"/>
              <w:spacing w:line="280" w:lineRule="exact"/>
              <w:jc w:val="center"/>
              <w:rPr>
                <w:rFonts w:ascii="宋体" w:hAnsi="宋体" w:cs="宋体"/>
                <w:b/>
                <w:color w:val="auto"/>
                <w:szCs w:val="21"/>
              </w:rPr>
            </w:pPr>
            <w:r>
              <w:rPr>
                <w:rFonts w:hint="eastAsia" w:ascii="宋体" w:hAnsi="宋体" w:cs="宋体"/>
                <w:b/>
                <w:color w:val="auto"/>
                <w:szCs w:val="21"/>
              </w:rPr>
              <w:t>项号</w:t>
            </w:r>
          </w:p>
        </w:tc>
        <w:tc>
          <w:tcPr>
            <w:tcW w:w="1232" w:type="dxa"/>
            <w:shd w:val="clear" w:color="auto" w:fill="8DB3E2"/>
            <w:vAlign w:val="center"/>
          </w:tcPr>
          <w:p>
            <w:pPr>
              <w:snapToGrid w:val="0"/>
              <w:spacing w:line="280" w:lineRule="exact"/>
              <w:jc w:val="center"/>
              <w:rPr>
                <w:rFonts w:ascii="宋体" w:hAnsi="宋体" w:cs="宋体"/>
                <w:b/>
                <w:color w:val="auto"/>
                <w:szCs w:val="21"/>
              </w:rPr>
            </w:pPr>
            <w:r>
              <w:rPr>
                <w:rFonts w:hint="eastAsia" w:ascii="宋体" w:hAnsi="宋体" w:cs="宋体"/>
                <w:b/>
                <w:color w:val="auto"/>
                <w:szCs w:val="21"/>
              </w:rPr>
              <w:t>货物名称</w:t>
            </w:r>
          </w:p>
        </w:tc>
        <w:tc>
          <w:tcPr>
            <w:tcW w:w="1445" w:type="dxa"/>
            <w:shd w:val="clear" w:color="auto" w:fill="8DB3E2"/>
            <w:vAlign w:val="center"/>
          </w:tcPr>
          <w:p>
            <w:pPr>
              <w:snapToGrid w:val="0"/>
              <w:spacing w:line="280" w:lineRule="exact"/>
              <w:jc w:val="center"/>
              <w:rPr>
                <w:rFonts w:ascii="宋体" w:hAnsi="宋体" w:cs="宋体"/>
                <w:b/>
                <w:color w:val="auto"/>
                <w:szCs w:val="21"/>
              </w:rPr>
            </w:pPr>
            <w:r>
              <w:rPr>
                <w:rFonts w:hint="eastAsia" w:ascii="宋体" w:hAnsi="宋体" w:cs="宋体"/>
                <w:b/>
                <w:color w:val="auto"/>
                <w:szCs w:val="30"/>
              </w:rPr>
              <w:t>生产厂家、品牌、规格型号</w:t>
            </w:r>
          </w:p>
        </w:tc>
        <w:tc>
          <w:tcPr>
            <w:tcW w:w="1483" w:type="dxa"/>
            <w:shd w:val="clear" w:color="auto" w:fill="8DB3E2"/>
            <w:vAlign w:val="center"/>
          </w:tcPr>
          <w:p>
            <w:pPr>
              <w:snapToGrid w:val="0"/>
              <w:spacing w:line="280" w:lineRule="exact"/>
              <w:jc w:val="center"/>
              <w:rPr>
                <w:rFonts w:ascii="宋体" w:hAnsi="宋体" w:cs="宋体"/>
                <w:b/>
                <w:color w:val="auto"/>
                <w:szCs w:val="21"/>
              </w:rPr>
            </w:pPr>
            <w:r>
              <w:rPr>
                <w:rFonts w:hint="eastAsia" w:ascii="宋体" w:hAnsi="宋体" w:cs="宋体"/>
                <w:b/>
                <w:color w:val="auto"/>
                <w:szCs w:val="21"/>
              </w:rPr>
              <w:t>技术参数</w:t>
            </w:r>
          </w:p>
        </w:tc>
        <w:tc>
          <w:tcPr>
            <w:tcW w:w="1073" w:type="dxa"/>
            <w:shd w:val="clear" w:color="auto" w:fill="8DB3E2"/>
            <w:vAlign w:val="center"/>
          </w:tcPr>
          <w:p>
            <w:pPr>
              <w:snapToGrid w:val="0"/>
              <w:spacing w:line="280" w:lineRule="exact"/>
              <w:jc w:val="center"/>
              <w:rPr>
                <w:rFonts w:ascii="宋体" w:hAnsi="宋体" w:cs="宋体"/>
                <w:b/>
                <w:color w:val="auto"/>
                <w:szCs w:val="21"/>
              </w:rPr>
            </w:pPr>
            <w:r>
              <w:rPr>
                <w:rFonts w:hint="eastAsia" w:ascii="宋体" w:hAnsi="宋体" w:cs="宋体"/>
                <w:b/>
                <w:color w:val="auto"/>
                <w:szCs w:val="21"/>
              </w:rPr>
              <w:t>数量</w:t>
            </w:r>
          </w:p>
          <w:p>
            <w:pPr>
              <w:snapToGrid w:val="0"/>
              <w:spacing w:line="280" w:lineRule="exact"/>
              <w:jc w:val="center"/>
              <w:rPr>
                <w:rFonts w:ascii="宋体" w:hAnsi="宋体" w:cs="宋体"/>
                <w:b/>
                <w:color w:val="auto"/>
                <w:szCs w:val="21"/>
              </w:rPr>
            </w:pPr>
            <w:r>
              <w:rPr>
                <w:rFonts w:hint="eastAsia" w:ascii="宋体" w:hAnsi="宋体" w:cs="宋体"/>
                <w:b/>
                <w:color w:val="auto"/>
                <w:szCs w:val="21"/>
              </w:rPr>
              <w:t>①</w:t>
            </w:r>
          </w:p>
        </w:tc>
        <w:tc>
          <w:tcPr>
            <w:tcW w:w="714" w:type="dxa"/>
            <w:shd w:val="clear" w:color="auto" w:fill="8DB3E2"/>
            <w:vAlign w:val="center"/>
          </w:tcPr>
          <w:p>
            <w:pPr>
              <w:snapToGrid w:val="0"/>
              <w:spacing w:line="280" w:lineRule="exact"/>
              <w:jc w:val="center"/>
              <w:rPr>
                <w:rFonts w:ascii="宋体" w:hAnsi="宋体" w:cs="宋体"/>
                <w:b/>
                <w:color w:val="auto"/>
                <w:szCs w:val="21"/>
              </w:rPr>
            </w:pPr>
            <w:r>
              <w:rPr>
                <w:rFonts w:hint="eastAsia" w:ascii="宋体" w:hAnsi="宋体" w:cs="宋体"/>
                <w:b/>
                <w:color w:val="auto"/>
                <w:szCs w:val="21"/>
              </w:rPr>
              <w:t>单位</w:t>
            </w:r>
          </w:p>
        </w:tc>
        <w:tc>
          <w:tcPr>
            <w:tcW w:w="1545" w:type="dxa"/>
            <w:shd w:val="clear" w:color="auto" w:fill="8DB3E2"/>
            <w:vAlign w:val="center"/>
          </w:tcPr>
          <w:p>
            <w:pPr>
              <w:snapToGrid w:val="0"/>
              <w:spacing w:line="280" w:lineRule="exact"/>
              <w:jc w:val="center"/>
              <w:rPr>
                <w:rFonts w:ascii="宋体" w:hAnsi="宋体" w:cs="宋体"/>
                <w:b/>
                <w:color w:val="auto"/>
                <w:szCs w:val="21"/>
              </w:rPr>
            </w:pPr>
            <w:r>
              <w:rPr>
                <w:rFonts w:hint="eastAsia" w:ascii="宋体" w:hAnsi="宋体" w:cs="宋体"/>
                <w:b/>
                <w:color w:val="auto"/>
                <w:szCs w:val="21"/>
              </w:rPr>
              <w:t>单价（元）</w:t>
            </w:r>
          </w:p>
          <w:p>
            <w:pPr>
              <w:snapToGrid w:val="0"/>
              <w:spacing w:line="280" w:lineRule="exact"/>
              <w:jc w:val="center"/>
              <w:rPr>
                <w:rFonts w:ascii="宋体" w:hAnsi="宋体" w:cs="宋体"/>
                <w:b/>
                <w:color w:val="auto"/>
                <w:szCs w:val="21"/>
              </w:rPr>
            </w:pPr>
            <w:r>
              <w:rPr>
                <w:rFonts w:hint="eastAsia" w:ascii="宋体" w:hAnsi="宋体" w:cs="宋体"/>
                <w:b/>
                <w:color w:val="auto"/>
                <w:szCs w:val="21"/>
              </w:rPr>
              <w:t>②</w:t>
            </w:r>
          </w:p>
        </w:tc>
        <w:tc>
          <w:tcPr>
            <w:tcW w:w="1575" w:type="dxa"/>
            <w:shd w:val="clear" w:color="auto" w:fill="8DB3E2"/>
            <w:vAlign w:val="center"/>
          </w:tcPr>
          <w:p>
            <w:pPr>
              <w:snapToGrid w:val="0"/>
              <w:spacing w:line="280" w:lineRule="exact"/>
              <w:jc w:val="center"/>
              <w:rPr>
                <w:rFonts w:ascii="宋体" w:hAnsi="宋体" w:cs="宋体"/>
                <w:b/>
                <w:color w:val="auto"/>
                <w:szCs w:val="21"/>
              </w:rPr>
            </w:pPr>
            <w:r>
              <w:rPr>
                <w:rFonts w:hint="eastAsia" w:ascii="宋体" w:hAnsi="宋体" w:cs="宋体"/>
                <w:b/>
                <w:color w:val="auto"/>
                <w:szCs w:val="21"/>
              </w:rPr>
              <w:t>单项合计金额（元）</w:t>
            </w:r>
          </w:p>
          <w:p>
            <w:pPr>
              <w:snapToGrid w:val="0"/>
              <w:spacing w:line="280" w:lineRule="exact"/>
              <w:jc w:val="center"/>
              <w:rPr>
                <w:rFonts w:ascii="宋体" w:hAnsi="宋体" w:cs="宋体"/>
                <w:b/>
                <w:color w:val="auto"/>
                <w:szCs w:val="21"/>
              </w:rPr>
            </w:pPr>
            <w:r>
              <w:rPr>
                <w:rFonts w:hint="eastAsia" w:ascii="宋体" w:hAnsi="宋体" w:cs="宋体"/>
                <w:b/>
                <w:color w:val="auto"/>
                <w:szCs w:val="21"/>
              </w:rPr>
              <w:t>③＝①×②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pPr>
              <w:snapToGrid w:val="0"/>
              <w:spacing w:line="400" w:lineRule="exact"/>
              <w:jc w:val="center"/>
              <w:rPr>
                <w:rFonts w:ascii="宋体" w:hAnsi="宋体" w:cs="宋体"/>
                <w:color w:val="auto"/>
                <w:szCs w:val="21"/>
              </w:rPr>
            </w:pPr>
            <w:r>
              <w:rPr>
                <w:rFonts w:hint="eastAsia" w:ascii="宋体" w:hAnsi="宋体" w:cs="宋体"/>
                <w:color w:val="auto"/>
                <w:szCs w:val="21"/>
              </w:rPr>
              <w:t>1</w:t>
            </w:r>
          </w:p>
        </w:tc>
        <w:tc>
          <w:tcPr>
            <w:tcW w:w="1232" w:type="dxa"/>
            <w:vAlign w:val="center"/>
          </w:tcPr>
          <w:p>
            <w:pPr>
              <w:snapToGrid w:val="0"/>
              <w:spacing w:line="400" w:lineRule="exact"/>
              <w:jc w:val="center"/>
              <w:rPr>
                <w:rFonts w:ascii="宋体" w:hAnsi="宋体" w:cs="宋体"/>
                <w:color w:val="auto"/>
                <w:szCs w:val="21"/>
              </w:rPr>
            </w:pPr>
          </w:p>
        </w:tc>
        <w:tc>
          <w:tcPr>
            <w:tcW w:w="1445" w:type="dxa"/>
            <w:vAlign w:val="center"/>
          </w:tcPr>
          <w:p>
            <w:pPr>
              <w:snapToGrid w:val="0"/>
              <w:spacing w:line="400" w:lineRule="exact"/>
              <w:jc w:val="center"/>
              <w:rPr>
                <w:rFonts w:ascii="宋体" w:hAnsi="宋体" w:cs="宋体"/>
                <w:color w:val="auto"/>
                <w:szCs w:val="21"/>
              </w:rPr>
            </w:pPr>
          </w:p>
        </w:tc>
        <w:tc>
          <w:tcPr>
            <w:tcW w:w="1483" w:type="dxa"/>
            <w:vAlign w:val="center"/>
          </w:tcPr>
          <w:p>
            <w:pPr>
              <w:snapToGrid w:val="0"/>
              <w:spacing w:line="400" w:lineRule="exact"/>
              <w:jc w:val="center"/>
              <w:rPr>
                <w:rFonts w:ascii="宋体" w:hAnsi="宋体" w:cs="宋体"/>
                <w:color w:val="auto"/>
                <w:szCs w:val="21"/>
              </w:rPr>
            </w:pPr>
          </w:p>
        </w:tc>
        <w:tc>
          <w:tcPr>
            <w:tcW w:w="1073" w:type="dxa"/>
            <w:vAlign w:val="center"/>
          </w:tcPr>
          <w:p>
            <w:pPr>
              <w:snapToGrid w:val="0"/>
              <w:spacing w:line="400" w:lineRule="exact"/>
              <w:jc w:val="center"/>
              <w:rPr>
                <w:rFonts w:ascii="宋体" w:hAnsi="宋体" w:cs="宋体"/>
                <w:color w:val="auto"/>
                <w:szCs w:val="21"/>
              </w:rPr>
            </w:pPr>
          </w:p>
        </w:tc>
        <w:tc>
          <w:tcPr>
            <w:tcW w:w="714" w:type="dxa"/>
            <w:vAlign w:val="center"/>
          </w:tcPr>
          <w:p>
            <w:pPr>
              <w:snapToGrid w:val="0"/>
              <w:spacing w:line="400" w:lineRule="exact"/>
              <w:jc w:val="center"/>
              <w:rPr>
                <w:rFonts w:ascii="宋体" w:hAnsi="宋体" w:cs="宋体"/>
                <w:color w:val="auto"/>
                <w:szCs w:val="21"/>
              </w:rPr>
            </w:pPr>
          </w:p>
        </w:tc>
        <w:tc>
          <w:tcPr>
            <w:tcW w:w="1545" w:type="dxa"/>
            <w:vAlign w:val="center"/>
          </w:tcPr>
          <w:p>
            <w:pPr>
              <w:snapToGrid w:val="0"/>
              <w:spacing w:line="400" w:lineRule="exact"/>
              <w:jc w:val="center"/>
              <w:rPr>
                <w:rFonts w:ascii="宋体" w:hAnsi="宋体" w:cs="宋体"/>
                <w:color w:val="auto"/>
                <w:szCs w:val="21"/>
              </w:rPr>
            </w:pPr>
          </w:p>
        </w:tc>
        <w:tc>
          <w:tcPr>
            <w:tcW w:w="1575" w:type="dxa"/>
            <w:vAlign w:val="center"/>
          </w:tcPr>
          <w:p>
            <w:pPr>
              <w:snapToGrid w:val="0"/>
              <w:spacing w:line="40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pPr>
              <w:snapToGrid w:val="0"/>
              <w:spacing w:line="400" w:lineRule="exact"/>
              <w:jc w:val="center"/>
              <w:rPr>
                <w:rFonts w:ascii="宋体" w:hAnsi="宋体" w:cs="宋体"/>
                <w:color w:val="auto"/>
                <w:szCs w:val="21"/>
              </w:rPr>
            </w:pPr>
            <w:r>
              <w:rPr>
                <w:rFonts w:hint="eastAsia" w:ascii="宋体" w:hAnsi="宋体" w:cs="宋体"/>
                <w:color w:val="auto"/>
                <w:szCs w:val="21"/>
              </w:rPr>
              <w:t>2</w:t>
            </w:r>
          </w:p>
        </w:tc>
        <w:tc>
          <w:tcPr>
            <w:tcW w:w="1232" w:type="dxa"/>
            <w:vAlign w:val="center"/>
          </w:tcPr>
          <w:p>
            <w:pPr>
              <w:snapToGrid w:val="0"/>
              <w:spacing w:line="400" w:lineRule="exact"/>
              <w:jc w:val="center"/>
              <w:rPr>
                <w:rFonts w:ascii="宋体" w:hAnsi="宋体" w:cs="宋体"/>
                <w:color w:val="auto"/>
                <w:szCs w:val="21"/>
              </w:rPr>
            </w:pPr>
          </w:p>
        </w:tc>
        <w:tc>
          <w:tcPr>
            <w:tcW w:w="1445" w:type="dxa"/>
            <w:vAlign w:val="center"/>
          </w:tcPr>
          <w:p>
            <w:pPr>
              <w:snapToGrid w:val="0"/>
              <w:spacing w:line="400" w:lineRule="exact"/>
              <w:jc w:val="center"/>
              <w:rPr>
                <w:rFonts w:ascii="宋体" w:hAnsi="宋体" w:cs="宋体"/>
                <w:color w:val="auto"/>
                <w:szCs w:val="21"/>
              </w:rPr>
            </w:pPr>
          </w:p>
        </w:tc>
        <w:tc>
          <w:tcPr>
            <w:tcW w:w="1483" w:type="dxa"/>
            <w:vAlign w:val="center"/>
          </w:tcPr>
          <w:p>
            <w:pPr>
              <w:snapToGrid w:val="0"/>
              <w:spacing w:line="400" w:lineRule="exact"/>
              <w:jc w:val="center"/>
              <w:rPr>
                <w:rFonts w:ascii="宋体" w:hAnsi="宋体" w:cs="宋体"/>
                <w:color w:val="auto"/>
                <w:szCs w:val="21"/>
              </w:rPr>
            </w:pPr>
          </w:p>
        </w:tc>
        <w:tc>
          <w:tcPr>
            <w:tcW w:w="1073" w:type="dxa"/>
            <w:vAlign w:val="center"/>
          </w:tcPr>
          <w:p>
            <w:pPr>
              <w:snapToGrid w:val="0"/>
              <w:spacing w:line="400" w:lineRule="exact"/>
              <w:jc w:val="center"/>
              <w:rPr>
                <w:rFonts w:ascii="宋体" w:hAnsi="宋体" w:cs="宋体"/>
                <w:color w:val="auto"/>
                <w:szCs w:val="21"/>
              </w:rPr>
            </w:pPr>
          </w:p>
        </w:tc>
        <w:tc>
          <w:tcPr>
            <w:tcW w:w="714" w:type="dxa"/>
            <w:vAlign w:val="center"/>
          </w:tcPr>
          <w:p>
            <w:pPr>
              <w:snapToGrid w:val="0"/>
              <w:spacing w:line="400" w:lineRule="exact"/>
              <w:jc w:val="center"/>
              <w:rPr>
                <w:rFonts w:ascii="宋体" w:hAnsi="宋体" w:cs="宋体"/>
                <w:color w:val="auto"/>
                <w:szCs w:val="21"/>
              </w:rPr>
            </w:pPr>
          </w:p>
        </w:tc>
        <w:tc>
          <w:tcPr>
            <w:tcW w:w="1545" w:type="dxa"/>
            <w:vAlign w:val="center"/>
          </w:tcPr>
          <w:p>
            <w:pPr>
              <w:snapToGrid w:val="0"/>
              <w:spacing w:line="400" w:lineRule="exact"/>
              <w:jc w:val="center"/>
              <w:rPr>
                <w:rFonts w:ascii="宋体" w:hAnsi="宋体" w:cs="宋体"/>
                <w:color w:val="auto"/>
                <w:szCs w:val="21"/>
              </w:rPr>
            </w:pPr>
          </w:p>
        </w:tc>
        <w:tc>
          <w:tcPr>
            <w:tcW w:w="1575" w:type="dxa"/>
            <w:vAlign w:val="center"/>
          </w:tcPr>
          <w:p>
            <w:pPr>
              <w:snapToGrid w:val="0"/>
              <w:spacing w:line="40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pPr>
              <w:snapToGrid w:val="0"/>
              <w:spacing w:line="400" w:lineRule="exact"/>
              <w:jc w:val="center"/>
              <w:rPr>
                <w:rFonts w:ascii="宋体" w:hAnsi="宋体" w:cs="宋体"/>
                <w:color w:val="auto"/>
                <w:szCs w:val="21"/>
              </w:rPr>
            </w:pPr>
            <w:r>
              <w:rPr>
                <w:rFonts w:hint="eastAsia" w:ascii="宋体" w:hAnsi="宋体" w:cs="宋体"/>
                <w:color w:val="auto"/>
                <w:szCs w:val="21"/>
              </w:rPr>
              <w:t>…</w:t>
            </w:r>
          </w:p>
        </w:tc>
        <w:tc>
          <w:tcPr>
            <w:tcW w:w="1232" w:type="dxa"/>
            <w:vAlign w:val="center"/>
          </w:tcPr>
          <w:p>
            <w:pPr>
              <w:snapToGrid w:val="0"/>
              <w:spacing w:line="400" w:lineRule="exact"/>
              <w:jc w:val="center"/>
              <w:rPr>
                <w:rFonts w:ascii="宋体" w:hAnsi="宋体" w:cs="宋体"/>
                <w:color w:val="auto"/>
                <w:szCs w:val="21"/>
              </w:rPr>
            </w:pPr>
          </w:p>
        </w:tc>
        <w:tc>
          <w:tcPr>
            <w:tcW w:w="1445" w:type="dxa"/>
            <w:vAlign w:val="center"/>
          </w:tcPr>
          <w:p>
            <w:pPr>
              <w:snapToGrid w:val="0"/>
              <w:spacing w:line="400" w:lineRule="exact"/>
              <w:jc w:val="center"/>
              <w:rPr>
                <w:rFonts w:ascii="宋体" w:hAnsi="宋体" w:cs="宋体"/>
                <w:color w:val="auto"/>
                <w:szCs w:val="21"/>
              </w:rPr>
            </w:pPr>
          </w:p>
        </w:tc>
        <w:tc>
          <w:tcPr>
            <w:tcW w:w="1483" w:type="dxa"/>
            <w:vAlign w:val="center"/>
          </w:tcPr>
          <w:p>
            <w:pPr>
              <w:snapToGrid w:val="0"/>
              <w:spacing w:line="400" w:lineRule="exact"/>
              <w:jc w:val="center"/>
              <w:rPr>
                <w:rFonts w:ascii="宋体" w:hAnsi="宋体" w:cs="宋体"/>
                <w:color w:val="auto"/>
                <w:szCs w:val="21"/>
              </w:rPr>
            </w:pPr>
          </w:p>
        </w:tc>
        <w:tc>
          <w:tcPr>
            <w:tcW w:w="1073" w:type="dxa"/>
            <w:vAlign w:val="center"/>
          </w:tcPr>
          <w:p>
            <w:pPr>
              <w:snapToGrid w:val="0"/>
              <w:spacing w:line="400" w:lineRule="exact"/>
              <w:jc w:val="center"/>
              <w:rPr>
                <w:rFonts w:ascii="宋体" w:hAnsi="宋体" w:cs="宋体"/>
                <w:color w:val="auto"/>
                <w:szCs w:val="21"/>
              </w:rPr>
            </w:pPr>
          </w:p>
        </w:tc>
        <w:tc>
          <w:tcPr>
            <w:tcW w:w="714" w:type="dxa"/>
            <w:vAlign w:val="center"/>
          </w:tcPr>
          <w:p>
            <w:pPr>
              <w:snapToGrid w:val="0"/>
              <w:spacing w:line="400" w:lineRule="exact"/>
              <w:jc w:val="center"/>
              <w:rPr>
                <w:rFonts w:ascii="宋体" w:hAnsi="宋体" w:cs="宋体"/>
                <w:color w:val="auto"/>
                <w:szCs w:val="21"/>
              </w:rPr>
            </w:pPr>
          </w:p>
        </w:tc>
        <w:tc>
          <w:tcPr>
            <w:tcW w:w="1545" w:type="dxa"/>
            <w:vAlign w:val="center"/>
          </w:tcPr>
          <w:p>
            <w:pPr>
              <w:snapToGrid w:val="0"/>
              <w:spacing w:line="400" w:lineRule="exact"/>
              <w:jc w:val="center"/>
              <w:rPr>
                <w:rFonts w:ascii="宋体" w:hAnsi="宋体" w:cs="宋体"/>
                <w:color w:val="auto"/>
                <w:szCs w:val="21"/>
              </w:rPr>
            </w:pPr>
          </w:p>
        </w:tc>
        <w:tc>
          <w:tcPr>
            <w:tcW w:w="1575" w:type="dxa"/>
            <w:vAlign w:val="center"/>
          </w:tcPr>
          <w:p>
            <w:pPr>
              <w:snapToGrid w:val="0"/>
              <w:spacing w:line="40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8201" w:type="dxa"/>
            <w:gridSpan w:val="7"/>
            <w:vAlign w:val="center"/>
          </w:tcPr>
          <w:p>
            <w:pPr>
              <w:snapToGrid w:val="0"/>
              <w:spacing w:line="400" w:lineRule="exact"/>
              <w:rPr>
                <w:rFonts w:ascii="宋体" w:hAnsi="宋体" w:cs="宋体"/>
                <w:color w:val="auto"/>
                <w:szCs w:val="21"/>
              </w:rPr>
            </w:pPr>
            <w:r>
              <w:rPr>
                <w:rFonts w:hint="eastAsia" w:ascii="宋体" w:hAnsi="宋体" w:cs="宋体"/>
                <w:color w:val="auto"/>
                <w:szCs w:val="21"/>
              </w:rPr>
              <w:t xml:space="preserve">                                                               合     计</w:t>
            </w:r>
          </w:p>
        </w:tc>
        <w:tc>
          <w:tcPr>
            <w:tcW w:w="1575" w:type="dxa"/>
            <w:vAlign w:val="center"/>
          </w:tcPr>
          <w:p>
            <w:pPr>
              <w:snapToGrid w:val="0"/>
              <w:spacing w:line="400" w:lineRule="exact"/>
              <w:rPr>
                <w:rFonts w:ascii="宋体" w:hAnsi="宋体" w:cs="宋体"/>
                <w:color w:val="auto"/>
                <w:szCs w:val="21"/>
              </w:rPr>
            </w:pPr>
          </w:p>
        </w:tc>
      </w:tr>
    </w:tbl>
    <w:p>
      <w:pPr>
        <w:spacing w:line="400" w:lineRule="exact"/>
        <w:ind w:firstLine="411" w:firstLineChars="196"/>
        <w:rPr>
          <w:rFonts w:ascii="宋体" w:hAnsi="宋体" w:cs="宋体"/>
          <w:color w:val="auto"/>
          <w:szCs w:val="21"/>
        </w:rPr>
      </w:pPr>
      <w:r>
        <w:rPr>
          <w:rFonts w:hint="eastAsia" w:ascii="宋体" w:hAnsi="宋体" w:cs="宋体"/>
          <w:color w:val="auto"/>
          <w:szCs w:val="21"/>
        </w:rPr>
        <w:t>根据《中标通知书》的中标内容，合同的总金额为：（大写）</w:t>
      </w:r>
      <w:r>
        <w:rPr>
          <w:rFonts w:hint="eastAsia" w:ascii="宋体" w:hAnsi="宋体" w:cs="宋体"/>
          <w:color w:val="auto"/>
          <w:szCs w:val="21"/>
          <w:u w:val="single"/>
        </w:rPr>
        <w:t xml:space="preserve">             </w:t>
      </w:r>
      <w:r>
        <w:rPr>
          <w:rFonts w:hint="eastAsia" w:ascii="宋体" w:hAnsi="宋体" w:cs="宋体"/>
          <w:color w:val="auto"/>
          <w:szCs w:val="21"/>
        </w:rPr>
        <w:t>人民币（RMB¥</w:t>
      </w:r>
      <w:r>
        <w:rPr>
          <w:rFonts w:hint="eastAsia" w:ascii="宋体" w:hAnsi="宋体" w:cs="宋体"/>
          <w:color w:val="auto"/>
          <w:szCs w:val="21"/>
          <w:u w:val="single"/>
        </w:rPr>
        <w:t xml:space="preserve">         </w:t>
      </w:r>
      <w:r>
        <w:rPr>
          <w:rFonts w:hint="eastAsia" w:ascii="宋体" w:hAnsi="宋体" w:cs="宋体"/>
          <w:color w:val="auto"/>
          <w:szCs w:val="21"/>
        </w:rPr>
        <w:t>元）</w:t>
      </w:r>
    </w:p>
    <w:p>
      <w:pPr>
        <w:spacing w:line="400" w:lineRule="exact"/>
        <w:ind w:firstLine="413" w:firstLineChars="196"/>
        <w:outlineLvl w:val="1"/>
        <w:rPr>
          <w:rFonts w:ascii="宋体" w:hAnsi="宋体" w:cs="宋体"/>
          <w:b/>
          <w:color w:val="auto"/>
          <w:szCs w:val="21"/>
        </w:rPr>
      </w:pPr>
      <w:bookmarkStart w:id="161" w:name="_Toc495841769"/>
      <w:bookmarkStart w:id="162" w:name="_Toc31676"/>
      <w:bookmarkStart w:id="163" w:name="_Toc15939"/>
      <w:r>
        <w:rPr>
          <w:rFonts w:hint="eastAsia" w:ascii="宋体" w:hAnsi="宋体" w:cs="宋体"/>
          <w:b/>
          <w:color w:val="auto"/>
          <w:szCs w:val="21"/>
        </w:rPr>
        <w:t>第二条  质量保证</w:t>
      </w:r>
      <w:bookmarkEnd w:id="161"/>
      <w:bookmarkEnd w:id="162"/>
      <w:bookmarkEnd w:id="163"/>
    </w:p>
    <w:p>
      <w:pPr>
        <w:spacing w:line="400" w:lineRule="exact"/>
        <w:ind w:firstLine="411" w:firstLineChars="196"/>
        <w:rPr>
          <w:rFonts w:ascii="宋体" w:hAnsi="宋体" w:cs="宋体"/>
          <w:color w:val="auto"/>
          <w:szCs w:val="21"/>
        </w:rPr>
      </w:pPr>
      <w:r>
        <w:rPr>
          <w:rFonts w:hint="eastAsia" w:ascii="宋体" w:hAnsi="宋体" w:cs="宋体"/>
          <w:color w:val="auto"/>
          <w:szCs w:val="21"/>
        </w:rPr>
        <w:t>1.乙方应按投标文件承诺的货物规格型号、技术参数、质量标准等向甲方提供未经使用的全新原装产品，且在正常安装使用和保养条件下，其使用寿命期内各项指标均达到质量标准。乙方提供的节能和环境标志产品必须是列入现行政府采购清单目录内的产品。</w:t>
      </w:r>
    </w:p>
    <w:p>
      <w:pPr>
        <w:spacing w:line="400" w:lineRule="exact"/>
        <w:ind w:firstLine="435"/>
        <w:rPr>
          <w:rFonts w:ascii="宋体" w:hAnsi="宋体" w:cs="宋体"/>
          <w:color w:val="auto"/>
          <w:szCs w:val="21"/>
        </w:rPr>
      </w:pPr>
      <w:r>
        <w:rPr>
          <w:rFonts w:hint="eastAsia" w:ascii="宋体" w:hAnsi="宋体" w:cs="宋体"/>
          <w:color w:val="auto"/>
          <w:szCs w:val="21"/>
        </w:rPr>
        <w:t>2.乙方提供货物的质量保证期为自交货物验收合格之日起至</w:t>
      </w:r>
      <w:r>
        <w:rPr>
          <w:rFonts w:hint="eastAsia" w:ascii="宋体" w:hAnsi="宋体" w:cs="宋体"/>
          <w:color w:val="auto"/>
          <w:szCs w:val="21"/>
          <w:u w:val="single"/>
        </w:rPr>
        <w:t xml:space="preserve">    </w:t>
      </w:r>
      <w:r>
        <w:rPr>
          <w:rFonts w:hint="eastAsia" w:ascii="宋体" w:hAnsi="宋体" w:cs="宋体"/>
          <w:color w:val="auto"/>
          <w:szCs w:val="21"/>
        </w:rPr>
        <w:t>年内止。在质保期内因货物本身的质量问题发生故障，乙方应负责免费修理和更换零部件。对达不到技术要求者，根据实际情况，经双方协商，可按以下第（1）款办法处理：</w:t>
      </w:r>
    </w:p>
    <w:p>
      <w:pPr>
        <w:spacing w:line="400" w:lineRule="exact"/>
        <w:ind w:firstLine="435"/>
        <w:rPr>
          <w:rFonts w:ascii="宋体" w:hAnsi="宋体" w:cs="宋体"/>
          <w:color w:val="auto"/>
          <w:szCs w:val="21"/>
        </w:rPr>
      </w:pPr>
      <w:r>
        <w:rPr>
          <w:rFonts w:hint="eastAsia" w:ascii="宋体" w:hAnsi="宋体" w:cs="宋体"/>
          <w:color w:val="auto"/>
          <w:szCs w:val="21"/>
        </w:rPr>
        <w:t>（1）更换：由乙方承担所有发生的全部费用。</w:t>
      </w:r>
    </w:p>
    <w:p>
      <w:pPr>
        <w:spacing w:line="400" w:lineRule="exact"/>
        <w:ind w:firstLine="420" w:firstLineChars="200"/>
        <w:rPr>
          <w:rFonts w:ascii="宋体" w:hAnsi="宋体" w:cs="宋体"/>
          <w:color w:val="auto"/>
          <w:szCs w:val="21"/>
        </w:rPr>
      </w:pPr>
      <w:r>
        <w:rPr>
          <w:rFonts w:hint="eastAsia" w:ascii="宋体" w:hAnsi="宋体" w:cs="宋体"/>
          <w:color w:val="auto"/>
          <w:szCs w:val="21"/>
        </w:rPr>
        <w:t>（2）贬值处理：由甲乙双方合议定价。</w:t>
      </w:r>
    </w:p>
    <w:p>
      <w:pPr>
        <w:spacing w:line="400" w:lineRule="exact"/>
        <w:ind w:firstLine="420" w:firstLineChars="200"/>
        <w:rPr>
          <w:rFonts w:ascii="宋体" w:hAnsi="宋体" w:cs="宋体"/>
          <w:color w:val="auto"/>
          <w:szCs w:val="21"/>
        </w:rPr>
      </w:pPr>
      <w:r>
        <w:rPr>
          <w:rFonts w:hint="eastAsia" w:ascii="宋体" w:hAnsi="宋体" w:cs="宋体"/>
          <w:color w:val="auto"/>
          <w:szCs w:val="21"/>
        </w:rPr>
        <w:t>（3）退货处理：乙方应退还甲方支付的合同款，同时应承担该货物的直接费用（运输、保险、检验、贷款利息及银行手续费等）。</w:t>
      </w:r>
    </w:p>
    <w:p>
      <w:pPr>
        <w:spacing w:line="400" w:lineRule="exact"/>
        <w:ind w:firstLine="413" w:firstLineChars="196"/>
        <w:outlineLvl w:val="1"/>
        <w:rPr>
          <w:rFonts w:ascii="宋体" w:hAnsi="宋体" w:cs="宋体"/>
          <w:b/>
          <w:color w:val="auto"/>
          <w:szCs w:val="21"/>
        </w:rPr>
      </w:pPr>
      <w:bookmarkStart w:id="164" w:name="_Toc1713"/>
      <w:bookmarkStart w:id="165" w:name="_Toc28745"/>
      <w:bookmarkStart w:id="166" w:name="_Toc495841770"/>
      <w:r>
        <w:rPr>
          <w:rFonts w:hint="eastAsia" w:ascii="宋体" w:hAnsi="宋体" w:cs="宋体"/>
          <w:b/>
          <w:color w:val="auto"/>
          <w:szCs w:val="21"/>
        </w:rPr>
        <w:t>第三条  权力保证</w:t>
      </w:r>
      <w:bookmarkEnd w:id="164"/>
      <w:bookmarkEnd w:id="165"/>
      <w:bookmarkEnd w:id="166"/>
    </w:p>
    <w:p>
      <w:pPr>
        <w:spacing w:line="400" w:lineRule="exact"/>
        <w:ind w:firstLine="411" w:firstLineChars="196"/>
        <w:rPr>
          <w:rFonts w:ascii="宋体" w:hAnsi="宋体" w:cs="宋体"/>
          <w:color w:val="auto"/>
          <w:szCs w:val="21"/>
        </w:rPr>
      </w:pPr>
      <w:r>
        <w:rPr>
          <w:rFonts w:hint="eastAsia" w:ascii="宋体" w:hAnsi="宋体" w:cs="宋体"/>
          <w:color w:val="auto"/>
          <w:szCs w:val="21"/>
        </w:rPr>
        <w:t>1.乙方应保证所提供货物在使用时不会侵犯任何第三方的专利权、商标权、工业设计权或其他权利。</w:t>
      </w:r>
    </w:p>
    <w:p>
      <w:pPr>
        <w:spacing w:line="400" w:lineRule="exact"/>
        <w:ind w:firstLine="420" w:firstLineChars="200"/>
        <w:rPr>
          <w:rFonts w:ascii="宋体" w:hAnsi="宋体" w:cs="宋体"/>
          <w:color w:val="auto"/>
          <w:szCs w:val="21"/>
        </w:rPr>
      </w:pPr>
      <w:r>
        <w:rPr>
          <w:rFonts w:hint="eastAsia" w:ascii="宋体" w:hAnsi="宋体" w:cs="宋体"/>
          <w:color w:val="auto"/>
          <w:szCs w:val="21"/>
        </w:rPr>
        <w:t>2.乙方应按招标文件规定的时间向甲方提供使用货物的有关技术资料。</w:t>
      </w:r>
    </w:p>
    <w:p>
      <w:pPr>
        <w:spacing w:line="400" w:lineRule="exact"/>
        <w:ind w:firstLine="420" w:firstLineChars="200"/>
        <w:rPr>
          <w:rFonts w:ascii="宋体" w:hAnsi="宋体" w:cs="宋体"/>
          <w:color w:val="auto"/>
          <w:szCs w:val="21"/>
        </w:rPr>
      </w:pPr>
      <w:r>
        <w:rPr>
          <w:rFonts w:hint="eastAsia" w:ascii="宋体" w:hAnsi="宋体" w:cs="宋体"/>
          <w:color w:val="auto"/>
          <w:szCs w:val="21"/>
        </w:rPr>
        <w:t>3.乙方保证所交付的货物的所有权完全属于乙方且无任何抵押、质押、查封等产权瑕疵。</w:t>
      </w:r>
    </w:p>
    <w:p>
      <w:pPr>
        <w:spacing w:line="400" w:lineRule="exact"/>
        <w:ind w:firstLine="413" w:firstLineChars="196"/>
        <w:outlineLvl w:val="1"/>
        <w:rPr>
          <w:rFonts w:ascii="宋体" w:hAnsi="宋体" w:cs="宋体"/>
          <w:b/>
          <w:color w:val="auto"/>
          <w:szCs w:val="21"/>
        </w:rPr>
      </w:pPr>
      <w:bookmarkStart w:id="167" w:name="_Toc17527"/>
      <w:bookmarkStart w:id="168" w:name="_Toc495841771"/>
      <w:bookmarkStart w:id="169" w:name="_Toc24662"/>
      <w:r>
        <w:rPr>
          <w:rFonts w:hint="eastAsia" w:ascii="宋体" w:hAnsi="宋体" w:cs="宋体"/>
          <w:b/>
          <w:color w:val="auto"/>
          <w:szCs w:val="21"/>
        </w:rPr>
        <w:t>第四条  货物包装、运输</w:t>
      </w:r>
      <w:bookmarkEnd w:id="167"/>
      <w:bookmarkEnd w:id="168"/>
      <w:bookmarkEnd w:id="169"/>
    </w:p>
    <w:p>
      <w:pPr>
        <w:spacing w:line="400" w:lineRule="exact"/>
        <w:ind w:firstLine="420" w:firstLineChars="200"/>
        <w:rPr>
          <w:rFonts w:ascii="宋体" w:hAnsi="宋体" w:cs="宋体"/>
          <w:color w:val="auto"/>
          <w:szCs w:val="21"/>
        </w:rPr>
      </w:pPr>
      <w:r>
        <w:rPr>
          <w:rFonts w:hint="eastAsia" w:ascii="宋体" w:hAnsi="宋体" w:cs="宋体"/>
          <w:color w:val="auto"/>
          <w:szCs w:val="21"/>
        </w:rPr>
        <w:t>1.乙方应在货物发运前对其进行满足运输距离、防潮、防震、防锈和防破损装卸等要求包装，以保证货物安全运达甲方指定地点。</w:t>
      </w:r>
    </w:p>
    <w:p>
      <w:pPr>
        <w:spacing w:line="400" w:lineRule="exact"/>
        <w:ind w:left="420"/>
        <w:rPr>
          <w:rFonts w:ascii="宋体" w:hAnsi="宋体" w:cs="宋体"/>
          <w:color w:val="auto"/>
          <w:szCs w:val="21"/>
        </w:rPr>
      </w:pPr>
      <w:r>
        <w:rPr>
          <w:rFonts w:hint="eastAsia" w:ascii="宋体" w:hAnsi="宋体" w:cs="宋体"/>
          <w:color w:val="auto"/>
          <w:szCs w:val="21"/>
        </w:rPr>
        <w:t>2.使用中文说明书（货物属于进口产品的，供货时应同时附上中文使用说明书）、质量检验证明书、</w:t>
      </w:r>
    </w:p>
    <w:p>
      <w:pPr>
        <w:spacing w:line="400" w:lineRule="exact"/>
        <w:rPr>
          <w:rFonts w:ascii="宋体" w:hAnsi="宋体" w:cs="宋体"/>
          <w:color w:val="auto"/>
          <w:szCs w:val="21"/>
        </w:rPr>
      </w:pPr>
      <w:r>
        <w:rPr>
          <w:rFonts w:hint="eastAsia" w:ascii="宋体" w:hAnsi="宋体" w:cs="宋体"/>
          <w:color w:val="auto"/>
          <w:szCs w:val="21"/>
        </w:rPr>
        <w:t>随配附件和工具以及清单一并附于货物内。</w:t>
      </w:r>
    </w:p>
    <w:p>
      <w:pPr>
        <w:spacing w:line="400" w:lineRule="exact"/>
        <w:ind w:firstLine="420" w:firstLineChars="200"/>
        <w:rPr>
          <w:rFonts w:ascii="宋体" w:hAnsi="宋体" w:cs="宋体"/>
          <w:color w:val="auto"/>
          <w:szCs w:val="21"/>
        </w:rPr>
      </w:pPr>
      <w:r>
        <w:rPr>
          <w:rFonts w:hint="eastAsia" w:ascii="宋体" w:hAnsi="宋体" w:cs="宋体"/>
          <w:color w:val="auto"/>
          <w:szCs w:val="21"/>
        </w:rPr>
        <w:t>3.乙方在货物发运手续办理完毕后二十四小时内或货到甲方四十八小时前通知甲方，以准备接货。</w:t>
      </w:r>
    </w:p>
    <w:p>
      <w:pPr>
        <w:spacing w:line="400" w:lineRule="exact"/>
        <w:ind w:left="420"/>
        <w:rPr>
          <w:rFonts w:ascii="宋体" w:hAnsi="宋体" w:cs="宋体"/>
          <w:color w:val="auto"/>
          <w:szCs w:val="21"/>
        </w:rPr>
      </w:pPr>
      <w:r>
        <w:rPr>
          <w:rFonts w:hint="eastAsia" w:ascii="宋体" w:hAnsi="宋体" w:cs="宋体"/>
          <w:color w:val="auto"/>
          <w:szCs w:val="21"/>
        </w:rPr>
        <w:t>4.货物在交付甲方前发生的风险均由乙方负责。</w:t>
      </w:r>
    </w:p>
    <w:p>
      <w:pPr>
        <w:spacing w:line="400" w:lineRule="exact"/>
        <w:ind w:firstLine="413" w:firstLineChars="196"/>
        <w:outlineLvl w:val="1"/>
        <w:rPr>
          <w:rFonts w:ascii="宋体" w:hAnsi="宋体" w:cs="宋体"/>
          <w:b/>
          <w:color w:val="auto"/>
          <w:szCs w:val="21"/>
        </w:rPr>
      </w:pPr>
      <w:bookmarkStart w:id="170" w:name="_Toc6786"/>
      <w:bookmarkStart w:id="171" w:name="_Toc495841772"/>
      <w:bookmarkStart w:id="172" w:name="_Toc31910"/>
      <w:r>
        <w:rPr>
          <w:rFonts w:hint="eastAsia" w:ascii="宋体" w:hAnsi="宋体" w:cs="宋体"/>
          <w:b/>
          <w:color w:val="auto"/>
          <w:szCs w:val="21"/>
        </w:rPr>
        <w:t>第五条  交付</w:t>
      </w:r>
      <w:bookmarkEnd w:id="170"/>
      <w:bookmarkEnd w:id="171"/>
      <w:bookmarkEnd w:id="172"/>
    </w:p>
    <w:p>
      <w:pPr>
        <w:spacing w:line="400" w:lineRule="exact"/>
        <w:ind w:firstLine="420" w:firstLineChars="200"/>
        <w:rPr>
          <w:rFonts w:ascii="宋体" w:hAnsi="宋体" w:cs="宋体"/>
          <w:color w:val="auto"/>
          <w:szCs w:val="21"/>
          <w:u w:val="single"/>
        </w:rPr>
      </w:pPr>
      <w:r>
        <w:rPr>
          <w:rFonts w:hint="eastAsia" w:ascii="宋体" w:hAnsi="宋体" w:cs="宋体"/>
          <w:color w:val="auto"/>
          <w:szCs w:val="21"/>
        </w:rPr>
        <w:t>1.交付时间：</w:t>
      </w:r>
      <w:r>
        <w:rPr>
          <w:rFonts w:hint="eastAsia" w:ascii="宋体" w:hAnsi="宋体" w:cs="宋体"/>
          <w:bCs/>
          <w:color w:val="auto"/>
          <w:kern w:val="0"/>
          <w:szCs w:val="21"/>
          <w:u w:val="single"/>
        </w:rPr>
        <w:t>自签订合同之日起</w:t>
      </w:r>
      <w:r>
        <w:rPr>
          <w:rFonts w:hint="eastAsia" w:ascii="宋体" w:hAnsi="宋体" w:cs="宋体"/>
          <w:bCs/>
          <w:color w:val="auto"/>
          <w:kern w:val="0"/>
          <w:szCs w:val="21"/>
          <w:u w:val="single"/>
          <w:lang w:val="en-US" w:eastAsia="zh-CN"/>
        </w:rPr>
        <w:t>15</w:t>
      </w:r>
      <w:r>
        <w:rPr>
          <w:rFonts w:hint="eastAsia" w:ascii="宋体" w:hAnsi="宋体" w:cs="宋体"/>
          <w:bCs/>
          <w:color w:val="auto"/>
          <w:kern w:val="0"/>
          <w:szCs w:val="21"/>
          <w:u w:val="single"/>
        </w:rPr>
        <w:t>天内全部安装调试合格并通过验收。货到学校有货物签收单由学校清点签收。</w:t>
      </w:r>
    </w:p>
    <w:p>
      <w:pPr>
        <w:spacing w:line="400" w:lineRule="exact"/>
        <w:ind w:firstLine="420" w:firstLineChars="200"/>
        <w:rPr>
          <w:rFonts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交货地点：</w:t>
      </w:r>
      <w:r>
        <w:rPr>
          <w:rFonts w:hint="eastAsia" w:ascii="宋体" w:hAnsi="宋体" w:cs="宋体"/>
          <w:bCs/>
          <w:color w:val="auto"/>
          <w:kern w:val="0"/>
          <w:szCs w:val="21"/>
          <w:u w:val="single"/>
        </w:rPr>
        <w:t>广西桂林市临桂区采购人指定地点（临桂区内县直中小学）</w:t>
      </w:r>
    </w:p>
    <w:p>
      <w:pPr>
        <w:spacing w:line="400" w:lineRule="exact"/>
        <w:ind w:firstLine="420" w:firstLineChars="200"/>
        <w:rPr>
          <w:rFonts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.乙方提供不符合招投标文件和本合同规定的货物，甲方有权拒绝接受。</w:t>
      </w:r>
    </w:p>
    <w:p>
      <w:pPr>
        <w:spacing w:line="400" w:lineRule="exact"/>
        <w:ind w:firstLine="420" w:firstLineChars="200"/>
        <w:rPr>
          <w:rFonts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.乙方应将所有提供货物的装箱清单、用户手册、原厂保修卡、随机资料、工具和备用、备件等交付给甲方，货物属于进口产品的，供货时应同时附上中文使用说明书，如有缺失应及时补齐，否则视为逾期交货。</w:t>
      </w:r>
    </w:p>
    <w:p>
      <w:pPr>
        <w:spacing w:line="400" w:lineRule="exact"/>
        <w:ind w:firstLine="413" w:firstLineChars="196"/>
        <w:outlineLvl w:val="1"/>
        <w:rPr>
          <w:rFonts w:ascii="宋体" w:hAnsi="宋体" w:cs="宋体"/>
          <w:b/>
          <w:color w:val="auto"/>
          <w:szCs w:val="21"/>
        </w:rPr>
      </w:pPr>
      <w:bookmarkStart w:id="173" w:name="_Toc495841773"/>
      <w:bookmarkStart w:id="174" w:name="_Toc14073"/>
      <w:bookmarkStart w:id="175" w:name="_Toc5954"/>
      <w:r>
        <w:rPr>
          <w:rFonts w:hint="eastAsia" w:ascii="宋体" w:hAnsi="宋体" w:cs="宋体"/>
          <w:b/>
          <w:color w:val="auto"/>
          <w:szCs w:val="21"/>
        </w:rPr>
        <w:t>第六条  调试和验收</w:t>
      </w:r>
      <w:bookmarkEnd w:id="173"/>
      <w:bookmarkEnd w:id="174"/>
      <w:bookmarkEnd w:id="175"/>
    </w:p>
    <w:p>
      <w:pPr>
        <w:spacing w:line="400" w:lineRule="exact"/>
        <w:ind w:firstLine="420" w:firstLineChars="200"/>
        <w:rPr>
          <w:rFonts w:ascii="宋体" w:hAnsi="宋体" w:cs="宋体"/>
          <w:color w:val="auto"/>
          <w:szCs w:val="21"/>
        </w:rPr>
      </w:pPr>
      <w:r>
        <w:rPr>
          <w:rFonts w:hint="eastAsia" w:ascii="宋体" w:hAnsi="宋体" w:cs="宋体"/>
          <w:color w:val="auto"/>
          <w:szCs w:val="21"/>
        </w:rPr>
        <w:t>1.乙方交货前应对产品做出全面的检查和对验收文件进行整理，并列出清单，作为甲方验收和使用的技术条件依据，验收的结果应随货物交甲方。</w:t>
      </w:r>
    </w:p>
    <w:p>
      <w:pPr>
        <w:spacing w:line="400" w:lineRule="exact"/>
        <w:ind w:firstLine="420" w:firstLineChars="200"/>
        <w:rPr>
          <w:rFonts w:ascii="宋体" w:hAnsi="宋体" w:cs="宋体"/>
          <w:color w:val="auto"/>
          <w:szCs w:val="21"/>
        </w:rPr>
      </w:pPr>
      <w:r>
        <w:rPr>
          <w:rFonts w:hint="eastAsia" w:ascii="宋体" w:hAnsi="宋体" w:cs="宋体"/>
          <w:color w:val="auto"/>
          <w:szCs w:val="21"/>
        </w:rPr>
        <w:t>2.甲方依据招标文件、投标文件的技术规格要求及承诺和国家有关质量标准对货物进行现场初步验收，外观、说明书符合招标文件技术要求的，给予签收，初步验收不合格的不予签收。货到后，甲方应当在到货（安装、调试完）后七个工作日内进行验收。 验收合格后由甲乙双方签署货物验收单并加盖公章，甲乙双方各执一份。</w:t>
      </w:r>
    </w:p>
    <w:p>
      <w:pPr>
        <w:spacing w:line="400" w:lineRule="exact"/>
        <w:ind w:firstLine="420" w:firstLineChars="200"/>
        <w:rPr>
          <w:rFonts w:ascii="宋体" w:hAnsi="宋体" w:cs="宋体"/>
          <w:color w:val="auto"/>
          <w:szCs w:val="21"/>
        </w:rPr>
      </w:pPr>
      <w:r>
        <w:rPr>
          <w:rFonts w:hint="eastAsia" w:ascii="宋体" w:hAnsi="宋体" w:cs="宋体"/>
          <w:color w:val="auto"/>
          <w:szCs w:val="21"/>
        </w:rPr>
        <w:t>3.甲方对乙方提供的货物在使用前进行调试时，乙方需负责安装并培训甲方的使用操作人员，并协助甲方一起调试，直到符合技术要求，甲方才做最终验收。</w:t>
      </w:r>
    </w:p>
    <w:p>
      <w:pPr>
        <w:spacing w:line="400" w:lineRule="exact"/>
        <w:ind w:firstLine="420" w:firstLineChars="200"/>
        <w:rPr>
          <w:rFonts w:ascii="宋体" w:hAnsi="宋体" w:cs="宋体"/>
          <w:color w:val="auto"/>
          <w:szCs w:val="21"/>
        </w:rPr>
      </w:pPr>
      <w:r>
        <w:rPr>
          <w:rFonts w:hint="eastAsia" w:ascii="宋体" w:hAnsi="宋体" w:cs="宋体"/>
          <w:color w:val="auto"/>
          <w:szCs w:val="21"/>
        </w:rPr>
        <w:t>4.甲方对验收有异议的，在验收后五个工作日内以书面形式向乙方提出，乙方应自收到甲方书面异议后</w:t>
      </w:r>
      <w:r>
        <w:rPr>
          <w:rFonts w:hint="eastAsia" w:ascii="宋体" w:hAnsi="宋体" w:cs="宋体"/>
          <w:color w:val="auto"/>
          <w:szCs w:val="21"/>
          <w:u w:val="single"/>
        </w:rPr>
        <w:t xml:space="preserve"> 七 </w:t>
      </w:r>
      <w:r>
        <w:rPr>
          <w:rFonts w:hint="eastAsia" w:ascii="宋体" w:hAnsi="宋体" w:cs="宋体"/>
          <w:color w:val="auto"/>
          <w:szCs w:val="21"/>
        </w:rPr>
        <w:t>日内及时予以解决。</w:t>
      </w:r>
    </w:p>
    <w:p>
      <w:pPr>
        <w:spacing w:line="400" w:lineRule="exact"/>
        <w:ind w:firstLine="420" w:firstLineChars="200"/>
        <w:rPr>
          <w:rFonts w:ascii="宋体" w:hAnsi="宋体" w:cs="宋体"/>
          <w:color w:val="auto"/>
          <w:kern w:val="0"/>
          <w:szCs w:val="21"/>
        </w:rPr>
      </w:pPr>
      <w:r>
        <w:rPr>
          <w:rFonts w:hint="eastAsia" w:ascii="宋体" w:hAnsi="宋体" w:cs="宋体"/>
          <w:color w:val="auto"/>
          <w:szCs w:val="21"/>
        </w:rPr>
        <w:t>5.</w:t>
      </w:r>
      <w:r>
        <w:rPr>
          <w:rFonts w:hint="eastAsia" w:ascii="宋体" w:hAnsi="宋体" w:cs="宋体"/>
          <w:color w:val="auto"/>
          <w:kern w:val="0"/>
          <w:szCs w:val="21"/>
        </w:rPr>
        <w:t xml:space="preserve"> 所提供的产品必须为原装正品的、全新的、符合国家有关质量标准的产品；产品到货安装后，甲方将可能组织相关专家根据招标文件要求及投标文件承诺逐条对应进行现场核验，核验不合格的，甲方有权终止合同执行并全部退货，同时报相关监督管理部门处理，由此造成甲方经济损失的由乙方负责承担全部赔偿责任。</w:t>
      </w:r>
    </w:p>
    <w:p>
      <w:pPr>
        <w:spacing w:line="400" w:lineRule="exact"/>
        <w:ind w:firstLine="420" w:firstLineChars="200"/>
        <w:rPr>
          <w:rFonts w:ascii="宋体" w:hAnsi="宋体" w:cs="宋体"/>
          <w:color w:val="auto"/>
          <w:szCs w:val="21"/>
        </w:rPr>
      </w:pPr>
      <w:r>
        <w:rPr>
          <w:rFonts w:hint="eastAsia" w:ascii="宋体" w:hAnsi="宋体" w:cs="宋体"/>
          <w:color w:val="auto"/>
          <w:szCs w:val="21"/>
        </w:rPr>
        <w:t>6.对技术复杂的货物，甲方应请国家认可的专业检测机构参与初步验收及最终验收，并由其出具质量检测报告。</w:t>
      </w:r>
    </w:p>
    <w:p>
      <w:pPr>
        <w:spacing w:line="400" w:lineRule="exact"/>
        <w:ind w:firstLine="420" w:firstLineChars="200"/>
        <w:rPr>
          <w:rFonts w:ascii="宋体" w:hAnsi="宋体" w:cs="宋体"/>
          <w:color w:val="auto"/>
        </w:rPr>
      </w:pPr>
      <w:r>
        <w:rPr>
          <w:rFonts w:hint="eastAsia" w:ascii="宋体" w:hAnsi="宋体" w:cs="宋体"/>
          <w:color w:val="auto"/>
          <w:szCs w:val="21"/>
        </w:rPr>
        <w:t>7.验收时乙方必须在现场，验收完毕后作出验收结果报告。</w:t>
      </w:r>
    </w:p>
    <w:p>
      <w:pPr>
        <w:spacing w:line="400" w:lineRule="exact"/>
        <w:ind w:firstLine="413" w:firstLineChars="196"/>
        <w:outlineLvl w:val="1"/>
        <w:rPr>
          <w:rFonts w:ascii="宋体" w:hAnsi="宋体" w:cs="宋体"/>
          <w:b/>
          <w:color w:val="auto"/>
          <w:szCs w:val="21"/>
        </w:rPr>
      </w:pPr>
      <w:bookmarkStart w:id="176" w:name="_Toc495841774"/>
      <w:bookmarkStart w:id="177" w:name="_Toc724"/>
      <w:bookmarkStart w:id="178" w:name="_Toc30435"/>
      <w:r>
        <w:rPr>
          <w:rFonts w:hint="eastAsia" w:ascii="宋体" w:hAnsi="宋体" w:cs="宋体"/>
          <w:b/>
          <w:color w:val="auto"/>
          <w:szCs w:val="21"/>
        </w:rPr>
        <w:t>第七条  安装和培训</w:t>
      </w:r>
      <w:bookmarkEnd w:id="176"/>
      <w:bookmarkEnd w:id="177"/>
      <w:bookmarkEnd w:id="178"/>
    </w:p>
    <w:p>
      <w:pPr>
        <w:tabs>
          <w:tab w:val="left" w:pos="0"/>
        </w:tabs>
        <w:spacing w:line="400" w:lineRule="exact"/>
        <w:ind w:firstLine="420" w:firstLineChars="200"/>
        <w:rPr>
          <w:rFonts w:ascii="宋体" w:hAnsi="宋体" w:cs="宋体"/>
          <w:color w:val="auto"/>
          <w:szCs w:val="21"/>
        </w:rPr>
      </w:pPr>
      <w:r>
        <w:rPr>
          <w:rFonts w:hint="eastAsia" w:ascii="宋体" w:hAnsi="宋体" w:cs="宋体"/>
          <w:color w:val="auto"/>
          <w:szCs w:val="21"/>
        </w:rPr>
        <w:t>1.甲方应提供必要安装条件（如场地、电源、水源等）。</w:t>
      </w:r>
    </w:p>
    <w:p>
      <w:pPr>
        <w:tabs>
          <w:tab w:val="left" w:pos="0"/>
        </w:tabs>
        <w:spacing w:line="400" w:lineRule="exact"/>
        <w:ind w:firstLine="420" w:firstLineChars="200"/>
        <w:rPr>
          <w:rFonts w:hint="eastAsia" w:ascii="宋体" w:hAnsi="宋体" w:eastAsia="宋体" w:cs="宋体"/>
          <w:color w:val="auto"/>
          <w:szCs w:val="21"/>
          <w:lang w:eastAsia="zh-CN"/>
        </w:rPr>
      </w:pPr>
      <w:r>
        <w:rPr>
          <w:rFonts w:hint="eastAsia" w:ascii="宋体" w:hAnsi="宋体" w:cs="宋体"/>
          <w:color w:val="auto"/>
          <w:szCs w:val="21"/>
        </w:rPr>
        <w:t>2.乙方负责甲方有关人员的培训。培训时间、地点：</w:t>
      </w:r>
      <w:r>
        <w:rPr>
          <w:rFonts w:hint="eastAsia" w:ascii="宋体" w:hAnsi="宋体" w:cs="宋体"/>
          <w:bCs/>
          <w:color w:val="auto"/>
          <w:kern w:val="0"/>
          <w:szCs w:val="21"/>
          <w:u w:val="single"/>
        </w:rPr>
        <w:t>广西桂林市临桂区采购人指定地点（临桂区内县直中小学）</w:t>
      </w:r>
    </w:p>
    <w:p>
      <w:pPr>
        <w:spacing w:line="400" w:lineRule="exact"/>
        <w:ind w:firstLine="413" w:firstLineChars="196"/>
        <w:outlineLvl w:val="1"/>
        <w:rPr>
          <w:rFonts w:ascii="宋体" w:hAnsi="宋体" w:cs="宋体"/>
          <w:b/>
          <w:color w:val="auto"/>
          <w:szCs w:val="21"/>
        </w:rPr>
      </w:pPr>
      <w:bookmarkStart w:id="179" w:name="_Toc495841775"/>
      <w:bookmarkStart w:id="180" w:name="_Toc29939"/>
      <w:bookmarkStart w:id="181" w:name="_Toc7892"/>
      <w:r>
        <w:rPr>
          <w:rFonts w:hint="eastAsia" w:ascii="宋体" w:hAnsi="宋体" w:cs="宋体"/>
          <w:b/>
          <w:color w:val="auto"/>
          <w:szCs w:val="21"/>
        </w:rPr>
        <w:t>第八条  售后服务、保修期</w:t>
      </w:r>
      <w:bookmarkEnd w:id="179"/>
      <w:bookmarkEnd w:id="180"/>
      <w:bookmarkEnd w:id="181"/>
    </w:p>
    <w:p>
      <w:pPr>
        <w:tabs>
          <w:tab w:val="left" w:pos="0"/>
        </w:tabs>
        <w:spacing w:line="400" w:lineRule="exact"/>
        <w:ind w:firstLine="420" w:firstLineChars="200"/>
        <w:rPr>
          <w:rFonts w:ascii="宋体" w:hAnsi="宋体" w:cs="宋体"/>
          <w:color w:val="auto"/>
          <w:szCs w:val="21"/>
        </w:rPr>
      </w:pPr>
      <w:r>
        <w:rPr>
          <w:rFonts w:hint="eastAsia" w:ascii="宋体" w:hAnsi="宋体" w:cs="宋体"/>
          <w:color w:val="auto"/>
          <w:szCs w:val="21"/>
        </w:rPr>
        <w:t>1.乙方应按照国家有关法律规定和“三包”规定以及招投标文件和本合同所附《服务承诺》，为甲方提供售后服务。</w:t>
      </w:r>
    </w:p>
    <w:p>
      <w:pPr>
        <w:spacing w:line="400" w:lineRule="exact"/>
        <w:ind w:firstLine="420" w:firstLineChars="200"/>
        <w:rPr>
          <w:rFonts w:ascii="宋体" w:hAnsi="宋体" w:cs="宋体"/>
          <w:color w:val="auto"/>
          <w:szCs w:val="21"/>
        </w:rPr>
      </w:pPr>
      <w:r>
        <w:rPr>
          <w:rFonts w:hint="eastAsia" w:ascii="宋体" w:hAnsi="宋体" w:cs="宋体"/>
          <w:color w:val="auto"/>
          <w:szCs w:val="21"/>
        </w:rPr>
        <w:t>2.如在使用过程中发生质量问题，乙方在接到甲方通知后在</w:t>
      </w:r>
      <w:r>
        <w:rPr>
          <w:rFonts w:hint="eastAsia" w:ascii="宋体" w:hAnsi="宋体" w:cs="宋体"/>
          <w:color w:val="auto"/>
          <w:szCs w:val="21"/>
          <w:u w:val="single"/>
        </w:rPr>
        <w:t xml:space="preserve">    </w:t>
      </w:r>
      <w:r>
        <w:rPr>
          <w:rFonts w:hint="eastAsia" w:ascii="宋体" w:hAnsi="宋体" w:cs="宋体"/>
          <w:color w:val="auto"/>
          <w:szCs w:val="21"/>
        </w:rPr>
        <w:t>小时内到达甲方现场处理。</w:t>
      </w:r>
    </w:p>
    <w:p>
      <w:pPr>
        <w:spacing w:line="400" w:lineRule="exact"/>
        <w:ind w:firstLine="420" w:firstLineChars="200"/>
        <w:rPr>
          <w:rFonts w:ascii="宋体" w:hAnsi="宋体" w:cs="宋体"/>
          <w:color w:val="auto"/>
          <w:szCs w:val="21"/>
        </w:rPr>
      </w:pPr>
      <w:r>
        <w:rPr>
          <w:rFonts w:hint="eastAsia" w:ascii="宋体" w:hAnsi="宋体" w:cs="宋体"/>
          <w:color w:val="auto"/>
          <w:szCs w:val="21"/>
        </w:rPr>
        <w:t>3.在质保期内，乙方应对货物出现的质量及安全问题负责处理解决并承担一切费用。</w:t>
      </w:r>
    </w:p>
    <w:p>
      <w:pPr>
        <w:spacing w:line="400" w:lineRule="exact"/>
        <w:ind w:firstLine="420" w:firstLineChars="200"/>
        <w:rPr>
          <w:rFonts w:ascii="宋体" w:hAnsi="宋体" w:cs="宋体"/>
          <w:color w:val="auto"/>
          <w:szCs w:val="21"/>
        </w:rPr>
      </w:pPr>
      <w:r>
        <w:rPr>
          <w:rFonts w:hint="eastAsia" w:ascii="宋体" w:hAnsi="宋体" w:cs="宋体"/>
          <w:color w:val="auto"/>
          <w:szCs w:val="21"/>
        </w:rPr>
        <w:t>4.货物免费保修期为不得少于</w:t>
      </w:r>
      <w:r>
        <w:rPr>
          <w:rFonts w:hint="eastAsia" w:ascii="宋体" w:hAnsi="宋体" w:cs="宋体"/>
          <w:color w:val="auto"/>
          <w:szCs w:val="21"/>
          <w:u w:val="single"/>
        </w:rPr>
        <w:t xml:space="preserve">    </w:t>
      </w:r>
      <w:r>
        <w:rPr>
          <w:rFonts w:hint="eastAsia" w:ascii="宋体" w:hAnsi="宋体" w:cs="宋体"/>
          <w:color w:val="auto"/>
          <w:szCs w:val="21"/>
        </w:rPr>
        <w:t>年（免费保修期自货物安装调试并在验收合格之日起计算），需免费上门保修服务。因人为因素出现的故障不在免费保修范围内。超过保修期的货物，终生维修，维修时只收部件成本费。</w:t>
      </w:r>
    </w:p>
    <w:p>
      <w:pPr>
        <w:spacing w:line="400" w:lineRule="exact"/>
        <w:ind w:firstLine="413" w:firstLineChars="196"/>
        <w:outlineLvl w:val="1"/>
        <w:rPr>
          <w:rFonts w:ascii="宋体" w:hAnsi="宋体" w:cs="宋体"/>
          <w:b/>
          <w:color w:val="auto"/>
          <w:szCs w:val="21"/>
        </w:rPr>
      </w:pPr>
      <w:bookmarkStart w:id="182" w:name="_Toc495841776"/>
      <w:bookmarkStart w:id="183" w:name="_Toc12595"/>
      <w:bookmarkStart w:id="184" w:name="_Toc4850"/>
      <w:r>
        <w:rPr>
          <w:rFonts w:hint="eastAsia" w:ascii="宋体" w:hAnsi="宋体" w:cs="宋体"/>
          <w:b/>
          <w:color w:val="auto"/>
          <w:szCs w:val="21"/>
        </w:rPr>
        <w:t>第九条  税费</w:t>
      </w:r>
      <w:bookmarkEnd w:id="182"/>
      <w:bookmarkEnd w:id="183"/>
      <w:bookmarkEnd w:id="184"/>
    </w:p>
    <w:p>
      <w:pPr>
        <w:spacing w:line="400" w:lineRule="exact"/>
        <w:ind w:firstLine="411" w:firstLineChars="196"/>
        <w:rPr>
          <w:rFonts w:ascii="宋体" w:hAnsi="宋体" w:cs="宋体"/>
          <w:color w:val="auto"/>
          <w:szCs w:val="21"/>
        </w:rPr>
      </w:pPr>
      <w:r>
        <w:rPr>
          <w:rFonts w:hint="eastAsia" w:ascii="宋体" w:hAnsi="宋体" w:cs="宋体"/>
          <w:color w:val="auto"/>
          <w:szCs w:val="21"/>
        </w:rPr>
        <w:t>本合同执行中相关的一切税费均由乙方负担。</w:t>
      </w:r>
    </w:p>
    <w:p>
      <w:pPr>
        <w:spacing w:line="400" w:lineRule="exact"/>
        <w:ind w:firstLine="413" w:firstLineChars="196"/>
        <w:outlineLvl w:val="1"/>
        <w:rPr>
          <w:rFonts w:ascii="宋体" w:hAnsi="宋体" w:cs="宋体"/>
          <w:b/>
          <w:color w:val="auto"/>
          <w:szCs w:val="21"/>
        </w:rPr>
      </w:pPr>
      <w:bookmarkStart w:id="185" w:name="_Toc18828"/>
      <w:bookmarkStart w:id="186" w:name="_Toc495841777"/>
      <w:bookmarkStart w:id="187" w:name="_Toc29047"/>
      <w:r>
        <w:rPr>
          <w:rFonts w:hint="eastAsia" w:ascii="宋体" w:hAnsi="宋体" w:cs="宋体"/>
          <w:b/>
          <w:color w:val="auto"/>
          <w:szCs w:val="21"/>
        </w:rPr>
        <w:t>第十条  付款方式</w:t>
      </w:r>
      <w:bookmarkEnd w:id="185"/>
      <w:bookmarkEnd w:id="186"/>
      <w:bookmarkEnd w:id="187"/>
    </w:p>
    <w:p>
      <w:pPr>
        <w:spacing w:line="400" w:lineRule="exact"/>
        <w:ind w:firstLine="411" w:firstLineChars="196"/>
        <w:rPr>
          <w:rFonts w:hint="eastAsia" w:ascii="宋体" w:hAnsi="宋体" w:cs="宋体"/>
          <w:color w:val="auto"/>
          <w:szCs w:val="21"/>
        </w:rPr>
      </w:pPr>
      <w:bookmarkStart w:id="188" w:name="_Toc495841778"/>
      <w:bookmarkStart w:id="189" w:name="_Toc19042"/>
      <w:r>
        <w:rPr>
          <w:rFonts w:hint="eastAsia" w:ascii="宋体" w:hAnsi="宋体" w:cs="宋体"/>
          <w:color w:val="auto"/>
          <w:szCs w:val="21"/>
        </w:rPr>
        <w:t>本项目的资金拨付根据项目资金的到帐情况及财政部门的付款流程、付款期限执行，采购人不承担延期付款的责任。专项资金到帐且项目验收合格后，成交供应商开具全额发票给采购人，采购人收到发票后付至合同价款的100%（无息）。</w:t>
      </w:r>
    </w:p>
    <w:p>
      <w:pPr>
        <w:spacing w:line="400" w:lineRule="exact"/>
        <w:ind w:firstLine="413" w:firstLineChars="196"/>
        <w:outlineLvl w:val="1"/>
        <w:rPr>
          <w:rFonts w:ascii="宋体" w:hAnsi="宋体" w:cs="宋体"/>
          <w:b/>
          <w:color w:val="auto"/>
          <w:szCs w:val="21"/>
        </w:rPr>
      </w:pPr>
      <w:bookmarkStart w:id="190" w:name="_Toc26935"/>
      <w:r>
        <w:rPr>
          <w:rFonts w:hint="eastAsia" w:ascii="宋体" w:hAnsi="宋体" w:cs="宋体"/>
          <w:b/>
          <w:color w:val="auto"/>
          <w:szCs w:val="21"/>
        </w:rPr>
        <w:t>第十一条  违约责任</w:t>
      </w:r>
      <w:bookmarkEnd w:id="188"/>
      <w:bookmarkEnd w:id="189"/>
      <w:bookmarkEnd w:id="190"/>
    </w:p>
    <w:p>
      <w:pPr>
        <w:spacing w:line="400" w:lineRule="exact"/>
        <w:ind w:firstLine="420" w:firstLineChars="200"/>
        <w:rPr>
          <w:rFonts w:ascii="宋体" w:hAnsi="宋体" w:cs="宋体"/>
          <w:color w:val="auto"/>
          <w:szCs w:val="21"/>
        </w:rPr>
      </w:pPr>
      <w:r>
        <w:rPr>
          <w:rFonts w:hint="eastAsia" w:ascii="宋体" w:hAnsi="宋体" w:cs="宋体"/>
          <w:color w:val="auto"/>
          <w:szCs w:val="21"/>
        </w:rPr>
        <w:t>1. 乙方所提供的货物规格、技术标准、材料等质量不合格的，应及时更换，更换不及时的按逾期交货处罚，乙方应向甲方支付合同金额</w:t>
      </w:r>
      <w:r>
        <w:rPr>
          <w:rFonts w:hint="eastAsia" w:ascii="宋体" w:hAnsi="宋体" w:cs="宋体"/>
          <w:color w:val="auto"/>
          <w:szCs w:val="21"/>
          <w:u w:val="single"/>
        </w:rPr>
        <w:t xml:space="preserve"> 5 </w:t>
      </w:r>
      <w:r>
        <w:rPr>
          <w:rFonts w:hint="eastAsia" w:ascii="宋体" w:hAnsi="宋体" w:cs="宋体"/>
          <w:color w:val="auto"/>
          <w:szCs w:val="21"/>
        </w:rPr>
        <w:t>%违约金并赔偿甲方经济损失。</w:t>
      </w:r>
    </w:p>
    <w:p>
      <w:pPr>
        <w:spacing w:line="400" w:lineRule="exact"/>
        <w:ind w:firstLine="411" w:firstLineChars="196"/>
        <w:rPr>
          <w:rFonts w:ascii="宋体" w:hAnsi="宋体" w:cs="宋体"/>
          <w:color w:val="auto"/>
          <w:szCs w:val="21"/>
        </w:rPr>
      </w:pPr>
      <w:r>
        <w:rPr>
          <w:rFonts w:hint="eastAsia" w:ascii="宋体" w:hAnsi="宋体" w:cs="宋体"/>
          <w:color w:val="auto"/>
          <w:szCs w:val="21"/>
        </w:rPr>
        <w:t>2. 乙方提供的货物如果侵犯了第三方合法权益而引发的任何纠纷或诉讼，均由乙方负责交涉并承担全部责任。</w:t>
      </w:r>
    </w:p>
    <w:p>
      <w:pPr>
        <w:spacing w:line="400" w:lineRule="exact"/>
        <w:ind w:firstLine="411" w:firstLineChars="196"/>
        <w:rPr>
          <w:rFonts w:ascii="宋体" w:hAnsi="宋体" w:cs="宋体"/>
          <w:color w:val="auto"/>
          <w:szCs w:val="21"/>
        </w:rPr>
      </w:pPr>
      <w:r>
        <w:rPr>
          <w:rFonts w:hint="eastAsia" w:ascii="宋体" w:hAnsi="宋体" w:cs="宋体"/>
          <w:color w:val="auto"/>
          <w:szCs w:val="21"/>
        </w:rPr>
        <w:t>3. 因包装、运输引起的货物损坏，按质量不合格处理。</w:t>
      </w:r>
    </w:p>
    <w:p>
      <w:pPr>
        <w:spacing w:line="400" w:lineRule="exact"/>
        <w:ind w:firstLine="411" w:firstLineChars="196"/>
        <w:rPr>
          <w:rFonts w:ascii="宋体" w:hAnsi="宋体" w:cs="宋体"/>
          <w:color w:val="auto"/>
          <w:szCs w:val="21"/>
        </w:rPr>
      </w:pPr>
      <w:r>
        <w:rPr>
          <w:rFonts w:hint="eastAsia" w:ascii="宋体" w:hAnsi="宋体" w:cs="宋体"/>
          <w:color w:val="auto"/>
          <w:szCs w:val="21"/>
        </w:rPr>
        <w:t>4. 甲方无故延期接收货物、乙方逾期交货的，每天向对方偿付违约货款额</w:t>
      </w:r>
      <w:r>
        <w:rPr>
          <w:rFonts w:hint="eastAsia" w:ascii="宋体" w:hAnsi="宋体" w:cs="宋体"/>
          <w:color w:val="auto"/>
          <w:szCs w:val="21"/>
          <w:u w:val="single"/>
        </w:rPr>
        <w:t>3‰</w:t>
      </w:r>
      <w:r>
        <w:rPr>
          <w:rFonts w:hint="eastAsia" w:ascii="宋体" w:hAnsi="宋体" w:cs="宋体"/>
          <w:color w:val="auto"/>
          <w:szCs w:val="21"/>
        </w:rPr>
        <w:t>违约金，但违约金累计不得超过违约货款额</w:t>
      </w:r>
      <w:r>
        <w:rPr>
          <w:rFonts w:hint="eastAsia" w:ascii="宋体" w:hAnsi="宋体" w:cs="宋体"/>
          <w:color w:val="auto"/>
          <w:szCs w:val="21"/>
          <w:u w:val="single"/>
        </w:rPr>
        <w:t>5%</w:t>
      </w:r>
      <w:r>
        <w:rPr>
          <w:rFonts w:hint="eastAsia" w:ascii="宋体" w:hAnsi="宋体" w:cs="宋体"/>
          <w:color w:val="auto"/>
          <w:szCs w:val="21"/>
        </w:rPr>
        <w:t>，超过</w:t>
      </w:r>
      <w:r>
        <w:rPr>
          <w:rFonts w:hint="eastAsia" w:ascii="宋体" w:hAnsi="宋体" w:cs="宋体"/>
          <w:color w:val="auto"/>
          <w:szCs w:val="21"/>
          <w:u w:val="single"/>
        </w:rPr>
        <w:t xml:space="preserve"> 10 </w:t>
      </w:r>
      <w:r>
        <w:rPr>
          <w:rFonts w:hint="eastAsia" w:ascii="宋体" w:hAnsi="宋体" w:cs="宋体"/>
          <w:color w:val="auto"/>
          <w:szCs w:val="21"/>
        </w:rPr>
        <w:t>天对方有权解除合同，违约方承担因此给对方造成经济损失；甲方延期付货款的，每天向乙方偿付延期货款额3‰滞纳金，但滞纳金累计不得超过延期货款额</w:t>
      </w:r>
      <w:r>
        <w:rPr>
          <w:rFonts w:hint="eastAsia" w:ascii="宋体" w:hAnsi="宋体" w:cs="宋体"/>
          <w:color w:val="auto"/>
          <w:szCs w:val="21"/>
          <w:u w:val="single"/>
        </w:rPr>
        <w:t>5%</w:t>
      </w:r>
      <w:r>
        <w:rPr>
          <w:rFonts w:hint="eastAsia" w:ascii="宋体" w:hAnsi="宋体" w:cs="宋体"/>
          <w:color w:val="auto"/>
          <w:szCs w:val="21"/>
        </w:rPr>
        <w:t>。</w:t>
      </w:r>
    </w:p>
    <w:p>
      <w:pPr>
        <w:spacing w:line="400" w:lineRule="exact"/>
        <w:ind w:firstLine="411" w:firstLineChars="196"/>
        <w:rPr>
          <w:rFonts w:ascii="宋体" w:hAnsi="宋体" w:cs="宋体"/>
          <w:color w:val="auto"/>
          <w:szCs w:val="21"/>
        </w:rPr>
      </w:pPr>
      <w:r>
        <w:rPr>
          <w:rFonts w:hint="eastAsia" w:ascii="宋体" w:hAnsi="宋体" w:cs="宋体"/>
          <w:color w:val="auto"/>
          <w:szCs w:val="21"/>
        </w:rPr>
        <w:t>5. 乙方未按本合同和投标文件中规定的服务承诺提供售后服务的，乙方应按本合同合同金额</w:t>
      </w:r>
      <w:r>
        <w:rPr>
          <w:rFonts w:hint="eastAsia" w:ascii="宋体" w:hAnsi="宋体" w:cs="宋体"/>
          <w:color w:val="auto"/>
          <w:szCs w:val="21"/>
          <w:u w:val="single"/>
        </w:rPr>
        <w:t xml:space="preserve"> 5 </w:t>
      </w:r>
      <w:r>
        <w:rPr>
          <w:rFonts w:hint="eastAsia" w:ascii="宋体" w:hAnsi="宋体" w:cs="宋体"/>
          <w:color w:val="auto"/>
          <w:szCs w:val="21"/>
        </w:rPr>
        <w:t>%向甲方支付违约金。</w:t>
      </w:r>
    </w:p>
    <w:p>
      <w:pPr>
        <w:spacing w:line="400" w:lineRule="exact"/>
        <w:ind w:firstLine="411" w:firstLineChars="196"/>
        <w:rPr>
          <w:rFonts w:ascii="宋体" w:hAnsi="宋体" w:cs="宋体"/>
          <w:color w:val="auto"/>
          <w:szCs w:val="21"/>
        </w:rPr>
      </w:pPr>
      <w:r>
        <w:rPr>
          <w:rFonts w:hint="eastAsia" w:ascii="宋体" w:hAnsi="宋体" w:cs="宋体"/>
          <w:color w:val="auto"/>
          <w:szCs w:val="21"/>
        </w:rPr>
        <w:t>6. 乙方提供的货物在质保期内，因设计、工艺或材料的缺陷和其他质量原因造成的问题，由乙方负责，费用从质量保证金中扣除，不足另补。</w:t>
      </w:r>
    </w:p>
    <w:p>
      <w:pPr>
        <w:spacing w:line="400" w:lineRule="exact"/>
        <w:ind w:firstLine="411" w:firstLineChars="196"/>
        <w:rPr>
          <w:rFonts w:ascii="宋体" w:hAnsi="宋体" w:cs="宋体"/>
          <w:color w:val="auto"/>
          <w:szCs w:val="21"/>
        </w:rPr>
      </w:pPr>
      <w:r>
        <w:rPr>
          <w:rFonts w:hint="eastAsia" w:ascii="宋体" w:hAnsi="宋体" w:cs="宋体"/>
          <w:color w:val="auto"/>
          <w:szCs w:val="21"/>
        </w:rPr>
        <w:t>7. 其他违约行为按违约货款额</w:t>
      </w:r>
      <w:r>
        <w:rPr>
          <w:rFonts w:hint="eastAsia" w:ascii="宋体" w:hAnsi="宋体" w:cs="宋体"/>
          <w:color w:val="auto"/>
          <w:szCs w:val="21"/>
          <w:u w:val="single"/>
        </w:rPr>
        <w:t xml:space="preserve"> 5 </w:t>
      </w:r>
      <w:r>
        <w:rPr>
          <w:rFonts w:hint="eastAsia" w:ascii="宋体" w:hAnsi="宋体" w:cs="宋体"/>
          <w:color w:val="auto"/>
          <w:szCs w:val="21"/>
        </w:rPr>
        <w:t>%收取违约金并赔偿经济损失。</w:t>
      </w:r>
    </w:p>
    <w:p>
      <w:pPr>
        <w:spacing w:line="400" w:lineRule="exact"/>
        <w:ind w:firstLine="413" w:firstLineChars="196"/>
        <w:outlineLvl w:val="1"/>
        <w:rPr>
          <w:rFonts w:ascii="宋体" w:hAnsi="宋体" w:cs="宋体"/>
          <w:b/>
          <w:color w:val="auto"/>
          <w:szCs w:val="21"/>
        </w:rPr>
      </w:pPr>
      <w:bookmarkStart w:id="191" w:name="_Toc5808"/>
      <w:bookmarkStart w:id="192" w:name="_Toc495841779"/>
      <w:bookmarkStart w:id="193" w:name="_Toc15417"/>
      <w:r>
        <w:rPr>
          <w:rFonts w:hint="eastAsia" w:ascii="宋体" w:hAnsi="宋体" w:cs="宋体"/>
          <w:b/>
          <w:color w:val="auto"/>
          <w:szCs w:val="21"/>
        </w:rPr>
        <w:t>第十二条  不可抗力事件处理</w:t>
      </w:r>
      <w:bookmarkEnd w:id="191"/>
      <w:bookmarkEnd w:id="192"/>
      <w:bookmarkEnd w:id="193"/>
    </w:p>
    <w:p>
      <w:pPr>
        <w:spacing w:line="400" w:lineRule="exact"/>
        <w:ind w:firstLine="420" w:firstLineChars="200"/>
        <w:rPr>
          <w:rFonts w:ascii="宋体" w:hAnsi="宋体" w:cs="宋体"/>
          <w:color w:val="auto"/>
          <w:szCs w:val="21"/>
        </w:rPr>
      </w:pPr>
      <w:r>
        <w:rPr>
          <w:rFonts w:hint="eastAsia" w:ascii="宋体" w:hAnsi="宋体" w:cs="宋体"/>
          <w:color w:val="auto"/>
          <w:szCs w:val="21"/>
        </w:rPr>
        <w:t>1.在合同有效期内，乙方因不可抗力事件导致不能履行合同，则合同履行期可延长，其延长期与不可抗力影响期相同。</w:t>
      </w:r>
    </w:p>
    <w:p>
      <w:pPr>
        <w:spacing w:line="400" w:lineRule="exact"/>
        <w:ind w:left="420"/>
        <w:rPr>
          <w:rFonts w:ascii="宋体" w:hAnsi="宋体" w:cs="宋体"/>
          <w:color w:val="auto"/>
          <w:szCs w:val="21"/>
        </w:rPr>
      </w:pPr>
      <w:r>
        <w:rPr>
          <w:rFonts w:hint="eastAsia" w:ascii="宋体" w:hAnsi="宋体" w:cs="宋体"/>
          <w:color w:val="auto"/>
          <w:szCs w:val="21"/>
        </w:rPr>
        <w:t>2.不可抗力事件发生后，应立即通知对方，并寄送有关权威机构出具的证明。</w:t>
      </w:r>
    </w:p>
    <w:p>
      <w:pPr>
        <w:spacing w:line="400" w:lineRule="exact"/>
        <w:ind w:left="420"/>
        <w:rPr>
          <w:rFonts w:ascii="宋体" w:hAnsi="宋体" w:cs="宋体"/>
          <w:color w:val="auto"/>
          <w:szCs w:val="21"/>
        </w:rPr>
      </w:pPr>
      <w:r>
        <w:rPr>
          <w:rFonts w:hint="eastAsia" w:ascii="宋体" w:hAnsi="宋体" w:cs="宋体"/>
          <w:color w:val="auto"/>
          <w:szCs w:val="21"/>
        </w:rPr>
        <w:t>3.不可抗力事件延续一百二十天以上，双方应通过友好协商，确定是否继续履行合同。</w:t>
      </w:r>
    </w:p>
    <w:p>
      <w:pPr>
        <w:spacing w:line="400" w:lineRule="exact"/>
        <w:ind w:firstLine="413" w:firstLineChars="196"/>
        <w:outlineLvl w:val="1"/>
        <w:rPr>
          <w:rFonts w:ascii="宋体" w:hAnsi="宋体" w:cs="宋体"/>
          <w:b/>
          <w:color w:val="auto"/>
          <w:szCs w:val="21"/>
        </w:rPr>
      </w:pPr>
      <w:bookmarkStart w:id="194" w:name="_Toc9"/>
      <w:bookmarkStart w:id="195" w:name="_Toc495841780"/>
      <w:bookmarkStart w:id="196" w:name="_Toc30685"/>
      <w:r>
        <w:rPr>
          <w:rFonts w:hint="eastAsia" w:ascii="宋体" w:hAnsi="宋体" w:cs="宋体"/>
          <w:b/>
          <w:color w:val="auto"/>
          <w:szCs w:val="21"/>
        </w:rPr>
        <w:t>第十三条  合同争议解决</w:t>
      </w:r>
      <w:bookmarkEnd w:id="194"/>
      <w:bookmarkEnd w:id="195"/>
      <w:bookmarkEnd w:id="196"/>
    </w:p>
    <w:p>
      <w:pPr>
        <w:spacing w:line="400" w:lineRule="exact"/>
        <w:ind w:firstLine="420" w:firstLineChars="200"/>
        <w:rPr>
          <w:rFonts w:ascii="宋体" w:hAnsi="宋体" w:cs="宋体"/>
          <w:color w:val="auto"/>
          <w:szCs w:val="21"/>
        </w:rPr>
      </w:pPr>
      <w:r>
        <w:rPr>
          <w:rFonts w:hint="eastAsia" w:ascii="宋体" w:hAnsi="宋体" w:cs="宋体"/>
          <w:color w:val="auto"/>
          <w:szCs w:val="21"/>
        </w:rPr>
        <w:t>1.因货物质量问题发生争议的，应邀请国家认可的质量检测机构对货物质量进行鉴定。货物符合标准的，鉴定费由甲方承担；货物不符合标准的，鉴定费由乙方承担。</w:t>
      </w:r>
    </w:p>
    <w:p>
      <w:pPr>
        <w:spacing w:line="400" w:lineRule="exact"/>
        <w:ind w:firstLine="420" w:firstLineChars="200"/>
        <w:rPr>
          <w:rFonts w:ascii="宋体" w:hAnsi="宋体" w:cs="宋体"/>
          <w:color w:val="auto"/>
          <w:szCs w:val="21"/>
        </w:rPr>
      </w:pPr>
      <w:r>
        <w:rPr>
          <w:rFonts w:hint="eastAsia" w:ascii="宋体" w:hAnsi="宋体" w:cs="宋体"/>
          <w:color w:val="auto"/>
          <w:szCs w:val="21"/>
        </w:rPr>
        <w:t>2.因履行本合同引起的或与本合同有关的争议，甲乙双方应首先通过友好协商解决，如果协商不能解决，可向项目所在地辖区人民法院提起诉讼。</w:t>
      </w:r>
    </w:p>
    <w:p>
      <w:pPr>
        <w:spacing w:line="400" w:lineRule="exact"/>
        <w:ind w:left="435"/>
        <w:rPr>
          <w:rFonts w:ascii="宋体" w:hAnsi="宋体" w:cs="宋体"/>
          <w:color w:val="auto"/>
          <w:szCs w:val="21"/>
        </w:rPr>
      </w:pPr>
      <w:r>
        <w:rPr>
          <w:rFonts w:hint="eastAsia" w:ascii="宋体" w:hAnsi="宋体" w:cs="宋体"/>
          <w:color w:val="auto"/>
          <w:szCs w:val="21"/>
        </w:rPr>
        <w:t>3.诉讼期间，本合同继续履行。</w:t>
      </w:r>
    </w:p>
    <w:p>
      <w:pPr>
        <w:spacing w:line="400" w:lineRule="exact"/>
        <w:ind w:firstLine="413" w:firstLineChars="196"/>
        <w:outlineLvl w:val="1"/>
        <w:rPr>
          <w:rFonts w:ascii="宋体" w:hAnsi="宋体" w:cs="宋体"/>
          <w:b/>
          <w:color w:val="auto"/>
          <w:szCs w:val="21"/>
        </w:rPr>
      </w:pPr>
      <w:bookmarkStart w:id="197" w:name="_Toc26915"/>
      <w:bookmarkStart w:id="198" w:name="_Toc495841781"/>
      <w:bookmarkStart w:id="199" w:name="_Toc15524"/>
      <w:r>
        <w:rPr>
          <w:rFonts w:hint="eastAsia" w:ascii="宋体" w:hAnsi="宋体" w:cs="宋体"/>
          <w:b/>
          <w:color w:val="auto"/>
          <w:szCs w:val="21"/>
        </w:rPr>
        <w:t>第十四条  合同生效及其它</w:t>
      </w:r>
      <w:bookmarkEnd w:id="197"/>
      <w:bookmarkEnd w:id="198"/>
      <w:bookmarkEnd w:id="199"/>
    </w:p>
    <w:p>
      <w:pPr>
        <w:spacing w:line="400" w:lineRule="exact"/>
        <w:ind w:firstLine="420" w:firstLineChars="200"/>
        <w:rPr>
          <w:rFonts w:ascii="宋体" w:hAnsi="宋体" w:cs="宋体"/>
          <w:color w:val="auto"/>
          <w:szCs w:val="21"/>
        </w:rPr>
      </w:pPr>
      <w:r>
        <w:rPr>
          <w:rFonts w:hint="eastAsia" w:ascii="宋体" w:hAnsi="宋体" w:cs="宋体"/>
          <w:color w:val="auto"/>
          <w:szCs w:val="21"/>
        </w:rPr>
        <w:t>1.合同经甲乙双方法定代表人、负责人、自然人或相应的授权代表签字并加盖投标人公章后生效。</w:t>
      </w:r>
    </w:p>
    <w:p>
      <w:pPr>
        <w:spacing w:line="400" w:lineRule="exact"/>
        <w:ind w:firstLine="420" w:firstLineChars="200"/>
        <w:rPr>
          <w:rFonts w:ascii="宋体" w:hAnsi="宋体" w:cs="宋体"/>
          <w:color w:val="auto"/>
          <w:szCs w:val="21"/>
        </w:rPr>
      </w:pPr>
      <w:r>
        <w:rPr>
          <w:rFonts w:hint="eastAsia" w:ascii="宋体" w:hAnsi="宋体" w:cs="宋体"/>
          <w:color w:val="auto"/>
          <w:szCs w:val="21"/>
        </w:rPr>
        <w:t>2.合同执行中涉及采购资金和采购内容修改或补充的，需经同级财政部门审批，并签订书面补充协议报同级财政部门备案，方可作为主合同不可分割的一部分。</w:t>
      </w:r>
    </w:p>
    <w:p>
      <w:pPr>
        <w:spacing w:line="400" w:lineRule="exact"/>
        <w:ind w:left="435"/>
        <w:rPr>
          <w:rFonts w:ascii="宋体" w:hAnsi="宋体" w:cs="宋体"/>
          <w:color w:val="auto"/>
          <w:szCs w:val="21"/>
        </w:rPr>
      </w:pPr>
      <w:r>
        <w:rPr>
          <w:rFonts w:hint="eastAsia" w:ascii="宋体" w:hAnsi="宋体" w:cs="宋体"/>
          <w:color w:val="auto"/>
          <w:szCs w:val="21"/>
        </w:rPr>
        <w:t>3.本合同未尽事宜，遵照《合同法》有关条文执行。</w:t>
      </w:r>
    </w:p>
    <w:p>
      <w:pPr>
        <w:spacing w:line="400" w:lineRule="exact"/>
        <w:ind w:firstLine="413" w:firstLineChars="196"/>
        <w:outlineLvl w:val="1"/>
        <w:rPr>
          <w:rFonts w:ascii="宋体" w:hAnsi="宋体" w:cs="宋体"/>
          <w:b/>
          <w:color w:val="auto"/>
          <w:szCs w:val="21"/>
        </w:rPr>
      </w:pPr>
      <w:bookmarkStart w:id="200" w:name="_Toc495841782"/>
      <w:bookmarkStart w:id="201" w:name="_Toc20115"/>
      <w:bookmarkStart w:id="202" w:name="_Toc1574"/>
      <w:r>
        <w:rPr>
          <w:rFonts w:hint="eastAsia" w:ascii="宋体" w:hAnsi="宋体" w:cs="宋体"/>
          <w:b/>
          <w:color w:val="auto"/>
          <w:szCs w:val="21"/>
        </w:rPr>
        <w:t>第十五条  合同的变更、终止与转让</w:t>
      </w:r>
      <w:bookmarkEnd w:id="200"/>
      <w:bookmarkEnd w:id="201"/>
      <w:bookmarkEnd w:id="202"/>
    </w:p>
    <w:p>
      <w:pPr>
        <w:spacing w:line="400" w:lineRule="exact"/>
        <w:ind w:firstLine="420" w:firstLineChars="200"/>
        <w:rPr>
          <w:rFonts w:ascii="宋体" w:hAnsi="宋体" w:cs="宋体"/>
          <w:color w:val="auto"/>
          <w:szCs w:val="21"/>
        </w:rPr>
      </w:pPr>
      <w:r>
        <w:rPr>
          <w:rFonts w:hint="eastAsia" w:ascii="宋体" w:hAnsi="宋体" w:cs="宋体"/>
          <w:color w:val="auto"/>
          <w:szCs w:val="21"/>
        </w:rPr>
        <w:t>1.除《中华人民共和国政府采购法》第五十条规定的情形外，本合同一经签订，甲乙双方不得擅自变更，中止或终止。</w:t>
      </w:r>
    </w:p>
    <w:p>
      <w:pPr>
        <w:spacing w:line="400" w:lineRule="exact"/>
        <w:ind w:left="420"/>
        <w:rPr>
          <w:rFonts w:ascii="宋体" w:hAnsi="宋体" w:cs="宋体"/>
          <w:color w:val="auto"/>
          <w:szCs w:val="21"/>
        </w:rPr>
      </w:pPr>
      <w:r>
        <w:rPr>
          <w:rFonts w:hint="eastAsia" w:ascii="宋体" w:hAnsi="宋体" w:cs="宋体"/>
          <w:color w:val="auto"/>
          <w:szCs w:val="21"/>
        </w:rPr>
        <w:t>2.乙方不得擅自转让(无进口资格的供应商委托进口货物除外)其应履行的合同义务。</w:t>
      </w:r>
    </w:p>
    <w:p>
      <w:pPr>
        <w:spacing w:line="400" w:lineRule="exact"/>
        <w:ind w:firstLine="413" w:firstLineChars="196"/>
        <w:outlineLvl w:val="1"/>
        <w:rPr>
          <w:rFonts w:ascii="宋体" w:hAnsi="宋体" w:cs="宋体"/>
          <w:b/>
          <w:color w:val="auto"/>
          <w:szCs w:val="21"/>
        </w:rPr>
      </w:pPr>
      <w:bookmarkStart w:id="203" w:name="_Toc495841783"/>
      <w:bookmarkStart w:id="204" w:name="_Toc19322"/>
      <w:bookmarkStart w:id="205" w:name="_Toc9548"/>
      <w:r>
        <w:rPr>
          <w:rFonts w:hint="eastAsia" w:ascii="宋体" w:hAnsi="宋体" w:cs="宋体"/>
          <w:b/>
          <w:color w:val="auto"/>
          <w:szCs w:val="21"/>
        </w:rPr>
        <w:t>第十六条  签订本合同依据</w:t>
      </w:r>
      <w:bookmarkEnd w:id="203"/>
      <w:bookmarkEnd w:id="204"/>
      <w:bookmarkEnd w:id="205"/>
    </w:p>
    <w:p>
      <w:pPr>
        <w:spacing w:line="400" w:lineRule="exact"/>
        <w:ind w:left="420"/>
        <w:rPr>
          <w:rFonts w:ascii="宋体" w:hAnsi="宋体" w:cs="宋体"/>
          <w:color w:val="auto"/>
          <w:szCs w:val="21"/>
        </w:rPr>
      </w:pPr>
      <w:r>
        <w:rPr>
          <w:rFonts w:hint="eastAsia" w:ascii="宋体" w:hAnsi="宋体" w:cs="宋体"/>
          <w:color w:val="auto"/>
          <w:szCs w:val="21"/>
        </w:rPr>
        <w:t>1.招标文件；</w:t>
      </w:r>
    </w:p>
    <w:p>
      <w:pPr>
        <w:spacing w:line="400" w:lineRule="exact"/>
        <w:ind w:left="420"/>
        <w:rPr>
          <w:rFonts w:ascii="宋体" w:hAnsi="宋体" w:cs="宋体"/>
          <w:color w:val="auto"/>
          <w:szCs w:val="21"/>
        </w:rPr>
      </w:pPr>
      <w:r>
        <w:rPr>
          <w:rFonts w:hint="eastAsia" w:ascii="宋体" w:hAnsi="宋体" w:cs="宋体"/>
          <w:color w:val="auto"/>
          <w:szCs w:val="21"/>
        </w:rPr>
        <w:t>2.乙方提供的投标（或应答）文件；</w:t>
      </w:r>
    </w:p>
    <w:p>
      <w:pPr>
        <w:spacing w:line="400" w:lineRule="exact"/>
        <w:ind w:left="420"/>
        <w:rPr>
          <w:rFonts w:ascii="宋体" w:hAnsi="宋体" w:cs="宋体"/>
          <w:color w:val="auto"/>
          <w:szCs w:val="21"/>
        </w:rPr>
      </w:pPr>
      <w:r>
        <w:rPr>
          <w:rFonts w:hint="eastAsia" w:ascii="宋体" w:hAnsi="宋体" w:cs="宋体"/>
          <w:color w:val="auto"/>
          <w:szCs w:val="21"/>
        </w:rPr>
        <w:t>3.售后服务承诺书；</w:t>
      </w:r>
    </w:p>
    <w:p>
      <w:pPr>
        <w:spacing w:line="400" w:lineRule="exact"/>
        <w:ind w:left="420"/>
        <w:rPr>
          <w:rFonts w:ascii="宋体" w:hAnsi="宋体" w:cs="宋体"/>
          <w:color w:val="auto"/>
          <w:szCs w:val="21"/>
        </w:rPr>
      </w:pPr>
      <w:r>
        <w:rPr>
          <w:rFonts w:hint="eastAsia" w:ascii="宋体" w:hAnsi="宋体" w:cs="宋体"/>
          <w:color w:val="auto"/>
          <w:szCs w:val="21"/>
        </w:rPr>
        <w:t>4.中标通知书。</w:t>
      </w:r>
    </w:p>
    <w:p>
      <w:pPr>
        <w:spacing w:line="400" w:lineRule="exact"/>
        <w:ind w:firstLine="420" w:firstLineChars="200"/>
        <w:rPr>
          <w:rFonts w:ascii="宋体" w:hAnsi="宋体" w:cs="宋体"/>
          <w:color w:val="auto"/>
        </w:rPr>
      </w:pPr>
      <w:r>
        <w:rPr>
          <w:rFonts w:hint="eastAsia" w:ascii="宋体" w:hAnsi="宋体" w:cs="宋体"/>
          <w:color w:val="auto"/>
          <w:szCs w:val="21"/>
        </w:rPr>
        <w:t>本合同甲乙双方签字盖章后生效，一式</w:t>
      </w:r>
      <w:r>
        <w:rPr>
          <w:rFonts w:hint="eastAsia" w:ascii="宋体" w:hAnsi="宋体" w:cs="宋体"/>
          <w:color w:val="auto"/>
          <w:szCs w:val="21"/>
          <w:lang w:val="en-US" w:eastAsia="zh-CN"/>
        </w:rPr>
        <w:t>肆</w:t>
      </w:r>
      <w:r>
        <w:rPr>
          <w:rFonts w:hint="eastAsia" w:ascii="宋体" w:hAnsi="宋体" w:cs="宋体"/>
          <w:color w:val="auto"/>
          <w:szCs w:val="21"/>
        </w:rPr>
        <w:t>份，具有同等法律效力，甲方持</w:t>
      </w:r>
      <w:r>
        <w:rPr>
          <w:rFonts w:hint="eastAsia" w:ascii="宋体" w:hAnsi="宋体" w:cs="宋体"/>
          <w:color w:val="auto"/>
          <w:szCs w:val="21"/>
          <w:lang w:val="en-US" w:eastAsia="zh-CN"/>
        </w:rPr>
        <w:t>壹</w:t>
      </w:r>
      <w:r>
        <w:rPr>
          <w:rFonts w:hint="eastAsia" w:ascii="宋体" w:hAnsi="宋体" w:cs="宋体"/>
          <w:color w:val="auto"/>
          <w:szCs w:val="21"/>
        </w:rPr>
        <w:t>份、乙方持</w:t>
      </w:r>
      <w:r>
        <w:rPr>
          <w:rFonts w:hint="eastAsia" w:ascii="宋体" w:hAnsi="宋体" w:cs="宋体"/>
          <w:color w:val="auto"/>
          <w:szCs w:val="21"/>
          <w:lang w:val="en-US" w:eastAsia="zh-CN"/>
        </w:rPr>
        <w:t>壹</w:t>
      </w:r>
      <w:r>
        <w:rPr>
          <w:rFonts w:hint="eastAsia" w:ascii="宋体" w:hAnsi="宋体" w:cs="宋体"/>
          <w:color w:val="auto"/>
          <w:szCs w:val="21"/>
        </w:rPr>
        <w:t>份。</w:t>
      </w:r>
      <w:r>
        <w:rPr>
          <w:rFonts w:hint="eastAsia" w:ascii="宋体" w:hAnsi="宋体" w:cs="宋体"/>
          <w:color w:val="auto"/>
        </w:rPr>
        <w:t>政府采购合同双方自签订之日起壹个工作日内，乙方</w:t>
      </w:r>
      <w:r>
        <w:rPr>
          <w:rFonts w:hint="eastAsia" w:ascii="宋体" w:hAnsi="宋体" w:cs="宋体"/>
          <w:color w:val="auto"/>
          <w:szCs w:val="21"/>
        </w:rPr>
        <w:t>将合同原件壹份交采购代理机构，</w:t>
      </w:r>
      <w:r>
        <w:rPr>
          <w:rFonts w:hint="eastAsia" w:ascii="宋体" w:hAnsi="宋体" w:cs="宋体"/>
          <w:color w:val="auto"/>
          <w:szCs w:val="21"/>
          <w:lang w:val="en-US" w:eastAsia="zh-CN"/>
        </w:rPr>
        <w:t>采购人</w:t>
      </w:r>
      <w:r>
        <w:rPr>
          <w:rFonts w:hint="eastAsia" w:ascii="宋体" w:hAnsi="宋体" w:cs="宋体"/>
          <w:color w:val="auto"/>
          <w:szCs w:val="21"/>
        </w:rPr>
        <w:t>于合同签订之日起柒个工作日内将</w:t>
      </w:r>
      <w:r>
        <w:rPr>
          <w:rFonts w:hint="eastAsia" w:ascii="宋体" w:hAnsi="宋体" w:cs="宋体"/>
          <w:color w:val="auto"/>
          <w:szCs w:val="21"/>
          <w:lang w:val="en-US" w:eastAsia="zh-CN"/>
        </w:rPr>
        <w:t>壹</w:t>
      </w:r>
      <w:r>
        <w:rPr>
          <w:rFonts w:hint="eastAsia" w:ascii="宋体" w:hAnsi="宋体" w:cs="宋体"/>
          <w:color w:val="auto"/>
          <w:szCs w:val="21"/>
        </w:rPr>
        <w:t>份合同原件送本级财政部门备案。</w:t>
      </w:r>
    </w:p>
    <w:p>
      <w:pPr>
        <w:pStyle w:val="14"/>
        <w:rPr>
          <w:color w:val="auto"/>
        </w:rPr>
      </w:pPr>
    </w:p>
    <w:p>
      <w:pPr>
        <w:spacing w:line="400" w:lineRule="exact"/>
        <w:rPr>
          <w:rFonts w:ascii="宋体" w:hAnsi="宋体" w:cs="宋体"/>
          <w:color w:val="auto"/>
          <w:szCs w:val="21"/>
          <w:u w:val="single"/>
        </w:rPr>
      </w:pPr>
      <w:r>
        <w:rPr>
          <w:rFonts w:hint="eastAsia" w:ascii="宋体" w:hAnsi="宋体" w:cs="宋体"/>
          <w:color w:val="auto"/>
          <w:szCs w:val="21"/>
        </w:rPr>
        <w:t>甲方（公章）：</w:t>
      </w:r>
      <w:r>
        <w:rPr>
          <w:rFonts w:hint="eastAsia" w:ascii="宋体" w:hAnsi="宋体" w:cs="宋体"/>
          <w:color w:val="auto"/>
          <w:szCs w:val="21"/>
          <w:u w:val="single"/>
        </w:rPr>
        <w:t xml:space="preserve">                         </w:t>
      </w:r>
      <w:r>
        <w:rPr>
          <w:rFonts w:hint="eastAsia" w:ascii="宋体" w:hAnsi="宋体" w:cs="宋体"/>
          <w:color w:val="auto"/>
          <w:szCs w:val="21"/>
        </w:rPr>
        <w:t xml:space="preserve">     乙方（公章，自然人除外）：</w:t>
      </w:r>
      <w:r>
        <w:rPr>
          <w:rFonts w:hint="eastAsia" w:ascii="宋体" w:hAnsi="宋体" w:cs="宋体"/>
          <w:color w:val="auto"/>
          <w:szCs w:val="21"/>
          <w:u w:val="single"/>
        </w:rPr>
        <w:t xml:space="preserve">                        </w:t>
      </w:r>
    </w:p>
    <w:p>
      <w:pPr>
        <w:spacing w:line="400" w:lineRule="exact"/>
        <w:ind w:left="4620" w:hanging="4620" w:hangingChars="2200"/>
        <w:rPr>
          <w:rFonts w:ascii="宋体" w:hAnsi="宋体" w:cs="宋体"/>
          <w:color w:val="auto"/>
          <w:szCs w:val="21"/>
          <w:u w:val="single"/>
        </w:rPr>
      </w:pPr>
      <w:r>
        <w:rPr>
          <w:rFonts w:hint="eastAsia" w:ascii="宋体" w:hAnsi="宋体" w:cs="宋体"/>
          <w:color w:val="auto"/>
          <w:szCs w:val="21"/>
        </w:rPr>
        <w:t>法定代表人签字：</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rPr>
        <w:t>法定代表人（负责人、自然人）签字（属自然人的应在签名处加盖大拇指指印）</w:t>
      </w:r>
      <w:r>
        <w:rPr>
          <w:rFonts w:hint="eastAsia" w:ascii="宋体" w:hAnsi="宋体" w:cs="宋体"/>
          <w:color w:val="auto"/>
          <w:szCs w:val="21"/>
        </w:rPr>
        <w:t>：</w:t>
      </w:r>
      <w:r>
        <w:rPr>
          <w:rFonts w:hint="eastAsia" w:ascii="宋体" w:hAnsi="宋体" w:cs="宋体"/>
          <w:color w:val="auto"/>
          <w:szCs w:val="21"/>
          <w:u w:val="single"/>
        </w:rPr>
        <w:t xml:space="preserve">                          </w:t>
      </w:r>
    </w:p>
    <w:p>
      <w:pPr>
        <w:tabs>
          <w:tab w:val="left" w:pos="4680"/>
        </w:tabs>
        <w:spacing w:line="400" w:lineRule="exact"/>
        <w:rPr>
          <w:rFonts w:ascii="宋体" w:hAnsi="宋体" w:cs="宋体"/>
          <w:color w:val="auto"/>
          <w:szCs w:val="21"/>
          <w:u w:val="single"/>
        </w:rPr>
      </w:pPr>
      <w:r>
        <w:rPr>
          <w:rFonts w:hint="eastAsia" w:ascii="宋体" w:hAnsi="宋体" w:cs="宋体"/>
          <w:color w:val="auto"/>
          <w:szCs w:val="21"/>
        </w:rPr>
        <w:t>委托代理人：</w:t>
      </w:r>
      <w:r>
        <w:rPr>
          <w:rFonts w:hint="eastAsia" w:ascii="宋体" w:hAnsi="宋体" w:cs="宋体"/>
          <w:color w:val="auto"/>
          <w:szCs w:val="21"/>
          <w:u w:val="single"/>
        </w:rPr>
        <w:t xml:space="preserve">                           </w:t>
      </w:r>
      <w:r>
        <w:rPr>
          <w:rFonts w:hint="eastAsia" w:ascii="宋体" w:hAnsi="宋体" w:cs="宋体"/>
          <w:color w:val="auto"/>
          <w:szCs w:val="21"/>
        </w:rPr>
        <w:t xml:space="preserve">     委托代理人：</w:t>
      </w:r>
      <w:r>
        <w:rPr>
          <w:rFonts w:hint="eastAsia" w:ascii="宋体" w:hAnsi="宋体" w:cs="宋体"/>
          <w:color w:val="auto"/>
          <w:szCs w:val="21"/>
          <w:u w:val="single"/>
        </w:rPr>
        <w:t xml:space="preserve">                                     </w:t>
      </w:r>
    </w:p>
    <w:p>
      <w:pPr>
        <w:tabs>
          <w:tab w:val="left" w:pos="5040"/>
        </w:tabs>
        <w:spacing w:line="400" w:lineRule="exact"/>
        <w:rPr>
          <w:rFonts w:ascii="宋体" w:hAnsi="宋体" w:cs="宋体"/>
          <w:color w:val="auto"/>
          <w:szCs w:val="21"/>
          <w:u w:val="single"/>
        </w:rPr>
      </w:pPr>
      <w:r>
        <w:rPr>
          <w:rFonts w:hint="eastAsia" w:ascii="宋体" w:hAnsi="宋体" w:cs="宋体"/>
          <w:color w:val="auto"/>
          <w:szCs w:val="21"/>
        </w:rPr>
        <w:t>电  话：</w:t>
      </w:r>
      <w:r>
        <w:rPr>
          <w:rFonts w:hint="eastAsia" w:ascii="宋体" w:hAnsi="宋体" w:cs="宋体"/>
          <w:color w:val="auto"/>
          <w:szCs w:val="21"/>
          <w:u w:val="single"/>
        </w:rPr>
        <w:t xml:space="preserve">                               </w:t>
      </w:r>
      <w:r>
        <w:rPr>
          <w:rFonts w:hint="eastAsia" w:ascii="宋体" w:hAnsi="宋体" w:cs="宋体"/>
          <w:color w:val="auto"/>
          <w:szCs w:val="21"/>
        </w:rPr>
        <w:t xml:space="preserve">     电   话： </w:t>
      </w:r>
      <w:r>
        <w:rPr>
          <w:rFonts w:hint="eastAsia" w:ascii="宋体" w:hAnsi="宋体" w:cs="宋体"/>
          <w:color w:val="auto"/>
          <w:szCs w:val="21"/>
          <w:u w:val="single"/>
        </w:rPr>
        <w:t xml:space="preserve">                                       </w:t>
      </w:r>
    </w:p>
    <w:p>
      <w:pPr>
        <w:tabs>
          <w:tab w:val="left" w:pos="5040"/>
        </w:tabs>
        <w:spacing w:line="400" w:lineRule="exact"/>
        <w:rPr>
          <w:rFonts w:ascii="宋体" w:hAnsi="宋体" w:cs="宋体"/>
          <w:color w:val="auto"/>
          <w:szCs w:val="21"/>
        </w:rPr>
      </w:pPr>
      <w:r>
        <w:rPr>
          <w:rFonts w:hint="eastAsia" w:ascii="宋体" w:hAnsi="宋体" w:cs="宋体"/>
          <w:color w:val="auto"/>
          <w:szCs w:val="21"/>
        </w:rPr>
        <w:t>开户名称：</w:t>
      </w:r>
      <w:r>
        <w:rPr>
          <w:rFonts w:hint="eastAsia" w:ascii="宋体" w:hAnsi="宋体" w:cs="宋体"/>
          <w:color w:val="auto"/>
          <w:szCs w:val="21"/>
          <w:u w:val="single"/>
        </w:rPr>
        <w:t xml:space="preserve">                             </w:t>
      </w:r>
      <w:r>
        <w:rPr>
          <w:rFonts w:hint="eastAsia" w:ascii="宋体" w:hAnsi="宋体" w:cs="宋体"/>
          <w:color w:val="auto"/>
          <w:szCs w:val="21"/>
        </w:rPr>
        <w:t xml:space="preserve">     开户名称：</w:t>
      </w:r>
      <w:r>
        <w:rPr>
          <w:rFonts w:hint="eastAsia" w:ascii="宋体" w:hAnsi="宋体" w:cs="宋体"/>
          <w:color w:val="auto"/>
          <w:szCs w:val="21"/>
          <w:u w:val="single"/>
        </w:rPr>
        <w:t xml:space="preserve">                                       </w:t>
      </w:r>
    </w:p>
    <w:p>
      <w:pPr>
        <w:tabs>
          <w:tab w:val="left" w:pos="5040"/>
        </w:tabs>
        <w:spacing w:line="400" w:lineRule="exact"/>
        <w:rPr>
          <w:rFonts w:ascii="宋体" w:hAnsi="宋体" w:cs="宋体"/>
          <w:color w:val="auto"/>
          <w:szCs w:val="21"/>
        </w:rPr>
      </w:pPr>
      <w:r>
        <w:rPr>
          <w:rFonts w:hint="eastAsia" w:ascii="宋体" w:hAnsi="宋体" w:cs="宋体"/>
          <w:color w:val="auto"/>
          <w:szCs w:val="21"/>
        </w:rPr>
        <w:t>开户银行：</w:t>
      </w:r>
      <w:r>
        <w:rPr>
          <w:rFonts w:hint="eastAsia" w:ascii="宋体" w:hAnsi="宋体" w:cs="宋体"/>
          <w:color w:val="auto"/>
          <w:szCs w:val="21"/>
          <w:u w:val="single"/>
        </w:rPr>
        <w:t xml:space="preserve">                             </w:t>
      </w:r>
      <w:r>
        <w:rPr>
          <w:rFonts w:hint="eastAsia" w:ascii="宋体" w:hAnsi="宋体" w:cs="宋体"/>
          <w:color w:val="auto"/>
          <w:szCs w:val="21"/>
        </w:rPr>
        <w:t xml:space="preserve">     开户银行：</w:t>
      </w:r>
      <w:r>
        <w:rPr>
          <w:rFonts w:hint="eastAsia" w:ascii="宋体" w:hAnsi="宋体" w:cs="宋体"/>
          <w:color w:val="auto"/>
          <w:szCs w:val="21"/>
          <w:u w:val="single"/>
        </w:rPr>
        <w:t xml:space="preserve">                                       </w:t>
      </w:r>
    </w:p>
    <w:p>
      <w:pPr>
        <w:tabs>
          <w:tab w:val="left" w:pos="5040"/>
        </w:tabs>
        <w:spacing w:line="400" w:lineRule="exact"/>
        <w:rPr>
          <w:rFonts w:ascii="宋体" w:hAnsi="宋体" w:cs="宋体"/>
          <w:color w:val="auto"/>
          <w:szCs w:val="21"/>
        </w:rPr>
      </w:pPr>
      <w:r>
        <w:rPr>
          <w:rFonts w:hint="eastAsia" w:ascii="宋体" w:hAnsi="宋体" w:cs="宋体"/>
          <w:color w:val="auto"/>
          <w:szCs w:val="21"/>
        </w:rPr>
        <w:t>银行账号：</w:t>
      </w:r>
      <w:r>
        <w:rPr>
          <w:rFonts w:hint="eastAsia" w:ascii="宋体" w:hAnsi="宋体" w:cs="宋体"/>
          <w:color w:val="auto"/>
          <w:szCs w:val="21"/>
          <w:u w:val="single"/>
        </w:rPr>
        <w:t xml:space="preserve">                             </w:t>
      </w:r>
      <w:r>
        <w:rPr>
          <w:rFonts w:hint="eastAsia" w:ascii="宋体" w:hAnsi="宋体" w:cs="宋体"/>
          <w:color w:val="auto"/>
          <w:szCs w:val="21"/>
        </w:rPr>
        <w:t xml:space="preserve">     银行账号：</w:t>
      </w:r>
      <w:r>
        <w:rPr>
          <w:rFonts w:hint="eastAsia" w:ascii="宋体" w:hAnsi="宋体" w:cs="宋体"/>
          <w:color w:val="auto"/>
          <w:szCs w:val="21"/>
          <w:u w:val="single"/>
        </w:rPr>
        <w:t xml:space="preserve">                                       </w:t>
      </w:r>
    </w:p>
    <w:p>
      <w:pPr>
        <w:tabs>
          <w:tab w:val="left" w:pos="5040"/>
        </w:tabs>
        <w:spacing w:line="400" w:lineRule="exact"/>
        <w:rPr>
          <w:rFonts w:ascii="宋体" w:hAnsi="宋体" w:cs="宋体"/>
          <w:color w:val="auto"/>
        </w:rPr>
      </w:pPr>
      <w:r>
        <w:rPr>
          <w:rFonts w:hint="eastAsia" w:ascii="宋体" w:hAnsi="宋体" w:cs="宋体"/>
          <w:color w:val="auto"/>
          <w:szCs w:val="21"/>
        </w:rPr>
        <w:t>日    期：</w:t>
      </w:r>
      <w:r>
        <w:rPr>
          <w:rFonts w:hint="eastAsia" w:ascii="宋体" w:hAnsi="宋体" w:cs="宋体"/>
          <w:color w:val="auto"/>
          <w:szCs w:val="21"/>
          <w:u w:val="single"/>
        </w:rPr>
        <w:t xml:space="preserve">                             </w:t>
      </w:r>
      <w:r>
        <w:rPr>
          <w:rFonts w:hint="eastAsia" w:ascii="宋体" w:hAnsi="宋体" w:cs="宋体"/>
          <w:color w:val="auto"/>
          <w:szCs w:val="21"/>
        </w:rPr>
        <w:t xml:space="preserve">     日    期：</w:t>
      </w:r>
      <w:r>
        <w:rPr>
          <w:rFonts w:hint="eastAsia" w:ascii="宋体" w:hAnsi="宋体" w:cs="宋体"/>
          <w:color w:val="auto"/>
          <w:szCs w:val="21"/>
          <w:u w:val="single"/>
        </w:rPr>
        <w:t xml:space="preserve">                                       </w:t>
      </w:r>
    </w:p>
    <w:p>
      <w:pPr>
        <w:jc w:val="center"/>
        <w:outlineLvl w:val="0"/>
        <w:rPr>
          <w:rFonts w:ascii="宋体" w:hAnsi="宋体" w:cs="宋体"/>
          <w:color w:val="auto"/>
          <w:sz w:val="32"/>
          <w:szCs w:val="32"/>
        </w:rPr>
      </w:pPr>
      <w:r>
        <w:rPr>
          <w:rFonts w:hint="eastAsia" w:ascii="宋体" w:hAnsi="宋体" w:cs="宋体"/>
          <w:b/>
          <w:color w:val="auto"/>
          <w:sz w:val="32"/>
          <w:szCs w:val="32"/>
        </w:rPr>
        <w:br w:type="page"/>
      </w:r>
      <w:bookmarkStart w:id="206" w:name="_Toc24269"/>
      <w:bookmarkStart w:id="207" w:name="_Toc19275"/>
      <w:r>
        <w:rPr>
          <w:rFonts w:hint="eastAsia" w:ascii="宋体" w:hAnsi="宋体" w:cs="宋体"/>
          <w:b/>
          <w:bCs/>
          <w:color w:val="auto"/>
          <w:kern w:val="44"/>
          <w:sz w:val="32"/>
          <w:szCs w:val="32"/>
        </w:rPr>
        <w:t>第六章  投标文件（格式）</w:t>
      </w:r>
      <w:bookmarkEnd w:id="206"/>
      <w:bookmarkEnd w:id="207"/>
    </w:p>
    <w:p>
      <w:pPr>
        <w:rPr>
          <w:b/>
          <w:bCs/>
          <w:color w:val="auto"/>
          <w:sz w:val="30"/>
          <w:szCs w:val="30"/>
        </w:rPr>
      </w:pPr>
      <w:bookmarkStart w:id="208" w:name="_Toc498627082"/>
      <w:bookmarkStart w:id="209" w:name="_Toc478137727"/>
      <w:bookmarkStart w:id="210" w:name="_Toc486867150"/>
      <w:bookmarkStart w:id="211" w:name="_Toc486695806"/>
      <w:bookmarkStart w:id="212" w:name="_Toc498698226"/>
      <w:bookmarkStart w:id="213" w:name="_Toc31410"/>
      <w:bookmarkStart w:id="214" w:name="_Toc1762"/>
      <w:r>
        <w:rPr>
          <w:rFonts w:hint="eastAsia"/>
          <w:b/>
          <w:bCs/>
          <w:color w:val="auto"/>
          <w:sz w:val="30"/>
          <w:szCs w:val="30"/>
        </w:rPr>
        <w:t>投标文件封面格式</w:t>
      </w:r>
      <w:bookmarkEnd w:id="208"/>
      <w:bookmarkEnd w:id="209"/>
      <w:bookmarkEnd w:id="210"/>
      <w:bookmarkEnd w:id="211"/>
      <w:bookmarkEnd w:id="212"/>
      <w:r>
        <w:rPr>
          <w:rFonts w:hint="eastAsia"/>
          <w:b/>
          <w:bCs/>
          <w:color w:val="auto"/>
          <w:sz w:val="30"/>
          <w:szCs w:val="30"/>
        </w:rPr>
        <w:t>：</w:t>
      </w:r>
      <w:bookmarkEnd w:id="213"/>
      <w:bookmarkEnd w:id="214"/>
    </w:p>
    <w:p>
      <w:pPr>
        <w:adjustRightInd w:val="0"/>
        <w:snapToGrid w:val="0"/>
        <w:jc w:val="right"/>
        <w:rPr>
          <w:rFonts w:ascii="宋体" w:hAnsi="宋体" w:cs="宋体"/>
          <w:b/>
          <w:color w:val="auto"/>
          <w:sz w:val="44"/>
          <w:szCs w:val="44"/>
        </w:rPr>
      </w:pPr>
      <w:r>
        <w:rPr>
          <w:rFonts w:hint="eastAsia" w:ascii="宋体" w:hAnsi="宋体" w:cs="宋体"/>
          <w:b/>
          <w:color w:val="auto"/>
          <w:sz w:val="32"/>
          <w:szCs w:val="32"/>
        </w:rPr>
        <w:t>正本/副本</w:t>
      </w:r>
    </w:p>
    <w:p>
      <w:pPr>
        <w:adjustRightInd w:val="0"/>
        <w:snapToGrid w:val="0"/>
        <w:rPr>
          <w:rFonts w:ascii="宋体" w:hAnsi="宋体" w:cs="宋体"/>
          <w:b/>
          <w:color w:val="auto"/>
          <w:sz w:val="44"/>
          <w:szCs w:val="44"/>
        </w:rPr>
      </w:pPr>
    </w:p>
    <w:p>
      <w:pPr>
        <w:adjustRightInd w:val="0"/>
        <w:snapToGrid w:val="0"/>
        <w:jc w:val="center"/>
        <w:rPr>
          <w:rFonts w:ascii="宋体" w:hAnsi="宋体" w:cs="宋体"/>
          <w:b/>
          <w:color w:val="auto"/>
          <w:sz w:val="44"/>
          <w:szCs w:val="44"/>
        </w:rPr>
      </w:pPr>
      <w:bookmarkStart w:id="215" w:name="_Toc13659_WPSOffice_Level1"/>
      <w:bookmarkStart w:id="216" w:name="_Toc3441_WPSOffice_Level1"/>
      <w:r>
        <w:rPr>
          <w:rFonts w:hint="eastAsia" w:ascii="宋体" w:hAnsi="宋体" w:cs="宋体"/>
          <w:bCs/>
          <w:color w:val="auto"/>
          <w:sz w:val="72"/>
          <w:szCs w:val="72"/>
        </w:rPr>
        <w:t>投标文件</w:t>
      </w:r>
      <w:bookmarkEnd w:id="215"/>
      <w:bookmarkEnd w:id="216"/>
    </w:p>
    <w:p>
      <w:pPr>
        <w:adjustRightInd w:val="0"/>
        <w:snapToGrid w:val="0"/>
        <w:rPr>
          <w:rFonts w:ascii="宋体" w:hAnsi="宋体" w:cs="宋体"/>
          <w:b/>
          <w:color w:val="auto"/>
          <w:sz w:val="44"/>
          <w:szCs w:val="44"/>
        </w:rPr>
      </w:pPr>
    </w:p>
    <w:p>
      <w:pPr>
        <w:adjustRightInd w:val="0"/>
        <w:snapToGrid w:val="0"/>
        <w:rPr>
          <w:rFonts w:ascii="宋体" w:hAnsi="宋体" w:cs="宋体"/>
          <w:b/>
          <w:color w:val="auto"/>
          <w:sz w:val="44"/>
          <w:szCs w:val="44"/>
        </w:rPr>
      </w:pPr>
    </w:p>
    <w:p>
      <w:pPr>
        <w:pStyle w:val="46"/>
        <w:ind w:firstLine="883"/>
        <w:rPr>
          <w:rFonts w:ascii="宋体" w:hAnsi="宋体" w:cs="宋体"/>
          <w:b/>
          <w:color w:val="auto"/>
          <w:sz w:val="44"/>
          <w:szCs w:val="44"/>
        </w:rPr>
      </w:pPr>
    </w:p>
    <w:p>
      <w:pPr>
        <w:jc w:val="center"/>
        <w:rPr>
          <w:rFonts w:ascii="宋体" w:hAnsi="宋体" w:cs="宋体"/>
          <w:color w:val="auto"/>
          <w:sz w:val="30"/>
          <w:szCs w:val="30"/>
        </w:rPr>
      </w:pPr>
      <w:r>
        <w:rPr>
          <w:rFonts w:hint="eastAsia" w:ascii="宋体" w:hAnsi="宋体" w:cs="宋体"/>
          <w:bCs/>
          <w:color w:val="auto"/>
          <w:sz w:val="30"/>
          <w:szCs w:val="30"/>
        </w:rPr>
        <w:t>项目名称：</w:t>
      </w:r>
      <w:r>
        <w:rPr>
          <w:rFonts w:hint="eastAsia" w:ascii="宋体" w:hAnsi="宋体" w:cs="宋体"/>
          <w:bCs/>
          <w:color w:val="auto"/>
          <w:sz w:val="30"/>
          <w:szCs w:val="30"/>
          <w:u w:val="single"/>
        </w:rPr>
        <w:t>临桂区2020年中小学班班通多媒体设备采购</w:t>
      </w:r>
    </w:p>
    <w:p>
      <w:pPr>
        <w:ind w:firstLine="2400" w:firstLineChars="800"/>
        <w:rPr>
          <w:rFonts w:ascii="宋体" w:hAnsi="宋体" w:cs="宋体"/>
          <w:bCs/>
          <w:color w:val="auto"/>
          <w:sz w:val="30"/>
          <w:szCs w:val="30"/>
          <w:u w:val="single"/>
        </w:rPr>
      </w:pPr>
      <w:r>
        <w:rPr>
          <w:rFonts w:hint="eastAsia" w:ascii="宋体" w:hAnsi="宋体" w:cs="宋体"/>
          <w:bCs/>
          <w:color w:val="auto"/>
          <w:sz w:val="30"/>
          <w:szCs w:val="30"/>
        </w:rPr>
        <w:t>项目编号：</w:t>
      </w:r>
      <w:r>
        <w:rPr>
          <w:rFonts w:hint="eastAsia" w:ascii="宋体" w:hAnsi="宋体" w:cs="宋体"/>
          <w:bCs/>
          <w:color w:val="auto"/>
          <w:sz w:val="30"/>
          <w:szCs w:val="30"/>
          <w:u w:val="single"/>
        </w:rPr>
        <w:t>GLZC2020-G1-120018-JCZX</w:t>
      </w:r>
    </w:p>
    <w:p>
      <w:pPr>
        <w:ind w:firstLine="741" w:firstLineChars="353"/>
        <w:rPr>
          <w:rFonts w:ascii="宋体" w:hAnsi="宋体" w:cs="宋体"/>
          <w:color w:val="auto"/>
        </w:rPr>
      </w:pPr>
    </w:p>
    <w:p>
      <w:pPr>
        <w:snapToGrid w:val="0"/>
        <w:spacing w:before="156" w:beforeLines="50" w:after="50"/>
        <w:ind w:firstLine="1260" w:firstLineChars="450"/>
        <w:rPr>
          <w:rFonts w:ascii="宋体" w:hAnsi="宋体" w:cs="宋体"/>
          <w:bCs/>
          <w:color w:val="auto"/>
          <w:sz w:val="28"/>
          <w:szCs w:val="28"/>
        </w:rPr>
      </w:pPr>
    </w:p>
    <w:p>
      <w:pPr>
        <w:pStyle w:val="46"/>
        <w:ind w:firstLine="420"/>
        <w:rPr>
          <w:color w:val="auto"/>
        </w:rPr>
      </w:pPr>
    </w:p>
    <w:p>
      <w:pPr>
        <w:pStyle w:val="2"/>
        <w:rPr>
          <w:color w:val="auto"/>
        </w:rPr>
      </w:pPr>
    </w:p>
    <w:p>
      <w:pPr>
        <w:snapToGrid w:val="0"/>
        <w:spacing w:before="156" w:beforeLines="50" w:after="50"/>
        <w:ind w:firstLine="1260" w:firstLineChars="450"/>
        <w:rPr>
          <w:rFonts w:ascii="宋体" w:hAnsi="宋体" w:cs="宋体"/>
          <w:bCs/>
          <w:color w:val="auto"/>
          <w:sz w:val="28"/>
          <w:szCs w:val="28"/>
        </w:rPr>
      </w:pPr>
    </w:p>
    <w:p>
      <w:pPr>
        <w:snapToGrid w:val="0"/>
        <w:spacing w:before="156" w:beforeLines="50" w:after="50"/>
        <w:ind w:firstLine="1260" w:firstLineChars="450"/>
        <w:rPr>
          <w:rFonts w:ascii="宋体" w:hAnsi="宋体" w:cs="宋体"/>
          <w:bCs/>
          <w:color w:val="auto"/>
          <w:sz w:val="28"/>
          <w:szCs w:val="28"/>
        </w:rPr>
      </w:pPr>
    </w:p>
    <w:p>
      <w:pPr>
        <w:ind w:firstLine="964" w:firstLineChars="300"/>
        <w:jc w:val="left"/>
        <w:rPr>
          <w:rFonts w:ascii="宋体" w:hAnsi="宋体" w:cs="宋体"/>
          <w:b/>
          <w:color w:val="auto"/>
          <w:sz w:val="32"/>
          <w:szCs w:val="32"/>
        </w:rPr>
      </w:pPr>
    </w:p>
    <w:p>
      <w:pPr>
        <w:pStyle w:val="15"/>
        <w:ind w:left="980" w:hanging="560" w:hangingChars="200"/>
        <w:jc w:val="center"/>
        <w:rPr>
          <w:rFonts w:ascii="宋体" w:hAnsi="宋体" w:cs="宋体"/>
          <w:bCs/>
          <w:color w:val="auto"/>
          <w:sz w:val="28"/>
          <w:szCs w:val="28"/>
          <w:u w:val="single"/>
        </w:rPr>
      </w:pPr>
      <w:r>
        <w:rPr>
          <w:rFonts w:hint="eastAsia" w:ascii="宋体" w:hAnsi="宋体" w:cs="宋体"/>
          <w:bCs/>
          <w:color w:val="auto"/>
          <w:sz w:val="28"/>
          <w:szCs w:val="28"/>
        </w:rPr>
        <w:t>采购代理机构：</w:t>
      </w:r>
      <w:r>
        <w:rPr>
          <w:rFonts w:hint="eastAsia" w:ascii="宋体" w:hAnsi="宋体" w:cs="宋体"/>
          <w:bCs/>
          <w:color w:val="auto"/>
          <w:sz w:val="28"/>
          <w:szCs w:val="28"/>
          <w:u w:val="single"/>
        </w:rPr>
        <w:t>桂林市政府集中采购中心</w:t>
      </w:r>
    </w:p>
    <w:p>
      <w:pPr>
        <w:pStyle w:val="15"/>
        <w:ind w:left="980" w:hanging="560" w:hangingChars="200"/>
        <w:rPr>
          <w:rFonts w:ascii="宋体" w:hAnsi="宋体" w:cs="宋体"/>
          <w:bCs/>
          <w:color w:val="auto"/>
          <w:sz w:val="28"/>
          <w:szCs w:val="28"/>
        </w:rPr>
      </w:pPr>
      <w:bookmarkStart w:id="217" w:name="_Toc4932_WPSOffice_Level2"/>
      <w:bookmarkStart w:id="218" w:name="_Toc20319_WPSOffice_Level2"/>
      <w:r>
        <w:rPr>
          <w:rFonts w:hint="eastAsia" w:ascii="宋体" w:hAnsi="宋体" w:cs="宋体"/>
          <w:bCs/>
          <w:color w:val="auto"/>
          <w:sz w:val="28"/>
          <w:szCs w:val="28"/>
        </w:rPr>
        <w:t>投标人（公章、自然人除外）：</w:t>
      </w:r>
      <w:r>
        <w:rPr>
          <w:rFonts w:hint="eastAsia" w:ascii="宋体" w:hAnsi="宋体" w:cs="宋体"/>
          <w:bCs/>
          <w:color w:val="auto"/>
          <w:sz w:val="28"/>
          <w:szCs w:val="28"/>
          <w:u w:val="single"/>
        </w:rPr>
        <w:t xml:space="preserve">                       </w:t>
      </w:r>
      <w:bookmarkEnd w:id="217"/>
      <w:bookmarkEnd w:id="218"/>
      <w:r>
        <w:rPr>
          <w:rFonts w:hint="eastAsia" w:ascii="宋体" w:hAnsi="宋体" w:cs="宋体"/>
          <w:bCs/>
          <w:color w:val="auto"/>
          <w:sz w:val="28"/>
          <w:szCs w:val="28"/>
          <w:u w:val="single"/>
        </w:rPr>
        <w:t xml:space="preserve">       </w:t>
      </w:r>
    </w:p>
    <w:p>
      <w:pPr>
        <w:pStyle w:val="17"/>
        <w:spacing w:line="320" w:lineRule="exact"/>
        <w:ind w:firstLine="420"/>
        <w:rPr>
          <w:rFonts w:hAnsi="宋体" w:cs="宋体"/>
          <w:color w:val="auto"/>
          <w:sz w:val="28"/>
          <w:szCs w:val="28"/>
        </w:rPr>
      </w:pPr>
      <w:bookmarkStart w:id="219" w:name="_Toc11679_WPSOffice_Level2"/>
      <w:bookmarkStart w:id="220" w:name="_Toc4767_WPSOffice_Level2"/>
      <w:r>
        <w:rPr>
          <w:rFonts w:hint="eastAsia" w:hAnsi="宋体" w:cs="宋体"/>
          <w:color w:val="auto"/>
          <w:sz w:val="28"/>
          <w:szCs w:val="28"/>
        </w:rPr>
        <w:t>法定代表人、负责人、自然人或相应的委托代理人签字（或盖章）</w:t>
      </w:r>
    </w:p>
    <w:p>
      <w:pPr>
        <w:pStyle w:val="15"/>
        <w:ind w:left="980" w:hanging="560" w:hangingChars="200"/>
        <w:rPr>
          <w:rFonts w:ascii="宋体" w:hAnsi="宋体" w:cs="宋体"/>
          <w:color w:val="auto"/>
          <w:sz w:val="28"/>
          <w:szCs w:val="28"/>
          <w:u w:val="single"/>
        </w:rPr>
      </w:pPr>
      <w:r>
        <w:rPr>
          <w:rFonts w:hint="eastAsia" w:ascii="宋体" w:hAnsi="宋体" w:cs="宋体"/>
          <w:color w:val="auto"/>
          <w:sz w:val="28"/>
          <w:szCs w:val="28"/>
        </w:rPr>
        <w:t>（属自然人的应在签名处加盖大拇指指印）：</w:t>
      </w:r>
      <w:r>
        <w:rPr>
          <w:rFonts w:hint="eastAsia" w:ascii="宋体" w:hAnsi="宋体" w:cs="宋体"/>
          <w:color w:val="auto"/>
          <w:sz w:val="28"/>
          <w:szCs w:val="28"/>
          <w:u w:val="single"/>
        </w:rPr>
        <w:t xml:space="preserve">                  </w:t>
      </w:r>
      <w:bookmarkEnd w:id="219"/>
      <w:bookmarkEnd w:id="220"/>
      <w:bookmarkStart w:id="221" w:name="_Toc9622_WPSOffice_Level2"/>
      <w:bookmarkStart w:id="222" w:name="_Toc32056_WPSOffice_Level2"/>
    </w:p>
    <w:p>
      <w:pPr>
        <w:pStyle w:val="15"/>
        <w:ind w:left="980" w:hanging="560" w:hangingChars="200"/>
        <w:rPr>
          <w:rFonts w:ascii="宋体" w:hAnsi="宋体" w:cs="宋体"/>
          <w:bCs/>
          <w:color w:val="auto"/>
          <w:sz w:val="28"/>
          <w:szCs w:val="28"/>
          <w:u w:val="single"/>
        </w:rPr>
      </w:pPr>
      <w:r>
        <w:rPr>
          <w:rFonts w:hint="eastAsia" w:ascii="宋体" w:hAnsi="宋体" w:cs="宋体"/>
          <w:bCs/>
          <w:color w:val="auto"/>
          <w:sz w:val="28"/>
          <w:szCs w:val="28"/>
        </w:rPr>
        <w:t>联系电话：</w:t>
      </w:r>
      <w:bookmarkEnd w:id="221"/>
      <w:bookmarkEnd w:id="222"/>
      <w:r>
        <w:rPr>
          <w:rFonts w:hint="eastAsia" w:ascii="宋体" w:hAnsi="宋体" w:cs="宋体"/>
          <w:bCs/>
          <w:color w:val="auto"/>
          <w:sz w:val="28"/>
          <w:szCs w:val="28"/>
          <w:u w:val="single"/>
        </w:rPr>
        <w:t xml:space="preserve">                                                </w:t>
      </w:r>
    </w:p>
    <w:p>
      <w:pPr>
        <w:pStyle w:val="15"/>
        <w:ind w:left="980" w:hanging="560" w:hangingChars="200"/>
        <w:rPr>
          <w:rFonts w:ascii="宋体" w:hAnsi="宋体" w:cs="宋体"/>
          <w:b/>
          <w:color w:val="auto"/>
          <w:sz w:val="32"/>
          <w:szCs w:val="32"/>
        </w:rPr>
      </w:pPr>
      <w:bookmarkStart w:id="223" w:name="_Toc15933_WPSOffice_Level2"/>
      <w:bookmarkStart w:id="224" w:name="_Toc26465_WPSOffice_Level2"/>
      <w:r>
        <w:rPr>
          <w:rFonts w:hint="eastAsia" w:ascii="宋体" w:hAnsi="宋体" w:cs="宋体"/>
          <w:bCs/>
          <w:color w:val="auto"/>
          <w:sz w:val="28"/>
          <w:szCs w:val="28"/>
        </w:rPr>
        <w:t>日期：</w:t>
      </w:r>
      <w:r>
        <w:rPr>
          <w:rFonts w:hint="eastAsia" w:ascii="宋体" w:hAnsi="宋体" w:cs="宋体"/>
          <w:bCs/>
          <w:color w:val="auto"/>
          <w:sz w:val="28"/>
          <w:szCs w:val="28"/>
          <w:u w:val="single"/>
        </w:rPr>
        <w:t xml:space="preserve">              </w:t>
      </w:r>
      <w:r>
        <w:rPr>
          <w:rFonts w:hint="eastAsia" w:ascii="宋体" w:hAnsi="宋体" w:cs="宋体"/>
          <w:bCs/>
          <w:color w:val="auto"/>
          <w:sz w:val="28"/>
          <w:szCs w:val="28"/>
        </w:rPr>
        <w:t>年</w:t>
      </w:r>
      <w:r>
        <w:rPr>
          <w:rFonts w:hint="eastAsia" w:ascii="宋体" w:hAnsi="宋体" w:cs="宋体"/>
          <w:bCs/>
          <w:color w:val="auto"/>
          <w:sz w:val="28"/>
          <w:szCs w:val="28"/>
          <w:u w:val="single"/>
        </w:rPr>
        <w:t xml:space="preserve">           </w:t>
      </w:r>
      <w:r>
        <w:rPr>
          <w:rFonts w:hint="eastAsia" w:ascii="宋体" w:hAnsi="宋体" w:cs="宋体"/>
          <w:bCs/>
          <w:color w:val="auto"/>
          <w:sz w:val="28"/>
          <w:szCs w:val="28"/>
        </w:rPr>
        <w:t>月</w:t>
      </w:r>
      <w:r>
        <w:rPr>
          <w:rFonts w:hint="eastAsia" w:ascii="宋体" w:hAnsi="宋体" w:cs="宋体"/>
          <w:bCs/>
          <w:color w:val="auto"/>
          <w:sz w:val="28"/>
          <w:szCs w:val="28"/>
          <w:u w:val="single"/>
        </w:rPr>
        <w:t xml:space="preserve">           </w:t>
      </w:r>
      <w:r>
        <w:rPr>
          <w:rFonts w:hint="eastAsia" w:ascii="宋体" w:hAnsi="宋体" w:cs="宋体"/>
          <w:bCs/>
          <w:color w:val="auto"/>
          <w:sz w:val="28"/>
          <w:szCs w:val="28"/>
        </w:rPr>
        <w:t>日</w:t>
      </w:r>
      <w:bookmarkEnd w:id="223"/>
      <w:bookmarkEnd w:id="224"/>
    </w:p>
    <w:p>
      <w:pPr>
        <w:jc w:val="center"/>
        <w:rPr>
          <w:b/>
          <w:bCs/>
          <w:color w:val="auto"/>
          <w:sz w:val="32"/>
          <w:szCs w:val="32"/>
        </w:rPr>
      </w:pPr>
      <w:r>
        <w:rPr>
          <w:rFonts w:hint="eastAsia"/>
          <w:b/>
          <w:bCs/>
          <w:color w:val="auto"/>
          <w:sz w:val="32"/>
          <w:szCs w:val="32"/>
        </w:rPr>
        <w:t>投标文件目录</w:t>
      </w:r>
    </w:p>
    <w:p>
      <w:pPr>
        <w:tabs>
          <w:tab w:val="left" w:pos="1305"/>
        </w:tabs>
        <w:spacing w:line="380" w:lineRule="exact"/>
        <w:ind w:firstLine="422" w:firstLineChars="150"/>
        <w:rPr>
          <w:rFonts w:ascii="宋体" w:hAnsi="宋体" w:cs="宋体"/>
          <w:b/>
          <w:color w:val="auto"/>
          <w:sz w:val="28"/>
          <w:szCs w:val="28"/>
        </w:rPr>
      </w:pPr>
      <w:r>
        <w:rPr>
          <w:rFonts w:hint="eastAsia" w:ascii="宋体" w:hAnsi="宋体" w:cs="宋体"/>
          <w:b/>
          <w:color w:val="auto"/>
          <w:sz w:val="28"/>
          <w:szCs w:val="28"/>
        </w:rPr>
        <w:t>一、投标报价表（格式见附件）（必须提供）</w:t>
      </w:r>
    </w:p>
    <w:p>
      <w:pPr>
        <w:tabs>
          <w:tab w:val="left" w:pos="1305"/>
        </w:tabs>
        <w:spacing w:line="380" w:lineRule="exact"/>
        <w:ind w:firstLine="422" w:firstLineChars="150"/>
        <w:rPr>
          <w:rFonts w:ascii="宋体" w:hAnsi="宋体" w:cs="宋体"/>
          <w:b/>
          <w:color w:val="auto"/>
          <w:sz w:val="28"/>
          <w:szCs w:val="28"/>
        </w:rPr>
      </w:pPr>
      <w:r>
        <w:rPr>
          <w:rFonts w:hint="eastAsia" w:ascii="宋体" w:hAnsi="宋体" w:cs="宋体"/>
          <w:b/>
          <w:color w:val="auto"/>
          <w:sz w:val="28"/>
          <w:szCs w:val="28"/>
        </w:rPr>
        <w:t>二、资格性响应证明材料：</w:t>
      </w:r>
    </w:p>
    <w:p>
      <w:pPr>
        <w:tabs>
          <w:tab w:val="left" w:pos="1305"/>
        </w:tabs>
        <w:spacing w:line="380" w:lineRule="exact"/>
        <w:ind w:firstLine="420" w:firstLineChars="200"/>
        <w:rPr>
          <w:rFonts w:ascii="宋体" w:hAnsi="宋体" w:cs="宋体"/>
          <w:color w:val="auto"/>
          <w:szCs w:val="21"/>
        </w:rPr>
      </w:pPr>
      <w:r>
        <w:rPr>
          <w:rFonts w:hint="eastAsia" w:ascii="宋体" w:hAnsi="宋体" w:cs="宋体"/>
          <w:color w:val="auto"/>
          <w:szCs w:val="21"/>
        </w:rPr>
        <w:t>1.投标人相应的法定代表人、负责人、自然人身份证正反面复印件</w:t>
      </w:r>
      <w:r>
        <w:rPr>
          <w:rFonts w:hint="eastAsia" w:ascii="宋体" w:hAnsi="宋体" w:cs="宋体"/>
          <w:b/>
          <w:bCs/>
          <w:color w:val="auto"/>
          <w:szCs w:val="21"/>
        </w:rPr>
        <w:t>（必须提供）；</w:t>
      </w:r>
    </w:p>
    <w:p>
      <w:pPr>
        <w:spacing w:line="400" w:lineRule="exact"/>
        <w:ind w:firstLine="411" w:firstLineChars="196"/>
        <w:rPr>
          <w:rFonts w:hint="eastAsia" w:ascii="宋体" w:hAnsi="宋体" w:cs="宋体"/>
          <w:color w:val="auto"/>
          <w:szCs w:val="21"/>
          <w:lang w:eastAsia="zh-CN"/>
        </w:rPr>
      </w:pPr>
      <w:r>
        <w:rPr>
          <w:rFonts w:hint="eastAsia" w:ascii="宋体" w:hAnsi="宋体" w:cs="宋体"/>
          <w:color w:val="auto"/>
          <w:szCs w:val="21"/>
        </w:rPr>
        <w:t>2.投标人的授权委托书原件、委托代理人身份证正反面复印件以及由县级以上（含县级）社会养老保险经办机构出具的投标人为委托代理人交纳的开标截止时间前半年内任意连续三个月社保证明复印件</w:t>
      </w:r>
      <w:r>
        <w:rPr>
          <w:rFonts w:hint="eastAsia" w:ascii="宋体" w:hAnsi="宋体" w:cs="宋体"/>
          <w:color w:val="auto"/>
          <w:szCs w:val="21"/>
          <w:lang w:eastAsia="zh-CN"/>
        </w:rPr>
        <w:t>，除投标人为以下三种情形的：</w:t>
      </w:r>
    </w:p>
    <w:p>
      <w:pPr>
        <w:spacing w:line="400" w:lineRule="exact"/>
        <w:ind w:firstLine="411" w:firstLineChars="196"/>
        <w:rPr>
          <w:rFonts w:hint="eastAsia" w:ascii="宋体" w:hAnsi="宋体" w:cs="宋体"/>
          <w:color w:val="auto"/>
          <w:szCs w:val="21"/>
        </w:rPr>
      </w:pPr>
      <w:r>
        <w:rPr>
          <w:rFonts w:hint="eastAsia" w:ascii="宋体" w:hAnsi="宋体" w:cs="宋体"/>
          <w:color w:val="auto"/>
          <w:szCs w:val="21"/>
          <w:lang w:eastAsia="zh-CN"/>
        </w:rPr>
        <w:t>①</w:t>
      </w:r>
      <w:r>
        <w:rPr>
          <w:rFonts w:hint="eastAsia" w:ascii="宋体" w:hAnsi="宋体" w:cs="宋体"/>
          <w:color w:val="auto"/>
          <w:szCs w:val="21"/>
        </w:rPr>
        <w:t>如投标人为截标时间前60日以内成立的公司，可以提供投标人与委托代理人签订的劳动合同复印件代替社保证明复印件；</w:t>
      </w:r>
    </w:p>
    <w:p>
      <w:pPr>
        <w:spacing w:line="400" w:lineRule="exact"/>
        <w:ind w:firstLine="411" w:firstLineChars="196"/>
        <w:rPr>
          <w:rFonts w:hint="eastAsia" w:ascii="宋体" w:hAnsi="宋体" w:cs="宋体"/>
          <w:color w:val="auto"/>
          <w:szCs w:val="21"/>
        </w:rPr>
      </w:pPr>
      <w:r>
        <w:rPr>
          <w:rFonts w:hint="eastAsia" w:ascii="宋体" w:hAnsi="宋体" w:cs="宋体"/>
          <w:color w:val="auto"/>
          <w:szCs w:val="21"/>
          <w:lang w:eastAsia="zh-CN"/>
        </w:rPr>
        <w:t>②</w:t>
      </w:r>
      <w:r>
        <w:rPr>
          <w:rFonts w:hint="eastAsia" w:ascii="宋体" w:hAnsi="宋体" w:cs="宋体"/>
          <w:color w:val="auto"/>
          <w:szCs w:val="21"/>
        </w:rPr>
        <w:t>如投标人为事业单位，可以提供事业单位机构编制管理证复印件或事业单位机构为其发放工资的工资条复印件代替社保证明复印件；</w:t>
      </w:r>
    </w:p>
    <w:p>
      <w:pPr>
        <w:spacing w:line="400" w:lineRule="exact"/>
        <w:ind w:firstLine="411" w:firstLineChars="196"/>
        <w:rPr>
          <w:rFonts w:hint="eastAsia" w:ascii="宋体" w:hAnsi="宋体" w:eastAsia="宋体" w:cs="宋体"/>
          <w:color w:val="auto"/>
          <w:szCs w:val="21"/>
          <w:lang w:eastAsia="zh-CN"/>
        </w:rPr>
      </w:pPr>
      <w:r>
        <w:rPr>
          <w:rFonts w:hint="eastAsia" w:ascii="宋体" w:hAnsi="宋体" w:cs="宋体"/>
          <w:color w:val="auto"/>
          <w:szCs w:val="21"/>
          <w:lang w:eastAsia="zh-CN"/>
        </w:rPr>
        <w:t>③</w:t>
      </w:r>
      <w:r>
        <w:rPr>
          <w:rFonts w:hint="eastAsia" w:ascii="宋体" w:hAnsi="宋体" w:cs="宋体"/>
          <w:color w:val="auto"/>
          <w:szCs w:val="21"/>
        </w:rPr>
        <w:t>如委托代理人为免缴纳社保人员，提供免缴纳社保的证明材料复印件及投标人与委托代理人签订的劳动合同复印件代替社保证明复印件</w:t>
      </w:r>
      <w:r>
        <w:rPr>
          <w:rFonts w:hint="eastAsia" w:ascii="宋体" w:hAnsi="宋体" w:cs="宋体"/>
          <w:color w:val="auto"/>
          <w:szCs w:val="21"/>
          <w:lang w:eastAsia="zh-CN"/>
        </w:rPr>
        <w:t>。</w:t>
      </w:r>
    </w:p>
    <w:p>
      <w:pPr>
        <w:spacing w:line="400" w:lineRule="exact"/>
        <w:ind w:firstLine="413" w:firstLineChars="196"/>
        <w:rPr>
          <w:rFonts w:ascii="宋体" w:hAnsi="宋体" w:cs="宋体"/>
          <w:color w:val="auto"/>
          <w:szCs w:val="21"/>
        </w:rPr>
      </w:pPr>
      <w:r>
        <w:rPr>
          <w:rFonts w:hint="eastAsia" w:ascii="宋体" w:hAnsi="宋体" w:cs="宋体"/>
          <w:b/>
          <w:bCs/>
          <w:color w:val="auto"/>
          <w:szCs w:val="21"/>
        </w:rPr>
        <w:t>【</w:t>
      </w:r>
      <w:r>
        <w:rPr>
          <w:rFonts w:hint="eastAsia" w:ascii="宋体" w:hAnsi="宋体" w:cs="宋体"/>
          <w:b/>
          <w:bCs/>
          <w:color w:val="auto"/>
          <w:szCs w:val="21"/>
          <w:lang w:eastAsia="zh-CN"/>
        </w:rPr>
        <w:t>属</w:t>
      </w:r>
      <w:r>
        <w:rPr>
          <w:rFonts w:hint="eastAsia" w:ascii="宋体" w:hAnsi="宋体" w:cs="宋体"/>
          <w:b/>
          <w:bCs/>
          <w:color w:val="auto"/>
          <w:szCs w:val="21"/>
        </w:rPr>
        <w:t>自然人的应提供由县级以上（含县级）社会养老保险经办机构出具的自然人本人及委托代理人所交纳的开标截止时间前半年内任意连续三个月社保证明复印件】</w:t>
      </w:r>
      <w:r>
        <w:rPr>
          <w:rFonts w:hint="eastAsia" w:ascii="宋体" w:hAnsi="宋体" w:cs="宋体"/>
          <w:b/>
          <w:color w:val="auto"/>
          <w:szCs w:val="21"/>
        </w:rPr>
        <w:t>（委托代理时必须提供</w:t>
      </w:r>
      <w:r>
        <w:rPr>
          <w:rFonts w:hint="eastAsia" w:ascii="宋体" w:hAnsi="宋体" w:cs="宋体"/>
          <w:b/>
          <w:color w:val="auto"/>
          <w:szCs w:val="21"/>
          <w:lang w:eastAsia="zh-CN"/>
        </w:rPr>
        <w:t>；</w:t>
      </w:r>
      <w:r>
        <w:rPr>
          <w:rFonts w:hint="eastAsia" w:ascii="宋体" w:hAnsi="宋体" w:cs="宋体"/>
          <w:b/>
          <w:bCs/>
          <w:color w:val="auto"/>
          <w:szCs w:val="21"/>
        </w:rPr>
        <w:t>如为联合体的，授权委托书原件须由牵头人出具</w:t>
      </w:r>
      <w:r>
        <w:rPr>
          <w:rFonts w:hint="eastAsia" w:ascii="宋体" w:hAnsi="宋体" w:cs="宋体"/>
          <w:b/>
          <w:color w:val="auto"/>
          <w:szCs w:val="21"/>
        </w:rPr>
        <w:t>）；</w:t>
      </w:r>
    </w:p>
    <w:p>
      <w:pPr>
        <w:tabs>
          <w:tab w:val="left" w:pos="1305"/>
        </w:tabs>
        <w:spacing w:line="380" w:lineRule="exact"/>
        <w:ind w:firstLine="420" w:firstLineChars="200"/>
        <w:rPr>
          <w:rFonts w:ascii="宋体" w:hAnsi="宋体" w:cs="宋体"/>
          <w:color w:val="auto"/>
          <w:szCs w:val="21"/>
        </w:rPr>
      </w:pPr>
      <w:r>
        <w:rPr>
          <w:rFonts w:hint="eastAsia" w:ascii="宋体" w:hAnsi="宋体" w:cs="宋体"/>
          <w:color w:val="auto"/>
          <w:szCs w:val="21"/>
        </w:rPr>
        <w:t>3.投标人的法人或者其他组织营业执照等证明文件复印件</w:t>
      </w:r>
      <w:r>
        <w:rPr>
          <w:rFonts w:hint="eastAsia" w:ascii="宋体" w:hAnsi="宋体" w:cs="宋体"/>
          <w:b/>
          <w:color w:val="auto"/>
          <w:szCs w:val="21"/>
        </w:rPr>
        <w:t>（必须提供，自然人除外）</w:t>
      </w:r>
      <w:r>
        <w:rPr>
          <w:rFonts w:hint="eastAsia" w:ascii="宋体" w:hAnsi="宋体" w:cs="宋体"/>
          <w:color w:val="auto"/>
          <w:szCs w:val="21"/>
        </w:rPr>
        <w:t>；</w:t>
      </w:r>
    </w:p>
    <w:p>
      <w:pPr>
        <w:spacing w:line="400" w:lineRule="exact"/>
        <w:ind w:firstLine="420" w:firstLineChars="200"/>
        <w:rPr>
          <w:color w:val="auto"/>
          <w:szCs w:val="21"/>
        </w:rPr>
      </w:pPr>
      <w:r>
        <w:rPr>
          <w:rFonts w:hint="eastAsia" w:ascii="宋体" w:hAnsi="宋体" w:cs="宋体"/>
          <w:color w:val="auto"/>
          <w:szCs w:val="21"/>
        </w:rPr>
        <w:t>4.</w:t>
      </w:r>
      <w:r>
        <w:rPr>
          <w:rFonts w:hint="eastAsia" w:ascii="宋体" w:hAnsi="宋体" w:cs="宋体"/>
          <w:color w:val="auto"/>
          <w:szCs w:val="21"/>
          <w:lang w:eastAsia="zh-CN"/>
        </w:rPr>
        <w:t>投标人</w:t>
      </w:r>
      <w:r>
        <w:rPr>
          <w:rFonts w:hint="eastAsia" w:ascii="宋体" w:hAnsi="宋体" w:cs="宋体"/>
          <w:color w:val="auto"/>
          <w:szCs w:val="21"/>
        </w:rPr>
        <w:t>近三年中任一年度经第三方审计的财务状况报告复印件（或银行出具的资信证明或财政部门认可的政府采购专业担保机构出具的投标担保函）</w:t>
      </w:r>
      <w:r>
        <w:rPr>
          <w:rFonts w:hint="eastAsia" w:ascii="宋体" w:hAnsi="宋体" w:cs="宋体"/>
          <w:b/>
          <w:bCs/>
          <w:color w:val="auto"/>
          <w:szCs w:val="21"/>
        </w:rPr>
        <w:t>（必须提供）</w:t>
      </w:r>
      <w:r>
        <w:rPr>
          <w:rFonts w:hint="eastAsia" w:ascii="宋体" w:hAnsi="宋体" w:cs="宋体"/>
          <w:color w:val="auto"/>
          <w:szCs w:val="21"/>
        </w:rPr>
        <w:t>；</w:t>
      </w:r>
    </w:p>
    <w:p>
      <w:pPr>
        <w:tabs>
          <w:tab w:val="left" w:pos="1305"/>
        </w:tabs>
        <w:spacing w:line="380" w:lineRule="exact"/>
        <w:ind w:firstLine="420" w:firstLineChars="200"/>
        <w:rPr>
          <w:rFonts w:ascii="宋体" w:hAnsi="宋体" w:cs="宋体"/>
          <w:color w:val="auto"/>
          <w:szCs w:val="21"/>
        </w:rPr>
      </w:pPr>
      <w:r>
        <w:rPr>
          <w:rFonts w:hint="eastAsia" w:ascii="宋体" w:hAnsi="宋体" w:cs="宋体"/>
          <w:color w:val="auto"/>
          <w:szCs w:val="21"/>
        </w:rPr>
        <w:t>5.投标人参加政府采购活动前3年内在经营活动中没有重大违法记录及有关信用信息的书面声明</w:t>
      </w:r>
    </w:p>
    <w:p>
      <w:pPr>
        <w:tabs>
          <w:tab w:val="left" w:pos="1305"/>
        </w:tabs>
        <w:spacing w:line="380" w:lineRule="exact"/>
        <w:ind w:firstLine="420" w:firstLineChars="200"/>
        <w:rPr>
          <w:color w:val="auto"/>
          <w:szCs w:val="21"/>
        </w:rPr>
      </w:pPr>
      <w:r>
        <w:rPr>
          <w:rFonts w:hint="eastAsia" w:ascii="宋体" w:hAnsi="宋体" w:cs="宋体"/>
          <w:color w:val="auto"/>
          <w:szCs w:val="21"/>
        </w:rPr>
        <w:t>6.</w:t>
      </w:r>
      <w:r>
        <w:rPr>
          <w:rFonts w:hint="eastAsia" w:ascii="宋体" w:hAnsi="宋体" w:cs="宋体"/>
          <w:color w:val="auto"/>
          <w:szCs w:val="21"/>
          <w:lang w:eastAsia="zh-CN"/>
        </w:rPr>
        <w:t>投标人</w:t>
      </w:r>
      <w:r>
        <w:rPr>
          <w:rFonts w:hint="eastAsia" w:ascii="宋体" w:hAnsi="宋体" w:cs="宋体"/>
          <w:color w:val="auto"/>
          <w:szCs w:val="21"/>
        </w:rPr>
        <w:t>近半年内任意一个月或任一季度依法缴纳税收的证明材料</w:t>
      </w:r>
      <w:r>
        <w:rPr>
          <w:rFonts w:hint="eastAsia" w:ascii="宋体" w:hAnsi="宋体" w:cs="宋体"/>
          <w:color w:val="auto"/>
          <w:szCs w:val="21"/>
          <w:lang w:eastAsia="zh-CN"/>
        </w:rPr>
        <w:t>【</w:t>
      </w:r>
      <w:r>
        <w:rPr>
          <w:rFonts w:hint="eastAsia" w:ascii="宋体" w:hAnsi="宋体" w:cs="宋体"/>
          <w:color w:val="auto"/>
          <w:szCs w:val="21"/>
        </w:rPr>
        <w:t>增值税发票(税收完税证明)或企业所得税完税证明或税务部门出具的免税证明</w:t>
      </w:r>
      <w:r>
        <w:rPr>
          <w:rFonts w:hint="eastAsia" w:ascii="宋体" w:hAnsi="宋体" w:cs="宋体"/>
          <w:color w:val="auto"/>
          <w:szCs w:val="21"/>
          <w:lang w:eastAsia="zh-CN"/>
        </w:rPr>
        <w:t>】</w:t>
      </w:r>
      <w:r>
        <w:rPr>
          <w:rFonts w:hint="eastAsia" w:ascii="宋体" w:hAnsi="宋体" w:cs="宋体"/>
          <w:color w:val="auto"/>
          <w:szCs w:val="21"/>
        </w:rPr>
        <w:t>复印件</w:t>
      </w:r>
      <w:r>
        <w:rPr>
          <w:rFonts w:hint="eastAsia" w:ascii="宋体" w:hAnsi="宋体" w:cs="宋体"/>
          <w:b/>
          <w:bCs/>
          <w:color w:val="auto"/>
          <w:szCs w:val="21"/>
        </w:rPr>
        <w:t>（必须提供）</w:t>
      </w:r>
      <w:r>
        <w:rPr>
          <w:rFonts w:hint="eastAsia" w:ascii="宋体" w:hAnsi="宋体" w:cs="宋体"/>
          <w:color w:val="auto"/>
          <w:szCs w:val="21"/>
        </w:rPr>
        <w:t>；</w:t>
      </w:r>
    </w:p>
    <w:p>
      <w:pPr>
        <w:tabs>
          <w:tab w:val="left" w:pos="1305"/>
        </w:tabs>
        <w:spacing w:line="380" w:lineRule="exact"/>
        <w:ind w:firstLine="422" w:firstLineChars="150"/>
        <w:rPr>
          <w:rFonts w:ascii="宋体" w:hAnsi="宋体" w:cs="宋体"/>
          <w:b/>
          <w:color w:val="auto"/>
          <w:sz w:val="28"/>
          <w:szCs w:val="28"/>
        </w:rPr>
      </w:pPr>
      <w:r>
        <w:rPr>
          <w:rFonts w:hint="eastAsia" w:ascii="宋体" w:hAnsi="宋体" w:cs="宋体"/>
          <w:b/>
          <w:color w:val="auto"/>
          <w:sz w:val="28"/>
          <w:szCs w:val="28"/>
        </w:rPr>
        <w:t>三、商务、技术性响应及其他证明材料：</w:t>
      </w:r>
    </w:p>
    <w:p>
      <w:pPr>
        <w:tabs>
          <w:tab w:val="left" w:pos="1305"/>
        </w:tabs>
        <w:spacing w:line="360" w:lineRule="exact"/>
        <w:ind w:firstLine="420" w:firstLineChars="200"/>
        <w:rPr>
          <w:rFonts w:ascii="宋体" w:hAnsi="宋体" w:cs="宋体"/>
          <w:color w:val="auto"/>
          <w:szCs w:val="21"/>
        </w:rPr>
      </w:pPr>
      <w:r>
        <w:rPr>
          <w:rFonts w:hint="eastAsia" w:ascii="宋体" w:hAnsi="宋体" w:cs="宋体"/>
          <w:color w:val="auto"/>
          <w:szCs w:val="21"/>
        </w:rPr>
        <w:t>1.技术规格偏离表</w:t>
      </w:r>
      <w:r>
        <w:rPr>
          <w:rFonts w:hint="eastAsia" w:ascii="宋体" w:hAnsi="宋体" w:cs="宋体"/>
          <w:bCs/>
          <w:color w:val="auto"/>
          <w:szCs w:val="21"/>
        </w:rPr>
        <w:t>（格式见附件）</w:t>
      </w:r>
      <w:r>
        <w:rPr>
          <w:rFonts w:hint="eastAsia" w:ascii="宋体" w:hAnsi="宋体" w:cs="宋体"/>
          <w:b/>
          <w:color w:val="auto"/>
          <w:szCs w:val="21"/>
        </w:rPr>
        <w:t>（必须提供）</w:t>
      </w:r>
      <w:r>
        <w:rPr>
          <w:rFonts w:hint="eastAsia" w:ascii="宋体" w:hAnsi="宋体" w:cs="宋体"/>
          <w:bCs/>
          <w:color w:val="auto"/>
          <w:szCs w:val="21"/>
        </w:rPr>
        <w:t>；</w:t>
      </w:r>
    </w:p>
    <w:p>
      <w:pPr>
        <w:tabs>
          <w:tab w:val="left" w:pos="1305"/>
        </w:tabs>
        <w:spacing w:line="360" w:lineRule="exact"/>
        <w:ind w:firstLine="420" w:firstLineChars="200"/>
        <w:rPr>
          <w:rFonts w:ascii="宋体" w:hAnsi="宋体" w:cs="宋体"/>
          <w:color w:val="auto"/>
          <w:szCs w:val="21"/>
        </w:rPr>
      </w:pPr>
      <w:r>
        <w:rPr>
          <w:rFonts w:hint="eastAsia" w:ascii="宋体" w:hAnsi="宋体" w:cs="宋体"/>
          <w:color w:val="auto"/>
          <w:szCs w:val="21"/>
        </w:rPr>
        <w:t>2.商务响应表</w:t>
      </w:r>
      <w:r>
        <w:rPr>
          <w:rFonts w:hint="eastAsia" w:ascii="宋体" w:hAnsi="宋体" w:cs="宋体"/>
          <w:bCs/>
          <w:color w:val="auto"/>
          <w:szCs w:val="21"/>
        </w:rPr>
        <w:t>（格式见附件）</w:t>
      </w:r>
      <w:r>
        <w:rPr>
          <w:rFonts w:hint="eastAsia" w:ascii="宋体" w:hAnsi="宋体" w:cs="宋体"/>
          <w:b/>
          <w:color w:val="auto"/>
          <w:szCs w:val="21"/>
        </w:rPr>
        <w:t>（必须提供）</w:t>
      </w:r>
      <w:r>
        <w:rPr>
          <w:rFonts w:hint="eastAsia" w:ascii="宋体" w:hAnsi="宋体" w:cs="宋体"/>
          <w:bCs/>
          <w:color w:val="auto"/>
          <w:szCs w:val="21"/>
        </w:rPr>
        <w:t>；</w:t>
      </w:r>
    </w:p>
    <w:p>
      <w:pPr>
        <w:tabs>
          <w:tab w:val="left" w:pos="1305"/>
        </w:tabs>
        <w:spacing w:line="360" w:lineRule="exact"/>
        <w:ind w:firstLine="420" w:firstLineChars="200"/>
        <w:rPr>
          <w:rFonts w:ascii="宋体" w:hAnsi="宋体" w:cs="宋体"/>
          <w:color w:val="auto"/>
          <w:szCs w:val="21"/>
        </w:rPr>
      </w:pPr>
      <w:r>
        <w:rPr>
          <w:rFonts w:hint="eastAsia" w:ascii="宋体" w:hAnsi="宋体" w:cs="宋体"/>
          <w:color w:val="auto"/>
          <w:szCs w:val="21"/>
        </w:rPr>
        <w:t>3.“货物采购需求”需提供的有效证明文件</w:t>
      </w:r>
      <w:r>
        <w:rPr>
          <w:rFonts w:hint="eastAsia" w:ascii="宋体" w:hAnsi="宋体" w:cs="宋体"/>
          <w:b/>
          <w:bCs/>
          <w:color w:val="auto"/>
          <w:szCs w:val="21"/>
        </w:rPr>
        <w:t>（按其要求提供）</w:t>
      </w:r>
      <w:r>
        <w:rPr>
          <w:rFonts w:hint="eastAsia" w:ascii="宋体" w:hAnsi="宋体" w:cs="宋体"/>
          <w:color w:val="auto"/>
          <w:szCs w:val="21"/>
        </w:rPr>
        <w:t>；</w:t>
      </w:r>
    </w:p>
    <w:p>
      <w:pPr>
        <w:tabs>
          <w:tab w:val="left" w:pos="1305"/>
        </w:tabs>
        <w:spacing w:line="380" w:lineRule="exact"/>
        <w:ind w:firstLine="420" w:firstLineChars="200"/>
        <w:rPr>
          <w:rFonts w:ascii="宋体" w:hAnsi="宋体" w:cs="宋体"/>
          <w:color w:val="auto"/>
          <w:szCs w:val="21"/>
        </w:rPr>
      </w:pPr>
      <w:r>
        <w:rPr>
          <w:rFonts w:hint="eastAsia" w:ascii="宋体" w:hAnsi="宋体" w:cs="宋体"/>
          <w:color w:val="auto"/>
          <w:szCs w:val="21"/>
        </w:rPr>
        <w:t>4.投标人的售后服务承诺书（含免费保修期、交付使用期、技术服务、技术培训、售后服务的内容和措施等）（格式见附件）</w:t>
      </w:r>
      <w:r>
        <w:rPr>
          <w:rFonts w:hint="eastAsia" w:ascii="宋体" w:hAnsi="宋体" w:cs="宋体"/>
          <w:b/>
          <w:bCs/>
          <w:color w:val="auto"/>
          <w:szCs w:val="21"/>
        </w:rPr>
        <w:t>（必须提供）</w:t>
      </w:r>
      <w:r>
        <w:rPr>
          <w:rFonts w:hint="eastAsia" w:ascii="宋体" w:hAnsi="宋体" w:cs="宋体"/>
          <w:color w:val="auto"/>
          <w:szCs w:val="21"/>
        </w:rPr>
        <w:t>；</w:t>
      </w:r>
    </w:p>
    <w:p>
      <w:pPr>
        <w:tabs>
          <w:tab w:val="left" w:pos="1305"/>
        </w:tabs>
        <w:spacing w:line="360" w:lineRule="exact"/>
        <w:ind w:firstLine="420" w:firstLineChars="200"/>
        <w:rPr>
          <w:color w:val="auto"/>
          <w:szCs w:val="21"/>
        </w:rPr>
      </w:pPr>
      <w:r>
        <w:rPr>
          <w:rFonts w:hint="eastAsia" w:ascii="宋体" w:hAnsi="宋体" w:cs="宋体"/>
          <w:color w:val="auto"/>
          <w:szCs w:val="21"/>
        </w:rPr>
        <w:t>5.项目</w:t>
      </w:r>
      <w:r>
        <w:rPr>
          <w:rFonts w:hint="eastAsia" w:ascii="宋体" w:hAnsi="宋体" w:cs="宋体"/>
          <w:color w:val="auto"/>
          <w:szCs w:val="21"/>
          <w:lang w:eastAsia="zh-CN"/>
        </w:rPr>
        <w:t>实施</w:t>
      </w:r>
      <w:r>
        <w:rPr>
          <w:rFonts w:hint="eastAsia" w:ascii="宋体" w:hAnsi="宋体" w:cs="宋体"/>
          <w:color w:val="auto"/>
          <w:szCs w:val="21"/>
        </w:rPr>
        <w:t>方案（格式见附件）</w:t>
      </w:r>
      <w:r>
        <w:rPr>
          <w:rFonts w:hint="eastAsia" w:ascii="宋体" w:hAnsi="宋体" w:cs="宋体"/>
          <w:b/>
          <w:bCs/>
          <w:color w:val="auto"/>
          <w:szCs w:val="21"/>
        </w:rPr>
        <w:t>（如有，请提供）</w:t>
      </w:r>
      <w:r>
        <w:rPr>
          <w:rFonts w:hint="eastAsia" w:ascii="宋体" w:hAnsi="宋体" w:cs="宋体"/>
          <w:color w:val="auto"/>
          <w:szCs w:val="21"/>
        </w:rPr>
        <w:t>；</w:t>
      </w:r>
    </w:p>
    <w:p>
      <w:pPr>
        <w:spacing w:line="360" w:lineRule="exact"/>
        <w:ind w:firstLine="420" w:firstLineChars="200"/>
        <w:rPr>
          <w:rFonts w:ascii="宋体" w:hAnsi="宋体" w:cs="宋体"/>
          <w:color w:val="auto"/>
          <w:szCs w:val="21"/>
        </w:rPr>
      </w:pPr>
      <w:r>
        <w:rPr>
          <w:rFonts w:hint="eastAsia" w:ascii="宋体" w:hAnsi="宋体" w:cs="宋体"/>
          <w:color w:val="auto"/>
          <w:szCs w:val="21"/>
        </w:rPr>
        <w:t>6.项目实施人员一览表（格式见附件）</w:t>
      </w:r>
      <w:r>
        <w:rPr>
          <w:rFonts w:hint="eastAsia" w:ascii="宋体" w:hAnsi="宋体" w:cs="宋体"/>
          <w:b/>
          <w:bCs/>
          <w:color w:val="auto"/>
          <w:szCs w:val="21"/>
        </w:rPr>
        <w:t>（如有，请提供）</w:t>
      </w:r>
      <w:r>
        <w:rPr>
          <w:rFonts w:hint="eastAsia" w:ascii="宋体" w:hAnsi="宋体" w:cs="宋体"/>
          <w:color w:val="auto"/>
          <w:szCs w:val="21"/>
        </w:rPr>
        <w:t>；</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7.节能方面的证书复印件</w:t>
      </w:r>
      <w:r>
        <w:rPr>
          <w:rFonts w:hint="eastAsia" w:ascii="宋体" w:hAnsi="宋体" w:cs="宋体"/>
          <w:b/>
          <w:bCs/>
          <w:color w:val="auto"/>
          <w:szCs w:val="21"/>
        </w:rPr>
        <w:t>（如有，请提供）</w:t>
      </w:r>
      <w:r>
        <w:rPr>
          <w:rFonts w:hint="eastAsia" w:ascii="宋体" w:hAnsi="宋体" w:cs="宋体"/>
          <w:color w:val="auto"/>
          <w:szCs w:val="21"/>
        </w:rPr>
        <w:t>；</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8.环境标志方面的证书复印件</w:t>
      </w:r>
      <w:r>
        <w:rPr>
          <w:rFonts w:hint="eastAsia" w:ascii="宋体" w:hAnsi="宋体" w:cs="宋体"/>
          <w:b/>
          <w:bCs/>
          <w:color w:val="auto"/>
          <w:szCs w:val="21"/>
        </w:rPr>
        <w:t>（如有，请提供）</w:t>
      </w:r>
      <w:r>
        <w:rPr>
          <w:rFonts w:hint="eastAsia" w:ascii="宋体" w:hAnsi="宋体" w:cs="宋体"/>
          <w:color w:val="auto"/>
          <w:szCs w:val="21"/>
        </w:rPr>
        <w:t>；</w:t>
      </w:r>
    </w:p>
    <w:p>
      <w:pPr>
        <w:tabs>
          <w:tab w:val="left" w:pos="1305"/>
        </w:tabs>
        <w:spacing w:line="360" w:lineRule="exact"/>
        <w:ind w:firstLine="420" w:firstLineChars="200"/>
        <w:rPr>
          <w:rFonts w:ascii="宋体" w:hAnsi="宋体" w:cs="宋体"/>
          <w:color w:val="auto"/>
          <w:szCs w:val="21"/>
        </w:rPr>
      </w:pPr>
      <w:r>
        <w:rPr>
          <w:rFonts w:hint="eastAsia" w:ascii="宋体" w:hAnsi="宋体" w:cs="宋体"/>
          <w:color w:val="auto"/>
          <w:szCs w:val="21"/>
        </w:rPr>
        <w:t>9.</w:t>
      </w:r>
      <w:r>
        <w:rPr>
          <w:rFonts w:hint="eastAsia" w:ascii="宋体" w:hAnsi="宋体" w:cs="宋体"/>
          <w:color w:val="auto"/>
        </w:rPr>
        <w:t>投标人2018年1月1日以来同类产品销售业绩的相关证明材料</w:t>
      </w:r>
      <w:r>
        <w:rPr>
          <w:rFonts w:hint="eastAsia" w:ascii="宋体" w:hAnsi="宋体" w:cs="宋体"/>
          <w:color w:val="auto"/>
          <w:szCs w:val="21"/>
        </w:rPr>
        <w:t>（无不良记录，以中标、成交通知书或签订的采购合同复印件为准，并能清晰反映所销售的货物名称、种类、金额</w:t>
      </w:r>
      <w:r>
        <w:rPr>
          <w:rFonts w:hint="eastAsia" w:ascii="宋体" w:hAnsi="宋体" w:cs="宋体"/>
          <w:color w:val="auto"/>
        </w:rPr>
        <w:t>）</w:t>
      </w:r>
      <w:r>
        <w:rPr>
          <w:rFonts w:hint="eastAsia" w:ascii="宋体" w:hAnsi="宋体" w:cs="宋体"/>
          <w:b/>
          <w:color w:val="auto"/>
        </w:rPr>
        <w:t>（如有，请提供）</w:t>
      </w:r>
      <w:r>
        <w:rPr>
          <w:rFonts w:hint="eastAsia" w:ascii="宋体" w:hAnsi="宋体" w:cs="宋体"/>
          <w:color w:val="auto"/>
          <w:szCs w:val="21"/>
        </w:rPr>
        <w:t>；</w:t>
      </w:r>
    </w:p>
    <w:p>
      <w:pPr>
        <w:tabs>
          <w:tab w:val="left" w:pos="1305"/>
        </w:tabs>
        <w:spacing w:line="360" w:lineRule="exact"/>
        <w:ind w:firstLine="420" w:firstLineChars="200"/>
        <w:rPr>
          <w:rFonts w:ascii="宋体" w:hAnsi="宋体" w:cs="宋体"/>
          <w:color w:val="auto"/>
          <w:szCs w:val="21"/>
        </w:rPr>
      </w:pPr>
      <w:r>
        <w:rPr>
          <w:rFonts w:hint="eastAsia" w:ascii="宋体" w:hAnsi="宋体" w:cs="宋体"/>
          <w:color w:val="auto"/>
          <w:szCs w:val="21"/>
        </w:rPr>
        <w:t>10.投标人为生产厂家的，投标人的生产制造设备清单及专业技术能力说明</w:t>
      </w:r>
      <w:r>
        <w:rPr>
          <w:rFonts w:hint="eastAsia" w:ascii="宋体" w:hAnsi="宋体" w:cs="宋体"/>
          <w:b/>
          <w:bCs/>
          <w:color w:val="auto"/>
          <w:szCs w:val="21"/>
        </w:rPr>
        <w:t>（如有，请提供）</w:t>
      </w:r>
      <w:r>
        <w:rPr>
          <w:rFonts w:hint="eastAsia" w:ascii="宋体" w:hAnsi="宋体" w:cs="宋体"/>
          <w:color w:val="auto"/>
          <w:szCs w:val="21"/>
        </w:rPr>
        <w:t>；</w:t>
      </w:r>
    </w:p>
    <w:p>
      <w:pPr>
        <w:tabs>
          <w:tab w:val="left" w:pos="1305"/>
        </w:tabs>
        <w:spacing w:line="360" w:lineRule="exact"/>
        <w:ind w:firstLine="420" w:firstLineChars="200"/>
        <w:rPr>
          <w:rFonts w:ascii="宋体" w:hAnsi="宋体" w:cs="宋体"/>
          <w:color w:val="auto"/>
          <w:szCs w:val="21"/>
        </w:rPr>
      </w:pPr>
      <w:r>
        <w:rPr>
          <w:rFonts w:hint="eastAsia" w:ascii="宋体" w:hAnsi="宋体" w:cs="宋体"/>
          <w:color w:val="auto"/>
          <w:szCs w:val="21"/>
        </w:rPr>
        <w:t>11.投标人相关获奖证书、认证证书等复印件</w:t>
      </w:r>
      <w:r>
        <w:rPr>
          <w:rFonts w:hint="eastAsia" w:ascii="宋体" w:hAnsi="宋体" w:cs="宋体"/>
          <w:b/>
          <w:bCs/>
          <w:color w:val="auto"/>
          <w:szCs w:val="21"/>
        </w:rPr>
        <w:t>（如有，请提供）</w:t>
      </w:r>
      <w:r>
        <w:rPr>
          <w:rFonts w:hint="eastAsia" w:ascii="宋体" w:hAnsi="宋体" w:cs="宋体"/>
          <w:color w:val="auto"/>
          <w:szCs w:val="21"/>
        </w:rPr>
        <w:t>；</w:t>
      </w:r>
    </w:p>
    <w:p>
      <w:pPr>
        <w:tabs>
          <w:tab w:val="left" w:pos="1305"/>
        </w:tabs>
        <w:spacing w:line="360" w:lineRule="exact"/>
        <w:ind w:firstLine="420" w:firstLineChars="200"/>
        <w:rPr>
          <w:rFonts w:ascii="宋体" w:hAnsi="宋体" w:cs="宋体"/>
          <w:color w:val="auto"/>
          <w:szCs w:val="21"/>
        </w:rPr>
      </w:pPr>
      <w:r>
        <w:rPr>
          <w:rFonts w:hint="eastAsia" w:ascii="宋体" w:hAnsi="宋体" w:cs="宋体"/>
          <w:color w:val="auto"/>
          <w:szCs w:val="21"/>
        </w:rPr>
        <w:t>12.投标人所投产品为广西工业产品的，如实提供《广西工业产品声明函》</w:t>
      </w:r>
      <w:r>
        <w:rPr>
          <w:rFonts w:hint="eastAsia" w:ascii="宋体" w:hAnsi="宋体" w:cs="宋体"/>
          <w:b/>
          <w:bCs/>
          <w:color w:val="auto"/>
          <w:szCs w:val="21"/>
        </w:rPr>
        <w:t>（如有，请提供）</w:t>
      </w:r>
      <w:r>
        <w:rPr>
          <w:rFonts w:hint="eastAsia" w:ascii="宋体" w:hAnsi="宋体" w:cs="宋体"/>
          <w:color w:val="auto"/>
          <w:szCs w:val="21"/>
        </w:rPr>
        <w:t>；</w:t>
      </w:r>
    </w:p>
    <w:p>
      <w:pPr>
        <w:tabs>
          <w:tab w:val="left" w:pos="1305"/>
        </w:tabs>
        <w:spacing w:line="360" w:lineRule="exact"/>
        <w:ind w:firstLine="420" w:firstLineChars="200"/>
        <w:rPr>
          <w:rFonts w:ascii="宋体" w:hAnsi="宋体" w:cs="宋体"/>
          <w:color w:val="auto"/>
          <w:szCs w:val="21"/>
        </w:rPr>
      </w:pPr>
      <w:r>
        <w:rPr>
          <w:rFonts w:hint="eastAsia" w:ascii="宋体" w:hAnsi="宋体" w:cs="宋体"/>
          <w:color w:val="auto"/>
          <w:szCs w:val="21"/>
        </w:rPr>
        <w:t>13.如所提供服务企业属于小型、微型企业【中小微型企业划分标准按照《国家统计局关于印发《统计上大中小微型企业划分办法（2017）》的通知》（国统字[2017]213号）执行，具体划分标准见第四章评标办法中附表《统计上大中小微型企业划分标准》】，以提供的《中小企业声明函》（见附件）为准</w:t>
      </w:r>
      <w:r>
        <w:rPr>
          <w:rFonts w:hint="eastAsia" w:ascii="宋体" w:hAnsi="宋体" w:cs="宋体"/>
          <w:b/>
          <w:bCs/>
          <w:color w:val="auto"/>
          <w:szCs w:val="21"/>
        </w:rPr>
        <w:t>（如有，请提供）</w:t>
      </w:r>
      <w:r>
        <w:rPr>
          <w:rFonts w:hint="eastAsia" w:ascii="宋体" w:hAnsi="宋体" w:cs="宋体"/>
          <w:color w:val="auto"/>
          <w:szCs w:val="21"/>
        </w:rPr>
        <w:t>；</w:t>
      </w:r>
    </w:p>
    <w:p>
      <w:pPr>
        <w:tabs>
          <w:tab w:val="left" w:pos="1305"/>
        </w:tabs>
        <w:spacing w:line="360" w:lineRule="exact"/>
        <w:ind w:firstLine="420" w:firstLineChars="200"/>
        <w:rPr>
          <w:rFonts w:ascii="宋体" w:hAnsi="宋体" w:cs="宋体"/>
          <w:color w:val="auto"/>
          <w:szCs w:val="21"/>
        </w:rPr>
      </w:pPr>
      <w:r>
        <w:rPr>
          <w:rFonts w:hint="eastAsia" w:ascii="宋体" w:hAnsi="宋体" w:cs="宋体"/>
          <w:color w:val="auto"/>
          <w:szCs w:val="21"/>
        </w:rPr>
        <w:t>14.如产品属于监狱企业的，以提供由省级以上监狱管理局、戒毒管理局（含新疆生产建设兵团）出具的属于监狱企业的证明文件为准</w:t>
      </w:r>
      <w:r>
        <w:rPr>
          <w:rFonts w:hint="eastAsia" w:ascii="宋体" w:hAnsi="宋体" w:cs="宋体"/>
          <w:b/>
          <w:bCs/>
          <w:color w:val="auto"/>
          <w:szCs w:val="21"/>
        </w:rPr>
        <w:t>（如有，请提供）</w:t>
      </w:r>
      <w:r>
        <w:rPr>
          <w:rFonts w:hint="eastAsia" w:ascii="宋体" w:hAnsi="宋体" w:cs="宋体"/>
          <w:color w:val="auto"/>
          <w:szCs w:val="21"/>
        </w:rPr>
        <w:t>；</w:t>
      </w:r>
    </w:p>
    <w:p>
      <w:pPr>
        <w:tabs>
          <w:tab w:val="left" w:pos="1305"/>
        </w:tabs>
        <w:spacing w:line="360" w:lineRule="exact"/>
        <w:ind w:firstLine="420" w:firstLineChars="200"/>
        <w:rPr>
          <w:rFonts w:ascii="宋体" w:hAnsi="宋体" w:cs="宋体"/>
          <w:color w:val="auto"/>
          <w:szCs w:val="21"/>
        </w:rPr>
      </w:pPr>
      <w:r>
        <w:rPr>
          <w:rFonts w:hint="eastAsia" w:ascii="宋体" w:hAnsi="宋体" w:cs="宋体"/>
          <w:bCs/>
          <w:color w:val="auto"/>
          <w:szCs w:val="21"/>
        </w:rPr>
        <w:t>15.符合条件的残疾人福利性单位在参加政府采购活动时，应当提供《残疾人福利性单位声明函》（见附件），并对声明的真实性负责</w:t>
      </w:r>
      <w:r>
        <w:rPr>
          <w:rFonts w:hint="eastAsia" w:ascii="宋体" w:hAnsi="宋体" w:cs="宋体"/>
          <w:b/>
          <w:bCs/>
          <w:color w:val="auto"/>
          <w:szCs w:val="21"/>
        </w:rPr>
        <w:t>（如有，请提供）</w:t>
      </w:r>
      <w:r>
        <w:rPr>
          <w:rFonts w:hint="eastAsia" w:ascii="宋体" w:hAnsi="宋体" w:cs="宋体"/>
          <w:color w:val="auto"/>
          <w:szCs w:val="21"/>
        </w:rPr>
        <w:t>；</w:t>
      </w:r>
    </w:p>
    <w:p>
      <w:pPr>
        <w:tabs>
          <w:tab w:val="left" w:pos="1305"/>
        </w:tabs>
        <w:spacing w:line="360" w:lineRule="exact"/>
        <w:ind w:firstLine="420" w:firstLineChars="200"/>
        <w:rPr>
          <w:rFonts w:ascii="宋体" w:hAnsi="宋体" w:cs="宋体"/>
          <w:color w:val="auto"/>
          <w:szCs w:val="21"/>
        </w:rPr>
      </w:pPr>
      <w:r>
        <w:rPr>
          <w:rFonts w:hint="eastAsia" w:ascii="宋体" w:hAnsi="宋体" w:cs="宋体"/>
          <w:color w:val="auto"/>
          <w:szCs w:val="21"/>
        </w:rPr>
        <w:t>16.投标人可结合本项目的评标办法视自身情况自行提交相关证明材料</w:t>
      </w:r>
      <w:r>
        <w:rPr>
          <w:rFonts w:hint="eastAsia" w:ascii="宋体" w:hAnsi="宋体" w:cs="宋体"/>
          <w:b/>
          <w:bCs/>
          <w:color w:val="auto"/>
          <w:szCs w:val="21"/>
        </w:rPr>
        <w:t>（如有，请提供）</w:t>
      </w:r>
      <w:r>
        <w:rPr>
          <w:rFonts w:hint="eastAsia" w:ascii="宋体" w:hAnsi="宋体" w:cs="宋体"/>
          <w:color w:val="auto"/>
          <w:szCs w:val="21"/>
        </w:rPr>
        <w:t>；</w:t>
      </w:r>
    </w:p>
    <w:p>
      <w:pPr>
        <w:pStyle w:val="14"/>
        <w:rPr>
          <w:rFonts w:ascii="宋体" w:hAnsi="宋体" w:cs="宋体"/>
          <w:color w:val="auto"/>
          <w:szCs w:val="21"/>
        </w:rPr>
      </w:pPr>
    </w:p>
    <w:p>
      <w:pPr>
        <w:pStyle w:val="14"/>
        <w:rPr>
          <w:rFonts w:ascii="宋体" w:hAnsi="宋体" w:cs="宋体"/>
          <w:color w:val="auto"/>
          <w:szCs w:val="21"/>
        </w:rPr>
      </w:pPr>
    </w:p>
    <w:p>
      <w:pPr>
        <w:pStyle w:val="14"/>
        <w:rPr>
          <w:rFonts w:ascii="宋体" w:hAnsi="宋体" w:cs="宋体"/>
          <w:color w:val="auto"/>
          <w:szCs w:val="21"/>
        </w:rPr>
      </w:pPr>
    </w:p>
    <w:p>
      <w:pPr>
        <w:pStyle w:val="14"/>
        <w:rPr>
          <w:rFonts w:ascii="宋体" w:hAnsi="宋体" w:cs="宋体"/>
          <w:color w:val="auto"/>
          <w:szCs w:val="21"/>
        </w:rPr>
      </w:pPr>
    </w:p>
    <w:p>
      <w:pPr>
        <w:pStyle w:val="14"/>
        <w:rPr>
          <w:rFonts w:ascii="宋体" w:hAnsi="宋体" w:cs="宋体"/>
          <w:color w:val="auto"/>
          <w:szCs w:val="21"/>
        </w:rPr>
      </w:pPr>
    </w:p>
    <w:p>
      <w:pPr>
        <w:pStyle w:val="14"/>
        <w:rPr>
          <w:rFonts w:ascii="宋体" w:hAnsi="宋体" w:cs="宋体"/>
          <w:color w:val="auto"/>
          <w:szCs w:val="21"/>
        </w:rPr>
      </w:pPr>
    </w:p>
    <w:p>
      <w:pPr>
        <w:pStyle w:val="14"/>
        <w:rPr>
          <w:rFonts w:ascii="宋体" w:hAnsi="宋体" w:cs="宋体"/>
          <w:color w:val="auto"/>
          <w:szCs w:val="21"/>
        </w:rPr>
      </w:pPr>
    </w:p>
    <w:p>
      <w:pPr>
        <w:pStyle w:val="14"/>
        <w:rPr>
          <w:rFonts w:ascii="宋体" w:hAnsi="宋体" w:cs="宋体"/>
          <w:color w:val="auto"/>
          <w:szCs w:val="21"/>
        </w:rPr>
      </w:pPr>
    </w:p>
    <w:p>
      <w:pPr>
        <w:pStyle w:val="14"/>
        <w:rPr>
          <w:rFonts w:ascii="宋体" w:hAnsi="宋体" w:cs="宋体"/>
          <w:color w:val="auto"/>
          <w:szCs w:val="21"/>
        </w:rPr>
      </w:pPr>
    </w:p>
    <w:p>
      <w:pPr>
        <w:pStyle w:val="14"/>
        <w:rPr>
          <w:rFonts w:ascii="宋体" w:hAnsi="宋体" w:cs="宋体"/>
          <w:color w:val="auto"/>
          <w:szCs w:val="21"/>
        </w:rPr>
      </w:pPr>
    </w:p>
    <w:p>
      <w:pPr>
        <w:pStyle w:val="14"/>
        <w:rPr>
          <w:rFonts w:ascii="宋体" w:hAnsi="宋体" w:cs="宋体"/>
          <w:color w:val="auto"/>
          <w:szCs w:val="21"/>
        </w:rPr>
      </w:pPr>
    </w:p>
    <w:p>
      <w:pPr>
        <w:pStyle w:val="14"/>
        <w:rPr>
          <w:rFonts w:ascii="宋体" w:hAnsi="宋体" w:cs="宋体"/>
          <w:color w:val="auto"/>
          <w:szCs w:val="21"/>
        </w:rPr>
      </w:pPr>
    </w:p>
    <w:p>
      <w:pPr>
        <w:pStyle w:val="14"/>
        <w:rPr>
          <w:rFonts w:ascii="宋体" w:hAnsi="宋体" w:cs="宋体"/>
          <w:color w:val="auto"/>
          <w:szCs w:val="21"/>
        </w:rPr>
      </w:pPr>
    </w:p>
    <w:p>
      <w:pPr>
        <w:pStyle w:val="14"/>
        <w:rPr>
          <w:rFonts w:ascii="宋体" w:hAnsi="宋体" w:cs="宋体"/>
          <w:color w:val="auto"/>
          <w:szCs w:val="21"/>
        </w:rPr>
      </w:pPr>
    </w:p>
    <w:p>
      <w:pPr>
        <w:pStyle w:val="14"/>
        <w:rPr>
          <w:rFonts w:ascii="宋体" w:hAnsi="宋体" w:cs="宋体"/>
          <w:color w:val="auto"/>
          <w:szCs w:val="21"/>
        </w:rPr>
      </w:pPr>
    </w:p>
    <w:p>
      <w:pPr>
        <w:pStyle w:val="14"/>
        <w:rPr>
          <w:rFonts w:ascii="宋体" w:hAnsi="宋体" w:cs="宋体"/>
          <w:color w:val="auto"/>
          <w:szCs w:val="21"/>
        </w:rPr>
      </w:pPr>
    </w:p>
    <w:p>
      <w:pPr>
        <w:pStyle w:val="14"/>
        <w:rPr>
          <w:rFonts w:ascii="宋体" w:hAnsi="宋体" w:cs="宋体"/>
          <w:color w:val="auto"/>
          <w:szCs w:val="21"/>
        </w:rPr>
      </w:pPr>
    </w:p>
    <w:p>
      <w:pPr>
        <w:pStyle w:val="14"/>
        <w:rPr>
          <w:rFonts w:ascii="宋体" w:hAnsi="宋体" w:cs="宋体"/>
          <w:color w:val="auto"/>
          <w:szCs w:val="21"/>
        </w:rPr>
      </w:pPr>
    </w:p>
    <w:p>
      <w:pPr>
        <w:pStyle w:val="14"/>
        <w:rPr>
          <w:rFonts w:ascii="宋体" w:hAnsi="宋体" w:cs="宋体"/>
          <w:color w:val="auto"/>
          <w:szCs w:val="21"/>
        </w:rPr>
      </w:pPr>
    </w:p>
    <w:p>
      <w:pPr>
        <w:pStyle w:val="14"/>
        <w:rPr>
          <w:rFonts w:ascii="宋体" w:hAnsi="宋体" w:cs="宋体"/>
          <w:color w:val="auto"/>
          <w:szCs w:val="21"/>
        </w:rPr>
      </w:pPr>
    </w:p>
    <w:p>
      <w:pPr>
        <w:pStyle w:val="14"/>
        <w:rPr>
          <w:rFonts w:ascii="宋体" w:hAnsi="宋体" w:cs="宋体"/>
          <w:color w:val="auto"/>
          <w:szCs w:val="21"/>
        </w:rPr>
      </w:pPr>
    </w:p>
    <w:p>
      <w:pPr>
        <w:pStyle w:val="14"/>
        <w:rPr>
          <w:rFonts w:ascii="宋体" w:hAnsi="宋体" w:cs="宋体"/>
          <w:color w:val="auto"/>
          <w:szCs w:val="21"/>
        </w:rPr>
      </w:pPr>
    </w:p>
    <w:p>
      <w:pPr>
        <w:pStyle w:val="14"/>
        <w:rPr>
          <w:rFonts w:ascii="宋体" w:hAnsi="宋体" w:cs="宋体"/>
          <w:color w:val="auto"/>
          <w:szCs w:val="21"/>
        </w:rPr>
      </w:pPr>
    </w:p>
    <w:p>
      <w:pPr>
        <w:pStyle w:val="14"/>
        <w:rPr>
          <w:rFonts w:ascii="宋体" w:hAnsi="宋体" w:cs="宋体"/>
          <w:color w:val="auto"/>
          <w:szCs w:val="21"/>
        </w:rPr>
      </w:pPr>
    </w:p>
    <w:p>
      <w:pPr>
        <w:pStyle w:val="14"/>
        <w:rPr>
          <w:rFonts w:ascii="宋体" w:hAnsi="宋体" w:cs="宋体"/>
          <w:color w:val="auto"/>
          <w:szCs w:val="21"/>
        </w:rPr>
      </w:pPr>
    </w:p>
    <w:p>
      <w:pPr>
        <w:pStyle w:val="14"/>
        <w:rPr>
          <w:rFonts w:ascii="宋体" w:hAnsi="宋体" w:cs="宋体"/>
          <w:b/>
          <w:color w:val="auto"/>
          <w:sz w:val="21"/>
          <w:szCs w:val="21"/>
        </w:rPr>
      </w:pPr>
    </w:p>
    <w:p>
      <w:pPr>
        <w:numPr>
          <w:ilvl w:val="0"/>
          <w:numId w:val="8"/>
        </w:numPr>
        <w:jc w:val="left"/>
        <w:rPr>
          <w:b/>
          <w:bCs/>
          <w:color w:val="auto"/>
          <w:sz w:val="32"/>
          <w:szCs w:val="32"/>
        </w:rPr>
      </w:pPr>
      <w:r>
        <w:rPr>
          <w:rFonts w:hint="eastAsia"/>
          <w:b/>
          <w:bCs/>
          <w:color w:val="auto"/>
          <w:sz w:val="32"/>
          <w:szCs w:val="32"/>
        </w:rPr>
        <w:t>投标报价表（格式见附件）（必须提供）</w:t>
      </w:r>
    </w:p>
    <w:p>
      <w:pPr>
        <w:pStyle w:val="46"/>
        <w:ind w:firstLine="0" w:firstLineChars="0"/>
        <w:rPr>
          <w:rFonts w:hAnsi="宋体"/>
          <w:b/>
          <w:color w:val="auto"/>
          <w:sz w:val="24"/>
        </w:rPr>
      </w:pPr>
      <w:r>
        <w:rPr>
          <w:rFonts w:hint="eastAsia"/>
          <w:b/>
          <w:bCs/>
          <w:color w:val="auto"/>
          <w:sz w:val="30"/>
          <w:szCs w:val="30"/>
        </w:rPr>
        <w:t>附件：</w:t>
      </w:r>
      <w:r>
        <w:rPr>
          <w:rFonts w:hint="eastAsia" w:hAnsi="宋体"/>
          <w:b/>
          <w:color w:val="auto"/>
          <w:sz w:val="24"/>
        </w:rPr>
        <w:t xml:space="preserve">                                      </w:t>
      </w:r>
    </w:p>
    <w:p>
      <w:pPr>
        <w:pStyle w:val="17"/>
        <w:spacing w:line="320" w:lineRule="exact"/>
        <w:ind w:left="420"/>
        <w:jc w:val="center"/>
        <w:rPr>
          <w:rFonts w:hAnsi="宋体"/>
          <w:b/>
          <w:color w:val="auto"/>
          <w:sz w:val="32"/>
        </w:rPr>
      </w:pPr>
      <w:r>
        <w:rPr>
          <w:rFonts w:hint="eastAsia" w:hAnsi="宋体"/>
          <w:b/>
          <w:color w:val="auto"/>
          <w:sz w:val="32"/>
        </w:rPr>
        <w:t>投标报价表</w:t>
      </w:r>
    </w:p>
    <w:tbl>
      <w:tblPr>
        <w:tblStyle w:val="2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26"/>
        <w:gridCol w:w="1854"/>
        <w:gridCol w:w="1137"/>
        <w:gridCol w:w="2178"/>
        <w:gridCol w:w="659"/>
        <w:gridCol w:w="546"/>
        <w:gridCol w:w="619"/>
        <w:gridCol w:w="1689"/>
        <w:gridCol w:w="8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198"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项号</w:t>
            </w:r>
          </w:p>
        </w:tc>
        <w:tc>
          <w:tcPr>
            <w:tcW w:w="93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auto"/>
              </w:rPr>
            </w:pPr>
            <w:r>
              <w:rPr>
                <w:rFonts w:hint="eastAsia" w:ascii="宋体" w:hAnsi="宋体"/>
                <w:color w:val="auto"/>
              </w:rPr>
              <w:t>货物名称</w:t>
            </w:r>
          </w:p>
        </w:tc>
        <w:tc>
          <w:tcPr>
            <w:tcW w:w="573"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auto"/>
              </w:rPr>
            </w:pPr>
            <w:r>
              <w:rPr>
                <w:rFonts w:hint="eastAsia" w:ascii="宋体" w:hAnsi="宋体"/>
                <w:color w:val="auto"/>
              </w:rPr>
              <w:t>生产厂家</w:t>
            </w:r>
          </w:p>
        </w:tc>
        <w:tc>
          <w:tcPr>
            <w:tcW w:w="1096"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szCs w:val="21"/>
              </w:rPr>
              <w:t>品牌、规格型号</w:t>
            </w:r>
          </w:p>
        </w:tc>
        <w:tc>
          <w:tcPr>
            <w:tcW w:w="333"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数量</w:t>
            </w:r>
          </w:p>
          <w:p>
            <w:pPr>
              <w:spacing w:line="300" w:lineRule="exact"/>
              <w:jc w:val="center"/>
              <w:rPr>
                <w:rFonts w:ascii="宋体" w:hAnsi="宋体"/>
                <w:color w:val="auto"/>
              </w:rPr>
            </w:pPr>
            <w:r>
              <w:rPr>
                <w:rFonts w:hint="eastAsia" w:ascii="宋体" w:hAnsi="宋体"/>
                <w:color w:val="auto"/>
                <w:szCs w:val="21"/>
              </w:rPr>
              <w:t>①</w:t>
            </w:r>
          </w:p>
        </w:tc>
        <w:tc>
          <w:tcPr>
            <w:tcW w:w="276"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单位</w:t>
            </w:r>
          </w:p>
        </w:tc>
        <w:tc>
          <w:tcPr>
            <w:tcW w:w="313"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单价</w:t>
            </w:r>
          </w:p>
          <w:p>
            <w:pPr>
              <w:spacing w:line="300" w:lineRule="exact"/>
              <w:jc w:val="center"/>
              <w:rPr>
                <w:rFonts w:ascii="宋体" w:hAnsi="宋体"/>
                <w:color w:val="auto"/>
              </w:rPr>
            </w:pPr>
            <w:r>
              <w:rPr>
                <w:rFonts w:hint="eastAsia" w:ascii="宋体" w:hAnsi="宋体"/>
                <w:color w:val="auto"/>
                <w:szCs w:val="21"/>
              </w:rPr>
              <w:t>②</w:t>
            </w:r>
          </w:p>
        </w:tc>
        <w:tc>
          <w:tcPr>
            <w:tcW w:w="850"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单项合计=数量×单价</w:t>
            </w:r>
          </w:p>
          <w:p>
            <w:pPr>
              <w:spacing w:line="300" w:lineRule="exact"/>
              <w:jc w:val="center"/>
              <w:rPr>
                <w:rFonts w:ascii="宋体" w:hAnsi="宋体"/>
                <w:color w:val="auto"/>
              </w:rPr>
            </w:pPr>
            <w:r>
              <w:rPr>
                <w:rFonts w:hint="eastAsia" w:ascii="宋体" w:hAnsi="宋体"/>
                <w:color w:val="auto"/>
                <w:szCs w:val="21"/>
              </w:rPr>
              <w:t>③＝①×②</w:t>
            </w:r>
          </w:p>
        </w:tc>
        <w:tc>
          <w:tcPr>
            <w:tcW w:w="424" w:type="pct"/>
            <w:tcBorders>
              <w:bottom w:val="single" w:color="auto" w:sz="4" w:space="0"/>
            </w:tcBorders>
            <w:vAlign w:val="center"/>
          </w:tcPr>
          <w:p>
            <w:pPr>
              <w:spacing w:line="300" w:lineRule="exact"/>
              <w:jc w:val="center"/>
              <w:rPr>
                <w:rFonts w:ascii="宋体" w:hAnsi="宋体"/>
                <w:color w:val="auto"/>
              </w:rPr>
            </w:pPr>
            <w:r>
              <w:rPr>
                <w:rFonts w:hint="eastAsia" w:ascii="宋体" w:hAnsi="宋体"/>
                <w:color w:val="auto"/>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19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1</w:t>
            </w:r>
          </w:p>
        </w:tc>
        <w:tc>
          <w:tcPr>
            <w:tcW w:w="93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573"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p>
        </w:tc>
        <w:tc>
          <w:tcPr>
            <w:tcW w:w="1096"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p>
        </w:tc>
        <w:tc>
          <w:tcPr>
            <w:tcW w:w="33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27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313"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auto"/>
              </w:rPr>
            </w:pPr>
          </w:p>
        </w:tc>
        <w:tc>
          <w:tcPr>
            <w:tcW w:w="850"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auto"/>
              </w:rPr>
            </w:pPr>
          </w:p>
        </w:tc>
        <w:tc>
          <w:tcPr>
            <w:tcW w:w="424" w:type="pct"/>
            <w:tcBorders>
              <w:top w:val="single" w:color="auto" w:sz="4" w:space="0"/>
              <w:bottom w:val="single" w:color="auto" w:sz="4" w:space="0"/>
            </w:tcBorders>
            <w:vAlign w:val="center"/>
          </w:tcPr>
          <w:p>
            <w:pPr>
              <w:spacing w:line="300" w:lineRule="exact"/>
              <w:jc w:val="center"/>
              <w:rPr>
                <w:rFonts w:ascii="宋体" w:hAnsi="宋体"/>
                <w:b/>
                <w:bCs/>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198" w:type="pct"/>
            <w:tcBorders>
              <w:top w:val="single" w:color="auto" w:sz="4" w:space="0"/>
              <w:left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2</w:t>
            </w:r>
          </w:p>
        </w:tc>
        <w:tc>
          <w:tcPr>
            <w:tcW w:w="93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573"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p>
        </w:tc>
        <w:tc>
          <w:tcPr>
            <w:tcW w:w="1096"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p>
        </w:tc>
        <w:tc>
          <w:tcPr>
            <w:tcW w:w="33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27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313"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auto"/>
              </w:rPr>
            </w:pPr>
          </w:p>
        </w:tc>
        <w:tc>
          <w:tcPr>
            <w:tcW w:w="850"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auto"/>
              </w:rPr>
            </w:pPr>
          </w:p>
        </w:tc>
        <w:tc>
          <w:tcPr>
            <w:tcW w:w="424" w:type="pct"/>
            <w:tcBorders>
              <w:top w:val="single" w:color="auto" w:sz="4" w:space="0"/>
              <w:bottom w:val="single" w:color="auto" w:sz="4" w:space="0"/>
            </w:tcBorders>
            <w:vAlign w:val="center"/>
          </w:tcPr>
          <w:p>
            <w:pPr>
              <w:spacing w:line="300" w:lineRule="exact"/>
              <w:jc w:val="center"/>
              <w:rPr>
                <w:rFonts w:ascii="宋体" w:hAnsi="宋体"/>
                <w:b/>
                <w:bCs/>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198" w:type="pct"/>
            <w:tcBorders>
              <w:top w:val="single" w:color="auto" w:sz="4" w:space="0"/>
              <w:left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w:t>
            </w:r>
          </w:p>
        </w:tc>
        <w:tc>
          <w:tcPr>
            <w:tcW w:w="93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573"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p>
        </w:tc>
        <w:tc>
          <w:tcPr>
            <w:tcW w:w="1096"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p>
        </w:tc>
        <w:tc>
          <w:tcPr>
            <w:tcW w:w="33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27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313"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auto"/>
              </w:rPr>
            </w:pPr>
          </w:p>
        </w:tc>
        <w:tc>
          <w:tcPr>
            <w:tcW w:w="850"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auto"/>
              </w:rPr>
            </w:pPr>
          </w:p>
        </w:tc>
        <w:tc>
          <w:tcPr>
            <w:tcW w:w="424" w:type="pct"/>
            <w:tcBorders>
              <w:top w:val="single" w:color="auto" w:sz="4" w:space="0"/>
              <w:bottom w:val="single" w:color="auto" w:sz="4" w:space="0"/>
            </w:tcBorders>
            <w:vAlign w:val="center"/>
          </w:tcPr>
          <w:p>
            <w:pPr>
              <w:spacing w:line="300" w:lineRule="exact"/>
              <w:jc w:val="center"/>
              <w:rPr>
                <w:rFonts w:ascii="宋体" w:hAnsi="宋体"/>
                <w:b/>
                <w:bCs/>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198" w:type="pct"/>
            <w:tcBorders>
              <w:top w:val="single" w:color="auto" w:sz="4" w:space="0"/>
              <w:left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N</w:t>
            </w:r>
          </w:p>
        </w:tc>
        <w:tc>
          <w:tcPr>
            <w:tcW w:w="93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ascii="宋体" w:hAnsi="宋体" w:cs="宋体"/>
                <w:color w:val="auto"/>
                <w:szCs w:val="21"/>
              </w:rPr>
              <w:t>…</w:t>
            </w:r>
          </w:p>
        </w:tc>
        <w:tc>
          <w:tcPr>
            <w:tcW w:w="573"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auto"/>
              </w:rPr>
            </w:pPr>
          </w:p>
        </w:tc>
        <w:tc>
          <w:tcPr>
            <w:tcW w:w="1096"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auto"/>
              </w:rPr>
            </w:pPr>
          </w:p>
        </w:tc>
        <w:tc>
          <w:tcPr>
            <w:tcW w:w="33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ascii="宋体" w:hAnsi="宋体" w:cs="宋体"/>
                <w:color w:val="auto"/>
                <w:szCs w:val="21"/>
              </w:rPr>
              <w:t>…</w:t>
            </w:r>
          </w:p>
        </w:tc>
        <w:tc>
          <w:tcPr>
            <w:tcW w:w="27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313"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auto"/>
              </w:rPr>
            </w:pPr>
          </w:p>
        </w:tc>
        <w:tc>
          <w:tcPr>
            <w:tcW w:w="850"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auto"/>
              </w:rPr>
            </w:pPr>
          </w:p>
        </w:tc>
        <w:tc>
          <w:tcPr>
            <w:tcW w:w="424" w:type="pct"/>
            <w:tcBorders>
              <w:top w:val="single" w:color="auto" w:sz="4" w:space="0"/>
              <w:bottom w:val="single" w:color="auto" w:sz="4" w:space="0"/>
            </w:tcBorders>
            <w:vAlign w:val="center"/>
          </w:tcPr>
          <w:p>
            <w:pPr>
              <w:spacing w:line="300" w:lineRule="exact"/>
              <w:jc w:val="center"/>
              <w:rPr>
                <w:rFonts w:ascii="宋体" w:hAnsi="宋体"/>
                <w:b/>
                <w:bCs/>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198" w:type="pct"/>
            <w:tcBorders>
              <w:top w:val="single" w:color="auto" w:sz="4" w:space="0"/>
              <w:left w:val="single" w:color="auto" w:sz="4" w:space="0"/>
              <w:right w:val="single" w:color="auto" w:sz="4" w:space="0"/>
            </w:tcBorders>
            <w:vAlign w:val="center"/>
          </w:tcPr>
          <w:p>
            <w:pPr>
              <w:jc w:val="center"/>
              <w:rPr>
                <w:rFonts w:ascii="宋体" w:hAnsi="宋体" w:cs="宋体"/>
                <w:color w:val="auto"/>
                <w:szCs w:val="21"/>
              </w:rPr>
            </w:pPr>
          </w:p>
        </w:tc>
        <w:tc>
          <w:tcPr>
            <w:tcW w:w="93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573"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auto"/>
              </w:rPr>
            </w:pPr>
          </w:p>
        </w:tc>
        <w:tc>
          <w:tcPr>
            <w:tcW w:w="1096"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auto"/>
              </w:rPr>
            </w:pPr>
          </w:p>
        </w:tc>
        <w:tc>
          <w:tcPr>
            <w:tcW w:w="33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27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313"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auto"/>
              </w:rPr>
            </w:pPr>
          </w:p>
        </w:tc>
        <w:tc>
          <w:tcPr>
            <w:tcW w:w="850"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auto"/>
              </w:rPr>
            </w:pPr>
          </w:p>
        </w:tc>
        <w:tc>
          <w:tcPr>
            <w:tcW w:w="424" w:type="pct"/>
            <w:tcBorders>
              <w:top w:val="single" w:color="auto" w:sz="4" w:space="0"/>
              <w:bottom w:val="single" w:color="auto" w:sz="4" w:space="0"/>
            </w:tcBorders>
            <w:vAlign w:val="center"/>
          </w:tcPr>
          <w:p>
            <w:pPr>
              <w:spacing w:line="300" w:lineRule="exact"/>
              <w:jc w:val="center"/>
              <w:rPr>
                <w:rFonts w:ascii="宋体" w:hAnsi="宋体"/>
                <w:b/>
                <w:bCs/>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5000" w:type="pct"/>
            <w:gridSpan w:val="9"/>
            <w:tcBorders>
              <w:top w:val="single" w:color="auto" w:sz="4" w:space="0"/>
              <w:left w:val="single" w:color="auto" w:sz="4" w:space="0"/>
              <w:bottom w:val="single" w:color="auto" w:sz="4" w:space="0"/>
            </w:tcBorders>
            <w:vAlign w:val="center"/>
          </w:tcPr>
          <w:p>
            <w:pPr>
              <w:spacing w:line="300" w:lineRule="exact"/>
              <w:rPr>
                <w:rFonts w:ascii="宋体" w:hAnsi="宋体"/>
                <w:b/>
                <w:bCs/>
                <w:color w:val="auto"/>
              </w:rPr>
            </w:pPr>
            <w:r>
              <w:rPr>
                <w:rFonts w:hint="eastAsia" w:ascii="宋体" w:hAnsi="宋体"/>
                <w:color w:val="auto"/>
                <w:spacing w:val="-6"/>
              </w:rPr>
              <w:t>投标总</w:t>
            </w:r>
            <w:r>
              <w:rPr>
                <w:rFonts w:ascii="宋体" w:hAnsi="宋体"/>
                <w:color w:val="auto"/>
                <w:spacing w:val="-6"/>
              </w:rPr>
              <w:t xml:space="preserve">报价（大写）：                      </w:t>
            </w:r>
            <w:r>
              <w:rPr>
                <w:rFonts w:hint="eastAsia" w:ascii="宋体" w:hAnsi="宋体"/>
                <w:color w:val="auto"/>
                <w:spacing w:val="-6"/>
              </w:rPr>
              <w:t xml:space="preserve">            </w:t>
            </w:r>
            <w:r>
              <w:rPr>
                <w:rFonts w:ascii="宋体" w:hAnsi="宋体"/>
                <w:color w:val="auto"/>
                <w:spacing w:val="-6"/>
              </w:rPr>
              <w:t xml:space="preserve">  </w:t>
            </w:r>
            <w:r>
              <w:rPr>
                <w:rFonts w:hint="eastAsia" w:ascii="宋体" w:hAnsi="宋体"/>
                <w:color w:val="auto"/>
                <w:spacing w:val="-6"/>
              </w:rPr>
              <w:t>元</w:t>
            </w:r>
            <w:r>
              <w:rPr>
                <w:rFonts w:ascii="宋体" w:hAnsi="宋体"/>
                <w:color w:val="auto"/>
                <w:spacing w:val="-6"/>
              </w:rPr>
              <w:t xml:space="preserve">人民币（￥         </w:t>
            </w:r>
            <w:r>
              <w:rPr>
                <w:rFonts w:hint="eastAsia" w:ascii="宋体" w:hAnsi="宋体"/>
                <w:color w:val="auto"/>
                <w:spacing w:val="-6"/>
              </w:rPr>
              <w:t xml:space="preserve">           </w:t>
            </w:r>
            <w:r>
              <w:rPr>
                <w:rFonts w:ascii="宋体" w:hAnsi="宋体"/>
                <w:color w:val="auto"/>
                <w:spacing w:val="-6"/>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5000" w:type="pct"/>
            <w:gridSpan w:val="9"/>
            <w:tcBorders>
              <w:top w:val="single" w:color="auto" w:sz="4" w:space="0"/>
              <w:left w:val="single" w:color="auto" w:sz="4" w:space="0"/>
              <w:bottom w:val="single" w:color="auto" w:sz="4" w:space="0"/>
            </w:tcBorders>
            <w:vAlign w:val="center"/>
          </w:tcPr>
          <w:p>
            <w:pPr>
              <w:spacing w:line="300" w:lineRule="exact"/>
              <w:rPr>
                <w:rFonts w:ascii="宋体" w:hAnsi="宋体"/>
                <w:color w:val="auto"/>
                <w:spacing w:val="-6"/>
              </w:rPr>
            </w:pPr>
            <w:r>
              <w:rPr>
                <w:rFonts w:hint="eastAsia" w:ascii="宋体" w:hAnsi="宋体"/>
                <w:color w:val="auto"/>
                <w:spacing w:val="-6"/>
              </w:rPr>
              <w:t>交付使用期: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5000" w:type="pct"/>
            <w:gridSpan w:val="9"/>
            <w:tcBorders>
              <w:top w:val="single" w:color="auto" w:sz="4" w:space="0"/>
              <w:left w:val="single" w:color="auto" w:sz="4" w:space="0"/>
              <w:bottom w:val="single" w:color="auto" w:sz="4" w:space="0"/>
            </w:tcBorders>
            <w:vAlign w:val="center"/>
          </w:tcPr>
          <w:p>
            <w:pPr>
              <w:spacing w:line="300" w:lineRule="exact"/>
              <w:rPr>
                <w:rFonts w:ascii="宋体" w:hAnsi="宋体"/>
                <w:color w:val="auto"/>
                <w:spacing w:val="-6"/>
              </w:rPr>
            </w:pPr>
            <w:r>
              <w:rPr>
                <w:rFonts w:hint="eastAsia" w:ascii="宋体" w:hAnsi="宋体"/>
                <w:color w:val="auto"/>
                <w:spacing w:val="-6"/>
              </w:rPr>
              <w:t>免费保修期: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5" w:hRule="atLeast"/>
        </w:trPr>
        <w:tc>
          <w:tcPr>
            <w:tcW w:w="5000" w:type="pct"/>
            <w:gridSpan w:val="9"/>
            <w:tcBorders>
              <w:top w:val="single" w:color="auto" w:sz="4" w:space="0"/>
              <w:left w:val="single" w:color="auto" w:sz="4" w:space="0"/>
              <w:bottom w:val="single" w:color="auto" w:sz="4" w:space="0"/>
            </w:tcBorders>
            <w:vAlign w:val="center"/>
          </w:tcPr>
          <w:p>
            <w:pPr>
              <w:spacing w:line="340" w:lineRule="exact"/>
              <w:rPr>
                <w:rFonts w:ascii="宋体" w:hAnsi="宋体"/>
                <w:color w:val="auto"/>
                <w:spacing w:val="-6"/>
                <w:szCs w:val="21"/>
              </w:rPr>
            </w:pPr>
            <w:r>
              <w:rPr>
                <w:rFonts w:hint="eastAsia" w:ascii="宋体" w:hAnsi="宋体"/>
                <w:color w:val="auto"/>
                <w:spacing w:val="-6"/>
                <w:szCs w:val="21"/>
              </w:rPr>
              <w:t>其中：属于《</w:t>
            </w:r>
            <w:r>
              <w:rPr>
                <w:rFonts w:ascii="宋体" w:hAnsi="宋体"/>
                <w:color w:val="auto"/>
                <w:spacing w:val="-6"/>
                <w:szCs w:val="21"/>
              </w:rPr>
              <w:t>节能</w:t>
            </w:r>
            <w:r>
              <w:rPr>
                <w:rFonts w:hint="eastAsia" w:ascii="宋体" w:hAnsi="宋体"/>
                <w:color w:val="auto"/>
                <w:spacing w:val="-6"/>
                <w:szCs w:val="21"/>
              </w:rPr>
              <w:t>产品政府采购</w:t>
            </w:r>
            <w:r>
              <w:rPr>
                <w:rFonts w:ascii="宋体" w:hAnsi="宋体"/>
                <w:color w:val="auto"/>
                <w:spacing w:val="-6"/>
                <w:szCs w:val="21"/>
              </w:rPr>
              <w:t>清单</w:t>
            </w:r>
            <w:r>
              <w:rPr>
                <w:rFonts w:hint="eastAsia" w:ascii="宋体" w:hAnsi="宋体"/>
                <w:color w:val="auto"/>
                <w:spacing w:val="-6"/>
                <w:szCs w:val="21"/>
              </w:rPr>
              <w:t>》目录内产品的总金额为</w:t>
            </w:r>
            <w:r>
              <w:rPr>
                <w:rFonts w:ascii="宋体" w:hAnsi="宋体"/>
                <w:color w:val="auto"/>
                <w:spacing w:val="-6"/>
                <w:szCs w:val="21"/>
              </w:rPr>
              <w:t>人民币</w:t>
            </w:r>
            <w:r>
              <w:rPr>
                <w:rFonts w:hint="eastAsia" w:ascii="宋体" w:hAnsi="宋体"/>
                <w:color w:val="auto"/>
                <w:spacing w:val="-6"/>
                <w:szCs w:val="21"/>
              </w:rPr>
              <w:t>（大写）：               元</w:t>
            </w:r>
            <w:r>
              <w:rPr>
                <w:rFonts w:ascii="宋体" w:hAnsi="宋体"/>
                <w:color w:val="auto"/>
                <w:spacing w:val="-6"/>
                <w:szCs w:val="21"/>
              </w:rPr>
              <w:t xml:space="preserve">（￥         </w:t>
            </w:r>
            <w:r>
              <w:rPr>
                <w:rFonts w:hint="eastAsia" w:ascii="宋体" w:hAnsi="宋体"/>
                <w:color w:val="auto"/>
                <w:spacing w:val="-6"/>
                <w:szCs w:val="21"/>
              </w:rPr>
              <w:t xml:space="preserve">   </w:t>
            </w:r>
            <w:r>
              <w:rPr>
                <w:rFonts w:ascii="宋体" w:hAnsi="宋体"/>
                <w:color w:val="auto"/>
                <w:spacing w:val="-6"/>
                <w:szCs w:val="21"/>
              </w:rPr>
              <w:t>）</w:t>
            </w:r>
            <w:r>
              <w:rPr>
                <w:rFonts w:hint="eastAsia" w:ascii="宋体" w:hAnsi="宋体"/>
                <w:color w:val="auto"/>
                <w:spacing w:val="-6"/>
                <w:szCs w:val="21"/>
              </w:rPr>
              <w:t>；</w:t>
            </w:r>
          </w:p>
          <w:p>
            <w:pPr>
              <w:spacing w:line="340" w:lineRule="exact"/>
              <w:ind w:firstLine="594" w:firstLineChars="300"/>
              <w:rPr>
                <w:rFonts w:ascii="宋体" w:hAnsi="宋体"/>
                <w:color w:val="auto"/>
                <w:spacing w:val="-6"/>
                <w:szCs w:val="21"/>
              </w:rPr>
            </w:pPr>
            <w:r>
              <w:rPr>
                <w:rFonts w:hint="eastAsia" w:ascii="宋体" w:hAnsi="宋体"/>
                <w:color w:val="auto"/>
                <w:spacing w:val="-6"/>
                <w:szCs w:val="21"/>
              </w:rPr>
              <w:t>属于《环境标志产品政府采购清单》目录内产品的总金额为</w:t>
            </w:r>
            <w:r>
              <w:rPr>
                <w:rFonts w:ascii="宋体" w:hAnsi="宋体"/>
                <w:color w:val="auto"/>
                <w:spacing w:val="-6"/>
                <w:szCs w:val="21"/>
              </w:rPr>
              <w:t>人民币</w:t>
            </w:r>
            <w:r>
              <w:rPr>
                <w:rFonts w:hint="eastAsia" w:ascii="宋体" w:hAnsi="宋体"/>
                <w:color w:val="auto"/>
                <w:spacing w:val="-6"/>
                <w:szCs w:val="21"/>
              </w:rPr>
              <w:t>（大写）：                   元</w:t>
            </w:r>
            <w:r>
              <w:rPr>
                <w:rFonts w:ascii="宋体" w:hAnsi="宋体"/>
                <w:color w:val="auto"/>
                <w:spacing w:val="-6"/>
                <w:szCs w:val="21"/>
              </w:rPr>
              <w:t>（￥             ）</w:t>
            </w:r>
            <w:r>
              <w:rPr>
                <w:rFonts w:hint="eastAsia" w:ascii="宋体" w:hAnsi="宋体"/>
                <w:color w:val="auto"/>
                <w:spacing w:val="-6"/>
                <w:szCs w:val="21"/>
              </w:rPr>
              <w:t>。</w:t>
            </w:r>
          </w:p>
          <w:p>
            <w:pPr>
              <w:spacing w:line="340" w:lineRule="exact"/>
              <w:rPr>
                <w:rFonts w:ascii="宋体" w:hAnsi="宋体"/>
                <w:b/>
                <w:bCs/>
                <w:color w:val="auto"/>
              </w:rPr>
            </w:pPr>
            <w:r>
              <w:rPr>
                <w:rFonts w:hint="eastAsia" w:ascii="宋体" w:hAnsi="宋体"/>
                <w:b/>
                <w:color w:val="auto"/>
                <w:spacing w:val="-6"/>
                <w:szCs w:val="21"/>
              </w:rPr>
              <w:t>备注：若不属于《</w:t>
            </w:r>
            <w:r>
              <w:rPr>
                <w:rFonts w:ascii="宋体" w:hAnsi="宋体"/>
                <w:b/>
                <w:color w:val="auto"/>
                <w:spacing w:val="-6"/>
                <w:szCs w:val="21"/>
              </w:rPr>
              <w:t>节能</w:t>
            </w:r>
            <w:r>
              <w:rPr>
                <w:rFonts w:hint="eastAsia" w:ascii="宋体" w:hAnsi="宋体"/>
                <w:b/>
                <w:color w:val="auto"/>
                <w:spacing w:val="-6"/>
                <w:szCs w:val="21"/>
              </w:rPr>
              <w:t>产品政府采购</w:t>
            </w:r>
            <w:r>
              <w:rPr>
                <w:rFonts w:ascii="宋体" w:hAnsi="宋体"/>
                <w:b/>
                <w:color w:val="auto"/>
                <w:spacing w:val="-6"/>
                <w:szCs w:val="21"/>
              </w:rPr>
              <w:t>清单</w:t>
            </w:r>
            <w:r>
              <w:rPr>
                <w:rFonts w:hint="eastAsia" w:ascii="宋体" w:hAnsi="宋体"/>
                <w:b/>
                <w:color w:val="auto"/>
                <w:spacing w:val="-6"/>
                <w:szCs w:val="21"/>
              </w:rPr>
              <w:t>》及《环境标志产品政府采购清单》目录内产品的，则该处填写“无”字样。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5" w:hRule="atLeast"/>
        </w:trPr>
        <w:tc>
          <w:tcPr>
            <w:tcW w:w="5000" w:type="pct"/>
            <w:gridSpan w:val="9"/>
            <w:tcBorders>
              <w:top w:val="single" w:color="auto" w:sz="4" w:space="0"/>
              <w:left w:val="single" w:color="auto" w:sz="4" w:space="0"/>
              <w:bottom w:val="single" w:color="auto" w:sz="4" w:space="0"/>
            </w:tcBorders>
            <w:vAlign w:val="center"/>
          </w:tcPr>
          <w:p>
            <w:pPr>
              <w:spacing w:line="340" w:lineRule="exact"/>
              <w:rPr>
                <w:rFonts w:ascii="宋体" w:hAnsi="宋体"/>
                <w:b/>
                <w:bCs/>
                <w:color w:val="auto"/>
              </w:rPr>
            </w:pPr>
            <w:r>
              <w:rPr>
                <w:rFonts w:hint="eastAsia" w:ascii="宋体" w:hAnsi="宋体"/>
                <w:color w:val="auto"/>
              </w:rPr>
              <w:t>说明：投标报价指</w:t>
            </w:r>
            <w:r>
              <w:rPr>
                <w:rFonts w:hint="eastAsia" w:ascii="宋体" w:hAnsi="宋体"/>
                <w:color w:val="auto"/>
                <w:szCs w:val="21"/>
              </w:rPr>
              <w:t>本次招标采购范围内货物价款、</w:t>
            </w:r>
            <w:r>
              <w:rPr>
                <w:rFonts w:hint="eastAsia" w:ascii="宋体" w:hAnsi="宋体" w:cs="Courier New"/>
                <w:color w:val="auto"/>
                <w:szCs w:val="21"/>
              </w:rPr>
              <w:t>货物随配标准附件、</w:t>
            </w:r>
            <w:r>
              <w:rPr>
                <w:rFonts w:hint="eastAsia" w:ascii="宋体" w:hAnsi="宋体"/>
                <w:color w:val="auto"/>
                <w:szCs w:val="21"/>
              </w:rPr>
              <w:t>包装、运输、装卸、保险、税金、货到位以及安装、安装所需辅材、调试、检验、售后服务、培训、保修</w:t>
            </w:r>
            <w:r>
              <w:rPr>
                <w:rFonts w:hint="eastAsia" w:ascii="宋体" w:hAnsi="宋体" w:cs="Courier New"/>
                <w:color w:val="auto"/>
                <w:szCs w:val="21"/>
              </w:rPr>
              <w:t>及其他所有成本费用的总和</w:t>
            </w:r>
            <w:r>
              <w:rPr>
                <w:rFonts w:hint="eastAsia" w:ascii="宋体" w:hAnsi="宋体"/>
                <w:color w:val="auto"/>
                <w:szCs w:val="21"/>
              </w:rPr>
              <w:t>；</w:t>
            </w:r>
            <w:r>
              <w:rPr>
                <w:rFonts w:hint="eastAsia" w:ascii="宋体" w:hAnsi="宋体"/>
                <w:color w:val="auto"/>
              </w:rPr>
              <w:t>投标人综合考虑在报价中。</w:t>
            </w:r>
          </w:p>
        </w:tc>
      </w:tr>
    </w:tbl>
    <w:p>
      <w:pPr>
        <w:spacing w:line="340" w:lineRule="exact"/>
        <w:rPr>
          <w:rFonts w:ascii="宋体" w:hAnsi="宋体"/>
          <w:color w:val="auto"/>
          <w:szCs w:val="21"/>
        </w:rPr>
      </w:pPr>
    </w:p>
    <w:p>
      <w:pPr>
        <w:spacing w:line="340" w:lineRule="exact"/>
        <w:rPr>
          <w:rFonts w:ascii="宋体" w:hAnsi="宋体"/>
          <w:color w:val="auto"/>
          <w:szCs w:val="21"/>
          <w:u w:val="single"/>
        </w:rPr>
      </w:pPr>
      <w:r>
        <w:rPr>
          <w:rFonts w:hint="eastAsia" w:ascii="宋体" w:hAnsi="宋体"/>
          <w:color w:val="auto"/>
          <w:szCs w:val="21"/>
        </w:rPr>
        <w:t>投标人（公章，自然人除外）：</w:t>
      </w:r>
      <w:r>
        <w:rPr>
          <w:rFonts w:hint="eastAsia" w:ascii="宋体" w:hAnsi="宋体"/>
          <w:color w:val="auto"/>
          <w:szCs w:val="21"/>
          <w:u w:val="single"/>
        </w:rPr>
        <w:t xml:space="preserve">                                        </w:t>
      </w:r>
    </w:p>
    <w:p>
      <w:pPr>
        <w:spacing w:line="340" w:lineRule="exact"/>
        <w:rPr>
          <w:rFonts w:ascii="宋体" w:hAnsi="宋体"/>
          <w:color w:val="auto"/>
          <w:szCs w:val="21"/>
          <w:u w:val="single"/>
        </w:rPr>
      </w:pPr>
      <w:r>
        <w:rPr>
          <w:rFonts w:hint="eastAsia" w:hAnsi="宋体"/>
          <w:color w:val="auto"/>
        </w:rPr>
        <w:t>法定代表人、负责人、自然人或相应的委托代理人签字或盖章（属自然人的应在签名处加盖食指指印）：</w:t>
      </w:r>
      <w:r>
        <w:rPr>
          <w:rFonts w:hint="eastAsia" w:ascii="宋体" w:hAnsi="宋体"/>
          <w:color w:val="auto"/>
          <w:szCs w:val="21"/>
          <w:u w:val="single"/>
        </w:rPr>
        <w:t xml:space="preserve">                                    </w:t>
      </w:r>
    </w:p>
    <w:p>
      <w:pPr>
        <w:spacing w:line="340" w:lineRule="exact"/>
        <w:rPr>
          <w:rFonts w:ascii="宋体" w:hAnsi="宋体"/>
          <w:color w:val="auto"/>
        </w:rPr>
      </w:pPr>
    </w:p>
    <w:p>
      <w:pPr>
        <w:tabs>
          <w:tab w:val="left" w:pos="1305"/>
        </w:tabs>
        <w:spacing w:line="340" w:lineRule="exact"/>
        <w:ind w:left="630" w:leftChars="100" w:hanging="420" w:hangingChars="200"/>
        <w:rPr>
          <w:rFonts w:ascii="宋体" w:hAnsi="宋体"/>
          <w:bCs/>
          <w:color w:val="auto"/>
          <w:szCs w:val="21"/>
        </w:rPr>
      </w:pPr>
      <w:r>
        <w:rPr>
          <w:rFonts w:hint="eastAsia" w:ascii="宋体" w:hAnsi="宋体"/>
          <w:bCs/>
          <w:color w:val="auto"/>
          <w:szCs w:val="21"/>
        </w:rPr>
        <w:t>注</w:t>
      </w:r>
      <w:r>
        <w:rPr>
          <w:rFonts w:hint="eastAsia" w:ascii="宋体" w:hAnsi="宋体"/>
          <w:b/>
          <w:bCs/>
          <w:color w:val="auto"/>
          <w:szCs w:val="21"/>
        </w:rPr>
        <w:t>：</w:t>
      </w:r>
      <w:r>
        <w:rPr>
          <w:rFonts w:hint="eastAsia" w:ascii="宋体" w:hAnsi="宋体"/>
          <w:bCs/>
          <w:color w:val="auto"/>
          <w:szCs w:val="21"/>
        </w:rPr>
        <w:t>1.各投标人</w:t>
      </w:r>
      <w:r>
        <w:rPr>
          <w:rFonts w:hint="eastAsia" w:ascii="宋体" w:hAnsi="宋体"/>
          <w:color w:val="auto"/>
          <w:szCs w:val="21"/>
        </w:rPr>
        <w:t>必须就“货物采购需求”中所投分标的所有内容作完整唯一报价，否则，其投标将被拒绝。投标文件只允许有一个报价。</w:t>
      </w:r>
    </w:p>
    <w:p>
      <w:pPr>
        <w:pStyle w:val="17"/>
        <w:spacing w:line="360" w:lineRule="exact"/>
        <w:ind w:firstLine="630" w:firstLineChars="300"/>
        <w:rPr>
          <w:rFonts w:hAnsi="宋体"/>
          <w:color w:val="auto"/>
        </w:rPr>
      </w:pPr>
      <w:r>
        <w:rPr>
          <w:rFonts w:hint="eastAsia" w:hAnsi="宋体"/>
          <w:color w:val="auto"/>
        </w:rPr>
        <w:t>2.投标人应根据所投货物如实填写投标报价表</w:t>
      </w:r>
      <w:r>
        <w:rPr>
          <w:rFonts w:hint="eastAsia" w:hAnsi="宋体"/>
          <w:bCs/>
          <w:color w:val="auto"/>
          <w:szCs w:val="21"/>
        </w:rPr>
        <w:t>的各项内容。</w:t>
      </w:r>
    </w:p>
    <w:p>
      <w:pPr>
        <w:pStyle w:val="17"/>
        <w:spacing w:line="400" w:lineRule="exact"/>
        <w:ind w:left="630" w:leftChars="300"/>
        <w:rPr>
          <w:rFonts w:hAnsi="宋体"/>
          <w:b/>
          <w:bCs/>
          <w:color w:val="auto"/>
          <w:szCs w:val="21"/>
        </w:rPr>
      </w:pPr>
      <w:r>
        <w:rPr>
          <w:rFonts w:hint="eastAsia"/>
          <w:color w:val="auto"/>
        </w:rPr>
        <w:t>3.投标报价表须由法定代表人负责人、自然人或相应的委托代理人签字</w:t>
      </w:r>
      <w:r>
        <w:rPr>
          <w:rFonts w:hint="eastAsia" w:hAnsi="宋体"/>
          <w:color w:val="auto"/>
        </w:rPr>
        <w:t>或盖章（属自然人的应在签名处加盖食指指印）</w:t>
      </w:r>
      <w:r>
        <w:rPr>
          <w:rFonts w:hint="eastAsia"/>
          <w:color w:val="auto"/>
        </w:rPr>
        <w:t>并加盖投标人公章（自然人除外）。</w:t>
      </w:r>
      <w:r>
        <w:rPr>
          <w:rFonts w:hint="eastAsia"/>
          <w:b/>
          <w:color w:val="auto"/>
        </w:rPr>
        <w:t>当本表由多页构成时，需逐页加盖投标人公章（属自然人的须逐页签字）。</w:t>
      </w:r>
    </w:p>
    <w:p>
      <w:pPr>
        <w:spacing w:line="340" w:lineRule="exact"/>
        <w:ind w:left="630" w:leftChars="300"/>
        <w:rPr>
          <w:rFonts w:hint="eastAsia" w:ascii="宋体" w:hAnsi="宋体" w:cs="Times New Roman"/>
          <w:bCs/>
          <w:color w:val="auto"/>
          <w:szCs w:val="21"/>
        </w:rPr>
      </w:pPr>
      <w:r>
        <w:rPr>
          <w:rFonts w:hint="eastAsia" w:ascii="宋体" w:hAnsi="宋体"/>
          <w:bCs/>
          <w:color w:val="auto"/>
          <w:szCs w:val="21"/>
        </w:rPr>
        <w:t>4.如投标的全部或部分产品属于《</w:t>
      </w:r>
      <w:r>
        <w:rPr>
          <w:rFonts w:ascii="宋体" w:hAnsi="宋体"/>
          <w:bCs/>
          <w:color w:val="auto"/>
          <w:szCs w:val="21"/>
        </w:rPr>
        <w:t>节能</w:t>
      </w:r>
      <w:r>
        <w:rPr>
          <w:rFonts w:hint="eastAsia" w:ascii="宋体" w:hAnsi="宋体"/>
          <w:bCs/>
          <w:color w:val="auto"/>
          <w:szCs w:val="21"/>
        </w:rPr>
        <w:t>产品政府采购</w:t>
      </w:r>
      <w:r>
        <w:rPr>
          <w:rFonts w:ascii="宋体" w:hAnsi="宋体"/>
          <w:bCs/>
          <w:color w:val="auto"/>
          <w:szCs w:val="21"/>
        </w:rPr>
        <w:t>清单</w:t>
      </w:r>
      <w:r>
        <w:rPr>
          <w:rFonts w:hint="eastAsia" w:ascii="宋体" w:hAnsi="宋体"/>
          <w:bCs/>
          <w:color w:val="auto"/>
          <w:szCs w:val="21"/>
        </w:rPr>
        <w:t>》或《环境标志产品政府采购清单》目录范围</w:t>
      </w:r>
      <w:r>
        <w:rPr>
          <w:rFonts w:ascii="宋体" w:hAnsi="宋体"/>
          <w:bCs/>
          <w:color w:val="auto"/>
          <w:szCs w:val="21"/>
        </w:rPr>
        <w:t>的</w:t>
      </w:r>
      <w:r>
        <w:rPr>
          <w:rFonts w:hint="eastAsia" w:ascii="宋体" w:hAnsi="宋体"/>
          <w:bCs/>
          <w:color w:val="auto"/>
          <w:szCs w:val="21"/>
        </w:rPr>
        <w:t>，投标人应在本表备注栏内写明各分项货物属于节能（或环境标志）产品政府采购清单第几类第几项序号的产品</w:t>
      </w:r>
      <w:r>
        <w:rPr>
          <w:rFonts w:hint="eastAsia" w:ascii="宋体" w:hAnsi="宋体"/>
          <w:bCs/>
          <w:color w:val="auto"/>
          <w:szCs w:val="21"/>
          <w:lang w:eastAsia="zh-CN"/>
        </w:rPr>
        <w:t>；</w:t>
      </w:r>
      <w:r>
        <w:rPr>
          <w:rFonts w:hint="eastAsia" w:ascii="宋体" w:hAnsi="宋体" w:cs="Times New Roman"/>
          <w:bCs/>
          <w:color w:val="auto"/>
          <w:szCs w:val="21"/>
          <w:lang w:val="en-US" w:eastAsia="zh-CN"/>
        </w:rPr>
        <w:t>属于节能产品或环境标志产品，但不在上述最新目录范围内的，请在本表备注栏内写明“详见证明材料”，并提供相关证明材料复印件（加盖投标人公章），</w:t>
      </w:r>
      <w:r>
        <w:rPr>
          <w:rFonts w:hint="eastAsia" w:ascii="宋体" w:hAnsi="宋体" w:cs="Times New Roman"/>
          <w:bCs/>
          <w:color w:val="auto"/>
          <w:szCs w:val="21"/>
        </w:rPr>
        <w:t xml:space="preserve">以便评标委员会作为优先采购或评分的依据。 </w:t>
      </w:r>
    </w:p>
    <w:p>
      <w:pPr>
        <w:pStyle w:val="14"/>
        <w:rPr>
          <w:rFonts w:ascii="宋体" w:hAnsi="宋体"/>
          <w:color w:val="auto"/>
        </w:rPr>
      </w:pPr>
    </w:p>
    <w:p>
      <w:pPr>
        <w:pStyle w:val="14"/>
        <w:rPr>
          <w:rFonts w:ascii="宋体" w:hAnsi="宋体"/>
          <w:color w:val="auto"/>
        </w:rPr>
      </w:pPr>
    </w:p>
    <w:p>
      <w:pPr>
        <w:rPr>
          <w:rFonts w:ascii="宋体" w:hAnsi="宋体" w:cs="宋体"/>
          <w:b/>
          <w:bCs/>
          <w:color w:val="auto"/>
          <w:sz w:val="32"/>
          <w:szCs w:val="32"/>
        </w:rPr>
      </w:pPr>
      <w:bookmarkStart w:id="225" w:name="_Toc27290"/>
      <w:bookmarkStart w:id="226" w:name="_Toc495841787"/>
      <w:r>
        <w:rPr>
          <w:rFonts w:hint="eastAsia"/>
          <w:b/>
          <w:bCs/>
          <w:color w:val="auto"/>
          <w:sz w:val="32"/>
          <w:szCs w:val="32"/>
        </w:rPr>
        <w:t>二、资格性响应证明材料（格式）</w:t>
      </w:r>
      <w:bookmarkEnd w:id="225"/>
      <w:bookmarkEnd w:id="226"/>
    </w:p>
    <w:p>
      <w:pPr>
        <w:rPr>
          <w:rFonts w:ascii="宋体" w:hAnsi="宋体" w:cs="宋体"/>
          <w:b/>
          <w:bCs/>
          <w:color w:val="auto"/>
          <w:sz w:val="32"/>
          <w:szCs w:val="32"/>
        </w:rPr>
      </w:pPr>
    </w:p>
    <w:p>
      <w:pPr>
        <w:rPr>
          <w:rFonts w:ascii="宋体" w:hAnsi="宋体" w:cs="宋体"/>
          <w:b/>
          <w:bCs/>
          <w:color w:val="auto"/>
          <w:sz w:val="32"/>
          <w:szCs w:val="32"/>
        </w:rPr>
      </w:pPr>
      <w:bookmarkStart w:id="227" w:name="_Toc11828"/>
      <w:bookmarkStart w:id="228" w:name="_Toc495841788"/>
      <w:r>
        <w:rPr>
          <w:rFonts w:hint="eastAsia" w:ascii="宋体" w:hAnsi="宋体" w:cs="宋体"/>
          <w:b/>
          <w:bCs/>
          <w:color w:val="auto"/>
          <w:sz w:val="32"/>
          <w:szCs w:val="32"/>
        </w:rPr>
        <w:t>1.投标人相应的法定代表人、负责人、自然人身份证正反面复印件（必须提供）</w:t>
      </w:r>
      <w:bookmarkEnd w:id="227"/>
      <w:bookmarkEnd w:id="228"/>
    </w:p>
    <w:p>
      <w:pPr>
        <w:rPr>
          <w:rFonts w:ascii="宋体" w:hAnsi="宋体" w:cs="宋体"/>
          <w:b/>
          <w:bCs/>
          <w:color w:val="auto"/>
          <w:sz w:val="32"/>
          <w:szCs w:val="32"/>
        </w:rPr>
      </w:pPr>
    </w:p>
    <w:p>
      <w:pPr>
        <w:rPr>
          <w:rFonts w:ascii="宋体" w:hAnsi="宋体" w:cs="宋体"/>
          <w:b/>
          <w:bCs/>
          <w:color w:val="auto"/>
          <w:sz w:val="32"/>
          <w:szCs w:val="32"/>
        </w:rPr>
      </w:pPr>
    </w:p>
    <w:p>
      <w:pPr>
        <w:pStyle w:val="14"/>
        <w:rPr>
          <w:rFonts w:hint="eastAsia" w:ascii="宋体" w:hAnsi="宋体" w:cs="宋体"/>
          <w:b/>
          <w:bCs/>
          <w:color w:val="auto"/>
          <w:sz w:val="32"/>
          <w:szCs w:val="32"/>
          <w:lang w:eastAsia="zh-CN"/>
        </w:rPr>
      </w:pPr>
      <w:bookmarkStart w:id="229" w:name="_Toc11623"/>
      <w:bookmarkStart w:id="230" w:name="_Toc495841789"/>
      <w:r>
        <w:rPr>
          <w:rFonts w:hint="eastAsia" w:ascii="宋体" w:hAnsi="宋体" w:cs="宋体"/>
          <w:b/>
          <w:bCs/>
          <w:color w:val="auto"/>
          <w:sz w:val="32"/>
          <w:szCs w:val="32"/>
        </w:rPr>
        <w:t>2.投标人的授权委托书原件、委托代理人身份证正反面复印件以及由县级以上（含县级）社会养老保险经办机构出具的投标人为委托代理人交纳的开标截止时间前半年内任意连续三个月社保证明复印件</w:t>
      </w:r>
      <w:r>
        <w:rPr>
          <w:rFonts w:hint="eastAsia" w:ascii="宋体" w:hAnsi="宋体" w:cs="宋体"/>
          <w:b/>
          <w:bCs/>
          <w:color w:val="auto"/>
          <w:sz w:val="32"/>
          <w:szCs w:val="32"/>
          <w:lang w:eastAsia="zh-CN"/>
        </w:rPr>
        <w:t>，</w:t>
      </w:r>
      <w:bookmarkEnd w:id="229"/>
      <w:bookmarkEnd w:id="230"/>
      <w:r>
        <w:rPr>
          <w:rFonts w:hint="eastAsia" w:ascii="宋体" w:hAnsi="宋体" w:cs="宋体"/>
          <w:b/>
          <w:bCs/>
          <w:color w:val="auto"/>
          <w:sz w:val="32"/>
          <w:szCs w:val="32"/>
          <w:lang w:eastAsia="zh-CN"/>
        </w:rPr>
        <w:t>除投标人为以下三种情形的：</w:t>
      </w:r>
    </w:p>
    <w:p>
      <w:pPr>
        <w:pStyle w:val="14"/>
        <w:ind w:firstLine="643" w:firstLineChars="200"/>
        <w:rPr>
          <w:rFonts w:hint="eastAsia" w:ascii="宋体" w:hAnsi="宋体" w:cs="宋体"/>
          <w:b/>
          <w:bCs/>
          <w:color w:val="auto"/>
          <w:sz w:val="32"/>
          <w:szCs w:val="32"/>
          <w:lang w:eastAsia="zh-CN"/>
        </w:rPr>
      </w:pPr>
      <w:r>
        <w:rPr>
          <w:rFonts w:hint="eastAsia" w:ascii="宋体" w:hAnsi="宋体" w:cs="宋体"/>
          <w:b/>
          <w:bCs/>
          <w:color w:val="auto"/>
          <w:sz w:val="32"/>
          <w:szCs w:val="32"/>
          <w:lang w:eastAsia="zh-CN"/>
        </w:rPr>
        <w:t>①如投标人为截标时间前60日以内成立的公司，可以提供投标人与委托代理人签订的劳动合同复印件代替社保证明复印件；</w:t>
      </w:r>
    </w:p>
    <w:p>
      <w:pPr>
        <w:pStyle w:val="14"/>
        <w:ind w:firstLine="643" w:firstLineChars="200"/>
        <w:rPr>
          <w:rFonts w:hint="eastAsia" w:ascii="宋体" w:hAnsi="宋体" w:cs="宋体"/>
          <w:b/>
          <w:bCs/>
          <w:color w:val="auto"/>
          <w:sz w:val="32"/>
          <w:szCs w:val="32"/>
          <w:lang w:eastAsia="zh-CN"/>
        </w:rPr>
      </w:pPr>
      <w:r>
        <w:rPr>
          <w:rFonts w:hint="eastAsia" w:ascii="宋体" w:hAnsi="宋体" w:cs="宋体"/>
          <w:b/>
          <w:bCs/>
          <w:color w:val="auto"/>
          <w:sz w:val="32"/>
          <w:szCs w:val="32"/>
          <w:lang w:eastAsia="zh-CN"/>
        </w:rPr>
        <w:t>②如投标人为事业单位，可以提供事业单位机构编制管理证复印件或事业单位机构为其发放工资的工资条复印件代替社保证明复印件；</w:t>
      </w:r>
    </w:p>
    <w:p>
      <w:pPr>
        <w:pStyle w:val="14"/>
        <w:ind w:firstLine="643" w:firstLineChars="200"/>
        <w:rPr>
          <w:rFonts w:hint="eastAsia" w:ascii="宋体" w:hAnsi="宋体" w:cs="宋体"/>
          <w:b/>
          <w:bCs/>
          <w:color w:val="auto"/>
          <w:sz w:val="32"/>
          <w:szCs w:val="32"/>
          <w:lang w:eastAsia="zh-CN"/>
        </w:rPr>
      </w:pPr>
      <w:r>
        <w:rPr>
          <w:rFonts w:hint="eastAsia" w:ascii="宋体" w:hAnsi="宋体" w:cs="宋体"/>
          <w:b/>
          <w:bCs/>
          <w:color w:val="auto"/>
          <w:sz w:val="32"/>
          <w:szCs w:val="32"/>
          <w:lang w:eastAsia="zh-CN"/>
        </w:rPr>
        <w:t>③如委托代理人为免缴纳社保人员，提供免缴纳社保的证明材料复印件及投标人与委托代理人签订的劳动合同复印件代替社保证明复印件。</w:t>
      </w:r>
    </w:p>
    <w:p>
      <w:pPr>
        <w:pStyle w:val="14"/>
        <w:ind w:firstLine="643" w:firstLineChars="200"/>
        <w:rPr>
          <w:rFonts w:ascii="宋体" w:hAnsi="宋体"/>
          <w:color w:val="auto"/>
        </w:rPr>
      </w:pPr>
      <w:r>
        <w:rPr>
          <w:rFonts w:hint="eastAsia" w:ascii="宋体" w:hAnsi="宋体" w:cs="宋体"/>
          <w:b/>
          <w:bCs/>
          <w:color w:val="auto"/>
          <w:sz w:val="32"/>
          <w:szCs w:val="32"/>
          <w:lang w:eastAsia="zh-CN"/>
        </w:rPr>
        <w:t>【属自然人的应提供由县级以上（含县级）社会养老保险经办机构出具的自然人本人及委托代理人所交纳的开标截止时间前半年内任意连续三个月社保证明复印件】（委托代理时必须提供；如为联合体的，授权委托书原件须由牵头人出具）；</w:t>
      </w:r>
    </w:p>
    <w:p>
      <w:pPr>
        <w:pStyle w:val="14"/>
        <w:rPr>
          <w:rFonts w:ascii="宋体" w:hAnsi="宋体"/>
          <w:color w:val="auto"/>
        </w:rPr>
      </w:pPr>
    </w:p>
    <w:p>
      <w:pPr>
        <w:pStyle w:val="14"/>
        <w:rPr>
          <w:rFonts w:ascii="宋体" w:hAnsi="宋体"/>
          <w:color w:val="auto"/>
        </w:rPr>
      </w:pPr>
    </w:p>
    <w:p>
      <w:pPr>
        <w:rPr>
          <w:rFonts w:ascii="宋体" w:hAnsi="宋体"/>
          <w:color w:val="auto"/>
        </w:rPr>
      </w:pPr>
    </w:p>
    <w:p>
      <w:pPr>
        <w:pStyle w:val="4"/>
        <w:rPr>
          <w:rFonts w:ascii="宋体" w:hAnsi="宋体"/>
          <w:color w:val="auto"/>
        </w:rPr>
      </w:pPr>
    </w:p>
    <w:p>
      <w:pPr>
        <w:rPr>
          <w:rFonts w:ascii="宋体" w:hAnsi="宋体"/>
          <w:color w:val="auto"/>
        </w:rPr>
      </w:pPr>
    </w:p>
    <w:p>
      <w:pPr>
        <w:rPr>
          <w:rFonts w:ascii="宋体" w:hAnsi="宋体"/>
          <w:color w:val="auto"/>
        </w:rPr>
      </w:pPr>
    </w:p>
    <w:p>
      <w:pPr>
        <w:pStyle w:val="14"/>
        <w:rPr>
          <w:rFonts w:ascii="宋体" w:hAnsi="宋体"/>
          <w:color w:val="auto"/>
        </w:rPr>
      </w:pPr>
    </w:p>
    <w:p>
      <w:pPr>
        <w:rPr>
          <w:rFonts w:ascii="宋体" w:hAnsi="宋体"/>
          <w:color w:val="auto"/>
        </w:rPr>
      </w:pPr>
    </w:p>
    <w:p>
      <w:pPr>
        <w:pStyle w:val="4"/>
        <w:rPr>
          <w:color w:val="auto"/>
        </w:rPr>
      </w:pPr>
    </w:p>
    <w:p>
      <w:pPr>
        <w:jc w:val="center"/>
        <w:rPr>
          <w:rFonts w:ascii="宋体" w:hAnsi="宋体" w:cs="宋体"/>
          <w:b/>
          <w:color w:val="auto"/>
          <w:sz w:val="32"/>
        </w:rPr>
      </w:pPr>
      <w:r>
        <w:rPr>
          <w:rFonts w:hint="eastAsia" w:ascii="宋体" w:hAnsi="宋体" w:cs="宋体"/>
          <w:b/>
          <w:color w:val="auto"/>
          <w:sz w:val="32"/>
        </w:rPr>
        <w:t>授权委托书（格式一）</w:t>
      </w:r>
    </w:p>
    <w:p>
      <w:pPr>
        <w:snapToGrid w:val="0"/>
        <w:spacing w:line="400" w:lineRule="exact"/>
        <w:rPr>
          <w:rFonts w:ascii="宋体" w:hAnsi="宋体" w:cs="宋体"/>
          <w:color w:val="auto"/>
        </w:rPr>
      </w:pPr>
      <w:r>
        <w:rPr>
          <w:rFonts w:hint="eastAsia" w:ascii="宋体" w:hAnsi="宋体" w:cs="宋体"/>
          <w:b/>
          <w:color w:val="auto"/>
          <w:szCs w:val="21"/>
        </w:rPr>
        <w:t>致</w:t>
      </w:r>
      <w:r>
        <w:rPr>
          <w:rFonts w:hint="eastAsia" w:ascii="宋体" w:hAnsi="宋体" w:cs="宋体"/>
          <w:color w:val="auto"/>
          <w:szCs w:val="21"/>
        </w:rPr>
        <w:t>：</w:t>
      </w:r>
      <w:r>
        <w:rPr>
          <w:rFonts w:hint="eastAsia" w:ascii="宋体" w:hAnsi="宋体" w:cs="宋体"/>
          <w:color w:val="auto"/>
          <w:u w:val="single"/>
        </w:rPr>
        <w:t>桂林市政府集中采购中心</w:t>
      </w:r>
    </w:p>
    <w:p>
      <w:pPr>
        <w:spacing w:line="400" w:lineRule="exact"/>
        <w:ind w:firstLine="525" w:firstLineChars="250"/>
        <w:rPr>
          <w:rFonts w:ascii="宋体" w:hAnsi="宋体" w:cs="宋体"/>
          <w:color w:val="auto"/>
        </w:rPr>
      </w:pPr>
      <w:r>
        <w:rPr>
          <w:rFonts w:hint="eastAsia" w:ascii="宋体" w:hAnsi="宋体" w:cs="宋体"/>
          <w:color w:val="auto"/>
          <w:kern w:val="0"/>
        </w:rPr>
        <w:t>我</w:t>
      </w:r>
      <w:r>
        <w:rPr>
          <w:rFonts w:hint="eastAsia" w:ascii="宋体" w:hAnsi="宋体" w:cs="宋体"/>
          <w:color w:val="auto"/>
          <w:kern w:val="0"/>
          <w:u w:val="single"/>
        </w:rPr>
        <w:t xml:space="preserve">              </w:t>
      </w:r>
      <w:r>
        <w:rPr>
          <w:rFonts w:hint="eastAsia" w:ascii="宋体" w:hAnsi="宋体" w:cs="宋体"/>
          <w:color w:val="auto"/>
          <w:kern w:val="0"/>
        </w:rPr>
        <w:t>（姓名）系</w:t>
      </w:r>
      <w:r>
        <w:rPr>
          <w:rFonts w:hint="eastAsia" w:ascii="宋体" w:hAnsi="宋体" w:cs="宋体"/>
          <w:color w:val="auto"/>
          <w:kern w:val="0"/>
          <w:u w:val="single"/>
        </w:rPr>
        <w:t xml:space="preserve">                           </w:t>
      </w:r>
      <w:r>
        <w:rPr>
          <w:rFonts w:hint="eastAsia" w:ascii="宋体" w:hAnsi="宋体" w:cs="宋体"/>
          <w:color w:val="auto"/>
          <w:kern w:val="0"/>
        </w:rPr>
        <w:t>（投标人名称）的法定代表人（负责人），现授权委托本单位在职职工</w:t>
      </w:r>
      <w:r>
        <w:rPr>
          <w:rFonts w:hint="eastAsia" w:ascii="宋体" w:hAnsi="宋体" w:cs="宋体"/>
          <w:color w:val="auto"/>
          <w:kern w:val="0"/>
          <w:u w:val="single"/>
        </w:rPr>
        <w:t xml:space="preserve">          </w:t>
      </w:r>
      <w:r>
        <w:rPr>
          <w:rFonts w:hint="eastAsia" w:ascii="宋体" w:hAnsi="宋体" w:cs="宋体"/>
          <w:color w:val="auto"/>
          <w:kern w:val="0"/>
        </w:rPr>
        <w:t>（姓名），身份证号码：</w:t>
      </w:r>
      <w:r>
        <w:rPr>
          <w:rFonts w:hint="eastAsia" w:ascii="宋体" w:hAnsi="宋体" w:cs="宋体"/>
          <w:color w:val="auto"/>
          <w:kern w:val="0"/>
          <w:u w:val="single"/>
        </w:rPr>
        <w:t xml:space="preserve">                      </w:t>
      </w:r>
      <w:r>
        <w:rPr>
          <w:rFonts w:hint="eastAsia" w:ascii="宋体" w:hAnsi="宋体" w:cs="宋体"/>
          <w:color w:val="auto"/>
          <w:kern w:val="0"/>
        </w:rPr>
        <w:t>以我公司名义参加</w:t>
      </w:r>
      <w:r>
        <w:rPr>
          <w:rFonts w:hint="eastAsia" w:ascii="宋体" w:hAnsi="宋体" w:cs="宋体"/>
          <w:color w:val="auto"/>
          <w:kern w:val="0"/>
          <w:u w:val="single"/>
        </w:rPr>
        <w:t xml:space="preserve">   </w:t>
      </w:r>
      <w:r>
        <w:rPr>
          <w:rFonts w:hint="eastAsia" w:ascii="宋体" w:hAnsi="宋体" w:cs="宋体"/>
          <w:color w:val="auto"/>
          <w:u w:val="single"/>
        </w:rPr>
        <w:t xml:space="preserve">（项目名称及项目编号）    </w:t>
      </w:r>
      <w:r>
        <w:rPr>
          <w:rFonts w:hint="eastAsia" w:ascii="宋体" w:hAnsi="宋体" w:cs="宋体"/>
          <w:color w:val="auto"/>
        </w:rPr>
        <w:t>项目的投标活动，并代表我方全权办理针对上述项目的投标、开标、评标、签约等具体事务和签署相关文件。</w:t>
      </w:r>
    </w:p>
    <w:p>
      <w:pPr>
        <w:spacing w:line="400" w:lineRule="exact"/>
        <w:ind w:firstLine="420" w:firstLineChars="200"/>
        <w:rPr>
          <w:rFonts w:ascii="宋体" w:hAnsi="宋体" w:cs="宋体"/>
          <w:color w:val="auto"/>
        </w:rPr>
      </w:pPr>
      <w:r>
        <w:rPr>
          <w:rFonts w:hint="eastAsia" w:ascii="宋体" w:hAnsi="宋体" w:cs="宋体"/>
          <w:color w:val="auto"/>
        </w:rPr>
        <w:t>我方对被授权人的签字事项负全部责任。</w:t>
      </w:r>
    </w:p>
    <w:p>
      <w:pPr>
        <w:spacing w:line="400" w:lineRule="exact"/>
        <w:ind w:firstLine="420" w:firstLineChars="200"/>
        <w:rPr>
          <w:rFonts w:ascii="宋体" w:hAnsi="宋体" w:cs="宋体"/>
          <w:color w:val="auto"/>
          <w:u w:val="single"/>
        </w:rPr>
      </w:pPr>
      <w:r>
        <w:rPr>
          <w:rFonts w:hint="eastAsia" w:ascii="宋体" w:hAnsi="宋体" w:cs="宋体"/>
          <w:color w:val="auto"/>
        </w:rPr>
        <w:t>授权委托代理期限：自即日起至该项目政府采购活动结束。</w:t>
      </w:r>
    </w:p>
    <w:p>
      <w:pPr>
        <w:spacing w:line="400" w:lineRule="exact"/>
        <w:rPr>
          <w:rFonts w:ascii="宋体" w:hAnsi="宋体" w:cs="宋体"/>
          <w:color w:val="auto"/>
          <w:u w:val="single"/>
        </w:rPr>
      </w:pPr>
      <w:r>
        <w:rPr>
          <w:rFonts w:hint="eastAsia" w:ascii="宋体" w:hAnsi="宋体" w:cs="宋体"/>
          <w:color w:val="auto"/>
        </w:rPr>
        <w:t xml:space="preserve">                                                                                             </w:t>
      </w:r>
    </w:p>
    <w:p>
      <w:pPr>
        <w:spacing w:line="400" w:lineRule="exact"/>
        <w:ind w:firstLine="420" w:firstLineChars="200"/>
        <w:rPr>
          <w:rFonts w:ascii="宋体" w:hAnsi="宋体" w:cs="宋体"/>
          <w:color w:val="auto"/>
          <w:kern w:val="0"/>
        </w:rPr>
      </w:pPr>
      <w:r>
        <w:rPr>
          <w:rFonts w:hint="eastAsia" w:ascii="宋体" w:hAnsi="宋体" w:cs="宋体"/>
          <w:color w:val="auto"/>
          <w:kern w:val="0"/>
        </w:rPr>
        <w:t xml:space="preserve">代理人无转委托权,特此委托。 </w:t>
      </w:r>
    </w:p>
    <w:p>
      <w:pPr>
        <w:snapToGrid w:val="0"/>
        <w:spacing w:line="400" w:lineRule="exact"/>
        <w:ind w:firstLine="525"/>
        <w:rPr>
          <w:rFonts w:ascii="宋体" w:hAnsi="宋体" w:cs="宋体"/>
          <w:color w:val="auto"/>
          <w:szCs w:val="21"/>
        </w:rPr>
      </w:pPr>
    </w:p>
    <w:p>
      <w:pPr>
        <w:snapToGrid w:val="0"/>
        <w:spacing w:line="400" w:lineRule="exact"/>
        <w:ind w:firstLine="420"/>
        <w:rPr>
          <w:rFonts w:ascii="宋体" w:hAnsi="宋体" w:cs="宋体"/>
          <w:color w:val="auto"/>
          <w:szCs w:val="21"/>
        </w:rPr>
      </w:pPr>
      <w:r>
        <w:rPr>
          <w:rFonts w:hint="eastAsia" w:ascii="宋体" w:hAnsi="宋体" w:cs="宋体"/>
          <w:color w:val="auto"/>
          <w:szCs w:val="21"/>
        </w:rPr>
        <w:t>我已在下面签字，以资证明。</w:t>
      </w:r>
    </w:p>
    <w:p>
      <w:pPr>
        <w:snapToGrid w:val="0"/>
        <w:spacing w:line="400" w:lineRule="exact"/>
        <w:ind w:firstLine="420"/>
        <w:rPr>
          <w:rFonts w:ascii="宋体" w:hAnsi="宋体" w:cs="宋体"/>
          <w:color w:val="auto"/>
          <w:szCs w:val="21"/>
        </w:rPr>
      </w:pPr>
    </w:p>
    <w:p>
      <w:pPr>
        <w:snapToGrid w:val="0"/>
        <w:spacing w:line="400" w:lineRule="exact"/>
        <w:ind w:firstLine="420"/>
        <w:rPr>
          <w:rFonts w:ascii="宋体" w:hAnsi="宋体" w:cs="宋体"/>
          <w:color w:val="auto"/>
          <w:szCs w:val="21"/>
          <w:u w:val="single"/>
        </w:rPr>
      </w:pPr>
      <w:r>
        <w:rPr>
          <w:rFonts w:hint="eastAsia" w:ascii="宋体" w:hAnsi="宋体" w:cs="宋体"/>
          <w:color w:val="auto"/>
          <w:szCs w:val="21"/>
        </w:rPr>
        <w:t>投标人（公章）：</w:t>
      </w:r>
      <w:r>
        <w:rPr>
          <w:rFonts w:hint="eastAsia" w:ascii="宋体" w:hAnsi="宋体" w:cs="宋体"/>
          <w:color w:val="auto"/>
          <w:szCs w:val="21"/>
          <w:u w:val="single"/>
        </w:rPr>
        <w:t xml:space="preserve">                                   </w:t>
      </w:r>
    </w:p>
    <w:p>
      <w:pPr>
        <w:snapToGrid w:val="0"/>
        <w:spacing w:line="400" w:lineRule="exact"/>
        <w:ind w:firstLine="420"/>
        <w:rPr>
          <w:rFonts w:ascii="宋体" w:hAnsi="宋体" w:cs="宋体"/>
          <w:color w:val="auto"/>
          <w:szCs w:val="21"/>
        </w:rPr>
      </w:pPr>
    </w:p>
    <w:p>
      <w:pPr>
        <w:snapToGrid w:val="0"/>
        <w:spacing w:line="400" w:lineRule="exact"/>
        <w:ind w:firstLine="420"/>
        <w:rPr>
          <w:rFonts w:ascii="宋体" w:hAnsi="宋体" w:cs="宋体"/>
          <w:color w:val="auto"/>
          <w:szCs w:val="21"/>
        </w:rPr>
      </w:pPr>
      <w:r>
        <w:rPr>
          <w:rFonts w:hint="eastAsia" w:ascii="宋体" w:hAnsi="宋体" w:cs="宋体"/>
          <w:color w:val="auto"/>
          <w:szCs w:val="21"/>
        </w:rPr>
        <w:t>法定代表人（负责人）签字（或盖章）：</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snapToGrid w:val="0"/>
        <w:spacing w:line="400" w:lineRule="exact"/>
        <w:ind w:firstLine="420"/>
        <w:rPr>
          <w:rFonts w:ascii="宋体" w:hAnsi="宋体" w:cs="宋体"/>
          <w:color w:val="auto"/>
          <w:szCs w:val="21"/>
        </w:rPr>
      </w:pPr>
    </w:p>
    <w:p>
      <w:pPr>
        <w:spacing w:line="400" w:lineRule="exact"/>
        <w:ind w:firstLine="602" w:firstLineChars="250"/>
        <w:rPr>
          <w:rFonts w:ascii="宋体" w:hAnsi="宋体" w:cs="宋体"/>
          <w:b/>
          <w:color w:val="auto"/>
          <w:sz w:val="24"/>
        </w:rPr>
      </w:pPr>
      <w:r>
        <w:rPr>
          <w:rFonts w:hint="eastAsia" w:ascii="宋体" w:hAnsi="宋体" w:cs="宋体"/>
          <w:b/>
          <w:color w:val="auto"/>
          <w:sz w:val="24"/>
        </w:rPr>
        <w:t>附：投标人的授权委托书原件、委托代理人身份证正反面复印件以及由县级以上（含县级）社会养老保险经办机构出具的投标人为委托代理人交纳的开标截止时间前半年内任意连续三个月社保证明复印件（如如投标人为截标时间前60日以内成立的公司，可以提供投标人与委托代理人签订的劳动合同复印件代替社保证明复印件；如投标人为事业单位，可以提供事业单位机构编制管理证复印件或事业单位机构为其发放工资的工资条复印件代替社保证明复印件；如委托代理人为免缴纳社保人员，提供免缴纳社保的证明材料复印件及投标人与委托代理人签订的劳动合同复印件代替社保证明复印件））（委托代理时必须提供）。</w:t>
      </w:r>
    </w:p>
    <w:p>
      <w:pPr>
        <w:pStyle w:val="17"/>
        <w:jc w:val="center"/>
        <w:rPr>
          <w:rFonts w:hAnsi="宋体" w:cs="宋体"/>
          <w:b/>
          <w:color w:val="auto"/>
          <w:sz w:val="32"/>
        </w:rPr>
      </w:pPr>
    </w:p>
    <w:p>
      <w:pPr>
        <w:pStyle w:val="17"/>
        <w:jc w:val="center"/>
        <w:rPr>
          <w:rFonts w:hAnsi="宋体" w:cs="宋体"/>
          <w:b/>
          <w:color w:val="auto"/>
          <w:sz w:val="32"/>
        </w:rPr>
      </w:pPr>
    </w:p>
    <w:p>
      <w:pPr>
        <w:pStyle w:val="17"/>
        <w:jc w:val="center"/>
        <w:rPr>
          <w:rFonts w:hAnsi="宋体" w:cs="宋体"/>
          <w:b/>
          <w:color w:val="auto"/>
          <w:sz w:val="32"/>
        </w:rPr>
      </w:pPr>
    </w:p>
    <w:p>
      <w:pPr>
        <w:pStyle w:val="17"/>
        <w:jc w:val="center"/>
        <w:rPr>
          <w:rFonts w:hAnsi="宋体" w:cs="宋体"/>
          <w:b/>
          <w:color w:val="auto"/>
          <w:sz w:val="32"/>
        </w:rPr>
      </w:pPr>
    </w:p>
    <w:p>
      <w:pPr>
        <w:pStyle w:val="17"/>
        <w:jc w:val="center"/>
        <w:rPr>
          <w:rFonts w:hAnsi="宋体" w:cs="宋体"/>
          <w:b/>
          <w:color w:val="auto"/>
          <w:sz w:val="32"/>
        </w:rPr>
      </w:pPr>
    </w:p>
    <w:p>
      <w:pPr>
        <w:pStyle w:val="17"/>
        <w:jc w:val="center"/>
        <w:rPr>
          <w:rFonts w:hAnsi="宋体" w:cs="宋体"/>
          <w:b/>
          <w:color w:val="auto"/>
          <w:sz w:val="32"/>
        </w:rPr>
      </w:pPr>
    </w:p>
    <w:p>
      <w:pPr>
        <w:pStyle w:val="17"/>
        <w:jc w:val="center"/>
        <w:rPr>
          <w:rFonts w:hAnsi="宋体" w:cs="宋体"/>
          <w:b/>
          <w:color w:val="auto"/>
          <w:sz w:val="32"/>
        </w:rPr>
      </w:pPr>
      <w:r>
        <w:rPr>
          <w:rFonts w:hint="eastAsia" w:hAnsi="宋体" w:cs="宋体"/>
          <w:b/>
          <w:color w:val="auto"/>
          <w:sz w:val="32"/>
        </w:rPr>
        <w:t>授权委托书（格式二）</w:t>
      </w:r>
    </w:p>
    <w:p>
      <w:pPr>
        <w:snapToGrid w:val="0"/>
        <w:spacing w:line="400" w:lineRule="exact"/>
        <w:rPr>
          <w:rFonts w:ascii="宋体" w:hAnsi="宋体" w:cs="宋体"/>
          <w:color w:val="auto"/>
        </w:rPr>
      </w:pPr>
      <w:r>
        <w:rPr>
          <w:rFonts w:hint="eastAsia" w:ascii="宋体" w:hAnsi="宋体" w:cs="宋体"/>
          <w:b/>
          <w:color w:val="auto"/>
          <w:szCs w:val="21"/>
        </w:rPr>
        <w:t>致</w:t>
      </w:r>
      <w:r>
        <w:rPr>
          <w:rFonts w:hint="eastAsia" w:ascii="宋体" w:hAnsi="宋体" w:cs="宋体"/>
          <w:color w:val="auto"/>
          <w:szCs w:val="21"/>
        </w:rPr>
        <w:t>：</w:t>
      </w:r>
      <w:r>
        <w:rPr>
          <w:rFonts w:hint="eastAsia" w:ascii="宋体" w:hAnsi="宋体" w:cs="宋体"/>
          <w:color w:val="auto"/>
          <w:u w:val="single"/>
        </w:rPr>
        <w:t>桂林市政府集中采购中心</w:t>
      </w:r>
    </w:p>
    <w:p>
      <w:pPr>
        <w:snapToGrid w:val="0"/>
        <w:spacing w:line="400" w:lineRule="exact"/>
        <w:rPr>
          <w:rFonts w:ascii="宋体" w:hAnsi="宋体" w:cs="宋体"/>
          <w:color w:val="auto"/>
          <w:szCs w:val="21"/>
          <w:u w:val="single"/>
        </w:rPr>
      </w:pPr>
    </w:p>
    <w:p>
      <w:pPr>
        <w:pStyle w:val="17"/>
        <w:spacing w:line="340" w:lineRule="exact"/>
        <w:ind w:firstLine="420" w:firstLineChars="200"/>
        <w:rPr>
          <w:rFonts w:hAnsi="宋体" w:cs="宋体"/>
          <w:color w:val="auto"/>
        </w:rPr>
      </w:pPr>
      <w:r>
        <w:rPr>
          <w:rFonts w:hint="eastAsia" w:hAnsi="宋体" w:cs="宋体"/>
          <w:color w:val="auto"/>
          <w:kern w:val="0"/>
        </w:rPr>
        <w:t>我</w:t>
      </w:r>
      <w:r>
        <w:rPr>
          <w:rFonts w:hint="eastAsia" w:hAnsi="宋体" w:cs="宋体"/>
          <w:color w:val="auto"/>
          <w:kern w:val="0"/>
          <w:u w:val="single"/>
        </w:rPr>
        <w:t xml:space="preserve">              </w:t>
      </w:r>
      <w:r>
        <w:rPr>
          <w:rFonts w:hint="eastAsia" w:hAnsi="宋体" w:cs="宋体"/>
          <w:color w:val="auto"/>
          <w:kern w:val="0"/>
        </w:rPr>
        <w:t>（姓名）系自然人，现授权委托</w:t>
      </w:r>
      <w:r>
        <w:rPr>
          <w:rFonts w:hint="eastAsia" w:hAnsi="宋体" w:cs="宋体"/>
          <w:color w:val="auto"/>
          <w:kern w:val="0"/>
          <w:u w:val="single"/>
        </w:rPr>
        <w:t xml:space="preserve">            </w:t>
      </w:r>
      <w:r>
        <w:rPr>
          <w:rFonts w:hint="eastAsia" w:hAnsi="宋体" w:cs="宋体"/>
          <w:color w:val="auto"/>
          <w:kern w:val="0"/>
        </w:rPr>
        <w:t>（姓 名），身份证号码：</w:t>
      </w:r>
      <w:r>
        <w:rPr>
          <w:rFonts w:hint="eastAsia" w:hAnsi="宋体" w:cs="宋体"/>
          <w:color w:val="auto"/>
          <w:kern w:val="0"/>
          <w:u w:val="single"/>
        </w:rPr>
        <w:t xml:space="preserve">              </w:t>
      </w:r>
      <w:r>
        <w:rPr>
          <w:rFonts w:hint="eastAsia" w:hAnsi="宋体" w:cs="宋体"/>
          <w:color w:val="auto"/>
          <w:kern w:val="0"/>
        </w:rPr>
        <w:t>以本人名义参加</w:t>
      </w:r>
      <w:r>
        <w:rPr>
          <w:rFonts w:hint="eastAsia" w:hAnsi="宋体" w:cs="宋体"/>
          <w:color w:val="auto"/>
          <w:kern w:val="0"/>
          <w:u w:val="single"/>
        </w:rPr>
        <w:t xml:space="preserve">      </w:t>
      </w:r>
      <w:r>
        <w:rPr>
          <w:rFonts w:hint="eastAsia" w:hAnsi="宋体" w:cs="宋体"/>
          <w:color w:val="auto"/>
          <w:u w:val="single"/>
        </w:rPr>
        <w:t xml:space="preserve">（项目名称及项目编号）        </w:t>
      </w:r>
      <w:r>
        <w:rPr>
          <w:rFonts w:hint="eastAsia" w:hAnsi="宋体" w:cs="宋体"/>
          <w:color w:val="auto"/>
        </w:rPr>
        <w:t>项目的投标活动，并代表本人全权办理针对上述项目的投标、开标、评标、签约等具体事务和签署相关文件。</w:t>
      </w:r>
    </w:p>
    <w:p>
      <w:pPr>
        <w:pStyle w:val="17"/>
        <w:spacing w:line="340" w:lineRule="exact"/>
        <w:ind w:firstLine="420" w:firstLineChars="200"/>
        <w:rPr>
          <w:rFonts w:hAnsi="宋体" w:cs="宋体"/>
          <w:color w:val="auto"/>
        </w:rPr>
      </w:pPr>
      <w:r>
        <w:rPr>
          <w:rFonts w:hint="eastAsia" w:hAnsi="宋体" w:cs="宋体"/>
          <w:color w:val="auto"/>
        </w:rPr>
        <w:t>本人对被授权人的签字事项负全部责任。</w:t>
      </w:r>
    </w:p>
    <w:p>
      <w:pPr>
        <w:pStyle w:val="17"/>
        <w:spacing w:line="400" w:lineRule="exact"/>
        <w:ind w:firstLine="420" w:firstLineChars="200"/>
        <w:rPr>
          <w:rFonts w:hAnsi="宋体" w:cs="宋体"/>
          <w:color w:val="auto"/>
          <w:u w:val="single"/>
        </w:rPr>
      </w:pPr>
      <w:r>
        <w:rPr>
          <w:rFonts w:hint="eastAsia" w:hAnsi="宋体" w:cs="宋体"/>
          <w:color w:val="auto"/>
        </w:rPr>
        <w:t>授权委托代理期限：自即日起至该项目政府采购活动结束。</w:t>
      </w:r>
    </w:p>
    <w:p>
      <w:pPr>
        <w:pStyle w:val="17"/>
        <w:spacing w:line="340" w:lineRule="exact"/>
        <w:ind w:firstLine="420" w:firstLineChars="200"/>
        <w:rPr>
          <w:rFonts w:hAnsi="宋体" w:cs="宋体"/>
          <w:color w:val="auto"/>
          <w:u w:val="single"/>
        </w:rPr>
      </w:pPr>
    </w:p>
    <w:p>
      <w:pPr>
        <w:pStyle w:val="17"/>
        <w:spacing w:line="340" w:lineRule="exact"/>
        <w:rPr>
          <w:rFonts w:hAnsi="宋体" w:cs="宋体"/>
          <w:color w:val="auto"/>
          <w:u w:val="single"/>
        </w:rPr>
      </w:pPr>
      <w:r>
        <w:rPr>
          <w:rFonts w:hint="eastAsia" w:hAnsi="宋体" w:cs="宋体"/>
          <w:color w:val="auto"/>
        </w:rPr>
        <w:t xml:space="preserve">                                                                                             </w:t>
      </w:r>
    </w:p>
    <w:p>
      <w:pPr>
        <w:spacing w:line="340" w:lineRule="exact"/>
        <w:ind w:firstLine="420" w:firstLineChars="200"/>
        <w:rPr>
          <w:rFonts w:ascii="宋体" w:hAnsi="宋体" w:cs="宋体"/>
          <w:color w:val="auto"/>
          <w:kern w:val="0"/>
        </w:rPr>
      </w:pPr>
      <w:r>
        <w:rPr>
          <w:rFonts w:hint="eastAsia" w:ascii="宋体" w:hAnsi="宋体" w:cs="宋体"/>
          <w:color w:val="auto"/>
          <w:kern w:val="0"/>
        </w:rPr>
        <w:t xml:space="preserve">代理人无转委托权,特此委托。 </w:t>
      </w:r>
    </w:p>
    <w:p>
      <w:pPr>
        <w:snapToGrid w:val="0"/>
        <w:spacing w:line="340" w:lineRule="exact"/>
        <w:ind w:firstLine="525"/>
        <w:rPr>
          <w:rFonts w:ascii="宋体" w:hAnsi="宋体" w:cs="宋体"/>
          <w:color w:val="auto"/>
          <w:szCs w:val="21"/>
        </w:rPr>
      </w:pPr>
    </w:p>
    <w:p>
      <w:pPr>
        <w:snapToGrid w:val="0"/>
        <w:spacing w:line="340" w:lineRule="exact"/>
        <w:ind w:firstLine="420"/>
        <w:rPr>
          <w:rFonts w:ascii="宋体" w:hAnsi="宋体" w:cs="宋体"/>
          <w:color w:val="auto"/>
          <w:szCs w:val="21"/>
        </w:rPr>
      </w:pPr>
      <w:r>
        <w:rPr>
          <w:rFonts w:hint="eastAsia" w:ascii="宋体" w:hAnsi="宋体" w:cs="宋体"/>
          <w:color w:val="auto"/>
          <w:szCs w:val="21"/>
        </w:rPr>
        <w:t>我已在下面签字，以资证明。</w:t>
      </w:r>
    </w:p>
    <w:p>
      <w:pPr>
        <w:snapToGrid w:val="0"/>
        <w:spacing w:line="340" w:lineRule="exact"/>
        <w:ind w:firstLine="420"/>
        <w:rPr>
          <w:rFonts w:ascii="宋体" w:hAnsi="宋体" w:cs="宋体"/>
          <w:color w:val="auto"/>
          <w:szCs w:val="21"/>
        </w:rPr>
      </w:pPr>
    </w:p>
    <w:p>
      <w:pPr>
        <w:snapToGrid w:val="0"/>
        <w:spacing w:line="340" w:lineRule="exact"/>
        <w:ind w:firstLine="420"/>
        <w:rPr>
          <w:rFonts w:ascii="宋体" w:hAnsi="宋体" w:cs="宋体"/>
          <w:color w:val="auto"/>
          <w:szCs w:val="21"/>
        </w:rPr>
      </w:pPr>
      <w:r>
        <w:rPr>
          <w:rFonts w:hint="eastAsia" w:ascii="宋体" w:hAnsi="宋体" w:cs="宋体"/>
          <w:color w:val="auto"/>
          <w:szCs w:val="21"/>
        </w:rPr>
        <w:t>自然人签字并在签名处加盖大拇指指印：</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snapToGrid w:val="0"/>
        <w:spacing w:line="340" w:lineRule="exact"/>
        <w:ind w:firstLine="420"/>
        <w:rPr>
          <w:rFonts w:ascii="宋体" w:hAnsi="宋体" w:cs="宋体"/>
          <w:color w:val="auto"/>
          <w:szCs w:val="21"/>
        </w:rPr>
      </w:pPr>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bookmarkStart w:id="231" w:name="_Toc495841790"/>
      <w:bookmarkStart w:id="232" w:name="_Toc12280"/>
      <w:r>
        <w:rPr>
          <w:rFonts w:hint="eastAsia" w:ascii="宋体" w:hAnsi="宋体" w:cs="宋体"/>
          <w:b/>
          <w:bCs/>
          <w:color w:val="auto"/>
          <w:sz w:val="32"/>
          <w:szCs w:val="32"/>
        </w:rPr>
        <w:t>3.投标人的法人或者其他组织营业执照等证明文件复印件（必须提供，自然人除外）</w:t>
      </w:r>
      <w:bookmarkEnd w:id="231"/>
      <w:bookmarkEnd w:id="232"/>
    </w:p>
    <w:p>
      <w:pPr>
        <w:tabs>
          <w:tab w:val="left" w:pos="1305"/>
        </w:tabs>
        <w:spacing w:line="400" w:lineRule="exact"/>
        <w:rPr>
          <w:rFonts w:ascii="宋体" w:hAnsi="宋体" w:cs="宋体"/>
          <w:b/>
          <w:color w:val="auto"/>
          <w:szCs w:val="21"/>
        </w:rPr>
      </w:pPr>
      <w:r>
        <w:rPr>
          <w:rFonts w:hint="eastAsia" w:ascii="宋体" w:hAnsi="宋体" w:cs="宋体"/>
          <w:b/>
          <w:color w:val="auto"/>
          <w:szCs w:val="21"/>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spacing w:line="400" w:lineRule="exact"/>
        <w:ind w:left="420" w:leftChars="200" w:firstLine="157" w:firstLineChars="49"/>
        <w:rPr>
          <w:rFonts w:ascii="宋体" w:hAnsi="宋体" w:cs="宋体"/>
          <w:b/>
          <w:color w:val="auto"/>
          <w:sz w:val="32"/>
          <w:szCs w:val="32"/>
        </w:rPr>
      </w:pPr>
    </w:p>
    <w:p>
      <w:pPr>
        <w:spacing w:line="400" w:lineRule="exact"/>
        <w:ind w:left="420" w:leftChars="200" w:firstLine="157" w:firstLineChars="49"/>
        <w:rPr>
          <w:rFonts w:ascii="宋体" w:hAnsi="宋体" w:cs="宋体"/>
          <w:b/>
          <w:color w:val="auto"/>
          <w:sz w:val="32"/>
          <w:szCs w:val="32"/>
        </w:rPr>
      </w:pPr>
    </w:p>
    <w:p>
      <w:pPr>
        <w:pStyle w:val="74"/>
        <w:rPr>
          <w:rFonts w:ascii="宋体" w:hAnsi="宋体" w:cs="宋体"/>
          <w:color w:val="auto"/>
        </w:rPr>
      </w:pPr>
    </w:p>
    <w:p>
      <w:pPr>
        <w:rPr>
          <w:rFonts w:ascii="宋体" w:hAnsi="宋体" w:cs="宋体"/>
          <w:color w:val="auto"/>
        </w:rPr>
      </w:pPr>
    </w:p>
    <w:p>
      <w:pPr>
        <w:rPr>
          <w:rFonts w:ascii="宋体" w:hAnsi="宋体" w:cs="宋体"/>
          <w:b/>
          <w:bCs/>
          <w:color w:val="auto"/>
          <w:sz w:val="32"/>
          <w:szCs w:val="32"/>
        </w:rPr>
      </w:pPr>
      <w:r>
        <w:rPr>
          <w:rFonts w:hint="eastAsia" w:ascii="宋体" w:hAnsi="宋体" w:cs="宋体"/>
          <w:b/>
          <w:bCs/>
          <w:color w:val="auto"/>
          <w:sz w:val="32"/>
          <w:szCs w:val="32"/>
        </w:rPr>
        <w:t>4.投标人近三年中任一年度经第三方审计的财务状况报告复印件（或银行出具的资信证明或财政部门认可的政府采购专业担保机构出具的投标担保函）（必须提供）；</w:t>
      </w:r>
    </w:p>
    <w:p>
      <w:pPr>
        <w:pStyle w:val="17"/>
        <w:jc w:val="center"/>
        <w:rPr>
          <w:rFonts w:hAnsi="宋体" w:cs="宋体"/>
          <w:b/>
          <w:color w:val="auto"/>
          <w:sz w:val="32"/>
        </w:rPr>
      </w:pPr>
    </w:p>
    <w:p>
      <w:pPr>
        <w:rPr>
          <w:rFonts w:ascii="宋体" w:hAnsi="宋体" w:cs="宋体"/>
          <w:b/>
          <w:bCs/>
          <w:color w:val="auto"/>
          <w:sz w:val="32"/>
          <w:szCs w:val="32"/>
        </w:rPr>
      </w:pPr>
      <w:bookmarkStart w:id="233" w:name="_Toc495841793"/>
      <w:bookmarkStart w:id="234" w:name="_Toc26950"/>
      <w:r>
        <w:rPr>
          <w:rFonts w:hint="eastAsia" w:ascii="宋体" w:hAnsi="宋体" w:cs="宋体"/>
          <w:b/>
          <w:bCs/>
          <w:color w:val="auto"/>
          <w:sz w:val="32"/>
          <w:szCs w:val="32"/>
        </w:rPr>
        <w:t>5.投标人参加政府采购活动前3年内在经营活动中没有重大违法记录及有关信用信息的书面声明（必须提供）</w:t>
      </w:r>
      <w:bookmarkEnd w:id="233"/>
      <w:bookmarkEnd w:id="234"/>
    </w:p>
    <w:p>
      <w:pPr>
        <w:pStyle w:val="46"/>
        <w:ind w:firstLine="643"/>
        <w:rPr>
          <w:rFonts w:ascii="宋体" w:hAnsi="宋体" w:cs="宋体"/>
          <w:b/>
          <w:bCs/>
          <w:color w:val="auto"/>
          <w:sz w:val="32"/>
          <w:szCs w:val="32"/>
        </w:rPr>
      </w:pPr>
    </w:p>
    <w:p>
      <w:pPr>
        <w:pStyle w:val="46"/>
        <w:ind w:firstLine="643"/>
        <w:rPr>
          <w:rFonts w:ascii="宋体" w:hAnsi="宋体" w:cs="宋体"/>
          <w:b/>
          <w:bCs/>
          <w:color w:val="auto"/>
          <w:sz w:val="32"/>
          <w:szCs w:val="32"/>
        </w:rPr>
      </w:pPr>
    </w:p>
    <w:p>
      <w:pPr>
        <w:spacing w:line="400" w:lineRule="exact"/>
        <w:jc w:val="center"/>
        <w:rPr>
          <w:rFonts w:ascii="宋体" w:hAnsi="宋体" w:cs="宋体"/>
          <w:b/>
          <w:color w:val="auto"/>
          <w:sz w:val="32"/>
          <w:szCs w:val="32"/>
        </w:rPr>
      </w:pPr>
      <w:r>
        <w:rPr>
          <w:rFonts w:hint="eastAsia" w:ascii="宋体" w:hAnsi="宋体" w:cs="宋体"/>
          <w:b/>
          <w:color w:val="auto"/>
          <w:sz w:val="32"/>
          <w:szCs w:val="32"/>
        </w:rPr>
        <w:t>声   明</w:t>
      </w:r>
    </w:p>
    <w:p>
      <w:pPr>
        <w:snapToGrid w:val="0"/>
        <w:spacing w:line="400" w:lineRule="exact"/>
        <w:rPr>
          <w:rFonts w:ascii="宋体" w:hAnsi="宋体" w:cs="宋体"/>
          <w:color w:val="auto"/>
        </w:rPr>
      </w:pPr>
      <w:r>
        <w:rPr>
          <w:rFonts w:hint="eastAsia" w:ascii="宋体" w:hAnsi="宋体" w:cs="宋体"/>
          <w:b/>
          <w:color w:val="auto"/>
          <w:szCs w:val="21"/>
        </w:rPr>
        <w:t>致</w:t>
      </w:r>
      <w:r>
        <w:rPr>
          <w:rFonts w:hint="eastAsia" w:ascii="宋体" w:hAnsi="宋体" w:cs="宋体"/>
          <w:color w:val="auto"/>
          <w:szCs w:val="21"/>
        </w:rPr>
        <w:t>：</w:t>
      </w:r>
      <w:r>
        <w:rPr>
          <w:rFonts w:hint="eastAsia" w:ascii="宋体" w:hAnsi="宋体" w:cs="宋体"/>
          <w:color w:val="auto"/>
          <w:u w:val="single"/>
        </w:rPr>
        <w:t>桂林市政府集中采购中心</w:t>
      </w:r>
    </w:p>
    <w:p>
      <w:pPr>
        <w:snapToGrid w:val="0"/>
        <w:spacing w:line="400" w:lineRule="exact"/>
        <w:rPr>
          <w:rFonts w:ascii="宋体" w:hAnsi="宋体" w:cs="宋体"/>
          <w:color w:val="auto"/>
          <w:szCs w:val="21"/>
          <w:u w:val="single"/>
        </w:rPr>
      </w:pPr>
    </w:p>
    <w:p>
      <w:pPr>
        <w:pStyle w:val="17"/>
        <w:spacing w:line="380" w:lineRule="exact"/>
        <w:ind w:firstLine="420" w:firstLineChars="200"/>
        <w:rPr>
          <w:rFonts w:hAnsi="宋体" w:cs="宋体"/>
          <w:color w:val="auto"/>
        </w:rPr>
      </w:pPr>
      <w:r>
        <w:rPr>
          <w:rFonts w:hint="eastAsia" w:hAnsi="宋体" w:cs="宋体"/>
          <w:color w:val="auto"/>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napToGrid w:val="0"/>
        <w:spacing w:line="400" w:lineRule="exact"/>
        <w:ind w:firstLine="4515" w:firstLineChars="2150"/>
        <w:rPr>
          <w:rFonts w:ascii="宋体" w:hAnsi="宋体" w:cs="宋体"/>
          <w:color w:val="auto"/>
          <w:szCs w:val="21"/>
        </w:rPr>
      </w:pPr>
    </w:p>
    <w:p>
      <w:pPr>
        <w:snapToGrid w:val="0"/>
        <w:spacing w:line="400" w:lineRule="exact"/>
        <w:ind w:firstLine="1890" w:firstLineChars="900"/>
        <w:rPr>
          <w:rFonts w:ascii="宋体" w:hAnsi="宋体" w:cs="宋体"/>
          <w:color w:val="auto"/>
          <w:szCs w:val="21"/>
          <w:u w:val="single"/>
        </w:rPr>
      </w:pPr>
      <w:r>
        <w:rPr>
          <w:rFonts w:hint="eastAsia" w:ascii="宋体" w:hAnsi="宋体" w:cs="宋体"/>
          <w:color w:val="auto"/>
          <w:szCs w:val="21"/>
        </w:rPr>
        <w:t>投标人（公章，自然人除外）：</w:t>
      </w:r>
      <w:r>
        <w:rPr>
          <w:rFonts w:hint="eastAsia" w:ascii="宋体" w:hAnsi="宋体" w:cs="宋体"/>
          <w:color w:val="auto"/>
          <w:szCs w:val="21"/>
          <w:u w:val="single"/>
        </w:rPr>
        <w:t xml:space="preserve">                                         </w:t>
      </w:r>
    </w:p>
    <w:p>
      <w:pPr>
        <w:spacing w:line="340" w:lineRule="exact"/>
        <w:ind w:firstLine="1890" w:firstLineChars="900"/>
        <w:rPr>
          <w:rFonts w:ascii="宋体" w:hAnsi="宋体" w:cs="宋体"/>
          <w:color w:val="auto"/>
        </w:rPr>
      </w:pPr>
      <w:r>
        <w:rPr>
          <w:rFonts w:hint="eastAsia" w:ascii="宋体" w:hAnsi="宋体" w:cs="宋体"/>
          <w:color w:val="auto"/>
        </w:rPr>
        <w:t>法定代表人、负责人、自然人或相应的委托代理人签字（或盖章）</w:t>
      </w:r>
    </w:p>
    <w:p>
      <w:pPr>
        <w:spacing w:line="340" w:lineRule="exact"/>
        <w:ind w:firstLine="1680" w:firstLineChars="800"/>
        <w:rPr>
          <w:rFonts w:ascii="宋体" w:hAnsi="宋体" w:cs="宋体"/>
          <w:color w:val="auto"/>
          <w:szCs w:val="21"/>
          <w:u w:val="single"/>
        </w:rPr>
      </w:pPr>
      <w:r>
        <w:rPr>
          <w:rFonts w:hint="eastAsia" w:ascii="宋体" w:hAnsi="宋体" w:cs="宋体"/>
          <w:color w:val="auto"/>
        </w:rPr>
        <w:t>（属自然人的应在签名处加盖大拇指指印）：</w:t>
      </w:r>
      <w:r>
        <w:rPr>
          <w:rFonts w:hint="eastAsia" w:ascii="宋体" w:hAnsi="宋体" w:cs="宋体"/>
          <w:color w:val="auto"/>
          <w:szCs w:val="21"/>
          <w:u w:val="single"/>
        </w:rPr>
        <w:t xml:space="preserve">                              </w:t>
      </w:r>
    </w:p>
    <w:p>
      <w:pPr>
        <w:snapToGrid w:val="0"/>
        <w:spacing w:line="400" w:lineRule="exact"/>
        <w:ind w:firstLine="1890" w:firstLineChars="900"/>
        <w:rPr>
          <w:rFonts w:ascii="宋体" w:hAnsi="宋体" w:cs="宋体"/>
          <w:color w:val="auto"/>
        </w:rPr>
      </w:pPr>
      <w:r>
        <w:rPr>
          <w:rFonts w:hint="eastAsia" w:ascii="宋体" w:hAnsi="宋体" w:cs="宋体"/>
          <w:color w:val="auto"/>
        </w:rPr>
        <w:t xml:space="preserve"> </w:t>
      </w:r>
    </w:p>
    <w:p>
      <w:pPr>
        <w:snapToGrid w:val="0"/>
        <w:spacing w:line="400" w:lineRule="exact"/>
        <w:ind w:firstLine="1890" w:firstLineChars="900"/>
        <w:rPr>
          <w:rFonts w:ascii="宋体" w:hAnsi="宋体" w:cs="宋体"/>
          <w:color w:val="auto"/>
          <w:u w:val="single"/>
        </w:rPr>
      </w:pPr>
      <w:r>
        <w:rPr>
          <w:rFonts w:hint="eastAsia" w:ascii="宋体" w:hAnsi="宋体" w:cs="宋体"/>
          <w:color w:val="auto"/>
        </w:rPr>
        <w:t>日          期：</w:t>
      </w:r>
      <w:r>
        <w:rPr>
          <w:rFonts w:hint="eastAsia" w:ascii="宋体" w:hAnsi="宋体" w:cs="宋体"/>
          <w:color w:val="auto"/>
          <w:u w:val="single"/>
        </w:rPr>
        <w:t xml:space="preserve">                                                   </w:t>
      </w:r>
    </w:p>
    <w:p>
      <w:pPr>
        <w:pStyle w:val="14"/>
        <w:rPr>
          <w:rFonts w:ascii="宋体" w:hAnsi="宋体" w:cs="宋体"/>
          <w:color w:val="auto"/>
          <w:u w:val="single"/>
        </w:rPr>
      </w:pPr>
    </w:p>
    <w:p>
      <w:pPr>
        <w:pStyle w:val="14"/>
        <w:rPr>
          <w:rFonts w:ascii="宋体" w:hAnsi="宋体" w:cs="宋体"/>
          <w:color w:val="auto"/>
          <w:u w:val="single"/>
        </w:rPr>
      </w:pPr>
    </w:p>
    <w:p>
      <w:pPr>
        <w:pStyle w:val="14"/>
        <w:rPr>
          <w:rFonts w:ascii="宋体" w:hAnsi="宋体" w:cs="宋体"/>
          <w:color w:val="auto"/>
          <w:u w:val="single"/>
        </w:rPr>
      </w:pPr>
    </w:p>
    <w:p>
      <w:pPr>
        <w:pStyle w:val="14"/>
        <w:rPr>
          <w:rFonts w:ascii="宋体" w:hAnsi="宋体" w:cs="宋体"/>
          <w:color w:val="auto"/>
          <w:u w:val="single"/>
        </w:rPr>
      </w:pPr>
    </w:p>
    <w:p>
      <w:pPr>
        <w:pStyle w:val="14"/>
        <w:rPr>
          <w:rFonts w:ascii="宋体" w:hAnsi="宋体" w:cs="宋体"/>
          <w:color w:val="auto"/>
          <w:u w:val="single"/>
        </w:rPr>
      </w:pPr>
    </w:p>
    <w:p>
      <w:pPr>
        <w:pStyle w:val="14"/>
        <w:rPr>
          <w:rFonts w:ascii="宋体" w:hAnsi="宋体" w:cs="宋体"/>
          <w:color w:val="auto"/>
          <w:u w:val="single"/>
        </w:rPr>
      </w:pPr>
    </w:p>
    <w:p>
      <w:pPr>
        <w:rPr>
          <w:color w:val="auto"/>
        </w:rPr>
      </w:pPr>
      <w:r>
        <w:rPr>
          <w:rFonts w:hint="eastAsia" w:ascii="宋体" w:hAnsi="宋体" w:cs="宋体"/>
          <w:b/>
          <w:bCs/>
          <w:color w:val="auto"/>
          <w:sz w:val="32"/>
          <w:szCs w:val="32"/>
        </w:rPr>
        <w:t>6.投标人近半年内任意一个月或任一季度依法缴纳税收的证明材料【增值税发票(税收完税证明)或企业所得税完税证明或税务部门出具的免税证明】复印件（必须提供）</w:t>
      </w:r>
    </w:p>
    <w:p>
      <w:pPr>
        <w:pStyle w:val="14"/>
        <w:rPr>
          <w:color w:val="auto"/>
        </w:rPr>
      </w:pPr>
    </w:p>
    <w:p>
      <w:pPr>
        <w:pStyle w:val="14"/>
        <w:rPr>
          <w:color w:val="auto"/>
        </w:rPr>
      </w:pPr>
    </w:p>
    <w:p>
      <w:pPr>
        <w:pStyle w:val="14"/>
        <w:rPr>
          <w:color w:val="auto"/>
        </w:rPr>
      </w:pPr>
    </w:p>
    <w:p>
      <w:pPr>
        <w:rPr>
          <w:rFonts w:ascii="宋体" w:hAnsi="宋体" w:cs="宋体"/>
          <w:b/>
          <w:bCs/>
          <w:color w:val="auto"/>
          <w:sz w:val="32"/>
          <w:szCs w:val="32"/>
        </w:rPr>
      </w:pPr>
      <w:bookmarkStart w:id="235" w:name="_Toc26652"/>
      <w:r>
        <w:rPr>
          <w:rFonts w:hint="eastAsia" w:ascii="宋体" w:hAnsi="宋体" w:cs="宋体"/>
          <w:b/>
          <w:bCs/>
          <w:color w:val="auto"/>
          <w:sz w:val="32"/>
          <w:szCs w:val="32"/>
        </w:rPr>
        <w:t>三、商务、技术性响应及其他有效证明材料（格式）</w:t>
      </w:r>
      <w:bookmarkEnd w:id="235"/>
    </w:p>
    <w:p>
      <w:pPr>
        <w:rPr>
          <w:rFonts w:ascii="宋体" w:hAnsi="宋体" w:cs="宋体"/>
          <w:b/>
          <w:bCs/>
          <w:color w:val="auto"/>
          <w:sz w:val="32"/>
          <w:szCs w:val="32"/>
        </w:rPr>
      </w:pPr>
      <w:bookmarkStart w:id="236" w:name="_Toc495841795"/>
      <w:bookmarkStart w:id="237" w:name="_Toc2409"/>
      <w:r>
        <w:rPr>
          <w:rFonts w:hint="eastAsia" w:ascii="宋体" w:hAnsi="宋体" w:cs="宋体"/>
          <w:b/>
          <w:bCs/>
          <w:color w:val="auto"/>
          <w:sz w:val="32"/>
          <w:szCs w:val="32"/>
        </w:rPr>
        <w:t>1.技术规格偏离表（格式见附件）（必须提供）</w:t>
      </w:r>
      <w:bookmarkEnd w:id="236"/>
      <w:bookmarkEnd w:id="237"/>
    </w:p>
    <w:p>
      <w:pPr>
        <w:rPr>
          <w:rFonts w:ascii="宋体" w:hAnsi="宋体" w:cs="宋体"/>
          <w:b/>
          <w:bCs/>
          <w:color w:val="auto"/>
          <w:sz w:val="32"/>
          <w:szCs w:val="32"/>
        </w:rPr>
      </w:pPr>
      <w:r>
        <w:rPr>
          <w:rFonts w:hint="eastAsia" w:ascii="宋体" w:hAnsi="宋体" w:cs="宋体"/>
          <w:b/>
          <w:bCs/>
          <w:color w:val="auto"/>
          <w:sz w:val="32"/>
          <w:szCs w:val="32"/>
        </w:rPr>
        <w:t>附件：</w:t>
      </w:r>
    </w:p>
    <w:p>
      <w:pPr>
        <w:jc w:val="center"/>
        <w:rPr>
          <w:rFonts w:ascii="宋体" w:hAnsi="宋体" w:cs="宋体"/>
          <w:b/>
          <w:bCs/>
          <w:color w:val="auto"/>
          <w:sz w:val="32"/>
        </w:rPr>
      </w:pPr>
      <w:r>
        <w:rPr>
          <w:rFonts w:hint="eastAsia" w:ascii="宋体" w:hAnsi="宋体" w:cs="宋体"/>
          <w:b/>
          <w:color w:val="auto"/>
          <w:sz w:val="32"/>
          <w:szCs w:val="32"/>
        </w:rPr>
        <w:t>技术规格偏离表</w:t>
      </w:r>
      <w:r>
        <w:rPr>
          <w:rFonts w:hint="eastAsia" w:ascii="宋体" w:hAnsi="宋体" w:cs="宋体"/>
          <w:b/>
          <w:bCs/>
          <w:color w:val="auto"/>
          <w:sz w:val="32"/>
        </w:rPr>
        <w:t>（格式）</w:t>
      </w:r>
    </w:p>
    <w:p>
      <w:pPr>
        <w:pStyle w:val="2"/>
        <w:rPr>
          <w:color w:val="auto"/>
        </w:rPr>
      </w:pPr>
    </w:p>
    <w:tbl>
      <w:tblPr>
        <w:tblStyle w:val="2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6"/>
        <w:gridCol w:w="2313"/>
        <w:gridCol w:w="2520"/>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09" w:type="dxa"/>
            <w:shd w:val="clear" w:color="auto" w:fill="8DB3E2"/>
            <w:vAlign w:val="center"/>
          </w:tcPr>
          <w:p>
            <w:pPr>
              <w:spacing w:line="400" w:lineRule="exact"/>
              <w:jc w:val="center"/>
              <w:rPr>
                <w:rFonts w:ascii="宋体" w:hAnsi="宋体" w:cs="宋体"/>
                <w:b/>
                <w:color w:val="auto"/>
              </w:rPr>
            </w:pPr>
            <w:r>
              <w:rPr>
                <w:rFonts w:hint="eastAsia" w:ascii="宋体" w:hAnsi="宋体" w:cs="宋体"/>
                <w:b/>
                <w:color w:val="auto"/>
              </w:rPr>
              <w:t>序号</w:t>
            </w:r>
          </w:p>
        </w:tc>
        <w:tc>
          <w:tcPr>
            <w:tcW w:w="2126" w:type="dxa"/>
            <w:shd w:val="clear" w:color="auto" w:fill="8DB3E2"/>
            <w:vAlign w:val="center"/>
          </w:tcPr>
          <w:p>
            <w:pPr>
              <w:spacing w:line="400" w:lineRule="exact"/>
              <w:jc w:val="center"/>
              <w:rPr>
                <w:rFonts w:ascii="宋体" w:hAnsi="宋体" w:cs="宋体"/>
                <w:b/>
                <w:color w:val="auto"/>
              </w:rPr>
            </w:pPr>
            <w:r>
              <w:rPr>
                <w:rFonts w:hint="eastAsia" w:ascii="宋体" w:hAnsi="宋体" w:cs="宋体"/>
                <w:b/>
                <w:color w:val="auto"/>
              </w:rPr>
              <w:t>货物名称</w:t>
            </w:r>
          </w:p>
        </w:tc>
        <w:tc>
          <w:tcPr>
            <w:tcW w:w="2313" w:type="dxa"/>
            <w:shd w:val="clear" w:color="auto" w:fill="8DB3E2"/>
            <w:vAlign w:val="center"/>
          </w:tcPr>
          <w:p>
            <w:pPr>
              <w:spacing w:line="400" w:lineRule="exact"/>
              <w:jc w:val="center"/>
              <w:rPr>
                <w:rFonts w:ascii="宋体" w:hAnsi="宋体" w:cs="宋体"/>
                <w:b/>
                <w:color w:val="auto"/>
              </w:rPr>
            </w:pPr>
            <w:r>
              <w:rPr>
                <w:rFonts w:hint="eastAsia" w:ascii="宋体" w:hAnsi="宋体" w:cs="宋体"/>
                <w:b/>
                <w:color w:val="auto"/>
                <w:szCs w:val="21"/>
              </w:rPr>
              <w:t>项目要求及技术需求</w:t>
            </w:r>
          </w:p>
        </w:tc>
        <w:tc>
          <w:tcPr>
            <w:tcW w:w="2520" w:type="dxa"/>
            <w:shd w:val="clear" w:color="auto" w:fill="8DB3E2"/>
            <w:vAlign w:val="center"/>
          </w:tcPr>
          <w:p>
            <w:pPr>
              <w:spacing w:line="400" w:lineRule="exact"/>
              <w:jc w:val="center"/>
              <w:rPr>
                <w:rFonts w:ascii="宋体" w:hAnsi="宋体" w:cs="宋体"/>
                <w:b/>
                <w:color w:val="auto"/>
                <w:szCs w:val="21"/>
              </w:rPr>
            </w:pPr>
            <w:r>
              <w:rPr>
                <w:rFonts w:hint="eastAsia" w:ascii="宋体" w:hAnsi="宋体" w:cs="宋体"/>
                <w:b/>
                <w:color w:val="auto"/>
                <w:szCs w:val="21"/>
              </w:rPr>
              <w:t>投标文件的响应情况</w:t>
            </w:r>
          </w:p>
        </w:tc>
        <w:tc>
          <w:tcPr>
            <w:tcW w:w="2113" w:type="dxa"/>
            <w:shd w:val="clear" w:color="auto" w:fill="8DB3E2"/>
            <w:vAlign w:val="center"/>
          </w:tcPr>
          <w:p>
            <w:pPr>
              <w:spacing w:line="400" w:lineRule="exact"/>
              <w:jc w:val="center"/>
              <w:rPr>
                <w:rFonts w:ascii="宋体" w:hAnsi="宋体" w:cs="宋体"/>
                <w:b/>
                <w:color w:val="auto"/>
              </w:rPr>
            </w:pPr>
            <w:bookmarkStart w:id="238" w:name="_Toc254970560"/>
            <w:bookmarkStart w:id="239" w:name="_Toc254970701"/>
            <w:r>
              <w:rPr>
                <w:rFonts w:hint="eastAsia" w:ascii="宋体" w:hAnsi="宋体" w:cs="宋体"/>
                <w:b/>
                <w:color w:val="auto"/>
              </w:rPr>
              <w:t>偏离情况</w:t>
            </w:r>
            <w:bookmarkEnd w:id="238"/>
            <w:bookmarkEnd w:id="239"/>
            <w:r>
              <w:rPr>
                <w:rFonts w:hint="eastAsia" w:ascii="宋体" w:hAnsi="宋体" w:cs="宋体"/>
                <w:b/>
                <w:color w:val="auto"/>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w:t>
            </w:r>
          </w:p>
        </w:tc>
        <w:tc>
          <w:tcPr>
            <w:tcW w:w="2126" w:type="dxa"/>
            <w:vAlign w:val="center"/>
          </w:tcPr>
          <w:p>
            <w:pPr>
              <w:spacing w:line="400" w:lineRule="exact"/>
              <w:rPr>
                <w:rFonts w:ascii="宋体" w:hAnsi="宋体" w:cs="宋体"/>
                <w:color w:val="auto"/>
                <w:kern w:val="0"/>
                <w:szCs w:val="21"/>
              </w:rPr>
            </w:pPr>
          </w:p>
        </w:tc>
        <w:tc>
          <w:tcPr>
            <w:tcW w:w="2313" w:type="dxa"/>
            <w:vAlign w:val="center"/>
          </w:tcPr>
          <w:p>
            <w:pPr>
              <w:spacing w:line="400" w:lineRule="exact"/>
              <w:jc w:val="left"/>
              <w:rPr>
                <w:rFonts w:ascii="宋体" w:hAnsi="宋体" w:cs="宋体"/>
                <w:color w:val="auto"/>
              </w:rPr>
            </w:pPr>
          </w:p>
        </w:tc>
        <w:tc>
          <w:tcPr>
            <w:tcW w:w="2520" w:type="dxa"/>
          </w:tcPr>
          <w:p>
            <w:pPr>
              <w:spacing w:line="400" w:lineRule="exact"/>
              <w:jc w:val="left"/>
              <w:rPr>
                <w:rFonts w:ascii="宋体" w:hAnsi="宋体" w:cs="宋体"/>
                <w:color w:val="auto"/>
              </w:rPr>
            </w:pPr>
          </w:p>
        </w:tc>
        <w:tc>
          <w:tcPr>
            <w:tcW w:w="2113" w:type="dxa"/>
            <w:vAlign w:val="center"/>
          </w:tcPr>
          <w:p>
            <w:pPr>
              <w:spacing w:line="400" w:lineRule="exact"/>
              <w:jc w:val="left"/>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2</w:t>
            </w:r>
          </w:p>
        </w:tc>
        <w:tc>
          <w:tcPr>
            <w:tcW w:w="2126" w:type="dxa"/>
            <w:vAlign w:val="center"/>
          </w:tcPr>
          <w:p>
            <w:pPr>
              <w:spacing w:line="400" w:lineRule="exact"/>
              <w:rPr>
                <w:rFonts w:ascii="宋体" w:hAnsi="宋体" w:cs="宋体"/>
                <w:color w:val="auto"/>
                <w:kern w:val="0"/>
                <w:szCs w:val="21"/>
              </w:rPr>
            </w:pPr>
          </w:p>
        </w:tc>
        <w:tc>
          <w:tcPr>
            <w:tcW w:w="2313" w:type="dxa"/>
            <w:vAlign w:val="center"/>
          </w:tcPr>
          <w:p>
            <w:pPr>
              <w:spacing w:line="400" w:lineRule="exact"/>
              <w:jc w:val="left"/>
              <w:rPr>
                <w:rFonts w:ascii="宋体" w:hAnsi="宋体" w:cs="宋体"/>
                <w:color w:val="auto"/>
              </w:rPr>
            </w:pPr>
          </w:p>
        </w:tc>
        <w:tc>
          <w:tcPr>
            <w:tcW w:w="2520" w:type="dxa"/>
          </w:tcPr>
          <w:p>
            <w:pPr>
              <w:spacing w:line="400" w:lineRule="exact"/>
              <w:jc w:val="left"/>
              <w:rPr>
                <w:rFonts w:ascii="宋体" w:hAnsi="宋体" w:cs="宋体"/>
                <w:color w:val="auto"/>
              </w:rPr>
            </w:pPr>
          </w:p>
        </w:tc>
        <w:tc>
          <w:tcPr>
            <w:tcW w:w="2113" w:type="dxa"/>
            <w:vAlign w:val="center"/>
          </w:tcPr>
          <w:p>
            <w:pPr>
              <w:spacing w:line="400" w:lineRule="exact"/>
              <w:jc w:val="left"/>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3</w:t>
            </w:r>
          </w:p>
        </w:tc>
        <w:tc>
          <w:tcPr>
            <w:tcW w:w="2126" w:type="dxa"/>
            <w:vAlign w:val="center"/>
          </w:tcPr>
          <w:p>
            <w:pPr>
              <w:spacing w:line="400" w:lineRule="exact"/>
              <w:rPr>
                <w:rFonts w:ascii="宋体" w:hAnsi="宋体" w:cs="宋体"/>
                <w:color w:val="auto"/>
                <w:kern w:val="0"/>
                <w:szCs w:val="21"/>
              </w:rPr>
            </w:pPr>
          </w:p>
        </w:tc>
        <w:tc>
          <w:tcPr>
            <w:tcW w:w="2313" w:type="dxa"/>
          </w:tcPr>
          <w:p>
            <w:pPr>
              <w:spacing w:line="400" w:lineRule="exact"/>
              <w:jc w:val="left"/>
              <w:rPr>
                <w:rFonts w:ascii="宋体" w:hAnsi="宋体" w:cs="宋体"/>
                <w:color w:val="auto"/>
              </w:rPr>
            </w:pPr>
          </w:p>
        </w:tc>
        <w:tc>
          <w:tcPr>
            <w:tcW w:w="2520" w:type="dxa"/>
          </w:tcPr>
          <w:p>
            <w:pPr>
              <w:spacing w:line="400" w:lineRule="exact"/>
              <w:jc w:val="left"/>
              <w:rPr>
                <w:rFonts w:ascii="宋体" w:hAnsi="宋体" w:cs="宋体"/>
                <w:color w:val="auto"/>
              </w:rPr>
            </w:pPr>
          </w:p>
        </w:tc>
        <w:tc>
          <w:tcPr>
            <w:tcW w:w="2113" w:type="dxa"/>
          </w:tcPr>
          <w:p>
            <w:pPr>
              <w:spacing w:line="400" w:lineRule="exact"/>
              <w:jc w:val="left"/>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4</w:t>
            </w:r>
          </w:p>
        </w:tc>
        <w:tc>
          <w:tcPr>
            <w:tcW w:w="2126" w:type="dxa"/>
            <w:vAlign w:val="center"/>
          </w:tcPr>
          <w:p>
            <w:pPr>
              <w:spacing w:line="400" w:lineRule="exact"/>
              <w:rPr>
                <w:rFonts w:ascii="宋体" w:hAnsi="宋体" w:cs="宋体"/>
                <w:color w:val="auto"/>
                <w:kern w:val="0"/>
                <w:szCs w:val="21"/>
              </w:rPr>
            </w:pPr>
          </w:p>
        </w:tc>
        <w:tc>
          <w:tcPr>
            <w:tcW w:w="2313" w:type="dxa"/>
          </w:tcPr>
          <w:p>
            <w:pPr>
              <w:spacing w:line="400" w:lineRule="exact"/>
              <w:jc w:val="left"/>
              <w:rPr>
                <w:rFonts w:ascii="宋体" w:hAnsi="宋体" w:cs="宋体"/>
                <w:color w:val="auto"/>
              </w:rPr>
            </w:pPr>
          </w:p>
        </w:tc>
        <w:tc>
          <w:tcPr>
            <w:tcW w:w="2520" w:type="dxa"/>
          </w:tcPr>
          <w:p>
            <w:pPr>
              <w:spacing w:line="400" w:lineRule="exact"/>
              <w:jc w:val="left"/>
              <w:rPr>
                <w:rFonts w:ascii="宋体" w:hAnsi="宋体" w:cs="宋体"/>
                <w:color w:val="auto"/>
              </w:rPr>
            </w:pPr>
          </w:p>
        </w:tc>
        <w:tc>
          <w:tcPr>
            <w:tcW w:w="2113" w:type="dxa"/>
          </w:tcPr>
          <w:p>
            <w:pPr>
              <w:spacing w:line="400" w:lineRule="exact"/>
              <w:jc w:val="left"/>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w:t>
            </w:r>
          </w:p>
        </w:tc>
        <w:tc>
          <w:tcPr>
            <w:tcW w:w="2126" w:type="dxa"/>
            <w:vAlign w:val="center"/>
          </w:tcPr>
          <w:p>
            <w:pPr>
              <w:spacing w:line="400" w:lineRule="exact"/>
              <w:rPr>
                <w:rFonts w:ascii="宋体" w:hAnsi="宋体" w:cs="宋体"/>
                <w:color w:val="auto"/>
                <w:kern w:val="0"/>
                <w:szCs w:val="21"/>
              </w:rPr>
            </w:pPr>
          </w:p>
        </w:tc>
        <w:tc>
          <w:tcPr>
            <w:tcW w:w="2313" w:type="dxa"/>
          </w:tcPr>
          <w:p>
            <w:pPr>
              <w:spacing w:line="400" w:lineRule="exact"/>
              <w:jc w:val="left"/>
              <w:rPr>
                <w:rFonts w:ascii="宋体" w:hAnsi="宋体" w:cs="宋体"/>
                <w:color w:val="auto"/>
              </w:rPr>
            </w:pPr>
          </w:p>
        </w:tc>
        <w:tc>
          <w:tcPr>
            <w:tcW w:w="2520" w:type="dxa"/>
          </w:tcPr>
          <w:p>
            <w:pPr>
              <w:spacing w:line="400" w:lineRule="exact"/>
              <w:jc w:val="left"/>
              <w:rPr>
                <w:rFonts w:ascii="宋体" w:hAnsi="宋体" w:cs="宋体"/>
                <w:color w:val="auto"/>
              </w:rPr>
            </w:pPr>
          </w:p>
        </w:tc>
        <w:tc>
          <w:tcPr>
            <w:tcW w:w="2113" w:type="dxa"/>
          </w:tcPr>
          <w:p>
            <w:pPr>
              <w:spacing w:line="400" w:lineRule="exact"/>
              <w:jc w:val="left"/>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N</w:t>
            </w:r>
          </w:p>
        </w:tc>
        <w:tc>
          <w:tcPr>
            <w:tcW w:w="2126" w:type="dxa"/>
            <w:vAlign w:val="center"/>
          </w:tcPr>
          <w:p>
            <w:pPr>
              <w:spacing w:line="400" w:lineRule="exact"/>
              <w:rPr>
                <w:rFonts w:ascii="宋体" w:hAnsi="宋体" w:cs="宋体"/>
                <w:b/>
                <w:bCs/>
                <w:color w:val="auto"/>
                <w:kern w:val="0"/>
                <w:szCs w:val="21"/>
              </w:rPr>
            </w:pPr>
          </w:p>
        </w:tc>
        <w:tc>
          <w:tcPr>
            <w:tcW w:w="2313" w:type="dxa"/>
          </w:tcPr>
          <w:p>
            <w:pPr>
              <w:spacing w:line="400" w:lineRule="exact"/>
              <w:jc w:val="left"/>
              <w:rPr>
                <w:rFonts w:ascii="宋体" w:hAnsi="宋体" w:cs="宋体"/>
                <w:color w:val="auto"/>
              </w:rPr>
            </w:pPr>
          </w:p>
        </w:tc>
        <w:tc>
          <w:tcPr>
            <w:tcW w:w="2520" w:type="dxa"/>
          </w:tcPr>
          <w:p>
            <w:pPr>
              <w:spacing w:line="400" w:lineRule="exact"/>
              <w:jc w:val="left"/>
              <w:rPr>
                <w:rFonts w:ascii="宋体" w:hAnsi="宋体" w:cs="宋体"/>
                <w:color w:val="auto"/>
              </w:rPr>
            </w:pPr>
          </w:p>
        </w:tc>
        <w:tc>
          <w:tcPr>
            <w:tcW w:w="2113" w:type="dxa"/>
          </w:tcPr>
          <w:p>
            <w:pPr>
              <w:spacing w:line="400" w:lineRule="exact"/>
              <w:jc w:val="left"/>
              <w:rPr>
                <w:rFonts w:ascii="宋体" w:hAnsi="宋体" w:cs="宋体"/>
                <w:color w:val="auto"/>
              </w:rPr>
            </w:pPr>
          </w:p>
        </w:tc>
      </w:tr>
    </w:tbl>
    <w:p>
      <w:pPr>
        <w:snapToGrid w:val="0"/>
        <w:spacing w:line="400" w:lineRule="exact"/>
        <w:rPr>
          <w:rFonts w:ascii="宋体" w:hAnsi="宋体" w:cs="宋体"/>
          <w:color w:val="auto"/>
          <w:szCs w:val="20"/>
          <w:u w:val="single"/>
        </w:rPr>
      </w:pPr>
      <w:r>
        <w:rPr>
          <w:rFonts w:hint="eastAsia" w:ascii="宋体" w:hAnsi="宋体" w:cs="宋体"/>
          <w:color w:val="auto"/>
        </w:rPr>
        <w:t>注：</w:t>
      </w:r>
      <w:r>
        <w:rPr>
          <w:rFonts w:hint="eastAsia" w:ascii="宋体" w:hAnsi="宋体" w:cs="宋体"/>
          <w:color w:val="auto"/>
          <w:lang w:eastAsia="zh-CN"/>
        </w:rPr>
        <w:t>投标人</w:t>
      </w:r>
      <w:r>
        <w:rPr>
          <w:rFonts w:hint="eastAsia" w:ascii="宋体" w:hAnsi="宋体" w:cs="宋体"/>
          <w:color w:val="auto"/>
        </w:rPr>
        <w:t>应对照招标文件中项目要求及技术需求的内容逐条响应，并在“偏离情况说明”栏注明“正偏离”、“负偏离”或“无偏离”。</w:t>
      </w:r>
    </w:p>
    <w:p>
      <w:pPr>
        <w:snapToGrid w:val="0"/>
        <w:spacing w:line="400" w:lineRule="exact"/>
        <w:ind w:firstLine="3780" w:firstLineChars="1800"/>
        <w:rPr>
          <w:rFonts w:ascii="宋体" w:hAnsi="宋体" w:cs="宋体"/>
          <w:color w:val="auto"/>
          <w:szCs w:val="20"/>
          <w:u w:val="single"/>
        </w:rPr>
      </w:pPr>
    </w:p>
    <w:p>
      <w:pPr>
        <w:snapToGrid w:val="0"/>
        <w:spacing w:line="400" w:lineRule="exact"/>
        <w:ind w:firstLine="1890" w:firstLineChars="900"/>
        <w:rPr>
          <w:rFonts w:ascii="宋体" w:hAnsi="宋体" w:cs="宋体"/>
          <w:color w:val="auto"/>
          <w:szCs w:val="21"/>
          <w:u w:val="single"/>
        </w:rPr>
      </w:pPr>
      <w:r>
        <w:rPr>
          <w:rFonts w:hint="eastAsia" w:ascii="宋体" w:hAnsi="宋体" w:cs="宋体"/>
          <w:color w:val="auto"/>
          <w:szCs w:val="21"/>
        </w:rPr>
        <w:t>投标人（公章，自然人除外）：</w:t>
      </w:r>
      <w:r>
        <w:rPr>
          <w:rFonts w:hint="eastAsia" w:ascii="宋体" w:hAnsi="宋体" w:cs="宋体"/>
          <w:color w:val="auto"/>
          <w:szCs w:val="21"/>
          <w:u w:val="single"/>
        </w:rPr>
        <w:t xml:space="preserve">                                         </w:t>
      </w:r>
    </w:p>
    <w:p>
      <w:pPr>
        <w:spacing w:line="340" w:lineRule="exact"/>
        <w:ind w:firstLine="1890" w:firstLineChars="900"/>
        <w:rPr>
          <w:rFonts w:ascii="宋体" w:hAnsi="宋体" w:cs="宋体"/>
          <w:color w:val="auto"/>
        </w:rPr>
      </w:pPr>
      <w:r>
        <w:rPr>
          <w:rFonts w:hint="eastAsia" w:ascii="宋体" w:hAnsi="宋体" w:cs="宋体"/>
          <w:color w:val="auto"/>
        </w:rPr>
        <w:t>法定代表人、负责人、自然人或相应的委托代理人签字（或盖章）</w:t>
      </w:r>
    </w:p>
    <w:p>
      <w:pPr>
        <w:spacing w:line="340" w:lineRule="exact"/>
        <w:ind w:firstLine="1680" w:firstLineChars="800"/>
        <w:rPr>
          <w:rFonts w:ascii="宋体" w:hAnsi="宋体" w:cs="宋体"/>
          <w:color w:val="auto"/>
          <w:szCs w:val="21"/>
          <w:u w:val="single"/>
        </w:rPr>
      </w:pPr>
      <w:r>
        <w:rPr>
          <w:rFonts w:hint="eastAsia" w:ascii="宋体" w:hAnsi="宋体" w:cs="宋体"/>
          <w:color w:val="auto"/>
        </w:rPr>
        <w:t>（属自然人的应在签名处加盖大拇指指印）：</w:t>
      </w:r>
      <w:r>
        <w:rPr>
          <w:rFonts w:hint="eastAsia" w:ascii="宋体" w:hAnsi="宋体" w:cs="宋体"/>
          <w:color w:val="auto"/>
          <w:szCs w:val="21"/>
          <w:u w:val="single"/>
        </w:rPr>
        <w:t xml:space="preserve">                              </w:t>
      </w:r>
    </w:p>
    <w:p>
      <w:pPr>
        <w:spacing w:line="340" w:lineRule="exact"/>
        <w:ind w:firstLine="1680" w:firstLineChars="800"/>
        <w:rPr>
          <w:rFonts w:ascii="宋体" w:hAnsi="宋体" w:cs="宋体"/>
          <w:color w:val="auto"/>
          <w:szCs w:val="21"/>
          <w:u w:val="single"/>
        </w:rPr>
      </w:pPr>
    </w:p>
    <w:p>
      <w:pPr>
        <w:ind w:firstLine="1890" w:firstLineChars="900"/>
        <w:rPr>
          <w:rFonts w:ascii="宋体" w:hAnsi="宋体" w:cs="宋体"/>
          <w:color w:val="auto"/>
          <w:u w:val="single"/>
        </w:rPr>
      </w:pPr>
      <w:r>
        <w:rPr>
          <w:rFonts w:hint="eastAsia" w:ascii="宋体" w:hAnsi="宋体" w:cs="宋体"/>
          <w:color w:val="auto"/>
        </w:rPr>
        <w:t xml:space="preserve"> 日          期：</w:t>
      </w:r>
      <w:r>
        <w:rPr>
          <w:rFonts w:hint="eastAsia" w:ascii="宋体" w:hAnsi="宋体" w:cs="宋体"/>
          <w:color w:val="auto"/>
          <w:u w:val="single"/>
        </w:rPr>
        <w:t xml:space="preserve">                                                   </w:t>
      </w:r>
    </w:p>
    <w:p>
      <w:pPr>
        <w:spacing w:line="360" w:lineRule="exact"/>
        <w:rPr>
          <w:rFonts w:ascii="宋体" w:hAnsi="宋体" w:cs="宋体"/>
          <w:color w:val="auto"/>
        </w:rPr>
      </w:pPr>
    </w:p>
    <w:p>
      <w:pPr>
        <w:spacing w:line="400" w:lineRule="exact"/>
        <w:ind w:left="982" w:leftChars="200" w:hanging="562" w:hangingChars="200"/>
        <w:rPr>
          <w:rFonts w:ascii="宋体" w:hAnsi="宋体" w:cs="宋体"/>
          <w:b/>
          <w:color w:val="auto"/>
          <w:sz w:val="24"/>
        </w:rPr>
      </w:pPr>
      <w:r>
        <w:rPr>
          <w:rFonts w:hint="eastAsia" w:ascii="宋体" w:hAnsi="宋体" w:cs="宋体"/>
          <w:b/>
          <w:bCs/>
          <w:color w:val="auto"/>
          <w:sz w:val="28"/>
          <w:szCs w:val="28"/>
        </w:rPr>
        <w:t>注：</w:t>
      </w:r>
      <w:r>
        <w:rPr>
          <w:rFonts w:hint="eastAsia" w:ascii="宋体" w:hAnsi="宋体" w:cs="宋体"/>
          <w:b/>
          <w:color w:val="auto"/>
          <w:sz w:val="24"/>
        </w:rPr>
        <w:t>1.“技术规格偏离表”各项内容必须如实填写。</w:t>
      </w:r>
    </w:p>
    <w:p>
      <w:pPr>
        <w:spacing w:line="400" w:lineRule="exact"/>
        <w:ind w:left="840" w:leftChars="400" w:firstLine="181" w:firstLineChars="75"/>
        <w:rPr>
          <w:rFonts w:ascii="宋体" w:hAnsi="宋体" w:cs="宋体"/>
          <w:b/>
          <w:color w:val="auto"/>
          <w:sz w:val="24"/>
        </w:rPr>
      </w:pPr>
      <w:r>
        <w:rPr>
          <w:rFonts w:hint="eastAsia" w:ascii="宋体" w:hAnsi="宋体" w:cs="宋体"/>
          <w:b/>
          <w:color w:val="auto"/>
          <w:sz w:val="24"/>
        </w:rPr>
        <w:t>2.当本表由多页构成时，需逐页加盖投标人公章（属自然人的须逐页签字）。</w:t>
      </w:r>
    </w:p>
    <w:p>
      <w:pPr>
        <w:pStyle w:val="17"/>
        <w:jc w:val="center"/>
        <w:rPr>
          <w:rFonts w:hAnsi="宋体" w:cs="宋体"/>
          <w:b/>
          <w:color w:val="auto"/>
          <w:sz w:val="32"/>
        </w:rPr>
      </w:pPr>
    </w:p>
    <w:p>
      <w:pPr>
        <w:pStyle w:val="17"/>
        <w:jc w:val="center"/>
        <w:rPr>
          <w:rFonts w:hAnsi="宋体" w:cs="宋体"/>
          <w:b/>
          <w:color w:val="auto"/>
          <w:sz w:val="32"/>
        </w:rPr>
      </w:pPr>
    </w:p>
    <w:p>
      <w:pPr>
        <w:pStyle w:val="17"/>
        <w:jc w:val="center"/>
        <w:rPr>
          <w:rFonts w:hAnsi="宋体" w:cs="宋体"/>
          <w:b/>
          <w:color w:val="auto"/>
          <w:sz w:val="32"/>
        </w:rPr>
      </w:pPr>
    </w:p>
    <w:p>
      <w:pPr>
        <w:pStyle w:val="17"/>
        <w:jc w:val="center"/>
        <w:rPr>
          <w:rFonts w:hAnsi="宋体" w:cs="宋体"/>
          <w:b/>
          <w:color w:val="auto"/>
          <w:sz w:val="32"/>
        </w:rPr>
      </w:pPr>
    </w:p>
    <w:p>
      <w:pPr>
        <w:pStyle w:val="17"/>
        <w:jc w:val="center"/>
        <w:rPr>
          <w:rFonts w:hAnsi="宋体" w:cs="宋体"/>
          <w:b/>
          <w:color w:val="auto"/>
          <w:sz w:val="32"/>
        </w:rPr>
      </w:pPr>
    </w:p>
    <w:p>
      <w:pPr>
        <w:pStyle w:val="14"/>
        <w:rPr>
          <w:color w:val="auto"/>
        </w:rPr>
      </w:pPr>
    </w:p>
    <w:p>
      <w:pPr>
        <w:rPr>
          <w:rFonts w:ascii="宋体" w:hAnsi="宋体" w:cs="宋体"/>
          <w:b/>
          <w:bCs/>
          <w:color w:val="auto"/>
          <w:sz w:val="32"/>
          <w:szCs w:val="32"/>
        </w:rPr>
      </w:pPr>
      <w:bookmarkStart w:id="240" w:name="_Toc15632"/>
      <w:r>
        <w:rPr>
          <w:rFonts w:hint="eastAsia" w:ascii="宋体" w:hAnsi="宋体" w:cs="宋体"/>
          <w:b/>
          <w:bCs/>
          <w:color w:val="auto"/>
          <w:sz w:val="32"/>
          <w:szCs w:val="32"/>
        </w:rPr>
        <w:t>2.商务响应表（格式见附件）（必须提供）</w:t>
      </w:r>
      <w:bookmarkEnd w:id="240"/>
    </w:p>
    <w:p>
      <w:pPr>
        <w:rPr>
          <w:rFonts w:ascii="宋体" w:hAnsi="宋体" w:cs="宋体"/>
          <w:b/>
          <w:bCs/>
          <w:color w:val="auto"/>
          <w:sz w:val="32"/>
          <w:szCs w:val="32"/>
        </w:rPr>
      </w:pPr>
      <w:r>
        <w:rPr>
          <w:rFonts w:hint="eastAsia" w:ascii="宋体" w:hAnsi="宋体" w:cs="宋体"/>
          <w:b/>
          <w:bCs/>
          <w:color w:val="auto"/>
          <w:sz w:val="32"/>
          <w:szCs w:val="32"/>
        </w:rPr>
        <w:t>附件：</w:t>
      </w:r>
    </w:p>
    <w:p>
      <w:pPr>
        <w:jc w:val="center"/>
        <w:rPr>
          <w:rFonts w:ascii="宋体" w:hAnsi="宋体" w:cs="宋体"/>
          <w:b/>
          <w:bCs/>
          <w:color w:val="auto"/>
          <w:sz w:val="32"/>
          <w:szCs w:val="32"/>
        </w:rPr>
      </w:pPr>
      <w:r>
        <w:rPr>
          <w:rFonts w:hint="eastAsia" w:ascii="宋体" w:hAnsi="宋体" w:cs="宋体"/>
          <w:b/>
          <w:bCs/>
          <w:color w:val="auto"/>
          <w:sz w:val="32"/>
          <w:szCs w:val="32"/>
        </w:rPr>
        <w:t>商务响应表（格式）</w:t>
      </w:r>
    </w:p>
    <w:p>
      <w:pPr>
        <w:pStyle w:val="2"/>
        <w:rPr>
          <w:color w:val="auto"/>
        </w:rPr>
      </w:pPr>
    </w:p>
    <w:tbl>
      <w:tblPr>
        <w:tblStyle w:val="29"/>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63"/>
        <w:gridCol w:w="1176"/>
        <w:gridCol w:w="2197"/>
        <w:gridCol w:w="2835"/>
        <w:gridCol w:w="24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163" w:type="dxa"/>
            <w:tcBorders>
              <w:top w:val="single" w:color="auto" w:sz="4" w:space="0"/>
              <w:left w:val="single" w:color="auto" w:sz="4" w:space="0"/>
              <w:bottom w:val="single" w:color="auto" w:sz="4" w:space="0"/>
              <w:right w:val="single" w:color="auto" w:sz="4" w:space="0"/>
            </w:tcBorders>
            <w:shd w:val="clear" w:color="auto" w:fill="8DB3E2"/>
            <w:vAlign w:val="center"/>
          </w:tcPr>
          <w:p>
            <w:pPr>
              <w:snapToGrid w:val="0"/>
              <w:spacing w:line="360" w:lineRule="exact"/>
              <w:jc w:val="center"/>
              <w:rPr>
                <w:rFonts w:ascii="宋体" w:hAnsi="宋体" w:cs="宋体"/>
                <w:b/>
                <w:bCs/>
                <w:color w:val="auto"/>
                <w:szCs w:val="21"/>
              </w:rPr>
            </w:pPr>
            <w:r>
              <w:rPr>
                <w:rFonts w:hint="eastAsia" w:ascii="宋体" w:hAnsi="宋体" w:cs="宋体"/>
                <w:b/>
                <w:bCs/>
                <w:color w:val="auto"/>
                <w:szCs w:val="21"/>
              </w:rPr>
              <w:t>项号</w:t>
            </w:r>
          </w:p>
        </w:tc>
        <w:tc>
          <w:tcPr>
            <w:tcW w:w="3373" w:type="dxa"/>
            <w:gridSpan w:val="2"/>
            <w:tcBorders>
              <w:top w:val="single" w:color="auto" w:sz="4" w:space="0"/>
              <w:left w:val="single" w:color="auto" w:sz="4" w:space="0"/>
              <w:bottom w:val="single" w:color="auto" w:sz="4" w:space="0"/>
              <w:right w:val="single" w:color="auto" w:sz="4" w:space="0"/>
            </w:tcBorders>
            <w:shd w:val="clear" w:color="auto" w:fill="8DB3E2"/>
            <w:vAlign w:val="center"/>
          </w:tcPr>
          <w:p>
            <w:pPr>
              <w:pStyle w:val="17"/>
              <w:spacing w:line="360" w:lineRule="exact"/>
              <w:jc w:val="center"/>
              <w:rPr>
                <w:rFonts w:hAnsi="宋体" w:cs="宋体"/>
                <w:b/>
                <w:bCs/>
                <w:color w:val="auto"/>
              </w:rPr>
            </w:pPr>
            <w:r>
              <w:rPr>
                <w:rFonts w:hint="eastAsia" w:hAnsi="宋体" w:cs="宋体"/>
                <w:b/>
                <w:bCs/>
                <w:color w:val="auto"/>
                <w:szCs w:val="24"/>
              </w:rPr>
              <w:t>招标文件的商务条款</w:t>
            </w:r>
          </w:p>
        </w:tc>
        <w:tc>
          <w:tcPr>
            <w:tcW w:w="2835" w:type="dxa"/>
            <w:tcBorders>
              <w:top w:val="single" w:color="auto" w:sz="4" w:space="0"/>
              <w:left w:val="single" w:color="auto" w:sz="4" w:space="0"/>
              <w:bottom w:val="single" w:color="auto" w:sz="4" w:space="0"/>
              <w:right w:val="single" w:color="auto" w:sz="4" w:space="0"/>
            </w:tcBorders>
            <w:shd w:val="clear" w:color="auto" w:fill="8DB3E2"/>
            <w:vAlign w:val="center"/>
          </w:tcPr>
          <w:p>
            <w:pPr>
              <w:pStyle w:val="17"/>
              <w:spacing w:line="360" w:lineRule="exact"/>
              <w:jc w:val="center"/>
              <w:rPr>
                <w:rFonts w:hAnsi="宋体" w:cs="宋体"/>
                <w:b/>
                <w:bCs/>
                <w:color w:val="auto"/>
              </w:rPr>
            </w:pPr>
            <w:r>
              <w:rPr>
                <w:rFonts w:hint="eastAsia" w:hAnsi="宋体" w:cs="宋体"/>
                <w:b/>
                <w:bCs/>
                <w:color w:val="auto"/>
                <w:szCs w:val="24"/>
              </w:rPr>
              <w:t>投标文件承诺的商务条款</w:t>
            </w:r>
          </w:p>
        </w:tc>
        <w:tc>
          <w:tcPr>
            <w:tcW w:w="2410" w:type="dxa"/>
            <w:tcBorders>
              <w:top w:val="single" w:color="auto" w:sz="4" w:space="0"/>
              <w:left w:val="single" w:color="auto" w:sz="4" w:space="0"/>
              <w:bottom w:val="single" w:color="auto" w:sz="4" w:space="0"/>
              <w:right w:val="single" w:color="auto" w:sz="4" w:space="0"/>
            </w:tcBorders>
            <w:shd w:val="clear" w:color="auto" w:fill="8DB3E2"/>
            <w:vAlign w:val="center"/>
          </w:tcPr>
          <w:p>
            <w:pPr>
              <w:pStyle w:val="17"/>
              <w:spacing w:line="360" w:lineRule="exact"/>
              <w:jc w:val="center"/>
              <w:rPr>
                <w:rFonts w:hAnsi="宋体" w:cs="宋体"/>
                <w:b/>
                <w:bCs/>
                <w:color w:val="auto"/>
              </w:rPr>
            </w:pPr>
            <w:r>
              <w:rPr>
                <w:rFonts w:hint="eastAsia" w:hAnsi="宋体" w:cs="宋体"/>
                <w:b/>
                <w:bCs/>
                <w:color w:val="auto"/>
                <w:szCs w:val="24"/>
              </w:rPr>
              <w:t>偏离情况说明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left="43"/>
              <w:jc w:val="center"/>
              <w:rPr>
                <w:rFonts w:ascii="宋体" w:hAnsi="宋体" w:cs="宋体"/>
                <w:color w:val="auto"/>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left="43"/>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r>
              <w:rPr>
                <w:rFonts w:hint="eastAsia" w:ascii="宋体" w:hAnsi="宋体" w:cs="宋体"/>
                <w:color w:val="auto"/>
                <w:szCs w:val="21"/>
              </w:rPr>
              <w:t>……</w:t>
            </w:r>
          </w:p>
        </w:tc>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r>
    </w:tbl>
    <w:p>
      <w:pPr>
        <w:snapToGrid w:val="0"/>
        <w:spacing w:before="50" w:after="50"/>
        <w:rPr>
          <w:rFonts w:ascii="宋体" w:hAnsi="宋体" w:cs="宋体"/>
          <w:color w:val="auto"/>
        </w:rPr>
      </w:pPr>
      <w:r>
        <w:rPr>
          <w:rFonts w:hint="eastAsia" w:ascii="宋体" w:hAnsi="宋体" w:cs="宋体"/>
          <w:color w:val="auto"/>
        </w:rPr>
        <w:t>注：</w:t>
      </w:r>
      <w:r>
        <w:rPr>
          <w:rFonts w:hint="eastAsia" w:ascii="宋体" w:hAnsi="宋体" w:cs="宋体"/>
          <w:color w:val="auto"/>
          <w:lang w:eastAsia="zh-CN"/>
        </w:rPr>
        <w:t>投标人</w:t>
      </w:r>
      <w:r>
        <w:rPr>
          <w:rFonts w:hint="eastAsia" w:ascii="宋体" w:hAnsi="宋体" w:cs="宋体"/>
          <w:color w:val="auto"/>
        </w:rPr>
        <w:t>应对照招标文件中商务要求的内容逐条响应，并在“偏离情况说明”栏注明“正偏离”、“负偏离”或“无偏离”。</w:t>
      </w:r>
    </w:p>
    <w:p>
      <w:pPr>
        <w:snapToGrid w:val="0"/>
        <w:spacing w:before="50" w:after="50"/>
        <w:rPr>
          <w:rFonts w:ascii="宋体" w:hAnsi="宋体" w:cs="宋体"/>
          <w:color w:val="auto"/>
          <w:spacing w:val="20"/>
          <w:sz w:val="24"/>
        </w:rPr>
      </w:pPr>
    </w:p>
    <w:p>
      <w:pPr>
        <w:snapToGrid w:val="0"/>
        <w:spacing w:line="400" w:lineRule="exact"/>
        <w:ind w:firstLine="1890" w:firstLineChars="900"/>
        <w:rPr>
          <w:rFonts w:ascii="宋体" w:hAnsi="宋体" w:cs="宋体"/>
          <w:color w:val="auto"/>
          <w:szCs w:val="21"/>
          <w:u w:val="single"/>
        </w:rPr>
      </w:pPr>
      <w:r>
        <w:rPr>
          <w:rFonts w:hint="eastAsia" w:ascii="宋体" w:hAnsi="宋体" w:cs="宋体"/>
          <w:color w:val="auto"/>
          <w:szCs w:val="21"/>
        </w:rPr>
        <w:t>投标人（公章，自然人除外）：</w:t>
      </w:r>
      <w:r>
        <w:rPr>
          <w:rFonts w:hint="eastAsia" w:ascii="宋体" w:hAnsi="宋体" w:cs="宋体"/>
          <w:color w:val="auto"/>
          <w:szCs w:val="21"/>
          <w:u w:val="single"/>
        </w:rPr>
        <w:t xml:space="preserve">                                         </w:t>
      </w:r>
    </w:p>
    <w:p>
      <w:pPr>
        <w:spacing w:line="340" w:lineRule="exact"/>
        <w:ind w:firstLine="1890" w:firstLineChars="900"/>
        <w:rPr>
          <w:rFonts w:ascii="宋体" w:hAnsi="宋体" w:cs="宋体"/>
          <w:color w:val="auto"/>
        </w:rPr>
      </w:pPr>
      <w:r>
        <w:rPr>
          <w:rFonts w:hint="eastAsia" w:ascii="宋体" w:hAnsi="宋体" w:cs="宋体"/>
          <w:color w:val="auto"/>
        </w:rPr>
        <w:t>法定代表人、负责人、自然人或相应的委托代理人签字（或盖章）</w:t>
      </w:r>
    </w:p>
    <w:p>
      <w:pPr>
        <w:spacing w:line="340" w:lineRule="exact"/>
        <w:ind w:firstLine="1680" w:firstLineChars="800"/>
        <w:rPr>
          <w:rFonts w:ascii="宋体" w:hAnsi="宋体" w:cs="宋体"/>
          <w:color w:val="auto"/>
          <w:szCs w:val="21"/>
          <w:u w:val="single"/>
        </w:rPr>
      </w:pPr>
      <w:r>
        <w:rPr>
          <w:rFonts w:hint="eastAsia" w:ascii="宋体" w:hAnsi="宋体" w:cs="宋体"/>
          <w:color w:val="auto"/>
        </w:rPr>
        <w:t>（属自然人的应在签名处加盖大拇指指印）：</w:t>
      </w:r>
      <w:r>
        <w:rPr>
          <w:rFonts w:hint="eastAsia" w:ascii="宋体" w:hAnsi="宋体" w:cs="宋体"/>
          <w:color w:val="auto"/>
          <w:szCs w:val="21"/>
          <w:u w:val="single"/>
        </w:rPr>
        <w:t xml:space="preserve">                              </w:t>
      </w:r>
    </w:p>
    <w:p>
      <w:pPr>
        <w:spacing w:line="340" w:lineRule="exact"/>
        <w:ind w:firstLine="1680" w:firstLineChars="800"/>
        <w:rPr>
          <w:rFonts w:ascii="宋体" w:hAnsi="宋体" w:cs="宋体"/>
          <w:color w:val="auto"/>
          <w:szCs w:val="21"/>
          <w:u w:val="single"/>
        </w:rPr>
      </w:pPr>
    </w:p>
    <w:p>
      <w:pPr>
        <w:ind w:firstLine="1890" w:firstLineChars="900"/>
        <w:rPr>
          <w:rFonts w:ascii="宋体" w:hAnsi="宋体" w:cs="宋体"/>
          <w:color w:val="auto"/>
          <w:u w:val="single"/>
        </w:rPr>
      </w:pPr>
      <w:r>
        <w:rPr>
          <w:rFonts w:hint="eastAsia" w:ascii="宋体" w:hAnsi="宋体" w:cs="宋体"/>
          <w:color w:val="auto"/>
        </w:rPr>
        <w:t xml:space="preserve"> 日          期：</w:t>
      </w:r>
      <w:r>
        <w:rPr>
          <w:rFonts w:hint="eastAsia" w:ascii="宋体" w:hAnsi="宋体" w:cs="宋体"/>
          <w:color w:val="auto"/>
          <w:u w:val="single"/>
        </w:rPr>
        <w:t xml:space="preserve">                                                   </w:t>
      </w:r>
    </w:p>
    <w:p>
      <w:pPr>
        <w:ind w:firstLine="1890" w:firstLineChars="900"/>
        <w:rPr>
          <w:rFonts w:ascii="宋体" w:hAnsi="宋体" w:cs="宋体"/>
          <w:color w:val="auto"/>
          <w:u w:val="single"/>
        </w:rPr>
      </w:pPr>
    </w:p>
    <w:p>
      <w:pPr>
        <w:ind w:firstLine="1890" w:firstLineChars="900"/>
        <w:rPr>
          <w:rFonts w:ascii="宋体" w:hAnsi="宋体" w:cs="宋体"/>
          <w:color w:val="auto"/>
          <w:u w:val="single"/>
        </w:rPr>
      </w:pPr>
    </w:p>
    <w:p>
      <w:pPr>
        <w:spacing w:line="400" w:lineRule="exact"/>
        <w:ind w:left="982" w:leftChars="200" w:hanging="562" w:hangingChars="200"/>
        <w:rPr>
          <w:rFonts w:ascii="宋体" w:hAnsi="宋体" w:cs="宋体"/>
          <w:b/>
          <w:bCs/>
          <w:color w:val="auto"/>
          <w:sz w:val="28"/>
          <w:szCs w:val="28"/>
        </w:rPr>
      </w:pPr>
      <w:r>
        <w:rPr>
          <w:rFonts w:hint="eastAsia" w:ascii="宋体" w:hAnsi="宋体" w:cs="宋体"/>
          <w:b/>
          <w:bCs/>
          <w:color w:val="auto"/>
          <w:sz w:val="28"/>
          <w:szCs w:val="28"/>
        </w:rPr>
        <w:t>注：</w:t>
      </w:r>
      <w:r>
        <w:rPr>
          <w:rFonts w:hint="eastAsia" w:ascii="宋体" w:hAnsi="宋体" w:cs="宋体"/>
          <w:b/>
          <w:color w:val="auto"/>
          <w:sz w:val="24"/>
        </w:rPr>
        <w:t>1.“商务响应表”各项内容必须如实填写。</w:t>
      </w:r>
    </w:p>
    <w:p>
      <w:pPr>
        <w:spacing w:line="400" w:lineRule="exact"/>
        <w:ind w:firstLine="964" w:firstLineChars="400"/>
        <w:rPr>
          <w:rFonts w:ascii="宋体" w:hAnsi="宋体" w:cs="宋体"/>
          <w:b/>
          <w:bCs/>
          <w:color w:val="auto"/>
          <w:sz w:val="28"/>
          <w:szCs w:val="28"/>
        </w:rPr>
      </w:pPr>
      <w:r>
        <w:rPr>
          <w:rFonts w:hint="eastAsia" w:ascii="宋体" w:hAnsi="宋体" w:cs="宋体"/>
          <w:b/>
          <w:color w:val="auto"/>
          <w:sz w:val="24"/>
        </w:rPr>
        <w:t>2.当本表由多页构成时，需逐页加盖投标人公章（属自然人的须逐页签字）。</w:t>
      </w:r>
    </w:p>
    <w:p>
      <w:pPr>
        <w:pStyle w:val="14"/>
        <w:rPr>
          <w:color w:val="auto"/>
        </w:rPr>
      </w:pPr>
    </w:p>
    <w:p>
      <w:pPr>
        <w:pStyle w:val="14"/>
        <w:rPr>
          <w:color w:val="auto"/>
        </w:rPr>
      </w:pPr>
    </w:p>
    <w:p>
      <w:pPr>
        <w:pStyle w:val="14"/>
        <w:rPr>
          <w:color w:val="auto"/>
        </w:rPr>
      </w:pPr>
    </w:p>
    <w:p>
      <w:pPr>
        <w:pStyle w:val="14"/>
        <w:rPr>
          <w:color w:val="auto"/>
        </w:rPr>
      </w:pPr>
    </w:p>
    <w:p>
      <w:pPr>
        <w:pStyle w:val="14"/>
        <w:rPr>
          <w:color w:val="auto"/>
        </w:rPr>
      </w:pPr>
    </w:p>
    <w:p>
      <w:pPr>
        <w:pStyle w:val="14"/>
        <w:rPr>
          <w:color w:val="auto"/>
        </w:rPr>
      </w:pPr>
    </w:p>
    <w:p>
      <w:pPr>
        <w:pStyle w:val="14"/>
        <w:rPr>
          <w:color w:val="auto"/>
        </w:rPr>
      </w:pPr>
    </w:p>
    <w:p>
      <w:pPr>
        <w:pStyle w:val="14"/>
        <w:rPr>
          <w:color w:val="auto"/>
        </w:rPr>
      </w:pPr>
    </w:p>
    <w:p>
      <w:pPr>
        <w:pStyle w:val="14"/>
        <w:rPr>
          <w:color w:val="auto"/>
        </w:rPr>
      </w:pPr>
    </w:p>
    <w:p>
      <w:pPr>
        <w:pStyle w:val="14"/>
        <w:rPr>
          <w:color w:val="auto"/>
        </w:rPr>
      </w:pPr>
    </w:p>
    <w:p>
      <w:pPr>
        <w:rPr>
          <w:rFonts w:ascii="宋体" w:hAnsi="宋体" w:cs="宋体"/>
          <w:b/>
          <w:bCs/>
          <w:color w:val="auto"/>
          <w:sz w:val="32"/>
          <w:szCs w:val="32"/>
        </w:rPr>
      </w:pPr>
      <w:bookmarkStart w:id="241" w:name="_Toc495841796"/>
      <w:bookmarkStart w:id="242" w:name="_Toc18341"/>
      <w:r>
        <w:rPr>
          <w:rFonts w:hint="eastAsia" w:ascii="宋体" w:hAnsi="宋体" w:cs="宋体"/>
          <w:b/>
          <w:bCs/>
          <w:color w:val="auto"/>
          <w:sz w:val="32"/>
          <w:szCs w:val="32"/>
        </w:rPr>
        <w:t>3.“货物采购需求”需提供的有效证明文件（按其要求提供）：</w:t>
      </w:r>
      <w:bookmarkEnd w:id="241"/>
      <w:bookmarkEnd w:id="242"/>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bookmarkStart w:id="243" w:name="_Toc495841797"/>
      <w:bookmarkStart w:id="244" w:name="_Toc12988"/>
      <w:r>
        <w:rPr>
          <w:rFonts w:hint="eastAsia" w:ascii="宋体" w:hAnsi="宋体" w:cs="宋体"/>
          <w:b/>
          <w:bCs/>
          <w:color w:val="auto"/>
          <w:sz w:val="32"/>
          <w:szCs w:val="32"/>
        </w:rPr>
        <w:t>4.投标人的售后服务承诺书（含免费保修期、交付使用期、技术服务、技术培训、售后服务的内容和措施等）（格式见附件）（必须提供）</w:t>
      </w:r>
      <w:bookmarkEnd w:id="243"/>
      <w:bookmarkEnd w:id="244"/>
    </w:p>
    <w:p>
      <w:pPr>
        <w:rPr>
          <w:rFonts w:ascii="宋体" w:hAnsi="宋体" w:cs="宋体"/>
          <w:b/>
          <w:bCs/>
          <w:color w:val="auto"/>
          <w:sz w:val="32"/>
          <w:szCs w:val="32"/>
        </w:rPr>
      </w:pPr>
      <w:r>
        <w:rPr>
          <w:rFonts w:hint="eastAsia" w:ascii="宋体" w:hAnsi="宋体" w:cs="宋体"/>
          <w:b/>
          <w:bCs/>
          <w:color w:val="auto"/>
          <w:sz w:val="32"/>
          <w:szCs w:val="32"/>
        </w:rPr>
        <w:t>附件：</w:t>
      </w:r>
    </w:p>
    <w:p>
      <w:pPr>
        <w:ind w:firstLine="472" w:firstLineChars="147"/>
        <w:jc w:val="center"/>
        <w:rPr>
          <w:rFonts w:ascii="宋体" w:hAnsi="宋体" w:cs="宋体"/>
          <w:b/>
          <w:bCs/>
          <w:color w:val="auto"/>
          <w:sz w:val="32"/>
          <w:szCs w:val="32"/>
        </w:rPr>
      </w:pPr>
    </w:p>
    <w:p>
      <w:pPr>
        <w:pStyle w:val="14"/>
        <w:rPr>
          <w:rFonts w:ascii="宋体" w:hAnsi="宋体" w:cs="宋体"/>
          <w:b/>
          <w:bCs/>
          <w:color w:val="auto"/>
          <w:sz w:val="32"/>
          <w:szCs w:val="32"/>
        </w:rPr>
      </w:pPr>
    </w:p>
    <w:p>
      <w:pPr>
        <w:pStyle w:val="14"/>
        <w:rPr>
          <w:rFonts w:ascii="宋体" w:hAnsi="宋体" w:cs="宋体"/>
          <w:b/>
          <w:bCs/>
          <w:color w:val="auto"/>
          <w:sz w:val="32"/>
          <w:szCs w:val="32"/>
        </w:rPr>
      </w:pPr>
    </w:p>
    <w:p>
      <w:pPr>
        <w:pStyle w:val="14"/>
        <w:rPr>
          <w:rFonts w:ascii="宋体" w:hAnsi="宋体" w:cs="宋体"/>
          <w:b/>
          <w:bCs/>
          <w:color w:val="auto"/>
          <w:sz w:val="32"/>
          <w:szCs w:val="32"/>
        </w:rPr>
      </w:pPr>
    </w:p>
    <w:p>
      <w:pPr>
        <w:pStyle w:val="14"/>
        <w:rPr>
          <w:rFonts w:ascii="宋体" w:hAnsi="宋体" w:cs="宋体"/>
          <w:b/>
          <w:bCs/>
          <w:color w:val="auto"/>
          <w:sz w:val="32"/>
          <w:szCs w:val="32"/>
        </w:rPr>
      </w:pPr>
    </w:p>
    <w:p>
      <w:pPr>
        <w:ind w:firstLine="472" w:firstLineChars="147"/>
        <w:jc w:val="center"/>
        <w:rPr>
          <w:rFonts w:ascii="宋体" w:hAnsi="宋体" w:cs="宋体"/>
          <w:b/>
          <w:bCs/>
          <w:color w:val="auto"/>
          <w:sz w:val="32"/>
        </w:rPr>
      </w:pPr>
      <w:r>
        <w:rPr>
          <w:rFonts w:hint="eastAsia" w:ascii="宋体" w:hAnsi="宋体" w:cs="宋体"/>
          <w:b/>
          <w:bCs/>
          <w:color w:val="auto"/>
          <w:sz w:val="32"/>
          <w:szCs w:val="32"/>
        </w:rPr>
        <w:t>售后服务承诺书</w:t>
      </w:r>
      <w:r>
        <w:rPr>
          <w:rFonts w:hint="eastAsia" w:ascii="宋体" w:hAnsi="宋体" w:cs="宋体"/>
          <w:b/>
          <w:bCs/>
          <w:color w:val="auto"/>
          <w:sz w:val="32"/>
        </w:rPr>
        <w:t>（格式）</w:t>
      </w:r>
    </w:p>
    <w:p>
      <w:pPr>
        <w:spacing w:line="400" w:lineRule="exact"/>
        <w:rPr>
          <w:rFonts w:ascii="宋体" w:hAnsi="宋体" w:cs="宋体"/>
          <w:color w:val="auto"/>
          <w:sz w:val="32"/>
          <w:szCs w:val="32"/>
        </w:rPr>
      </w:pPr>
    </w:p>
    <w:p>
      <w:pPr>
        <w:pStyle w:val="2"/>
        <w:rPr>
          <w:color w:val="auto"/>
        </w:rPr>
      </w:pPr>
    </w:p>
    <w:p>
      <w:pPr>
        <w:spacing w:line="400" w:lineRule="exact"/>
        <w:rPr>
          <w:rFonts w:ascii="宋体" w:hAnsi="宋体" w:cs="宋体"/>
          <w:color w:val="auto"/>
          <w:sz w:val="32"/>
          <w:szCs w:val="32"/>
        </w:rPr>
      </w:pPr>
    </w:p>
    <w:p>
      <w:pPr>
        <w:spacing w:line="400" w:lineRule="exact"/>
        <w:rPr>
          <w:rFonts w:ascii="宋体" w:hAnsi="宋体" w:cs="宋体"/>
          <w:color w:val="auto"/>
          <w:sz w:val="32"/>
          <w:szCs w:val="32"/>
        </w:rPr>
      </w:pPr>
    </w:p>
    <w:p>
      <w:pPr>
        <w:spacing w:line="400" w:lineRule="exact"/>
        <w:rPr>
          <w:rFonts w:ascii="宋体" w:hAnsi="宋体" w:cs="宋体"/>
          <w:color w:val="auto"/>
          <w:sz w:val="32"/>
          <w:szCs w:val="32"/>
        </w:rPr>
      </w:pPr>
    </w:p>
    <w:p>
      <w:pPr>
        <w:snapToGrid w:val="0"/>
        <w:spacing w:line="400" w:lineRule="exact"/>
        <w:ind w:firstLine="1890" w:firstLineChars="900"/>
        <w:rPr>
          <w:rFonts w:ascii="宋体" w:hAnsi="宋体" w:cs="宋体"/>
          <w:color w:val="auto"/>
          <w:szCs w:val="21"/>
          <w:u w:val="single"/>
        </w:rPr>
      </w:pPr>
      <w:r>
        <w:rPr>
          <w:rFonts w:hint="eastAsia" w:ascii="宋体" w:hAnsi="宋体" w:cs="宋体"/>
          <w:color w:val="auto"/>
          <w:szCs w:val="21"/>
        </w:rPr>
        <w:t>投投标人（公章，自然人除外）：</w:t>
      </w:r>
      <w:r>
        <w:rPr>
          <w:rFonts w:hint="eastAsia" w:ascii="宋体" w:hAnsi="宋体" w:cs="宋体"/>
          <w:color w:val="auto"/>
          <w:szCs w:val="21"/>
          <w:u w:val="single"/>
        </w:rPr>
        <w:t xml:space="preserve">                                         </w:t>
      </w:r>
    </w:p>
    <w:p>
      <w:pPr>
        <w:spacing w:line="340" w:lineRule="exact"/>
        <w:ind w:firstLine="1890" w:firstLineChars="900"/>
        <w:rPr>
          <w:rFonts w:ascii="宋体" w:hAnsi="宋体" w:cs="宋体"/>
          <w:color w:val="auto"/>
        </w:rPr>
      </w:pPr>
      <w:r>
        <w:rPr>
          <w:rFonts w:hint="eastAsia" w:ascii="宋体" w:hAnsi="宋体" w:cs="宋体"/>
          <w:color w:val="auto"/>
        </w:rPr>
        <w:t>法定代表人、负责人、自然人或相应的委托代理人签字（或盖章）</w:t>
      </w:r>
    </w:p>
    <w:p>
      <w:pPr>
        <w:spacing w:line="340" w:lineRule="exact"/>
        <w:ind w:firstLine="1680" w:firstLineChars="800"/>
        <w:rPr>
          <w:rFonts w:ascii="宋体" w:hAnsi="宋体" w:cs="宋体"/>
          <w:color w:val="auto"/>
          <w:szCs w:val="21"/>
          <w:u w:val="single"/>
        </w:rPr>
      </w:pPr>
      <w:r>
        <w:rPr>
          <w:rFonts w:hint="eastAsia" w:ascii="宋体" w:hAnsi="宋体" w:cs="宋体"/>
          <w:color w:val="auto"/>
        </w:rPr>
        <w:t>（属自然人的应在签名处加盖大拇指指印）：</w:t>
      </w:r>
      <w:r>
        <w:rPr>
          <w:rFonts w:hint="eastAsia" w:ascii="宋体" w:hAnsi="宋体" w:cs="宋体"/>
          <w:color w:val="auto"/>
          <w:szCs w:val="21"/>
          <w:u w:val="single"/>
        </w:rPr>
        <w:t xml:space="preserve">                              </w:t>
      </w:r>
    </w:p>
    <w:p>
      <w:pPr>
        <w:spacing w:line="340" w:lineRule="exact"/>
        <w:ind w:firstLine="1680" w:firstLineChars="800"/>
        <w:rPr>
          <w:rFonts w:ascii="宋体" w:hAnsi="宋体" w:cs="宋体"/>
          <w:color w:val="auto"/>
          <w:szCs w:val="21"/>
          <w:u w:val="single"/>
        </w:rPr>
      </w:pPr>
    </w:p>
    <w:p>
      <w:pPr>
        <w:snapToGrid w:val="0"/>
        <w:spacing w:line="400" w:lineRule="exact"/>
        <w:ind w:firstLine="1680" w:firstLineChars="800"/>
        <w:rPr>
          <w:rFonts w:ascii="宋体" w:hAnsi="宋体" w:cs="宋体"/>
          <w:color w:val="auto"/>
        </w:rPr>
      </w:pPr>
      <w:r>
        <w:rPr>
          <w:rFonts w:hint="eastAsia" w:ascii="宋体" w:hAnsi="宋体" w:cs="宋体"/>
          <w:color w:val="auto"/>
        </w:rPr>
        <w:t xml:space="preserve"> 日          期：</w:t>
      </w:r>
      <w:r>
        <w:rPr>
          <w:rFonts w:hint="eastAsia" w:ascii="宋体" w:hAnsi="宋体" w:cs="宋体"/>
          <w:color w:val="auto"/>
          <w:u w:val="single"/>
        </w:rPr>
        <w:t xml:space="preserve">                                                   </w:t>
      </w:r>
    </w:p>
    <w:p>
      <w:pPr>
        <w:pStyle w:val="14"/>
        <w:rPr>
          <w:color w:val="auto"/>
        </w:rPr>
      </w:pPr>
    </w:p>
    <w:p>
      <w:pPr>
        <w:pStyle w:val="14"/>
        <w:rPr>
          <w:color w:val="auto"/>
        </w:rPr>
      </w:pPr>
    </w:p>
    <w:p>
      <w:pPr>
        <w:pStyle w:val="14"/>
        <w:rPr>
          <w:color w:val="auto"/>
        </w:rPr>
      </w:pPr>
    </w:p>
    <w:p>
      <w:pPr>
        <w:pStyle w:val="14"/>
        <w:rPr>
          <w:color w:val="auto"/>
        </w:rPr>
      </w:pPr>
    </w:p>
    <w:p>
      <w:pPr>
        <w:pStyle w:val="14"/>
        <w:rPr>
          <w:color w:val="auto"/>
        </w:rPr>
      </w:pPr>
    </w:p>
    <w:p>
      <w:pPr>
        <w:rPr>
          <w:color w:val="auto"/>
        </w:rPr>
      </w:pPr>
    </w:p>
    <w:p>
      <w:pPr>
        <w:rPr>
          <w:rFonts w:ascii="宋体" w:hAnsi="宋体" w:cs="宋体"/>
          <w:b/>
          <w:bCs/>
          <w:color w:val="auto"/>
          <w:sz w:val="32"/>
          <w:szCs w:val="32"/>
        </w:rPr>
      </w:pPr>
      <w:r>
        <w:rPr>
          <w:rFonts w:hint="eastAsia" w:ascii="宋体" w:hAnsi="宋体" w:cs="宋体"/>
          <w:b/>
          <w:bCs/>
          <w:color w:val="auto"/>
          <w:sz w:val="32"/>
          <w:szCs w:val="32"/>
        </w:rPr>
        <w:t>5.项目</w:t>
      </w:r>
      <w:r>
        <w:rPr>
          <w:rFonts w:hint="eastAsia" w:ascii="宋体" w:hAnsi="宋体" w:cs="宋体"/>
          <w:b/>
          <w:bCs/>
          <w:color w:val="auto"/>
          <w:sz w:val="32"/>
          <w:szCs w:val="32"/>
          <w:lang w:eastAsia="zh-CN"/>
        </w:rPr>
        <w:t>实施</w:t>
      </w:r>
      <w:r>
        <w:rPr>
          <w:rFonts w:hint="eastAsia" w:ascii="宋体" w:hAnsi="宋体" w:cs="宋体"/>
          <w:b/>
          <w:bCs/>
          <w:color w:val="auto"/>
          <w:sz w:val="32"/>
          <w:szCs w:val="32"/>
        </w:rPr>
        <w:t>方案（格式见附件）（如有，请提供）；</w:t>
      </w:r>
    </w:p>
    <w:p>
      <w:pPr>
        <w:rPr>
          <w:rFonts w:ascii="宋体" w:hAnsi="宋体" w:cs="宋体"/>
          <w:b/>
          <w:bCs/>
          <w:color w:val="auto"/>
          <w:sz w:val="32"/>
          <w:szCs w:val="32"/>
        </w:rPr>
      </w:pPr>
      <w:r>
        <w:rPr>
          <w:rFonts w:hint="eastAsia" w:ascii="宋体" w:hAnsi="宋体" w:cs="宋体"/>
          <w:b/>
          <w:bCs/>
          <w:color w:val="auto"/>
          <w:sz w:val="32"/>
          <w:szCs w:val="32"/>
        </w:rPr>
        <w:t>附件：</w:t>
      </w:r>
    </w:p>
    <w:p>
      <w:pPr>
        <w:pStyle w:val="14"/>
        <w:rPr>
          <w:rFonts w:ascii="宋体" w:hAnsi="宋体" w:cs="宋体"/>
          <w:b/>
          <w:bCs/>
          <w:color w:val="auto"/>
          <w:sz w:val="32"/>
          <w:szCs w:val="32"/>
        </w:rPr>
      </w:pPr>
    </w:p>
    <w:p>
      <w:pPr>
        <w:pStyle w:val="14"/>
        <w:rPr>
          <w:rFonts w:ascii="宋体" w:hAnsi="宋体" w:cs="宋体"/>
          <w:b/>
          <w:bCs/>
          <w:color w:val="auto"/>
          <w:sz w:val="32"/>
          <w:szCs w:val="32"/>
        </w:rPr>
      </w:pPr>
    </w:p>
    <w:p>
      <w:pPr>
        <w:pStyle w:val="14"/>
        <w:rPr>
          <w:rFonts w:ascii="宋体" w:hAnsi="宋体" w:cs="宋体"/>
          <w:b/>
          <w:bCs/>
          <w:color w:val="auto"/>
          <w:sz w:val="32"/>
          <w:szCs w:val="32"/>
        </w:rPr>
      </w:pPr>
    </w:p>
    <w:p>
      <w:pPr>
        <w:rPr>
          <w:color w:val="auto"/>
        </w:rPr>
      </w:pPr>
    </w:p>
    <w:p>
      <w:pPr>
        <w:pStyle w:val="14"/>
        <w:rPr>
          <w:color w:val="auto"/>
        </w:rPr>
      </w:pPr>
    </w:p>
    <w:p>
      <w:pPr>
        <w:rPr>
          <w:color w:val="auto"/>
        </w:rPr>
      </w:pPr>
    </w:p>
    <w:p>
      <w:pPr>
        <w:pStyle w:val="17"/>
        <w:spacing w:line="340" w:lineRule="exact"/>
        <w:jc w:val="center"/>
        <w:rPr>
          <w:b/>
          <w:color w:val="auto"/>
          <w:sz w:val="32"/>
          <w:szCs w:val="32"/>
        </w:rPr>
      </w:pPr>
      <w:r>
        <w:rPr>
          <w:rFonts w:hint="eastAsia"/>
          <w:b/>
          <w:color w:val="auto"/>
          <w:sz w:val="32"/>
          <w:szCs w:val="32"/>
        </w:rPr>
        <w:t>项目</w:t>
      </w:r>
      <w:r>
        <w:rPr>
          <w:rFonts w:hint="eastAsia"/>
          <w:b/>
          <w:color w:val="auto"/>
          <w:sz w:val="32"/>
          <w:szCs w:val="32"/>
          <w:lang w:eastAsia="zh-CN"/>
        </w:rPr>
        <w:t>实施</w:t>
      </w:r>
      <w:r>
        <w:rPr>
          <w:rFonts w:hint="eastAsia"/>
          <w:b/>
          <w:color w:val="auto"/>
          <w:sz w:val="32"/>
          <w:szCs w:val="32"/>
        </w:rPr>
        <w:t>方案 （格式）</w:t>
      </w:r>
    </w:p>
    <w:p>
      <w:pPr>
        <w:rPr>
          <w:rFonts w:hAnsi="Courier New"/>
          <w:b/>
          <w:color w:val="auto"/>
          <w:sz w:val="32"/>
          <w:szCs w:val="32"/>
        </w:rPr>
      </w:pPr>
    </w:p>
    <w:p>
      <w:pPr>
        <w:pStyle w:val="14"/>
        <w:rPr>
          <w:color w:val="auto"/>
        </w:rPr>
      </w:pPr>
    </w:p>
    <w:p>
      <w:pPr>
        <w:widowControl/>
        <w:ind w:firstLine="3092" w:firstLineChars="1100"/>
        <w:jc w:val="left"/>
        <w:rPr>
          <w:rFonts w:ascii="宋体" w:hAnsi="宋体" w:cs="宋体"/>
          <w:b/>
          <w:color w:val="auto"/>
          <w:kern w:val="0"/>
          <w:sz w:val="28"/>
          <w:szCs w:val="28"/>
          <w:lang w:bidi="ar"/>
        </w:rPr>
      </w:pPr>
      <w:r>
        <w:rPr>
          <w:rFonts w:hint="eastAsia" w:ascii="宋体" w:hAnsi="宋体" w:cs="宋体"/>
          <w:b/>
          <w:color w:val="auto"/>
          <w:kern w:val="0"/>
          <w:sz w:val="28"/>
          <w:szCs w:val="28"/>
          <w:lang w:bidi="ar"/>
        </w:rPr>
        <w:t xml:space="preserve">（根据采购需求自行编制） </w:t>
      </w:r>
    </w:p>
    <w:p>
      <w:pPr>
        <w:widowControl/>
        <w:ind w:firstLine="3092" w:firstLineChars="1100"/>
        <w:jc w:val="left"/>
        <w:rPr>
          <w:rFonts w:ascii="宋体" w:hAnsi="宋体" w:cs="宋体"/>
          <w:b/>
          <w:color w:val="auto"/>
          <w:kern w:val="0"/>
          <w:sz w:val="28"/>
          <w:szCs w:val="28"/>
          <w:lang w:bidi="ar"/>
        </w:rPr>
      </w:pPr>
    </w:p>
    <w:p>
      <w:pPr>
        <w:widowControl/>
        <w:ind w:firstLine="3092" w:firstLineChars="1100"/>
        <w:jc w:val="left"/>
        <w:rPr>
          <w:rFonts w:ascii="宋体" w:hAnsi="宋体" w:cs="宋体"/>
          <w:b/>
          <w:color w:val="auto"/>
          <w:kern w:val="0"/>
          <w:sz w:val="28"/>
          <w:szCs w:val="28"/>
          <w:lang w:bidi="ar"/>
        </w:rPr>
      </w:pPr>
    </w:p>
    <w:p>
      <w:pPr>
        <w:widowControl/>
        <w:ind w:firstLine="3092" w:firstLineChars="1100"/>
        <w:jc w:val="left"/>
        <w:rPr>
          <w:rFonts w:ascii="宋体" w:hAnsi="宋体" w:cs="宋体"/>
          <w:b/>
          <w:color w:val="auto"/>
          <w:kern w:val="0"/>
          <w:sz w:val="28"/>
          <w:szCs w:val="28"/>
          <w:lang w:bidi="ar"/>
        </w:rPr>
      </w:pPr>
    </w:p>
    <w:p>
      <w:pPr>
        <w:widowControl/>
        <w:ind w:firstLine="3092" w:firstLineChars="1100"/>
        <w:jc w:val="left"/>
        <w:rPr>
          <w:rFonts w:ascii="宋体" w:hAnsi="宋体" w:cs="宋体"/>
          <w:b/>
          <w:color w:val="auto"/>
          <w:kern w:val="0"/>
          <w:sz w:val="28"/>
          <w:szCs w:val="28"/>
          <w:lang w:bidi="ar"/>
        </w:rPr>
      </w:pPr>
    </w:p>
    <w:p>
      <w:pPr>
        <w:widowControl/>
        <w:ind w:firstLine="3570" w:firstLineChars="1700"/>
        <w:jc w:val="left"/>
        <w:rPr>
          <w:rFonts w:ascii="宋体"/>
          <w:color w:val="auto"/>
          <w:szCs w:val="21"/>
        </w:rPr>
      </w:pPr>
      <w:r>
        <w:rPr>
          <w:rFonts w:hint="eastAsia" w:ascii="宋体" w:hAnsi="宋体"/>
          <w:color w:val="auto"/>
          <w:szCs w:val="21"/>
          <w:lang w:eastAsia="zh-CN"/>
        </w:rPr>
        <w:t>投标人</w:t>
      </w:r>
      <w:r>
        <w:rPr>
          <w:rFonts w:hint="eastAsia" w:ascii="宋体" w:hAnsi="宋体"/>
          <w:color w:val="auto"/>
          <w:szCs w:val="21"/>
        </w:rPr>
        <w:t>（公章，自然人除外）：</w:t>
      </w:r>
      <w:r>
        <w:rPr>
          <w:rFonts w:ascii="宋体" w:hAnsi="宋体"/>
          <w:color w:val="auto"/>
          <w:szCs w:val="21"/>
          <w:u w:val="single"/>
        </w:rPr>
        <w:t xml:space="preserve">                                         </w:t>
      </w:r>
    </w:p>
    <w:p>
      <w:pPr>
        <w:pStyle w:val="17"/>
        <w:spacing w:line="300" w:lineRule="exact"/>
        <w:ind w:left="2940" w:leftChars="1400" w:firstLine="630" w:firstLineChars="300"/>
        <w:rPr>
          <w:rFonts w:hAnsi="宋体"/>
          <w:color w:val="auto"/>
        </w:rPr>
      </w:pPr>
    </w:p>
    <w:p>
      <w:pPr>
        <w:pStyle w:val="17"/>
        <w:spacing w:line="300" w:lineRule="exact"/>
        <w:ind w:left="2940" w:leftChars="1400" w:firstLine="630" w:firstLineChars="300"/>
        <w:rPr>
          <w:rFonts w:hAnsi="宋体"/>
          <w:color w:val="auto"/>
        </w:rPr>
      </w:pPr>
      <w:r>
        <w:rPr>
          <w:rFonts w:hint="eastAsia" w:hAnsi="宋体"/>
          <w:color w:val="auto"/>
        </w:rPr>
        <w:t>法定代表人、负责人、自然人或相应的委托代理人签字</w:t>
      </w:r>
    </w:p>
    <w:p>
      <w:pPr>
        <w:pStyle w:val="17"/>
        <w:spacing w:line="300" w:lineRule="exact"/>
        <w:ind w:firstLine="3465" w:firstLineChars="1650"/>
        <w:rPr>
          <w:b/>
          <w:color w:val="auto"/>
          <w:sz w:val="28"/>
          <w:szCs w:val="28"/>
        </w:rPr>
      </w:pPr>
      <w:r>
        <w:rPr>
          <w:rFonts w:hint="eastAsia" w:hAnsi="宋体"/>
          <w:color w:val="auto"/>
        </w:rPr>
        <w:t>（属自然人的应在签名处加盖大拇指指印）：</w:t>
      </w:r>
      <w:r>
        <w:rPr>
          <w:rFonts w:hAnsi="宋体"/>
          <w:color w:val="auto"/>
          <w:szCs w:val="21"/>
          <w:u w:val="single"/>
        </w:rPr>
        <w:t xml:space="preserve">                </w:t>
      </w:r>
      <w:r>
        <w:rPr>
          <w:b/>
          <w:color w:val="auto"/>
          <w:sz w:val="28"/>
          <w:szCs w:val="28"/>
        </w:rPr>
        <w:t xml:space="preserve"> </w:t>
      </w:r>
    </w:p>
    <w:p>
      <w:pPr>
        <w:pStyle w:val="17"/>
        <w:spacing w:line="300" w:lineRule="exact"/>
        <w:rPr>
          <w:b/>
          <w:color w:val="auto"/>
          <w:sz w:val="28"/>
          <w:szCs w:val="28"/>
        </w:rPr>
      </w:pPr>
    </w:p>
    <w:p>
      <w:pPr>
        <w:snapToGrid w:val="0"/>
        <w:spacing w:line="300" w:lineRule="exact"/>
        <w:ind w:firstLine="3570" w:firstLineChars="1700"/>
        <w:rPr>
          <w:color w:val="auto"/>
          <w:u w:val="single"/>
        </w:rPr>
      </w:pPr>
      <w:r>
        <w:rPr>
          <w:color w:val="auto"/>
        </w:rPr>
        <w:t>日          期：</w:t>
      </w:r>
      <w:r>
        <w:rPr>
          <w:color w:val="auto"/>
          <w:u w:val="single"/>
        </w:rPr>
        <w:t xml:space="preserve">                              </w:t>
      </w:r>
    </w:p>
    <w:p>
      <w:pPr>
        <w:snapToGrid w:val="0"/>
        <w:spacing w:line="300" w:lineRule="exact"/>
        <w:ind w:firstLine="3570" w:firstLineChars="1700"/>
        <w:rPr>
          <w:color w:val="auto"/>
          <w:u w:val="single"/>
        </w:rPr>
      </w:pPr>
    </w:p>
    <w:p>
      <w:pPr>
        <w:rPr>
          <w:rFonts w:ascii="宋体" w:hAnsi="宋体" w:cs="宋体"/>
          <w:b/>
          <w:color w:val="auto"/>
          <w:sz w:val="32"/>
          <w:szCs w:val="32"/>
        </w:rPr>
      </w:pPr>
    </w:p>
    <w:p>
      <w:pPr>
        <w:pStyle w:val="14"/>
        <w:rPr>
          <w:color w:val="auto"/>
        </w:rPr>
      </w:pPr>
    </w:p>
    <w:p>
      <w:pPr>
        <w:pStyle w:val="14"/>
        <w:rPr>
          <w:color w:val="auto"/>
        </w:rPr>
      </w:pPr>
    </w:p>
    <w:p>
      <w:pPr>
        <w:pStyle w:val="14"/>
        <w:rPr>
          <w:color w:val="auto"/>
        </w:rPr>
      </w:pPr>
    </w:p>
    <w:p>
      <w:pPr>
        <w:pStyle w:val="14"/>
        <w:rPr>
          <w:color w:val="auto"/>
        </w:rPr>
      </w:pPr>
    </w:p>
    <w:p>
      <w:pPr>
        <w:pStyle w:val="14"/>
        <w:rPr>
          <w:color w:val="auto"/>
        </w:rPr>
      </w:pPr>
    </w:p>
    <w:p>
      <w:pPr>
        <w:pStyle w:val="14"/>
        <w:rPr>
          <w:color w:val="auto"/>
        </w:rPr>
      </w:pPr>
    </w:p>
    <w:p>
      <w:pPr>
        <w:rPr>
          <w:color w:val="auto"/>
        </w:rPr>
      </w:pPr>
    </w:p>
    <w:p>
      <w:pPr>
        <w:pStyle w:val="14"/>
        <w:rPr>
          <w:color w:val="auto"/>
        </w:rPr>
      </w:pPr>
    </w:p>
    <w:p>
      <w:pPr>
        <w:rPr>
          <w:rFonts w:ascii="宋体" w:hAnsi="宋体" w:cs="宋体"/>
          <w:b/>
          <w:bCs/>
          <w:color w:val="auto"/>
          <w:sz w:val="32"/>
          <w:szCs w:val="32"/>
        </w:rPr>
      </w:pPr>
      <w:r>
        <w:rPr>
          <w:rFonts w:hint="eastAsia" w:ascii="宋体" w:hAnsi="宋体" w:cs="宋体"/>
          <w:b/>
          <w:bCs/>
          <w:color w:val="auto"/>
          <w:sz w:val="32"/>
          <w:szCs w:val="32"/>
        </w:rPr>
        <w:t>6.项目实施人员一览表（格式见附件）【如有，请提供，并一起提供由县级以上（含县级）社会养老保险经办机构出具的投标人为项目实施人员交纳的开标截止时间前半年内任意连续三个月社保证明复印件（如投标人为截标时间前60日以内成立的公司，可以提供投标人与项目实施人员签订的劳动合同复印件代替社保证明复印件；如投标人为事业单位，可以提供事业单位机构编制管理证复印件或事业单位机构为其发放工资的工资条复印件代替社保证明复印件；如项目实施人员为免缴纳社保人员，提供免缴纳社保的证明材料复印件及投标人与项目实施人员签订的劳动合同复印件代替社保证明复印件】</w:t>
      </w:r>
    </w:p>
    <w:p>
      <w:pPr>
        <w:jc w:val="left"/>
        <w:rPr>
          <w:rFonts w:ascii="宋体" w:hAnsi="宋体" w:cs="宋体"/>
          <w:b/>
          <w:bCs/>
          <w:color w:val="auto"/>
          <w:sz w:val="32"/>
          <w:szCs w:val="32"/>
        </w:rPr>
      </w:pPr>
      <w:r>
        <w:rPr>
          <w:rFonts w:hint="eastAsia" w:ascii="宋体" w:hAnsi="宋体" w:cs="宋体"/>
          <w:b/>
          <w:bCs/>
          <w:color w:val="auto"/>
          <w:sz w:val="32"/>
          <w:szCs w:val="32"/>
        </w:rPr>
        <w:t>附件：</w:t>
      </w:r>
    </w:p>
    <w:p>
      <w:pPr>
        <w:jc w:val="center"/>
        <w:rPr>
          <w:rFonts w:ascii="宋体" w:hAnsi="宋体" w:cs="宋体"/>
          <w:b/>
          <w:bCs/>
          <w:color w:val="auto"/>
          <w:sz w:val="32"/>
          <w:szCs w:val="32"/>
        </w:rPr>
      </w:pPr>
      <w:r>
        <w:rPr>
          <w:rFonts w:hint="eastAsia" w:ascii="宋体" w:hAnsi="宋体" w:cs="宋体"/>
          <w:b/>
          <w:bCs/>
          <w:color w:val="auto"/>
          <w:sz w:val="32"/>
          <w:szCs w:val="32"/>
        </w:rPr>
        <w:t>项目实施人员一览表（格式）</w:t>
      </w:r>
    </w:p>
    <w:p>
      <w:pPr>
        <w:rPr>
          <w:rFonts w:ascii="宋体" w:hAnsi="宋体" w:cs="宋体"/>
          <w:b/>
          <w:bCs/>
          <w:color w:val="auto"/>
          <w:sz w:val="32"/>
          <w:szCs w:val="32"/>
        </w:rPr>
      </w:pPr>
      <w:r>
        <w:rPr>
          <w:rFonts w:hint="eastAsia" w:ascii="宋体" w:hAnsi="宋体" w:cs="宋体"/>
          <w:b/>
          <w:bCs/>
          <w:color w:val="auto"/>
          <w:sz w:val="32"/>
          <w:szCs w:val="32"/>
        </w:rPr>
        <w:t xml:space="preserve">     </w:t>
      </w:r>
    </w:p>
    <w:tbl>
      <w:tblPr>
        <w:tblStyle w:val="2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993"/>
        <w:gridCol w:w="1888"/>
        <w:gridCol w:w="1559"/>
        <w:gridCol w:w="2163"/>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shd w:val="clear" w:color="auto" w:fill="8DB3E2"/>
            <w:vAlign w:val="center"/>
          </w:tcPr>
          <w:p>
            <w:pPr>
              <w:spacing w:line="400" w:lineRule="exact"/>
              <w:jc w:val="center"/>
              <w:rPr>
                <w:rFonts w:ascii="宋体" w:hAnsi="宋体" w:cs="宋体"/>
                <w:b/>
                <w:bCs/>
                <w:color w:val="auto"/>
                <w:szCs w:val="21"/>
              </w:rPr>
            </w:pPr>
            <w:r>
              <w:rPr>
                <w:rFonts w:hint="eastAsia" w:ascii="宋体" w:hAnsi="宋体" w:cs="宋体"/>
                <w:b/>
                <w:bCs/>
                <w:color w:val="auto"/>
                <w:szCs w:val="21"/>
              </w:rPr>
              <w:t>姓 名</w:t>
            </w:r>
          </w:p>
        </w:tc>
        <w:tc>
          <w:tcPr>
            <w:tcW w:w="993" w:type="dxa"/>
            <w:shd w:val="clear" w:color="auto" w:fill="8DB3E2"/>
            <w:vAlign w:val="center"/>
          </w:tcPr>
          <w:p>
            <w:pPr>
              <w:spacing w:line="400" w:lineRule="exact"/>
              <w:jc w:val="center"/>
              <w:rPr>
                <w:rFonts w:ascii="宋体" w:hAnsi="宋体" w:cs="宋体"/>
                <w:b/>
                <w:bCs/>
                <w:color w:val="auto"/>
                <w:szCs w:val="21"/>
              </w:rPr>
            </w:pPr>
            <w:r>
              <w:rPr>
                <w:rFonts w:hint="eastAsia" w:ascii="宋体" w:hAnsi="宋体" w:cs="宋体"/>
                <w:b/>
                <w:bCs/>
                <w:color w:val="auto"/>
                <w:szCs w:val="21"/>
              </w:rPr>
              <w:t>职务</w:t>
            </w:r>
          </w:p>
        </w:tc>
        <w:tc>
          <w:tcPr>
            <w:tcW w:w="1888" w:type="dxa"/>
            <w:shd w:val="clear" w:color="auto" w:fill="8DB3E2"/>
            <w:vAlign w:val="center"/>
          </w:tcPr>
          <w:p>
            <w:pPr>
              <w:spacing w:line="400" w:lineRule="exact"/>
              <w:jc w:val="center"/>
              <w:rPr>
                <w:rFonts w:ascii="宋体" w:hAnsi="宋体" w:cs="宋体"/>
                <w:b/>
                <w:bCs/>
                <w:color w:val="auto"/>
                <w:szCs w:val="21"/>
              </w:rPr>
            </w:pPr>
            <w:r>
              <w:rPr>
                <w:rFonts w:hint="eastAsia" w:ascii="宋体" w:hAnsi="宋体" w:cs="宋体"/>
                <w:b/>
                <w:bCs/>
                <w:color w:val="auto"/>
                <w:szCs w:val="21"/>
              </w:rPr>
              <w:t>专业技术资格</w:t>
            </w:r>
          </w:p>
        </w:tc>
        <w:tc>
          <w:tcPr>
            <w:tcW w:w="1559" w:type="dxa"/>
            <w:shd w:val="clear" w:color="auto" w:fill="8DB3E2"/>
            <w:vAlign w:val="center"/>
          </w:tcPr>
          <w:p>
            <w:pPr>
              <w:spacing w:line="400" w:lineRule="exact"/>
              <w:jc w:val="center"/>
              <w:rPr>
                <w:rFonts w:ascii="宋体" w:hAnsi="宋体" w:cs="宋体"/>
                <w:b/>
                <w:bCs/>
                <w:color w:val="auto"/>
                <w:szCs w:val="21"/>
              </w:rPr>
            </w:pPr>
            <w:r>
              <w:rPr>
                <w:rFonts w:hint="eastAsia" w:ascii="宋体" w:hAnsi="宋体" w:cs="宋体"/>
                <w:b/>
                <w:bCs/>
                <w:color w:val="auto"/>
                <w:szCs w:val="21"/>
              </w:rPr>
              <w:t>证书编号</w:t>
            </w:r>
          </w:p>
        </w:tc>
        <w:tc>
          <w:tcPr>
            <w:tcW w:w="2163" w:type="dxa"/>
            <w:shd w:val="clear" w:color="auto" w:fill="8DB3E2"/>
            <w:vAlign w:val="center"/>
          </w:tcPr>
          <w:p>
            <w:pPr>
              <w:spacing w:line="400" w:lineRule="exact"/>
              <w:jc w:val="center"/>
              <w:rPr>
                <w:rFonts w:ascii="宋体" w:hAnsi="宋体" w:cs="宋体"/>
                <w:b/>
                <w:bCs/>
                <w:color w:val="auto"/>
                <w:szCs w:val="21"/>
              </w:rPr>
            </w:pPr>
            <w:r>
              <w:rPr>
                <w:rFonts w:hint="eastAsia" w:ascii="宋体" w:hAnsi="宋体" w:cs="宋体"/>
                <w:b/>
                <w:bCs/>
                <w:color w:val="auto"/>
                <w:szCs w:val="21"/>
              </w:rPr>
              <w:t>参加工作时间</w:t>
            </w:r>
          </w:p>
        </w:tc>
        <w:tc>
          <w:tcPr>
            <w:tcW w:w="1477" w:type="dxa"/>
            <w:shd w:val="clear" w:color="auto" w:fill="8DB3E2"/>
            <w:vAlign w:val="center"/>
          </w:tcPr>
          <w:p>
            <w:pPr>
              <w:spacing w:line="400" w:lineRule="exact"/>
              <w:jc w:val="center"/>
              <w:rPr>
                <w:rFonts w:ascii="宋体" w:hAnsi="宋体" w:cs="宋体"/>
                <w:b/>
                <w:bCs/>
                <w:color w:val="auto"/>
                <w:szCs w:val="21"/>
              </w:rPr>
            </w:pPr>
            <w:r>
              <w:rPr>
                <w:rFonts w:hint="eastAsia" w:ascii="宋体" w:hAnsi="宋体" w:cs="宋体"/>
                <w:b/>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spacing w:line="400" w:lineRule="exact"/>
              <w:rPr>
                <w:rFonts w:ascii="宋体" w:hAnsi="宋体" w:cs="宋体"/>
                <w:color w:val="auto"/>
                <w:szCs w:val="21"/>
              </w:rPr>
            </w:pPr>
          </w:p>
        </w:tc>
        <w:tc>
          <w:tcPr>
            <w:tcW w:w="993" w:type="dxa"/>
          </w:tcPr>
          <w:p>
            <w:pPr>
              <w:spacing w:line="400" w:lineRule="exact"/>
              <w:rPr>
                <w:rFonts w:ascii="宋体" w:hAnsi="宋体" w:cs="宋体"/>
                <w:color w:val="auto"/>
                <w:szCs w:val="21"/>
              </w:rPr>
            </w:pPr>
          </w:p>
        </w:tc>
        <w:tc>
          <w:tcPr>
            <w:tcW w:w="1888" w:type="dxa"/>
          </w:tcPr>
          <w:p>
            <w:pPr>
              <w:spacing w:line="400" w:lineRule="exact"/>
              <w:rPr>
                <w:rFonts w:ascii="宋体" w:hAnsi="宋体" w:cs="宋体"/>
                <w:color w:val="auto"/>
                <w:szCs w:val="21"/>
              </w:rPr>
            </w:pPr>
          </w:p>
        </w:tc>
        <w:tc>
          <w:tcPr>
            <w:tcW w:w="1559" w:type="dxa"/>
          </w:tcPr>
          <w:p>
            <w:pPr>
              <w:spacing w:line="400" w:lineRule="exact"/>
              <w:rPr>
                <w:rFonts w:ascii="宋体" w:hAnsi="宋体" w:cs="宋体"/>
                <w:color w:val="auto"/>
                <w:szCs w:val="21"/>
              </w:rPr>
            </w:pPr>
          </w:p>
        </w:tc>
        <w:tc>
          <w:tcPr>
            <w:tcW w:w="2163" w:type="dxa"/>
          </w:tcPr>
          <w:p>
            <w:pPr>
              <w:spacing w:line="400" w:lineRule="exact"/>
              <w:rPr>
                <w:rFonts w:ascii="宋体" w:hAnsi="宋体" w:cs="宋体"/>
                <w:color w:val="auto"/>
                <w:szCs w:val="21"/>
              </w:rPr>
            </w:pPr>
          </w:p>
        </w:tc>
        <w:tc>
          <w:tcPr>
            <w:tcW w:w="1477" w:type="dxa"/>
          </w:tcPr>
          <w:p>
            <w:pPr>
              <w:spacing w:line="40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spacing w:line="400" w:lineRule="exact"/>
              <w:rPr>
                <w:rFonts w:ascii="宋体" w:hAnsi="宋体" w:cs="宋体"/>
                <w:color w:val="auto"/>
                <w:szCs w:val="21"/>
              </w:rPr>
            </w:pPr>
          </w:p>
        </w:tc>
        <w:tc>
          <w:tcPr>
            <w:tcW w:w="993" w:type="dxa"/>
          </w:tcPr>
          <w:p>
            <w:pPr>
              <w:spacing w:line="400" w:lineRule="exact"/>
              <w:rPr>
                <w:rFonts w:ascii="宋体" w:hAnsi="宋体" w:cs="宋体"/>
                <w:color w:val="auto"/>
                <w:szCs w:val="21"/>
              </w:rPr>
            </w:pPr>
          </w:p>
        </w:tc>
        <w:tc>
          <w:tcPr>
            <w:tcW w:w="1888" w:type="dxa"/>
          </w:tcPr>
          <w:p>
            <w:pPr>
              <w:spacing w:line="400" w:lineRule="exact"/>
              <w:rPr>
                <w:rFonts w:ascii="宋体" w:hAnsi="宋体" w:cs="宋体"/>
                <w:color w:val="auto"/>
                <w:szCs w:val="21"/>
              </w:rPr>
            </w:pPr>
          </w:p>
        </w:tc>
        <w:tc>
          <w:tcPr>
            <w:tcW w:w="1559" w:type="dxa"/>
          </w:tcPr>
          <w:p>
            <w:pPr>
              <w:spacing w:line="400" w:lineRule="exact"/>
              <w:rPr>
                <w:rFonts w:ascii="宋体" w:hAnsi="宋体" w:cs="宋体"/>
                <w:color w:val="auto"/>
                <w:szCs w:val="21"/>
              </w:rPr>
            </w:pPr>
          </w:p>
        </w:tc>
        <w:tc>
          <w:tcPr>
            <w:tcW w:w="2163" w:type="dxa"/>
          </w:tcPr>
          <w:p>
            <w:pPr>
              <w:spacing w:line="400" w:lineRule="exact"/>
              <w:rPr>
                <w:rFonts w:ascii="宋体" w:hAnsi="宋体" w:cs="宋体"/>
                <w:color w:val="auto"/>
                <w:szCs w:val="21"/>
              </w:rPr>
            </w:pPr>
          </w:p>
        </w:tc>
        <w:tc>
          <w:tcPr>
            <w:tcW w:w="1477" w:type="dxa"/>
          </w:tcPr>
          <w:p>
            <w:pPr>
              <w:spacing w:line="40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spacing w:line="400" w:lineRule="exact"/>
              <w:rPr>
                <w:rFonts w:ascii="宋体" w:hAnsi="宋体" w:cs="宋体"/>
                <w:color w:val="auto"/>
                <w:szCs w:val="21"/>
              </w:rPr>
            </w:pPr>
          </w:p>
        </w:tc>
        <w:tc>
          <w:tcPr>
            <w:tcW w:w="993" w:type="dxa"/>
          </w:tcPr>
          <w:p>
            <w:pPr>
              <w:spacing w:line="400" w:lineRule="exact"/>
              <w:rPr>
                <w:rFonts w:ascii="宋体" w:hAnsi="宋体" w:cs="宋体"/>
                <w:color w:val="auto"/>
                <w:szCs w:val="21"/>
              </w:rPr>
            </w:pPr>
          </w:p>
        </w:tc>
        <w:tc>
          <w:tcPr>
            <w:tcW w:w="1888" w:type="dxa"/>
          </w:tcPr>
          <w:p>
            <w:pPr>
              <w:spacing w:line="400" w:lineRule="exact"/>
              <w:rPr>
                <w:rFonts w:ascii="宋体" w:hAnsi="宋体" w:cs="宋体"/>
                <w:color w:val="auto"/>
                <w:szCs w:val="21"/>
              </w:rPr>
            </w:pPr>
          </w:p>
        </w:tc>
        <w:tc>
          <w:tcPr>
            <w:tcW w:w="1559" w:type="dxa"/>
          </w:tcPr>
          <w:p>
            <w:pPr>
              <w:spacing w:line="400" w:lineRule="exact"/>
              <w:rPr>
                <w:rFonts w:ascii="宋体" w:hAnsi="宋体" w:cs="宋体"/>
                <w:color w:val="auto"/>
                <w:szCs w:val="21"/>
              </w:rPr>
            </w:pPr>
          </w:p>
        </w:tc>
        <w:tc>
          <w:tcPr>
            <w:tcW w:w="2163" w:type="dxa"/>
          </w:tcPr>
          <w:p>
            <w:pPr>
              <w:spacing w:line="400" w:lineRule="exact"/>
              <w:rPr>
                <w:rFonts w:ascii="宋体" w:hAnsi="宋体" w:cs="宋体"/>
                <w:color w:val="auto"/>
                <w:szCs w:val="21"/>
              </w:rPr>
            </w:pPr>
          </w:p>
        </w:tc>
        <w:tc>
          <w:tcPr>
            <w:tcW w:w="1477" w:type="dxa"/>
          </w:tcPr>
          <w:p>
            <w:pPr>
              <w:spacing w:line="40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spacing w:line="400" w:lineRule="exact"/>
              <w:rPr>
                <w:rFonts w:ascii="宋体" w:hAnsi="宋体" w:cs="宋体"/>
                <w:color w:val="auto"/>
                <w:szCs w:val="21"/>
              </w:rPr>
            </w:pPr>
          </w:p>
        </w:tc>
        <w:tc>
          <w:tcPr>
            <w:tcW w:w="993" w:type="dxa"/>
          </w:tcPr>
          <w:p>
            <w:pPr>
              <w:spacing w:line="400" w:lineRule="exact"/>
              <w:rPr>
                <w:rFonts w:ascii="宋体" w:hAnsi="宋体" w:cs="宋体"/>
                <w:color w:val="auto"/>
                <w:szCs w:val="21"/>
              </w:rPr>
            </w:pPr>
          </w:p>
        </w:tc>
        <w:tc>
          <w:tcPr>
            <w:tcW w:w="1888" w:type="dxa"/>
          </w:tcPr>
          <w:p>
            <w:pPr>
              <w:spacing w:line="400" w:lineRule="exact"/>
              <w:rPr>
                <w:rFonts w:ascii="宋体" w:hAnsi="宋体" w:cs="宋体"/>
                <w:color w:val="auto"/>
                <w:szCs w:val="21"/>
              </w:rPr>
            </w:pPr>
          </w:p>
        </w:tc>
        <w:tc>
          <w:tcPr>
            <w:tcW w:w="1559" w:type="dxa"/>
          </w:tcPr>
          <w:p>
            <w:pPr>
              <w:spacing w:line="400" w:lineRule="exact"/>
              <w:rPr>
                <w:rFonts w:ascii="宋体" w:hAnsi="宋体" w:cs="宋体"/>
                <w:color w:val="auto"/>
                <w:szCs w:val="21"/>
              </w:rPr>
            </w:pPr>
          </w:p>
        </w:tc>
        <w:tc>
          <w:tcPr>
            <w:tcW w:w="2163" w:type="dxa"/>
          </w:tcPr>
          <w:p>
            <w:pPr>
              <w:spacing w:line="400" w:lineRule="exact"/>
              <w:rPr>
                <w:rFonts w:ascii="宋体" w:hAnsi="宋体" w:cs="宋体"/>
                <w:color w:val="auto"/>
                <w:szCs w:val="21"/>
              </w:rPr>
            </w:pPr>
          </w:p>
        </w:tc>
        <w:tc>
          <w:tcPr>
            <w:tcW w:w="1477" w:type="dxa"/>
          </w:tcPr>
          <w:p>
            <w:pPr>
              <w:spacing w:line="40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spacing w:line="400" w:lineRule="exact"/>
              <w:rPr>
                <w:rFonts w:ascii="宋体" w:hAnsi="宋体" w:cs="宋体"/>
                <w:color w:val="auto"/>
                <w:szCs w:val="21"/>
              </w:rPr>
            </w:pPr>
          </w:p>
        </w:tc>
        <w:tc>
          <w:tcPr>
            <w:tcW w:w="993" w:type="dxa"/>
          </w:tcPr>
          <w:p>
            <w:pPr>
              <w:spacing w:line="400" w:lineRule="exact"/>
              <w:rPr>
                <w:rFonts w:ascii="宋体" w:hAnsi="宋体" w:cs="宋体"/>
                <w:color w:val="auto"/>
                <w:szCs w:val="21"/>
              </w:rPr>
            </w:pPr>
          </w:p>
        </w:tc>
        <w:tc>
          <w:tcPr>
            <w:tcW w:w="1888" w:type="dxa"/>
          </w:tcPr>
          <w:p>
            <w:pPr>
              <w:spacing w:line="400" w:lineRule="exact"/>
              <w:rPr>
                <w:rFonts w:ascii="宋体" w:hAnsi="宋体" w:cs="宋体"/>
                <w:color w:val="auto"/>
                <w:szCs w:val="21"/>
              </w:rPr>
            </w:pPr>
          </w:p>
        </w:tc>
        <w:tc>
          <w:tcPr>
            <w:tcW w:w="1559" w:type="dxa"/>
          </w:tcPr>
          <w:p>
            <w:pPr>
              <w:spacing w:line="400" w:lineRule="exact"/>
              <w:rPr>
                <w:rFonts w:ascii="宋体" w:hAnsi="宋体" w:cs="宋体"/>
                <w:color w:val="auto"/>
                <w:szCs w:val="21"/>
              </w:rPr>
            </w:pPr>
          </w:p>
        </w:tc>
        <w:tc>
          <w:tcPr>
            <w:tcW w:w="2163" w:type="dxa"/>
          </w:tcPr>
          <w:p>
            <w:pPr>
              <w:spacing w:line="400" w:lineRule="exact"/>
              <w:rPr>
                <w:rFonts w:ascii="宋体" w:hAnsi="宋体" w:cs="宋体"/>
                <w:color w:val="auto"/>
                <w:szCs w:val="21"/>
              </w:rPr>
            </w:pPr>
          </w:p>
        </w:tc>
        <w:tc>
          <w:tcPr>
            <w:tcW w:w="1477" w:type="dxa"/>
          </w:tcPr>
          <w:p>
            <w:pPr>
              <w:spacing w:line="40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spacing w:line="400" w:lineRule="exact"/>
              <w:rPr>
                <w:rFonts w:ascii="宋体" w:hAnsi="宋体" w:cs="宋体"/>
                <w:color w:val="auto"/>
                <w:szCs w:val="21"/>
              </w:rPr>
            </w:pPr>
          </w:p>
        </w:tc>
        <w:tc>
          <w:tcPr>
            <w:tcW w:w="993" w:type="dxa"/>
          </w:tcPr>
          <w:p>
            <w:pPr>
              <w:spacing w:line="400" w:lineRule="exact"/>
              <w:rPr>
                <w:rFonts w:ascii="宋体" w:hAnsi="宋体" w:cs="宋体"/>
                <w:color w:val="auto"/>
                <w:szCs w:val="21"/>
              </w:rPr>
            </w:pPr>
          </w:p>
        </w:tc>
        <w:tc>
          <w:tcPr>
            <w:tcW w:w="1888" w:type="dxa"/>
          </w:tcPr>
          <w:p>
            <w:pPr>
              <w:spacing w:line="400" w:lineRule="exact"/>
              <w:rPr>
                <w:rFonts w:ascii="宋体" w:hAnsi="宋体" w:cs="宋体"/>
                <w:color w:val="auto"/>
                <w:szCs w:val="21"/>
              </w:rPr>
            </w:pPr>
          </w:p>
        </w:tc>
        <w:tc>
          <w:tcPr>
            <w:tcW w:w="1559" w:type="dxa"/>
          </w:tcPr>
          <w:p>
            <w:pPr>
              <w:spacing w:line="400" w:lineRule="exact"/>
              <w:rPr>
                <w:rFonts w:ascii="宋体" w:hAnsi="宋体" w:cs="宋体"/>
                <w:color w:val="auto"/>
                <w:szCs w:val="21"/>
              </w:rPr>
            </w:pPr>
          </w:p>
        </w:tc>
        <w:tc>
          <w:tcPr>
            <w:tcW w:w="2163" w:type="dxa"/>
          </w:tcPr>
          <w:p>
            <w:pPr>
              <w:spacing w:line="400" w:lineRule="exact"/>
              <w:rPr>
                <w:rFonts w:ascii="宋体" w:hAnsi="宋体" w:cs="宋体"/>
                <w:color w:val="auto"/>
                <w:szCs w:val="21"/>
              </w:rPr>
            </w:pPr>
          </w:p>
        </w:tc>
        <w:tc>
          <w:tcPr>
            <w:tcW w:w="1477" w:type="dxa"/>
          </w:tcPr>
          <w:p>
            <w:pPr>
              <w:spacing w:line="400" w:lineRule="exact"/>
              <w:rPr>
                <w:rFonts w:ascii="宋体" w:hAnsi="宋体" w:cs="宋体"/>
                <w:color w:val="auto"/>
                <w:szCs w:val="21"/>
              </w:rPr>
            </w:pPr>
          </w:p>
        </w:tc>
      </w:tr>
    </w:tbl>
    <w:p>
      <w:pPr>
        <w:spacing w:line="400" w:lineRule="exact"/>
        <w:rPr>
          <w:rFonts w:ascii="宋体" w:hAnsi="宋体" w:cs="宋体"/>
          <w:color w:val="auto"/>
          <w:szCs w:val="21"/>
        </w:rPr>
      </w:pPr>
    </w:p>
    <w:p>
      <w:pPr>
        <w:spacing w:line="400" w:lineRule="exact"/>
        <w:ind w:firstLine="422" w:firstLineChars="200"/>
        <w:rPr>
          <w:rFonts w:ascii="宋体" w:hAnsi="宋体" w:cs="宋体"/>
          <w:b/>
          <w:color w:val="auto"/>
          <w:szCs w:val="21"/>
        </w:rPr>
      </w:pPr>
      <w:r>
        <w:rPr>
          <w:rFonts w:hint="eastAsia" w:ascii="宋体" w:hAnsi="宋体" w:cs="宋体"/>
          <w:b/>
          <w:color w:val="auto"/>
          <w:szCs w:val="21"/>
        </w:rPr>
        <w:t>注：1.在填写时，如本表格不适合投标单位的实际情况，可根据本表格式自行制表填写。</w:t>
      </w:r>
    </w:p>
    <w:p>
      <w:pPr>
        <w:spacing w:line="400" w:lineRule="exact"/>
        <w:ind w:firstLine="3255" w:firstLineChars="1550"/>
        <w:rPr>
          <w:rFonts w:ascii="宋体" w:hAnsi="宋体" w:cs="宋体"/>
          <w:color w:val="auto"/>
        </w:rPr>
      </w:pPr>
      <w:r>
        <w:rPr>
          <w:rFonts w:hint="eastAsia" w:ascii="宋体" w:hAnsi="宋体" w:cs="宋体"/>
          <w:color w:val="auto"/>
        </w:rPr>
        <w:t xml:space="preserve">   </w:t>
      </w:r>
    </w:p>
    <w:p>
      <w:pPr>
        <w:spacing w:line="400" w:lineRule="exact"/>
        <w:ind w:firstLine="3255" w:firstLineChars="1550"/>
        <w:rPr>
          <w:rFonts w:ascii="宋体" w:hAnsi="宋体" w:cs="宋体"/>
          <w:color w:val="auto"/>
        </w:rPr>
      </w:pPr>
    </w:p>
    <w:p>
      <w:pPr>
        <w:snapToGrid w:val="0"/>
        <w:spacing w:line="400" w:lineRule="exact"/>
        <w:ind w:firstLine="1890" w:firstLineChars="900"/>
        <w:rPr>
          <w:rFonts w:ascii="宋体" w:hAnsi="宋体" w:cs="宋体"/>
          <w:color w:val="auto"/>
          <w:szCs w:val="21"/>
          <w:u w:val="single"/>
        </w:rPr>
      </w:pPr>
      <w:r>
        <w:rPr>
          <w:rFonts w:hint="eastAsia" w:ascii="宋体" w:hAnsi="宋体" w:cs="宋体"/>
          <w:color w:val="auto"/>
          <w:szCs w:val="21"/>
        </w:rPr>
        <w:t>投标人（公章，自然人除外）：</w:t>
      </w:r>
      <w:r>
        <w:rPr>
          <w:rFonts w:hint="eastAsia" w:ascii="宋体" w:hAnsi="宋体" w:cs="宋体"/>
          <w:color w:val="auto"/>
          <w:szCs w:val="21"/>
          <w:u w:val="single"/>
        </w:rPr>
        <w:t xml:space="preserve">                                         </w:t>
      </w:r>
    </w:p>
    <w:p>
      <w:pPr>
        <w:spacing w:line="340" w:lineRule="exact"/>
        <w:ind w:firstLine="1890" w:firstLineChars="900"/>
        <w:rPr>
          <w:rFonts w:ascii="宋体" w:hAnsi="宋体" w:cs="宋体"/>
          <w:color w:val="auto"/>
        </w:rPr>
      </w:pPr>
      <w:r>
        <w:rPr>
          <w:rFonts w:hint="eastAsia" w:ascii="宋体" w:hAnsi="宋体" w:cs="宋体"/>
          <w:color w:val="auto"/>
        </w:rPr>
        <w:t>法定代表人、负责人、自然人或相应的委托代理人签字（或盖章）</w:t>
      </w:r>
    </w:p>
    <w:p>
      <w:pPr>
        <w:spacing w:line="340" w:lineRule="exact"/>
        <w:ind w:firstLine="1680" w:firstLineChars="800"/>
        <w:rPr>
          <w:rFonts w:ascii="宋体" w:hAnsi="宋体" w:cs="宋体"/>
          <w:color w:val="auto"/>
          <w:szCs w:val="21"/>
          <w:u w:val="single"/>
        </w:rPr>
      </w:pPr>
      <w:r>
        <w:rPr>
          <w:rFonts w:hint="eastAsia" w:ascii="宋体" w:hAnsi="宋体" w:cs="宋体"/>
          <w:color w:val="auto"/>
        </w:rPr>
        <w:t>（属自然人的应在签名处加盖大拇指指印）：</w:t>
      </w:r>
      <w:r>
        <w:rPr>
          <w:rFonts w:hint="eastAsia" w:ascii="宋体" w:hAnsi="宋体" w:cs="宋体"/>
          <w:color w:val="auto"/>
          <w:szCs w:val="21"/>
          <w:u w:val="single"/>
        </w:rPr>
        <w:t xml:space="preserve">                              </w:t>
      </w:r>
    </w:p>
    <w:p>
      <w:pPr>
        <w:spacing w:line="340" w:lineRule="exact"/>
        <w:ind w:firstLine="1680" w:firstLineChars="800"/>
        <w:rPr>
          <w:rFonts w:ascii="宋体" w:hAnsi="宋体" w:cs="宋体"/>
          <w:color w:val="auto"/>
          <w:szCs w:val="21"/>
          <w:u w:val="single"/>
        </w:rPr>
      </w:pPr>
    </w:p>
    <w:p>
      <w:pPr>
        <w:spacing w:line="340" w:lineRule="exact"/>
        <w:ind w:firstLine="1890" w:firstLineChars="900"/>
        <w:rPr>
          <w:color w:val="auto"/>
        </w:rPr>
      </w:pPr>
      <w:r>
        <w:rPr>
          <w:rFonts w:hint="eastAsia" w:ascii="宋体" w:hAnsi="宋体" w:cs="宋体"/>
          <w:color w:val="auto"/>
        </w:rPr>
        <w:t>日          期：</w:t>
      </w:r>
      <w:r>
        <w:rPr>
          <w:rFonts w:hint="eastAsia" w:ascii="宋体" w:hAnsi="宋体" w:cs="宋体"/>
          <w:color w:val="auto"/>
          <w:u w:val="single"/>
        </w:rPr>
        <w:t xml:space="preserve">                                                   </w:t>
      </w:r>
    </w:p>
    <w:p>
      <w:pPr>
        <w:rPr>
          <w:rFonts w:ascii="宋体" w:hAnsi="宋体" w:cs="宋体"/>
          <w:b/>
          <w:bCs/>
          <w:color w:val="auto"/>
          <w:sz w:val="32"/>
          <w:szCs w:val="32"/>
        </w:rPr>
      </w:pPr>
      <w:bookmarkStart w:id="245" w:name="_Toc10856"/>
      <w:bookmarkStart w:id="246" w:name="_Toc495841799"/>
      <w:r>
        <w:rPr>
          <w:rFonts w:hint="eastAsia" w:ascii="宋体" w:hAnsi="宋体" w:cs="宋体"/>
          <w:b/>
          <w:bCs/>
          <w:color w:val="auto"/>
          <w:sz w:val="32"/>
          <w:szCs w:val="32"/>
        </w:rPr>
        <w:t>7.节能方面的证书复印件（如有，请提供）</w:t>
      </w:r>
      <w:bookmarkEnd w:id="245"/>
      <w:bookmarkEnd w:id="246"/>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bookmarkStart w:id="247" w:name="_Toc495841800"/>
      <w:bookmarkStart w:id="248" w:name="_Toc21473"/>
      <w:r>
        <w:rPr>
          <w:rFonts w:hint="eastAsia" w:ascii="宋体" w:hAnsi="宋体" w:cs="宋体"/>
          <w:b/>
          <w:bCs/>
          <w:color w:val="auto"/>
          <w:sz w:val="32"/>
          <w:szCs w:val="32"/>
        </w:rPr>
        <w:t>8.环境标志方面的证书复印件（如有，请提供）</w:t>
      </w:r>
      <w:bookmarkEnd w:id="247"/>
      <w:bookmarkEnd w:id="248"/>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bookmarkStart w:id="249" w:name="_Toc495841802"/>
      <w:bookmarkStart w:id="250" w:name="_Toc6517"/>
      <w:r>
        <w:rPr>
          <w:rFonts w:hint="eastAsia" w:ascii="宋体" w:hAnsi="宋体" w:cs="宋体"/>
          <w:b/>
          <w:bCs/>
          <w:color w:val="auto"/>
          <w:sz w:val="32"/>
          <w:szCs w:val="32"/>
        </w:rPr>
        <w:t>9.</w:t>
      </w:r>
      <w:bookmarkEnd w:id="249"/>
      <w:bookmarkEnd w:id="250"/>
      <w:r>
        <w:rPr>
          <w:rFonts w:hint="eastAsia" w:ascii="宋体" w:hAnsi="宋体" w:cs="宋体"/>
          <w:b/>
          <w:bCs/>
          <w:color w:val="auto"/>
          <w:sz w:val="32"/>
          <w:szCs w:val="32"/>
        </w:rPr>
        <w:t>投标人2018年1月1日以来同类产品销售业绩的相关证明材料（无不良记录，以中标、成交通知书或签订的采购合同复印件为准，并能清晰反映所销售的货物名称、种类、金额）（如有，请提供）</w:t>
      </w:r>
    </w:p>
    <w:p>
      <w:pPr>
        <w:rPr>
          <w:rFonts w:ascii="宋体" w:hAnsi="宋体" w:cs="宋体"/>
          <w:b/>
          <w:bCs/>
          <w:color w:val="auto"/>
          <w:sz w:val="32"/>
          <w:szCs w:val="32"/>
        </w:rPr>
      </w:pPr>
    </w:p>
    <w:p>
      <w:pPr>
        <w:rPr>
          <w:rFonts w:ascii="宋体" w:hAnsi="宋体" w:cs="宋体"/>
          <w:b/>
          <w:bCs/>
          <w:color w:val="auto"/>
          <w:sz w:val="32"/>
          <w:szCs w:val="32"/>
        </w:rPr>
      </w:pPr>
      <w:bookmarkStart w:id="251" w:name="_Toc30520"/>
      <w:bookmarkStart w:id="252" w:name="_Toc495841803"/>
      <w:r>
        <w:rPr>
          <w:rFonts w:hint="eastAsia" w:ascii="宋体" w:hAnsi="宋体" w:cs="宋体"/>
          <w:b/>
          <w:bCs/>
          <w:color w:val="auto"/>
          <w:sz w:val="32"/>
          <w:szCs w:val="32"/>
        </w:rPr>
        <w:t>10.投标人为生产厂家的，投标人的生产制造设备清单及专业技术能力说明（如有，请提供）</w:t>
      </w:r>
      <w:bookmarkEnd w:id="251"/>
      <w:bookmarkEnd w:id="252"/>
    </w:p>
    <w:p>
      <w:pPr>
        <w:rPr>
          <w:rFonts w:ascii="宋体" w:hAnsi="宋体" w:cs="宋体"/>
          <w:b/>
          <w:bCs/>
          <w:color w:val="auto"/>
          <w:sz w:val="32"/>
          <w:szCs w:val="32"/>
        </w:rPr>
      </w:pPr>
    </w:p>
    <w:p>
      <w:pPr>
        <w:pStyle w:val="14"/>
        <w:rPr>
          <w:rFonts w:ascii="宋体" w:hAnsi="宋体" w:cs="宋体"/>
          <w:b/>
          <w:bCs/>
          <w:color w:val="auto"/>
          <w:sz w:val="32"/>
          <w:szCs w:val="32"/>
        </w:rPr>
      </w:pPr>
    </w:p>
    <w:p>
      <w:pPr>
        <w:pStyle w:val="14"/>
        <w:rPr>
          <w:rFonts w:ascii="宋体" w:hAnsi="宋体" w:cs="宋体"/>
          <w:b/>
          <w:bCs/>
          <w:color w:val="auto"/>
          <w:sz w:val="32"/>
          <w:szCs w:val="32"/>
        </w:rPr>
      </w:pPr>
    </w:p>
    <w:p>
      <w:pPr>
        <w:pStyle w:val="14"/>
        <w:rPr>
          <w:rFonts w:ascii="宋体" w:hAnsi="宋体" w:cs="宋体"/>
          <w:b/>
          <w:bCs/>
          <w:color w:val="auto"/>
          <w:sz w:val="32"/>
          <w:szCs w:val="32"/>
        </w:rPr>
      </w:pPr>
    </w:p>
    <w:p>
      <w:pPr>
        <w:pStyle w:val="14"/>
        <w:rPr>
          <w:color w:val="auto"/>
        </w:rPr>
      </w:pPr>
      <w:bookmarkStart w:id="253" w:name="_Toc5317"/>
      <w:bookmarkStart w:id="254" w:name="_Toc495841804"/>
      <w:r>
        <w:rPr>
          <w:rFonts w:hint="eastAsia" w:ascii="宋体" w:hAnsi="宋体" w:cs="宋体"/>
          <w:b/>
          <w:bCs/>
          <w:color w:val="auto"/>
          <w:sz w:val="32"/>
          <w:szCs w:val="32"/>
        </w:rPr>
        <w:t>11.投标人相关获奖证书、认证证书等复印件（如有，请提供）</w:t>
      </w:r>
      <w:bookmarkEnd w:id="253"/>
      <w:bookmarkEnd w:id="254"/>
      <w:r>
        <w:rPr>
          <w:rFonts w:hint="eastAsia" w:ascii="宋体" w:hAnsi="宋体" w:cs="宋体"/>
          <w:b/>
          <w:color w:val="auto"/>
          <w:sz w:val="32"/>
          <w:szCs w:val="32"/>
        </w:rPr>
        <w:br w:type="page"/>
      </w:r>
    </w:p>
    <w:p>
      <w:pPr>
        <w:pStyle w:val="14"/>
        <w:rPr>
          <w:color w:val="auto"/>
        </w:rPr>
      </w:pPr>
    </w:p>
    <w:p>
      <w:pPr>
        <w:rPr>
          <w:rFonts w:ascii="宋体" w:hAnsi="宋体" w:cs="宋体"/>
          <w:b/>
          <w:bCs/>
          <w:color w:val="auto"/>
          <w:sz w:val="32"/>
          <w:szCs w:val="32"/>
        </w:rPr>
      </w:pPr>
      <w:bookmarkStart w:id="255" w:name="_Toc495841805"/>
      <w:bookmarkStart w:id="256" w:name="_Toc10511"/>
      <w:r>
        <w:rPr>
          <w:rFonts w:hint="eastAsia" w:ascii="宋体" w:hAnsi="宋体" w:cs="宋体"/>
          <w:b/>
          <w:bCs/>
          <w:color w:val="auto"/>
          <w:sz w:val="32"/>
          <w:szCs w:val="32"/>
        </w:rPr>
        <w:t>12.投标人所投产品为广西工业产品的，如实提供《广西工业产品声明函》（如有，请提供）</w:t>
      </w:r>
      <w:bookmarkEnd w:id="255"/>
      <w:bookmarkEnd w:id="256"/>
    </w:p>
    <w:p>
      <w:pPr>
        <w:rPr>
          <w:rFonts w:ascii="宋体" w:hAnsi="宋体" w:cs="宋体"/>
          <w:b/>
          <w:bCs/>
          <w:color w:val="auto"/>
          <w:sz w:val="32"/>
          <w:szCs w:val="32"/>
        </w:rPr>
      </w:pPr>
      <w:r>
        <w:rPr>
          <w:rFonts w:hint="eastAsia" w:ascii="宋体" w:hAnsi="宋体" w:cs="宋体"/>
          <w:b/>
          <w:bCs/>
          <w:color w:val="auto"/>
          <w:sz w:val="32"/>
          <w:szCs w:val="32"/>
        </w:rPr>
        <w:t>附件：</w:t>
      </w:r>
    </w:p>
    <w:p>
      <w:pPr>
        <w:spacing w:line="360" w:lineRule="exact"/>
        <w:jc w:val="center"/>
        <w:rPr>
          <w:rFonts w:ascii="宋体" w:hAnsi="宋体" w:cs="宋体"/>
          <w:b/>
          <w:color w:val="auto"/>
          <w:sz w:val="32"/>
          <w:szCs w:val="32"/>
        </w:rPr>
      </w:pPr>
      <w:r>
        <w:rPr>
          <w:rFonts w:hint="eastAsia" w:ascii="宋体" w:hAnsi="宋体" w:cs="宋体"/>
          <w:b/>
          <w:color w:val="auto"/>
          <w:sz w:val="32"/>
          <w:szCs w:val="32"/>
        </w:rPr>
        <w:t>广西工业产品声明函</w:t>
      </w:r>
    </w:p>
    <w:p>
      <w:pPr>
        <w:spacing w:line="460" w:lineRule="exact"/>
        <w:jc w:val="center"/>
        <w:rPr>
          <w:rFonts w:ascii="宋体" w:hAnsi="宋体" w:cs="宋体"/>
          <w:color w:val="auto"/>
          <w:sz w:val="24"/>
        </w:rPr>
      </w:pPr>
      <w:r>
        <w:rPr>
          <w:rFonts w:hint="eastAsia" w:ascii="宋体" w:hAnsi="宋体" w:cs="宋体"/>
          <w:color w:val="auto"/>
          <w:sz w:val="24"/>
        </w:rPr>
        <w:t xml:space="preserve">      </w:t>
      </w:r>
    </w:p>
    <w:p>
      <w:pPr>
        <w:spacing w:line="460" w:lineRule="exact"/>
        <w:ind w:firstLine="480" w:firstLineChars="200"/>
        <w:jc w:val="left"/>
        <w:rPr>
          <w:rFonts w:ascii="宋体" w:hAnsi="宋体" w:cs="宋体"/>
          <w:color w:val="auto"/>
          <w:sz w:val="24"/>
        </w:rPr>
      </w:pPr>
      <w:r>
        <w:rPr>
          <w:rFonts w:hint="eastAsia" w:ascii="宋体" w:hAnsi="宋体" w:cs="宋体"/>
          <w:color w:val="auto"/>
          <w:sz w:val="24"/>
        </w:rPr>
        <w:t>本公司郑重声明，根据《招标采购促进广西工业产品产销对接实施细则》的规定，本公司在本次投标/投标中或者工程项目中提供的下述产品为广西工业产品，详情如下：</w:t>
      </w:r>
    </w:p>
    <w:p>
      <w:pPr>
        <w:spacing w:line="360" w:lineRule="exact"/>
        <w:jc w:val="center"/>
        <w:rPr>
          <w:rFonts w:ascii="宋体" w:hAnsi="宋体" w:cs="宋体"/>
          <w:color w:val="auto"/>
          <w:sz w:val="24"/>
        </w:rPr>
      </w:pPr>
    </w:p>
    <w:tbl>
      <w:tblPr>
        <w:tblStyle w:val="29"/>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0"/>
        <w:gridCol w:w="1617"/>
        <w:gridCol w:w="903"/>
        <w:gridCol w:w="2160"/>
        <w:gridCol w:w="1087"/>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20" w:type="dxa"/>
            <w:shd w:val="clear" w:color="auto" w:fill="8DB3E2"/>
            <w:vAlign w:val="center"/>
          </w:tcPr>
          <w:p>
            <w:pPr>
              <w:spacing w:line="360" w:lineRule="exact"/>
              <w:jc w:val="center"/>
              <w:rPr>
                <w:rFonts w:ascii="宋体" w:hAnsi="宋体" w:cs="宋体"/>
                <w:color w:val="auto"/>
                <w:szCs w:val="21"/>
              </w:rPr>
            </w:pPr>
            <w:r>
              <w:rPr>
                <w:rFonts w:hint="eastAsia" w:ascii="宋体" w:hAnsi="宋体" w:cs="宋体"/>
                <w:color w:val="auto"/>
                <w:szCs w:val="21"/>
              </w:rPr>
              <w:t>序号</w:t>
            </w:r>
          </w:p>
        </w:tc>
        <w:tc>
          <w:tcPr>
            <w:tcW w:w="1620" w:type="dxa"/>
            <w:shd w:val="clear" w:color="auto" w:fill="8DB3E2"/>
            <w:vAlign w:val="center"/>
          </w:tcPr>
          <w:p>
            <w:pPr>
              <w:spacing w:line="360" w:lineRule="exact"/>
              <w:jc w:val="center"/>
              <w:rPr>
                <w:rFonts w:ascii="宋体" w:hAnsi="宋体" w:cs="宋体"/>
                <w:color w:val="auto"/>
                <w:szCs w:val="21"/>
              </w:rPr>
            </w:pPr>
            <w:r>
              <w:rPr>
                <w:rFonts w:hint="eastAsia" w:ascii="宋体" w:hAnsi="宋体" w:cs="宋体"/>
                <w:color w:val="auto"/>
                <w:szCs w:val="21"/>
              </w:rPr>
              <w:t>产品名称</w:t>
            </w:r>
          </w:p>
        </w:tc>
        <w:tc>
          <w:tcPr>
            <w:tcW w:w="1617" w:type="dxa"/>
            <w:shd w:val="clear" w:color="auto" w:fill="8DB3E2"/>
            <w:vAlign w:val="center"/>
          </w:tcPr>
          <w:p>
            <w:pPr>
              <w:spacing w:line="360" w:lineRule="exact"/>
              <w:jc w:val="center"/>
              <w:rPr>
                <w:rFonts w:ascii="宋体" w:hAnsi="宋体" w:cs="宋体"/>
                <w:color w:val="auto"/>
                <w:szCs w:val="21"/>
              </w:rPr>
            </w:pPr>
            <w:r>
              <w:rPr>
                <w:rFonts w:hint="eastAsia" w:ascii="宋体" w:hAnsi="宋体" w:cs="宋体"/>
                <w:color w:val="auto"/>
                <w:szCs w:val="21"/>
              </w:rPr>
              <w:t>型号和规格</w:t>
            </w:r>
          </w:p>
        </w:tc>
        <w:tc>
          <w:tcPr>
            <w:tcW w:w="903" w:type="dxa"/>
            <w:shd w:val="clear" w:color="auto" w:fill="8DB3E2"/>
            <w:vAlign w:val="center"/>
          </w:tcPr>
          <w:p>
            <w:pPr>
              <w:spacing w:line="360" w:lineRule="exact"/>
              <w:jc w:val="center"/>
              <w:rPr>
                <w:rFonts w:ascii="宋体" w:hAnsi="宋体" w:cs="宋体"/>
                <w:color w:val="auto"/>
                <w:szCs w:val="21"/>
              </w:rPr>
            </w:pPr>
            <w:r>
              <w:rPr>
                <w:rFonts w:hint="eastAsia" w:ascii="宋体" w:hAnsi="宋体" w:cs="宋体"/>
                <w:color w:val="auto"/>
                <w:szCs w:val="21"/>
              </w:rPr>
              <w:t>数量</w:t>
            </w:r>
          </w:p>
        </w:tc>
        <w:tc>
          <w:tcPr>
            <w:tcW w:w="2160" w:type="dxa"/>
            <w:shd w:val="clear" w:color="auto" w:fill="8DB3E2"/>
            <w:vAlign w:val="center"/>
          </w:tcPr>
          <w:p>
            <w:pPr>
              <w:spacing w:line="360" w:lineRule="exact"/>
              <w:jc w:val="center"/>
              <w:rPr>
                <w:rFonts w:ascii="宋体" w:hAnsi="宋体" w:cs="宋体"/>
                <w:color w:val="auto"/>
                <w:szCs w:val="21"/>
              </w:rPr>
            </w:pPr>
            <w:r>
              <w:rPr>
                <w:rFonts w:hint="eastAsia" w:ascii="宋体" w:hAnsi="宋体" w:cs="宋体"/>
                <w:color w:val="auto"/>
                <w:szCs w:val="21"/>
              </w:rPr>
              <w:t>制造厂商及原产地</w:t>
            </w:r>
          </w:p>
        </w:tc>
        <w:tc>
          <w:tcPr>
            <w:tcW w:w="1087" w:type="dxa"/>
            <w:shd w:val="clear" w:color="auto" w:fill="8DB3E2"/>
            <w:vAlign w:val="center"/>
          </w:tcPr>
          <w:p>
            <w:pPr>
              <w:spacing w:line="360" w:lineRule="exact"/>
              <w:jc w:val="center"/>
              <w:rPr>
                <w:rFonts w:ascii="宋体" w:hAnsi="宋体" w:cs="宋体"/>
                <w:color w:val="auto"/>
                <w:szCs w:val="21"/>
              </w:rPr>
            </w:pPr>
            <w:r>
              <w:rPr>
                <w:rFonts w:hint="eastAsia" w:ascii="宋体" w:hAnsi="宋体" w:cs="宋体"/>
                <w:color w:val="auto"/>
                <w:szCs w:val="21"/>
              </w:rPr>
              <w:t>投标价</w:t>
            </w:r>
          </w:p>
        </w:tc>
        <w:tc>
          <w:tcPr>
            <w:tcW w:w="1073" w:type="dxa"/>
            <w:shd w:val="clear" w:color="auto" w:fill="8DB3E2"/>
            <w:vAlign w:val="center"/>
          </w:tcPr>
          <w:p>
            <w:pPr>
              <w:spacing w:line="360" w:lineRule="exact"/>
              <w:jc w:val="center"/>
              <w:rPr>
                <w:rFonts w:ascii="宋体" w:hAnsi="宋体" w:cs="宋体"/>
                <w:color w:val="auto"/>
                <w:szCs w:val="21"/>
              </w:rPr>
            </w:pPr>
            <w:r>
              <w:rPr>
                <w:rFonts w:hint="eastAsia" w:ascii="宋体" w:hAnsi="宋体" w:cs="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20"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w:t>
            </w:r>
          </w:p>
        </w:tc>
        <w:tc>
          <w:tcPr>
            <w:tcW w:w="1620" w:type="dxa"/>
            <w:vAlign w:val="center"/>
          </w:tcPr>
          <w:p>
            <w:pPr>
              <w:spacing w:line="360" w:lineRule="exact"/>
              <w:jc w:val="center"/>
              <w:rPr>
                <w:rFonts w:ascii="宋体" w:hAnsi="宋体" w:cs="宋体"/>
                <w:color w:val="auto"/>
                <w:szCs w:val="21"/>
              </w:rPr>
            </w:pPr>
          </w:p>
        </w:tc>
        <w:tc>
          <w:tcPr>
            <w:tcW w:w="1617" w:type="dxa"/>
            <w:vAlign w:val="center"/>
          </w:tcPr>
          <w:p>
            <w:pPr>
              <w:spacing w:line="360" w:lineRule="exact"/>
              <w:jc w:val="center"/>
              <w:rPr>
                <w:rFonts w:ascii="宋体" w:hAnsi="宋体" w:cs="宋体"/>
                <w:color w:val="auto"/>
                <w:szCs w:val="21"/>
              </w:rPr>
            </w:pPr>
          </w:p>
        </w:tc>
        <w:tc>
          <w:tcPr>
            <w:tcW w:w="903" w:type="dxa"/>
            <w:vAlign w:val="center"/>
          </w:tcPr>
          <w:p>
            <w:pPr>
              <w:spacing w:line="360" w:lineRule="exact"/>
              <w:jc w:val="center"/>
              <w:rPr>
                <w:rFonts w:ascii="宋体" w:hAnsi="宋体" w:cs="宋体"/>
                <w:color w:val="auto"/>
                <w:szCs w:val="21"/>
              </w:rPr>
            </w:pPr>
          </w:p>
        </w:tc>
        <w:tc>
          <w:tcPr>
            <w:tcW w:w="2160" w:type="dxa"/>
            <w:vAlign w:val="center"/>
          </w:tcPr>
          <w:p>
            <w:pPr>
              <w:spacing w:line="360" w:lineRule="exact"/>
              <w:jc w:val="center"/>
              <w:rPr>
                <w:rFonts w:ascii="宋体" w:hAnsi="宋体" w:cs="宋体"/>
                <w:color w:val="auto"/>
                <w:szCs w:val="21"/>
              </w:rPr>
            </w:pPr>
          </w:p>
        </w:tc>
        <w:tc>
          <w:tcPr>
            <w:tcW w:w="1087" w:type="dxa"/>
            <w:vAlign w:val="center"/>
          </w:tcPr>
          <w:p>
            <w:pPr>
              <w:spacing w:line="360" w:lineRule="exact"/>
              <w:jc w:val="center"/>
              <w:rPr>
                <w:rFonts w:ascii="宋体" w:hAnsi="宋体" w:cs="宋体"/>
                <w:color w:val="auto"/>
                <w:szCs w:val="21"/>
              </w:rPr>
            </w:pPr>
          </w:p>
        </w:tc>
        <w:tc>
          <w:tcPr>
            <w:tcW w:w="1073" w:type="dxa"/>
            <w:vAlign w:val="center"/>
          </w:tcPr>
          <w:p>
            <w:pPr>
              <w:spacing w:line="36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2</w:t>
            </w:r>
          </w:p>
        </w:tc>
        <w:tc>
          <w:tcPr>
            <w:tcW w:w="1620" w:type="dxa"/>
            <w:vAlign w:val="center"/>
          </w:tcPr>
          <w:p>
            <w:pPr>
              <w:spacing w:line="360" w:lineRule="exact"/>
              <w:jc w:val="center"/>
              <w:rPr>
                <w:rFonts w:ascii="宋体" w:hAnsi="宋体" w:cs="宋体"/>
                <w:color w:val="auto"/>
                <w:szCs w:val="21"/>
              </w:rPr>
            </w:pPr>
          </w:p>
        </w:tc>
        <w:tc>
          <w:tcPr>
            <w:tcW w:w="1617" w:type="dxa"/>
            <w:vAlign w:val="center"/>
          </w:tcPr>
          <w:p>
            <w:pPr>
              <w:spacing w:line="360" w:lineRule="exact"/>
              <w:jc w:val="center"/>
              <w:rPr>
                <w:rFonts w:ascii="宋体" w:hAnsi="宋体" w:cs="宋体"/>
                <w:color w:val="auto"/>
                <w:szCs w:val="21"/>
              </w:rPr>
            </w:pPr>
          </w:p>
        </w:tc>
        <w:tc>
          <w:tcPr>
            <w:tcW w:w="903" w:type="dxa"/>
            <w:vAlign w:val="center"/>
          </w:tcPr>
          <w:p>
            <w:pPr>
              <w:spacing w:line="360" w:lineRule="exact"/>
              <w:jc w:val="center"/>
              <w:rPr>
                <w:rFonts w:ascii="宋体" w:hAnsi="宋体" w:cs="宋体"/>
                <w:color w:val="auto"/>
                <w:szCs w:val="21"/>
              </w:rPr>
            </w:pPr>
          </w:p>
        </w:tc>
        <w:tc>
          <w:tcPr>
            <w:tcW w:w="2160" w:type="dxa"/>
            <w:vAlign w:val="center"/>
          </w:tcPr>
          <w:p>
            <w:pPr>
              <w:spacing w:line="360" w:lineRule="exact"/>
              <w:jc w:val="center"/>
              <w:rPr>
                <w:rFonts w:ascii="宋体" w:hAnsi="宋体" w:cs="宋体"/>
                <w:color w:val="auto"/>
                <w:szCs w:val="21"/>
              </w:rPr>
            </w:pPr>
          </w:p>
        </w:tc>
        <w:tc>
          <w:tcPr>
            <w:tcW w:w="1087" w:type="dxa"/>
            <w:vAlign w:val="center"/>
          </w:tcPr>
          <w:p>
            <w:pPr>
              <w:spacing w:line="360" w:lineRule="exact"/>
              <w:jc w:val="center"/>
              <w:rPr>
                <w:rFonts w:ascii="宋体" w:hAnsi="宋体" w:cs="宋体"/>
                <w:color w:val="auto"/>
                <w:szCs w:val="21"/>
              </w:rPr>
            </w:pPr>
          </w:p>
        </w:tc>
        <w:tc>
          <w:tcPr>
            <w:tcW w:w="1073" w:type="dxa"/>
            <w:vAlign w:val="center"/>
          </w:tcPr>
          <w:p>
            <w:pPr>
              <w:spacing w:line="36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20"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w:t>
            </w:r>
          </w:p>
        </w:tc>
        <w:tc>
          <w:tcPr>
            <w:tcW w:w="1620" w:type="dxa"/>
            <w:vAlign w:val="center"/>
          </w:tcPr>
          <w:p>
            <w:pPr>
              <w:spacing w:line="360" w:lineRule="exact"/>
              <w:jc w:val="center"/>
              <w:rPr>
                <w:rFonts w:ascii="宋体" w:hAnsi="宋体" w:cs="宋体"/>
                <w:color w:val="auto"/>
                <w:szCs w:val="21"/>
              </w:rPr>
            </w:pPr>
          </w:p>
        </w:tc>
        <w:tc>
          <w:tcPr>
            <w:tcW w:w="1617" w:type="dxa"/>
            <w:vAlign w:val="center"/>
          </w:tcPr>
          <w:p>
            <w:pPr>
              <w:spacing w:line="360" w:lineRule="exact"/>
              <w:jc w:val="center"/>
              <w:rPr>
                <w:rFonts w:ascii="宋体" w:hAnsi="宋体" w:cs="宋体"/>
                <w:color w:val="auto"/>
                <w:szCs w:val="21"/>
              </w:rPr>
            </w:pPr>
          </w:p>
        </w:tc>
        <w:tc>
          <w:tcPr>
            <w:tcW w:w="903" w:type="dxa"/>
            <w:vAlign w:val="center"/>
          </w:tcPr>
          <w:p>
            <w:pPr>
              <w:spacing w:line="360" w:lineRule="exact"/>
              <w:jc w:val="center"/>
              <w:rPr>
                <w:rFonts w:ascii="宋体" w:hAnsi="宋体" w:cs="宋体"/>
                <w:color w:val="auto"/>
                <w:szCs w:val="21"/>
              </w:rPr>
            </w:pPr>
          </w:p>
        </w:tc>
        <w:tc>
          <w:tcPr>
            <w:tcW w:w="2160" w:type="dxa"/>
            <w:vAlign w:val="center"/>
          </w:tcPr>
          <w:p>
            <w:pPr>
              <w:spacing w:line="360" w:lineRule="exact"/>
              <w:jc w:val="center"/>
              <w:rPr>
                <w:rFonts w:ascii="宋体" w:hAnsi="宋体" w:cs="宋体"/>
                <w:color w:val="auto"/>
                <w:szCs w:val="21"/>
              </w:rPr>
            </w:pPr>
          </w:p>
        </w:tc>
        <w:tc>
          <w:tcPr>
            <w:tcW w:w="1087" w:type="dxa"/>
            <w:vAlign w:val="center"/>
          </w:tcPr>
          <w:p>
            <w:pPr>
              <w:spacing w:line="360" w:lineRule="exact"/>
              <w:jc w:val="center"/>
              <w:rPr>
                <w:rFonts w:ascii="宋体" w:hAnsi="宋体" w:cs="宋体"/>
                <w:color w:val="auto"/>
                <w:szCs w:val="21"/>
              </w:rPr>
            </w:pPr>
          </w:p>
        </w:tc>
        <w:tc>
          <w:tcPr>
            <w:tcW w:w="1073" w:type="dxa"/>
            <w:vAlign w:val="center"/>
          </w:tcPr>
          <w:p>
            <w:pPr>
              <w:spacing w:line="36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20" w:type="dxa"/>
            <w:vAlign w:val="center"/>
          </w:tcPr>
          <w:p>
            <w:pPr>
              <w:spacing w:line="360" w:lineRule="exact"/>
              <w:jc w:val="center"/>
              <w:rPr>
                <w:rFonts w:ascii="宋体" w:hAnsi="宋体" w:cs="宋体"/>
                <w:color w:val="auto"/>
                <w:szCs w:val="21"/>
              </w:rPr>
            </w:pPr>
          </w:p>
        </w:tc>
        <w:tc>
          <w:tcPr>
            <w:tcW w:w="1620"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广西工业产品合计价格</w:t>
            </w:r>
          </w:p>
        </w:tc>
        <w:tc>
          <w:tcPr>
            <w:tcW w:w="2520" w:type="dxa"/>
            <w:gridSpan w:val="2"/>
            <w:vAlign w:val="center"/>
          </w:tcPr>
          <w:p>
            <w:pPr>
              <w:spacing w:line="360" w:lineRule="exact"/>
              <w:jc w:val="center"/>
              <w:rPr>
                <w:rFonts w:ascii="宋体" w:hAnsi="宋体" w:cs="宋体"/>
                <w:color w:val="auto"/>
                <w:szCs w:val="21"/>
              </w:rPr>
            </w:pPr>
          </w:p>
        </w:tc>
        <w:tc>
          <w:tcPr>
            <w:tcW w:w="2160"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占投标总价比例</w:t>
            </w:r>
          </w:p>
        </w:tc>
        <w:tc>
          <w:tcPr>
            <w:tcW w:w="2160" w:type="dxa"/>
            <w:gridSpan w:val="2"/>
            <w:vAlign w:val="center"/>
          </w:tcPr>
          <w:p>
            <w:pPr>
              <w:spacing w:line="360" w:lineRule="exact"/>
              <w:jc w:val="center"/>
              <w:rPr>
                <w:rFonts w:ascii="宋体" w:hAnsi="宋体" w:cs="宋体"/>
                <w:color w:val="auto"/>
                <w:szCs w:val="21"/>
              </w:rPr>
            </w:pPr>
          </w:p>
        </w:tc>
      </w:tr>
    </w:tbl>
    <w:p>
      <w:pPr>
        <w:spacing w:line="460" w:lineRule="exact"/>
        <w:ind w:left="239" w:leftChars="114" w:firstLine="720" w:firstLineChars="300"/>
        <w:rPr>
          <w:rFonts w:ascii="宋体" w:hAnsi="宋体" w:cs="宋体"/>
          <w:color w:val="auto"/>
          <w:sz w:val="24"/>
        </w:rPr>
      </w:pPr>
      <w:r>
        <w:rPr>
          <w:rFonts w:hint="eastAsia" w:ascii="宋体" w:hAnsi="宋体" w:cs="宋体"/>
          <w:color w:val="auto"/>
          <w:sz w:val="24"/>
        </w:rPr>
        <w:t>本公司对上述声明的真实性负责。如有虚假，将依法承担相应责任。</w:t>
      </w:r>
    </w:p>
    <w:p>
      <w:pPr>
        <w:spacing w:line="460" w:lineRule="exact"/>
        <w:ind w:left="239" w:leftChars="114" w:firstLine="240" w:firstLineChars="100"/>
        <w:rPr>
          <w:rFonts w:ascii="宋体" w:hAnsi="宋体" w:cs="宋体"/>
          <w:color w:val="auto"/>
          <w:sz w:val="24"/>
        </w:rPr>
      </w:pPr>
    </w:p>
    <w:p>
      <w:pPr>
        <w:spacing w:line="460" w:lineRule="exact"/>
        <w:ind w:left="239" w:leftChars="114" w:firstLine="240" w:firstLineChars="100"/>
        <w:rPr>
          <w:rFonts w:ascii="宋体" w:hAnsi="宋体" w:cs="宋体"/>
          <w:color w:val="auto"/>
          <w:sz w:val="24"/>
        </w:rPr>
      </w:pPr>
    </w:p>
    <w:p>
      <w:pPr>
        <w:spacing w:line="460" w:lineRule="exact"/>
        <w:ind w:left="239" w:leftChars="114" w:firstLine="6240" w:firstLineChars="2600"/>
        <w:rPr>
          <w:rFonts w:ascii="宋体" w:hAnsi="宋体" w:cs="宋体"/>
          <w:color w:val="auto"/>
          <w:sz w:val="24"/>
        </w:rPr>
      </w:pPr>
      <w:r>
        <w:rPr>
          <w:rFonts w:hint="eastAsia" w:ascii="宋体" w:hAnsi="宋体" w:cs="宋体"/>
          <w:color w:val="auto"/>
          <w:sz w:val="24"/>
        </w:rPr>
        <w:t>企业名称（盖</w:t>
      </w:r>
      <w:r>
        <w:rPr>
          <w:rFonts w:hint="eastAsia" w:ascii="宋体" w:hAnsi="宋体" w:cs="宋体"/>
          <w:color w:val="auto"/>
          <w:spacing w:val="6"/>
          <w:sz w:val="30"/>
          <w:szCs w:val="30"/>
        </w:rPr>
        <w:t>公</w:t>
      </w:r>
      <w:r>
        <w:rPr>
          <w:rFonts w:hint="eastAsia" w:ascii="宋体" w:hAnsi="宋体" w:cs="宋体"/>
          <w:color w:val="auto"/>
          <w:sz w:val="24"/>
        </w:rPr>
        <w:t>章）：</w:t>
      </w:r>
    </w:p>
    <w:p>
      <w:pPr>
        <w:spacing w:line="460" w:lineRule="exact"/>
        <w:ind w:left="239" w:leftChars="114" w:firstLine="6600" w:firstLineChars="2750"/>
        <w:rPr>
          <w:rFonts w:ascii="宋体" w:hAnsi="宋体" w:cs="宋体"/>
          <w:color w:val="auto"/>
          <w:sz w:val="24"/>
        </w:rPr>
      </w:pPr>
      <w:r>
        <w:rPr>
          <w:rFonts w:hint="eastAsia" w:ascii="宋体" w:hAnsi="宋体" w:cs="宋体"/>
          <w:color w:val="auto"/>
          <w:sz w:val="24"/>
        </w:rPr>
        <w:t>日 期：</w:t>
      </w:r>
    </w:p>
    <w:p>
      <w:pPr>
        <w:pStyle w:val="14"/>
        <w:rPr>
          <w:color w:val="auto"/>
        </w:rPr>
      </w:pPr>
    </w:p>
    <w:p>
      <w:pPr>
        <w:pStyle w:val="14"/>
        <w:rPr>
          <w:color w:val="auto"/>
        </w:rPr>
      </w:pPr>
    </w:p>
    <w:p>
      <w:pPr>
        <w:pStyle w:val="14"/>
        <w:rPr>
          <w:color w:val="auto"/>
        </w:rPr>
      </w:pPr>
    </w:p>
    <w:p>
      <w:pPr>
        <w:pStyle w:val="14"/>
        <w:rPr>
          <w:color w:val="auto"/>
        </w:rPr>
      </w:pPr>
    </w:p>
    <w:p>
      <w:pPr>
        <w:pStyle w:val="14"/>
        <w:rPr>
          <w:color w:val="auto"/>
        </w:rPr>
      </w:pPr>
    </w:p>
    <w:p>
      <w:pPr>
        <w:pStyle w:val="14"/>
        <w:rPr>
          <w:color w:val="auto"/>
        </w:rPr>
      </w:pPr>
    </w:p>
    <w:p>
      <w:pPr>
        <w:pStyle w:val="14"/>
        <w:rPr>
          <w:color w:val="auto"/>
        </w:rPr>
      </w:pPr>
    </w:p>
    <w:p>
      <w:pPr>
        <w:pStyle w:val="14"/>
        <w:rPr>
          <w:color w:val="auto"/>
        </w:rPr>
      </w:pPr>
    </w:p>
    <w:p>
      <w:pPr>
        <w:pStyle w:val="14"/>
        <w:rPr>
          <w:color w:val="auto"/>
        </w:rPr>
      </w:pPr>
    </w:p>
    <w:p>
      <w:pPr>
        <w:pStyle w:val="14"/>
        <w:rPr>
          <w:color w:val="auto"/>
        </w:rPr>
      </w:pPr>
    </w:p>
    <w:p>
      <w:pPr>
        <w:pStyle w:val="14"/>
        <w:rPr>
          <w:color w:val="auto"/>
        </w:rPr>
      </w:pPr>
    </w:p>
    <w:p>
      <w:pPr>
        <w:rPr>
          <w:rFonts w:ascii="宋体" w:hAnsi="宋体" w:cs="宋体"/>
          <w:b/>
          <w:bCs/>
          <w:color w:val="auto"/>
          <w:sz w:val="32"/>
          <w:szCs w:val="32"/>
        </w:rPr>
      </w:pPr>
      <w:r>
        <w:rPr>
          <w:rFonts w:hint="eastAsia" w:ascii="宋体" w:hAnsi="宋体" w:cs="宋体"/>
          <w:b/>
          <w:bCs/>
          <w:color w:val="auto"/>
          <w:sz w:val="32"/>
          <w:szCs w:val="32"/>
        </w:rPr>
        <w:t>13.如所提供服务企业属于小型、微型企业【中小微型企业划分标准按照《国家统计局关于印发《统计上大中小微型企业划分办法（2017）》的通知》（国统字[2017]213号）执行，具体划分标准见第四章评标办法中附表《统计上大中小微型企业划分标准》】，以提供的《中小企业声明函》（见附件）为准（如有，请提供）；</w:t>
      </w:r>
    </w:p>
    <w:p>
      <w:pPr>
        <w:rPr>
          <w:rFonts w:ascii="宋体" w:hAnsi="宋体" w:cs="宋体"/>
          <w:b/>
          <w:bCs/>
          <w:color w:val="auto"/>
          <w:sz w:val="28"/>
          <w:szCs w:val="28"/>
        </w:rPr>
      </w:pPr>
      <w:bookmarkStart w:id="257" w:name="_Toc24169_WPSOffice_Level1"/>
      <w:r>
        <w:rPr>
          <w:rFonts w:hint="eastAsia" w:ascii="宋体" w:hAnsi="宋体" w:cs="宋体"/>
          <w:b/>
          <w:bCs/>
          <w:color w:val="auto"/>
          <w:sz w:val="28"/>
          <w:szCs w:val="28"/>
        </w:rPr>
        <w:t>附件</w:t>
      </w:r>
      <w:bookmarkEnd w:id="257"/>
    </w:p>
    <w:p>
      <w:pPr>
        <w:pStyle w:val="17"/>
        <w:spacing w:line="440" w:lineRule="exact"/>
        <w:jc w:val="center"/>
        <w:rPr>
          <w:rFonts w:hAnsi="宋体" w:cs="宋体"/>
          <w:b/>
          <w:bCs/>
          <w:color w:val="auto"/>
          <w:sz w:val="28"/>
          <w:szCs w:val="28"/>
        </w:rPr>
      </w:pPr>
      <w:r>
        <w:rPr>
          <w:rFonts w:hint="eastAsia" w:hAnsi="宋体" w:cs="宋体"/>
          <w:b/>
          <w:bCs/>
          <w:color w:val="auto"/>
          <w:sz w:val="28"/>
          <w:szCs w:val="28"/>
        </w:rPr>
        <w:t>中小企业声明函</w:t>
      </w:r>
    </w:p>
    <w:p>
      <w:pPr>
        <w:spacing w:line="400" w:lineRule="exact"/>
        <w:ind w:firstLine="444" w:firstLineChars="200"/>
        <w:rPr>
          <w:rFonts w:ascii="宋体" w:hAnsi="宋体" w:cs="宋体"/>
          <w:color w:val="auto"/>
          <w:spacing w:val="6"/>
          <w:szCs w:val="21"/>
        </w:rPr>
      </w:pPr>
      <w:r>
        <w:rPr>
          <w:rFonts w:hint="eastAsia" w:ascii="宋体" w:hAnsi="宋体" w:cs="宋体"/>
          <w:color w:val="auto"/>
          <w:spacing w:val="6"/>
          <w:szCs w:val="21"/>
        </w:rPr>
        <w:t>本公司郑重声明，根据《政府采购促进中小企业发展暂行办法》（财库[2011]181号）的规定，本公司为</w:t>
      </w:r>
      <w:bookmarkStart w:id="258" w:name="OLE_LINK5"/>
      <w:r>
        <w:rPr>
          <w:rFonts w:hint="eastAsia" w:ascii="宋体" w:hAnsi="宋体" w:cs="宋体"/>
          <w:color w:val="auto"/>
          <w:spacing w:val="6"/>
          <w:szCs w:val="21"/>
          <w:u w:val="single"/>
        </w:rPr>
        <w:t xml:space="preserve">                 </w:t>
      </w:r>
      <w:r>
        <w:rPr>
          <w:rFonts w:hint="eastAsia" w:ascii="宋体" w:hAnsi="宋体" w:cs="宋体"/>
          <w:color w:val="auto"/>
          <w:spacing w:val="6"/>
          <w:szCs w:val="21"/>
        </w:rPr>
        <w:t>（请填写：中型、小型、微型）企业</w:t>
      </w:r>
      <w:bookmarkEnd w:id="258"/>
      <w:r>
        <w:rPr>
          <w:rFonts w:hint="eastAsia" w:ascii="宋体" w:hAnsi="宋体" w:cs="宋体"/>
          <w:color w:val="auto"/>
          <w:spacing w:val="6"/>
          <w:szCs w:val="21"/>
        </w:rPr>
        <w:t>。即，本公司同时满足以下条件：</w:t>
      </w:r>
    </w:p>
    <w:p>
      <w:pPr>
        <w:spacing w:line="400" w:lineRule="exact"/>
        <w:ind w:firstLine="444" w:firstLineChars="200"/>
        <w:rPr>
          <w:rFonts w:ascii="宋体" w:hAnsi="宋体" w:cs="宋体"/>
          <w:color w:val="auto"/>
          <w:spacing w:val="6"/>
          <w:szCs w:val="21"/>
        </w:rPr>
      </w:pPr>
      <w:r>
        <w:rPr>
          <w:rFonts w:hint="eastAsia" w:ascii="宋体" w:hAnsi="宋体" w:cs="宋体"/>
          <w:color w:val="auto"/>
          <w:spacing w:val="6"/>
          <w:szCs w:val="21"/>
        </w:rPr>
        <w:t>1.根据《工业和信息化部、国家统计局、国家发展和改革委员会、财政部关于印发中小企业划型标准规定的通知》（工信部联企业[2011]300号）规定的划分标准，本公司为</w:t>
      </w:r>
      <w:r>
        <w:rPr>
          <w:rFonts w:hint="eastAsia" w:ascii="宋体" w:hAnsi="宋体" w:cs="宋体"/>
          <w:color w:val="auto"/>
          <w:spacing w:val="6"/>
          <w:szCs w:val="21"/>
          <w:u w:val="single"/>
        </w:rPr>
        <w:t xml:space="preserve">        </w:t>
      </w:r>
      <w:r>
        <w:rPr>
          <w:rFonts w:hint="eastAsia" w:ascii="宋体" w:hAnsi="宋体" w:cs="宋体"/>
          <w:color w:val="auto"/>
          <w:spacing w:val="6"/>
          <w:szCs w:val="21"/>
        </w:rPr>
        <w:t>（请填写：中型、小型、微型）企业。</w:t>
      </w:r>
    </w:p>
    <w:p>
      <w:pPr>
        <w:spacing w:line="400" w:lineRule="exact"/>
        <w:ind w:firstLine="444" w:firstLineChars="200"/>
        <w:rPr>
          <w:rFonts w:ascii="宋体" w:hAnsi="宋体" w:cs="宋体"/>
          <w:color w:val="auto"/>
          <w:spacing w:val="6"/>
          <w:szCs w:val="21"/>
        </w:rPr>
      </w:pPr>
      <w:r>
        <w:rPr>
          <w:rFonts w:hint="eastAsia" w:ascii="宋体" w:hAnsi="宋体" w:cs="宋体"/>
          <w:color w:val="auto"/>
          <w:spacing w:val="6"/>
          <w:szCs w:val="21"/>
        </w:rPr>
        <w:t>2.本公司参加</w:t>
      </w:r>
      <w:r>
        <w:rPr>
          <w:rFonts w:hint="eastAsia" w:ascii="宋体" w:hAnsi="宋体" w:cs="宋体"/>
          <w:color w:val="auto"/>
          <w:spacing w:val="6"/>
          <w:szCs w:val="21"/>
          <w:u w:val="single"/>
        </w:rPr>
        <w:t xml:space="preserve">           </w:t>
      </w:r>
      <w:r>
        <w:rPr>
          <w:rFonts w:hint="eastAsia" w:ascii="宋体" w:hAnsi="宋体" w:cs="宋体"/>
          <w:color w:val="auto"/>
          <w:spacing w:val="6"/>
          <w:szCs w:val="21"/>
        </w:rPr>
        <w:t>单位的</w:t>
      </w:r>
      <w:r>
        <w:rPr>
          <w:rFonts w:hint="eastAsia" w:ascii="宋体" w:hAnsi="宋体" w:cs="宋体"/>
          <w:color w:val="auto"/>
          <w:spacing w:val="6"/>
          <w:szCs w:val="21"/>
          <w:u w:val="single"/>
        </w:rPr>
        <w:t xml:space="preserve">          </w:t>
      </w:r>
      <w:r>
        <w:rPr>
          <w:rFonts w:hint="eastAsia" w:ascii="宋体" w:hAnsi="宋体" w:cs="宋体"/>
          <w:color w:val="auto"/>
          <w:spacing w:val="6"/>
          <w:szCs w:val="21"/>
        </w:rPr>
        <w:t>项目采购活动提供本企业制造的货物，由本企业承担工程、提供服务，或者提供其他</w:t>
      </w:r>
      <w:r>
        <w:rPr>
          <w:rFonts w:hint="eastAsia" w:ascii="宋体" w:hAnsi="宋体" w:cs="宋体"/>
          <w:color w:val="auto"/>
          <w:spacing w:val="6"/>
          <w:szCs w:val="21"/>
          <w:u w:val="single"/>
        </w:rPr>
        <w:t xml:space="preserve">            </w:t>
      </w:r>
      <w:r>
        <w:rPr>
          <w:rFonts w:hint="eastAsia" w:ascii="宋体" w:hAnsi="宋体" w:cs="宋体"/>
          <w:color w:val="auto"/>
          <w:spacing w:val="6"/>
          <w:szCs w:val="21"/>
        </w:rPr>
        <w:t>（请填写：中型、小型、微型）企业制造的货物。本条所称货物不包括使用大型企业注册商标的货物。</w:t>
      </w:r>
    </w:p>
    <w:p>
      <w:pPr>
        <w:pStyle w:val="17"/>
        <w:spacing w:line="400" w:lineRule="exact"/>
        <w:ind w:firstLine="444" w:firstLineChars="200"/>
        <w:rPr>
          <w:rFonts w:hAnsi="宋体" w:cs="宋体"/>
          <w:color w:val="auto"/>
          <w:sz w:val="24"/>
          <w:szCs w:val="24"/>
        </w:rPr>
      </w:pPr>
      <w:r>
        <w:rPr>
          <w:rFonts w:hint="eastAsia" w:hAnsi="宋体" w:cs="宋体"/>
          <w:color w:val="auto"/>
          <w:spacing w:val="6"/>
          <w:szCs w:val="21"/>
        </w:rPr>
        <w:t>本公司对上述声明的真实性负责。如有虚假，将依法承担相应责任。</w:t>
      </w:r>
    </w:p>
    <w:p>
      <w:pPr>
        <w:pStyle w:val="17"/>
        <w:spacing w:line="440" w:lineRule="exact"/>
        <w:ind w:firstLine="480" w:firstLineChars="200"/>
        <w:rPr>
          <w:rFonts w:hAnsi="宋体" w:cs="宋体"/>
          <w:color w:val="auto"/>
          <w:sz w:val="24"/>
          <w:szCs w:val="24"/>
        </w:rPr>
      </w:pPr>
    </w:p>
    <w:p>
      <w:pPr>
        <w:pStyle w:val="17"/>
        <w:spacing w:line="440" w:lineRule="exact"/>
        <w:ind w:firstLine="3614" w:firstLineChars="1500"/>
        <w:rPr>
          <w:rFonts w:hAnsi="宋体" w:cs="宋体"/>
          <w:b/>
          <w:bCs/>
          <w:color w:val="auto"/>
          <w:sz w:val="24"/>
          <w:szCs w:val="24"/>
          <w:u w:val="single"/>
        </w:rPr>
      </w:pPr>
      <w:r>
        <w:rPr>
          <w:rFonts w:hint="eastAsia" w:hAnsi="宋体" w:cs="宋体"/>
          <w:b/>
          <w:bCs/>
          <w:color w:val="auto"/>
          <w:sz w:val="24"/>
          <w:szCs w:val="24"/>
        </w:rPr>
        <w:t>企业名称（加盖公章）：</w:t>
      </w:r>
      <w:r>
        <w:rPr>
          <w:rFonts w:hint="eastAsia" w:hAnsi="宋体" w:cs="宋体"/>
          <w:b/>
          <w:bCs/>
          <w:color w:val="auto"/>
          <w:sz w:val="24"/>
          <w:szCs w:val="24"/>
          <w:u w:val="single"/>
        </w:rPr>
        <w:t xml:space="preserve">                   </w:t>
      </w:r>
    </w:p>
    <w:p>
      <w:pPr>
        <w:pStyle w:val="17"/>
        <w:spacing w:line="440" w:lineRule="exact"/>
        <w:ind w:firstLine="4819" w:firstLineChars="2000"/>
        <w:rPr>
          <w:rFonts w:hAnsi="宋体" w:cs="宋体"/>
          <w:b/>
          <w:bCs/>
          <w:color w:val="auto"/>
          <w:sz w:val="28"/>
          <w:szCs w:val="28"/>
        </w:rPr>
      </w:pPr>
      <w:r>
        <w:rPr>
          <w:rFonts w:hint="eastAsia" w:hAnsi="宋体" w:cs="宋体"/>
          <w:b/>
          <w:bCs/>
          <w:color w:val="auto"/>
          <w:sz w:val="24"/>
          <w:szCs w:val="24"/>
        </w:rPr>
        <w:t>日期：     年   月   日</w:t>
      </w:r>
    </w:p>
    <w:p>
      <w:pPr>
        <w:pStyle w:val="17"/>
        <w:spacing w:line="440" w:lineRule="exact"/>
        <w:rPr>
          <w:rFonts w:hAnsi="宋体" w:cs="宋体"/>
          <w:b/>
          <w:bCs/>
          <w:color w:val="auto"/>
          <w:sz w:val="24"/>
          <w:szCs w:val="24"/>
        </w:rPr>
      </w:pPr>
    </w:p>
    <w:p>
      <w:pPr>
        <w:pStyle w:val="17"/>
        <w:spacing w:line="440" w:lineRule="exact"/>
        <w:rPr>
          <w:rFonts w:hAnsi="宋体" w:cs="宋体"/>
          <w:b/>
          <w:bCs/>
          <w:color w:val="auto"/>
          <w:sz w:val="24"/>
          <w:szCs w:val="24"/>
        </w:rPr>
      </w:pPr>
      <w:r>
        <w:rPr>
          <w:rFonts w:hint="eastAsia" w:hAnsi="宋体" w:cs="宋体"/>
          <w:b/>
          <w:bCs/>
          <w:color w:val="auto"/>
          <w:sz w:val="24"/>
          <w:szCs w:val="24"/>
        </w:rPr>
        <w:t>注：</w:t>
      </w:r>
    </w:p>
    <w:p>
      <w:pPr>
        <w:pStyle w:val="17"/>
        <w:numPr>
          <w:ilvl w:val="0"/>
          <w:numId w:val="9"/>
        </w:numPr>
        <w:spacing w:line="440" w:lineRule="exact"/>
        <w:ind w:firstLine="480" w:firstLineChars="200"/>
        <w:rPr>
          <w:rFonts w:hAnsi="宋体" w:cs="宋体"/>
          <w:color w:val="auto"/>
          <w:sz w:val="24"/>
          <w:szCs w:val="24"/>
        </w:rPr>
      </w:pPr>
      <w:r>
        <w:rPr>
          <w:rFonts w:hint="eastAsia" w:hAnsi="宋体" w:cs="宋体"/>
          <w:color w:val="auto"/>
          <w:sz w:val="24"/>
          <w:szCs w:val="24"/>
        </w:rPr>
        <w:t>如供应商属于中型、小型、微型企业的，请按此格式要求提供《中小企业声明函》享受相应优惠政策；同时又是提供其他中型、小型、微型企业制造的货物的，请按此格式要求提供其他中型、小型、微型企业的《中小企业声明函》享受相应优惠政策。</w:t>
      </w:r>
    </w:p>
    <w:p>
      <w:pPr>
        <w:pStyle w:val="17"/>
        <w:numPr>
          <w:ilvl w:val="0"/>
          <w:numId w:val="9"/>
        </w:numPr>
        <w:spacing w:line="440" w:lineRule="exact"/>
        <w:ind w:firstLine="480" w:firstLineChars="200"/>
        <w:rPr>
          <w:rFonts w:hAnsi="宋体" w:cs="宋体"/>
          <w:b/>
          <w:color w:val="auto"/>
          <w:sz w:val="24"/>
          <w:szCs w:val="24"/>
        </w:rPr>
      </w:pPr>
      <w:r>
        <w:rPr>
          <w:rFonts w:hint="eastAsia" w:hAnsi="宋体" w:cs="宋体"/>
          <w:color w:val="auto"/>
          <w:sz w:val="24"/>
          <w:szCs w:val="24"/>
        </w:rPr>
        <w:t>采购代理机构在公告中标结果时，将同时公告其《中小企业声明函》，接受社会监督，如有弄虚作假，中标供应商将承担相应责任。</w:t>
      </w:r>
    </w:p>
    <w:p>
      <w:pPr>
        <w:pStyle w:val="14"/>
        <w:rPr>
          <w:color w:val="auto"/>
        </w:rPr>
      </w:pPr>
    </w:p>
    <w:p>
      <w:pPr>
        <w:pStyle w:val="14"/>
        <w:rPr>
          <w:color w:val="auto"/>
        </w:rPr>
      </w:pPr>
    </w:p>
    <w:p>
      <w:pPr>
        <w:pStyle w:val="14"/>
        <w:rPr>
          <w:color w:val="auto"/>
        </w:rPr>
      </w:pPr>
    </w:p>
    <w:p>
      <w:pPr>
        <w:pStyle w:val="14"/>
        <w:rPr>
          <w:color w:val="auto"/>
        </w:rPr>
      </w:pPr>
    </w:p>
    <w:p>
      <w:pPr>
        <w:rPr>
          <w:rFonts w:ascii="宋体" w:hAnsi="宋体" w:cs="宋体"/>
          <w:b/>
          <w:bCs/>
          <w:color w:val="auto"/>
          <w:sz w:val="32"/>
          <w:szCs w:val="32"/>
        </w:rPr>
      </w:pPr>
      <w:bookmarkStart w:id="259" w:name="_Toc26450"/>
      <w:r>
        <w:rPr>
          <w:rFonts w:hint="eastAsia" w:ascii="宋体" w:hAnsi="宋体" w:cs="宋体"/>
          <w:b/>
          <w:bCs/>
          <w:color w:val="auto"/>
          <w:sz w:val="32"/>
          <w:szCs w:val="32"/>
        </w:rPr>
        <w:t>14.如产品属于监狱企业的，以提供由省级以上监狱管理局、戒毒管理局（含新疆生产建设兵团）出具的属于监狱企业的证明文件为准（如有，请提供）；</w:t>
      </w:r>
      <w:bookmarkEnd w:id="259"/>
    </w:p>
    <w:p>
      <w:pPr>
        <w:rPr>
          <w:rFonts w:ascii="宋体" w:hAnsi="宋体" w:cs="宋体"/>
          <w:b/>
          <w:bCs/>
          <w:color w:val="auto"/>
          <w:sz w:val="32"/>
          <w:szCs w:val="32"/>
        </w:rPr>
      </w:pPr>
      <w:bookmarkStart w:id="260" w:name="_Toc17129"/>
      <w:r>
        <w:rPr>
          <w:rFonts w:hint="eastAsia" w:ascii="宋体" w:hAnsi="宋体" w:cs="宋体"/>
          <w:b/>
          <w:bCs/>
          <w:color w:val="auto"/>
          <w:sz w:val="32"/>
          <w:szCs w:val="32"/>
        </w:rPr>
        <w:t>15.符合条件的残疾人福利性单位在参加政府采购活动时，应当提供《残疾人福利性单位声明函》（见附件），并对声明的真实性负责</w:t>
      </w:r>
      <w:bookmarkEnd w:id="260"/>
      <w:r>
        <w:rPr>
          <w:rFonts w:hint="eastAsia" w:ascii="宋体" w:hAnsi="宋体" w:cs="宋体"/>
          <w:b/>
          <w:bCs/>
          <w:color w:val="auto"/>
          <w:sz w:val="32"/>
          <w:szCs w:val="32"/>
        </w:rPr>
        <w:t>；</w:t>
      </w:r>
    </w:p>
    <w:p>
      <w:pPr>
        <w:pStyle w:val="14"/>
        <w:rPr>
          <w:color w:val="auto"/>
        </w:rPr>
      </w:pPr>
    </w:p>
    <w:p>
      <w:pPr>
        <w:spacing w:line="588" w:lineRule="exact"/>
        <w:jc w:val="center"/>
        <w:rPr>
          <w:rFonts w:ascii="宋体" w:hAnsi="宋体" w:cs="宋体"/>
          <w:b/>
          <w:color w:val="auto"/>
          <w:spacing w:val="6"/>
          <w:sz w:val="30"/>
          <w:szCs w:val="30"/>
        </w:rPr>
      </w:pPr>
      <w:r>
        <w:rPr>
          <w:rFonts w:hint="eastAsia" w:ascii="宋体" w:hAnsi="宋体" w:cs="宋体"/>
          <w:b/>
          <w:color w:val="auto"/>
          <w:spacing w:val="6"/>
          <w:sz w:val="32"/>
          <w:szCs w:val="32"/>
        </w:rPr>
        <w:t>残疾人福利性单位声明函</w:t>
      </w:r>
    </w:p>
    <w:p>
      <w:pPr>
        <w:spacing w:line="588" w:lineRule="exact"/>
        <w:ind w:firstLine="624" w:firstLineChars="200"/>
        <w:rPr>
          <w:rFonts w:ascii="宋体" w:hAnsi="宋体" w:cs="宋体"/>
          <w:color w:val="auto"/>
          <w:spacing w:val="6"/>
          <w:sz w:val="30"/>
          <w:szCs w:val="30"/>
        </w:rPr>
      </w:pPr>
      <w:r>
        <w:rPr>
          <w:rFonts w:hint="eastAsia" w:ascii="宋体" w:hAnsi="宋体" w:cs="宋体"/>
          <w:color w:val="auto"/>
          <w:spacing w:val="6"/>
          <w:sz w:val="30"/>
          <w:szCs w:val="30"/>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624" w:firstLineChars="200"/>
        <w:rPr>
          <w:rFonts w:ascii="宋体" w:hAnsi="宋体" w:cs="宋体"/>
          <w:color w:val="auto"/>
          <w:spacing w:val="6"/>
          <w:sz w:val="30"/>
          <w:szCs w:val="30"/>
        </w:rPr>
      </w:pPr>
      <w:r>
        <w:rPr>
          <w:rFonts w:hint="eastAsia" w:ascii="宋体" w:hAnsi="宋体" w:cs="宋体"/>
          <w:color w:val="auto"/>
          <w:spacing w:val="6"/>
          <w:sz w:val="30"/>
          <w:szCs w:val="30"/>
        </w:rPr>
        <w:t>本单位对上述声明的真实性负责。如有虚假，将依法承担相应责任。</w:t>
      </w:r>
    </w:p>
    <w:p>
      <w:pPr>
        <w:spacing w:line="588" w:lineRule="exact"/>
        <w:ind w:firstLine="624" w:firstLineChars="200"/>
        <w:rPr>
          <w:rFonts w:ascii="宋体" w:hAnsi="宋体" w:cs="宋体"/>
          <w:color w:val="auto"/>
          <w:spacing w:val="6"/>
          <w:sz w:val="30"/>
          <w:szCs w:val="30"/>
        </w:rPr>
      </w:pPr>
    </w:p>
    <w:p>
      <w:pPr>
        <w:spacing w:line="588" w:lineRule="exact"/>
        <w:ind w:firstLine="624" w:firstLineChars="200"/>
        <w:rPr>
          <w:rFonts w:ascii="宋体" w:hAnsi="宋体" w:cs="宋体"/>
          <w:color w:val="auto"/>
          <w:spacing w:val="6"/>
          <w:sz w:val="30"/>
          <w:szCs w:val="30"/>
        </w:rPr>
      </w:pPr>
    </w:p>
    <w:p>
      <w:pPr>
        <w:spacing w:line="588" w:lineRule="exact"/>
        <w:ind w:firstLine="624" w:firstLineChars="200"/>
        <w:rPr>
          <w:rFonts w:ascii="宋体" w:hAnsi="宋体" w:cs="宋体"/>
          <w:color w:val="auto"/>
          <w:spacing w:val="6"/>
          <w:sz w:val="30"/>
          <w:szCs w:val="30"/>
        </w:rPr>
      </w:pPr>
      <w:r>
        <w:rPr>
          <w:rFonts w:hint="eastAsia" w:ascii="宋体" w:hAnsi="宋体" w:cs="宋体"/>
          <w:color w:val="auto"/>
          <w:spacing w:val="6"/>
          <w:sz w:val="30"/>
          <w:szCs w:val="30"/>
        </w:rPr>
        <w:t xml:space="preserve"> </w:t>
      </w:r>
    </w:p>
    <w:p>
      <w:pPr>
        <w:tabs>
          <w:tab w:val="left" w:pos="4860"/>
        </w:tabs>
        <w:spacing w:line="588" w:lineRule="exact"/>
        <w:ind w:right="1560" w:firstLine="624" w:firstLineChars="200"/>
        <w:jc w:val="center"/>
        <w:rPr>
          <w:rFonts w:ascii="宋体" w:hAnsi="宋体" w:cs="宋体"/>
          <w:color w:val="auto"/>
          <w:spacing w:val="6"/>
          <w:sz w:val="30"/>
          <w:szCs w:val="30"/>
        </w:rPr>
      </w:pPr>
      <w:r>
        <w:rPr>
          <w:rFonts w:hint="eastAsia" w:ascii="宋体" w:hAnsi="宋体" w:cs="宋体"/>
          <w:color w:val="auto"/>
          <w:spacing w:val="6"/>
          <w:sz w:val="30"/>
          <w:szCs w:val="30"/>
        </w:rPr>
        <w:t xml:space="preserve">       单位名称（盖公章）：</w:t>
      </w:r>
    </w:p>
    <w:p>
      <w:pPr>
        <w:tabs>
          <w:tab w:val="left" w:pos="4860"/>
        </w:tabs>
        <w:spacing w:line="588" w:lineRule="exact"/>
        <w:ind w:right="1560" w:firstLine="624" w:firstLineChars="200"/>
        <w:jc w:val="center"/>
        <w:rPr>
          <w:rFonts w:ascii="宋体" w:hAnsi="宋体" w:cs="宋体"/>
          <w:b/>
          <w:bCs/>
          <w:color w:val="auto"/>
          <w:sz w:val="32"/>
          <w:szCs w:val="32"/>
        </w:rPr>
      </w:pPr>
      <w:r>
        <w:rPr>
          <w:rFonts w:hint="eastAsia" w:ascii="宋体" w:hAnsi="宋体" w:cs="宋体"/>
          <w:color w:val="auto"/>
          <w:spacing w:val="6"/>
          <w:sz w:val="30"/>
          <w:szCs w:val="30"/>
        </w:rPr>
        <w:t xml:space="preserve">    日  期：</w:t>
      </w:r>
    </w:p>
    <w:p>
      <w:pPr>
        <w:rPr>
          <w:rFonts w:ascii="宋体" w:hAnsi="宋体" w:cs="宋体"/>
          <w:b/>
          <w:bCs/>
          <w:color w:val="auto"/>
          <w:sz w:val="32"/>
          <w:szCs w:val="32"/>
        </w:rPr>
      </w:pPr>
    </w:p>
    <w:p>
      <w:pPr>
        <w:rPr>
          <w:rFonts w:ascii="宋体" w:hAnsi="宋体" w:cs="宋体"/>
          <w:b/>
          <w:bCs/>
          <w:color w:val="auto"/>
          <w:sz w:val="32"/>
          <w:szCs w:val="32"/>
        </w:rPr>
      </w:pPr>
      <w:bookmarkStart w:id="261" w:name="_Toc495841807"/>
      <w:bookmarkStart w:id="262" w:name="_Toc14735"/>
      <w:r>
        <w:rPr>
          <w:rFonts w:hint="eastAsia" w:ascii="宋体" w:hAnsi="宋体" w:cs="宋体"/>
          <w:b/>
          <w:bCs/>
          <w:color w:val="auto"/>
          <w:sz w:val="32"/>
          <w:szCs w:val="32"/>
        </w:rPr>
        <w:t>16.投标人可结合本项目的评标办法视自身情况自行提交相关证明材料（如有，请提供）</w:t>
      </w:r>
      <w:bookmarkEnd w:id="261"/>
      <w:bookmarkEnd w:id="262"/>
      <w:r>
        <w:rPr>
          <w:rFonts w:hint="eastAsia" w:ascii="宋体" w:hAnsi="宋体" w:cs="宋体"/>
          <w:b/>
          <w:bCs/>
          <w:color w:val="auto"/>
          <w:sz w:val="32"/>
          <w:szCs w:val="32"/>
        </w:rPr>
        <w:t>。</w:t>
      </w:r>
    </w:p>
    <w:p>
      <w:pPr>
        <w:snapToGrid w:val="0"/>
        <w:spacing w:line="400" w:lineRule="exact"/>
        <w:rPr>
          <w:color w:val="auto"/>
        </w:rPr>
      </w:pPr>
    </w:p>
    <w:p>
      <w:pPr>
        <w:pStyle w:val="2"/>
        <w:rPr>
          <w:color w:val="auto"/>
        </w:rPr>
      </w:pPr>
    </w:p>
    <w:sectPr>
      <w:headerReference r:id="rId5" w:type="default"/>
      <w:footerReference r:id="rId6" w:type="default"/>
      <w:pgSz w:w="11906" w:h="16838"/>
      <w:pgMar w:top="1440" w:right="1080" w:bottom="1440" w:left="108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Sim Sun">
    <w:altName w:val="宋体"/>
    <w:panose1 w:val="00000000000000000000"/>
    <w:charset w:val="86"/>
    <w:family w:val="decorative"/>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Ђ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single" w:color="auto" w:sz="4" w:space="0"/>
      </w:pBdr>
    </w:pPr>
  </w:p>
  <w:p>
    <w:pPr>
      <w:pStyle w:val="21"/>
    </w:pPr>
    <w:r>
      <w:rPr>
        <w:rFonts w:hint="eastAsia"/>
      </w:rPr>
      <w:t>桂林市政府集中采购中心                                                                              公开招标</w:t>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single" w:color="auto" w:sz="4" w:space="0"/>
      </w:pBd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t>- 31 -</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OqXm5zwAAAAUBAAAPAAAAAAAAAAEA&#10;IAAAACIAAABkcnMvZG93bnJldi54bWxQSwECFAAUAAAACACHTuJAIZKpRaYBAAA/AwAADgAAAAAA&#10;AAABACAAAAAeAQAAZHJzL2Uyb0RvYy54bWxQSwUGAAAAAAYABgBZAQAANgUAAAAA&#10;">
              <v:fill on="f" focussize="0,0"/>
              <v:stroke on="f"/>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t>- 31 -</w:t>
                    </w:r>
                    <w:r>
                      <w:rPr>
                        <w:rFonts w:hint="eastAsia"/>
                      </w:rPr>
                      <w:fldChar w:fldCharType="end"/>
                    </w:r>
                  </w:p>
                </w:txbxContent>
              </v:textbox>
            </v:shape>
          </w:pict>
        </mc:Fallback>
      </mc:AlternateContent>
    </w:r>
  </w:p>
  <w:p>
    <w:pPr>
      <w:pStyle w:val="21"/>
    </w:pPr>
    <w:r>
      <w:rPr>
        <w:rFonts w:hint="eastAsia"/>
      </w:rPr>
      <w:t>桂林市政府集中采购中心                                                                              公开招标</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color w:val="auto"/>
      </w:rPr>
    </w:pPr>
    <w:r>
      <w:rPr>
        <w:rFonts w:hint="eastAsia"/>
        <w:color w:val="auto"/>
      </w:rPr>
      <w:t>临桂区2020年中小学班班通多媒体设备采购                                           GLZC2020-G1-120018-JCZX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color w:val="auto"/>
      </w:rPr>
    </w:pPr>
    <w:r>
      <w:rPr>
        <w:rFonts w:hint="eastAsia"/>
        <w:color w:val="auto"/>
      </w:rPr>
      <w:t>临桂区2020年中小学班班通多媒体设备采购                                           GLZC2020-G1-120018-JCZX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8EBBE8"/>
    <w:multiLevelType w:val="singleLevel"/>
    <w:tmpl w:val="AE8EBBE8"/>
    <w:lvl w:ilvl="0" w:tentative="0">
      <w:start w:val="15"/>
      <w:numFmt w:val="decimal"/>
      <w:suff w:val="space"/>
      <w:lvlText w:val="%1."/>
      <w:lvlJc w:val="left"/>
    </w:lvl>
  </w:abstractNum>
  <w:abstractNum w:abstractNumId="1">
    <w:nsid w:val="0F3F0521"/>
    <w:multiLevelType w:val="singleLevel"/>
    <w:tmpl w:val="0F3F0521"/>
    <w:lvl w:ilvl="0" w:tentative="0">
      <w:start w:val="1"/>
      <w:numFmt w:val="decimal"/>
      <w:lvlText w:val="%1)"/>
      <w:lvlJc w:val="left"/>
      <w:pPr>
        <w:ind w:left="425" w:hanging="425"/>
      </w:pPr>
      <w:rPr>
        <w:rFonts w:hint="default"/>
      </w:rPr>
    </w:lvl>
  </w:abstractNum>
  <w:abstractNum w:abstractNumId="2">
    <w:nsid w:val="179A9516"/>
    <w:multiLevelType w:val="singleLevel"/>
    <w:tmpl w:val="179A9516"/>
    <w:lvl w:ilvl="0" w:tentative="0">
      <w:start w:val="4"/>
      <w:numFmt w:val="decimal"/>
      <w:suff w:val="nothing"/>
      <w:lvlText w:val="（%1）"/>
      <w:lvlJc w:val="left"/>
    </w:lvl>
  </w:abstractNum>
  <w:abstractNum w:abstractNumId="3">
    <w:nsid w:val="262694A4"/>
    <w:multiLevelType w:val="singleLevel"/>
    <w:tmpl w:val="262694A4"/>
    <w:lvl w:ilvl="0" w:tentative="0">
      <w:start w:val="1"/>
      <w:numFmt w:val="chineseCounting"/>
      <w:suff w:val="space"/>
      <w:lvlText w:val="第%1章"/>
      <w:lvlJc w:val="left"/>
      <w:rPr>
        <w:rFonts w:hint="eastAsia"/>
      </w:rPr>
    </w:lvl>
  </w:abstractNum>
  <w:abstractNum w:abstractNumId="4">
    <w:nsid w:val="4603DC6E"/>
    <w:multiLevelType w:val="singleLevel"/>
    <w:tmpl w:val="4603DC6E"/>
    <w:lvl w:ilvl="0" w:tentative="0">
      <w:start w:val="2"/>
      <w:numFmt w:val="decimal"/>
      <w:suff w:val="nothing"/>
      <w:lvlText w:val="（%1）"/>
      <w:lvlJc w:val="left"/>
    </w:lvl>
  </w:abstractNum>
  <w:abstractNum w:abstractNumId="5">
    <w:nsid w:val="491EBDFD"/>
    <w:multiLevelType w:val="singleLevel"/>
    <w:tmpl w:val="491EBDFD"/>
    <w:lvl w:ilvl="0" w:tentative="0">
      <w:start w:val="1"/>
      <w:numFmt w:val="decimal"/>
      <w:lvlText w:val="%1."/>
      <w:lvlJc w:val="left"/>
      <w:pPr>
        <w:tabs>
          <w:tab w:val="left" w:pos="312"/>
        </w:tabs>
      </w:pPr>
    </w:lvl>
  </w:abstractNum>
  <w:abstractNum w:abstractNumId="6">
    <w:nsid w:val="524A5894"/>
    <w:multiLevelType w:val="singleLevel"/>
    <w:tmpl w:val="524A5894"/>
    <w:lvl w:ilvl="0" w:tentative="0">
      <w:start w:val="1"/>
      <w:numFmt w:val="decimal"/>
      <w:suff w:val="nothing"/>
      <w:lvlText w:val="%1、"/>
      <w:lvlJc w:val="left"/>
    </w:lvl>
  </w:abstractNum>
  <w:abstractNum w:abstractNumId="7">
    <w:nsid w:val="566D9A5B"/>
    <w:multiLevelType w:val="singleLevel"/>
    <w:tmpl w:val="566D9A5B"/>
    <w:lvl w:ilvl="0" w:tentative="0">
      <w:start w:val="1"/>
      <w:numFmt w:val="chineseCounting"/>
      <w:suff w:val="nothing"/>
      <w:lvlText w:val="%1、"/>
      <w:lvlJc w:val="left"/>
      <w:rPr>
        <w:rFonts w:hint="eastAsia"/>
      </w:rPr>
    </w:lvl>
  </w:abstractNum>
  <w:abstractNum w:abstractNumId="8">
    <w:nsid w:val="59DC546A"/>
    <w:multiLevelType w:val="singleLevel"/>
    <w:tmpl w:val="59DC546A"/>
    <w:lvl w:ilvl="0" w:tentative="0">
      <w:start w:val="1"/>
      <w:numFmt w:val="decimal"/>
      <w:suff w:val="nothing"/>
      <w:lvlText w:val="（%1）"/>
      <w:lvlJc w:val="left"/>
    </w:lvl>
  </w:abstractNum>
  <w:num w:numId="1">
    <w:abstractNumId w:val="3"/>
  </w:num>
  <w:num w:numId="2">
    <w:abstractNumId w:val="5"/>
  </w:num>
  <w:num w:numId="3">
    <w:abstractNumId w:val="2"/>
  </w:num>
  <w:num w:numId="4">
    <w:abstractNumId w:val="8"/>
  </w:num>
  <w:num w:numId="5">
    <w:abstractNumId w:val="0"/>
  </w:num>
  <w:num w:numId="6">
    <w:abstractNumId w:val="1"/>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138"/>
    <w:rsid w:val="0000012A"/>
    <w:rsid w:val="000004C3"/>
    <w:rsid w:val="000007B3"/>
    <w:rsid w:val="000012F4"/>
    <w:rsid w:val="000013C5"/>
    <w:rsid w:val="0000245C"/>
    <w:rsid w:val="00002511"/>
    <w:rsid w:val="00002604"/>
    <w:rsid w:val="00002682"/>
    <w:rsid w:val="00002789"/>
    <w:rsid w:val="00003EA2"/>
    <w:rsid w:val="00004D43"/>
    <w:rsid w:val="00004D70"/>
    <w:rsid w:val="000064D3"/>
    <w:rsid w:val="000066AE"/>
    <w:rsid w:val="0000694B"/>
    <w:rsid w:val="00007562"/>
    <w:rsid w:val="00007A12"/>
    <w:rsid w:val="00007F96"/>
    <w:rsid w:val="00010484"/>
    <w:rsid w:val="00010630"/>
    <w:rsid w:val="0001073E"/>
    <w:rsid w:val="00010A38"/>
    <w:rsid w:val="00010C20"/>
    <w:rsid w:val="00010EAD"/>
    <w:rsid w:val="00011006"/>
    <w:rsid w:val="00011968"/>
    <w:rsid w:val="00012CDC"/>
    <w:rsid w:val="0001389F"/>
    <w:rsid w:val="000139C8"/>
    <w:rsid w:val="000139E0"/>
    <w:rsid w:val="00013C53"/>
    <w:rsid w:val="000147E9"/>
    <w:rsid w:val="00014897"/>
    <w:rsid w:val="000154C2"/>
    <w:rsid w:val="00015616"/>
    <w:rsid w:val="00016164"/>
    <w:rsid w:val="000161E6"/>
    <w:rsid w:val="000168D8"/>
    <w:rsid w:val="00016CCE"/>
    <w:rsid w:val="00016DFC"/>
    <w:rsid w:val="00016E25"/>
    <w:rsid w:val="00016F9A"/>
    <w:rsid w:val="000171D6"/>
    <w:rsid w:val="00020282"/>
    <w:rsid w:val="000204F7"/>
    <w:rsid w:val="00020654"/>
    <w:rsid w:val="000206E4"/>
    <w:rsid w:val="00020A3D"/>
    <w:rsid w:val="00020C2E"/>
    <w:rsid w:val="00020C93"/>
    <w:rsid w:val="00020DFC"/>
    <w:rsid w:val="00021802"/>
    <w:rsid w:val="00021DAE"/>
    <w:rsid w:val="000226EF"/>
    <w:rsid w:val="00022A04"/>
    <w:rsid w:val="00022F6B"/>
    <w:rsid w:val="0002300B"/>
    <w:rsid w:val="00023496"/>
    <w:rsid w:val="00023CCC"/>
    <w:rsid w:val="00024D1C"/>
    <w:rsid w:val="000250DF"/>
    <w:rsid w:val="000253B5"/>
    <w:rsid w:val="000255CC"/>
    <w:rsid w:val="00025BFA"/>
    <w:rsid w:val="00026487"/>
    <w:rsid w:val="00026761"/>
    <w:rsid w:val="00026815"/>
    <w:rsid w:val="00026A9C"/>
    <w:rsid w:val="00026BD0"/>
    <w:rsid w:val="00026E89"/>
    <w:rsid w:val="00026FAA"/>
    <w:rsid w:val="00027726"/>
    <w:rsid w:val="00027F50"/>
    <w:rsid w:val="00030259"/>
    <w:rsid w:val="00031CD3"/>
    <w:rsid w:val="00031D23"/>
    <w:rsid w:val="000320DB"/>
    <w:rsid w:val="00032419"/>
    <w:rsid w:val="0003258D"/>
    <w:rsid w:val="00033233"/>
    <w:rsid w:val="00033A28"/>
    <w:rsid w:val="00033C3A"/>
    <w:rsid w:val="00033C62"/>
    <w:rsid w:val="00034267"/>
    <w:rsid w:val="00034581"/>
    <w:rsid w:val="00034D30"/>
    <w:rsid w:val="00034E5F"/>
    <w:rsid w:val="000353B8"/>
    <w:rsid w:val="000357BE"/>
    <w:rsid w:val="00035820"/>
    <w:rsid w:val="00035C6F"/>
    <w:rsid w:val="00036348"/>
    <w:rsid w:val="00036425"/>
    <w:rsid w:val="00036594"/>
    <w:rsid w:val="00037242"/>
    <w:rsid w:val="000373A3"/>
    <w:rsid w:val="00037991"/>
    <w:rsid w:val="000404A8"/>
    <w:rsid w:val="00040678"/>
    <w:rsid w:val="00040706"/>
    <w:rsid w:val="00040C08"/>
    <w:rsid w:val="000425C4"/>
    <w:rsid w:val="00042F69"/>
    <w:rsid w:val="000433E9"/>
    <w:rsid w:val="00043717"/>
    <w:rsid w:val="00043BC9"/>
    <w:rsid w:val="00044162"/>
    <w:rsid w:val="00044210"/>
    <w:rsid w:val="0004422A"/>
    <w:rsid w:val="00044409"/>
    <w:rsid w:val="000447E7"/>
    <w:rsid w:val="00044C3F"/>
    <w:rsid w:val="00044E0C"/>
    <w:rsid w:val="00044E5F"/>
    <w:rsid w:val="000457ED"/>
    <w:rsid w:val="00045A4C"/>
    <w:rsid w:val="00045FA3"/>
    <w:rsid w:val="0004657B"/>
    <w:rsid w:val="00047190"/>
    <w:rsid w:val="000473C1"/>
    <w:rsid w:val="00047877"/>
    <w:rsid w:val="000479BB"/>
    <w:rsid w:val="000479E2"/>
    <w:rsid w:val="000500EE"/>
    <w:rsid w:val="0005043F"/>
    <w:rsid w:val="000517CE"/>
    <w:rsid w:val="00052295"/>
    <w:rsid w:val="00052409"/>
    <w:rsid w:val="00053E02"/>
    <w:rsid w:val="0005424F"/>
    <w:rsid w:val="00054CFF"/>
    <w:rsid w:val="00055A2B"/>
    <w:rsid w:val="000561BD"/>
    <w:rsid w:val="00056276"/>
    <w:rsid w:val="0005641F"/>
    <w:rsid w:val="0005650A"/>
    <w:rsid w:val="00056832"/>
    <w:rsid w:val="00057D96"/>
    <w:rsid w:val="00057FA8"/>
    <w:rsid w:val="000606D6"/>
    <w:rsid w:val="0006095D"/>
    <w:rsid w:val="00061342"/>
    <w:rsid w:val="000617D3"/>
    <w:rsid w:val="00061A7B"/>
    <w:rsid w:val="0006269C"/>
    <w:rsid w:val="000629C0"/>
    <w:rsid w:val="00062EB9"/>
    <w:rsid w:val="0006313B"/>
    <w:rsid w:val="00063580"/>
    <w:rsid w:val="00063621"/>
    <w:rsid w:val="0006377B"/>
    <w:rsid w:val="00063C67"/>
    <w:rsid w:val="000645BF"/>
    <w:rsid w:val="00064792"/>
    <w:rsid w:val="00064E88"/>
    <w:rsid w:val="00064E8B"/>
    <w:rsid w:val="00065C6C"/>
    <w:rsid w:val="0006602F"/>
    <w:rsid w:val="00066231"/>
    <w:rsid w:val="00066254"/>
    <w:rsid w:val="0006630F"/>
    <w:rsid w:val="000663F2"/>
    <w:rsid w:val="00066927"/>
    <w:rsid w:val="000675B5"/>
    <w:rsid w:val="00070648"/>
    <w:rsid w:val="0007072F"/>
    <w:rsid w:val="000707BA"/>
    <w:rsid w:val="00070B84"/>
    <w:rsid w:val="000712BA"/>
    <w:rsid w:val="00072AF3"/>
    <w:rsid w:val="000731E0"/>
    <w:rsid w:val="0007321D"/>
    <w:rsid w:val="00073EB9"/>
    <w:rsid w:val="00074060"/>
    <w:rsid w:val="000740EE"/>
    <w:rsid w:val="00074441"/>
    <w:rsid w:val="000746A6"/>
    <w:rsid w:val="000746D3"/>
    <w:rsid w:val="00074890"/>
    <w:rsid w:val="00074AAC"/>
    <w:rsid w:val="00075405"/>
    <w:rsid w:val="000759B4"/>
    <w:rsid w:val="00075AC6"/>
    <w:rsid w:val="000763B8"/>
    <w:rsid w:val="00080266"/>
    <w:rsid w:val="00080A97"/>
    <w:rsid w:val="00080C72"/>
    <w:rsid w:val="00080FD4"/>
    <w:rsid w:val="00081197"/>
    <w:rsid w:val="000815D9"/>
    <w:rsid w:val="0008283C"/>
    <w:rsid w:val="00082B33"/>
    <w:rsid w:val="00082F26"/>
    <w:rsid w:val="000834F3"/>
    <w:rsid w:val="00083AFC"/>
    <w:rsid w:val="000840AE"/>
    <w:rsid w:val="00084236"/>
    <w:rsid w:val="000844B3"/>
    <w:rsid w:val="00085194"/>
    <w:rsid w:val="000858A2"/>
    <w:rsid w:val="00085993"/>
    <w:rsid w:val="00085EE0"/>
    <w:rsid w:val="00086806"/>
    <w:rsid w:val="000870A4"/>
    <w:rsid w:val="00087492"/>
    <w:rsid w:val="00087C2E"/>
    <w:rsid w:val="00087C30"/>
    <w:rsid w:val="00087D46"/>
    <w:rsid w:val="000900BE"/>
    <w:rsid w:val="0009120F"/>
    <w:rsid w:val="0009192D"/>
    <w:rsid w:val="00091A92"/>
    <w:rsid w:val="00091ADC"/>
    <w:rsid w:val="00091F7B"/>
    <w:rsid w:val="000921D6"/>
    <w:rsid w:val="00093502"/>
    <w:rsid w:val="0009423E"/>
    <w:rsid w:val="0009439C"/>
    <w:rsid w:val="0009450E"/>
    <w:rsid w:val="0009583E"/>
    <w:rsid w:val="00095D3B"/>
    <w:rsid w:val="0009609B"/>
    <w:rsid w:val="00096254"/>
    <w:rsid w:val="0009629E"/>
    <w:rsid w:val="0009657E"/>
    <w:rsid w:val="00096B3D"/>
    <w:rsid w:val="0009733E"/>
    <w:rsid w:val="00097B00"/>
    <w:rsid w:val="000A1985"/>
    <w:rsid w:val="000A1B2D"/>
    <w:rsid w:val="000A1C5C"/>
    <w:rsid w:val="000A22E4"/>
    <w:rsid w:val="000A2348"/>
    <w:rsid w:val="000A482E"/>
    <w:rsid w:val="000A507F"/>
    <w:rsid w:val="000A5F1C"/>
    <w:rsid w:val="000A6BCA"/>
    <w:rsid w:val="000A6E55"/>
    <w:rsid w:val="000A7020"/>
    <w:rsid w:val="000A715A"/>
    <w:rsid w:val="000A7BC1"/>
    <w:rsid w:val="000B005F"/>
    <w:rsid w:val="000B0082"/>
    <w:rsid w:val="000B0948"/>
    <w:rsid w:val="000B147E"/>
    <w:rsid w:val="000B14E2"/>
    <w:rsid w:val="000B1865"/>
    <w:rsid w:val="000B25AB"/>
    <w:rsid w:val="000B27B0"/>
    <w:rsid w:val="000B2E07"/>
    <w:rsid w:val="000B3350"/>
    <w:rsid w:val="000B3403"/>
    <w:rsid w:val="000B3F43"/>
    <w:rsid w:val="000B414E"/>
    <w:rsid w:val="000B420E"/>
    <w:rsid w:val="000B517B"/>
    <w:rsid w:val="000B599B"/>
    <w:rsid w:val="000B6149"/>
    <w:rsid w:val="000B6464"/>
    <w:rsid w:val="000B6616"/>
    <w:rsid w:val="000B67FF"/>
    <w:rsid w:val="000B6D4B"/>
    <w:rsid w:val="000B7280"/>
    <w:rsid w:val="000B775D"/>
    <w:rsid w:val="000B7B41"/>
    <w:rsid w:val="000B7B6B"/>
    <w:rsid w:val="000C042D"/>
    <w:rsid w:val="000C16C7"/>
    <w:rsid w:val="000C17B3"/>
    <w:rsid w:val="000C18B9"/>
    <w:rsid w:val="000C1C14"/>
    <w:rsid w:val="000C1C47"/>
    <w:rsid w:val="000C1E87"/>
    <w:rsid w:val="000C1FFE"/>
    <w:rsid w:val="000C278F"/>
    <w:rsid w:val="000C3182"/>
    <w:rsid w:val="000C3627"/>
    <w:rsid w:val="000C3D7C"/>
    <w:rsid w:val="000C3EBF"/>
    <w:rsid w:val="000C3EF9"/>
    <w:rsid w:val="000C4226"/>
    <w:rsid w:val="000C46A7"/>
    <w:rsid w:val="000C4B4A"/>
    <w:rsid w:val="000C577C"/>
    <w:rsid w:val="000C5EBC"/>
    <w:rsid w:val="000C6007"/>
    <w:rsid w:val="000C62B4"/>
    <w:rsid w:val="000C63C1"/>
    <w:rsid w:val="000C6487"/>
    <w:rsid w:val="000C66D5"/>
    <w:rsid w:val="000C671D"/>
    <w:rsid w:val="000C6905"/>
    <w:rsid w:val="000C726B"/>
    <w:rsid w:val="000C79D7"/>
    <w:rsid w:val="000C7DC0"/>
    <w:rsid w:val="000C7E03"/>
    <w:rsid w:val="000D04B5"/>
    <w:rsid w:val="000D07D7"/>
    <w:rsid w:val="000D0A2A"/>
    <w:rsid w:val="000D197F"/>
    <w:rsid w:val="000D1F8E"/>
    <w:rsid w:val="000D2C99"/>
    <w:rsid w:val="000D3131"/>
    <w:rsid w:val="000D317E"/>
    <w:rsid w:val="000D3499"/>
    <w:rsid w:val="000D35D0"/>
    <w:rsid w:val="000D3ADD"/>
    <w:rsid w:val="000D416D"/>
    <w:rsid w:val="000D4271"/>
    <w:rsid w:val="000D565B"/>
    <w:rsid w:val="000D5A69"/>
    <w:rsid w:val="000D5C45"/>
    <w:rsid w:val="000D6183"/>
    <w:rsid w:val="000D6249"/>
    <w:rsid w:val="000D663D"/>
    <w:rsid w:val="000D713C"/>
    <w:rsid w:val="000D7241"/>
    <w:rsid w:val="000D7491"/>
    <w:rsid w:val="000D761D"/>
    <w:rsid w:val="000D7811"/>
    <w:rsid w:val="000E0233"/>
    <w:rsid w:val="000E07EE"/>
    <w:rsid w:val="000E1051"/>
    <w:rsid w:val="000E125D"/>
    <w:rsid w:val="000E17A5"/>
    <w:rsid w:val="000E1EA9"/>
    <w:rsid w:val="000E20CC"/>
    <w:rsid w:val="000E221C"/>
    <w:rsid w:val="000E2C59"/>
    <w:rsid w:val="000E2D2A"/>
    <w:rsid w:val="000E2D3C"/>
    <w:rsid w:val="000E3086"/>
    <w:rsid w:val="000E3A00"/>
    <w:rsid w:val="000E4218"/>
    <w:rsid w:val="000E4714"/>
    <w:rsid w:val="000E477C"/>
    <w:rsid w:val="000E4A2E"/>
    <w:rsid w:val="000E4AA0"/>
    <w:rsid w:val="000E5032"/>
    <w:rsid w:val="000E551D"/>
    <w:rsid w:val="000E6BBF"/>
    <w:rsid w:val="000E7078"/>
    <w:rsid w:val="000E75B1"/>
    <w:rsid w:val="000F07E0"/>
    <w:rsid w:val="000F0927"/>
    <w:rsid w:val="000F09EA"/>
    <w:rsid w:val="000F0AEC"/>
    <w:rsid w:val="000F0DF2"/>
    <w:rsid w:val="000F1BF2"/>
    <w:rsid w:val="000F1C7B"/>
    <w:rsid w:val="000F2448"/>
    <w:rsid w:val="000F25B0"/>
    <w:rsid w:val="000F2B3A"/>
    <w:rsid w:val="000F3291"/>
    <w:rsid w:val="000F33D3"/>
    <w:rsid w:val="000F3E81"/>
    <w:rsid w:val="000F4D92"/>
    <w:rsid w:val="000F512C"/>
    <w:rsid w:val="000F5A14"/>
    <w:rsid w:val="000F6137"/>
    <w:rsid w:val="000F6477"/>
    <w:rsid w:val="000F660D"/>
    <w:rsid w:val="000F72C5"/>
    <w:rsid w:val="000F7404"/>
    <w:rsid w:val="000F7D5B"/>
    <w:rsid w:val="001002A5"/>
    <w:rsid w:val="0010101A"/>
    <w:rsid w:val="0010113E"/>
    <w:rsid w:val="00101C2F"/>
    <w:rsid w:val="0010220C"/>
    <w:rsid w:val="001023DA"/>
    <w:rsid w:val="00103B1E"/>
    <w:rsid w:val="00103D34"/>
    <w:rsid w:val="001043E8"/>
    <w:rsid w:val="001051FB"/>
    <w:rsid w:val="00105E7C"/>
    <w:rsid w:val="00106635"/>
    <w:rsid w:val="0010772D"/>
    <w:rsid w:val="00107AAB"/>
    <w:rsid w:val="00107DBE"/>
    <w:rsid w:val="001100AC"/>
    <w:rsid w:val="00110BD9"/>
    <w:rsid w:val="0011171E"/>
    <w:rsid w:val="00111A1E"/>
    <w:rsid w:val="00111A2D"/>
    <w:rsid w:val="00111CA9"/>
    <w:rsid w:val="00112548"/>
    <w:rsid w:val="00112720"/>
    <w:rsid w:val="00112F5B"/>
    <w:rsid w:val="00113A0E"/>
    <w:rsid w:val="00113A99"/>
    <w:rsid w:val="00113AF4"/>
    <w:rsid w:val="00114B86"/>
    <w:rsid w:val="00115442"/>
    <w:rsid w:val="00115FBC"/>
    <w:rsid w:val="0011635D"/>
    <w:rsid w:val="00116CBB"/>
    <w:rsid w:val="0011747F"/>
    <w:rsid w:val="001174AE"/>
    <w:rsid w:val="00117D20"/>
    <w:rsid w:val="00117DC0"/>
    <w:rsid w:val="00117E74"/>
    <w:rsid w:val="00120547"/>
    <w:rsid w:val="00120802"/>
    <w:rsid w:val="0012191A"/>
    <w:rsid w:val="001231A6"/>
    <w:rsid w:val="001234BD"/>
    <w:rsid w:val="001235F0"/>
    <w:rsid w:val="001236EF"/>
    <w:rsid w:val="001239B2"/>
    <w:rsid w:val="00123B65"/>
    <w:rsid w:val="001240C4"/>
    <w:rsid w:val="00124323"/>
    <w:rsid w:val="00124ACB"/>
    <w:rsid w:val="001255C6"/>
    <w:rsid w:val="0012638B"/>
    <w:rsid w:val="00130193"/>
    <w:rsid w:val="0013024C"/>
    <w:rsid w:val="001303EA"/>
    <w:rsid w:val="0013041D"/>
    <w:rsid w:val="00130436"/>
    <w:rsid w:val="00130EFA"/>
    <w:rsid w:val="00131BB7"/>
    <w:rsid w:val="00131C08"/>
    <w:rsid w:val="00131D21"/>
    <w:rsid w:val="0013248D"/>
    <w:rsid w:val="00132F97"/>
    <w:rsid w:val="00133180"/>
    <w:rsid w:val="00133205"/>
    <w:rsid w:val="001333DB"/>
    <w:rsid w:val="00133450"/>
    <w:rsid w:val="001335B1"/>
    <w:rsid w:val="00133C3B"/>
    <w:rsid w:val="00133F22"/>
    <w:rsid w:val="0013449B"/>
    <w:rsid w:val="001344C7"/>
    <w:rsid w:val="001346D2"/>
    <w:rsid w:val="00134862"/>
    <w:rsid w:val="00134BD1"/>
    <w:rsid w:val="00134CC0"/>
    <w:rsid w:val="00135E46"/>
    <w:rsid w:val="00136517"/>
    <w:rsid w:val="00140213"/>
    <w:rsid w:val="0014047C"/>
    <w:rsid w:val="0014115B"/>
    <w:rsid w:val="00141AE7"/>
    <w:rsid w:val="00141E3C"/>
    <w:rsid w:val="00142784"/>
    <w:rsid w:val="00142C09"/>
    <w:rsid w:val="00143102"/>
    <w:rsid w:val="0014329A"/>
    <w:rsid w:val="001433F1"/>
    <w:rsid w:val="00143861"/>
    <w:rsid w:val="001440A4"/>
    <w:rsid w:val="00144815"/>
    <w:rsid w:val="00144F89"/>
    <w:rsid w:val="00145537"/>
    <w:rsid w:val="00145D1C"/>
    <w:rsid w:val="00146021"/>
    <w:rsid w:val="00150049"/>
    <w:rsid w:val="00150055"/>
    <w:rsid w:val="001502A2"/>
    <w:rsid w:val="00150373"/>
    <w:rsid w:val="00150AE6"/>
    <w:rsid w:val="00150C40"/>
    <w:rsid w:val="00150D03"/>
    <w:rsid w:val="00151F58"/>
    <w:rsid w:val="00151F67"/>
    <w:rsid w:val="0015285A"/>
    <w:rsid w:val="0015299C"/>
    <w:rsid w:val="0015313E"/>
    <w:rsid w:val="001531B4"/>
    <w:rsid w:val="001533BA"/>
    <w:rsid w:val="00153787"/>
    <w:rsid w:val="0015396D"/>
    <w:rsid w:val="00153BBF"/>
    <w:rsid w:val="001543DB"/>
    <w:rsid w:val="0015440E"/>
    <w:rsid w:val="001552FB"/>
    <w:rsid w:val="00155B83"/>
    <w:rsid w:val="00155E4D"/>
    <w:rsid w:val="00156262"/>
    <w:rsid w:val="001563CA"/>
    <w:rsid w:val="00156979"/>
    <w:rsid w:val="00156A19"/>
    <w:rsid w:val="00156D43"/>
    <w:rsid w:val="00157103"/>
    <w:rsid w:val="00157320"/>
    <w:rsid w:val="00157C06"/>
    <w:rsid w:val="00157CF4"/>
    <w:rsid w:val="001600D7"/>
    <w:rsid w:val="0016036D"/>
    <w:rsid w:val="001608AE"/>
    <w:rsid w:val="00160D3E"/>
    <w:rsid w:val="001610F5"/>
    <w:rsid w:val="00161375"/>
    <w:rsid w:val="001613B7"/>
    <w:rsid w:val="00162D4C"/>
    <w:rsid w:val="00163584"/>
    <w:rsid w:val="001635A4"/>
    <w:rsid w:val="001638BE"/>
    <w:rsid w:val="00163AF5"/>
    <w:rsid w:val="00163FCD"/>
    <w:rsid w:val="00164003"/>
    <w:rsid w:val="00164249"/>
    <w:rsid w:val="00164902"/>
    <w:rsid w:val="00164B0A"/>
    <w:rsid w:val="00164B7B"/>
    <w:rsid w:val="00165240"/>
    <w:rsid w:val="00165735"/>
    <w:rsid w:val="00166390"/>
    <w:rsid w:val="001666A4"/>
    <w:rsid w:val="00166AF1"/>
    <w:rsid w:val="00166B91"/>
    <w:rsid w:val="00166CED"/>
    <w:rsid w:val="00167F1C"/>
    <w:rsid w:val="00170706"/>
    <w:rsid w:val="00170B25"/>
    <w:rsid w:val="00170BD1"/>
    <w:rsid w:val="001718C5"/>
    <w:rsid w:val="00171A3B"/>
    <w:rsid w:val="00171CE9"/>
    <w:rsid w:val="00171F84"/>
    <w:rsid w:val="0017246C"/>
    <w:rsid w:val="00173282"/>
    <w:rsid w:val="001734B9"/>
    <w:rsid w:val="00173F97"/>
    <w:rsid w:val="00173FCF"/>
    <w:rsid w:val="00174754"/>
    <w:rsid w:val="00175739"/>
    <w:rsid w:val="00175FAB"/>
    <w:rsid w:val="001760DA"/>
    <w:rsid w:val="001769B1"/>
    <w:rsid w:val="00177096"/>
    <w:rsid w:val="001771F7"/>
    <w:rsid w:val="00180926"/>
    <w:rsid w:val="0018107F"/>
    <w:rsid w:val="00181CCB"/>
    <w:rsid w:val="00181D44"/>
    <w:rsid w:val="00181DE6"/>
    <w:rsid w:val="00181F65"/>
    <w:rsid w:val="001821F4"/>
    <w:rsid w:val="00183599"/>
    <w:rsid w:val="00183DF4"/>
    <w:rsid w:val="001841FA"/>
    <w:rsid w:val="00185480"/>
    <w:rsid w:val="001857E0"/>
    <w:rsid w:val="0018632C"/>
    <w:rsid w:val="001863AB"/>
    <w:rsid w:val="00186697"/>
    <w:rsid w:val="001866AB"/>
    <w:rsid w:val="001867C4"/>
    <w:rsid w:val="00186855"/>
    <w:rsid w:val="00186A0B"/>
    <w:rsid w:val="00186B2C"/>
    <w:rsid w:val="00186DB1"/>
    <w:rsid w:val="001870BC"/>
    <w:rsid w:val="001872B9"/>
    <w:rsid w:val="0018738A"/>
    <w:rsid w:val="00187BD2"/>
    <w:rsid w:val="00187CB1"/>
    <w:rsid w:val="00187CDD"/>
    <w:rsid w:val="00190215"/>
    <w:rsid w:val="001902E5"/>
    <w:rsid w:val="001904B0"/>
    <w:rsid w:val="00190ED8"/>
    <w:rsid w:val="001914DA"/>
    <w:rsid w:val="00191864"/>
    <w:rsid w:val="001919E8"/>
    <w:rsid w:val="00191DC4"/>
    <w:rsid w:val="0019308B"/>
    <w:rsid w:val="001934E3"/>
    <w:rsid w:val="001938D1"/>
    <w:rsid w:val="00194200"/>
    <w:rsid w:val="001942EB"/>
    <w:rsid w:val="00194589"/>
    <w:rsid w:val="00194761"/>
    <w:rsid w:val="001948C3"/>
    <w:rsid w:val="00194924"/>
    <w:rsid w:val="0019500A"/>
    <w:rsid w:val="0019565F"/>
    <w:rsid w:val="001958CA"/>
    <w:rsid w:val="00195D31"/>
    <w:rsid w:val="00195E63"/>
    <w:rsid w:val="00196835"/>
    <w:rsid w:val="00196FFE"/>
    <w:rsid w:val="00197957"/>
    <w:rsid w:val="00197DF4"/>
    <w:rsid w:val="001A0E8A"/>
    <w:rsid w:val="001A16A9"/>
    <w:rsid w:val="001A1A33"/>
    <w:rsid w:val="001A1AEE"/>
    <w:rsid w:val="001A1C41"/>
    <w:rsid w:val="001A2E4E"/>
    <w:rsid w:val="001A301F"/>
    <w:rsid w:val="001A3D9F"/>
    <w:rsid w:val="001A415B"/>
    <w:rsid w:val="001A43DB"/>
    <w:rsid w:val="001A4BAE"/>
    <w:rsid w:val="001A5377"/>
    <w:rsid w:val="001A5641"/>
    <w:rsid w:val="001A58E7"/>
    <w:rsid w:val="001A5C92"/>
    <w:rsid w:val="001A5EEF"/>
    <w:rsid w:val="001A612C"/>
    <w:rsid w:val="001A62A0"/>
    <w:rsid w:val="001A62BA"/>
    <w:rsid w:val="001A68C1"/>
    <w:rsid w:val="001A6B02"/>
    <w:rsid w:val="001A6F5F"/>
    <w:rsid w:val="001A714B"/>
    <w:rsid w:val="001A71C3"/>
    <w:rsid w:val="001A74B6"/>
    <w:rsid w:val="001A7D50"/>
    <w:rsid w:val="001B02BF"/>
    <w:rsid w:val="001B0531"/>
    <w:rsid w:val="001B0DD6"/>
    <w:rsid w:val="001B0E49"/>
    <w:rsid w:val="001B16EB"/>
    <w:rsid w:val="001B1A2F"/>
    <w:rsid w:val="001B1ACB"/>
    <w:rsid w:val="001B213D"/>
    <w:rsid w:val="001B2294"/>
    <w:rsid w:val="001B3238"/>
    <w:rsid w:val="001B3D61"/>
    <w:rsid w:val="001B4946"/>
    <w:rsid w:val="001B4A8B"/>
    <w:rsid w:val="001B5976"/>
    <w:rsid w:val="001B5ACC"/>
    <w:rsid w:val="001B5C67"/>
    <w:rsid w:val="001B7730"/>
    <w:rsid w:val="001C0110"/>
    <w:rsid w:val="001C0AF7"/>
    <w:rsid w:val="001C0C1A"/>
    <w:rsid w:val="001C0C6B"/>
    <w:rsid w:val="001C0E3E"/>
    <w:rsid w:val="001C0E71"/>
    <w:rsid w:val="001C1D54"/>
    <w:rsid w:val="001C256D"/>
    <w:rsid w:val="001C27CF"/>
    <w:rsid w:val="001C27DF"/>
    <w:rsid w:val="001C34BA"/>
    <w:rsid w:val="001C3AF1"/>
    <w:rsid w:val="001C4E4F"/>
    <w:rsid w:val="001C51B8"/>
    <w:rsid w:val="001C58F2"/>
    <w:rsid w:val="001C6458"/>
    <w:rsid w:val="001C6B56"/>
    <w:rsid w:val="001C701F"/>
    <w:rsid w:val="001C71B5"/>
    <w:rsid w:val="001D0D38"/>
    <w:rsid w:val="001D0F2A"/>
    <w:rsid w:val="001D120F"/>
    <w:rsid w:val="001D1E46"/>
    <w:rsid w:val="001D20A4"/>
    <w:rsid w:val="001D23BC"/>
    <w:rsid w:val="001D23F2"/>
    <w:rsid w:val="001D2E28"/>
    <w:rsid w:val="001D355E"/>
    <w:rsid w:val="001D3AB6"/>
    <w:rsid w:val="001D3AC0"/>
    <w:rsid w:val="001D3CDE"/>
    <w:rsid w:val="001D3F44"/>
    <w:rsid w:val="001D4377"/>
    <w:rsid w:val="001D465D"/>
    <w:rsid w:val="001D4C8D"/>
    <w:rsid w:val="001D55BB"/>
    <w:rsid w:val="001D5D94"/>
    <w:rsid w:val="001D5E08"/>
    <w:rsid w:val="001D5E18"/>
    <w:rsid w:val="001D5FED"/>
    <w:rsid w:val="001D6030"/>
    <w:rsid w:val="001D60FE"/>
    <w:rsid w:val="001D684F"/>
    <w:rsid w:val="001D6BA3"/>
    <w:rsid w:val="001E02D1"/>
    <w:rsid w:val="001E0C63"/>
    <w:rsid w:val="001E10B5"/>
    <w:rsid w:val="001E12CD"/>
    <w:rsid w:val="001E148F"/>
    <w:rsid w:val="001E1CC1"/>
    <w:rsid w:val="001E2128"/>
    <w:rsid w:val="001E267B"/>
    <w:rsid w:val="001E2BF6"/>
    <w:rsid w:val="001E3014"/>
    <w:rsid w:val="001E355A"/>
    <w:rsid w:val="001E3645"/>
    <w:rsid w:val="001E3AEC"/>
    <w:rsid w:val="001E40F0"/>
    <w:rsid w:val="001E4584"/>
    <w:rsid w:val="001E539D"/>
    <w:rsid w:val="001E59FB"/>
    <w:rsid w:val="001E5A19"/>
    <w:rsid w:val="001E696A"/>
    <w:rsid w:val="001E6A68"/>
    <w:rsid w:val="001E6C10"/>
    <w:rsid w:val="001E6C70"/>
    <w:rsid w:val="001E75C5"/>
    <w:rsid w:val="001E784D"/>
    <w:rsid w:val="001F02D9"/>
    <w:rsid w:val="001F0617"/>
    <w:rsid w:val="001F0875"/>
    <w:rsid w:val="001F0D48"/>
    <w:rsid w:val="001F0D4F"/>
    <w:rsid w:val="001F0DB7"/>
    <w:rsid w:val="001F10E4"/>
    <w:rsid w:val="001F14D8"/>
    <w:rsid w:val="001F1853"/>
    <w:rsid w:val="001F1982"/>
    <w:rsid w:val="001F1B4F"/>
    <w:rsid w:val="001F22E7"/>
    <w:rsid w:val="001F2B87"/>
    <w:rsid w:val="001F2FC9"/>
    <w:rsid w:val="001F32A9"/>
    <w:rsid w:val="001F352D"/>
    <w:rsid w:val="001F3734"/>
    <w:rsid w:val="001F388F"/>
    <w:rsid w:val="001F50A7"/>
    <w:rsid w:val="001F50E9"/>
    <w:rsid w:val="001F542B"/>
    <w:rsid w:val="001F562A"/>
    <w:rsid w:val="001F565A"/>
    <w:rsid w:val="001F56EE"/>
    <w:rsid w:val="001F5959"/>
    <w:rsid w:val="001F5CA6"/>
    <w:rsid w:val="001F606B"/>
    <w:rsid w:val="001F662E"/>
    <w:rsid w:val="001F6B44"/>
    <w:rsid w:val="001F732C"/>
    <w:rsid w:val="001F75C1"/>
    <w:rsid w:val="001F7977"/>
    <w:rsid w:val="001F7A84"/>
    <w:rsid w:val="001F7EC3"/>
    <w:rsid w:val="0020050E"/>
    <w:rsid w:val="00200830"/>
    <w:rsid w:val="0020115A"/>
    <w:rsid w:val="00201F52"/>
    <w:rsid w:val="0020234A"/>
    <w:rsid w:val="00202DFC"/>
    <w:rsid w:val="00204142"/>
    <w:rsid w:val="00205FBE"/>
    <w:rsid w:val="00206225"/>
    <w:rsid w:val="00206463"/>
    <w:rsid w:val="00206878"/>
    <w:rsid w:val="00206D6A"/>
    <w:rsid w:val="00206DF4"/>
    <w:rsid w:val="002103F2"/>
    <w:rsid w:val="002106DB"/>
    <w:rsid w:val="002109BF"/>
    <w:rsid w:val="00210B4E"/>
    <w:rsid w:val="00210F83"/>
    <w:rsid w:val="00210FA9"/>
    <w:rsid w:val="0021128A"/>
    <w:rsid w:val="00211891"/>
    <w:rsid w:val="00211CED"/>
    <w:rsid w:val="00212153"/>
    <w:rsid w:val="00212499"/>
    <w:rsid w:val="002125D6"/>
    <w:rsid w:val="00212626"/>
    <w:rsid w:val="0021325E"/>
    <w:rsid w:val="002133B5"/>
    <w:rsid w:val="002135A1"/>
    <w:rsid w:val="00214CC2"/>
    <w:rsid w:val="00216381"/>
    <w:rsid w:val="00216D6C"/>
    <w:rsid w:val="0021787D"/>
    <w:rsid w:val="00217EDD"/>
    <w:rsid w:val="002201F5"/>
    <w:rsid w:val="00220601"/>
    <w:rsid w:val="0022092C"/>
    <w:rsid w:val="00220BB9"/>
    <w:rsid w:val="002210A3"/>
    <w:rsid w:val="00221704"/>
    <w:rsid w:val="00221C61"/>
    <w:rsid w:val="0022348B"/>
    <w:rsid w:val="002239A4"/>
    <w:rsid w:val="00223DBA"/>
    <w:rsid w:val="002248DF"/>
    <w:rsid w:val="00224E71"/>
    <w:rsid w:val="002253D1"/>
    <w:rsid w:val="00225858"/>
    <w:rsid w:val="00225AE7"/>
    <w:rsid w:val="00225E92"/>
    <w:rsid w:val="00226073"/>
    <w:rsid w:val="0022635C"/>
    <w:rsid w:val="00226B69"/>
    <w:rsid w:val="00226F25"/>
    <w:rsid w:val="002277F1"/>
    <w:rsid w:val="0023032D"/>
    <w:rsid w:val="00230D05"/>
    <w:rsid w:val="00230DF5"/>
    <w:rsid w:val="00230EDB"/>
    <w:rsid w:val="002312B3"/>
    <w:rsid w:val="00231C91"/>
    <w:rsid w:val="002323B1"/>
    <w:rsid w:val="00233414"/>
    <w:rsid w:val="002336EB"/>
    <w:rsid w:val="002339C1"/>
    <w:rsid w:val="00233BD9"/>
    <w:rsid w:val="0023410C"/>
    <w:rsid w:val="002346BF"/>
    <w:rsid w:val="00234B7A"/>
    <w:rsid w:val="00234C7A"/>
    <w:rsid w:val="00234DC8"/>
    <w:rsid w:val="00235085"/>
    <w:rsid w:val="0023591C"/>
    <w:rsid w:val="00235AD7"/>
    <w:rsid w:val="00235C84"/>
    <w:rsid w:val="00236898"/>
    <w:rsid w:val="00236F5D"/>
    <w:rsid w:val="00237617"/>
    <w:rsid w:val="00237D7B"/>
    <w:rsid w:val="00237DD4"/>
    <w:rsid w:val="002402FB"/>
    <w:rsid w:val="002403AB"/>
    <w:rsid w:val="0024086C"/>
    <w:rsid w:val="00240CCC"/>
    <w:rsid w:val="00241A5C"/>
    <w:rsid w:val="00241F12"/>
    <w:rsid w:val="00242092"/>
    <w:rsid w:val="00242709"/>
    <w:rsid w:val="0024302E"/>
    <w:rsid w:val="002433E8"/>
    <w:rsid w:val="0024369D"/>
    <w:rsid w:val="00243C1C"/>
    <w:rsid w:val="00243F0E"/>
    <w:rsid w:val="002441BE"/>
    <w:rsid w:val="002447C1"/>
    <w:rsid w:val="002451AA"/>
    <w:rsid w:val="002453BE"/>
    <w:rsid w:val="002458F3"/>
    <w:rsid w:val="00245F50"/>
    <w:rsid w:val="0024622C"/>
    <w:rsid w:val="00246238"/>
    <w:rsid w:val="0024656D"/>
    <w:rsid w:val="00246836"/>
    <w:rsid w:val="002468E5"/>
    <w:rsid w:val="00246B28"/>
    <w:rsid w:val="00246BC2"/>
    <w:rsid w:val="00246CF3"/>
    <w:rsid w:val="0024723E"/>
    <w:rsid w:val="002501A4"/>
    <w:rsid w:val="002502A8"/>
    <w:rsid w:val="0025120C"/>
    <w:rsid w:val="00251283"/>
    <w:rsid w:val="002513DE"/>
    <w:rsid w:val="00251C4A"/>
    <w:rsid w:val="00251E7B"/>
    <w:rsid w:val="002522E4"/>
    <w:rsid w:val="002527AC"/>
    <w:rsid w:val="002528CC"/>
    <w:rsid w:val="00252D16"/>
    <w:rsid w:val="00252F49"/>
    <w:rsid w:val="00253376"/>
    <w:rsid w:val="00253443"/>
    <w:rsid w:val="00253667"/>
    <w:rsid w:val="00253715"/>
    <w:rsid w:val="0025374C"/>
    <w:rsid w:val="00253ADA"/>
    <w:rsid w:val="00253C52"/>
    <w:rsid w:val="002544BE"/>
    <w:rsid w:val="00254BEC"/>
    <w:rsid w:val="0025555E"/>
    <w:rsid w:val="0025597E"/>
    <w:rsid w:val="00255BF6"/>
    <w:rsid w:val="00255DC5"/>
    <w:rsid w:val="00255E37"/>
    <w:rsid w:val="00256A19"/>
    <w:rsid w:val="00256D6E"/>
    <w:rsid w:val="00257100"/>
    <w:rsid w:val="00257272"/>
    <w:rsid w:val="00257557"/>
    <w:rsid w:val="00257747"/>
    <w:rsid w:val="002600ED"/>
    <w:rsid w:val="0026041B"/>
    <w:rsid w:val="00260586"/>
    <w:rsid w:val="00260593"/>
    <w:rsid w:val="002609CA"/>
    <w:rsid w:val="002616F3"/>
    <w:rsid w:val="00261726"/>
    <w:rsid w:val="00261A24"/>
    <w:rsid w:val="00262050"/>
    <w:rsid w:val="00262145"/>
    <w:rsid w:val="00262313"/>
    <w:rsid w:val="00262804"/>
    <w:rsid w:val="00262F55"/>
    <w:rsid w:val="002630F3"/>
    <w:rsid w:val="0026318C"/>
    <w:rsid w:val="002634B7"/>
    <w:rsid w:val="002637C6"/>
    <w:rsid w:val="00263CDC"/>
    <w:rsid w:val="00263D17"/>
    <w:rsid w:val="002645AA"/>
    <w:rsid w:val="002647D1"/>
    <w:rsid w:val="00264E2B"/>
    <w:rsid w:val="00264FFE"/>
    <w:rsid w:val="0026598F"/>
    <w:rsid w:val="0026658D"/>
    <w:rsid w:val="002674B7"/>
    <w:rsid w:val="0026774F"/>
    <w:rsid w:val="0026776F"/>
    <w:rsid w:val="00267B04"/>
    <w:rsid w:val="00270115"/>
    <w:rsid w:val="002704A0"/>
    <w:rsid w:val="0027076D"/>
    <w:rsid w:val="002709A1"/>
    <w:rsid w:val="00270AFF"/>
    <w:rsid w:val="00270EEB"/>
    <w:rsid w:val="00271456"/>
    <w:rsid w:val="00272CD9"/>
    <w:rsid w:val="00273516"/>
    <w:rsid w:val="00273FCE"/>
    <w:rsid w:val="00274B4D"/>
    <w:rsid w:val="00275110"/>
    <w:rsid w:val="002755BC"/>
    <w:rsid w:val="00275B61"/>
    <w:rsid w:val="0027652D"/>
    <w:rsid w:val="00276D77"/>
    <w:rsid w:val="00276EBC"/>
    <w:rsid w:val="0027768C"/>
    <w:rsid w:val="002778E6"/>
    <w:rsid w:val="00277CA8"/>
    <w:rsid w:val="00277EC2"/>
    <w:rsid w:val="002804B6"/>
    <w:rsid w:val="0028059E"/>
    <w:rsid w:val="002808EF"/>
    <w:rsid w:val="00280E4B"/>
    <w:rsid w:val="00280E9D"/>
    <w:rsid w:val="00280EB0"/>
    <w:rsid w:val="00281541"/>
    <w:rsid w:val="00281F87"/>
    <w:rsid w:val="002820E1"/>
    <w:rsid w:val="002824CA"/>
    <w:rsid w:val="00282762"/>
    <w:rsid w:val="0028343A"/>
    <w:rsid w:val="00283845"/>
    <w:rsid w:val="002839D5"/>
    <w:rsid w:val="00283A86"/>
    <w:rsid w:val="002846FC"/>
    <w:rsid w:val="00284FD0"/>
    <w:rsid w:val="0028552C"/>
    <w:rsid w:val="002874EA"/>
    <w:rsid w:val="00287CD3"/>
    <w:rsid w:val="00287E74"/>
    <w:rsid w:val="00290204"/>
    <w:rsid w:val="002903D6"/>
    <w:rsid w:val="002906A6"/>
    <w:rsid w:val="00290D12"/>
    <w:rsid w:val="00291DB8"/>
    <w:rsid w:val="002922EE"/>
    <w:rsid w:val="002923E8"/>
    <w:rsid w:val="002926ED"/>
    <w:rsid w:val="00292897"/>
    <w:rsid w:val="002928D7"/>
    <w:rsid w:val="00293034"/>
    <w:rsid w:val="002938C6"/>
    <w:rsid w:val="00293F65"/>
    <w:rsid w:val="00293FD7"/>
    <w:rsid w:val="002940BC"/>
    <w:rsid w:val="00295200"/>
    <w:rsid w:val="00295925"/>
    <w:rsid w:val="00295B4E"/>
    <w:rsid w:val="00296A2C"/>
    <w:rsid w:val="00296A4D"/>
    <w:rsid w:val="00296F7D"/>
    <w:rsid w:val="002973ED"/>
    <w:rsid w:val="002A1849"/>
    <w:rsid w:val="002A1EF2"/>
    <w:rsid w:val="002A22AA"/>
    <w:rsid w:val="002A2715"/>
    <w:rsid w:val="002A3296"/>
    <w:rsid w:val="002A39A3"/>
    <w:rsid w:val="002A3A57"/>
    <w:rsid w:val="002A3BA3"/>
    <w:rsid w:val="002A3CB1"/>
    <w:rsid w:val="002A3FF4"/>
    <w:rsid w:val="002A425F"/>
    <w:rsid w:val="002A44C2"/>
    <w:rsid w:val="002A46B7"/>
    <w:rsid w:val="002A4A83"/>
    <w:rsid w:val="002A4ADF"/>
    <w:rsid w:val="002A503D"/>
    <w:rsid w:val="002A541A"/>
    <w:rsid w:val="002A6A6B"/>
    <w:rsid w:val="002A6EBA"/>
    <w:rsid w:val="002A72EE"/>
    <w:rsid w:val="002A79A9"/>
    <w:rsid w:val="002A7A32"/>
    <w:rsid w:val="002B0292"/>
    <w:rsid w:val="002B02BA"/>
    <w:rsid w:val="002B055D"/>
    <w:rsid w:val="002B0D7C"/>
    <w:rsid w:val="002B1057"/>
    <w:rsid w:val="002B1200"/>
    <w:rsid w:val="002B1B23"/>
    <w:rsid w:val="002B1B61"/>
    <w:rsid w:val="002B1C8D"/>
    <w:rsid w:val="002B1F6E"/>
    <w:rsid w:val="002B2466"/>
    <w:rsid w:val="002B270F"/>
    <w:rsid w:val="002B27BC"/>
    <w:rsid w:val="002B330D"/>
    <w:rsid w:val="002B3F99"/>
    <w:rsid w:val="002B40BA"/>
    <w:rsid w:val="002B41E2"/>
    <w:rsid w:val="002B42FF"/>
    <w:rsid w:val="002B45E2"/>
    <w:rsid w:val="002B4AD8"/>
    <w:rsid w:val="002B4AF1"/>
    <w:rsid w:val="002B4FA8"/>
    <w:rsid w:val="002B519B"/>
    <w:rsid w:val="002B59CC"/>
    <w:rsid w:val="002B5F9F"/>
    <w:rsid w:val="002B673E"/>
    <w:rsid w:val="002B6870"/>
    <w:rsid w:val="002B6B4B"/>
    <w:rsid w:val="002B7E97"/>
    <w:rsid w:val="002C0149"/>
    <w:rsid w:val="002C0295"/>
    <w:rsid w:val="002C0B4C"/>
    <w:rsid w:val="002C1004"/>
    <w:rsid w:val="002C1375"/>
    <w:rsid w:val="002C15D0"/>
    <w:rsid w:val="002C1E19"/>
    <w:rsid w:val="002C209E"/>
    <w:rsid w:val="002C2153"/>
    <w:rsid w:val="002C2224"/>
    <w:rsid w:val="002C2536"/>
    <w:rsid w:val="002C2B29"/>
    <w:rsid w:val="002C2B67"/>
    <w:rsid w:val="002C4099"/>
    <w:rsid w:val="002C424A"/>
    <w:rsid w:val="002C4580"/>
    <w:rsid w:val="002C4D0A"/>
    <w:rsid w:val="002C5383"/>
    <w:rsid w:val="002C555C"/>
    <w:rsid w:val="002C612B"/>
    <w:rsid w:val="002C6B47"/>
    <w:rsid w:val="002C6D53"/>
    <w:rsid w:val="002C6E0E"/>
    <w:rsid w:val="002C6E3A"/>
    <w:rsid w:val="002C6F79"/>
    <w:rsid w:val="002C73F6"/>
    <w:rsid w:val="002C7C68"/>
    <w:rsid w:val="002D0323"/>
    <w:rsid w:val="002D063F"/>
    <w:rsid w:val="002D0CC4"/>
    <w:rsid w:val="002D12C2"/>
    <w:rsid w:val="002D15A4"/>
    <w:rsid w:val="002D1988"/>
    <w:rsid w:val="002D19C1"/>
    <w:rsid w:val="002D232A"/>
    <w:rsid w:val="002D27C9"/>
    <w:rsid w:val="002D2CAE"/>
    <w:rsid w:val="002D2E7E"/>
    <w:rsid w:val="002D35BD"/>
    <w:rsid w:val="002D36C7"/>
    <w:rsid w:val="002D370A"/>
    <w:rsid w:val="002D3821"/>
    <w:rsid w:val="002D3DCC"/>
    <w:rsid w:val="002D3F19"/>
    <w:rsid w:val="002D42A0"/>
    <w:rsid w:val="002D52F6"/>
    <w:rsid w:val="002D55DE"/>
    <w:rsid w:val="002D5F03"/>
    <w:rsid w:val="002D624B"/>
    <w:rsid w:val="002D695F"/>
    <w:rsid w:val="002D6981"/>
    <w:rsid w:val="002D6CAE"/>
    <w:rsid w:val="002D713F"/>
    <w:rsid w:val="002D73C9"/>
    <w:rsid w:val="002D78F5"/>
    <w:rsid w:val="002E0209"/>
    <w:rsid w:val="002E045E"/>
    <w:rsid w:val="002E0470"/>
    <w:rsid w:val="002E04F8"/>
    <w:rsid w:val="002E051A"/>
    <w:rsid w:val="002E0AA5"/>
    <w:rsid w:val="002E0DE0"/>
    <w:rsid w:val="002E120D"/>
    <w:rsid w:val="002E1416"/>
    <w:rsid w:val="002E1DDD"/>
    <w:rsid w:val="002E2C4C"/>
    <w:rsid w:val="002E32B8"/>
    <w:rsid w:val="002E3507"/>
    <w:rsid w:val="002E39C5"/>
    <w:rsid w:val="002E3FE4"/>
    <w:rsid w:val="002E430C"/>
    <w:rsid w:val="002E46BB"/>
    <w:rsid w:val="002E4723"/>
    <w:rsid w:val="002E4DFF"/>
    <w:rsid w:val="002E5870"/>
    <w:rsid w:val="002E5B4C"/>
    <w:rsid w:val="002E5BA0"/>
    <w:rsid w:val="002E5DE0"/>
    <w:rsid w:val="002E77B5"/>
    <w:rsid w:val="002E7F0A"/>
    <w:rsid w:val="002F066C"/>
    <w:rsid w:val="002F096F"/>
    <w:rsid w:val="002F0B8A"/>
    <w:rsid w:val="002F0E87"/>
    <w:rsid w:val="002F111C"/>
    <w:rsid w:val="002F13E6"/>
    <w:rsid w:val="002F148C"/>
    <w:rsid w:val="002F1590"/>
    <w:rsid w:val="002F1BB3"/>
    <w:rsid w:val="002F1E2E"/>
    <w:rsid w:val="002F1FB4"/>
    <w:rsid w:val="002F2042"/>
    <w:rsid w:val="002F25EC"/>
    <w:rsid w:val="002F2C27"/>
    <w:rsid w:val="002F375C"/>
    <w:rsid w:val="002F3C9C"/>
    <w:rsid w:val="002F3E7D"/>
    <w:rsid w:val="002F43A6"/>
    <w:rsid w:val="002F4F60"/>
    <w:rsid w:val="002F51D4"/>
    <w:rsid w:val="002F5420"/>
    <w:rsid w:val="002F5A67"/>
    <w:rsid w:val="002F5FBD"/>
    <w:rsid w:val="002F6488"/>
    <w:rsid w:val="002F6D0E"/>
    <w:rsid w:val="002F73A0"/>
    <w:rsid w:val="003000B4"/>
    <w:rsid w:val="0030097B"/>
    <w:rsid w:val="00300A97"/>
    <w:rsid w:val="00300F4A"/>
    <w:rsid w:val="00301C9A"/>
    <w:rsid w:val="00301F57"/>
    <w:rsid w:val="003026B8"/>
    <w:rsid w:val="003026EB"/>
    <w:rsid w:val="00302969"/>
    <w:rsid w:val="003039DF"/>
    <w:rsid w:val="0030413D"/>
    <w:rsid w:val="003049C0"/>
    <w:rsid w:val="00304DAD"/>
    <w:rsid w:val="00304DF1"/>
    <w:rsid w:val="0030566A"/>
    <w:rsid w:val="003056F9"/>
    <w:rsid w:val="00305979"/>
    <w:rsid w:val="00305B81"/>
    <w:rsid w:val="00305DE0"/>
    <w:rsid w:val="00305FAC"/>
    <w:rsid w:val="0030646F"/>
    <w:rsid w:val="00306CE9"/>
    <w:rsid w:val="00306FE1"/>
    <w:rsid w:val="003071FE"/>
    <w:rsid w:val="00307420"/>
    <w:rsid w:val="003074F7"/>
    <w:rsid w:val="003103CE"/>
    <w:rsid w:val="0031074F"/>
    <w:rsid w:val="00310792"/>
    <w:rsid w:val="00310AB1"/>
    <w:rsid w:val="00310F5E"/>
    <w:rsid w:val="00310FED"/>
    <w:rsid w:val="0031115B"/>
    <w:rsid w:val="00311566"/>
    <w:rsid w:val="00311611"/>
    <w:rsid w:val="00311690"/>
    <w:rsid w:val="00313FF8"/>
    <w:rsid w:val="003146F7"/>
    <w:rsid w:val="0031474F"/>
    <w:rsid w:val="00314B45"/>
    <w:rsid w:val="00315142"/>
    <w:rsid w:val="0031603C"/>
    <w:rsid w:val="0031651E"/>
    <w:rsid w:val="00316F1B"/>
    <w:rsid w:val="00317092"/>
    <w:rsid w:val="003177C2"/>
    <w:rsid w:val="00317C22"/>
    <w:rsid w:val="00320A25"/>
    <w:rsid w:val="00321001"/>
    <w:rsid w:val="00321248"/>
    <w:rsid w:val="00321946"/>
    <w:rsid w:val="00321A1F"/>
    <w:rsid w:val="00321D92"/>
    <w:rsid w:val="00321EF8"/>
    <w:rsid w:val="003224C5"/>
    <w:rsid w:val="00322660"/>
    <w:rsid w:val="003226FF"/>
    <w:rsid w:val="003233C4"/>
    <w:rsid w:val="00323436"/>
    <w:rsid w:val="00323A96"/>
    <w:rsid w:val="003241F6"/>
    <w:rsid w:val="003248ED"/>
    <w:rsid w:val="00325256"/>
    <w:rsid w:val="00325C7F"/>
    <w:rsid w:val="0032622F"/>
    <w:rsid w:val="0032654A"/>
    <w:rsid w:val="00326855"/>
    <w:rsid w:val="00326936"/>
    <w:rsid w:val="00326FA8"/>
    <w:rsid w:val="003301C6"/>
    <w:rsid w:val="00330263"/>
    <w:rsid w:val="00330618"/>
    <w:rsid w:val="00330821"/>
    <w:rsid w:val="00331A3D"/>
    <w:rsid w:val="0033238F"/>
    <w:rsid w:val="00333A93"/>
    <w:rsid w:val="00334507"/>
    <w:rsid w:val="00335404"/>
    <w:rsid w:val="00335C87"/>
    <w:rsid w:val="003360CD"/>
    <w:rsid w:val="0033692A"/>
    <w:rsid w:val="00336D41"/>
    <w:rsid w:val="0033701B"/>
    <w:rsid w:val="0033794F"/>
    <w:rsid w:val="00337F00"/>
    <w:rsid w:val="003405CA"/>
    <w:rsid w:val="003408D2"/>
    <w:rsid w:val="00340A08"/>
    <w:rsid w:val="00340B21"/>
    <w:rsid w:val="00340DAB"/>
    <w:rsid w:val="00341BF9"/>
    <w:rsid w:val="003421BD"/>
    <w:rsid w:val="00342429"/>
    <w:rsid w:val="00342823"/>
    <w:rsid w:val="00342F51"/>
    <w:rsid w:val="00343144"/>
    <w:rsid w:val="00343C25"/>
    <w:rsid w:val="00343D34"/>
    <w:rsid w:val="00344781"/>
    <w:rsid w:val="00344D1A"/>
    <w:rsid w:val="00344DD0"/>
    <w:rsid w:val="00344F5E"/>
    <w:rsid w:val="00344FAF"/>
    <w:rsid w:val="003452DA"/>
    <w:rsid w:val="00345F66"/>
    <w:rsid w:val="003467A1"/>
    <w:rsid w:val="00347096"/>
    <w:rsid w:val="0034752B"/>
    <w:rsid w:val="003476A1"/>
    <w:rsid w:val="003501E5"/>
    <w:rsid w:val="0035045F"/>
    <w:rsid w:val="00350EBD"/>
    <w:rsid w:val="00350FAD"/>
    <w:rsid w:val="003513E3"/>
    <w:rsid w:val="003514CF"/>
    <w:rsid w:val="00351506"/>
    <w:rsid w:val="003516E4"/>
    <w:rsid w:val="00351731"/>
    <w:rsid w:val="00351A7E"/>
    <w:rsid w:val="00351BD6"/>
    <w:rsid w:val="003524B0"/>
    <w:rsid w:val="003527E7"/>
    <w:rsid w:val="00352D65"/>
    <w:rsid w:val="00352D90"/>
    <w:rsid w:val="00353588"/>
    <w:rsid w:val="0035368D"/>
    <w:rsid w:val="003537F1"/>
    <w:rsid w:val="00353F78"/>
    <w:rsid w:val="003557B7"/>
    <w:rsid w:val="0035744C"/>
    <w:rsid w:val="00360EC2"/>
    <w:rsid w:val="00361164"/>
    <w:rsid w:val="00362045"/>
    <w:rsid w:val="003621AD"/>
    <w:rsid w:val="00362353"/>
    <w:rsid w:val="0036262E"/>
    <w:rsid w:val="00362EF5"/>
    <w:rsid w:val="0036300A"/>
    <w:rsid w:val="003633B0"/>
    <w:rsid w:val="00363A57"/>
    <w:rsid w:val="00363E53"/>
    <w:rsid w:val="00363F68"/>
    <w:rsid w:val="003649E9"/>
    <w:rsid w:val="00364F4C"/>
    <w:rsid w:val="00365079"/>
    <w:rsid w:val="00365530"/>
    <w:rsid w:val="00366A02"/>
    <w:rsid w:val="00366B46"/>
    <w:rsid w:val="0036768B"/>
    <w:rsid w:val="00367B1F"/>
    <w:rsid w:val="003705F2"/>
    <w:rsid w:val="0037078C"/>
    <w:rsid w:val="00370E22"/>
    <w:rsid w:val="0037132A"/>
    <w:rsid w:val="00371991"/>
    <w:rsid w:val="00371BB4"/>
    <w:rsid w:val="00372AE6"/>
    <w:rsid w:val="00373063"/>
    <w:rsid w:val="00373080"/>
    <w:rsid w:val="003736CA"/>
    <w:rsid w:val="00373911"/>
    <w:rsid w:val="00373A66"/>
    <w:rsid w:val="00373ABC"/>
    <w:rsid w:val="00373E25"/>
    <w:rsid w:val="00373FCA"/>
    <w:rsid w:val="0037418D"/>
    <w:rsid w:val="003746AC"/>
    <w:rsid w:val="003747C9"/>
    <w:rsid w:val="00375873"/>
    <w:rsid w:val="0037610F"/>
    <w:rsid w:val="00376A71"/>
    <w:rsid w:val="003770CE"/>
    <w:rsid w:val="00380D09"/>
    <w:rsid w:val="00380F4E"/>
    <w:rsid w:val="00380F81"/>
    <w:rsid w:val="0038170D"/>
    <w:rsid w:val="00381D7C"/>
    <w:rsid w:val="0038203B"/>
    <w:rsid w:val="0038255D"/>
    <w:rsid w:val="003828BA"/>
    <w:rsid w:val="00384555"/>
    <w:rsid w:val="003845EF"/>
    <w:rsid w:val="00384BF3"/>
    <w:rsid w:val="00384D6A"/>
    <w:rsid w:val="0038519E"/>
    <w:rsid w:val="003853FB"/>
    <w:rsid w:val="0038615B"/>
    <w:rsid w:val="00386BDE"/>
    <w:rsid w:val="00386CBF"/>
    <w:rsid w:val="003870D7"/>
    <w:rsid w:val="00387253"/>
    <w:rsid w:val="003873DE"/>
    <w:rsid w:val="003906D3"/>
    <w:rsid w:val="00391BBA"/>
    <w:rsid w:val="0039272A"/>
    <w:rsid w:val="00392D7B"/>
    <w:rsid w:val="00392F64"/>
    <w:rsid w:val="00392FAA"/>
    <w:rsid w:val="003934E6"/>
    <w:rsid w:val="003936FE"/>
    <w:rsid w:val="0039391E"/>
    <w:rsid w:val="00393A8D"/>
    <w:rsid w:val="00393D55"/>
    <w:rsid w:val="00393EA4"/>
    <w:rsid w:val="00394061"/>
    <w:rsid w:val="003940DF"/>
    <w:rsid w:val="0039450B"/>
    <w:rsid w:val="0039469E"/>
    <w:rsid w:val="00394CA6"/>
    <w:rsid w:val="00394F18"/>
    <w:rsid w:val="003956A2"/>
    <w:rsid w:val="00395754"/>
    <w:rsid w:val="00395C8D"/>
    <w:rsid w:val="00396890"/>
    <w:rsid w:val="00397264"/>
    <w:rsid w:val="0039736F"/>
    <w:rsid w:val="00397F46"/>
    <w:rsid w:val="003A0AA5"/>
    <w:rsid w:val="003A0D83"/>
    <w:rsid w:val="003A1464"/>
    <w:rsid w:val="003A1A07"/>
    <w:rsid w:val="003A1E87"/>
    <w:rsid w:val="003A20AA"/>
    <w:rsid w:val="003A2173"/>
    <w:rsid w:val="003A2EF8"/>
    <w:rsid w:val="003A3447"/>
    <w:rsid w:val="003A3513"/>
    <w:rsid w:val="003A3C7F"/>
    <w:rsid w:val="003A3D3F"/>
    <w:rsid w:val="003A3D9F"/>
    <w:rsid w:val="003A3DC3"/>
    <w:rsid w:val="003A440C"/>
    <w:rsid w:val="003A44F5"/>
    <w:rsid w:val="003A4B57"/>
    <w:rsid w:val="003A51C6"/>
    <w:rsid w:val="003A587E"/>
    <w:rsid w:val="003A6A55"/>
    <w:rsid w:val="003A75A9"/>
    <w:rsid w:val="003A75F5"/>
    <w:rsid w:val="003A78E6"/>
    <w:rsid w:val="003B00EA"/>
    <w:rsid w:val="003B0263"/>
    <w:rsid w:val="003B038F"/>
    <w:rsid w:val="003B0B27"/>
    <w:rsid w:val="003B126D"/>
    <w:rsid w:val="003B153B"/>
    <w:rsid w:val="003B1E6B"/>
    <w:rsid w:val="003B1FA4"/>
    <w:rsid w:val="003B22E9"/>
    <w:rsid w:val="003B243A"/>
    <w:rsid w:val="003B248C"/>
    <w:rsid w:val="003B2494"/>
    <w:rsid w:val="003B39F0"/>
    <w:rsid w:val="003B3A2A"/>
    <w:rsid w:val="003B3E70"/>
    <w:rsid w:val="003B4980"/>
    <w:rsid w:val="003B4F2D"/>
    <w:rsid w:val="003B558E"/>
    <w:rsid w:val="003B5799"/>
    <w:rsid w:val="003B7721"/>
    <w:rsid w:val="003B773D"/>
    <w:rsid w:val="003B77DA"/>
    <w:rsid w:val="003B78E1"/>
    <w:rsid w:val="003C09A2"/>
    <w:rsid w:val="003C1032"/>
    <w:rsid w:val="003C1C19"/>
    <w:rsid w:val="003C1CFC"/>
    <w:rsid w:val="003C234A"/>
    <w:rsid w:val="003C23CA"/>
    <w:rsid w:val="003C27A2"/>
    <w:rsid w:val="003C2C05"/>
    <w:rsid w:val="003C35B8"/>
    <w:rsid w:val="003C380A"/>
    <w:rsid w:val="003C3850"/>
    <w:rsid w:val="003C3963"/>
    <w:rsid w:val="003C3B73"/>
    <w:rsid w:val="003C3E20"/>
    <w:rsid w:val="003C4323"/>
    <w:rsid w:val="003C4683"/>
    <w:rsid w:val="003C554A"/>
    <w:rsid w:val="003C5635"/>
    <w:rsid w:val="003C57F6"/>
    <w:rsid w:val="003C5C5B"/>
    <w:rsid w:val="003C6664"/>
    <w:rsid w:val="003C66C2"/>
    <w:rsid w:val="003C681E"/>
    <w:rsid w:val="003C7323"/>
    <w:rsid w:val="003C76A1"/>
    <w:rsid w:val="003C7BBC"/>
    <w:rsid w:val="003C7E0E"/>
    <w:rsid w:val="003D06F5"/>
    <w:rsid w:val="003D0EDD"/>
    <w:rsid w:val="003D173E"/>
    <w:rsid w:val="003D1882"/>
    <w:rsid w:val="003D1E17"/>
    <w:rsid w:val="003D22D5"/>
    <w:rsid w:val="003D24D7"/>
    <w:rsid w:val="003D2B4B"/>
    <w:rsid w:val="003D2BAD"/>
    <w:rsid w:val="003D2DA4"/>
    <w:rsid w:val="003D2E71"/>
    <w:rsid w:val="003D39BC"/>
    <w:rsid w:val="003D3D3A"/>
    <w:rsid w:val="003D3DF6"/>
    <w:rsid w:val="003D3E02"/>
    <w:rsid w:val="003D3F4C"/>
    <w:rsid w:val="003D3FE8"/>
    <w:rsid w:val="003D4218"/>
    <w:rsid w:val="003D42CA"/>
    <w:rsid w:val="003D43DA"/>
    <w:rsid w:val="003D43E0"/>
    <w:rsid w:val="003D47CC"/>
    <w:rsid w:val="003D5083"/>
    <w:rsid w:val="003D5264"/>
    <w:rsid w:val="003D6201"/>
    <w:rsid w:val="003D6DFF"/>
    <w:rsid w:val="003D7979"/>
    <w:rsid w:val="003D7BB8"/>
    <w:rsid w:val="003D7E78"/>
    <w:rsid w:val="003E03FF"/>
    <w:rsid w:val="003E0B58"/>
    <w:rsid w:val="003E15FC"/>
    <w:rsid w:val="003E1B37"/>
    <w:rsid w:val="003E1E28"/>
    <w:rsid w:val="003E2189"/>
    <w:rsid w:val="003E2231"/>
    <w:rsid w:val="003E2D16"/>
    <w:rsid w:val="003E3495"/>
    <w:rsid w:val="003E37ED"/>
    <w:rsid w:val="003E37F4"/>
    <w:rsid w:val="003E386F"/>
    <w:rsid w:val="003E4245"/>
    <w:rsid w:val="003E465D"/>
    <w:rsid w:val="003E4D0E"/>
    <w:rsid w:val="003E4F71"/>
    <w:rsid w:val="003E522B"/>
    <w:rsid w:val="003E5530"/>
    <w:rsid w:val="003E55A9"/>
    <w:rsid w:val="003E5938"/>
    <w:rsid w:val="003E61DA"/>
    <w:rsid w:val="003E6558"/>
    <w:rsid w:val="003E6756"/>
    <w:rsid w:val="003E6F05"/>
    <w:rsid w:val="003E6F32"/>
    <w:rsid w:val="003E7809"/>
    <w:rsid w:val="003E7A46"/>
    <w:rsid w:val="003E7C5C"/>
    <w:rsid w:val="003E7ECA"/>
    <w:rsid w:val="003F0C9D"/>
    <w:rsid w:val="003F0D84"/>
    <w:rsid w:val="003F18E5"/>
    <w:rsid w:val="003F1A29"/>
    <w:rsid w:val="003F2356"/>
    <w:rsid w:val="003F2424"/>
    <w:rsid w:val="003F2A5C"/>
    <w:rsid w:val="003F33C6"/>
    <w:rsid w:val="003F3855"/>
    <w:rsid w:val="003F3900"/>
    <w:rsid w:val="003F3BD0"/>
    <w:rsid w:val="003F3C25"/>
    <w:rsid w:val="003F3DE2"/>
    <w:rsid w:val="003F4366"/>
    <w:rsid w:val="003F4884"/>
    <w:rsid w:val="003F4D9D"/>
    <w:rsid w:val="003F4DBF"/>
    <w:rsid w:val="003F52AD"/>
    <w:rsid w:val="003F62E3"/>
    <w:rsid w:val="003F6983"/>
    <w:rsid w:val="003F6DFE"/>
    <w:rsid w:val="003F7ABB"/>
    <w:rsid w:val="003F7AE7"/>
    <w:rsid w:val="003F7B0B"/>
    <w:rsid w:val="003F7D3A"/>
    <w:rsid w:val="0040015F"/>
    <w:rsid w:val="00400725"/>
    <w:rsid w:val="0040077A"/>
    <w:rsid w:val="00401210"/>
    <w:rsid w:val="00401ABB"/>
    <w:rsid w:val="00401EFC"/>
    <w:rsid w:val="004024B0"/>
    <w:rsid w:val="0040258E"/>
    <w:rsid w:val="00402723"/>
    <w:rsid w:val="00402DE3"/>
    <w:rsid w:val="00403474"/>
    <w:rsid w:val="004037D1"/>
    <w:rsid w:val="0040385D"/>
    <w:rsid w:val="00403F22"/>
    <w:rsid w:val="0040446F"/>
    <w:rsid w:val="004050A6"/>
    <w:rsid w:val="004050CC"/>
    <w:rsid w:val="00405529"/>
    <w:rsid w:val="00405958"/>
    <w:rsid w:val="004059E8"/>
    <w:rsid w:val="00405E9A"/>
    <w:rsid w:val="004062C0"/>
    <w:rsid w:val="004067A3"/>
    <w:rsid w:val="0040696A"/>
    <w:rsid w:val="00406EB0"/>
    <w:rsid w:val="0040790E"/>
    <w:rsid w:val="004103DB"/>
    <w:rsid w:val="00410F1F"/>
    <w:rsid w:val="00410F7D"/>
    <w:rsid w:val="00411200"/>
    <w:rsid w:val="004112AA"/>
    <w:rsid w:val="0041155F"/>
    <w:rsid w:val="0041191B"/>
    <w:rsid w:val="00411B47"/>
    <w:rsid w:val="00411B8A"/>
    <w:rsid w:val="00411C4A"/>
    <w:rsid w:val="0041220C"/>
    <w:rsid w:val="004124FE"/>
    <w:rsid w:val="00412D71"/>
    <w:rsid w:val="0041354D"/>
    <w:rsid w:val="00414152"/>
    <w:rsid w:val="004143A8"/>
    <w:rsid w:val="00414990"/>
    <w:rsid w:val="00414E56"/>
    <w:rsid w:val="004155C6"/>
    <w:rsid w:val="00416B07"/>
    <w:rsid w:val="00416C5B"/>
    <w:rsid w:val="00416E6C"/>
    <w:rsid w:val="00416F0A"/>
    <w:rsid w:val="004175EE"/>
    <w:rsid w:val="00417AFB"/>
    <w:rsid w:val="00417DA3"/>
    <w:rsid w:val="00417FF2"/>
    <w:rsid w:val="00420294"/>
    <w:rsid w:val="004205B3"/>
    <w:rsid w:val="004212E8"/>
    <w:rsid w:val="00421A4C"/>
    <w:rsid w:val="00421C9C"/>
    <w:rsid w:val="00421CEE"/>
    <w:rsid w:val="00422A2D"/>
    <w:rsid w:val="00422E10"/>
    <w:rsid w:val="00423387"/>
    <w:rsid w:val="004233B7"/>
    <w:rsid w:val="00423497"/>
    <w:rsid w:val="00423650"/>
    <w:rsid w:val="00423A79"/>
    <w:rsid w:val="0042472C"/>
    <w:rsid w:val="00424A37"/>
    <w:rsid w:val="00424FD0"/>
    <w:rsid w:val="00425056"/>
    <w:rsid w:val="0042506C"/>
    <w:rsid w:val="00425533"/>
    <w:rsid w:val="00425B44"/>
    <w:rsid w:val="00425B55"/>
    <w:rsid w:val="00425E95"/>
    <w:rsid w:val="00425F38"/>
    <w:rsid w:val="00425FCD"/>
    <w:rsid w:val="00426D48"/>
    <w:rsid w:val="004272E1"/>
    <w:rsid w:val="00427443"/>
    <w:rsid w:val="00427A97"/>
    <w:rsid w:val="00427B53"/>
    <w:rsid w:val="004302B8"/>
    <w:rsid w:val="0043080A"/>
    <w:rsid w:val="00431B0D"/>
    <w:rsid w:val="00431CEB"/>
    <w:rsid w:val="00432C69"/>
    <w:rsid w:val="00432DD6"/>
    <w:rsid w:val="0043340C"/>
    <w:rsid w:val="00433727"/>
    <w:rsid w:val="0043374C"/>
    <w:rsid w:val="00433D2C"/>
    <w:rsid w:val="00433ECD"/>
    <w:rsid w:val="0043411B"/>
    <w:rsid w:val="00434D61"/>
    <w:rsid w:val="00434F6A"/>
    <w:rsid w:val="00435054"/>
    <w:rsid w:val="004354D5"/>
    <w:rsid w:val="00435E77"/>
    <w:rsid w:val="00436E4B"/>
    <w:rsid w:val="004374CD"/>
    <w:rsid w:val="004376E7"/>
    <w:rsid w:val="00437E34"/>
    <w:rsid w:val="00441527"/>
    <w:rsid w:val="004417ED"/>
    <w:rsid w:val="00442FC0"/>
    <w:rsid w:val="0044391B"/>
    <w:rsid w:val="00443C2C"/>
    <w:rsid w:val="00443F66"/>
    <w:rsid w:val="0044435C"/>
    <w:rsid w:val="004443F4"/>
    <w:rsid w:val="004448C6"/>
    <w:rsid w:val="00444917"/>
    <w:rsid w:val="0044491E"/>
    <w:rsid w:val="00444D0E"/>
    <w:rsid w:val="00445DFA"/>
    <w:rsid w:val="004466E0"/>
    <w:rsid w:val="00447F91"/>
    <w:rsid w:val="0045013F"/>
    <w:rsid w:val="00450651"/>
    <w:rsid w:val="0045158A"/>
    <w:rsid w:val="00452259"/>
    <w:rsid w:val="00452DCC"/>
    <w:rsid w:val="00453477"/>
    <w:rsid w:val="00453B89"/>
    <w:rsid w:val="00454507"/>
    <w:rsid w:val="00454640"/>
    <w:rsid w:val="00454F85"/>
    <w:rsid w:val="0045554E"/>
    <w:rsid w:val="004563B7"/>
    <w:rsid w:val="004575E6"/>
    <w:rsid w:val="004575F0"/>
    <w:rsid w:val="00457A30"/>
    <w:rsid w:val="00457E27"/>
    <w:rsid w:val="004601EB"/>
    <w:rsid w:val="00461079"/>
    <w:rsid w:val="004611DD"/>
    <w:rsid w:val="00462981"/>
    <w:rsid w:val="0046298E"/>
    <w:rsid w:val="004629AB"/>
    <w:rsid w:val="0046326D"/>
    <w:rsid w:val="004634A3"/>
    <w:rsid w:val="00463DD3"/>
    <w:rsid w:val="0046410B"/>
    <w:rsid w:val="00464D5E"/>
    <w:rsid w:val="00465395"/>
    <w:rsid w:val="004657C4"/>
    <w:rsid w:val="0046650C"/>
    <w:rsid w:val="00467115"/>
    <w:rsid w:val="00467468"/>
    <w:rsid w:val="0046760E"/>
    <w:rsid w:val="00467E36"/>
    <w:rsid w:val="0047031F"/>
    <w:rsid w:val="00470AB7"/>
    <w:rsid w:val="004710B8"/>
    <w:rsid w:val="0047123D"/>
    <w:rsid w:val="004719E8"/>
    <w:rsid w:val="00472B8D"/>
    <w:rsid w:val="00473868"/>
    <w:rsid w:val="004740B1"/>
    <w:rsid w:val="004747D7"/>
    <w:rsid w:val="00474A04"/>
    <w:rsid w:val="00475897"/>
    <w:rsid w:val="0047610D"/>
    <w:rsid w:val="004767AE"/>
    <w:rsid w:val="00476940"/>
    <w:rsid w:val="00476A0C"/>
    <w:rsid w:val="00476B9B"/>
    <w:rsid w:val="00476EA1"/>
    <w:rsid w:val="00477661"/>
    <w:rsid w:val="00477A6A"/>
    <w:rsid w:val="0048054C"/>
    <w:rsid w:val="0048057C"/>
    <w:rsid w:val="00480FDF"/>
    <w:rsid w:val="00481171"/>
    <w:rsid w:val="004811E0"/>
    <w:rsid w:val="004819DB"/>
    <w:rsid w:val="00481A39"/>
    <w:rsid w:val="00481B41"/>
    <w:rsid w:val="00481D3F"/>
    <w:rsid w:val="00481E5B"/>
    <w:rsid w:val="00482561"/>
    <w:rsid w:val="00483199"/>
    <w:rsid w:val="004847DC"/>
    <w:rsid w:val="00484FB0"/>
    <w:rsid w:val="004855BF"/>
    <w:rsid w:val="00486272"/>
    <w:rsid w:val="00486433"/>
    <w:rsid w:val="00486DC2"/>
    <w:rsid w:val="004873D3"/>
    <w:rsid w:val="004876F8"/>
    <w:rsid w:val="0048793E"/>
    <w:rsid w:val="00487B07"/>
    <w:rsid w:val="00490807"/>
    <w:rsid w:val="004917DE"/>
    <w:rsid w:val="00491835"/>
    <w:rsid w:val="00491AD2"/>
    <w:rsid w:val="004928B0"/>
    <w:rsid w:val="00492F33"/>
    <w:rsid w:val="004930CC"/>
    <w:rsid w:val="00493C82"/>
    <w:rsid w:val="00493EEF"/>
    <w:rsid w:val="00493F3B"/>
    <w:rsid w:val="00494185"/>
    <w:rsid w:val="00494A95"/>
    <w:rsid w:val="00495870"/>
    <w:rsid w:val="00495A89"/>
    <w:rsid w:val="00496795"/>
    <w:rsid w:val="00496ACA"/>
    <w:rsid w:val="004970AD"/>
    <w:rsid w:val="004974CF"/>
    <w:rsid w:val="004974FF"/>
    <w:rsid w:val="004978C1"/>
    <w:rsid w:val="004A01CF"/>
    <w:rsid w:val="004A03AD"/>
    <w:rsid w:val="004A06D9"/>
    <w:rsid w:val="004A0BFD"/>
    <w:rsid w:val="004A146A"/>
    <w:rsid w:val="004A14E9"/>
    <w:rsid w:val="004A2B6E"/>
    <w:rsid w:val="004A312D"/>
    <w:rsid w:val="004A3329"/>
    <w:rsid w:val="004A3E75"/>
    <w:rsid w:val="004A4188"/>
    <w:rsid w:val="004A4D99"/>
    <w:rsid w:val="004A4E60"/>
    <w:rsid w:val="004A4EC7"/>
    <w:rsid w:val="004A51D4"/>
    <w:rsid w:val="004A5483"/>
    <w:rsid w:val="004A5C74"/>
    <w:rsid w:val="004A6327"/>
    <w:rsid w:val="004A681E"/>
    <w:rsid w:val="004A7053"/>
    <w:rsid w:val="004A73E3"/>
    <w:rsid w:val="004A7602"/>
    <w:rsid w:val="004A76DC"/>
    <w:rsid w:val="004B058F"/>
    <w:rsid w:val="004B08B2"/>
    <w:rsid w:val="004B1166"/>
    <w:rsid w:val="004B1267"/>
    <w:rsid w:val="004B19B1"/>
    <w:rsid w:val="004B1E9E"/>
    <w:rsid w:val="004B2029"/>
    <w:rsid w:val="004B20D1"/>
    <w:rsid w:val="004B2145"/>
    <w:rsid w:val="004B2642"/>
    <w:rsid w:val="004B2CFD"/>
    <w:rsid w:val="004B3181"/>
    <w:rsid w:val="004B382E"/>
    <w:rsid w:val="004B459B"/>
    <w:rsid w:val="004B4DBB"/>
    <w:rsid w:val="004B56F9"/>
    <w:rsid w:val="004B5D69"/>
    <w:rsid w:val="004B5E42"/>
    <w:rsid w:val="004B5ED6"/>
    <w:rsid w:val="004B5F11"/>
    <w:rsid w:val="004B605A"/>
    <w:rsid w:val="004B6742"/>
    <w:rsid w:val="004B67EA"/>
    <w:rsid w:val="004B69B2"/>
    <w:rsid w:val="004B7476"/>
    <w:rsid w:val="004B7849"/>
    <w:rsid w:val="004B7AD8"/>
    <w:rsid w:val="004B7BDF"/>
    <w:rsid w:val="004B7DDC"/>
    <w:rsid w:val="004C0BFB"/>
    <w:rsid w:val="004C1309"/>
    <w:rsid w:val="004C15DC"/>
    <w:rsid w:val="004C1985"/>
    <w:rsid w:val="004C287D"/>
    <w:rsid w:val="004C30F0"/>
    <w:rsid w:val="004C39E7"/>
    <w:rsid w:val="004C3F22"/>
    <w:rsid w:val="004C3FDD"/>
    <w:rsid w:val="004C42C7"/>
    <w:rsid w:val="004C4C13"/>
    <w:rsid w:val="004C50AB"/>
    <w:rsid w:val="004C518F"/>
    <w:rsid w:val="004C5C54"/>
    <w:rsid w:val="004C615B"/>
    <w:rsid w:val="004C6341"/>
    <w:rsid w:val="004C6857"/>
    <w:rsid w:val="004C6BA0"/>
    <w:rsid w:val="004C7106"/>
    <w:rsid w:val="004C7810"/>
    <w:rsid w:val="004C7AD9"/>
    <w:rsid w:val="004D0354"/>
    <w:rsid w:val="004D08AF"/>
    <w:rsid w:val="004D0E53"/>
    <w:rsid w:val="004D12E8"/>
    <w:rsid w:val="004D1770"/>
    <w:rsid w:val="004D1965"/>
    <w:rsid w:val="004D1A88"/>
    <w:rsid w:val="004D26B2"/>
    <w:rsid w:val="004D2DED"/>
    <w:rsid w:val="004D2E45"/>
    <w:rsid w:val="004D37A1"/>
    <w:rsid w:val="004D3A05"/>
    <w:rsid w:val="004D4166"/>
    <w:rsid w:val="004D439C"/>
    <w:rsid w:val="004D497D"/>
    <w:rsid w:val="004D4C48"/>
    <w:rsid w:val="004D53AC"/>
    <w:rsid w:val="004D5C94"/>
    <w:rsid w:val="004D640C"/>
    <w:rsid w:val="004D67F9"/>
    <w:rsid w:val="004D699D"/>
    <w:rsid w:val="004D69B4"/>
    <w:rsid w:val="004D7989"/>
    <w:rsid w:val="004D7B8D"/>
    <w:rsid w:val="004D7C30"/>
    <w:rsid w:val="004D7CD2"/>
    <w:rsid w:val="004E00A3"/>
    <w:rsid w:val="004E04BE"/>
    <w:rsid w:val="004E0623"/>
    <w:rsid w:val="004E0896"/>
    <w:rsid w:val="004E08DC"/>
    <w:rsid w:val="004E1230"/>
    <w:rsid w:val="004E12FF"/>
    <w:rsid w:val="004E1DA8"/>
    <w:rsid w:val="004E2CF7"/>
    <w:rsid w:val="004E2F97"/>
    <w:rsid w:val="004E3A1A"/>
    <w:rsid w:val="004E4111"/>
    <w:rsid w:val="004E4285"/>
    <w:rsid w:val="004E4AFF"/>
    <w:rsid w:val="004E5069"/>
    <w:rsid w:val="004E5213"/>
    <w:rsid w:val="004E5735"/>
    <w:rsid w:val="004E57B0"/>
    <w:rsid w:val="004E5816"/>
    <w:rsid w:val="004E6542"/>
    <w:rsid w:val="004E66DE"/>
    <w:rsid w:val="004E678D"/>
    <w:rsid w:val="004E7556"/>
    <w:rsid w:val="004E7913"/>
    <w:rsid w:val="004E7F54"/>
    <w:rsid w:val="004F01B1"/>
    <w:rsid w:val="004F075B"/>
    <w:rsid w:val="004F0C0D"/>
    <w:rsid w:val="004F1BD4"/>
    <w:rsid w:val="004F1FA2"/>
    <w:rsid w:val="004F2886"/>
    <w:rsid w:val="004F31EC"/>
    <w:rsid w:val="004F3AFA"/>
    <w:rsid w:val="004F3EA0"/>
    <w:rsid w:val="004F419B"/>
    <w:rsid w:val="004F4518"/>
    <w:rsid w:val="004F4D91"/>
    <w:rsid w:val="004F4EA1"/>
    <w:rsid w:val="004F5297"/>
    <w:rsid w:val="004F5CA2"/>
    <w:rsid w:val="004F6397"/>
    <w:rsid w:val="004F69B7"/>
    <w:rsid w:val="004F6B45"/>
    <w:rsid w:val="004F6E93"/>
    <w:rsid w:val="004F760C"/>
    <w:rsid w:val="004F79BB"/>
    <w:rsid w:val="004F7D9D"/>
    <w:rsid w:val="00500568"/>
    <w:rsid w:val="00501300"/>
    <w:rsid w:val="0050135C"/>
    <w:rsid w:val="00501383"/>
    <w:rsid w:val="00501897"/>
    <w:rsid w:val="00501DCF"/>
    <w:rsid w:val="00501E7B"/>
    <w:rsid w:val="00502228"/>
    <w:rsid w:val="005023DC"/>
    <w:rsid w:val="00502560"/>
    <w:rsid w:val="0050276C"/>
    <w:rsid w:val="00502D82"/>
    <w:rsid w:val="005040F2"/>
    <w:rsid w:val="0050467C"/>
    <w:rsid w:val="005046F6"/>
    <w:rsid w:val="00504E44"/>
    <w:rsid w:val="00504F8D"/>
    <w:rsid w:val="0050585D"/>
    <w:rsid w:val="00505880"/>
    <w:rsid w:val="00505AED"/>
    <w:rsid w:val="005069FB"/>
    <w:rsid w:val="005070CD"/>
    <w:rsid w:val="0050727D"/>
    <w:rsid w:val="00507462"/>
    <w:rsid w:val="00507530"/>
    <w:rsid w:val="00507D4E"/>
    <w:rsid w:val="005107EB"/>
    <w:rsid w:val="00510ACD"/>
    <w:rsid w:val="00511852"/>
    <w:rsid w:val="005118AF"/>
    <w:rsid w:val="00511C78"/>
    <w:rsid w:val="00512227"/>
    <w:rsid w:val="00512435"/>
    <w:rsid w:val="00512C8A"/>
    <w:rsid w:val="005130AB"/>
    <w:rsid w:val="005137F0"/>
    <w:rsid w:val="00513B89"/>
    <w:rsid w:val="00513D09"/>
    <w:rsid w:val="005140F2"/>
    <w:rsid w:val="00514815"/>
    <w:rsid w:val="0051481C"/>
    <w:rsid w:val="00514C92"/>
    <w:rsid w:val="0051574E"/>
    <w:rsid w:val="0051588A"/>
    <w:rsid w:val="00516056"/>
    <w:rsid w:val="00516680"/>
    <w:rsid w:val="0051694B"/>
    <w:rsid w:val="00517089"/>
    <w:rsid w:val="005178D5"/>
    <w:rsid w:val="00517A1E"/>
    <w:rsid w:val="00517AAB"/>
    <w:rsid w:val="005204F3"/>
    <w:rsid w:val="00520692"/>
    <w:rsid w:val="00520E32"/>
    <w:rsid w:val="00521117"/>
    <w:rsid w:val="00521419"/>
    <w:rsid w:val="005217C0"/>
    <w:rsid w:val="00521861"/>
    <w:rsid w:val="00521AC1"/>
    <w:rsid w:val="0052273E"/>
    <w:rsid w:val="005230C3"/>
    <w:rsid w:val="0052331B"/>
    <w:rsid w:val="0052340C"/>
    <w:rsid w:val="00523956"/>
    <w:rsid w:val="00523CAB"/>
    <w:rsid w:val="00523FAC"/>
    <w:rsid w:val="0052423E"/>
    <w:rsid w:val="005245A2"/>
    <w:rsid w:val="005246D4"/>
    <w:rsid w:val="005252CC"/>
    <w:rsid w:val="0052555D"/>
    <w:rsid w:val="005255F2"/>
    <w:rsid w:val="00525636"/>
    <w:rsid w:val="005256DD"/>
    <w:rsid w:val="00526021"/>
    <w:rsid w:val="00527A07"/>
    <w:rsid w:val="00527E60"/>
    <w:rsid w:val="0053000B"/>
    <w:rsid w:val="00530AC7"/>
    <w:rsid w:val="00530CE0"/>
    <w:rsid w:val="00530DE8"/>
    <w:rsid w:val="00530F9F"/>
    <w:rsid w:val="00531101"/>
    <w:rsid w:val="00531919"/>
    <w:rsid w:val="00532187"/>
    <w:rsid w:val="005331A5"/>
    <w:rsid w:val="005339B1"/>
    <w:rsid w:val="00533D16"/>
    <w:rsid w:val="0053435F"/>
    <w:rsid w:val="0053477E"/>
    <w:rsid w:val="0053509C"/>
    <w:rsid w:val="00535170"/>
    <w:rsid w:val="00535513"/>
    <w:rsid w:val="005358B2"/>
    <w:rsid w:val="00535A8C"/>
    <w:rsid w:val="00536365"/>
    <w:rsid w:val="0053649C"/>
    <w:rsid w:val="005369C1"/>
    <w:rsid w:val="00537015"/>
    <w:rsid w:val="00537138"/>
    <w:rsid w:val="005372C9"/>
    <w:rsid w:val="00537577"/>
    <w:rsid w:val="00537934"/>
    <w:rsid w:val="0053796A"/>
    <w:rsid w:val="00537FFB"/>
    <w:rsid w:val="0054046A"/>
    <w:rsid w:val="00540509"/>
    <w:rsid w:val="0054053A"/>
    <w:rsid w:val="00541674"/>
    <w:rsid w:val="00541894"/>
    <w:rsid w:val="005418EE"/>
    <w:rsid w:val="00541C50"/>
    <w:rsid w:val="00541E39"/>
    <w:rsid w:val="0054236F"/>
    <w:rsid w:val="00542C2C"/>
    <w:rsid w:val="00542E32"/>
    <w:rsid w:val="00542ECA"/>
    <w:rsid w:val="00542F5F"/>
    <w:rsid w:val="0054322B"/>
    <w:rsid w:val="00543651"/>
    <w:rsid w:val="00543A3F"/>
    <w:rsid w:val="00543BDB"/>
    <w:rsid w:val="0054450E"/>
    <w:rsid w:val="00544685"/>
    <w:rsid w:val="005447B3"/>
    <w:rsid w:val="0054495C"/>
    <w:rsid w:val="00544AC1"/>
    <w:rsid w:val="00544D90"/>
    <w:rsid w:val="00544F17"/>
    <w:rsid w:val="00544F86"/>
    <w:rsid w:val="00545A48"/>
    <w:rsid w:val="00546369"/>
    <w:rsid w:val="0054659E"/>
    <w:rsid w:val="005465F1"/>
    <w:rsid w:val="00546751"/>
    <w:rsid w:val="005467ED"/>
    <w:rsid w:val="00546813"/>
    <w:rsid w:val="005468BC"/>
    <w:rsid w:val="0054690F"/>
    <w:rsid w:val="00547B3C"/>
    <w:rsid w:val="00550E1C"/>
    <w:rsid w:val="00551CC8"/>
    <w:rsid w:val="00552075"/>
    <w:rsid w:val="00552F88"/>
    <w:rsid w:val="00553377"/>
    <w:rsid w:val="00553943"/>
    <w:rsid w:val="00553A9A"/>
    <w:rsid w:val="0055406E"/>
    <w:rsid w:val="00554341"/>
    <w:rsid w:val="00554617"/>
    <w:rsid w:val="00554C0C"/>
    <w:rsid w:val="00554C29"/>
    <w:rsid w:val="0055516F"/>
    <w:rsid w:val="00555A02"/>
    <w:rsid w:val="00555C37"/>
    <w:rsid w:val="00556140"/>
    <w:rsid w:val="00556555"/>
    <w:rsid w:val="0055672C"/>
    <w:rsid w:val="00556B24"/>
    <w:rsid w:val="005571C1"/>
    <w:rsid w:val="005571DC"/>
    <w:rsid w:val="0055733F"/>
    <w:rsid w:val="0055749F"/>
    <w:rsid w:val="005574F9"/>
    <w:rsid w:val="00557553"/>
    <w:rsid w:val="005575C1"/>
    <w:rsid w:val="00557718"/>
    <w:rsid w:val="005578A4"/>
    <w:rsid w:val="00557C91"/>
    <w:rsid w:val="00557EB5"/>
    <w:rsid w:val="00557FD7"/>
    <w:rsid w:val="00561067"/>
    <w:rsid w:val="00561140"/>
    <w:rsid w:val="00562131"/>
    <w:rsid w:val="005625D1"/>
    <w:rsid w:val="00562DAB"/>
    <w:rsid w:val="00562E2C"/>
    <w:rsid w:val="0056425D"/>
    <w:rsid w:val="0056478C"/>
    <w:rsid w:val="00564E7A"/>
    <w:rsid w:val="00565215"/>
    <w:rsid w:val="00565970"/>
    <w:rsid w:val="00565D2A"/>
    <w:rsid w:val="00566020"/>
    <w:rsid w:val="00566713"/>
    <w:rsid w:val="00566852"/>
    <w:rsid w:val="00566DE1"/>
    <w:rsid w:val="0056766B"/>
    <w:rsid w:val="00567C8C"/>
    <w:rsid w:val="00570365"/>
    <w:rsid w:val="0057112A"/>
    <w:rsid w:val="005712CD"/>
    <w:rsid w:val="00571ED7"/>
    <w:rsid w:val="005725D7"/>
    <w:rsid w:val="0057268E"/>
    <w:rsid w:val="005728A9"/>
    <w:rsid w:val="005733B0"/>
    <w:rsid w:val="005735F4"/>
    <w:rsid w:val="0057372A"/>
    <w:rsid w:val="00573EE5"/>
    <w:rsid w:val="00574139"/>
    <w:rsid w:val="005743DE"/>
    <w:rsid w:val="00574524"/>
    <w:rsid w:val="00574930"/>
    <w:rsid w:val="0057566E"/>
    <w:rsid w:val="005758EA"/>
    <w:rsid w:val="00575F6E"/>
    <w:rsid w:val="005760F0"/>
    <w:rsid w:val="005761F8"/>
    <w:rsid w:val="005765F3"/>
    <w:rsid w:val="00576B47"/>
    <w:rsid w:val="00577202"/>
    <w:rsid w:val="005773A7"/>
    <w:rsid w:val="00577497"/>
    <w:rsid w:val="00577D54"/>
    <w:rsid w:val="00580971"/>
    <w:rsid w:val="0058099B"/>
    <w:rsid w:val="005809BA"/>
    <w:rsid w:val="00580E49"/>
    <w:rsid w:val="0058108C"/>
    <w:rsid w:val="005813A0"/>
    <w:rsid w:val="00581798"/>
    <w:rsid w:val="00581A18"/>
    <w:rsid w:val="0058236B"/>
    <w:rsid w:val="00582E32"/>
    <w:rsid w:val="005837C9"/>
    <w:rsid w:val="005837D7"/>
    <w:rsid w:val="0058404F"/>
    <w:rsid w:val="005844F5"/>
    <w:rsid w:val="00584D94"/>
    <w:rsid w:val="00584F6E"/>
    <w:rsid w:val="00585EFC"/>
    <w:rsid w:val="005861F5"/>
    <w:rsid w:val="00586448"/>
    <w:rsid w:val="00586936"/>
    <w:rsid w:val="00587590"/>
    <w:rsid w:val="0058760A"/>
    <w:rsid w:val="00587971"/>
    <w:rsid w:val="00587DB7"/>
    <w:rsid w:val="00590C13"/>
    <w:rsid w:val="00591771"/>
    <w:rsid w:val="005918CE"/>
    <w:rsid w:val="0059190C"/>
    <w:rsid w:val="00591C40"/>
    <w:rsid w:val="00591C8D"/>
    <w:rsid w:val="0059259D"/>
    <w:rsid w:val="0059296C"/>
    <w:rsid w:val="00593A00"/>
    <w:rsid w:val="005940EB"/>
    <w:rsid w:val="00595308"/>
    <w:rsid w:val="005954A7"/>
    <w:rsid w:val="00595902"/>
    <w:rsid w:val="005959AF"/>
    <w:rsid w:val="00595B9C"/>
    <w:rsid w:val="00596858"/>
    <w:rsid w:val="00596D1C"/>
    <w:rsid w:val="00596D54"/>
    <w:rsid w:val="00597674"/>
    <w:rsid w:val="00597884"/>
    <w:rsid w:val="00597EC7"/>
    <w:rsid w:val="005A0212"/>
    <w:rsid w:val="005A0479"/>
    <w:rsid w:val="005A098A"/>
    <w:rsid w:val="005A0F7E"/>
    <w:rsid w:val="005A128F"/>
    <w:rsid w:val="005A229B"/>
    <w:rsid w:val="005A24D7"/>
    <w:rsid w:val="005A25DE"/>
    <w:rsid w:val="005A2B76"/>
    <w:rsid w:val="005A32DD"/>
    <w:rsid w:val="005A33CD"/>
    <w:rsid w:val="005A392A"/>
    <w:rsid w:val="005A3A50"/>
    <w:rsid w:val="005A3C44"/>
    <w:rsid w:val="005A3C83"/>
    <w:rsid w:val="005A3E4B"/>
    <w:rsid w:val="005A3FF5"/>
    <w:rsid w:val="005A45AB"/>
    <w:rsid w:val="005A4BEE"/>
    <w:rsid w:val="005A4DC0"/>
    <w:rsid w:val="005A5D6E"/>
    <w:rsid w:val="005A6226"/>
    <w:rsid w:val="005A6407"/>
    <w:rsid w:val="005A641F"/>
    <w:rsid w:val="005A6DA4"/>
    <w:rsid w:val="005A794E"/>
    <w:rsid w:val="005B04AD"/>
    <w:rsid w:val="005B0652"/>
    <w:rsid w:val="005B0A14"/>
    <w:rsid w:val="005B0FEE"/>
    <w:rsid w:val="005B1134"/>
    <w:rsid w:val="005B1267"/>
    <w:rsid w:val="005B1379"/>
    <w:rsid w:val="005B160A"/>
    <w:rsid w:val="005B1935"/>
    <w:rsid w:val="005B1BB2"/>
    <w:rsid w:val="005B1C83"/>
    <w:rsid w:val="005B2238"/>
    <w:rsid w:val="005B2242"/>
    <w:rsid w:val="005B2569"/>
    <w:rsid w:val="005B2E8F"/>
    <w:rsid w:val="005B312A"/>
    <w:rsid w:val="005B398E"/>
    <w:rsid w:val="005B3E44"/>
    <w:rsid w:val="005B3F2A"/>
    <w:rsid w:val="005B3F3B"/>
    <w:rsid w:val="005B4128"/>
    <w:rsid w:val="005B4208"/>
    <w:rsid w:val="005B434C"/>
    <w:rsid w:val="005B46BC"/>
    <w:rsid w:val="005B5018"/>
    <w:rsid w:val="005B5808"/>
    <w:rsid w:val="005B5B6C"/>
    <w:rsid w:val="005B5E35"/>
    <w:rsid w:val="005B668C"/>
    <w:rsid w:val="005B68BA"/>
    <w:rsid w:val="005B6E9D"/>
    <w:rsid w:val="005B70C6"/>
    <w:rsid w:val="005B7314"/>
    <w:rsid w:val="005C01B7"/>
    <w:rsid w:val="005C123A"/>
    <w:rsid w:val="005C2CC2"/>
    <w:rsid w:val="005C33E6"/>
    <w:rsid w:val="005C4558"/>
    <w:rsid w:val="005C46DF"/>
    <w:rsid w:val="005C4A36"/>
    <w:rsid w:val="005C4C15"/>
    <w:rsid w:val="005C4C84"/>
    <w:rsid w:val="005C5D23"/>
    <w:rsid w:val="005C5E4E"/>
    <w:rsid w:val="005C6579"/>
    <w:rsid w:val="005C6741"/>
    <w:rsid w:val="005C76DF"/>
    <w:rsid w:val="005C7843"/>
    <w:rsid w:val="005C7A51"/>
    <w:rsid w:val="005C7A73"/>
    <w:rsid w:val="005C7F8F"/>
    <w:rsid w:val="005D0F72"/>
    <w:rsid w:val="005D14EA"/>
    <w:rsid w:val="005D15CD"/>
    <w:rsid w:val="005D1830"/>
    <w:rsid w:val="005D1876"/>
    <w:rsid w:val="005D1B12"/>
    <w:rsid w:val="005D2653"/>
    <w:rsid w:val="005D29BD"/>
    <w:rsid w:val="005D2C7C"/>
    <w:rsid w:val="005D2E4B"/>
    <w:rsid w:val="005D2FFB"/>
    <w:rsid w:val="005D3056"/>
    <w:rsid w:val="005D32ED"/>
    <w:rsid w:val="005D3AC8"/>
    <w:rsid w:val="005D41D6"/>
    <w:rsid w:val="005D435C"/>
    <w:rsid w:val="005D4A70"/>
    <w:rsid w:val="005D4FBC"/>
    <w:rsid w:val="005D508A"/>
    <w:rsid w:val="005D551F"/>
    <w:rsid w:val="005D583D"/>
    <w:rsid w:val="005D589F"/>
    <w:rsid w:val="005D5E97"/>
    <w:rsid w:val="005D6D72"/>
    <w:rsid w:val="005D6EC0"/>
    <w:rsid w:val="005E00BF"/>
    <w:rsid w:val="005E04E8"/>
    <w:rsid w:val="005E0538"/>
    <w:rsid w:val="005E079D"/>
    <w:rsid w:val="005E0E84"/>
    <w:rsid w:val="005E13A7"/>
    <w:rsid w:val="005E17D9"/>
    <w:rsid w:val="005E1BD3"/>
    <w:rsid w:val="005E250F"/>
    <w:rsid w:val="005E3604"/>
    <w:rsid w:val="005E3AF0"/>
    <w:rsid w:val="005E43F2"/>
    <w:rsid w:val="005E4FBB"/>
    <w:rsid w:val="005E5412"/>
    <w:rsid w:val="005E595D"/>
    <w:rsid w:val="005E5A3A"/>
    <w:rsid w:val="005E5C20"/>
    <w:rsid w:val="005E5CC2"/>
    <w:rsid w:val="005E62B7"/>
    <w:rsid w:val="005E6630"/>
    <w:rsid w:val="005E6B1F"/>
    <w:rsid w:val="005E7BD0"/>
    <w:rsid w:val="005E7F3F"/>
    <w:rsid w:val="005F2018"/>
    <w:rsid w:val="005F2164"/>
    <w:rsid w:val="005F22FA"/>
    <w:rsid w:val="005F3150"/>
    <w:rsid w:val="005F4069"/>
    <w:rsid w:val="005F44A2"/>
    <w:rsid w:val="005F46FC"/>
    <w:rsid w:val="005F489D"/>
    <w:rsid w:val="005F49EC"/>
    <w:rsid w:val="005F4AD7"/>
    <w:rsid w:val="005F4C7B"/>
    <w:rsid w:val="005F504A"/>
    <w:rsid w:val="005F5AFE"/>
    <w:rsid w:val="005F5D65"/>
    <w:rsid w:val="005F5F8C"/>
    <w:rsid w:val="005F62EB"/>
    <w:rsid w:val="005F697D"/>
    <w:rsid w:val="005F6ED6"/>
    <w:rsid w:val="005F7102"/>
    <w:rsid w:val="005F757C"/>
    <w:rsid w:val="005F7952"/>
    <w:rsid w:val="005F7A25"/>
    <w:rsid w:val="005F7B74"/>
    <w:rsid w:val="006002E9"/>
    <w:rsid w:val="00600D04"/>
    <w:rsid w:val="006023B9"/>
    <w:rsid w:val="006023E9"/>
    <w:rsid w:val="00602441"/>
    <w:rsid w:val="00602864"/>
    <w:rsid w:val="00603BE1"/>
    <w:rsid w:val="00603CD7"/>
    <w:rsid w:val="00603CEE"/>
    <w:rsid w:val="006044D5"/>
    <w:rsid w:val="00604532"/>
    <w:rsid w:val="00604756"/>
    <w:rsid w:val="00604AA1"/>
    <w:rsid w:val="00605D73"/>
    <w:rsid w:val="006063F1"/>
    <w:rsid w:val="00606724"/>
    <w:rsid w:val="00606896"/>
    <w:rsid w:val="00607018"/>
    <w:rsid w:val="006074A5"/>
    <w:rsid w:val="00607E6C"/>
    <w:rsid w:val="0061022E"/>
    <w:rsid w:val="0061027F"/>
    <w:rsid w:val="00610D73"/>
    <w:rsid w:val="0061134F"/>
    <w:rsid w:val="0061187E"/>
    <w:rsid w:val="00611E3B"/>
    <w:rsid w:val="006121FC"/>
    <w:rsid w:val="006122A8"/>
    <w:rsid w:val="0061230C"/>
    <w:rsid w:val="006125B8"/>
    <w:rsid w:val="006144AF"/>
    <w:rsid w:val="006145E8"/>
    <w:rsid w:val="006151A2"/>
    <w:rsid w:val="00615839"/>
    <w:rsid w:val="006159D1"/>
    <w:rsid w:val="00615D51"/>
    <w:rsid w:val="0061740D"/>
    <w:rsid w:val="00617C09"/>
    <w:rsid w:val="00620181"/>
    <w:rsid w:val="006203C0"/>
    <w:rsid w:val="00620E0D"/>
    <w:rsid w:val="0062148A"/>
    <w:rsid w:val="00621628"/>
    <w:rsid w:val="00621AB5"/>
    <w:rsid w:val="00622769"/>
    <w:rsid w:val="00622AFF"/>
    <w:rsid w:val="00622D94"/>
    <w:rsid w:val="00622E50"/>
    <w:rsid w:val="006235AB"/>
    <w:rsid w:val="00623683"/>
    <w:rsid w:val="00623D92"/>
    <w:rsid w:val="0062461B"/>
    <w:rsid w:val="00624E95"/>
    <w:rsid w:val="0062516A"/>
    <w:rsid w:val="006255FD"/>
    <w:rsid w:val="00625F5B"/>
    <w:rsid w:val="006262FF"/>
    <w:rsid w:val="006263A1"/>
    <w:rsid w:val="0062658D"/>
    <w:rsid w:val="00626B4D"/>
    <w:rsid w:val="00626EF5"/>
    <w:rsid w:val="00627084"/>
    <w:rsid w:val="00627838"/>
    <w:rsid w:val="00627A52"/>
    <w:rsid w:val="00627F99"/>
    <w:rsid w:val="006308E3"/>
    <w:rsid w:val="006309FC"/>
    <w:rsid w:val="00631859"/>
    <w:rsid w:val="00631864"/>
    <w:rsid w:val="00631BC3"/>
    <w:rsid w:val="00632639"/>
    <w:rsid w:val="00632D60"/>
    <w:rsid w:val="00633057"/>
    <w:rsid w:val="0063374D"/>
    <w:rsid w:val="00635063"/>
    <w:rsid w:val="006356A1"/>
    <w:rsid w:val="006359FD"/>
    <w:rsid w:val="00635A8A"/>
    <w:rsid w:val="006362B8"/>
    <w:rsid w:val="00636579"/>
    <w:rsid w:val="006370CE"/>
    <w:rsid w:val="0063760A"/>
    <w:rsid w:val="006379B2"/>
    <w:rsid w:val="00637ED1"/>
    <w:rsid w:val="00637F05"/>
    <w:rsid w:val="00640460"/>
    <w:rsid w:val="0064060A"/>
    <w:rsid w:val="006409AE"/>
    <w:rsid w:val="00641228"/>
    <w:rsid w:val="00641694"/>
    <w:rsid w:val="00641999"/>
    <w:rsid w:val="00641C8B"/>
    <w:rsid w:val="00642817"/>
    <w:rsid w:val="00642F2D"/>
    <w:rsid w:val="0064311E"/>
    <w:rsid w:val="00643D31"/>
    <w:rsid w:val="00643DFF"/>
    <w:rsid w:val="00643E73"/>
    <w:rsid w:val="00644870"/>
    <w:rsid w:val="00644B86"/>
    <w:rsid w:val="00645087"/>
    <w:rsid w:val="0064534A"/>
    <w:rsid w:val="00645869"/>
    <w:rsid w:val="00646166"/>
    <w:rsid w:val="0064683D"/>
    <w:rsid w:val="00646AD0"/>
    <w:rsid w:val="00647317"/>
    <w:rsid w:val="00647539"/>
    <w:rsid w:val="00647A91"/>
    <w:rsid w:val="00650154"/>
    <w:rsid w:val="006502F5"/>
    <w:rsid w:val="006504BE"/>
    <w:rsid w:val="006508C5"/>
    <w:rsid w:val="00650AFF"/>
    <w:rsid w:val="00651095"/>
    <w:rsid w:val="006511B5"/>
    <w:rsid w:val="006513F2"/>
    <w:rsid w:val="006523D5"/>
    <w:rsid w:val="00652470"/>
    <w:rsid w:val="00652B04"/>
    <w:rsid w:val="00652E0D"/>
    <w:rsid w:val="006530DA"/>
    <w:rsid w:val="00654B7B"/>
    <w:rsid w:val="0065539D"/>
    <w:rsid w:val="00655818"/>
    <w:rsid w:val="006558B6"/>
    <w:rsid w:val="00655DE1"/>
    <w:rsid w:val="00655E5D"/>
    <w:rsid w:val="006562E6"/>
    <w:rsid w:val="00656BFC"/>
    <w:rsid w:val="00656DFD"/>
    <w:rsid w:val="00656FD7"/>
    <w:rsid w:val="00656FD9"/>
    <w:rsid w:val="006572D9"/>
    <w:rsid w:val="006576CE"/>
    <w:rsid w:val="00657FBA"/>
    <w:rsid w:val="00661087"/>
    <w:rsid w:val="00661CD8"/>
    <w:rsid w:val="00663203"/>
    <w:rsid w:val="00663220"/>
    <w:rsid w:val="0066327F"/>
    <w:rsid w:val="006635F1"/>
    <w:rsid w:val="0066402C"/>
    <w:rsid w:val="0066410F"/>
    <w:rsid w:val="006641AF"/>
    <w:rsid w:val="006644DD"/>
    <w:rsid w:val="00664998"/>
    <w:rsid w:val="00664C26"/>
    <w:rsid w:val="00664C37"/>
    <w:rsid w:val="00665802"/>
    <w:rsid w:val="00665C41"/>
    <w:rsid w:val="00665CFD"/>
    <w:rsid w:val="00665DEB"/>
    <w:rsid w:val="00665E30"/>
    <w:rsid w:val="00666C39"/>
    <w:rsid w:val="00667A4B"/>
    <w:rsid w:val="006705BF"/>
    <w:rsid w:val="00670987"/>
    <w:rsid w:val="00670ACB"/>
    <w:rsid w:val="00671190"/>
    <w:rsid w:val="006716A2"/>
    <w:rsid w:val="0067176F"/>
    <w:rsid w:val="00671A3F"/>
    <w:rsid w:val="00671D00"/>
    <w:rsid w:val="006720F0"/>
    <w:rsid w:val="006722E8"/>
    <w:rsid w:val="00672918"/>
    <w:rsid w:val="00672A6F"/>
    <w:rsid w:val="00673030"/>
    <w:rsid w:val="0067394F"/>
    <w:rsid w:val="00673F46"/>
    <w:rsid w:val="006748B7"/>
    <w:rsid w:val="00674944"/>
    <w:rsid w:val="00674A91"/>
    <w:rsid w:val="00674F17"/>
    <w:rsid w:val="006753B7"/>
    <w:rsid w:val="006753C7"/>
    <w:rsid w:val="0067560C"/>
    <w:rsid w:val="00675964"/>
    <w:rsid w:val="00675EC1"/>
    <w:rsid w:val="00675FAE"/>
    <w:rsid w:val="00676862"/>
    <w:rsid w:val="00676ABE"/>
    <w:rsid w:val="006778DF"/>
    <w:rsid w:val="00677BD3"/>
    <w:rsid w:val="00680435"/>
    <w:rsid w:val="006804B0"/>
    <w:rsid w:val="006807EF"/>
    <w:rsid w:val="00680B69"/>
    <w:rsid w:val="00680C9D"/>
    <w:rsid w:val="006810DF"/>
    <w:rsid w:val="00681407"/>
    <w:rsid w:val="006818FD"/>
    <w:rsid w:val="00681DF3"/>
    <w:rsid w:val="0068211F"/>
    <w:rsid w:val="006822B4"/>
    <w:rsid w:val="006824F3"/>
    <w:rsid w:val="00682C98"/>
    <w:rsid w:val="00683A0A"/>
    <w:rsid w:val="00683BEE"/>
    <w:rsid w:val="00683C1B"/>
    <w:rsid w:val="00684689"/>
    <w:rsid w:val="006846C9"/>
    <w:rsid w:val="00684829"/>
    <w:rsid w:val="00684F89"/>
    <w:rsid w:val="00685218"/>
    <w:rsid w:val="00686142"/>
    <w:rsid w:val="00686573"/>
    <w:rsid w:val="006872CE"/>
    <w:rsid w:val="00687C63"/>
    <w:rsid w:val="00687FDD"/>
    <w:rsid w:val="0069015E"/>
    <w:rsid w:val="0069096E"/>
    <w:rsid w:val="00691709"/>
    <w:rsid w:val="00692AD5"/>
    <w:rsid w:val="00692D80"/>
    <w:rsid w:val="006931DF"/>
    <w:rsid w:val="006933AA"/>
    <w:rsid w:val="006936F8"/>
    <w:rsid w:val="0069393C"/>
    <w:rsid w:val="00693BD8"/>
    <w:rsid w:val="00693F24"/>
    <w:rsid w:val="006940BF"/>
    <w:rsid w:val="00694A83"/>
    <w:rsid w:val="00694AA9"/>
    <w:rsid w:val="00694BF3"/>
    <w:rsid w:val="00694F10"/>
    <w:rsid w:val="00694FFD"/>
    <w:rsid w:val="00695177"/>
    <w:rsid w:val="00695563"/>
    <w:rsid w:val="006956E6"/>
    <w:rsid w:val="00695FF9"/>
    <w:rsid w:val="00696977"/>
    <w:rsid w:val="00696B9B"/>
    <w:rsid w:val="00696C44"/>
    <w:rsid w:val="00696F55"/>
    <w:rsid w:val="00697721"/>
    <w:rsid w:val="00697754"/>
    <w:rsid w:val="00697832"/>
    <w:rsid w:val="006A09DF"/>
    <w:rsid w:val="006A0B64"/>
    <w:rsid w:val="006A10BB"/>
    <w:rsid w:val="006A11CB"/>
    <w:rsid w:val="006A1C6C"/>
    <w:rsid w:val="006A1DF3"/>
    <w:rsid w:val="006A1EC1"/>
    <w:rsid w:val="006A20A8"/>
    <w:rsid w:val="006A22A5"/>
    <w:rsid w:val="006A242B"/>
    <w:rsid w:val="006A260F"/>
    <w:rsid w:val="006A30F5"/>
    <w:rsid w:val="006A3C70"/>
    <w:rsid w:val="006A3FF8"/>
    <w:rsid w:val="006A50D7"/>
    <w:rsid w:val="006A538A"/>
    <w:rsid w:val="006A5597"/>
    <w:rsid w:val="006A5B14"/>
    <w:rsid w:val="006A6C81"/>
    <w:rsid w:val="006A736C"/>
    <w:rsid w:val="006A7BB0"/>
    <w:rsid w:val="006B1255"/>
    <w:rsid w:val="006B3007"/>
    <w:rsid w:val="006B346D"/>
    <w:rsid w:val="006B37D0"/>
    <w:rsid w:val="006B3B7F"/>
    <w:rsid w:val="006B4328"/>
    <w:rsid w:val="006B4612"/>
    <w:rsid w:val="006B483E"/>
    <w:rsid w:val="006B4898"/>
    <w:rsid w:val="006B4E0D"/>
    <w:rsid w:val="006B4E91"/>
    <w:rsid w:val="006B5041"/>
    <w:rsid w:val="006B5720"/>
    <w:rsid w:val="006B5C3C"/>
    <w:rsid w:val="006B6027"/>
    <w:rsid w:val="006B6119"/>
    <w:rsid w:val="006B656A"/>
    <w:rsid w:val="006B7203"/>
    <w:rsid w:val="006B73AB"/>
    <w:rsid w:val="006B773E"/>
    <w:rsid w:val="006B7F1F"/>
    <w:rsid w:val="006C069D"/>
    <w:rsid w:val="006C06BB"/>
    <w:rsid w:val="006C098D"/>
    <w:rsid w:val="006C09B1"/>
    <w:rsid w:val="006C0BB6"/>
    <w:rsid w:val="006C0D1B"/>
    <w:rsid w:val="006C1A3C"/>
    <w:rsid w:val="006C1A99"/>
    <w:rsid w:val="006C2CA0"/>
    <w:rsid w:val="006C2D85"/>
    <w:rsid w:val="006C30F8"/>
    <w:rsid w:val="006C33AA"/>
    <w:rsid w:val="006C3563"/>
    <w:rsid w:val="006C3813"/>
    <w:rsid w:val="006C3862"/>
    <w:rsid w:val="006C3B01"/>
    <w:rsid w:val="006C3D0F"/>
    <w:rsid w:val="006C3F83"/>
    <w:rsid w:val="006C4893"/>
    <w:rsid w:val="006C4D46"/>
    <w:rsid w:val="006C5312"/>
    <w:rsid w:val="006C5E76"/>
    <w:rsid w:val="006C6D52"/>
    <w:rsid w:val="006C7184"/>
    <w:rsid w:val="006C7D8E"/>
    <w:rsid w:val="006D07D0"/>
    <w:rsid w:val="006D07FB"/>
    <w:rsid w:val="006D0EE7"/>
    <w:rsid w:val="006D1073"/>
    <w:rsid w:val="006D10F8"/>
    <w:rsid w:val="006D128B"/>
    <w:rsid w:val="006D14E7"/>
    <w:rsid w:val="006D150B"/>
    <w:rsid w:val="006D1641"/>
    <w:rsid w:val="006D18B7"/>
    <w:rsid w:val="006D1A62"/>
    <w:rsid w:val="006D2287"/>
    <w:rsid w:val="006D292A"/>
    <w:rsid w:val="006D29F5"/>
    <w:rsid w:val="006D3520"/>
    <w:rsid w:val="006D37BB"/>
    <w:rsid w:val="006D43AB"/>
    <w:rsid w:val="006D443F"/>
    <w:rsid w:val="006D52CB"/>
    <w:rsid w:val="006D614C"/>
    <w:rsid w:val="006D67EE"/>
    <w:rsid w:val="006D714F"/>
    <w:rsid w:val="006D71A1"/>
    <w:rsid w:val="006D7B45"/>
    <w:rsid w:val="006D7F2D"/>
    <w:rsid w:val="006D7F93"/>
    <w:rsid w:val="006E0298"/>
    <w:rsid w:val="006E15CD"/>
    <w:rsid w:val="006E1754"/>
    <w:rsid w:val="006E1767"/>
    <w:rsid w:val="006E1BE1"/>
    <w:rsid w:val="006E1E53"/>
    <w:rsid w:val="006E25B1"/>
    <w:rsid w:val="006E263E"/>
    <w:rsid w:val="006E284A"/>
    <w:rsid w:val="006E2BA8"/>
    <w:rsid w:val="006E30B7"/>
    <w:rsid w:val="006E36A7"/>
    <w:rsid w:val="006E36FB"/>
    <w:rsid w:val="006E37ED"/>
    <w:rsid w:val="006E3923"/>
    <w:rsid w:val="006E3C10"/>
    <w:rsid w:val="006E41F3"/>
    <w:rsid w:val="006E439C"/>
    <w:rsid w:val="006E45E5"/>
    <w:rsid w:val="006E4977"/>
    <w:rsid w:val="006E4C6A"/>
    <w:rsid w:val="006E4CA6"/>
    <w:rsid w:val="006E4EDC"/>
    <w:rsid w:val="006E50AB"/>
    <w:rsid w:val="006E5AC1"/>
    <w:rsid w:val="006E5EAB"/>
    <w:rsid w:val="006E66EE"/>
    <w:rsid w:val="006E6C62"/>
    <w:rsid w:val="006E72E4"/>
    <w:rsid w:val="006E738A"/>
    <w:rsid w:val="006E757B"/>
    <w:rsid w:val="006E790F"/>
    <w:rsid w:val="006F0153"/>
    <w:rsid w:val="006F039F"/>
    <w:rsid w:val="006F08F4"/>
    <w:rsid w:val="006F1804"/>
    <w:rsid w:val="006F1F90"/>
    <w:rsid w:val="006F2453"/>
    <w:rsid w:val="006F25F1"/>
    <w:rsid w:val="006F2891"/>
    <w:rsid w:val="006F2E8D"/>
    <w:rsid w:val="006F31EC"/>
    <w:rsid w:val="006F3B36"/>
    <w:rsid w:val="006F3D82"/>
    <w:rsid w:val="006F3E78"/>
    <w:rsid w:val="006F454C"/>
    <w:rsid w:val="006F49D8"/>
    <w:rsid w:val="006F4ED1"/>
    <w:rsid w:val="006F57A3"/>
    <w:rsid w:val="006F5A64"/>
    <w:rsid w:val="006F5E90"/>
    <w:rsid w:val="006F6209"/>
    <w:rsid w:val="006F646B"/>
    <w:rsid w:val="006F6472"/>
    <w:rsid w:val="006F69EC"/>
    <w:rsid w:val="006F705E"/>
    <w:rsid w:val="006F7301"/>
    <w:rsid w:val="006F7597"/>
    <w:rsid w:val="006F7F39"/>
    <w:rsid w:val="00700997"/>
    <w:rsid w:val="00700D85"/>
    <w:rsid w:val="007010EB"/>
    <w:rsid w:val="0070139F"/>
    <w:rsid w:val="00701A21"/>
    <w:rsid w:val="00701AFE"/>
    <w:rsid w:val="00701C5B"/>
    <w:rsid w:val="0070223D"/>
    <w:rsid w:val="0070260F"/>
    <w:rsid w:val="00702B67"/>
    <w:rsid w:val="00702C36"/>
    <w:rsid w:val="00702E9A"/>
    <w:rsid w:val="00703448"/>
    <w:rsid w:val="007036D4"/>
    <w:rsid w:val="00704603"/>
    <w:rsid w:val="00704BC1"/>
    <w:rsid w:val="00704E93"/>
    <w:rsid w:val="00705B67"/>
    <w:rsid w:val="00705DE6"/>
    <w:rsid w:val="00706119"/>
    <w:rsid w:val="00706623"/>
    <w:rsid w:val="00706C7B"/>
    <w:rsid w:val="007072DE"/>
    <w:rsid w:val="00707ADB"/>
    <w:rsid w:val="00707EB4"/>
    <w:rsid w:val="00710566"/>
    <w:rsid w:val="00710933"/>
    <w:rsid w:val="00710E5A"/>
    <w:rsid w:val="00710F4D"/>
    <w:rsid w:val="00711521"/>
    <w:rsid w:val="00711A3A"/>
    <w:rsid w:val="00711C7A"/>
    <w:rsid w:val="00711DB8"/>
    <w:rsid w:val="00711F37"/>
    <w:rsid w:val="0071272D"/>
    <w:rsid w:val="007130FC"/>
    <w:rsid w:val="0071325D"/>
    <w:rsid w:val="007135FD"/>
    <w:rsid w:val="00713E89"/>
    <w:rsid w:val="00714590"/>
    <w:rsid w:val="007147C3"/>
    <w:rsid w:val="0071540A"/>
    <w:rsid w:val="00715EDF"/>
    <w:rsid w:val="00716AA3"/>
    <w:rsid w:val="00716FE1"/>
    <w:rsid w:val="00717676"/>
    <w:rsid w:val="007177CC"/>
    <w:rsid w:val="00717F73"/>
    <w:rsid w:val="00720143"/>
    <w:rsid w:val="00720751"/>
    <w:rsid w:val="00720BDD"/>
    <w:rsid w:val="00720CB5"/>
    <w:rsid w:val="00720E00"/>
    <w:rsid w:val="00720E47"/>
    <w:rsid w:val="007214AD"/>
    <w:rsid w:val="007219A3"/>
    <w:rsid w:val="007219A6"/>
    <w:rsid w:val="00721DE0"/>
    <w:rsid w:val="00721E46"/>
    <w:rsid w:val="00722130"/>
    <w:rsid w:val="0072247E"/>
    <w:rsid w:val="0072278A"/>
    <w:rsid w:val="00722CA2"/>
    <w:rsid w:val="00722CE1"/>
    <w:rsid w:val="00723A2C"/>
    <w:rsid w:val="007241BB"/>
    <w:rsid w:val="00724A2F"/>
    <w:rsid w:val="00725001"/>
    <w:rsid w:val="00725B83"/>
    <w:rsid w:val="00725E63"/>
    <w:rsid w:val="007267B8"/>
    <w:rsid w:val="00726B61"/>
    <w:rsid w:val="00726C1B"/>
    <w:rsid w:val="007270C9"/>
    <w:rsid w:val="007276E6"/>
    <w:rsid w:val="0073018B"/>
    <w:rsid w:val="0073055A"/>
    <w:rsid w:val="00730FC2"/>
    <w:rsid w:val="0073104F"/>
    <w:rsid w:val="007314DA"/>
    <w:rsid w:val="0073176A"/>
    <w:rsid w:val="00731D2F"/>
    <w:rsid w:val="0073220A"/>
    <w:rsid w:val="00732F5E"/>
    <w:rsid w:val="007332CA"/>
    <w:rsid w:val="007336B7"/>
    <w:rsid w:val="00733CC2"/>
    <w:rsid w:val="00733F5A"/>
    <w:rsid w:val="00734ACE"/>
    <w:rsid w:val="00734D59"/>
    <w:rsid w:val="007352D8"/>
    <w:rsid w:val="00735CBF"/>
    <w:rsid w:val="00736281"/>
    <w:rsid w:val="0073679E"/>
    <w:rsid w:val="007367B2"/>
    <w:rsid w:val="007368C6"/>
    <w:rsid w:val="007368FB"/>
    <w:rsid w:val="00736BD8"/>
    <w:rsid w:val="00736CC4"/>
    <w:rsid w:val="007379C2"/>
    <w:rsid w:val="007379C4"/>
    <w:rsid w:val="00741112"/>
    <w:rsid w:val="0074146D"/>
    <w:rsid w:val="00741887"/>
    <w:rsid w:val="00742098"/>
    <w:rsid w:val="0074296C"/>
    <w:rsid w:val="00742974"/>
    <w:rsid w:val="00742CA6"/>
    <w:rsid w:val="007431DC"/>
    <w:rsid w:val="007434B9"/>
    <w:rsid w:val="00743846"/>
    <w:rsid w:val="00743966"/>
    <w:rsid w:val="00743B89"/>
    <w:rsid w:val="00744423"/>
    <w:rsid w:val="0074457E"/>
    <w:rsid w:val="00744E8D"/>
    <w:rsid w:val="00745422"/>
    <w:rsid w:val="00745A50"/>
    <w:rsid w:val="00745E97"/>
    <w:rsid w:val="00746595"/>
    <w:rsid w:val="00746D08"/>
    <w:rsid w:val="00746E8E"/>
    <w:rsid w:val="0074711F"/>
    <w:rsid w:val="0074741C"/>
    <w:rsid w:val="00747531"/>
    <w:rsid w:val="00747705"/>
    <w:rsid w:val="0074799E"/>
    <w:rsid w:val="00747DBC"/>
    <w:rsid w:val="00747E05"/>
    <w:rsid w:val="00750C86"/>
    <w:rsid w:val="00750F87"/>
    <w:rsid w:val="007510CA"/>
    <w:rsid w:val="00751111"/>
    <w:rsid w:val="007511CE"/>
    <w:rsid w:val="00751E3B"/>
    <w:rsid w:val="007521A1"/>
    <w:rsid w:val="00752361"/>
    <w:rsid w:val="007525CC"/>
    <w:rsid w:val="00752702"/>
    <w:rsid w:val="0075283F"/>
    <w:rsid w:val="0075291C"/>
    <w:rsid w:val="0075301F"/>
    <w:rsid w:val="0075362B"/>
    <w:rsid w:val="00753D75"/>
    <w:rsid w:val="00754354"/>
    <w:rsid w:val="00754F9B"/>
    <w:rsid w:val="007551C6"/>
    <w:rsid w:val="00755CA9"/>
    <w:rsid w:val="00756225"/>
    <w:rsid w:val="00756549"/>
    <w:rsid w:val="00756560"/>
    <w:rsid w:val="00756B64"/>
    <w:rsid w:val="00756CC6"/>
    <w:rsid w:val="00756F61"/>
    <w:rsid w:val="00756FDD"/>
    <w:rsid w:val="0075700F"/>
    <w:rsid w:val="007571FA"/>
    <w:rsid w:val="0075794B"/>
    <w:rsid w:val="00757CED"/>
    <w:rsid w:val="00757D41"/>
    <w:rsid w:val="0076060F"/>
    <w:rsid w:val="00760761"/>
    <w:rsid w:val="007609D0"/>
    <w:rsid w:val="00760F0D"/>
    <w:rsid w:val="00761651"/>
    <w:rsid w:val="0076186C"/>
    <w:rsid w:val="00761CF1"/>
    <w:rsid w:val="00762511"/>
    <w:rsid w:val="00762842"/>
    <w:rsid w:val="00762A25"/>
    <w:rsid w:val="00762C7F"/>
    <w:rsid w:val="00762F9F"/>
    <w:rsid w:val="0076325C"/>
    <w:rsid w:val="00763D08"/>
    <w:rsid w:val="00763DCB"/>
    <w:rsid w:val="0076469B"/>
    <w:rsid w:val="00764ADF"/>
    <w:rsid w:val="00764F42"/>
    <w:rsid w:val="00765074"/>
    <w:rsid w:val="00765A63"/>
    <w:rsid w:val="00765CCC"/>
    <w:rsid w:val="00765E44"/>
    <w:rsid w:val="00766737"/>
    <w:rsid w:val="0076691D"/>
    <w:rsid w:val="00766DA3"/>
    <w:rsid w:val="00767507"/>
    <w:rsid w:val="00767BF9"/>
    <w:rsid w:val="00770A5D"/>
    <w:rsid w:val="00770C3B"/>
    <w:rsid w:val="00770DFE"/>
    <w:rsid w:val="00770F75"/>
    <w:rsid w:val="0077130F"/>
    <w:rsid w:val="00771B30"/>
    <w:rsid w:val="00771F9B"/>
    <w:rsid w:val="00772248"/>
    <w:rsid w:val="0077260A"/>
    <w:rsid w:val="00772D3F"/>
    <w:rsid w:val="00772D64"/>
    <w:rsid w:val="00772D6D"/>
    <w:rsid w:val="007742FA"/>
    <w:rsid w:val="0077490F"/>
    <w:rsid w:val="0077502F"/>
    <w:rsid w:val="0077504B"/>
    <w:rsid w:val="00775546"/>
    <w:rsid w:val="00775620"/>
    <w:rsid w:val="00775F70"/>
    <w:rsid w:val="00776048"/>
    <w:rsid w:val="0077770F"/>
    <w:rsid w:val="00777B93"/>
    <w:rsid w:val="00777C40"/>
    <w:rsid w:val="007800DA"/>
    <w:rsid w:val="007801DD"/>
    <w:rsid w:val="00780437"/>
    <w:rsid w:val="007808B1"/>
    <w:rsid w:val="00780DBF"/>
    <w:rsid w:val="00780E46"/>
    <w:rsid w:val="00781095"/>
    <w:rsid w:val="00781CCB"/>
    <w:rsid w:val="00781FA8"/>
    <w:rsid w:val="007822BA"/>
    <w:rsid w:val="0078284E"/>
    <w:rsid w:val="00782EC7"/>
    <w:rsid w:val="0078334B"/>
    <w:rsid w:val="00783818"/>
    <w:rsid w:val="00783A40"/>
    <w:rsid w:val="0078418B"/>
    <w:rsid w:val="007846AF"/>
    <w:rsid w:val="00784C1F"/>
    <w:rsid w:val="00784C39"/>
    <w:rsid w:val="00785A21"/>
    <w:rsid w:val="00785FBD"/>
    <w:rsid w:val="00786515"/>
    <w:rsid w:val="0078660B"/>
    <w:rsid w:val="0078684F"/>
    <w:rsid w:val="00786F5E"/>
    <w:rsid w:val="007874B0"/>
    <w:rsid w:val="007876AF"/>
    <w:rsid w:val="00787AC1"/>
    <w:rsid w:val="00787F9E"/>
    <w:rsid w:val="007910A5"/>
    <w:rsid w:val="00791CBB"/>
    <w:rsid w:val="00792046"/>
    <w:rsid w:val="00792302"/>
    <w:rsid w:val="007927D6"/>
    <w:rsid w:val="00792AEC"/>
    <w:rsid w:val="00792B27"/>
    <w:rsid w:val="00792FFC"/>
    <w:rsid w:val="007933F3"/>
    <w:rsid w:val="0079343F"/>
    <w:rsid w:val="00793E86"/>
    <w:rsid w:val="00794031"/>
    <w:rsid w:val="007941C7"/>
    <w:rsid w:val="0079515A"/>
    <w:rsid w:val="007953DE"/>
    <w:rsid w:val="007957A3"/>
    <w:rsid w:val="0079588F"/>
    <w:rsid w:val="00795AD0"/>
    <w:rsid w:val="00795D31"/>
    <w:rsid w:val="00795DC9"/>
    <w:rsid w:val="00795EA6"/>
    <w:rsid w:val="007963AE"/>
    <w:rsid w:val="00797013"/>
    <w:rsid w:val="0079718C"/>
    <w:rsid w:val="00797A00"/>
    <w:rsid w:val="007A0EAE"/>
    <w:rsid w:val="007A17C0"/>
    <w:rsid w:val="007A1AA8"/>
    <w:rsid w:val="007A25CB"/>
    <w:rsid w:val="007A28EA"/>
    <w:rsid w:val="007A2D0F"/>
    <w:rsid w:val="007A31A4"/>
    <w:rsid w:val="007A3529"/>
    <w:rsid w:val="007A3E11"/>
    <w:rsid w:val="007A4779"/>
    <w:rsid w:val="007A4BB4"/>
    <w:rsid w:val="007A5016"/>
    <w:rsid w:val="007A606B"/>
    <w:rsid w:val="007A66AA"/>
    <w:rsid w:val="007A6897"/>
    <w:rsid w:val="007A6B2B"/>
    <w:rsid w:val="007A6B6C"/>
    <w:rsid w:val="007A7262"/>
    <w:rsid w:val="007A7395"/>
    <w:rsid w:val="007A7AA0"/>
    <w:rsid w:val="007A7ACE"/>
    <w:rsid w:val="007A7FA7"/>
    <w:rsid w:val="007B0593"/>
    <w:rsid w:val="007B0B2F"/>
    <w:rsid w:val="007B0B46"/>
    <w:rsid w:val="007B0BF1"/>
    <w:rsid w:val="007B14F1"/>
    <w:rsid w:val="007B1F92"/>
    <w:rsid w:val="007B1FAC"/>
    <w:rsid w:val="007B1FAD"/>
    <w:rsid w:val="007B20F2"/>
    <w:rsid w:val="007B20FF"/>
    <w:rsid w:val="007B2321"/>
    <w:rsid w:val="007B2492"/>
    <w:rsid w:val="007B2B95"/>
    <w:rsid w:val="007B2CC5"/>
    <w:rsid w:val="007B31BE"/>
    <w:rsid w:val="007B516F"/>
    <w:rsid w:val="007B5B51"/>
    <w:rsid w:val="007B62BF"/>
    <w:rsid w:val="007B745D"/>
    <w:rsid w:val="007B7664"/>
    <w:rsid w:val="007B79EF"/>
    <w:rsid w:val="007B7CCC"/>
    <w:rsid w:val="007B7CE2"/>
    <w:rsid w:val="007B7F9C"/>
    <w:rsid w:val="007C00F9"/>
    <w:rsid w:val="007C0AA1"/>
    <w:rsid w:val="007C20C2"/>
    <w:rsid w:val="007C2288"/>
    <w:rsid w:val="007C2432"/>
    <w:rsid w:val="007C2A61"/>
    <w:rsid w:val="007C371C"/>
    <w:rsid w:val="007C3C43"/>
    <w:rsid w:val="007C3F58"/>
    <w:rsid w:val="007C440F"/>
    <w:rsid w:val="007C4577"/>
    <w:rsid w:val="007C4A58"/>
    <w:rsid w:val="007C541C"/>
    <w:rsid w:val="007C55E0"/>
    <w:rsid w:val="007C5635"/>
    <w:rsid w:val="007C5697"/>
    <w:rsid w:val="007C608B"/>
    <w:rsid w:val="007C6335"/>
    <w:rsid w:val="007C671A"/>
    <w:rsid w:val="007C6D8E"/>
    <w:rsid w:val="007C6E8A"/>
    <w:rsid w:val="007C6F8E"/>
    <w:rsid w:val="007C72CB"/>
    <w:rsid w:val="007C7787"/>
    <w:rsid w:val="007C785C"/>
    <w:rsid w:val="007C79A6"/>
    <w:rsid w:val="007C7F63"/>
    <w:rsid w:val="007C7FF9"/>
    <w:rsid w:val="007D0295"/>
    <w:rsid w:val="007D053C"/>
    <w:rsid w:val="007D0EBF"/>
    <w:rsid w:val="007D0F0E"/>
    <w:rsid w:val="007D129C"/>
    <w:rsid w:val="007D1728"/>
    <w:rsid w:val="007D228F"/>
    <w:rsid w:val="007D34EB"/>
    <w:rsid w:val="007D380E"/>
    <w:rsid w:val="007D3AC7"/>
    <w:rsid w:val="007D4FF3"/>
    <w:rsid w:val="007D50AD"/>
    <w:rsid w:val="007D5254"/>
    <w:rsid w:val="007D54C4"/>
    <w:rsid w:val="007D5772"/>
    <w:rsid w:val="007D6579"/>
    <w:rsid w:val="007D682F"/>
    <w:rsid w:val="007D688E"/>
    <w:rsid w:val="007D68E9"/>
    <w:rsid w:val="007D6E20"/>
    <w:rsid w:val="007D7557"/>
    <w:rsid w:val="007D77FD"/>
    <w:rsid w:val="007D79ED"/>
    <w:rsid w:val="007E17F4"/>
    <w:rsid w:val="007E1F10"/>
    <w:rsid w:val="007E24C5"/>
    <w:rsid w:val="007E2859"/>
    <w:rsid w:val="007E2AFC"/>
    <w:rsid w:val="007E3E65"/>
    <w:rsid w:val="007E46E8"/>
    <w:rsid w:val="007E4A5B"/>
    <w:rsid w:val="007E4B91"/>
    <w:rsid w:val="007E4BDB"/>
    <w:rsid w:val="007E5796"/>
    <w:rsid w:val="007E5B71"/>
    <w:rsid w:val="007E621F"/>
    <w:rsid w:val="007E6444"/>
    <w:rsid w:val="007E676C"/>
    <w:rsid w:val="007E6FA4"/>
    <w:rsid w:val="007E7C24"/>
    <w:rsid w:val="007F0004"/>
    <w:rsid w:val="007F097E"/>
    <w:rsid w:val="007F107C"/>
    <w:rsid w:val="007F1363"/>
    <w:rsid w:val="007F1A76"/>
    <w:rsid w:val="007F275D"/>
    <w:rsid w:val="007F2A76"/>
    <w:rsid w:val="007F330E"/>
    <w:rsid w:val="007F34D4"/>
    <w:rsid w:val="007F355F"/>
    <w:rsid w:val="007F35EC"/>
    <w:rsid w:val="007F39FD"/>
    <w:rsid w:val="007F496A"/>
    <w:rsid w:val="007F49D8"/>
    <w:rsid w:val="007F5CE9"/>
    <w:rsid w:val="007F67E1"/>
    <w:rsid w:val="007F6A45"/>
    <w:rsid w:val="007F6A50"/>
    <w:rsid w:val="007F6F21"/>
    <w:rsid w:val="007F7655"/>
    <w:rsid w:val="007F7ED5"/>
    <w:rsid w:val="0080033E"/>
    <w:rsid w:val="0080072A"/>
    <w:rsid w:val="008009D0"/>
    <w:rsid w:val="00800AA6"/>
    <w:rsid w:val="008012A6"/>
    <w:rsid w:val="008014A8"/>
    <w:rsid w:val="00802352"/>
    <w:rsid w:val="008023E1"/>
    <w:rsid w:val="00802513"/>
    <w:rsid w:val="008029E0"/>
    <w:rsid w:val="00802AEF"/>
    <w:rsid w:val="0080335D"/>
    <w:rsid w:val="0080381C"/>
    <w:rsid w:val="00803C64"/>
    <w:rsid w:val="008044BE"/>
    <w:rsid w:val="008048D4"/>
    <w:rsid w:val="008049CB"/>
    <w:rsid w:val="008049D5"/>
    <w:rsid w:val="00804B01"/>
    <w:rsid w:val="0080507A"/>
    <w:rsid w:val="00805E7E"/>
    <w:rsid w:val="0080624F"/>
    <w:rsid w:val="00806805"/>
    <w:rsid w:val="00806953"/>
    <w:rsid w:val="00806B2A"/>
    <w:rsid w:val="00806B77"/>
    <w:rsid w:val="0080742F"/>
    <w:rsid w:val="0080769F"/>
    <w:rsid w:val="00810012"/>
    <w:rsid w:val="00810E2C"/>
    <w:rsid w:val="008115A1"/>
    <w:rsid w:val="00811B37"/>
    <w:rsid w:val="00811C59"/>
    <w:rsid w:val="008137A7"/>
    <w:rsid w:val="0081411A"/>
    <w:rsid w:val="00814305"/>
    <w:rsid w:val="00814D15"/>
    <w:rsid w:val="0081510C"/>
    <w:rsid w:val="008159D3"/>
    <w:rsid w:val="00815F70"/>
    <w:rsid w:val="00816013"/>
    <w:rsid w:val="008167E6"/>
    <w:rsid w:val="00816A4E"/>
    <w:rsid w:val="008173A8"/>
    <w:rsid w:val="0081747E"/>
    <w:rsid w:val="0081769E"/>
    <w:rsid w:val="00817816"/>
    <w:rsid w:val="00817870"/>
    <w:rsid w:val="00817A97"/>
    <w:rsid w:val="00817CB6"/>
    <w:rsid w:val="00817FA3"/>
    <w:rsid w:val="00820138"/>
    <w:rsid w:val="00820522"/>
    <w:rsid w:val="008208E5"/>
    <w:rsid w:val="008208F6"/>
    <w:rsid w:val="0082095E"/>
    <w:rsid w:val="008209E6"/>
    <w:rsid w:val="00821402"/>
    <w:rsid w:val="00822A24"/>
    <w:rsid w:val="008233CE"/>
    <w:rsid w:val="00823635"/>
    <w:rsid w:val="008237A2"/>
    <w:rsid w:val="00824497"/>
    <w:rsid w:val="00825A65"/>
    <w:rsid w:val="00825CAA"/>
    <w:rsid w:val="0082644D"/>
    <w:rsid w:val="00827148"/>
    <w:rsid w:val="0082728A"/>
    <w:rsid w:val="0082745B"/>
    <w:rsid w:val="00827A5F"/>
    <w:rsid w:val="00830495"/>
    <w:rsid w:val="00830FAC"/>
    <w:rsid w:val="008314FE"/>
    <w:rsid w:val="00831695"/>
    <w:rsid w:val="0083201D"/>
    <w:rsid w:val="00832403"/>
    <w:rsid w:val="00832546"/>
    <w:rsid w:val="00832F24"/>
    <w:rsid w:val="00833083"/>
    <w:rsid w:val="00833CFD"/>
    <w:rsid w:val="00833DB2"/>
    <w:rsid w:val="008343B2"/>
    <w:rsid w:val="00836130"/>
    <w:rsid w:val="00836316"/>
    <w:rsid w:val="0083700E"/>
    <w:rsid w:val="0083711E"/>
    <w:rsid w:val="008371B9"/>
    <w:rsid w:val="00837442"/>
    <w:rsid w:val="008374EB"/>
    <w:rsid w:val="00837E15"/>
    <w:rsid w:val="008400F6"/>
    <w:rsid w:val="00840315"/>
    <w:rsid w:val="00840ED6"/>
    <w:rsid w:val="0084143F"/>
    <w:rsid w:val="00841DD8"/>
    <w:rsid w:val="00842317"/>
    <w:rsid w:val="00842FBE"/>
    <w:rsid w:val="00844B7E"/>
    <w:rsid w:val="00845035"/>
    <w:rsid w:val="00845221"/>
    <w:rsid w:val="008455D8"/>
    <w:rsid w:val="0084597C"/>
    <w:rsid w:val="008462BD"/>
    <w:rsid w:val="0084663B"/>
    <w:rsid w:val="00846B66"/>
    <w:rsid w:val="00846C07"/>
    <w:rsid w:val="00846C7F"/>
    <w:rsid w:val="008470ED"/>
    <w:rsid w:val="00847D1D"/>
    <w:rsid w:val="008500CB"/>
    <w:rsid w:val="00850154"/>
    <w:rsid w:val="00850155"/>
    <w:rsid w:val="00850A55"/>
    <w:rsid w:val="00851A9A"/>
    <w:rsid w:val="00852604"/>
    <w:rsid w:val="00852DC6"/>
    <w:rsid w:val="00853210"/>
    <w:rsid w:val="00854212"/>
    <w:rsid w:val="00854CFA"/>
    <w:rsid w:val="00854DE5"/>
    <w:rsid w:val="00854EBF"/>
    <w:rsid w:val="00855433"/>
    <w:rsid w:val="008558A5"/>
    <w:rsid w:val="008572B6"/>
    <w:rsid w:val="00860414"/>
    <w:rsid w:val="00860490"/>
    <w:rsid w:val="008606E5"/>
    <w:rsid w:val="00861575"/>
    <w:rsid w:val="008623ED"/>
    <w:rsid w:val="00862F26"/>
    <w:rsid w:val="008632DB"/>
    <w:rsid w:val="008634FC"/>
    <w:rsid w:val="008635AF"/>
    <w:rsid w:val="008638F1"/>
    <w:rsid w:val="008643DE"/>
    <w:rsid w:val="00864FF9"/>
    <w:rsid w:val="00865653"/>
    <w:rsid w:val="00865735"/>
    <w:rsid w:val="0086595F"/>
    <w:rsid w:val="00865F1B"/>
    <w:rsid w:val="00865FEB"/>
    <w:rsid w:val="008667DC"/>
    <w:rsid w:val="00866A88"/>
    <w:rsid w:val="0086702A"/>
    <w:rsid w:val="0086726B"/>
    <w:rsid w:val="008673E0"/>
    <w:rsid w:val="00867D97"/>
    <w:rsid w:val="008703FE"/>
    <w:rsid w:val="008706EE"/>
    <w:rsid w:val="008708A7"/>
    <w:rsid w:val="00871000"/>
    <w:rsid w:val="0087221D"/>
    <w:rsid w:val="008724DA"/>
    <w:rsid w:val="00872AD4"/>
    <w:rsid w:val="00872E7E"/>
    <w:rsid w:val="008742DD"/>
    <w:rsid w:val="008750C2"/>
    <w:rsid w:val="00876168"/>
    <w:rsid w:val="00876451"/>
    <w:rsid w:val="00876B2A"/>
    <w:rsid w:val="00877020"/>
    <w:rsid w:val="0087761B"/>
    <w:rsid w:val="00877AF4"/>
    <w:rsid w:val="00877D2D"/>
    <w:rsid w:val="00880B87"/>
    <w:rsid w:val="008816BA"/>
    <w:rsid w:val="00881D51"/>
    <w:rsid w:val="00882301"/>
    <w:rsid w:val="008827C0"/>
    <w:rsid w:val="00883328"/>
    <w:rsid w:val="00883AD3"/>
    <w:rsid w:val="00884A55"/>
    <w:rsid w:val="00884E7C"/>
    <w:rsid w:val="0088559D"/>
    <w:rsid w:val="0088562B"/>
    <w:rsid w:val="008856DB"/>
    <w:rsid w:val="008857EF"/>
    <w:rsid w:val="00885BA3"/>
    <w:rsid w:val="00885D8F"/>
    <w:rsid w:val="008861E0"/>
    <w:rsid w:val="00886762"/>
    <w:rsid w:val="00886CCF"/>
    <w:rsid w:val="00886E72"/>
    <w:rsid w:val="00886F2D"/>
    <w:rsid w:val="0088758A"/>
    <w:rsid w:val="00887B34"/>
    <w:rsid w:val="00887D59"/>
    <w:rsid w:val="008906EC"/>
    <w:rsid w:val="0089088B"/>
    <w:rsid w:val="00890F9F"/>
    <w:rsid w:val="008910B1"/>
    <w:rsid w:val="00891FBC"/>
    <w:rsid w:val="008922EE"/>
    <w:rsid w:val="00892561"/>
    <w:rsid w:val="00892A88"/>
    <w:rsid w:val="00893086"/>
    <w:rsid w:val="008937F2"/>
    <w:rsid w:val="008941B1"/>
    <w:rsid w:val="008941FD"/>
    <w:rsid w:val="0089472A"/>
    <w:rsid w:val="008947EA"/>
    <w:rsid w:val="00894DE7"/>
    <w:rsid w:val="00895C54"/>
    <w:rsid w:val="00895C99"/>
    <w:rsid w:val="0089606C"/>
    <w:rsid w:val="00896323"/>
    <w:rsid w:val="008963EB"/>
    <w:rsid w:val="00896590"/>
    <w:rsid w:val="0089665B"/>
    <w:rsid w:val="00896B83"/>
    <w:rsid w:val="00896C23"/>
    <w:rsid w:val="00896DC6"/>
    <w:rsid w:val="008975DD"/>
    <w:rsid w:val="008976DB"/>
    <w:rsid w:val="00897F88"/>
    <w:rsid w:val="00897FEF"/>
    <w:rsid w:val="008A019A"/>
    <w:rsid w:val="008A0267"/>
    <w:rsid w:val="008A05F3"/>
    <w:rsid w:val="008A0C86"/>
    <w:rsid w:val="008A125F"/>
    <w:rsid w:val="008A12C9"/>
    <w:rsid w:val="008A209D"/>
    <w:rsid w:val="008A29D2"/>
    <w:rsid w:val="008A2AA7"/>
    <w:rsid w:val="008A33A0"/>
    <w:rsid w:val="008A3710"/>
    <w:rsid w:val="008A3C73"/>
    <w:rsid w:val="008A4368"/>
    <w:rsid w:val="008A4668"/>
    <w:rsid w:val="008A4759"/>
    <w:rsid w:val="008A5BE5"/>
    <w:rsid w:val="008A6085"/>
    <w:rsid w:val="008A60BE"/>
    <w:rsid w:val="008A6542"/>
    <w:rsid w:val="008A66C1"/>
    <w:rsid w:val="008A756A"/>
    <w:rsid w:val="008B07EB"/>
    <w:rsid w:val="008B0EC5"/>
    <w:rsid w:val="008B1176"/>
    <w:rsid w:val="008B12E9"/>
    <w:rsid w:val="008B17C8"/>
    <w:rsid w:val="008B22B5"/>
    <w:rsid w:val="008B2400"/>
    <w:rsid w:val="008B304B"/>
    <w:rsid w:val="008B3317"/>
    <w:rsid w:val="008B3678"/>
    <w:rsid w:val="008B3A3C"/>
    <w:rsid w:val="008B453B"/>
    <w:rsid w:val="008B51D8"/>
    <w:rsid w:val="008B5674"/>
    <w:rsid w:val="008B621A"/>
    <w:rsid w:val="008B6568"/>
    <w:rsid w:val="008B6D1A"/>
    <w:rsid w:val="008B7023"/>
    <w:rsid w:val="008B713C"/>
    <w:rsid w:val="008B7890"/>
    <w:rsid w:val="008B7C67"/>
    <w:rsid w:val="008C0784"/>
    <w:rsid w:val="008C0BF8"/>
    <w:rsid w:val="008C0DAE"/>
    <w:rsid w:val="008C1B85"/>
    <w:rsid w:val="008C22D6"/>
    <w:rsid w:val="008C22E8"/>
    <w:rsid w:val="008C26CE"/>
    <w:rsid w:val="008C2827"/>
    <w:rsid w:val="008C31B1"/>
    <w:rsid w:val="008C37BB"/>
    <w:rsid w:val="008C3AC2"/>
    <w:rsid w:val="008C4217"/>
    <w:rsid w:val="008C50AB"/>
    <w:rsid w:val="008C52E6"/>
    <w:rsid w:val="008C57D7"/>
    <w:rsid w:val="008C597D"/>
    <w:rsid w:val="008C626E"/>
    <w:rsid w:val="008C6476"/>
    <w:rsid w:val="008C671C"/>
    <w:rsid w:val="008C6BD1"/>
    <w:rsid w:val="008C729D"/>
    <w:rsid w:val="008C78E2"/>
    <w:rsid w:val="008C7AA2"/>
    <w:rsid w:val="008C7DEF"/>
    <w:rsid w:val="008C7E0E"/>
    <w:rsid w:val="008D1D42"/>
    <w:rsid w:val="008D1D87"/>
    <w:rsid w:val="008D2120"/>
    <w:rsid w:val="008D219F"/>
    <w:rsid w:val="008D266F"/>
    <w:rsid w:val="008D26D7"/>
    <w:rsid w:val="008D275B"/>
    <w:rsid w:val="008D2BE3"/>
    <w:rsid w:val="008D2E4D"/>
    <w:rsid w:val="008D497C"/>
    <w:rsid w:val="008D555A"/>
    <w:rsid w:val="008D5D70"/>
    <w:rsid w:val="008D6298"/>
    <w:rsid w:val="008D6DFA"/>
    <w:rsid w:val="008D70EE"/>
    <w:rsid w:val="008D71A2"/>
    <w:rsid w:val="008D7350"/>
    <w:rsid w:val="008E10AA"/>
    <w:rsid w:val="008E1388"/>
    <w:rsid w:val="008E1648"/>
    <w:rsid w:val="008E1704"/>
    <w:rsid w:val="008E1C76"/>
    <w:rsid w:val="008E1D39"/>
    <w:rsid w:val="008E1DAC"/>
    <w:rsid w:val="008E233E"/>
    <w:rsid w:val="008E233F"/>
    <w:rsid w:val="008E236F"/>
    <w:rsid w:val="008E23BD"/>
    <w:rsid w:val="008E26F5"/>
    <w:rsid w:val="008E28E3"/>
    <w:rsid w:val="008E3055"/>
    <w:rsid w:val="008E3210"/>
    <w:rsid w:val="008E392A"/>
    <w:rsid w:val="008E3F13"/>
    <w:rsid w:val="008E4176"/>
    <w:rsid w:val="008E4489"/>
    <w:rsid w:val="008E454D"/>
    <w:rsid w:val="008E4FE5"/>
    <w:rsid w:val="008E5728"/>
    <w:rsid w:val="008E6291"/>
    <w:rsid w:val="008E75E0"/>
    <w:rsid w:val="008F0BBF"/>
    <w:rsid w:val="008F0C29"/>
    <w:rsid w:val="008F0EC9"/>
    <w:rsid w:val="008F12C2"/>
    <w:rsid w:val="008F14F2"/>
    <w:rsid w:val="008F1870"/>
    <w:rsid w:val="008F1BB4"/>
    <w:rsid w:val="008F2409"/>
    <w:rsid w:val="008F2426"/>
    <w:rsid w:val="008F2754"/>
    <w:rsid w:val="008F30A8"/>
    <w:rsid w:val="008F38BC"/>
    <w:rsid w:val="008F3988"/>
    <w:rsid w:val="008F3E0D"/>
    <w:rsid w:val="008F3F8D"/>
    <w:rsid w:val="008F4222"/>
    <w:rsid w:val="008F4406"/>
    <w:rsid w:val="008F4BC0"/>
    <w:rsid w:val="008F4EB9"/>
    <w:rsid w:val="008F4FEC"/>
    <w:rsid w:val="008F5A86"/>
    <w:rsid w:val="008F5B8C"/>
    <w:rsid w:val="008F6BA0"/>
    <w:rsid w:val="008F6CED"/>
    <w:rsid w:val="008F7027"/>
    <w:rsid w:val="008F762E"/>
    <w:rsid w:val="008F770B"/>
    <w:rsid w:val="008F7C1D"/>
    <w:rsid w:val="009007F0"/>
    <w:rsid w:val="00900CD8"/>
    <w:rsid w:val="0090102C"/>
    <w:rsid w:val="00901433"/>
    <w:rsid w:val="0090224A"/>
    <w:rsid w:val="009023F8"/>
    <w:rsid w:val="00902655"/>
    <w:rsid w:val="00903036"/>
    <w:rsid w:val="009030CD"/>
    <w:rsid w:val="00903798"/>
    <w:rsid w:val="00903CF7"/>
    <w:rsid w:val="00903DFE"/>
    <w:rsid w:val="009040F1"/>
    <w:rsid w:val="00904C10"/>
    <w:rsid w:val="00904EE1"/>
    <w:rsid w:val="00905012"/>
    <w:rsid w:val="009052E3"/>
    <w:rsid w:val="009068F7"/>
    <w:rsid w:val="009075C4"/>
    <w:rsid w:val="009079DE"/>
    <w:rsid w:val="00907BA0"/>
    <w:rsid w:val="009104A4"/>
    <w:rsid w:val="00910B09"/>
    <w:rsid w:val="00912AC1"/>
    <w:rsid w:val="0091300F"/>
    <w:rsid w:val="009130C6"/>
    <w:rsid w:val="0091355F"/>
    <w:rsid w:val="009142DA"/>
    <w:rsid w:val="00914F85"/>
    <w:rsid w:val="009150AC"/>
    <w:rsid w:val="009158CE"/>
    <w:rsid w:val="00915B45"/>
    <w:rsid w:val="009160D0"/>
    <w:rsid w:val="00916130"/>
    <w:rsid w:val="00916911"/>
    <w:rsid w:val="009170D0"/>
    <w:rsid w:val="00917371"/>
    <w:rsid w:val="009174F5"/>
    <w:rsid w:val="00920D3B"/>
    <w:rsid w:val="00921137"/>
    <w:rsid w:val="0092128E"/>
    <w:rsid w:val="0092133D"/>
    <w:rsid w:val="00921696"/>
    <w:rsid w:val="00921A86"/>
    <w:rsid w:val="00921DEE"/>
    <w:rsid w:val="00921F51"/>
    <w:rsid w:val="009226B3"/>
    <w:rsid w:val="00923B82"/>
    <w:rsid w:val="00923CFC"/>
    <w:rsid w:val="0092425A"/>
    <w:rsid w:val="009244E6"/>
    <w:rsid w:val="009249EA"/>
    <w:rsid w:val="00925422"/>
    <w:rsid w:val="00925711"/>
    <w:rsid w:val="00925918"/>
    <w:rsid w:val="00925C18"/>
    <w:rsid w:val="0092603B"/>
    <w:rsid w:val="009260F8"/>
    <w:rsid w:val="0092659B"/>
    <w:rsid w:val="00927BAC"/>
    <w:rsid w:val="0093032D"/>
    <w:rsid w:val="00930CB7"/>
    <w:rsid w:val="009312C6"/>
    <w:rsid w:val="009313A1"/>
    <w:rsid w:val="00931AA4"/>
    <w:rsid w:val="00931CA4"/>
    <w:rsid w:val="00931DCA"/>
    <w:rsid w:val="00931F56"/>
    <w:rsid w:val="00932649"/>
    <w:rsid w:val="0093285E"/>
    <w:rsid w:val="0093286F"/>
    <w:rsid w:val="00932CB0"/>
    <w:rsid w:val="009330F9"/>
    <w:rsid w:val="009336FA"/>
    <w:rsid w:val="00933A6F"/>
    <w:rsid w:val="00933BE3"/>
    <w:rsid w:val="009348D7"/>
    <w:rsid w:val="00934E07"/>
    <w:rsid w:val="00935912"/>
    <w:rsid w:val="0093660E"/>
    <w:rsid w:val="009366BF"/>
    <w:rsid w:val="00936838"/>
    <w:rsid w:val="00936A8A"/>
    <w:rsid w:val="00937482"/>
    <w:rsid w:val="009402DA"/>
    <w:rsid w:val="009411B9"/>
    <w:rsid w:val="0094122F"/>
    <w:rsid w:val="0094129C"/>
    <w:rsid w:val="00941B71"/>
    <w:rsid w:val="00941C8B"/>
    <w:rsid w:val="0094264B"/>
    <w:rsid w:val="009427E5"/>
    <w:rsid w:val="009432DD"/>
    <w:rsid w:val="009434F1"/>
    <w:rsid w:val="009439A2"/>
    <w:rsid w:val="009445BB"/>
    <w:rsid w:val="00944900"/>
    <w:rsid w:val="009449ED"/>
    <w:rsid w:val="00945418"/>
    <w:rsid w:val="009456D4"/>
    <w:rsid w:val="009461DC"/>
    <w:rsid w:val="0094686C"/>
    <w:rsid w:val="009473FE"/>
    <w:rsid w:val="00947B90"/>
    <w:rsid w:val="00947EBC"/>
    <w:rsid w:val="00950063"/>
    <w:rsid w:val="00950379"/>
    <w:rsid w:val="00950551"/>
    <w:rsid w:val="00950A77"/>
    <w:rsid w:val="00951B39"/>
    <w:rsid w:val="0095374C"/>
    <w:rsid w:val="0095387D"/>
    <w:rsid w:val="00953B1D"/>
    <w:rsid w:val="009544BE"/>
    <w:rsid w:val="0095469E"/>
    <w:rsid w:val="009548CA"/>
    <w:rsid w:val="0095515C"/>
    <w:rsid w:val="009551A9"/>
    <w:rsid w:val="00955C70"/>
    <w:rsid w:val="009566C7"/>
    <w:rsid w:val="00956D6E"/>
    <w:rsid w:val="00957999"/>
    <w:rsid w:val="00957AAC"/>
    <w:rsid w:val="00957E9B"/>
    <w:rsid w:val="00957FF7"/>
    <w:rsid w:val="00960165"/>
    <w:rsid w:val="009603AE"/>
    <w:rsid w:val="00961E59"/>
    <w:rsid w:val="00961FCA"/>
    <w:rsid w:val="0096274F"/>
    <w:rsid w:val="009627E1"/>
    <w:rsid w:val="0096283B"/>
    <w:rsid w:val="00962F22"/>
    <w:rsid w:val="0096308D"/>
    <w:rsid w:val="009644DE"/>
    <w:rsid w:val="009645C6"/>
    <w:rsid w:val="009645D8"/>
    <w:rsid w:val="00964802"/>
    <w:rsid w:val="00964BFE"/>
    <w:rsid w:val="00965C63"/>
    <w:rsid w:val="00965CED"/>
    <w:rsid w:val="0096610A"/>
    <w:rsid w:val="0096644E"/>
    <w:rsid w:val="00966645"/>
    <w:rsid w:val="009668EB"/>
    <w:rsid w:val="00966F47"/>
    <w:rsid w:val="0096754D"/>
    <w:rsid w:val="00970195"/>
    <w:rsid w:val="009702B3"/>
    <w:rsid w:val="009704BB"/>
    <w:rsid w:val="00970997"/>
    <w:rsid w:val="00970A2A"/>
    <w:rsid w:val="00970ADE"/>
    <w:rsid w:val="00970E76"/>
    <w:rsid w:val="00971024"/>
    <w:rsid w:val="00971A53"/>
    <w:rsid w:val="00971B5C"/>
    <w:rsid w:val="00971E4A"/>
    <w:rsid w:val="0097223A"/>
    <w:rsid w:val="00972395"/>
    <w:rsid w:val="0097268F"/>
    <w:rsid w:val="0097287C"/>
    <w:rsid w:val="00973164"/>
    <w:rsid w:val="0097378B"/>
    <w:rsid w:val="009745AE"/>
    <w:rsid w:val="009746ED"/>
    <w:rsid w:val="00974B1E"/>
    <w:rsid w:val="00974C73"/>
    <w:rsid w:val="00975926"/>
    <w:rsid w:val="00976376"/>
    <w:rsid w:val="009764A0"/>
    <w:rsid w:val="0097664A"/>
    <w:rsid w:val="00976669"/>
    <w:rsid w:val="00977579"/>
    <w:rsid w:val="00977875"/>
    <w:rsid w:val="00977C30"/>
    <w:rsid w:val="00977D01"/>
    <w:rsid w:val="00977DEB"/>
    <w:rsid w:val="0098002B"/>
    <w:rsid w:val="00980CC9"/>
    <w:rsid w:val="00980E62"/>
    <w:rsid w:val="00981897"/>
    <w:rsid w:val="009818B5"/>
    <w:rsid w:val="00982BDE"/>
    <w:rsid w:val="00982EBB"/>
    <w:rsid w:val="00982F44"/>
    <w:rsid w:val="00983903"/>
    <w:rsid w:val="00983956"/>
    <w:rsid w:val="00983E2E"/>
    <w:rsid w:val="009843C9"/>
    <w:rsid w:val="0098505F"/>
    <w:rsid w:val="00985485"/>
    <w:rsid w:val="00985554"/>
    <w:rsid w:val="009857EB"/>
    <w:rsid w:val="00985F9B"/>
    <w:rsid w:val="00986192"/>
    <w:rsid w:val="00986319"/>
    <w:rsid w:val="009867A3"/>
    <w:rsid w:val="0098698A"/>
    <w:rsid w:val="00986AAA"/>
    <w:rsid w:val="0098752F"/>
    <w:rsid w:val="00987933"/>
    <w:rsid w:val="00987987"/>
    <w:rsid w:val="00987995"/>
    <w:rsid w:val="009879D2"/>
    <w:rsid w:val="00987F1A"/>
    <w:rsid w:val="00987FDE"/>
    <w:rsid w:val="00990577"/>
    <w:rsid w:val="009905BC"/>
    <w:rsid w:val="00990B19"/>
    <w:rsid w:val="00990B38"/>
    <w:rsid w:val="00990B6B"/>
    <w:rsid w:val="00990FE4"/>
    <w:rsid w:val="00991777"/>
    <w:rsid w:val="009925C9"/>
    <w:rsid w:val="009928DB"/>
    <w:rsid w:val="00992A29"/>
    <w:rsid w:val="0099375D"/>
    <w:rsid w:val="009941F6"/>
    <w:rsid w:val="009942E0"/>
    <w:rsid w:val="00994832"/>
    <w:rsid w:val="0099496D"/>
    <w:rsid w:val="00994AB3"/>
    <w:rsid w:val="009951FC"/>
    <w:rsid w:val="009958CF"/>
    <w:rsid w:val="00995C7F"/>
    <w:rsid w:val="009961EC"/>
    <w:rsid w:val="0099625A"/>
    <w:rsid w:val="00996D1D"/>
    <w:rsid w:val="00996D6A"/>
    <w:rsid w:val="00996E07"/>
    <w:rsid w:val="009972B9"/>
    <w:rsid w:val="00997475"/>
    <w:rsid w:val="00997DB7"/>
    <w:rsid w:val="00997F99"/>
    <w:rsid w:val="009A01B9"/>
    <w:rsid w:val="009A0233"/>
    <w:rsid w:val="009A063D"/>
    <w:rsid w:val="009A0920"/>
    <w:rsid w:val="009A0BA4"/>
    <w:rsid w:val="009A1054"/>
    <w:rsid w:val="009A17EA"/>
    <w:rsid w:val="009A1821"/>
    <w:rsid w:val="009A25F5"/>
    <w:rsid w:val="009A2ADB"/>
    <w:rsid w:val="009A3D7C"/>
    <w:rsid w:val="009A3F33"/>
    <w:rsid w:val="009A3FE1"/>
    <w:rsid w:val="009A4923"/>
    <w:rsid w:val="009A4DDF"/>
    <w:rsid w:val="009A4EC6"/>
    <w:rsid w:val="009A54AB"/>
    <w:rsid w:val="009A5917"/>
    <w:rsid w:val="009A60AD"/>
    <w:rsid w:val="009A65CE"/>
    <w:rsid w:val="009A6958"/>
    <w:rsid w:val="009A6EDA"/>
    <w:rsid w:val="009A6F73"/>
    <w:rsid w:val="009A72B7"/>
    <w:rsid w:val="009A75DD"/>
    <w:rsid w:val="009A76F8"/>
    <w:rsid w:val="009A7FA3"/>
    <w:rsid w:val="009B0433"/>
    <w:rsid w:val="009B0665"/>
    <w:rsid w:val="009B0A5A"/>
    <w:rsid w:val="009B17E1"/>
    <w:rsid w:val="009B1CAB"/>
    <w:rsid w:val="009B1CCC"/>
    <w:rsid w:val="009B1E92"/>
    <w:rsid w:val="009B286D"/>
    <w:rsid w:val="009B2C2A"/>
    <w:rsid w:val="009B352A"/>
    <w:rsid w:val="009B35F1"/>
    <w:rsid w:val="009B3691"/>
    <w:rsid w:val="009B3917"/>
    <w:rsid w:val="009B3A05"/>
    <w:rsid w:val="009B46DE"/>
    <w:rsid w:val="009B49A9"/>
    <w:rsid w:val="009B5047"/>
    <w:rsid w:val="009B50C1"/>
    <w:rsid w:val="009B578F"/>
    <w:rsid w:val="009B6287"/>
    <w:rsid w:val="009B6333"/>
    <w:rsid w:val="009B793A"/>
    <w:rsid w:val="009B7B18"/>
    <w:rsid w:val="009C1004"/>
    <w:rsid w:val="009C23D5"/>
    <w:rsid w:val="009C279E"/>
    <w:rsid w:val="009C3F0D"/>
    <w:rsid w:val="009C4015"/>
    <w:rsid w:val="009C4048"/>
    <w:rsid w:val="009C43FF"/>
    <w:rsid w:val="009C4AD0"/>
    <w:rsid w:val="009C5017"/>
    <w:rsid w:val="009C51B3"/>
    <w:rsid w:val="009C566D"/>
    <w:rsid w:val="009C59E6"/>
    <w:rsid w:val="009C5D62"/>
    <w:rsid w:val="009C652D"/>
    <w:rsid w:val="009C67AC"/>
    <w:rsid w:val="009C6C69"/>
    <w:rsid w:val="009C7B74"/>
    <w:rsid w:val="009C7DB9"/>
    <w:rsid w:val="009C7E15"/>
    <w:rsid w:val="009D0308"/>
    <w:rsid w:val="009D03C3"/>
    <w:rsid w:val="009D0414"/>
    <w:rsid w:val="009D079B"/>
    <w:rsid w:val="009D0A37"/>
    <w:rsid w:val="009D0C9C"/>
    <w:rsid w:val="009D0D14"/>
    <w:rsid w:val="009D10B0"/>
    <w:rsid w:val="009D2493"/>
    <w:rsid w:val="009D338F"/>
    <w:rsid w:val="009D33E7"/>
    <w:rsid w:val="009D44D1"/>
    <w:rsid w:val="009D4DD5"/>
    <w:rsid w:val="009D506C"/>
    <w:rsid w:val="009D6FA9"/>
    <w:rsid w:val="009E0024"/>
    <w:rsid w:val="009E037D"/>
    <w:rsid w:val="009E050C"/>
    <w:rsid w:val="009E1C60"/>
    <w:rsid w:val="009E2590"/>
    <w:rsid w:val="009E2D94"/>
    <w:rsid w:val="009E31DC"/>
    <w:rsid w:val="009E364A"/>
    <w:rsid w:val="009E3745"/>
    <w:rsid w:val="009E4360"/>
    <w:rsid w:val="009E493F"/>
    <w:rsid w:val="009E5184"/>
    <w:rsid w:val="009E547B"/>
    <w:rsid w:val="009E5F69"/>
    <w:rsid w:val="009E6070"/>
    <w:rsid w:val="009E6A4B"/>
    <w:rsid w:val="009E6D16"/>
    <w:rsid w:val="009E71E1"/>
    <w:rsid w:val="009F02B3"/>
    <w:rsid w:val="009F03DF"/>
    <w:rsid w:val="009F0967"/>
    <w:rsid w:val="009F0A2E"/>
    <w:rsid w:val="009F0BD2"/>
    <w:rsid w:val="009F1176"/>
    <w:rsid w:val="009F2EB3"/>
    <w:rsid w:val="009F2FDF"/>
    <w:rsid w:val="009F3440"/>
    <w:rsid w:val="009F3474"/>
    <w:rsid w:val="009F4BBA"/>
    <w:rsid w:val="009F4D49"/>
    <w:rsid w:val="009F4D6C"/>
    <w:rsid w:val="009F4D71"/>
    <w:rsid w:val="009F6027"/>
    <w:rsid w:val="009F6B6B"/>
    <w:rsid w:val="009F6EBE"/>
    <w:rsid w:val="00A0011C"/>
    <w:rsid w:val="00A0083D"/>
    <w:rsid w:val="00A00988"/>
    <w:rsid w:val="00A00E35"/>
    <w:rsid w:val="00A01528"/>
    <w:rsid w:val="00A01BBC"/>
    <w:rsid w:val="00A01C31"/>
    <w:rsid w:val="00A01F61"/>
    <w:rsid w:val="00A021F7"/>
    <w:rsid w:val="00A0243C"/>
    <w:rsid w:val="00A0248E"/>
    <w:rsid w:val="00A0269F"/>
    <w:rsid w:val="00A02837"/>
    <w:rsid w:val="00A049DB"/>
    <w:rsid w:val="00A04B65"/>
    <w:rsid w:val="00A04FAB"/>
    <w:rsid w:val="00A0503F"/>
    <w:rsid w:val="00A05089"/>
    <w:rsid w:val="00A05141"/>
    <w:rsid w:val="00A0542F"/>
    <w:rsid w:val="00A055B2"/>
    <w:rsid w:val="00A05E90"/>
    <w:rsid w:val="00A0631C"/>
    <w:rsid w:val="00A0635C"/>
    <w:rsid w:val="00A0637F"/>
    <w:rsid w:val="00A06509"/>
    <w:rsid w:val="00A06848"/>
    <w:rsid w:val="00A068CE"/>
    <w:rsid w:val="00A069B4"/>
    <w:rsid w:val="00A06BB8"/>
    <w:rsid w:val="00A07221"/>
    <w:rsid w:val="00A07A4E"/>
    <w:rsid w:val="00A07D41"/>
    <w:rsid w:val="00A07FBD"/>
    <w:rsid w:val="00A1040F"/>
    <w:rsid w:val="00A104AC"/>
    <w:rsid w:val="00A10AE0"/>
    <w:rsid w:val="00A114E3"/>
    <w:rsid w:val="00A114F1"/>
    <w:rsid w:val="00A11B60"/>
    <w:rsid w:val="00A11D0D"/>
    <w:rsid w:val="00A124EC"/>
    <w:rsid w:val="00A12694"/>
    <w:rsid w:val="00A128B0"/>
    <w:rsid w:val="00A12B60"/>
    <w:rsid w:val="00A12ED5"/>
    <w:rsid w:val="00A13083"/>
    <w:rsid w:val="00A136F6"/>
    <w:rsid w:val="00A13A77"/>
    <w:rsid w:val="00A13F04"/>
    <w:rsid w:val="00A14E6F"/>
    <w:rsid w:val="00A14F11"/>
    <w:rsid w:val="00A15543"/>
    <w:rsid w:val="00A16A5F"/>
    <w:rsid w:val="00A16C3E"/>
    <w:rsid w:val="00A17558"/>
    <w:rsid w:val="00A2000D"/>
    <w:rsid w:val="00A20926"/>
    <w:rsid w:val="00A21C0B"/>
    <w:rsid w:val="00A21CDB"/>
    <w:rsid w:val="00A21D9F"/>
    <w:rsid w:val="00A223A5"/>
    <w:rsid w:val="00A230C4"/>
    <w:rsid w:val="00A231CC"/>
    <w:rsid w:val="00A23698"/>
    <w:rsid w:val="00A238ED"/>
    <w:rsid w:val="00A244EE"/>
    <w:rsid w:val="00A24799"/>
    <w:rsid w:val="00A252B8"/>
    <w:rsid w:val="00A25C70"/>
    <w:rsid w:val="00A26556"/>
    <w:rsid w:val="00A275FA"/>
    <w:rsid w:val="00A30415"/>
    <w:rsid w:val="00A30FAE"/>
    <w:rsid w:val="00A31748"/>
    <w:rsid w:val="00A3206C"/>
    <w:rsid w:val="00A3257A"/>
    <w:rsid w:val="00A328B9"/>
    <w:rsid w:val="00A328CA"/>
    <w:rsid w:val="00A32AD3"/>
    <w:rsid w:val="00A32C54"/>
    <w:rsid w:val="00A32D66"/>
    <w:rsid w:val="00A32F32"/>
    <w:rsid w:val="00A33102"/>
    <w:rsid w:val="00A33D95"/>
    <w:rsid w:val="00A34013"/>
    <w:rsid w:val="00A340AF"/>
    <w:rsid w:val="00A340EB"/>
    <w:rsid w:val="00A34B8F"/>
    <w:rsid w:val="00A35133"/>
    <w:rsid w:val="00A3528E"/>
    <w:rsid w:val="00A353B0"/>
    <w:rsid w:val="00A354DA"/>
    <w:rsid w:val="00A35738"/>
    <w:rsid w:val="00A3575C"/>
    <w:rsid w:val="00A35824"/>
    <w:rsid w:val="00A366AA"/>
    <w:rsid w:val="00A37078"/>
    <w:rsid w:val="00A37375"/>
    <w:rsid w:val="00A37B2B"/>
    <w:rsid w:val="00A40098"/>
    <w:rsid w:val="00A4012C"/>
    <w:rsid w:val="00A422C0"/>
    <w:rsid w:val="00A42716"/>
    <w:rsid w:val="00A42A30"/>
    <w:rsid w:val="00A42CEC"/>
    <w:rsid w:val="00A42E1E"/>
    <w:rsid w:val="00A44042"/>
    <w:rsid w:val="00A4416D"/>
    <w:rsid w:val="00A4448F"/>
    <w:rsid w:val="00A4455F"/>
    <w:rsid w:val="00A44841"/>
    <w:rsid w:val="00A44F21"/>
    <w:rsid w:val="00A45399"/>
    <w:rsid w:val="00A4565F"/>
    <w:rsid w:val="00A45C55"/>
    <w:rsid w:val="00A45FB0"/>
    <w:rsid w:val="00A4632A"/>
    <w:rsid w:val="00A46611"/>
    <w:rsid w:val="00A46810"/>
    <w:rsid w:val="00A46E8F"/>
    <w:rsid w:val="00A4714A"/>
    <w:rsid w:val="00A474A1"/>
    <w:rsid w:val="00A50081"/>
    <w:rsid w:val="00A503A0"/>
    <w:rsid w:val="00A503F7"/>
    <w:rsid w:val="00A50CD3"/>
    <w:rsid w:val="00A5201D"/>
    <w:rsid w:val="00A52525"/>
    <w:rsid w:val="00A525B8"/>
    <w:rsid w:val="00A5293B"/>
    <w:rsid w:val="00A52C3C"/>
    <w:rsid w:val="00A5391C"/>
    <w:rsid w:val="00A54237"/>
    <w:rsid w:val="00A543B5"/>
    <w:rsid w:val="00A543D9"/>
    <w:rsid w:val="00A54912"/>
    <w:rsid w:val="00A5582F"/>
    <w:rsid w:val="00A559B9"/>
    <w:rsid w:val="00A55A71"/>
    <w:rsid w:val="00A55BE8"/>
    <w:rsid w:val="00A560AF"/>
    <w:rsid w:val="00A5696A"/>
    <w:rsid w:val="00A56C25"/>
    <w:rsid w:val="00A57157"/>
    <w:rsid w:val="00A573BA"/>
    <w:rsid w:val="00A57B80"/>
    <w:rsid w:val="00A60244"/>
    <w:rsid w:val="00A60CD0"/>
    <w:rsid w:val="00A60EED"/>
    <w:rsid w:val="00A610C5"/>
    <w:rsid w:val="00A61885"/>
    <w:rsid w:val="00A62724"/>
    <w:rsid w:val="00A62BA8"/>
    <w:rsid w:val="00A62CEB"/>
    <w:rsid w:val="00A63CDA"/>
    <w:rsid w:val="00A63EB2"/>
    <w:rsid w:val="00A641E3"/>
    <w:rsid w:val="00A64E3A"/>
    <w:rsid w:val="00A6515A"/>
    <w:rsid w:val="00A652E5"/>
    <w:rsid w:val="00A658AD"/>
    <w:rsid w:val="00A659EF"/>
    <w:rsid w:val="00A65DB0"/>
    <w:rsid w:val="00A66483"/>
    <w:rsid w:val="00A66721"/>
    <w:rsid w:val="00A7043A"/>
    <w:rsid w:val="00A70CAB"/>
    <w:rsid w:val="00A710F5"/>
    <w:rsid w:val="00A71199"/>
    <w:rsid w:val="00A714B2"/>
    <w:rsid w:val="00A71C01"/>
    <w:rsid w:val="00A72324"/>
    <w:rsid w:val="00A7254A"/>
    <w:rsid w:val="00A726ED"/>
    <w:rsid w:val="00A738B1"/>
    <w:rsid w:val="00A7435B"/>
    <w:rsid w:val="00A749FD"/>
    <w:rsid w:val="00A74B13"/>
    <w:rsid w:val="00A74B5C"/>
    <w:rsid w:val="00A74EB0"/>
    <w:rsid w:val="00A755AD"/>
    <w:rsid w:val="00A76292"/>
    <w:rsid w:val="00A7666B"/>
    <w:rsid w:val="00A766F2"/>
    <w:rsid w:val="00A770BB"/>
    <w:rsid w:val="00A778D7"/>
    <w:rsid w:val="00A801C4"/>
    <w:rsid w:val="00A80710"/>
    <w:rsid w:val="00A809C0"/>
    <w:rsid w:val="00A80F86"/>
    <w:rsid w:val="00A812E7"/>
    <w:rsid w:val="00A82378"/>
    <w:rsid w:val="00A825EE"/>
    <w:rsid w:val="00A829FF"/>
    <w:rsid w:val="00A83C4D"/>
    <w:rsid w:val="00A83F31"/>
    <w:rsid w:val="00A8422D"/>
    <w:rsid w:val="00A84644"/>
    <w:rsid w:val="00A846BB"/>
    <w:rsid w:val="00A84B77"/>
    <w:rsid w:val="00A854BF"/>
    <w:rsid w:val="00A85935"/>
    <w:rsid w:val="00A859CD"/>
    <w:rsid w:val="00A85D67"/>
    <w:rsid w:val="00A866BC"/>
    <w:rsid w:val="00A8739B"/>
    <w:rsid w:val="00A87B27"/>
    <w:rsid w:val="00A87FFA"/>
    <w:rsid w:val="00A90249"/>
    <w:rsid w:val="00A90409"/>
    <w:rsid w:val="00A9045D"/>
    <w:rsid w:val="00A904AD"/>
    <w:rsid w:val="00A90972"/>
    <w:rsid w:val="00A90F1E"/>
    <w:rsid w:val="00A90FE2"/>
    <w:rsid w:val="00A91038"/>
    <w:rsid w:val="00A91BAD"/>
    <w:rsid w:val="00A91D2D"/>
    <w:rsid w:val="00A9290F"/>
    <w:rsid w:val="00A9310F"/>
    <w:rsid w:val="00A93B61"/>
    <w:rsid w:val="00A93F15"/>
    <w:rsid w:val="00A941EF"/>
    <w:rsid w:val="00A94905"/>
    <w:rsid w:val="00A9492E"/>
    <w:rsid w:val="00A94E7A"/>
    <w:rsid w:val="00A94EBE"/>
    <w:rsid w:val="00A95A66"/>
    <w:rsid w:val="00A95BA1"/>
    <w:rsid w:val="00A95E4B"/>
    <w:rsid w:val="00A9616C"/>
    <w:rsid w:val="00A96508"/>
    <w:rsid w:val="00A96DF1"/>
    <w:rsid w:val="00A9748A"/>
    <w:rsid w:val="00A977AC"/>
    <w:rsid w:val="00AA0AF7"/>
    <w:rsid w:val="00AA0FBC"/>
    <w:rsid w:val="00AA1174"/>
    <w:rsid w:val="00AA124B"/>
    <w:rsid w:val="00AA17F8"/>
    <w:rsid w:val="00AA1D3E"/>
    <w:rsid w:val="00AA1F6B"/>
    <w:rsid w:val="00AA262C"/>
    <w:rsid w:val="00AA2D5A"/>
    <w:rsid w:val="00AA31C5"/>
    <w:rsid w:val="00AA397B"/>
    <w:rsid w:val="00AA39C8"/>
    <w:rsid w:val="00AA51B8"/>
    <w:rsid w:val="00AA58B8"/>
    <w:rsid w:val="00AA5D08"/>
    <w:rsid w:val="00AA6922"/>
    <w:rsid w:val="00AA78B5"/>
    <w:rsid w:val="00AB05BD"/>
    <w:rsid w:val="00AB0724"/>
    <w:rsid w:val="00AB19C8"/>
    <w:rsid w:val="00AB1B6F"/>
    <w:rsid w:val="00AB22E6"/>
    <w:rsid w:val="00AB23D7"/>
    <w:rsid w:val="00AB2843"/>
    <w:rsid w:val="00AB351B"/>
    <w:rsid w:val="00AB39DA"/>
    <w:rsid w:val="00AB3AF5"/>
    <w:rsid w:val="00AB41D3"/>
    <w:rsid w:val="00AB467E"/>
    <w:rsid w:val="00AB4B6C"/>
    <w:rsid w:val="00AB50D0"/>
    <w:rsid w:val="00AB536C"/>
    <w:rsid w:val="00AB5D62"/>
    <w:rsid w:val="00AB5E5D"/>
    <w:rsid w:val="00AB6A3B"/>
    <w:rsid w:val="00AB6E33"/>
    <w:rsid w:val="00AB7587"/>
    <w:rsid w:val="00AC14A0"/>
    <w:rsid w:val="00AC1508"/>
    <w:rsid w:val="00AC165D"/>
    <w:rsid w:val="00AC23A8"/>
    <w:rsid w:val="00AC2440"/>
    <w:rsid w:val="00AC25F2"/>
    <w:rsid w:val="00AC2D98"/>
    <w:rsid w:val="00AC2DFC"/>
    <w:rsid w:val="00AC3009"/>
    <w:rsid w:val="00AC3035"/>
    <w:rsid w:val="00AC3401"/>
    <w:rsid w:val="00AC36A0"/>
    <w:rsid w:val="00AC3E40"/>
    <w:rsid w:val="00AC45DA"/>
    <w:rsid w:val="00AC53B7"/>
    <w:rsid w:val="00AC5CE9"/>
    <w:rsid w:val="00AC5D93"/>
    <w:rsid w:val="00AC61A2"/>
    <w:rsid w:val="00AC61AD"/>
    <w:rsid w:val="00AC6554"/>
    <w:rsid w:val="00AC65C3"/>
    <w:rsid w:val="00AC6BAB"/>
    <w:rsid w:val="00AC7190"/>
    <w:rsid w:val="00AC76A0"/>
    <w:rsid w:val="00AC784C"/>
    <w:rsid w:val="00AC7BB3"/>
    <w:rsid w:val="00AC7D5B"/>
    <w:rsid w:val="00AD0800"/>
    <w:rsid w:val="00AD12F8"/>
    <w:rsid w:val="00AD1BF6"/>
    <w:rsid w:val="00AD269E"/>
    <w:rsid w:val="00AD2DB6"/>
    <w:rsid w:val="00AD35EE"/>
    <w:rsid w:val="00AD5329"/>
    <w:rsid w:val="00AD632C"/>
    <w:rsid w:val="00AD632F"/>
    <w:rsid w:val="00AD6477"/>
    <w:rsid w:val="00AD6B94"/>
    <w:rsid w:val="00AD6D99"/>
    <w:rsid w:val="00AD6F66"/>
    <w:rsid w:val="00AD7438"/>
    <w:rsid w:val="00AE004A"/>
    <w:rsid w:val="00AE086E"/>
    <w:rsid w:val="00AE18FB"/>
    <w:rsid w:val="00AE1D6D"/>
    <w:rsid w:val="00AE1F65"/>
    <w:rsid w:val="00AE2812"/>
    <w:rsid w:val="00AE2DE0"/>
    <w:rsid w:val="00AE329C"/>
    <w:rsid w:val="00AE3E59"/>
    <w:rsid w:val="00AE3F8C"/>
    <w:rsid w:val="00AE46BC"/>
    <w:rsid w:val="00AE4838"/>
    <w:rsid w:val="00AE5179"/>
    <w:rsid w:val="00AE5CD8"/>
    <w:rsid w:val="00AE6F6A"/>
    <w:rsid w:val="00AE73B8"/>
    <w:rsid w:val="00AE73D2"/>
    <w:rsid w:val="00AE7455"/>
    <w:rsid w:val="00AE7CA1"/>
    <w:rsid w:val="00AF0EAA"/>
    <w:rsid w:val="00AF1113"/>
    <w:rsid w:val="00AF1303"/>
    <w:rsid w:val="00AF1733"/>
    <w:rsid w:val="00AF190F"/>
    <w:rsid w:val="00AF26FA"/>
    <w:rsid w:val="00AF2927"/>
    <w:rsid w:val="00AF2C5B"/>
    <w:rsid w:val="00AF316C"/>
    <w:rsid w:val="00AF3BE2"/>
    <w:rsid w:val="00AF41DA"/>
    <w:rsid w:val="00AF47BC"/>
    <w:rsid w:val="00AF4D8D"/>
    <w:rsid w:val="00AF52A9"/>
    <w:rsid w:val="00AF5599"/>
    <w:rsid w:val="00AF59AE"/>
    <w:rsid w:val="00AF5C3B"/>
    <w:rsid w:val="00AF625A"/>
    <w:rsid w:val="00AF6BE0"/>
    <w:rsid w:val="00B00AD6"/>
    <w:rsid w:val="00B019F6"/>
    <w:rsid w:val="00B01C4B"/>
    <w:rsid w:val="00B01CE3"/>
    <w:rsid w:val="00B020A8"/>
    <w:rsid w:val="00B02525"/>
    <w:rsid w:val="00B02F24"/>
    <w:rsid w:val="00B02FD2"/>
    <w:rsid w:val="00B030E2"/>
    <w:rsid w:val="00B032A5"/>
    <w:rsid w:val="00B03341"/>
    <w:rsid w:val="00B03C17"/>
    <w:rsid w:val="00B03F8F"/>
    <w:rsid w:val="00B03FAC"/>
    <w:rsid w:val="00B046D0"/>
    <w:rsid w:val="00B047DC"/>
    <w:rsid w:val="00B04ABA"/>
    <w:rsid w:val="00B04B6B"/>
    <w:rsid w:val="00B04BAF"/>
    <w:rsid w:val="00B04F1E"/>
    <w:rsid w:val="00B0506C"/>
    <w:rsid w:val="00B05994"/>
    <w:rsid w:val="00B062F6"/>
    <w:rsid w:val="00B0652F"/>
    <w:rsid w:val="00B067F5"/>
    <w:rsid w:val="00B06BFE"/>
    <w:rsid w:val="00B07556"/>
    <w:rsid w:val="00B076BD"/>
    <w:rsid w:val="00B104B0"/>
    <w:rsid w:val="00B106EB"/>
    <w:rsid w:val="00B10B2B"/>
    <w:rsid w:val="00B10B32"/>
    <w:rsid w:val="00B11221"/>
    <w:rsid w:val="00B12688"/>
    <w:rsid w:val="00B1277A"/>
    <w:rsid w:val="00B12B7F"/>
    <w:rsid w:val="00B12C4F"/>
    <w:rsid w:val="00B12F70"/>
    <w:rsid w:val="00B1399D"/>
    <w:rsid w:val="00B13CA3"/>
    <w:rsid w:val="00B13DCC"/>
    <w:rsid w:val="00B14402"/>
    <w:rsid w:val="00B15C30"/>
    <w:rsid w:val="00B16A34"/>
    <w:rsid w:val="00B16AAD"/>
    <w:rsid w:val="00B1736C"/>
    <w:rsid w:val="00B1778B"/>
    <w:rsid w:val="00B178F1"/>
    <w:rsid w:val="00B17BD2"/>
    <w:rsid w:val="00B20536"/>
    <w:rsid w:val="00B20A46"/>
    <w:rsid w:val="00B20A6E"/>
    <w:rsid w:val="00B218FC"/>
    <w:rsid w:val="00B21976"/>
    <w:rsid w:val="00B221E0"/>
    <w:rsid w:val="00B22473"/>
    <w:rsid w:val="00B22EBE"/>
    <w:rsid w:val="00B23062"/>
    <w:rsid w:val="00B238F8"/>
    <w:rsid w:val="00B23A13"/>
    <w:rsid w:val="00B23EB4"/>
    <w:rsid w:val="00B241D3"/>
    <w:rsid w:val="00B24F7B"/>
    <w:rsid w:val="00B254DE"/>
    <w:rsid w:val="00B2578A"/>
    <w:rsid w:val="00B25813"/>
    <w:rsid w:val="00B265CF"/>
    <w:rsid w:val="00B272C7"/>
    <w:rsid w:val="00B27711"/>
    <w:rsid w:val="00B30327"/>
    <w:rsid w:val="00B304BA"/>
    <w:rsid w:val="00B31932"/>
    <w:rsid w:val="00B31DAC"/>
    <w:rsid w:val="00B325BE"/>
    <w:rsid w:val="00B32E33"/>
    <w:rsid w:val="00B33018"/>
    <w:rsid w:val="00B34257"/>
    <w:rsid w:val="00B34925"/>
    <w:rsid w:val="00B34A76"/>
    <w:rsid w:val="00B34ADB"/>
    <w:rsid w:val="00B34B9B"/>
    <w:rsid w:val="00B34BA7"/>
    <w:rsid w:val="00B3544D"/>
    <w:rsid w:val="00B35A03"/>
    <w:rsid w:val="00B360F8"/>
    <w:rsid w:val="00B3680A"/>
    <w:rsid w:val="00B3683C"/>
    <w:rsid w:val="00B371B9"/>
    <w:rsid w:val="00B4024C"/>
    <w:rsid w:val="00B40E65"/>
    <w:rsid w:val="00B414A9"/>
    <w:rsid w:val="00B41C17"/>
    <w:rsid w:val="00B41D60"/>
    <w:rsid w:val="00B42585"/>
    <w:rsid w:val="00B431C7"/>
    <w:rsid w:val="00B4343C"/>
    <w:rsid w:val="00B44181"/>
    <w:rsid w:val="00B44DF0"/>
    <w:rsid w:val="00B461F3"/>
    <w:rsid w:val="00B46331"/>
    <w:rsid w:val="00B47005"/>
    <w:rsid w:val="00B4714D"/>
    <w:rsid w:val="00B47475"/>
    <w:rsid w:val="00B47A93"/>
    <w:rsid w:val="00B47D65"/>
    <w:rsid w:val="00B5024A"/>
    <w:rsid w:val="00B50397"/>
    <w:rsid w:val="00B50762"/>
    <w:rsid w:val="00B50FA7"/>
    <w:rsid w:val="00B510B0"/>
    <w:rsid w:val="00B517CC"/>
    <w:rsid w:val="00B51DAE"/>
    <w:rsid w:val="00B52561"/>
    <w:rsid w:val="00B5290D"/>
    <w:rsid w:val="00B530FD"/>
    <w:rsid w:val="00B5330C"/>
    <w:rsid w:val="00B53423"/>
    <w:rsid w:val="00B535F3"/>
    <w:rsid w:val="00B53927"/>
    <w:rsid w:val="00B539C5"/>
    <w:rsid w:val="00B55108"/>
    <w:rsid w:val="00B55C77"/>
    <w:rsid w:val="00B560A8"/>
    <w:rsid w:val="00B5643A"/>
    <w:rsid w:val="00B56515"/>
    <w:rsid w:val="00B5714C"/>
    <w:rsid w:val="00B5759C"/>
    <w:rsid w:val="00B60309"/>
    <w:rsid w:val="00B606AA"/>
    <w:rsid w:val="00B616B9"/>
    <w:rsid w:val="00B618F6"/>
    <w:rsid w:val="00B61DC7"/>
    <w:rsid w:val="00B62106"/>
    <w:rsid w:val="00B62177"/>
    <w:rsid w:val="00B6323C"/>
    <w:rsid w:val="00B639DE"/>
    <w:rsid w:val="00B63DB3"/>
    <w:rsid w:val="00B641ED"/>
    <w:rsid w:val="00B6497C"/>
    <w:rsid w:val="00B64BD1"/>
    <w:rsid w:val="00B65517"/>
    <w:rsid w:val="00B65D15"/>
    <w:rsid w:val="00B65E18"/>
    <w:rsid w:val="00B6641D"/>
    <w:rsid w:val="00B6685A"/>
    <w:rsid w:val="00B66B54"/>
    <w:rsid w:val="00B66F0C"/>
    <w:rsid w:val="00B678B1"/>
    <w:rsid w:val="00B71039"/>
    <w:rsid w:val="00B71860"/>
    <w:rsid w:val="00B71892"/>
    <w:rsid w:val="00B71936"/>
    <w:rsid w:val="00B71B2B"/>
    <w:rsid w:val="00B722A4"/>
    <w:rsid w:val="00B7270E"/>
    <w:rsid w:val="00B73933"/>
    <w:rsid w:val="00B73C86"/>
    <w:rsid w:val="00B73EB7"/>
    <w:rsid w:val="00B75B5D"/>
    <w:rsid w:val="00B75C1C"/>
    <w:rsid w:val="00B75FBB"/>
    <w:rsid w:val="00B761B3"/>
    <w:rsid w:val="00B763D7"/>
    <w:rsid w:val="00B76CFD"/>
    <w:rsid w:val="00B7753A"/>
    <w:rsid w:val="00B77904"/>
    <w:rsid w:val="00B77F88"/>
    <w:rsid w:val="00B80144"/>
    <w:rsid w:val="00B805DF"/>
    <w:rsid w:val="00B80705"/>
    <w:rsid w:val="00B80803"/>
    <w:rsid w:val="00B80B25"/>
    <w:rsid w:val="00B80C80"/>
    <w:rsid w:val="00B80E32"/>
    <w:rsid w:val="00B80F19"/>
    <w:rsid w:val="00B81004"/>
    <w:rsid w:val="00B815F5"/>
    <w:rsid w:val="00B81D66"/>
    <w:rsid w:val="00B825FC"/>
    <w:rsid w:val="00B82BE7"/>
    <w:rsid w:val="00B82D6C"/>
    <w:rsid w:val="00B83011"/>
    <w:rsid w:val="00B8301C"/>
    <w:rsid w:val="00B840DC"/>
    <w:rsid w:val="00B84667"/>
    <w:rsid w:val="00B84980"/>
    <w:rsid w:val="00B8533F"/>
    <w:rsid w:val="00B853B4"/>
    <w:rsid w:val="00B877B3"/>
    <w:rsid w:val="00B878EA"/>
    <w:rsid w:val="00B900BD"/>
    <w:rsid w:val="00B90146"/>
    <w:rsid w:val="00B901F8"/>
    <w:rsid w:val="00B90998"/>
    <w:rsid w:val="00B911D4"/>
    <w:rsid w:val="00B9172E"/>
    <w:rsid w:val="00B91E87"/>
    <w:rsid w:val="00B920BE"/>
    <w:rsid w:val="00B923F2"/>
    <w:rsid w:val="00B92F3E"/>
    <w:rsid w:val="00B932E4"/>
    <w:rsid w:val="00B93F9A"/>
    <w:rsid w:val="00B95175"/>
    <w:rsid w:val="00B957D6"/>
    <w:rsid w:val="00B95BA7"/>
    <w:rsid w:val="00B95E3A"/>
    <w:rsid w:val="00B960DB"/>
    <w:rsid w:val="00B96381"/>
    <w:rsid w:val="00B96586"/>
    <w:rsid w:val="00B96744"/>
    <w:rsid w:val="00B97492"/>
    <w:rsid w:val="00B97693"/>
    <w:rsid w:val="00B97864"/>
    <w:rsid w:val="00B9786A"/>
    <w:rsid w:val="00B9790D"/>
    <w:rsid w:val="00B97B23"/>
    <w:rsid w:val="00BA0C41"/>
    <w:rsid w:val="00BA0FA6"/>
    <w:rsid w:val="00BA13CD"/>
    <w:rsid w:val="00BA1440"/>
    <w:rsid w:val="00BA2B8A"/>
    <w:rsid w:val="00BA3053"/>
    <w:rsid w:val="00BA3295"/>
    <w:rsid w:val="00BA3B53"/>
    <w:rsid w:val="00BA40BB"/>
    <w:rsid w:val="00BA4C9F"/>
    <w:rsid w:val="00BA4F82"/>
    <w:rsid w:val="00BA505D"/>
    <w:rsid w:val="00BA52FA"/>
    <w:rsid w:val="00BA5573"/>
    <w:rsid w:val="00BA5C2D"/>
    <w:rsid w:val="00BA61ED"/>
    <w:rsid w:val="00BA6556"/>
    <w:rsid w:val="00BA754A"/>
    <w:rsid w:val="00BA7790"/>
    <w:rsid w:val="00BA7A07"/>
    <w:rsid w:val="00BA7E73"/>
    <w:rsid w:val="00BA7F13"/>
    <w:rsid w:val="00BB00F5"/>
    <w:rsid w:val="00BB0126"/>
    <w:rsid w:val="00BB037C"/>
    <w:rsid w:val="00BB0523"/>
    <w:rsid w:val="00BB1D25"/>
    <w:rsid w:val="00BB1E8D"/>
    <w:rsid w:val="00BB1F86"/>
    <w:rsid w:val="00BB2257"/>
    <w:rsid w:val="00BB2C9B"/>
    <w:rsid w:val="00BB2CCA"/>
    <w:rsid w:val="00BB2E0D"/>
    <w:rsid w:val="00BB331E"/>
    <w:rsid w:val="00BB3706"/>
    <w:rsid w:val="00BB3723"/>
    <w:rsid w:val="00BB37BB"/>
    <w:rsid w:val="00BB38DF"/>
    <w:rsid w:val="00BB3A53"/>
    <w:rsid w:val="00BB3F38"/>
    <w:rsid w:val="00BB43F1"/>
    <w:rsid w:val="00BB4441"/>
    <w:rsid w:val="00BB4534"/>
    <w:rsid w:val="00BB4634"/>
    <w:rsid w:val="00BB4680"/>
    <w:rsid w:val="00BB490D"/>
    <w:rsid w:val="00BB4EB8"/>
    <w:rsid w:val="00BB4EC4"/>
    <w:rsid w:val="00BB527B"/>
    <w:rsid w:val="00BB5486"/>
    <w:rsid w:val="00BB551F"/>
    <w:rsid w:val="00BB5DB8"/>
    <w:rsid w:val="00BB61C8"/>
    <w:rsid w:val="00BB647C"/>
    <w:rsid w:val="00BB6BA3"/>
    <w:rsid w:val="00BB6EA6"/>
    <w:rsid w:val="00BB739E"/>
    <w:rsid w:val="00BB7FB9"/>
    <w:rsid w:val="00BC006C"/>
    <w:rsid w:val="00BC08F9"/>
    <w:rsid w:val="00BC097D"/>
    <w:rsid w:val="00BC0B4E"/>
    <w:rsid w:val="00BC0BDE"/>
    <w:rsid w:val="00BC103B"/>
    <w:rsid w:val="00BC154D"/>
    <w:rsid w:val="00BC1FB9"/>
    <w:rsid w:val="00BC210E"/>
    <w:rsid w:val="00BC23D1"/>
    <w:rsid w:val="00BC3107"/>
    <w:rsid w:val="00BC3948"/>
    <w:rsid w:val="00BC45AD"/>
    <w:rsid w:val="00BC4744"/>
    <w:rsid w:val="00BC549D"/>
    <w:rsid w:val="00BC567F"/>
    <w:rsid w:val="00BC570E"/>
    <w:rsid w:val="00BC64AB"/>
    <w:rsid w:val="00BC66CE"/>
    <w:rsid w:val="00BC6ADD"/>
    <w:rsid w:val="00BC6E15"/>
    <w:rsid w:val="00BC71F8"/>
    <w:rsid w:val="00BC796E"/>
    <w:rsid w:val="00BC7DF5"/>
    <w:rsid w:val="00BC7E41"/>
    <w:rsid w:val="00BC7FED"/>
    <w:rsid w:val="00BD061B"/>
    <w:rsid w:val="00BD07D4"/>
    <w:rsid w:val="00BD0F61"/>
    <w:rsid w:val="00BD1B03"/>
    <w:rsid w:val="00BD1E78"/>
    <w:rsid w:val="00BD23DF"/>
    <w:rsid w:val="00BD291B"/>
    <w:rsid w:val="00BD2CBE"/>
    <w:rsid w:val="00BD4748"/>
    <w:rsid w:val="00BD4CCA"/>
    <w:rsid w:val="00BD4E00"/>
    <w:rsid w:val="00BD5A38"/>
    <w:rsid w:val="00BD5FA9"/>
    <w:rsid w:val="00BD6406"/>
    <w:rsid w:val="00BD7538"/>
    <w:rsid w:val="00BD76F4"/>
    <w:rsid w:val="00BD7C01"/>
    <w:rsid w:val="00BD7EAC"/>
    <w:rsid w:val="00BE0648"/>
    <w:rsid w:val="00BE0E42"/>
    <w:rsid w:val="00BE1275"/>
    <w:rsid w:val="00BE1513"/>
    <w:rsid w:val="00BE226A"/>
    <w:rsid w:val="00BE2BA6"/>
    <w:rsid w:val="00BE2FF6"/>
    <w:rsid w:val="00BE32BD"/>
    <w:rsid w:val="00BE3671"/>
    <w:rsid w:val="00BE56F4"/>
    <w:rsid w:val="00BE57A8"/>
    <w:rsid w:val="00BE5AF8"/>
    <w:rsid w:val="00BE5CFA"/>
    <w:rsid w:val="00BE60DF"/>
    <w:rsid w:val="00BE6123"/>
    <w:rsid w:val="00BE6202"/>
    <w:rsid w:val="00BE6F4C"/>
    <w:rsid w:val="00BE7A5E"/>
    <w:rsid w:val="00BF0756"/>
    <w:rsid w:val="00BF0E89"/>
    <w:rsid w:val="00BF1352"/>
    <w:rsid w:val="00BF18D0"/>
    <w:rsid w:val="00BF1B6D"/>
    <w:rsid w:val="00BF2731"/>
    <w:rsid w:val="00BF28F4"/>
    <w:rsid w:val="00BF3340"/>
    <w:rsid w:val="00BF359E"/>
    <w:rsid w:val="00BF3C66"/>
    <w:rsid w:val="00BF3FB4"/>
    <w:rsid w:val="00BF4E05"/>
    <w:rsid w:val="00BF63BF"/>
    <w:rsid w:val="00BF6705"/>
    <w:rsid w:val="00BF7186"/>
    <w:rsid w:val="00BF72E6"/>
    <w:rsid w:val="00BF74F9"/>
    <w:rsid w:val="00BF765A"/>
    <w:rsid w:val="00C005D3"/>
    <w:rsid w:val="00C00BEC"/>
    <w:rsid w:val="00C00FF7"/>
    <w:rsid w:val="00C0127C"/>
    <w:rsid w:val="00C01B4F"/>
    <w:rsid w:val="00C01F12"/>
    <w:rsid w:val="00C01F75"/>
    <w:rsid w:val="00C02BE6"/>
    <w:rsid w:val="00C02FC6"/>
    <w:rsid w:val="00C03733"/>
    <w:rsid w:val="00C03753"/>
    <w:rsid w:val="00C03869"/>
    <w:rsid w:val="00C04A1F"/>
    <w:rsid w:val="00C05032"/>
    <w:rsid w:val="00C0549D"/>
    <w:rsid w:val="00C06197"/>
    <w:rsid w:val="00C06738"/>
    <w:rsid w:val="00C07F97"/>
    <w:rsid w:val="00C101FB"/>
    <w:rsid w:val="00C1036A"/>
    <w:rsid w:val="00C103A4"/>
    <w:rsid w:val="00C1054F"/>
    <w:rsid w:val="00C1079D"/>
    <w:rsid w:val="00C10B9A"/>
    <w:rsid w:val="00C10DAC"/>
    <w:rsid w:val="00C10DE1"/>
    <w:rsid w:val="00C10F67"/>
    <w:rsid w:val="00C11712"/>
    <w:rsid w:val="00C11F21"/>
    <w:rsid w:val="00C1230B"/>
    <w:rsid w:val="00C12322"/>
    <w:rsid w:val="00C12391"/>
    <w:rsid w:val="00C12F25"/>
    <w:rsid w:val="00C1339D"/>
    <w:rsid w:val="00C1371A"/>
    <w:rsid w:val="00C14007"/>
    <w:rsid w:val="00C151D3"/>
    <w:rsid w:val="00C1550F"/>
    <w:rsid w:val="00C158E4"/>
    <w:rsid w:val="00C15CF2"/>
    <w:rsid w:val="00C15FEB"/>
    <w:rsid w:val="00C16358"/>
    <w:rsid w:val="00C16550"/>
    <w:rsid w:val="00C174D3"/>
    <w:rsid w:val="00C179F5"/>
    <w:rsid w:val="00C17C0F"/>
    <w:rsid w:val="00C2024C"/>
    <w:rsid w:val="00C20E42"/>
    <w:rsid w:val="00C2121B"/>
    <w:rsid w:val="00C21605"/>
    <w:rsid w:val="00C223B7"/>
    <w:rsid w:val="00C23542"/>
    <w:rsid w:val="00C23A48"/>
    <w:rsid w:val="00C23A66"/>
    <w:rsid w:val="00C23B11"/>
    <w:rsid w:val="00C23B2F"/>
    <w:rsid w:val="00C23CAC"/>
    <w:rsid w:val="00C23FE5"/>
    <w:rsid w:val="00C2448C"/>
    <w:rsid w:val="00C248E1"/>
    <w:rsid w:val="00C24904"/>
    <w:rsid w:val="00C252FE"/>
    <w:rsid w:val="00C25DC2"/>
    <w:rsid w:val="00C25FB5"/>
    <w:rsid w:val="00C26206"/>
    <w:rsid w:val="00C2754F"/>
    <w:rsid w:val="00C27556"/>
    <w:rsid w:val="00C27D76"/>
    <w:rsid w:val="00C301C1"/>
    <w:rsid w:val="00C30D91"/>
    <w:rsid w:val="00C30FA2"/>
    <w:rsid w:val="00C318A9"/>
    <w:rsid w:val="00C31C89"/>
    <w:rsid w:val="00C3278E"/>
    <w:rsid w:val="00C32B32"/>
    <w:rsid w:val="00C32FFE"/>
    <w:rsid w:val="00C33167"/>
    <w:rsid w:val="00C33E2C"/>
    <w:rsid w:val="00C33E9F"/>
    <w:rsid w:val="00C33FF6"/>
    <w:rsid w:val="00C34119"/>
    <w:rsid w:val="00C342C7"/>
    <w:rsid w:val="00C345B2"/>
    <w:rsid w:val="00C34739"/>
    <w:rsid w:val="00C3473E"/>
    <w:rsid w:val="00C347B3"/>
    <w:rsid w:val="00C355B0"/>
    <w:rsid w:val="00C355DD"/>
    <w:rsid w:val="00C35659"/>
    <w:rsid w:val="00C3628B"/>
    <w:rsid w:val="00C3693D"/>
    <w:rsid w:val="00C36B14"/>
    <w:rsid w:val="00C3766B"/>
    <w:rsid w:val="00C37A29"/>
    <w:rsid w:val="00C37CDE"/>
    <w:rsid w:val="00C37CF7"/>
    <w:rsid w:val="00C37D28"/>
    <w:rsid w:val="00C37D9E"/>
    <w:rsid w:val="00C40331"/>
    <w:rsid w:val="00C406E6"/>
    <w:rsid w:val="00C409FD"/>
    <w:rsid w:val="00C4220B"/>
    <w:rsid w:val="00C427A9"/>
    <w:rsid w:val="00C42B40"/>
    <w:rsid w:val="00C432AE"/>
    <w:rsid w:val="00C4379F"/>
    <w:rsid w:val="00C444F6"/>
    <w:rsid w:val="00C4478A"/>
    <w:rsid w:val="00C4485B"/>
    <w:rsid w:val="00C44C33"/>
    <w:rsid w:val="00C452CB"/>
    <w:rsid w:val="00C456AC"/>
    <w:rsid w:val="00C456C5"/>
    <w:rsid w:val="00C45B61"/>
    <w:rsid w:val="00C45BF3"/>
    <w:rsid w:val="00C45D76"/>
    <w:rsid w:val="00C466C6"/>
    <w:rsid w:val="00C46879"/>
    <w:rsid w:val="00C47726"/>
    <w:rsid w:val="00C47C39"/>
    <w:rsid w:val="00C50570"/>
    <w:rsid w:val="00C50574"/>
    <w:rsid w:val="00C50D7F"/>
    <w:rsid w:val="00C51471"/>
    <w:rsid w:val="00C51610"/>
    <w:rsid w:val="00C51BD2"/>
    <w:rsid w:val="00C52026"/>
    <w:rsid w:val="00C528CD"/>
    <w:rsid w:val="00C52C49"/>
    <w:rsid w:val="00C52F66"/>
    <w:rsid w:val="00C538F3"/>
    <w:rsid w:val="00C54366"/>
    <w:rsid w:val="00C547CA"/>
    <w:rsid w:val="00C549CE"/>
    <w:rsid w:val="00C54F38"/>
    <w:rsid w:val="00C55DD1"/>
    <w:rsid w:val="00C56736"/>
    <w:rsid w:val="00C56D72"/>
    <w:rsid w:val="00C57214"/>
    <w:rsid w:val="00C57B78"/>
    <w:rsid w:val="00C57E44"/>
    <w:rsid w:val="00C606E8"/>
    <w:rsid w:val="00C60709"/>
    <w:rsid w:val="00C613B6"/>
    <w:rsid w:val="00C614A2"/>
    <w:rsid w:val="00C61B18"/>
    <w:rsid w:val="00C61B67"/>
    <w:rsid w:val="00C61EEC"/>
    <w:rsid w:val="00C620A4"/>
    <w:rsid w:val="00C62287"/>
    <w:rsid w:val="00C626E5"/>
    <w:rsid w:val="00C627E0"/>
    <w:rsid w:val="00C633E3"/>
    <w:rsid w:val="00C63443"/>
    <w:rsid w:val="00C634FE"/>
    <w:rsid w:val="00C63803"/>
    <w:rsid w:val="00C63E68"/>
    <w:rsid w:val="00C64240"/>
    <w:rsid w:val="00C64D3A"/>
    <w:rsid w:val="00C655C3"/>
    <w:rsid w:val="00C65C59"/>
    <w:rsid w:val="00C65CCB"/>
    <w:rsid w:val="00C65DFC"/>
    <w:rsid w:val="00C66763"/>
    <w:rsid w:val="00C66822"/>
    <w:rsid w:val="00C66C99"/>
    <w:rsid w:val="00C66EBF"/>
    <w:rsid w:val="00C6718D"/>
    <w:rsid w:val="00C677F5"/>
    <w:rsid w:val="00C70450"/>
    <w:rsid w:val="00C70A6A"/>
    <w:rsid w:val="00C70C4D"/>
    <w:rsid w:val="00C71239"/>
    <w:rsid w:val="00C712FD"/>
    <w:rsid w:val="00C71566"/>
    <w:rsid w:val="00C71EF4"/>
    <w:rsid w:val="00C73057"/>
    <w:rsid w:val="00C732ED"/>
    <w:rsid w:val="00C73370"/>
    <w:rsid w:val="00C7357C"/>
    <w:rsid w:val="00C73A49"/>
    <w:rsid w:val="00C7464F"/>
    <w:rsid w:val="00C748E3"/>
    <w:rsid w:val="00C74BA5"/>
    <w:rsid w:val="00C74BED"/>
    <w:rsid w:val="00C74C61"/>
    <w:rsid w:val="00C7554E"/>
    <w:rsid w:val="00C75683"/>
    <w:rsid w:val="00C75B36"/>
    <w:rsid w:val="00C7651D"/>
    <w:rsid w:val="00C767F8"/>
    <w:rsid w:val="00C76CA8"/>
    <w:rsid w:val="00C76E8D"/>
    <w:rsid w:val="00C771B0"/>
    <w:rsid w:val="00C772AE"/>
    <w:rsid w:val="00C77F3F"/>
    <w:rsid w:val="00C800B3"/>
    <w:rsid w:val="00C80165"/>
    <w:rsid w:val="00C80C46"/>
    <w:rsid w:val="00C813AC"/>
    <w:rsid w:val="00C81709"/>
    <w:rsid w:val="00C81730"/>
    <w:rsid w:val="00C81A8D"/>
    <w:rsid w:val="00C823E3"/>
    <w:rsid w:val="00C825B3"/>
    <w:rsid w:val="00C82A06"/>
    <w:rsid w:val="00C82DF4"/>
    <w:rsid w:val="00C8329C"/>
    <w:rsid w:val="00C84359"/>
    <w:rsid w:val="00C8453A"/>
    <w:rsid w:val="00C84716"/>
    <w:rsid w:val="00C85355"/>
    <w:rsid w:val="00C8558C"/>
    <w:rsid w:val="00C8592A"/>
    <w:rsid w:val="00C8603F"/>
    <w:rsid w:val="00C86281"/>
    <w:rsid w:val="00C866B2"/>
    <w:rsid w:val="00C869FA"/>
    <w:rsid w:val="00C90416"/>
    <w:rsid w:val="00C90CEA"/>
    <w:rsid w:val="00C9123D"/>
    <w:rsid w:val="00C9134C"/>
    <w:rsid w:val="00C9184E"/>
    <w:rsid w:val="00C91926"/>
    <w:rsid w:val="00C91A26"/>
    <w:rsid w:val="00C92125"/>
    <w:rsid w:val="00C9310F"/>
    <w:rsid w:val="00C93141"/>
    <w:rsid w:val="00C931BE"/>
    <w:rsid w:val="00C93A41"/>
    <w:rsid w:val="00C93C1A"/>
    <w:rsid w:val="00C93D32"/>
    <w:rsid w:val="00C95136"/>
    <w:rsid w:val="00C95324"/>
    <w:rsid w:val="00C95519"/>
    <w:rsid w:val="00C95610"/>
    <w:rsid w:val="00C9570A"/>
    <w:rsid w:val="00C95E23"/>
    <w:rsid w:val="00C96715"/>
    <w:rsid w:val="00C969E9"/>
    <w:rsid w:val="00C96FC2"/>
    <w:rsid w:val="00C97882"/>
    <w:rsid w:val="00C97A31"/>
    <w:rsid w:val="00CA059D"/>
    <w:rsid w:val="00CA07CE"/>
    <w:rsid w:val="00CA0CB0"/>
    <w:rsid w:val="00CA0DC5"/>
    <w:rsid w:val="00CA0EC8"/>
    <w:rsid w:val="00CA26D6"/>
    <w:rsid w:val="00CA28C7"/>
    <w:rsid w:val="00CA2E66"/>
    <w:rsid w:val="00CA363E"/>
    <w:rsid w:val="00CA3BAE"/>
    <w:rsid w:val="00CA49E1"/>
    <w:rsid w:val="00CA4CF1"/>
    <w:rsid w:val="00CA4CF2"/>
    <w:rsid w:val="00CA5043"/>
    <w:rsid w:val="00CA59BB"/>
    <w:rsid w:val="00CA6FE6"/>
    <w:rsid w:val="00CA745D"/>
    <w:rsid w:val="00CB054B"/>
    <w:rsid w:val="00CB0AEB"/>
    <w:rsid w:val="00CB0C30"/>
    <w:rsid w:val="00CB0D8F"/>
    <w:rsid w:val="00CB1571"/>
    <w:rsid w:val="00CB1A9F"/>
    <w:rsid w:val="00CB1DE9"/>
    <w:rsid w:val="00CB26DA"/>
    <w:rsid w:val="00CB3AF4"/>
    <w:rsid w:val="00CB42C0"/>
    <w:rsid w:val="00CB45B7"/>
    <w:rsid w:val="00CB49C5"/>
    <w:rsid w:val="00CB4B70"/>
    <w:rsid w:val="00CB5217"/>
    <w:rsid w:val="00CB56B7"/>
    <w:rsid w:val="00CB5DF7"/>
    <w:rsid w:val="00CB5F5D"/>
    <w:rsid w:val="00CB6122"/>
    <w:rsid w:val="00CB6385"/>
    <w:rsid w:val="00CB6DD8"/>
    <w:rsid w:val="00CB76B9"/>
    <w:rsid w:val="00CB77D0"/>
    <w:rsid w:val="00CB7B09"/>
    <w:rsid w:val="00CB7CCB"/>
    <w:rsid w:val="00CC008A"/>
    <w:rsid w:val="00CC12CD"/>
    <w:rsid w:val="00CC13A6"/>
    <w:rsid w:val="00CC1C10"/>
    <w:rsid w:val="00CC1D26"/>
    <w:rsid w:val="00CC22AD"/>
    <w:rsid w:val="00CC2598"/>
    <w:rsid w:val="00CC2CF3"/>
    <w:rsid w:val="00CC2D3A"/>
    <w:rsid w:val="00CC3001"/>
    <w:rsid w:val="00CC3032"/>
    <w:rsid w:val="00CC308F"/>
    <w:rsid w:val="00CC40AD"/>
    <w:rsid w:val="00CC47DD"/>
    <w:rsid w:val="00CC66C1"/>
    <w:rsid w:val="00CC73A7"/>
    <w:rsid w:val="00CC7972"/>
    <w:rsid w:val="00CC79A2"/>
    <w:rsid w:val="00CC7B22"/>
    <w:rsid w:val="00CC7D01"/>
    <w:rsid w:val="00CC7E01"/>
    <w:rsid w:val="00CD0029"/>
    <w:rsid w:val="00CD05F4"/>
    <w:rsid w:val="00CD0974"/>
    <w:rsid w:val="00CD0B23"/>
    <w:rsid w:val="00CD0E2B"/>
    <w:rsid w:val="00CD0ECA"/>
    <w:rsid w:val="00CD0F66"/>
    <w:rsid w:val="00CD1280"/>
    <w:rsid w:val="00CD18D6"/>
    <w:rsid w:val="00CD1B16"/>
    <w:rsid w:val="00CD2506"/>
    <w:rsid w:val="00CD2698"/>
    <w:rsid w:val="00CD3850"/>
    <w:rsid w:val="00CD3C96"/>
    <w:rsid w:val="00CD5136"/>
    <w:rsid w:val="00CD5CA5"/>
    <w:rsid w:val="00CD5D68"/>
    <w:rsid w:val="00CD5F97"/>
    <w:rsid w:val="00CD6579"/>
    <w:rsid w:val="00CD6666"/>
    <w:rsid w:val="00CD6B62"/>
    <w:rsid w:val="00CD6BBB"/>
    <w:rsid w:val="00CD73B5"/>
    <w:rsid w:val="00CD7D7A"/>
    <w:rsid w:val="00CE0291"/>
    <w:rsid w:val="00CE0BE2"/>
    <w:rsid w:val="00CE151A"/>
    <w:rsid w:val="00CE1533"/>
    <w:rsid w:val="00CE1ECF"/>
    <w:rsid w:val="00CE1F19"/>
    <w:rsid w:val="00CE23A4"/>
    <w:rsid w:val="00CE3421"/>
    <w:rsid w:val="00CE3659"/>
    <w:rsid w:val="00CE3B93"/>
    <w:rsid w:val="00CE452F"/>
    <w:rsid w:val="00CE4BB8"/>
    <w:rsid w:val="00CE4D9A"/>
    <w:rsid w:val="00CE5171"/>
    <w:rsid w:val="00CE543D"/>
    <w:rsid w:val="00CE54FD"/>
    <w:rsid w:val="00CE6269"/>
    <w:rsid w:val="00CE640A"/>
    <w:rsid w:val="00CE7277"/>
    <w:rsid w:val="00CE7AF8"/>
    <w:rsid w:val="00CF0032"/>
    <w:rsid w:val="00CF00F1"/>
    <w:rsid w:val="00CF0141"/>
    <w:rsid w:val="00CF014F"/>
    <w:rsid w:val="00CF087E"/>
    <w:rsid w:val="00CF0AE4"/>
    <w:rsid w:val="00CF0C13"/>
    <w:rsid w:val="00CF14F3"/>
    <w:rsid w:val="00CF19F7"/>
    <w:rsid w:val="00CF2511"/>
    <w:rsid w:val="00CF2692"/>
    <w:rsid w:val="00CF31A5"/>
    <w:rsid w:val="00CF3CB2"/>
    <w:rsid w:val="00CF425A"/>
    <w:rsid w:val="00CF42DD"/>
    <w:rsid w:val="00CF43F4"/>
    <w:rsid w:val="00CF4FB5"/>
    <w:rsid w:val="00CF5B34"/>
    <w:rsid w:val="00CF6749"/>
    <w:rsid w:val="00CF739E"/>
    <w:rsid w:val="00CF7D8A"/>
    <w:rsid w:val="00CF7D94"/>
    <w:rsid w:val="00CF7EA2"/>
    <w:rsid w:val="00CF7F79"/>
    <w:rsid w:val="00D00C88"/>
    <w:rsid w:val="00D00F33"/>
    <w:rsid w:val="00D01159"/>
    <w:rsid w:val="00D01248"/>
    <w:rsid w:val="00D01942"/>
    <w:rsid w:val="00D021F0"/>
    <w:rsid w:val="00D02686"/>
    <w:rsid w:val="00D027D9"/>
    <w:rsid w:val="00D02EA1"/>
    <w:rsid w:val="00D03332"/>
    <w:rsid w:val="00D034FE"/>
    <w:rsid w:val="00D0498A"/>
    <w:rsid w:val="00D05257"/>
    <w:rsid w:val="00D053F9"/>
    <w:rsid w:val="00D0561D"/>
    <w:rsid w:val="00D05AC6"/>
    <w:rsid w:val="00D06351"/>
    <w:rsid w:val="00D06C0D"/>
    <w:rsid w:val="00D0755B"/>
    <w:rsid w:val="00D07573"/>
    <w:rsid w:val="00D10113"/>
    <w:rsid w:val="00D101E9"/>
    <w:rsid w:val="00D1054C"/>
    <w:rsid w:val="00D122ED"/>
    <w:rsid w:val="00D127F2"/>
    <w:rsid w:val="00D1286E"/>
    <w:rsid w:val="00D12A92"/>
    <w:rsid w:val="00D12AA5"/>
    <w:rsid w:val="00D134CA"/>
    <w:rsid w:val="00D136B6"/>
    <w:rsid w:val="00D1406E"/>
    <w:rsid w:val="00D14759"/>
    <w:rsid w:val="00D14762"/>
    <w:rsid w:val="00D1550E"/>
    <w:rsid w:val="00D1563C"/>
    <w:rsid w:val="00D158D0"/>
    <w:rsid w:val="00D15B33"/>
    <w:rsid w:val="00D15C89"/>
    <w:rsid w:val="00D16B8F"/>
    <w:rsid w:val="00D17429"/>
    <w:rsid w:val="00D1796B"/>
    <w:rsid w:val="00D17C4D"/>
    <w:rsid w:val="00D20001"/>
    <w:rsid w:val="00D200F7"/>
    <w:rsid w:val="00D202BD"/>
    <w:rsid w:val="00D20342"/>
    <w:rsid w:val="00D20A32"/>
    <w:rsid w:val="00D212B6"/>
    <w:rsid w:val="00D219B6"/>
    <w:rsid w:val="00D22CFF"/>
    <w:rsid w:val="00D23921"/>
    <w:rsid w:val="00D23CA0"/>
    <w:rsid w:val="00D24372"/>
    <w:rsid w:val="00D244F0"/>
    <w:rsid w:val="00D24911"/>
    <w:rsid w:val="00D25BAA"/>
    <w:rsid w:val="00D26897"/>
    <w:rsid w:val="00D26C86"/>
    <w:rsid w:val="00D2725E"/>
    <w:rsid w:val="00D27CDB"/>
    <w:rsid w:val="00D27D7E"/>
    <w:rsid w:val="00D30678"/>
    <w:rsid w:val="00D30B00"/>
    <w:rsid w:val="00D315F4"/>
    <w:rsid w:val="00D316A3"/>
    <w:rsid w:val="00D31705"/>
    <w:rsid w:val="00D3183C"/>
    <w:rsid w:val="00D31AA0"/>
    <w:rsid w:val="00D32F92"/>
    <w:rsid w:val="00D33490"/>
    <w:rsid w:val="00D33916"/>
    <w:rsid w:val="00D33DFA"/>
    <w:rsid w:val="00D33EC3"/>
    <w:rsid w:val="00D33ED3"/>
    <w:rsid w:val="00D34675"/>
    <w:rsid w:val="00D356BE"/>
    <w:rsid w:val="00D356DE"/>
    <w:rsid w:val="00D3617B"/>
    <w:rsid w:val="00D3628C"/>
    <w:rsid w:val="00D362C9"/>
    <w:rsid w:val="00D36364"/>
    <w:rsid w:val="00D36410"/>
    <w:rsid w:val="00D36518"/>
    <w:rsid w:val="00D3683E"/>
    <w:rsid w:val="00D369CB"/>
    <w:rsid w:val="00D374CA"/>
    <w:rsid w:val="00D407F3"/>
    <w:rsid w:val="00D408A3"/>
    <w:rsid w:val="00D40FB7"/>
    <w:rsid w:val="00D41086"/>
    <w:rsid w:val="00D41636"/>
    <w:rsid w:val="00D41BE7"/>
    <w:rsid w:val="00D420F1"/>
    <w:rsid w:val="00D429D7"/>
    <w:rsid w:val="00D42F55"/>
    <w:rsid w:val="00D42FCA"/>
    <w:rsid w:val="00D4353F"/>
    <w:rsid w:val="00D435E4"/>
    <w:rsid w:val="00D4372B"/>
    <w:rsid w:val="00D437AF"/>
    <w:rsid w:val="00D43B4D"/>
    <w:rsid w:val="00D43D58"/>
    <w:rsid w:val="00D441BC"/>
    <w:rsid w:val="00D441D8"/>
    <w:rsid w:val="00D44582"/>
    <w:rsid w:val="00D45715"/>
    <w:rsid w:val="00D45C81"/>
    <w:rsid w:val="00D46080"/>
    <w:rsid w:val="00D4622E"/>
    <w:rsid w:val="00D466B5"/>
    <w:rsid w:val="00D4731E"/>
    <w:rsid w:val="00D501AE"/>
    <w:rsid w:val="00D50AEC"/>
    <w:rsid w:val="00D50B7A"/>
    <w:rsid w:val="00D50BAB"/>
    <w:rsid w:val="00D5224A"/>
    <w:rsid w:val="00D524B0"/>
    <w:rsid w:val="00D527F0"/>
    <w:rsid w:val="00D52CC7"/>
    <w:rsid w:val="00D52D40"/>
    <w:rsid w:val="00D53571"/>
    <w:rsid w:val="00D5385E"/>
    <w:rsid w:val="00D53CC7"/>
    <w:rsid w:val="00D548EA"/>
    <w:rsid w:val="00D54928"/>
    <w:rsid w:val="00D556FE"/>
    <w:rsid w:val="00D5576D"/>
    <w:rsid w:val="00D56385"/>
    <w:rsid w:val="00D563E5"/>
    <w:rsid w:val="00D56529"/>
    <w:rsid w:val="00D56E50"/>
    <w:rsid w:val="00D571DB"/>
    <w:rsid w:val="00D603A4"/>
    <w:rsid w:val="00D60D6F"/>
    <w:rsid w:val="00D610E2"/>
    <w:rsid w:val="00D61240"/>
    <w:rsid w:val="00D617A6"/>
    <w:rsid w:val="00D61D52"/>
    <w:rsid w:val="00D625E7"/>
    <w:rsid w:val="00D62762"/>
    <w:rsid w:val="00D62D8D"/>
    <w:rsid w:val="00D631A3"/>
    <w:rsid w:val="00D63323"/>
    <w:rsid w:val="00D63848"/>
    <w:rsid w:val="00D63D21"/>
    <w:rsid w:val="00D64451"/>
    <w:rsid w:val="00D644A3"/>
    <w:rsid w:val="00D6461B"/>
    <w:rsid w:val="00D65C1A"/>
    <w:rsid w:val="00D65C61"/>
    <w:rsid w:val="00D65EF7"/>
    <w:rsid w:val="00D66088"/>
    <w:rsid w:val="00D676F4"/>
    <w:rsid w:val="00D679CC"/>
    <w:rsid w:val="00D703C1"/>
    <w:rsid w:val="00D70FAD"/>
    <w:rsid w:val="00D716E2"/>
    <w:rsid w:val="00D7266D"/>
    <w:rsid w:val="00D72FA1"/>
    <w:rsid w:val="00D7335C"/>
    <w:rsid w:val="00D73C43"/>
    <w:rsid w:val="00D740D8"/>
    <w:rsid w:val="00D742DB"/>
    <w:rsid w:val="00D748B7"/>
    <w:rsid w:val="00D77325"/>
    <w:rsid w:val="00D809FF"/>
    <w:rsid w:val="00D81E37"/>
    <w:rsid w:val="00D821A2"/>
    <w:rsid w:val="00D8261B"/>
    <w:rsid w:val="00D8272B"/>
    <w:rsid w:val="00D83B96"/>
    <w:rsid w:val="00D844D4"/>
    <w:rsid w:val="00D848A7"/>
    <w:rsid w:val="00D85511"/>
    <w:rsid w:val="00D86726"/>
    <w:rsid w:val="00D875B3"/>
    <w:rsid w:val="00D901A3"/>
    <w:rsid w:val="00D915A4"/>
    <w:rsid w:val="00D92701"/>
    <w:rsid w:val="00D92FE1"/>
    <w:rsid w:val="00D9316E"/>
    <w:rsid w:val="00D932BC"/>
    <w:rsid w:val="00D93BF5"/>
    <w:rsid w:val="00D9450C"/>
    <w:rsid w:val="00D94C7A"/>
    <w:rsid w:val="00D952F9"/>
    <w:rsid w:val="00D95424"/>
    <w:rsid w:val="00D9556A"/>
    <w:rsid w:val="00D95A34"/>
    <w:rsid w:val="00D95D96"/>
    <w:rsid w:val="00D96951"/>
    <w:rsid w:val="00D96A2F"/>
    <w:rsid w:val="00D974DC"/>
    <w:rsid w:val="00D97FB7"/>
    <w:rsid w:val="00DA0113"/>
    <w:rsid w:val="00DA063D"/>
    <w:rsid w:val="00DA1180"/>
    <w:rsid w:val="00DA1B28"/>
    <w:rsid w:val="00DA1B5C"/>
    <w:rsid w:val="00DA1E9E"/>
    <w:rsid w:val="00DA24C0"/>
    <w:rsid w:val="00DA25F0"/>
    <w:rsid w:val="00DA28AB"/>
    <w:rsid w:val="00DA2CC4"/>
    <w:rsid w:val="00DA2E4A"/>
    <w:rsid w:val="00DA305F"/>
    <w:rsid w:val="00DA32FE"/>
    <w:rsid w:val="00DA3D47"/>
    <w:rsid w:val="00DA46D3"/>
    <w:rsid w:val="00DA4BDA"/>
    <w:rsid w:val="00DA4CAC"/>
    <w:rsid w:val="00DA4EE4"/>
    <w:rsid w:val="00DA530D"/>
    <w:rsid w:val="00DA5588"/>
    <w:rsid w:val="00DA5BDE"/>
    <w:rsid w:val="00DA6275"/>
    <w:rsid w:val="00DA68D2"/>
    <w:rsid w:val="00DA79A5"/>
    <w:rsid w:val="00DA7FB0"/>
    <w:rsid w:val="00DB078E"/>
    <w:rsid w:val="00DB13D7"/>
    <w:rsid w:val="00DB14FC"/>
    <w:rsid w:val="00DB30B8"/>
    <w:rsid w:val="00DB3102"/>
    <w:rsid w:val="00DB33F0"/>
    <w:rsid w:val="00DB3585"/>
    <w:rsid w:val="00DB3A58"/>
    <w:rsid w:val="00DB3A7F"/>
    <w:rsid w:val="00DB3F63"/>
    <w:rsid w:val="00DB4B0D"/>
    <w:rsid w:val="00DB4DA1"/>
    <w:rsid w:val="00DB5F07"/>
    <w:rsid w:val="00DB6ABE"/>
    <w:rsid w:val="00DB6E8F"/>
    <w:rsid w:val="00DB6F52"/>
    <w:rsid w:val="00DC07BF"/>
    <w:rsid w:val="00DC0AD3"/>
    <w:rsid w:val="00DC1083"/>
    <w:rsid w:val="00DC1118"/>
    <w:rsid w:val="00DC1272"/>
    <w:rsid w:val="00DC18DB"/>
    <w:rsid w:val="00DC1B1B"/>
    <w:rsid w:val="00DC249D"/>
    <w:rsid w:val="00DC24E5"/>
    <w:rsid w:val="00DC24FD"/>
    <w:rsid w:val="00DC28AF"/>
    <w:rsid w:val="00DC2961"/>
    <w:rsid w:val="00DC330F"/>
    <w:rsid w:val="00DC3485"/>
    <w:rsid w:val="00DC3716"/>
    <w:rsid w:val="00DC3E3A"/>
    <w:rsid w:val="00DC5198"/>
    <w:rsid w:val="00DC5AB1"/>
    <w:rsid w:val="00DC5F39"/>
    <w:rsid w:val="00DC62C7"/>
    <w:rsid w:val="00DC68EB"/>
    <w:rsid w:val="00DC7960"/>
    <w:rsid w:val="00DD07C1"/>
    <w:rsid w:val="00DD087F"/>
    <w:rsid w:val="00DD0914"/>
    <w:rsid w:val="00DD0B9F"/>
    <w:rsid w:val="00DD0D93"/>
    <w:rsid w:val="00DD15AE"/>
    <w:rsid w:val="00DD1CC2"/>
    <w:rsid w:val="00DD2245"/>
    <w:rsid w:val="00DD26C8"/>
    <w:rsid w:val="00DD2918"/>
    <w:rsid w:val="00DD2985"/>
    <w:rsid w:val="00DD3139"/>
    <w:rsid w:val="00DD31C8"/>
    <w:rsid w:val="00DD3410"/>
    <w:rsid w:val="00DD3428"/>
    <w:rsid w:val="00DD4828"/>
    <w:rsid w:val="00DD4FBE"/>
    <w:rsid w:val="00DD536C"/>
    <w:rsid w:val="00DD555F"/>
    <w:rsid w:val="00DD5A67"/>
    <w:rsid w:val="00DD5BE3"/>
    <w:rsid w:val="00DD5E5E"/>
    <w:rsid w:val="00DD5ED0"/>
    <w:rsid w:val="00DD6254"/>
    <w:rsid w:val="00DD6782"/>
    <w:rsid w:val="00DD7573"/>
    <w:rsid w:val="00DD7EF8"/>
    <w:rsid w:val="00DE0113"/>
    <w:rsid w:val="00DE026E"/>
    <w:rsid w:val="00DE0475"/>
    <w:rsid w:val="00DE05AF"/>
    <w:rsid w:val="00DE0731"/>
    <w:rsid w:val="00DE0870"/>
    <w:rsid w:val="00DE09E2"/>
    <w:rsid w:val="00DE17FB"/>
    <w:rsid w:val="00DE1B72"/>
    <w:rsid w:val="00DE1C86"/>
    <w:rsid w:val="00DE1E75"/>
    <w:rsid w:val="00DE2849"/>
    <w:rsid w:val="00DE2C5A"/>
    <w:rsid w:val="00DE3B6C"/>
    <w:rsid w:val="00DE4A5C"/>
    <w:rsid w:val="00DE520E"/>
    <w:rsid w:val="00DE5872"/>
    <w:rsid w:val="00DE625D"/>
    <w:rsid w:val="00DE6D39"/>
    <w:rsid w:val="00DE6E8F"/>
    <w:rsid w:val="00DE77E9"/>
    <w:rsid w:val="00DF112A"/>
    <w:rsid w:val="00DF1167"/>
    <w:rsid w:val="00DF1B65"/>
    <w:rsid w:val="00DF1DF0"/>
    <w:rsid w:val="00DF248A"/>
    <w:rsid w:val="00DF2A17"/>
    <w:rsid w:val="00DF2C91"/>
    <w:rsid w:val="00DF3230"/>
    <w:rsid w:val="00DF37C8"/>
    <w:rsid w:val="00DF3871"/>
    <w:rsid w:val="00DF39D1"/>
    <w:rsid w:val="00DF3C7A"/>
    <w:rsid w:val="00DF402C"/>
    <w:rsid w:val="00DF412D"/>
    <w:rsid w:val="00DF4693"/>
    <w:rsid w:val="00DF4CAE"/>
    <w:rsid w:val="00DF5AB2"/>
    <w:rsid w:val="00DF65EC"/>
    <w:rsid w:val="00DF69EE"/>
    <w:rsid w:val="00DF6B7D"/>
    <w:rsid w:val="00DF73F3"/>
    <w:rsid w:val="00DF76BA"/>
    <w:rsid w:val="00DF77F0"/>
    <w:rsid w:val="00DF7E4E"/>
    <w:rsid w:val="00E007D4"/>
    <w:rsid w:val="00E00ADB"/>
    <w:rsid w:val="00E01050"/>
    <w:rsid w:val="00E016DC"/>
    <w:rsid w:val="00E01A54"/>
    <w:rsid w:val="00E022ED"/>
    <w:rsid w:val="00E024DB"/>
    <w:rsid w:val="00E026D1"/>
    <w:rsid w:val="00E03430"/>
    <w:rsid w:val="00E03497"/>
    <w:rsid w:val="00E03B77"/>
    <w:rsid w:val="00E048E7"/>
    <w:rsid w:val="00E050AB"/>
    <w:rsid w:val="00E05DAC"/>
    <w:rsid w:val="00E05E4E"/>
    <w:rsid w:val="00E05F7B"/>
    <w:rsid w:val="00E06B08"/>
    <w:rsid w:val="00E06B09"/>
    <w:rsid w:val="00E06C0A"/>
    <w:rsid w:val="00E07650"/>
    <w:rsid w:val="00E07664"/>
    <w:rsid w:val="00E0774C"/>
    <w:rsid w:val="00E07AB7"/>
    <w:rsid w:val="00E07BC0"/>
    <w:rsid w:val="00E07DB6"/>
    <w:rsid w:val="00E10508"/>
    <w:rsid w:val="00E10B32"/>
    <w:rsid w:val="00E11103"/>
    <w:rsid w:val="00E112E4"/>
    <w:rsid w:val="00E116DF"/>
    <w:rsid w:val="00E11F47"/>
    <w:rsid w:val="00E12B81"/>
    <w:rsid w:val="00E13163"/>
    <w:rsid w:val="00E13BE2"/>
    <w:rsid w:val="00E13F7B"/>
    <w:rsid w:val="00E143D4"/>
    <w:rsid w:val="00E1463E"/>
    <w:rsid w:val="00E14991"/>
    <w:rsid w:val="00E14F73"/>
    <w:rsid w:val="00E1577A"/>
    <w:rsid w:val="00E15F21"/>
    <w:rsid w:val="00E168B3"/>
    <w:rsid w:val="00E16CEE"/>
    <w:rsid w:val="00E17666"/>
    <w:rsid w:val="00E17AF9"/>
    <w:rsid w:val="00E20986"/>
    <w:rsid w:val="00E20A8C"/>
    <w:rsid w:val="00E20C6A"/>
    <w:rsid w:val="00E20E4C"/>
    <w:rsid w:val="00E2133D"/>
    <w:rsid w:val="00E21489"/>
    <w:rsid w:val="00E214F0"/>
    <w:rsid w:val="00E2167E"/>
    <w:rsid w:val="00E21890"/>
    <w:rsid w:val="00E2196D"/>
    <w:rsid w:val="00E21E89"/>
    <w:rsid w:val="00E226D8"/>
    <w:rsid w:val="00E22A2E"/>
    <w:rsid w:val="00E22ADF"/>
    <w:rsid w:val="00E22C8F"/>
    <w:rsid w:val="00E23072"/>
    <w:rsid w:val="00E23ACD"/>
    <w:rsid w:val="00E24D18"/>
    <w:rsid w:val="00E25040"/>
    <w:rsid w:val="00E2542A"/>
    <w:rsid w:val="00E2549B"/>
    <w:rsid w:val="00E25973"/>
    <w:rsid w:val="00E26C3D"/>
    <w:rsid w:val="00E26E59"/>
    <w:rsid w:val="00E27241"/>
    <w:rsid w:val="00E27B7D"/>
    <w:rsid w:val="00E27C1A"/>
    <w:rsid w:val="00E27FE8"/>
    <w:rsid w:val="00E303A6"/>
    <w:rsid w:val="00E304F4"/>
    <w:rsid w:val="00E3052E"/>
    <w:rsid w:val="00E30B0D"/>
    <w:rsid w:val="00E3141B"/>
    <w:rsid w:val="00E31A80"/>
    <w:rsid w:val="00E31AF5"/>
    <w:rsid w:val="00E31D6D"/>
    <w:rsid w:val="00E31DA0"/>
    <w:rsid w:val="00E32394"/>
    <w:rsid w:val="00E33795"/>
    <w:rsid w:val="00E345C9"/>
    <w:rsid w:val="00E3495F"/>
    <w:rsid w:val="00E35F62"/>
    <w:rsid w:val="00E35FC5"/>
    <w:rsid w:val="00E36269"/>
    <w:rsid w:val="00E3642D"/>
    <w:rsid w:val="00E364BE"/>
    <w:rsid w:val="00E37370"/>
    <w:rsid w:val="00E373B3"/>
    <w:rsid w:val="00E37632"/>
    <w:rsid w:val="00E416E8"/>
    <w:rsid w:val="00E41BDA"/>
    <w:rsid w:val="00E42698"/>
    <w:rsid w:val="00E429B1"/>
    <w:rsid w:val="00E436FC"/>
    <w:rsid w:val="00E43CE9"/>
    <w:rsid w:val="00E43F39"/>
    <w:rsid w:val="00E43F76"/>
    <w:rsid w:val="00E45451"/>
    <w:rsid w:val="00E45472"/>
    <w:rsid w:val="00E4564F"/>
    <w:rsid w:val="00E4566E"/>
    <w:rsid w:val="00E45931"/>
    <w:rsid w:val="00E465C1"/>
    <w:rsid w:val="00E46B44"/>
    <w:rsid w:val="00E46E51"/>
    <w:rsid w:val="00E472E5"/>
    <w:rsid w:val="00E47D0A"/>
    <w:rsid w:val="00E50507"/>
    <w:rsid w:val="00E50DF7"/>
    <w:rsid w:val="00E51243"/>
    <w:rsid w:val="00E51263"/>
    <w:rsid w:val="00E51F16"/>
    <w:rsid w:val="00E521A6"/>
    <w:rsid w:val="00E52BBC"/>
    <w:rsid w:val="00E52D47"/>
    <w:rsid w:val="00E5383C"/>
    <w:rsid w:val="00E54178"/>
    <w:rsid w:val="00E54E09"/>
    <w:rsid w:val="00E55638"/>
    <w:rsid w:val="00E55B6B"/>
    <w:rsid w:val="00E55F2A"/>
    <w:rsid w:val="00E56792"/>
    <w:rsid w:val="00E57167"/>
    <w:rsid w:val="00E57602"/>
    <w:rsid w:val="00E5763F"/>
    <w:rsid w:val="00E60ECB"/>
    <w:rsid w:val="00E6138D"/>
    <w:rsid w:val="00E61A30"/>
    <w:rsid w:val="00E62436"/>
    <w:rsid w:val="00E63402"/>
    <w:rsid w:val="00E63684"/>
    <w:rsid w:val="00E63915"/>
    <w:rsid w:val="00E639FB"/>
    <w:rsid w:val="00E63BED"/>
    <w:rsid w:val="00E63CEF"/>
    <w:rsid w:val="00E63F50"/>
    <w:rsid w:val="00E647C9"/>
    <w:rsid w:val="00E64896"/>
    <w:rsid w:val="00E6585D"/>
    <w:rsid w:val="00E65BB8"/>
    <w:rsid w:val="00E660C9"/>
    <w:rsid w:val="00E66581"/>
    <w:rsid w:val="00E66908"/>
    <w:rsid w:val="00E673E1"/>
    <w:rsid w:val="00E67972"/>
    <w:rsid w:val="00E70499"/>
    <w:rsid w:val="00E704C4"/>
    <w:rsid w:val="00E70719"/>
    <w:rsid w:val="00E70914"/>
    <w:rsid w:val="00E713F5"/>
    <w:rsid w:val="00E71546"/>
    <w:rsid w:val="00E719C1"/>
    <w:rsid w:val="00E71A82"/>
    <w:rsid w:val="00E72E67"/>
    <w:rsid w:val="00E7314C"/>
    <w:rsid w:val="00E73377"/>
    <w:rsid w:val="00E73448"/>
    <w:rsid w:val="00E7358D"/>
    <w:rsid w:val="00E73A82"/>
    <w:rsid w:val="00E7443F"/>
    <w:rsid w:val="00E74541"/>
    <w:rsid w:val="00E749B6"/>
    <w:rsid w:val="00E74A01"/>
    <w:rsid w:val="00E753E2"/>
    <w:rsid w:val="00E75895"/>
    <w:rsid w:val="00E76A62"/>
    <w:rsid w:val="00E7710B"/>
    <w:rsid w:val="00E7739B"/>
    <w:rsid w:val="00E776BF"/>
    <w:rsid w:val="00E80201"/>
    <w:rsid w:val="00E80EA6"/>
    <w:rsid w:val="00E8105B"/>
    <w:rsid w:val="00E81206"/>
    <w:rsid w:val="00E81649"/>
    <w:rsid w:val="00E816F3"/>
    <w:rsid w:val="00E8180A"/>
    <w:rsid w:val="00E81AA8"/>
    <w:rsid w:val="00E81CC0"/>
    <w:rsid w:val="00E82B13"/>
    <w:rsid w:val="00E8402D"/>
    <w:rsid w:val="00E84BDF"/>
    <w:rsid w:val="00E85E95"/>
    <w:rsid w:val="00E86927"/>
    <w:rsid w:val="00E86D38"/>
    <w:rsid w:val="00E876D3"/>
    <w:rsid w:val="00E87970"/>
    <w:rsid w:val="00E87E45"/>
    <w:rsid w:val="00E87EAF"/>
    <w:rsid w:val="00E901AC"/>
    <w:rsid w:val="00E90B62"/>
    <w:rsid w:val="00E90C0C"/>
    <w:rsid w:val="00E90CEA"/>
    <w:rsid w:val="00E914AB"/>
    <w:rsid w:val="00E9186A"/>
    <w:rsid w:val="00E919AB"/>
    <w:rsid w:val="00E91B0F"/>
    <w:rsid w:val="00E9291F"/>
    <w:rsid w:val="00E931EC"/>
    <w:rsid w:val="00E9367A"/>
    <w:rsid w:val="00E93A18"/>
    <w:rsid w:val="00E93C2B"/>
    <w:rsid w:val="00E944F1"/>
    <w:rsid w:val="00E94B0C"/>
    <w:rsid w:val="00E94F86"/>
    <w:rsid w:val="00E9517F"/>
    <w:rsid w:val="00E9599D"/>
    <w:rsid w:val="00E95A50"/>
    <w:rsid w:val="00E961A5"/>
    <w:rsid w:val="00E9628D"/>
    <w:rsid w:val="00E96567"/>
    <w:rsid w:val="00E969A7"/>
    <w:rsid w:val="00E97339"/>
    <w:rsid w:val="00EA01F5"/>
    <w:rsid w:val="00EA0324"/>
    <w:rsid w:val="00EA0BCB"/>
    <w:rsid w:val="00EA1152"/>
    <w:rsid w:val="00EA1173"/>
    <w:rsid w:val="00EA1829"/>
    <w:rsid w:val="00EA1A5B"/>
    <w:rsid w:val="00EA1C32"/>
    <w:rsid w:val="00EA1D34"/>
    <w:rsid w:val="00EA38FF"/>
    <w:rsid w:val="00EA3916"/>
    <w:rsid w:val="00EA3966"/>
    <w:rsid w:val="00EA3B34"/>
    <w:rsid w:val="00EA3C14"/>
    <w:rsid w:val="00EA44CA"/>
    <w:rsid w:val="00EA5B4A"/>
    <w:rsid w:val="00EA6074"/>
    <w:rsid w:val="00EA6AFD"/>
    <w:rsid w:val="00EA72C0"/>
    <w:rsid w:val="00EA790F"/>
    <w:rsid w:val="00EA7A36"/>
    <w:rsid w:val="00EA7C47"/>
    <w:rsid w:val="00EB0D83"/>
    <w:rsid w:val="00EB12C0"/>
    <w:rsid w:val="00EB15BE"/>
    <w:rsid w:val="00EB1CCE"/>
    <w:rsid w:val="00EB1E2E"/>
    <w:rsid w:val="00EB289E"/>
    <w:rsid w:val="00EB2A50"/>
    <w:rsid w:val="00EB323E"/>
    <w:rsid w:val="00EB35F9"/>
    <w:rsid w:val="00EB3693"/>
    <w:rsid w:val="00EB3A37"/>
    <w:rsid w:val="00EB3CFE"/>
    <w:rsid w:val="00EB4C35"/>
    <w:rsid w:val="00EB50B3"/>
    <w:rsid w:val="00EB5A35"/>
    <w:rsid w:val="00EB5FAD"/>
    <w:rsid w:val="00EB5FFF"/>
    <w:rsid w:val="00EB619F"/>
    <w:rsid w:val="00EB6340"/>
    <w:rsid w:val="00EB64C1"/>
    <w:rsid w:val="00EB6708"/>
    <w:rsid w:val="00EB739B"/>
    <w:rsid w:val="00EB7C5C"/>
    <w:rsid w:val="00EC04F2"/>
    <w:rsid w:val="00EC0BDE"/>
    <w:rsid w:val="00EC0F40"/>
    <w:rsid w:val="00EC1845"/>
    <w:rsid w:val="00EC190A"/>
    <w:rsid w:val="00EC218C"/>
    <w:rsid w:val="00EC2415"/>
    <w:rsid w:val="00EC2D36"/>
    <w:rsid w:val="00EC3A04"/>
    <w:rsid w:val="00EC3A56"/>
    <w:rsid w:val="00EC3A98"/>
    <w:rsid w:val="00EC3DAB"/>
    <w:rsid w:val="00EC3DCE"/>
    <w:rsid w:val="00EC3EB2"/>
    <w:rsid w:val="00EC3FA4"/>
    <w:rsid w:val="00EC4B6E"/>
    <w:rsid w:val="00EC53C8"/>
    <w:rsid w:val="00EC5404"/>
    <w:rsid w:val="00EC545B"/>
    <w:rsid w:val="00EC6228"/>
    <w:rsid w:val="00EC6BED"/>
    <w:rsid w:val="00EC6DB9"/>
    <w:rsid w:val="00EC6EFB"/>
    <w:rsid w:val="00EC71F1"/>
    <w:rsid w:val="00ED07FB"/>
    <w:rsid w:val="00ED08F7"/>
    <w:rsid w:val="00ED0E56"/>
    <w:rsid w:val="00ED1761"/>
    <w:rsid w:val="00ED18FE"/>
    <w:rsid w:val="00ED1946"/>
    <w:rsid w:val="00ED1C26"/>
    <w:rsid w:val="00ED1C96"/>
    <w:rsid w:val="00ED1E9C"/>
    <w:rsid w:val="00ED2874"/>
    <w:rsid w:val="00ED29C7"/>
    <w:rsid w:val="00ED2B36"/>
    <w:rsid w:val="00ED405A"/>
    <w:rsid w:val="00ED4146"/>
    <w:rsid w:val="00ED4A08"/>
    <w:rsid w:val="00ED5222"/>
    <w:rsid w:val="00ED5961"/>
    <w:rsid w:val="00ED631C"/>
    <w:rsid w:val="00ED6F48"/>
    <w:rsid w:val="00ED70D4"/>
    <w:rsid w:val="00ED758E"/>
    <w:rsid w:val="00ED7B17"/>
    <w:rsid w:val="00EE01C5"/>
    <w:rsid w:val="00EE0266"/>
    <w:rsid w:val="00EE0747"/>
    <w:rsid w:val="00EE11F6"/>
    <w:rsid w:val="00EE13E9"/>
    <w:rsid w:val="00EE1421"/>
    <w:rsid w:val="00EE15F8"/>
    <w:rsid w:val="00EE172E"/>
    <w:rsid w:val="00EE1BD9"/>
    <w:rsid w:val="00EE1D3E"/>
    <w:rsid w:val="00EE1E6C"/>
    <w:rsid w:val="00EE1F38"/>
    <w:rsid w:val="00EE216B"/>
    <w:rsid w:val="00EE224E"/>
    <w:rsid w:val="00EE26D9"/>
    <w:rsid w:val="00EE276E"/>
    <w:rsid w:val="00EE2A03"/>
    <w:rsid w:val="00EE2BA8"/>
    <w:rsid w:val="00EE3098"/>
    <w:rsid w:val="00EE344E"/>
    <w:rsid w:val="00EE3466"/>
    <w:rsid w:val="00EE3525"/>
    <w:rsid w:val="00EE3D1D"/>
    <w:rsid w:val="00EE3DA3"/>
    <w:rsid w:val="00EE3EB1"/>
    <w:rsid w:val="00EE3EBF"/>
    <w:rsid w:val="00EE3FE7"/>
    <w:rsid w:val="00EE400D"/>
    <w:rsid w:val="00EE4162"/>
    <w:rsid w:val="00EE43CE"/>
    <w:rsid w:val="00EE440A"/>
    <w:rsid w:val="00EE464B"/>
    <w:rsid w:val="00EE480A"/>
    <w:rsid w:val="00EE4EA1"/>
    <w:rsid w:val="00EE6139"/>
    <w:rsid w:val="00EE62D9"/>
    <w:rsid w:val="00EE732F"/>
    <w:rsid w:val="00EE772E"/>
    <w:rsid w:val="00EF03EB"/>
    <w:rsid w:val="00EF08DB"/>
    <w:rsid w:val="00EF0F65"/>
    <w:rsid w:val="00EF10FF"/>
    <w:rsid w:val="00EF11D3"/>
    <w:rsid w:val="00EF29BE"/>
    <w:rsid w:val="00EF340A"/>
    <w:rsid w:val="00EF3558"/>
    <w:rsid w:val="00EF35EE"/>
    <w:rsid w:val="00EF40D1"/>
    <w:rsid w:val="00EF491D"/>
    <w:rsid w:val="00EF4C12"/>
    <w:rsid w:val="00EF52BD"/>
    <w:rsid w:val="00EF5D9B"/>
    <w:rsid w:val="00EF69EC"/>
    <w:rsid w:val="00EF6B7C"/>
    <w:rsid w:val="00EF6E6E"/>
    <w:rsid w:val="00EF6FF1"/>
    <w:rsid w:val="00EF7CC3"/>
    <w:rsid w:val="00EF7F66"/>
    <w:rsid w:val="00F00103"/>
    <w:rsid w:val="00F007BD"/>
    <w:rsid w:val="00F00A48"/>
    <w:rsid w:val="00F012A1"/>
    <w:rsid w:val="00F015E1"/>
    <w:rsid w:val="00F019B0"/>
    <w:rsid w:val="00F01F9C"/>
    <w:rsid w:val="00F02542"/>
    <w:rsid w:val="00F02CCE"/>
    <w:rsid w:val="00F02CFD"/>
    <w:rsid w:val="00F03056"/>
    <w:rsid w:val="00F037F5"/>
    <w:rsid w:val="00F03982"/>
    <w:rsid w:val="00F039AD"/>
    <w:rsid w:val="00F03A95"/>
    <w:rsid w:val="00F03DBE"/>
    <w:rsid w:val="00F0447D"/>
    <w:rsid w:val="00F04589"/>
    <w:rsid w:val="00F0463A"/>
    <w:rsid w:val="00F048E0"/>
    <w:rsid w:val="00F05311"/>
    <w:rsid w:val="00F053D5"/>
    <w:rsid w:val="00F05513"/>
    <w:rsid w:val="00F059C5"/>
    <w:rsid w:val="00F05BA6"/>
    <w:rsid w:val="00F065BF"/>
    <w:rsid w:val="00F06733"/>
    <w:rsid w:val="00F06826"/>
    <w:rsid w:val="00F07965"/>
    <w:rsid w:val="00F10989"/>
    <w:rsid w:val="00F10F9F"/>
    <w:rsid w:val="00F114D8"/>
    <w:rsid w:val="00F11B0D"/>
    <w:rsid w:val="00F11C22"/>
    <w:rsid w:val="00F120F3"/>
    <w:rsid w:val="00F12435"/>
    <w:rsid w:val="00F1284E"/>
    <w:rsid w:val="00F12DC1"/>
    <w:rsid w:val="00F13112"/>
    <w:rsid w:val="00F13145"/>
    <w:rsid w:val="00F13300"/>
    <w:rsid w:val="00F1332E"/>
    <w:rsid w:val="00F13523"/>
    <w:rsid w:val="00F138B2"/>
    <w:rsid w:val="00F14335"/>
    <w:rsid w:val="00F144C3"/>
    <w:rsid w:val="00F14F06"/>
    <w:rsid w:val="00F15412"/>
    <w:rsid w:val="00F159C6"/>
    <w:rsid w:val="00F15CA8"/>
    <w:rsid w:val="00F15DBF"/>
    <w:rsid w:val="00F16431"/>
    <w:rsid w:val="00F16A94"/>
    <w:rsid w:val="00F17013"/>
    <w:rsid w:val="00F173EB"/>
    <w:rsid w:val="00F17595"/>
    <w:rsid w:val="00F17A85"/>
    <w:rsid w:val="00F20170"/>
    <w:rsid w:val="00F2096F"/>
    <w:rsid w:val="00F20D18"/>
    <w:rsid w:val="00F20F44"/>
    <w:rsid w:val="00F218DF"/>
    <w:rsid w:val="00F21A33"/>
    <w:rsid w:val="00F21A85"/>
    <w:rsid w:val="00F22577"/>
    <w:rsid w:val="00F2293D"/>
    <w:rsid w:val="00F22D00"/>
    <w:rsid w:val="00F23316"/>
    <w:rsid w:val="00F23700"/>
    <w:rsid w:val="00F23AB2"/>
    <w:rsid w:val="00F24121"/>
    <w:rsid w:val="00F24BC8"/>
    <w:rsid w:val="00F25718"/>
    <w:rsid w:val="00F25885"/>
    <w:rsid w:val="00F25E9D"/>
    <w:rsid w:val="00F26266"/>
    <w:rsid w:val="00F264DD"/>
    <w:rsid w:val="00F265DA"/>
    <w:rsid w:val="00F2669E"/>
    <w:rsid w:val="00F266AB"/>
    <w:rsid w:val="00F268C7"/>
    <w:rsid w:val="00F271BD"/>
    <w:rsid w:val="00F27410"/>
    <w:rsid w:val="00F2776B"/>
    <w:rsid w:val="00F27E27"/>
    <w:rsid w:val="00F30535"/>
    <w:rsid w:val="00F30EB3"/>
    <w:rsid w:val="00F31A0D"/>
    <w:rsid w:val="00F32148"/>
    <w:rsid w:val="00F324FD"/>
    <w:rsid w:val="00F33218"/>
    <w:rsid w:val="00F33F2F"/>
    <w:rsid w:val="00F3507D"/>
    <w:rsid w:val="00F35498"/>
    <w:rsid w:val="00F35E9E"/>
    <w:rsid w:val="00F35FD8"/>
    <w:rsid w:val="00F36145"/>
    <w:rsid w:val="00F3624D"/>
    <w:rsid w:val="00F366AD"/>
    <w:rsid w:val="00F36914"/>
    <w:rsid w:val="00F36BBA"/>
    <w:rsid w:val="00F37902"/>
    <w:rsid w:val="00F37905"/>
    <w:rsid w:val="00F37947"/>
    <w:rsid w:val="00F37997"/>
    <w:rsid w:val="00F40989"/>
    <w:rsid w:val="00F40C39"/>
    <w:rsid w:val="00F4129D"/>
    <w:rsid w:val="00F414C5"/>
    <w:rsid w:val="00F41F40"/>
    <w:rsid w:val="00F420E5"/>
    <w:rsid w:val="00F42730"/>
    <w:rsid w:val="00F42A4E"/>
    <w:rsid w:val="00F43445"/>
    <w:rsid w:val="00F43DA5"/>
    <w:rsid w:val="00F43E5E"/>
    <w:rsid w:val="00F448D2"/>
    <w:rsid w:val="00F44BB6"/>
    <w:rsid w:val="00F45073"/>
    <w:rsid w:val="00F45DD1"/>
    <w:rsid w:val="00F46513"/>
    <w:rsid w:val="00F46662"/>
    <w:rsid w:val="00F47044"/>
    <w:rsid w:val="00F4720D"/>
    <w:rsid w:val="00F47216"/>
    <w:rsid w:val="00F47376"/>
    <w:rsid w:val="00F474E9"/>
    <w:rsid w:val="00F479DD"/>
    <w:rsid w:val="00F47CE3"/>
    <w:rsid w:val="00F5024E"/>
    <w:rsid w:val="00F50E6F"/>
    <w:rsid w:val="00F519DC"/>
    <w:rsid w:val="00F52232"/>
    <w:rsid w:val="00F527B4"/>
    <w:rsid w:val="00F52990"/>
    <w:rsid w:val="00F52A7D"/>
    <w:rsid w:val="00F52C56"/>
    <w:rsid w:val="00F53E5C"/>
    <w:rsid w:val="00F548D3"/>
    <w:rsid w:val="00F54A53"/>
    <w:rsid w:val="00F5518C"/>
    <w:rsid w:val="00F552FA"/>
    <w:rsid w:val="00F55F24"/>
    <w:rsid w:val="00F56196"/>
    <w:rsid w:val="00F56606"/>
    <w:rsid w:val="00F568F1"/>
    <w:rsid w:val="00F572A9"/>
    <w:rsid w:val="00F57615"/>
    <w:rsid w:val="00F57650"/>
    <w:rsid w:val="00F5791F"/>
    <w:rsid w:val="00F57CB4"/>
    <w:rsid w:val="00F6022E"/>
    <w:rsid w:val="00F602B0"/>
    <w:rsid w:val="00F6038A"/>
    <w:rsid w:val="00F6056B"/>
    <w:rsid w:val="00F6074F"/>
    <w:rsid w:val="00F60783"/>
    <w:rsid w:val="00F60ABD"/>
    <w:rsid w:val="00F60F1B"/>
    <w:rsid w:val="00F61A5D"/>
    <w:rsid w:val="00F61E0E"/>
    <w:rsid w:val="00F6201B"/>
    <w:rsid w:val="00F62374"/>
    <w:rsid w:val="00F6238D"/>
    <w:rsid w:val="00F62D78"/>
    <w:rsid w:val="00F63413"/>
    <w:rsid w:val="00F63C4D"/>
    <w:rsid w:val="00F63FC3"/>
    <w:rsid w:val="00F643AE"/>
    <w:rsid w:val="00F644F3"/>
    <w:rsid w:val="00F645A5"/>
    <w:rsid w:val="00F6461F"/>
    <w:rsid w:val="00F64E86"/>
    <w:rsid w:val="00F64F7B"/>
    <w:rsid w:val="00F6564B"/>
    <w:rsid w:val="00F6564D"/>
    <w:rsid w:val="00F66367"/>
    <w:rsid w:val="00F670C0"/>
    <w:rsid w:val="00F70252"/>
    <w:rsid w:val="00F709BA"/>
    <w:rsid w:val="00F70D8C"/>
    <w:rsid w:val="00F70DF1"/>
    <w:rsid w:val="00F71183"/>
    <w:rsid w:val="00F71B86"/>
    <w:rsid w:val="00F725F3"/>
    <w:rsid w:val="00F72F2A"/>
    <w:rsid w:val="00F73829"/>
    <w:rsid w:val="00F73A12"/>
    <w:rsid w:val="00F73F99"/>
    <w:rsid w:val="00F73FC6"/>
    <w:rsid w:val="00F74DE1"/>
    <w:rsid w:val="00F74DEB"/>
    <w:rsid w:val="00F75405"/>
    <w:rsid w:val="00F7548A"/>
    <w:rsid w:val="00F75B48"/>
    <w:rsid w:val="00F75E70"/>
    <w:rsid w:val="00F76012"/>
    <w:rsid w:val="00F76A13"/>
    <w:rsid w:val="00F76AD3"/>
    <w:rsid w:val="00F76D7C"/>
    <w:rsid w:val="00F7716E"/>
    <w:rsid w:val="00F7766C"/>
    <w:rsid w:val="00F77900"/>
    <w:rsid w:val="00F7795E"/>
    <w:rsid w:val="00F80532"/>
    <w:rsid w:val="00F806DA"/>
    <w:rsid w:val="00F80BCA"/>
    <w:rsid w:val="00F80ED3"/>
    <w:rsid w:val="00F80FB8"/>
    <w:rsid w:val="00F818FE"/>
    <w:rsid w:val="00F819D1"/>
    <w:rsid w:val="00F82508"/>
    <w:rsid w:val="00F82A6B"/>
    <w:rsid w:val="00F835D4"/>
    <w:rsid w:val="00F83943"/>
    <w:rsid w:val="00F83EB2"/>
    <w:rsid w:val="00F84D0B"/>
    <w:rsid w:val="00F84DAD"/>
    <w:rsid w:val="00F84DFF"/>
    <w:rsid w:val="00F84FED"/>
    <w:rsid w:val="00F85AC2"/>
    <w:rsid w:val="00F86173"/>
    <w:rsid w:val="00F866B4"/>
    <w:rsid w:val="00F86726"/>
    <w:rsid w:val="00F86B22"/>
    <w:rsid w:val="00F87247"/>
    <w:rsid w:val="00F87AF6"/>
    <w:rsid w:val="00F9072C"/>
    <w:rsid w:val="00F907A1"/>
    <w:rsid w:val="00F90B14"/>
    <w:rsid w:val="00F92138"/>
    <w:rsid w:val="00F92596"/>
    <w:rsid w:val="00F92D8E"/>
    <w:rsid w:val="00F92F1D"/>
    <w:rsid w:val="00F935D9"/>
    <w:rsid w:val="00F935DA"/>
    <w:rsid w:val="00F93A6A"/>
    <w:rsid w:val="00F93B95"/>
    <w:rsid w:val="00F9439F"/>
    <w:rsid w:val="00F94805"/>
    <w:rsid w:val="00F9516F"/>
    <w:rsid w:val="00F9559D"/>
    <w:rsid w:val="00F95C4E"/>
    <w:rsid w:val="00F960B0"/>
    <w:rsid w:val="00F96871"/>
    <w:rsid w:val="00F96D5B"/>
    <w:rsid w:val="00F97278"/>
    <w:rsid w:val="00F975D7"/>
    <w:rsid w:val="00FA1458"/>
    <w:rsid w:val="00FA1A3E"/>
    <w:rsid w:val="00FA1B66"/>
    <w:rsid w:val="00FA1BCE"/>
    <w:rsid w:val="00FA2150"/>
    <w:rsid w:val="00FA21D2"/>
    <w:rsid w:val="00FA22B7"/>
    <w:rsid w:val="00FA2C2F"/>
    <w:rsid w:val="00FA2E13"/>
    <w:rsid w:val="00FA2E68"/>
    <w:rsid w:val="00FA3669"/>
    <w:rsid w:val="00FA3742"/>
    <w:rsid w:val="00FA3746"/>
    <w:rsid w:val="00FA37B7"/>
    <w:rsid w:val="00FA3C37"/>
    <w:rsid w:val="00FA3C6C"/>
    <w:rsid w:val="00FA485F"/>
    <w:rsid w:val="00FA4999"/>
    <w:rsid w:val="00FA49A7"/>
    <w:rsid w:val="00FA4AA0"/>
    <w:rsid w:val="00FA54DE"/>
    <w:rsid w:val="00FA587B"/>
    <w:rsid w:val="00FA6579"/>
    <w:rsid w:val="00FA6892"/>
    <w:rsid w:val="00FA7AB6"/>
    <w:rsid w:val="00FA7B69"/>
    <w:rsid w:val="00FA7C9B"/>
    <w:rsid w:val="00FA7DF2"/>
    <w:rsid w:val="00FB0199"/>
    <w:rsid w:val="00FB0708"/>
    <w:rsid w:val="00FB0731"/>
    <w:rsid w:val="00FB1624"/>
    <w:rsid w:val="00FB169D"/>
    <w:rsid w:val="00FB1B9F"/>
    <w:rsid w:val="00FB1E2C"/>
    <w:rsid w:val="00FB20E0"/>
    <w:rsid w:val="00FB2890"/>
    <w:rsid w:val="00FB2BA0"/>
    <w:rsid w:val="00FB2D3D"/>
    <w:rsid w:val="00FB3624"/>
    <w:rsid w:val="00FB36D8"/>
    <w:rsid w:val="00FB36FE"/>
    <w:rsid w:val="00FB37BE"/>
    <w:rsid w:val="00FB3B0C"/>
    <w:rsid w:val="00FB4443"/>
    <w:rsid w:val="00FB44AB"/>
    <w:rsid w:val="00FB4B5C"/>
    <w:rsid w:val="00FB503C"/>
    <w:rsid w:val="00FB5662"/>
    <w:rsid w:val="00FB5B54"/>
    <w:rsid w:val="00FB5E4B"/>
    <w:rsid w:val="00FB63CF"/>
    <w:rsid w:val="00FC093A"/>
    <w:rsid w:val="00FC17B1"/>
    <w:rsid w:val="00FC20DF"/>
    <w:rsid w:val="00FC21BC"/>
    <w:rsid w:val="00FC2469"/>
    <w:rsid w:val="00FC3079"/>
    <w:rsid w:val="00FC343C"/>
    <w:rsid w:val="00FC37D5"/>
    <w:rsid w:val="00FC3B70"/>
    <w:rsid w:val="00FC42A3"/>
    <w:rsid w:val="00FC5489"/>
    <w:rsid w:val="00FC66DA"/>
    <w:rsid w:val="00FC70D5"/>
    <w:rsid w:val="00FD0237"/>
    <w:rsid w:val="00FD0577"/>
    <w:rsid w:val="00FD0DDD"/>
    <w:rsid w:val="00FD0FE8"/>
    <w:rsid w:val="00FD14EA"/>
    <w:rsid w:val="00FD169E"/>
    <w:rsid w:val="00FD1828"/>
    <w:rsid w:val="00FD1B05"/>
    <w:rsid w:val="00FD234E"/>
    <w:rsid w:val="00FD2D65"/>
    <w:rsid w:val="00FD3038"/>
    <w:rsid w:val="00FD3587"/>
    <w:rsid w:val="00FD415E"/>
    <w:rsid w:val="00FD432F"/>
    <w:rsid w:val="00FD44EA"/>
    <w:rsid w:val="00FD4775"/>
    <w:rsid w:val="00FD477B"/>
    <w:rsid w:val="00FD4872"/>
    <w:rsid w:val="00FD496D"/>
    <w:rsid w:val="00FD4D32"/>
    <w:rsid w:val="00FD5128"/>
    <w:rsid w:val="00FD57D0"/>
    <w:rsid w:val="00FD5974"/>
    <w:rsid w:val="00FD5D0B"/>
    <w:rsid w:val="00FD5F79"/>
    <w:rsid w:val="00FD63F3"/>
    <w:rsid w:val="00FD675A"/>
    <w:rsid w:val="00FD694D"/>
    <w:rsid w:val="00FD719E"/>
    <w:rsid w:val="00FD71F9"/>
    <w:rsid w:val="00FD78B1"/>
    <w:rsid w:val="00FD7C18"/>
    <w:rsid w:val="00FD7E9C"/>
    <w:rsid w:val="00FD7F39"/>
    <w:rsid w:val="00FE0530"/>
    <w:rsid w:val="00FE054D"/>
    <w:rsid w:val="00FE0B8F"/>
    <w:rsid w:val="00FE0DB1"/>
    <w:rsid w:val="00FE123B"/>
    <w:rsid w:val="00FE1E66"/>
    <w:rsid w:val="00FE224C"/>
    <w:rsid w:val="00FE2D21"/>
    <w:rsid w:val="00FE3263"/>
    <w:rsid w:val="00FE406D"/>
    <w:rsid w:val="00FE465D"/>
    <w:rsid w:val="00FE48DE"/>
    <w:rsid w:val="00FE533E"/>
    <w:rsid w:val="00FE5516"/>
    <w:rsid w:val="00FE5C3D"/>
    <w:rsid w:val="00FE625F"/>
    <w:rsid w:val="00FE6566"/>
    <w:rsid w:val="00FE7163"/>
    <w:rsid w:val="00FE72BE"/>
    <w:rsid w:val="00FE7A44"/>
    <w:rsid w:val="00FE7DB4"/>
    <w:rsid w:val="00FF004B"/>
    <w:rsid w:val="00FF052D"/>
    <w:rsid w:val="00FF0A4D"/>
    <w:rsid w:val="00FF0B8D"/>
    <w:rsid w:val="00FF1B56"/>
    <w:rsid w:val="00FF2133"/>
    <w:rsid w:val="00FF25A4"/>
    <w:rsid w:val="00FF2625"/>
    <w:rsid w:val="00FF26FF"/>
    <w:rsid w:val="00FF2960"/>
    <w:rsid w:val="00FF2DE3"/>
    <w:rsid w:val="00FF358A"/>
    <w:rsid w:val="00FF40F5"/>
    <w:rsid w:val="00FF43D8"/>
    <w:rsid w:val="00FF47CC"/>
    <w:rsid w:val="00FF4EEB"/>
    <w:rsid w:val="00FF546B"/>
    <w:rsid w:val="00FF54A0"/>
    <w:rsid w:val="00FF5B6A"/>
    <w:rsid w:val="00FF5F39"/>
    <w:rsid w:val="00FF5FEF"/>
    <w:rsid w:val="00FF6162"/>
    <w:rsid w:val="00FF6AD6"/>
    <w:rsid w:val="00FF6ADB"/>
    <w:rsid w:val="00FF6D13"/>
    <w:rsid w:val="00FF6F4B"/>
    <w:rsid w:val="00FF7F16"/>
    <w:rsid w:val="011F6A70"/>
    <w:rsid w:val="0125681A"/>
    <w:rsid w:val="01351DB7"/>
    <w:rsid w:val="013F3D86"/>
    <w:rsid w:val="0150059B"/>
    <w:rsid w:val="017658EE"/>
    <w:rsid w:val="018241E3"/>
    <w:rsid w:val="0187172A"/>
    <w:rsid w:val="018A1439"/>
    <w:rsid w:val="0196032D"/>
    <w:rsid w:val="01AC6FF2"/>
    <w:rsid w:val="01B41481"/>
    <w:rsid w:val="01B84694"/>
    <w:rsid w:val="01B8481B"/>
    <w:rsid w:val="01CD5676"/>
    <w:rsid w:val="01E53944"/>
    <w:rsid w:val="01EA312A"/>
    <w:rsid w:val="01F068F2"/>
    <w:rsid w:val="02015B47"/>
    <w:rsid w:val="02235224"/>
    <w:rsid w:val="02282146"/>
    <w:rsid w:val="02345E8B"/>
    <w:rsid w:val="02354F69"/>
    <w:rsid w:val="02500809"/>
    <w:rsid w:val="02621EB2"/>
    <w:rsid w:val="026B4332"/>
    <w:rsid w:val="02850BB3"/>
    <w:rsid w:val="02934CEF"/>
    <w:rsid w:val="02985EFC"/>
    <w:rsid w:val="02A75F90"/>
    <w:rsid w:val="02AA616C"/>
    <w:rsid w:val="02B53CBE"/>
    <w:rsid w:val="02C519A4"/>
    <w:rsid w:val="02C70C22"/>
    <w:rsid w:val="02C766DC"/>
    <w:rsid w:val="02CD15A9"/>
    <w:rsid w:val="02D012D4"/>
    <w:rsid w:val="02E42A9C"/>
    <w:rsid w:val="02FC2C26"/>
    <w:rsid w:val="030B0178"/>
    <w:rsid w:val="033B2F48"/>
    <w:rsid w:val="034B7E0E"/>
    <w:rsid w:val="03576E5E"/>
    <w:rsid w:val="03746140"/>
    <w:rsid w:val="03783D1C"/>
    <w:rsid w:val="038F1B8A"/>
    <w:rsid w:val="03A12977"/>
    <w:rsid w:val="03C0711D"/>
    <w:rsid w:val="03FE4686"/>
    <w:rsid w:val="040A45ED"/>
    <w:rsid w:val="041F0240"/>
    <w:rsid w:val="04687059"/>
    <w:rsid w:val="047636B0"/>
    <w:rsid w:val="047776B3"/>
    <w:rsid w:val="04797C66"/>
    <w:rsid w:val="04823210"/>
    <w:rsid w:val="049709EF"/>
    <w:rsid w:val="04A32E9D"/>
    <w:rsid w:val="04A85A33"/>
    <w:rsid w:val="04B505E1"/>
    <w:rsid w:val="04CA4B7D"/>
    <w:rsid w:val="04DC5E9A"/>
    <w:rsid w:val="04EE3788"/>
    <w:rsid w:val="04EF33C9"/>
    <w:rsid w:val="04EF6E3D"/>
    <w:rsid w:val="04FD6405"/>
    <w:rsid w:val="050429A0"/>
    <w:rsid w:val="051657B3"/>
    <w:rsid w:val="05365FA5"/>
    <w:rsid w:val="05377777"/>
    <w:rsid w:val="054118EE"/>
    <w:rsid w:val="05473182"/>
    <w:rsid w:val="05551897"/>
    <w:rsid w:val="0559116C"/>
    <w:rsid w:val="05594C10"/>
    <w:rsid w:val="05642459"/>
    <w:rsid w:val="057B32AF"/>
    <w:rsid w:val="057D3D11"/>
    <w:rsid w:val="0597302A"/>
    <w:rsid w:val="05A12F11"/>
    <w:rsid w:val="05A57D26"/>
    <w:rsid w:val="05A95E4F"/>
    <w:rsid w:val="05C134FC"/>
    <w:rsid w:val="05DB041C"/>
    <w:rsid w:val="06142543"/>
    <w:rsid w:val="061A594B"/>
    <w:rsid w:val="061B18C4"/>
    <w:rsid w:val="063601AC"/>
    <w:rsid w:val="06606421"/>
    <w:rsid w:val="066B5016"/>
    <w:rsid w:val="066C6F4E"/>
    <w:rsid w:val="06721A40"/>
    <w:rsid w:val="067B7E89"/>
    <w:rsid w:val="0693146B"/>
    <w:rsid w:val="069D4928"/>
    <w:rsid w:val="069F07B9"/>
    <w:rsid w:val="06A25401"/>
    <w:rsid w:val="06B12033"/>
    <w:rsid w:val="06BB0EAA"/>
    <w:rsid w:val="06BF04CB"/>
    <w:rsid w:val="06D90323"/>
    <w:rsid w:val="06D949E3"/>
    <w:rsid w:val="06DD1AFD"/>
    <w:rsid w:val="06E445F8"/>
    <w:rsid w:val="06E87E13"/>
    <w:rsid w:val="06ED18D7"/>
    <w:rsid w:val="07010474"/>
    <w:rsid w:val="07075C9C"/>
    <w:rsid w:val="073C1361"/>
    <w:rsid w:val="07590CF0"/>
    <w:rsid w:val="07797230"/>
    <w:rsid w:val="07832BD0"/>
    <w:rsid w:val="078B100F"/>
    <w:rsid w:val="079A3F2C"/>
    <w:rsid w:val="07A92473"/>
    <w:rsid w:val="07B465CB"/>
    <w:rsid w:val="07D40FD5"/>
    <w:rsid w:val="07D4316E"/>
    <w:rsid w:val="07E14ADB"/>
    <w:rsid w:val="07F15947"/>
    <w:rsid w:val="07F93805"/>
    <w:rsid w:val="07FA2903"/>
    <w:rsid w:val="08040837"/>
    <w:rsid w:val="081169D5"/>
    <w:rsid w:val="081415B7"/>
    <w:rsid w:val="08252894"/>
    <w:rsid w:val="082A162C"/>
    <w:rsid w:val="082C5831"/>
    <w:rsid w:val="08364DDB"/>
    <w:rsid w:val="083F75BF"/>
    <w:rsid w:val="084F3B52"/>
    <w:rsid w:val="085E409F"/>
    <w:rsid w:val="08625F36"/>
    <w:rsid w:val="0868273B"/>
    <w:rsid w:val="0876656F"/>
    <w:rsid w:val="08782B49"/>
    <w:rsid w:val="087832DE"/>
    <w:rsid w:val="0893420B"/>
    <w:rsid w:val="089D5FCA"/>
    <w:rsid w:val="08A47847"/>
    <w:rsid w:val="08BB0B7D"/>
    <w:rsid w:val="08C554A9"/>
    <w:rsid w:val="08D2725E"/>
    <w:rsid w:val="08D56BA9"/>
    <w:rsid w:val="08DE6430"/>
    <w:rsid w:val="08EE28CE"/>
    <w:rsid w:val="08FA460C"/>
    <w:rsid w:val="08FD1DB0"/>
    <w:rsid w:val="09135118"/>
    <w:rsid w:val="09135DEC"/>
    <w:rsid w:val="09245DBA"/>
    <w:rsid w:val="09311E5E"/>
    <w:rsid w:val="09364BFB"/>
    <w:rsid w:val="093B3D65"/>
    <w:rsid w:val="096B3FC3"/>
    <w:rsid w:val="098709BF"/>
    <w:rsid w:val="09924976"/>
    <w:rsid w:val="09965E1F"/>
    <w:rsid w:val="099B6A31"/>
    <w:rsid w:val="09A5375D"/>
    <w:rsid w:val="09C36367"/>
    <w:rsid w:val="09DC3A8A"/>
    <w:rsid w:val="09E426AA"/>
    <w:rsid w:val="09E86999"/>
    <w:rsid w:val="09EE6F33"/>
    <w:rsid w:val="09EE6F5D"/>
    <w:rsid w:val="0A150CA6"/>
    <w:rsid w:val="0A1F5988"/>
    <w:rsid w:val="0A2B7FB7"/>
    <w:rsid w:val="0A2F167A"/>
    <w:rsid w:val="0A313A0C"/>
    <w:rsid w:val="0A3251DC"/>
    <w:rsid w:val="0A4859BC"/>
    <w:rsid w:val="0A654C02"/>
    <w:rsid w:val="0A667B75"/>
    <w:rsid w:val="0A7107EE"/>
    <w:rsid w:val="0A736854"/>
    <w:rsid w:val="0A8650D8"/>
    <w:rsid w:val="0A96040B"/>
    <w:rsid w:val="0A980FB2"/>
    <w:rsid w:val="0ABF201D"/>
    <w:rsid w:val="0AE2367F"/>
    <w:rsid w:val="0AFA1FA1"/>
    <w:rsid w:val="0B073641"/>
    <w:rsid w:val="0B1622E9"/>
    <w:rsid w:val="0B1E2A0E"/>
    <w:rsid w:val="0B225152"/>
    <w:rsid w:val="0B303037"/>
    <w:rsid w:val="0B36269B"/>
    <w:rsid w:val="0B3E0F30"/>
    <w:rsid w:val="0B4460B3"/>
    <w:rsid w:val="0B553B0A"/>
    <w:rsid w:val="0B6743F7"/>
    <w:rsid w:val="0B7D6096"/>
    <w:rsid w:val="0B801653"/>
    <w:rsid w:val="0BAE10F3"/>
    <w:rsid w:val="0BBB1DAE"/>
    <w:rsid w:val="0BC63B0D"/>
    <w:rsid w:val="0BCC4159"/>
    <w:rsid w:val="0BCF7BF4"/>
    <w:rsid w:val="0BD0264B"/>
    <w:rsid w:val="0BD50850"/>
    <w:rsid w:val="0BEF5CA5"/>
    <w:rsid w:val="0C0C591E"/>
    <w:rsid w:val="0C0F576D"/>
    <w:rsid w:val="0C50067B"/>
    <w:rsid w:val="0C507879"/>
    <w:rsid w:val="0C5478BF"/>
    <w:rsid w:val="0C56615C"/>
    <w:rsid w:val="0C6915F2"/>
    <w:rsid w:val="0C6E0DF7"/>
    <w:rsid w:val="0C856E52"/>
    <w:rsid w:val="0C8672C2"/>
    <w:rsid w:val="0C8835F1"/>
    <w:rsid w:val="0CB41A9D"/>
    <w:rsid w:val="0CC40501"/>
    <w:rsid w:val="0CED74B3"/>
    <w:rsid w:val="0CEE0F81"/>
    <w:rsid w:val="0CFC12EA"/>
    <w:rsid w:val="0D0D7A7B"/>
    <w:rsid w:val="0D2E173F"/>
    <w:rsid w:val="0D3B7E88"/>
    <w:rsid w:val="0D3F4624"/>
    <w:rsid w:val="0D442E57"/>
    <w:rsid w:val="0D6304F1"/>
    <w:rsid w:val="0D842B3F"/>
    <w:rsid w:val="0D8A6929"/>
    <w:rsid w:val="0DB62113"/>
    <w:rsid w:val="0DC64E1F"/>
    <w:rsid w:val="0DC84055"/>
    <w:rsid w:val="0DC935B6"/>
    <w:rsid w:val="0DD80086"/>
    <w:rsid w:val="0DD922BC"/>
    <w:rsid w:val="0DDC36F8"/>
    <w:rsid w:val="0DE60B36"/>
    <w:rsid w:val="0DEE5B60"/>
    <w:rsid w:val="0E172E1A"/>
    <w:rsid w:val="0E1B33D4"/>
    <w:rsid w:val="0E271D31"/>
    <w:rsid w:val="0E29293A"/>
    <w:rsid w:val="0E2D4088"/>
    <w:rsid w:val="0E3B5080"/>
    <w:rsid w:val="0E416F09"/>
    <w:rsid w:val="0E582D17"/>
    <w:rsid w:val="0E5A2693"/>
    <w:rsid w:val="0E5E33BD"/>
    <w:rsid w:val="0E6C24F0"/>
    <w:rsid w:val="0E774B4E"/>
    <w:rsid w:val="0E90717B"/>
    <w:rsid w:val="0E913F3F"/>
    <w:rsid w:val="0E941D8D"/>
    <w:rsid w:val="0E97378D"/>
    <w:rsid w:val="0E9A01FB"/>
    <w:rsid w:val="0E9C77E0"/>
    <w:rsid w:val="0EA5406C"/>
    <w:rsid w:val="0EA639FA"/>
    <w:rsid w:val="0EA83ED5"/>
    <w:rsid w:val="0EAB56CC"/>
    <w:rsid w:val="0EC67D03"/>
    <w:rsid w:val="0ED15D87"/>
    <w:rsid w:val="0ED5743F"/>
    <w:rsid w:val="0EDD26E0"/>
    <w:rsid w:val="0EEF3F2E"/>
    <w:rsid w:val="0F000A81"/>
    <w:rsid w:val="0F016FDB"/>
    <w:rsid w:val="0F086673"/>
    <w:rsid w:val="0F135F9C"/>
    <w:rsid w:val="0F154C5A"/>
    <w:rsid w:val="0F260122"/>
    <w:rsid w:val="0F423C8F"/>
    <w:rsid w:val="0F486211"/>
    <w:rsid w:val="0F5A0205"/>
    <w:rsid w:val="0F5E7D64"/>
    <w:rsid w:val="0F6059F1"/>
    <w:rsid w:val="0FBB55A1"/>
    <w:rsid w:val="0FD526A9"/>
    <w:rsid w:val="0FD97FF0"/>
    <w:rsid w:val="0FE30B63"/>
    <w:rsid w:val="0FEF2558"/>
    <w:rsid w:val="0FFB6D68"/>
    <w:rsid w:val="0FFD41FD"/>
    <w:rsid w:val="102A2746"/>
    <w:rsid w:val="10405DD6"/>
    <w:rsid w:val="104C5928"/>
    <w:rsid w:val="10532DA0"/>
    <w:rsid w:val="106916D0"/>
    <w:rsid w:val="106D2C14"/>
    <w:rsid w:val="1088161D"/>
    <w:rsid w:val="1092036D"/>
    <w:rsid w:val="10A613B8"/>
    <w:rsid w:val="10B45948"/>
    <w:rsid w:val="10ED16BE"/>
    <w:rsid w:val="10F94749"/>
    <w:rsid w:val="11050F3A"/>
    <w:rsid w:val="110B7C86"/>
    <w:rsid w:val="111D46B4"/>
    <w:rsid w:val="11266968"/>
    <w:rsid w:val="112A5FF0"/>
    <w:rsid w:val="113A2D97"/>
    <w:rsid w:val="113A7E7D"/>
    <w:rsid w:val="113F7B1C"/>
    <w:rsid w:val="114C38FF"/>
    <w:rsid w:val="117C494C"/>
    <w:rsid w:val="119B6FB0"/>
    <w:rsid w:val="11A608E8"/>
    <w:rsid w:val="11A766E0"/>
    <w:rsid w:val="11AA4CE6"/>
    <w:rsid w:val="11B1249F"/>
    <w:rsid w:val="11BB3F75"/>
    <w:rsid w:val="11C27133"/>
    <w:rsid w:val="11C97AFC"/>
    <w:rsid w:val="11D76AC9"/>
    <w:rsid w:val="11D76B45"/>
    <w:rsid w:val="11E91A7A"/>
    <w:rsid w:val="120F4341"/>
    <w:rsid w:val="120F6A9E"/>
    <w:rsid w:val="121E178F"/>
    <w:rsid w:val="123E51A5"/>
    <w:rsid w:val="123E53DE"/>
    <w:rsid w:val="124A4CE1"/>
    <w:rsid w:val="124B09DE"/>
    <w:rsid w:val="12515293"/>
    <w:rsid w:val="125315ED"/>
    <w:rsid w:val="12565C90"/>
    <w:rsid w:val="125F485D"/>
    <w:rsid w:val="127F4FF0"/>
    <w:rsid w:val="128A5526"/>
    <w:rsid w:val="129070A2"/>
    <w:rsid w:val="12A61E8B"/>
    <w:rsid w:val="12A714C9"/>
    <w:rsid w:val="12C01FED"/>
    <w:rsid w:val="12C51E41"/>
    <w:rsid w:val="12C77593"/>
    <w:rsid w:val="12DB2936"/>
    <w:rsid w:val="12ED55F4"/>
    <w:rsid w:val="12F4621D"/>
    <w:rsid w:val="1301042B"/>
    <w:rsid w:val="131360CC"/>
    <w:rsid w:val="132023CD"/>
    <w:rsid w:val="1342238B"/>
    <w:rsid w:val="13485252"/>
    <w:rsid w:val="13497000"/>
    <w:rsid w:val="13535B48"/>
    <w:rsid w:val="136D7CFE"/>
    <w:rsid w:val="13767ADB"/>
    <w:rsid w:val="13891A0B"/>
    <w:rsid w:val="13927E1B"/>
    <w:rsid w:val="1393350B"/>
    <w:rsid w:val="139A46AA"/>
    <w:rsid w:val="139D287A"/>
    <w:rsid w:val="13B859C9"/>
    <w:rsid w:val="13D65416"/>
    <w:rsid w:val="13D8396B"/>
    <w:rsid w:val="13E52FB8"/>
    <w:rsid w:val="14010F13"/>
    <w:rsid w:val="1426603E"/>
    <w:rsid w:val="14404836"/>
    <w:rsid w:val="145950FC"/>
    <w:rsid w:val="147D3462"/>
    <w:rsid w:val="147D7658"/>
    <w:rsid w:val="147E798C"/>
    <w:rsid w:val="14950FCB"/>
    <w:rsid w:val="14A502E2"/>
    <w:rsid w:val="14B6588E"/>
    <w:rsid w:val="14BD12D2"/>
    <w:rsid w:val="14CE758B"/>
    <w:rsid w:val="14CF50F8"/>
    <w:rsid w:val="14D86E56"/>
    <w:rsid w:val="14E0464C"/>
    <w:rsid w:val="14F32C2F"/>
    <w:rsid w:val="14FA3215"/>
    <w:rsid w:val="151E19F2"/>
    <w:rsid w:val="152C1024"/>
    <w:rsid w:val="15321BAC"/>
    <w:rsid w:val="153F6159"/>
    <w:rsid w:val="15402152"/>
    <w:rsid w:val="154B25EC"/>
    <w:rsid w:val="15573978"/>
    <w:rsid w:val="155C56E0"/>
    <w:rsid w:val="1562240A"/>
    <w:rsid w:val="158F3DE0"/>
    <w:rsid w:val="1594158F"/>
    <w:rsid w:val="15A44760"/>
    <w:rsid w:val="15CE6085"/>
    <w:rsid w:val="160142CD"/>
    <w:rsid w:val="162A58DA"/>
    <w:rsid w:val="16300BEB"/>
    <w:rsid w:val="1634210F"/>
    <w:rsid w:val="16342542"/>
    <w:rsid w:val="163C2B13"/>
    <w:rsid w:val="16555B6A"/>
    <w:rsid w:val="165F1FC3"/>
    <w:rsid w:val="1660277C"/>
    <w:rsid w:val="166139C2"/>
    <w:rsid w:val="168123F1"/>
    <w:rsid w:val="16845253"/>
    <w:rsid w:val="16855282"/>
    <w:rsid w:val="168B26F9"/>
    <w:rsid w:val="168C0184"/>
    <w:rsid w:val="16905BEC"/>
    <w:rsid w:val="169A5A8F"/>
    <w:rsid w:val="16A50B6A"/>
    <w:rsid w:val="16A57A69"/>
    <w:rsid w:val="16AA28FA"/>
    <w:rsid w:val="16B34D7B"/>
    <w:rsid w:val="16D77CBF"/>
    <w:rsid w:val="16DB0BFD"/>
    <w:rsid w:val="16FD5FCF"/>
    <w:rsid w:val="17033859"/>
    <w:rsid w:val="171E3822"/>
    <w:rsid w:val="173349C8"/>
    <w:rsid w:val="173D2EE9"/>
    <w:rsid w:val="174C4AA0"/>
    <w:rsid w:val="176355F8"/>
    <w:rsid w:val="17666413"/>
    <w:rsid w:val="1768254B"/>
    <w:rsid w:val="176C6D00"/>
    <w:rsid w:val="1772665E"/>
    <w:rsid w:val="177C149C"/>
    <w:rsid w:val="17800EC8"/>
    <w:rsid w:val="17915AC4"/>
    <w:rsid w:val="1791639B"/>
    <w:rsid w:val="179C70A9"/>
    <w:rsid w:val="17A72666"/>
    <w:rsid w:val="17AF6891"/>
    <w:rsid w:val="17B6028C"/>
    <w:rsid w:val="17BA5811"/>
    <w:rsid w:val="17BF757C"/>
    <w:rsid w:val="17C3509D"/>
    <w:rsid w:val="17D925B6"/>
    <w:rsid w:val="17E00F6E"/>
    <w:rsid w:val="17E769AB"/>
    <w:rsid w:val="17EF37F9"/>
    <w:rsid w:val="17F673B7"/>
    <w:rsid w:val="18047825"/>
    <w:rsid w:val="181A7AA6"/>
    <w:rsid w:val="182271D1"/>
    <w:rsid w:val="18293512"/>
    <w:rsid w:val="18327661"/>
    <w:rsid w:val="184B01F2"/>
    <w:rsid w:val="1850387F"/>
    <w:rsid w:val="1856132B"/>
    <w:rsid w:val="185830D7"/>
    <w:rsid w:val="185C2EDF"/>
    <w:rsid w:val="18650AF2"/>
    <w:rsid w:val="18675385"/>
    <w:rsid w:val="186902BF"/>
    <w:rsid w:val="18701884"/>
    <w:rsid w:val="18704BAD"/>
    <w:rsid w:val="18902D39"/>
    <w:rsid w:val="18AC3BEE"/>
    <w:rsid w:val="18EC0606"/>
    <w:rsid w:val="18FA1113"/>
    <w:rsid w:val="18FD4F90"/>
    <w:rsid w:val="19044582"/>
    <w:rsid w:val="19087026"/>
    <w:rsid w:val="190A5ABE"/>
    <w:rsid w:val="190C2389"/>
    <w:rsid w:val="192D6B20"/>
    <w:rsid w:val="19387784"/>
    <w:rsid w:val="193F069B"/>
    <w:rsid w:val="19455F1C"/>
    <w:rsid w:val="19610DEF"/>
    <w:rsid w:val="1961286F"/>
    <w:rsid w:val="19665D28"/>
    <w:rsid w:val="19850AF9"/>
    <w:rsid w:val="1989144C"/>
    <w:rsid w:val="19902190"/>
    <w:rsid w:val="19A8303F"/>
    <w:rsid w:val="19AF5DD1"/>
    <w:rsid w:val="19BC46A1"/>
    <w:rsid w:val="19C42EF9"/>
    <w:rsid w:val="19C94053"/>
    <w:rsid w:val="19D6173B"/>
    <w:rsid w:val="19F0523F"/>
    <w:rsid w:val="19FE6B05"/>
    <w:rsid w:val="1A02498D"/>
    <w:rsid w:val="1A126CE5"/>
    <w:rsid w:val="1A165FE9"/>
    <w:rsid w:val="1A2364FA"/>
    <w:rsid w:val="1A2D79BA"/>
    <w:rsid w:val="1A3A554B"/>
    <w:rsid w:val="1A4221B0"/>
    <w:rsid w:val="1A4325D3"/>
    <w:rsid w:val="1A4C24FB"/>
    <w:rsid w:val="1A4E6954"/>
    <w:rsid w:val="1A5D3CBD"/>
    <w:rsid w:val="1A6316CE"/>
    <w:rsid w:val="1A6A1A25"/>
    <w:rsid w:val="1A6E5FB1"/>
    <w:rsid w:val="1A7B717D"/>
    <w:rsid w:val="1A7C1BE7"/>
    <w:rsid w:val="1A7C5A17"/>
    <w:rsid w:val="1A920847"/>
    <w:rsid w:val="1AA92FF4"/>
    <w:rsid w:val="1AB0573F"/>
    <w:rsid w:val="1AC53748"/>
    <w:rsid w:val="1AC64307"/>
    <w:rsid w:val="1AD37B8D"/>
    <w:rsid w:val="1AD47B96"/>
    <w:rsid w:val="1AD94DDF"/>
    <w:rsid w:val="1ADF6D58"/>
    <w:rsid w:val="1AFC2A03"/>
    <w:rsid w:val="1B1258BD"/>
    <w:rsid w:val="1B180311"/>
    <w:rsid w:val="1B183088"/>
    <w:rsid w:val="1B313650"/>
    <w:rsid w:val="1B3B754B"/>
    <w:rsid w:val="1B563F9E"/>
    <w:rsid w:val="1B6B39BC"/>
    <w:rsid w:val="1B6C7155"/>
    <w:rsid w:val="1B72173B"/>
    <w:rsid w:val="1B744224"/>
    <w:rsid w:val="1B7A5099"/>
    <w:rsid w:val="1B7A6C0C"/>
    <w:rsid w:val="1B7E7D96"/>
    <w:rsid w:val="1B7F55A6"/>
    <w:rsid w:val="1B89508D"/>
    <w:rsid w:val="1BAE18A7"/>
    <w:rsid w:val="1BBA2DE0"/>
    <w:rsid w:val="1BC65E87"/>
    <w:rsid w:val="1BCE0F9D"/>
    <w:rsid w:val="1BE136C9"/>
    <w:rsid w:val="1BE83AC4"/>
    <w:rsid w:val="1BEE66EE"/>
    <w:rsid w:val="1BF12978"/>
    <w:rsid w:val="1C182E62"/>
    <w:rsid w:val="1C296169"/>
    <w:rsid w:val="1C3138A1"/>
    <w:rsid w:val="1C340F0E"/>
    <w:rsid w:val="1C4A1A70"/>
    <w:rsid w:val="1C50373A"/>
    <w:rsid w:val="1C5A78FA"/>
    <w:rsid w:val="1C6E712E"/>
    <w:rsid w:val="1C7B1C92"/>
    <w:rsid w:val="1C961AB5"/>
    <w:rsid w:val="1CBA4001"/>
    <w:rsid w:val="1CE03C2B"/>
    <w:rsid w:val="1D11447C"/>
    <w:rsid w:val="1D1F4F82"/>
    <w:rsid w:val="1D3C35D7"/>
    <w:rsid w:val="1D3C7E89"/>
    <w:rsid w:val="1D581489"/>
    <w:rsid w:val="1D582060"/>
    <w:rsid w:val="1D61678A"/>
    <w:rsid w:val="1D6864B5"/>
    <w:rsid w:val="1D8130A9"/>
    <w:rsid w:val="1D830B79"/>
    <w:rsid w:val="1D914288"/>
    <w:rsid w:val="1D9E300B"/>
    <w:rsid w:val="1DA75838"/>
    <w:rsid w:val="1DB65465"/>
    <w:rsid w:val="1DBC3A09"/>
    <w:rsid w:val="1DDD1FE1"/>
    <w:rsid w:val="1DE71DF5"/>
    <w:rsid w:val="1DEC0EC6"/>
    <w:rsid w:val="1E3B0826"/>
    <w:rsid w:val="1E3E2693"/>
    <w:rsid w:val="1E40548E"/>
    <w:rsid w:val="1E4A19AF"/>
    <w:rsid w:val="1E5A579C"/>
    <w:rsid w:val="1E7223AB"/>
    <w:rsid w:val="1E7A3AEF"/>
    <w:rsid w:val="1E7F376F"/>
    <w:rsid w:val="1E874C28"/>
    <w:rsid w:val="1E8F3078"/>
    <w:rsid w:val="1EB14A2F"/>
    <w:rsid w:val="1EB3177A"/>
    <w:rsid w:val="1EB56858"/>
    <w:rsid w:val="1EC705C4"/>
    <w:rsid w:val="1EC83B25"/>
    <w:rsid w:val="1ECD4C36"/>
    <w:rsid w:val="1ED97BDC"/>
    <w:rsid w:val="1EE5351D"/>
    <w:rsid w:val="1EF8692C"/>
    <w:rsid w:val="1EFB70AD"/>
    <w:rsid w:val="1F02433E"/>
    <w:rsid w:val="1F2545A0"/>
    <w:rsid w:val="1F5B41C5"/>
    <w:rsid w:val="1F5B522B"/>
    <w:rsid w:val="1F602B95"/>
    <w:rsid w:val="1F6034DA"/>
    <w:rsid w:val="1F610464"/>
    <w:rsid w:val="1F6608F6"/>
    <w:rsid w:val="1F6B516B"/>
    <w:rsid w:val="1F737DA7"/>
    <w:rsid w:val="1F914072"/>
    <w:rsid w:val="1F974D47"/>
    <w:rsid w:val="1F9F7601"/>
    <w:rsid w:val="1FAA0518"/>
    <w:rsid w:val="1FAD7813"/>
    <w:rsid w:val="1FC97374"/>
    <w:rsid w:val="1FDF676A"/>
    <w:rsid w:val="1FF110DC"/>
    <w:rsid w:val="1FFE6231"/>
    <w:rsid w:val="200107D5"/>
    <w:rsid w:val="200F3C1D"/>
    <w:rsid w:val="201620B4"/>
    <w:rsid w:val="202B68AE"/>
    <w:rsid w:val="202F793E"/>
    <w:rsid w:val="203D3166"/>
    <w:rsid w:val="20404305"/>
    <w:rsid w:val="20481907"/>
    <w:rsid w:val="206036D4"/>
    <w:rsid w:val="2064115A"/>
    <w:rsid w:val="206870D0"/>
    <w:rsid w:val="206E103C"/>
    <w:rsid w:val="207634AF"/>
    <w:rsid w:val="20824104"/>
    <w:rsid w:val="208B6F33"/>
    <w:rsid w:val="20904241"/>
    <w:rsid w:val="20923102"/>
    <w:rsid w:val="209A12F6"/>
    <w:rsid w:val="20A5542D"/>
    <w:rsid w:val="20AA40A0"/>
    <w:rsid w:val="20AF6A38"/>
    <w:rsid w:val="20BD1C65"/>
    <w:rsid w:val="20CC5370"/>
    <w:rsid w:val="20CE7CBB"/>
    <w:rsid w:val="20D61ED3"/>
    <w:rsid w:val="20D85477"/>
    <w:rsid w:val="210D463D"/>
    <w:rsid w:val="21382F57"/>
    <w:rsid w:val="21483DCB"/>
    <w:rsid w:val="21520506"/>
    <w:rsid w:val="215971DB"/>
    <w:rsid w:val="216840B7"/>
    <w:rsid w:val="21707ABA"/>
    <w:rsid w:val="217C7FFF"/>
    <w:rsid w:val="217D6F5B"/>
    <w:rsid w:val="217F7DE1"/>
    <w:rsid w:val="218C712D"/>
    <w:rsid w:val="219B42AE"/>
    <w:rsid w:val="21B8627A"/>
    <w:rsid w:val="21DC1077"/>
    <w:rsid w:val="21E500BF"/>
    <w:rsid w:val="21F46DD7"/>
    <w:rsid w:val="21FE34D3"/>
    <w:rsid w:val="22102FC3"/>
    <w:rsid w:val="22106435"/>
    <w:rsid w:val="2211058E"/>
    <w:rsid w:val="2212793C"/>
    <w:rsid w:val="222446A3"/>
    <w:rsid w:val="22263305"/>
    <w:rsid w:val="22267251"/>
    <w:rsid w:val="224A3888"/>
    <w:rsid w:val="2258018F"/>
    <w:rsid w:val="2269387C"/>
    <w:rsid w:val="226C7BAC"/>
    <w:rsid w:val="22834CF1"/>
    <w:rsid w:val="228F4F8F"/>
    <w:rsid w:val="229A773C"/>
    <w:rsid w:val="229C6E40"/>
    <w:rsid w:val="229F0037"/>
    <w:rsid w:val="22A77209"/>
    <w:rsid w:val="22B26378"/>
    <w:rsid w:val="22B649DD"/>
    <w:rsid w:val="22B83BBC"/>
    <w:rsid w:val="22DB1E07"/>
    <w:rsid w:val="22DF69C6"/>
    <w:rsid w:val="22F874E8"/>
    <w:rsid w:val="22FC4DA6"/>
    <w:rsid w:val="230612A7"/>
    <w:rsid w:val="230F4FB3"/>
    <w:rsid w:val="232668D5"/>
    <w:rsid w:val="232A266D"/>
    <w:rsid w:val="232C327F"/>
    <w:rsid w:val="23384757"/>
    <w:rsid w:val="23462716"/>
    <w:rsid w:val="234E1D95"/>
    <w:rsid w:val="234E7067"/>
    <w:rsid w:val="23550AD0"/>
    <w:rsid w:val="23577E5C"/>
    <w:rsid w:val="235A168E"/>
    <w:rsid w:val="235B0632"/>
    <w:rsid w:val="235F6585"/>
    <w:rsid w:val="2394513F"/>
    <w:rsid w:val="23B742F4"/>
    <w:rsid w:val="23B9450B"/>
    <w:rsid w:val="23BC0507"/>
    <w:rsid w:val="23CB21DA"/>
    <w:rsid w:val="23DB5B4C"/>
    <w:rsid w:val="23DD1F6C"/>
    <w:rsid w:val="240437AA"/>
    <w:rsid w:val="240C2B3A"/>
    <w:rsid w:val="240D2A9C"/>
    <w:rsid w:val="24210E4E"/>
    <w:rsid w:val="242C18C4"/>
    <w:rsid w:val="242C213A"/>
    <w:rsid w:val="245F17EC"/>
    <w:rsid w:val="24624B37"/>
    <w:rsid w:val="246E68E8"/>
    <w:rsid w:val="24895713"/>
    <w:rsid w:val="24A0399F"/>
    <w:rsid w:val="24B876B2"/>
    <w:rsid w:val="24CD287B"/>
    <w:rsid w:val="24E821FC"/>
    <w:rsid w:val="24F554E6"/>
    <w:rsid w:val="25090523"/>
    <w:rsid w:val="250A7D5C"/>
    <w:rsid w:val="251746F0"/>
    <w:rsid w:val="253F2264"/>
    <w:rsid w:val="2541397E"/>
    <w:rsid w:val="254B40B2"/>
    <w:rsid w:val="254D335F"/>
    <w:rsid w:val="255346CB"/>
    <w:rsid w:val="25712EAE"/>
    <w:rsid w:val="25847B33"/>
    <w:rsid w:val="259A122B"/>
    <w:rsid w:val="25A179C3"/>
    <w:rsid w:val="25A23B72"/>
    <w:rsid w:val="25B33FA7"/>
    <w:rsid w:val="25BD3CA6"/>
    <w:rsid w:val="25BF3326"/>
    <w:rsid w:val="25BF627F"/>
    <w:rsid w:val="25C766C8"/>
    <w:rsid w:val="25D37304"/>
    <w:rsid w:val="25DC5E42"/>
    <w:rsid w:val="25EE750F"/>
    <w:rsid w:val="26084AA7"/>
    <w:rsid w:val="260A6611"/>
    <w:rsid w:val="260F58DC"/>
    <w:rsid w:val="2617264B"/>
    <w:rsid w:val="262420A3"/>
    <w:rsid w:val="26407842"/>
    <w:rsid w:val="264D2600"/>
    <w:rsid w:val="267B0D13"/>
    <w:rsid w:val="26916F1C"/>
    <w:rsid w:val="26A1465B"/>
    <w:rsid w:val="26A717FF"/>
    <w:rsid w:val="26A772A7"/>
    <w:rsid w:val="26AE7FF0"/>
    <w:rsid w:val="26B171B9"/>
    <w:rsid w:val="26B86B93"/>
    <w:rsid w:val="26BA2A88"/>
    <w:rsid w:val="27036A48"/>
    <w:rsid w:val="270812F9"/>
    <w:rsid w:val="27120152"/>
    <w:rsid w:val="27410905"/>
    <w:rsid w:val="275F7EF3"/>
    <w:rsid w:val="2764097C"/>
    <w:rsid w:val="278542B4"/>
    <w:rsid w:val="279069C1"/>
    <w:rsid w:val="27A66474"/>
    <w:rsid w:val="27CC091C"/>
    <w:rsid w:val="27E67A43"/>
    <w:rsid w:val="27FA15F4"/>
    <w:rsid w:val="27FC19AB"/>
    <w:rsid w:val="28187989"/>
    <w:rsid w:val="282B5E5B"/>
    <w:rsid w:val="28441B85"/>
    <w:rsid w:val="28445BA3"/>
    <w:rsid w:val="28572FF4"/>
    <w:rsid w:val="2861534B"/>
    <w:rsid w:val="286921AF"/>
    <w:rsid w:val="28776D26"/>
    <w:rsid w:val="289042BD"/>
    <w:rsid w:val="28940373"/>
    <w:rsid w:val="28A06628"/>
    <w:rsid w:val="28AA045C"/>
    <w:rsid w:val="28BD5251"/>
    <w:rsid w:val="28D01274"/>
    <w:rsid w:val="28D92391"/>
    <w:rsid w:val="28E901C4"/>
    <w:rsid w:val="28F60BE9"/>
    <w:rsid w:val="29040AEF"/>
    <w:rsid w:val="291717A7"/>
    <w:rsid w:val="2917705B"/>
    <w:rsid w:val="291974D7"/>
    <w:rsid w:val="29357C71"/>
    <w:rsid w:val="293E43CA"/>
    <w:rsid w:val="29753B56"/>
    <w:rsid w:val="2979190F"/>
    <w:rsid w:val="2980065D"/>
    <w:rsid w:val="2982372F"/>
    <w:rsid w:val="29A2287A"/>
    <w:rsid w:val="29A95FD6"/>
    <w:rsid w:val="29B915F2"/>
    <w:rsid w:val="29BF65D9"/>
    <w:rsid w:val="29C60BDD"/>
    <w:rsid w:val="29FD49E7"/>
    <w:rsid w:val="29FD5C67"/>
    <w:rsid w:val="2A205C5E"/>
    <w:rsid w:val="2A331DF3"/>
    <w:rsid w:val="2A3335E3"/>
    <w:rsid w:val="2A334528"/>
    <w:rsid w:val="2A3415B0"/>
    <w:rsid w:val="2A366446"/>
    <w:rsid w:val="2A492C82"/>
    <w:rsid w:val="2A4D00D1"/>
    <w:rsid w:val="2A5C4D90"/>
    <w:rsid w:val="2A6D366D"/>
    <w:rsid w:val="2A715FD6"/>
    <w:rsid w:val="2A836E98"/>
    <w:rsid w:val="2A8B3817"/>
    <w:rsid w:val="2A8F385D"/>
    <w:rsid w:val="2A9034B4"/>
    <w:rsid w:val="2AA605A4"/>
    <w:rsid w:val="2AA60DD9"/>
    <w:rsid w:val="2AB33F87"/>
    <w:rsid w:val="2ACD0B36"/>
    <w:rsid w:val="2AD111FD"/>
    <w:rsid w:val="2B034328"/>
    <w:rsid w:val="2B052E66"/>
    <w:rsid w:val="2B057B58"/>
    <w:rsid w:val="2B0C6254"/>
    <w:rsid w:val="2B2E3CA3"/>
    <w:rsid w:val="2B507EB6"/>
    <w:rsid w:val="2B5D556F"/>
    <w:rsid w:val="2B5F6EA6"/>
    <w:rsid w:val="2B692A79"/>
    <w:rsid w:val="2B7208B0"/>
    <w:rsid w:val="2B723083"/>
    <w:rsid w:val="2B761F1B"/>
    <w:rsid w:val="2BC02C71"/>
    <w:rsid w:val="2BD6261E"/>
    <w:rsid w:val="2BE0479E"/>
    <w:rsid w:val="2BF60E02"/>
    <w:rsid w:val="2C0C40B6"/>
    <w:rsid w:val="2C221352"/>
    <w:rsid w:val="2C340552"/>
    <w:rsid w:val="2C3A3A18"/>
    <w:rsid w:val="2C406671"/>
    <w:rsid w:val="2C437678"/>
    <w:rsid w:val="2C5F7ED0"/>
    <w:rsid w:val="2C701C82"/>
    <w:rsid w:val="2C770FA3"/>
    <w:rsid w:val="2C7929C9"/>
    <w:rsid w:val="2C7A2CDC"/>
    <w:rsid w:val="2C8C4DA7"/>
    <w:rsid w:val="2C940967"/>
    <w:rsid w:val="2CA3250F"/>
    <w:rsid w:val="2CA83BFD"/>
    <w:rsid w:val="2CB172AB"/>
    <w:rsid w:val="2CB5245E"/>
    <w:rsid w:val="2CCC61DC"/>
    <w:rsid w:val="2CE30F22"/>
    <w:rsid w:val="2CE460FF"/>
    <w:rsid w:val="2CFD1EAE"/>
    <w:rsid w:val="2CFF2CF1"/>
    <w:rsid w:val="2D0020FD"/>
    <w:rsid w:val="2D004449"/>
    <w:rsid w:val="2D040A3A"/>
    <w:rsid w:val="2D1B6979"/>
    <w:rsid w:val="2D3065F6"/>
    <w:rsid w:val="2D3E159C"/>
    <w:rsid w:val="2D454F76"/>
    <w:rsid w:val="2D5E5ACD"/>
    <w:rsid w:val="2D664E53"/>
    <w:rsid w:val="2D764C10"/>
    <w:rsid w:val="2D7A291E"/>
    <w:rsid w:val="2D7A5B83"/>
    <w:rsid w:val="2D7E6051"/>
    <w:rsid w:val="2D9D3CD6"/>
    <w:rsid w:val="2DAB070C"/>
    <w:rsid w:val="2DB81BCA"/>
    <w:rsid w:val="2DBA421D"/>
    <w:rsid w:val="2DCA68D8"/>
    <w:rsid w:val="2DCB4211"/>
    <w:rsid w:val="2DD123D5"/>
    <w:rsid w:val="2DFF65A7"/>
    <w:rsid w:val="2E007074"/>
    <w:rsid w:val="2E14172E"/>
    <w:rsid w:val="2E156C84"/>
    <w:rsid w:val="2E1F458A"/>
    <w:rsid w:val="2E344DAF"/>
    <w:rsid w:val="2E3933DD"/>
    <w:rsid w:val="2E542892"/>
    <w:rsid w:val="2E7C5CD1"/>
    <w:rsid w:val="2E827222"/>
    <w:rsid w:val="2E881839"/>
    <w:rsid w:val="2E936895"/>
    <w:rsid w:val="2E9C1619"/>
    <w:rsid w:val="2EA90574"/>
    <w:rsid w:val="2EB948EE"/>
    <w:rsid w:val="2EC767B9"/>
    <w:rsid w:val="2ECE30AA"/>
    <w:rsid w:val="2EDE7E92"/>
    <w:rsid w:val="2EDF2CF0"/>
    <w:rsid w:val="2EE32667"/>
    <w:rsid w:val="2EE70C2A"/>
    <w:rsid w:val="2EFE24FC"/>
    <w:rsid w:val="2F0B230D"/>
    <w:rsid w:val="2F1831B2"/>
    <w:rsid w:val="2F1D1825"/>
    <w:rsid w:val="2F1F6148"/>
    <w:rsid w:val="2F397ECA"/>
    <w:rsid w:val="2F4C7A7D"/>
    <w:rsid w:val="2F622F67"/>
    <w:rsid w:val="2F624BBD"/>
    <w:rsid w:val="2F77336C"/>
    <w:rsid w:val="2F831B61"/>
    <w:rsid w:val="2F8C627E"/>
    <w:rsid w:val="2F9E6F42"/>
    <w:rsid w:val="2FA86799"/>
    <w:rsid w:val="2FBB3BF3"/>
    <w:rsid w:val="2FDB3DFA"/>
    <w:rsid w:val="2FDD1EC2"/>
    <w:rsid w:val="2FDF0645"/>
    <w:rsid w:val="2FE779E3"/>
    <w:rsid w:val="2FED5A57"/>
    <w:rsid w:val="300A7C9C"/>
    <w:rsid w:val="300B61F3"/>
    <w:rsid w:val="301256DD"/>
    <w:rsid w:val="30166435"/>
    <w:rsid w:val="30192227"/>
    <w:rsid w:val="301F4F73"/>
    <w:rsid w:val="3028126B"/>
    <w:rsid w:val="302F1D36"/>
    <w:rsid w:val="30325164"/>
    <w:rsid w:val="303B3444"/>
    <w:rsid w:val="304159E4"/>
    <w:rsid w:val="30461251"/>
    <w:rsid w:val="304F3F56"/>
    <w:rsid w:val="305E6FBC"/>
    <w:rsid w:val="30602CE0"/>
    <w:rsid w:val="30622D1F"/>
    <w:rsid w:val="3071398E"/>
    <w:rsid w:val="307D42E1"/>
    <w:rsid w:val="307D6BEE"/>
    <w:rsid w:val="30826F45"/>
    <w:rsid w:val="308512FF"/>
    <w:rsid w:val="30962223"/>
    <w:rsid w:val="309F66E8"/>
    <w:rsid w:val="30A208D6"/>
    <w:rsid w:val="30A820C2"/>
    <w:rsid w:val="30AD40B6"/>
    <w:rsid w:val="30B02ECD"/>
    <w:rsid w:val="30C97C89"/>
    <w:rsid w:val="30D0747B"/>
    <w:rsid w:val="31000E5F"/>
    <w:rsid w:val="310E2D17"/>
    <w:rsid w:val="311901A8"/>
    <w:rsid w:val="312C3581"/>
    <w:rsid w:val="3164256F"/>
    <w:rsid w:val="316C1AF9"/>
    <w:rsid w:val="316E5904"/>
    <w:rsid w:val="31744959"/>
    <w:rsid w:val="31890D85"/>
    <w:rsid w:val="31941E22"/>
    <w:rsid w:val="31CD4724"/>
    <w:rsid w:val="31D04565"/>
    <w:rsid w:val="31D60522"/>
    <w:rsid w:val="31DC5E9C"/>
    <w:rsid w:val="31E06BCA"/>
    <w:rsid w:val="31E37F93"/>
    <w:rsid w:val="31F816AF"/>
    <w:rsid w:val="32083CCE"/>
    <w:rsid w:val="32157EE6"/>
    <w:rsid w:val="322354C0"/>
    <w:rsid w:val="322B2CE8"/>
    <w:rsid w:val="323139FD"/>
    <w:rsid w:val="323B5551"/>
    <w:rsid w:val="32403CD5"/>
    <w:rsid w:val="32484430"/>
    <w:rsid w:val="326B0434"/>
    <w:rsid w:val="327E1E9E"/>
    <w:rsid w:val="328B180D"/>
    <w:rsid w:val="32A14C53"/>
    <w:rsid w:val="32BA27AC"/>
    <w:rsid w:val="32D3172E"/>
    <w:rsid w:val="32F24B3E"/>
    <w:rsid w:val="32F4036A"/>
    <w:rsid w:val="33273C28"/>
    <w:rsid w:val="332C1869"/>
    <w:rsid w:val="33357C0F"/>
    <w:rsid w:val="334B2CD9"/>
    <w:rsid w:val="33503CCC"/>
    <w:rsid w:val="335C6117"/>
    <w:rsid w:val="336026F6"/>
    <w:rsid w:val="336C29C5"/>
    <w:rsid w:val="33721AC2"/>
    <w:rsid w:val="33760000"/>
    <w:rsid w:val="337D67F0"/>
    <w:rsid w:val="338E2C59"/>
    <w:rsid w:val="339031A2"/>
    <w:rsid w:val="339F1ED0"/>
    <w:rsid w:val="33B212E1"/>
    <w:rsid w:val="33B5385B"/>
    <w:rsid w:val="33B817BD"/>
    <w:rsid w:val="33C95FB0"/>
    <w:rsid w:val="33DB585B"/>
    <w:rsid w:val="33DD6C96"/>
    <w:rsid w:val="33E71C0E"/>
    <w:rsid w:val="33EC63F3"/>
    <w:rsid w:val="33FB3502"/>
    <w:rsid w:val="33FC0C35"/>
    <w:rsid w:val="34115587"/>
    <w:rsid w:val="341C751F"/>
    <w:rsid w:val="342122F5"/>
    <w:rsid w:val="342343BE"/>
    <w:rsid w:val="3427000D"/>
    <w:rsid w:val="345536BE"/>
    <w:rsid w:val="346D289C"/>
    <w:rsid w:val="34746954"/>
    <w:rsid w:val="34852DFB"/>
    <w:rsid w:val="34870FF3"/>
    <w:rsid w:val="34AA308A"/>
    <w:rsid w:val="34AE3021"/>
    <w:rsid w:val="34B5369D"/>
    <w:rsid w:val="34C23927"/>
    <w:rsid w:val="34D74524"/>
    <w:rsid w:val="34FB21EC"/>
    <w:rsid w:val="351509F4"/>
    <w:rsid w:val="352B6064"/>
    <w:rsid w:val="353266FE"/>
    <w:rsid w:val="355154B2"/>
    <w:rsid w:val="355B39D5"/>
    <w:rsid w:val="358C2E02"/>
    <w:rsid w:val="359274C2"/>
    <w:rsid w:val="359E49E9"/>
    <w:rsid w:val="35AC7D9F"/>
    <w:rsid w:val="35C41F10"/>
    <w:rsid w:val="35C743CC"/>
    <w:rsid w:val="35CC2E55"/>
    <w:rsid w:val="35D25FBE"/>
    <w:rsid w:val="35E20F81"/>
    <w:rsid w:val="35F257DC"/>
    <w:rsid w:val="35F52853"/>
    <w:rsid w:val="36036E4C"/>
    <w:rsid w:val="360646D4"/>
    <w:rsid w:val="360F2A66"/>
    <w:rsid w:val="36177C38"/>
    <w:rsid w:val="363A4100"/>
    <w:rsid w:val="36410A3A"/>
    <w:rsid w:val="364D2060"/>
    <w:rsid w:val="364E7F63"/>
    <w:rsid w:val="36611E9F"/>
    <w:rsid w:val="366A4252"/>
    <w:rsid w:val="367754DE"/>
    <w:rsid w:val="36784AF0"/>
    <w:rsid w:val="36900D69"/>
    <w:rsid w:val="369236D1"/>
    <w:rsid w:val="36A121B3"/>
    <w:rsid w:val="36C64BF6"/>
    <w:rsid w:val="36D72FA9"/>
    <w:rsid w:val="36DD1115"/>
    <w:rsid w:val="36FA4156"/>
    <w:rsid w:val="37013427"/>
    <w:rsid w:val="370653E7"/>
    <w:rsid w:val="370E3984"/>
    <w:rsid w:val="373B505A"/>
    <w:rsid w:val="374F2F07"/>
    <w:rsid w:val="3750792F"/>
    <w:rsid w:val="375463DB"/>
    <w:rsid w:val="375F7232"/>
    <w:rsid w:val="37625982"/>
    <w:rsid w:val="37671578"/>
    <w:rsid w:val="3768699A"/>
    <w:rsid w:val="379B76DA"/>
    <w:rsid w:val="37BE4787"/>
    <w:rsid w:val="37C83999"/>
    <w:rsid w:val="37D72D05"/>
    <w:rsid w:val="37DF41BC"/>
    <w:rsid w:val="37E21686"/>
    <w:rsid w:val="37F42AB8"/>
    <w:rsid w:val="37FB6790"/>
    <w:rsid w:val="37FD4445"/>
    <w:rsid w:val="380517DC"/>
    <w:rsid w:val="381A4EA7"/>
    <w:rsid w:val="38252598"/>
    <w:rsid w:val="38350332"/>
    <w:rsid w:val="383970A7"/>
    <w:rsid w:val="38495504"/>
    <w:rsid w:val="384E3BBB"/>
    <w:rsid w:val="38650C1B"/>
    <w:rsid w:val="38982766"/>
    <w:rsid w:val="38991B97"/>
    <w:rsid w:val="38A07B54"/>
    <w:rsid w:val="38AC37B6"/>
    <w:rsid w:val="38B5657F"/>
    <w:rsid w:val="38CC4BED"/>
    <w:rsid w:val="38DC2F57"/>
    <w:rsid w:val="38F95415"/>
    <w:rsid w:val="390412D8"/>
    <w:rsid w:val="390C505F"/>
    <w:rsid w:val="392017C0"/>
    <w:rsid w:val="39252B76"/>
    <w:rsid w:val="392C4D9D"/>
    <w:rsid w:val="392E6F43"/>
    <w:rsid w:val="394D69CA"/>
    <w:rsid w:val="394F3CCB"/>
    <w:rsid w:val="3952140A"/>
    <w:rsid w:val="397F6E8D"/>
    <w:rsid w:val="399B7825"/>
    <w:rsid w:val="39A209C1"/>
    <w:rsid w:val="39AD6790"/>
    <w:rsid w:val="39C84866"/>
    <w:rsid w:val="39C86214"/>
    <w:rsid w:val="39D252AE"/>
    <w:rsid w:val="39E25290"/>
    <w:rsid w:val="39E276D4"/>
    <w:rsid w:val="39E93BC2"/>
    <w:rsid w:val="39F8422A"/>
    <w:rsid w:val="39F91CCB"/>
    <w:rsid w:val="3A04454A"/>
    <w:rsid w:val="3A0E457E"/>
    <w:rsid w:val="3A3D6D40"/>
    <w:rsid w:val="3A4112DA"/>
    <w:rsid w:val="3A462802"/>
    <w:rsid w:val="3A485C20"/>
    <w:rsid w:val="3A4A4CC7"/>
    <w:rsid w:val="3A60703D"/>
    <w:rsid w:val="3A6C2289"/>
    <w:rsid w:val="3A6F6FB5"/>
    <w:rsid w:val="3A955CCA"/>
    <w:rsid w:val="3A9B2460"/>
    <w:rsid w:val="3AB61DD5"/>
    <w:rsid w:val="3AC60DC7"/>
    <w:rsid w:val="3AC97FAA"/>
    <w:rsid w:val="3ACB4EA8"/>
    <w:rsid w:val="3ACF35EC"/>
    <w:rsid w:val="3AE80E8E"/>
    <w:rsid w:val="3AEA2742"/>
    <w:rsid w:val="3AFD6137"/>
    <w:rsid w:val="3AFF52EB"/>
    <w:rsid w:val="3B0376FA"/>
    <w:rsid w:val="3B0D52B2"/>
    <w:rsid w:val="3B143A56"/>
    <w:rsid w:val="3B367657"/>
    <w:rsid w:val="3B411A26"/>
    <w:rsid w:val="3B5732FB"/>
    <w:rsid w:val="3B8904A2"/>
    <w:rsid w:val="3B9A7293"/>
    <w:rsid w:val="3BD24ADD"/>
    <w:rsid w:val="3BDF38AF"/>
    <w:rsid w:val="3C285D82"/>
    <w:rsid w:val="3C32053F"/>
    <w:rsid w:val="3C3E406C"/>
    <w:rsid w:val="3C536B06"/>
    <w:rsid w:val="3C58436E"/>
    <w:rsid w:val="3C672048"/>
    <w:rsid w:val="3CA9364C"/>
    <w:rsid w:val="3CB74FF6"/>
    <w:rsid w:val="3CD72898"/>
    <w:rsid w:val="3CD741BF"/>
    <w:rsid w:val="3CE865B0"/>
    <w:rsid w:val="3CED427C"/>
    <w:rsid w:val="3CF038D6"/>
    <w:rsid w:val="3D083788"/>
    <w:rsid w:val="3D0D7049"/>
    <w:rsid w:val="3D144F76"/>
    <w:rsid w:val="3D2008A3"/>
    <w:rsid w:val="3D2E2411"/>
    <w:rsid w:val="3D337B31"/>
    <w:rsid w:val="3D5005EB"/>
    <w:rsid w:val="3D9307B4"/>
    <w:rsid w:val="3D9F4956"/>
    <w:rsid w:val="3DAA5311"/>
    <w:rsid w:val="3DBD041E"/>
    <w:rsid w:val="3DD35B24"/>
    <w:rsid w:val="3DEC3A44"/>
    <w:rsid w:val="3E1A50E1"/>
    <w:rsid w:val="3E1C7725"/>
    <w:rsid w:val="3E25747C"/>
    <w:rsid w:val="3E26098F"/>
    <w:rsid w:val="3E3B04B0"/>
    <w:rsid w:val="3E3E7F7D"/>
    <w:rsid w:val="3E4D031B"/>
    <w:rsid w:val="3E4F3306"/>
    <w:rsid w:val="3E6B319E"/>
    <w:rsid w:val="3E796FBB"/>
    <w:rsid w:val="3E7D20AD"/>
    <w:rsid w:val="3E98343F"/>
    <w:rsid w:val="3EA12164"/>
    <w:rsid w:val="3EA22193"/>
    <w:rsid w:val="3EA77B3A"/>
    <w:rsid w:val="3EB44782"/>
    <w:rsid w:val="3EBD0BC4"/>
    <w:rsid w:val="3EBF0B79"/>
    <w:rsid w:val="3EC35584"/>
    <w:rsid w:val="3EC97CCB"/>
    <w:rsid w:val="3ED2230C"/>
    <w:rsid w:val="3EE27E07"/>
    <w:rsid w:val="3F0A6D15"/>
    <w:rsid w:val="3F1C0B53"/>
    <w:rsid w:val="3F337FF6"/>
    <w:rsid w:val="3F4802CD"/>
    <w:rsid w:val="3F734553"/>
    <w:rsid w:val="3F822788"/>
    <w:rsid w:val="3F954106"/>
    <w:rsid w:val="3F9723FF"/>
    <w:rsid w:val="3FA24D04"/>
    <w:rsid w:val="3FA45CFF"/>
    <w:rsid w:val="3FB74B6A"/>
    <w:rsid w:val="3FC53F70"/>
    <w:rsid w:val="3FDA4009"/>
    <w:rsid w:val="401C76D3"/>
    <w:rsid w:val="402179A3"/>
    <w:rsid w:val="40330CA4"/>
    <w:rsid w:val="4051781D"/>
    <w:rsid w:val="40890A0A"/>
    <w:rsid w:val="408B2769"/>
    <w:rsid w:val="40963AA1"/>
    <w:rsid w:val="40AE1FF7"/>
    <w:rsid w:val="40B733A7"/>
    <w:rsid w:val="40BA68B9"/>
    <w:rsid w:val="40C16266"/>
    <w:rsid w:val="40C235CF"/>
    <w:rsid w:val="40CF00C1"/>
    <w:rsid w:val="40FD678B"/>
    <w:rsid w:val="410B5436"/>
    <w:rsid w:val="41176148"/>
    <w:rsid w:val="411E7E74"/>
    <w:rsid w:val="412344BF"/>
    <w:rsid w:val="412C5510"/>
    <w:rsid w:val="41356D45"/>
    <w:rsid w:val="414F7E63"/>
    <w:rsid w:val="415818BD"/>
    <w:rsid w:val="4173037E"/>
    <w:rsid w:val="41763898"/>
    <w:rsid w:val="4178619D"/>
    <w:rsid w:val="41997BF4"/>
    <w:rsid w:val="41A25E23"/>
    <w:rsid w:val="41BA20AB"/>
    <w:rsid w:val="41D33240"/>
    <w:rsid w:val="41DB32FB"/>
    <w:rsid w:val="41DB562E"/>
    <w:rsid w:val="41E00282"/>
    <w:rsid w:val="41EF5897"/>
    <w:rsid w:val="41F769F8"/>
    <w:rsid w:val="41FA44D3"/>
    <w:rsid w:val="41FF317F"/>
    <w:rsid w:val="41FF49C1"/>
    <w:rsid w:val="42092855"/>
    <w:rsid w:val="420F3AD9"/>
    <w:rsid w:val="426A1BC5"/>
    <w:rsid w:val="426E763A"/>
    <w:rsid w:val="42970839"/>
    <w:rsid w:val="429C47B7"/>
    <w:rsid w:val="42AB449F"/>
    <w:rsid w:val="42AE439D"/>
    <w:rsid w:val="42B55856"/>
    <w:rsid w:val="42BB0C2D"/>
    <w:rsid w:val="42BF2999"/>
    <w:rsid w:val="42C21EAE"/>
    <w:rsid w:val="42C60F27"/>
    <w:rsid w:val="42D33507"/>
    <w:rsid w:val="42F45061"/>
    <w:rsid w:val="430075B6"/>
    <w:rsid w:val="430A2E6D"/>
    <w:rsid w:val="43275C4F"/>
    <w:rsid w:val="43370D46"/>
    <w:rsid w:val="43451141"/>
    <w:rsid w:val="434F746B"/>
    <w:rsid w:val="43515022"/>
    <w:rsid w:val="4358292F"/>
    <w:rsid w:val="437273A2"/>
    <w:rsid w:val="4373390F"/>
    <w:rsid w:val="43737750"/>
    <w:rsid w:val="43754326"/>
    <w:rsid w:val="437B2F7D"/>
    <w:rsid w:val="438D1048"/>
    <w:rsid w:val="439A257A"/>
    <w:rsid w:val="439B5FC3"/>
    <w:rsid w:val="43A32635"/>
    <w:rsid w:val="43C309A2"/>
    <w:rsid w:val="43C62AA3"/>
    <w:rsid w:val="43D77093"/>
    <w:rsid w:val="43D911A0"/>
    <w:rsid w:val="43D97147"/>
    <w:rsid w:val="43DE3D30"/>
    <w:rsid w:val="43E166FE"/>
    <w:rsid w:val="43E5401A"/>
    <w:rsid w:val="43E73CDC"/>
    <w:rsid w:val="43FA758D"/>
    <w:rsid w:val="43FC5E92"/>
    <w:rsid w:val="44017F76"/>
    <w:rsid w:val="440F49AF"/>
    <w:rsid w:val="441000C1"/>
    <w:rsid w:val="4424251F"/>
    <w:rsid w:val="442828F8"/>
    <w:rsid w:val="442F79B9"/>
    <w:rsid w:val="443058AA"/>
    <w:rsid w:val="444136BD"/>
    <w:rsid w:val="44674566"/>
    <w:rsid w:val="446C1472"/>
    <w:rsid w:val="446E0DE7"/>
    <w:rsid w:val="44855B8D"/>
    <w:rsid w:val="44A01FB0"/>
    <w:rsid w:val="44B63749"/>
    <w:rsid w:val="44E173B8"/>
    <w:rsid w:val="44E33D42"/>
    <w:rsid w:val="44E94B58"/>
    <w:rsid w:val="44FD08B9"/>
    <w:rsid w:val="44FD4C59"/>
    <w:rsid w:val="45010901"/>
    <w:rsid w:val="4523483B"/>
    <w:rsid w:val="45503B6C"/>
    <w:rsid w:val="45615A31"/>
    <w:rsid w:val="45631F71"/>
    <w:rsid w:val="45645083"/>
    <w:rsid w:val="45645939"/>
    <w:rsid w:val="45744428"/>
    <w:rsid w:val="457A431F"/>
    <w:rsid w:val="45873F2E"/>
    <w:rsid w:val="45903A89"/>
    <w:rsid w:val="459A2B4B"/>
    <w:rsid w:val="45AE56E5"/>
    <w:rsid w:val="45B03BFE"/>
    <w:rsid w:val="45B60586"/>
    <w:rsid w:val="45CE0436"/>
    <w:rsid w:val="45D547C7"/>
    <w:rsid w:val="45E74894"/>
    <w:rsid w:val="45F11718"/>
    <w:rsid w:val="461E34FB"/>
    <w:rsid w:val="462112DE"/>
    <w:rsid w:val="463B677F"/>
    <w:rsid w:val="46584AC3"/>
    <w:rsid w:val="46586BBB"/>
    <w:rsid w:val="465B2564"/>
    <w:rsid w:val="466361E0"/>
    <w:rsid w:val="46745329"/>
    <w:rsid w:val="46756101"/>
    <w:rsid w:val="467B665C"/>
    <w:rsid w:val="467F1B7C"/>
    <w:rsid w:val="46837434"/>
    <w:rsid w:val="46874FB5"/>
    <w:rsid w:val="46B52D8F"/>
    <w:rsid w:val="46C451FF"/>
    <w:rsid w:val="46D13F56"/>
    <w:rsid w:val="46D73768"/>
    <w:rsid w:val="46DB748E"/>
    <w:rsid w:val="46E00800"/>
    <w:rsid w:val="46E42907"/>
    <w:rsid w:val="46EF4536"/>
    <w:rsid w:val="46F904F8"/>
    <w:rsid w:val="47036384"/>
    <w:rsid w:val="47195940"/>
    <w:rsid w:val="4735189F"/>
    <w:rsid w:val="47462CC4"/>
    <w:rsid w:val="47497311"/>
    <w:rsid w:val="47534AE8"/>
    <w:rsid w:val="47612048"/>
    <w:rsid w:val="476153EE"/>
    <w:rsid w:val="47881DD7"/>
    <w:rsid w:val="47AD369A"/>
    <w:rsid w:val="47B71D4B"/>
    <w:rsid w:val="47BB0D42"/>
    <w:rsid w:val="47BD3358"/>
    <w:rsid w:val="47D7281A"/>
    <w:rsid w:val="47E5751E"/>
    <w:rsid w:val="47F56FB5"/>
    <w:rsid w:val="48082B32"/>
    <w:rsid w:val="4815529C"/>
    <w:rsid w:val="4832333D"/>
    <w:rsid w:val="48387293"/>
    <w:rsid w:val="483C1399"/>
    <w:rsid w:val="483C692C"/>
    <w:rsid w:val="484A137A"/>
    <w:rsid w:val="484E004A"/>
    <w:rsid w:val="485A7935"/>
    <w:rsid w:val="48680B85"/>
    <w:rsid w:val="486D3B4B"/>
    <w:rsid w:val="487F0AE0"/>
    <w:rsid w:val="48925F17"/>
    <w:rsid w:val="48974472"/>
    <w:rsid w:val="4898557D"/>
    <w:rsid w:val="489D0D0E"/>
    <w:rsid w:val="48A16470"/>
    <w:rsid w:val="48A27D40"/>
    <w:rsid w:val="48AA37A2"/>
    <w:rsid w:val="48B044FA"/>
    <w:rsid w:val="48BB5D35"/>
    <w:rsid w:val="48C470AA"/>
    <w:rsid w:val="48CB26CB"/>
    <w:rsid w:val="48DB204A"/>
    <w:rsid w:val="48F505DB"/>
    <w:rsid w:val="492B0536"/>
    <w:rsid w:val="4946107B"/>
    <w:rsid w:val="49590FFD"/>
    <w:rsid w:val="49694ABD"/>
    <w:rsid w:val="497D17F6"/>
    <w:rsid w:val="497D527C"/>
    <w:rsid w:val="49921706"/>
    <w:rsid w:val="49951847"/>
    <w:rsid w:val="49AC3B0D"/>
    <w:rsid w:val="49AD35FC"/>
    <w:rsid w:val="49B5767C"/>
    <w:rsid w:val="49BB5692"/>
    <w:rsid w:val="49BF5FA2"/>
    <w:rsid w:val="49C248DD"/>
    <w:rsid w:val="49D41534"/>
    <w:rsid w:val="49D42828"/>
    <w:rsid w:val="49E1749A"/>
    <w:rsid w:val="49F90D4B"/>
    <w:rsid w:val="4A0E4837"/>
    <w:rsid w:val="4A1D15AB"/>
    <w:rsid w:val="4A554FA8"/>
    <w:rsid w:val="4A623B85"/>
    <w:rsid w:val="4A6A64C2"/>
    <w:rsid w:val="4A6F336A"/>
    <w:rsid w:val="4A700CF9"/>
    <w:rsid w:val="4A712133"/>
    <w:rsid w:val="4A782BCF"/>
    <w:rsid w:val="4A7850FA"/>
    <w:rsid w:val="4A85354F"/>
    <w:rsid w:val="4AA81784"/>
    <w:rsid w:val="4AA87225"/>
    <w:rsid w:val="4AB463CE"/>
    <w:rsid w:val="4AB96C56"/>
    <w:rsid w:val="4ABB00CA"/>
    <w:rsid w:val="4ABC3474"/>
    <w:rsid w:val="4ABC72DF"/>
    <w:rsid w:val="4AD31CEC"/>
    <w:rsid w:val="4AD745A3"/>
    <w:rsid w:val="4ADA101D"/>
    <w:rsid w:val="4AE87FC6"/>
    <w:rsid w:val="4AF26FD5"/>
    <w:rsid w:val="4AF75E99"/>
    <w:rsid w:val="4AF81F9F"/>
    <w:rsid w:val="4B036BAB"/>
    <w:rsid w:val="4B045962"/>
    <w:rsid w:val="4B0D625E"/>
    <w:rsid w:val="4B203B01"/>
    <w:rsid w:val="4B263DDD"/>
    <w:rsid w:val="4B297D57"/>
    <w:rsid w:val="4B2B17CB"/>
    <w:rsid w:val="4B3A0462"/>
    <w:rsid w:val="4B5A1582"/>
    <w:rsid w:val="4B5A5E4A"/>
    <w:rsid w:val="4B641B1E"/>
    <w:rsid w:val="4B844162"/>
    <w:rsid w:val="4B854101"/>
    <w:rsid w:val="4B8D1E94"/>
    <w:rsid w:val="4BB25E6F"/>
    <w:rsid w:val="4BB62985"/>
    <w:rsid w:val="4BB72DF0"/>
    <w:rsid w:val="4BC46E98"/>
    <w:rsid w:val="4BD95B32"/>
    <w:rsid w:val="4C1045AA"/>
    <w:rsid w:val="4C2A0254"/>
    <w:rsid w:val="4C2A62E8"/>
    <w:rsid w:val="4C387FEA"/>
    <w:rsid w:val="4C41408F"/>
    <w:rsid w:val="4C617EA0"/>
    <w:rsid w:val="4C6C058F"/>
    <w:rsid w:val="4C742C79"/>
    <w:rsid w:val="4C81376E"/>
    <w:rsid w:val="4C8D63BF"/>
    <w:rsid w:val="4CA24D1D"/>
    <w:rsid w:val="4CB93537"/>
    <w:rsid w:val="4CCE340B"/>
    <w:rsid w:val="4CD170E8"/>
    <w:rsid w:val="4CDB2ED1"/>
    <w:rsid w:val="4CE40296"/>
    <w:rsid w:val="4CE83472"/>
    <w:rsid w:val="4CED0A5E"/>
    <w:rsid w:val="4CFD2DA9"/>
    <w:rsid w:val="4D010936"/>
    <w:rsid w:val="4D0D702D"/>
    <w:rsid w:val="4D146429"/>
    <w:rsid w:val="4D2B37A9"/>
    <w:rsid w:val="4D3B22CD"/>
    <w:rsid w:val="4D3F2287"/>
    <w:rsid w:val="4D496228"/>
    <w:rsid w:val="4D521DFA"/>
    <w:rsid w:val="4D617E6D"/>
    <w:rsid w:val="4D661B93"/>
    <w:rsid w:val="4D78531A"/>
    <w:rsid w:val="4D7F6329"/>
    <w:rsid w:val="4D8D71BC"/>
    <w:rsid w:val="4DA8587B"/>
    <w:rsid w:val="4DAF7F7D"/>
    <w:rsid w:val="4DB972EA"/>
    <w:rsid w:val="4DDF7306"/>
    <w:rsid w:val="4DE87C74"/>
    <w:rsid w:val="4DEB6BA2"/>
    <w:rsid w:val="4DF1750B"/>
    <w:rsid w:val="4DF2189D"/>
    <w:rsid w:val="4DF56B12"/>
    <w:rsid w:val="4DFE6DA4"/>
    <w:rsid w:val="4E0447E4"/>
    <w:rsid w:val="4E054EF1"/>
    <w:rsid w:val="4E0B28BA"/>
    <w:rsid w:val="4E0D21CB"/>
    <w:rsid w:val="4E273DF2"/>
    <w:rsid w:val="4E275E1F"/>
    <w:rsid w:val="4E2D718E"/>
    <w:rsid w:val="4E324791"/>
    <w:rsid w:val="4E3A332D"/>
    <w:rsid w:val="4E3B0B12"/>
    <w:rsid w:val="4E457CFC"/>
    <w:rsid w:val="4E5035B9"/>
    <w:rsid w:val="4E5D6EB6"/>
    <w:rsid w:val="4E764269"/>
    <w:rsid w:val="4E796130"/>
    <w:rsid w:val="4E8619E7"/>
    <w:rsid w:val="4E894E7D"/>
    <w:rsid w:val="4ED07F80"/>
    <w:rsid w:val="4ED22AD6"/>
    <w:rsid w:val="4EDB7BE2"/>
    <w:rsid w:val="4EE143E2"/>
    <w:rsid w:val="4EEC5DC2"/>
    <w:rsid w:val="4EF917AA"/>
    <w:rsid w:val="4EF96C36"/>
    <w:rsid w:val="4EFA1A63"/>
    <w:rsid w:val="4F053BD8"/>
    <w:rsid w:val="4F1064A1"/>
    <w:rsid w:val="4F524FE5"/>
    <w:rsid w:val="4F5A6B06"/>
    <w:rsid w:val="4F6C544F"/>
    <w:rsid w:val="4F730BAE"/>
    <w:rsid w:val="4F774221"/>
    <w:rsid w:val="4F7A017A"/>
    <w:rsid w:val="4F8417E0"/>
    <w:rsid w:val="4F921F77"/>
    <w:rsid w:val="4FA249BB"/>
    <w:rsid w:val="4FA56D18"/>
    <w:rsid w:val="4FBF4191"/>
    <w:rsid w:val="4FCB09D8"/>
    <w:rsid w:val="4FCB2AB8"/>
    <w:rsid w:val="4FDD33DB"/>
    <w:rsid w:val="4FE54559"/>
    <w:rsid w:val="4FFE322B"/>
    <w:rsid w:val="4FFF545A"/>
    <w:rsid w:val="500510D1"/>
    <w:rsid w:val="500B69CE"/>
    <w:rsid w:val="500E0FC3"/>
    <w:rsid w:val="503F7E98"/>
    <w:rsid w:val="504F15D1"/>
    <w:rsid w:val="507B7075"/>
    <w:rsid w:val="50801A86"/>
    <w:rsid w:val="50843B54"/>
    <w:rsid w:val="5084607C"/>
    <w:rsid w:val="5087019C"/>
    <w:rsid w:val="509324F6"/>
    <w:rsid w:val="50AA4569"/>
    <w:rsid w:val="50AD363E"/>
    <w:rsid w:val="50C1453A"/>
    <w:rsid w:val="50CC7055"/>
    <w:rsid w:val="50D06BF1"/>
    <w:rsid w:val="50D35C50"/>
    <w:rsid w:val="50E0284F"/>
    <w:rsid w:val="50E047FE"/>
    <w:rsid w:val="50E06B31"/>
    <w:rsid w:val="50E536AE"/>
    <w:rsid w:val="50EA3832"/>
    <w:rsid w:val="50ED7405"/>
    <w:rsid w:val="50F0306A"/>
    <w:rsid w:val="50F52B7F"/>
    <w:rsid w:val="50FC79A0"/>
    <w:rsid w:val="51011B51"/>
    <w:rsid w:val="510630D2"/>
    <w:rsid w:val="5108514E"/>
    <w:rsid w:val="512750E6"/>
    <w:rsid w:val="514D180D"/>
    <w:rsid w:val="51567810"/>
    <w:rsid w:val="51950E91"/>
    <w:rsid w:val="51CB2777"/>
    <w:rsid w:val="51CB522C"/>
    <w:rsid w:val="51DC5C72"/>
    <w:rsid w:val="51E55C99"/>
    <w:rsid w:val="52084C12"/>
    <w:rsid w:val="52131673"/>
    <w:rsid w:val="521A5044"/>
    <w:rsid w:val="522354C4"/>
    <w:rsid w:val="52285BEE"/>
    <w:rsid w:val="52365551"/>
    <w:rsid w:val="5271423C"/>
    <w:rsid w:val="52762A2B"/>
    <w:rsid w:val="528270C2"/>
    <w:rsid w:val="529A6C72"/>
    <w:rsid w:val="52AB3F4D"/>
    <w:rsid w:val="52B33BDC"/>
    <w:rsid w:val="52B434C6"/>
    <w:rsid w:val="52CD4DEE"/>
    <w:rsid w:val="52D007C3"/>
    <w:rsid w:val="52D34D35"/>
    <w:rsid w:val="52E9496A"/>
    <w:rsid w:val="52FB230E"/>
    <w:rsid w:val="52FC6F5F"/>
    <w:rsid w:val="52FE7E6C"/>
    <w:rsid w:val="5333696C"/>
    <w:rsid w:val="53385012"/>
    <w:rsid w:val="536D174D"/>
    <w:rsid w:val="536E2857"/>
    <w:rsid w:val="537E2CA8"/>
    <w:rsid w:val="538357A7"/>
    <w:rsid w:val="53907BCB"/>
    <w:rsid w:val="539C47DB"/>
    <w:rsid w:val="53B603DC"/>
    <w:rsid w:val="53B67B60"/>
    <w:rsid w:val="53BE1C17"/>
    <w:rsid w:val="53D73191"/>
    <w:rsid w:val="53DF48D5"/>
    <w:rsid w:val="53ED6E6F"/>
    <w:rsid w:val="540253B3"/>
    <w:rsid w:val="54193EB2"/>
    <w:rsid w:val="541E1948"/>
    <w:rsid w:val="54275A2A"/>
    <w:rsid w:val="54365916"/>
    <w:rsid w:val="544C2D66"/>
    <w:rsid w:val="54600756"/>
    <w:rsid w:val="546432CE"/>
    <w:rsid w:val="546557E5"/>
    <w:rsid w:val="54701901"/>
    <w:rsid w:val="547565C0"/>
    <w:rsid w:val="54780A20"/>
    <w:rsid w:val="54C3175A"/>
    <w:rsid w:val="54DE0561"/>
    <w:rsid w:val="55044D0F"/>
    <w:rsid w:val="550B15A7"/>
    <w:rsid w:val="55144508"/>
    <w:rsid w:val="551848D1"/>
    <w:rsid w:val="55344AB0"/>
    <w:rsid w:val="5536730A"/>
    <w:rsid w:val="55377AD1"/>
    <w:rsid w:val="553E113E"/>
    <w:rsid w:val="5540237D"/>
    <w:rsid w:val="555518AD"/>
    <w:rsid w:val="55667A85"/>
    <w:rsid w:val="55716CD3"/>
    <w:rsid w:val="55761DEC"/>
    <w:rsid w:val="55776979"/>
    <w:rsid w:val="55913F7C"/>
    <w:rsid w:val="559D7A1C"/>
    <w:rsid w:val="55AB6ACF"/>
    <w:rsid w:val="55C36371"/>
    <w:rsid w:val="56127BAF"/>
    <w:rsid w:val="56176400"/>
    <w:rsid w:val="561C280F"/>
    <w:rsid w:val="562C5CA2"/>
    <w:rsid w:val="56365852"/>
    <w:rsid w:val="563D1425"/>
    <w:rsid w:val="563F174E"/>
    <w:rsid w:val="56495CB7"/>
    <w:rsid w:val="564A0DC5"/>
    <w:rsid w:val="564A1FCE"/>
    <w:rsid w:val="564E3E87"/>
    <w:rsid w:val="56567E26"/>
    <w:rsid w:val="565A4801"/>
    <w:rsid w:val="56605189"/>
    <w:rsid w:val="5665180E"/>
    <w:rsid w:val="566C32B4"/>
    <w:rsid w:val="567337C7"/>
    <w:rsid w:val="567B79EB"/>
    <w:rsid w:val="569E221B"/>
    <w:rsid w:val="56B27F3E"/>
    <w:rsid w:val="56B605A5"/>
    <w:rsid w:val="56CF0992"/>
    <w:rsid w:val="56D3618E"/>
    <w:rsid w:val="56E84067"/>
    <w:rsid w:val="570E2542"/>
    <w:rsid w:val="57105F22"/>
    <w:rsid w:val="571628AF"/>
    <w:rsid w:val="57190023"/>
    <w:rsid w:val="572478E2"/>
    <w:rsid w:val="57286DAB"/>
    <w:rsid w:val="572A0645"/>
    <w:rsid w:val="574861C5"/>
    <w:rsid w:val="574F31E1"/>
    <w:rsid w:val="5763331E"/>
    <w:rsid w:val="576D542E"/>
    <w:rsid w:val="579B29DB"/>
    <w:rsid w:val="57C61FCE"/>
    <w:rsid w:val="57CD6EFE"/>
    <w:rsid w:val="57D207B6"/>
    <w:rsid w:val="57EB1098"/>
    <w:rsid w:val="57ED7304"/>
    <w:rsid w:val="57F80D77"/>
    <w:rsid w:val="57FC04B2"/>
    <w:rsid w:val="580E5DA3"/>
    <w:rsid w:val="58167A35"/>
    <w:rsid w:val="581C39F0"/>
    <w:rsid w:val="58245DB2"/>
    <w:rsid w:val="58260813"/>
    <w:rsid w:val="5837577C"/>
    <w:rsid w:val="5883673E"/>
    <w:rsid w:val="58866DB9"/>
    <w:rsid w:val="588C3FB5"/>
    <w:rsid w:val="588D1F1F"/>
    <w:rsid w:val="589C20F4"/>
    <w:rsid w:val="58A0117C"/>
    <w:rsid w:val="58A02642"/>
    <w:rsid w:val="58AC4087"/>
    <w:rsid w:val="58AD7C1E"/>
    <w:rsid w:val="58AE77FC"/>
    <w:rsid w:val="58B53257"/>
    <w:rsid w:val="58C23DE8"/>
    <w:rsid w:val="58CD5DCD"/>
    <w:rsid w:val="58E76EAA"/>
    <w:rsid w:val="58E876F8"/>
    <w:rsid w:val="58F4772C"/>
    <w:rsid w:val="5909230E"/>
    <w:rsid w:val="590A238B"/>
    <w:rsid w:val="5917121F"/>
    <w:rsid w:val="591D1ECE"/>
    <w:rsid w:val="59303B88"/>
    <w:rsid w:val="594D4198"/>
    <w:rsid w:val="596E1E52"/>
    <w:rsid w:val="597B41FB"/>
    <w:rsid w:val="59811429"/>
    <w:rsid w:val="59963629"/>
    <w:rsid w:val="59D01A6D"/>
    <w:rsid w:val="59D0629F"/>
    <w:rsid w:val="59E60AE1"/>
    <w:rsid w:val="59E65B63"/>
    <w:rsid w:val="59FC225C"/>
    <w:rsid w:val="59FE4ABB"/>
    <w:rsid w:val="5A007265"/>
    <w:rsid w:val="5A0E23DB"/>
    <w:rsid w:val="5A231AC2"/>
    <w:rsid w:val="5A310067"/>
    <w:rsid w:val="5A3B4856"/>
    <w:rsid w:val="5A534768"/>
    <w:rsid w:val="5A5930CA"/>
    <w:rsid w:val="5A5C0A1F"/>
    <w:rsid w:val="5A8955AF"/>
    <w:rsid w:val="5AA251E6"/>
    <w:rsid w:val="5AAD3CEF"/>
    <w:rsid w:val="5AB16450"/>
    <w:rsid w:val="5ACB4EEC"/>
    <w:rsid w:val="5ACD2AC8"/>
    <w:rsid w:val="5AD32754"/>
    <w:rsid w:val="5ADE17A9"/>
    <w:rsid w:val="5AEA58A1"/>
    <w:rsid w:val="5AF552C4"/>
    <w:rsid w:val="5B0567F2"/>
    <w:rsid w:val="5B07173B"/>
    <w:rsid w:val="5B110B78"/>
    <w:rsid w:val="5B1374B1"/>
    <w:rsid w:val="5B1661ED"/>
    <w:rsid w:val="5B200B71"/>
    <w:rsid w:val="5B47501F"/>
    <w:rsid w:val="5B506F99"/>
    <w:rsid w:val="5B586B25"/>
    <w:rsid w:val="5B7230ED"/>
    <w:rsid w:val="5B771706"/>
    <w:rsid w:val="5B807034"/>
    <w:rsid w:val="5BA73EE2"/>
    <w:rsid w:val="5BA9593B"/>
    <w:rsid w:val="5BB7666F"/>
    <w:rsid w:val="5BBB0088"/>
    <w:rsid w:val="5BC333BC"/>
    <w:rsid w:val="5BC616E3"/>
    <w:rsid w:val="5BD73A7F"/>
    <w:rsid w:val="5BED6F4A"/>
    <w:rsid w:val="5C045C36"/>
    <w:rsid w:val="5C362E9D"/>
    <w:rsid w:val="5C457203"/>
    <w:rsid w:val="5C49705F"/>
    <w:rsid w:val="5C4A1567"/>
    <w:rsid w:val="5C505487"/>
    <w:rsid w:val="5C533B03"/>
    <w:rsid w:val="5C78087D"/>
    <w:rsid w:val="5C7A1980"/>
    <w:rsid w:val="5CAF25EF"/>
    <w:rsid w:val="5CC14995"/>
    <w:rsid w:val="5CC43A65"/>
    <w:rsid w:val="5CCA507C"/>
    <w:rsid w:val="5CD3738E"/>
    <w:rsid w:val="5CDF4A83"/>
    <w:rsid w:val="5CE13344"/>
    <w:rsid w:val="5D2C3E5A"/>
    <w:rsid w:val="5D5A4CE6"/>
    <w:rsid w:val="5DC47B64"/>
    <w:rsid w:val="5DDE50FB"/>
    <w:rsid w:val="5DE128B7"/>
    <w:rsid w:val="5DE73600"/>
    <w:rsid w:val="5DEA527B"/>
    <w:rsid w:val="5DF54A43"/>
    <w:rsid w:val="5E052968"/>
    <w:rsid w:val="5E0D5F92"/>
    <w:rsid w:val="5E217268"/>
    <w:rsid w:val="5E3D5F7C"/>
    <w:rsid w:val="5E5A1110"/>
    <w:rsid w:val="5E616F2D"/>
    <w:rsid w:val="5E6E7A01"/>
    <w:rsid w:val="5E710639"/>
    <w:rsid w:val="5EA03A56"/>
    <w:rsid w:val="5EA17018"/>
    <w:rsid w:val="5EAB2037"/>
    <w:rsid w:val="5EB71C9C"/>
    <w:rsid w:val="5EBD5A8C"/>
    <w:rsid w:val="5ED82EFF"/>
    <w:rsid w:val="5EDF277D"/>
    <w:rsid w:val="5EE04748"/>
    <w:rsid w:val="5F026C79"/>
    <w:rsid w:val="5F086F8E"/>
    <w:rsid w:val="5F10472F"/>
    <w:rsid w:val="5F132FD3"/>
    <w:rsid w:val="5F1753EF"/>
    <w:rsid w:val="5F2C5CBB"/>
    <w:rsid w:val="5F2E2C7D"/>
    <w:rsid w:val="5F3A7040"/>
    <w:rsid w:val="5F490292"/>
    <w:rsid w:val="5F563661"/>
    <w:rsid w:val="5F7A5459"/>
    <w:rsid w:val="5F855458"/>
    <w:rsid w:val="5F8930B2"/>
    <w:rsid w:val="5F9F5B1D"/>
    <w:rsid w:val="5FB764CF"/>
    <w:rsid w:val="5FBC3CFE"/>
    <w:rsid w:val="5FC55060"/>
    <w:rsid w:val="5FC81B85"/>
    <w:rsid w:val="5FCD6D01"/>
    <w:rsid w:val="5FE72417"/>
    <w:rsid w:val="5FE737C0"/>
    <w:rsid w:val="60273FDE"/>
    <w:rsid w:val="60376CFC"/>
    <w:rsid w:val="60472C3A"/>
    <w:rsid w:val="607140D0"/>
    <w:rsid w:val="607D34DA"/>
    <w:rsid w:val="60852CCE"/>
    <w:rsid w:val="60866FC5"/>
    <w:rsid w:val="60880163"/>
    <w:rsid w:val="6088786F"/>
    <w:rsid w:val="608973B8"/>
    <w:rsid w:val="60A3490B"/>
    <w:rsid w:val="60A65036"/>
    <w:rsid w:val="60D3357A"/>
    <w:rsid w:val="60DE464C"/>
    <w:rsid w:val="60E03EFA"/>
    <w:rsid w:val="610142AB"/>
    <w:rsid w:val="610A00CE"/>
    <w:rsid w:val="61155851"/>
    <w:rsid w:val="61205B8C"/>
    <w:rsid w:val="61277E71"/>
    <w:rsid w:val="61550CC1"/>
    <w:rsid w:val="615922E4"/>
    <w:rsid w:val="61643FCD"/>
    <w:rsid w:val="617048F7"/>
    <w:rsid w:val="61707ED7"/>
    <w:rsid w:val="61724738"/>
    <w:rsid w:val="61814313"/>
    <w:rsid w:val="61821264"/>
    <w:rsid w:val="61A87651"/>
    <w:rsid w:val="61AC3F39"/>
    <w:rsid w:val="61BD5AE8"/>
    <w:rsid w:val="61E84CBE"/>
    <w:rsid w:val="61F21F33"/>
    <w:rsid w:val="6237573F"/>
    <w:rsid w:val="62405210"/>
    <w:rsid w:val="624D1200"/>
    <w:rsid w:val="624F517C"/>
    <w:rsid w:val="62532BE3"/>
    <w:rsid w:val="62843B1F"/>
    <w:rsid w:val="629532C2"/>
    <w:rsid w:val="62A849E9"/>
    <w:rsid w:val="63000919"/>
    <w:rsid w:val="631708CE"/>
    <w:rsid w:val="631E09AF"/>
    <w:rsid w:val="632424C1"/>
    <w:rsid w:val="634C3F40"/>
    <w:rsid w:val="634F395F"/>
    <w:rsid w:val="635C1D50"/>
    <w:rsid w:val="63613007"/>
    <w:rsid w:val="6362619B"/>
    <w:rsid w:val="63703AED"/>
    <w:rsid w:val="63862258"/>
    <w:rsid w:val="63957971"/>
    <w:rsid w:val="63A669C9"/>
    <w:rsid w:val="63CB179D"/>
    <w:rsid w:val="63D157DD"/>
    <w:rsid w:val="63F61AD4"/>
    <w:rsid w:val="63FF6C76"/>
    <w:rsid w:val="64004618"/>
    <w:rsid w:val="64073EDA"/>
    <w:rsid w:val="640D111D"/>
    <w:rsid w:val="64156BCB"/>
    <w:rsid w:val="641854A2"/>
    <w:rsid w:val="64284D06"/>
    <w:rsid w:val="64532BB0"/>
    <w:rsid w:val="646A467D"/>
    <w:rsid w:val="646D2223"/>
    <w:rsid w:val="647D193B"/>
    <w:rsid w:val="647F5CA1"/>
    <w:rsid w:val="6486038C"/>
    <w:rsid w:val="649F0473"/>
    <w:rsid w:val="64A65BB3"/>
    <w:rsid w:val="64C62351"/>
    <w:rsid w:val="64D64573"/>
    <w:rsid w:val="64D947CF"/>
    <w:rsid w:val="650414B6"/>
    <w:rsid w:val="65130F31"/>
    <w:rsid w:val="651E2EA8"/>
    <w:rsid w:val="65214347"/>
    <w:rsid w:val="653F637B"/>
    <w:rsid w:val="65792C9B"/>
    <w:rsid w:val="658A0863"/>
    <w:rsid w:val="658E643A"/>
    <w:rsid w:val="6590782D"/>
    <w:rsid w:val="659E2325"/>
    <w:rsid w:val="65A03D06"/>
    <w:rsid w:val="65A229CA"/>
    <w:rsid w:val="65B323F3"/>
    <w:rsid w:val="65B40A60"/>
    <w:rsid w:val="65CF78AC"/>
    <w:rsid w:val="65E01DC6"/>
    <w:rsid w:val="65E31996"/>
    <w:rsid w:val="65E6308E"/>
    <w:rsid w:val="65EE2CF5"/>
    <w:rsid w:val="660D6812"/>
    <w:rsid w:val="660F2269"/>
    <w:rsid w:val="66196C36"/>
    <w:rsid w:val="66633582"/>
    <w:rsid w:val="66651BDC"/>
    <w:rsid w:val="666D0DF2"/>
    <w:rsid w:val="66744D9F"/>
    <w:rsid w:val="667D0668"/>
    <w:rsid w:val="66817815"/>
    <w:rsid w:val="66832E6F"/>
    <w:rsid w:val="669A088D"/>
    <w:rsid w:val="669C5E53"/>
    <w:rsid w:val="669E4A4E"/>
    <w:rsid w:val="66B05B18"/>
    <w:rsid w:val="66C43DC9"/>
    <w:rsid w:val="66D570E2"/>
    <w:rsid w:val="66E02C5B"/>
    <w:rsid w:val="66F425CE"/>
    <w:rsid w:val="66FA7FAF"/>
    <w:rsid w:val="670A28A8"/>
    <w:rsid w:val="670A76B6"/>
    <w:rsid w:val="671110C2"/>
    <w:rsid w:val="671A3B7C"/>
    <w:rsid w:val="671A5EC6"/>
    <w:rsid w:val="672B7CC7"/>
    <w:rsid w:val="67414388"/>
    <w:rsid w:val="675024EE"/>
    <w:rsid w:val="6758406F"/>
    <w:rsid w:val="67591A5A"/>
    <w:rsid w:val="676A667F"/>
    <w:rsid w:val="67977CD1"/>
    <w:rsid w:val="67B93427"/>
    <w:rsid w:val="67D806ED"/>
    <w:rsid w:val="67DA1E3B"/>
    <w:rsid w:val="67DD1918"/>
    <w:rsid w:val="67E91C4C"/>
    <w:rsid w:val="67F6367D"/>
    <w:rsid w:val="687703E8"/>
    <w:rsid w:val="688C27B2"/>
    <w:rsid w:val="689748C0"/>
    <w:rsid w:val="68975E67"/>
    <w:rsid w:val="689B3943"/>
    <w:rsid w:val="68A4441D"/>
    <w:rsid w:val="68A92BBB"/>
    <w:rsid w:val="68AA3189"/>
    <w:rsid w:val="68B06589"/>
    <w:rsid w:val="68B87AA8"/>
    <w:rsid w:val="68C4047A"/>
    <w:rsid w:val="68CE79E9"/>
    <w:rsid w:val="68CF5FBA"/>
    <w:rsid w:val="68E032BE"/>
    <w:rsid w:val="68EF4322"/>
    <w:rsid w:val="68F6064D"/>
    <w:rsid w:val="68FA155B"/>
    <w:rsid w:val="690B782E"/>
    <w:rsid w:val="693B5849"/>
    <w:rsid w:val="69476849"/>
    <w:rsid w:val="694A6159"/>
    <w:rsid w:val="694C06A9"/>
    <w:rsid w:val="69611532"/>
    <w:rsid w:val="697D5A91"/>
    <w:rsid w:val="6999071C"/>
    <w:rsid w:val="69AE1E1C"/>
    <w:rsid w:val="69BF39B8"/>
    <w:rsid w:val="69C33F35"/>
    <w:rsid w:val="69C52D46"/>
    <w:rsid w:val="69C93673"/>
    <w:rsid w:val="69CD7DC8"/>
    <w:rsid w:val="69EF3AA6"/>
    <w:rsid w:val="69FD3BAD"/>
    <w:rsid w:val="6A252E23"/>
    <w:rsid w:val="6A2B7A6E"/>
    <w:rsid w:val="6A4609B2"/>
    <w:rsid w:val="6A516637"/>
    <w:rsid w:val="6A534F45"/>
    <w:rsid w:val="6A6125E1"/>
    <w:rsid w:val="6A645A26"/>
    <w:rsid w:val="6A655D02"/>
    <w:rsid w:val="6A6F2A4D"/>
    <w:rsid w:val="6A910026"/>
    <w:rsid w:val="6A9A4C08"/>
    <w:rsid w:val="6AA1438C"/>
    <w:rsid w:val="6AA33636"/>
    <w:rsid w:val="6ADA058D"/>
    <w:rsid w:val="6ADB53D5"/>
    <w:rsid w:val="6AF55F2D"/>
    <w:rsid w:val="6AF620F3"/>
    <w:rsid w:val="6B210699"/>
    <w:rsid w:val="6B5B3E77"/>
    <w:rsid w:val="6B63682C"/>
    <w:rsid w:val="6B7278F9"/>
    <w:rsid w:val="6B76781E"/>
    <w:rsid w:val="6B806B86"/>
    <w:rsid w:val="6B912284"/>
    <w:rsid w:val="6B9504F2"/>
    <w:rsid w:val="6BA023E9"/>
    <w:rsid w:val="6BA45F22"/>
    <w:rsid w:val="6BAF11DE"/>
    <w:rsid w:val="6BB248AE"/>
    <w:rsid w:val="6BC03BE4"/>
    <w:rsid w:val="6C0333AB"/>
    <w:rsid w:val="6C0F32DC"/>
    <w:rsid w:val="6C122F2C"/>
    <w:rsid w:val="6C1848DF"/>
    <w:rsid w:val="6C1D2F9F"/>
    <w:rsid w:val="6C206F72"/>
    <w:rsid w:val="6C2C6A38"/>
    <w:rsid w:val="6C3810A1"/>
    <w:rsid w:val="6C3A5834"/>
    <w:rsid w:val="6C4E22D9"/>
    <w:rsid w:val="6C530186"/>
    <w:rsid w:val="6C545E29"/>
    <w:rsid w:val="6C570C04"/>
    <w:rsid w:val="6C5A228B"/>
    <w:rsid w:val="6C5D23B9"/>
    <w:rsid w:val="6C8576CF"/>
    <w:rsid w:val="6C906DBE"/>
    <w:rsid w:val="6C940191"/>
    <w:rsid w:val="6C945EC1"/>
    <w:rsid w:val="6C9B5343"/>
    <w:rsid w:val="6C9C771D"/>
    <w:rsid w:val="6CA80F7D"/>
    <w:rsid w:val="6CB8006D"/>
    <w:rsid w:val="6CC97D25"/>
    <w:rsid w:val="6CDB120E"/>
    <w:rsid w:val="6CE056C8"/>
    <w:rsid w:val="6CF57915"/>
    <w:rsid w:val="6D0E445B"/>
    <w:rsid w:val="6D154B26"/>
    <w:rsid w:val="6D320AEC"/>
    <w:rsid w:val="6D4315B7"/>
    <w:rsid w:val="6D441015"/>
    <w:rsid w:val="6D476697"/>
    <w:rsid w:val="6D4F17DC"/>
    <w:rsid w:val="6D6171C7"/>
    <w:rsid w:val="6D64106F"/>
    <w:rsid w:val="6D663BF9"/>
    <w:rsid w:val="6D6C22C0"/>
    <w:rsid w:val="6D7E41EB"/>
    <w:rsid w:val="6DAC4AC0"/>
    <w:rsid w:val="6DBE2D94"/>
    <w:rsid w:val="6DCC42B3"/>
    <w:rsid w:val="6DEB30B5"/>
    <w:rsid w:val="6DF96AE0"/>
    <w:rsid w:val="6DFB2674"/>
    <w:rsid w:val="6E094A2E"/>
    <w:rsid w:val="6E1B1D04"/>
    <w:rsid w:val="6E4F65C4"/>
    <w:rsid w:val="6E753AFC"/>
    <w:rsid w:val="6E780D25"/>
    <w:rsid w:val="6E8D5AE2"/>
    <w:rsid w:val="6E8D6F92"/>
    <w:rsid w:val="6EB4252C"/>
    <w:rsid w:val="6EB85FF9"/>
    <w:rsid w:val="6EC7506B"/>
    <w:rsid w:val="6ECC79E0"/>
    <w:rsid w:val="6ECD3F4B"/>
    <w:rsid w:val="6EE11FA9"/>
    <w:rsid w:val="6EFC3D84"/>
    <w:rsid w:val="6EFC62C8"/>
    <w:rsid w:val="6F2171A4"/>
    <w:rsid w:val="6F5372B3"/>
    <w:rsid w:val="6F541627"/>
    <w:rsid w:val="6F547652"/>
    <w:rsid w:val="6F610BEC"/>
    <w:rsid w:val="6F6A6988"/>
    <w:rsid w:val="6F79580D"/>
    <w:rsid w:val="6F7D12F4"/>
    <w:rsid w:val="6F9375EA"/>
    <w:rsid w:val="6F9F5811"/>
    <w:rsid w:val="6FAE0351"/>
    <w:rsid w:val="6FB369C1"/>
    <w:rsid w:val="6FC54716"/>
    <w:rsid w:val="6FC55C8A"/>
    <w:rsid w:val="6FC707AD"/>
    <w:rsid w:val="6FCF6A53"/>
    <w:rsid w:val="6FD33F3E"/>
    <w:rsid w:val="6FD44871"/>
    <w:rsid w:val="6FD96315"/>
    <w:rsid w:val="6FDE0649"/>
    <w:rsid w:val="6FE517B6"/>
    <w:rsid w:val="6FEA0BD4"/>
    <w:rsid w:val="6FFA1C6B"/>
    <w:rsid w:val="70201662"/>
    <w:rsid w:val="7024187D"/>
    <w:rsid w:val="70257AF8"/>
    <w:rsid w:val="7043389A"/>
    <w:rsid w:val="70503F25"/>
    <w:rsid w:val="70513947"/>
    <w:rsid w:val="70526725"/>
    <w:rsid w:val="705A4DB3"/>
    <w:rsid w:val="705E7338"/>
    <w:rsid w:val="707E3635"/>
    <w:rsid w:val="70870E3F"/>
    <w:rsid w:val="709B29A8"/>
    <w:rsid w:val="70B54D0D"/>
    <w:rsid w:val="70C81BA2"/>
    <w:rsid w:val="70CE1D3A"/>
    <w:rsid w:val="70D728AB"/>
    <w:rsid w:val="70E04AB7"/>
    <w:rsid w:val="70E752F8"/>
    <w:rsid w:val="70EE5669"/>
    <w:rsid w:val="70F00542"/>
    <w:rsid w:val="71054859"/>
    <w:rsid w:val="71084A5A"/>
    <w:rsid w:val="710B3E50"/>
    <w:rsid w:val="71234CD4"/>
    <w:rsid w:val="712D5E72"/>
    <w:rsid w:val="7135050C"/>
    <w:rsid w:val="71383FA3"/>
    <w:rsid w:val="71434BED"/>
    <w:rsid w:val="714D544E"/>
    <w:rsid w:val="71560B60"/>
    <w:rsid w:val="71641E43"/>
    <w:rsid w:val="716E5C58"/>
    <w:rsid w:val="71923A1E"/>
    <w:rsid w:val="71A70273"/>
    <w:rsid w:val="71C30463"/>
    <w:rsid w:val="71C84B93"/>
    <w:rsid w:val="71CE363D"/>
    <w:rsid w:val="71E43ADE"/>
    <w:rsid w:val="71F42EB8"/>
    <w:rsid w:val="72143096"/>
    <w:rsid w:val="72214459"/>
    <w:rsid w:val="7225217C"/>
    <w:rsid w:val="723B780F"/>
    <w:rsid w:val="724405BD"/>
    <w:rsid w:val="72474748"/>
    <w:rsid w:val="72606560"/>
    <w:rsid w:val="72746531"/>
    <w:rsid w:val="7279326C"/>
    <w:rsid w:val="727B0E73"/>
    <w:rsid w:val="729D67D7"/>
    <w:rsid w:val="72B7269E"/>
    <w:rsid w:val="72BF3070"/>
    <w:rsid w:val="72C82FDE"/>
    <w:rsid w:val="72CE136A"/>
    <w:rsid w:val="72DD1671"/>
    <w:rsid w:val="72E56B49"/>
    <w:rsid w:val="72EB6154"/>
    <w:rsid w:val="72F558F2"/>
    <w:rsid w:val="7312119F"/>
    <w:rsid w:val="731877F4"/>
    <w:rsid w:val="73266077"/>
    <w:rsid w:val="732B21AE"/>
    <w:rsid w:val="73310AF2"/>
    <w:rsid w:val="733A2A9A"/>
    <w:rsid w:val="73524BC5"/>
    <w:rsid w:val="7365769A"/>
    <w:rsid w:val="73744DDF"/>
    <w:rsid w:val="73846D0E"/>
    <w:rsid w:val="739E4751"/>
    <w:rsid w:val="73B115E6"/>
    <w:rsid w:val="73B41ED9"/>
    <w:rsid w:val="73B45B4B"/>
    <w:rsid w:val="73C62D23"/>
    <w:rsid w:val="73D420DC"/>
    <w:rsid w:val="73DB329B"/>
    <w:rsid w:val="73DF1BA8"/>
    <w:rsid w:val="74003491"/>
    <w:rsid w:val="740560C0"/>
    <w:rsid w:val="74101B27"/>
    <w:rsid w:val="74151F10"/>
    <w:rsid w:val="741833DC"/>
    <w:rsid w:val="743F3C36"/>
    <w:rsid w:val="745E364C"/>
    <w:rsid w:val="746E4153"/>
    <w:rsid w:val="7480721E"/>
    <w:rsid w:val="74A1543A"/>
    <w:rsid w:val="74BB39F0"/>
    <w:rsid w:val="74BD5F94"/>
    <w:rsid w:val="74D74DC6"/>
    <w:rsid w:val="74E00F35"/>
    <w:rsid w:val="74EC2BF2"/>
    <w:rsid w:val="74F206D6"/>
    <w:rsid w:val="74FA443D"/>
    <w:rsid w:val="74FB1E15"/>
    <w:rsid w:val="74FD30C9"/>
    <w:rsid w:val="7505127B"/>
    <w:rsid w:val="750C5109"/>
    <w:rsid w:val="752C3E7A"/>
    <w:rsid w:val="75475154"/>
    <w:rsid w:val="754B62A6"/>
    <w:rsid w:val="75647E61"/>
    <w:rsid w:val="75705734"/>
    <w:rsid w:val="75723327"/>
    <w:rsid w:val="75862DDB"/>
    <w:rsid w:val="758B3BCD"/>
    <w:rsid w:val="758C661B"/>
    <w:rsid w:val="75A36394"/>
    <w:rsid w:val="75A54A07"/>
    <w:rsid w:val="75B2513F"/>
    <w:rsid w:val="75C8628B"/>
    <w:rsid w:val="75E955E5"/>
    <w:rsid w:val="75EE4A87"/>
    <w:rsid w:val="76003899"/>
    <w:rsid w:val="760100FA"/>
    <w:rsid w:val="76044B04"/>
    <w:rsid w:val="76121576"/>
    <w:rsid w:val="76252589"/>
    <w:rsid w:val="762E4E2F"/>
    <w:rsid w:val="763276C8"/>
    <w:rsid w:val="76366201"/>
    <w:rsid w:val="763B707E"/>
    <w:rsid w:val="76483C5A"/>
    <w:rsid w:val="765374A5"/>
    <w:rsid w:val="765F5436"/>
    <w:rsid w:val="76745944"/>
    <w:rsid w:val="76750E1C"/>
    <w:rsid w:val="7692155B"/>
    <w:rsid w:val="7698649F"/>
    <w:rsid w:val="76A1191A"/>
    <w:rsid w:val="76B471E7"/>
    <w:rsid w:val="76BC1B77"/>
    <w:rsid w:val="76BE141B"/>
    <w:rsid w:val="76DD6660"/>
    <w:rsid w:val="76E617D5"/>
    <w:rsid w:val="77004BC5"/>
    <w:rsid w:val="77055A5F"/>
    <w:rsid w:val="77061CB0"/>
    <w:rsid w:val="77164E54"/>
    <w:rsid w:val="77175110"/>
    <w:rsid w:val="771918E8"/>
    <w:rsid w:val="77255BC6"/>
    <w:rsid w:val="7730549D"/>
    <w:rsid w:val="77332EB5"/>
    <w:rsid w:val="773859A6"/>
    <w:rsid w:val="773C557A"/>
    <w:rsid w:val="77422DE8"/>
    <w:rsid w:val="774232CD"/>
    <w:rsid w:val="77483056"/>
    <w:rsid w:val="77496A23"/>
    <w:rsid w:val="77647724"/>
    <w:rsid w:val="7775505E"/>
    <w:rsid w:val="7784630C"/>
    <w:rsid w:val="7788144F"/>
    <w:rsid w:val="779A60FD"/>
    <w:rsid w:val="77A53815"/>
    <w:rsid w:val="77B5380B"/>
    <w:rsid w:val="77B73DB6"/>
    <w:rsid w:val="77BD62BD"/>
    <w:rsid w:val="77C955DF"/>
    <w:rsid w:val="77F5079C"/>
    <w:rsid w:val="780F0E00"/>
    <w:rsid w:val="782379C5"/>
    <w:rsid w:val="782E0CD5"/>
    <w:rsid w:val="78315774"/>
    <w:rsid w:val="78484950"/>
    <w:rsid w:val="784A450B"/>
    <w:rsid w:val="784A595B"/>
    <w:rsid w:val="78571C44"/>
    <w:rsid w:val="787D0BB5"/>
    <w:rsid w:val="787D7C16"/>
    <w:rsid w:val="788077FA"/>
    <w:rsid w:val="788C162B"/>
    <w:rsid w:val="78A556E9"/>
    <w:rsid w:val="78C347BB"/>
    <w:rsid w:val="78C47752"/>
    <w:rsid w:val="78D005D7"/>
    <w:rsid w:val="78F07AFC"/>
    <w:rsid w:val="7904602B"/>
    <w:rsid w:val="791647D5"/>
    <w:rsid w:val="791C2D46"/>
    <w:rsid w:val="79243247"/>
    <w:rsid w:val="793769E2"/>
    <w:rsid w:val="79601FFF"/>
    <w:rsid w:val="79671272"/>
    <w:rsid w:val="79697C10"/>
    <w:rsid w:val="797377DF"/>
    <w:rsid w:val="79890C5D"/>
    <w:rsid w:val="79923CB3"/>
    <w:rsid w:val="79994FDB"/>
    <w:rsid w:val="799B49B2"/>
    <w:rsid w:val="79A023C6"/>
    <w:rsid w:val="79AF6CF7"/>
    <w:rsid w:val="79B83C71"/>
    <w:rsid w:val="79C71E03"/>
    <w:rsid w:val="79CA2953"/>
    <w:rsid w:val="79D05EA5"/>
    <w:rsid w:val="79D0613E"/>
    <w:rsid w:val="79D53D35"/>
    <w:rsid w:val="79DB3E6D"/>
    <w:rsid w:val="79DB7DBB"/>
    <w:rsid w:val="79E90504"/>
    <w:rsid w:val="7A0D78EC"/>
    <w:rsid w:val="7A171326"/>
    <w:rsid w:val="7A304A14"/>
    <w:rsid w:val="7A36742C"/>
    <w:rsid w:val="7A376FAD"/>
    <w:rsid w:val="7A573061"/>
    <w:rsid w:val="7A686C49"/>
    <w:rsid w:val="7A6903C9"/>
    <w:rsid w:val="7A764A1F"/>
    <w:rsid w:val="7A7E2E80"/>
    <w:rsid w:val="7A8B7131"/>
    <w:rsid w:val="7A900056"/>
    <w:rsid w:val="7A9F0501"/>
    <w:rsid w:val="7AA95841"/>
    <w:rsid w:val="7AAD7780"/>
    <w:rsid w:val="7AC41352"/>
    <w:rsid w:val="7AC70AE9"/>
    <w:rsid w:val="7ACE6C6A"/>
    <w:rsid w:val="7AD92855"/>
    <w:rsid w:val="7AE74A0C"/>
    <w:rsid w:val="7AE9630D"/>
    <w:rsid w:val="7AEA69B5"/>
    <w:rsid w:val="7AEC352E"/>
    <w:rsid w:val="7B204C6C"/>
    <w:rsid w:val="7B2F13E3"/>
    <w:rsid w:val="7B323B12"/>
    <w:rsid w:val="7B3D406D"/>
    <w:rsid w:val="7B595071"/>
    <w:rsid w:val="7B5B2270"/>
    <w:rsid w:val="7B5F2971"/>
    <w:rsid w:val="7B64725E"/>
    <w:rsid w:val="7B6B0056"/>
    <w:rsid w:val="7B8F5F44"/>
    <w:rsid w:val="7B96610F"/>
    <w:rsid w:val="7BAA1965"/>
    <w:rsid w:val="7BC0698C"/>
    <w:rsid w:val="7BEB25BE"/>
    <w:rsid w:val="7BF34248"/>
    <w:rsid w:val="7BFA3A3D"/>
    <w:rsid w:val="7C14022C"/>
    <w:rsid w:val="7C16489D"/>
    <w:rsid w:val="7C222BB8"/>
    <w:rsid w:val="7C2358FF"/>
    <w:rsid w:val="7C2C7719"/>
    <w:rsid w:val="7C4A3E4B"/>
    <w:rsid w:val="7C636752"/>
    <w:rsid w:val="7C657B35"/>
    <w:rsid w:val="7C89017F"/>
    <w:rsid w:val="7C9D08C9"/>
    <w:rsid w:val="7CA455DE"/>
    <w:rsid w:val="7CAF47B7"/>
    <w:rsid w:val="7CB86D53"/>
    <w:rsid w:val="7CBA32E5"/>
    <w:rsid w:val="7CC70CCE"/>
    <w:rsid w:val="7CCA0ED7"/>
    <w:rsid w:val="7CCE69FE"/>
    <w:rsid w:val="7CD072E2"/>
    <w:rsid w:val="7CE1380D"/>
    <w:rsid w:val="7CE60EAF"/>
    <w:rsid w:val="7CED5A0D"/>
    <w:rsid w:val="7D0E77C0"/>
    <w:rsid w:val="7D123CCA"/>
    <w:rsid w:val="7D2427B4"/>
    <w:rsid w:val="7D356E56"/>
    <w:rsid w:val="7D4F0510"/>
    <w:rsid w:val="7D742FBA"/>
    <w:rsid w:val="7D803E8C"/>
    <w:rsid w:val="7DA85098"/>
    <w:rsid w:val="7DB514C6"/>
    <w:rsid w:val="7DB70A93"/>
    <w:rsid w:val="7DDB5C86"/>
    <w:rsid w:val="7DE20D2D"/>
    <w:rsid w:val="7DE340C8"/>
    <w:rsid w:val="7DE77096"/>
    <w:rsid w:val="7DEE545D"/>
    <w:rsid w:val="7DFA631C"/>
    <w:rsid w:val="7E20335F"/>
    <w:rsid w:val="7E321B56"/>
    <w:rsid w:val="7E380FED"/>
    <w:rsid w:val="7E3E7829"/>
    <w:rsid w:val="7E4F79AF"/>
    <w:rsid w:val="7E675045"/>
    <w:rsid w:val="7E684851"/>
    <w:rsid w:val="7E7B41D7"/>
    <w:rsid w:val="7E8C2EDF"/>
    <w:rsid w:val="7EB11157"/>
    <w:rsid w:val="7EB53FFA"/>
    <w:rsid w:val="7EBE6507"/>
    <w:rsid w:val="7ECB2E11"/>
    <w:rsid w:val="7ECD1A2A"/>
    <w:rsid w:val="7ED916E7"/>
    <w:rsid w:val="7ED97EFB"/>
    <w:rsid w:val="7EDF2745"/>
    <w:rsid w:val="7EE15BB1"/>
    <w:rsid w:val="7EE443D5"/>
    <w:rsid w:val="7EF33C03"/>
    <w:rsid w:val="7EF65A47"/>
    <w:rsid w:val="7EF9195B"/>
    <w:rsid w:val="7F0B0626"/>
    <w:rsid w:val="7F137B09"/>
    <w:rsid w:val="7F142CC8"/>
    <w:rsid w:val="7F146FB9"/>
    <w:rsid w:val="7F201338"/>
    <w:rsid w:val="7F2809A6"/>
    <w:rsid w:val="7F2E3E36"/>
    <w:rsid w:val="7F7B0F72"/>
    <w:rsid w:val="7F9E000F"/>
    <w:rsid w:val="7FAE7F5E"/>
    <w:rsid w:val="7FB70AB2"/>
    <w:rsid w:val="7FB7525C"/>
    <w:rsid w:val="7FC7186A"/>
    <w:rsid w:val="7FD94DD9"/>
    <w:rsid w:val="7FDA6CF1"/>
    <w:rsid w:val="7FF40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qFormat="1" w:uiPriority="99"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1"/>
    <w:qFormat/>
    <w:uiPriority w:val="0"/>
    <w:pPr>
      <w:keepNext/>
      <w:keepLines/>
      <w:spacing w:before="340" w:after="330" w:line="578" w:lineRule="auto"/>
      <w:outlineLvl w:val="0"/>
    </w:pPr>
    <w:rPr>
      <w:rFonts w:ascii="Tahoma" w:hAnsi="Tahoma"/>
      <w:b/>
      <w:bCs/>
      <w:kern w:val="44"/>
      <w:sz w:val="44"/>
      <w:szCs w:val="44"/>
    </w:rPr>
  </w:style>
  <w:style w:type="paragraph" w:styleId="4">
    <w:name w:val="heading 2"/>
    <w:basedOn w:val="1"/>
    <w:next w:val="1"/>
    <w:link w:val="95"/>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spacing w:before="240" w:after="60"/>
      <w:outlineLvl w:val="3"/>
    </w:pPr>
    <w:rPr>
      <w:b/>
      <w:bCs/>
      <w:sz w:val="28"/>
      <w:szCs w:val="28"/>
    </w:rPr>
  </w:style>
  <w:style w:type="paragraph" w:styleId="7">
    <w:name w:val="heading 6"/>
    <w:basedOn w:val="1"/>
    <w:next w:val="1"/>
    <w:link w:val="121"/>
    <w:qFormat/>
    <w:uiPriority w:val="0"/>
    <w:pPr>
      <w:keepNext/>
      <w:keepLines/>
      <w:spacing w:before="240" w:after="64" w:line="320" w:lineRule="auto"/>
      <w:outlineLvl w:val="5"/>
    </w:pPr>
    <w:rPr>
      <w:rFonts w:ascii="Arial" w:hAnsi="Arial" w:eastAsia="黑体"/>
      <w:b/>
      <w:bCs/>
      <w:sz w:val="24"/>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8">
    <w:name w:val="index 8"/>
    <w:basedOn w:val="1"/>
    <w:next w:val="1"/>
    <w:qFormat/>
    <w:uiPriority w:val="0"/>
    <w:pPr>
      <w:ind w:left="2940"/>
    </w:pPr>
  </w:style>
  <w:style w:type="paragraph" w:styleId="9">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0">
    <w:name w:val="Normal Indent"/>
    <w:basedOn w:val="1"/>
    <w:link w:val="103"/>
    <w:qFormat/>
    <w:uiPriority w:val="0"/>
    <w:pPr>
      <w:ind w:firstLine="420"/>
    </w:pPr>
    <w:rPr>
      <w:szCs w:val="20"/>
    </w:rPr>
  </w:style>
  <w:style w:type="paragraph" w:styleId="11">
    <w:name w:val="Document Map"/>
    <w:basedOn w:val="1"/>
    <w:link w:val="114"/>
    <w:qFormat/>
    <w:uiPriority w:val="0"/>
    <w:rPr>
      <w:rFonts w:ascii="宋体" w:hAnsi="Tahoma"/>
      <w:sz w:val="18"/>
      <w:szCs w:val="18"/>
    </w:rPr>
  </w:style>
  <w:style w:type="paragraph" w:styleId="12">
    <w:name w:val="annotation text"/>
    <w:basedOn w:val="1"/>
    <w:link w:val="111"/>
    <w:semiHidden/>
    <w:qFormat/>
    <w:uiPriority w:val="0"/>
    <w:pPr>
      <w:jc w:val="left"/>
    </w:pPr>
  </w:style>
  <w:style w:type="paragraph" w:styleId="13">
    <w:name w:val="Body Text 3"/>
    <w:basedOn w:val="1"/>
    <w:qFormat/>
    <w:uiPriority w:val="0"/>
    <w:pPr>
      <w:spacing w:line="240" w:lineRule="exact"/>
    </w:pPr>
    <w:rPr>
      <w:rFonts w:ascii="宋体" w:hAnsi="宋体"/>
      <w:color w:val="000000"/>
      <w:szCs w:val="21"/>
    </w:rPr>
  </w:style>
  <w:style w:type="paragraph" w:styleId="14">
    <w:name w:val="Body Text"/>
    <w:basedOn w:val="1"/>
    <w:next w:val="1"/>
    <w:qFormat/>
    <w:uiPriority w:val="0"/>
    <w:pPr>
      <w:spacing w:line="380" w:lineRule="exact"/>
    </w:pPr>
    <w:rPr>
      <w:sz w:val="24"/>
    </w:rPr>
  </w:style>
  <w:style w:type="paragraph" w:styleId="15">
    <w:name w:val="Body Text Indent"/>
    <w:basedOn w:val="1"/>
    <w:link w:val="119"/>
    <w:qFormat/>
    <w:uiPriority w:val="0"/>
    <w:pPr>
      <w:spacing w:after="120"/>
      <w:ind w:left="420" w:leftChars="200"/>
    </w:pPr>
    <w:rPr>
      <w:rFonts w:ascii="Tahoma" w:hAnsi="Tahoma"/>
    </w:rPr>
  </w:style>
  <w:style w:type="paragraph" w:styleId="16">
    <w:name w:val="toc 3"/>
    <w:basedOn w:val="1"/>
    <w:next w:val="1"/>
    <w:qFormat/>
    <w:uiPriority w:val="39"/>
    <w:pPr>
      <w:ind w:left="840" w:leftChars="400"/>
    </w:pPr>
  </w:style>
  <w:style w:type="paragraph" w:styleId="17">
    <w:name w:val="Plain Text"/>
    <w:basedOn w:val="1"/>
    <w:next w:val="8"/>
    <w:link w:val="118"/>
    <w:qFormat/>
    <w:uiPriority w:val="0"/>
    <w:rPr>
      <w:rFonts w:ascii="宋体" w:hAnsi="Courier New"/>
      <w:szCs w:val="20"/>
    </w:rPr>
  </w:style>
  <w:style w:type="paragraph" w:styleId="18">
    <w:name w:val="Date"/>
    <w:basedOn w:val="1"/>
    <w:next w:val="1"/>
    <w:qFormat/>
    <w:uiPriority w:val="0"/>
    <w:pPr>
      <w:ind w:left="100" w:leftChars="2500"/>
    </w:pPr>
  </w:style>
  <w:style w:type="paragraph" w:styleId="19">
    <w:name w:val="Body Text Indent 2"/>
    <w:basedOn w:val="1"/>
    <w:qFormat/>
    <w:uiPriority w:val="0"/>
    <w:pPr>
      <w:ind w:firstLine="630"/>
    </w:pPr>
    <w:rPr>
      <w:sz w:val="32"/>
      <w:szCs w:val="20"/>
    </w:rPr>
  </w:style>
  <w:style w:type="paragraph" w:styleId="20">
    <w:name w:val="Balloon Text"/>
    <w:basedOn w:val="1"/>
    <w:semiHidden/>
    <w:qFormat/>
    <w:uiPriority w:val="0"/>
    <w:rPr>
      <w:sz w:val="18"/>
      <w:szCs w:val="18"/>
    </w:rPr>
  </w:style>
  <w:style w:type="paragraph" w:styleId="21">
    <w:name w:val="footer"/>
    <w:basedOn w:val="1"/>
    <w:link w:val="109"/>
    <w:qFormat/>
    <w:uiPriority w:val="99"/>
    <w:pPr>
      <w:tabs>
        <w:tab w:val="center" w:pos="4153"/>
        <w:tab w:val="right" w:pos="8306"/>
      </w:tabs>
      <w:snapToGrid w:val="0"/>
      <w:jc w:val="left"/>
    </w:pPr>
    <w:rPr>
      <w:rFonts w:ascii="Tahoma" w:hAnsi="Tahoma"/>
      <w:sz w:val="18"/>
      <w:szCs w:val="18"/>
    </w:rPr>
  </w:style>
  <w:style w:type="paragraph" w:styleId="22">
    <w:name w:val="header"/>
    <w:basedOn w:val="1"/>
    <w:link w:val="96"/>
    <w:qFormat/>
    <w:uiPriority w:val="99"/>
    <w:pPr>
      <w:pBdr>
        <w:bottom w:val="single" w:color="auto" w:sz="6" w:space="1"/>
      </w:pBdr>
      <w:tabs>
        <w:tab w:val="center" w:pos="4153"/>
        <w:tab w:val="right" w:pos="8306"/>
      </w:tabs>
      <w:snapToGrid w:val="0"/>
      <w:jc w:val="center"/>
    </w:pPr>
    <w:rPr>
      <w:rFonts w:ascii="Tahoma" w:hAnsi="Tahoma"/>
      <w:sz w:val="18"/>
      <w:szCs w:val="18"/>
    </w:rPr>
  </w:style>
  <w:style w:type="paragraph" w:styleId="23">
    <w:name w:val="toc 1"/>
    <w:basedOn w:val="1"/>
    <w:next w:val="1"/>
    <w:qFormat/>
    <w:uiPriority w:val="39"/>
  </w:style>
  <w:style w:type="paragraph" w:styleId="24">
    <w:name w:val="toc 2"/>
    <w:basedOn w:val="1"/>
    <w:next w:val="1"/>
    <w:qFormat/>
    <w:uiPriority w:val="39"/>
    <w:pPr>
      <w:ind w:left="420" w:leftChars="200"/>
    </w:pPr>
  </w:style>
  <w:style w:type="paragraph" w:styleId="25">
    <w:name w:val="toc 9"/>
    <w:basedOn w:val="1"/>
    <w:next w:val="1"/>
    <w:qFormat/>
    <w:uiPriority w:val="39"/>
    <w:pPr>
      <w:ind w:left="1680"/>
      <w:jc w:val="left"/>
    </w:pPr>
    <w:rPr>
      <w:sz w:val="18"/>
      <w:szCs w:val="18"/>
    </w:rPr>
  </w:style>
  <w:style w:type="paragraph" w:styleId="26">
    <w:name w:val="List 4"/>
    <w:basedOn w:val="1"/>
    <w:unhideWhenUsed/>
    <w:qFormat/>
    <w:uiPriority w:val="99"/>
    <w:pPr>
      <w:ind w:left="100" w:leftChars="600" w:hanging="200" w:hangingChars="200"/>
      <w:contextualSpacing/>
    </w:pPr>
  </w:style>
  <w:style w:type="paragraph" w:styleId="2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8">
    <w:name w:val="annotation subject"/>
    <w:basedOn w:val="12"/>
    <w:next w:val="12"/>
    <w:semiHidden/>
    <w:qFormat/>
    <w:uiPriority w:val="0"/>
    <w:rPr>
      <w:b/>
      <w:bCs/>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qFormat/>
    <w:uiPriority w:val="0"/>
    <w:rPr>
      <w:rFonts w:ascii="Tahoma" w:hAnsi="Tahoma"/>
      <w:b/>
      <w:bCs/>
      <w:sz w:val="24"/>
      <w:szCs w:val="20"/>
    </w:rPr>
  </w:style>
  <w:style w:type="character" w:styleId="33">
    <w:name w:val="page number"/>
    <w:basedOn w:val="31"/>
    <w:qFormat/>
    <w:uiPriority w:val="0"/>
  </w:style>
  <w:style w:type="character" w:styleId="34">
    <w:name w:val="FollowedHyperlink"/>
    <w:unhideWhenUsed/>
    <w:qFormat/>
    <w:uiPriority w:val="99"/>
    <w:rPr>
      <w:color w:val="954F72"/>
      <w:u w:val="single"/>
    </w:rPr>
  </w:style>
  <w:style w:type="character" w:styleId="35">
    <w:name w:val="Emphasis"/>
    <w:qFormat/>
    <w:uiPriority w:val="0"/>
  </w:style>
  <w:style w:type="character" w:styleId="36">
    <w:name w:val="HTML Definition"/>
    <w:qFormat/>
    <w:uiPriority w:val="0"/>
  </w:style>
  <w:style w:type="character" w:styleId="37">
    <w:name w:val="HTML Typewriter"/>
    <w:qFormat/>
    <w:uiPriority w:val="0"/>
    <w:rPr>
      <w:rFonts w:hint="default" w:ascii="monospace" w:hAnsi="monospace" w:eastAsia="monospace" w:cs="monospace"/>
      <w:sz w:val="20"/>
    </w:rPr>
  </w:style>
  <w:style w:type="character" w:styleId="38">
    <w:name w:val="HTML Acronym"/>
    <w:basedOn w:val="31"/>
    <w:qFormat/>
    <w:uiPriority w:val="0"/>
  </w:style>
  <w:style w:type="character" w:styleId="39">
    <w:name w:val="HTML Variable"/>
    <w:qFormat/>
    <w:uiPriority w:val="0"/>
    <w:rPr>
      <w:rFonts w:ascii="Tahoma" w:hAnsi="Tahoma"/>
      <w:sz w:val="24"/>
      <w:szCs w:val="20"/>
    </w:rPr>
  </w:style>
  <w:style w:type="character" w:styleId="40">
    <w:name w:val="Hyperlink"/>
    <w:qFormat/>
    <w:uiPriority w:val="99"/>
    <w:rPr>
      <w:rFonts w:ascii="Tahoma" w:hAnsi="Tahoma"/>
      <w:color w:val="0000FF"/>
      <w:sz w:val="24"/>
      <w:szCs w:val="20"/>
      <w:u w:val="single"/>
    </w:rPr>
  </w:style>
  <w:style w:type="character" w:styleId="41">
    <w:name w:val="HTML Code"/>
    <w:qFormat/>
    <w:uiPriority w:val="0"/>
    <w:rPr>
      <w:rFonts w:ascii="monospace" w:hAnsi="monospace" w:eastAsia="monospace" w:cs="monospace"/>
      <w:sz w:val="20"/>
    </w:rPr>
  </w:style>
  <w:style w:type="character" w:styleId="42">
    <w:name w:val="annotation reference"/>
    <w:semiHidden/>
    <w:qFormat/>
    <w:uiPriority w:val="0"/>
    <w:rPr>
      <w:rFonts w:ascii="Tahoma" w:hAnsi="Tahoma"/>
      <w:sz w:val="21"/>
      <w:szCs w:val="21"/>
    </w:rPr>
  </w:style>
  <w:style w:type="character" w:styleId="43">
    <w:name w:val="HTML Cite"/>
    <w:qFormat/>
    <w:uiPriority w:val="0"/>
  </w:style>
  <w:style w:type="character" w:styleId="44">
    <w:name w:val="HTML Keyboard"/>
    <w:qFormat/>
    <w:uiPriority w:val="0"/>
    <w:rPr>
      <w:rFonts w:hint="default" w:ascii="monospace" w:hAnsi="monospace" w:eastAsia="monospace" w:cs="monospace"/>
      <w:sz w:val="20"/>
    </w:rPr>
  </w:style>
  <w:style w:type="character" w:styleId="45">
    <w:name w:val="HTML Sample"/>
    <w:qFormat/>
    <w:uiPriority w:val="0"/>
    <w:rPr>
      <w:rFonts w:hint="default" w:ascii="monospace" w:hAnsi="monospace" w:eastAsia="monospace" w:cs="monospace"/>
    </w:rPr>
  </w:style>
  <w:style w:type="paragraph" w:customStyle="1" w:styleId="46">
    <w:name w:val="首行缩进"/>
    <w:basedOn w:val="1"/>
    <w:qFormat/>
    <w:uiPriority w:val="0"/>
    <w:pPr>
      <w:ind w:firstLine="480" w:firstLineChars="200"/>
    </w:pPr>
  </w:style>
  <w:style w:type="paragraph" w:customStyle="1" w:styleId="4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48">
    <w:name w:val="p0"/>
    <w:basedOn w:val="1"/>
    <w:qFormat/>
    <w:uiPriority w:val="0"/>
    <w:pPr>
      <w:widowControl/>
    </w:pPr>
    <w:rPr>
      <w:kern w:val="0"/>
      <w:szCs w:val="20"/>
    </w:rPr>
  </w:style>
  <w:style w:type="paragraph" w:customStyle="1" w:styleId="49">
    <w:name w:val="xl8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50">
    <w:name w:val="样式1"/>
    <w:basedOn w:val="1"/>
    <w:qFormat/>
    <w:uiPriority w:val="0"/>
    <w:pPr>
      <w:widowControl/>
      <w:jc w:val="left"/>
    </w:pPr>
    <w:rPr>
      <w:rFonts w:ascii="宋体" w:hAnsi="宋体"/>
      <w:kern w:val="0"/>
      <w:szCs w:val="21"/>
    </w:rPr>
  </w:style>
  <w:style w:type="paragraph" w:customStyle="1" w:styleId="51">
    <w:name w:val="普通(网站)1"/>
    <w:basedOn w:val="1"/>
    <w:qFormat/>
    <w:uiPriority w:val="0"/>
    <w:pPr>
      <w:jc w:val="left"/>
    </w:pPr>
    <w:rPr>
      <w:kern w:val="0"/>
      <w:sz w:val="24"/>
    </w:rPr>
  </w:style>
  <w:style w:type="paragraph" w:customStyle="1" w:styleId="52">
    <w:name w:val="1"/>
    <w:basedOn w:val="1"/>
    <w:next w:val="17"/>
    <w:qFormat/>
    <w:uiPriority w:val="0"/>
    <w:rPr>
      <w:rFonts w:ascii="宋体" w:hAnsi="Courier New"/>
      <w:szCs w:val="20"/>
    </w:rPr>
  </w:style>
  <w:style w:type="paragraph" w:customStyle="1" w:styleId="53">
    <w:name w:val="xl85"/>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54">
    <w:name w:val="CM14"/>
    <w:basedOn w:val="2"/>
    <w:next w:val="2"/>
    <w:qFormat/>
    <w:uiPriority w:val="0"/>
    <w:pPr>
      <w:spacing w:line="468" w:lineRule="atLeast"/>
    </w:pPr>
    <w:rPr>
      <w:rFonts w:ascii="Sim Sun" w:eastAsia="Sim Sun" w:cs="Times New Roman"/>
      <w:color w:val="auto"/>
    </w:rPr>
  </w:style>
  <w:style w:type="paragraph" w:customStyle="1" w:styleId="55">
    <w:name w:val="CM15"/>
    <w:basedOn w:val="2"/>
    <w:next w:val="2"/>
    <w:qFormat/>
    <w:uiPriority w:val="0"/>
    <w:pPr>
      <w:spacing w:line="468" w:lineRule="atLeast"/>
    </w:pPr>
    <w:rPr>
      <w:rFonts w:ascii="Sim Sun" w:eastAsia="Sim Sun" w:cs="Times New Roman"/>
      <w:color w:val="auto"/>
    </w:rPr>
  </w:style>
  <w:style w:type="paragraph" w:customStyle="1" w:styleId="56">
    <w:name w:val="xl89"/>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57">
    <w:name w:val="font6"/>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58">
    <w:name w:val="xl87"/>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59">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60">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61">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62">
    <w:name w:val="正文_0_0"/>
    <w:qFormat/>
    <w:uiPriority w:val="0"/>
    <w:pPr>
      <w:widowControl w:val="0"/>
      <w:spacing w:line="360" w:lineRule="auto"/>
      <w:ind w:firstLine="480" w:firstLineChars="200"/>
      <w:jc w:val="both"/>
    </w:pPr>
    <w:rPr>
      <w:rFonts w:ascii="宋体" w:hAnsi="宋体" w:eastAsia="宋体" w:cs="Times New Roman"/>
      <w:color w:val="000000"/>
      <w:kern w:val="2"/>
      <w:sz w:val="24"/>
      <w:szCs w:val="24"/>
      <w:lang w:val="en-US" w:eastAsia="zh-CN" w:bidi="ar-SA"/>
    </w:rPr>
  </w:style>
  <w:style w:type="paragraph" w:customStyle="1" w:styleId="6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64">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65">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66">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67">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68">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styleId="69">
    <w:name w:val="List Paragraph"/>
    <w:basedOn w:val="1"/>
    <w:link w:val="113"/>
    <w:qFormat/>
    <w:uiPriority w:val="0"/>
    <w:pPr>
      <w:ind w:firstLine="420" w:firstLineChars="200"/>
    </w:pPr>
  </w:style>
  <w:style w:type="paragraph" w:customStyle="1" w:styleId="70">
    <w:name w:val="Table Paragraph"/>
    <w:basedOn w:val="1"/>
    <w:qFormat/>
    <w:uiPriority w:val="1"/>
  </w:style>
  <w:style w:type="paragraph" w:customStyle="1" w:styleId="71">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72">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73">
    <w:name w:val="xl78"/>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74">
    <w:name w:val="正文_0"/>
    <w:qFormat/>
    <w:uiPriority w:val="0"/>
    <w:pPr>
      <w:widowControl w:val="0"/>
      <w:tabs>
        <w:tab w:val="left" w:pos="480"/>
      </w:tabs>
      <w:spacing w:line="360" w:lineRule="auto"/>
      <w:jc w:val="both"/>
    </w:pPr>
    <w:rPr>
      <w:rFonts w:ascii="Times New Roman" w:hAnsi="Times New Roman" w:eastAsia="宋体" w:cs="Times New Roman"/>
      <w:kern w:val="2"/>
      <w:sz w:val="24"/>
      <w:szCs w:val="22"/>
      <w:lang w:val="en-US" w:eastAsia="zh-CN" w:bidi="ar-SA"/>
    </w:rPr>
  </w:style>
  <w:style w:type="paragraph" w:customStyle="1" w:styleId="75">
    <w:name w:val="TOC 标题1"/>
    <w:basedOn w:val="3"/>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76">
    <w:name w:val="Char Char8"/>
    <w:basedOn w:val="1"/>
    <w:qFormat/>
    <w:uiPriority w:val="0"/>
    <w:rPr>
      <w:rFonts w:ascii="Tahoma" w:hAnsi="Tahoma" w:eastAsia="Times New Roman"/>
      <w:kern w:val="0"/>
      <w:sz w:val="24"/>
      <w:szCs w:val="20"/>
    </w:rPr>
  </w:style>
  <w:style w:type="paragraph" w:customStyle="1" w:styleId="77">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78">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79">
    <w:name w:val="列出段落1"/>
    <w:basedOn w:val="1"/>
    <w:qFormat/>
    <w:uiPriority w:val="0"/>
    <w:pPr>
      <w:ind w:firstLine="420" w:firstLineChars="200"/>
    </w:pPr>
    <w:rPr>
      <w:rFonts w:ascii="仿宋_GB2312" w:eastAsia="仿宋_GB2312"/>
      <w:sz w:val="32"/>
    </w:rPr>
  </w:style>
  <w:style w:type="paragraph" w:customStyle="1" w:styleId="80">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81">
    <w:name w:val="_Style 36"/>
    <w:basedOn w:val="1"/>
    <w:qFormat/>
    <w:uiPriority w:val="0"/>
    <w:rPr>
      <w:rFonts w:ascii="Tahoma" w:hAnsi="Tahoma"/>
      <w:sz w:val="24"/>
      <w:szCs w:val="20"/>
    </w:rPr>
  </w:style>
  <w:style w:type="paragraph" w:customStyle="1" w:styleId="82">
    <w:name w:val="Char Char2 Char Char"/>
    <w:basedOn w:val="1"/>
    <w:qFormat/>
    <w:uiPriority w:val="0"/>
    <w:rPr>
      <w:rFonts w:ascii="Tahoma" w:hAnsi="Tahoma"/>
      <w:sz w:val="24"/>
      <w:szCs w:val="20"/>
    </w:rPr>
  </w:style>
  <w:style w:type="paragraph" w:customStyle="1" w:styleId="83">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84">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5">
    <w:name w:val="p17"/>
    <w:basedOn w:val="1"/>
    <w:qFormat/>
    <w:uiPriority w:val="0"/>
    <w:pPr>
      <w:widowControl/>
    </w:pPr>
    <w:rPr>
      <w:rFonts w:ascii="宋体" w:hAnsi="宋体" w:cs="宋体"/>
      <w:kern w:val="0"/>
      <w:szCs w:val="21"/>
    </w:rPr>
  </w:style>
  <w:style w:type="paragraph" w:customStyle="1" w:styleId="86">
    <w:name w:val="xl88"/>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87">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8">
    <w:name w:val="xl72"/>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89">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9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character" w:customStyle="1" w:styleId="91">
    <w:name w:val="标题 1 Char"/>
    <w:link w:val="3"/>
    <w:qFormat/>
    <w:uiPriority w:val="0"/>
    <w:rPr>
      <w:rFonts w:ascii="Tahoma" w:hAnsi="Tahoma"/>
      <w:b/>
      <w:bCs/>
      <w:kern w:val="44"/>
      <w:sz w:val="44"/>
      <w:szCs w:val="44"/>
    </w:rPr>
  </w:style>
  <w:style w:type="character" w:customStyle="1" w:styleId="92">
    <w:name w:val="main12"/>
    <w:qFormat/>
    <w:uiPriority w:val="0"/>
    <w:rPr>
      <w:rFonts w:ascii="Arial" w:hAnsi="Arial" w:cs="Arial"/>
      <w:color w:val="000000"/>
      <w:sz w:val="18"/>
      <w:szCs w:val="18"/>
    </w:rPr>
  </w:style>
  <w:style w:type="character" w:customStyle="1" w:styleId="93">
    <w:name w:val="纯文本 字符"/>
    <w:qFormat/>
    <w:uiPriority w:val="0"/>
    <w:rPr>
      <w:rFonts w:ascii="宋体" w:hAnsi="Courier New" w:eastAsia="宋体" w:cs="Courier New"/>
      <w:szCs w:val="21"/>
    </w:rPr>
  </w:style>
  <w:style w:type="character" w:customStyle="1" w:styleId="94">
    <w:name w:val="纯文本 字符2"/>
    <w:qFormat/>
    <w:uiPriority w:val="0"/>
    <w:rPr>
      <w:rFonts w:ascii="宋体" w:hAnsi="Courier New" w:eastAsia="宋体"/>
      <w:kern w:val="2"/>
      <w:sz w:val="21"/>
      <w:lang w:val="en-US" w:eastAsia="zh-CN" w:bidi="ar-SA"/>
    </w:rPr>
  </w:style>
  <w:style w:type="character" w:customStyle="1" w:styleId="95">
    <w:name w:val="标题 2 Char"/>
    <w:link w:val="4"/>
    <w:semiHidden/>
    <w:qFormat/>
    <w:uiPriority w:val="0"/>
    <w:rPr>
      <w:rFonts w:ascii="Cambria" w:hAnsi="Cambria" w:eastAsia="宋体" w:cs="Times New Roman"/>
      <w:b/>
      <w:bCs/>
      <w:kern w:val="2"/>
      <w:sz w:val="32"/>
      <w:szCs w:val="32"/>
    </w:rPr>
  </w:style>
  <w:style w:type="character" w:customStyle="1" w:styleId="96">
    <w:name w:val="页眉 Char"/>
    <w:link w:val="22"/>
    <w:qFormat/>
    <w:uiPriority w:val="99"/>
    <w:rPr>
      <w:rFonts w:ascii="Tahoma" w:hAnsi="Tahoma"/>
      <w:kern w:val="2"/>
      <w:sz w:val="18"/>
      <w:szCs w:val="18"/>
    </w:rPr>
  </w:style>
  <w:style w:type="character" w:customStyle="1" w:styleId="97">
    <w:name w:val="Char Char10"/>
    <w:qFormat/>
    <w:locked/>
    <w:uiPriority w:val="0"/>
    <w:rPr>
      <w:rFonts w:ascii="宋体" w:hAnsi="宋体" w:eastAsia="宋体"/>
      <w:kern w:val="2"/>
      <w:sz w:val="21"/>
      <w:szCs w:val="24"/>
      <w:lang w:val="en-US" w:eastAsia="zh-CN" w:bidi="ar-SA"/>
    </w:rPr>
  </w:style>
  <w:style w:type="character" w:customStyle="1" w:styleId="98">
    <w:name w:val="cfdate"/>
    <w:qFormat/>
    <w:uiPriority w:val="0"/>
    <w:rPr>
      <w:color w:val="333333"/>
      <w:sz w:val="18"/>
      <w:szCs w:val="18"/>
    </w:rPr>
  </w:style>
  <w:style w:type="character" w:customStyle="1" w:styleId="99">
    <w:name w:val="纯文本 字符1"/>
    <w:qFormat/>
    <w:uiPriority w:val="0"/>
    <w:rPr>
      <w:rFonts w:ascii="Ђˎ̥" w:hAnsi="Verdana" w:eastAsia="Ђˎ̥" w:cs="Verdana"/>
      <w:szCs w:val="21"/>
    </w:rPr>
  </w:style>
  <w:style w:type="character" w:customStyle="1" w:styleId="100">
    <w:name w:val="gjfg"/>
    <w:basedOn w:val="31"/>
    <w:qFormat/>
    <w:uiPriority w:val="0"/>
  </w:style>
  <w:style w:type="character" w:customStyle="1" w:styleId="101">
    <w:name w:val="正文文本缩进 Char"/>
    <w:qFormat/>
    <w:uiPriority w:val="0"/>
    <w:rPr>
      <w:rFonts w:ascii="Times New Roman" w:hAnsi="Times New Roman" w:eastAsia="宋体" w:cs="Times New Roman"/>
      <w:kern w:val="2"/>
      <w:sz w:val="21"/>
      <w:szCs w:val="24"/>
    </w:rPr>
  </w:style>
  <w:style w:type="character" w:customStyle="1" w:styleId="102">
    <w:name w:val="未处理的提及1"/>
    <w:unhideWhenUsed/>
    <w:qFormat/>
    <w:uiPriority w:val="99"/>
    <w:rPr>
      <w:rFonts w:ascii="Tahoma" w:hAnsi="Tahoma"/>
      <w:color w:val="808080"/>
      <w:sz w:val="24"/>
      <w:szCs w:val="20"/>
      <w:shd w:val="clear" w:color="auto" w:fill="E6E6E6"/>
    </w:rPr>
  </w:style>
  <w:style w:type="character" w:customStyle="1" w:styleId="103">
    <w:name w:val="正文缩进 Char"/>
    <w:link w:val="10"/>
    <w:qFormat/>
    <w:locked/>
    <w:uiPriority w:val="0"/>
    <w:rPr>
      <w:rFonts w:eastAsia="宋体"/>
      <w:kern w:val="2"/>
      <w:sz w:val="21"/>
      <w:lang w:val="en-US" w:eastAsia="zh-CN" w:bidi="ar-SA"/>
    </w:rPr>
  </w:style>
  <w:style w:type="character" w:customStyle="1" w:styleId="104">
    <w:name w:val="页脚 字符"/>
    <w:qFormat/>
    <w:uiPriority w:val="99"/>
  </w:style>
  <w:style w:type="character" w:customStyle="1" w:styleId="105">
    <w:name w:val="Char Char1"/>
    <w:qFormat/>
    <w:uiPriority w:val="0"/>
    <w:rPr>
      <w:rFonts w:eastAsia="宋体"/>
      <w:kern w:val="2"/>
      <w:sz w:val="21"/>
      <w:szCs w:val="24"/>
      <w:lang w:val="en-US" w:eastAsia="zh-CN" w:bidi="ar-SA"/>
    </w:rPr>
  </w:style>
  <w:style w:type="character" w:customStyle="1" w:styleId="106">
    <w:name w:val="qxdate"/>
    <w:qFormat/>
    <w:uiPriority w:val="0"/>
    <w:rPr>
      <w:color w:val="333333"/>
      <w:sz w:val="18"/>
      <w:szCs w:val="18"/>
    </w:rPr>
  </w:style>
  <w:style w:type="character" w:customStyle="1" w:styleId="107">
    <w:name w:val="fontstyle01"/>
    <w:qFormat/>
    <w:uiPriority w:val="0"/>
    <w:rPr>
      <w:rFonts w:hint="eastAsia" w:ascii="宋体" w:hAnsi="宋体" w:eastAsia="宋体"/>
      <w:color w:val="000000"/>
      <w:sz w:val="22"/>
      <w:szCs w:val="22"/>
    </w:rPr>
  </w:style>
  <w:style w:type="character" w:customStyle="1" w:styleId="108">
    <w:name w:val="redfilenumber"/>
    <w:qFormat/>
    <w:uiPriority w:val="0"/>
    <w:rPr>
      <w:color w:val="BA2636"/>
      <w:sz w:val="18"/>
      <w:szCs w:val="18"/>
    </w:rPr>
  </w:style>
  <w:style w:type="character" w:customStyle="1" w:styleId="109">
    <w:name w:val="页脚 Char"/>
    <w:link w:val="21"/>
    <w:qFormat/>
    <w:uiPriority w:val="99"/>
    <w:rPr>
      <w:rFonts w:ascii="Tahoma" w:hAnsi="Tahoma"/>
      <w:kern w:val="2"/>
      <w:sz w:val="18"/>
      <w:szCs w:val="18"/>
    </w:rPr>
  </w:style>
  <w:style w:type="character" w:customStyle="1" w:styleId="110">
    <w:name w:val="纯文本 Char"/>
    <w:qFormat/>
    <w:uiPriority w:val="0"/>
    <w:rPr>
      <w:rFonts w:ascii="宋体" w:hAnsi="Courier New" w:eastAsia="宋体"/>
    </w:rPr>
  </w:style>
  <w:style w:type="character" w:customStyle="1" w:styleId="111">
    <w:name w:val="批注文字 Char"/>
    <w:link w:val="12"/>
    <w:qFormat/>
    <w:uiPriority w:val="0"/>
    <w:rPr>
      <w:rFonts w:eastAsia="宋体"/>
      <w:kern w:val="2"/>
      <w:sz w:val="21"/>
      <w:szCs w:val="24"/>
      <w:lang w:val="en-US" w:eastAsia="zh-CN" w:bidi="ar-SA"/>
    </w:rPr>
  </w:style>
  <w:style w:type="character" w:customStyle="1" w:styleId="112">
    <w:name w:val="displayarti"/>
    <w:qFormat/>
    <w:uiPriority w:val="0"/>
    <w:rPr>
      <w:color w:val="FFFFFF"/>
      <w:shd w:val="clear" w:color="auto" w:fill="A00000"/>
    </w:rPr>
  </w:style>
  <w:style w:type="character" w:customStyle="1" w:styleId="113">
    <w:name w:val="列出段落 Char1"/>
    <w:link w:val="69"/>
    <w:qFormat/>
    <w:locked/>
    <w:uiPriority w:val="0"/>
    <w:rPr>
      <w:kern w:val="2"/>
      <w:sz w:val="21"/>
      <w:szCs w:val="24"/>
    </w:rPr>
  </w:style>
  <w:style w:type="character" w:customStyle="1" w:styleId="114">
    <w:name w:val="文档结构图 Char"/>
    <w:link w:val="11"/>
    <w:qFormat/>
    <w:uiPriority w:val="0"/>
    <w:rPr>
      <w:rFonts w:ascii="宋体" w:hAnsi="Tahoma"/>
      <w:kern w:val="2"/>
      <w:sz w:val="18"/>
      <w:szCs w:val="18"/>
    </w:rPr>
  </w:style>
  <w:style w:type="character" w:customStyle="1" w:styleId="115">
    <w:name w:val="正文缩进 Char1"/>
    <w:qFormat/>
    <w:locked/>
    <w:uiPriority w:val="0"/>
    <w:rPr>
      <w:rFonts w:eastAsia="宋体"/>
      <w:kern w:val="2"/>
      <w:sz w:val="21"/>
      <w:lang w:val="en-US" w:eastAsia="zh-CN" w:bidi="ar-SA"/>
    </w:rPr>
  </w:style>
  <w:style w:type="character" w:customStyle="1" w:styleId="116">
    <w:name w:val="普通文字 Char Char5"/>
    <w:qFormat/>
    <w:uiPriority w:val="0"/>
    <w:rPr>
      <w:rFonts w:ascii="宋体" w:hAnsi="Courier New" w:eastAsia="宋体"/>
      <w:szCs w:val="21"/>
      <w:lang w:bidi="ar-SA"/>
    </w:rPr>
  </w:style>
  <w:style w:type="character" w:customStyle="1" w:styleId="117">
    <w:name w:val="redfilefwwh"/>
    <w:qFormat/>
    <w:uiPriority w:val="0"/>
    <w:rPr>
      <w:color w:val="BA2636"/>
      <w:sz w:val="18"/>
      <w:szCs w:val="18"/>
    </w:rPr>
  </w:style>
  <w:style w:type="character" w:customStyle="1" w:styleId="118">
    <w:name w:val="纯文本 Char1"/>
    <w:link w:val="17"/>
    <w:qFormat/>
    <w:uiPriority w:val="0"/>
    <w:rPr>
      <w:rFonts w:ascii="宋体" w:hAnsi="Courier New" w:eastAsia="宋体"/>
      <w:kern w:val="2"/>
      <w:sz w:val="21"/>
      <w:szCs w:val="20"/>
      <w:lang w:val="en-US" w:eastAsia="zh-CN" w:bidi="ar-SA"/>
    </w:rPr>
  </w:style>
  <w:style w:type="character" w:customStyle="1" w:styleId="119">
    <w:name w:val="正文文本缩进 Char1"/>
    <w:link w:val="15"/>
    <w:qFormat/>
    <w:uiPriority w:val="0"/>
    <w:rPr>
      <w:rFonts w:ascii="Tahoma" w:hAnsi="Tahoma"/>
      <w:kern w:val="2"/>
      <w:sz w:val="21"/>
      <w:szCs w:val="24"/>
    </w:rPr>
  </w:style>
  <w:style w:type="character" w:customStyle="1" w:styleId="120">
    <w:name w:val="列出段落 Char"/>
    <w:qFormat/>
    <w:locked/>
    <w:uiPriority w:val="34"/>
    <w:rPr>
      <w:rFonts w:ascii="Times New Roman" w:hAnsi="Times New Roman" w:eastAsia="宋体" w:cs="Times New Roman"/>
      <w:kern w:val="0"/>
      <w:sz w:val="24"/>
      <w:szCs w:val="20"/>
    </w:rPr>
  </w:style>
  <w:style w:type="character" w:customStyle="1" w:styleId="121">
    <w:name w:val="标题 6 Char"/>
    <w:link w:val="7"/>
    <w:qFormat/>
    <w:uiPriority w:val="0"/>
    <w:rPr>
      <w:rFonts w:ascii="Arial" w:hAnsi="Arial" w:eastAsia="黑体"/>
      <w:b/>
      <w:bCs/>
      <w:kern w:val="2"/>
      <w:sz w:val="24"/>
      <w:szCs w:val="24"/>
      <w:lang w:val="en-US" w:eastAsia="zh-CN" w:bidi="ar-SA"/>
    </w:rPr>
  </w:style>
  <w:style w:type="character" w:customStyle="1" w:styleId="122">
    <w:name w:val="apple-converted-space"/>
    <w:basedOn w:val="31"/>
    <w:qFormat/>
    <w:uiPriority w:val="0"/>
  </w:style>
  <w:style w:type="paragraph" w:customStyle="1" w:styleId="123">
    <w:name w:val="_Style 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24">
    <w:name w:val="font21"/>
    <w:basedOn w:val="31"/>
    <w:qFormat/>
    <w:uiPriority w:val="0"/>
    <w:rPr>
      <w:rFonts w:hint="eastAsia" w:ascii="宋体" w:hAnsi="宋体" w:eastAsia="宋体" w:cs="宋体"/>
      <w:color w:val="000000"/>
      <w:sz w:val="22"/>
      <w:szCs w:val="22"/>
      <w:u w:val="none"/>
    </w:rPr>
  </w:style>
  <w:style w:type="character" w:customStyle="1" w:styleId="125">
    <w:name w:val="无"/>
    <w:qFormat/>
    <w:uiPriority w:val="0"/>
  </w:style>
  <w:style w:type="paragraph" w:customStyle="1" w:styleId="126">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27">
    <w:name w:val="段"/>
    <w:next w:val="1"/>
    <w:qFormat/>
    <w:uiPriority w:val="99"/>
    <w:pPr>
      <w:autoSpaceDE w:val="0"/>
      <w:autoSpaceDN w:val="0"/>
      <w:ind w:firstLine="200"/>
      <w:jc w:val="both"/>
    </w:pPr>
    <w:rPr>
      <w:rFonts w:ascii="宋体" w:hAnsi="宋体"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QBPC</Company>
  <Pages>59</Pages>
  <Words>7861</Words>
  <Characters>44810</Characters>
  <Lines>373</Lines>
  <Paragraphs>105</Paragraphs>
  <TotalTime>0</TotalTime>
  <ScaleCrop>false</ScaleCrop>
  <LinksUpToDate>false</LinksUpToDate>
  <CharactersWithSpaces>52566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2020-09-03T01:45:00Z</dcterms:created>
  <dc:creator>微软用户</dc:creator>
  <cp:lastModifiedBy>kk</cp:lastModifiedBy>
  <cp:lastPrinted>2020-06-02T06:38:00Z</cp:lastPrinted>
  <dcterms:modified xsi:type="dcterms:W3CDTF">2020-09-14T08:03:52Z</dcterms:modified>
  <dc:title>医疗设备采购</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