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ascii="宋体" w:hAnsi="宋体" w:eastAsia="宋体" w:cs="宋体"/>
          <w:b/>
          <w:bCs/>
          <w:color w:val="000000"/>
          <w:spacing w:val="80"/>
          <w:sz w:val="64"/>
        </w:rPr>
      </w:pPr>
    </w:p>
    <w:p>
      <w:pPr>
        <w:pStyle w:val="15"/>
        <w:jc w:val="center"/>
        <w:rPr>
          <w:rFonts w:hint="eastAsia" w:ascii="宋体" w:hAnsi="宋体" w:eastAsia="宋体" w:cs="宋体"/>
          <w:b/>
          <w:bCs/>
          <w:color w:val="auto"/>
          <w:spacing w:val="80"/>
          <w:sz w:val="60"/>
          <w:szCs w:val="60"/>
        </w:rPr>
      </w:pPr>
      <w:r>
        <w:rPr>
          <w:rFonts w:hint="eastAsia" w:ascii="宋体" w:hAnsi="宋体" w:eastAsia="宋体" w:cs="宋体"/>
          <w:b/>
          <w:bCs/>
          <w:color w:val="auto"/>
          <w:spacing w:val="80"/>
          <w:sz w:val="60"/>
          <w:szCs w:val="60"/>
        </w:rPr>
        <w:t>桂林市政府集中采购中心</w:t>
      </w:r>
    </w:p>
    <w:p>
      <w:pPr>
        <w:pStyle w:val="15"/>
        <w:jc w:val="center"/>
        <w:rPr>
          <w:rFonts w:hint="eastAsia" w:ascii="宋体" w:hAnsi="宋体" w:eastAsia="宋体" w:cs="宋体"/>
          <w:b/>
          <w:bCs/>
          <w:color w:val="auto"/>
          <w:spacing w:val="80"/>
          <w:sz w:val="72"/>
        </w:rPr>
      </w:pPr>
    </w:p>
    <w:p>
      <w:pPr>
        <w:pStyle w:val="15"/>
        <w:jc w:val="center"/>
        <w:rPr>
          <w:rFonts w:hint="eastAsia" w:ascii="宋体" w:hAnsi="宋体" w:eastAsia="宋体" w:cs="宋体"/>
          <w:b/>
          <w:bCs/>
          <w:color w:val="auto"/>
          <w:sz w:val="72"/>
        </w:rPr>
      </w:pPr>
    </w:p>
    <w:p>
      <w:pPr>
        <w:pStyle w:val="15"/>
        <w:jc w:val="center"/>
        <w:rPr>
          <w:rFonts w:hint="eastAsia" w:ascii="宋体" w:hAnsi="宋体" w:eastAsia="宋体" w:cs="宋体"/>
          <w:color w:val="auto"/>
        </w:rPr>
      </w:pPr>
    </w:p>
    <w:p>
      <w:pPr>
        <w:spacing w:line="1400" w:lineRule="exact"/>
        <w:jc w:val="center"/>
        <w:rPr>
          <w:rFonts w:hint="eastAsia" w:ascii="宋体" w:hAnsi="宋体" w:eastAsia="宋体" w:cs="宋体"/>
          <w:b/>
          <w:color w:val="auto"/>
          <w:spacing w:val="60"/>
          <w:sz w:val="132"/>
          <w:szCs w:val="132"/>
        </w:rPr>
      </w:pPr>
      <w:r>
        <w:rPr>
          <w:rFonts w:hint="eastAsia" w:ascii="宋体" w:hAnsi="宋体" w:eastAsia="宋体" w:cs="宋体"/>
          <w:b/>
          <w:color w:val="auto"/>
          <w:spacing w:val="60"/>
          <w:sz w:val="132"/>
          <w:szCs w:val="132"/>
        </w:rPr>
        <w:t>招标文件</w:t>
      </w:r>
    </w:p>
    <w:p>
      <w:pPr>
        <w:pStyle w:val="15"/>
        <w:rPr>
          <w:rFonts w:hint="eastAsia" w:ascii="宋体" w:hAnsi="宋体" w:eastAsia="宋体" w:cs="宋体"/>
          <w:color w:val="auto"/>
        </w:rPr>
      </w:pPr>
    </w:p>
    <w:p>
      <w:pPr>
        <w:pStyle w:val="15"/>
        <w:ind w:firstLine="3885" w:firstLineChars="1850"/>
        <w:rPr>
          <w:rFonts w:hint="eastAsia" w:ascii="宋体" w:hAnsi="宋体" w:eastAsia="宋体" w:cs="宋体"/>
          <w:color w:val="auto"/>
        </w:rPr>
      </w:pPr>
    </w:p>
    <w:p>
      <w:pPr>
        <w:pStyle w:val="15"/>
        <w:rPr>
          <w:rFonts w:hint="eastAsia" w:ascii="宋体" w:hAnsi="宋体" w:eastAsia="宋体" w:cs="宋体"/>
          <w:color w:val="auto"/>
        </w:rPr>
      </w:pPr>
    </w:p>
    <w:p>
      <w:pPr>
        <w:pStyle w:val="15"/>
        <w:rPr>
          <w:rFonts w:hint="eastAsia" w:ascii="宋体" w:hAnsi="宋体" w:eastAsia="宋体" w:cs="宋体"/>
          <w:color w:val="auto"/>
        </w:rPr>
      </w:pPr>
    </w:p>
    <w:p>
      <w:pPr>
        <w:pStyle w:val="15"/>
        <w:rPr>
          <w:rFonts w:hint="eastAsia" w:ascii="宋体" w:hAnsi="宋体" w:eastAsia="宋体" w:cs="宋体"/>
          <w:color w:val="auto"/>
        </w:rPr>
      </w:pPr>
    </w:p>
    <w:p>
      <w:pPr>
        <w:ind w:left="3602" w:leftChars="760" w:hanging="2006" w:hangingChars="500"/>
        <w:rPr>
          <w:rFonts w:hint="eastAsia" w:ascii="宋体" w:hAnsi="宋体" w:eastAsia="宋体" w:cs="宋体"/>
          <w:b/>
          <w:bCs/>
          <w:color w:val="auto"/>
          <w:spacing w:val="-36"/>
          <w:sz w:val="32"/>
        </w:rPr>
      </w:pPr>
      <w:r>
        <w:rPr>
          <w:rFonts w:hint="eastAsia" w:ascii="宋体" w:hAnsi="宋体" w:eastAsia="宋体" w:cs="宋体"/>
          <w:b/>
          <w:bCs/>
          <w:color w:val="auto"/>
          <w:spacing w:val="40"/>
          <w:sz w:val="32"/>
        </w:rPr>
        <w:t>项目名称：</w:t>
      </w:r>
      <w:r>
        <w:rPr>
          <w:rFonts w:hint="eastAsia" w:ascii="宋体" w:hAnsi="宋体" w:cs="宋体"/>
          <w:b/>
          <w:bCs/>
          <w:color w:val="auto"/>
          <w:spacing w:val="40"/>
          <w:sz w:val="32"/>
          <w:szCs w:val="32"/>
          <w:lang w:val="en-US" w:eastAsia="zh-CN"/>
        </w:rPr>
        <w:t>会仙校区15#楼学生床铺及柜子</w:t>
      </w:r>
      <w:r>
        <w:rPr>
          <w:rFonts w:hint="eastAsia" w:ascii="宋体" w:hAnsi="宋体" w:eastAsia="宋体" w:cs="宋体"/>
          <w:b/>
          <w:color w:val="auto"/>
          <w:szCs w:val="21"/>
        </w:rPr>
        <w:t xml:space="preserve"> </w:t>
      </w:r>
    </w:p>
    <w:p>
      <w:pPr>
        <w:ind w:left="-2" w:leftChars="-1" w:firstLine="1605" w:firstLineChars="400"/>
        <w:rPr>
          <w:rFonts w:hint="eastAsia" w:ascii="宋体" w:hAnsi="宋体" w:eastAsia="宋体" w:cs="宋体"/>
          <w:b/>
          <w:bCs/>
          <w:color w:val="auto"/>
          <w:sz w:val="32"/>
        </w:rPr>
      </w:pPr>
      <w:r>
        <w:rPr>
          <w:rFonts w:hint="eastAsia" w:ascii="宋体" w:hAnsi="宋体" w:eastAsia="宋体" w:cs="宋体"/>
          <w:b/>
          <w:bCs/>
          <w:color w:val="auto"/>
          <w:spacing w:val="40"/>
          <w:sz w:val="32"/>
        </w:rPr>
        <w:t>项目编号：</w:t>
      </w:r>
      <w:r>
        <w:rPr>
          <w:rFonts w:hint="eastAsia" w:ascii="宋体" w:hAnsi="宋体" w:cs="宋体"/>
          <w:b/>
          <w:bCs/>
          <w:color w:val="auto"/>
          <w:sz w:val="30"/>
          <w:szCs w:val="30"/>
          <w:lang w:eastAsia="zh-CN"/>
        </w:rPr>
        <w:t>G</w:t>
      </w:r>
      <w:r>
        <w:rPr>
          <w:rFonts w:hint="eastAsia" w:ascii="宋体" w:hAnsi="宋体" w:cs="宋体"/>
          <w:b/>
          <w:bCs/>
          <w:color w:val="auto"/>
          <w:sz w:val="30"/>
          <w:szCs w:val="30"/>
          <w:lang w:val="en-US" w:eastAsia="zh-CN"/>
        </w:rPr>
        <w:t>L</w:t>
      </w:r>
      <w:r>
        <w:rPr>
          <w:rFonts w:hint="eastAsia" w:ascii="宋体" w:hAnsi="宋体" w:cs="宋体"/>
          <w:b/>
          <w:bCs/>
          <w:color w:val="auto"/>
          <w:sz w:val="30"/>
          <w:szCs w:val="30"/>
          <w:lang w:eastAsia="zh-CN"/>
        </w:rPr>
        <w:t>ZC2020-G1-990086-JCZX</w:t>
      </w:r>
      <w:r>
        <w:rPr>
          <w:rFonts w:hint="eastAsia" w:ascii="宋体" w:hAnsi="宋体" w:eastAsia="宋体" w:cs="宋体"/>
          <w:b/>
          <w:bCs/>
          <w:color w:val="auto"/>
          <w:spacing w:val="40"/>
          <w:sz w:val="32"/>
        </w:rPr>
        <w:t xml:space="preserve"> </w:t>
      </w:r>
      <w:r>
        <w:rPr>
          <w:rFonts w:hint="eastAsia" w:ascii="宋体" w:hAnsi="宋体" w:eastAsia="宋体" w:cs="宋体"/>
          <w:b/>
          <w:bCs/>
          <w:color w:val="auto"/>
          <w:sz w:val="32"/>
        </w:rPr>
        <w:t xml:space="preserve">         </w:t>
      </w:r>
    </w:p>
    <w:p>
      <w:pPr>
        <w:ind w:left="-2" w:leftChars="-1" w:firstLine="1446" w:firstLineChars="400"/>
        <w:rPr>
          <w:rFonts w:hint="eastAsia" w:ascii="宋体" w:hAnsi="宋体" w:eastAsia="宋体" w:cs="宋体"/>
          <w:color w:val="auto"/>
        </w:rPr>
      </w:pPr>
      <w:r>
        <w:rPr>
          <w:rFonts w:hint="eastAsia" w:ascii="宋体" w:hAnsi="宋体" w:eastAsia="宋体" w:cs="宋体"/>
          <w:b/>
          <w:bCs/>
          <w:color w:val="auto"/>
          <w:sz w:val="36"/>
        </w:rPr>
        <w:t xml:space="preserve">        </w:t>
      </w:r>
      <w:r>
        <w:rPr>
          <w:rFonts w:hint="eastAsia" w:ascii="宋体" w:hAnsi="宋体" w:eastAsia="宋体" w:cs="宋体"/>
          <w:color w:val="auto"/>
        </w:rPr>
        <w:cr/>
      </w:r>
    </w:p>
    <w:p>
      <w:pPr>
        <w:ind w:left="-2" w:leftChars="-1" w:firstLine="840" w:firstLineChars="400"/>
        <w:rPr>
          <w:rFonts w:hint="eastAsia" w:ascii="宋体" w:hAnsi="宋体" w:eastAsia="宋体" w:cs="宋体"/>
          <w:color w:val="auto"/>
        </w:rPr>
      </w:pPr>
    </w:p>
    <w:p>
      <w:pPr>
        <w:ind w:left="-2" w:leftChars="-1" w:firstLine="630" w:firstLineChars="300"/>
        <w:rPr>
          <w:rFonts w:hint="eastAsia" w:ascii="宋体" w:hAnsi="宋体" w:eastAsia="宋体" w:cs="宋体"/>
          <w:color w:val="auto"/>
        </w:rPr>
      </w:pPr>
      <w:r>
        <w:rPr>
          <w:rFonts w:hint="eastAsia" w:ascii="宋体" w:hAnsi="宋体" w:eastAsia="宋体" w:cs="宋体"/>
          <w:color w:val="auto"/>
        </w:rPr>
        <w:t>　</w:t>
      </w:r>
      <w:r>
        <w:rPr>
          <w:rFonts w:hint="eastAsia" w:ascii="宋体" w:hAnsi="宋体" w:eastAsia="宋体" w:cs="宋体"/>
          <w:color w:val="auto"/>
        </w:rPr>
        <w:tab/>
      </w:r>
    </w:p>
    <w:p>
      <w:pPr>
        <w:ind w:left="103" w:leftChars="49" w:firstLine="1470" w:firstLineChars="700"/>
        <w:jc w:val="center"/>
        <w:rPr>
          <w:rFonts w:hint="eastAsia" w:ascii="宋体" w:hAnsi="宋体" w:eastAsia="宋体" w:cs="宋体"/>
          <w:b/>
          <w:bCs/>
          <w:color w:val="auto"/>
          <w:spacing w:val="40"/>
          <w:sz w:val="32"/>
          <w:szCs w:val="32"/>
        </w:rPr>
      </w:pPr>
      <w:r>
        <w:rPr>
          <w:rFonts w:hint="eastAsia" w:ascii="宋体" w:hAnsi="宋体" w:eastAsia="宋体" w:cs="宋体"/>
          <w:color w:val="auto"/>
        </w:rPr>
        <w:cr/>
      </w:r>
      <w:r>
        <w:rPr>
          <w:rFonts w:hint="eastAsia" w:ascii="宋体" w:hAnsi="宋体" w:eastAsia="宋体" w:cs="宋体"/>
          <w:b/>
          <w:bCs/>
          <w:color w:val="auto"/>
          <w:spacing w:val="40"/>
          <w:sz w:val="32"/>
          <w:szCs w:val="32"/>
        </w:rPr>
        <w:t>采购代理机构：桂林市政府集中采购中心</w:t>
      </w:r>
    </w:p>
    <w:p>
      <w:pPr>
        <w:jc w:val="center"/>
        <w:rPr>
          <w:rFonts w:hint="eastAsia" w:ascii="宋体" w:hAnsi="宋体" w:eastAsia="宋体" w:cs="宋体"/>
          <w:b/>
          <w:bCs/>
          <w:color w:val="auto"/>
          <w:sz w:val="32"/>
        </w:rPr>
      </w:pPr>
      <w:r>
        <w:rPr>
          <w:rFonts w:hint="eastAsia" w:ascii="宋体" w:hAnsi="宋体" w:eastAsia="宋体" w:cs="宋体"/>
          <w:b/>
          <w:bCs/>
          <w:color w:val="auto"/>
          <w:sz w:val="32"/>
        </w:rPr>
        <w:t>2020年</w:t>
      </w:r>
      <w:r>
        <w:rPr>
          <w:rFonts w:hint="eastAsia" w:ascii="宋体" w:hAnsi="宋体" w:cs="宋体"/>
          <w:b/>
          <w:bCs/>
          <w:color w:val="auto"/>
          <w:sz w:val="32"/>
          <w:lang w:val="en-US" w:eastAsia="zh-CN"/>
        </w:rPr>
        <w:t>8</w:t>
      </w:r>
      <w:r>
        <w:rPr>
          <w:rFonts w:hint="eastAsia" w:ascii="宋体" w:hAnsi="宋体" w:eastAsia="宋体" w:cs="宋体"/>
          <w:b/>
          <w:bCs/>
          <w:color w:val="auto"/>
          <w:sz w:val="32"/>
        </w:rPr>
        <w:t>月</w:t>
      </w:r>
      <w:r>
        <w:rPr>
          <w:rFonts w:hint="eastAsia" w:ascii="宋体" w:hAnsi="宋体" w:cs="宋体"/>
          <w:b/>
          <w:bCs/>
          <w:color w:val="auto"/>
          <w:sz w:val="32"/>
          <w:lang w:val="en-US" w:eastAsia="zh-CN"/>
        </w:rPr>
        <w:t>17</w:t>
      </w:r>
      <w:r>
        <w:rPr>
          <w:rFonts w:hint="eastAsia" w:ascii="宋体" w:hAnsi="宋体" w:eastAsia="宋体" w:cs="宋体"/>
          <w:b/>
          <w:bCs/>
          <w:color w:val="auto"/>
          <w:sz w:val="32"/>
        </w:rPr>
        <w:t>日</w:t>
      </w:r>
    </w:p>
    <w:p>
      <w:pPr>
        <w:jc w:val="center"/>
        <w:rPr>
          <w:rFonts w:hint="eastAsia" w:ascii="宋体" w:hAnsi="宋体" w:eastAsia="宋体" w:cs="宋体"/>
          <w:bCs/>
          <w:color w:val="auto"/>
          <w:sz w:val="30"/>
          <w:szCs w:val="30"/>
        </w:rPr>
      </w:pPr>
    </w:p>
    <w:p>
      <w:pPr>
        <w:pStyle w:val="72"/>
        <w:jc w:val="center"/>
        <w:rPr>
          <w:rFonts w:hint="eastAsia" w:ascii="宋体" w:hAnsi="宋体" w:eastAsia="宋体" w:cs="宋体"/>
          <w:color w:val="auto"/>
          <w:lang w:val="zh-CN"/>
        </w:rPr>
        <w:sectPr>
          <w:headerReference r:id="rId3" w:type="default"/>
          <w:footerReference r:id="rId4" w:type="default"/>
          <w:pgSz w:w="11906" w:h="16838"/>
          <w:pgMar w:top="1440" w:right="1080" w:bottom="1440" w:left="1080" w:header="851" w:footer="992" w:gutter="0"/>
          <w:pgNumType w:fmt="upperRoman"/>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sz w:val="21"/>
        </w:rPr>
        <w:t>目录</w:t>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TOC \o "1-3" \h \u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_Toc27727 </w:instrText>
      </w:r>
      <w:r>
        <w:rPr>
          <w:rFonts w:hint="eastAsia" w:ascii="宋体" w:hAnsi="宋体" w:eastAsia="宋体" w:cs="宋体"/>
          <w:color w:val="auto"/>
          <w:szCs w:val="21"/>
        </w:rPr>
        <w:fldChar w:fldCharType="separate"/>
      </w:r>
      <w:r>
        <w:rPr>
          <w:rFonts w:hint="eastAsia" w:ascii="宋体" w:hAnsi="宋体" w:eastAsia="宋体" w:cs="宋体"/>
          <w:color w:val="auto"/>
          <w:szCs w:val="32"/>
        </w:rPr>
        <w:t>第一章 公开招标公告</w:t>
      </w:r>
      <w:r>
        <w:rPr>
          <w:color w:val="auto"/>
        </w:rPr>
        <w:tab/>
      </w:r>
      <w:r>
        <w:rPr>
          <w:color w:val="auto"/>
        </w:rPr>
        <w:fldChar w:fldCharType="begin"/>
      </w:r>
      <w:r>
        <w:rPr>
          <w:color w:val="auto"/>
        </w:rPr>
        <w:instrText xml:space="preserve"> PAGEREF _Toc27727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_Toc23854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第二章 投标人须知</w:t>
      </w:r>
      <w:r>
        <w:rPr>
          <w:color w:val="auto"/>
        </w:rPr>
        <w:tab/>
      </w:r>
      <w:r>
        <w:rPr>
          <w:color w:val="auto"/>
        </w:rPr>
        <w:fldChar w:fldCharType="begin"/>
      </w:r>
      <w:r>
        <w:rPr>
          <w:color w:val="auto"/>
        </w:rPr>
        <w:instrText xml:space="preserve"> PAGEREF _Toc23854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_Toc16973 </w:instrText>
      </w:r>
      <w:r>
        <w:rPr>
          <w:rFonts w:hint="eastAsia" w:ascii="宋体" w:hAnsi="宋体" w:eastAsia="宋体" w:cs="宋体"/>
          <w:color w:val="auto"/>
          <w:szCs w:val="21"/>
        </w:rPr>
        <w:fldChar w:fldCharType="separate"/>
      </w:r>
      <w:r>
        <w:rPr>
          <w:rFonts w:hint="eastAsia" w:ascii="宋体" w:hAnsi="宋体" w:eastAsia="宋体" w:cs="宋体"/>
          <w:color w:val="auto"/>
        </w:rPr>
        <w:t>投标人须知前附表</w:t>
      </w:r>
      <w:r>
        <w:rPr>
          <w:color w:val="auto"/>
        </w:rPr>
        <w:tab/>
      </w:r>
      <w:r>
        <w:rPr>
          <w:color w:val="auto"/>
        </w:rPr>
        <w:fldChar w:fldCharType="begin"/>
      </w:r>
      <w:r>
        <w:rPr>
          <w:color w:val="auto"/>
        </w:rPr>
        <w:instrText xml:space="preserve"> PAGEREF _Toc16973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_Toc20840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一、总则</w:t>
      </w:r>
      <w:r>
        <w:rPr>
          <w:color w:val="auto"/>
        </w:rPr>
        <w:tab/>
      </w:r>
      <w:r>
        <w:rPr>
          <w:color w:val="auto"/>
        </w:rPr>
        <w:fldChar w:fldCharType="begin"/>
      </w:r>
      <w:r>
        <w:rPr>
          <w:color w:val="auto"/>
        </w:rPr>
        <w:instrText xml:space="preserve"> PAGEREF _Toc20840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_Toc30627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 项目名称及项目编号</w:t>
      </w:r>
      <w:r>
        <w:rPr>
          <w:color w:val="auto"/>
        </w:rPr>
        <w:tab/>
      </w:r>
      <w:r>
        <w:rPr>
          <w:color w:val="auto"/>
        </w:rPr>
        <w:fldChar w:fldCharType="begin"/>
      </w:r>
      <w:r>
        <w:rPr>
          <w:color w:val="auto"/>
        </w:rPr>
        <w:instrText xml:space="preserve"> PAGEREF _Toc30627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_Toc7551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 适应范围</w:t>
      </w:r>
      <w:r>
        <w:rPr>
          <w:color w:val="auto"/>
        </w:rPr>
        <w:tab/>
      </w:r>
      <w:r>
        <w:rPr>
          <w:color w:val="auto"/>
        </w:rPr>
        <w:fldChar w:fldCharType="begin"/>
      </w:r>
      <w:r>
        <w:rPr>
          <w:color w:val="auto"/>
        </w:rPr>
        <w:instrText xml:space="preserve"> PAGEREF _Toc7551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_Toc26799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 定义</w:t>
      </w:r>
      <w:r>
        <w:rPr>
          <w:color w:val="auto"/>
        </w:rPr>
        <w:tab/>
      </w:r>
      <w:r>
        <w:rPr>
          <w:color w:val="auto"/>
        </w:rPr>
        <w:fldChar w:fldCharType="begin"/>
      </w:r>
      <w:r>
        <w:rPr>
          <w:color w:val="auto"/>
        </w:rPr>
        <w:instrText xml:space="preserve"> PAGEREF _Toc26799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_Toc32132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4. 招标方式、评分办法</w:t>
      </w:r>
      <w:r>
        <w:rPr>
          <w:color w:val="auto"/>
        </w:rPr>
        <w:tab/>
      </w:r>
      <w:r>
        <w:rPr>
          <w:color w:val="auto"/>
        </w:rPr>
        <w:fldChar w:fldCharType="begin"/>
      </w:r>
      <w:r>
        <w:rPr>
          <w:color w:val="auto"/>
        </w:rPr>
        <w:instrText xml:space="preserve"> PAGEREF _Toc32132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_Toc5574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5. 投标人资格</w:t>
      </w:r>
      <w:r>
        <w:rPr>
          <w:color w:val="auto"/>
        </w:rPr>
        <w:tab/>
      </w:r>
      <w:r>
        <w:rPr>
          <w:color w:val="auto"/>
        </w:rPr>
        <w:fldChar w:fldCharType="begin"/>
      </w:r>
      <w:r>
        <w:rPr>
          <w:color w:val="auto"/>
        </w:rPr>
        <w:instrText xml:space="preserve"> PAGEREF _Toc5574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_Toc23283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6. 投标费用</w:t>
      </w:r>
      <w:r>
        <w:rPr>
          <w:color w:val="auto"/>
        </w:rPr>
        <w:tab/>
      </w:r>
      <w:r>
        <w:rPr>
          <w:color w:val="auto"/>
        </w:rPr>
        <w:fldChar w:fldCharType="begin"/>
      </w:r>
      <w:r>
        <w:rPr>
          <w:color w:val="auto"/>
        </w:rPr>
        <w:instrText xml:space="preserve"> PAGEREF _Toc23283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_Toc27394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7. 联合体投标要求</w:t>
      </w:r>
      <w:r>
        <w:rPr>
          <w:color w:val="auto"/>
        </w:rPr>
        <w:tab/>
      </w:r>
      <w:r>
        <w:rPr>
          <w:color w:val="auto"/>
        </w:rPr>
        <w:fldChar w:fldCharType="begin"/>
      </w:r>
      <w:r>
        <w:rPr>
          <w:color w:val="auto"/>
        </w:rPr>
        <w:instrText xml:space="preserve"> PAGEREF _Toc27394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_Toc16325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8. 转包与分包</w:t>
      </w:r>
      <w:r>
        <w:rPr>
          <w:color w:val="auto"/>
        </w:rPr>
        <w:tab/>
      </w:r>
      <w:r>
        <w:rPr>
          <w:color w:val="auto"/>
        </w:rPr>
        <w:fldChar w:fldCharType="begin"/>
      </w:r>
      <w:r>
        <w:rPr>
          <w:color w:val="auto"/>
        </w:rPr>
        <w:instrText xml:space="preserve"> PAGEREF _Toc16325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_Toc1946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9. 特别说明</w:t>
      </w:r>
      <w:r>
        <w:rPr>
          <w:color w:val="auto"/>
        </w:rPr>
        <w:tab/>
      </w:r>
      <w:r>
        <w:rPr>
          <w:color w:val="auto"/>
        </w:rPr>
        <w:fldChar w:fldCharType="begin"/>
      </w:r>
      <w:r>
        <w:rPr>
          <w:color w:val="auto"/>
        </w:rPr>
        <w:instrText xml:space="preserve"> PAGEREF _Toc1946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_Toc7918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10. 质疑和投诉</w:t>
      </w:r>
      <w:r>
        <w:rPr>
          <w:color w:val="auto"/>
        </w:rPr>
        <w:tab/>
      </w:r>
      <w:r>
        <w:rPr>
          <w:color w:val="auto"/>
        </w:rPr>
        <w:fldChar w:fldCharType="begin"/>
      </w:r>
      <w:r>
        <w:rPr>
          <w:color w:val="auto"/>
        </w:rPr>
        <w:instrText xml:space="preserve"> PAGEREF _Toc7918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_Toc2278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二、招标文件</w:t>
      </w:r>
      <w:r>
        <w:rPr>
          <w:color w:val="auto"/>
        </w:rPr>
        <w:tab/>
      </w:r>
      <w:r>
        <w:rPr>
          <w:color w:val="auto"/>
        </w:rPr>
        <w:fldChar w:fldCharType="begin"/>
      </w:r>
      <w:r>
        <w:rPr>
          <w:color w:val="auto"/>
        </w:rPr>
        <w:instrText xml:space="preserve"> PAGEREF _Toc2278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_Toc1493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11. 招标文件的构成</w:t>
      </w:r>
      <w:r>
        <w:rPr>
          <w:color w:val="auto"/>
        </w:rPr>
        <w:tab/>
      </w:r>
      <w:r>
        <w:rPr>
          <w:color w:val="auto"/>
        </w:rPr>
        <w:fldChar w:fldCharType="begin"/>
      </w:r>
      <w:r>
        <w:rPr>
          <w:color w:val="auto"/>
        </w:rPr>
        <w:instrText xml:space="preserve"> PAGEREF _Toc1493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_Toc15986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12. 招标文件的澄清与修改</w:t>
      </w:r>
      <w:r>
        <w:rPr>
          <w:color w:val="auto"/>
        </w:rPr>
        <w:tab/>
      </w:r>
      <w:r>
        <w:rPr>
          <w:color w:val="auto"/>
        </w:rPr>
        <w:fldChar w:fldCharType="begin"/>
      </w:r>
      <w:r>
        <w:rPr>
          <w:color w:val="auto"/>
        </w:rPr>
        <w:instrText xml:space="preserve"> PAGEREF _Toc15986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_Toc9870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三、投标文件的编制</w:t>
      </w:r>
      <w:r>
        <w:rPr>
          <w:color w:val="auto"/>
        </w:rPr>
        <w:tab/>
      </w:r>
      <w:r>
        <w:rPr>
          <w:color w:val="auto"/>
        </w:rPr>
        <w:fldChar w:fldCharType="begin"/>
      </w:r>
      <w:r>
        <w:rPr>
          <w:color w:val="auto"/>
        </w:rPr>
        <w:instrText xml:space="preserve"> PAGEREF _Toc9870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_Toc6101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13. 投标文件的组成及要求</w:t>
      </w:r>
      <w:r>
        <w:rPr>
          <w:color w:val="auto"/>
        </w:rPr>
        <w:tab/>
      </w:r>
      <w:r>
        <w:rPr>
          <w:color w:val="auto"/>
        </w:rPr>
        <w:fldChar w:fldCharType="begin"/>
      </w:r>
      <w:r>
        <w:rPr>
          <w:color w:val="auto"/>
        </w:rPr>
        <w:instrText xml:space="preserve"> PAGEREF _Toc6101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_Toc26842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14. 投标文件的语言及计量</w:t>
      </w:r>
      <w:r>
        <w:rPr>
          <w:color w:val="auto"/>
        </w:rPr>
        <w:tab/>
      </w:r>
      <w:r>
        <w:rPr>
          <w:color w:val="auto"/>
        </w:rPr>
        <w:fldChar w:fldCharType="begin"/>
      </w:r>
      <w:r>
        <w:rPr>
          <w:color w:val="auto"/>
        </w:rPr>
        <w:instrText xml:space="preserve"> PAGEREF _Toc26842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_Toc25134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15. 投标报价</w:t>
      </w:r>
      <w:r>
        <w:rPr>
          <w:color w:val="auto"/>
        </w:rPr>
        <w:tab/>
      </w:r>
      <w:r>
        <w:rPr>
          <w:color w:val="auto"/>
        </w:rPr>
        <w:fldChar w:fldCharType="begin"/>
      </w:r>
      <w:r>
        <w:rPr>
          <w:color w:val="auto"/>
        </w:rPr>
        <w:instrText xml:space="preserve"> PAGEREF _Toc25134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_Toc24636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16. 投标有效期</w:t>
      </w:r>
      <w:r>
        <w:rPr>
          <w:color w:val="auto"/>
        </w:rPr>
        <w:tab/>
      </w:r>
      <w:r>
        <w:rPr>
          <w:color w:val="auto"/>
        </w:rPr>
        <w:fldChar w:fldCharType="begin"/>
      </w:r>
      <w:r>
        <w:rPr>
          <w:color w:val="auto"/>
        </w:rPr>
        <w:instrText xml:space="preserve"> PAGEREF _Toc24636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_Toc23140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17. 投标保证金</w:t>
      </w:r>
      <w:r>
        <w:rPr>
          <w:color w:val="auto"/>
        </w:rPr>
        <w:tab/>
      </w:r>
      <w:r>
        <w:rPr>
          <w:color w:val="auto"/>
        </w:rPr>
        <w:fldChar w:fldCharType="begin"/>
      </w:r>
      <w:r>
        <w:rPr>
          <w:color w:val="auto"/>
        </w:rPr>
        <w:instrText xml:space="preserve"> PAGEREF _Toc23140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_Toc14245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18. 投标文件的份数、装订、签署和包装、密封</w:t>
      </w:r>
      <w:r>
        <w:rPr>
          <w:color w:val="auto"/>
        </w:rPr>
        <w:tab/>
      </w:r>
      <w:r>
        <w:rPr>
          <w:color w:val="auto"/>
        </w:rPr>
        <w:fldChar w:fldCharType="begin"/>
      </w:r>
      <w:r>
        <w:rPr>
          <w:color w:val="auto"/>
        </w:rPr>
        <w:instrText xml:space="preserve"> PAGEREF _Toc14245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_Toc679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19. 投标文件的补充、修改和撤回</w:t>
      </w:r>
      <w:r>
        <w:rPr>
          <w:color w:val="auto"/>
        </w:rPr>
        <w:tab/>
      </w:r>
      <w:r>
        <w:rPr>
          <w:color w:val="auto"/>
        </w:rPr>
        <w:fldChar w:fldCharType="begin"/>
      </w:r>
      <w:r>
        <w:rPr>
          <w:color w:val="auto"/>
        </w:rPr>
        <w:instrText xml:space="preserve"> PAGEREF _Toc679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_Toc26497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20. 投标文件的递交</w:t>
      </w:r>
      <w:r>
        <w:rPr>
          <w:color w:val="auto"/>
        </w:rPr>
        <w:tab/>
      </w:r>
      <w:r>
        <w:rPr>
          <w:color w:val="auto"/>
        </w:rPr>
        <w:fldChar w:fldCharType="begin"/>
      </w:r>
      <w:r>
        <w:rPr>
          <w:color w:val="auto"/>
        </w:rPr>
        <w:instrText xml:space="preserve"> PAGEREF _Toc26497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_Toc23749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四、开标</w:t>
      </w:r>
      <w:r>
        <w:rPr>
          <w:color w:val="auto"/>
        </w:rPr>
        <w:tab/>
      </w:r>
      <w:r>
        <w:rPr>
          <w:color w:val="auto"/>
        </w:rPr>
        <w:fldChar w:fldCharType="begin"/>
      </w:r>
      <w:r>
        <w:rPr>
          <w:color w:val="auto"/>
        </w:rPr>
        <w:instrText xml:space="preserve"> PAGEREF _Toc23749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_Toc28972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21. 开标时间及地点</w:t>
      </w:r>
      <w:r>
        <w:rPr>
          <w:color w:val="auto"/>
        </w:rPr>
        <w:tab/>
      </w:r>
      <w:r>
        <w:rPr>
          <w:color w:val="auto"/>
        </w:rPr>
        <w:fldChar w:fldCharType="begin"/>
      </w:r>
      <w:r>
        <w:rPr>
          <w:color w:val="auto"/>
        </w:rPr>
        <w:instrText xml:space="preserve"> PAGEREF _Toc28972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_Toc30797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22. 开标程序</w:t>
      </w:r>
      <w:r>
        <w:rPr>
          <w:color w:val="auto"/>
        </w:rPr>
        <w:tab/>
      </w:r>
      <w:r>
        <w:rPr>
          <w:color w:val="auto"/>
        </w:rPr>
        <w:fldChar w:fldCharType="begin"/>
      </w:r>
      <w:r>
        <w:rPr>
          <w:color w:val="auto"/>
        </w:rPr>
        <w:instrText xml:space="preserve"> PAGEREF _Toc30797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_Toc29467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五、资格性审查</w:t>
      </w:r>
      <w:r>
        <w:rPr>
          <w:color w:val="auto"/>
        </w:rPr>
        <w:tab/>
      </w:r>
      <w:r>
        <w:rPr>
          <w:color w:val="auto"/>
        </w:rPr>
        <w:fldChar w:fldCharType="begin"/>
      </w:r>
      <w:r>
        <w:rPr>
          <w:color w:val="auto"/>
        </w:rPr>
        <w:instrText xml:space="preserve"> PAGEREF _Toc29467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_Toc31377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23. 资格性审查</w:t>
      </w:r>
      <w:r>
        <w:rPr>
          <w:color w:val="auto"/>
        </w:rPr>
        <w:tab/>
      </w:r>
      <w:r>
        <w:rPr>
          <w:color w:val="auto"/>
        </w:rPr>
        <w:fldChar w:fldCharType="begin"/>
      </w:r>
      <w:r>
        <w:rPr>
          <w:color w:val="auto"/>
        </w:rPr>
        <w:instrText xml:space="preserve"> PAGEREF _Toc31377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_Toc17211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六、评标</w:t>
      </w:r>
      <w:r>
        <w:rPr>
          <w:color w:val="auto"/>
        </w:rPr>
        <w:tab/>
      </w:r>
      <w:r>
        <w:rPr>
          <w:color w:val="auto"/>
        </w:rPr>
        <w:fldChar w:fldCharType="begin"/>
      </w:r>
      <w:r>
        <w:rPr>
          <w:color w:val="auto"/>
        </w:rPr>
        <w:instrText xml:space="preserve"> PAGEREF _Toc17211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_Toc14350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24. 评标委员会组成</w:t>
      </w:r>
      <w:r>
        <w:rPr>
          <w:color w:val="auto"/>
        </w:rPr>
        <w:tab/>
      </w:r>
      <w:r>
        <w:rPr>
          <w:color w:val="auto"/>
        </w:rPr>
        <w:fldChar w:fldCharType="begin"/>
      </w:r>
      <w:r>
        <w:rPr>
          <w:color w:val="auto"/>
        </w:rPr>
        <w:instrText xml:space="preserve"> PAGEREF _Toc14350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_Toc26961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25. 评标办法</w:t>
      </w:r>
      <w:r>
        <w:rPr>
          <w:color w:val="auto"/>
        </w:rPr>
        <w:tab/>
      </w:r>
      <w:r>
        <w:rPr>
          <w:color w:val="auto"/>
        </w:rPr>
        <w:fldChar w:fldCharType="begin"/>
      </w:r>
      <w:r>
        <w:rPr>
          <w:color w:val="auto"/>
        </w:rPr>
        <w:instrText xml:space="preserve"> PAGEREF _Toc26961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_Toc29124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26. 评标</w:t>
      </w:r>
      <w:r>
        <w:rPr>
          <w:color w:val="auto"/>
        </w:rPr>
        <w:tab/>
      </w:r>
      <w:r>
        <w:rPr>
          <w:color w:val="auto"/>
        </w:rPr>
        <w:fldChar w:fldCharType="begin"/>
      </w:r>
      <w:r>
        <w:rPr>
          <w:color w:val="auto"/>
        </w:rPr>
        <w:instrText xml:space="preserve"> PAGEREF _Toc29124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_Toc24934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27. 推荐及确定中标候选供应商原则</w:t>
      </w:r>
      <w:r>
        <w:rPr>
          <w:color w:val="auto"/>
        </w:rPr>
        <w:tab/>
      </w:r>
      <w:r>
        <w:rPr>
          <w:color w:val="auto"/>
        </w:rPr>
        <w:fldChar w:fldCharType="begin"/>
      </w:r>
      <w:r>
        <w:rPr>
          <w:color w:val="auto"/>
        </w:rPr>
        <w:instrText xml:space="preserve"> PAGEREF _Toc24934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_Toc7802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28. 属于下列情况之一者，投标无效：</w:t>
      </w:r>
      <w:r>
        <w:rPr>
          <w:color w:val="auto"/>
        </w:rPr>
        <w:tab/>
      </w:r>
      <w:r>
        <w:rPr>
          <w:color w:val="auto"/>
        </w:rPr>
        <w:fldChar w:fldCharType="begin"/>
      </w:r>
      <w:r>
        <w:rPr>
          <w:color w:val="auto"/>
        </w:rPr>
        <w:instrText xml:space="preserve"> PAGEREF _Toc7802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_Toc3715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29. 投标人有下列情形之一的，视为串通投标，投标文件将被视为无效：</w:t>
      </w:r>
      <w:r>
        <w:rPr>
          <w:color w:val="auto"/>
        </w:rPr>
        <w:tab/>
      </w:r>
      <w:r>
        <w:rPr>
          <w:color w:val="auto"/>
        </w:rPr>
        <w:fldChar w:fldCharType="begin"/>
      </w:r>
      <w:r>
        <w:rPr>
          <w:color w:val="auto"/>
        </w:rPr>
        <w:instrText xml:space="preserve"> PAGEREF _Toc3715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_Toc9994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30. 属于下列情形之一的，应予废标：</w:t>
      </w:r>
      <w:r>
        <w:rPr>
          <w:color w:val="auto"/>
        </w:rPr>
        <w:tab/>
      </w:r>
      <w:r>
        <w:rPr>
          <w:color w:val="auto"/>
        </w:rPr>
        <w:fldChar w:fldCharType="begin"/>
      </w:r>
      <w:r>
        <w:rPr>
          <w:color w:val="auto"/>
        </w:rPr>
        <w:instrText xml:space="preserve"> PAGEREF _Toc9994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_Toc18498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31. 开标、评标过程的监控</w:t>
      </w:r>
      <w:r>
        <w:rPr>
          <w:color w:val="auto"/>
        </w:rPr>
        <w:tab/>
      </w:r>
      <w:r>
        <w:rPr>
          <w:color w:val="auto"/>
        </w:rPr>
        <w:fldChar w:fldCharType="begin"/>
      </w:r>
      <w:r>
        <w:rPr>
          <w:color w:val="auto"/>
        </w:rPr>
        <w:instrText xml:space="preserve"> PAGEREF _Toc18498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_Toc30245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32. 信用查询</w:t>
      </w:r>
      <w:r>
        <w:rPr>
          <w:color w:val="auto"/>
        </w:rPr>
        <w:tab/>
      </w:r>
      <w:r>
        <w:rPr>
          <w:color w:val="auto"/>
        </w:rPr>
        <w:fldChar w:fldCharType="begin"/>
      </w:r>
      <w:r>
        <w:rPr>
          <w:color w:val="auto"/>
        </w:rPr>
        <w:instrText xml:space="preserve"> PAGEREF _Toc30245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_Toc517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33. 中标公告及中标通知书</w:t>
      </w:r>
      <w:r>
        <w:rPr>
          <w:color w:val="auto"/>
        </w:rPr>
        <w:tab/>
      </w:r>
      <w:r>
        <w:rPr>
          <w:color w:val="auto"/>
        </w:rPr>
        <w:fldChar w:fldCharType="begin"/>
      </w:r>
      <w:r>
        <w:rPr>
          <w:color w:val="auto"/>
        </w:rPr>
        <w:instrText xml:space="preserve"> PAGEREF _Toc517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_Toc32569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七、履约保证金及签订合同</w:t>
      </w:r>
      <w:r>
        <w:rPr>
          <w:color w:val="auto"/>
        </w:rPr>
        <w:tab/>
      </w:r>
      <w:r>
        <w:rPr>
          <w:color w:val="auto"/>
        </w:rPr>
        <w:fldChar w:fldCharType="begin"/>
      </w:r>
      <w:r>
        <w:rPr>
          <w:color w:val="auto"/>
        </w:rPr>
        <w:instrText xml:space="preserve"> PAGEREF _Toc32569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_Toc16597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34. 履约保证金</w:t>
      </w:r>
      <w:r>
        <w:rPr>
          <w:color w:val="auto"/>
        </w:rPr>
        <w:tab/>
      </w:r>
      <w:r>
        <w:rPr>
          <w:color w:val="auto"/>
        </w:rPr>
        <w:fldChar w:fldCharType="begin"/>
      </w:r>
      <w:r>
        <w:rPr>
          <w:color w:val="auto"/>
        </w:rPr>
        <w:instrText xml:space="preserve"> PAGEREF _Toc16597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_Toc15693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35. 签订合同</w:t>
      </w:r>
      <w:r>
        <w:rPr>
          <w:color w:val="auto"/>
        </w:rPr>
        <w:tab/>
      </w:r>
      <w:r>
        <w:rPr>
          <w:color w:val="auto"/>
        </w:rPr>
        <w:fldChar w:fldCharType="begin"/>
      </w:r>
      <w:r>
        <w:rPr>
          <w:color w:val="auto"/>
        </w:rPr>
        <w:instrText xml:space="preserve"> PAGEREF _Toc15693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_Toc32046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八、其他事项</w:t>
      </w:r>
      <w:r>
        <w:rPr>
          <w:color w:val="auto"/>
        </w:rPr>
        <w:tab/>
      </w:r>
      <w:r>
        <w:rPr>
          <w:color w:val="auto"/>
        </w:rPr>
        <w:fldChar w:fldCharType="begin"/>
      </w:r>
      <w:r>
        <w:rPr>
          <w:color w:val="auto"/>
        </w:rPr>
        <w:instrText xml:space="preserve"> PAGEREF _Toc32046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_Toc29214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36. 招标代理服务费</w:t>
      </w:r>
      <w:r>
        <w:rPr>
          <w:color w:val="auto"/>
        </w:rPr>
        <w:tab/>
      </w:r>
      <w:r>
        <w:rPr>
          <w:color w:val="auto"/>
        </w:rPr>
        <w:fldChar w:fldCharType="begin"/>
      </w:r>
      <w:r>
        <w:rPr>
          <w:color w:val="auto"/>
        </w:rPr>
        <w:instrText xml:space="preserve"> PAGEREF _Toc29214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_Toc14410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w:t>
      </w:r>
      <w:r>
        <w:rPr>
          <w:rFonts w:hint="eastAsia" w:ascii="宋体" w:hAnsi="宋体" w:eastAsia="宋体" w:cs="宋体"/>
          <w:color w:val="auto"/>
          <w:szCs w:val="21"/>
          <w:lang w:val="en-US" w:eastAsia="zh-CN"/>
        </w:rPr>
        <w:t>7</w:t>
      </w:r>
      <w:r>
        <w:rPr>
          <w:rFonts w:hint="eastAsia" w:ascii="宋体" w:hAnsi="宋体" w:eastAsia="宋体" w:cs="宋体"/>
          <w:color w:val="auto"/>
          <w:szCs w:val="21"/>
        </w:rPr>
        <w:t>. 解释权</w:t>
      </w:r>
      <w:r>
        <w:rPr>
          <w:color w:val="auto"/>
        </w:rPr>
        <w:tab/>
      </w:r>
      <w:r>
        <w:rPr>
          <w:color w:val="auto"/>
        </w:rPr>
        <w:fldChar w:fldCharType="begin"/>
      </w:r>
      <w:r>
        <w:rPr>
          <w:color w:val="auto"/>
        </w:rPr>
        <w:instrText xml:space="preserve"> PAGEREF _Toc14410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_Toc28349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w:t>
      </w:r>
      <w:r>
        <w:rPr>
          <w:rFonts w:hint="eastAsia" w:ascii="宋体" w:hAnsi="宋体" w:eastAsia="宋体" w:cs="宋体"/>
          <w:color w:val="auto"/>
          <w:szCs w:val="21"/>
          <w:lang w:val="en-US" w:eastAsia="zh-CN"/>
        </w:rPr>
        <w:t>8</w:t>
      </w:r>
      <w:r>
        <w:rPr>
          <w:rFonts w:hint="eastAsia" w:ascii="宋体" w:hAnsi="宋体" w:eastAsia="宋体" w:cs="宋体"/>
          <w:color w:val="auto"/>
          <w:szCs w:val="21"/>
        </w:rPr>
        <w:t>. 监督管理机构</w:t>
      </w:r>
      <w:r>
        <w:rPr>
          <w:color w:val="auto"/>
        </w:rPr>
        <w:tab/>
      </w:r>
      <w:r>
        <w:rPr>
          <w:color w:val="auto"/>
        </w:rPr>
        <w:fldChar w:fldCharType="begin"/>
      </w:r>
      <w:r>
        <w:rPr>
          <w:color w:val="auto"/>
        </w:rPr>
        <w:instrText xml:space="preserve"> PAGEREF _Toc28349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_Toc2219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第三章  货物采购需求</w:t>
      </w:r>
      <w:r>
        <w:rPr>
          <w:color w:val="auto"/>
        </w:rPr>
        <w:tab/>
      </w:r>
      <w:r>
        <w:rPr>
          <w:color w:val="auto"/>
        </w:rPr>
        <w:fldChar w:fldCharType="begin"/>
      </w:r>
      <w:r>
        <w:rPr>
          <w:color w:val="auto"/>
        </w:rPr>
        <w:instrText xml:space="preserve"> PAGEREF _Toc2219 </w:instrText>
      </w:r>
      <w:r>
        <w:rPr>
          <w:color w:val="auto"/>
        </w:rPr>
        <w:fldChar w:fldCharType="separate"/>
      </w:r>
      <w:r>
        <w:rPr>
          <w:color w:val="auto"/>
        </w:rPr>
        <w:t>21</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_Toc14972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第四章  评标办法</w:t>
      </w:r>
      <w:r>
        <w:rPr>
          <w:color w:val="auto"/>
        </w:rPr>
        <w:tab/>
      </w:r>
      <w:r>
        <w:rPr>
          <w:color w:val="auto"/>
        </w:rPr>
        <w:fldChar w:fldCharType="begin"/>
      </w:r>
      <w:r>
        <w:rPr>
          <w:color w:val="auto"/>
        </w:rPr>
        <w:instrText xml:space="preserve"> PAGEREF _Toc14972 </w:instrText>
      </w:r>
      <w:r>
        <w:rPr>
          <w:color w:val="auto"/>
        </w:rPr>
        <w:fldChar w:fldCharType="separate"/>
      </w:r>
      <w:r>
        <w:rPr>
          <w:color w:val="auto"/>
        </w:rPr>
        <w:t>34</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_Toc16361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第五章  采购合同（合同主要条款及格式）</w:t>
      </w:r>
      <w:r>
        <w:rPr>
          <w:color w:val="auto"/>
        </w:rPr>
        <w:tab/>
      </w:r>
      <w:r>
        <w:rPr>
          <w:color w:val="auto"/>
        </w:rPr>
        <w:fldChar w:fldCharType="begin"/>
      </w:r>
      <w:r>
        <w:rPr>
          <w:color w:val="auto"/>
        </w:rPr>
        <w:instrText xml:space="preserve"> PAGEREF _Toc16361 </w:instrText>
      </w:r>
      <w:r>
        <w:rPr>
          <w:color w:val="auto"/>
        </w:rPr>
        <w:fldChar w:fldCharType="separate"/>
      </w:r>
      <w:r>
        <w:rPr>
          <w:color w:val="auto"/>
        </w:rPr>
        <w:t>40</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_Toc20977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第一条  合同标的及合同金额</w:t>
      </w:r>
      <w:r>
        <w:rPr>
          <w:color w:val="auto"/>
        </w:rPr>
        <w:tab/>
      </w:r>
      <w:r>
        <w:rPr>
          <w:color w:val="auto"/>
        </w:rPr>
        <w:fldChar w:fldCharType="begin"/>
      </w:r>
      <w:r>
        <w:rPr>
          <w:color w:val="auto"/>
        </w:rPr>
        <w:instrText xml:space="preserve"> PAGEREF _Toc20977 </w:instrText>
      </w:r>
      <w:r>
        <w:rPr>
          <w:color w:val="auto"/>
        </w:rPr>
        <w:fldChar w:fldCharType="separate"/>
      </w:r>
      <w:r>
        <w:rPr>
          <w:color w:val="auto"/>
        </w:rPr>
        <w:t>40</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_Toc7193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第二条  质量保证</w:t>
      </w:r>
      <w:r>
        <w:rPr>
          <w:color w:val="auto"/>
        </w:rPr>
        <w:tab/>
      </w:r>
      <w:r>
        <w:rPr>
          <w:color w:val="auto"/>
        </w:rPr>
        <w:fldChar w:fldCharType="begin"/>
      </w:r>
      <w:r>
        <w:rPr>
          <w:color w:val="auto"/>
        </w:rPr>
        <w:instrText xml:space="preserve"> PAGEREF _Toc7193 </w:instrText>
      </w:r>
      <w:r>
        <w:rPr>
          <w:color w:val="auto"/>
        </w:rPr>
        <w:fldChar w:fldCharType="separate"/>
      </w:r>
      <w:r>
        <w:rPr>
          <w:color w:val="auto"/>
        </w:rPr>
        <w:t>40</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_Toc18258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第三条  权力保证</w:t>
      </w:r>
      <w:r>
        <w:rPr>
          <w:color w:val="auto"/>
        </w:rPr>
        <w:tab/>
      </w:r>
      <w:r>
        <w:rPr>
          <w:color w:val="auto"/>
        </w:rPr>
        <w:fldChar w:fldCharType="begin"/>
      </w:r>
      <w:r>
        <w:rPr>
          <w:color w:val="auto"/>
        </w:rPr>
        <w:instrText xml:space="preserve"> PAGEREF _Toc18258 </w:instrText>
      </w:r>
      <w:r>
        <w:rPr>
          <w:color w:val="auto"/>
        </w:rPr>
        <w:fldChar w:fldCharType="separate"/>
      </w:r>
      <w:r>
        <w:rPr>
          <w:color w:val="auto"/>
        </w:rPr>
        <w:t>40</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_Toc18759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第四条  货物包装、运输</w:t>
      </w:r>
      <w:r>
        <w:rPr>
          <w:color w:val="auto"/>
        </w:rPr>
        <w:tab/>
      </w:r>
      <w:r>
        <w:rPr>
          <w:color w:val="auto"/>
        </w:rPr>
        <w:fldChar w:fldCharType="begin"/>
      </w:r>
      <w:r>
        <w:rPr>
          <w:color w:val="auto"/>
        </w:rPr>
        <w:instrText xml:space="preserve"> PAGEREF _Toc18759 </w:instrText>
      </w:r>
      <w:r>
        <w:rPr>
          <w:color w:val="auto"/>
        </w:rPr>
        <w:fldChar w:fldCharType="separate"/>
      </w:r>
      <w:r>
        <w:rPr>
          <w:color w:val="auto"/>
        </w:rPr>
        <w:t>41</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_Toc5755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第五条  交付</w:t>
      </w:r>
      <w:r>
        <w:rPr>
          <w:color w:val="auto"/>
        </w:rPr>
        <w:tab/>
      </w:r>
      <w:r>
        <w:rPr>
          <w:color w:val="auto"/>
        </w:rPr>
        <w:fldChar w:fldCharType="begin"/>
      </w:r>
      <w:r>
        <w:rPr>
          <w:color w:val="auto"/>
        </w:rPr>
        <w:instrText xml:space="preserve"> PAGEREF _Toc5755 </w:instrText>
      </w:r>
      <w:r>
        <w:rPr>
          <w:color w:val="auto"/>
        </w:rPr>
        <w:fldChar w:fldCharType="separate"/>
      </w:r>
      <w:r>
        <w:rPr>
          <w:color w:val="auto"/>
        </w:rPr>
        <w:t>41</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_Toc23508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第六条  调试和验收</w:t>
      </w:r>
      <w:r>
        <w:rPr>
          <w:color w:val="auto"/>
        </w:rPr>
        <w:tab/>
      </w:r>
      <w:r>
        <w:rPr>
          <w:color w:val="auto"/>
        </w:rPr>
        <w:fldChar w:fldCharType="begin"/>
      </w:r>
      <w:r>
        <w:rPr>
          <w:color w:val="auto"/>
        </w:rPr>
        <w:instrText xml:space="preserve"> PAGEREF _Toc23508 </w:instrText>
      </w:r>
      <w:r>
        <w:rPr>
          <w:color w:val="auto"/>
        </w:rPr>
        <w:fldChar w:fldCharType="separate"/>
      </w:r>
      <w:r>
        <w:rPr>
          <w:color w:val="auto"/>
        </w:rPr>
        <w:t>41</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_Toc21085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第七条  安装和培训</w:t>
      </w:r>
      <w:r>
        <w:rPr>
          <w:color w:val="auto"/>
        </w:rPr>
        <w:tab/>
      </w:r>
      <w:r>
        <w:rPr>
          <w:color w:val="auto"/>
        </w:rPr>
        <w:fldChar w:fldCharType="begin"/>
      </w:r>
      <w:r>
        <w:rPr>
          <w:color w:val="auto"/>
        </w:rPr>
        <w:instrText xml:space="preserve"> PAGEREF _Toc21085 </w:instrText>
      </w:r>
      <w:r>
        <w:rPr>
          <w:color w:val="auto"/>
        </w:rPr>
        <w:fldChar w:fldCharType="separate"/>
      </w:r>
      <w:r>
        <w:rPr>
          <w:color w:val="auto"/>
        </w:rPr>
        <w:t>42</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_Toc29370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第八条  售后服务、保修期</w:t>
      </w:r>
      <w:r>
        <w:rPr>
          <w:color w:val="auto"/>
        </w:rPr>
        <w:tab/>
      </w:r>
      <w:r>
        <w:rPr>
          <w:color w:val="auto"/>
        </w:rPr>
        <w:fldChar w:fldCharType="begin"/>
      </w:r>
      <w:r>
        <w:rPr>
          <w:color w:val="auto"/>
        </w:rPr>
        <w:instrText xml:space="preserve"> PAGEREF _Toc29370 </w:instrText>
      </w:r>
      <w:r>
        <w:rPr>
          <w:color w:val="auto"/>
        </w:rPr>
        <w:fldChar w:fldCharType="separate"/>
      </w:r>
      <w:r>
        <w:rPr>
          <w:color w:val="auto"/>
        </w:rPr>
        <w:t>42</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_Toc16038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第九条  税费</w:t>
      </w:r>
      <w:r>
        <w:rPr>
          <w:color w:val="auto"/>
        </w:rPr>
        <w:tab/>
      </w:r>
      <w:r>
        <w:rPr>
          <w:color w:val="auto"/>
        </w:rPr>
        <w:fldChar w:fldCharType="begin"/>
      </w:r>
      <w:r>
        <w:rPr>
          <w:color w:val="auto"/>
        </w:rPr>
        <w:instrText xml:space="preserve"> PAGEREF _Toc16038 </w:instrText>
      </w:r>
      <w:r>
        <w:rPr>
          <w:color w:val="auto"/>
        </w:rPr>
        <w:fldChar w:fldCharType="separate"/>
      </w:r>
      <w:r>
        <w:rPr>
          <w:color w:val="auto"/>
        </w:rPr>
        <w:t>42</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_Toc26889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第十条  付款方式</w:t>
      </w:r>
      <w:r>
        <w:rPr>
          <w:color w:val="auto"/>
        </w:rPr>
        <w:tab/>
      </w:r>
      <w:r>
        <w:rPr>
          <w:color w:val="auto"/>
        </w:rPr>
        <w:fldChar w:fldCharType="begin"/>
      </w:r>
      <w:r>
        <w:rPr>
          <w:color w:val="auto"/>
        </w:rPr>
        <w:instrText xml:space="preserve"> PAGEREF _Toc26889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_Toc16350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第十一条  违约责任</w:t>
      </w:r>
      <w:r>
        <w:rPr>
          <w:color w:val="auto"/>
        </w:rPr>
        <w:tab/>
      </w:r>
      <w:r>
        <w:rPr>
          <w:color w:val="auto"/>
        </w:rPr>
        <w:fldChar w:fldCharType="begin"/>
      </w:r>
      <w:r>
        <w:rPr>
          <w:color w:val="auto"/>
        </w:rPr>
        <w:instrText xml:space="preserve"> PAGEREF _Toc16350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_Toc30736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第十二条  不可抗力事件处理</w:t>
      </w:r>
      <w:r>
        <w:rPr>
          <w:color w:val="auto"/>
        </w:rPr>
        <w:tab/>
      </w:r>
      <w:r>
        <w:rPr>
          <w:color w:val="auto"/>
        </w:rPr>
        <w:fldChar w:fldCharType="begin"/>
      </w:r>
      <w:r>
        <w:rPr>
          <w:color w:val="auto"/>
        </w:rPr>
        <w:instrText xml:space="preserve"> PAGEREF _Toc30736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_Toc7512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第十三条  合同争议解决</w:t>
      </w:r>
      <w:r>
        <w:rPr>
          <w:color w:val="auto"/>
        </w:rPr>
        <w:tab/>
      </w:r>
      <w:r>
        <w:rPr>
          <w:color w:val="auto"/>
        </w:rPr>
        <w:fldChar w:fldCharType="begin"/>
      </w:r>
      <w:r>
        <w:rPr>
          <w:color w:val="auto"/>
        </w:rPr>
        <w:instrText xml:space="preserve"> PAGEREF _Toc7512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_Toc30739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第十四条  合同生效及其它</w:t>
      </w:r>
      <w:r>
        <w:rPr>
          <w:color w:val="auto"/>
        </w:rPr>
        <w:tab/>
      </w:r>
      <w:r>
        <w:rPr>
          <w:color w:val="auto"/>
        </w:rPr>
        <w:fldChar w:fldCharType="begin"/>
      </w:r>
      <w:r>
        <w:rPr>
          <w:color w:val="auto"/>
        </w:rPr>
        <w:instrText xml:space="preserve"> PAGEREF _Toc30739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_Toc11165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第十五条  合同的变更、终止与转让</w:t>
      </w:r>
      <w:r>
        <w:rPr>
          <w:color w:val="auto"/>
        </w:rPr>
        <w:tab/>
      </w:r>
      <w:r>
        <w:rPr>
          <w:color w:val="auto"/>
        </w:rPr>
        <w:fldChar w:fldCharType="begin"/>
      </w:r>
      <w:r>
        <w:rPr>
          <w:color w:val="auto"/>
        </w:rPr>
        <w:instrText xml:space="preserve"> PAGEREF _Toc11165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_Toc7041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第十六条  签订本合同依据</w:t>
      </w:r>
      <w:r>
        <w:rPr>
          <w:color w:val="auto"/>
        </w:rPr>
        <w:tab/>
      </w:r>
      <w:r>
        <w:rPr>
          <w:color w:val="auto"/>
        </w:rPr>
        <w:fldChar w:fldCharType="begin"/>
      </w:r>
      <w:r>
        <w:rPr>
          <w:color w:val="auto"/>
        </w:rPr>
        <w:instrText xml:space="preserve"> PAGEREF _Toc7041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_Toc27453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第六章  投标文件（格式）</w:t>
      </w:r>
      <w:r>
        <w:rPr>
          <w:color w:val="auto"/>
        </w:rPr>
        <w:tab/>
      </w:r>
      <w:r>
        <w:rPr>
          <w:color w:val="auto"/>
        </w:rPr>
        <w:fldChar w:fldCharType="begin"/>
      </w:r>
      <w:r>
        <w:rPr>
          <w:color w:val="auto"/>
        </w:rPr>
        <w:instrText xml:space="preserve"> PAGEREF _Toc27453 </w:instrText>
      </w:r>
      <w:r>
        <w:rPr>
          <w:color w:val="auto"/>
        </w:rPr>
        <w:fldChar w:fldCharType="separate"/>
      </w:r>
      <w:r>
        <w:rPr>
          <w:color w:val="auto"/>
        </w:rPr>
        <w:t>45</w:t>
      </w:r>
      <w:r>
        <w:rPr>
          <w:color w:val="auto"/>
        </w:rPr>
        <w:fldChar w:fldCharType="end"/>
      </w:r>
      <w:r>
        <w:rPr>
          <w:rFonts w:hint="eastAsia" w:ascii="宋体" w:hAnsi="宋体" w:eastAsia="宋体" w:cs="宋体"/>
          <w:color w:val="auto"/>
          <w:szCs w:val="21"/>
        </w:rPr>
        <w:fldChar w:fldCharType="end"/>
      </w:r>
    </w:p>
    <w:p>
      <w:pPr>
        <w:rPr>
          <w:rFonts w:hint="eastAsia" w:ascii="宋体" w:hAnsi="宋体" w:eastAsia="宋体" w:cs="宋体"/>
          <w:color w:val="auto"/>
          <w:szCs w:val="21"/>
        </w:rPr>
      </w:pPr>
      <w:r>
        <w:rPr>
          <w:rFonts w:hint="eastAsia" w:ascii="宋体" w:hAnsi="宋体" w:eastAsia="宋体" w:cs="宋体"/>
          <w:color w:val="auto"/>
          <w:szCs w:val="21"/>
        </w:rPr>
        <w:fldChar w:fldCharType="end"/>
      </w:r>
    </w:p>
    <w:p>
      <w:pPr>
        <w:jc w:val="center"/>
        <w:outlineLvl w:val="0"/>
        <w:rPr>
          <w:rFonts w:hint="eastAsia" w:ascii="宋体" w:hAnsi="宋体" w:eastAsia="宋体" w:cs="宋体"/>
          <w:color w:val="auto"/>
          <w:sz w:val="32"/>
          <w:szCs w:val="32"/>
        </w:rPr>
        <w:sectPr>
          <w:footerReference r:id="rId5" w:type="default"/>
          <w:pgSz w:w="11906" w:h="16838"/>
          <w:pgMar w:top="1440" w:right="1080" w:bottom="1440" w:left="1080" w:header="851" w:footer="992" w:gutter="0"/>
          <w:pgNumType w:fmt="upperRoman" w:start="1"/>
          <w:cols w:space="720" w:num="1"/>
          <w:docGrid w:type="lines" w:linePitch="312" w:charSpace="0"/>
        </w:sectPr>
      </w:pPr>
    </w:p>
    <w:p>
      <w:pPr>
        <w:pStyle w:val="3"/>
        <w:keepNext/>
        <w:keepLines/>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rPr>
      </w:pPr>
      <w:bookmarkStart w:id="0" w:name="_Toc27727"/>
      <w:bookmarkStart w:id="1" w:name="_Toc35393789"/>
      <w:bookmarkStart w:id="2" w:name="_Toc28359001"/>
      <w:r>
        <w:rPr>
          <w:rFonts w:hint="eastAsia" w:ascii="宋体" w:hAnsi="宋体" w:eastAsia="宋体" w:cs="宋体"/>
          <w:color w:val="auto"/>
          <w:sz w:val="32"/>
          <w:szCs w:val="32"/>
        </w:rPr>
        <w:t>公开招标公告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rPr>
      </w:pPr>
      <w:r>
        <w:rPr>
          <w:rFonts w:hint="eastAsia" w:ascii="宋体" w:hAnsi="宋体" w:eastAsia="宋体" w:cs="宋体"/>
          <w:color w:val="auto"/>
          <w:sz w:val="28"/>
          <w:szCs w:val="28"/>
          <w:lang w:val="en-US" w:eastAsia="zh-CN"/>
        </w:rPr>
        <w:t>桂林市政府集中采购中心</w:t>
      </w:r>
      <w:r>
        <w:rPr>
          <w:rFonts w:hint="eastAsia" w:ascii="宋体" w:hAnsi="宋体" w:eastAsia="宋体" w:cs="宋体"/>
          <w:color w:val="auto"/>
          <w:sz w:val="28"/>
          <w:szCs w:val="28"/>
        </w:rPr>
        <w:t>受</w:t>
      </w:r>
      <w:r>
        <w:rPr>
          <w:rFonts w:hint="eastAsia" w:ascii="宋体" w:hAnsi="宋体" w:cs="宋体"/>
          <w:color w:val="auto"/>
          <w:sz w:val="28"/>
          <w:szCs w:val="28"/>
          <w:u w:val="single"/>
          <w:lang w:val="en-US" w:eastAsia="zh-CN"/>
        </w:rPr>
        <w:t>桂林市交通技工学校</w:t>
      </w:r>
      <w:r>
        <w:rPr>
          <w:rFonts w:hint="eastAsia" w:ascii="宋体" w:hAnsi="宋体" w:eastAsia="宋体" w:cs="宋体"/>
          <w:color w:val="auto"/>
          <w:sz w:val="28"/>
          <w:szCs w:val="28"/>
        </w:rPr>
        <w:t>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8"/>
          <w:szCs w:val="28"/>
          <w:u w:val="single"/>
          <w:lang w:val="en-US" w:eastAsia="zh-CN"/>
        </w:rPr>
        <w:t>会仙校区15#楼学生床铺及柜子</w:t>
      </w:r>
      <w:r>
        <w:rPr>
          <w:rFonts w:hint="eastAsia" w:ascii="宋体" w:hAnsi="宋体" w:eastAsia="宋体" w:cs="宋体"/>
          <w:color w:val="auto"/>
          <w:sz w:val="28"/>
          <w:szCs w:val="28"/>
        </w:rPr>
        <w:t>项目进行公开招标，欢迎符合条件的供应商前来投标，</w:t>
      </w:r>
      <w:r>
        <w:rPr>
          <w:rFonts w:hint="eastAsia" w:ascii="宋体" w:hAnsi="宋体" w:eastAsia="宋体" w:cs="宋体"/>
          <w:color w:val="auto"/>
          <w:sz w:val="28"/>
          <w:szCs w:val="28"/>
          <w:lang w:val="en-US" w:eastAsia="zh-CN"/>
        </w:rPr>
        <w:t>并于2020年</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日上午9点30分前递交投标文件。</w:t>
      </w:r>
      <w:r>
        <w:rPr>
          <w:rFonts w:hint="eastAsia" w:ascii="宋体" w:hAnsi="宋体" w:eastAsia="宋体" w:cs="宋体"/>
          <w:color w:val="auto"/>
          <w:sz w:val="28"/>
          <w:szCs w:val="28"/>
        </w:rPr>
        <w:t>现将本次公开招标的有关事项公告如下：</w:t>
      </w:r>
    </w:p>
    <w:p>
      <w:pPr>
        <w:rPr>
          <w:rFonts w:hint="eastAsia" w:ascii="宋体" w:hAnsi="宋体" w:eastAsia="宋体" w:cs="宋体"/>
          <w:color w:val="auto"/>
          <w:sz w:val="28"/>
          <w:szCs w:val="28"/>
        </w:rPr>
      </w:pPr>
      <w:bookmarkStart w:id="3" w:name="_Toc35393790"/>
      <w:bookmarkStart w:id="4" w:name="_Toc28359079"/>
      <w:bookmarkStart w:id="5" w:name="_Toc28359002"/>
      <w:bookmarkStart w:id="6" w:name="_Toc35393621"/>
      <w:bookmarkStart w:id="7" w:name="_Hlk24379207"/>
      <w:r>
        <w:rPr>
          <w:rFonts w:hint="eastAsia" w:ascii="宋体" w:hAnsi="宋体" w:eastAsia="宋体" w:cs="宋体"/>
          <w:color w:val="auto"/>
          <w:sz w:val="28"/>
          <w:szCs w:val="28"/>
        </w:rPr>
        <w:t>一、项目基本情况</w:t>
      </w:r>
      <w:bookmarkEnd w:id="3"/>
      <w:bookmarkEnd w:id="4"/>
      <w:bookmarkEnd w:id="5"/>
      <w:bookmarkEnd w:id="6"/>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 xml:space="preserve">GLZC2020-G1-990086-JCZX </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会仙校区15#楼学生床铺及柜子</w:t>
      </w:r>
    </w:p>
    <w:bookmarkEnd w:id="7"/>
    <w:p>
      <w:pPr>
        <w:keepNext w:val="0"/>
        <w:keepLines w:val="0"/>
        <w:pageBreakBefore w:val="0"/>
        <w:widowControl w:val="0"/>
        <w:kinsoku/>
        <w:wordWrap/>
        <w:overflowPunct/>
        <w:topLinePunct w:val="0"/>
        <w:autoSpaceDE/>
        <w:autoSpaceDN/>
        <w:bidi w:val="0"/>
        <w:adjustRightInd/>
        <w:snapToGrid/>
        <w:spacing w:line="380" w:lineRule="exact"/>
        <w:ind w:left="559" w:leftChars="266"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预算金额：人民币壹佰</w:t>
      </w:r>
      <w:r>
        <w:rPr>
          <w:rFonts w:hint="eastAsia" w:ascii="宋体" w:hAnsi="宋体" w:cs="宋体"/>
          <w:color w:val="auto"/>
          <w:sz w:val="28"/>
          <w:szCs w:val="28"/>
          <w:lang w:eastAsia="zh-CN"/>
        </w:rPr>
        <w:t>壹</w:t>
      </w:r>
      <w:r>
        <w:rPr>
          <w:rFonts w:hint="eastAsia" w:ascii="宋体" w:hAnsi="宋体" w:eastAsia="宋体" w:cs="宋体"/>
          <w:color w:val="auto"/>
          <w:sz w:val="28"/>
          <w:szCs w:val="28"/>
        </w:rPr>
        <w:t>拾</w:t>
      </w:r>
      <w:r>
        <w:rPr>
          <w:rFonts w:hint="eastAsia" w:ascii="宋体" w:hAnsi="宋体" w:cs="宋体"/>
          <w:color w:val="auto"/>
          <w:sz w:val="28"/>
          <w:szCs w:val="28"/>
          <w:lang w:eastAsia="zh-CN"/>
        </w:rPr>
        <w:t>陆</w:t>
      </w:r>
      <w:r>
        <w:rPr>
          <w:rFonts w:hint="eastAsia" w:ascii="宋体" w:hAnsi="宋体" w:eastAsia="宋体" w:cs="宋体"/>
          <w:color w:val="auto"/>
          <w:sz w:val="28"/>
          <w:szCs w:val="28"/>
        </w:rPr>
        <w:t>万</w:t>
      </w:r>
      <w:r>
        <w:rPr>
          <w:rFonts w:hint="eastAsia" w:ascii="宋体" w:hAnsi="宋体" w:cs="宋体"/>
          <w:color w:val="auto"/>
          <w:sz w:val="28"/>
          <w:szCs w:val="28"/>
          <w:lang w:eastAsia="zh-CN"/>
        </w:rPr>
        <w:t>零玖佰</w:t>
      </w:r>
      <w:r>
        <w:rPr>
          <w:rFonts w:hint="eastAsia" w:ascii="宋体" w:hAnsi="宋体" w:eastAsia="宋体" w:cs="宋体"/>
          <w:color w:val="auto"/>
          <w:sz w:val="28"/>
          <w:szCs w:val="28"/>
        </w:rPr>
        <w:t>元整（¥</w:t>
      </w:r>
      <w:r>
        <w:rPr>
          <w:rFonts w:hint="eastAsia" w:ascii="宋体" w:hAnsi="宋体" w:cs="宋体"/>
          <w:color w:val="auto"/>
          <w:sz w:val="28"/>
          <w:szCs w:val="28"/>
          <w:lang w:val="en-US" w:eastAsia="zh-CN"/>
        </w:rPr>
        <w:t>1160900</w:t>
      </w:r>
      <w:r>
        <w:rPr>
          <w:rFonts w:hint="eastAsia" w:ascii="宋体" w:hAnsi="宋体" w:eastAsia="宋体" w:cs="宋体"/>
          <w:color w:val="auto"/>
          <w:sz w:val="28"/>
          <w:szCs w:val="28"/>
          <w:lang w:val="en-US"/>
        </w:rPr>
        <w:t>.00</w:t>
      </w:r>
      <w:r>
        <w:rPr>
          <w:rFonts w:hint="eastAsia" w:ascii="宋体" w:hAnsi="宋体" w:eastAsia="宋体" w:cs="宋体"/>
          <w:color w:val="auto"/>
          <w:sz w:val="28"/>
          <w:szCs w:val="28"/>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采购需求：</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7"/>
        <w:gridCol w:w="2539"/>
        <w:gridCol w:w="1019"/>
        <w:gridCol w:w="1000"/>
        <w:gridCol w:w="1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0" w:type="auto"/>
          </w:tcPr>
          <w:p>
            <w:pPr>
              <w:pStyle w:val="67"/>
              <w:spacing w:before="111"/>
              <w:ind w:left="248" w:right="239"/>
              <w:jc w:val="center"/>
              <w:rPr>
                <w:rFonts w:ascii="仿宋" w:eastAsia="仿宋"/>
                <w:color w:val="auto"/>
                <w:sz w:val="28"/>
              </w:rPr>
            </w:pPr>
            <w:r>
              <w:rPr>
                <w:rFonts w:hint="eastAsia" w:ascii="仿宋" w:eastAsia="仿宋"/>
                <w:color w:val="auto"/>
                <w:sz w:val="28"/>
              </w:rPr>
              <w:t>项号</w:t>
            </w:r>
          </w:p>
        </w:tc>
        <w:tc>
          <w:tcPr>
            <w:tcW w:w="0" w:type="auto"/>
          </w:tcPr>
          <w:p>
            <w:pPr>
              <w:pStyle w:val="67"/>
              <w:spacing w:before="111"/>
              <w:ind w:left="123" w:right="114"/>
              <w:jc w:val="center"/>
              <w:rPr>
                <w:rFonts w:ascii="仿宋" w:eastAsia="仿宋"/>
                <w:color w:val="auto"/>
                <w:sz w:val="28"/>
              </w:rPr>
            </w:pPr>
            <w:r>
              <w:rPr>
                <w:rFonts w:hint="eastAsia" w:ascii="仿宋" w:eastAsia="仿宋"/>
                <w:color w:val="auto"/>
                <w:sz w:val="28"/>
              </w:rPr>
              <w:t>货物名称</w:t>
            </w:r>
          </w:p>
        </w:tc>
        <w:tc>
          <w:tcPr>
            <w:tcW w:w="0" w:type="auto"/>
          </w:tcPr>
          <w:p>
            <w:pPr>
              <w:pStyle w:val="67"/>
              <w:spacing w:before="84"/>
              <w:ind w:left="229" w:right="220"/>
              <w:jc w:val="center"/>
              <w:rPr>
                <w:rFonts w:ascii="仿宋" w:eastAsia="仿宋"/>
                <w:color w:val="auto"/>
                <w:sz w:val="28"/>
              </w:rPr>
            </w:pPr>
            <w:r>
              <w:rPr>
                <w:rFonts w:hint="eastAsia" w:ascii="仿宋" w:eastAsia="仿宋"/>
                <w:color w:val="auto"/>
                <w:sz w:val="28"/>
              </w:rPr>
              <w:t>单位</w:t>
            </w:r>
          </w:p>
        </w:tc>
        <w:tc>
          <w:tcPr>
            <w:tcW w:w="0" w:type="auto"/>
          </w:tcPr>
          <w:p>
            <w:pPr>
              <w:pStyle w:val="67"/>
              <w:spacing w:before="84"/>
              <w:ind w:left="221" w:right="209"/>
              <w:jc w:val="center"/>
              <w:rPr>
                <w:rFonts w:ascii="仿宋" w:eastAsia="仿宋"/>
                <w:color w:val="auto"/>
                <w:sz w:val="28"/>
              </w:rPr>
            </w:pPr>
            <w:r>
              <w:rPr>
                <w:rFonts w:hint="eastAsia" w:ascii="仿宋" w:eastAsia="仿宋"/>
                <w:color w:val="auto"/>
                <w:sz w:val="28"/>
              </w:rPr>
              <w:t>数量</w:t>
            </w:r>
          </w:p>
        </w:tc>
        <w:tc>
          <w:tcPr>
            <w:tcW w:w="0" w:type="auto"/>
          </w:tcPr>
          <w:p>
            <w:pPr>
              <w:pStyle w:val="67"/>
              <w:spacing w:before="111"/>
              <w:ind w:left="138" w:right="130"/>
              <w:jc w:val="center"/>
              <w:rPr>
                <w:rFonts w:ascii="仿宋" w:eastAsia="仿宋"/>
                <w:color w:val="auto"/>
                <w:sz w:val="28"/>
              </w:rPr>
            </w:pPr>
            <w:r>
              <w:rPr>
                <w:rFonts w:hint="eastAsia" w:ascii="仿宋" w:eastAsia="仿宋"/>
                <w:color w:val="auto"/>
                <w:sz w:val="28"/>
              </w:rPr>
              <w:t>简要规格描述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0" w:type="auto"/>
          </w:tcPr>
          <w:p>
            <w:pPr>
              <w:pStyle w:val="67"/>
              <w:spacing w:before="215"/>
              <w:ind w:left="11"/>
              <w:jc w:val="center"/>
              <w:rPr>
                <w:rFonts w:ascii="仿宋"/>
                <w:color w:val="auto"/>
                <w:sz w:val="28"/>
              </w:rPr>
            </w:pPr>
            <w:r>
              <w:rPr>
                <w:rFonts w:ascii="仿宋"/>
                <w:color w:val="auto"/>
                <w:sz w:val="28"/>
              </w:rPr>
              <w:t>1</w:t>
            </w:r>
          </w:p>
        </w:tc>
        <w:tc>
          <w:tcPr>
            <w:tcW w:w="0" w:type="auto"/>
          </w:tcPr>
          <w:p>
            <w:pPr>
              <w:pStyle w:val="67"/>
              <w:spacing w:before="62"/>
              <w:ind w:left="9"/>
              <w:jc w:val="center"/>
              <w:rPr>
                <w:rFonts w:hint="eastAsia" w:ascii="仿宋" w:eastAsia="仿宋"/>
                <w:color w:val="auto"/>
                <w:sz w:val="28"/>
                <w:lang w:val="en-US" w:eastAsia="zh-CN"/>
              </w:rPr>
            </w:pPr>
            <w:r>
              <w:rPr>
                <w:rFonts w:hint="eastAsia" w:ascii="仿宋" w:eastAsia="仿宋"/>
                <w:color w:val="auto"/>
                <w:sz w:val="28"/>
                <w:lang w:eastAsia="zh-CN"/>
              </w:rPr>
              <w:t>二</w:t>
            </w:r>
            <w:r>
              <w:rPr>
                <w:rFonts w:hint="eastAsia" w:ascii="仿宋" w:eastAsia="仿宋"/>
                <w:color w:val="auto"/>
                <w:sz w:val="28"/>
              </w:rPr>
              <w:t>连</w:t>
            </w:r>
            <w:r>
              <w:rPr>
                <w:rFonts w:hint="eastAsia" w:ascii="仿宋" w:eastAsia="仿宋"/>
                <w:color w:val="auto"/>
                <w:sz w:val="28"/>
                <w:lang w:val="en-US" w:eastAsia="zh-CN"/>
              </w:rPr>
              <w:t>4人位</w:t>
            </w:r>
          </w:p>
          <w:p>
            <w:pPr>
              <w:pStyle w:val="67"/>
              <w:spacing w:before="62"/>
              <w:ind w:left="9"/>
              <w:jc w:val="center"/>
              <w:rPr>
                <w:rFonts w:ascii="仿宋" w:eastAsia="仿宋"/>
                <w:color w:val="auto"/>
                <w:sz w:val="28"/>
              </w:rPr>
            </w:pPr>
            <w:r>
              <w:rPr>
                <w:rFonts w:hint="eastAsia" w:ascii="仿宋" w:eastAsia="仿宋"/>
                <w:color w:val="auto"/>
                <w:sz w:val="28"/>
                <w:lang w:val="en-US" w:eastAsia="zh-CN"/>
              </w:rPr>
              <w:t>中梯公寓床</w:t>
            </w:r>
          </w:p>
        </w:tc>
        <w:tc>
          <w:tcPr>
            <w:tcW w:w="0" w:type="auto"/>
          </w:tcPr>
          <w:p>
            <w:pPr>
              <w:pStyle w:val="67"/>
              <w:spacing w:before="242"/>
              <w:ind w:left="7"/>
              <w:jc w:val="center"/>
              <w:rPr>
                <w:rFonts w:ascii="仿宋" w:eastAsia="仿宋"/>
                <w:color w:val="auto"/>
                <w:sz w:val="28"/>
              </w:rPr>
            </w:pPr>
            <w:r>
              <w:rPr>
                <w:rFonts w:hint="eastAsia" w:ascii="仿宋" w:eastAsia="仿宋"/>
                <w:color w:val="auto"/>
                <w:sz w:val="28"/>
              </w:rPr>
              <w:t>套</w:t>
            </w:r>
          </w:p>
        </w:tc>
        <w:tc>
          <w:tcPr>
            <w:tcW w:w="0" w:type="auto"/>
          </w:tcPr>
          <w:p>
            <w:pPr>
              <w:pStyle w:val="67"/>
              <w:spacing w:before="242"/>
              <w:ind w:left="220" w:right="209"/>
              <w:jc w:val="center"/>
              <w:rPr>
                <w:rFonts w:hint="default" w:ascii="仿宋" w:eastAsia="宋体"/>
                <w:color w:val="auto"/>
                <w:sz w:val="28"/>
                <w:lang w:val="en-US" w:eastAsia="zh-CN"/>
              </w:rPr>
            </w:pPr>
            <w:r>
              <w:rPr>
                <w:rFonts w:hint="eastAsia" w:ascii="仿宋"/>
                <w:color w:val="auto"/>
                <w:sz w:val="28"/>
                <w:lang w:val="en-US" w:eastAsia="zh-CN"/>
              </w:rPr>
              <w:t>136</w:t>
            </w:r>
          </w:p>
        </w:tc>
        <w:tc>
          <w:tcPr>
            <w:tcW w:w="0" w:type="auto"/>
          </w:tcPr>
          <w:p>
            <w:pPr>
              <w:pStyle w:val="67"/>
              <w:spacing w:before="242"/>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0" w:type="auto"/>
          </w:tcPr>
          <w:p>
            <w:pPr>
              <w:pStyle w:val="67"/>
              <w:spacing w:before="215"/>
              <w:ind w:left="11"/>
              <w:jc w:val="center"/>
              <w:rPr>
                <w:rFonts w:ascii="仿宋"/>
                <w:color w:val="auto"/>
                <w:sz w:val="28"/>
              </w:rPr>
            </w:pPr>
            <w:r>
              <w:rPr>
                <w:rFonts w:ascii="仿宋"/>
                <w:color w:val="auto"/>
                <w:sz w:val="28"/>
              </w:rPr>
              <w:t>2</w:t>
            </w:r>
          </w:p>
        </w:tc>
        <w:tc>
          <w:tcPr>
            <w:tcW w:w="0" w:type="auto"/>
          </w:tcPr>
          <w:p>
            <w:pPr>
              <w:pStyle w:val="67"/>
              <w:spacing w:before="62"/>
              <w:ind w:left="9"/>
              <w:jc w:val="center"/>
              <w:rPr>
                <w:rFonts w:hint="eastAsia" w:ascii="仿宋" w:eastAsia="仿宋"/>
                <w:color w:val="auto"/>
                <w:sz w:val="28"/>
                <w:lang w:val="en-US" w:eastAsia="zh-CN"/>
              </w:rPr>
            </w:pPr>
            <w:r>
              <w:rPr>
                <w:rFonts w:hint="eastAsia" w:ascii="仿宋" w:eastAsia="仿宋"/>
                <w:color w:val="auto"/>
                <w:sz w:val="28"/>
                <w:lang w:eastAsia="zh-CN"/>
              </w:rPr>
              <w:t>二</w:t>
            </w:r>
            <w:r>
              <w:rPr>
                <w:rFonts w:hint="eastAsia" w:ascii="仿宋" w:eastAsia="仿宋"/>
                <w:color w:val="auto"/>
                <w:sz w:val="28"/>
              </w:rPr>
              <w:t>连</w:t>
            </w:r>
            <w:r>
              <w:rPr>
                <w:rFonts w:hint="eastAsia" w:ascii="仿宋" w:eastAsia="仿宋"/>
                <w:color w:val="auto"/>
                <w:sz w:val="28"/>
                <w:lang w:val="en-US" w:eastAsia="zh-CN"/>
              </w:rPr>
              <w:t>4人位</w:t>
            </w:r>
          </w:p>
          <w:p>
            <w:pPr>
              <w:pStyle w:val="67"/>
              <w:spacing w:before="61"/>
              <w:ind w:left="9"/>
              <w:jc w:val="center"/>
              <w:rPr>
                <w:rFonts w:ascii="仿宋" w:eastAsia="仿宋"/>
                <w:color w:val="auto"/>
                <w:sz w:val="28"/>
              </w:rPr>
            </w:pPr>
            <w:r>
              <w:rPr>
                <w:rFonts w:hint="eastAsia" w:ascii="仿宋" w:eastAsia="仿宋"/>
                <w:color w:val="auto"/>
                <w:sz w:val="28"/>
                <w:lang w:val="en-US" w:eastAsia="zh-CN"/>
              </w:rPr>
              <w:t>中梯公寓床</w:t>
            </w:r>
          </w:p>
        </w:tc>
        <w:tc>
          <w:tcPr>
            <w:tcW w:w="0" w:type="auto"/>
          </w:tcPr>
          <w:p>
            <w:pPr>
              <w:pStyle w:val="67"/>
              <w:spacing w:before="241"/>
              <w:ind w:left="7"/>
              <w:jc w:val="center"/>
              <w:rPr>
                <w:rFonts w:ascii="仿宋" w:eastAsia="仿宋"/>
                <w:color w:val="auto"/>
                <w:sz w:val="28"/>
              </w:rPr>
            </w:pPr>
            <w:r>
              <w:rPr>
                <w:rFonts w:ascii="仿宋" w:eastAsia="仿宋"/>
                <w:color w:val="auto"/>
                <w:sz w:val="28"/>
              </w:rPr>
              <w:t>套</w:t>
            </w:r>
          </w:p>
        </w:tc>
        <w:tc>
          <w:tcPr>
            <w:tcW w:w="0" w:type="auto"/>
          </w:tcPr>
          <w:p>
            <w:pPr>
              <w:pStyle w:val="67"/>
              <w:spacing w:before="241"/>
              <w:ind w:left="220" w:right="209"/>
              <w:jc w:val="center"/>
              <w:rPr>
                <w:rFonts w:hint="default" w:ascii="仿宋" w:eastAsia="宋体"/>
                <w:color w:val="auto"/>
                <w:sz w:val="28"/>
                <w:lang w:val="en-US" w:eastAsia="zh-CN"/>
              </w:rPr>
            </w:pPr>
            <w:r>
              <w:rPr>
                <w:rFonts w:hint="eastAsia" w:ascii="仿宋"/>
                <w:color w:val="auto"/>
                <w:sz w:val="28"/>
                <w:lang w:val="en-US" w:eastAsia="zh-CN"/>
              </w:rPr>
              <w:t>129</w:t>
            </w:r>
          </w:p>
        </w:tc>
        <w:tc>
          <w:tcPr>
            <w:tcW w:w="0" w:type="auto"/>
          </w:tcPr>
          <w:p>
            <w:pPr>
              <w:pStyle w:val="67"/>
              <w:spacing w:before="241"/>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0" w:type="auto"/>
          </w:tcPr>
          <w:p>
            <w:pPr>
              <w:pStyle w:val="67"/>
              <w:spacing w:before="215"/>
              <w:ind w:left="11"/>
              <w:jc w:val="center"/>
              <w:rPr>
                <w:rFonts w:ascii="仿宋"/>
                <w:color w:val="auto"/>
                <w:sz w:val="28"/>
              </w:rPr>
            </w:pPr>
            <w:r>
              <w:rPr>
                <w:rFonts w:hint="eastAsia" w:ascii="仿宋"/>
                <w:color w:val="auto"/>
                <w:sz w:val="28"/>
              </w:rPr>
              <w:t>3</w:t>
            </w:r>
          </w:p>
        </w:tc>
        <w:tc>
          <w:tcPr>
            <w:tcW w:w="0" w:type="auto"/>
          </w:tcPr>
          <w:p>
            <w:pPr>
              <w:pStyle w:val="67"/>
              <w:spacing w:before="61"/>
              <w:ind w:left="9"/>
              <w:jc w:val="center"/>
              <w:rPr>
                <w:rFonts w:hint="eastAsia" w:ascii="仿宋" w:eastAsia="仿宋"/>
                <w:color w:val="auto"/>
                <w:sz w:val="28"/>
                <w:lang w:eastAsia="zh-CN"/>
              </w:rPr>
            </w:pPr>
            <w:r>
              <w:rPr>
                <w:rFonts w:hint="eastAsia" w:ascii="仿宋" w:eastAsia="仿宋"/>
                <w:color w:val="auto"/>
                <w:sz w:val="28"/>
                <w:lang w:eastAsia="zh-CN"/>
              </w:rPr>
              <w:t>床底储物柜</w:t>
            </w:r>
          </w:p>
        </w:tc>
        <w:tc>
          <w:tcPr>
            <w:tcW w:w="0" w:type="auto"/>
          </w:tcPr>
          <w:p>
            <w:pPr>
              <w:pStyle w:val="67"/>
              <w:spacing w:before="241"/>
              <w:ind w:left="7"/>
              <w:jc w:val="center"/>
              <w:rPr>
                <w:rFonts w:hint="eastAsia" w:ascii="仿宋" w:eastAsia="仿宋"/>
                <w:color w:val="auto"/>
                <w:sz w:val="28"/>
                <w:lang w:eastAsia="zh-CN"/>
              </w:rPr>
            </w:pPr>
            <w:r>
              <w:rPr>
                <w:rFonts w:hint="eastAsia" w:ascii="仿宋" w:eastAsia="仿宋"/>
                <w:color w:val="auto"/>
                <w:sz w:val="28"/>
                <w:lang w:eastAsia="zh-CN"/>
              </w:rPr>
              <w:t>个</w:t>
            </w:r>
          </w:p>
        </w:tc>
        <w:tc>
          <w:tcPr>
            <w:tcW w:w="0" w:type="auto"/>
          </w:tcPr>
          <w:p>
            <w:pPr>
              <w:pStyle w:val="67"/>
              <w:spacing w:before="241"/>
              <w:ind w:left="220" w:right="209"/>
              <w:jc w:val="center"/>
              <w:rPr>
                <w:rFonts w:hint="default" w:ascii="仿宋" w:eastAsia="宋体"/>
                <w:color w:val="auto"/>
                <w:sz w:val="28"/>
                <w:lang w:val="en-US" w:eastAsia="zh-CN"/>
              </w:rPr>
            </w:pPr>
            <w:r>
              <w:rPr>
                <w:rFonts w:hint="eastAsia" w:ascii="仿宋"/>
                <w:color w:val="auto"/>
                <w:sz w:val="28"/>
                <w:lang w:val="en-US" w:eastAsia="zh-CN"/>
              </w:rPr>
              <w:t>1090</w:t>
            </w:r>
          </w:p>
        </w:tc>
        <w:tc>
          <w:tcPr>
            <w:tcW w:w="0" w:type="auto"/>
          </w:tcPr>
          <w:p>
            <w:pPr>
              <w:pStyle w:val="67"/>
              <w:spacing w:before="241"/>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0" w:type="auto"/>
          </w:tcPr>
          <w:p>
            <w:pPr>
              <w:pStyle w:val="67"/>
              <w:spacing w:before="215"/>
              <w:ind w:left="11"/>
              <w:jc w:val="center"/>
              <w:rPr>
                <w:rFonts w:ascii="仿宋"/>
                <w:color w:val="auto"/>
                <w:sz w:val="28"/>
                <w:lang w:val="en-US"/>
              </w:rPr>
            </w:pPr>
            <w:r>
              <w:rPr>
                <w:rFonts w:hint="eastAsia" w:ascii="仿宋"/>
                <w:color w:val="auto"/>
                <w:sz w:val="28"/>
                <w:lang w:val="en-US"/>
              </w:rPr>
              <w:t>4</w:t>
            </w:r>
          </w:p>
        </w:tc>
        <w:tc>
          <w:tcPr>
            <w:tcW w:w="0" w:type="auto"/>
            <w:vAlign w:val="center"/>
          </w:tcPr>
          <w:p>
            <w:pPr>
              <w:pStyle w:val="67"/>
              <w:spacing w:before="61"/>
              <w:ind w:left="9"/>
              <w:jc w:val="center"/>
              <w:rPr>
                <w:rFonts w:hint="default" w:ascii="仿宋" w:eastAsia="仿宋"/>
                <w:color w:val="auto"/>
                <w:sz w:val="28"/>
                <w:lang w:val="en-US" w:eastAsia="zh-CN"/>
              </w:rPr>
            </w:pPr>
            <w:r>
              <w:rPr>
                <w:rFonts w:hint="eastAsia" w:ascii="仿宋" w:eastAsia="仿宋"/>
                <w:color w:val="auto"/>
                <w:sz w:val="28"/>
                <w:lang w:eastAsia="zh-CN"/>
              </w:rPr>
              <w:t>不锈钢加厚</w:t>
            </w:r>
            <w:r>
              <w:rPr>
                <w:rFonts w:hint="eastAsia" w:ascii="仿宋" w:eastAsia="仿宋"/>
                <w:color w:val="auto"/>
                <w:sz w:val="28"/>
                <w:lang w:val="en-US" w:eastAsia="zh-CN"/>
              </w:rPr>
              <w:t>4层鞋架</w:t>
            </w:r>
          </w:p>
        </w:tc>
        <w:tc>
          <w:tcPr>
            <w:tcW w:w="0" w:type="auto"/>
          </w:tcPr>
          <w:p>
            <w:pPr>
              <w:pStyle w:val="67"/>
              <w:spacing w:before="241"/>
              <w:ind w:left="7"/>
              <w:jc w:val="center"/>
              <w:rPr>
                <w:rFonts w:hint="eastAsia" w:ascii="仿宋" w:eastAsia="仿宋"/>
                <w:color w:val="auto"/>
                <w:sz w:val="28"/>
                <w:lang w:eastAsia="zh-CN"/>
              </w:rPr>
            </w:pPr>
            <w:r>
              <w:rPr>
                <w:rFonts w:hint="eastAsia" w:ascii="仿宋" w:eastAsia="仿宋"/>
                <w:color w:val="auto"/>
                <w:sz w:val="28"/>
                <w:lang w:eastAsia="zh-CN"/>
              </w:rPr>
              <w:t>个</w:t>
            </w:r>
          </w:p>
        </w:tc>
        <w:tc>
          <w:tcPr>
            <w:tcW w:w="0" w:type="auto"/>
          </w:tcPr>
          <w:p>
            <w:pPr>
              <w:pStyle w:val="67"/>
              <w:spacing w:before="241"/>
              <w:ind w:left="220" w:right="209"/>
              <w:jc w:val="center"/>
              <w:rPr>
                <w:rFonts w:hint="default" w:ascii="仿宋" w:eastAsia="宋体"/>
                <w:color w:val="auto"/>
                <w:sz w:val="28"/>
                <w:lang w:val="en-US" w:eastAsia="zh-CN"/>
              </w:rPr>
            </w:pPr>
            <w:r>
              <w:rPr>
                <w:rFonts w:hint="eastAsia" w:ascii="仿宋"/>
                <w:color w:val="auto"/>
                <w:sz w:val="28"/>
                <w:lang w:val="en-US" w:eastAsia="zh-CN"/>
              </w:rPr>
              <w:t>277</w:t>
            </w:r>
          </w:p>
        </w:tc>
        <w:tc>
          <w:tcPr>
            <w:tcW w:w="0" w:type="auto"/>
          </w:tcPr>
          <w:p>
            <w:pPr>
              <w:pStyle w:val="67"/>
              <w:spacing w:before="241"/>
              <w:ind w:left="141" w:right="130"/>
              <w:jc w:val="center"/>
              <w:rPr>
                <w:rFonts w:ascii="仿宋" w:eastAsia="仿宋"/>
                <w:color w:val="auto"/>
                <w:sz w:val="28"/>
              </w:rPr>
            </w:pPr>
            <w:r>
              <w:rPr>
                <w:rFonts w:hint="eastAsia" w:ascii="仿宋" w:eastAsia="仿宋"/>
                <w:color w:val="auto"/>
                <w:sz w:val="28"/>
              </w:rPr>
              <w:t>详见招标文件</w:t>
            </w:r>
          </w:p>
        </w:tc>
      </w:tr>
    </w:tbl>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合同履行期限：</w:t>
      </w:r>
      <w:r>
        <w:rPr>
          <w:rFonts w:hint="eastAsia" w:ascii="宋体" w:hAnsi="宋体" w:eastAsia="宋体" w:cs="宋体"/>
          <w:color w:val="auto"/>
          <w:sz w:val="28"/>
          <w:szCs w:val="28"/>
          <w:lang w:eastAsia="zh-CN"/>
        </w:rPr>
        <w:t>自合同签订之日起至中标人承诺免费保修期满。</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w:t>
      </w:r>
      <w:r>
        <w:rPr>
          <w:rFonts w:hint="eastAsia" w:ascii="宋体" w:hAnsi="宋体" w:eastAsia="宋体" w:cs="宋体"/>
          <w:b/>
          <w:bCs/>
          <w:color w:val="auto"/>
          <w:sz w:val="28"/>
          <w:szCs w:val="28"/>
          <w:u w:val="single"/>
        </w:rPr>
        <w:t>不接受</w:t>
      </w:r>
      <w:r>
        <w:rPr>
          <w:rFonts w:hint="eastAsia" w:ascii="宋体" w:hAnsi="宋体" w:eastAsia="宋体" w:cs="宋体"/>
          <w:color w:val="auto"/>
          <w:sz w:val="28"/>
          <w:szCs w:val="28"/>
        </w:rPr>
        <w:t>联合体投标。</w:t>
      </w:r>
    </w:p>
    <w:p>
      <w:pPr>
        <w:rPr>
          <w:rFonts w:hint="eastAsia" w:ascii="宋体" w:hAnsi="宋体" w:eastAsia="宋体" w:cs="宋体"/>
          <w:color w:val="auto"/>
          <w:sz w:val="28"/>
          <w:szCs w:val="28"/>
        </w:rPr>
      </w:pPr>
      <w:bookmarkStart w:id="8" w:name="_Toc35393791"/>
      <w:bookmarkStart w:id="9" w:name="_Toc28359003"/>
      <w:bookmarkStart w:id="10" w:name="_Toc35393622"/>
      <w:bookmarkStart w:id="11" w:name="_Toc28359080"/>
      <w:r>
        <w:rPr>
          <w:rFonts w:hint="eastAsia" w:ascii="宋体" w:hAnsi="宋体" w:eastAsia="宋体" w:cs="宋体"/>
          <w:color w:val="auto"/>
          <w:sz w:val="28"/>
          <w:szCs w:val="28"/>
        </w:rPr>
        <w:t>二、申请人的资格要求：</w:t>
      </w:r>
      <w:bookmarkEnd w:id="8"/>
      <w:bookmarkEnd w:id="9"/>
      <w:bookmarkEnd w:id="10"/>
      <w:bookmarkEnd w:id="11"/>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1.满足《中华人民共和国政府采购法》第二十二条规定；</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2.对在“信用中国”网站（www.creditchi</w:t>
      </w:r>
      <w:bookmarkStart w:id="266" w:name="_GoBack"/>
      <w:bookmarkEnd w:id="266"/>
      <w:r>
        <w:rPr>
          <w:rFonts w:hint="eastAsia" w:ascii="宋体" w:hAnsi="宋体" w:eastAsia="宋体" w:cs="宋体"/>
          <w:color w:val="auto"/>
          <w:sz w:val="28"/>
          <w:szCs w:val="28"/>
        </w:rPr>
        <w:t>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bookmarkStart w:id="12" w:name="_Toc28359004"/>
      <w:bookmarkStart w:id="13" w:name="_Toc28359081"/>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.落实政府采购</w:t>
      </w:r>
      <w:r>
        <w:rPr>
          <w:rFonts w:hint="eastAsia" w:ascii="宋体" w:hAnsi="宋体" w:eastAsia="宋体" w:cs="宋体"/>
          <w:color w:val="auto"/>
          <w:sz w:val="28"/>
          <w:szCs w:val="28"/>
        </w:rPr>
        <w:t>政策需满足的资格要求：</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①《政府采购促进中小企业发展暂行办法》（财库[2011]181号）。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②《关于政府采购支持监狱企业发展有关问题的通知》（财库[2014]68号）。 </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③《关于促进残疾人就业政府采购政策的通知》（财库[2017]141号）。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④《广西壮族自治区人民政府办公厅关于印发招标采购促进广西工业产品产销对接实施细则的通知》(桂政办发〔2015〕78号) 。</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⑤《节能产品政府采购品目清单》</w:t>
      </w:r>
      <w:r>
        <w:rPr>
          <w:rFonts w:hint="eastAsia" w:ascii="宋体" w:hAnsi="宋体" w:eastAsia="宋体" w:cs="宋体"/>
          <w:color w:val="auto"/>
          <w:sz w:val="28"/>
          <w:szCs w:val="28"/>
          <w:lang w:eastAsia="zh-CN"/>
        </w:rPr>
        <w:t>。</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auto"/>
        </w:rPr>
      </w:pPr>
      <w:r>
        <w:rPr>
          <w:rFonts w:hint="eastAsia" w:ascii="宋体" w:hAnsi="宋体" w:eastAsia="宋体" w:cs="宋体"/>
          <w:color w:val="auto"/>
          <w:sz w:val="28"/>
          <w:szCs w:val="28"/>
        </w:rPr>
        <w:t>⑥《关于调整优化节能产品、环境标志产品政府采购执行机制的通知》（财库〔2019〕9号）。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rPr>
      </w:pPr>
      <w:r>
        <w:rPr>
          <w:rFonts w:hint="eastAsia" w:ascii="宋体" w:hAnsi="宋体" w:eastAsia="宋体" w:cs="宋体"/>
          <w:b w:val="0"/>
          <w:bCs/>
          <w:color w:val="auto"/>
          <w:sz w:val="28"/>
          <w:szCs w:val="28"/>
        </w:rPr>
        <w:t>⑦</w:t>
      </w:r>
      <w:r>
        <w:rPr>
          <w:rFonts w:hint="eastAsia" w:ascii="宋体" w:hAnsi="宋体" w:eastAsia="宋体" w:cs="宋体"/>
          <w:b/>
          <w:color w:val="auto"/>
          <w:sz w:val="28"/>
          <w:szCs w:val="28"/>
        </w:rPr>
        <w:t>本项目非专门面向中小微企业采购。</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i/>
          <w:iCs/>
          <w:color w:val="auto"/>
          <w:sz w:val="28"/>
          <w:szCs w:val="28"/>
          <w:u w:val="single"/>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.本项目的特定资格要求：无</w:t>
      </w:r>
    </w:p>
    <w:p>
      <w:pPr>
        <w:rPr>
          <w:rFonts w:hint="eastAsia" w:ascii="宋体" w:hAnsi="宋体" w:eastAsia="宋体" w:cs="宋体"/>
          <w:color w:val="auto"/>
          <w:sz w:val="28"/>
          <w:szCs w:val="28"/>
        </w:rPr>
      </w:pPr>
      <w:bookmarkStart w:id="14" w:name="_Toc35393792"/>
      <w:bookmarkStart w:id="15" w:name="_Toc35393623"/>
      <w:r>
        <w:rPr>
          <w:rFonts w:hint="eastAsia" w:ascii="宋体" w:hAnsi="宋体" w:eastAsia="宋体" w:cs="宋体"/>
          <w:color w:val="auto"/>
          <w:sz w:val="28"/>
          <w:szCs w:val="28"/>
        </w:rPr>
        <w:t>三、获取招标文件</w:t>
      </w:r>
      <w:bookmarkEnd w:id="12"/>
      <w:bookmarkEnd w:id="13"/>
      <w:bookmarkEnd w:id="14"/>
      <w:bookmarkEnd w:id="15"/>
    </w:p>
    <w:p>
      <w:pPr>
        <w:pageBreakBefore w:val="0"/>
        <w:kinsoku/>
        <w:wordWrap/>
        <w:overflowPunct/>
        <w:topLinePunct w:val="0"/>
        <w:bidi w:val="0"/>
        <w:spacing w:line="380" w:lineRule="exact"/>
        <w:ind w:firstLine="540"/>
        <w:textAlignment w:val="auto"/>
        <w:rPr>
          <w:rFonts w:hint="eastAsia" w:ascii="宋体" w:hAnsi="宋体" w:eastAsia="宋体" w:cs="宋体"/>
          <w:color w:val="auto"/>
          <w:lang w:val="en-US" w:eastAsia="zh-CN"/>
        </w:rPr>
      </w:pPr>
      <w:r>
        <w:rPr>
          <w:rFonts w:hint="eastAsia" w:ascii="宋体" w:hAnsi="宋体" w:eastAsia="宋体" w:cs="宋体"/>
          <w:color w:val="auto"/>
          <w:sz w:val="28"/>
          <w:szCs w:val="28"/>
          <w:lang w:val="en-US" w:eastAsia="zh-CN"/>
        </w:rPr>
        <w:t>1.招标文件获取时间：</w:t>
      </w:r>
      <w:r>
        <w:rPr>
          <w:rFonts w:hint="eastAsia" w:ascii="宋体" w:hAnsi="宋体" w:eastAsia="宋体" w:cs="宋体"/>
          <w:color w:val="auto"/>
          <w:sz w:val="28"/>
          <w:szCs w:val="28"/>
          <w:u w:val="none"/>
          <w:lang w:val="en-US" w:eastAsia="zh-CN"/>
        </w:rPr>
        <w:t>2020年</w:t>
      </w:r>
      <w:r>
        <w:rPr>
          <w:rFonts w:hint="eastAsia" w:ascii="宋体" w:hAnsi="宋体" w:cs="宋体"/>
          <w:color w:val="auto"/>
          <w:sz w:val="28"/>
          <w:szCs w:val="28"/>
          <w:u w:val="none"/>
          <w:lang w:val="en-US" w:eastAsia="zh-CN"/>
        </w:rPr>
        <w:t>8</w:t>
      </w:r>
      <w:r>
        <w:rPr>
          <w:rFonts w:hint="eastAsia" w:ascii="宋体" w:hAnsi="宋体" w:eastAsia="宋体" w:cs="宋体"/>
          <w:color w:val="auto"/>
          <w:sz w:val="28"/>
          <w:szCs w:val="28"/>
          <w:u w:val="none"/>
          <w:lang w:val="en-US" w:eastAsia="zh-CN"/>
        </w:rPr>
        <w:t>月</w:t>
      </w:r>
      <w:r>
        <w:rPr>
          <w:rFonts w:hint="eastAsia" w:ascii="宋体" w:hAnsi="宋体" w:cs="宋体"/>
          <w:color w:val="auto"/>
          <w:sz w:val="28"/>
          <w:szCs w:val="28"/>
          <w:u w:val="none"/>
          <w:lang w:val="en-US" w:eastAsia="zh-CN"/>
        </w:rPr>
        <w:t>17</w:t>
      </w:r>
      <w:r>
        <w:rPr>
          <w:rFonts w:hint="eastAsia" w:ascii="宋体" w:hAnsi="宋体" w:eastAsia="宋体" w:cs="宋体"/>
          <w:color w:val="auto"/>
          <w:sz w:val="28"/>
          <w:szCs w:val="28"/>
          <w:u w:val="none"/>
          <w:lang w:val="en-US" w:eastAsia="zh-CN"/>
        </w:rPr>
        <w:t>日至2020年</w:t>
      </w:r>
      <w:r>
        <w:rPr>
          <w:rFonts w:hint="eastAsia" w:ascii="宋体" w:hAnsi="宋体" w:cs="宋体"/>
          <w:color w:val="auto"/>
          <w:sz w:val="28"/>
          <w:szCs w:val="28"/>
          <w:u w:val="none"/>
          <w:lang w:val="en-US" w:eastAsia="zh-CN"/>
        </w:rPr>
        <w:t>9</w:t>
      </w:r>
      <w:r>
        <w:rPr>
          <w:rFonts w:hint="eastAsia" w:ascii="宋体" w:hAnsi="宋体" w:eastAsia="宋体" w:cs="宋体"/>
          <w:color w:val="auto"/>
          <w:sz w:val="28"/>
          <w:szCs w:val="28"/>
          <w:u w:val="none"/>
          <w:lang w:val="en-US" w:eastAsia="zh-CN"/>
        </w:rPr>
        <w:t>月</w:t>
      </w:r>
      <w:r>
        <w:rPr>
          <w:rFonts w:hint="eastAsia" w:ascii="宋体" w:hAnsi="宋体" w:cs="宋体"/>
          <w:color w:val="auto"/>
          <w:sz w:val="28"/>
          <w:szCs w:val="28"/>
          <w:u w:val="none"/>
          <w:lang w:val="en-US" w:eastAsia="zh-CN"/>
        </w:rPr>
        <w:t>7</w:t>
      </w:r>
      <w:r>
        <w:rPr>
          <w:rFonts w:hint="eastAsia" w:ascii="宋体" w:hAnsi="宋体" w:eastAsia="宋体" w:cs="宋体"/>
          <w:color w:val="auto"/>
          <w:sz w:val="28"/>
          <w:szCs w:val="28"/>
          <w:u w:val="none"/>
          <w:lang w:val="en-US" w:eastAsia="zh-CN"/>
        </w:rPr>
        <w:t>日</w:t>
      </w:r>
      <w:r>
        <w:rPr>
          <w:rFonts w:hint="eastAsia" w:ascii="宋体" w:hAnsi="宋体" w:cs="宋体"/>
          <w:bCs/>
          <w:color w:val="auto"/>
          <w:sz w:val="28"/>
          <w:szCs w:val="28"/>
          <w:u w:val="none"/>
          <w:lang w:val="en-US" w:eastAsia="zh-CN"/>
        </w:rPr>
        <w:t>9</w:t>
      </w:r>
      <w:r>
        <w:rPr>
          <w:rFonts w:hint="eastAsia" w:ascii="宋体" w:hAnsi="宋体" w:eastAsia="宋体" w:cs="宋体"/>
          <w:bCs/>
          <w:color w:val="auto"/>
          <w:sz w:val="28"/>
          <w:szCs w:val="28"/>
          <w:u w:val="none"/>
        </w:rPr>
        <w:t>点</w:t>
      </w:r>
      <w:r>
        <w:rPr>
          <w:rFonts w:hint="eastAsia" w:ascii="宋体" w:hAnsi="宋体" w:cs="宋体"/>
          <w:bCs/>
          <w:color w:val="auto"/>
          <w:sz w:val="28"/>
          <w:szCs w:val="28"/>
          <w:u w:val="none"/>
          <w:lang w:val="en-US" w:eastAsia="zh-CN"/>
        </w:rPr>
        <w:t>30</w:t>
      </w:r>
      <w:r>
        <w:rPr>
          <w:rFonts w:hint="eastAsia" w:ascii="宋体" w:hAnsi="宋体" w:eastAsia="宋体" w:cs="宋体"/>
          <w:bCs/>
          <w:color w:val="auto"/>
          <w:sz w:val="28"/>
          <w:szCs w:val="28"/>
          <w:u w:val="none"/>
        </w:rPr>
        <w:t>分</w:t>
      </w:r>
      <w:r>
        <w:rPr>
          <w:rFonts w:hint="eastAsia" w:ascii="宋体" w:hAnsi="宋体" w:eastAsia="宋体" w:cs="宋体"/>
          <w:bCs/>
          <w:color w:val="auto"/>
          <w:sz w:val="28"/>
          <w:szCs w:val="28"/>
        </w:rPr>
        <w:t>（北京时间）</w:t>
      </w:r>
      <w:r>
        <w:rPr>
          <w:rFonts w:hint="eastAsia" w:ascii="宋体" w:hAnsi="宋体" w:cs="宋体"/>
          <w:color w:val="auto"/>
          <w:sz w:val="28"/>
          <w:szCs w:val="28"/>
          <w:lang w:val="en-US" w:eastAsia="zh-CN"/>
        </w:rPr>
        <w:t>。</w:t>
      </w:r>
    </w:p>
    <w:p>
      <w:pPr>
        <w:pageBreakBefore w:val="0"/>
        <w:kinsoku/>
        <w:wordWrap/>
        <w:overflowPunct/>
        <w:topLinePunct w:val="0"/>
        <w:bidi w:val="0"/>
        <w:spacing w:line="380" w:lineRule="exact"/>
        <w:ind w:firstLine="5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地点及方式：潜在供应商请自行</w:t>
      </w:r>
      <w:r>
        <w:rPr>
          <w:rFonts w:hint="eastAsia" w:ascii="宋体" w:hAnsi="宋体" w:eastAsia="宋体" w:cs="宋体"/>
          <w:color w:val="auto"/>
          <w:sz w:val="28"/>
          <w:szCs w:val="28"/>
          <w:lang w:val="en-US" w:eastAsia="zh-CN"/>
        </w:rPr>
        <w:t>选择以下网站，在本公告附件处</w:t>
      </w:r>
      <w:r>
        <w:rPr>
          <w:rFonts w:hint="eastAsia" w:ascii="宋体" w:hAnsi="宋体" w:eastAsia="宋体" w:cs="宋体"/>
          <w:color w:val="auto"/>
          <w:sz w:val="28"/>
          <w:szCs w:val="28"/>
        </w:rPr>
        <w:t>下载招标文件电子版</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桂林市公共资源交易中心网（</w:t>
      </w:r>
      <w:r>
        <w:rPr>
          <w:rFonts w:hint="eastAsia" w:ascii="宋体" w:hAnsi="宋体" w:eastAsia="宋体" w:cs="宋体"/>
          <w:color w:val="auto"/>
          <w:sz w:val="28"/>
          <w:szCs w:val="28"/>
          <w:u w:val="none"/>
        </w:rPr>
        <w:t>glggzy.org.cn/gxglzbw/</w:t>
      </w:r>
      <w:r>
        <w:rPr>
          <w:rFonts w:hint="eastAsia" w:ascii="宋体" w:hAnsi="宋体" w:eastAsia="宋体" w:cs="宋体"/>
          <w:color w:val="auto"/>
          <w:sz w:val="28"/>
          <w:szCs w:val="28"/>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color w:val="auto"/>
        </w:rPr>
      </w:pPr>
      <w:r>
        <w:rPr>
          <w:rFonts w:hint="eastAsia" w:ascii="宋体" w:hAnsi="宋体" w:eastAsia="宋体" w:cs="宋体"/>
          <w:color w:val="auto"/>
          <w:kern w:val="0"/>
          <w:sz w:val="28"/>
          <w:szCs w:val="28"/>
          <w:lang w:val="en-US" w:eastAsia="zh-CN" w:bidi="ar"/>
        </w:rPr>
        <w:t>桂林市政府采购网（gl.zfcg.zcygov.cn）</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广西壮族自治区政府采购网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none"/>
        </w:rPr>
        <w:t>www.ccgp-guangxi.gov.cn</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u w:val="none"/>
        </w:rPr>
        <w:t>中国政府采购网</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rPr>
        <w:t>www.ccgp.gov.cn</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3.招标文件售价：本项目招标文件不收取费用。</w:t>
      </w:r>
      <w:bookmarkStart w:id="16" w:name="_Toc28359082"/>
      <w:bookmarkStart w:id="17" w:name="_Toc28359005"/>
      <w:bookmarkStart w:id="18" w:name="_Toc35393624"/>
      <w:bookmarkStart w:id="19" w:name="_Toc35393793"/>
    </w:p>
    <w:p>
      <w:pPr>
        <w:rPr>
          <w:rFonts w:hint="eastAsia" w:ascii="宋体" w:hAnsi="宋体" w:eastAsia="宋体" w:cs="宋体"/>
          <w:color w:val="auto"/>
          <w:sz w:val="28"/>
          <w:szCs w:val="28"/>
        </w:rPr>
      </w:pPr>
      <w:r>
        <w:rPr>
          <w:rFonts w:hint="eastAsia" w:ascii="宋体" w:hAnsi="宋体" w:eastAsia="宋体" w:cs="宋体"/>
          <w:color w:val="auto"/>
          <w:sz w:val="28"/>
          <w:szCs w:val="28"/>
        </w:rPr>
        <w:t>四、提交投标文件</w:t>
      </w:r>
      <w:bookmarkEnd w:id="16"/>
      <w:bookmarkEnd w:id="17"/>
      <w:r>
        <w:rPr>
          <w:rFonts w:hint="eastAsia" w:ascii="宋体" w:hAnsi="宋体" w:eastAsia="宋体" w:cs="宋体"/>
          <w:color w:val="auto"/>
          <w:sz w:val="28"/>
          <w:szCs w:val="28"/>
        </w:rPr>
        <w:t>截止时间、开标时间和地点</w:t>
      </w:r>
      <w:bookmarkEnd w:id="18"/>
      <w:bookmarkEnd w:id="19"/>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u w:val="none"/>
          <w:lang w:val="en-US" w:eastAsia="zh-CN"/>
        </w:rPr>
        <w:t>提交投标文件起止时间：</w:t>
      </w:r>
      <w:bookmarkStart w:id="20" w:name="OLE_LINK1"/>
      <w:r>
        <w:rPr>
          <w:rFonts w:hint="eastAsia" w:ascii="宋体" w:hAnsi="宋体" w:cs="宋体"/>
          <w:bCs/>
          <w:color w:val="auto"/>
          <w:sz w:val="28"/>
          <w:szCs w:val="28"/>
          <w:u w:val="none"/>
          <w:lang w:val="en-US" w:eastAsia="zh-CN"/>
        </w:rPr>
        <w:t>2020</w:t>
      </w:r>
      <w:r>
        <w:rPr>
          <w:rFonts w:hint="eastAsia" w:ascii="宋体" w:hAnsi="宋体" w:eastAsia="宋体" w:cs="宋体"/>
          <w:bCs/>
          <w:color w:val="auto"/>
          <w:sz w:val="28"/>
          <w:szCs w:val="28"/>
          <w:u w:val="none"/>
        </w:rPr>
        <w:t>年</w:t>
      </w:r>
      <w:r>
        <w:rPr>
          <w:rFonts w:hint="eastAsia" w:ascii="宋体" w:hAnsi="宋体" w:cs="宋体"/>
          <w:bCs/>
          <w:color w:val="auto"/>
          <w:sz w:val="28"/>
          <w:szCs w:val="28"/>
          <w:u w:val="none"/>
          <w:lang w:val="en-US" w:eastAsia="zh-CN"/>
        </w:rPr>
        <w:t>9</w:t>
      </w:r>
      <w:r>
        <w:rPr>
          <w:rFonts w:hint="eastAsia" w:ascii="宋体" w:hAnsi="宋体" w:eastAsia="宋体" w:cs="宋体"/>
          <w:bCs/>
          <w:color w:val="auto"/>
          <w:sz w:val="28"/>
          <w:szCs w:val="28"/>
          <w:u w:val="none"/>
        </w:rPr>
        <w:t>月</w:t>
      </w:r>
      <w:r>
        <w:rPr>
          <w:rFonts w:hint="eastAsia" w:ascii="宋体" w:hAnsi="宋体" w:cs="宋体"/>
          <w:bCs/>
          <w:color w:val="auto"/>
          <w:sz w:val="28"/>
          <w:szCs w:val="28"/>
          <w:u w:val="none"/>
          <w:lang w:val="en-US" w:eastAsia="zh-CN"/>
        </w:rPr>
        <w:t>7</w:t>
      </w:r>
      <w:r>
        <w:rPr>
          <w:rFonts w:hint="eastAsia" w:ascii="宋体" w:hAnsi="宋体" w:eastAsia="宋体" w:cs="宋体"/>
          <w:bCs/>
          <w:color w:val="auto"/>
          <w:sz w:val="28"/>
          <w:szCs w:val="28"/>
          <w:u w:val="none"/>
        </w:rPr>
        <w:t>日</w:t>
      </w:r>
      <w:r>
        <w:rPr>
          <w:rFonts w:hint="eastAsia" w:ascii="宋体" w:hAnsi="宋体" w:cs="宋体"/>
          <w:bCs/>
          <w:color w:val="auto"/>
          <w:sz w:val="28"/>
          <w:szCs w:val="28"/>
          <w:u w:val="none"/>
          <w:lang w:val="en-US" w:eastAsia="zh-CN"/>
        </w:rPr>
        <w:t>9</w:t>
      </w:r>
      <w:r>
        <w:rPr>
          <w:rFonts w:hint="eastAsia" w:ascii="宋体" w:hAnsi="宋体" w:eastAsia="宋体" w:cs="宋体"/>
          <w:bCs/>
          <w:color w:val="auto"/>
          <w:sz w:val="28"/>
          <w:szCs w:val="28"/>
          <w:u w:val="none"/>
        </w:rPr>
        <w:t>点</w:t>
      </w:r>
      <w:r>
        <w:rPr>
          <w:rFonts w:hint="eastAsia" w:ascii="宋体" w:hAnsi="宋体" w:cs="宋体"/>
          <w:bCs/>
          <w:color w:val="auto"/>
          <w:sz w:val="28"/>
          <w:szCs w:val="28"/>
          <w:u w:val="none"/>
          <w:lang w:val="en-US" w:eastAsia="zh-CN"/>
        </w:rPr>
        <w:t>00</w:t>
      </w:r>
      <w:r>
        <w:rPr>
          <w:rFonts w:hint="eastAsia" w:ascii="宋体" w:hAnsi="宋体" w:eastAsia="宋体" w:cs="宋体"/>
          <w:bCs/>
          <w:color w:val="auto"/>
          <w:sz w:val="28"/>
          <w:szCs w:val="28"/>
          <w:u w:val="none"/>
        </w:rPr>
        <w:t>分</w:t>
      </w:r>
      <w:bookmarkEnd w:id="20"/>
      <w:r>
        <w:rPr>
          <w:rFonts w:hint="eastAsia" w:ascii="宋体" w:hAnsi="宋体" w:eastAsia="宋体" w:cs="宋体"/>
          <w:bCs/>
          <w:color w:val="auto"/>
          <w:sz w:val="28"/>
          <w:szCs w:val="28"/>
        </w:rPr>
        <w:t>（北京时间）</w:t>
      </w:r>
      <w:r>
        <w:rPr>
          <w:rFonts w:hint="eastAsia" w:ascii="宋体" w:hAnsi="宋体" w:eastAsia="宋体" w:cs="宋体"/>
          <w:bCs/>
          <w:color w:val="auto"/>
          <w:sz w:val="28"/>
          <w:szCs w:val="28"/>
          <w:lang w:val="en-US" w:eastAsia="zh-CN"/>
        </w:rPr>
        <w:t>至</w:t>
      </w:r>
      <w:r>
        <w:rPr>
          <w:rFonts w:hint="eastAsia" w:ascii="宋体" w:hAnsi="宋体" w:cs="宋体"/>
          <w:bCs/>
          <w:color w:val="auto"/>
          <w:sz w:val="28"/>
          <w:szCs w:val="28"/>
          <w:u w:val="none"/>
          <w:lang w:val="en-US" w:eastAsia="zh-CN"/>
        </w:rPr>
        <w:t>2020</w:t>
      </w:r>
      <w:r>
        <w:rPr>
          <w:rFonts w:hint="eastAsia" w:ascii="宋体" w:hAnsi="宋体" w:eastAsia="宋体" w:cs="宋体"/>
          <w:bCs/>
          <w:color w:val="auto"/>
          <w:sz w:val="28"/>
          <w:szCs w:val="28"/>
          <w:u w:val="none"/>
        </w:rPr>
        <w:t>年</w:t>
      </w:r>
      <w:r>
        <w:rPr>
          <w:rFonts w:hint="eastAsia" w:ascii="宋体" w:hAnsi="宋体" w:cs="宋体"/>
          <w:bCs/>
          <w:color w:val="auto"/>
          <w:sz w:val="28"/>
          <w:szCs w:val="28"/>
          <w:u w:val="none"/>
          <w:lang w:val="en-US" w:eastAsia="zh-CN"/>
        </w:rPr>
        <w:t>9</w:t>
      </w:r>
      <w:r>
        <w:rPr>
          <w:rFonts w:hint="eastAsia" w:ascii="宋体" w:hAnsi="宋体" w:eastAsia="宋体" w:cs="宋体"/>
          <w:bCs/>
          <w:color w:val="auto"/>
          <w:sz w:val="28"/>
          <w:szCs w:val="28"/>
          <w:u w:val="none"/>
        </w:rPr>
        <w:t>月</w:t>
      </w:r>
      <w:r>
        <w:rPr>
          <w:rFonts w:hint="eastAsia" w:ascii="宋体" w:hAnsi="宋体" w:cs="宋体"/>
          <w:bCs/>
          <w:color w:val="auto"/>
          <w:sz w:val="28"/>
          <w:szCs w:val="28"/>
          <w:u w:val="none"/>
          <w:lang w:val="en-US" w:eastAsia="zh-CN"/>
        </w:rPr>
        <w:t>7</w:t>
      </w:r>
      <w:r>
        <w:rPr>
          <w:rFonts w:hint="eastAsia" w:ascii="宋体" w:hAnsi="宋体" w:eastAsia="宋体" w:cs="宋体"/>
          <w:bCs/>
          <w:color w:val="auto"/>
          <w:sz w:val="28"/>
          <w:szCs w:val="28"/>
          <w:u w:val="none"/>
        </w:rPr>
        <w:t>日</w:t>
      </w:r>
      <w:r>
        <w:rPr>
          <w:rFonts w:hint="eastAsia" w:ascii="宋体" w:hAnsi="宋体" w:cs="宋体"/>
          <w:bCs/>
          <w:color w:val="auto"/>
          <w:sz w:val="28"/>
          <w:szCs w:val="28"/>
          <w:u w:val="none"/>
          <w:lang w:val="en-US" w:eastAsia="zh-CN"/>
        </w:rPr>
        <w:t>9</w:t>
      </w:r>
      <w:r>
        <w:rPr>
          <w:rFonts w:hint="eastAsia" w:ascii="宋体" w:hAnsi="宋体" w:eastAsia="宋体" w:cs="宋体"/>
          <w:bCs/>
          <w:color w:val="auto"/>
          <w:sz w:val="28"/>
          <w:szCs w:val="28"/>
          <w:u w:val="none"/>
        </w:rPr>
        <w:t>点</w:t>
      </w:r>
      <w:r>
        <w:rPr>
          <w:rFonts w:hint="eastAsia" w:ascii="宋体" w:hAnsi="宋体" w:cs="宋体"/>
          <w:bCs/>
          <w:color w:val="auto"/>
          <w:sz w:val="28"/>
          <w:szCs w:val="28"/>
          <w:u w:val="none"/>
          <w:lang w:val="en-US" w:eastAsia="zh-CN"/>
        </w:rPr>
        <w:t>30</w:t>
      </w:r>
      <w:r>
        <w:rPr>
          <w:rFonts w:hint="eastAsia" w:ascii="宋体" w:hAnsi="宋体" w:eastAsia="宋体" w:cs="宋体"/>
          <w:bCs/>
          <w:color w:val="auto"/>
          <w:sz w:val="28"/>
          <w:szCs w:val="28"/>
          <w:u w:val="none"/>
        </w:rPr>
        <w:t>分</w:t>
      </w:r>
      <w:r>
        <w:rPr>
          <w:rFonts w:hint="eastAsia" w:ascii="宋体" w:hAnsi="宋体" w:eastAsia="宋体" w:cs="宋体"/>
          <w:bCs/>
          <w:color w:val="auto"/>
          <w:sz w:val="28"/>
          <w:szCs w:val="28"/>
        </w:rPr>
        <w:t>（北京时间）</w:t>
      </w:r>
      <w:r>
        <w:rPr>
          <w:rFonts w:hint="eastAsia" w:ascii="宋体" w:hAnsi="宋体" w:eastAsia="宋体" w:cs="宋体"/>
          <w:bCs/>
          <w:color w:val="auto"/>
          <w:sz w:val="28"/>
          <w:szCs w:val="28"/>
          <w:lang w:val="en-US" w:eastAsia="zh-CN"/>
        </w:rPr>
        <w:t>止</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rPr>
      </w:pPr>
      <w:r>
        <w:rPr>
          <w:rFonts w:hint="eastAsia" w:ascii="宋体" w:hAnsi="宋体" w:eastAsia="宋体" w:cs="宋体"/>
          <w:color w:val="auto"/>
          <w:sz w:val="28"/>
          <w:szCs w:val="28"/>
        </w:rPr>
        <w:t>地点：桂林市公共资源交易中心</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号开标室（广西桂林市临桂区西城中路69号创业大厦西辅楼4楼）。</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u w:val="none"/>
          <w:lang w:val="en-US" w:eastAsia="zh-CN"/>
        </w:rPr>
        <w:t>开标时间：</w:t>
      </w:r>
      <w:r>
        <w:rPr>
          <w:rFonts w:hint="eastAsia" w:ascii="宋体" w:hAnsi="宋体" w:cs="宋体"/>
          <w:bCs/>
          <w:color w:val="auto"/>
          <w:sz w:val="28"/>
          <w:szCs w:val="28"/>
          <w:u w:val="none"/>
          <w:lang w:val="en-US" w:eastAsia="zh-CN"/>
        </w:rPr>
        <w:t>2020</w:t>
      </w:r>
      <w:r>
        <w:rPr>
          <w:rFonts w:hint="eastAsia" w:ascii="宋体" w:hAnsi="宋体" w:eastAsia="宋体" w:cs="宋体"/>
          <w:bCs/>
          <w:color w:val="auto"/>
          <w:sz w:val="28"/>
          <w:szCs w:val="28"/>
          <w:u w:val="none"/>
        </w:rPr>
        <w:t>年</w:t>
      </w:r>
      <w:r>
        <w:rPr>
          <w:rFonts w:hint="eastAsia" w:ascii="宋体" w:hAnsi="宋体" w:cs="宋体"/>
          <w:bCs/>
          <w:color w:val="auto"/>
          <w:sz w:val="28"/>
          <w:szCs w:val="28"/>
          <w:u w:val="none"/>
          <w:lang w:val="en-US" w:eastAsia="zh-CN"/>
        </w:rPr>
        <w:t>9</w:t>
      </w:r>
      <w:r>
        <w:rPr>
          <w:rFonts w:hint="eastAsia" w:ascii="宋体" w:hAnsi="宋体" w:eastAsia="宋体" w:cs="宋体"/>
          <w:bCs/>
          <w:color w:val="auto"/>
          <w:sz w:val="28"/>
          <w:szCs w:val="28"/>
          <w:u w:val="none"/>
        </w:rPr>
        <w:t>月</w:t>
      </w:r>
      <w:r>
        <w:rPr>
          <w:rFonts w:hint="eastAsia" w:ascii="宋体" w:hAnsi="宋体" w:cs="宋体"/>
          <w:bCs/>
          <w:color w:val="auto"/>
          <w:sz w:val="28"/>
          <w:szCs w:val="28"/>
          <w:u w:val="none"/>
          <w:lang w:val="en-US" w:eastAsia="zh-CN"/>
        </w:rPr>
        <w:t>7</w:t>
      </w:r>
      <w:r>
        <w:rPr>
          <w:rFonts w:hint="eastAsia" w:ascii="宋体" w:hAnsi="宋体" w:eastAsia="宋体" w:cs="宋体"/>
          <w:bCs/>
          <w:color w:val="auto"/>
          <w:sz w:val="28"/>
          <w:szCs w:val="28"/>
          <w:u w:val="none"/>
        </w:rPr>
        <w:t>日</w:t>
      </w:r>
      <w:r>
        <w:rPr>
          <w:rFonts w:hint="eastAsia" w:ascii="宋体" w:hAnsi="宋体" w:cs="宋体"/>
          <w:bCs/>
          <w:color w:val="auto"/>
          <w:sz w:val="28"/>
          <w:szCs w:val="28"/>
          <w:u w:val="none"/>
          <w:lang w:val="en-US" w:eastAsia="zh-CN"/>
        </w:rPr>
        <w:t>9</w:t>
      </w:r>
      <w:r>
        <w:rPr>
          <w:rFonts w:hint="eastAsia" w:ascii="宋体" w:hAnsi="宋体" w:eastAsia="宋体" w:cs="宋体"/>
          <w:bCs/>
          <w:color w:val="auto"/>
          <w:sz w:val="28"/>
          <w:szCs w:val="28"/>
          <w:u w:val="none"/>
        </w:rPr>
        <w:t>点</w:t>
      </w:r>
      <w:r>
        <w:rPr>
          <w:rFonts w:hint="eastAsia" w:ascii="宋体" w:hAnsi="宋体" w:cs="宋体"/>
          <w:bCs/>
          <w:color w:val="auto"/>
          <w:sz w:val="28"/>
          <w:szCs w:val="28"/>
          <w:u w:val="none"/>
          <w:lang w:val="en-US" w:eastAsia="zh-CN"/>
        </w:rPr>
        <w:t>30</w:t>
      </w:r>
      <w:r>
        <w:rPr>
          <w:rFonts w:hint="eastAsia" w:ascii="宋体" w:hAnsi="宋体" w:eastAsia="宋体" w:cs="宋体"/>
          <w:bCs/>
          <w:color w:val="auto"/>
          <w:sz w:val="28"/>
          <w:szCs w:val="28"/>
          <w:u w:val="none"/>
        </w:rPr>
        <w:t>分</w:t>
      </w:r>
      <w:r>
        <w:rPr>
          <w:rFonts w:hint="eastAsia" w:ascii="宋体" w:hAnsi="宋体" w:eastAsia="宋体" w:cs="宋体"/>
          <w:bCs/>
          <w:color w:val="auto"/>
          <w:sz w:val="28"/>
          <w:szCs w:val="28"/>
        </w:rPr>
        <w:t>（北京时间）</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auto"/>
          <w:sz w:val="28"/>
          <w:szCs w:val="28"/>
          <w:u w:val="single"/>
        </w:rPr>
      </w:pPr>
      <w:r>
        <w:rPr>
          <w:rFonts w:hint="eastAsia" w:ascii="宋体" w:hAnsi="宋体" w:eastAsia="宋体" w:cs="宋体"/>
          <w:color w:val="auto"/>
          <w:sz w:val="28"/>
          <w:szCs w:val="28"/>
        </w:rPr>
        <w:t>地点：桂林市公共资源交易中心</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号开标室（广西桂林市临桂区西城中路69号创业大厦西辅楼4楼）。</w:t>
      </w:r>
    </w:p>
    <w:p>
      <w:pPr>
        <w:rPr>
          <w:rFonts w:hint="eastAsia" w:ascii="宋体" w:hAnsi="宋体" w:eastAsia="宋体" w:cs="宋体"/>
          <w:color w:val="auto"/>
          <w:sz w:val="28"/>
          <w:szCs w:val="28"/>
        </w:rPr>
      </w:pPr>
      <w:bookmarkStart w:id="21" w:name="_Toc35393794"/>
      <w:bookmarkStart w:id="22" w:name="_Toc28359084"/>
      <w:bookmarkStart w:id="23" w:name="_Toc28359007"/>
      <w:bookmarkStart w:id="24" w:name="_Toc35393625"/>
      <w:r>
        <w:rPr>
          <w:rFonts w:hint="eastAsia" w:ascii="宋体" w:hAnsi="宋体" w:eastAsia="宋体" w:cs="宋体"/>
          <w:color w:val="auto"/>
          <w:sz w:val="28"/>
          <w:szCs w:val="28"/>
        </w:rPr>
        <w:t>五、公告期限</w:t>
      </w:r>
      <w:bookmarkEnd w:id="21"/>
      <w:bookmarkEnd w:id="22"/>
      <w:bookmarkEnd w:id="23"/>
      <w:bookmarkEnd w:id="24"/>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自本公告发布之日起5个工作日。</w:t>
      </w:r>
    </w:p>
    <w:p>
      <w:pPr>
        <w:rPr>
          <w:rFonts w:hint="eastAsia" w:ascii="宋体" w:hAnsi="宋体" w:eastAsia="宋体" w:cs="宋体"/>
          <w:color w:val="auto"/>
          <w:sz w:val="28"/>
          <w:szCs w:val="28"/>
        </w:rPr>
      </w:pPr>
      <w:bookmarkStart w:id="25" w:name="_Toc35393795"/>
      <w:bookmarkStart w:id="26" w:name="_Toc35393626"/>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、其他补充事宜</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b/>
          <w:bCs/>
          <w:color w:val="auto"/>
          <w:sz w:val="28"/>
          <w:szCs w:val="28"/>
        </w:rPr>
        <w:t>本项目无需缴纳投标保证金。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投标人可以由法定代表人、负责人、自然人或其委托代理人出席开标会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出席代表和供应商授权委托人需携带本人身份证原件，未携带身份证所造成的一切后果，由其自行承担。</w:t>
      </w:r>
      <w:r>
        <w:rPr>
          <w:rFonts w:hint="eastAsia" w:ascii="宋体" w:hAnsi="宋体" w:eastAsia="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本项目信息发布媒体：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bookmarkStart w:id="27" w:name="_Toc35393627"/>
      <w:bookmarkStart w:id="28" w:name="_Toc28359008"/>
      <w:bookmarkStart w:id="29" w:name="_Toc28359085"/>
      <w:bookmarkStart w:id="30" w:name="_Toc35393796"/>
      <w:r>
        <w:rPr>
          <w:rFonts w:hint="eastAsia" w:ascii="宋体" w:hAnsi="宋体" w:eastAsia="宋体" w:cs="宋体"/>
          <w:color w:val="auto"/>
          <w:sz w:val="28"/>
          <w:szCs w:val="28"/>
        </w:rPr>
        <w:t>桂林市公共资源交易中心网（</w:t>
      </w:r>
      <w:r>
        <w:rPr>
          <w:rFonts w:hint="eastAsia" w:ascii="宋体" w:hAnsi="宋体" w:eastAsia="宋体" w:cs="宋体"/>
          <w:color w:val="auto"/>
          <w:sz w:val="28"/>
          <w:szCs w:val="28"/>
          <w:u w:val="none"/>
        </w:rPr>
        <w:t>glggzy.org.cn/gxglzbw/</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76"/>
        <w:textAlignment w:val="auto"/>
        <w:rPr>
          <w:rFonts w:hint="eastAsia"/>
          <w:color w:val="auto"/>
        </w:rPr>
      </w:pPr>
      <w:r>
        <w:rPr>
          <w:rFonts w:hint="eastAsia" w:ascii="宋体" w:hAnsi="宋体" w:eastAsia="宋体" w:cs="宋体"/>
          <w:i w:val="0"/>
          <w:iCs w:val="0"/>
          <w:color w:val="auto"/>
          <w:sz w:val="28"/>
          <w:szCs w:val="28"/>
          <w:lang w:val="en-US" w:eastAsia="zh-CN"/>
        </w:rPr>
        <w:t>桂林市政府采购网（</w:t>
      </w:r>
      <w:r>
        <w:rPr>
          <w:rFonts w:hint="eastAsia" w:ascii="宋体" w:hAnsi="宋体" w:cs="宋体"/>
          <w:color w:val="auto"/>
          <w:sz w:val="28"/>
          <w:szCs w:val="28"/>
          <w:u w:val="none"/>
        </w:rPr>
        <w:t>gl.zfcg.zcygov.cn</w:t>
      </w:r>
      <w:r>
        <w:rPr>
          <w:rFonts w:hint="eastAsia" w:ascii="宋体" w:hAnsi="宋体" w:eastAsia="宋体" w:cs="宋体"/>
          <w:i w:val="0"/>
          <w:iCs w:val="0"/>
          <w:color w:val="auto"/>
          <w:sz w:val="28"/>
          <w:szCs w:val="28"/>
          <w:lang w:val="en-US" w:eastAsia="zh-CN"/>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广西壮族自治区政府采购网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none"/>
        </w:rPr>
        <w:t>www.ccgp-guangxi.gov.cn</w:t>
      </w:r>
      <w:r>
        <w:rPr>
          <w:rFonts w:hint="eastAsia" w:ascii="宋体" w:hAnsi="宋体" w:eastAsia="宋体" w:cs="宋体"/>
          <w:color w:val="auto"/>
          <w:sz w:val="28"/>
          <w:szCs w:val="28"/>
          <w:lang w:eastAsia="zh-CN"/>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u w:val="none"/>
        </w:rPr>
        <w:t>中国政府采购网</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rPr>
        <w:t>www.ccgp.gov.cn</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rPr>
      </w:pPr>
      <w:r>
        <w:rPr>
          <w:rFonts w:hint="eastAsia" w:ascii="宋体" w:hAnsi="宋体" w:eastAsia="宋体" w:cs="宋体"/>
          <w:color w:val="auto"/>
          <w:sz w:val="28"/>
          <w:szCs w:val="28"/>
        </w:rPr>
        <w:t>七、对本次招标提出询问，请按以下方式联系。</w:t>
      </w:r>
      <w:bookmarkEnd w:id="27"/>
      <w:bookmarkEnd w:id="28"/>
      <w:bookmarkEnd w:id="29"/>
      <w:bookmarkEnd w:id="30"/>
    </w:p>
    <w:p>
      <w:pPr>
        <w:pageBreakBefore w:val="0"/>
        <w:widowControl/>
        <w:kinsoku/>
        <w:wordWrap/>
        <w:overflowPunct/>
        <w:topLinePunct w:val="0"/>
        <w:bidi w:val="0"/>
        <w:spacing w:line="38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1.采购人信息</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 称：</w:t>
      </w:r>
      <w:r>
        <w:rPr>
          <w:rFonts w:hint="eastAsia" w:ascii="宋体" w:hAnsi="宋体" w:cs="宋体"/>
          <w:color w:val="auto"/>
          <w:sz w:val="28"/>
          <w:szCs w:val="28"/>
          <w:u w:val="single"/>
          <w:lang w:val="en-US" w:eastAsia="zh-CN"/>
        </w:rPr>
        <w:t>桂林市交通技工学校</w:t>
      </w:r>
    </w:p>
    <w:p>
      <w:pPr>
        <w:pageBreakBefore w:val="0"/>
        <w:kinsoku/>
        <w:wordWrap/>
        <w:overflowPunct/>
        <w:topLinePunct w:val="0"/>
        <w:bidi w:val="0"/>
        <w:spacing w:line="380" w:lineRule="exact"/>
        <w:ind w:left="1129" w:leftChars="371" w:hanging="350" w:hangingChars="125"/>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地址：</w:t>
      </w:r>
      <w:r>
        <w:rPr>
          <w:rFonts w:hint="eastAsia" w:ascii="宋体" w:hAnsi="宋体" w:cs="宋体"/>
          <w:color w:val="auto"/>
          <w:sz w:val="28"/>
          <w:szCs w:val="28"/>
          <w:u w:val="single"/>
          <w:lang w:val="en-US" w:eastAsia="zh-CN"/>
        </w:rPr>
        <w:t>桂林市临桂区会仙镇新立村委秦村</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联系方式：</w:t>
      </w:r>
      <w:r>
        <w:rPr>
          <w:rFonts w:hint="eastAsia" w:ascii="宋体" w:hAnsi="宋体" w:eastAsia="宋体" w:cs="宋体"/>
          <w:color w:val="auto"/>
          <w:sz w:val="28"/>
          <w:szCs w:val="28"/>
          <w:u w:val="single"/>
        </w:rPr>
        <w:t>18978389569</w:t>
      </w:r>
      <w:bookmarkStart w:id="31" w:name="_Toc28359009"/>
      <w:bookmarkStart w:id="32" w:name="_Toc28359086"/>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2.采购代理机构信息</w:t>
      </w:r>
      <w:bookmarkEnd w:id="31"/>
      <w:bookmarkEnd w:id="32"/>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名 称：</w:t>
      </w:r>
      <w:r>
        <w:rPr>
          <w:rFonts w:hint="eastAsia" w:ascii="宋体" w:hAnsi="宋体" w:eastAsia="宋体" w:cs="宋体"/>
          <w:color w:val="auto"/>
          <w:sz w:val="28"/>
          <w:szCs w:val="28"/>
          <w:u w:val="single"/>
        </w:rPr>
        <w:t>桂林市政府集中采购中心</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桂林市临桂区西城中路69号创业大厦西辅楼5楼</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联系方式：</w:t>
      </w:r>
      <w:bookmarkStart w:id="33" w:name="_Toc28359087"/>
      <w:bookmarkStart w:id="34" w:name="_Toc28359010"/>
      <w:r>
        <w:rPr>
          <w:rFonts w:hint="eastAsia" w:ascii="宋体" w:hAnsi="宋体" w:eastAsia="宋体" w:cs="宋体"/>
          <w:color w:val="auto"/>
          <w:sz w:val="28"/>
          <w:szCs w:val="28"/>
          <w:u w:val="single"/>
        </w:rPr>
        <w:t>0773-</w:t>
      </w:r>
      <w:r>
        <w:rPr>
          <w:rFonts w:hint="eastAsia" w:ascii="宋体" w:hAnsi="宋体" w:eastAsia="宋体" w:cs="宋体"/>
          <w:color w:val="auto"/>
          <w:sz w:val="28"/>
          <w:szCs w:val="28"/>
          <w:u w:val="single"/>
          <w:lang w:eastAsia="zh-CN"/>
        </w:rPr>
        <w:t>56251</w:t>
      </w:r>
      <w:r>
        <w:rPr>
          <w:rFonts w:hint="eastAsia" w:ascii="宋体" w:hAnsi="宋体" w:cs="宋体"/>
          <w:color w:val="auto"/>
          <w:sz w:val="28"/>
          <w:szCs w:val="28"/>
          <w:u w:val="single"/>
          <w:lang w:val="en-US" w:eastAsia="zh-CN"/>
        </w:rPr>
        <w:t>43</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3.项目联系方式</w:t>
      </w:r>
      <w:bookmarkEnd w:id="33"/>
      <w:bookmarkEnd w:id="34"/>
    </w:p>
    <w:p>
      <w:pPr>
        <w:pStyle w:val="15"/>
        <w:pageBreakBefore w:val="0"/>
        <w:kinsoku/>
        <w:wordWrap/>
        <w:overflowPunct/>
        <w:topLinePunct w:val="0"/>
        <w:bidi w:val="0"/>
        <w:spacing w:line="380" w:lineRule="exact"/>
        <w:ind w:firstLine="840" w:firstLineChars="3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项目联系人：</w:t>
      </w:r>
      <w:r>
        <w:rPr>
          <w:rFonts w:hint="eastAsia" w:hAnsi="宋体" w:cs="宋体"/>
          <w:color w:val="auto"/>
          <w:sz w:val="28"/>
          <w:szCs w:val="28"/>
          <w:u w:val="single"/>
          <w:lang w:val="en-US" w:eastAsia="zh-CN"/>
        </w:rPr>
        <w:t>赵老师</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电　话：</w:t>
      </w:r>
      <w:r>
        <w:rPr>
          <w:rFonts w:hint="eastAsia" w:ascii="宋体" w:hAnsi="宋体" w:eastAsia="宋体" w:cs="宋体"/>
          <w:color w:val="auto"/>
          <w:sz w:val="28"/>
          <w:szCs w:val="28"/>
          <w:u w:val="single"/>
        </w:rPr>
        <w:t>18978389569</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4.政府采购监督管理机构</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名 称：</w:t>
      </w:r>
      <w:r>
        <w:rPr>
          <w:rFonts w:hint="eastAsia" w:ascii="宋体" w:hAnsi="宋体" w:eastAsia="宋体" w:cs="宋体"/>
          <w:color w:val="auto"/>
          <w:sz w:val="28"/>
          <w:szCs w:val="28"/>
          <w:u w:val="single"/>
          <w:lang w:val="en-US" w:eastAsia="zh-CN"/>
        </w:rPr>
        <w:t>桂林市政府采购管理办公室</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w:t>
      </w:r>
      <w:r>
        <w:rPr>
          <w:rFonts w:hint="eastAsia" w:ascii="宋体" w:hAnsi="宋体" w:cs="宋体"/>
          <w:color w:val="auto"/>
          <w:sz w:val="28"/>
          <w:szCs w:val="28"/>
          <w:u w:val="single"/>
          <w:lang w:val="en-US" w:eastAsia="zh-CN"/>
        </w:rPr>
        <w:t>0773-2862142</w:t>
      </w:r>
    </w:p>
    <w:p>
      <w:pPr>
        <w:spacing w:line="360" w:lineRule="exact"/>
        <w:ind w:firstLine="10280" w:firstLineChars="3200"/>
        <w:jc w:val="left"/>
        <w:rPr>
          <w:rFonts w:hint="eastAsia" w:ascii="宋体" w:hAnsi="宋体" w:eastAsia="宋体" w:cs="宋体"/>
          <w:b/>
          <w:color w:val="auto"/>
          <w:sz w:val="32"/>
          <w:szCs w:val="32"/>
        </w:rPr>
      </w:pPr>
    </w:p>
    <w:p>
      <w:pPr>
        <w:jc w:val="center"/>
        <w:outlineLvl w:val="0"/>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35" w:name="_Toc12553"/>
      <w:bookmarkStart w:id="36" w:name="_Toc23854"/>
      <w:r>
        <w:rPr>
          <w:rFonts w:hint="eastAsia" w:ascii="宋体" w:hAnsi="宋体" w:eastAsia="宋体" w:cs="宋体"/>
          <w:b/>
          <w:bCs/>
          <w:color w:val="auto"/>
          <w:kern w:val="44"/>
          <w:sz w:val="32"/>
          <w:szCs w:val="32"/>
          <w:lang w:val="en-US" w:eastAsia="zh-CN" w:bidi="ar-SA"/>
        </w:rPr>
        <w:t>第二章  投标人须知</w:t>
      </w:r>
      <w:bookmarkEnd w:id="35"/>
      <w:bookmarkEnd w:id="36"/>
    </w:p>
    <w:p>
      <w:pPr>
        <w:tabs>
          <w:tab w:val="left" w:pos="1065"/>
          <w:tab w:val="center" w:pos="4411"/>
        </w:tabs>
        <w:spacing w:line="440" w:lineRule="exact"/>
        <w:jc w:val="center"/>
        <w:outlineLvl w:val="1"/>
        <w:rPr>
          <w:rFonts w:hint="eastAsia" w:ascii="宋体" w:hAnsi="宋体" w:eastAsia="宋体" w:cs="宋体"/>
          <w:b/>
          <w:color w:val="auto"/>
          <w:sz w:val="24"/>
        </w:rPr>
      </w:pPr>
      <w:bookmarkStart w:id="37" w:name="_Toc16973"/>
      <w:bookmarkStart w:id="38" w:name="_Toc495841753"/>
      <w:bookmarkStart w:id="39" w:name="_Toc14222"/>
      <w:r>
        <w:rPr>
          <w:rFonts w:hint="eastAsia" w:ascii="宋体" w:hAnsi="宋体" w:eastAsia="宋体" w:cs="宋体"/>
          <w:b/>
          <w:color w:val="auto"/>
          <w:sz w:val="24"/>
        </w:rPr>
        <w:t>投标人须知前附表</w:t>
      </w:r>
      <w:bookmarkEnd w:id="37"/>
      <w:bookmarkEnd w:id="38"/>
      <w:bookmarkEnd w:id="39"/>
    </w:p>
    <w:tbl>
      <w:tblPr>
        <w:tblStyle w:val="26"/>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065"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35"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229"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229" w:type="dxa"/>
            <w:vAlign w:val="center"/>
          </w:tcPr>
          <w:p>
            <w:pPr>
              <w:spacing w:line="340" w:lineRule="exac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会仙校区15#楼学生床铺及柜子</w:t>
            </w:r>
          </w:p>
          <w:p>
            <w:pPr>
              <w:spacing w:line="340" w:lineRule="exact"/>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 xml:space="preserve">GLZC2020-G1-990086-JCZX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投标人资格</w:t>
            </w:r>
          </w:p>
        </w:tc>
        <w:tc>
          <w:tcPr>
            <w:tcW w:w="6229" w:type="dxa"/>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5.1符合《中华人民共和国政府采购法》第二十二条规定的供应商资格条件，并且国内注册或登记、具备合法资格，提供本次采购货物或服务的供应商。</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5.2 本项目不接受联合体投标。</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735" w:type="dxa"/>
            <w:vAlign w:val="center"/>
          </w:tcPr>
          <w:p>
            <w:pPr>
              <w:spacing w:line="40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投标费用</w:t>
            </w:r>
          </w:p>
        </w:tc>
        <w:tc>
          <w:tcPr>
            <w:tcW w:w="6229" w:type="dxa"/>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065" w:type="dxa"/>
            <w:vAlign w:val="center"/>
          </w:tcPr>
          <w:p>
            <w:pPr>
              <w:spacing w:line="36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采购预算金额及投标报价</w:t>
            </w:r>
          </w:p>
        </w:tc>
        <w:tc>
          <w:tcPr>
            <w:tcW w:w="6229" w:type="dxa"/>
            <w:vAlign w:val="center"/>
          </w:tcPr>
          <w:p>
            <w:pPr>
              <w:spacing w:line="360" w:lineRule="exact"/>
              <w:rPr>
                <w:rFonts w:hint="eastAsia"/>
                <w:color w:val="auto"/>
              </w:rPr>
            </w:pPr>
            <w:r>
              <w:rPr>
                <w:rFonts w:hint="eastAsia"/>
                <w:color w:val="auto"/>
              </w:rPr>
              <w:t>15.1本项目采购总预算金额：人民币壹佰</w:t>
            </w:r>
            <w:r>
              <w:rPr>
                <w:rFonts w:hint="eastAsia"/>
                <w:color w:val="auto"/>
                <w:lang w:eastAsia="zh-CN"/>
              </w:rPr>
              <w:t>壹</w:t>
            </w:r>
            <w:r>
              <w:rPr>
                <w:rFonts w:hint="eastAsia"/>
                <w:color w:val="auto"/>
              </w:rPr>
              <w:t>拾</w:t>
            </w:r>
            <w:r>
              <w:rPr>
                <w:rFonts w:hint="eastAsia"/>
                <w:color w:val="auto"/>
                <w:lang w:eastAsia="zh-CN"/>
              </w:rPr>
              <w:t>陆</w:t>
            </w:r>
            <w:r>
              <w:rPr>
                <w:rFonts w:hint="eastAsia"/>
                <w:color w:val="auto"/>
              </w:rPr>
              <w:t>万</w:t>
            </w:r>
            <w:r>
              <w:rPr>
                <w:rFonts w:hint="eastAsia"/>
                <w:color w:val="auto"/>
                <w:lang w:eastAsia="zh-CN"/>
              </w:rPr>
              <w:t>零玖佰</w:t>
            </w:r>
            <w:r>
              <w:rPr>
                <w:rFonts w:hint="eastAsia"/>
                <w:color w:val="auto"/>
              </w:rPr>
              <w:t>元整（¥</w:t>
            </w:r>
            <w:r>
              <w:rPr>
                <w:rFonts w:hint="eastAsia"/>
                <w:color w:val="auto"/>
                <w:lang w:val="en-US" w:eastAsia="zh-CN"/>
              </w:rPr>
              <w:t>1160900</w:t>
            </w:r>
            <w:r>
              <w:rPr>
                <w:rFonts w:hint="eastAsia"/>
                <w:color w:val="auto"/>
                <w:lang w:val="en-US"/>
              </w:rPr>
              <w:t>.00</w:t>
            </w:r>
            <w:r>
              <w:rPr>
                <w:rFonts w:hint="eastAsia"/>
                <w:color w:val="auto"/>
              </w:rPr>
              <w:t>）。投标报价超过采购预算金额的，投标文件按无效处理。</w:t>
            </w:r>
          </w:p>
          <w:p>
            <w:pPr>
              <w:spacing w:line="360" w:lineRule="exact"/>
              <w:rPr>
                <w:rFonts w:hint="eastAsia"/>
                <w:color w:val="auto"/>
              </w:rPr>
            </w:pPr>
            <w:r>
              <w:rPr>
                <w:rFonts w:hint="eastAsia"/>
                <w:color w:val="auto"/>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16.1</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6229" w:type="dxa"/>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6229" w:type="dxa"/>
            <w:vAlign w:val="top"/>
          </w:tcPr>
          <w:p>
            <w:pPr>
              <w:spacing w:line="400" w:lineRule="exact"/>
              <w:rPr>
                <w:rFonts w:hint="eastAsia" w:ascii="宋体" w:hAnsi="宋体" w:eastAsia="宋体" w:cs="宋体"/>
                <w:color w:val="auto"/>
                <w:szCs w:val="21"/>
              </w:rPr>
            </w:pPr>
            <w:r>
              <w:rPr>
                <w:rFonts w:hint="eastAsia" w:ascii="宋体" w:hAnsi="宋体" w:eastAsia="宋体" w:cs="宋体"/>
                <w:b/>
                <w:bCs/>
                <w:color w:val="auto"/>
                <w:szCs w:val="21"/>
                <w:u w:val="single"/>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投标文件份数</w:t>
            </w:r>
          </w:p>
        </w:tc>
        <w:tc>
          <w:tcPr>
            <w:tcW w:w="6229" w:type="dxa"/>
            <w:vAlign w:val="center"/>
          </w:tcPr>
          <w:p>
            <w:pPr>
              <w:spacing w:line="400" w:lineRule="exact"/>
              <w:rPr>
                <w:rFonts w:hint="eastAsia" w:ascii="宋体" w:hAnsi="宋体" w:eastAsia="宋体" w:cs="宋体"/>
                <w:color w:val="auto"/>
                <w:szCs w:val="21"/>
                <w:u w:val="single"/>
              </w:rPr>
            </w:pPr>
            <w:r>
              <w:rPr>
                <w:rFonts w:hint="eastAsia" w:ascii="宋体" w:hAnsi="宋体" w:eastAsia="宋体" w:cs="宋体"/>
                <w:b/>
                <w:bCs/>
                <w:color w:val="auto"/>
                <w:szCs w:val="21"/>
                <w:u w:val="single"/>
              </w:rPr>
              <w:t>正本壹册，副本</w:t>
            </w:r>
            <w:r>
              <w:rPr>
                <w:rFonts w:hint="eastAsia" w:ascii="宋体" w:hAnsi="宋体" w:cs="宋体"/>
                <w:b/>
                <w:bCs/>
                <w:color w:val="auto"/>
                <w:szCs w:val="21"/>
                <w:u w:val="single"/>
                <w:lang w:eastAsia="zh-CN"/>
              </w:rPr>
              <w:t>肆</w:t>
            </w:r>
            <w:r>
              <w:rPr>
                <w:rFonts w:hint="eastAsia" w:ascii="宋体" w:hAnsi="宋体" w:eastAsia="宋体" w:cs="宋体"/>
                <w:b/>
                <w:bCs/>
                <w:color w:val="auto"/>
                <w:szCs w:val="21"/>
                <w:u w:val="single"/>
              </w:rPr>
              <w:t>册，须完整提交</w:t>
            </w:r>
            <w:r>
              <w:rPr>
                <w:rFonts w:hint="eastAsia" w:ascii="宋体" w:hAnsi="宋体" w:eastAsia="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065" w:type="dxa"/>
            <w:vAlign w:val="center"/>
          </w:tcPr>
          <w:p>
            <w:pPr>
              <w:spacing w:line="360" w:lineRule="exact"/>
              <w:jc w:val="center"/>
              <w:rPr>
                <w:rFonts w:hint="eastAsia" w:ascii="宋体" w:hAnsi="宋体" w:eastAsia="宋体" w:cs="宋体"/>
                <w:color w:val="auto"/>
                <w:position w:val="10"/>
                <w:szCs w:val="21"/>
              </w:rPr>
            </w:pPr>
            <w:r>
              <w:rPr>
                <w:rFonts w:hint="eastAsia" w:ascii="宋体" w:hAnsi="宋体" w:eastAsia="宋体" w:cs="宋体"/>
                <w:color w:val="auto"/>
                <w:szCs w:val="21"/>
              </w:rPr>
              <w:t>18.2</w:t>
            </w:r>
          </w:p>
        </w:tc>
        <w:tc>
          <w:tcPr>
            <w:tcW w:w="1735" w:type="dxa"/>
            <w:vAlign w:val="center"/>
          </w:tcPr>
          <w:p>
            <w:pPr>
              <w:spacing w:line="360" w:lineRule="exact"/>
              <w:jc w:val="center"/>
              <w:rPr>
                <w:rFonts w:hint="eastAsia" w:ascii="宋体" w:hAnsi="宋体" w:eastAsia="宋体" w:cs="宋体"/>
                <w:color w:val="auto"/>
                <w:position w:val="10"/>
                <w:szCs w:val="21"/>
              </w:rPr>
            </w:pPr>
            <w:r>
              <w:rPr>
                <w:rFonts w:hint="eastAsia" w:ascii="宋体" w:hAnsi="宋体" w:eastAsia="宋体" w:cs="宋体"/>
                <w:color w:val="auto"/>
                <w:szCs w:val="21"/>
              </w:rPr>
              <w:t>投标文件装订</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18.6</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投标人公章</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18.7</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投标文件包装、密封</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18.8</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投标文件袋（盒、箱）标记</w:t>
            </w:r>
          </w:p>
        </w:tc>
        <w:tc>
          <w:tcPr>
            <w:tcW w:w="6229" w:type="dxa"/>
            <w:vAlign w:val="center"/>
          </w:tcPr>
          <w:p>
            <w:pPr>
              <w:spacing w:line="360" w:lineRule="exact"/>
              <w:rPr>
                <w:rFonts w:hint="eastAsia" w:ascii="宋体" w:hAnsi="宋体" w:eastAsia="宋体" w:cs="宋体"/>
                <w:color w:val="auto"/>
                <w:spacing w:val="-6"/>
                <w:kern w:val="0"/>
                <w:szCs w:val="21"/>
                <w:lang w:eastAsia="zh-CN"/>
              </w:rPr>
            </w:pPr>
            <w:r>
              <w:rPr>
                <w:rFonts w:hint="eastAsia" w:ascii="宋体" w:hAnsi="宋体" w:eastAsia="宋体" w:cs="宋体"/>
                <w:color w:val="auto"/>
                <w:szCs w:val="21"/>
              </w:rPr>
              <w:t>项目名称：</w:t>
            </w:r>
            <w:r>
              <w:rPr>
                <w:rFonts w:hint="eastAsia" w:ascii="宋体" w:hAnsi="宋体" w:cs="宋体"/>
                <w:color w:val="auto"/>
                <w:szCs w:val="21"/>
                <w:u w:val="single"/>
                <w:lang w:eastAsia="zh-CN"/>
              </w:rPr>
              <w:t>会仙校区15#楼学生床铺及柜子</w:t>
            </w:r>
          </w:p>
          <w:p>
            <w:pPr>
              <w:spacing w:line="360" w:lineRule="exact"/>
              <w:rPr>
                <w:rFonts w:hint="eastAsia" w:ascii="宋体" w:hAnsi="宋体" w:cs="宋体"/>
                <w:color w:val="auto"/>
                <w:szCs w:val="21"/>
                <w:u w:val="single"/>
                <w:lang w:eastAsia="zh-CN"/>
              </w:rPr>
            </w:pPr>
            <w:r>
              <w:rPr>
                <w:rFonts w:hint="eastAsia" w:ascii="宋体" w:hAnsi="宋体" w:eastAsia="宋体" w:cs="宋体"/>
                <w:color w:val="auto"/>
                <w:szCs w:val="21"/>
              </w:rPr>
              <w:t>项目编号：</w:t>
            </w:r>
            <w:r>
              <w:rPr>
                <w:rFonts w:hint="eastAsia" w:ascii="宋体" w:hAnsi="宋体" w:cs="宋体"/>
                <w:color w:val="auto"/>
                <w:szCs w:val="21"/>
                <w:u w:val="single"/>
                <w:lang w:eastAsia="zh-CN"/>
              </w:rPr>
              <w:t xml:space="preserve">GLZC2020-G1-990086-JCZX </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采购代理机构：</w:t>
            </w:r>
            <w:r>
              <w:rPr>
                <w:rFonts w:hint="eastAsia" w:ascii="宋体" w:hAnsi="宋体" w:eastAsia="宋体" w:cs="宋体"/>
                <w:color w:val="auto"/>
                <w:szCs w:val="21"/>
                <w:u w:val="single"/>
              </w:rPr>
              <w:t>桂林市政府集中采购中心</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投标单位名称：</w:t>
            </w:r>
            <w:r>
              <w:rPr>
                <w:rFonts w:hint="eastAsia" w:ascii="宋体" w:hAnsi="宋体" w:eastAsia="宋体" w:cs="宋体"/>
                <w:color w:val="auto"/>
                <w:szCs w:val="21"/>
                <w:u w:val="single"/>
              </w:rPr>
              <w:t xml:space="preserve">                       </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在2020年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7</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30</w:t>
            </w:r>
            <w:r>
              <w:rPr>
                <w:rFonts w:hint="eastAsia" w:ascii="宋体" w:hAnsi="宋体" w:eastAsia="宋体" w:cs="宋体"/>
                <w:color w:val="auto"/>
                <w:szCs w:val="21"/>
              </w:rPr>
              <w:t xml:space="preserve">分前不得开启（此处填写截标时间）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65" w:type="dxa"/>
            <w:vAlign w:val="center"/>
          </w:tcPr>
          <w:p>
            <w:pPr>
              <w:spacing w:line="360" w:lineRule="exact"/>
              <w:jc w:val="center"/>
              <w:rPr>
                <w:rFonts w:hint="eastAsia" w:ascii="宋体" w:hAnsi="宋体" w:eastAsia="宋体" w:cs="宋体"/>
                <w:color w:val="auto"/>
                <w:position w:val="-2"/>
                <w:szCs w:val="21"/>
                <w:lang w:eastAsia="zh-CN"/>
              </w:rPr>
            </w:pPr>
            <w:r>
              <w:rPr>
                <w:rFonts w:hint="eastAsia" w:ascii="宋体" w:hAnsi="宋体" w:eastAsia="宋体" w:cs="宋体"/>
                <w:color w:val="auto"/>
                <w:szCs w:val="21"/>
              </w:rPr>
              <w:t>20.</w:t>
            </w:r>
            <w:r>
              <w:rPr>
                <w:rFonts w:hint="eastAsia" w:ascii="宋体" w:hAnsi="宋体" w:eastAsia="宋体" w:cs="宋体"/>
                <w:color w:val="auto"/>
                <w:szCs w:val="21"/>
                <w:lang w:val="en-US" w:eastAsia="zh-CN"/>
              </w:rPr>
              <w:t>2</w:t>
            </w:r>
          </w:p>
        </w:tc>
        <w:tc>
          <w:tcPr>
            <w:tcW w:w="1735" w:type="dxa"/>
            <w:vAlign w:val="center"/>
          </w:tcPr>
          <w:p>
            <w:pPr>
              <w:spacing w:line="36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投标文件递交</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投标人应于2020年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7</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0</w:t>
            </w:r>
            <w:r>
              <w:rPr>
                <w:rFonts w:hint="eastAsia" w:ascii="宋体" w:hAnsi="宋体" w:eastAsia="宋体" w:cs="宋体"/>
                <w:color w:val="auto"/>
                <w:szCs w:val="21"/>
              </w:rPr>
              <w:t>0分</w:t>
            </w:r>
            <w:r>
              <w:rPr>
                <w:rFonts w:hint="eastAsia" w:ascii="宋体" w:hAnsi="宋体" w:cs="宋体"/>
                <w:color w:val="auto"/>
                <w:szCs w:val="21"/>
                <w:lang w:val="en-US" w:eastAsia="zh-CN"/>
              </w:rPr>
              <w:t>至</w:t>
            </w:r>
            <w:r>
              <w:rPr>
                <w:rFonts w:hint="eastAsia" w:ascii="宋体" w:hAnsi="宋体" w:eastAsia="宋体" w:cs="宋体"/>
                <w:color w:val="auto"/>
                <w:szCs w:val="21"/>
              </w:rPr>
              <w:t>2020年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7</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30</w:t>
            </w:r>
            <w:r>
              <w:rPr>
                <w:rFonts w:hint="eastAsia" w:ascii="宋体" w:hAnsi="宋体" w:eastAsia="宋体" w:cs="宋体"/>
                <w:color w:val="auto"/>
                <w:szCs w:val="21"/>
              </w:rPr>
              <w:t>分止，将投标文件密封提交至</w:t>
            </w:r>
            <w:r>
              <w:rPr>
                <w:rFonts w:hint="eastAsia" w:ascii="宋体" w:hAnsi="宋体" w:eastAsia="宋体" w:cs="宋体"/>
                <w:color w:val="auto"/>
                <w:szCs w:val="21"/>
                <w:u w:val="single"/>
              </w:rPr>
              <w:t>桂林市公共资源交易中心（临桂新区西城中路69号西辅楼四楼）</w:t>
            </w:r>
            <w:r>
              <w:rPr>
                <w:rFonts w:hint="eastAsia" w:ascii="宋体" w:hAnsi="宋体" w:cs="宋体"/>
                <w:color w:val="auto"/>
                <w:szCs w:val="21"/>
                <w:u w:val="single"/>
                <w:lang w:val="en-US" w:eastAsia="zh-CN"/>
              </w:rPr>
              <w:t>12</w:t>
            </w:r>
            <w:r>
              <w:rPr>
                <w:rFonts w:hint="eastAsia" w:ascii="宋体" w:hAnsi="宋体" w:eastAsia="宋体" w:cs="宋体"/>
                <w:color w:val="auto"/>
                <w:szCs w:val="21"/>
                <w:u w:val="single"/>
              </w:rPr>
              <w:t>号开标室</w:t>
            </w:r>
            <w:r>
              <w:rPr>
                <w:rFonts w:hint="eastAsia" w:ascii="宋体" w:hAnsi="宋体" w:eastAsia="宋体" w:cs="宋体"/>
                <w:color w:val="auto"/>
                <w:szCs w:val="21"/>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21.1</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开标时间及地点</w:t>
            </w:r>
          </w:p>
        </w:tc>
        <w:tc>
          <w:tcPr>
            <w:tcW w:w="6229" w:type="dxa"/>
            <w:vAlign w:val="top"/>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开标时间：</w:t>
            </w:r>
            <w:r>
              <w:rPr>
                <w:rFonts w:hint="eastAsia" w:ascii="宋体" w:hAnsi="宋体" w:eastAsia="宋体" w:cs="宋体"/>
                <w:color w:val="auto"/>
                <w:szCs w:val="21"/>
                <w:u w:val="single"/>
              </w:rPr>
              <w:t>2020年</w:t>
            </w:r>
            <w:r>
              <w:rPr>
                <w:rFonts w:hint="eastAsia" w:ascii="宋体" w:hAnsi="宋体" w:cs="宋体"/>
                <w:color w:val="auto"/>
                <w:szCs w:val="21"/>
                <w:u w:val="single"/>
                <w:lang w:val="en-US" w:eastAsia="zh-CN"/>
              </w:rPr>
              <w:t>9</w:t>
            </w:r>
            <w:r>
              <w:rPr>
                <w:rFonts w:hint="eastAsia" w:ascii="宋体" w:hAnsi="宋体" w:eastAsia="宋体" w:cs="宋体"/>
                <w:color w:val="auto"/>
                <w:szCs w:val="21"/>
                <w:u w:val="single"/>
              </w:rPr>
              <w:t>月</w:t>
            </w:r>
            <w:r>
              <w:rPr>
                <w:rFonts w:hint="eastAsia" w:ascii="宋体" w:hAnsi="宋体" w:cs="宋体"/>
                <w:color w:val="auto"/>
                <w:szCs w:val="21"/>
                <w:u w:val="single"/>
                <w:lang w:val="en-US" w:eastAsia="zh-CN"/>
              </w:rPr>
              <w:t>7</w:t>
            </w:r>
            <w:r>
              <w:rPr>
                <w:rFonts w:hint="eastAsia" w:ascii="宋体" w:hAnsi="宋体" w:eastAsia="宋体" w:cs="宋体"/>
                <w:color w:val="auto"/>
                <w:szCs w:val="21"/>
                <w:u w:val="single"/>
              </w:rPr>
              <w:t>日上午</w:t>
            </w:r>
            <w:r>
              <w:rPr>
                <w:rFonts w:hint="eastAsia" w:ascii="宋体" w:hAnsi="宋体" w:cs="宋体"/>
                <w:color w:val="auto"/>
                <w:szCs w:val="21"/>
                <w:u w:val="single"/>
                <w:lang w:val="en-US" w:eastAsia="zh-CN"/>
              </w:rPr>
              <w:t>9</w:t>
            </w:r>
            <w:r>
              <w:rPr>
                <w:rFonts w:hint="eastAsia" w:ascii="宋体" w:hAnsi="宋体" w:eastAsia="宋体" w:cs="宋体"/>
                <w:color w:val="auto"/>
                <w:szCs w:val="21"/>
                <w:u w:val="single"/>
              </w:rPr>
              <w:t>时30分；</w:t>
            </w:r>
            <w:r>
              <w:rPr>
                <w:rFonts w:hint="eastAsia" w:ascii="宋体" w:hAnsi="宋体" w:eastAsia="宋体" w:cs="宋体"/>
                <w:color w:val="auto"/>
                <w:szCs w:val="21"/>
              </w:rPr>
              <w:t>开标地点：</w:t>
            </w:r>
            <w:r>
              <w:rPr>
                <w:rFonts w:hint="eastAsia" w:ascii="宋体" w:hAnsi="宋体" w:eastAsia="宋体" w:cs="宋体"/>
                <w:color w:val="auto"/>
                <w:szCs w:val="21"/>
                <w:u w:val="single"/>
              </w:rPr>
              <w:t>桂林市公共资源交易中心（临桂新区西城中路69号西辅楼四楼）</w:t>
            </w:r>
            <w:r>
              <w:rPr>
                <w:rFonts w:hint="eastAsia" w:ascii="宋体" w:hAnsi="宋体" w:cs="宋体"/>
                <w:color w:val="auto"/>
                <w:szCs w:val="21"/>
                <w:u w:val="single"/>
                <w:lang w:val="en-US" w:eastAsia="zh-CN"/>
              </w:rPr>
              <w:t>12</w:t>
            </w:r>
            <w:r>
              <w:rPr>
                <w:rFonts w:hint="eastAsia" w:ascii="宋体" w:hAnsi="宋体" w:eastAsia="宋体" w:cs="宋体"/>
                <w:color w:val="auto"/>
                <w:szCs w:val="21"/>
                <w:u w:val="single"/>
              </w:rPr>
              <w:t>号开标室</w:t>
            </w:r>
            <w:r>
              <w:rPr>
                <w:rFonts w:hint="eastAsia" w:ascii="宋体" w:hAnsi="宋体" w:eastAsia="宋体" w:cs="宋体"/>
                <w:color w:val="auto"/>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评标委员会组成</w:t>
            </w:r>
          </w:p>
        </w:tc>
        <w:tc>
          <w:tcPr>
            <w:tcW w:w="6229" w:type="dxa"/>
            <w:vAlign w:val="center"/>
          </w:tcPr>
          <w:p>
            <w:pPr>
              <w:spacing w:line="360" w:lineRule="exact"/>
              <w:rPr>
                <w:rFonts w:hint="eastAsia" w:ascii="宋体" w:hAnsi="宋体" w:eastAsia="宋体" w:cs="宋体"/>
                <w:color w:val="auto"/>
                <w:szCs w:val="21"/>
              </w:rPr>
            </w:pPr>
            <w:r>
              <w:rPr>
                <w:color w:val="auto"/>
                <w:szCs w:val="21"/>
              </w:rPr>
              <w:t>评标委员会由采购人代表和有关技术、经济等方面的专家组成，成员人</w:t>
            </w:r>
            <w:r>
              <w:rPr>
                <w:color w:val="auto"/>
                <w:szCs w:val="21"/>
                <w:u w:val="none"/>
              </w:rPr>
              <w:t>数共</w:t>
            </w:r>
            <w:r>
              <w:rPr>
                <w:rFonts w:hint="eastAsia"/>
                <w:color w:val="auto"/>
                <w:szCs w:val="21"/>
                <w:u w:val="none"/>
                <w:lang w:val="en-US" w:eastAsia="zh-CN"/>
              </w:rPr>
              <w:t>5</w:t>
            </w:r>
            <w:r>
              <w:rPr>
                <w:color w:val="auto"/>
                <w:szCs w:val="21"/>
                <w:u w:val="none"/>
              </w:rPr>
              <w:t>人，其中采购人代表1人，技术、经济等专家</w:t>
            </w:r>
            <w:r>
              <w:rPr>
                <w:rFonts w:hint="eastAsia"/>
                <w:color w:val="auto"/>
                <w:szCs w:val="21"/>
                <w:u w:val="none"/>
                <w:lang w:val="en-US" w:eastAsia="zh-CN"/>
              </w:rPr>
              <w:t>4</w:t>
            </w:r>
            <w:r>
              <w:rPr>
                <w:color w:val="auto"/>
                <w:szCs w:val="21"/>
                <w:u w:val="none"/>
              </w:rPr>
              <w:t>人</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25.1</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评标办法</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32</w:t>
            </w:r>
          </w:p>
        </w:tc>
        <w:tc>
          <w:tcPr>
            <w:tcW w:w="1735" w:type="dxa"/>
            <w:vAlign w:val="center"/>
          </w:tcPr>
          <w:p>
            <w:pPr>
              <w:tabs>
                <w:tab w:val="left" w:pos="1140"/>
              </w:tabs>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229" w:type="dxa"/>
            <w:vAlign w:val="center"/>
          </w:tcPr>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rPr>
            </w:pPr>
            <w:r>
              <w:rPr>
                <w:rFonts w:hint="eastAsia" w:ascii="宋体" w:hAnsi="宋体" w:eastAsia="宋体" w:cs="宋体"/>
                <w:color w:val="auto"/>
                <w:szCs w:val="21"/>
              </w:rPr>
              <w:t>⑵查询截止时间：中标通知书发出前；</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auto"/>
                <w:szCs w:val="21"/>
              </w:rPr>
            </w:pPr>
            <w:r>
              <w:rPr>
                <w:rFonts w:hint="eastAsia" w:ascii="宋体" w:hAnsi="宋体" w:eastAsia="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33</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中标公告及中标通知书</w:t>
            </w:r>
          </w:p>
        </w:tc>
        <w:tc>
          <w:tcPr>
            <w:tcW w:w="6229" w:type="dxa"/>
            <w:vAlign w:val="center"/>
          </w:tcPr>
          <w:p>
            <w:pPr>
              <w:tabs>
                <w:tab w:val="left" w:pos="455"/>
              </w:tabs>
              <w:spacing w:line="36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r>
              <w:rPr>
                <w:rFonts w:hint="eastAsia" w:ascii="宋体" w:hAnsi="宋体" w:eastAsia="宋体" w:cs="宋体"/>
                <w:color w:val="auto"/>
                <w:szCs w:val="21"/>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r>
              <w:rPr>
                <w:rFonts w:hint="eastAsia" w:ascii="宋体" w:hAnsi="宋体" w:eastAsia="宋体" w:cs="宋体"/>
                <w:color w:val="auto"/>
                <w:szCs w:val="21"/>
              </w:rPr>
              <w:t>.2中标公告</w:t>
            </w:r>
            <w:r>
              <w:rPr>
                <w:rFonts w:hint="eastAsia" w:ascii="宋体" w:hAnsi="宋体" w:eastAsia="宋体" w:cs="宋体"/>
                <w:color w:val="auto"/>
                <w:szCs w:val="21"/>
                <w:lang w:val="en-US" w:eastAsia="zh-CN"/>
              </w:rPr>
              <w:t>发布的</w:t>
            </w:r>
            <w:r>
              <w:rPr>
                <w:rFonts w:hint="eastAsia" w:ascii="宋体" w:hAnsi="宋体" w:eastAsia="宋体" w:cs="宋体"/>
                <w:color w:val="auto"/>
                <w:szCs w:val="21"/>
              </w:rPr>
              <w:t>同时</w:t>
            </w:r>
            <w:r>
              <w:rPr>
                <w:rFonts w:hint="eastAsia" w:ascii="宋体" w:hAnsi="宋体" w:eastAsia="宋体" w:cs="宋体"/>
                <w:color w:val="auto"/>
                <w:szCs w:val="21"/>
                <w:lang w:eastAsia="zh-CN"/>
              </w:rPr>
              <w:t>，</w:t>
            </w:r>
            <w:r>
              <w:rPr>
                <w:rFonts w:hint="eastAsia" w:ascii="宋体" w:hAnsi="宋体" w:eastAsia="宋体" w:cs="宋体"/>
                <w:color w:val="auto"/>
                <w:szCs w:val="21"/>
              </w:rPr>
              <w:t>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34.1</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229" w:type="dxa"/>
            <w:vAlign w:val="center"/>
          </w:tcPr>
          <w:p>
            <w:pPr>
              <w:pStyle w:val="15"/>
              <w:spacing w:line="360" w:lineRule="exact"/>
              <w:rPr>
                <w:rFonts w:hint="eastAsia" w:ascii="宋体" w:hAnsi="宋体" w:eastAsia="宋体" w:cs="宋体"/>
                <w:color w:val="auto"/>
                <w:szCs w:val="21"/>
              </w:rPr>
            </w:pPr>
            <w:r>
              <w:rPr>
                <w:rFonts w:hint="eastAsia" w:ascii="Times New Roman"/>
                <w:color w:val="auto"/>
                <w:sz w:val="21"/>
                <w:szCs w:val="21"/>
                <w:lang w:val="en-US" w:eastAsia="zh-CN"/>
              </w:rPr>
              <w:t>成交</w:t>
            </w:r>
            <w:r>
              <w:rPr>
                <w:rFonts w:hint="eastAsia" w:ascii="Times New Roman" w:eastAsia="Times New Roman"/>
                <w:color w:val="auto"/>
                <w:sz w:val="21"/>
                <w:szCs w:val="21"/>
              </w:rPr>
              <w:t>供应商在签订合同</w:t>
            </w:r>
            <w:r>
              <w:rPr>
                <w:rFonts w:hint="eastAsia" w:ascii="Times New Roman" w:eastAsia="Times New Roman"/>
                <w:color w:val="auto"/>
                <w:sz w:val="21"/>
                <w:szCs w:val="21"/>
                <w:lang w:val="en-US" w:eastAsia="zh-CN"/>
              </w:rPr>
              <w:t>时</w:t>
            </w:r>
            <w:r>
              <w:rPr>
                <w:rFonts w:hint="eastAsia" w:ascii="Times New Roman" w:eastAsia="Times New Roman"/>
                <w:color w:val="auto"/>
                <w:sz w:val="21"/>
                <w:szCs w:val="21"/>
              </w:rPr>
              <w:t>向</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rPr>
              <w:t>缴纳履约保证金（具体银行账号</w:t>
            </w:r>
            <w:r>
              <w:rPr>
                <w:rFonts w:hint="eastAsia" w:ascii="Times New Roman" w:eastAsia="Times New Roman"/>
                <w:color w:val="auto"/>
                <w:sz w:val="21"/>
                <w:szCs w:val="21"/>
                <w:lang w:val="en-US" w:eastAsia="zh-CN"/>
              </w:rPr>
              <w:t>由采购人提供</w:t>
            </w:r>
            <w:r>
              <w:rPr>
                <w:rFonts w:hint="eastAsia" w:ascii="Times New Roman" w:eastAsia="Times New Roman"/>
                <w:color w:val="auto"/>
                <w:sz w:val="21"/>
                <w:szCs w:val="21"/>
              </w:rPr>
              <w:t>），履约保证金金额按中标价的5%（人民币，四舍五入到元）缴纳（不计息），</w:t>
            </w:r>
            <w:r>
              <w:rPr>
                <w:rFonts w:hint="eastAsia" w:ascii="Times New Roman"/>
                <w:color w:val="auto"/>
                <w:sz w:val="21"/>
                <w:szCs w:val="21"/>
                <w:lang w:val="en-US" w:eastAsia="zh-CN"/>
              </w:rPr>
              <w:t>成交</w:t>
            </w:r>
            <w:r>
              <w:rPr>
                <w:rFonts w:hint="eastAsia" w:ascii="Times New Roman" w:eastAsia="Times New Roman"/>
                <w:color w:val="auto"/>
                <w:sz w:val="21"/>
                <w:szCs w:val="21"/>
              </w:rPr>
              <w:t>供应商提交履约保证金应当以转账、电汇等</w:t>
            </w:r>
            <w:r>
              <w:rPr>
                <w:rFonts w:hint="eastAsia" w:ascii="Times New Roman" w:eastAsia="Times New Roman"/>
                <w:color w:val="auto"/>
                <w:sz w:val="21"/>
                <w:szCs w:val="21"/>
                <w:lang w:val="en-US" w:eastAsia="zh-CN"/>
              </w:rPr>
              <w:t>非现金</w:t>
            </w:r>
            <w:r>
              <w:rPr>
                <w:rFonts w:hint="eastAsia" w:ascii="Times New Roman" w:eastAsia="Times New Roman"/>
                <w:color w:val="auto"/>
                <w:sz w:val="21"/>
                <w:szCs w:val="21"/>
              </w:rPr>
              <w:t>形式缴入采购人指定账户。</w:t>
            </w:r>
            <w:r>
              <w:rPr>
                <w:rFonts w:hint="eastAsia" w:ascii="Times New Roman"/>
                <w:color w:val="auto"/>
                <w:sz w:val="21"/>
                <w:szCs w:val="21"/>
                <w:lang w:val="en-US" w:eastAsia="zh-CN"/>
              </w:rPr>
              <w:t>验收合格一年</w:t>
            </w:r>
            <w:r>
              <w:rPr>
                <w:rFonts w:hint="eastAsia" w:ascii="Times New Roman" w:eastAsia="Times New Roman"/>
                <w:color w:val="auto"/>
                <w:sz w:val="21"/>
                <w:szCs w:val="21"/>
              </w:rPr>
              <w:t>后，若货物无质量问题，</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供应商凭《政府采购项目验收单》和履约保证金缴纳凭证</w:t>
            </w:r>
            <w:r>
              <w:rPr>
                <w:rFonts w:hint="eastAsia" w:ascii="Times New Roman" w:eastAsia="Times New Roman"/>
                <w:color w:val="auto"/>
                <w:sz w:val="21"/>
                <w:szCs w:val="21"/>
                <w:lang w:val="en-US" w:eastAsia="zh-CN"/>
              </w:rPr>
              <w:t>原件</w:t>
            </w:r>
            <w:r>
              <w:rPr>
                <w:rFonts w:hint="eastAsia" w:ascii="Times New Roman" w:eastAsia="Times New Roman"/>
                <w:color w:val="auto"/>
                <w:sz w:val="21"/>
                <w:szCs w:val="21"/>
              </w:rPr>
              <w:t>向</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rPr>
              <w:t>申请办理退还手续</w:t>
            </w:r>
            <w:r>
              <w:rPr>
                <w:rFonts w:hint="eastAsia" w:ascii="Times New Roman" w:eastAsia="Times New Roman"/>
                <w:color w:val="auto"/>
                <w:sz w:val="21"/>
                <w:szCs w:val="21"/>
                <w:lang w:eastAsia="zh-CN"/>
              </w:rPr>
              <w:t>，</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lang w:eastAsia="zh-CN"/>
              </w:rPr>
              <w:t>在</w:t>
            </w:r>
            <w:r>
              <w:rPr>
                <w:rFonts w:hint="eastAsia" w:ascii="Times New Roman" w:eastAsia="Times New Roman"/>
                <w:color w:val="auto"/>
                <w:sz w:val="21"/>
                <w:szCs w:val="21"/>
              </w:rPr>
              <w:t>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35.1</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cs="宋体"/>
                <w:color w:val="auto"/>
                <w:szCs w:val="21"/>
                <w:lang w:eastAsia="zh-CN"/>
              </w:rPr>
              <w:t>中标通知书发布</w:t>
            </w:r>
            <w:r>
              <w:rPr>
                <w:rFonts w:hint="eastAsia" w:ascii="宋体" w:hAnsi="宋体" w:eastAsia="宋体" w:cs="宋体"/>
                <w:color w:val="auto"/>
                <w:szCs w:val="21"/>
              </w:rPr>
              <w:t>之日起</w:t>
            </w:r>
            <w:r>
              <w:rPr>
                <w:rFonts w:hint="eastAsia" w:ascii="宋体" w:hAnsi="宋体" w:eastAsia="宋体" w:cs="宋体"/>
                <w:color w:val="auto"/>
                <w:szCs w:val="21"/>
                <w:lang w:val="en-US" w:eastAsia="zh-CN"/>
              </w:rPr>
              <w:t>3</w:t>
            </w:r>
            <w:r>
              <w:rPr>
                <w:rFonts w:hint="eastAsia" w:ascii="宋体" w:hAnsi="宋体" w:eastAsia="宋体" w:cs="宋体"/>
                <w:color w:val="auto"/>
                <w:szCs w:val="21"/>
              </w:rPr>
              <w:t>个日历</w:t>
            </w:r>
            <w:r>
              <w:rPr>
                <w:rFonts w:hint="eastAsia" w:ascii="宋体" w:hAnsi="宋体" w:eastAsia="宋体" w:cs="宋体"/>
                <w:color w:val="auto"/>
                <w:szCs w:val="21"/>
                <w:lang w:eastAsia="zh-CN"/>
              </w:rPr>
              <w:t>日</w:t>
            </w:r>
            <w:r>
              <w:rPr>
                <w:rFonts w:hint="eastAsia" w:ascii="宋体" w:hAnsi="宋体" w:eastAsia="宋体" w:cs="宋体"/>
                <w:color w:val="auto"/>
                <w:szCs w:val="21"/>
                <w:u w:val="none"/>
              </w:rPr>
              <w:t>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35.4</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229" w:type="dxa"/>
            <w:vAlign w:val="center"/>
          </w:tcPr>
          <w:p>
            <w:pPr>
              <w:keepNext w:val="0"/>
              <w:keepLines w:val="0"/>
              <w:widowControl/>
              <w:suppressLineNumbers w:val="0"/>
              <w:jc w:val="left"/>
              <w:rPr>
                <w:rFonts w:hint="eastAsia" w:ascii="Times New Roman" w:hAnsi="Courier New" w:eastAsia="Times New Roman" w:cs="Times New Roman"/>
                <w:color w:val="auto"/>
                <w:kern w:val="2"/>
                <w:sz w:val="21"/>
                <w:szCs w:val="21"/>
                <w:lang w:val="en-US" w:eastAsia="zh-CN" w:bidi="ar-SA"/>
              </w:rPr>
            </w:pPr>
            <w:r>
              <w:rPr>
                <w:rFonts w:hint="eastAsia" w:ascii="Times New Roman" w:hAnsi="Courier New" w:eastAsia="Times New Roman" w:cs="Times New Roman"/>
                <w:color w:val="auto"/>
                <w:kern w:val="2"/>
                <w:sz w:val="21"/>
                <w:szCs w:val="21"/>
                <w:lang w:val="en-US" w:eastAsia="zh-CN" w:bidi="ar-SA"/>
              </w:rPr>
              <w:t xml:space="preserve">政府采购合同双方自签订之日起一个工作日内将合同原件一份交 </w:t>
            </w:r>
          </w:p>
          <w:p>
            <w:pPr>
              <w:keepNext w:val="0"/>
              <w:keepLines w:val="0"/>
              <w:widowControl/>
              <w:suppressLineNumbers w:val="0"/>
              <w:jc w:val="left"/>
              <w:rPr>
                <w:rFonts w:hint="eastAsia" w:ascii="Times New Roman" w:hAnsi="Courier New" w:eastAsia="Times New Roman" w:cs="Times New Roman"/>
                <w:color w:val="auto"/>
                <w:kern w:val="2"/>
                <w:sz w:val="21"/>
                <w:szCs w:val="21"/>
                <w:lang w:val="en-US" w:eastAsia="zh-CN" w:bidi="ar-SA"/>
              </w:rPr>
            </w:pPr>
            <w:r>
              <w:rPr>
                <w:rFonts w:hint="eastAsia" w:ascii="Times New Roman" w:hAnsi="Courier New" w:eastAsia="Times New Roman" w:cs="Times New Roman"/>
                <w:color w:val="auto"/>
                <w:kern w:val="2"/>
                <w:sz w:val="21"/>
                <w:szCs w:val="21"/>
                <w:lang w:val="en-US" w:eastAsia="zh-CN" w:bidi="ar-SA"/>
              </w:rPr>
              <w:t xml:space="preserve">采购代理机构，并于合同签订之日起七个工作日内将一份合同原件 </w:t>
            </w:r>
          </w:p>
          <w:p>
            <w:pPr>
              <w:keepNext w:val="0"/>
              <w:keepLines w:val="0"/>
              <w:widowControl/>
              <w:suppressLineNumbers w:val="0"/>
              <w:jc w:val="left"/>
              <w:rPr>
                <w:rFonts w:hint="eastAsia" w:ascii="宋体" w:hAnsi="宋体" w:eastAsia="宋体" w:cs="宋体"/>
                <w:color w:val="auto"/>
                <w:szCs w:val="21"/>
              </w:rPr>
            </w:pPr>
            <w:r>
              <w:rPr>
                <w:rFonts w:hint="eastAsia" w:ascii="Times New Roman" w:hAnsi="Courier New" w:eastAsia="Times New Roman" w:cs="Times New Roman"/>
                <w:color w:val="auto"/>
                <w:kern w:val="2"/>
                <w:sz w:val="21"/>
                <w:szCs w:val="21"/>
                <w:lang w:val="en-US" w:eastAsia="zh-CN" w:bidi="ar-SA"/>
              </w:rPr>
              <w:t>送桂林市政府采购管理办公室备案。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36</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招标代理服务费</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lang w:eastAsia="zh-CN"/>
              </w:rPr>
              <w:t>项目</w:t>
            </w:r>
            <w:r>
              <w:rPr>
                <w:rFonts w:hint="eastAsia" w:ascii="宋体" w:hAnsi="宋体" w:eastAsia="宋体" w:cs="宋体"/>
                <w:color w:val="auto"/>
                <w:szCs w:val="21"/>
              </w:rPr>
              <w:t>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2</w:t>
            </w:r>
          </w:p>
        </w:tc>
        <w:tc>
          <w:tcPr>
            <w:tcW w:w="1065"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7</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本招标文件是根据《中华人民共和国政府采购法》、《中华人民共和国政府采购法实施条例》及</w:t>
            </w:r>
            <w:r>
              <w:rPr>
                <w:rStyle w:val="108"/>
                <w:rFonts w:hint="eastAsia" w:ascii="宋体" w:hAnsi="宋体" w:eastAsia="宋体" w:cs="宋体"/>
                <w:color w:val="auto"/>
                <w:szCs w:val="21"/>
              </w:rPr>
              <w:t>财政部令第87号</w:t>
            </w:r>
            <w:r>
              <w:rPr>
                <w:rFonts w:hint="eastAsia" w:ascii="宋体" w:hAnsi="宋体" w:eastAsia="宋体" w:cs="宋体"/>
                <w:color w:val="auto"/>
                <w:szCs w:val="21"/>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3</w:t>
            </w:r>
          </w:p>
        </w:tc>
        <w:tc>
          <w:tcPr>
            <w:tcW w:w="1065"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8</w:t>
            </w:r>
          </w:p>
        </w:tc>
        <w:tc>
          <w:tcPr>
            <w:tcW w:w="1735" w:type="dxa"/>
            <w:vAlign w:val="center"/>
          </w:tcPr>
          <w:p>
            <w:pPr>
              <w:spacing w:line="360" w:lineRule="exact"/>
              <w:jc w:val="center"/>
              <w:rPr>
                <w:rFonts w:hint="eastAsia" w:ascii="宋体" w:hAnsi="宋体" w:eastAsia="宋体" w:cs="宋体"/>
                <w:color w:val="auto"/>
                <w:position w:val="10"/>
                <w:szCs w:val="21"/>
              </w:rPr>
            </w:pPr>
            <w:r>
              <w:rPr>
                <w:rFonts w:hint="eastAsia" w:ascii="宋体" w:hAnsi="宋体" w:eastAsia="宋体" w:cs="宋体"/>
                <w:color w:val="auto"/>
                <w:szCs w:val="21"/>
              </w:rPr>
              <w:t>监督管理机构</w:t>
            </w:r>
          </w:p>
        </w:tc>
        <w:tc>
          <w:tcPr>
            <w:tcW w:w="6229" w:type="dxa"/>
            <w:vAlign w:val="center"/>
          </w:tcPr>
          <w:p>
            <w:pPr>
              <w:keepNext w:val="0"/>
              <w:keepLines w:val="0"/>
              <w:widowControl/>
              <w:suppressLineNumbers w:val="0"/>
              <w:jc w:val="left"/>
              <w:rPr>
                <w:rFonts w:hint="eastAsia" w:ascii="宋体" w:hAnsi="宋体" w:eastAsia="宋体" w:cs="宋体"/>
                <w:color w:val="auto"/>
                <w:szCs w:val="21"/>
                <w:lang w:eastAsia="zh-CN"/>
              </w:rPr>
            </w:pPr>
            <w:r>
              <w:rPr>
                <w:rStyle w:val="108"/>
                <w:rFonts w:hint="eastAsia" w:ascii="宋体" w:hAnsi="宋体" w:eastAsia="宋体" w:cs="宋体"/>
                <w:color w:val="auto"/>
                <w:szCs w:val="21"/>
                <w:lang w:val="en-US" w:eastAsia="zh-CN"/>
              </w:rPr>
              <w:t>桂林市政府采购管理办公室           电话：0773-2862142</w:t>
            </w:r>
          </w:p>
        </w:tc>
      </w:tr>
    </w:tbl>
    <w:p>
      <w:pPr>
        <w:spacing w:line="360" w:lineRule="auto"/>
        <w:jc w:val="center"/>
        <w:outlineLvl w:val="1"/>
        <w:rPr>
          <w:rFonts w:hint="eastAsia" w:ascii="宋体" w:hAnsi="宋体" w:eastAsia="宋体" w:cs="宋体"/>
          <w:b/>
          <w:color w:val="auto"/>
          <w:sz w:val="28"/>
          <w:szCs w:val="28"/>
        </w:rPr>
      </w:pPr>
      <w:bookmarkStart w:id="40" w:name="_Toc3679"/>
      <w:bookmarkStart w:id="41" w:name="_Toc495841754"/>
      <w:r>
        <w:rPr>
          <w:rFonts w:hint="eastAsia" w:ascii="宋体" w:hAnsi="宋体" w:eastAsia="宋体" w:cs="宋体"/>
          <w:b/>
          <w:color w:val="auto"/>
          <w:sz w:val="28"/>
          <w:szCs w:val="28"/>
        </w:rPr>
        <w:br w:type="page"/>
      </w:r>
      <w:bookmarkStart w:id="42" w:name="_Toc20840"/>
      <w:r>
        <w:rPr>
          <w:rFonts w:hint="eastAsia" w:ascii="宋体" w:hAnsi="宋体" w:eastAsia="宋体" w:cs="宋体"/>
          <w:b/>
          <w:color w:val="auto"/>
          <w:sz w:val="28"/>
          <w:szCs w:val="28"/>
        </w:rPr>
        <w:t>一、总则</w:t>
      </w:r>
      <w:bookmarkEnd w:id="40"/>
      <w:bookmarkEnd w:id="41"/>
      <w:bookmarkEnd w:id="42"/>
    </w:p>
    <w:p>
      <w:pPr>
        <w:spacing w:line="400" w:lineRule="exact"/>
        <w:ind w:firstLine="413" w:firstLineChars="196"/>
        <w:outlineLvl w:val="2"/>
        <w:rPr>
          <w:rFonts w:hint="eastAsia" w:ascii="宋体" w:hAnsi="宋体" w:eastAsia="宋体" w:cs="宋体"/>
          <w:b/>
          <w:color w:val="auto"/>
          <w:szCs w:val="21"/>
        </w:rPr>
      </w:pPr>
      <w:bookmarkStart w:id="43" w:name="_Toc30627"/>
      <w:bookmarkStart w:id="44" w:name="_Toc23807"/>
      <w:r>
        <w:rPr>
          <w:rFonts w:hint="eastAsia" w:ascii="宋体" w:hAnsi="宋体" w:eastAsia="宋体" w:cs="宋体"/>
          <w:b/>
          <w:color w:val="auto"/>
          <w:szCs w:val="21"/>
        </w:rPr>
        <w:t>1. 项目名称及项目编号</w:t>
      </w:r>
      <w:bookmarkEnd w:id="43"/>
      <w:bookmarkEnd w:id="44"/>
    </w:p>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会仙校区15#楼学生床铺及柜子</w:t>
      </w:r>
    </w:p>
    <w:p>
      <w:pPr>
        <w:spacing w:line="400" w:lineRule="exact"/>
        <w:ind w:firstLine="420" w:firstLineChars="200"/>
        <w:rPr>
          <w:rFonts w:hint="eastAsia" w:ascii="宋体" w:hAnsi="宋体" w:eastAsia="宋体" w:cs="宋体"/>
          <w:color w:val="auto"/>
          <w:spacing w:val="-6"/>
          <w:kern w:val="0"/>
          <w:szCs w:val="21"/>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 xml:space="preserve">GLZC2020-G1-990086-JCZX </w:t>
      </w:r>
    </w:p>
    <w:p>
      <w:pPr>
        <w:spacing w:line="400" w:lineRule="exact"/>
        <w:ind w:firstLine="413" w:firstLineChars="196"/>
        <w:outlineLvl w:val="2"/>
        <w:rPr>
          <w:rFonts w:hint="eastAsia" w:ascii="宋体" w:hAnsi="宋体" w:eastAsia="宋体" w:cs="宋体"/>
          <w:b/>
          <w:color w:val="auto"/>
          <w:szCs w:val="21"/>
        </w:rPr>
      </w:pPr>
      <w:bookmarkStart w:id="45" w:name="_Toc340"/>
      <w:bookmarkStart w:id="46" w:name="_Toc7551"/>
      <w:r>
        <w:rPr>
          <w:rFonts w:hint="eastAsia" w:ascii="宋体" w:hAnsi="宋体" w:eastAsia="宋体" w:cs="宋体"/>
          <w:b/>
          <w:color w:val="auto"/>
          <w:szCs w:val="21"/>
        </w:rPr>
        <w:t>2. 适应范围</w:t>
      </w:r>
      <w:bookmarkEnd w:id="45"/>
      <w:bookmarkEnd w:id="46"/>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本招标文件适用本招标采购项目的招标、投标、评标、合同履约、验收、付款等行为（法律、法规另有规定的，从其规定）。</w:t>
      </w:r>
    </w:p>
    <w:p>
      <w:pPr>
        <w:spacing w:line="400" w:lineRule="exact"/>
        <w:ind w:firstLine="413" w:firstLineChars="196"/>
        <w:outlineLvl w:val="2"/>
        <w:rPr>
          <w:rFonts w:hint="eastAsia" w:ascii="宋体" w:hAnsi="宋体" w:eastAsia="宋体" w:cs="宋体"/>
          <w:b/>
          <w:color w:val="auto"/>
          <w:szCs w:val="21"/>
        </w:rPr>
      </w:pPr>
      <w:bookmarkStart w:id="47" w:name="_Toc1895"/>
      <w:bookmarkStart w:id="48" w:name="_Toc26799"/>
      <w:r>
        <w:rPr>
          <w:rFonts w:hint="eastAsia" w:ascii="宋体" w:hAnsi="宋体" w:eastAsia="宋体" w:cs="宋体"/>
          <w:b/>
          <w:color w:val="auto"/>
          <w:szCs w:val="21"/>
        </w:rPr>
        <w:t>3. 定义</w:t>
      </w:r>
      <w:bookmarkEnd w:id="47"/>
      <w:bookmarkEnd w:id="48"/>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3.1“投标人”</w:t>
      </w:r>
      <w:r>
        <w:rPr>
          <w:rFonts w:hint="eastAsia" w:ascii="宋体" w:hAnsi="宋体" w:eastAsia="宋体" w:cs="宋体"/>
          <w:color w:val="auto"/>
          <w:szCs w:val="21"/>
          <w:lang w:val="en-US" w:eastAsia="zh-CN"/>
        </w:rPr>
        <w:t>系</w:t>
      </w:r>
      <w:r>
        <w:rPr>
          <w:rFonts w:hint="eastAsia" w:ascii="宋体" w:hAnsi="宋体" w:eastAsia="宋体" w:cs="宋体"/>
          <w:color w:val="auto"/>
          <w:szCs w:val="21"/>
        </w:rPr>
        <w:t>指响应招标、参加投标竞争的法人、其他组织或者自然人。</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3.3“服务”系指按招标文件规定，投标人须承担的安装、调试、技术协助、校准、培训、技术指导以及其他类似的义务。</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3.4“项目”系指投标人按招标文件规定向采购人提供的货物和服务。</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3.5“书面形式”包括信函、传真、电报。</w:t>
      </w:r>
    </w:p>
    <w:p>
      <w:pPr>
        <w:spacing w:line="400" w:lineRule="exact"/>
        <w:ind w:firstLine="435"/>
        <w:rPr>
          <w:rFonts w:hint="eastAsia"/>
          <w:color w:val="auto"/>
        </w:rPr>
      </w:pPr>
      <w:r>
        <w:rPr>
          <w:rFonts w:hint="eastAsia" w:ascii="宋体" w:hAnsi="宋体" w:eastAsia="宋体" w:cs="宋体"/>
          <w:b/>
          <w:color w:val="auto"/>
          <w:sz w:val="21"/>
          <w:szCs w:val="21"/>
        </w:rPr>
        <w:t>3.6实质性要求：标注★号项的要求为实质性要求，不允许负偏离，否则投标无效。</w:t>
      </w:r>
    </w:p>
    <w:p>
      <w:pPr>
        <w:spacing w:line="400" w:lineRule="exact"/>
        <w:ind w:firstLine="413" w:firstLineChars="196"/>
        <w:outlineLvl w:val="2"/>
        <w:rPr>
          <w:rFonts w:hint="eastAsia" w:ascii="宋体" w:hAnsi="宋体" w:eastAsia="宋体" w:cs="宋体"/>
          <w:b/>
          <w:color w:val="auto"/>
          <w:szCs w:val="21"/>
        </w:rPr>
      </w:pPr>
      <w:bookmarkStart w:id="49" w:name="_Toc28906"/>
      <w:bookmarkStart w:id="50" w:name="_Toc32132"/>
      <w:r>
        <w:rPr>
          <w:rFonts w:hint="eastAsia" w:ascii="宋体" w:hAnsi="宋体" w:eastAsia="宋体" w:cs="宋体"/>
          <w:b/>
          <w:color w:val="auto"/>
          <w:szCs w:val="21"/>
        </w:rPr>
        <w:t>4. 招标方式、评分办法</w:t>
      </w:r>
      <w:bookmarkEnd w:id="49"/>
      <w:bookmarkEnd w:id="50"/>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公开招标、综合评分法</w:t>
      </w:r>
    </w:p>
    <w:p>
      <w:pPr>
        <w:spacing w:line="400" w:lineRule="exact"/>
        <w:ind w:firstLine="413" w:firstLineChars="196"/>
        <w:outlineLvl w:val="2"/>
        <w:rPr>
          <w:rFonts w:hint="eastAsia" w:ascii="宋体" w:hAnsi="宋体" w:eastAsia="宋体" w:cs="宋体"/>
          <w:b/>
          <w:color w:val="auto"/>
          <w:szCs w:val="21"/>
        </w:rPr>
      </w:pPr>
      <w:bookmarkStart w:id="51" w:name="_Toc598"/>
      <w:bookmarkStart w:id="52" w:name="_Toc5574"/>
      <w:r>
        <w:rPr>
          <w:rFonts w:hint="eastAsia" w:ascii="宋体" w:hAnsi="宋体" w:eastAsia="宋体" w:cs="宋体"/>
          <w:b/>
          <w:color w:val="auto"/>
          <w:szCs w:val="21"/>
        </w:rPr>
        <w:t>5. 投标人资格</w:t>
      </w:r>
      <w:bookmarkEnd w:id="51"/>
      <w:bookmarkEnd w:id="52"/>
    </w:p>
    <w:p>
      <w:pPr>
        <w:spacing w:line="400" w:lineRule="exact"/>
        <w:ind w:firstLine="435"/>
        <w:rPr>
          <w:rFonts w:hint="eastAsia" w:ascii="宋体" w:hAnsi="宋体" w:eastAsia="宋体" w:cs="宋体"/>
          <w:color w:val="auto"/>
          <w:szCs w:val="21"/>
          <w:lang w:eastAsia="zh-CN"/>
        </w:rPr>
      </w:pPr>
      <w:r>
        <w:rPr>
          <w:rFonts w:hint="eastAsia" w:ascii="宋体" w:hAnsi="宋体" w:eastAsia="宋体" w:cs="宋体"/>
          <w:color w:val="auto"/>
          <w:szCs w:val="21"/>
        </w:rPr>
        <w:t>5.1符合《中华人民共和国政府采购法》第二十二条和《政府采购法实施条例》第十八条规定，并且</w:t>
      </w:r>
      <w:r>
        <w:rPr>
          <w:rFonts w:hint="eastAsia" w:ascii="宋体" w:hAnsi="宋体" w:eastAsia="宋体" w:cs="宋体"/>
          <w:color w:val="auto"/>
          <w:szCs w:val="21"/>
          <w:lang w:val="en-US" w:eastAsia="zh-CN"/>
        </w:rPr>
        <w:t>在</w:t>
      </w:r>
      <w:r>
        <w:rPr>
          <w:rFonts w:hint="eastAsia" w:ascii="宋体" w:hAnsi="宋体" w:eastAsia="宋体" w:cs="宋体"/>
          <w:color w:val="auto"/>
          <w:szCs w:val="21"/>
        </w:rPr>
        <w:t>国内注册或登记、具备合法资格，提供本次采购货物或服务的供应商</w:t>
      </w:r>
      <w:r>
        <w:rPr>
          <w:rFonts w:hint="eastAsia" w:ascii="宋体" w:hAnsi="宋体" w:eastAsia="宋体" w:cs="宋体"/>
          <w:color w:val="auto"/>
          <w:szCs w:val="21"/>
          <w:lang w:eastAsia="zh-CN"/>
        </w:rPr>
        <w:t>。</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5.2 本项目不接受联合体投标。</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13" w:firstLineChars="196"/>
        <w:outlineLvl w:val="2"/>
        <w:rPr>
          <w:rFonts w:hint="eastAsia" w:ascii="宋体" w:hAnsi="宋体" w:eastAsia="宋体" w:cs="宋体"/>
          <w:b/>
          <w:color w:val="auto"/>
          <w:szCs w:val="21"/>
        </w:rPr>
      </w:pPr>
      <w:bookmarkStart w:id="53" w:name="_Toc24742"/>
      <w:bookmarkStart w:id="54" w:name="_Toc23283"/>
      <w:r>
        <w:rPr>
          <w:rFonts w:hint="eastAsia" w:ascii="宋体" w:hAnsi="宋体" w:eastAsia="宋体" w:cs="宋体"/>
          <w:b/>
          <w:color w:val="auto"/>
          <w:szCs w:val="21"/>
        </w:rPr>
        <w:t>6. 投标费用</w:t>
      </w:r>
      <w:bookmarkEnd w:id="53"/>
      <w:bookmarkEnd w:id="54"/>
    </w:p>
    <w:p>
      <w:pPr>
        <w:spacing w:line="400" w:lineRule="exact"/>
        <w:ind w:firstLine="435"/>
        <w:rPr>
          <w:rFonts w:hint="eastAsia" w:ascii="宋体" w:hAnsi="宋体" w:eastAsia="宋体" w:cs="宋体"/>
          <w:b/>
          <w:color w:val="auto"/>
          <w:szCs w:val="21"/>
        </w:rPr>
      </w:pPr>
      <w:r>
        <w:rPr>
          <w:rFonts w:hint="eastAsia" w:ascii="宋体" w:hAnsi="宋体" w:eastAsia="宋体" w:cs="宋体"/>
          <w:color w:val="auto"/>
          <w:szCs w:val="21"/>
        </w:rPr>
        <w:t>不论投标结果如何，投标人均应自行承担所有与投标有关的全部费用。</w:t>
      </w:r>
    </w:p>
    <w:p>
      <w:pPr>
        <w:spacing w:line="400" w:lineRule="exact"/>
        <w:ind w:firstLine="413" w:firstLineChars="196"/>
        <w:outlineLvl w:val="2"/>
        <w:rPr>
          <w:rFonts w:hint="eastAsia" w:ascii="宋体" w:hAnsi="宋体" w:eastAsia="宋体" w:cs="宋体"/>
          <w:b/>
          <w:color w:val="auto"/>
          <w:szCs w:val="21"/>
        </w:rPr>
      </w:pPr>
      <w:bookmarkStart w:id="55" w:name="_Toc27394"/>
      <w:bookmarkStart w:id="56" w:name="_Toc22702"/>
      <w:r>
        <w:rPr>
          <w:rFonts w:hint="eastAsia" w:ascii="宋体" w:hAnsi="宋体" w:eastAsia="宋体" w:cs="宋体"/>
          <w:b/>
          <w:color w:val="auto"/>
          <w:szCs w:val="21"/>
        </w:rPr>
        <w:t>7. 联合体投标要求</w:t>
      </w:r>
      <w:bookmarkEnd w:id="55"/>
      <w:bookmarkEnd w:id="56"/>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本项目不接受联合体投标。</w:t>
      </w:r>
    </w:p>
    <w:p>
      <w:pPr>
        <w:spacing w:line="400" w:lineRule="exact"/>
        <w:ind w:firstLine="413" w:firstLineChars="196"/>
        <w:outlineLvl w:val="2"/>
        <w:rPr>
          <w:rFonts w:hint="eastAsia" w:ascii="宋体" w:hAnsi="宋体" w:eastAsia="宋体" w:cs="宋体"/>
          <w:b/>
          <w:color w:val="auto"/>
          <w:szCs w:val="21"/>
        </w:rPr>
      </w:pPr>
      <w:bookmarkStart w:id="57" w:name="_Toc16325"/>
      <w:bookmarkStart w:id="58" w:name="_Toc6046"/>
      <w:r>
        <w:rPr>
          <w:rFonts w:hint="eastAsia" w:ascii="宋体" w:hAnsi="宋体" w:eastAsia="宋体" w:cs="宋体"/>
          <w:b/>
          <w:color w:val="auto"/>
          <w:szCs w:val="21"/>
        </w:rPr>
        <w:t>8. 转包与分包</w:t>
      </w:r>
      <w:bookmarkEnd w:id="57"/>
      <w:bookmarkEnd w:id="58"/>
    </w:p>
    <w:p>
      <w:pPr>
        <w:tabs>
          <w:tab w:val="left" w:pos="163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8.1本项目不允许转包。</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8.2本项目不可以分包。</w:t>
      </w:r>
    </w:p>
    <w:p>
      <w:pPr>
        <w:spacing w:line="400" w:lineRule="exact"/>
        <w:ind w:firstLine="413" w:firstLineChars="196"/>
        <w:outlineLvl w:val="2"/>
        <w:rPr>
          <w:rFonts w:hint="eastAsia" w:ascii="宋体" w:hAnsi="宋体" w:eastAsia="宋体" w:cs="宋体"/>
          <w:b/>
          <w:color w:val="auto"/>
          <w:szCs w:val="21"/>
        </w:rPr>
      </w:pPr>
      <w:bookmarkStart w:id="59" w:name="_Toc1946"/>
      <w:bookmarkStart w:id="60" w:name="_Toc1504"/>
      <w:r>
        <w:rPr>
          <w:rFonts w:hint="eastAsia" w:ascii="宋体" w:hAnsi="宋体" w:eastAsia="宋体" w:cs="宋体"/>
          <w:b/>
          <w:color w:val="auto"/>
          <w:szCs w:val="21"/>
        </w:rPr>
        <w:t>9. 特别说明</w:t>
      </w:r>
      <w:bookmarkEnd w:id="59"/>
      <w:bookmarkEnd w:id="60"/>
    </w:p>
    <w:p>
      <w:pPr>
        <w:tabs>
          <w:tab w:val="left" w:pos="163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w:t>
      </w:r>
      <w:r>
        <w:rPr>
          <w:rFonts w:hint="eastAsia" w:ascii="宋体" w:hAnsi="宋体" w:eastAsia="宋体" w:cs="宋体"/>
          <w:color w:val="auto"/>
          <w:szCs w:val="21"/>
          <w:lang w:eastAsia="zh-CN"/>
        </w:rPr>
        <w:t>；</w:t>
      </w:r>
      <w:r>
        <w:rPr>
          <w:rFonts w:hint="eastAsia" w:ascii="宋体" w:hAnsi="宋体" w:eastAsia="宋体" w:cs="宋体"/>
          <w:color w:val="auto"/>
          <w:szCs w:val="21"/>
        </w:rPr>
        <w:t>评标价也相同的，由评标委员会以抽签方式确定中标候选供应商</w:t>
      </w:r>
      <w:r>
        <w:rPr>
          <w:rFonts w:hint="eastAsia" w:ascii="宋体" w:hAnsi="宋体" w:eastAsia="宋体" w:cs="宋体"/>
          <w:color w:val="auto"/>
          <w:szCs w:val="21"/>
          <w:lang w:eastAsia="zh-CN"/>
        </w:rPr>
        <w:t>。</w:t>
      </w:r>
      <w:r>
        <w:rPr>
          <w:rFonts w:hint="eastAsia" w:ascii="宋体" w:hAnsi="宋体" w:eastAsia="宋体" w:cs="宋体"/>
          <w:color w:val="auto"/>
          <w:szCs w:val="21"/>
        </w:rPr>
        <w:t>其他同品牌投标人不作为中标候选供应商。</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多家投标人提供的核心产品品牌相同的，按前款规定处理。</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9.2关联供应商不得参加同一合同项下政府采购活动，否则投标文件将被视为无效：</w:t>
      </w:r>
    </w:p>
    <w:p>
      <w:pPr>
        <w:tabs>
          <w:tab w:val="left" w:pos="163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（1）单位负责人为同一人或者存在直接控股、管理关系的不同供应商，不得参加同一合同项下的政府采购活动。</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（2）为本采购项目提供整体设计、规范编制或者项目管理、监理、检测等服务的供应商，不得再参加本次采购活动。</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hint="eastAsia" w:ascii="宋体" w:hAnsi="宋体" w:eastAsia="宋体" w:cs="宋体"/>
          <w:b/>
          <w:color w:val="auto"/>
          <w:szCs w:val="21"/>
        </w:rPr>
      </w:pPr>
      <w:r>
        <w:rPr>
          <w:rFonts w:hint="eastAsia" w:ascii="宋体" w:hAnsi="宋体" w:eastAsia="宋体" w:cs="宋体"/>
          <w:color w:val="auto"/>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hint="eastAsia" w:ascii="宋体" w:hAnsi="宋体" w:eastAsia="宋体" w:cs="宋体"/>
          <w:b/>
          <w:color w:val="auto"/>
          <w:szCs w:val="21"/>
        </w:rPr>
      </w:pPr>
      <w:bookmarkStart w:id="61" w:name="_Toc7918"/>
      <w:bookmarkStart w:id="62" w:name="_Toc6489"/>
      <w:r>
        <w:rPr>
          <w:rFonts w:hint="eastAsia" w:ascii="宋体" w:hAnsi="宋体" w:eastAsia="宋体" w:cs="宋体"/>
          <w:b/>
          <w:color w:val="auto"/>
          <w:szCs w:val="21"/>
        </w:rPr>
        <w:t>10. 质疑和投诉</w:t>
      </w:r>
      <w:bookmarkEnd w:id="61"/>
      <w:bookmarkEnd w:id="62"/>
    </w:p>
    <w:p>
      <w:pPr>
        <w:tabs>
          <w:tab w:val="left" w:pos="1635"/>
        </w:tabs>
        <w:spacing w:line="400" w:lineRule="exact"/>
        <w:ind w:firstLine="435"/>
        <w:rPr>
          <w:rFonts w:hint="eastAsia" w:ascii="宋体" w:hAnsi="宋体" w:eastAsia="宋体" w:cs="宋体"/>
          <w:color w:val="auto"/>
          <w:szCs w:val="21"/>
        </w:rPr>
      </w:pPr>
      <w:bookmarkStart w:id="63" w:name="_Toc8195"/>
      <w:bookmarkStart w:id="64" w:name="_Toc26087"/>
      <w:r>
        <w:rPr>
          <w:rFonts w:hint="eastAsia" w:ascii="宋体" w:hAnsi="宋体" w:eastAsia="宋体" w:cs="宋体"/>
          <w:color w:val="auto"/>
          <w:szCs w:val="21"/>
        </w:rPr>
        <w:t>10.1投标人认为招标文件使自己的合法权益受到损害的，应当在本项目招标公告期限届满之日起</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3"/>
      <w:bookmarkEnd w:id="64"/>
    </w:p>
    <w:p>
      <w:pPr>
        <w:snapToGrid w:val="0"/>
        <w:spacing w:line="440" w:lineRule="exact"/>
        <w:ind w:firstLine="420" w:firstLineChars="200"/>
        <w:rPr>
          <w:rFonts w:hint="eastAsia" w:ascii="宋体" w:hAnsi="宋体" w:eastAsia="宋体" w:cs="宋体"/>
          <w:color w:val="auto"/>
          <w:szCs w:val="20"/>
        </w:rPr>
      </w:pPr>
      <w:r>
        <w:rPr>
          <w:rFonts w:hint="eastAsia" w:ascii="宋体" w:hAnsi="宋体" w:eastAsia="宋体" w:cs="宋体"/>
          <w:color w:val="auto"/>
          <w:szCs w:val="20"/>
        </w:rPr>
        <w:t>接收质疑函方式：以书面形式（原件）提交</w:t>
      </w:r>
    </w:p>
    <w:p>
      <w:pPr>
        <w:snapToGrid w:val="0"/>
        <w:spacing w:line="440" w:lineRule="exact"/>
        <w:ind w:firstLine="420" w:firstLineChars="200"/>
        <w:rPr>
          <w:rFonts w:hint="default" w:ascii="宋体" w:hAnsi="宋体" w:eastAsia="宋体" w:cs="宋体"/>
          <w:color w:val="auto"/>
          <w:szCs w:val="20"/>
          <w:lang w:val="en-US" w:eastAsia="zh-CN"/>
        </w:rPr>
      </w:pPr>
      <w:r>
        <w:rPr>
          <w:rFonts w:hint="eastAsia" w:ascii="宋体" w:hAnsi="宋体" w:eastAsia="宋体" w:cs="宋体"/>
          <w:color w:val="auto"/>
          <w:szCs w:val="20"/>
        </w:rPr>
        <w:t>质疑联系人：</w:t>
      </w:r>
      <w:r>
        <w:rPr>
          <w:rFonts w:hint="eastAsia" w:ascii="宋体" w:hAnsi="宋体" w:cs="宋体"/>
          <w:color w:val="auto"/>
          <w:szCs w:val="20"/>
          <w:lang w:eastAsia="zh-CN"/>
        </w:rPr>
        <w:t>吴</w:t>
      </w:r>
      <w:r>
        <w:rPr>
          <w:rFonts w:hint="eastAsia" w:ascii="宋体" w:hAnsi="宋体" w:cs="宋体"/>
          <w:color w:val="auto"/>
          <w:szCs w:val="20"/>
          <w:lang w:val="en-US" w:eastAsia="zh-CN"/>
        </w:rPr>
        <w:t>工</w:t>
      </w:r>
      <w:r>
        <w:rPr>
          <w:rFonts w:hint="eastAsia" w:ascii="宋体" w:hAnsi="宋体" w:eastAsia="宋体" w:cs="宋体"/>
          <w:color w:val="auto"/>
          <w:szCs w:val="20"/>
        </w:rPr>
        <w:t>，联系电话：0773-</w:t>
      </w:r>
      <w:r>
        <w:rPr>
          <w:rFonts w:hint="eastAsia" w:ascii="宋体" w:hAnsi="宋体" w:eastAsia="宋体" w:cs="宋体"/>
          <w:color w:val="auto"/>
          <w:szCs w:val="20"/>
          <w:lang w:eastAsia="zh-CN"/>
        </w:rPr>
        <w:t>5625</w:t>
      </w:r>
      <w:r>
        <w:rPr>
          <w:rFonts w:hint="eastAsia" w:ascii="宋体" w:hAnsi="宋体" w:cs="宋体"/>
          <w:color w:val="auto"/>
          <w:szCs w:val="20"/>
          <w:lang w:val="en-US" w:eastAsia="zh-CN"/>
        </w:rPr>
        <w:t>143</w:t>
      </w:r>
    </w:p>
    <w:p>
      <w:pPr>
        <w:tabs>
          <w:tab w:val="left" w:pos="2190"/>
        </w:tabs>
        <w:spacing w:line="420" w:lineRule="exact"/>
        <w:ind w:firstLine="435"/>
        <w:rPr>
          <w:rFonts w:hint="eastAsia" w:ascii="宋体" w:hAnsi="宋体" w:eastAsia="宋体" w:cs="宋体"/>
          <w:color w:val="auto"/>
        </w:rPr>
      </w:pPr>
      <w:r>
        <w:rPr>
          <w:rFonts w:hint="eastAsia" w:ascii="宋体" w:hAnsi="宋体" w:eastAsia="宋体" w:cs="宋体"/>
          <w:color w:val="auto"/>
          <w:szCs w:val="20"/>
        </w:rPr>
        <w:t>通讯地址：</w:t>
      </w:r>
      <w:r>
        <w:rPr>
          <w:rFonts w:hint="eastAsia" w:ascii="宋体" w:hAnsi="宋体" w:eastAsia="宋体" w:cs="宋体"/>
          <w:color w:val="auto"/>
        </w:rPr>
        <w:t>桂林市临桂区西城中路69号创业大厦西辅楼5楼57</w:t>
      </w:r>
      <w:r>
        <w:rPr>
          <w:rFonts w:hint="eastAsia" w:ascii="宋体" w:hAnsi="宋体" w:cs="宋体"/>
          <w:color w:val="auto"/>
          <w:lang w:val="en-US" w:eastAsia="zh-CN"/>
        </w:rPr>
        <w:t>5</w:t>
      </w:r>
      <w:r>
        <w:rPr>
          <w:rFonts w:hint="eastAsia" w:ascii="宋体" w:hAnsi="宋体" w:eastAsia="宋体" w:cs="宋体"/>
          <w:color w:val="auto"/>
        </w:rPr>
        <w:t>室</w:t>
      </w:r>
    </w:p>
    <w:p>
      <w:pPr>
        <w:tabs>
          <w:tab w:val="left" w:pos="1635"/>
        </w:tabs>
        <w:spacing w:line="400" w:lineRule="exact"/>
        <w:ind w:firstLine="435"/>
        <w:rPr>
          <w:rFonts w:hint="eastAsia" w:ascii="宋体" w:hAnsi="宋体" w:eastAsia="宋体" w:cs="宋体"/>
          <w:color w:val="auto"/>
          <w:szCs w:val="21"/>
        </w:rPr>
      </w:pPr>
      <w:bookmarkStart w:id="65" w:name="_Toc17981"/>
      <w:bookmarkStart w:id="66" w:name="_Toc5874"/>
      <w:r>
        <w:rPr>
          <w:rFonts w:hint="eastAsia" w:ascii="宋体" w:hAnsi="宋体" w:eastAsia="宋体" w:cs="宋体"/>
          <w:color w:val="auto"/>
          <w:szCs w:val="21"/>
        </w:rPr>
        <w:t>10.2投标人对采购代理机构的答复不满意或者采购代理机构未在规定的时间内作出答复的，可以在答复期满后十五个工作日内向</w:t>
      </w:r>
      <w:r>
        <w:rPr>
          <w:rFonts w:hint="eastAsia" w:ascii="宋体" w:hAnsi="宋体" w:eastAsia="宋体" w:cs="宋体"/>
          <w:color w:val="auto"/>
          <w:szCs w:val="21"/>
          <w:lang w:val="en-US" w:eastAsia="zh-CN"/>
        </w:rPr>
        <w:t>桂林市政府采购监督管理机构</w:t>
      </w:r>
      <w:r>
        <w:rPr>
          <w:rFonts w:hint="eastAsia" w:ascii="宋体" w:hAnsi="宋体" w:eastAsia="宋体" w:cs="宋体"/>
          <w:color w:val="auto"/>
          <w:szCs w:val="21"/>
        </w:rPr>
        <w:t>投诉。</w:t>
      </w:r>
      <w:bookmarkEnd w:id="65"/>
      <w:bookmarkEnd w:id="66"/>
    </w:p>
    <w:p>
      <w:pPr>
        <w:tabs>
          <w:tab w:val="left" w:pos="1635"/>
        </w:tabs>
        <w:spacing w:line="400" w:lineRule="exact"/>
        <w:ind w:firstLine="435"/>
        <w:rPr>
          <w:rFonts w:hint="eastAsia" w:ascii="宋体" w:hAnsi="宋体" w:eastAsia="宋体" w:cs="宋体"/>
          <w:color w:val="auto"/>
          <w:szCs w:val="21"/>
        </w:rPr>
      </w:pPr>
      <w:bookmarkStart w:id="67" w:name="_Toc613"/>
      <w:bookmarkStart w:id="68" w:name="_Toc23108"/>
      <w:r>
        <w:rPr>
          <w:rFonts w:hint="eastAsia" w:ascii="宋体" w:hAnsi="宋体" w:eastAsia="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7"/>
      <w:bookmarkEnd w:id="68"/>
    </w:p>
    <w:p>
      <w:pPr>
        <w:tabs>
          <w:tab w:val="left" w:pos="2190"/>
        </w:tabs>
        <w:spacing w:line="400" w:lineRule="exact"/>
        <w:ind w:firstLine="435"/>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bookmarkStart w:id="69" w:name="_Toc495841755"/>
      <w:bookmarkStart w:id="70" w:name="_Toc2278"/>
      <w:bookmarkStart w:id="71" w:name="_Toc26849"/>
      <w:r>
        <w:rPr>
          <w:rFonts w:hint="eastAsia" w:ascii="宋体" w:hAnsi="宋体" w:eastAsia="宋体" w:cs="宋体"/>
          <w:b/>
          <w:color w:val="auto"/>
          <w:sz w:val="28"/>
          <w:szCs w:val="28"/>
        </w:rPr>
        <w:t>二、招标文件</w:t>
      </w:r>
      <w:bookmarkEnd w:id="69"/>
      <w:bookmarkEnd w:id="70"/>
      <w:bookmarkEnd w:id="71"/>
    </w:p>
    <w:p>
      <w:pPr>
        <w:spacing w:line="400" w:lineRule="exact"/>
        <w:ind w:firstLine="413" w:firstLineChars="196"/>
        <w:outlineLvl w:val="2"/>
        <w:rPr>
          <w:rFonts w:hint="eastAsia" w:ascii="宋体" w:hAnsi="宋体" w:eastAsia="宋体" w:cs="宋体"/>
          <w:b/>
          <w:color w:val="auto"/>
          <w:szCs w:val="21"/>
        </w:rPr>
      </w:pPr>
      <w:bookmarkStart w:id="72" w:name="_Toc3397"/>
      <w:bookmarkStart w:id="73" w:name="_Toc1493"/>
      <w:r>
        <w:rPr>
          <w:rFonts w:hint="eastAsia" w:ascii="宋体" w:hAnsi="宋体" w:eastAsia="宋体" w:cs="宋体"/>
          <w:b/>
          <w:color w:val="auto"/>
          <w:szCs w:val="21"/>
        </w:rPr>
        <w:t>11. 招标文件的构成</w:t>
      </w:r>
      <w:bookmarkEnd w:id="72"/>
      <w:bookmarkEnd w:id="73"/>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（1）招标公告；</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投标人须知</w:t>
      </w:r>
      <w:r>
        <w:rPr>
          <w:rFonts w:hint="eastAsia" w:ascii="宋体" w:hAnsi="宋体" w:eastAsia="宋体" w:cs="宋体"/>
          <w:color w:val="auto"/>
          <w:szCs w:val="21"/>
        </w:rPr>
        <w:t>；</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（3）货物采购需求；</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（4）评标办法；</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（5）采购合同（合同主要条款及格式）；</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（6）投标文件（格式）。</w:t>
      </w:r>
    </w:p>
    <w:p>
      <w:pPr>
        <w:spacing w:line="400" w:lineRule="exact"/>
        <w:ind w:firstLine="413" w:firstLineChars="196"/>
        <w:outlineLvl w:val="2"/>
        <w:rPr>
          <w:rFonts w:hint="eastAsia" w:ascii="宋体" w:hAnsi="宋体" w:eastAsia="宋体" w:cs="宋体"/>
          <w:b/>
          <w:color w:val="auto"/>
          <w:szCs w:val="21"/>
        </w:rPr>
      </w:pPr>
      <w:bookmarkStart w:id="74" w:name="_Toc15986"/>
      <w:bookmarkStart w:id="75" w:name="_Toc24191"/>
      <w:r>
        <w:rPr>
          <w:rFonts w:hint="eastAsia" w:ascii="宋体" w:hAnsi="宋体" w:eastAsia="宋体" w:cs="宋体"/>
          <w:b/>
          <w:color w:val="auto"/>
          <w:szCs w:val="21"/>
        </w:rPr>
        <w:t>12. 招标文件的澄清与修改</w:t>
      </w:r>
      <w:bookmarkEnd w:id="74"/>
      <w:bookmarkEnd w:id="75"/>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12.1投标人应认真阅读招标文件，发现其中有误或有不合理要求的，投标人必须在招标公告期限届满之日起</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个工作日内以书面形式要求采购代理机构澄清。</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12.3</w:t>
      </w:r>
      <w:r>
        <w:rPr>
          <w:rFonts w:hint="eastAsia" w:ascii="宋体" w:hAnsi="宋体" w:eastAsia="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12.4必要的澄清、修改的内容为招标文件的组成部分。当澄清、修改通知就同一内容的表述不一致时，以最后发出的书面文件为准。</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hint="eastAsia" w:ascii="宋体" w:hAnsi="宋体" w:eastAsia="宋体" w:cs="宋体"/>
          <w:color w:val="auto"/>
          <w:szCs w:val="21"/>
        </w:rPr>
      </w:pPr>
    </w:p>
    <w:p>
      <w:pPr>
        <w:spacing w:line="360" w:lineRule="auto"/>
        <w:jc w:val="center"/>
        <w:outlineLvl w:val="1"/>
        <w:rPr>
          <w:rFonts w:hint="eastAsia" w:ascii="宋体" w:hAnsi="宋体" w:eastAsia="宋体" w:cs="宋体"/>
          <w:b/>
          <w:color w:val="auto"/>
          <w:sz w:val="28"/>
          <w:szCs w:val="28"/>
        </w:rPr>
      </w:pPr>
      <w:bookmarkStart w:id="76" w:name="_Toc9870"/>
      <w:bookmarkStart w:id="77" w:name="_Toc7631"/>
      <w:bookmarkStart w:id="78" w:name="_Toc495841756"/>
      <w:r>
        <w:rPr>
          <w:rFonts w:hint="eastAsia" w:ascii="宋体" w:hAnsi="宋体" w:eastAsia="宋体" w:cs="宋体"/>
          <w:b/>
          <w:color w:val="auto"/>
          <w:sz w:val="28"/>
          <w:szCs w:val="28"/>
        </w:rPr>
        <w:t>三、投标文件的编制</w:t>
      </w:r>
      <w:bookmarkEnd w:id="76"/>
      <w:bookmarkEnd w:id="77"/>
      <w:bookmarkEnd w:id="78"/>
    </w:p>
    <w:p>
      <w:pPr>
        <w:spacing w:line="400" w:lineRule="exact"/>
        <w:ind w:firstLine="413" w:firstLineChars="196"/>
        <w:outlineLvl w:val="2"/>
        <w:rPr>
          <w:rFonts w:hint="eastAsia" w:ascii="宋体" w:hAnsi="宋体" w:eastAsia="宋体" w:cs="宋体"/>
          <w:b/>
          <w:color w:val="auto"/>
          <w:szCs w:val="21"/>
        </w:rPr>
      </w:pPr>
      <w:bookmarkStart w:id="79" w:name="_Toc15443"/>
      <w:bookmarkStart w:id="80" w:name="_Toc6101"/>
      <w:r>
        <w:rPr>
          <w:rFonts w:hint="eastAsia" w:ascii="宋体" w:hAnsi="宋体" w:eastAsia="宋体" w:cs="宋体"/>
          <w:b/>
          <w:color w:val="auto"/>
          <w:szCs w:val="21"/>
        </w:rPr>
        <w:t>13. 投标文件的组成及要求</w:t>
      </w:r>
      <w:bookmarkEnd w:id="79"/>
      <w:bookmarkEnd w:id="80"/>
    </w:p>
    <w:p>
      <w:pPr>
        <w:tabs>
          <w:tab w:val="left" w:pos="2190"/>
        </w:tabs>
        <w:spacing w:line="400" w:lineRule="exact"/>
        <w:ind w:firstLine="435"/>
        <w:rPr>
          <w:rFonts w:hint="eastAsia" w:ascii="宋体" w:hAnsi="宋体" w:eastAsia="宋体" w:cs="宋体"/>
          <w:b/>
          <w:color w:val="auto"/>
          <w:szCs w:val="21"/>
        </w:rPr>
      </w:pPr>
      <w:r>
        <w:rPr>
          <w:rFonts w:hint="eastAsia" w:ascii="宋体" w:hAnsi="宋体" w:eastAsia="宋体" w:cs="宋体"/>
          <w:color w:val="auto"/>
          <w:szCs w:val="21"/>
        </w:rPr>
        <w:t>13.1</w:t>
      </w:r>
      <w:r>
        <w:rPr>
          <w:rFonts w:hint="eastAsia" w:ascii="宋体" w:hAnsi="宋体" w:eastAsia="宋体" w:cs="宋体"/>
          <w:b/>
          <w:color w:val="auto"/>
          <w:szCs w:val="21"/>
        </w:rPr>
        <w:t>投标文件组成【格式见第六章“投标文件（格式）”】</w:t>
      </w:r>
    </w:p>
    <w:p>
      <w:pPr>
        <w:tabs>
          <w:tab w:val="left" w:pos="1305"/>
        </w:tabs>
        <w:spacing w:line="400" w:lineRule="exact"/>
        <w:ind w:firstLine="422" w:firstLineChars="200"/>
        <w:rPr>
          <w:rFonts w:hint="eastAsia" w:ascii="宋体" w:hAnsi="宋体" w:eastAsia="宋体" w:cs="宋体"/>
          <w:b/>
          <w:color w:val="auto"/>
          <w:szCs w:val="21"/>
          <w:u w:val="single"/>
          <w:lang w:eastAsia="zh-CN"/>
        </w:rPr>
      </w:pPr>
      <w:r>
        <w:rPr>
          <w:rFonts w:hint="eastAsia" w:ascii="宋体" w:hAnsi="宋体" w:eastAsia="宋体" w:cs="宋体"/>
          <w:b/>
          <w:color w:val="auto"/>
          <w:szCs w:val="21"/>
        </w:rPr>
        <w:t>13.1.1</w:t>
      </w:r>
      <w:r>
        <w:rPr>
          <w:rFonts w:hint="eastAsia" w:ascii="宋体" w:hAnsi="宋体" w:eastAsia="宋体" w:cs="宋体"/>
          <w:b/>
          <w:color w:val="auto"/>
          <w:szCs w:val="21"/>
          <w:u w:val="single"/>
        </w:rPr>
        <w:t>投标报价表（格式见附件）</w:t>
      </w:r>
    </w:p>
    <w:p>
      <w:pPr>
        <w:tabs>
          <w:tab w:val="left" w:pos="1305"/>
        </w:tabs>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13.1.2资格性响应证明材料：</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（1）投标人相应的法定代表人、负责人、自然人身份证正反面复印件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spacing w:line="400" w:lineRule="exact"/>
        <w:ind w:firstLine="411" w:firstLineChars="196"/>
        <w:rPr>
          <w:rFonts w:hint="eastAsia" w:ascii="宋体" w:hAnsi="宋体" w:eastAsia="宋体" w:cs="宋体"/>
          <w:color w:val="auto"/>
          <w:szCs w:val="21"/>
          <w:u w:val="none"/>
        </w:rPr>
      </w:pPr>
      <w:r>
        <w:rPr>
          <w:rFonts w:hint="eastAsia" w:ascii="宋体" w:hAnsi="宋体" w:eastAsia="宋体" w:cs="宋体"/>
          <w:color w:val="auto"/>
          <w:szCs w:val="21"/>
          <w:u w:val="none"/>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auto"/>
          <w:szCs w:val="21"/>
          <w:u w:val="none"/>
        </w:rPr>
        <w:t>（委托代理时必须提供）；</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（3）投标人的法人或者其他组织营业执照等证明文件复印件</w:t>
      </w:r>
      <w:r>
        <w:rPr>
          <w:rFonts w:hint="eastAsia" w:ascii="宋体" w:hAnsi="宋体" w:eastAsia="宋体" w:cs="宋体"/>
          <w:b/>
          <w:color w:val="auto"/>
          <w:szCs w:val="21"/>
        </w:rPr>
        <w:t>（必须提供，自然人除外）</w:t>
      </w:r>
      <w:r>
        <w:rPr>
          <w:rFonts w:hint="eastAsia" w:ascii="宋体" w:hAnsi="宋体" w:eastAsia="宋体" w:cs="宋体"/>
          <w:color w:val="auto"/>
          <w:szCs w:val="21"/>
        </w:rPr>
        <w:t>；</w:t>
      </w:r>
    </w:p>
    <w:p>
      <w:pPr>
        <w:tabs>
          <w:tab w:val="left" w:pos="1305"/>
        </w:tabs>
        <w:spacing w:line="400" w:lineRule="exact"/>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2"/>
        </w:num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lang w:val="en-US" w:eastAsia="zh-CN"/>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numPr>
          <w:ilvl w:val="0"/>
          <w:numId w:val="2"/>
        </w:num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投标人参加政府采购活动前3年内在经营活动中没有重大违法记录及有关信用信息的书面声明</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numPr>
          <w:ilvl w:val="0"/>
          <w:numId w:val="2"/>
        </w:numPr>
        <w:spacing w:line="400" w:lineRule="exact"/>
        <w:ind w:left="0" w:leftChars="0" w:firstLine="411" w:firstLineChars="196"/>
        <w:rPr>
          <w:rFonts w:hint="eastAsia" w:ascii="宋体" w:hAnsi="宋体" w:eastAsia="宋体" w:cs="宋体"/>
          <w:color w:val="auto"/>
          <w:szCs w:val="21"/>
        </w:rPr>
      </w:pPr>
      <w:r>
        <w:rPr>
          <w:rFonts w:hint="eastAsia" w:ascii="宋体" w:hAnsi="宋体" w:eastAsia="宋体" w:cs="宋体"/>
          <w:color w:val="auto"/>
          <w:szCs w:val="21"/>
          <w:lang w:val="en-US" w:eastAsia="zh-CN"/>
        </w:rPr>
        <w:t>供应商近半年内任意一个月或任一季度依法缴纳税收的证明材料（增值税发票或企业所得税完税证明或税务部门出具的免税证明）复印件</w:t>
      </w:r>
      <w:r>
        <w:rPr>
          <w:rFonts w:hint="eastAsia" w:ascii="宋体" w:hAnsi="宋体" w:eastAsia="宋体" w:cs="宋体"/>
          <w:b/>
          <w:bCs/>
          <w:color w:val="auto"/>
          <w:szCs w:val="21"/>
          <w:lang w:val="en-US" w:eastAsia="zh-CN"/>
        </w:rPr>
        <w:t>（必须提供）；</w:t>
      </w:r>
    </w:p>
    <w:p>
      <w:pPr>
        <w:tabs>
          <w:tab w:val="left" w:pos="1305"/>
        </w:tabs>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13.1.3商务、技术性响应及其他证明材料：</w:t>
      </w:r>
    </w:p>
    <w:p>
      <w:pPr>
        <w:numPr>
          <w:ilvl w:val="0"/>
          <w:numId w:val="3"/>
        </w:num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技术规格偏离表</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numPr>
          <w:ilvl w:val="0"/>
          <w:numId w:val="3"/>
        </w:num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商务响应表</w:t>
      </w:r>
      <w:r>
        <w:rPr>
          <w:rFonts w:hint="eastAsia" w:ascii="宋体" w:hAnsi="宋体" w:eastAsia="宋体" w:cs="宋体"/>
          <w:b/>
          <w:color w:val="auto"/>
          <w:szCs w:val="21"/>
        </w:rPr>
        <w:t>（必须提供）；</w:t>
      </w:r>
    </w:p>
    <w:p>
      <w:pPr>
        <w:numPr>
          <w:ilvl w:val="0"/>
          <w:numId w:val="3"/>
        </w:num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“货物采购需求”需提供的有效证明文件</w:t>
      </w:r>
      <w:r>
        <w:rPr>
          <w:rFonts w:hint="eastAsia" w:ascii="宋体" w:hAnsi="宋体" w:eastAsia="宋体" w:cs="宋体"/>
          <w:b/>
          <w:color w:val="auto"/>
          <w:szCs w:val="21"/>
        </w:rPr>
        <w:t>（按其要求提供）</w:t>
      </w:r>
      <w:r>
        <w:rPr>
          <w:rFonts w:hint="eastAsia" w:ascii="宋体" w:hAnsi="宋体" w:eastAsia="宋体" w:cs="宋体"/>
          <w:color w:val="auto"/>
          <w:szCs w:val="21"/>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（4）投标人的售后服务承诺书（含免费保修期、交付使用期、技术服务、技术培训、售后服务的内容和措施等）</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（5）项目实施人员一览表</w:t>
      </w:r>
      <w:r>
        <w:rPr>
          <w:rFonts w:hint="eastAsia" w:ascii="宋体" w:hAnsi="宋体" w:eastAsia="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hint="eastAsia" w:ascii="宋体" w:hAnsi="宋体" w:eastAsia="宋体" w:cs="宋体"/>
          <w:color w:val="auto"/>
          <w:szCs w:val="20"/>
        </w:rPr>
      </w:pPr>
      <w:r>
        <w:rPr>
          <w:rFonts w:hint="eastAsia" w:ascii="宋体" w:hAnsi="宋体" w:eastAsia="宋体" w:cs="宋体"/>
          <w:color w:val="auto"/>
          <w:szCs w:val="20"/>
        </w:rPr>
        <w:t>（6）</w:t>
      </w:r>
      <w:r>
        <w:rPr>
          <w:rFonts w:hint="eastAsia" w:ascii="宋体" w:hAnsi="宋体" w:eastAsia="宋体" w:cs="宋体"/>
          <w:color w:val="auto"/>
          <w:szCs w:val="21"/>
        </w:rPr>
        <w:t>节能方面的证书复印件</w:t>
      </w:r>
      <w:r>
        <w:rPr>
          <w:rFonts w:hint="eastAsia" w:ascii="宋体" w:hAnsi="宋体" w:eastAsia="宋体" w:cs="宋体"/>
          <w:b/>
          <w:color w:val="auto"/>
          <w:szCs w:val="21"/>
        </w:rPr>
        <w:t>（如有，请提供）；</w:t>
      </w:r>
    </w:p>
    <w:p>
      <w:pPr>
        <w:snapToGrid w:val="0"/>
        <w:spacing w:line="400" w:lineRule="exact"/>
        <w:ind w:firstLine="420" w:firstLineChars="200"/>
        <w:rPr>
          <w:rFonts w:hint="eastAsia" w:ascii="宋体" w:hAnsi="宋体" w:eastAsia="宋体" w:cs="宋体"/>
          <w:color w:val="auto"/>
          <w:szCs w:val="20"/>
        </w:rPr>
      </w:pPr>
      <w:r>
        <w:rPr>
          <w:rFonts w:hint="eastAsia" w:ascii="宋体" w:hAnsi="宋体" w:eastAsia="宋体" w:cs="宋体"/>
          <w:color w:val="auto"/>
          <w:szCs w:val="20"/>
        </w:rPr>
        <w:t>（7）</w:t>
      </w:r>
      <w:r>
        <w:rPr>
          <w:rFonts w:hint="eastAsia" w:ascii="宋体" w:hAnsi="宋体" w:eastAsia="宋体" w:cs="宋体"/>
          <w:color w:val="auto"/>
          <w:szCs w:val="21"/>
        </w:rPr>
        <w:t>环境标志方面的证书复印件</w:t>
      </w:r>
      <w:r>
        <w:rPr>
          <w:rFonts w:hint="eastAsia" w:ascii="宋体" w:hAnsi="宋体" w:eastAsia="宋体" w:cs="宋体"/>
          <w:b/>
          <w:color w:val="auto"/>
          <w:szCs w:val="21"/>
        </w:rPr>
        <w:t>（如有，请提供）；</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eastAsia="宋体" w:cs="宋体"/>
          <w:color w:val="auto"/>
        </w:rPr>
        <w:t>投标人201</w:t>
      </w:r>
      <w:r>
        <w:rPr>
          <w:rFonts w:hint="eastAsia" w:ascii="宋体" w:hAnsi="宋体" w:cs="宋体"/>
          <w:color w:val="auto"/>
          <w:lang w:val="en-US" w:eastAsia="zh-CN"/>
        </w:rPr>
        <w:t>7</w:t>
      </w:r>
      <w:r>
        <w:rPr>
          <w:rFonts w:hint="eastAsia" w:ascii="宋体" w:hAnsi="宋体" w:eastAsia="宋体" w:cs="宋体"/>
          <w:color w:val="auto"/>
        </w:rPr>
        <w:t>年</w:t>
      </w:r>
      <w:r>
        <w:rPr>
          <w:rFonts w:hint="eastAsia" w:ascii="宋体" w:hAnsi="宋体" w:cs="宋体"/>
          <w:color w:val="auto"/>
          <w:lang w:val="en-US" w:eastAsia="zh-CN"/>
        </w:rPr>
        <w:t>1月1日</w:t>
      </w:r>
      <w:r>
        <w:rPr>
          <w:rFonts w:hint="eastAsia" w:ascii="宋体" w:hAnsi="宋体" w:eastAsia="宋体" w:cs="宋体"/>
          <w:color w:val="auto"/>
        </w:rPr>
        <w:t>以来</w:t>
      </w:r>
      <w:r>
        <w:rPr>
          <w:rFonts w:hint="eastAsia" w:ascii="宋体" w:hAnsi="宋体" w:cs="宋体"/>
          <w:color w:val="auto"/>
          <w:lang w:val="en-US" w:eastAsia="zh-CN"/>
        </w:rPr>
        <w:t>同类产品（金属床、金属柜）</w:t>
      </w:r>
      <w:r>
        <w:rPr>
          <w:rFonts w:hint="eastAsia" w:ascii="宋体" w:hAnsi="宋体" w:eastAsia="宋体" w:cs="宋体"/>
          <w:color w:val="auto"/>
        </w:rPr>
        <w:t>销售业绩的相关证明材料</w:t>
      </w:r>
      <w:r>
        <w:rPr>
          <w:rFonts w:hint="eastAsia" w:ascii="宋体" w:hAnsi="宋体" w:eastAsia="宋体" w:cs="宋体"/>
          <w:color w:val="auto"/>
          <w:szCs w:val="21"/>
        </w:rPr>
        <w:t>（无不良记录，以中标、成交通知书或签订的销售合同为准，并能清晰反映所销售的货物名称、金额</w:t>
      </w:r>
      <w:r>
        <w:rPr>
          <w:rFonts w:hint="eastAsia" w:ascii="宋体" w:hAnsi="宋体" w:eastAsia="宋体" w:cs="宋体"/>
          <w:color w:val="auto"/>
        </w:rPr>
        <w:t>）</w:t>
      </w:r>
      <w:r>
        <w:rPr>
          <w:rFonts w:hint="eastAsia" w:ascii="宋体" w:hAnsi="宋体" w:eastAsia="宋体" w:cs="宋体"/>
          <w:b/>
          <w:color w:val="auto"/>
        </w:rPr>
        <w:t>（如有，请提供）；</w:t>
      </w:r>
    </w:p>
    <w:p>
      <w:pPr>
        <w:tabs>
          <w:tab w:val="left" w:pos="1305"/>
        </w:tabs>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（9）投标人为生产厂家的，投标人的生产制造设备清单及专业技术能力说明</w:t>
      </w:r>
      <w:r>
        <w:rPr>
          <w:rFonts w:hint="eastAsia" w:ascii="宋体" w:hAnsi="宋体" w:eastAsia="宋体" w:cs="宋体"/>
          <w:b/>
          <w:color w:val="auto"/>
        </w:rPr>
        <w:t>（如有，请提供）</w:t>
      </w:r>
      <w:r>
        <w:rPr>
          <w:rFonts w:hint="eastAsia" w:ascii="宋体" w:hAnsi="宋体" w:eastAsia="宋体" w:cs="宋体"/>
          <w:color w:val="auto"/>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eastAsia="宋体" w:cs="宋体"/>
          <w:color w:val="auto"/>
          <w:szCs w:val="20"/>
        </w:rPr>
        <w:t>投标人相关获奖证书、认证证书等复印件</w:t>
      </w:r>
      <w:r>
        <w:rPr>
          <w:rFonts w:hint="eastAsia" w:ascii="宋体" w:hAnsi="宋体" w:eastAsia="宋体" w:cs="宋体"/>
          <w:b/>
          <w:color w:val="auto"/>
        </w:rPr>
        <w:t>（如有，请提供）</w:t>
      </w:r>
      <w:r>
        <w:rPr>
          <w:rFonts w:hint="eastAsia" w:ascii="宋体" w:hAnsi="宋体" w:eastAsia="宋体" w:cs="宋体"/>
          <w:color w:val="auto"/>
          <w:szCs w:val="20"/>
        </w:rPr>
        <w:t>；</w:t>
      </w:r>
    </w:p>
    <w:p>
      <w:pPr>
        <w:tabs>
          <w:tab w:val="left" w:pos="1305"/>
        </w:tabs>
        <w:spacing w:line="400" w:lineRule="exact"/>
        <w:ind w:firstLine="420" w:firstLineChars="200"/>
        <w:rPr>
          <w:rFonts w:hint="eastAsia" w:ascii="宋体" w:hAnsi="宋体" w:eastAsia="宋体" w:cs="宋体"/>
          <w:b/>
          <w:color w:val="auto"/>
        </w:rPr>
      </w:pPr>
      <w:r>
        <w:rPr>
          <w:rFonts w:hint="eastAsia" w:ascii="宋体" w:hAnsi="宋体" w:eastAsia="宋体" w:cs="宋体"/>
          <w:color w:val="auto"/>
          <w:szCs w:val="21"/>
        </w:rPr>
        <w:t>（11）</w:t>
      </w:r>
      <w:r>
        <w:rPr>
          <w:rFonts w:hint="eastAsia" w:ascii="宋体" w:hAnsi="宋体" w:eastAsia="宋体" w:cs="宋体"/>
          <w:color w:val="auto"/>
        </w:rPr>
        <w:t>投标人所投产品为广西工业产品的，如实提供《广西工业产品声明函》</w:t>
      </w:r>
      <w:r>
        <w:rPr>
          <w:rFonts w:hint="eastAsia" w:ascii="宋体" w:hAnsi="宋体" w:eastAsia="宋体" w:cs="宋体"/>
          <w:b/>
          <w:color w:val="auto"/>
        </w:rPr>
        <w:t>（如有，请提供）</w:t>
      </w: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auto"/>
        </w:rPr>
        <w:t>（如有，请提供）</w:t>
      </w: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（13）如产品属于监狱企业的，以提供由省级以上监狱管理局、戒毒管理局（含新疆生产建设兵团）出具的属于监狱企业的证明文件为准</w:t>
      </w:r>
      <w:r>
        <w:rPr>
          <w:rFonts w:hint="eastAsia" w:ascii="宋体" w:hAnsi="宋体" w:eastAsia="宋体" w:cs="宋体"/>
          <w:color w:val="auto"/>
          <w:kern w:val="0"/>
          <w:sz w:val="24"/>
        </w:rPr>
        <w:t>（</w:t>
      </w:r>
      <w:r>
        <w:rPr>
          <w:rFonts w:hint="eastAsia" w:ascii="宋体" w:hAnsi="宋体" w:eastAsia="宋体" w:cs="宋体"/>
          <w:b/>
          <w:color w:val="auto"/>
        </w:rPr>
        <w:t>如有，请提供</w:t>
      </w:r>
      <w:r>
        <w:rPr>
          <w:rFonts w:hint="eastAsia" w:ascii="宋体" w:hAnsi="宋体" w:eastAsia="宋体" w:cs="宋体"/>
          <w:color w:val="auto"/>
          <w:kern w:val="0"/>
          <w:sz w:val="24"/>
        </w:rPr>
        <w:t>）；</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rPr>
        <w:t>（14）符合条件的残疾人福利性单位在参加政府采购活动时，应当提供《残疾人福利性单位声明函》（见附件），并对声明的真实性负责。</w:t>
      </w:r>
      <w:r>
        <w:rPr>
          <w:rFonts w:hint="eastAsia" w:ascii="宋体" w:hAnsi="宋体" w:cs="宋体"/>
          <w:b/>
          <w:bCs/>
          <w:color w:val="auto"/>
          <w:lang w:eastAsia="zh-CN"/>
        </w:rPr>
        <w:t>（</w:t>
      </w:r>
      <w:r>
        <w:rPr>
          <w:rFonts w:hint="eastAsia" w:ascii="宋体" w:hAnsi="宋体" w:cs="宋体"/>
          <w:b/>
          <w:bCs/>
          <w:color w:val="auto"/>
          <w:lang w:val="en-US" w:eastAsia="zh-CN"/>
        </w:rPr>
        <w:t>如有，请提供</w:t>
      </w:r>
      <w:r>
        <w:rPr>
          <w:rFonts w:hint="eastAsia" w:ascii="宋体" w:hAnsi="宋体" w:cs="宋体"/>
          <w:b/>
          <w:bCs/>
          <w:color w:val="auto"/>
          <w:lang w:eastAsia="zh-CN"/>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rPr>
        <w:t>（15）</w:t>
      </w:r>
      <w:r>
        <w:rPr>
          <w:rFonts w:hint="eastAsia" w:ascii="宋体" w:hAnsi="宋体" w:eastAsia="宋体" w:cs="宋体"/>
          <w:color w:val="auto"/>
          <w:szCs w:val="21"/>
        </w:rPr>
        <w:t>投标人可结合本项目的评标办法视自身情况自行提交相关证明材料</w:t>
      </w:r>
      <w:r>
        <w:rPr>
          <w:rFonts w:hint="eastAsia" w:ascii="宋体" w:hAnsi="宋体" w:eastAsia="宋体" w:cs="宋体"/>
          <w:b/>
          <w:color w:val="auto"/>
        </w:rPr>
        <w:t>（如有，请提供）</w:t>
      </w:r>
      <w:r>
        <w:rPr>
          <w:rFonts w:hint="eastAsia" w:ascii="宋体" w:hAnsi="宋体" w:eastAsia="宋体" w:cs="宋体"/>
          <w:color w:val="auto"/>
          <w:szCs w:val="21"/>
        </w:rPr>
        <w:t>。</w:t>
      </w:r>
    </w:p>
    <w:p>
      <w:pPr>
        <w:ind w:firstLine="420" w:firstLineChars="200"/>
        <w:rPr>
          <w:rFonts w:hint="eastAsia" w:ascii="宋体" w:hAnsi="宋体" w:eastAsia="宋体" w:cs="宋体"/>
          <w:color w:val="auto"/>
        </w:rPr>
      </w:pPr>
      <w:r>
        <w:rPr>
          <w:rFonts w:hint="eastAsia" w:ascii="宋体" w:hAnsi="宋体" w:eastAsia="宋体" w:cs="宋体"/>
          <w:color w:val="auto"/>
        </w:rPr>
        <w:t>（16）项目</w:t>
      </w:r>
      <w:r>
        <w:rPr>
          <w:rFonts w:hint="eastAsia" w:ascii="宋体" w:hAnsi="宋体" w:cs="宋体"/>
          <w:color w:val="auto"/>
          <w:lang w:val="en-US" w:eastAsia="zh-CN"/>
        </w:rPr>
        <w:t>配送、安装方案</w:t>
      </w:r>
      <w:r>
        <w:rPr>
          <w:rFonts w:hint="eastAsia" w:ascii="宋体" w:hAnsi="宋体" w:eastAsia="宋体" w:cs="宋体"/>
          <w:b/>
          <w:color w:val="auto"/>
        </w:rPr>
        <w:t>（如有，请提供）</w:t>
      </w:r>
      <w:r>
        <w:rPr>
          <w:rFonts w:hint="eastAsia" w:ascii="宋体" w:hAnsi="宋体" w:eastAsia="宋体" w:cs="宋体"/>
          <w:color w:val="auto"/>
          <w:szCs w:val="21"/>
        </w:rPr>
        <w:t>。</w:t>
      </w:r>
    </w:p>
    <w:p>
      <w:pPr>
        <w:spacing w:line="400" w:lineRule="exact"/>
        <w:ind w:firstLine="420"/>
        <w:rPr>
          <w:rFonts w:hint="eastAsia" w:ascii="宋体" w:hAnsi="宋体" w:eastAsia="宋体" w:cs="宋体"/>
          <w:color w:val="auto"/>
          <w:szCs w:val="21"/>
        </w:rPr>
      </w:pPr>
      <w:r>
        <w:rPr>
          <w:rFonts w:hint="eastAsia" w:ascii="宋体" w:hAnsi="宋体" w:eastAsia="宋体" w:cs="宋体"/>
          <w:b/>
          <w:color w:val="auto"/>
          <w:szCs w:val="21"/>
        </w:rPr>
        <w:t>投标人提供的以上相关证明材料应真实有效，属于“必须提供”的文件应加盖投标人公章（扫描公章无效，自然人除外），否则投标无效。</w:t>
      </w:r>
    </w:p>
    <w:p>
      <w:pPr>
        <w:spacing w:line="400" w:lineRule="exact"/>
        <w:ind w:firstLine="420"/>
        <w:rPr>
          <w:rFonts w:hint="eastAsia" w:ascii="宋体" w:hAnsi="宋体" w:eastAsia="宋体" w:cs="宋体"/>
          <w:color w:val="auto"/>
        </w:rPr>
      </w:pPr>
      <w:r>
        <w:rPr>
          <w:rFonts w:hint="eastAsia" w:ascii="宋体" w:hAnsi="宋体" w:eastAsia="宋体" w:cs="宋体"/>
          <w:color w:val="auto"/>
          <w:szCs w:val="21"/>
        </w:rPr>
        <w:t>13.2</w:t>
      </w:r>
      <w:r>
        <w:rPr>
          <w:rFonts w:hint="eastAsia" w:ascii="宋体" w:hAnsi="宋体" w:eastAsia="宋体" w:cs="宋体"/>
          <w:color w:val="auto"/>
        </w:rPr>
        <w:t>投标人应按招标文件第六章“投标文件（格式）”编制投标文件。</w:t>
      </w:r>
    </w:p>
    <w:p>
      <w:pPr>
        <w:spacing w:line="400" w:lineRule="exact"/>
        <w:ind w:firstLine="420"/>
        <w:rPr>
          <w:rFonts w:hint="eastAsia" w:ascii="宋体" w:hAnsi="宋体" w:eastAsia="宋体" w:cs="宋体"/>
          <w:color w:val="auto"/>
        </w:rPr>
      </w:pPr>
      <w:r>
        <w:rPr>
          <w:rFonts w:hint="eastAsia" w:ascii="宋体" w:hAnsi="宋体" w:eastAsia="宋体" w:cs="宋体"/>
          <w:color w:val="auto"/>
        </w:rPr>
        <w:t>13.3投标文件应当对招标文件提出的要求和条件作出明确响应。</w:t>
      </w:r>
    </w:p>
    <w:p>
      <w:pPr>
        <w:spacing w:line="400" w:lineRule="exact"/>
        <w:ind w:firstLine="413" w:firstLineChars="196"/>
        <w:outlineLvl w:val="2"/>
        <w:rPr>
          <w:rFonts w:hint="eastAsia" w:ascii="宋体" w:hAnsi="宋体" w:eastAsia="宋体" w:cs="宋体"/>
          <w:b/>
          <w:color w:val="auto"/>
          <w:szCs w:val="21"/>
        </w:rPr>
      </w:pPr>
      <w:bookmarkStart w:id="81" w:name="_Toc11037"/>
      <w:bookmarkStart w:id="82" w:name="_Toc26842"/>
      <w:r>
        <w:rPr>
          <w:rFonts w:hint="eastAsia" w:ascii="宋体" w:hAnsi="宋体" w:eastAsia="宋体" w:cs="宋体"/>
          <w:b/>
          <w:color w:val="auto"/>
          <w:szCs w:val="21"/>
        </w:rPr>
        <w:t>14. 投标文件的语言及计量</w:t>
      </w:r>
      <w:bookmarkEnd w:id="81"/>
      <w:bookmarkEnd w:id="82"/>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4"/>
        </w:numPr>
        <w:spacing w:line="400" w:lineRule="exact"/>
        <w:ind w:firstLine="413" w:firstLineChars="196"/>
        <w:outlineLvl w:val="2"/>
        <w:rPr>
          <w:rFonts w:hint="eastAsia" w:ascii="宋体" w:hAnsi="宋体" w:eastAsia="宋体" w:cs="宋体"/>
          <w:b/>
          <w:color w:val="auto"/>
          <w:szCs w:val="21"/>
        </w:rPr>
      </w:pPr>
      <w:bookmarkStart w:id="83" w:name="_Toc8372"/>
      <w:bookmarkStart w:id="84" w:name="_Toc25134"/>
      <w:r>
        <w:rPr>
          <w:rFonts w:hint="eastAsia" w:ascii="宋体" w:hAnsi="宋体" w:eastAsia="宋体" w:cs="宋体"/>
          <w:b/>
          <w:color w:val="auto"/>
          <w:szCs w:val="21"/>
        </w:rPr>
        <w:t>投标报价</w:t>
      </w:r>
      <w:bookmarkEnd w:id="83"/>
      <w:bookmarkEnd w:id="84"/>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15.1投标报价应按招标文件中第六章“投标文件（格式）”填写，投标报价超过采购预算金额的，投标文件按无效处理。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eastAsia="宋体" w:cs="宋体"/>
          <w:color w:val="auto"/>
          <w:szCs w:val="21"/>
          <w:lang w:eastAsia="zh-CN"/>
        </w:rPr>
        <w:t>，</w:t>
      </w:r>
      <w:r>
        <w:rPr>
          <w:rFonts w:hint="eastAsia" w:ascii="宋体" w:hAnsi="宋体" w:eastAsia="宋体" w:cs="宋体"/>
          <w:color w:val="auto"/>
        </w:rPr>
        <w:t>投标人</w:t>
      </w:r>
      <w:r>
        <w:rPr>
          <w:rFonts w:hint="eastAsia" w:ascii="宋体" w:hAnsi="宋体" w:eastAsia="宋体" w:cs="宋体"/>
          <w:color w:val="auto"/>
          <w:lang w:val="en-US" w:eastAsia="zh-CN"/>
        </w:rPr>
        <w:t>应</w:t>
      </w:r>
      <w:r>
        <w:rPr>
          <w:rFonts w:hint="eastAsia" w:ascii="宋体" w:hAnsi="宋体" w:eastAsia="宋体" w:cs="宋体"/>
          <w:color w:val="auto"/>
        </w:rPr>
        <w:t>综合考虑在报价中。</w:t>
      </w:r>
    </w:p>
    <w:p>
      <w:pPr>
        <w:spacing w:line="400" w:lineRule="exact"/>
        <w:ind w:firstLine="413" w:firstLineChars="196"/>
        <w:outlineLvl w:val="2"/>
        <w:rPr>
          <w:rFonts w:hint="eastAsia" w:ascii="宋体" w:hAnsi="宋体" w:eastAsia="宋体" w:cs="宋体"/>
          <w:b/>
          <w:color w:val="auto"/>
          <w:szCs w:val="21"/>
        </w:rPr>
      </w:pPr>
      <w:bookmarkStart w:id="85" w:name="_Toc22333"/>
      <w:bookmarkStart w:id="86" w:name="_Toc24636"/>
      <w:r>
        <w:rPr>
          <w:rFonts w:hint="eastAsia" w:ascii="宋体" w:hAnsi="宋体" w:eastAsia="宋体" w:cs="宋体"/>
          <w:b/>
          <w:color w:val="auto"/>
          <w:szCs w:val="21"/>
        </w:rPr>
        <w:t>16. 投标有效期</w:t>
      </w:r>
      <w:bookmarkEnd w:id="85"/>
      <w:bookmarkEnd w:id="86"/>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16.1投标有效期：</w:t>
      </w:r>
      <w:r>
        <w:rPr>
          <w:rFonts w:hint="eastAsia" w:ascii="宋体" w:hAnsi="宋体" w:eastAsia="宋体" w:cs="宋体"/>
          <w:color w:val="auto"/>
        </w:rPr>
        <w:t>投标截止时间之日起90天</w:t>
      </w:r>
      <w:r>
        <w:rPr>
          <w:rFonts w:hint="eastAsia" w:ascii="宋体" w:hAnsi="宋体" w:eastAsia="宋体" w:cs="宋体"/>
          <w:color w:val="auto"/>
          <w:sz w:val="22"/>
          <w:szCs w:val="22"/>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hint="eastAsia" w:ascii="宋体" w:hAnsi="宋体" w:eastAsia="宋体" w:cs="宋体"/>
          <w:b/>
          <w:color w:val="auto"/>
          <w:szCs w:val="21"/>
        </w:rPr>
      </w:pPr>
      <w:bookmarkStart w:id="87" w:name="_Toc5668"/>
      <w:bookmarkStart w:id="88" w:name="_Toc23140"/>
      <w:r>
        <w:rPr>
          <w:rFonts w:hint="eastAsia" w:ascii="宋体" w:hAnsi="宋体" w:eastAsia="宋体" w:cs="宋体"/>
          <w:b/>
          <w:color w:val="auto"/>
          <w:szCs w:val="21"/>
        </w:rPr>
        <w:t>17. 投标保证金</w:t>
      </w:r>
      <w:bookmarkEnd w:id="87"/>
      <w:bookmarkEnd w:id="88"/>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本项目无需缴纳投标保证金。</w:t>
      </w:r>
    </w:p>
    <w:p>
      <w:pPr>
        <w:spacing w:line="400" w:lineRule="exact"/>
        <w:ind w:firstLine="413" w:firstLineChars="196"/>
        <w:outlineLvl w:val="2"/>
        <w:rPr>
          <w:rFonts w:hint="eastAsia" w:ascii="宋体" w:hAnsi="宋体" w:eastAsia="宋体" w:cs="宋体"/>
          <w:b/>
          <w:color w:val="auto"/>
          <w:szCs w:val="21"/>
        </w:rPr>
      </w:pPr>
      <w:bookmarkStart w:id="89" w:name="_Toc14245"/>
      <w:bookmarkStart w:id="90" w:name="_Toc30873"/>
      <w:r>
        <w:rPr>
          <w:rFonts w:hint="eastAsia" w:ascii="宋体" w:hAnsi="宋体" w:eastAsia="宋体" w:cs="宋体"/>
          <w:b/>
          <w:color w:val="auto"/>
          <w:szCs w:val="21"/>
        </w:rPr>
        <w:t>18. 投标文件的份数、装订、签署和包装、密封</w:t>
      </w:r>
      <w:bookmarkEnd w:id="89"/>
      <w:bookmarkEnd w:id="90"/>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w:t>
      </w:r>
      <w:r>
        <w:rPr>
          <w:rFonts w:hint="eastAsia" w:ascii="宋体" w:hAnsi="宋体" w:eastAsia="宋体" w:cs="宋体"/>
          <w:b/>
          <w:color w:val="auto"/>
          <w:szCs w:val="21"/>
        </w:rPr>
        <w:t>投标文件份数：</w:t>
      </w:r>
      <w:r>
        <w:rPr>
          <w:rFonts w:hint="eastAsia" w:ascii="宋体" w:hAnsi="宋体" w:eastAsia="宋体" w:cs="宋体"/>
          <w:color w:val="auto"/>
          <w:szCs w:val="21"/>
        </w:rPr>
        <w:t>正本壹册，副本</w:t>
      </w:r>
      <w:r>
        <w:rPr>
          <w:rFonts w:hint="eastAsia" w:ascii="宋体" w:hAnsi="宋体" w:cs="宋体"/>
          <w:color w:val="auto"/>
          <w:szCs w:val="21"/>
          <w:lang w:eastAsia="zh-CN"/>
        </w:rPr>
        <w:t>肆</w:t>
      </w:r>
      <w:r>
        <w:rPr>
          <w:rFonts w:hint="eastAsia" w:ascii="宋体" w:hAnsi="宋体" w:eastAsia="宋体" w:cs="宋体"/>
          <w:color w:val="auto"/>
          <w:szCs w:val="21"/>
        </w:rPr>
        <w:t>册，须完整提交。</w:t>
      </w:r>
    </w:p>
    <w:p>
      <w:pPr>
        <w:tabs>
          <w:tab w:val="left" w:pos="1305"/>
          <w:tab w:val="center" w:pos="5029"/>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18.2</w:t>
      </w:r>
      <w:r>
        <w:rPr>
          <w:rFonts w:hint="eastAsia" w:ascii="宋体" w:hAnsi="宋体" w:eastAsia="宋体" w:cs="宋体"/>
          <w:b/>
          <w:color w:val="auto"/>
          <w:szCs w:val="21"/>
        </w:rPr>
        <w:t>投标文件装订：</w:t>
      </w:r>
      <w:r>
        <w:rPr>
          <w:rFonts w:hint="eastAsia" w:ascii="宋体" w:hAnsi="宋体" w:eastAsia="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18.3投标文件的正本需打印或用不褪色的墨水填写，投标文件正本除本招标文件中规定的可提供复印件外均须</w:t>
      </w:r>
      <w:r>
        <w:rPr>
          <w:rFonts w:hint="eastAsia" w:ascii="宋体" w:hAnsi="宋体" w:eastAsia="宋体" w:cs="宋体"/>
          <w:color w:val="auto"/>
          <w:szCs w:val="21"/>
          <w:u w:val="none"/>
        </w:rPr>
        <w:t>提供原件</w:t>
      </w:r>
      <w:r>
        <w:rPr>
          <w:rFonts w:hint="eastAsia" w:ascii="宋体" w:hAnsi="宋体" w:eastAsia="宋体" w:cs="宋体"/>
          <w:color w:val="auto"/>
          <w:szCs w:val="21"/>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18.4投标文件须由投标人在规定位置盖投标人公章</w:t>
      </w:r>
      <w:r>
        <w:rPr>
          <w:rFonts w:hint="eastAsia" w:ascii="宋体" w:hAnsi="宋体" w:eastAsia="宋体" w:cs="宋体"/>
          <w:bCs/>
          <w:color w:val="auto"/>
          <w:szCs w:val="21"/>
        </w:rPr>
        <w:t>（扫描公章无效）</w:t>
      </w:r>
      <w:r>
        <w:rPr>
          <w:rFonts w:hint="eastAsia" w:ascii="宋体" w:hAnsi="宋体" w:eastAsia="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18.6</w:t>
      </w:r>
      <w:r>
        <w:rPr>
          <w:rFonts w:hint="eastAsia" w:ascii="宋体" w:hAnsi="宋体" w:eastAsia="宋体" w:cs="宋体"/>
          <w:b/>
          <w:color w:val="auto"/>
          <w:szCs w:val="21"/>
        </w:rPr>
        <w:t>投标人公章：</w:t>
      </w:r>
      <w:r>
        <w:rPr>
          <w:rFonts w:hint="eastAsia" w:ascii="宋体" w:hAnsi="宋体" w:eastAsia="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18.7</w:t>
      </w:r>
      <w:r>
        <w:rPr>
          <w:rFonts w:hint="eastAsia" w:ascii="宋体" w:hAnsi="宋体" w:eastAsia="宋体" w:cs="宋体"/>
          <w:b/>
          <w:color w:val="auto"/>
          <w:szCs w:val="21"/>
        </w:rPr>
        <w:t>投标文件包装、密封：</w:t>
      </w:r>
      <w:r>
        <w:rPr>
          <w:rFonts w:hint="eastAsia" w:ascii="宋体" w:hAnsi="宋体" w:eastAsia="宋体" w:cs="宋体"/>
          <w:color w:val="auto"/>
          <w:szCs w:val="21"/>
        </w:rPr>
        <w:t>将投标文件“正本”、“副本”一并装入并密封在一个投标文件袋（盒、箱）中，并在密封处密封签章</w:t>
      </w:r>
      <w:r>
        <w:rPr>
          <w:rFonts w:hint="eastAsia" w:ascii="宋体" w:hAnsi="宋体" w:eastAsia="宋体" w:cs="宋体"/>
          <w:color w:val="auto"/>
          <w:sz w:val="18"/>
          <w:szCs w:val="18"/>
        </w:rPr>
        <w:t>【</w:t>
      </w:r>
      <w:r>
        <w:rPr>
          <w:rFonts w:hint="eastAsia" w:ascii="宋体" w:hAnsi="宋体" w:eastAsia="宋体" w:cs="宋体"/>
          <w:b/>
          <w:color w:val="auto"/>
          <w:szCs w:val="21"/>
        </w:rPr>
        <w:t>公章、密封章、法定代表人、负责人或相应的授权委托代理人签字均可</w:t>
      </w:r>
      <w:r>
        <w:rPr>
          <w:rFonts w:hint="eastAsia" w:ascii="宋体" w:hAnsi="宋体" w:eastAsia="宋体" w:cs="宋体"/>
          <w:color w:val="auto"/>
          <w:sz w:val="18"/>
          <w:szCs w:val="18"/>
        </w:rPr>
        <w:t>】</w:t>
      </w:r>
      <w:r>
        <w:rPr>
          <w:rFonts w:hint="eastAsia" w:ascii="宋体" w:hAnsi="宋体" w:eastAsia="宋体" w:cs="宋体"/>
          <w:color w:val="auto"/>
        </w:rPr>
        <w:t>。</w:t>
      </w:r>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rPr>
        <w:t>18.8</w:t>
      </w:r>
      <w:r>
        <w:rPr>
          <w:rFonts w:hint="eastAsia" w:ascii="宋体" w:hAnsi="宋体" w:eastAsia="宋体" w:cs="宋体"/>
          <w:b/>
          <w:color w:val="auto"/>
          <w:szCs w:val="21"/>
        </w:rPr>
        <w:t>投标文件袋（盒、箱）标记：</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项目名称：会仙校区15#楼学生床铺及柜子</w:t>
      </w:r>
    </w:p>
    <w:p>
      <w:pPr>
        <w:spacing w:line="400" w:lineRule="exact"/>
        <w:ind w:firstLine="630" w:firstLineChars="300"/>
        <w:rPr>
          <w:rFonts w:hint="eastAsia" w:ascii="宋体" w:hAnsi="宋体" w:cs="宋体"/>
          <w:color w:val="auto"/>
          <w:szCs w:val="21"/>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 xml:space="preserve">GLZC2020-G1-990086-JCZX </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采购代理机构：桂林市政府集中采购中心</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投标单位名称：</w:t>
      </w:r>
      <w:r>
        <w:rPr>
          <w:rFonts w:hint="eastAsia" w:ascii="宋体" w:hAnsi="宋体" w:eastAsia="宋体" w:cs="宋体"/>
          <w:color w:val="auto"/>
          <w:szCs w:val="21"/>
          <w:u w:val="single"/>
        </w:rPr>
        <w:t xml:space="preserve">                          </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 xml:space="preserve">在2020年 </w:t>
      </w:r>
      <w:r>
        <w:rPr>
          <w:rFonts w:hint="eastAsia" w:ascii="宋体" w:hAnsi="宋体" w:cs="宋体"/>
          <w:color w:val="auto"/>
          <w:szCs w:val="21"/>
          <w:lang w:val="en-US" w:eastAsia="zh-CN"/>
        </w:rPr>
        <w:t>9</w:t>
      </w:r>
      <w:r>
        <w:rPr>
          <w:rFonts w:hint="eastAsia" w:ascii="宋体" w:hAnsi="宋体" w:eastAsia="宋体" w:cs="宋体"/>
          <w:color w:val="auto"/>
          <w:szCs w:val="21"/>
        </w:rPr>
        <w:t xml:space="preserve"> 月</w:t>
      </w:r>
      <w:r>
        <w:rPr>
          <w:rFonts w:hint="eastAsia" w:ascii="宋体" w:hAnsi="宋体" w:cs="宋体"/>
          <w:color w:val="auto"/>
          <w:szCs w:val="21"/>
          <w:lang w:val="en-US" w:eastAsia="zh-CN"/>
        </w:rPr>
        <w:t>7</w:t>
      </w:r>
      <w:r>
        <w:rPr>
          <w:rFonts w:hint="eastAsia" w:ascii="宋体" w:hAnsi="宋体" w:eastAsia="宋体" w:cs="宋体"/>
          <w:color w:val="auto"/>
          <w:szCs w:val="21"/>
        </w:rPr>
        <w:t xml:space="preserve">日上午 </w:t>
      </w:r>
      <w:r>
        <w:rPr>
          <w:rFonts w:hint="eastAsia" w:ascii="宋体" w:hAnsi="宋体" w:cs="宋体"/>
          <w:color w:val="auto"/>
          <w:szCs w:val="21"/>
          <w:lang w:val="en-US" w:eastAsia="zh-CN"/>
        </w:rPr>
        <w:t>9</w:t>
      </w:r>
      <w:r>
        <w:rPr>
          <w:rFonts w:hint="eastAsia" w:ascii="宋体" w:hAnsi="宋体" w:eastAsia="宋体" w:cs="宋体"/>
          <w:color w:val="auto"/>
          <w:szCs w:val="21"/>
        </w:rPr>
        <w:t xml:space="preserve"> 时 </w:t>
      </w:r>
      <w:r>
        <w:rPr>
          <w:rFonts w:hint="eastAsia" w:ascii="宋体" w:hAnsi="宋体" w:cs="宋体"/>
          <w:color w:val="auto"/>
          <w:szCs w:val="21"/>
          <w:lang w:val="en-US" w:eastAsia="zh-CN"/>
        </w:rPr>
        <w:t>30</w:t>
      </w:r>
      <w:r>
        <w:rPr>
          <w:rFonts w:hint="eastAsia" w:ascii="宋体" w:hAnsi="宋体" w:eastAsia="宋体" w:cs="宋体"/>
          <w:color w:val="auto"/>
          <w:szCs w:val="21"/>
        </w:rPr>
        <w:t xml:space="preserve"> 分前不得开启（此处填写截标时间）</w:t>
      </w:r>
    </w:p>
    <w:p>
      <w:pPr>
        <w:spacing w:line="400" w:lineRule="exact"/>
        <w:ind w:firstLine="413" w:firstLineChars="196"/>
        <w:outlineLvl w:val="2"/>
        <w:rPr>
          <w:rFonts w:hint="eastAsia" w:ascii="宋体" w:hAnsi="宋体" w:eastAsia="宋体" w:cs="宋体"/>
          <w:b/>
          <w:color w:val="auto"/>
          <w:szCs w:val="21"/>
        </w:rPr>
      </w:pPr>
      <w:bookmarkStart w:id="91" w:name="_Toc679"/>
      <w:bookmarkStart w:id="92" w:name="_Toc24490"/>
      <w:r>
        <w:rPr>
          <w:rFonts w:hint="eastAsia" w:ascii="宋体" w:hAnsi="宋体" w:eastAsia="宋体" w:cs="宋体"/>
          <w:b/>
          <w:color w:val="auto"/>
          <w:szCs w:val="21"/>
        </w:rPr>
        <w:t>19. 投标文件的补充、修改和撤回</w:t>
      </w:r>
      <w:bookmarkEnd w:id="91"/>
      <w:bookmarkEnd w:id="92"/>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hint="eastAsia" w:ascii="宋体" w:hAnsi="宋体" w:eastAsia="宋体" w:cs="宋体"/>
          <w:b/>
          <w:color w:val="auto"/>
          <w:szCs w:val="21"/>
        </w:rPr>
      </w:pPr>
      <w:bookmarkStart w:id="93" w:name="_Toc31572"/>
      <w:bookmarkStart w:id="94" w:name="_Toc26497"/>
      <w:r>
        <w:rPr>
          <w:rFonts w:hint="eastAsia" w:ascii="宋体" w:hAnsi="宋体" w:eastAsia="宋体" w:cs="宋体"/>
          <w:b/>
          <w:color w:val="auto"/>
          <w:szCs w:val="21"/>
        </w:rPr>
        <w:t>20. 投标文件的递交</w:t>
      </w:r>
      <w:bookmarkEnd w:id="93"/>
      <w:bookmarkEnd w:id="94"/>
    </w:p>
    <w:p>
      <w:pPr>
        <w:tabs>
          <w:tab w:val="left" w:pos="7200"/>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20.1</w:t>
      </w:r>
      <w:r>
        <w:rPr>
          <w:rFonts w:hint="eastAsia" w:ascii="宋体" w:hAnsi="宋体" w:eastAsia="宋体" w:cs="宋体"/>
          <w:color w:val="auto"/>
          <w:szCs w:val="21"/>
        </w:rPr>
        <w:t>投标截止时间：2020年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7</w:t>
      </w:r>
      <w:r>
        <w:rPr>
          <w:rFonts w:hint="eastAsia" w:ascii="宋体" w:hAnsi="宋体" w:eastAsia="宋体" w:cs="宋体"/>
          <w:color w:val="auto"/>
          <w:szCs w:val="21"/>
        </w:rPr>
        <w:t>日</w:t>
      </w:r>
      <w:r>
        <w:rPr>
          <w:rFonts w:hint="eastAsia" w:ascii="宋体" w:hAnsi="宋体" w:cs="宋体"/>
          <w:color w:val="auto"/>
          <w:szCs w:val="21"/>
          <w:lang w:val="en-US" w:eastAsia="zh-CN"/>
        </w:rPr>
        <w:t>9</w:t>
      </w:r>
      <w:r>
        <w:rPr>
          <w:rFonts w:hint="eastAsia" w:ascii="宋体" w:hAnsi="宋体" w:eastAsia="宋体" w:cs="宋体"/>
          <w:color w:val="auto"/>
          <w:szCs w:val="21"/>
        </w:rPr>
        <w:t>时30分。</w:t>
      </w:r>
    </w:p>
    <w:p>
      <w:pPr>
        <w:tabs>
          <w:tab w:val="left" w:pos="7200"/>
        </w:tabs>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lang w:val="en-US" w:eastAsia="zh-CN"/>
        </w:rPr>
        <w:t>20.2</w:t>
      </w:r>
      <w:r>
        <w:rPr>
          <w:rFonts w:hint="eastAsia" w:ascii="宋体" w:hAnsi="宋体" w:eastAsia="宋体" w:cs="宋体"/>
          <w:color w:val="auto"/>
          <w:szCs w:val="21"/>
        </w:rPr>
        <w:t>投标文件递交：投标人应于2020年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7</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时00分至2020年</w:t>
      </w:r>
      <w:r>
        <w:rPr>
          <w:rFonts w:hint="eastAsia" w:ascii="宋体" w:hAnsi="宋体" w:cs="宋体"/>
          <w:color w:val="auto"/>
          <w:szCs w:val="21"/>
          <w:lang w:val="en-US" w:eastAsia="zh-CN"/>
        </w:rPr>
        <w:t>9</w:t>
      </w:r>
      <w:r>
        <w:rPr>
          <w:rFonts w:hint="eastAsia" w:ascii="宋体" w:hAnsi="宋体" w:eastAsia="宋体" w:cs="宋体"/>
          <w:color w:val="auto"/>
          <w:szCs w:val="21"/>
        </w:rPr>
        <w:t>月</w:t>
      </w:r>
      <w:r>
        <w:rPr>
          <w:rFonts w:hint="eastAsia" w:ascii="宋体" w:hAnsi="宋体" w:cs="宋体"/>
          <w:color w:val="auto"/>
          <w:szCs w:val="21"/>
          <w:lang w:val="en-US" w:eastAsia="zh-CN"/>
        </w:rPr>
        <w:t>7</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30</w:t>
      </w:r>
      <w:r>
        <w:rPr>
          <w:rFonts w:hint="eastAsia" w:ascii="宋体" w:hAnsi="宋体" w:eastAsia="宋体" w:cs="宋体"/>
          <w:color w:val="auto"/>
          <w:szCs w:val="21"/>
        </w:rPr>
        <w:t>分</w:t>
      </w:r>
      <w:r>
        <w:rPr>
          <w:rFonts w:hint="eastAsia" w:ascii="宋体" w:hAnsi="宋体" w:cs="宋体"/>
          <w:color w:val="auto"/>
          <w:szCs w:val="21"/>
          <w:lang w:val="en-US" w:eastAsia="zh-CN"/>
        </w:rPr>
        <w:t>止</w:t>
      </w:r>
      <w:r>
        <w:rPr>
          <w:rFonts w:hint="eastAsia" w:ascii="宋体" w:hAnsi="宋体" w:eastAsia="宋体" w:cs="宋体"/>
          <w:b/>
          <w:color w:val="auto"/>
        </w:rPr>
        <w:t>，</w:t>
      </w:r>
      <w:r>
        <w:rPr>
          <w:rFonts w:hint="eastAsia" w:ascii="宋体" w:hAnsi="宋体" w:eastAsia="宋体" w:cs="宋体"/>
          <w:color w:val="auto"/>
          <w:szCs w:val="21"/>
        </w:rPr>
        <w:t>将投标文件密封提交至</w:t>
      </w:r>
      <w:r>
        <w:rPr>
          <w:rFonts w:hint="eastAsia" w:ascii="宋体" w:hAnsi="宋体" w:eastAsia="宋体" w:cs="宋体"/>
          <w:color w:val="auto"/>
          <w:szCs w:val="21"/>
          <w:u w:val="none"/>
        </w:rPr>
        <w:t>桂林市公共资源交易中心（广西桂林市临桂区西城中路69号创业大厦西辅楼4楼）</w:t>
      </w:r>
      <w:r>
        <w:rPr>
          <w:rFonts w:hint="eastAsia" w:ascii="宋体" w:hAnsi="宋体" w:cs="宋体"/>
          <w:color w:val="auto"/>
          <w:szCs w:val="21"/>
          <w:u w:val="none"/>
          <w:lang w:val="en-US" w:eastAsia="zh-CN"/>
        </w:rPr>
        <w:t>12</w:t>
      </w:r>
      <w:r>
        <w:rPr>
          <w:rFonts w:hint="eastAsia" w:ascii="宋体" w:hAnsi="宋体" w:eastAsia="宋体" w:cs="宋体"/>
          <w:color w:val="auto"/>
          <w:szCs w:val="21"/>
          <w:u w:val="none"/>
        </w:rPr>
        <w:t>号开标室</w:t>
      </w:r>
      <w:r>
        <w:rPr>
          <w:rFonts w:hint="eastAsia" w:ascii="宋体" w:hAnsi="宋体" w:eastAsia="宋体" w:cs="宋体"/>
          <w:color w:val="auto"/>
        </w:rPr>
        <w:t>，逾期送达的或未送达指定地点的投标文件将予以拒收。</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20.</w:t>
      </w:r>
      <w:r>
        <w:rPr>
          <w:rFonts w:hint="eastAsia" w:ascii="宋体" w:hAnsi="宋体" w:eastAsia="宋体" w:cs="宋体"/>
          <w:color w:val="auto"/>
          <w:szCs w:val="21"/>
          <w:lang w:val="en-US" w:eastAsia="zh-CN"/>
        </w:rPr>
        <w:t>3</w:t>
      </w:r>
      <w:r>
        <w:rPr>
          <w:rFonts w:hint="eastAsia" w:ascii="宋体" w:hAnsi="宋体" w:eastAsia="宋体" w:cs="宋体"/>
          <w:color w:val="auto"/>
          <w:szCs w:val="21"/>
        </w:rPr>
        <w:t>除招标文件另有规定外，投标人所递交的投标文件</w:t>
      </w:r>
      <w:r>
        <w:rPr>
          <w:rFonts w:hint="eastAsia" w:ascii="宋体" w:hAnsi="宋体" w:eastAsia="宋体" w:cs="宋体"/>
          <w:color w:val="auto"/>
          <w:szCs w:val="21"/>
          <w:lang w:val="en-US" w:eastAsia="zh-CN"/>
        </w:rPr>
        <w:t>在投标截止时间后</w:t>
      </w:r>
      <w:r>
        <w:rPr>
          <w:rFonts w:hint="eastAsia" w:ascii="宋体" w:hAnsi="宋体" w:eastAsia="宋体" w:cs="宋体"/>
          <w:color w:val="auto"/>
          <w:szCs w:val="21"/>
        </w:rPr>
        <w:t>不予退还。</w:t>
      </w:r>
    </w:p>
    <w:p>
      <w:pPr>
        <w:spacing w:line="400" w:lineRule="exact"/>
        <w:ind w:firstLine="435"/>
        <w:rPr>
          <w:rFonts w:hint="eastAsia" w:ascii="宋体" w:hAnsi="宋体" w:eastAsia="宋体" w:cs="宋体"/>
          <w:color w:val="auto"/>
        </w:rPr>
      </w:pPr>
      <w:r>
        <w:rPr>
          <w:rFonts w:hint="eastAsia" w:ascii="宋体" w:hAnsi="宋体" w:eastAsia="宋体" w:cs="宋体"/>
          <w:color w:val="auto"/>
        </w:rPr>
        <w:t>20.</w:t>
      </w:r>
      <w:r>
        <w:rPr>
          <w:rFonts w:hint="eastAsia" w:ascii="宋体" w:hAnsi="宋体" w:eastAsia="宋体" w:cs="宋体"/>
          <w:color w:val="auto"/>
          <w:lang w:val="en-US" w:eastAsia="zh-CN"/>
        </w:rPr>
        <w:t>4</w:t>
      </w:r>
      <w:r>
        <w:rPr>
          <w:rFonts w:hint="eastAsia" w:ascii="宋体" w:hAnsi="宋体" w:eastAsia="宋体" w:cs="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eastAsia="宋体" w:cs="宋体"/>
          <w:color w:val="auto"/>
        </w:rPr>
      </w:pPr>
    </w:p>
    <w:p>
      <w:pPr>
        <w:spacing w:line="360" w:lineRule="auto"/>
        <w:jc w:val="center"/>
        <w:outlineLvl w:val="1"/>
        <w:rPr>
          <w:rFonts w:hint="eastAsia" w:ascii="宋体" w:hAnsi="宋体" w:eastAsia="宋体" w:cs="宋体"/>
          <w:b/>
          <w:color w:val="auto"/>
          <w:sz w:val="28"/>
          <w:szCs w:val="28"/>
        </w:rPr>
      </w:pPr>
      <w:bookmarkStart w:id="95" w:name="_Toc495841757"/>
      <w:bookmarkStart w:id="96" w:name="_Toc307"/>
      <w:bookmarkStart w:id="97" w:name="_Toc23749"/>
      <w:r>
        <w:rPr>
          <w:rFonts w:hint="eastAsia" w:ascii="宋体" w:hAnsi="宋体" w:eastAsia="宋体" w:cs="宋体"/>
          <w:b/>
          <w:color w:val="auto"/>
          <w:sz w:val="28"/>
          <w:szCs w:val="28"/>
        </w:rPr>
        <w:t>四、开标</w:t>
      </w:r>
      <w:bookmarkEnd w:id="95"/>
      <w:bookmarkEnd w:id="96"/>
      <w:bookmarkEnd w:id="97"/>
    </w:p>
    <w:p>
      <w:pPr>
        <w:spacing w:line="400" w:lineRule="exact"/>
        <w:ind w:firstLine="413" w:firstLineChars="196"/>
        <w:outlineLvl w:val="2"/>
        <w:rPr>
          <w:rFonts w:hint="eastAsia" w:ascii="宋体" w:hAnsi="宋体" w:eastAsia="宋体" w:cs="宋体"/>
          <w:b/>
          <w:color w:val="auto"/>
          <w:szCs w:val="21"/>
        </w:rPr>
      </w:pPr>
      <w:bookmarkStart w:id="98" w:name="_Toc28972"/>
      <w:bookmarkStart w:id="99" w:name="_Toc17073"/>
      <w:r>
        <w:rPr>
          <w:rFonts w:hint="eastAsia" w:ascii="宋体" w:hAnsi="宋体" w:eastAsia="宋体" w:cs="宋体"/>
          <w:b/>
          <w:color w:val="auto"/>
          <w:szCs w:val="21"/>
        </w:rPr>
        <w:t>21. 开标时间及地点</w:t>
      </w:r>
      <w:bookmarkEnd w:id="98"/>
      <w:bookmarkEnd w:id="99"/>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21.1开标时间及地点：开标时间：</w:t>
      </w:r>
      <w:r>
        <w:rPr>
          <w:rFonts w:hint="eastAsia" w:ascii="宋体" w:hAnsi="宋体" w:eastAsia="宋体" w:cs="宋体"/>
          <w:color w:val="auto"/>
          <w:szCs w:val="21"/>
          <w:u w:val="none"/>
        </w:rPr>
        <w:t>2020年</w:t>
      </w:r>
      <w:r>
        <w:rPr>
          <w:rFonts w:hint="eastAsia" w:ascii="宋体" w:hAnsi="宋体" w:cs="宋体"/>
          <w:color w:val="auto"/>
          <w:szCs w:val="21"/>
          <w:u w:val="none"/>
          <w:lang w:val="en-US" w:eastAsia="zh-CN"/>
        </w:rPr>
        <w:t>9</w:t>
      </w:r>
      <w:r>
        <w:rPr>
          <w:rFonts w:hint="eastAsia" w:ascii="宋体" w:hAnsi="宋体" w:eastAsia="宋体" w:cs="宋体"/>
          <w:color w:val="auto"/>
          <w:szCs w:val="21"/>
          <w:u w:val="none"/>
        </w:rPr>
        <w:t>月</w:t>
      </w:r>
      <w:r>
        <w:rPr>
          <w:rFonts w:hint="eastAsia" w:ascii="宋体" w:hAnsi="宋体" w:cs="宋体"/>
          <w:color w:val="auto"/>
          <w:szCs w:val="21"/>
          <w:u w:val="none"/>
          <w:lang w:val="en-US" w:eastAsia="zh-CN"/>
        </w:rPr>
        <w:t>7</w:t>
      </w:r>
      <w:r>
        <w:rPr>
          <w:rFonts w:hint="eastAsia" w:ascii="宋体" w:hAnsi="宋体" w:eastAsia="宋体" w:cs="宋体"/>
          <w:color w:val="auto"/>
          <w:szCs w:val="21"/>
          <w:u w:val="none"/>
        </w:rPr>
        <w:t>日</w:t>
      </w:r>
      <w:r>
        <w:rPr>
          <w:rFonts w:hint="eastAsia" w:ascii="宋体" w:hAnsi="宋体" w:cs="宋体"/>
          <w:color w:val="auto"/>
          <w:szCs w:val="21"/>
          <w:u w:val="none"/>
          <w:lang w:val="en-US" w:eastAsia="zh-CN"/>
        </w:rPr>
        <w:t>9</w:t>
      </w:r>
      <w:r>
        <w:rPr>
          <w:rFonts w:hint="eastAsia" w:ascii="宋体" w:hAnsi="宋体" w:eastAsia="宋体" w:cs="宋体"/>
          <w:color w:val="auto"/>
          <w:szCs w:val="21"/>
          <w:u w:val="none"/>
        </w:rPr>
        <w:t>时30分；开标地点：桂林市公共资源交易中心（广西桂林市临桂区西城中路69号创业大厦西辅楼4楼）</w:t>
      </w:r>
      <w:r>
        <w:rPr>
          <w:rFonts w:hint="eastAsia" w:ascii="宋体" w:hAnsi="宋体" w:cs="宋体"/>
          <w:color w:val="auto"/>
          <w:szCs w:val="21"/>
          <w:u w:val="none"/>
          <w:lang w:val="en-US" w:eastAsia="zh-CN"/>
        </w:rPr>
        <w:t>12</w:t>
      </w:r>
      <w:r>
        <w:rPr>
          <w:rFonts w:hint="eastAsia" w:ascii="宋体" w:hAnsi="宋体" w:eastAsia="宋体" w:cs="宋体"/>
          <w:color w:val="auto"/>
          <w:szCs w:val="21"/>
          <w:u w:val="none"/>
        </w:rPr>
        <w:t>号开标室</w:t>
      </w:r>
      <w:r>
        <w:rPr>
          <w:rFonts w:hint="eastAsia" w:ascii="宋体" w:hAnsi="宋体" w:eastAsia="宋体" w:cs="宋体"/>
          <w:color w:val="auto"/>
          <w:szCs w:val="21"/>
        </w:rPr>
        <w:t>开标。</w:t>
      </w:r>
      <w:r>
        <w:rPr>
          <w:rFonts w:hint="eastAsia" w:ascii="宋体" w:hAnsi="宋体" w:eastAsia="宋体" w:cs="宋体"/>
          <w:color w:val="auto"/>
        </w:rPr>
        <w:t>投标人可以由法定代表人、负责人、自然人或其委托代理人出席开标会议</w:t>
      </w:r>
      <w:r>
        <w:rPr>
          <w:rFonts w:hint="eastAsia" w:ascii="宋体" w:hAnsi="宋体" w:eastAsia="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21.2投标人不足3家的，不得开标，采购人或者采购代理机构应当重新组织采购。</w:t>
      </w:r>
    </w:p>
    <w:p>
      <w:pPr>
        <w:spacing w:line="400" w:lineRule="exact"/>
        <w:ind w:firstLine="413" w:firstLineChars="196"/>
        <w:outlineLvl w:val="2"/>
        <w:rPr>
          <w:rFonts w:hint="eastAsia" w:ascii="宋体" w:hAnsi="宋体" w:eastAsia="宋体" w:cs="宋体"/>
          <w:b/>
          <w:color w:val="auto"/>
          <w:szCs w:val="21"/>
        </w:rPr>
      </w:pPr>
      <w:bookmarkStart w:id="100" w:name="_Toc30797"/>
      <w:bookmarkStart w:id="101" w:name="_Toc11217"/>
      <w:r>
        <w:rPr>
          <w:rFonts w:hint="eastAsia" w:ascii="宋体" w:hAnsi="宋体" w:eastAsia="宋体" w:cs="宋体"/>
          <w:b/>
          <w:color w:val="auto"/>
          <w:szCs w:val="21"/>
        </w:rPr>
        <w:t>22. 开标程序</w:t>
      </w:r>
      <w:bookmarkEnd w:id="100"/>
      <w:bookmarkEnd w:id="101"/>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（2）投标人对其投标文件的密封情况进行检查并确认签字；</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（3）按各投标人提交投标文件时间的先后顺序打开投标文件外包装；</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rPr>
        <w:t>（6）</w:t>
      </w:r>
      <w:r>
        <w:rPr>
          <w:rFonts w:hint="eastAsia" w:ascii="宋体" w:hAnsi="宋体" w:eastAsia="宋体" w:cs="宋体"/>
          <w:color w:val="auto"/>
          <w:szCs w:val="21"/>
        </w:rPr>
        <w:t>投标人代表对开标过程和开标记录有</w:t>
      </w:r>
      <w:r>
        <w:rPr>
          <w:rFonts w:hint="eastAsia" w:ascii="宋体" w:hAnsi="宋体" w:eastAsia="宋体" w:cs="宋体"/>
          <w:color w:val="auto"/>
          <w:szCs w:val="21"/>
          <w:lang w:val="en-US" w:eastAsia="zh-CN"/>
        </w:rPr>
        <w:t>疑义</w:t>
      </w:r>
      <w:r>
        <w:rPr>
          <w:rFonts w:hint="eastAsia" w:ascii="宋体" w:hAnsi="宋体" w:eastAsia="宋体" w:cs="宋体"/>
          <w:color w:val="auto"/>
          <w:szCs w:val="21"/>
        </w:rPr>
        <w:t>，以及认为采购人、采购代理机构相关工作人员有需要回避的情形的，应当场提出询问或者回避申请。采购人、采购代理机构对投标人代表提出的询问或者回避申请应当及时处理。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hint="eastAsia" w:ascii="宋体" w:hAnsi="宋体" w:eastAsia="宋体" w:cs="宋体"/>
          <w:color w:val="auto"/>
          <w:szCs w:val="21"/>
        </w:rPr>
      </w:pPr>
    </w:p>
    <w:p>
      <w:pPr>
        <w:spacing w:line="360" w:lineRule="auto"/>
        <w:jc w:val="center"/>
        <w:outlineLvl w:val="1"/>
        <w:rPr>
          <w:rFonts w:hint="eastAsia" w:ascii="宋体" w:hAnsi="宋体" w:eastAsia="宋体" w:cs="宋体"/>
          <w:b/>
          <w:color w:val="auto"/>
          <w:sz w:val="28"/>
          <w:szCs w:val="28"/>
        </w:rPr>
      </w:pPr>
      <w:bookmarkStart w:id="102" w:name="_Toc13013"/>
      <w:bookmarkStart w:id="103" w:name="_Toc29467"/>
      <w:bookmarkStart w:id="104" w:name="_Toc495841758"/>
      <w:r>
        <w:rPr>
          <w:rFonts w:hint="eastAsia" w:ascii="宋体" w:hAnsi="宋体" w:eastAsia="宋体" w:cs="宋体"/>
          <w:b/>
          <w:color w:val="auto"/>
          <w:sz w:val="28"/>
          <w:szCs w:val="28"/>
        </w:rPr>
        <w:t>五、资格性审查</w:t>
      </w:r>
      <w:bookmarkEnd w:id="102"/>
      <w:bookmarkEnd w:id="103"/>
      <w:bookmarkEnd w:id="104"/>
    </w:p>
    <w:p>
      <w:pPr>
        <w:spacing w:line="400" w:lineRule="exact"/>
        <w:ind w:firstLine="413" w:firstLineChars="196"/>
        <w:outlineLvl w:val="2"/>
        <w:rPr>
          <w:rFonts w:hint="eastAsia" w:ascii="宋体" w:hAnsi="宋体" w:eastAsia="宋体" w:cs="宋体"/>
          <w:b/>
          <w:color w:val="auto"/>
          <w:szCs w:val="21"/>
        </w:rPr>
      </w:pPr>
      <w:bookmarkStart w:id="105" w:name="_Toc13578"/>
      <w:bookmarkStart w:id="106" w:name="_Toc31377"/>
      <w:r>
        <w:rPr>
          <w:rFonts w:hint="eastAsia" w:ascii="宋体" w:hAnsi="宋体" w:eastAsia="宋体" w:cs="宋体"/>
          <w:b/>
          <w:color w:val="auto"/>
          <w:szCs w:val="21"/>
        </w:rPr>
        <w:t>23. 资格性审查</w:t>
      </w:r>
      <w:bookmarkEnd w:id="105"/>
      <w:bookmarkEnd w:id="106"/>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23.1公开招标采购项目开标结束后，采购人应当依法对投标人的资格进行审查。合格投标人不足3家的，不得评标。</w:t>
      </w:r>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23.2</w:t>
      </w:r>
      <w:r>
        <w:rPr>
          <w:rFonts w:hint="eastAsia" w:ascii="宋体" w:hAnsi="宋体" w:eastAsia="宋体" w:cs="宋体"/>
          <w:b/>
          <w:bCs/>
          <w:color w:val="auto"/>
          <w:szCs w:val="21"/>
        </w:rPr>
        <w:t>采购人或者采购代理机构</w:t>
      </w:r>
      <w:r>
        <w:rPr>
          <w:rFonts w:hint="eastAsia" w:ascii="宋体" w:hAnsi="宋体" w:eastAsia="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查询渠道：《国家企业信用信息公示系统》（网址：</w:t>
      </w:r>
      <w:r>
        <w:rPr>
          <w:rFonts w:hint="eastAsia" w:ascii="宋体" w:hAnsi="宋体" w:eastAsia="宋体" w:cs="宋体"/>
          <w:color w:val="auto"/>
          <w:szCs w:val="21"/>
          <w:u w:val="none"/>
        </w:rPr>
        <w:t>www.gsxt.gov.cn</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审查流程：</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（1）进入《国家企业信用信息公示系统》（网址：http:www.gsxt.gov.cn），输入企业名称，进入企业信息主页面；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（2）查看主页“股东及出资信息”栏，或年报中的“股东及出资信息”栏信息；</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（3）将各投标人的股东及出资信息进行比对，得出审查结论；</w:t>
      </w:r>
    </w:p>
    <w:p>
      <w:pPr>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（4）将相关资料作为评审资料打印存档。</w:t>
      </w:r>
    </w:p>
    <w:p>
      <w:pPr>
        <w:snapToGrid w:val="0"/>
        <w:spacing w:line="400" w:lineRule="exact"/>
        <w:ind w:firstLine="420" w:firstLineChars="200"/>
        <w:rPr>
          <w:rFonts w:hint="eastAsia" w:ascii="宋体" w:hAnsi="宋体" w:eastAsia="宋体" w:cs="宋体"/>
          <w:color w:val="auto"/>
          <w:szCs w:val="21"/>
        </w:rPr>
      </w:pPr>
    </w:p>
    <w:p>
      <w:pPr>
        <w:spacing w:line="360" w:lineRule="auto"/>
        <w:jc w:val="center"/>
        <w:outlineLvl w:val="1"/>
        <w:rPr>
          <w:rFonts w:hint="eastAsia" w:ascii="宋体" w:hAnsi="宋体" w:eastAsia="宋体" w:cs="宋体"/>
          <w:b/>
          <w:color w:val="auto"/>
          <w:sz w:val="28"/>
          <w:szCs w:val="28"/>
        </w:rPr>
      </w:pPr>
      <w:bookmarkStart w:id="107" w:name="_Toc17211"/>
      <w:bookmarkStart w:id="108" w:name="_Toc495841759"/>
      <w:bookmarkStart w:id="109" w:name="_Toc3415"/>
    </w:p>
    <w:p>
      <w:pPr>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六、评标</w:t>
      </w:r>
      <w:bookmarkEnd w:id="107"/>
      <w:bookmarkEnd w:id="108"/>
      <w:bookmarkEnd w:id="109"/>
    </w:p>
    <w:p>
      <w:pPr>
        <w:spacing w:line="360" w:lineRule="exact"/>
        <w:ind w:firstLine="413" w:firstLineChars="196"/>
        <w:outlineLvl w:val="2"/>
        <w:rPr>
          <w:rFonts w:hint="eastAsia" w:ascii="宋体" w:hAnsi="宋体" w:eastAsia="宋体" w:cs="宋体"/>
          <w:b/>
          <w:color w:val="auto"/>
          <w:szCs w:val="21"/>
        </w:rPr>
      </w:pPr>
      <w:bookmarkStart w:id="110" w:name="_Toc14350"/>
      <w:bookmarkStart w:id="111" w:name="_Toc14749"/>
      <w:r>
        <w:rPr>
          <w:rFonts w:hint="eastAsia" w:ascii="宋体" w:hAnsi="宋体" w:eastAsia="宋体" w:cs="宋体"/>
          <w:b/>
          <w:color w:val="auto"/>
          <w:szCs w:val="21"/>
        </w:rPr>
        <w:t>24. 评标委员会组成</w:t>
      </w:r>
      <w:bookmarkEnd w:id="110"/>
      <w:bookmarkEnd w:id="111"/>
    </w:p>
    <w:p>
      <w:pPr>
        <w:spacing w:line="360" w:lineRule="exact"/>
        <w:ind w:firstLine="420" w:firstLineChars="200"/>
        <w:rPr>
          <w:rFonts w:hint="eastAsia" w:ascii="宋体" w:hAnsi="宋体" w:eastAsia="宋体" w:cs="宋体"/>
          <w:color w:val="auto"/>
          <w:szCs w:val="21"/>
        </w:rPr>
      </w:pPr>
      <w:r>
        <w:rPr>
          <w:color w:val="auto"/>
          <w:szCs w:val="21"/>
        </w:rPr>
        <w:t>评标委员会由采购人代表和有关技术、经济等方面的专家组成，成员人</w:t>
      </w:r>
      <w:r>
        <w:rPr>
          <w:color w:val="auto"/>
          <w:szCs w:val="21"/>
          <w:u w:val="none"/>
        </w:rPr>
        <w:t>数共</w:t>
      </w:r>
      <w:r>
        <w:rPr>
          <w:rFonts w:hint="eastAsia"/>
          <w:color w:val="auto"/>
          <w:szCs w:val="21"/>
          <w:u w:val="none"/>
          <w:lang w:val="en-US" w:eastAsia="zh-CN"/>
        </w:rPr>
        <w:t>5</w:t>
      </w:r>
      <w:r>
        <w:rPr>
          <w:color w:val="auto"/>
          <w:szCs w:val="21"/>
          <w:u w:val="none"/>
        </w:rPr>
        <w:t>人，其中采购人代表1人，技术、经济等专家</w:t>
      </w:r>
      <w:r>
        <w:rPr>
          <w:rFonts w:hint="eastAsia"/>
          <w:color w:val="auto"/>
          <w:szCs w:val="21"/>
          <w:u w:val="none"/>
          <w:lang w:val="en-US" w:eastAsia="zh-CN"/>
        </w:rPr>
        <w:t>4</w:t>
      </w:r>
      <w:r>
        <w:rPr>
          <w:color w:val="auto"/>
          <w:szCs w:val="21"/>
          <w:u w:val="none"/>
        </w:rPr>
        <w:t>人</w:t>
      </w:r>
      <w:r>
        <w:rPr>
          <w:color w:val="auto"/>
          <w:szCs w:val="21"/>
        </w:rPr>
        <w:t>。</w:t>
      </w:r>
    </w:p>
    <w:p>
      <w:pPr>
        <w:spacing w:line="360" w:lineRule="exact"/>
        <w:ind w:firstLine="413" w:firstLineChars="196"/>
        <w:outlineLvl w:val="2"/>
        <w:rPr>
          <w:rFonts w:hint="eastAsia" w:ascii="宋体" w:hAnsi="宋体" w:eastAsia="宋体" w:cs="宋体"/>
          <w:b/>
          <w:color w:val="auto"/>
          <w:szCs w:val="21"/>
        </w:rPr>
      </w:pPr>
      <w:bookmarkStart w:id="112" w:name="_Toc26961"/>
      <w:bookmarkStart w:id="113" w:name="_Toc24437"/>
      <w:r>
        <w:rPr>
          <w:rFonts w:hint="eastAsia" w:ascii="宋体" w:hAnsi="宋体" w:eastAsia="宋体" w:cs="宋体"/>
          <w:b/>
          <w:color w:val="auto"/>
          <w:szCs w:val="21"/>
        </w:rPr>
        <w:t>25. 评标办法</w:t>
      </w:r>
      <w:bookmarkEnd w:id="112"/>
      <w:bookmarkEnd w:id="113"/>
    </w:p>
    <w:p>
      <w:pPr>
        <w:tabs>
          <w:tab w:val="left" w:pos="114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25.1评标办法：综合评分法，具体评标内容及标准详见第四章。</w:t>
      </w:r>
    </w:p>
    <w:p>
      <w:pPr>
        <w:tabs>
          <w:tab w:val="left" w:pos="1140"/>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szCs w:val="21"/>
        </w:rPr>
        <w:t>25.2评标委员会应按招标文件进行评标，不得擅自更改评标办法。</w:t>
      </w:r>
    </w:p>
    <w:p>
      <w:pPr>
        <w:spacing w:line="360" w:lineRule="exact"/>
        <w:ind w:firstLine="413" w:firstLineChars="196"/>
        <w:outlineLvl w:val="2"/>
        <w:rPr>
          <w:rFonts w:hint="eastAsia" w:ascii="宋体" w:hAnsi="宋体" w:eastAsia="宋体" w:cs="宋体"/>
          <w:b/>
          <w:color w:val="auto"/>
          <w:szCs w:val="21"/>
        </w:rPr>
      </w:pPr>
      <w:bookmarkStart w:id="114" w:name="_Toc20321"/>
      <w:bookmarkStart w:id="115" w:name="_Toc29124"/>
      <w:r>
        <w:rPr>
          <w:rFonts w:hint="eastAsia" w:ascii="宋体" w:hAnsi="宋体" w:eastAsia="宋体" w:cs="宋体"/>
          <w:b/>
          <w:color w:val="auto"/>
          <w:szCs w:val="21"/>
        </w:rPr>
        <w:t>26. 评标</w:t>
      </w:r>
      <w:bookmarkEnd w:id="114"/>
      <w:bookmarkEnd w:id="115"/>
    </w:p>
    <w:p>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26.1采购代理机构负责评标组织工作</w:t>
      </w:r>
      <w:r>
        <w:rPr>
          <w:rFonts w:hint="eastAsia" w:ascii="宋体" w:hAnsi="宋体" w:eastAsia="宋体" w:cs="宋体"/>
          <w:color w:val="auto"/>
          <w:szCs w:val="21"/>
          <w:lang w:eastAsia="zh-CN"/>
        </w:rPr>
        <w:t>，</w:t>
      </w:r>
      <w:r>
        <w:rPr>
          <w:rFonts w:hint="eastAsia" w:ascii="宋体" w:hAnsi="宋体" w:eastAsia="宋体" w:cs="宋体"/>
          <w:color w:val="auto"/>
          <w:szCs w:val="21"/>
        </w:rPr>
        <w:t>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r>
        <w:rPr>
          <w:rFonts w:hint="eastAsia" w:ascii="宋体" w:hAnsi="宋体" w:eastAsia="宋体" w:cs="宋体"/>
          <w:color w:val="auto"/>
          <w:szCs w:val="21"/>
          <w:lang w:eastAsia="zh-CN"/>
        </w:rPr>
        <w:t>。</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26.5对于投标文件中含义不明确、同类问题表述不一致</w:t>
      </w:r>
      <w:r>
        <w:rPr>
          <w:rFonts w:hint="eastAsia" w:ascii="宋体" w:hAnsi="宋体" w:cs="宋体"/>
          <w:color w:val="auto"/>
          <w:szCs w:val="21"/>
          <w:lang w:eastAsia="zh-CN"/>
        </w:rPr>
        <w:t>、</w:t>
      </w:r>
      <w:r>
        <w:rPr>
          <w:rFonts w:hint="eastAsia" w:ascii="宋体" w:hAnsi="宋体" w:eastAsia="宋体" w:cs="宋体"/>
          <w:color w:val="auto"/>
          <w:szCs w:val="21"/>
        </w:rPr>
        <w:t>有明显文字和计算错误</w:t>
      </w:r>
      <w:r>
        <w:rPr>
          <w:rFonts w:hint="eastAsia" w:ascii="宋体" w:hAnsi="宋体" w:cs="宋体"/>
          <w:color w:val="auto"/>
          <w:szCs w:val="21"/>
          <w:lang w:val="en-US" w:eastAsia="zh-CN"/>
        </w:rPr>
        <w:t>或属于投标人疏忽、笔误所造成差错</w:t>
      </w:r>
      <w:r>
        <w:rPr>
          <w:rFonts w:hint="eastAsia" w:ascii="宋体" w:hAnsi="宋体" w:eastAsia="宋体" w:cs="宋体"/>
          <w:color w:val="auto"/>
          <w:szCs w:val="21"/>
        </w:rPr>
        <w:t>的内容，评标委员会应当以书面形式要求投标人作出必要的澄清、说明或者补正。</w:t>
      </w:r>
    </w:p>
    <w:p>
      <w:pPr>
        <w:tabs>
          <w:tab w:val="left" w:pos="114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26.7投标文件报价出现前后不一致的，除招标文件另有规定外，按照下列规定修正：</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（1）投标文件中投标报价表内容与投标文件中相应内容不一致的，以投标报价表为准；</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（2）大写金额和小写金额不一致的，以大写金额为准；</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（3）单价金额小数点或者百分比有明显错位的，以报价表的总价为准，并修改单价；</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（4）总价金额与按单价汇总金额不一致的，以单价金额计算结果为准。</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26.10评标结果汇总完成后，除下列情形外，任何人不得修改评标结果：</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（一）分值汇总计算错误的；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（二）分项评分超出评分标准范围的；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（三）评标委员会成员对客观评审因素评分不一致的；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（四）经评标委员会认定评分畸高、畸低的。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26.11采购代理机构发现评标委员会有明显的违规倾向或歧视现象，或不按评标办法进行，或其他不正常行为的，应当及时制止。如制止无效，应及时向</w:t>
      </w:r>
      <w:r>
        <w:rPr>
          <w:rFonts w:hint="eastAsia" w:ascii="宋体" w:hAnsi="宋体" w:eastAsia="宋体" w:cs="宋体"/>
          <w:color w:val="auto"/>
          <w:szCs w:val="21"/>
          <w:lang w:val="en-US" w:eastAsia="zh-CN"/>
        </w:rPr>
        <w:t>桂林市政府采购管理办公室</w:t>
      </w:r>
      <w:r>
        <w:rPr>
          <w:rFonts w:hint="eastAsia" w:ascii="宋体" w:hAnsi="宋体" w:eastAsia="宋体" w:cs="宋体"/>
          <w:color w:val="auto"/>
          <w:szCs w:val="21"/>
        </w:rPr>
        <w:t>构报告。</w:t>
      </w:r>
    </w:p>
    <w:p>
      <w:pPr>
        <w:spacing w:line="360" w:lineRule="exact"/>
        <w:ind w:firstLine="413" w:firstLineChars="196"/>
        <w:outlineLvl w:val="2"/>
        <w:rPr>
          <w:rFonts w:hint="eastAsia" w:ascii="宋体" w:hAnsi="宋体" w:eastAsia="宋体" w:cs="宋体"/>
          <w:b/>
          <w:color w:val="auto"/>
          <w:szCs w:val="21"/>
        </w:rPr>
      </w:pPr>
      <w:bookmarkStart w:id="116" w:name="_Toc30450"/>
      <w:bookmarkStart w:id="117" w:name="_Toc24934"/>
      <w:r>
        <w:rPr>
          <w:rFonts w:hint="eastAsia" w:ascii="宋体" w:hAnsi="宋体" w:eastAsia="宋体" w:cs="宋体"/>
          <w:b/>
          <w:color w:val="auto"/>
          <w:szCs w:val="21"/>
        </w:rPr>
        <w:t>27. 推荐及确定中标候选供应商原则</w:t>
      </w:r>
      <w:bookmarkEnd w:id="116"/>
      <w:bookmarkEnd w:id="117"/>
    </w:p>
    <w:p>
      <w:pPr>
        <w:tabs>
          <w:tab w:val="left" w:pos="4214"/>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auto"/>
          <w:sz w:val="22"/>
          <w:szCs w:val="22"/>
        </w:rPr>
        <w:t>。</w:t>
      </w:r>
    </w:p>
    <w:p>
      <w:pPr>
        <w:tabs>
          <w:tab w:val="left" w:pos="4214"/>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hint="eastAsia" w:ascii="宋体" w:hAnsi="宋体" w:eastAsia="宋体" w:cs="宋体"/>
          <w:b/>
          <w:color w:val="auto"/>
          <w:szCs w:val="21"/>
        </w:rPr>
      </w:pPr>
      <w:bookmarkStart w:id="118" w:name="_Toc1836"/>
      <w:bookmarkStart w:id="119" w:name="_Toc7802"/>
      <w:r>
        <w:rPr>
          <w:rFonts w:hint="eastAsia" w:ascii="宋体" w:hAnsi="宋体" w:eastAsia="宋体" w:cs="宋体"/>
          <w:b/>
          <w:color w:val="auto"/>
          <w:szCs w:val="21"/>
        </w:rPr>
        <w:t>28. 属于下列情况之一者，投标无效：</w:t>
      </w:r>
      <w:bookmarkEnd w:id="118"/>
      <w:bookmarkEnd w:id="119"/>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（1）未按照招标文件规定要求签字、盖章的；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（2）报价超过招标文件中规定的预算金额的；</w:t>
      </w:r>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（3）不具备招标文件中规定的资格要求的</w:t>
      </w:r>
      <w:r>
        <w:rPr>
          <w:rFonts w:hint="eastAsia" w:ascii="宋体" w:hAnsi="宋体" w:eastAsia="宋体" w:cs="宋体"/>
          <w:color w:val="auto"/>
        </w:rPr>
        <w:t>；</w:t>
      </w:r>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（4）投标文件含有采购人不能接受的附加条件的；</w:t>
      </w:r>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（5）投标文件未按招标文件的内容和要求编制，或提供虚假或无效材料的；</w:t>
      </w:r>
    </w:p>
    <w:p>
      <w:pPr>
        <w:snapToGrid w:val="0"/>
        <w:spacing w:line="360" w:lineRule="exact"/>
        <w:ind w:firstLine="411" w:firstLineChars="196"/>
        <w:rPr>
          <w:rFonts w:hint="eastAsia" w:ascii="宋体" w:hAnsi="宋体" w:eastAsia="宋体" w:cs="宋体"/>
          <w:color w:val="auto"/>
        </w:rPr>
      </w:pPr>
      <w:r>
        <w:rPr>
          <w:rFonts w:hint="eastAsia" w:ascii="宋体" w:hAnsi="宋体" w:eastAsia="宋体" w:cs="宋体"/>
          <w:color w:val="auto"/>
          <w:szCs w:val="21"/>
        </w:rPr>
        <w:t>（6）</w:t>
      </w:r>
      <w:r>
        <w:rPr>
          <w:rFonts w:hint="eastAsia" w:ascii="宋体" w:hAnsi="宋体" w:eastAsia="宋体" w:cs="宋体"/>
          <w:color w:val="auto"/>
        </w:rPr>
        <w:t>投标</w:t>
      </w:r>
      <w:r>
        <w:rPr>
          <w:rFonts w:hint="eastAsia" w:ascii="宋体" w:hAnsi="宋体" w:eastAsia="宋体" w:cs="宋体"/>
          <w:color w:val="auto"/>
          <w:szCs w:val="21"/>
        </w:rPr>
        <w:t>人未就“货物采购需求”中的所有内容作完整唯一报价的</w:t>
      </w:r>
      <w:r>
        <w:rPr>
          <w:rFonts w:hint="eastAsia" w:ascii="宋体" w:hAnsi="宋体" w:eastAsia="宋体" w:cs="宋体"/>
          <w:color w:val="auto"/>
        </w:rPr>
        <w:t>；</w:t>
      </w:r>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（7）未完全响应招标文件实质性要求的；</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（8）法律、法规和招标文件规定的其他无效情形。</w:t>
      </w:r>
    </w:p>
    <w:p>
      <w:pPr>
        <w:spacing w:line="360" w:lineRule="exact"/>
        <w:ind w:firstLine="413" w:firstLineChars="196"/>
        <w:outlineLvl w:val="2"/>
        <w:rPr>
          <w:rFonts w:hint="eastAsia" w:ascii="宋体" w:hAnsi="宋体" w:eastAsia="宋体" w:cs="宋体"/>
          <w:b/>
          <w:color w:val="auto"/>
          <w:szCs w:val="21"/>
        </w:rPr>
      </w:pPr>
      <w:bookmarkStart w:id="120" w:name="_Toc3715"/>
      <w:bookmarkStart w:id="121" w:name="_Toc15081"/>
      <w:r>
        <w:rPr>
          <w:rFonts w:hint="eastAsia" w:ascii="宋体" w:hAnsi="宋体" w:eastAsia="宋体" w:cs="宋体"/>
          <w:b/>
          <w:color w:val="auto"/>
          <w:szCs w:val="21"/>
        </w:rPr>
        <w:t>29. 投标人有下列情形之一的，视为串通投标，投标文件将被视为无效：</w:t>
      </w:r>
      <w:bookmarkEnd w:id="120"/>
      <w:bookmarkEnd w:id="121"/>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（1）不同投标人的投标文件由同一单位或者个人编制；</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（2）不同投标人委托同一单位或者个人办理投标事宜；</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（3）不同的投标人的投标文件载明的项目管理员或者联系人员为同一个人；</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 xml:space="preserve">（4）不同投标人的投标文件异常一致或投标报价呈规律性差异； </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（5）不同投标人的投标文件相互混装；</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（6）不同投标人的投标保证金从同一单位或者个人账户转出。</w:t>
      </w:r>
    </w:p>
    <w:p>
      <w:pPr>
        <w:spacing w:line="360" w:lineRule="exact"/>
        <w:ind w:firstLine="413" w:firstLineChars="196"/>
        <w:outlineLvl w:val="2"/>
        <w:rPr>
          <w:rFonts w:hint="eastAsia" w:ascii="宋体" w:hAnsi="宋体" w:eastAsia="宋体" w:cs="宋体"/>
          <w:b/>
          <w:color w:val="auto"/>
          <w:szCs w:val="21"/>
        </w:rPr>
      </w:pPr>
      <w:bookmarkStart w:id="122" w:name="_Toc9994"/>
      <w:bookmarkStart w:id="123" w:name="_Toc18148"/>
      <w:r>
        <w:rPr>
          <w:rFonts w:hint="eastAsia" w:ascii="宋体" w:hAnsi="宋体" w:eastAsia="宋体" w:cs="宋体"/>
          <w:b/>
          <w:color w:val="auto"/>
          <w:szCs w:val="21"/>
        </w:rPr>
        <w:t>30. 属于下列情形之一的，应予废标：</w:t>
      </w:r>
      <w:bookmarkEnd w:id="122"/>
      <w:bookmarkEnd w:id="123"/>
    </w:p>
    <w:p>
      <w:pPr>
        <w:tabs>
          <w:tab w:val="left" w:pos="840"/>
        </w:tabs>
        <w:snapToGrid w:val="0"/>
        <w:spacing w:line="360" w:lineRule="exact"/>
        <w:ind w:left="330" w:leftChars="157" w:firstLine="102" w:firstLineChars="49"/>
        <w:rPr>
          <w:rFonts w:hint="eastAsia" w:ascii="宋体" w:hAnsi="宋体" w:eastAsia="宋体" w:cs="宋体"/>
          <w:color w:val="auto"/>
          <w:szCs w:val="21"/>
        </w:rPr>
      </w:pPr>
      <w:r>
        <w:rPr>
          <w:rFonts w:hint="eastAsia" w:ascii="宋体" w:hAnsi="宋体" w:eastAsia="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hint="eastAsia" w:ascii="宋体" w:hAnsi="宋体" w:eastAsia="宋体" w:cs="宋体"/>
          <w:color w:val="auto"/>
          <w:szCs w:val="21"/>
        </w:rPr>
      </w:pPr>
      <w:r>
        <w:rPr>
          <w:rFonts w:hint="eastAsia" w:ascii="宋体" w:hAnsi="宋体" w:eastAsia="宋体" w:cs="宋体"/>
          <w:color w:val="auto"/>
          <w:szCs w:val="21"/>
        </w:rPr>
        <w:t>（2）出现影响采购公正的违法、违规行为的；</w:t>
      </w:r>
    </w:p>
    <w:p>
      <w:pPr>
        <w:tabs>
          <w:tab w:val="left" w:pos="840"/>
        </w:tabs>
        <w:snapToGrid w:val="0"/>
        <w:spacing w:line="360" w:lineRule="exact"/>
        <w:ind w:left="330" w:leftChars="157" w:firstLine="105" w:firstLineChars="50"/>
        <w:rPr>
          <w:rFonts w:hint="eastAsia" w:ascii="宋体" w:hAnsi="宋体" w:eastAsia="宋体" w:cs="宋体"/>
          <w:color w:val="auto"/>
        </w:rPr>
      </w:pPr>
      <w:r>
        <w:rPr>
          <w:rFonts w:hint="eastAsia" w:ascii="宋体" w:hAnsi="宋体" w:eastAsia="宋体" w:cs="宋体"/>
          <w:color w:val="auto"/>
        </w:rPr>
        <w:t>（3）采购文件内容违反国家有关强制性规定的；</w:t>
      </w:r>
    </w:p>
    <w:p>
      <w:pPr>
        <w:tabs>
          <w:tab w:val="left" w:pos="840"/>
        </w:tabs>
        <w:snapToGrid w:val="0"/>
        <w:spacing w:line="360" w:lineRule="exact"/>
        <w:ind w:left="330" w:leftChars="157" w:firstLine="105" w:firstLineChars="50"/>
        <w:rPr>
          <w:rFonts w:hint="eastAsia" w:ascii="宋体" w:hAnsi="宋体" w:eastAsia="宋体" w:cs="宋体"/>
          <w:color w:val="auto"/>
        </w:rPr>
      </w:pPr>
      <w:r>
        <w:rPr>
          <w:rFonts w:hint="eastAsia" w:ascii="宋体" w:hAnsi="宋体" w:eastAsia="宋体" w:cs="宋体"/>
          <w:color w:val="auto"/>
        </w:rPr>
        <w:t>（4）因重大变故，采购任务取消的。</w:t>
      </w:r>
    </w:p>
    <w:p>
      <w:pPr>
        <w:spacing w:line="360" w:lineRule="exact"/>
        <w:ind w:firstLine="413" w:firstLineChars="196"/>
        <w:outlineLvl w:val="2"/>
        <w:rPr>
          <w:rFonts w:hint="eastAsia" w:ascii="宋体" w:hAnsi="宋体" w:eastAsia="宋体" w:cs="宋体"/>
          <w:b/>
          <w:color w:val="auto"/>
          <w:szCs w:val="21"/>
        </w:rPr>
      </w:pPr>
      <w:bookmarkStart w:id="124" w:name="_Toc28686"/>
      <w:bookmarkStart w:id="125" w:name="_Toc18498"/>
      <w:r>
        <w:rPr>
          <w:rFonts w:hint="eastAsia" w:ascii="宋体" w:hAnsi="宋体" w:eastAsia="宋体" w:cs="宋体"/>
          <w:b/>
          <w:color w:val="auto"/>
          <w:szCs w:val="21"/>
        </w:rPr>
        <w:t>31. 开标、评标过程的监控</w:t>
      </w:r>
      <w:bookmarkEnd w:id="124"/>
      <w:bookmarkEnd w:id="125"/>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hint="eastAsia" w:ascii="宋体" w:hAnsi="宋体" w:eastAsia="宋体" w:cs="宋体"/>
          <w:b/>
          <w:color w:val="auto"/>
          <w:szCs w:val="21"/>
        </w:rPr>
      </w:pPr>
      <w:bookmarkStart w:id="126" w:name="_Toc1321"/>
      <w:bookmarkStart w:id="127" w:name="_Toc30245"/>
      <w:r>
        <w:rPr>
          <w:rFonts w:hint="eastAsia" w:ascii="宋体" w:hAnsi="宋体" w:eastAsia="宋体" w:cs="宋体"/>
          <w:b/>
          <w:color w:val="auto"/>
          <w:szCs w:val="21"/>
        </w:rPr>
        <w:t>32. 信用查询</w:t>
      </w:r>
      <w:bookmarkEnd w:id="126"/>
      <w:bookmarkEnd w:id="127"/>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⑴查询渠道：“信用中国”网站(www.creditchina.gov.cn)、中国政府采购网(www.ccgp.gov.cn)等；</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⑵查询截止时间：中标通知书发出前；</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⑶信用信息查询记录和证据留存方式：在查询网站中直接打印查询记录，打印材料作为采购活动资料保存；</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hint="eastAsia" w:ascii="宋体" w:hAnsi="宋体" w:eastAsia="宋体" w:cs="宋体"/>
          <w:b/>
          <w:color w:val="auto"/>
          <w:szCs w:val="21"/>
        </w:rPr>
      </w:pPr>
      <w:bookmarkStart w:id="128" w:name="_Toc27712"/>
      <w:bookmarkStart w:id="129" w:name="_Toc517"/>
      <w:r>
        <w:rPr>
          <w:rFonts w:hint="eastAsia" w:ascii="宋体" w:hAnsi="宋体" w:eastAsia="宋体" w:cs="宋体"/>
          <w:b/>
          <w:color w:val="auto"/>
          <w:szCs w:val="21"/>
        </w:rPr>
        <w:t>33. 中标公告及中标通知书</w:t>
      </w:r>
      <w:bookmarkEnd w:id="128"/>
      <w:bookmarkEnd w:id="129"/>
    </w:p>
    <w:p>
      <w:pPr>
        <w:tabs>
          <w:tab w:val="left" w:pos="45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个工作日。</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szCs w:val="21"/>
        </w:rPr>
        <w:t>33.2中标公告</w:t>
      </w:r>
      <w:r>
        <w:rPr>
          <w:rFonts w:hint="eastAsia" w:ascii="宋体" w:hAnsi="宋体" w:eastAsia="宋体" w:cs="宋体"/>
          <w:color w:val="auto"/>
          <w:szCs w:val="21"/>
          <w:lang w:val="en-US" w:eastAsia="zh-CN"/>
        </w:rPr>
        <w:t>发布的</w:t>
      </w:r>
      <w:r>
        <w:rPr>
          <w:rFonts w:hint="eastAsia" w:ascii="宋体" w:hAnsi="宋体" w:eastAsia="宋体" w:cs="宋体"/>
          <w:color w:val="auto"/>
          <w:szCs w:val="21"/>
        </w:rPr>
        <w:t>同时</w:t>
      </w:r>
      <w:r>
        <w:rPr>
          <w:rFonts w:hint="eastAsia" w:ascii="宋体" w:hAnsi="宋体" w:eastAsia="宋体" w:cs="宋体"/>
          <w:color w:val="auto"/>
          <w:szCs w:val="21"/>
          <w:lang w:eastAsia="zh-CN"/>
        </w:rPr>
        <w:t>，</w:t>
      </w:r>
      <w:r>
        <w:rPr>
          <w:rFonts w:hint="eastAsia" w:ascii="宋体" w:hAnsi="宋体" w:eastAsia="宋体" w:cs="宋体"/>
          <w:color w:val="auto"/>
          <w:szCs w:val="21"/>
        </w:rPr>
        <w:t>采购代理机构向中标供应商发出中标通知书，中标供应商应自接到通知之日起七个工作日内，办理中标通知书领取手续。</w:t>
      </w:r>
    </w:p>
    <w:p>
      <w:pPr>
        <w:tabs>
          <w:tab w:val="left" w:pos="1140"/>
        </w:tabs>
        <w:spacing w:line="400" w:lineRule="exact"/>
        <w:ind w:left="420" w:leftChars="200"/>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bookmarkStart w:id="130" w:name="_Toc32569"/>
      <w:bookmarkStart w:id="131" w:name="_Toc31543"/>
      <w:bookmarkStart w:id="132" w:name="_Toc495841760"/>
    </w:p>
    <w:p>
      <w:pPr>
        <w:spacing w:line="360" w:lineRule="auto"/>
        <w:jc w:val="center"/>
        <w:outlineLvl w:val="1"/>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七、履约保证金及签订合同</w:t>
      </w:r>
      <w:bookmarkEnd w:id="130"/>
      <w:bookmarkEnd w:id="131"/>
      <w:bookmarkEnd w:id="132"/>
    </w:p>
    <w:p>
      <w:pPr>
        <w:spacing w:line="360" w:lineRule="exact"/>
        <w:ind w:firstLine="413" w:firstLineChars="196"/>
        <w:outlineLvl w:val="2"/>
        <w:rPr>
          <w:rFonts w:hint="eastAsia" w:ascii="宋体" w:hAnsi="宋体" w:eastAsia="宋体" w:cs="宋体"/>
          <w:b/>
          <w:color w:val="auto"/>
          <w:szCs w:val="21"/>
        </w:rPr>
      </w:pPr>
      <w:bookmarkStart w:id="133" w:name="_Toc16597"/>
      <w:bookmarkStart w:id="134" w:name="_Toc6994"/>
      <w:r>
        <w:rPr>
          <w:rFonts w:hint="eastAsia" w:ascii="宋体" w:hAnsi="宋体" w:eastAsia="宋体" w:cs="宋体"/>
          <w:b/>
          <w:color w:val="auto"/>
          <w:szCs w:val="21"/>
        </w:rPr>
        <w:t>34. 履约保证金</w:t>
      </w:r>
      <w:bookmarkEnd w:id="133"/>
      <w:bookmarkEnd w:id="134"/>
    </w:p>
    <w:p>
      <w:pPr>
        <w:pStyle w:val="15"/>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34.1</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供应商在签订合同</w:t>
      </w:r>
      <w:r>
        <w:rPr>
          <w:rFonts w:hint="eastAsia" w:ascii="Times New Roman" w:eastAsia="Times New Roman"/>
          <w:color w:val="auto"/>
          <w:sz w:val="21"/>
          <w:szCs w:val="21"/>
          <w:lang w:val="en-US" w:eastAsia="zh-CN"/>
        </w:rPr>
        <w:t>时</w:t>
      </w:r>
      <w:r>
        <w:rPr>
          <w:rFonts w:hint="eastAsia" w:ascii="Times New Roman" w:eastAsia="Times New Roman"/>
          <w:color w:val="auto"/>
          <w:sz w:val="21"/>
          <w:szCs w:val="21"/>
        </w:rPr>
        <w:t>向</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rPr>
        <w:t>缴纳履约保证金（具体银行账号</w:t>
      </w:r>
      <w:r>
        <w:rPr>
          <w:rFonts w:hint="eastAsia" w:ascii="Times New Roman" w:eastAsia="Times New Roman"/>
          <w:color w:val="auto"/>
          <w:sz w:val="21"/>
          <w:szCs w:val="21"/>
          <w:lang w:val="en-US" w:eastAsia="zh-CN"/>
        </w:rPr>
        <w:t>由采购人提供</w:t>
      </w:r>
      <w:r>
        <w:rPr>
          <w:rFonts w:hint="eastAsia" w:ascii="Times New Roman" w:eastAsia="Times New Roman"/>
          <w:color w:val="auto"/>
          <w:sz w:val="21"/>
          <w:szCs w:val="21"/>
        </w:rPr>
        <w:t>），履约保证金金额按中标价的5%（人民币，四舍五入到元）缴纳（不计息），</w:t>
      </w:r>
      <w:r>
        <w:rPr>
          <w:rFonts w:hint="eastAsia" w:ascii="Times New Roman"/>
          <w:color w:val="auto"/>
          <w:sz w:val="21"/>
          <w:szCs w:val="21"/>
          <w:lang w:val="en-US" w:eastAsia="zh-CN"/>
        </w:rPr>
        <w:t>成交</w:t>
      </w:r>
      <w:r>
        <w:rPr>
          <w:rFonts w:hint="eastAsia" w:ascii="Times New Roman" w:eastAsia="Times New Roman"/>
          <w:color w:val="auto"/>
          <w:sz w:val="21"/>
          <w:szCs w:val="21"/>
        </w:rPr>
        <w:t>供应商提交履约保证金应当以转账、电汇等</w:t>
      </w:r>
      <w:r>
        <w:rPr>
          <w:rFonts w:hint="eastAsia" w:ascii="Times New Roman" w:eastAsia="Times New Roman"/>
          <w:color w:val="auto"/>
          <w:sz w:val="21"/>
          <w:szCs w:val="21"/>
          <w:lang w:val="en-US" w:eastAsia="zh-CN"/>
        </w:rPr>
        <w:t>非现金</w:t>
      </w:r>
      <w:r>
        <w:rPr>
          <w:rFonts w:hint="eastAsia" w:ascii="Times New Roman" w:eastAsia="Times New Roman"/>
          <w:color w:val="auto"/>
          <w:sz w:val="21"/>
          <w:szCs w:val="21"/>
        </w:rPr>
        <w:t>形式缴入采购人指定账户。</w:t>
      </w:r>
      <w:r>
        <w:rPr>
          <w:rFonts w:hint="eastAsia" w:ascii="Times New Roman"/>
          <w:color w:val="auto"/>
          <w:sz w:val="21"/>
          <w:szCs w:val="21"/>
          <w:lang w:val="en-US" w:eastAsia="zh-CN"/>
        </w:rPr>
        <w:t>验收合格一年</w:t>
      </w:r>
      <w:r>
        <w:rPr>
          <w:rFonts w:hint="eastAsia" w:ascii="Times New Roman" w:eastAsia="Times New Roman"/>
          <w:color w:val="auto"/>
          <w:sz w:val="21"/>
          <w:szCs w:val="21"/>
        </w:rPr>
        <w:t>后，若货物无质量问题，</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供应商凭《政府采购项目验收单》和履约保证金缴纳凭证</w:t>
      </w:r>
      <w:r>
        <w:rPr>
          <w:rFonts w:hint="eastAsia" w:ascii="Times New Roman" w:eastAsia="Times New Roman"/>
          <w:color w:val="auto"/>
          <w:sz w:val="21"/>
          <w:szCs w:val="21"/>
          <w:lang w:val="en-US" w:eastAsia="zh-CN"/>
        </w:rPr>
        <w:t>原件</w:t>
      </w:r>
      <w:r>
        <w:rPr>
          <w:rFonts w:hint="eastAsia" w:ascii="Times New Roman" w:eastAsia="Times New Roman"/>
          <w:color w:val="auto"/>
          <w:sz w:val="21"/>
          <w:szCs w:val="21"/>
        </w:rPr>
        <w:t>向</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rPr>
        <w:t>申请办理退还手续</w:t>
      </w:r>
      <w:r>
        <w:rPr>
          <w:rFonts w:hint="eastAsia" w:ascii="Times New Roman" w:eastAsia="Times New Roman"/>
          <w:color w:val="auto"/>
          <w:sz w:val="21"/>
          <w:szCs w:val="21"/>
          <w:lang w:eastAsia="zh-CN"/>
        </w:rPr>
        <w:t>，</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lang w:eastAsia="zh-CN"/>
        </w:rPr>
        <w:t>在</w:t>
      </w:r>
      <w:r>
        <w:rPr>
          <w:rFonts w:hint="eastAsia" w:ascii="Times New Roman" w:eastAsia="Times New Roman"/>
          <w:color w:val="auto"/>
          <w:sz w:val="21"/>
          <w:szCs w:val="21"/>
        </w:rPr>
        <w:t>5个工作日内无息退还。</w:t>
      </w:r>
    </w:p>
    <w:p>
      <w:pPr>
        <w:spacing w:line="46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 xml:space="preserve">账户名称： </w:t>
      </w:r>
      <w:r>
        <w:rPr>
          <w:rFonts w:hint="eastAsia" w:ascii="宋体" w:hAnsi="宋体" w:cs="宋体"/>
          <w:b/>
          <w:bCs/>
          <w:color w:val="auto"/>
          <w:lang w:eastAsia="zh-CN"/>
        </w:rPr>
        <w:t>桂林市交通技工学校</w:t>
      </w:r>
      <w:r>
        <w:rPr>
          <w:rFonts w:hint="eastAsia" w:ascii="宋体" w:hAnsi="宋体" w:eastAsia="宋体" w:cs="宋体"/>
          <w:b/>
          <w:bCs/>
          <w:color w:val="auto"/>
        </w:rPr>
        <w:t xml:space="preserve"> </w:t>
      </w:r>
    </w:p>
    <w:p>
      <w:pPr>
        <w:spacing w:line="46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开户银行：</w:t>
      </w:r>
      <w:r>
        <w:rPr>
          <w:rFonts w:hint="eastAsia" w:ascii="宋体" w:hAnsi="宋体" w:cs="宋体"/>
          <w:b/>
          <w:bCs/>
          <w:color w:val="auto"/>
          <w:lang w:eastAsia="zh-CN"/>
        </w:rPr>
        <w:t>交通银行桂林开发区支行</w:t>
      </w:r>
      <w:r>
        <w:rPr>
          <w:rFonts w:hint="eastAsia" w:ascii="宋体" w:hAnsi="宋体" w:eastAsia="宋体" w:cs="宋体"/>
          <w:b/>
          <w:bCs/>
          <w:color w:val="auto"/>
        </w:rPr>
        <w:t xml:space="preserve"> </w:t>
      </w:r>
    </w:p>
    <w:p>
      <w:pPr>
        <w:spacing w:line="460" w:lineRule="exact"/>
        <w:ind w:firstLine="422" w:firstLineChars="200"/>
        <w:rPr>
          <w:rFonts w:hint="default" w:ascii="宋体" w:hAnsi="宋体" w:eastAsia="宋体" w:cs="宋体"/>
          <w:b/>
          <w:bCs/>
          <w:color w:val="auto"/>
          <w:lang w:val="en-US" w:eastAsia="zh-CN"/>
        </w:rPr>
      </w:pPr>
      <w:r>
        <w:rPr>
          <w:rFonts w:hint="eastAsia" w:ascii="宋体" w:hAnsi="宋体" w:eastAsia="宋体" w:cs="宋体"/>
          <w:b/>
          <w:bCs/>
          <w:color w:val="auto"/>
        </w:rPr>
        <w:t>银行账号：</w:t>
      </w:r>
      <w:r>
        <w:rPr>
          <w:rFonts w:hint="eastAsia" w:ascii="宋体" w:hAnsi="宋体" w:cs="宋体"/>
          <w:b/>
          <w:bCs/>
          <w:color w:val="auto"/>
          <w:lang w:val="en-US" w:eastAsia="zh-CN"/>
        </w:rPr>
        <w:t>4538 0200 0018 0100 76730</w:t>
      </w:r>
    </w:p>
    <w:p>
      <w:pPr>
        <w:spacing w:line="360" w:lineRule="exact"/>
        <w:ind w:left="2" w:leftChars="1" w:firstLine="420" w:firstLineChars="200"/>
        <w:rPr>
          <w:rFonts w:hint="eastAsia" w:ascii="宋体" w:hAnsi="宋体" w:eastAsia="宋体" w:cs="宋体"/>
          <w:color w:val="auto"/>
        </w:rPr>
      </w:pPr>
      <w:r>
        <w:rPr>
          <w:rFonts w:hint="eastAsia" w:ascii="宋体" w:hAnsi="宋体" w:eastAsia="宋体" w:cs="宋体"/>
          <w:color w:val="auto"/>
          <w:szCs w:val="21"/>
        </w:rPr>
        <w:t>34.2如果中标供应商没能按上述第34.1款规定执行，采购人将上报</w:t>
      </w:r>
      <w:r>
        <w:rPr>
          <w:rFonts w:hint="eastAsia" w:ascii="宋体" w:hAnsi="宋体" w:eastAsia="宋体" w:cs="宋体"/>
          <w:color w:val="auto"/>
          <w:szCs w:val="21"/>
          <w:lang w:val="en-US" w:eastAsia="zh-CN"/>
        </w:rPr>
        <w:t>桂林市政府采购管理办公室</w:t>
      </w:r>
      <w:r>
        <w:rPr>
          <w:rFonts w:hint="eastAsia" w:ascii="宋体" w:hAnsi="宋体" w:eastAsia="宋体" w:cs="宋体"/>
          <w:color w:val="auto"/>
          <w:szCs w:val="21"/>
        </w:rPr>
        <w:t>，取消中标资格</w:t>
      </w:r>
      <w:r>
        <w:rPr>
          <w:rFonts w:hint="eastAsia" w:ascii="宋体" w:hAnsi="宋体" w:eastAsia="宋体" w:cs="宋体"/>
          <w:color w:val="auto"/>
        </w:rPr>
        <w:t>，</w:t>
      </w:r>
      <w:r>
        <w:rPr>
          <w:rFonts w:hint="eastAsia" w:ascii="宋体" w:hAnsi="宋体" w:eastAsia="宋体" w:cs="宋体"/>
          <w:color w:val="auto"/>
          <w:szCs w:val="21"/>
        </w:rPr>
        <w:t>并有权授予第二中标候选供应商为中标供应商资格或重新组织招标。</w:t>
      </w:r>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34.3如中标供应商不按双方签订的合同规定履约，则没收其全部履约保证金，履约保证金不足以赔偿损失的，按实际损失赔偿。</w:t>
      </w:r>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34.4在履约保证金到期退还前，若中标供应商的开户名称、开户银行、账号有变动的，以书面形式通知采购人，否则由此产生的后果由中标供应商自负。</w:t>
      </w:r>
    </w:p>
    <w:p>
      <w:pPr>
        <w:spacing w:line="360" w:lineRule="exact"/>
        <w:ind w:firstLine="413" w:firstLineChars="196"/>
        <w:outlineLvl w:val="2"/>
        <w:rPr>
          <w:rFonts w:hint="eastAsia" w:ascii="宋体" w:hAnsi="宋体" w:eastAsia="宋体" w:cs="宋体"/>
          <w:b/>
          <w:color w:val="auto"/>
          <w:szCs w:val="21"/>
        </w:rPr>
      </w:pPr>
      <w:bookmarkStart w:id="135" w:name="_Toc18160"/>
      <w:bookmarkStart w:id="136" w:name="_Toc15693"/>
      <w:r>
        <w:rPr>
          <w:rFonts w:hint="eastAsia" w:ascii="宋体" w:hAnsi="宋体" w:eastAsia="宋体" w:cs="宋体"/>
          <w:b/>
          <w:color w:val="auto"/>
          <w:szCs w:val="21"/>
        </w:rPr>
        <w:t>35. 签订合同</w:t>
      </w:r>
      <w:bookmarkEnd w:id="135"/>
      <w:bookmarkEnd w:id="136"/>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35.1签订合同时间：</w:t>
      </w:r>
      <w:r>
        <w:rPr>
          <w:rFonts w:hint="eastAsia" w:ascii="宋体" w:hAnsi="宋体" w:cs="宋体"/>
          <w:color w:val="auto"/>
          <w:szCs w:val="21"/>
          <w:lang w:eastAsia="zh-CN"/>
        </w:rPr>
        <w:t>中标通知书发布</w:t>
      </w:r>
      <w:r>
        <w:rPr>
          <w:rFonts w:hint="eastAsia" w:ascii="宋体" w:hAnsi="宋体" w:eastAsia="宋体" w:cs="宋体"/>
          <w:color w:val="auto"/>
          <w:szCs w:val="21"/>
        </w:rPr>
        <w:t>之日起</w:t>
      </w:r>
      <w:r>
        <w:rPr>
          <w:rFonts w:hint="eastAsia" w:ascii="宋体" w:hAnsi="宋体" w:eastAsia="宋体" w:cs="宋体"/>
          <w:color w:val="auto"/>
          <w:szCs w:val="21"/>
          <w:lang w:val="en-US" w:eastAsia="zh-CN"/>
        </w:rPr>
        <w:t>3</w:t>
      </w:r>
      <w:r>
        <w:rPr>
          <w:rFonts w:hint="eastAsia" w:ascii="宋体" w:hAnsi="宋体" w:eastAsia="宋体" w:cs="宋体"/>
          <w:color w:val="auto"/>
          <w:szCs w:val="21"/>
        </w:rPr>
        <w:t>个日历</w:t>
      </w:r>
      <w:r>
        <w:rPr>
          <w:rFonts w:hint="eastAsia" w:ascii="宋体" w:hAnsi="宋体" w:eastAsia="宋体" w:cs="宋体"/>
          <w:color w:val="auto"/>
          <w:szCs w:val="21"/>
          <w:lang w:eastAsia="zh-CN"/>
        </w:rPr>
        <w:t>日</w:t>
      </w:r>
      <w:r>
        <w:rPr>
          <w:rFonts w:hint="eastAsia" w:ascii="宋体" w:hAnsi="宋体" w:eastAsia="宋体" w:cs="宋体"/>
          <w:color w:val="auto"/>
          <w:szCs w:val="21"/>
          <w:u w:val="none"/>
        </w:rPr>
        <w:t>内</w:t>
      </w:r>
      <w:r>
        <w:rPr>
          <w:rFonts w:hint="eastAsia" w:ascii="宋体" w:hAnsi="宋体" w:eastAsia="宋体" w:cs="宋体"/>
          <w:color w:val="auto"/>
          <w:szCs w:val="21"/>
        </w:rPr>
        <w:t>。中标供应商领取中标通知书后，应按规定与采购人签订合同。</w:t>
      </w:r>
    </w:p>
    <w:p>
      <w:pPr>
        <w:spacing w:line="360" w:lineRule="exact"/>
        <w:ind w:left="2" w:leftChars="1" w:firstLine="420" w:firstLineChars="200"/>
        <w:rPr>
          <w:rFonts w:hint="eastAsia" w:ascii="宋体" w:hAnsi="宋体" w:eastAsia="宋体" w:cs="宋体"/>
          <w:color w:val="auto"/>
          <w:szCs w:val="21"/>
          <w:lang w:eastAsia="zh-CN"/>
        </w:rPr>
      </w:pPr>
      <w:r>
        <w:rPr>
          <w:rFonts w:hint="eastAsia" w:ascii="宋体" w:hAnsi="宋体" w:eastAsia="宋体" w:cs="宋体"/>
          <w:color w:val="auto"/>
        </w:rPr>
        <w:t>35.2中标供应商为联合体的，联合体各方均应与采购人签订合同，并承担连带责任。</w:t>
      </w:r>
      <w:r>
        <w:rPr>
          <w:rFonts w:hint="eastAsia" w:ascii="宋体" w:hAnsi="宋体" w:eastAsia="宋体" w:cs="宋体"/>
          <w:color w:val="auto"/>
          <w:lang w:eastAsia="zh-CN"/>
        </w:rPr>
        <w:t>（</w:t>
      </w:r>
      <w:r>
        <w:rPr>
          <w:rFonts w:hint="eastAsia" w:ascii="宋体" w:hAnsi="宋体" w:eastAsia="宋体" w:cs="宋体"/>
          <w:color w:val="auto"/>
        </w:rPr>
        <w:t>本项目不接受联合体投标</w:t>
      </w:r>
      <w:r>
        <w:rPr>
          <w:rFonts w:hint="eastAsia" w:ascii="宋体" w:hAnsi="宋体" w:eastAsia="宋体" w:cs="宋体"/>
          <w:color w:val="auto"/>
          <w:lang w:eastAsia="zh-CN"/>
        </w:rPr>
        <w:t>）</w:t>
      </w:r>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（1）中标后不与采购人签订合同的（不可抗力除外）；</w:t>
      </w:r>
    </w:p>
    <w:p>
      <w:pPr>
        <w:spacing w:line="360" w:lineRule="exact"/>
        <w:ind w:left="2" w:leftChars="1" w:firstLine="315" w:firstLineChars="150"/>
        <w:rPr>
          <w:rFonts w:hint="eastAsia" w:ascii="宋体" w:hAnsi="宋体" w:eastAsia="宋体" w:cs="宋体"/>
          <w:color w:val="auto"/>
          <w:szCs w:val="21"/>
        </w:rPr>
      </w:pPr>
      <w:r>
        <w:rPr>
          <w:rFonts w:hint="eastAsia" w:ascii="宋体" w:hAnsi="宋体" w:eastAsia="宋体" w:cs="宋体"/>
          <w:color w:val="auto"/>
          <w:szCs w:val="21"/>
        </w:rPr>
        <w:t>（2）将中标项目转让给他人，或者在投标文件中未说明，且未经采购人同意，将中标项目分包给他人的；</w:t>
      </w:r>
    </w:p>
    <w:p>
      <w:pPr>
        <w:spacing w:line="36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（3）拒绝履行合同义务的。</w:t>
      </w:r>
    </w:p>
    <w:p>
      <w:pPr>
        <w:spacing w:line="360" w:lineRule="exact"/>
        <w:ind w:left="2" w:leftChars="1" w:firstLine="420" w:firstLineChars="200"/>
        <w:rPr>
          <w:rFonts w:hint="eastAsia" w:ascii="宋体" w:hAnsi="宋体" w:eastAsia="宋体" w:cs="宋体"/>
          <w:b/>
          <w:color w:val="auto"/>
          <w:sz w:val="28"/>
          <w:szCs w:val="28"/>
        </w:rPr>
      </w:pPr>
      <w:r>
        <w:rPr>
          <w:rFonts w:hint="eastAsia" w:ascii="宋体" w:hAnsi="宋体" w:eastAsia="宋体" w:cs="宋体"/>
          <w:color w:val="auto"/>
          <w:szCs w:val="21"/>
        </w:rPr>
        <w:t>35.4合同备案存档：</w:t>
      </w:r>
      <w:r>
        <w:rPr>
          <w:rFonts w:hint="eastAsia" w:ascii="宋体" w:hAnsi="宋体" w:eastAsia="宋体" w:cs="宋体"/>
          <w:color w:val="auto"/>
          <w:szCs w:val="21"/>
          <w:lang w:val="en-US" w:eastAsia="zh-CN"/>
        </w:rPr>
        <w:t>政府采购合同双方自签订之日起一个工作日内将合同原件一份交采购代理机构，并于合同签订之日起七个工作日内将一份合同原件送桂林市政府采购管理办公室备案。</w:t>
      </w:r>
      <w:bookmarkStart w:id="137" w:name="_Toc495841761"/>
      <w:bookmarkStart w:id="138" w:name="_Toc32046"/>
      <w:bookmarkStart w:id="139" w:name="_Toc1909"/>
    </w:p>
    <w:p>
      <w:pPr>
        <w:spacing w:line="360" w:lineRule="auto"/>
        <w:jc w:val="center"/>
        <w:outlineLvl w:val="1"/>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八、其他事项</w:t>
      </w:r>
      <w:bookmarkEnd w:id="137"/>
      <w:bookmarkEnd w:id="138"/>
      <w:bookmarkEnd w:id="139"/>
    </w:p>
    <w:p>
      <w:pPr>
        <w:spacing w:line="380" w:lineRule="exact"/>
        <w:ind w:firstLine="413" w:firstLineChars="196"/>
        <w:outlineLvl w:val="2"/>
        <w:rPr>
          <w:rFonts w:hint="eastAsia" w:ascii="宋体" w:hAnsi="宋体" w:eastAsia="宋体" w:cs="宋体"/>
          <w:b/>
          <w:color w:val="auto"/>
          <w:szCs w:val="21"/>
        </w:rPr>
      </w:pPr>
      <w:bookmarkStart w:id="140" w:name="_Toc19503"/>
      <w:bookmarkStart w:id="141" w:name="_Toc5655"/>
      <w:bookmarkStart w:id="142" w:name="_Toc29214"/>
      <w:bookmarkStart w:id="143" w:name="_Toc2437"/>
      <w:bookmarkStart w:id="144" w:name="_Toc4309"/>
      <w:bookmarkStart w:id="145" w:name="_Toc32243"/>
      <w:r>
        <w:rPr>
          <w:rFonts w:hint="eastAsia" w:ascii="宋体" w:hAnsi="宋体" w:eastAsia="宋体" w:cs="宋体"/>
          <w:b/>
          <w:color w:val="auto"/>
          <w:szCs w:val="21"/>
        </w:rPr>
        <w:t>36. 招标代理服务费</w:t>
      </w:r>
      <w:bookmarkEnd w:id="140"/>
      <w:bookmarkEnd w:id="141"/>
      <w:bookmarkEnd w:id="142"/>
      <w:bookmarkEnd w:id="143"/>
      <w:bookmarkEnd w:id="144"/>
    </w:p>
    <w:p>
      <w:pPr>
        <w:spacing w:line="38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本</w:t>
      </w:r>
      <w:r>
        <w:rPr>
          <w:rFonts w:hint="eastAsia" w:ascii="宋体" w:hAnsi="宋体" w:eastAsia="宋体" w:cs="宋体"/>
          <w:color w:val="auto"/>
          <w:szCs w:val="21"/>
          <w:lang w:eastAsia="zh-CN"/>
        </w:rPr>
        <w:t>项目</w:t>
      </w:r>
      <w:r>
        <w:rPr>
          <w:rFonts w:hint="eastAsia" w:ascii="宋体" w:hAnsi="宋体" w:eastAsia="宋体" w:cs="宋体"/>
          <w:color w:val="auto"/>
          <w:szCs w:val="21"/>
        </w:rPr>
        <w:t>免收代理服务费。</w:t>
      </w:r>
    </w:p>
    <w:p>
      <w:pPr>
        <w:spacing w:line="400" w:lineRule="exact"/>
        <w:ind w:firstLine="413" w:firstLineChars="196"/>
        <w:outlineLvl w:val="2"/>
        <w:rPr>
          <w:rFonts w:hint="eastAsia" w:ascii="宋体" w:hAnsi="宋体" w:eastAsia="宋体" w:cs="宋体"/>
          <w:b/>
          <w:color w:val="auto"/>
          <w:szCs w:val="21"/>
        </w:rPr>
      </w:pPr>
      <w:bookmarkStart w:id="146" w:name="_Toc14410"/>
      <w:r>
        <w:rPr>
          <w:rFonts w:hint="eastAsia" w:ascii="宋体" w:hAnsi="宋体" w:eastAsia="宋体" w:cs="宋体"/>
          <w:b/>
          <w:color w:val="auto"/>
          <w:szCs w:val="21"/>
        </w:rPr>
        <w:t>3</w:t>
      </w:r>
      <w:r>
        <w:rPr>
          <w:rFonts w:hint="eastAsia" w:ascii="宋体" w:hAnsi="宋体" w:eastAsia="宋体" w:cs="宋体"/>
          <w:b/>
          <w:color w:val="auto"/>
          <w:szCs w:val="21"/>
          <w:lang w:val="en-US" w:eastAsia="zh-CN"/>
        </w:rPr>
        <w:t>7</w:t>
      </w:r>
      <w:r>
        <w:rPr>
          <w:rFonts w:hint="eastAsia" w:ascii="宋体" w:hAnsi="宋体" w:eastAsia="宋体" w:cs="宋体"/>
          <w:b/>
          <w:color w:val="auto"/>
          <w:szCs w:val="21"/>
        </w:rPr>
        <w:t>. 解释权</w:t>
      </w:r>
      <w:bookmarkEnd w:id="146"/>
    </w:p>
    <w:p>
      <w:pPr>
        <w:snapToGrid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5"/>
    </w:p>
    <w:p>
      <w:pPr>
        <w:spacing w:line="400" w:lineRule="exact"/>
        <w:ind w:firstLine="413" w:firstLineChars="196"/>
        <w:outlineLvl w:val="2"/>
        <w:rPr>
          <w:rFonts w:hint="eastAsia" w:ascii="宋体" w:hAnsi="宋体" w:eastAsia="宋体" w:cs="宋体"/>
          <w:b/>
          <w:color w:val="auto"/>
          <w:szCs w:val="21"/>
        </w:rPr>
      </w:pPr>
      <w:bookmarkStart w:id="147" w:name="_Toc28349"/>
      <w:bookmarkStart w:id="148" w:name="_Toc11077"/>
      <w:r>
        <w:rPr>
          <w:rFonts w:hint="eastAsia" w:ascii="宋体" w:hAnsi="宋体" w:eastAsia="宋体" w:cs="宋体"/>
          <w:b/>
          <w:color w:val="auto"/>
          <w:szCs w:val="21"/>
        </w:rPr>
        <w:t>3</w:t>
      </w:r>
      <w:r>
        <w:rPr>
          <w:rFonts w:hint="eastAsia" w:ascii="宋体" w:hAnsi="宋体" w:eastAsia="宋体" w:cs="宋体"/>
          <w:b/>
          <w:color w:val="auto"/>
          <w:szCs w:val="21"/>
          <w:lang w:val="en-US" w:eastAsia="zh-CN"/>
        </w:rPr>
        <w:t>8</w:t>
      </w:r>
      <w:r>
        <w:rPr>
          <w:rFonts w:hint="eastAsia" w:ascii="宋体" w:hAnsi="宋体" w:eastAsia="宋体" w:cs="宋体"/>
          <w:b/>
          <w:color w:val="auto"/>
          <w:szCs w:val="21"/>
        </w:rPr>
        <w:t>. 监督管理机构</w:t>
      </w:r>
      <w:bookmarkEnd w:id="147"/>
    </w:p>
    <w:p>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eastAsia="宋体" w:cs="宋体"/>
          <w:color w:val="auto"/>
          <w:szCs w:val="21"/>
          <w:lang w:val="en-US" w:eastAsia="zh-CN"/>
        </w:rPr>
        <w:t>桂林市政府采购管理办公室</w:t>
      </w:r>
      <w:r>
        <w:rPr>
          <w:rFonts w:hint="eastAsia" w:ascii="宋体" w:hAnsi="宋体" w:cs="宋体"/>
          <w:color w:val="auto"/>
          <w:szCs w:val="21"/>
          <w:lang w:val="en-US" w:eastAsia="zh-CN"/>
        </w:rPr>
        <w:t xml:space="preserve">                 电话：0773-2862142</w:t>
      </w:r>
    </w:p>
    <w:p>
      <w:pPr>
        <w:snapToGrid w:val="0"/>
        <w:spacing w:line="400" w:lineRule="exact"/>
        <w:ind w:firstLine="420" w:firstLineChars="200"/>
        <w:rPr>
          <w:rFonts w:hint="eastAsia" w:ascii="宋体" w:hAnsi="宋体" w:eastAsia="宋体" w:cs="宋体"/>
          <w:color w:val="auto"/>
          <w:szCs w:val="21"/>
          <w:lang w:eastAsia="zh-CN"/>
        </w:rPr>
      </w:pPr>
    </w:p>
    <w:bookmarkEnd w:id="148"/>
    <w:p>
      <w:pPr>
        <w:jc w:val="center"/>
        <w:outlineLvl w:val="0"/>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149" w:name="_Toc12929"/>
      <w:bookmarkStart w:id="150" w:name="_Toc2219"/>
      <w:r>
        <w:rPr>
          <w:rFonts w:hint="eastAsia" w:ascii="宋体" w:hAnsi="宋体" w:eastAsia="宋体" w:cs="宋体"/>
          <w:b/>
          <w:bCs/>
          <w:color w:val="auto"/>
          <w:kern w:val="44"/>
          <w:sz w:val="32"/>
          <w:szCs w:val="32"/>
          <w:lang w:val="en-US" w:eastAsia="zh-CN" w:bidi="ar-SA"/>
        </w:rPr>
        <w:t>第三章  货物采购需求</w:t>
      </w:r>
      <w:bookmarkEnd w:id="149"/>
      <w:bookmarkEnd w:id="150"/>
    </w:p>
    <w:p>
      <w:pPr>
        <w:adjustRightInd w:val="0"/>
        <w:spacing w:line="400" w:lineRule="exact"/>
        <w:rPr>
          <w:rFonts w:hint="eastAsia" w:ascii="宋体" w:hAnsi="宋体" w:eastAsia="宋体" w:cs="宋体"/>
          <w:b/>
          <w:color w:val="auto"/>
        </w:rPr>
      </w:pPr>
      <w:r>
        <w:rPr>
          <w:rFonts w:hint="eastAsia" w:ascii="宋体" w:hAnsi="宋体" w:eastAsia="宋体" w:cs="宋体"/>
          <w:b/>
          <w:color w:val="auto"/>
        </w:rPr>
        <w:t>说明：</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《节能产品政府采购品目清单》中：</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计算机设备（台式计算机、便携式计算机、平板式微型计算机）；</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输入输出设备【打印设备（喷墨打印机、激光打印机、针式打印机）、显示设备（液晶显示器）】；</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制冷空调设备【制冷压缩机（冷水机组、水源热泵机组、溴化锂吸收式冷水机组）、空调机组（多联式空调（热泵）机组（制冷量＞14000W）、单元式空气调节机（制冷量＞14000W））、专用制冷、空调设备（机房空调）】；</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镇流器（管型荧光灯镇流器）；</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生活用电器｛空调机【房间空气调节器、多联式空调（热泵）机组（制冷量≤14000W）、单元式空气调节机（制冷量≤14000W）】、热水器（电热水器）｝；</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照明设备（普通照明用双端荧光灯）；</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电视设备【普通电视设备（电视机）】；</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视频设备【视频监控设备（监视器）】；</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便器（坐便器、蹲便器、小便器）；</w:t>
      </w:r>
    </w:p>
    <w:p>
      <w:pPr>
        <w:numPr>
          <w:ilvl w:val="0"/>
          <w:numId w:val="5"/>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水嘴。</w:t>
      </w:r>
    </w:p>
    <w:p>
      <w:pPr>
        <w:adjustRightInd w:val="0"/>
        <w:spacing w:line="400" w:lineRule="exact"/>
        <w:ind w:firstLine="431"/>
        <w:rPr>
          <w:rFonts w:hint="eastAsia" w:ascii="宋体" w:hAnsi="宋体" w:eastAsia="宋体" w:cs="宋体"/>
          <w:color w:val="auto"/>
        </w:rPr>
      </w:pPr>
      <w:r>
        <w:rPr>
          <w:rFonts w:hint="eastAsia" w:ascii="宋体" w:hAnsi="宋体" w:eastAsia="宋体" w:cs="宋体"/>
          <w:b/>
          <w:color w:val="auto"/>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4、投标人应注意下列内容：</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lang w:val="en-US" w:eastAsia="zh-CN"/>
        </w:rPr>
        <w:t xml:space="preserve">1）本需求一览表中标注★号的内容为实质性要求和条件，投标人须满足或响应，若无法完全满足，将会被认定为无效投标。 </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lang w:val="en-US" w:eastAsia="zh-CN"/>
        </w:rPr>
        <w:t xml:space="preserve">2）投标人须在投标文件中填写/应答技术规格参数，当投标文件中技术参数与招标文件中技术参数有偏离时，须在“偏离”栏内如实注明是“正偏离”或“负偏离”，“正偏离”指投标设备的技术参数优于 </w:t>
      </w:r>
    </w:p>
    <w:p>
      <w:pPr>
        <w:adjustRightInd w:val="0"/>
        <w:spacing w:line="400" w:lineRule="exact"/>
        <w:rPr>
          <w:rFonts w:hint="eastAsia" w:ascii="宋体" w:hAnsi="宋体" w:eastAsia="宋体" w:cs="宋体"/>
          <w:b/>
          <w:color w:val="auto"/>
          <w:lang w:val="en-US" w:eastAsia="zh-CN"/>
        </w:rPr>
      </w:pPr>
      <w:r>
        <w:rPr>
          <w:rFonts w:hint="eastAsia" w:ascii="宋体" w:hAnsi="宋体" w:eastAsia="宋体" w:cs="宋体"/>
          <w:b/>
          <w:color w:val="auto"/>
          <w:lang w:val="en-US" w:eastAsia="zh-CN"/>
        </w:rPr>
        <w:t>招标文件中要求，“负偏离”指投标设备的技术参数低于招标文件中要求。投标文件中的技术参数、功能或其它内容有“正偏离”的，投标人须对“正偏离”的情况单独作出说明。</w:t>
      </w:r>
    </w:p>
    <w:tbl>
      <w:tblPr>
        <w:tblStyle w:val="27"/>
        <w:tblpPr w:leftFromText="180" w:rightFromText="180" w:vertAnchor="text" w:horzAnchor="page" w:tblpX="833" w:tblpY="309"/>
        <w:tblOverlap w:val="never"/>
        <w:tblW w:w="10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95"/>
        <w:gridCol w:w="5820"/>
        <w:gridCol w:w="900"/>
        <w:gridCol w:w="75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b/>
                <w:bCs/>
                <w:color w:val="auto"/>
              </w:rPr>
            </w:pPr>
            <w:r>
              <w:rPr>
                <w:rFonts w:hint="eastAsia"/>
                <w:b/>
                <w:bCs/>
                <w:color w:val="auto"/>
              </w:rPr>
              <w:t>序号</w:t>
            </w:r>
          </w:p>
        </w:tc>
        <w:tc>
          <w:tcPr>
            <w:tcW w:w="1095" w:type="dxa"/>
            <w:vAlign w:val="center"/>
          </w:tcPr>
          <w:p>
            <w:pPr>
              <w:jc w:val="center"/>
              <w:rPr>
                <w:b/>
                <w:bCs/>
                <w:color w:val="auto"/>
              </w:rPr>
            </w:pPr>
            <w:r>
              <w:rPr>
                <w:rFonts w:hint="eastAsia"/>
                <w:b/>
                <w:bCs/>
                <w:color w:val="auto"/>
              </w:rPr>
              <w:t>货物名称</w:t>
            </w:r>
          </w:p>
        </w:tc>
        <w:tc>
          <w:tcPr>
            <w:tcW w:w="5820" w:type="dxa"/>
            <w:vAlign w:val="center"/>
          </w:tcPr>
          <w:p>
            <w:pPr>
              <w:jc w:val="center"/>
              <w:rPr>
                <w:b/>
                <w:bCs/>
                <w:color w:val="auto"/>
              </w:rPr>
            </w:pPr>
            <w:r>
              <w:rPr>
                <w:rFonts w:hint="eastAsia"/>
                <w:b/>
                <w:bCs/>
                <w:color w:val="auto"/>
              </w:rPr>
              <w:t>技术参数、性能、配置</w:t>
            </w:r>
          </w:p>
        </w:tc>
        <w:tc>
          <w:tcPr>
            <w:tcW w:w="900" w:type="dxa"/>
            <w:vAlign w:val="center"/>
          </w:tcPr>
          <w:p>
            <w:pPr>
              <w:jc w:val="center"/>
              <w:rPr>
                <w:b/>
                <w:bCs/>
                <w:color w:val="auto"/>
              </w:rPr>
            </w:pPr>
            <w:r>
              <w:rPr>
                <w:rFonts w:hint="eastAsia"/>
                <w:b/>
                <w:bCs/>
                <w:color w:val="auto"/>
              </w:rPr>
              <w:t>数量及</w:t>
            </w:r>
          </w:p>
          <w:p>
            <w:pPr>
              <w:jc w:val="center"/>
              <w:rPr>
                <w:b/>
                <w:bCs/>
                <w:color w:val="auto"/>
              </w:rPr>
            </w:pPr>
            <w:r>
              <w:rPr>
                <w:rFonts w:hint="eastAsia"/>
                <w:b/>
                <w:bCs/>
                <w:color w:val="auto"/>
              </w:rPr>
              <w:t>单位</w:t>
            </w:r>
          </w:p>
        </w:tc>
        <w:tc>
          <w:tcPr>
            <w:tcW w:w="754" w:type="dxa"/>
            <w:vAlign w:val="center"/>
          </w:tcPr>
          <w:p>
            <w:pPr>
              <w:jc w:val="center"/>
              <w:rPr>
                <w:b/>
                <w:bCs/>
                <w:color w:val="auto"/>
              </w:rPr>
            </w:pPr>
            <w:r>
              <w:rPr>
                <w:rFonts w:hint="eastAsia"/>
                <w:b/>
                <w:bCs/>
                <w:color w:val="auto"/>
              </w:rPr>
              <w:t>参考单价（元）</w:t>
            </w:r>
          </w:p>
        </w:tc>
        <w:tc>
          <w:tcPr>
            <w:tcW w:w="1004" w:type="dxa"/>
            <w:vAlign w:val="center"/>
          </w:tcPr>
          <w:p>
            <w:pPr>
              <w:jc w:val="center"/>
              <w:rPr>
                <w:b/>
                <w:bCs/>
                <w:color w:val="auto"/>
              </w:rPr>
            </w:pPr>
            <w:r>
              <w:rPr>
                <w:rFonts w:hint="eastAsia"/>
                <w:b/>
                <w:bCs/>
                <w:color w:val="auto"/>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color w:val="auto"/>
              </w:rPr>
            </w:pPr>
            <w:r>
              <w:rPr>
                <w:rFonts w:hint="eastAsia"/>
                <w:color w:val="auto"/>
              </w:rPr>
              <w:t>1</w:t>
            </w:r>
          </w:p>
        </w:tc>
        <w:tc>
          <w:tcPr>
            <w:tcW w:w="1095" w:type="dxa"/>
            <w:vAlign w:val="center"/>
          </w:tcPr>
          <w:p>
            <w:pPr>
              <w:jc w:val="center"/>
              <w:rPr>
                <w:color w:val="auto"/>
              </w:rPr>
            </w:pPr>
            <w:r>
              <w:rPr>
                <w:rFonts w:hint="eastAsia"/>
                <w:color w:val="auto"/>
              </w:rPr>
              <w:t>二连4人位中梯公寓床</w:t>
            </w:r>
          </w:p>
        </w:tc>
        <w:tc>
          <w:tcPr>
            <w:tcW w:w="5820" w:type="dxa"/>
            <w:vAlign w:val="center"/>
          </w:tcPr>
          <w:p>
            <w:pPr>
              <w:jc w:val="left"/>
              <w:rPr>
                <w:color w:val="auto"/>
              </w:rPr>
            </w:pPr>
            <w:r>
              <w:rPr>
                <w:rFonts w:hint="eastAsia"/>
                <w:color w:val="auto"/>
              </w:rPr>
              <w:t>一、外观规格尺寸：</w:t>
            </w:r>
          </w:p>
          <w:p>
            <w:pPr>
              <w:jc w:val="left"/>
              <w:rPr>
                <w:color w:val="auto"/>
              </w:rPr>
            </w:pPr>
            <w:r>
              <w:rPr>
                <w:rFonts w:hint="eastAsia"/>
                <w:color w:val="auto"/>
              </w:rPr>
              <w:t>长4050mm×宽900mm×高1800mm加蚊帐架高2600mm（允许偏差±5mm）；</w:t>
            </w:r>
          </w:p>
          <w:p>
            <w:pPr>
              <w:spacing w:line="340" w:lineRule="exact"/>
              <w:rPr>
                <w:color w:val="auto"/>
              </w:rPr>
            </w:pPr>
            <w:r>
              <w:rPr>
                <w:rFonts w:hint="eastAsia"/>
                <w:color w:val="auto"/>
              </w:rPr>
              <w:t>二、材质要求：</w:t>
            </w:r>
          </w:p>
          <w:p>
            <w:pPr>
              <w:spacing w:line="340" w:lineRule="exact"/>
              <w:rPr>
                <w:color w:val="auto"/>
              </w:rPr>
            </w:pPr>
            <w:r>
              <w:rPr>
                <w:rFonts w:hint="eastAsia"/>
                <w:color w:val="auto"/>
              </w:rPr>
              <w:t>1、钢架床材质要求为冷轧钢材，性能应符合GB/T 13237-2013《优质碳素结构钢冷轧钢板和钢带》、GB/T 3094-2012《冷拔异型钢管》标准；钢架床的质量应符合GB/T 3325-2017《金属家具通用技术条件》、</w:t>
            </w:r>
            <w:r>
              <w:rPr>
                <w:color w:val="auto"/>
              </w:rPr>
              <w:t>QB/T 2741-2013</w:t>
            </w:r>
            <w:r>
              <w:rPr>
                <w:rFonts w:hint="eastAsia"/>
                <w:color w:val="auto"/>
              </w:rPr>
              <w:t>《学生公寓多功能家具》标准。各钢件经除油、除锈、酸洗、陶化等工序,经防锈处理，外层采用聚脂环氧粉末静电喷塑处理，内外两面喷塑，防止生锈、腐蚀。颜色可选。焊接表面光滑无毛刺，焊接处无夹渣、气孔、焊瘤、焊丝头咬边飞溅，并保证无脱焊、虚焊及焊穿等现象。</w:t>
            </w:r>
          </w:p>
          <w:p>
            <w:pPr>
              <w:spacing w:line="340" w:lineRule="exact"/>
              <w:rPr>
                <w:color w:val="auto"/>
              </w:rPr>
            </w:pPr>
            <w:r>
              <w:rPr>
                <w:rFonts w:hint="eastAsia"/>
                <w:color w:val="auto"/>
              </w:rPr>
              <w:t>2、塑粉要求：铅：≤90mg/kg，镉：≤75mg/kg，铬≤60mg/kg，汞≤60mg/kg。</w:t>
            </w:r>
          </w:p>
          <w:p>
            <w:pPr>
              <w:jc w:val="left"/>
              <w:rPr>
                <w:color w:val="auto"/>
              </w:rPr>
            </w:pPr>
            <w:r>
              <w:rPr>
                <w:rFonts w:hint="eastAsia"/>
                <w:color w:val="auto"/>
              </w:rPr>
              <w:drawing>
                <wp:inline distT="0" distB="0" distL="0" distR="0">
                  <wp:extent cx="3548380" cy="2421890"/>
                  <wp:effectExtent l="0" t="0" r="13970" b="16510"/>
                  <wp:docPr id="1026" name="图片 10" descr="a821d64fdd3f55df96e75a5bfb301d2"/>
                  <wp:cNvGraphicFramePr/>
                  <a:graphic xmlns:a="http://schemas.openxmlformats.org/drawingml/2006/main">
                    <a:graphicData uri="http://schemas.openxmlformats.org/drawingml/2006/picture">
                      <pic:pic xmlns:pic="http://schemas.openxmlformats.org/drawingml/2006/picture">
                        <pic:nvPicPr>
                          <pic:cNvPr id="1026" name="图片 10" descr="a821d64fdd3f55df96e75a5bfb301d2"/>
                          <pic:cNvPicPr/>
                        </pic:nvPicPr>
                        <pic:blipFill>
                          <a:blip r:embed="rId8" cstate="print"/>
                          <a:srcRect/>
                          <a:stretch>
                            <a:fillRect/>
                          </a:stretch>
                        </pic:blipFill>
                        <pic:spPr>
                          <a:xfrm>
                            <a:off x="0" y="0"/>
                            <a:ext cx="3549014" cy="2421890"/>
                          </a:xfrm>
                          <a:prstGeom prst="rect">
                            <a:avLst/>
                          </a:prstGeom>
                        </pic:spPr>
                      </pic:pic>
                    </a:graphicData>
                  </a:graphic>
                </wp:inline>
              </w:drawing>
            </w:r>
          </w:p>
          <w:p>
            <w:pPr>
              <w:numPr>
                <w:ilvl w:val="0"/>
                <w:numId w:val="6"/>
              </w:numPr>
              <w:jc w:val="left"/>
              <w:rPr>
                <w:color w:val="auto"/>
              </w:rPr>
            </w:pPr>
            <w:r>
              <w:rPr>
                <w:rFonts w:hint="eastAsia"/>
                <w:color w:val="auto"/>
              </w:rPr>
              <w:t>主要部件尺寸及要求：</w:t>
            </w:r>
          </w:p>
          <w:p>
            <w:pPr>
              <w:jc w:val="left"/>
              <w:rPr>
                <w:color w:val="auto"/>
              </w:rPr>
            </w:pPr>
            <w:r>
              <w:rPr>
                <w:rFonts w:hint="eastAsia"/>
                <w:color w:val="auto"/>
              </w:rPr>
              <w:t>1、铁床立柱管：采用优质冷轧钢板经模压并采用高频焊接一次成型为72mm×72mm（允许偏差±1mm），边侧宽40 mm（允许偏差±1 mm），管壁厚度≥1.2mm中空封闭管，为了学生安全考虑，立柱外角弧形为半圆，起到防碰撞作用不易伤人，立柱弧面有不少于三道凹凸花纹（花纹必须为模压一次成型，与长横梁一致），起到抗扭作用，既美观又实用。经酸洗磷化工艺处理使表面形成一层防锈膜，达到防锈效果。如图所示：</w:t>
            </w:r>
          </w:p>
          <w:p>
            <w:pPr>
              <w:pStyle w:val="6"/>
              <w:ind w:left="0"/>
              <w:outlineLvl w:val="3"/>
              <w:rPr>
                <w:color w:val="auto"/>
              </w:rPr>
            </w:pPr>
          </w:p>
          <w:p>
            <w:pPr>
              <w:jc w:val="left"/>
              <w:rPr>
                <w:color w:val="auto"/>
              </w:rPr>
            </w:pPr>
            <w:r>
              <w:rPr>
                <w:color w:val="auto"/>
              </w:rPr>
              <w:drawing>
                <wp:inline distT="0" distB="0" distL="0" distR="0">
                  <wp:extent cx="1759585" cy="816610"/>
                  <wp:effectExtent l="0" t="0" r="12065" b="254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9" cstate="print"/>
                          <a:srcRect/>
                          <a:stretch>
                            <a:fillRect/>
                          </a:stretch>
                        </pic:blipFill>
                        <pic:spPr>
                          <a:xfrm>
                            <a:off x="0" y="0"/>
                            <a:ext cx="1759585" cy="817244"/>
                          </a:xfrm>
                          <a:prstGeom prst="rect">
                            <a:avLst/>
                          </a:prstGeom>
                          <a:ln>
                            <a:noFill/>
                          </a:ln>
                        </pic:spPr>
                      </pic:pic>
                    </a:graphicData>
                  </a:graphic>
                </wp:inline>
              </w:drawing>
            </w:r>
            <w:r>
              <w:rPr>
                <w:rFonts w:hint="eastAsia"/>
                <w:color w:val="auto"/>
              </w:rPr>
              <w:t xml:space="preserve">  </w:t>
            </w:r>
            <w:r>
              <w:rPr>
                <w:color w:val="auto"/>
              </w:rPr>
              <w:drawing>
                <wp:inline distT="0" distB="0" distL="0" distR="0">
                  <wp:extent cx="987425" cy="871855"/>
                  <wp:effectExtent l="0" t="0" r="3175" b="4445"/>
                  <wp:docPr id="1028" name="图片 1" descr="1505d73c4cf0f73ff7b740dbef6e6d8"/>
                  <wp:cNvGraphicFramePr/>
                  <a:graphic xmlns:a="http://schemas.openxmlformats.org/drawingml/2006/main">
                    <a:graphicData uri="http://schemas.openxmlformats.org/drawingml/2006/picture">
                      <pic:pic xmlns:pic="http://schemas.openxmlformats.org/drawingml/2006/picture">
                        <pic:nvPicPr>
                          <pic:cNvPr id="1028" name="图片 1" descr="1505d73c4cf0f73ff7b740dbef6e6d8"/>
                          <pic:cNvPicPr/>
                        </pic:nvPicPr>
                        <pic:blipFill>
                          <a:blip r:embed="rId10" cstate="print"/>
                          <a:srcRect/>
                          <a:stretch>
                            <a:fillRect/>
                          </a:stretch>
                        </pic:blipFill>
                        <pic:spPr>
                          <a:xfrm>
                            <a:off x="0" y="0"/>
                            <a:ext cx="987425" cy="871855"/>
                          </a:xfrm>
                          <a:prstGeom prst="rect">
                            <a:avLst/>
                          </a:prstGeom>
                          <a:ln>
                            <a:noFill/>
                          </a:ln>
                        </pic:spPr>
                      </pic:pic>
                    </a:graphicData>
                  </a:graphic>
                </wp:inline>
              </w:drawing>
            </w:r>
          </w:p>
          <w:p>
            <w:pPr>
              <w:numPr>
                <w:ilvl w:val="0"/>
                <w:numId w:val="7"/>
              </w:numPr>
              <w:jc w:val="left"/>
              <w:rPr>
                <w:color w:val="auto"/>
              </w:rPr>
            </w:pPr>
            <w:r>
              <w:rPr>
                <w:rFonts w:hint="eastAsia"/>
                <w:color w:val="auto"/>
              </w:rPr>
              <w:t>铁床长横梁管：</w:t>
            </w:r>
            <w:r>
              <w:rPr>
                <w:color w:val="auto"/>
              </w:rPr>
              <w:t>采用优质冷轧钢板经模压并采用高频焊接一次成型，其立面为封口L型管材，横梁正面有</w:t>
            </w:r>
            <w:r>
              <w:rPr>
                <w:rFonts w:hint="eastAsia"/>
                <w:color w:val="auto"/>
              </w:rPr>
              <w:t>不少于三道凹凸花纹（花纹必须为模压一次成型，与立柱一致）</w:t>
            </w:r>
            <w:r>
              <w:rPr>
                <w:color w:val="auto"/>
              </w:rPr>
              <w:t>，起到抗扭作用，既美观又实用。底部为</w:t>
            </w:r>
            <w:r>
              <w:rPr>
                <w:rFonts w:hint="eastAsia"/>
                <w:color w:val="auto"/>
              </w:rPr>
              <w:t>R15</w:t>
            </w:r>
            <w:r>
              <w:rPr>
                <w:color w:val="auto"/>
              </w:rPr>
              <w:t>弧形防碰撞设计，防止学生刮伤。立面成型后尺寸为80mm</w:t>
            </w:r>
            <w:r>
              <w:rPr>
                <w:rFonts w:hint="eastAsia"/>
                <w:color w:val="auto"/>
              </w:rPr>
              <w:t>×</w:t>
            </w:r>
            <w:r>
              <w:rPr>
                <w:color w:val="auto"/>
              </w:rPr>
              <w:t>55mm（允许</w:t>
            </w:r>
            <w:r>
              <w:rPr>
                <w:rFonts w:hint="eastAsia"/>
                <w:color w:val="auto"/>
              </w:rPr>
              <w:t>偏差±</w:t>
            </w:r>
            <w:r>
              <w:rPr>
                <w:color w:val="auto"/>
              </w:rPr>
              <w:t>1mm）</w:t>
            </w:r>
            <w:r>
              <w:rPr>
                <w:rFonts w:hint="eastAsia"/>
                <w:color w:val="auto"/>
              </w:rPr>
              <w:t>管壁</w:t>
            </w:r>
            <w:r>
              <w:rPr>
                <w:color w:val="auto"/>
              </w:rPr>
              <w:t>厚度≥1.2mm。经酸洗磷化工艺处理使表面形成一层</w:t>
            </w:r>
            <w:r>
              <w:rPr>
                <w:rFonts w:hint="eastAsia"/>
                <w:color w:val="auto"/>
              </w:rPr>
              <w:t>防锈</w:t>
            </w:r>
            <w:r>
              <w:rPr>
                <w:color w:val="auto"/>
              </w:rPr>
              <w:t>膜，达到防锈效果。如图所示：</w:t>
            </w:r>
          </w:p>
          <w:p>
            <w:pPr>
              <w:pStyle w:val="6"/>
              <w:ind w:left="0"/>
              <w:outlineLvl w:val="3"/>
              <w:rPr>
                <w:color w:val="auto"/>
              </w:rPr>
            </w:pPr>
            <w:r>
              <w:rPr>
                <w:color w:val="auto"/>
              </w:rPr>
              <w:drawing>
                <wp:inline distT="0" distB="0" distL="0" distR="0">
                  <wp:extent cx="1234440" cy="1119505"/>
                  <wp:effectExtent l="0" t="0" r="3810" b="4445"/>
                  <wp:docPr id="1029" name="图片 4" descr="1530080531924"/>
                  <wp:cNvGraphicFramePr/>
                  <a:graphic xmlns:a="http://schemas.openxmlformats.org/drawingml/2006/main">
                    <a:graphicData uri="http://schemas.openxmlformats.org/drawingml/2006/picture">
                      <pic:pic xmlns:pic="http://schemas.openxmlformats.org/drawingml/2006/picture">
                        <pic:nvPicPr>
                          <pic:cNvPr id="1029" name="图片 4" descr="1530080531924"/>
                          <pic:cNvPicPr/>
                        </pic:nvPicPr>
                        <pic:blipFill>
                          <a:blip r:embed="rId11" cstate="print"/>
                          <a:srcRect/>
                          <a:stretch>
                            <a:fillRect/>
                          </a:stretch>
                        </pic:blipFill>
                        <pic:spPr>
                          <a:xfrm>
                            <a:off x="0" y="0"/>
                            <a:ext cx="1234440" cy="1119505"/>
                          </a:xfrm>
                          <a:prstGeom prst="rect">
                            <a:avLst/>
                          </a:prstGeom>
                          <a:ln>
                            <a:noFill/>
                          </a:ln>
                        </pic:spPr>
                      </pic:pic>
                    </a:graphicData>
                  </a:graphic>
                </wp:inline>
              </w:drawing>
            </w:r>
            <w:r>
              <w:rPr>
                <w:color w:val="auto"/>
              </w:rPr>
              <w:drawing>
                <wp:inline distT="0" distB="0" distL="0" distR="0">
                  <wp:extent cx="2070100" cy="782320"/>
                  <wp:effectExtent l="0" t="0" r="6350" b="17780"/>
                  <wp:docPr id="1030" name="图片 5" descr="F:\图纸\部件图片\微信图片_20181208093640.jpg"/>
                  <wp:cNvGraphicFramePr/>
                  <a:graphic xmlns:a="http://schemas.openxmlformats.org/drawingml/2006/main">
                    <a:graphicData uri="http://schemas.openxmlformats.org/drawingml/2006/picture">
                      <pic:pic xmlns:pic="http://schemas.openxmlformats.org/drawingml/2006/picture">
                        <pic:nvPicPr>
                          <pic:cNvPr id="1030" name="图片 5" descr="F:\图纸\部件图片\微信图片_20181208093640.jpg"/>
                          <pic:cNvPicPr/>
                        </pic:nvPicPr>
                        <pic:blipFill>
                          <a:blip r:embed="rId12" cstate="print"/>
                          <a:srcRect/>
                          <a:stretch>
                            <a:fillRect/>
                          </a:stretch>
                        </pic:blipFill>
                        <pic:spPr>
                          <a:xfrm>
                            <a:off x="0" y="0"/>
                            <a:ext cx="2070100" cy="782320"/>
                          </a:xfrm>
                          <a:prstGeom prst="rect">
                            <a:avLst/>
                          </a:prstGeom>
                          <a:ln>
                            <a:noFill/>
                          </a:ln>
                        </pic:spPr>
                      </pic:pic>
                    </a:graphicData>
                  </a:graphic>
                </wp:inline>
              </w:drawing>
            </w:r>
          </w:p>
          <w:p>
            <w:pPr>
              <w:numPr>
                <w:ilvl w:val="0"/>
                <w:numId w:val="7"/>
              </w:numPr>
              <w:rPr>
                <w:color w:val="auto"/>
              </w:rPr>
            </w:pPr>
            <w:r>
              <w:rPr>
                <w:rFonts w:hint="eastAsia"/>
                <w:color w:val="auto"/>
              </w:rPr>
              <w:t>铁床档头横梁管：</w:t>
            </w:r>
            <w:r>
              <w:rPr>
                <w:color w:val="auto"/>
              </w:rPr>
              <w:t>采用优质冷轧钢板经模压并采用高频焊接一次成型，管材立面为中空P型封闭管材，规格:80</w:t>
            </w:r>
            <w:r>
              <w:rPr>
                <w:rFonts w:hint="eastAsia"/>
                <w:color w:val="auto"/>
              </w:rPr>
              <w:t>mm×</w:t>
            </w:r>
            <w:r>
              <w:rPr>
                <w:color w:val="auto"/>
              </w:rPr>
              <w:t>33</w:t>
            </w:r>
            <w:r>
              <w:rPr>
                <w:rFonts w:hint="eastAsia"/>
                <w:color w:val="auto"/>
              </w:rPr>
              <w:t>mm</w:t>
            </w:r>
            <w:r>
              <w:rPr>
                <w:color w:val="auto"/>
              </w:rPr>
              <w:t>（允许</w:t>
            </w:r>
            <w:r>
              <w:rPr>
                <w:rFonts w:hint="eastAsia"/>
                <w:color w:val="auto"/>
              </w:rPr>
              <w:t>偏差±</w:t>
            </w:r>
            <w:r>
              <w:rPr>
                <w:color w:val="auto"/>
              </w:rPr>
              <w:t>1mm）</w:t>
            </w:r>
            <w:r>
              <w:rPr>
                <w:rFonts w:hint="eastAsia"/>
                <w:color w:val="auto"/>
              </w:rPr>
              <w:t>，管壁厚度≥</w:t>
            </w:r>
            <w:r>
              <w:rPr>
                <w:color w:val="auto"/>
              </w:rPr>
              <w:t>1.2 mm  P型管。经酸洗磷化工艺处理使表面形成一层防锈膜，达到防锈效果。如图所示：</w:t>
            </w:r>
          </w:p>
          <w:p>
            <w:pPr>
              <w:pStyle w:val="6"/>
              <w:ind w:left="0"/>
              <w:outlineLvl w:val="3"/>
              <w:rPr>
                <w:color w:val="auto"/>
              </w:rPr>
            </w:pPr>
          </w:p>
          <w:p>
            <w:pPr>
              <w:jc w:val="left"/>
              <w:rPr>
                <w:color w:val="auto"/>
              </w:rPr>
            </w:pPr>
            <w:r>
              <w:rPr>
                <w:color w:val="auto"/>
              </w:rPr>
              <w:drawing>
                <wp:inline distT="0" distB="0" distL="0" distR="0">
                  <wp:extent cx="884555" cy="1150620"/>
                  <wp:effectExtent l="0" t="0" r="11430" b="10795"/>
                  <wp:docPr id="1031" name="图片 6"/>
                  <wp:cNvGraphicFramePr/>
                  <a:graphic xmlns:a="http://schemas.openxmlformats.org/drawingml/2006/main">
                    <a:graphicData uri="http://schemas.openxmlformats.org/drawingml/2006/picture">
                      <pic:pic xmlns:pic="http://schemas.openxmlformats.org/drawingml/2006/picture">
                        <pic:nvPicPr>
                          <pic:cNvPr id="1031" name="图片 6"/>
                          <pic:cNvPicPr/>
                        </pic:nvPicPr>
                        <pic:blipFill>
                          <a:blip r:embed="rId13" cstate="print"/>
                          <a:srcRect/>
                          <a:stretch>
                            <a:fillRect/>
                          </a:stretch>
                        </pic:blipFill>
                        <pic:spPr>
                          <a:xfrm rot="5400000">
                            <a:off x="0" y="0"/>
                            <a:ext cx="885189" cy="1150620"/>
                          </a:xfrm>
                          <a:prstGeom prst="rect">
                            <a:avLst/>
                          </a:prstGeom>
                          <a:ln>
                            <a:noFill/>
                          </a:ln>
                        </pic:spPr>
                      </pic:pic>
                    </a:graphicData>
                  </a:graphic>
                </wp:inline>
              </w:drawing>
            </w:r>
            <w:r>
              <w:rPr>
                <w:rFonts w:hint="eastAsia"/>
                <w:color w:val="auto"/>
              </w:rPr>
              <w:drawing>
                <wp:inline distT="0" distB="0" distL="0" distR="0">
                  <wp:extent cx="1658620" cy="807085"/>
                  <wp:effectExtent l="0" t="0" r="17780" b="12065"/>
                  <wp:docPr id="1032" name="图片 7" descr="9f28ec44ec07ab6575d0eee5d5446ed"/>
                  <wp:cNvGraphicFramePr/>
                  <a:graphic xmlns:a="http://schemas.openxmlformats.org/drawingml/2006/main">
                    <a:graphicData uri="http://schemas.openxmlformats.org/drawingml/2006/picture">
                      <pic:pic xmlns:pic="http://schemas.openxmlformats.org/drawingml/2006/picture">
                        <pic:nvPicPr>
                          <pic:cNvPr id="1032" name="图片 7" descr="9f28ec44ec07ab6575d0eee5d5446ed"/>
                          <pic:cNvPicPr/>
                        </pic:nvPicPr>
                        <pic:blipFill>
                          <a:blip r:embed="rId14" cstate="print"/>
                          <a:srcRect/>
                          <a:stretch>
                            <a:fillRect/>
                          </a:stretch>
                        </pic:blipFill>
                        <pic:spPr>
                          <a:xfrm>
                            <a:off x="0" y="0"/>
                            <a:ext cx="1658620" cy="807085"/>
                          </a:xfrm>
                          <a:prstGeom prst="rect">
                            <a:avLst/>
                          </a:prstGeom>
                          <a:ln>
                            <a:noFill/>
                          </a:ln>
                        </pic:spPr>
                      </pic:pic>
                    </a:graphicData>
                  </a:graphic>
                </wp:inline>
              </w:drawing>
            </w:r>
          </w:p>
          <w:p>
            <w:pPr>
              <w:jc w:val="left"/>
              <w:rPr>
                <w:color w:val="auto"/>
              </w:rPr>
            </w:pPr>
            <w:r>
              <w:rPr>
                <w:rFonts w:hint="eastAsia"/>
                <w:color w:val="auto"/>
              </w:rPr>
              <w:t>4、铁床前护栏主管：为学生安全考虑，横管采用D型管20mm×32mm</w:t>
            </w:r>
            <w:r>
              <w:rPr>
                <w:color w:val="auto"/>
              </w:rPr>
              <w:t>（允许</w:t>
            </w:r>
            <w:r>
              <w:rPr>
                <w:rFonts w:hint="eastAsia"/>
                <w:color w:val="auto"/>
              </w:rPr>
              <w:t>偏差±</w:t>
            </w:r>
            <w:r>
              <w:rPr>
                <w:color w:val="auto"/>
              </w:rPr>
              <w:t>1mm）</w:t>
            </w:r>
            <w:r>
              <w:rPr>
                <w:rFonts w:hint="eastAsia"/>
                <w:color w:val="auto"/>
              </w:rPr>
              <w:t>，管壁厚度≥1.2mm经数控弯曲成曲型，铁床档头竖管采用方管20mm×20mm</w:t>
            </w:r>
            <w:r>
              <w:rPr>
                <w:color w:val="auto"/>
              </w:rPr>
              <w:t>（允许</w:t>
            </w:r>
            <w:r>
              <w:rPr>
                <w:rFonts w:hint="eastAsia"/>
                <w:color w:val="auto"/>
              </w:rPr>
              <w:t>偏差±</w:t>
            </w:r>
            <w:r>
              <w:rPr>
                <w:color w:val="auto"/>
              </w:rPr>
              <w:t>1mm）</w:t>
            </w:r>
            <w:r>
              <w:rPr>
                <w:rFonts w:hint="eastAsia"/>
                <w:color w:val="auto"/>
              </w:rPr>
              <w:t>，管壁厚度≥1.0mm。 D型管如图所示:</w:t>
            </w:r>
          </w:p>
          <w:p>
            <w:pPr>
              <w:jc w:val="left"/>
              <w:rPr>
                <w:color w:val="auto"/>
              </w:rPr>
            </w:pPr>
          </w:p>
          <w:p>
            <w:pPr>
              <w:jc w:val="left"/>
              <w:rPr>
                <w:color w:val="auto"/>
              </w:rPr>
            </w:pPr>
            <w:r>
              <w:rPr>
                <w:color w:val="auto"/>
              </w:rPr>
              <w:drawing>
                <wp:inline distT="0" distB="0" distL="0" distR="0">
                  <wp:extent cx="1076325" cy="1285875"/>
                  <wp:effectExtent l="0" t="0" r="9525" b="9525"/>
                  <wp:docPr id="1033" name="图片 8"/>
                  <wp:cNvGraphicFramePr/>
                  <a:graphic xmlns:a="http://schemas.openxmlformats.org/drawingml/2006/main">
                    <a:graphicData uri="http://schemas.openxmlformats.org/drawingml/2006/picture">
                      <pic:pic xmlns:pic="http://schemas.openxmlformats.org/drawingml/2006/picture">
                        <pic:nvPicPr>
                          <pic:cNvPr id="1033" name="图片 8"/>
                          <pic:cNvPicPr/>
                        </pic:nvPicPr>
                        <pic:blipFill>
                          <a:blip r:embed="rId15" cstate="print"/>
                          <a:srcRect/>
                          <a:stretch>
                            <a:fillRect/>
                          </a:stretch>
                        </pic:blipFill>
                        <pic:spPr>
                          <a:xfrm>
                            <a:off x="0" y="0"/>
                            <a:ext cx="1076325" cy="1285875"/>
                          </a:xfrm>
                          <a:prstGeom prst="rect">
                            <a:avLst/>
                          </a:prstGeom>
                          <a:ln>
                            <a:noFill/>
                          </a:ln>
                        </pic:spPr>
                      </pic:pic>
                    </a:graphicData>
                  </a:graphic>
                </wp:inline>
              </w:drawing>
            </w:r>
          </w:p>
          <w:p>
            <w:pPr>
              <w:jc w:val="left"/>
              <w:rPr>
                <w:color w:val="auto"/>
              </w:rPr>
            </w:pPr>
            <w:r>
              <w:rPr>
                <w:rFonts w:hint="eastAsia"/>
                <w:color w:val="auto"/>
              </w:rPr>
              <w:t>5、铁床前护栏竖管：为学生安全考虑，横管采用Ｄ型管28mm×38mm</w:t>
            </w:r>
            <w:r>
              <w:rPr>
                <w:color w:val="auto"/>
              </w:rPr>
              <w:t>（允许</w:t>
            </w:r>
            <w:r>
              <w:rPr>
                <w:rFonts w:hint="eastAsia"/>
                <w:color w:val="auto"/>
              </w:rPr>
              <w:t>偏差±</w:t>
            </w:r>
            <w:r>
              <w:rPr>
                <w:color w:val="auto"/>
              </w:rPr>
              <w:t>1mm）</w:t>
            </w:r>
            <w:r>
              <w:rPr>
                <w:rFonts w:hint="eastAsia"/>
                <w:color w:val="auto"/>
              </w:rPr>
              <w:t>，管壁厚度≥1.2mm，竖管采用方管40mm×20mm</w:t>
            </w:r>
            <w:r>
              <w:rPr>
                <w:color w:val="auto"/>
              </w:rPr>
              <w:t>（允许</w:t>
            </w:r>
            <w:r>
              <w:rPr>
                <w:rFonts w:hint="eastAsia"/>
                <w:color w:val="auto"/>
              </w:rPr>
              <w:t>偏差±</w:t>
            </w:r>
            <w:r>
              <w:rPr>
                <w:color w:val="auto"/>
              </w:rPr>
              <w:t>1mm）</w:t>
            </w:r>
            <w:r>
              <w:rPr>
                <w:rFonts w:hint="eastAsia"/>
                <w:color w:val="auto"/>
              </w:rPr>
              <w:t xml:space="preserve">，管壁厚度≥1.0 mm。D型管如图所示；                    </w:t>
            </w:r>
          </w:p>
          <w:p>
            <w:pPr>
              <w:jc w:val="left"/>
              <w:rPr>
                <w:color w:val="auto"/>
              </w:rPr>
            </w:pPr>
          </w:p>
          <w:p>
            <w:pPr>
              <w:jc w:val="left"/>
              <w:rPr>
                <w:color w:val="auto"/>
              </w:rPr>
            </w:pPr>
          </w:p>
          <w:p>
            <w:pPr>
              <w:jc w:val="left"/>
              <w:rPr>
                <w:color w:val="auto"/>
              </w:rPr>
            </w:pPr>
            <w:r>
              <w:rPr>
                <w:rFonts w:hint="eastAsia"/>
                <w:color w:val="auto"/>
              </w:rPr>
              <w:t xml:space="preserve">                </w:t>
            </w:r>
          </w:p>
          <w:p>
            <w:pPr>
              <w:jc w:val="left"/>
              <w:rPr>
                <w:color w:val="auto"/>
              </w:rPr>
            </w:pPr>
            <w:r>
              <w:rPr>
                <w:color w:val="auto"/>
              </w:rPr>
              <w:drawing>
                <wp:inline distT="0" distB="0" distL="0" distR="0">
                  <wp:extent cx="1043940" cy="1167130"/>
                  <wp:effectExtent l="0" t="0" r="3810" b="13970"/>
                  <wp:docPr id="1034" name="图片 9"/>
                  <wp:cNvGraphicFramePr/>
                  <a:graphic xmlns:a="http://schemas.openxmlformats.org/drawingml/2006/main">
                    <a:graphicData uri="http://schemas.openxmlformats.org/drawingml/2006/picture">
                      <pic:pic xmlns:pic="http://schemas.openxmlformats.org/drawingml/2006/picture">
                        <pic:nvPicPr>
                          <pic:cNvPr id="1034" name="图片 9"/>
                          <pic:cNvPicPr/>
                        </pic:nvPicPr>
                        <pic:blipFill>
                          <a:blip r:embed="rId16" cstate="print"/>
                          <a:srcRect/>
                          <a:stretch>
                            <a:fillRect/>
                          </a:stretch>
                        </pic:blipFill>
                        <pic:spPr>
                          <a:xfrm>
                            <a:off x="0" y="0"/>
                            <a:ext cx="1043940" cy="1167130"/>
                          </a:xfrm>
                          <a:prstGeom prst="rect">
                            <a:avLst/>
                          </a:prstGeom>
                          <a:ln>
                            <a:noFill/>
                          </a:ln>
                        </pic:spPr>
                      </pic:pic>
                    </a:graphicData>
                  </a:graphic>
                </wp:inline>
              </w:drawing>
            </w:r>
          </w:p>
          <w:p>
            <w:pPr>
              <w:jc w:val="left"/>
              <w:rPr>
                <w:color w:val="auto"/>
              </w:rPr>
            </w:pPr>
            <w:r>
              <w:rPr>
                <w:rFonts w:hint="eastAsia"/>
                <w:color w:val="auto"/>
              </w:rPr>
              <w:t>6、铁床中床头护栏：横管采用25mm×25mm</w:t>
            </w:r>
            <w:r>
              <w:rPr>
                <w:color w:val="auto"/>
              </w:rPr>
              <w:t>（允许</w:t>
            </w:r>
            <w:r>
              <w:rPr>
                <w:rFonts w:hint="eastAsia"/>
                <w:color w:val="auto"/>
              </w:rPr>
              <w:t>偏差±</w:t>
            </w:r>
            <w:r>
              <w:rPr>
                <w:color w:val="auto"/>
              </w:rPr>
              <w:t>1mm）</w:t>
            </w:r>
            <w:r>
              <w:rPr>
                <w:rFonts w:hint="eastAsia"/>
                <w:color w:val="auto"/>
              </w:rPr>
              <w:t>，管壁厚度≥1.0mm方管，竖管采用40mm×20mm</w:t>
            </w:r>
            <w:r>
              <w:rPr>
                <w:color w:val="auto"/>
              </w:rPr>
              <w:t>（允许</w:t>
            </w:r>
            <w:r>
              <w:rPr>
                <w:rFonts w:hint="eastAsia"/>
                <w:color w:val="auto"/>
              </w:rPr>
              <w:t>偏差±</w:t>
            </w:r>
            <w:r>
              <w:rPr>
                <w:color w:val="auto"/>
              </w:rPr>
              <w:t>1mm）</w:t>
            </w:r>
            <w:r>
              <w:rPr>
                <w:rFonts w:hint="eastAsia"/>
                <w:color w:val="auto"/>
              </w:rPr>
              <w:t>,管壁厚度≥1.0mm方管。</w:t>
            </w:r>
          </w:p>
          <w:p>
            <w:pPr>
              <w:jc w:val="left"/>
              <w:rPr>
                <w:color w:val="auto"/>
              </w:rPr>
            </w:pPr>
            <w:r>
              <w:rPr>
                <w:rFonts w:hint="eastAsia"/>
                <w:color w:val="auto"/>
              </w:rPr>
              <w:t>7、铁床爬梯立柱管：铁床爬梯立柱管采用方管40mm×20mm</w:t>
            </w:r>
            <w:r>
              <w:rPr>
                <w:color w:val="auto"/>
              </w:rPr>
              <w:t>（允许</w:t>
            </w:r>
            <w:r>
              <w:rPr>
                <w:rFonts w:hint="eastAsia"/>
                <w:color w:val="auto"/>
              </w:rPr>
              <w:t>偏差±</w:t>
            </w:r>
            <w:r>
              <w:rPr>
                <w:color w:val="auto"/>
              </w:rPr>
              <w:t>1mm）</w:t>
            </w:r>
            <w:r>
              <w:rPr>
                <w:rFonts w:hint="eastAsia"/>
                <w:color w:val="auto"/>
              </w:rPr>
              <w:t>，管壁厚度≥1.2mm，支架横管、竖管采用方管20mm×20mm</w:t>
            </w:r>
            <w:r>
              <w:rPr>
                <w:color w:val="auto"/>
              </w:rPr>
              <w:t>（允许</w:t>
            </w:r>
            <w:r>
              <w:rPr>
                <w:rFonts w:hint="eastAsia"/>
                <w:color w:val="auto"/>
              </w:rPr>
              <w:t>偏差±</w:t>
            </w:r>
            <w:r>
              <w:rPr>
                <w:color w:val="auto"/>
              </w:rPr>
              <w:t>1mm）</w:t>
            </w:r>
            <w:r>
              <w:rPr>
                <w:rFonts w:hint="eastAsia"/>
                <w:color w:val="auto"/>
              </w:rPr>
              <w:t>,管壁厚度≥1.2mm。铁床爬梯踏板采用≥1.2mm厚优质冷轧钢板一次冲压成型。前后折边设计，折边高度20mm（</w:t>
            </w:r>
            <w:r>
              <w:rPr>
                <w:color w:val="auto"/>
              </w:rPr>
              <w:t>允许</w:t>
            </w:r>
            <w:r>
              <w:rPr>
                <w:rFonts w:hint="eastAsia"/>
                <w:color w:val="auto"/>
              </w:rPr>
              <w:t>偏差±</w:t>
            </w:r>
            <w:r>
              <w:rPr>
                <w:rFonts w:hint="eastAsia"/>
                <w:color w:val="auto"/>
                <w:lang w:val="en-US" w:eastAsia="zh-CN"/>
              </w:rPr>
              <w:t>2</w:t>
            </w:r>
            <w:r>
              <w:rPr>
                <w:color w:val="auto"/>
              </w:rPr>
              <w:t>mm</w:t>
            </w:r>
            <w:r>
              <w:rPr>
                <w:rFonts w:hint="eastAsia"/>
                <w:color w:val="auto"/>
              </w:rPr>
              <w:t>），踏板规格尺寸：450mm×200mm×20mm</w:t>
            </w:r>
            <w:r>
              <w:rPr>
                <w:color w:val="auto"/>
              </w:rPr>
              <w:t>（允许</w:t>
            </w:r>
            <w:r>
              <w:rPr>
                <w:rFonts w:hint="eastAsia"/>
                <w:color w:val="auto"/>
              </w:rPr>
              <w:t>偏差±</w:t>
            </w:r>
            <w:r>
              <w:rPr>
                <w:color w:val="auto"/>
              </w:rPr>
              <w:t>1mm）</w:t>
            </w:r>
            <w:r>
              <w:rPr>
                <w:rFonts w:hint="eastAsia"/>
                <w:color w:val="auto"/>
              </w:rPr>
              <w:t>。</w:t>
            </w:r>
          </w:p>
          <w:p>
            <w:pPr>
              <w:jc w:val="left"/>
              <w:rPr>
                <w:color w:val="auto"/>
              </w:rPr>
            </w:pPr>
            <w:r>
              <w:rPr>
                <w:rFonts w:hint="eastAsia"/>
                <w:color w:val="auto"/>
              </w:rPr>
              <w:t xml:space="preserve">        </w:t>
            </w:r>
            <w:r>
              <w:rPr>
                <w:rFonts w:hint="eastAsia"/>
                <w:color w:val="auto"/>
              </w:rPr>
              <w:drawing>
                <wp:inline distT="0" distB="0" distL="0" distR="0">
                  <wp:extent cx="2379980" cy="1492250"/>
                  <wp:effectExtent l="0" t="0" r="1270" b="12700"/>
                  <wp:docPr id="1035" name="图片 10" descr="7019d6fc1a4f243649e6dd1461f4e9c"/>
                  <wp:cNvGraphicFramePr/>
                  <a:graphic xmlns:a="http://schemas.openxmlformats.org/drawingml/2006/main">
                    <a:graphicData uri="http://schemas.openxmlformats.org/drawingml/2006/picture">
                      <pic:pic xmlns:pic="http://schemas.openxmlformats.org/drawingml/2006/picture">
                        <pic:nvPicPr>
                          <pic:cNvPr id="1035" name="图片 10" descr="7019d6fc1a4f243649e6dd1461f4e9c"/>
                          <pic:cNvPicPr/>
                        </pic:nvPicPr>
                        <pic:blipFill>
                          <a:blip r:embed="rId17" cstate="print"/>
                          <a:srcRect/>
                          <a:stretch>
                            <a:fillRect/>
                          </a:stretch>
                        </pic:blipFill>
                        <pic:spPr>
                          <a:xfrm>
                            <a:off x="0" y="0"/>
                            <a:ext cx="2379980" cy="1492250"/>
                          </a:xfrm>
                          <a:prstGeom prst="rect">
                            <a:avLst/>
                          </a:prstGeom>
                          <a:ln>
                            <a:noFill/>
                          </a:ln>
                        </pic:spPr>
                      </pic:pic>
                    </a:graphicData>
                  </a:graphic>
                </wp:inline>
              </w:drawing>
            </w:r>
          </w:p>
          <w:p>
            <w:pPr>
              <w:jc w:val="left"/>
              <w:rPr>
                <w:color w:val="auto"/>
              </w:rPr>
            </w:pPr>
            <w:r>
              <w:rPr>
                <w:rFonts w:hint="eastAsia"/>
                <w:color w:val="auto"/>
              </w:rPr>
              <w:t>8、铁床挂件（卡式链接件）：采用优质钢板经冲压一次成型，成型后外形规格不小于为26mm×26mm×195mm</w:t>
            </w:r>
            <w:r>
              <w:rPr>
                <w:color w:val="auto"/>
              </w:rPr>
              <w:t>（允许</w:t>
            </w:r>
            <w:r>
              <w:rPr>
                <w:rFonts w:hint="eastAsia"/>
                <w:color w:val="auto"/>
              </w:rPr>
              <w:t>偏差±</w:t>
            </w:r>
            <w:r>
              <w:rPr>
                <w:color w:val="auto"/>
              </w:rPr>
              <w:t>1mm）</w:t>
            </w:r>
            <w:r>
              <w:rPr>
                <w:rFonts w:hint="eastAsia"/>
                <w:color w:val="auto"/>
              </w:rPr>
              <w:t>,钢板厚度≥2.0mm，连接扣点采用不小于3个位置连接，床横梁与床立柱连接方式：卡扣式连接（无需螺栓），立柱上经数控冲床加工三个连接孔，通过与卡式连接件无缝式下压连接，实现使用后越用越紧的状态。</w:t>
            </w:r>
          </w:p>
          <w:p>
            <w:pPr>
              <w:jc w:val="left"/>
              <w:rPr>
                <w:color w:val="auto"/>
              </w:rPr>
            </w:pPr>
            <w:r>
              <w:rPr>
                <w:rFonts w:hint="eastAsia"/>
                <w:color w:val="auto"/>
              </w:rPr>
              <w:t>9、铁床床桓管：20mm×40mm</w:t>
            </w:r>
            <w:r>
              <w:rPr>
                <w:color w:val="auto"/>
              </w:rPr>
              <w:t>（允许</w:t>
            </w:r>
            <w:r>
              <w:rPr>
                <w:rFonts w:hint="eastAsia"/>
                <w:color w:val="auto"/>
              </w:rPr>
              <w:t>偏差±</w:t>
            </w:r>
            <w:r>
              <w:rPr>
                <w:color w:val="auto"/>
              </w:rPr>
              <w:t>1mm）</w:t>
            </w:r>
            <w:r>
              <w:rPr>
                <w:rFonts w:hint="eastAsia"/>
                <w:color w:val="auto"/>
              </w:rPr>
              <w:t>,管壁厚度≥1.0mm方管，均匀分布5根。</w:t>
            </w:r>
          </w:p>
          <w:p>
            <w:pPr>
              <w:jc w:val="left"/>
              <w:rPr>
                <w:color w:val="auto"/>
              </w:rPr>
            </w:pPr>
            <w:r>
              <w:rPr>
                <w:rFonts w:hint="eastAsia"/>
                <w:color w:val="auto"/>
              </w:rPr>
              <w:t>10、铁床蚊帐杆管：直径≥16mm, 管壁厚度≥1.0mm的</w:t>
            </w:r>
            <w:r>
              <w:rPr>
                <w:color w:val="auto"/>
              </w:rPr>
              <w:t>圆管</w:t>
            </w:r>
            <w:r>
              <w:rPr>
                <w:rFonts w:hint="eastAsia"/>
                <w:color w:val="auto"/>
              </w:rPr>
              <w:t>。</w:t>
            </w:r>
          </w:p>
          <w:p>
            <w:pPr>
              <w:jc w:val="left"/>
              <w:rPr>
                <w:color w:val="auto"/>
              </w:rPr>
            </w:pPr>
            <w:r>
              <w:rPr>
                <w:rFonts w:hint="eastAsia"/>
                <w:color w:val="auto"/>
              </w:rPr>
              <w:t>11、保护套：采用优质塑胶一次性注塑成型，立柱下端采用外套式脚套底部带有防滑设计，形状与立柱完全吻合，起到防潮作用。（不允许3D打印）。</w:t>
            </w:r>
          </w:p>
          <w:p>
            <w:pPr>
              <w:jc w:val="left"/>
              <w:rPr>
                <w:color w:val="auto"/>
              </w:rPr>
            </w:pPr>
            <w:r>
              <w:rPr>
                <w:rFonts w:hint="eastAsia"/>
                <w:color w:val="auto"/>
              </w:rPr>
              <w:t>12、杉木床板：按设计要求制作,床板厚度≥15mm全新杉木，≤8块组合成一副床板，床板需经干燥处理，双面抛光，背销用4根30mm×40mm</w:t>
            </w:r>
            <w:r>
              <w:rPr>
                <w:color w:val="auto"/>
              </w:rPr>
              <w:t>（允许</w:t>
            </w:r>
            <w:r>
              <w:rPr>
                <w:rFonts w:hint="eastAsia"/>
                <w:color w:val="auto"/>
              </w:rPr>
              <w:t>偏差±</w:t>
            </w:r>
            <w:r>
              <w:rPr>
                <w:color w:val="auto"/>
              </w:rPr>
              <w:t>1mm）</w:t>
            </w:r>
            <w:r>
              <w:rPr>
                <w:rFonts w:hint="eastAsia"/>
                <w:color w:val="auto"/>
              </w:rPr>
              <w:t>木方</w:t>
            </w:r>
            <w:r>
              <w:rPr>
                <w:rFonts w:hint="eastAsia"/>
                <w:color w:val="auto"/>
                <w:szCs w:val="21"/>
              </w:rPr>
              <w:t>做</w:t>
            </w:r>
            <w:r>
              <w:rPr>
                <w:rFonts w:hint="eastAsia"/>
                <w:color w:val="auto"/>
              </w:rPr>
              <w:t>固定。</w:t>
            </w:r>
          </w:p>
          <w:p>
            <w:pPr>
              <w:jc w:val="left"/>
              <w:rPr>
                <w:color w:val="auto"/>
              </w:rPr>
            </w:pPr>
            <w:r>
              <w:rPr>
                <w:rFonts w:hint="eastAsia"/>
                <w:color w:val="auto"/>
              </w:rPr>
              <w:t>四、金属部分耐腐蚀要求：</w:t>
            </w:r>
          </w:p>
          <w:p>
            <w:pPr>
              <w:jc w:val="left"/>
              <w:rPr>
                <w:color w:val="auto"/>
              </w:rPr>
            </w:pPr>
            <w:r>
              <w:rPr>
                <w:rFonts w:hint="eastAsia"/>
                <w:color w:val="auto"/>
              </w:rPr>
              <w:t>按GB/T3325-2017《金属家具通用技术条件》 标准中耐腐蚀测试方法：在试板任意一面的对角线上，用锐利的刀具划出深至钢板的划痕，然后浸入温度为15℃~25℃的，浓度为3%的氯化钠溶液中进行耐腐蚀试验，试验过程中观察溶液中试板上划道两侧3mm以外有无鼓泡产生，试验结束后取出试板，用蒸馏水清洗干净并用滤纸吸干水分，检查试板上划道两侧3mm外，有无锈迹、剥落、起皱、变色和失光等现象。</w:t>
            </w:r>
          </w:p>
          <w:p>
            <w:pPr>
              <w:jc w:val="left"/>
              <w:rPr>
                <w:color w:val="auto"/>
              </w:rPr>
            </w:pPr>
            <w:r>
              <w:rPr>
                <w:rFonts w:hint="eastAsia"/>
                <w:color w:val="auto"/>
              </w:rPr>
              <w:t>五、金属部分部件材质尺寸及质量要求：</w:t>
            </w:r>
          </w:p>
          <w:p>
            <w:pPr>
              <w:jc w:val="left"/>
              <w:rPr>
                <w:color w:val="auto"/>
              </w:rPr>
            </w:pPr>
            <w:r>
              <w:rPr>
                <w:rFonts w:hint="eastAsia"/>
                <w:color w:val="auto"/>
              </w:rPr>
              <w:t>（1）铁床床立柱：拉伸试验1.抗拉强度Rm（MPa）≥315、2.断后伸长率A（%）≥33、厚度≥1.2mm。</w:t>
            </w:r>
          </w:p>
          <w:p>
            <w:pPr>
              <w:jc w:val="left"/>
              <w:rPr>
                <w:color w:val="auto"/>
              </w:rPr>
            </w:pPr>
            <w:r>
              <w:rPr>
                <w:rFonts w:hint="eastAsia"/>
                <w:color w:val="auto"/>
              </w:rPr>
              <w:t>（2）铁床床横梁（长横梁）：拉伸试验1.抗拉强度Rm（MPa）≥315、2.断后伸长率A（%）≥33、厚度≥1.2mm。</w:t>
            </w:r>
          </w:p>
          <w:p>
            <w:pPr>
              <w:jc w:val="left"/>
              <w:rPr>
                <w:color w:val="auto"/>
              </w:rPr>
            </w:pPr>
            <w:r>
              <w:rPr>
                <w:rFonts w:hint="eastAsia"/>
                <w:color w:val="auto"/>
              </w:rPr>
              <w:t>（3）铁床床爬梯：拉伸试验1.抗拉强度Rm（MPa）≥315、2.断后伸长率A（%）≥33、厚度≥1.2mm。</w:t>
            </w:r>
          </w:p>
          <w:p>
            <w:pPr>
              <w:jc w:val="left"/>
              <w:rPr>
                <w:color w:val="auto"/>
              </w:rPr>
            </w:pPr>
            <w:r>
              <w:rPr>
                <w:rFonts w:hint="eastAsia"/>
                <w:color w:val="auto"/>
              </w:rPr>
              <w:t>（4）铁床床桓：拉伸试验1.抗拉强度Rm（MPa）≥315、2.断后伸长率A（%）≥33、厚度≥1.2mm。</w:t>
            </w:r>
          </w:p>
          <w:p>
            <w:pPr>
              <w:jc w:val="left"/>
              <w:rPr>
                <w:color w:val="auto"/>
              </w:rPr>
            </w:pPr>
            <w:r>
              <w:rPr>
                <w:rFonts w:hint="eastAsia"/>
                <w:color w:val="auto"/>
              </w:rPr>
              <w:t>（5）铁床床挂件：拉伸试验1.抗拉强度Rm（MPa）≥315、2.断后伸长率A（%）≥33、厚度≥2.0mm。</w:t>
            </w:r>
          </w:p>
          <w:p>
            <w:pPr>
              <w:jc w:val="left"/>
              <w:rPr>
                <w:color w:val="auto"/>
              </w:rPr>
            </w:pPr>
            <w:r>
              <w:rPr>
                <w:rFonts w:hint="eastAsia"/>
                <w:color w:val="auto"/>
                <w:lang w:eastAsia="zh-CN"/>
              </w:rPr>
              <w:t>（</w:t>
            </w:r>
            <w:r>
              <w:rPr>
                <w:rFonts w:hint="eastAsia"/>
                <w:color w:val="auto"/>
                <w:lang w:val="en-US" w:eastAsia="zh-CN"/>
              </w:rPr>
              <w:t>6）</w:t>
            </w:r>
            <w:r>
              <w:rPr>
                <w:rFonts w:hint="eastAsia"/>
                <w:color w:val="auto"/>
              </w:rPr>
              <w:t>塑粉应符合 HG/T 2006-2006《热固性粉末涂料》的标准； 要求：可溶性铅≤90mg/kg，可溶性镉≤75mg/kg，可溶性铬≤60mg/kg，可溶性汞≤60mg/kg。</w:t>
            </w:r>
          </w:p>
          <w:p>
            <w:pPr>
              <w:jc w:val="left"/>
              <w:rPr>
                <w:color w:val="auto"/>
              </w:rPr>
            </w:pPr>
            <w:r>
              <w:rPr>
                <w:rFonts w:hint="eastAsia"/>
                <w:color w:val="auto"/>
                <w:lang w:eastAsia="zh-CN"/>
              </w:rPr>
              <w:t>六</w:t>
            </w:r>
            <w:r>
              <w:rPr>
                <w:rFonts w:hint="eastAsia"/>
                <w:color w:val="auto"/>
              </w:rPr>
              <w:t>、产品参考图详见附件图一。</w:t>
            </w:r>
          </w:p>
        </w:tc>
        <w:tc>
          <w:tcPr>
            <w:tcW w:w="900" w:type="dxa"/>
            <w:vAlign w:val="center"/>
          </w:tcPr>
          <w:p>
            <w:pPr>
              <w:jc w:val="center"/>
              <w:rPr>
                <w:color w:val="auto"/>
              </w:rPr>
            </w:pPr>
            <w:r>
              <w:rPr>
                <w:rFonts w:hint="eastAsia"/>
                <w:color w:val="auto"/>
              </w:rPr>
              <w:t>136套</w:t>
            </w:r>
          </w:p>
        </w:tc>
        <w:tc>
          <w:tcPr>
            <w:tcW w:w="754" w:type="dxa"/>
            <w:vAlign w:val="center"/>
          </w:tcPr>
          <w:p>
            <w:pPr>
              <w:widowControl/>
              <w:jc w:val="center"/>
              <w:textAlignment w:val="center"/>
              <w:rPr>
                <w:rFonts w:hint="default" w:eastAsia="宋体"/>
                <w:color w:val="auto"/>
                <w:lang w:val="en-US" w:eastAsia="zh-CN"/>
              </w:rPr>
            </w:pPr>
            <w:r>
              <w:rPr>
                <w:rFonts w:hint="eastAsia" w:cs="Calibri"/>
                <w:color w:val="auto"/>
                <w:kern w:val="0"/>
                <w:szCs w:val="21"/>
                <w:lang w:val="en-US" w:eastAsia="zh-CN"/>
              </w:rPr>
              <w:t>3022</w:t>
            </w:r>
          </w:p>
        </w:tc>
        <w:tc>
          <w:tcPr>
            <w:tcW w:w="1004" w:type="dxa"/>
            <w:vAlign w:val="center"/>
          </w:tcPr>
          <w:p>
            <w:pPr>
              <w:widowControl/>
              <w:jc w:val="center"/>
              <w:textAlignment w:val="center"/>
              <w:rPr>
                <w:rFonts w:hint="default" w:eastAsia="宋体"/>
                <w:color w:val="auto"/>
                <w:lang w:val="en-US" w:eastAsia="zh-CN"/>
              </w:rPr>
            </w:pPr>
            <w:r>
              <w:rPr>
                <w:rFonts w:hint="eastAsia" w:ascii="宋体" w:hAnsi="宋体"/>
                <w:color w:val="auto"/>
                <w:kern w:val="0"/>
                <w:szCs w:val="21"/>
                <w:lang w:val="en-US" w:eastAsia="zh-CN"/>
              </w:rPr>
              <w:t>410992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color w:val="auto"/>
              </w:rPr>
            </w:pPr>
            <w:r>
              <w:rPr>
                <w:rFonts w:hint="eastAsia"/>
                <w:color w:val="auto"/>
              </w:rPr>
              <w:t>2</w:t>
            </w:r>
          </w:p>
        </w:tc>
        <w:tc>
          <w:tcPr>
            <w:tcW w:w="1095" w:type="dxa"/>
            <w:vAlign w:val="center"/>
          </w:tcPr>
          <w:p>
            <w:pPr>
              <w:jc w:val="center"/>
              <w:rPr>
                <w:color w:val="auto"/>
              </w:rPr>
            </w:pPr>
            <w:r>
              <w:rPr>
                <w:rFonts w:hint="eastAsia"/>
                <w:color w:val="auto"/>
              </w:rPr>
              <w:t>二连4人位中梯公寓床</w:t>
            </w:r>
          </w:p>
        </w:tc>
        <w:tc>
          <w:tcPr>
            <w:tcW w:w="5820" w:type="dxa"/>
            <w:vAlign w:val="center"/>
          </w:tcPr>
          <w:p>
            <w:pPr>
              <w:jc w:val="left"/>
              <w:rPr>
                <w:color w:val="auto"/>
              </w:rPr>
            </w:pPr>
            <w:r>
              <w:rPr>
                <w:rFonts w:hint="eastAsia"/>
                <w:color w:val="auto"/>
              </w:rPr>
              <w:t>一、外观规格尺寸：长4500mm×宽900mm×高1800mm加蚊帐架高2600mm（允许误差±5mm）</w:t>
            </w:r>
          </w:p>
          <w:p>
            <w:pPr>
              <w:jc w:val="left"/>
              <w:rPr>
                <w:color w:val="auto"/>
              </w:rPr>
            </w:pPr>
            <w:r>
              <w:rPr>
                <w:rFonts w:hint="eastAsia"/>
                <w:color w:val="auto"/>
              </w:rPr>
              <w:t>二、材质要求：</w:t>
            </w:r>
          </w:p>
          <w:p>
            <w:pPr>
              <w:spacing w:line="340" w:lineRule="exact"/>
              <w:rPr>
                <w:color w:val="auto"/>
              </w:rPr>
            </w:pPr>
            <w:r>
              <w:rPr>
                <w:rFonts w:hint="eastAsia"/>
                <w:color w:val="auto"/>
              </w:rPr>
              <w:t>1、钢架床材质要求为冷轧钢材，性能应符合GB/T 13237-2013《优质碳素结构钢冷轧钢板和钢带》、GB/T 3094-2012《冷拔异型钢管》标准；钢架床的质量应符合GB/T 3325-2017《金属家具通用技术条件》、</w:t>
            </w:r>
            <w:r>
              <w:rPr>
                <w:color w:val="auto"/>
              </w:rPr>
              <w:t>QB/T 2741-2013</w:t>
            </w:r>
            <w:r>
              <w:rPr>
                <w:rFonts w:hint="eastAsia"/>
                <w:color w:val="auto"/>
              </w:rPr>
              <w:t>《学生公寓多功能家具》标准。各钢件经除油、除锈、酸洗、陶化等工序,经防锈处理，外层采用聚脂环氧粉末静电喷塑处理，内外两面喷塑，防止生锈、腐蚀。颜色可选。焊接表面光滑无毛刺，焊接处无夹渣、气孔、焊瘤、焊丝头咬边飞溅，并保证无脱焊、虚焊及焊穿等现象。</w:t>
            </w:r>
          </w:p>
          <w:p>
            <w:pPr>
              <w:spacing w:line="340" w:lineRule="exact"/>
              <w:rPr>
                <w:color w:val="auto"/>
              </w:rPr>
            </w:pPr>
            <w:r>
              <w:rPr>
                <w:rFonts w:hint="eastAsia"/>
                <w:color w:val="auto"/>
              </w:rPr>
              <w:t>2、塑粉要求：铅：≤90mg/kg，镉：≤75mg/kg，铬≤60mg/kg，汞≤60mg/kg。</w:t>
            </w:r>
          </w:p>
          <w:p>
            <w:pPr>
              <w:jc w:val="left"/>
              <w:rPr>
                <w:color w:val="auto"/>
              </w:rPr>
            </w:pPr>
            <w:r>
              <w:rPr>
                <w:rFonts w:hint="eastAsia"/>
                <w:color w:val="auto"/>
              </w:rPr>
              <w:drawing>
                <wp:inline distT="0" distB="0" distL="0" distR="0">
                  <wp:extent cx="3558540" cy="2536825"/>
                  <wp:effectExtent l="0" t="0" r="3810" b="15875"/>
                  <wp:docPr id="1036" name="图片 8" descr="5bb4e00ddd789bc84220f1a0881f3d1"/>
                  <wp:cNvGraphicFramePr/>
                  <a:graphic xmlns:a="http://schemas.openxmlformats.org/drawingml/2006/main">
                    <a:graphicData uri="http://schemas.openxmlformats.org/drawingml/2006/picture">
                      <pic:pic xmlns:pic="http://schemas.openxmlformats.org/drawingml/2006/picture">
                        <pic:nvPicPr>
                          <pic:cNvPr id="1036" name="图片 8" descr="5bb4e00ddd789bc84220f1a0881f3d1"/>
                          <pic:cNvPicPr/>
                        </pic:nvPicPr>
                        <pic:blipFill>
                          <a:blip r:embed="rId18" cstate="print"/>
                          <a:srcRect/>
                          <a:stretch>
                            <a:fillRect/>
                          </a:stretch>
                        </pic:blipFill>
                        <pic:spPr>
                          <a:xfrm>
                            <a:off x="0" y="0"/>
                            <a:ext cx="3558540" cy="2536825"/>
                          </a:xfrm>
                          <a:prstGeom prst="rect">
                            <a:avLst/>
                          </a:prstGeom>
                        </pic:spPr>
                      </pic:pic>
                    </a:graphicData>
                  </a:graphic>
                </wp:inline>
              </w:drawing>
            </w:r>
          </w:p>
          <w:p>
            <w:pPr>
              <w:jc w:val="left"/>
              <w:rPr>
                <w:color w:val="auto"/>
              </w:rPr>
            </w:pPr>
            <w:r>
              <w:rPr>
                <w:rFonts w:hint="eastAsia"/>
                <w:color w:val="auto"/>
              </w:rPr>
              <w:t>三、主要部件尺寸及要求：</w:t>
            </w:r>
          </w:p>
          <w:p>
            <w:pPr>
              <w:jc w:val="left"/>
              <w:rPr>
                <w:color w:val="auto"/>
              </w:rPr>
            </w:pPr>
            <w:r>
              <w:rPr>
                <w:rFonts w:hint="eastAsia"/>
                <w:color w:val="auto"/>
              </w:rPr>
              <w:t>1、铁床立柱管：采用优质冷轧钢板经模压并采用高频焊接一次成型为72mm×72mm（允许偏差±1mm），边侧宽40 mm（</w:t>
            </w:r>
            <w:r>
              <w:rPr>
                <w:color w:val="auto"/>
              </w:rPr>
              <w:t>允许</w:t>
            </w:r>
            <w:r>
              <w:rPr>
                <w:rFonts w:hint="eastAsia"/>
                <w:color w:val="auto"/>
              </w:rPr>
              <w:t>偏差±</w:t>
            </w:r>
            <w:r>
              <w:rPr>
                <w:color w:val="auto"/>
              </w:rPr>
              <w:t>1mm</w:t>
            </w:r>
            <w:r>
              <w:rPr>
                <w:rFonts w:hint="eastAsia"/>
                <w:color w:val="auto"/>
              </w:rPr>
              <w:t>），管壁厚度≥1.2mm中空封闭管，为了学生安全考虑，立柱外角弧形为半圆，起到防碰撞作用不易伤人，立柱弧面有不少于三道凹凸花纹（花纹必须为模压一次成型，与长横梁一致），起到抗扭作用，既美观又实用。经酸洗磷化工艺处理使表面形成一层防锈膜，达到防锈效果。如图所示：</w:t>
            </w:r>
            <w:r>
              <w:rPr>
                <w:color w:val="auto"/>
              </w:rPr>
              <w:drawing>
                <wp:inline distT="0" distB="0" distL="0" distR="0">
                  <wp:extent cx="987425" cy="871855"/>
                  <wp:effectExtent l="0" t="0" r="3175" b="4445"/>
                  <wp:docPr id="1037" name="图片 2" descr="1505d73c4cf0f73ff7b740dbef6e6d8"/>
                  <wp:cNvGraphicFramePr/>
                  <a:graphic xmlns:a="http://schemas.openxmlformats.org/drawingml/2006/main">
                    <a:graphicData uri="http://schemas.openxmlformats.org/drawingml/2006/picture">
                      <pic:pic xmlns:pic="http://schemas.openxmlformats.org/drawingml/2006/picture">
                        <pic:nvPicPr>
                          <pic:cNvPr id="1037" name="图片 2" descr="1505d73c4cf0f73ff7b740dbef6e6d8"/>
                          <pic:cNvPicPr/>
                        </pic:nvPicPr>
                        <pic:blipFill>
                          <a:blip r:embed="rId10" cstate="print"/>
                          <a:srcRect/>
                          <a:stretch>
                            <a:fillRect/>
                          </a:stretch>
                        </pic:blipFill>
                        <pic:spPr>
                          <a:xfrm>
                            <a:off x="0" y="0"/>
                            <a:ext cx="987425" cy="871855"/>
                          </a:xfrm>
                          <a:prstGeom prst="rect">
                            <a:avLst/>
                          </a:prstGeom>
                          <a:ln>
                            <a:noFill/>
                          </a:ln>
                        </pic:spPr>
                      </pic:pic>
                    </a:graphicData>
                  </a:graphic>
                </wp:inline>
              </w:drawing>
            </w:r>
            <w:r>
              <w:rPr>
                <w:color w:val="auto"/>
              </w:rPr>
              <w:drawing>
                <wp:inline distT="0" distB="0" distL="0" distR="0">
                  <wp:extent cx="1759585" cy="816610"/>
                  <wp:effectExtent l="0" t="0" r="12065" b="2540"/>
                  <wp:docPr id="1038" name="图片 3"/>
                  <wp:cNvGraphicFramePr/>
                  <a:graphic xmlns:a="http://schemas.openxmlformats.org/drawingml/2006/main">
                    <a:graphicData uri="http://schemas.openxmlformats.org/drawingml/2006/picture">
                      <pic:pic xmlns:pic="http://schemas.openxmlformats.org/drawingml/2006/picture">
                        <pic:nvPicPr>
                          <pic:cNvPr id="1038" name="图片 3"/>
                          <pic:cNvPicPr/>
                        </pic:nvPicPr>
                        <pic:blipFill>
                          <a:blip r:embed="rId9" cstate="print"/>
                          <a:srcRect/>
                          <a:stretch>
                            <a:fillRect/>
                          </a:stretch>
                        </pic:blipFill>
                        <pic:spPr>
                          <a:xfrm>
                            <a:off x="0" y="0"/>
                            <a:ext cx="1759585" cy="817244"/>
                          </a:xfrm>
                          <a:prstGeom prst="rect">
                            <a:avLst/>
                          </a:prstGeom>
                          <a:ln>
                            <a:noFill/>
                          </a:ln>
                        </pic:spPr>
                      </pic:pic>
                    </a:graphicData>
                  </a:graphic>
                </wp:inline>
              </w:drawing>
            </w:r>
          </w:p>
          <w:p>
            <w:pPr>
              <w:jc w:val="left"/>
              <w:rPr>
                <w:rFonts w:hint="eastAsia"/>
                <w:color w:val="auto"/>
              </w:rPr>
            </w:pPr>
            <w:r>
              <w:rPr>
                <w:rFonts w:hint="eastAsia"/>
                <w:color w:val="auto"/>
              </w:rPr>
              <w:t>2、铁床长横梁管：采用优质冷轧钢板经模压并采用高频焊接一次成型，其立面为封口L型管材，横梁正面有不少于三道凹凸花纹（花纹必须为模压一次成型，与立柱一致），起到抗扭作用，既美观又实用。底部为R15弧形防碰撞设计，防止学生刮伤。立面成型后尺寸为80mm×55mm（</w:t>
            </w:r>
            <w:r>
              <w:rPr>
                <w:color w:val="auto"/>
              </w:rPr>
              <w:t>允许</w:t>
            </w:r>
            <w:r>
              <w:rPr>
                <w:rFonts w:hint="eastAsia"/>
                <w:color w:val="auto"/>
              </w:rPr>
              <w:t>偏差±</w:t>
            </w:r>
            <w:r>
              <w:rPr>
                <w:color w:val="auto"/>
              </w:rPr>
              <w:t>1mm</w:t>
            </w:r>
            <w:r>
              <w:rPr>
                <w:rFonts w:hint="eastAsia"/>
                <w:color w:val="auto"/>
              </w:rPr>
              <w:t>）管壁厚度≥1.2mm。经酸洗磷化工艺处理使表面形成一层防锈膜，达到防锈效果。如图所示：</w:t>
            </w:r>
          </w:p>
          <w:p>
            <w:pPr>
              <w:jc w:val="left"/>
              <w:rPr>
                <w:color w:val="auto"/>
              </w:rPr>
            </w:pPr>
            <w:r>
              <w:rPr>
                <w:color w:val="auto"/>
              </w:rPr>
              <w:drawing>
                <wp:inline distT="0" distB="0" distL="0" distR="0">
                  <wp:extent cx="2051050" cy="775335"/>
                  <wp:effectExtent l="0" t="0" r="6350" b="5715"/>
                  <wp:docPr id="1040" name="图片 5" descr="F:\图纸\部件图片\微信图片_20181208093640.jpg"/>
                  <wp:cNvGraphicFramePr/>
                  <a:graphic xmlns:a="http://schemas.openxmlformats.org/drawingml/2006/main">
                    <a:graphicData uri="http://schemas.openxmlformats.org/drawingml/2006/picture">
                      <pic:pic xmlns:pic="http://schemas.openxmlformats.org/drawingml/2006/picture">
                        <pic:nvPicPr>
                          <pic:cNvPr id="1040" name="图片 5" descr="F:\图纸\部件图片\微信图片_20181208093640.jpg"/>
                          <pic:cNvPicPr/>
                        </pic:nvPicPr>
                        <pic:blipFill>
                          <a:blip r:embed="rId12" cstate="print"/>
                          <a:srcRect/>
                          <a:stretch>
                            <a:fillRect/>
                          </a:stretch>
                        </pic:blipFill>
                        <pic:spPr>
                          <a:xfrm>
                            <a:off x="0" y="0"/>
                            <a:ext cx="2051050" cy="775335"/>
                          </a:xfrm>
                          <a:prstGeom prst="rect">
                            <a:avLst/>
                          </a:prstGeom>
                          <a:ln>
                            <a:noFill/>
                          </a:ln>
                        </pic:spPr>
                      </pic:pic>
                    </a:graphicData>
                  </a:graphic>
                </wp:inline>
              </w:drawing>
            </w:r>
          </w:p>
          <w:p>
            <w:pPr>
              <w:jc w:val="left"/>
              <w:rPr>
                <w:color w:val="auto"/>
              </w:rPr>
            </w:pPr>
          </w:p>
          <w:p>
            <w:pPr>
              <w:jc w:val="left"/>
              <w:rPr>
                <w:rFonts w:hint="eastAsia"/>
                <w:color w:val="auto"/>
              </w:rPr>
            </w:pPr>
            <w:r>
              <w:rPr>
                <w:rFonts w:hint="eastAsia"/>
                <w:color w:val="auto"/>
              </w:rPr>
              <w:t>3、铁床档头横梁管：采用优质冷轧钢板经模压并采用高频焊接一次成型，管材立面为中空P型封闭管材，规格:80mm×33mm</w:t>
            </w:r>
            <w:r>
              <w:rPr>
                <w:color w:val="auto"/>
              </w:rPr>
              <w:t>（允许</w:t>
            </w:r>
            <w:r>
              <w:rPr>
                <w:rFonts w:hint="eastAsia"/>
                <w:color w:val="auto"/>
              </w:rPr>
              <w:t>偏差±</w:t>
            </w:r>
            <w:r>
              <w:rPr>
                <w:color w:val="auto"/>
              </w:rPr>
              <w:t>1mm）</w:t>
            </w:r>
            <w:r>
              <w:rPr>
                <w:rFonts w:hint="eastAsia"/>
                <w:color w:val="auto"/>
              </w:rPr>
              <w:t>管壁厚度≥1.2 mm  P型管。经酸洗磷化工艺处理使表面形成一层防锈膜，达到防锈效果。如图所示：</w:t>
            </w:r>
          </w:p>
          <w:p>
            <w:pPr>
              <w:jc w:val="left"/>
              <w:rPr>
                <w:color w:val="auto"/>
              </w:rPr>
            </w:pPr>
            <w:r>
              <w:rPr>
                <w:color w:val="auto"/>
              </w:rPr>
              <w:drawing>
                <wp:inline distT="0" distB="0" distL="0" distR="0">
                  <wp:extent cx="884555" cy="1150620"/>
                  <wp:effectExtent l="0" t="0" r="11430" b="10795"/>
                  <wp:docPr id="1041" name="图片 6"/>
                  <wp:cNvGraphicFramePr/>
                  <a:graphic xmlns:a="http://schemas.openxmlformats.org/drawingml/2006/main">
                    <a:graphicData uri="http://schemas.openxmlformats.org/drawingml/2006/picture">
                      <pic:pic xmlns:pic="http://schemas.openxmlformats.org/drawingml/2006/picture">
                        <pic:nvPicPr>
                          <pic:cNvPr id="1041" name="图片 6"/>
                          <pic:cNvPicPr/>
                        </pic:nvPicPr>
                        <pic:blipFill>
                          <a:blip r:embed="rId13" cstate="print"/>
                          <a:srcRect/>
                          <a:stretch>
                            <a:fillRect/>
                          </a:stretch>
                        </pic:blipFill>
                        <pic:spPr>
                          <a:xfrm rot="5400000">
                            <a:off x="0" y="0"/>
                            <a:ext cx="885189" cy="1150620"/>
                          </a:xfrm>
                          <a:prstGeom prst="rect">
                            <a:avLst/>
                          </a:prstGeom>
                          <a:ln>
                            <a:noFill/>
                          </a:ln>
                        </pic:spPr>
                      </pic:pic>
                    </a:graphicData>
                  </a:graphic>
                </wp:inline>
              </w:drawing>
            </w:r>
            <w:r>
              <w:rPr>
                <w:rFonts w:hint="eastAsia"/>
                <w:color w:val="auto"/>
              </w:rPr>
              <w:drawing>
                <wp:inline distT="0" distB="0" distL="0" distR="0">
                  <wp:extent cx="1658620" cy="807085"/>
                  <wp:effectExtent l="0" t="0" r="17780" b="12065"/>
                  <wp:docPr id="1042" name="图片 26" descr="9f28ec44ec07ab6575d0eee5d5446ed"/>
                  <wp:cNvGraphicFramePr/>
                  <a:graphic xmlns:a="http://schemas.openxmlformats.org/drawingml/2006/main">
                    <a:graphicData uri="http://schemas.openxmlformats.org/drawingml/2006/picture">
                      <pic:pic xmlns:pic="http://schemas.openxmlformats.org/drawingml/2006/picture">
                        <pic:nvPicPr>
                          <pic:cNvPr id="1042" name="图片 26" descr="9f28ec44ec07ab6575d0eee5d5446ed"/>
                          <pic:cNvPicPr/>
                        </pic:nvPicPr>
                        <pic:blipFill>
                          <a:blip r:embed="rId14" cstate="print"/>
                          <a:srcRect/>
                          <a:stretch>
                            <a:fillRect/>
                          </a:stretch>
                        </pic:blipFill>
                        <pic:spPr>
                          <a:xfrm>
                            <a:off x="0" y="0"/>
                            <a:ext cx="1658620" cy="807085"/>
                          </a:xfrm>
                          <a:prstGeom prst="rect">
                            <a:avLst/>
                          </a:prstGeom>
                          <a:ln>
                            <a:noFill/>
                          </a:ln>
                        </pic:spPr>
                      </pic:pic>
                    </a:graphicData>
                  </a:graphic>
                </wp:inline>
              </w:drawing>
            </w:r>
          </w:p>
          <w:p>
            <w:pPr>
              <w:jc w:val="left"/>
              <w:rPr>
                <w:color w:val="auto"/>
              </w:rPr>
            </w:pPr>
            <w:r>
              <w:rPr>
                <w:rFonts w:hint="eastAsia"/>
                <w:color w:val="auto"/>
              </w:rPr>
              <w:t>4、铁床前护栏主管：为学生安全考虑，横管采用D型管20mm×32mm</w:t>
            </w:r>
            <w:r>
              <w:rPr>
                <w:color w:val="auto"/>
              </w:rPr>
              <w:t>（允许</w:t>
            </w:r>
            <w:r>
              <w:rPr>
                <w:rFonts w:hint="eastAsia"/>
                <w:color w:val="auto"/>
              </w:rPr>
              <w:t>偏差±</w:t>
            </w:r>
            <w:r>
              <w:rPr>
                <w:color w:val="auto"/>
              </w:rPr>
              <w:t>1mm）</w:t>
            </w:r>
            <w:r>
              <w:rPr>
                <w:rFonts w:hint="eastAsia"/>
                <w:color w:val="auto"/>
              </w:rPr>
              <w:t>管壁厚度≥1.2mm经数控弯曲成曲型，铁床档头竖管采用方管20mm×20mm</w:t>
            </w:r>
            <w:r>
              <w:rPr>
                <w:color w:val="auto"/>
              </w:rPr>
              <w:t>（允许</w:t>
            </w:r>
            <w:r>
              <w:rPr>
                <w:rFonts w:hint="eastAsia"/>
                <w:color w:val="auto"/>
              </w:rPr>
              <w:t>偏差±</w:t>
            </w:r>
            <w:r>
              <w:rPr>
                <w:color w:val="auto"/>
              </w:rPr>
              <w:t>1mm）</w:t>
            </w:r>
            <w:r>
              <w:rPr>
                <w:rFonts w:hint="eastAsia"/>
                <w:color w:val="auto"/>
              </w:rPr>
              <w:t>管壁厚度≥1.0mm。 D型管如图所示:</w:t>
            </w:r>
          </w:p>
          <w:p>
            <w:pPr>
              <w:jc w:val="left"/>
              <w:rPr>
                <w:color w:val="auto"/>
              </w:rPr>
            </w:pPr>
            <w:r>
              <w:rPr>
                <w:color w:val="auto"/>
              </w:rPr>
              <w:drawing>
                <wp:inline distT="0" distB="0" distL="0" distR="0">
                  <wp:extent cx="1075055" cy="1282065"/>
                  <wp:effectExtent l="0" t="0" r="10795" b="13335"/>
                  <wp:docPr id="1043" name="图片 8"/>
                  <wp:cNvGraphicFramePr/>
                  <a:graphic xmlns:a="http://schemas.openxmlformats.org/drawingml/2006/main">
                    <a:graphicData uri="http://schemas.openxmlformats.org/drawingml/2006/picture">
                      <pic:pic xmlns:pic="http://schemas.openxmlformats.org/drawingml/2006/picture">
                        <pic:nvPicPr>
                          <pic:cNvPr id="1043" name="图片 8"/>
                          <pic:cNvPicPr/>
                        </pic:nvPicPr>
                        <pic:blipFill>
                          <a:blip r:embed="rId19" cstate="print"/>
                          <a:srcRect/>
                          <a:stretch>
                            <a:fillRect/>
                          </a:stretch>
                        </pic:blipFill>
                        <pic:spPr>
                          <a:xfrm>
                            <a:off x="0" y="0"/>
                            <a:ext cx="1075055" cy="1282065"/>
                          </a:xfrm>
                          <a:prstGeom prst="rect">
                            <a:avLst/>
                          </a:prstGeom>
                          <a:ln>
                            <a:noFill/>
                          </a:ln>
                        </pic:spPr>
                      </pic:pic>
                    </a:graphicData>
                  </a:graphic>
                </wp:inline>
              </w:drawing>
            </w:r>
          </w:p>
          <w:p>
            <w:pPr>
              <w:jc w:val="left"/>
              <w:rPr>
                <w:color w:val="auto"/>
              </w:rPr>
            </w:pPr>
            <w:r>
              <w:rPr>
                <w:rFonts w:hint="eastAsia"/>
                <w:color w:val="auto"/>
              </w:rPr>
              <w:t>5、铁床前护栏竖管：为学生安全考虑，横管采用Ｄ型管28mm×38mm</w:t>
            </w:r>
            <w:r>
              <w:rPr>
                <w:color w:val="auto"/>
              </w:rPr>
              <w:t>（允许</w:t>
            </w:r>
            <w:r>
              <w:rPr>
                <w:rFonts w:hint="eastAsia"/>
                <w:color w:val="auto"/>
              </w:rPr>
              <w:t>偏差±</w:t>
            </w:r>
            <w:r>
              <w:rPr>
                <w:color w:val="auto"/>
              </w:rPr>
              <w:t>1mm）</w:t>
            </w:r>
            <w:r>
              <w:rPr>
                <w:rFonts w:hint="eastAsia"/>
                <w:color w:val="auto"/>
              </w:rPr>
              <w:t>管壁厚度≥1.2mm，竖管采用方管40mm×20mm</w:t>
            </w:r>
            <w:r>
              <w:rPr>
                <w:color w:val="auto"/>
              </w:rPr>
              <w:t>（允许</w:t>
            </w:r>
            <w:r>
              <w:rPr>
                <w:rFonts w:hint="eastAsia"/>
                <w:color w:val="auto"/>
              </w:rPr>
              <w:t>偏差±</w:t>
            </w:r>
            <w:r>
              <w:rPr>
                <w:color w:val="auto"/>
              </w:rPr>
              <w:t>1mm）</w:t>
            </w:r>
            <w:r>
              <w:rPr>
                <w:rFonts w:hint="eastAsia"/>
                <w:color w:val="auto"/>
              </w:rPr>
              <w:t>管壁厚度≥1.0 mm。D型管如图所示；</w:t>
            </w:r>
          </w:p>
          <w:p>
            <w:pPr>
              <w:pStyle w:val="6"/>
              <w:outlineLvl w:val="3"/>
              <w:rPr>
                <w:color w:val="auto"/>
              </w:rPr>
            </w:pPr>
            <w:r>
              <w:rPr>
                <w:color w:val="auto"/>
              </w:rPr>
              <w:drawing>
                <wp:inline distT="0" distB="0" distL="0" distR="0">
                  <wp:extent cx="1043940" cy="1167130"/>
                  <wp:effectExtent l="0" t="0" r="3810" b="13970"/>
                  <wp:docPr id="1044" name="图片 9"/>
                  <wp:cNvGraphicFramePr/>
                  <a:graphic xmlns:a="http://schemas.openxmlformats.org/drawingml/2006/main">
                    <a:graphicData uri="http://schemas.openxmlformats.org/drawingml/2006/picture">
                      <pic:pic xmlns:pic="http://schemas.openxmlformats.org/drawingml/2006/picture">
                        <pic:nvPicPr>
                          <pic:cNvPr id="1044" name="图片 9"/>
                          <pic:cNvPicPr/>
                        </pic:nvPicPr>
                        <pic:blipFill>
                          <a:blip r:embed="rId16" cstate="print"/>
                          <a:srcRect/>
                          <a:stretch>
                            <a:fillRect/>
                          </a:stretch>
                        </pic:blipFill>
                        <pic:spPr>
                          <a:xfrm>
                            <a:off x="0" y="0"/>
                            <a:ext cx="1043940" cy="1167130"/>
                          </a:xfrm>
                          <a:prstGeom prst="rect">
                            <a:avLst/>
                          </a:prstGeom>
                          <a:ln>
                            <a:noFill/>
                          </a:ln>
                        </pic:spPr>
                      </pic:pic>
                    </a:graphicData>
                  </a:graphic>
                </wp:inline>
              </w:drawing>
            </w:r>
          </w:p>
          <w:p>
            <w:pPr>
              <w:jc w:val="left"/>
              <w:rPr>
                <w:color w:val="auto"/>
              </w:rPr>
            </w:pPr>
            <w:r>
              <w:rPr>
                <w:rFonts w:hint="eastAsia"/>
                <w:color w:val="auto"/>
              </w:rPr>
              <w:t>6、铁床中床头护栏：横管采用25mm×25mm</w:t>
            </w:r>
            <w:r>
              <w:rPr>
                <w:color w:val="auto"/>
              </w:rPr>
              <w:t>（允许</w:t>
            </w:r>
            <w:r>
              <w:rPr>
                <w:rFonts w:hint="eastAsia"/>
                <w:color w:val="auto"/>
              </w:rPr>
              <w:t>偏差±</w:t>
            </w:r>
            <w:r>
              <w:rPr>
                <w:color w:val="auto"/>
              </w:rPr>
              <w:t>1mm）</w:t>
            </w:r>
            <w:r>
              <w:rPr>
                <w:rFonts w:hint="eastAsia"/>
                <w:color w:val="auto"/>
              </w:rPr>
              <w:t>管壁厚度≥1.0mm方管，竖管采用40mm×20mm</w:t>
            </w:r>
            <w:r>
              <w:rPr>
                <w:color w:val="auto"/>
              </w:rPr>
              <w:t>（允许</w:t>
            </w:r>
            <w:r>
              <w:rPr>
                <w:rFonts w:hint="eastAsia"/>
                <w:color w:val="auto"/>
              </w:rPr>
              <w:t>偏差±</w:t>
            </w:r>
            <w:r>
              <w:rPr>
                <w:color w:val="auto"/>
              </w:rPr>
              <w:t>1mm）</w:t>
            </w:r>
            <w:r>
              <w:rPr>
                <w:rFonts w:hint="eastAsia"/>
                <w:color w:val="auto"/>
              </w:rPr>
              <w:t>管壁厚度≥1.0mm方管。</w:t>
            </w:r>
          </w:p>
          <w:p>
            <w:pPr>
              <w:jc w:val="left"/>
              <w:rPr>
                <w:color w:val="auto"/>
              </w:rPr>
            </w:pPr>
            <w:r>
              <w:rPr>
                <w:rFonts w:hint="eastAsia"/>
                <w:color w:val="auto"/>
              </w:rPr>
              <w:t>7、铁床爬梯立柱管：铁床爬梯立柱管采用方管40mm×20mm</w:t>
            </w:r>
            <w:r>
              <w:rPr>
                <w:color w:val="auto"/>
              </w:rPr>
              <w:t>（允许</w:t>
            </w:r>
            <w:r>
              <w:rPr>
                <w:rFonts w:hint="eastAsia"/>
                <w:color w:val="auto"/>
              </w:rPr>
              <w:t>偏差±</w:t>
            </w:r>
            <w:r>
              <w:rPr>
                <w:color w:val="auto"/>
              </w:rPr>
              <w:t>1mm）</w:t>
            </w:r>
            <w:r>
              <w:rPr>
                <w:rFonts w:hint="eastAsia"/>
                <w:color w:val="auto"/>
              </w:rPr>
              <w:t>管壁厚度≥1.2mm，支架横管、竖管采用方管20mm×20mm</w:t>
            </w:r>
            <w:r>
              <w:rPr>
                <w:color w:val="auto"/>
              </w:rPr>
              <w:t>（允许</w:t>
            </w:r>
            <w:r>
              <w:rPr>
                <w:rFonts w:hint="eastAsia"/>
                <w:color w:val="auto"/>
              </w:rPr>
              <w:t>偏差±</w:t>
            </w:r>
            <w:r>
              <w:rPr>
                <w:color w:val="auto"/>
              </w:rPr>
              <w:t>1mm）</w:t>
            </w:r>
            <w:r>
              <w:rPr>
                <w:rFonts w:hint="eastAsia"/>
                <w:color w:val="auto"/>
                <w:lang w:eastAsia="zh-CN"/>
              </w:rPr>
              <w:t>，</w:t>
            </w:r>
            <w:r>
              <w:rPr>
                <w:rFonts w:hint="eastAsia"/>
                <w:color w:val="auto"/>
              </w:rPr>
              <w:t>管壁厚度≥1.2mm。铁床爬梯踏板采用≥1.2mm厚优质冷轧钢板一次冲压成型，前后折边设计，折边高度≥20mm（</w:t>
            </w:r>
            <w:r>
              <w:rPr>
                <w:color w:val="auto"/>
              </w:rPr>
              <w:t>允许</w:t>
            </w:r>
            <w:r>
              <w:rPr>
                <w:rFonts w:hint="eastAsia"/>
                <w:color w:val="auto"/>
              </w:rPr>
              <w:t>偏差±</w:t>
            </w:r>
            <w:r>
              <w:rPr>
                <w:rFonts w:hint="eastAsia"/>
                <w:color w:val="auto"/>
                <w:lang w:val="en-US" w:eastAsia="zh-CN"/>
              </w:rPr>
              <w:t>2</w:t>
            </w:r>
            <w:r>
              <w:rPr>
                <w:color w:val="auto"/>
              </w:rPr>
              <w:t>mm</w:t>
            </w:r>
            <w:r>
              <w:rPr>
                <w:rFonts w:hint="eastAsia"/>
                <w:color w:val="auto"/>
              </w:rPr>
              <w:t>）。踏板规格尺寸：500mm×200mm×20mm</w:t>
            </w:r>
            <w:r>
              <w:rPr>
                <w:color w:val="auto"/>
              </w:rPr>
              <w:t>（允许</w:t>
            </w:r>
            <w:r>
              <w:rPr>
                <w:rFonts w:hint="eastAsia"/>
                <w:color w:val="auto"/>
              </w:rPr>
              <w:t>偏差±</w:t>
            </w:r>
            <w:r>
              <w:rPr>
                <w:color w:val="auto"/>
              </w:rPr>
              <w:t>1mm）</w:t>
            </w:r>
            <w:r>
              <w:rPr>
                <w:rFonts w:hint="eastAsia"/>
                <w:color w:val="auto"/>
              </w:rPr>
              <w:t>。</w:t>
            </w:r>
            <w:r>
              <w:rPr>
                <w:color w:val="auto"/>
              </w:rPr>
              <w:drawing>
                <wp:inline distT="0" distB="0" distL="0" distR="0">
                  <wp:extent cx="3145790" cy="1974850"/>
                  <wp:effectExtent l="0" t="0" r="16510" b="6350"/>
                  <wp:docPr id="1045" name="图片 12"/>
                  <wp:cNvGraphicFramePr/>
                  <a:graphic xmlns:a="http://schemas.openxmlformats.org/drawingml/2006/main">
                    <a:graphicData uri="http://schemas.openxmlformats.org/drawingml/2006/picture">
                      <pic:pic xmlns:pic="http://schemas.openxmlformats.org/drawingml/2006/picture">
                        <pic:nvPicPr>
                          <pic:cNvPr id="1045" name="图片 12"/>
                          <pic:cNvPicPr/>
                        </pic:nvPicPr>
                        <pic:blipFill>
                          <a:blip r:embed="rId20" cstate="print"/>
                          <a:srcRect/>
                          <a:stretch>
                            <a:fillRect/>
                          </a:stretch>
                        </pic:blipFill>
                        <pic:spPr>
                          <a:xfrm>
                            <a:off x="0" y="0"/>
                            <a:ext cx="3145790" cy="1974850"/>
                          </a:xfrm>
                          <a:prstGeom prst="rect">
                            <a:avLst/>
                          </a:prstGeom>
                          <a:ln>
                            <a:noFill/>
                          </a:ln>
                        </pic:spPr>
                      </pic:pic>
                    </a:graphicData>
                  </a:graphic>
                </wp:inline>
              </w:drawing>
            </w:r>
          </w:p>
          <w:p>
            <w:pPr>
              <w:jc w:val="left"/>
              <w:rPr>
                <w:color w:val="auto"/>
              </w:rPr>
            </w:pPr>
          </w:p>
          <w:p>
            <w:pPr>
              <w:jc w:val="left"/>
              <w:rPr>
                <w:color w:val="auto"/>
              </w:rPr>
            </w:pPr>
            <w:r>
              <w:rPr>
                <w:rFonts w:hint="eastAsia"/>
                <w:color w:val="auto"/>
              </w:rPr>
              <w:t>8、铁床挂件（卡式链接件）：采用优质钢板经冲压一次成型，成型后外形规格不小于为26mm×26mm×195mm</w:t>
            </w:r>
            <w:r>
              <w:rPr>
                <w:color w:val="auto"/>
              </w:rPr>
              <w:t>（允许</w:t>
            </w:r>
            <w:r>
              <w:rPr>
                <w:rFonts w:hint="eastAsia"/>
                <w:color w:val="auto"/>
              </w:rPr>
              <w:t>偏差±</w:t>
            </w:r>
            <w:r>
              <w:rPr>
                <w:color w:val="auto"/>
              </w:rPr>
              <w:t>1mm）</w:t>
            </w:r>
            <w:r>
              <w:rPr>
                <w:rFonts w:hint="eastAsia"/>
                <w:color w:val="auto"/>
                <w:lang w:eastAsia="zh-CN"/>
              </w:rPr>
              <w:t>，</w:t>
            </w:r>
            <w:r>
              <w:rPr>
                <w:rFonts w:hint="eastAsia"/>
                <w:color w:val="auto"/>
              </w:rPr>
              <w:t>管壁厚度≥2.0mm，连接扣点采用不小于3个位置连接，铁床长横梁管与铁床床立柱管连接方式：卡扣式连接（无需螺栓），立柱上经数控冲床加工三个连接孔，通过与卡式连接件无缝式下压连接，实现使用后越用越紧的状态。</w:t>
            </w:r>
          </w:p>
          <w:p>
            <w:pPr>
              <w:jc w:val="left"/>
              <w:rPr>
                <w:color w:val="auto"/>
              </w:rPr>
            </w:pPr>
            <w:r>
              <w:rPr>
                <w:rFonts w:hint="eastAsia"/>
                <w:color w:val="auto"/>
              </w:rPr>
              <w:t>9、铁床床桓管：20mm×40mm</w:t>
            </w:r>
            <w:r>
              <w:rPr>
                <w:color w:val="auto"/>
              </w:rPr>
              <w:t>（允许</w:t>
            </w:r>
            <w:r>
              <w:rPr>
                <w:rFonts w:hint="eastAsia"/>
                <w:color w:val="auto"/>
              </w:rPr>
              <w:t>偏差±</w:t>
            </w:r>
            <w:r>
              <w:rPr>
                <w:color w:val="auto"/>
              </w:rPr>
              <w:t>1mm）</w:t>
            </w:r>
            <w:r>
              <w:rPr>
                <w:rFonts w:hint="eastAsia"/>
                <w:color w:val="auto"/>
                <w:lang w:eastAsia="zh-CN"/>
              </w:rPr>
              <w:t>，</w:t>
            </w:r>
            <w:r>
              <w:rPr>
                <w:rFonts w:hint="eastAsia"/>
                <w:color w:val="auto"/>
              </w:rPr>
              <w:t>管壁厚度≥1.0mm方管，均匀分布5根。</w:t>
            </w:r>
          </w:p>
          <w:p>
            <w:pPr>
              <w:jc w:val="left"/>
              <w:rPr>
                <w:color w:val="auto"/>
              </w:rPr>
            </w:pPr>
            <w:r>
              <w:rPr>
                <w:rFonts w:hint="eastAsia"/>
                <w:color w:val="auto"/>
              </w:rPr>
              <w:t>10、铁床蚊帐杆管：直径≥16mm, 管壁厚度≥1.0mm的</w:t>
            </w:r>
            <w:r>
              <w:rPr>
                <w:color w:val="auto"/>
              </w:rPr>
              <w:t>圆管</w:t>
            </w:r>
            <w:r>
              <w:rPr>
                <w:rFonts w:hint="eastAsia"/>
                <w:color w:val="auto"/>
              </w:rPr>
              <w:t>。</w:t>
            </w:r>
          </w:p>
          <w:p>
            <w:pPr>
              <w:jc w:val="left"/>
              <w:rPr>
                <w:color w:val="auto"/>
              </w:rPr>
            </w:pPr>
            <w:r>
              <w:rPr>
                <w:rFonts w:hint="eastAsia"/>
                <w:color w:val="auto"/>
              </w:rPr>
              <w:t xml:space="preserve">11、保护套：采用优质塑胶一次性注塑成型，立柱下端采用外套式脚套底部带有防滑设计，形状与立柱完全吻合，起到防潮作用。（不允许3D打印）。 </w:t>
            </w:r>
          </w:p>
          <w:p>
            <w:pPr>
              <w:jc w:val="left"/>
              <w:rPr>
                <w:color w:val="auto"/>
              </w:rPr>
            </w:pPr>
            <w:r>
              <w:rPr>
                <w:rFonts w:hint="eastAsia"/>
                <w:color w:val="auto"/>
              </w:rPr>
              <w:t>12、床板：按设计要求制作,床板厚度≥15mm全新杉木，≤8块组合成一副床板，床板需经干燥处理，双面抛光，背销用4根30mm×40mm</w:t>
            </w:r>
            <w:r>
              <w:rPr>
                <w:color w:val="auto"/>
              </w:rPr>
              <w:t>（允许</w:t>
            </w:r>
            <w:r>
              <w:rPr>
                <w:rFonts w:hint="eastAsia"/>
                <w:color w:val="auto"/>
              </w:rPr>
              <w:t>偏差±</w:t>
            </w:r>
            <w:r>
              <w:rPr>
                <w:color w:val="auto"/>
              </w:rPr>
              <w:t>1mm）</w:t>
            </w:r>
            <w:r>
              <w:rPr>
                <w:rFonts w:hint="eastAsia"/>
                <w:color w:val="auto"/>
              </w:rPr>
              <w:t>木方做固定。</w:t>
            </w:r>
          </w:p>
          <w:p>
            <w:pPr>
              <w:jc w:val="left"/>
              <w:rPr>
                <w:color w:val="auto"/>
              </w:rPr>
            </w:pPr>
            <w:r>
              <w:rPr>
                <w:rFonts w:hint="eastAsia"/>
                <w:color w:val="auto"/>
              </w:rPr>
              <w:t>四、金属部分耐腐蚀要求：</w:t>
            </w:r>
          </w:p>
          <w:p>
            <w:pPr>
              <w:jc w:val="left"/>
              <w:rPr>
                <w:color w:val="auto"/>
              </w:rPr>
            </w:pPr>
            <w:r>
              <w:rPr>
                <w:rFonts w:hint="eastAsia"/>
                <w:color w:val="auto"/>
              </w:rPr>
              <w:t>按GB/T3325-2017《金属家具通用技术条件》 标准中耐腐蚀测试方法：在试板任意一面的对角线上，用锐利的刀具划出深至钢板的划痕，然后浸入温度为15℃~25℃的，浓度为3%的氯化钠溶液中进行耐腐蚀试验，试验过程中观察溶液中试板上划道两侧3mm以外有无鼓泡产生，试验结束后取出试板，用蒸馏水清洗干净并用滤纸吸干水分，检查试板上划道两侧3mm外，有无锈迹、剥落、起皱、变色和失光等现象。</w:t>
            </w:r>
          </w:p>
          <w:p>
            <w:pPr>
              <w:jc w:val="left"/>
              <w:rPr>
                <w:color w:val="auto"/>
              </w:rPr>
            </w:pPr>
            <w:r>
              <w:rPr>
                <w:rFonts w:hint="eastAsia"/>
                <w:color w:val="auto"/>
              </w:rPr>
              <w:t>五、金属部分部件材质尺寸及质量要求：</w:t>
            </w:r>
          </w:p>
          <w:p>
            <w:pPr>
              <w:jc w:val="left"/>
              <w:rPr>
                <w:color w:val="auto"/>
              </w:rPr>
            </w:pPr>
            <w:r>
              <w:rPr>
                <w:rFonts w:hint="eastAsia"/>
                <w:color w:val="auto"/>
              </w:rPr>
              <w:t>（1）铁床床立柱：拉伸试验1.抗拉强度Rm（MPa）≥315、2.断后伸长率A（%）≥33、厚度≥1.2mm。</w:t>
            </w:r>
          </w:p>
          <w:p>
            <w:pPr>
              <w:jc w:val="left"/>
              <w:rPr>
                <w:color w:val="auto"/>
              </w:rPr>
            </w:pPr>
            <w:r>
              <w:rPr>
                <w:rFonts w:hint="eastAsia"/>
                <w:color w:val="auto"/>
              </w:rPr>
              <w:t>（2）铁床床横梁（长横梁）：拉伸试验1.抗拉强度Rm（MPa）≥315、2.断后伸长率A（%）≥33、厚度≥1.2mm。</w:t>
            </w:r>
          </w:p>
          <w:p>
            <w:pPr>
              <w:jc w:val="left"/>
              <w:rPr>
                <w:color w:val="auto"/>
              </w:rPr>
            </w:pPr>
            <w:r>
              <w:rPr>
                <w:rFonts w:hint="eastAsia"/>
                <w:color w:val="auto"/>
              </w:rPr>
              <w:t>（3）铁床床爬梯：拉伸试验1.抗拉强度Rm（MPa）≥315、2.断后伸长率A（%）≥33、厚度≥1.2mm。</w:t>
            </w:r>
          </w:p>
          <w:p>
            <w:pPr>
              <w:jc w:val="left"/>
              <w:rPr>
                <w:color w:val="auto"/>
              </w:rPr>
            </w:pPr>
            <w:r>
              <w:rPr>
                <w:rFonts w:hint="eastAsia"/>
                <w:color w:val="auto"/>
              </w:rPr>
              <w:t>（4）铁床床桓：拉伸试验1.抗拉强度Rm（MPa）≥315、2.断后伸长率A（%）≥33、厚度≥1.2mm。</w:t>
            </w:r>
          </w:p>
          <w:p>
            <w:pPr>
              <w:jc w:val="left"/>
              <w:rPr>
                <w:color w:val="auto"/>
              </w:rPr>
            </w:pPr>
            <w:r>
              <w:rPr>
                <w:rFonts w:hint="eastAsia"/>
                <w:color w:val="auto"/>
              </w:rPr>
              <w:t>（5）铁床床挂件：拉伸试验1.抗拉强度Rm（MPa）≥315、2.断后伸长率A（%）≥33、厚度≥2.0mm。</w:t>
            </w:r>
          </w:p>
          <w:p>
            <w:pPr>
              <w:jc w:val="left"/>
              <w:rPr>
                <w:color w:val="auto"/>
              </w:rPr>
            </w:pPr>
            <w:r>
              <w:rPr>
                <w:rFonts w:hint="eastAsia"/>
                <w:color w:val="auto"/>
              </w:rPr>
              <w:t>（6）塑粉应符合 HG/T 2006-2006《热固性粉末涂料》的标准； 要求：可溶性铅≤90mg/kg，可溶性镉≤75mg/kg，可溶性铬≤60mg/kg，可溶性汞≤60mg/kg。</w:t>
            </w:r>
          </w:p>
          <w:p>
            <w:pPr>
              <w:jc w:val="left"/>
              <w:rPr>
                <w:color w:val="auto"/>
              </w:rPr>
            </w:pPr>
            <w:r>
              <w:rPr>
                <w:rFonts w:hint="eastAsia"/>
                <w:color w:val="auto"/>
              </w:rPr>
              <w:t>六、参考图详见附件图二。</w:t>
            </w:r>
          </w:p>
        </w:tc>
        <w:tc>
          <w:tcPr>
            <w:tcW w:w="900" w:type="dxa"/>
            <w:vAlign w:val="center"/>
          </w:tcPr>
          <w:p>
            <w:pPr>
              <w:jc w:val="center"/>
              <w:rPr>
                <w:color w:val="auto"/>
              </w:rPr>
            </w:pPr>
            <w:r>
              <w:rPr>
                <w:rFonts w:hint="eastAsia"/>
                <w:color w:val="auto"/>
              </w:rPr>
              <w:t>129套</w:t>
            </w:r>
          </w:p>
        </w:tc>
        <w:tc>
          <w:tcPr>
            <w:tcW w:w="754" w:type="dxa"/>
            <w:vAlign w:val="center"/>
          </w:tcPr>
          <w:p>
            <w:pPr>
              <w:widowControl/>
              <w:jc w:val="center"/>
              <w:textAlignment w:val="center"/>
              <w:rPr>
                <w:rFonts w:hint="default" w:eastAsia="宋体"/>
                <w:color w:val="auto"/>
                <w:lang w:val="en-US" w:eastAsia="zh-CN"/>
              </w:rPr>
            </w:pPr>
            <w:r>
              <w:rPr>
                <w:rFonts w:hint="eastAsia" w:ascii="宋体" w:hAnsi="宋体"/>
                <w:color w:val="auto"/>
                <w:kern w:val="0"/>
                <w:szCs w:val="21"/>
                <w:lang w:val="en-US" w:eastAsia="zh-CN"/>
              </w:rPr>
              <w:t>3300</w:t>
            </w:r>
          </w:p>
        </w:tc>
        <w:tc>
          <w:tcPr>
            <w:tcW w:w="1004" w:type="dxa"/>
            <w:vAlign w:val="center"/>
          </w:tcPr>
          <w:p>
            <w:pPr>
              <w:widowControl/>
              <w:jc w:val="center"/>
              <w:textAlignment w:val="center"/>
              <w:rPr>
                <w:rFonts w:hint="default" w:eastAsia="宋体"/>
                <w:color w:val="auto"/>
                <w:lang w:val="en-US" w:eastAsia="zh-CN"/>
              </w:rPr>
            </w:pPr>
            <w:r>
              <w:rPr>
                <w:rFonts w:hint="eastAsia" w:ascii="宋体" w:hAnsi="宋体"/>
                <w:color w:val="auto"/>
                <w:kern w:val="0"/>
                <w:szCs w:val="21"/>
                <w:lang w:val="en-US" w:eastAsia="zh-CN"/>
              </w:rPr>
              <w:t>425700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color w:val="auto"/>
              </w:rPr>
            </w:pPr>
            <w:r>
              <w:rPr>
                <w:rFonts w:hint="eastAsia"/>
                <w:color w:val="auto"/>
              </w:rPr>
              <w:t>3</w:t>
            </w:r>
          </w:p>
        </w:tc>
        <w:tc>
          <w:tcPr>
            <w:tcW w:w="1095" w:type="dxa"/>
            <w:vAlign w:val="center"/>
          </w:tcPr>
          <w:p>
            <w:pPr>
              <w:jc w:val="center"/>
              <w:rPr>
                <w:color w:val="auto"/>
              </w:rPr>
            </w:pPr>
            <w:r>
              <w:rPr>
                <w:rFonts w:hint="eastAsia"/>
                <w:color w:val="auto"/>
                <w:sz w:val="24"/>
              </w:rPr>
              <w:t>床底储物柜</w:t>
            </w:r>
          </w:p>
        </w:tc>
        <w:tc>
          <w:tcPr>
            <w:tcW w:w="5820" w:type="dxa"/>
            <w:vAlign w:val="center"/>
          </w:tcPr>
          <w:p>
            <w:pPr>
              <w:jc w:val="left"/>
              <w:rPr>
                <w:color w:val="auto"/>
              </w:rPr>
            </w:pPr>
            <w:r>
              <w:rPr>
                <w:rFonts w:hint="eastAsia"/>
                <w:color w:val="auto"/>
              </w:rPr>
              <w:t>一、外观规格尺寸：长800mm×宽500mm×高350mm（允许</w:t>
            </w:r>
            <w:r>
              <w:rPr>
                <w:rFonts w:hint="eastAsia"/>
                <w:color w:val="auto"/>
                <w:lang w:eastAsia="zh-CN"/>
              </w:rPr>
              <w:t>偏</w:t>
            </w:r>
            <w:r>
              <w:rPr>
                <w:rFonts w:hint="eastAsia"/>
                <w:color w:val="auto"/>
              </w:rPr>
              <w:t>差±5mm）</w:t>
            </w:r>
          </w:p>
          <w:p>
            <w:pPr>
              <w:jc w:val="left"/>
              <w:rPr>
                <w:color w:val="auto"/>
              </w:rPr>
            </w:pPr>
            <w:r>
              <w:rPr>
                <w:rFonts w:hint="eastAsia"/>
                <w:color w:val="auto"/>
              </w:rPr>
              <w:t>二、床底储物柜：</w:t>
            </w:r>
          </w:p>
          <w:p>
            <w:pPr>
              <w:jc w:val="left"/>
              <w:rPr>
                <w:color w:val="auto"/>
              </w:rPr>
            </w:pPr>
            <w:r>
              <w:rPr>
                <w:rFonts w:hint="eastAsia"/>
                <w:color w:val="auto"/>
              </w:rPr>
              <w:t>采用≥0.6mm厚优质冷轧钢板经折弯、焊接成型、床底柜由床底柜门板、床底柜底框板、床底柜侧板、床底柜顶板四个主要部件组成。</w:t>
            </w:r>
          </w:p>
          <w:p>
            <w:pPr>
              <w:jc w:val="left"/>
              <w:rPr>
                <w:color w:val="auto"/>
              </w:rPr>
            </w:pPr>
            <w:r>
              <w:rPr>
                <w:rFonts w:hint="eastAsia"/>
                <w:color w:val="auto"/>
              </w:rPr>
              <w:t>三、金属部分耐腐蚀要求：</w:t>
            </w:r>
          </w:p>
          <w:p>
            <w:pPr>
              <w:jc w:val="left"/>
              <w:rPr>
                <w:color w:val="auto"/>
              </w:rPr>
            </w:pPr>
            <w:r>
              <w:rPr>
                <w:rFonts w:hint="eastAsia"/>
                <w:color w:val="auto"/>
              </w:rPr>
              <w:t>测试标准GB3325-2017《金属家具通用技术要求） ,耐腐蚀测试方法：在试板任意一面的对角线上，用锐利的刀具划出深至钢板的划痕，然后浸入温度为15℃~25℃的，浓度为3%的氯化钠溶液中进行100h耐腐蚀试验，试验过程中观察溶液中试板上划道两侧3mm以外有无鼓泡产生，试验结束后取出试板，用蒸馏水清洗干净并用滤纸吸干水分，检查试板上划道两侧3mm外，有无锈迹、剥落、起皱、变色和失光等现象。</w:t>
            </w:r>
          </w:p>
          <w:p>
            <w:pPr>
              <w:jc w:val="left"/>
              <w:rPr>
                <w:color w:val="auto"/>
              </w:rPr>
            </w:pPr>
            <w:r>
              <w:rPr>
                <w:rFonts w:hint="eastAsia"/>
                <w:color w:val="auto"/>
              </w:rPr>
              <w:t>四、金属部分部件材质尺寸及质量要求：</w:t>
            </w:r>
          </w:p>
          <w:p>
            <w:pPr>
              <w:jc w:val="left"/>
              <w:rPr>
                <w:color w:val="auto"/>
              </w:rPr>
            </w:pPr>
            <w:r>
              <w:rPr>
                <w:rFonts w:hint="eastAsia"/>
                <w:color w:val="auto"/>
              </w:rPr>
              <w:t>（1）床底柜门板（冷轧钢板）：拉伸试验1.抗拉强度Rm（MPa）≥315、2.断后伸长率A（%）≥33、厚度≥0.6mm。</w:t>
            </w:r>
          </w:p>
          <w:p>
            <w:pPr>
              <w:jc w:val="left"/>
              <w:rPr>
                <w:color w:val="auto"/>
              </w:rPr>
            </w:pPr>
            <w:r>
              <w:rPr>
                <w:rFonts w:hint="eastAsia"/>
                <w:color w:val="auto"/>
              </w:rPr>
              <w:t>（2）床底柜底框板（冷轧钢板）：拉伸试验1.抗拉强度Rm（MPa）≥315、2.断后伸长率A（%）≥33、厚度≥0.6mm。</w:t>
            </w:r>
          </w:p>
          <w:p>
            <w:pPr>
              <w:jc w:val="left"/>
              <w:rPr>
                <w:color w:val="auto"/>
              </w:rPr>
            </w:pPr>
            <w:r>
              <w:rPr>
                <w:rFonts w:hint="eastAsia"/>
                <w:color w:val="auto"/>
              </w:rPr>
              <w:t>（3）床底柜侧板（冷轧钢板）：拉伸试验1.抗拉强度Rm（MPa）≥315、2.断后伸长率A（%）≥33、厚度≥0.6mm。</w:t>
            </w:r>
          </w:p>
          <w:p>
            <w:pPr>
              <w:jc w:val="left"/>
              <w:rPr>
                <w:color w:val="auto"/>
              </w:rPr>
            </w:pPr>
            <w:r>
              <w:rPr>
                <w:rFonts w:hint="eastAsia"/>
                <w:color w:val="auto"/>
              </w:rPr>
              <w:t>（4）床底柜顶板（冷轧钢板）：拉伸试验1.抗拉强度Rm（MPa）≥315、2.断后伸长率A（%）≥33、厚度≥0.6mm。</w:t>
            </w:r>
          </w:p>
          <w:p>
            <w:pPr>
              <w:jc w:val="left"/>
              <w:rPr>
                <w:color w:val="auto"/>
              </w:rPr>
            </w:pPr>
            <w:r>
              <w:rPr>
                <w:rFonts w:hint="eastAsia"/>
                <w:color w:val="auto"/>
              </w:rPr>
              <w:t>五、参考图详见附件图三。</w:t>
            </w:r>
          </w:p>
        </w:tc>
        <w:tc>
          <w:tcPr>
            <w:tcW w:w="900" w:type="dxa"/>
            <w:vAlign w:val="center"/>
          </w:tcPr>
          <w:p>
            <w:pPr>
              <w:jc w:val="center"/>
              <w:rPr>
                <w:color w:val="auto"/>
              </w:rPr>
            </w:pPr>
            <w:r>
              <w:rPr>
                <w:rFonts w:hint="eastAsia"/>
                <w:color w:val="auto"/>
              </w:rPr>
              <w:t>1090个</w:t>
            </w:r>
          </w:p>
        </w:tc>
        <w:tc>
          <w:tcPr>
            <w:tcW w:w="754" w:type="dxa"/>
            <w:vAlign w:val="center"/>
          </w:tcPr>
          <w:p>
            <w:pPr>
              <w:widowControl/>
              <w:jc w:val="center"/>
              <w:textAlignment w:val="center"/>
              <w:rPr>
                <w:rFonts w:hint="default" w:eastAsia="宋体"/>
                <w:color w:val="auto"/>
                <w:lang w:val="en-US" w:eastAsia="zh-CN"/>
              </w:rPr>
            </w:pPr>
            <w:r>
              <w:rPr>
                <w:rFonts w:hint="eastAsia"/>
                <w:color w:val="auto"/>
                <w:lang w:val="en-US" w:eastAsia="zh-CN"/>
              </w:rPr>
              <w:t>221.2</w:t>
            </w:r>
          </w:p>
        </w:tc>
        <w:tc>
          <w:tcPr>
            <w:tcW w:w="1004" w:type="dxa"/>
            <w:vAlign w:val="center"/>
          </w:tcPr>
          <w:p>
            <w:pPr>
              <w:widowControl/>
              <w:jc w:val="center"/>
              <w:textAlignment w:val="center"/>
              <w:rPr>
                <w:rFonts w:hint="default" w:eastAsia="宋体"/>
                <w:color w:val="auto"/>
                <w:lang w:val="en-US" w:eastAsia="zh-CN"/>
              </w:rPr>
            </w:pPr>
            <w:r>
              <w:rPr>
                <w:rFonts w:hint="eastAsia" w:ascii="宋体" w:hAnsi="宋体"/>
                <w:color w:val="auto"/>
                <w:kern w:val="0"/>
                <w:szCs w:val="21"/>
                <w:lang w:val="en-US" w:eastAsia="zh-CN"/>
              </w:rPr>
              <w:t>241108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color w:val="auto"/>
              </w:rPr>
            </w:pPr>
            <w:r>
              <w:rPr>
                <w:rFonts w:hint="eastAsia"/>
                <w:color w:val="auto"/>
              </w:rPr>
              <w:t>4</w:t>
            </w:r>
          </w:p>
        </w:tc>
        <w:tc>
          <w:tcPr>
            <w:tcW w:w="1095" w:type="dxa"/>
            <w:vAlign w:val="center"/>
          </w:tcPr>
          <w:p>
            <w:pPr>
              <w:jc w:val="center"/>
              <w:rPr>
                <w:color w:val="auto"/>
              </w:rPr>
            </w:pPr>
            <w:r>
              <w:rPr>
                <w:rFonts w:hint="eastAsia"/>
                <w:color w:val="auto"/>
              </w:rPr>
              <w:t>不锈钢加厚4层鞋架</w:t>
            </w:r>
          </w:p>
        </w:tc>
        <w:tc>
          <w:tcPr>
            <w:tcW w:w="5820" w:type="dxa"/>
            <w:vAlign w:val="center"/>
          </w:tcPr>
          <w:p>
            <w:pPr>
              <w:jc w:val="left"/>
              <w:rPr>
                <w:color w:val="auto"/>
              </w:rPr>
            </w:pPr>
            <w:r>
              <w:rPr>
                <w:rFonts w:hint="eastAsia"/>
                <w:color w:val="auto"/>
              </w:rPr>
              <w:t>一、外观规格尺寸：600mm×500mm×300mm（允许误差±5mm）</w:t>
            </w:r>
          </w:p>
          <w:p>
            <w:pPr>
              <w:jc w:val="left"/>
              <w:rPr>
                <w:color w:val="auto"/>
              </w:rPr>
            </w:pPr>
            <w:r>
              <w:rPr>
                <w:rFonts w:hint="eastAsia"/>
                <w:color w:val="auto"/>
              </w:rPr>
              <w:t>二、4层鞋架：</w:t>
            </w:r>
          </w:p>
          <w:p>
            <w:pPr>
              <w:jc w:val="left"/>
              <w:rPr>
                <w:color w:val="auto"/>
              </w:rPr>
            </w:pPr>
            <w:r>
              <w:rPr>
                <w:rFonts w:hint="eastAsia"/>
                <w:color w:val="auto"/>
              </w:rPr>
              <w:t>采用≥1.2mm厚不锈钢圆管，精钢打造，手工抛光，耐磨耐用，不易生锈，承重力强，结构稳固，防滑脚垫，耐磨耐滑，防止划伤。</w:t>
            </w:r>
          </w:p>
          <w:p>
            <w:pPr>
              <w:jc w:val="left"/>
              <w:rPr>
                <w:color w:val="auto"/>
              </w:rPr>
            </w:pPr>
            <w:r>
              <w:rPr>
                <w:rFonts w:hint="eastAsia"/>
                <w:color w:val="auto"/>
              </w:rPr>
              <w:t>三、参考图详见附件图四。</w:t>
            </w:r>
          </w:p>
        </w:tc>
        <w:tc>
          <w:tcPr>
            <w:tcW w:w="900" w:type="dxa"/>
            <w:vAlign w:val="center"/>
          </w:tcPr>
          <w:p>
            <w:pPr>
              <w:jc w:val="center"/>
              <w:rPr>
                <w:color w:val="auto"/>
              </w:rPr>
            </w:pPr>
            <w:r>
              <w:rPr>
                <w:rFonts w:hint="eastAsia"/>
                <w:color w:val="auto"/>
              </w:rPr>
              <w:t>277个</w:t>
            </w:r>
          </w:p>
        </w:tc>
        <w:tc>
          <w:tcPr>
            <w:tcW w:w="754" w:type="dxa"/>
            <w:vAlign w:val="center"/>
          </w:tcPr>
          <w:p>
            <w:pPr>
              <w:widowControl/>
              <w:jc w:val="center"/>
              <w:textAlignment w:val="center"/>
              <w:rPr>
                <w:rFonts w:hint="default" w:eastAsia="宋体"/>
                <w:color w:val="auto"/>
                <w:lang w:val="en-US" w:eastAsia="zh-CN"/>
              </w:rPr>
            </w:pPr>
            <w:r>
              <w:rPr>
                <w:rFonts w:hint="eastAsia" w:ascii="宋体" w:hAnsi="宋体"/>
                <w:color w:val="auto"/>
                <w:kern w:val="0"/>
                <w:szCs w:val="21"/>
                <w:lang w:val="en-US" w:eastAsia="zh-CN"/>
              </w:rPr>
              <w:t>300</w:t>
            </w:r>
          </w:p>
        </w:tc>
        <w:tc>
          <w:tcPr>
            <w:tcW w:w="1004" w:type="dxa"/>
            <w:vAlign w:val="center"/>
          </w:tcPr>
          <w:p>
            <w:pPr>
              <w:widowControl/>
              <w:jc w:val="center"/>
              <w:textAlignment w:val="center"/>
              <w:rPr>
                <w:rFonts w:hint="default" w:eastAsia="宋体"/>
                <w:color w:val="auto"/>
                <w:lang w:val="en-US" w:eastAsia="zh-CN"/>
              </w:rPr>
            </w:pPr>
            <w:r>
              <w:rPr>
                <w:rFonts w:hint="eastAsia" w:ascii="宋体" w:hAnsi="宋体"/>
                <w:color w:val="auto"/>
                <w:kern w:val="0"/>
                <w:szCs w:val="21"/>
                <w:lang w:val="en-US" w:eastAsia="zh-CN"/>
              </w:rPr>
              <w:t>83100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color w:val="auto"/>
              </w:rPr>
            </w:pPr>
          </w:p>
        </w:tc>
        <w:tc>
          <w:tcPr>
            <w:tcW w:w="1095" w:type="dxa"/>
            <w:vAlign w:val="center"/>
          </w:tcPr>
          <w:p>
            <w:pPr>
              <w:jc w:val="center"/>
              <w:rPr>
                <w:color w:val="auto"/>
              </w:rPr>
            </w:pPr>
          </w:p>
        </w:tc>
        <w:tc>
          <w:tcPr>
            <w:tcW w:w="5820" w:type="dxa"/>
            <w:vAlign w:val="center"/>
          </w:tcPr>
          <w:p>
            <w:pPr>
              <w:rPr>
                <w:color w:val="auto"/>
              </w:rPr>
            </w:pPr>
          </w:p>
        </w:tc>
        <w:tc>
          <w:tcPr>
            <w:tcW w:w="900" w:type="dxa"/>
            <w:vAlign w:val="center"/>
          </w:tcPr>
          <w:p>
            <w:pPr>
              <w:jc w:val="center"/>
              <w:rPr>
                <w:color w:val="auto"/>
              </w:rPr>
            </w:pPr>
          </w:p>
        </w:tc>
        <w:tc>
          <w:tcPr>
            <w:tcW w:w="754" w:type="dxa"/>
            <w:vAlign w:val="center"/>
          </w:tcPr>
          <w:p>
            <w:pPr>
              <w:jc w:val="center"/>
              <w:rPr>
                <w:color w:val="auto"/>
              </w:rPr>
            </w:pPr>
            <w:r>
              <w:rPr>
                <w:rFonts w:hint="eastAsia"/>
                <w:color w:val="auto"/>
              </w:rPr>
              <w:t>合计</w:t>
            </w:r>
          </w:p>
        </w:tc>
        <w:tc>
          <w:tcPr>
            <w:tcW w:w="1004" w:type="dxa"/>
            <w:vAlign w:val="center"/>
          </w:tcPr>
          <w:p>
            <w:pPr>
              <w:widowControl/>
              <w:jc w:val="right"/>
              <w:textAlignment w:val="center"/>
              <w:rPr>
                <w:rFonts w:ascii="宋体" w:hAnsi="宋体"/>
                <w:color w:val="auto"/>
                <w:sz w:val="22"/>
                <w:szCs w:val="22"/>
              </w:rPr>
            </w:pPr>
            <w:r>
              <w:rPr>
                <w:rFonts w:hint="eastAsia"/>
                <w:color w:val="auto"/>
                <w:lang w:val="en-US" w:eastAsia="zh-CN"/>
              </w:rPr>
              <w:t>1160900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vAlign w:val="center"/>
          </w:tcPr>
          <w:p>
            <w:pPr>
              <w:jc w:val="center"/>
              <w:rPr>
                <w:color w:val="auto"/>
              </w:rPr>
            </w:pPr>
            <w:r>
              <w:rPr>
                <w:rFonts w:hint="eastAsia"/>
                <w:color w:val="auto"/>
              </w:rPr>
              <w:t>样品递交要求</w:t>
            </w:r>
          </w:p>
        </w:tc>
        <w:tc>
          <w:tcPr>
            <w:tcW w:w="8478" w:type="dxa"/>
            <w:gridSpan w:val="4"/>
            <w:vAlign w:val="center"/>
          </w:tcPr>
          <w:p>
            <w:pPr>
              <w:rPr>
                <w:color w:val="auto"/>
              </w:rPr>
            </w:pPr>
            <w:r>
              <w:rPr>
                <w:rFonts w:hint="eastAsia"/>
                <w:color w:val="auto"/>
              </w:rPr>
              <w:t>1、投标人按照本项目“样品递交要求”递交所投货物的以下主材小样以及五金配件：</w:t>
            </w:r>
          </w:p>
          <w:p>
            <w:pPr>
              <w:rPr>
                <w:color w:val="auto"/>
              </w:rPr>
            </w:pPr>
            <w:r>
              <w:rPr>
                <w:rFonts w:hint="eastAsia"/>
                <w:color w:val="auto"/>
              </w:rPr>
              <w:t>（1）采购需求中第2项号货物“二连4人位中梯公寓床”提供铁床立柱管、铁床长横梁管、铁床前护栏主管、铁床爬梯踏板，四项主材小样，样品是经过除油除锈磷化的半成品，长度≥50</w:t>
            </w:r>
            <w:r>
              <w:rPr>
                <w:rFonts w:hint="eastAsia"/>
                <w:color w:val="auto"/>
                <w:lang w:val="en-US" w:eastAsia="zh-CN"/>
              </w:rPr>
              <w:t>mm</w:t>
            </w:r>
            <w:r>
              <w:rPr>
                <w:rFonts w:hint="eastAsia"/>
                <w:color w:val="auto"/>
              </w:rPr>
              <w:t>，小样为整条钢管，不允许拼接，各部件小样须清楚标明名称。</w:t>
            </w:r>
          </w:p>
          <w:p>
            <w:pPr>
              <w:rPr>
                <w:color w:val="auto"/>
              </w:rPr>
            </w:pPr>
            <w:r>
              <w:rPr>
                <w:rFonts w:hint="eastAsia"/>
                <w:color w:val="auto"/>
              </w:rPr>
              <w:t>（2）采购需求中第3项号货物“床底储物柜”提供，主材小样冷轧钢板一份，样品是经过除油除锈磷化的半成品，尺寸≥10</w:t>
            </w:r>
            <w:r>
              <w:rPr>
                <w:rFonts w:hint="eastAsia"/>
                <w:color w:val="auto"/>
                <w:lang w:val="en-US" w:eastAsia="zh-CN"/>
              </w:rPr>
              <w:t>m</w:t>
            </w:r>
            <w:r>
              <w:rPr>
                <w:rFonts w:hint="eastAsia"/>
                <w:color w:val="auto"/>
              </w:rPr>
              <w:t>m×10</w:t>
            </w:r>
            <w:r>
              <w:rPr>
                <w:rFonts w:hint="eastAsia"/>
                <w:color w:val="auto"/>
                <w:lang w:val="en-US" w:eastAsia="zh-CN"/>
              </w:rPr>
              <w:t>m</w:t>
            </w:r>
            <w:r>
              <w:rPr>
                <w:rFonts w:hint="eastAsia"/>
                <w:color w:val="auto"/>
              </w:rPr>
              <w:t>m小样须清楚标明名称。</w:t>
            </w:r>
          </w:p>
          <w:p>
            <w:pPr>
              <w:rPr>
                <w:color w:val="auto"/>
              </w:rPr>
            </w:pPr>
            <w:r>
              <w:rPr>
                <w:rFonts w:hint="eastAsia"/>
                <w:color w:val="auto"/>
              </w:rPr>
              <w:t>2、样品递交要求：</w:t>
            </w:r>
          </w:p>
          <w:p>
            <w:pPr>
              <w:rPr>
                <w:color w:val="auto"/>
              </w:rPr>
            </w:pPr>
            <w:r>
              <w:rPr>
                <w:rFonts w:hint="eastAsia"/>
                <w:color w:val="auto"/>
              </w:rPr>
              <w:t>（1）样品递交时间：2020 年</w:t>
            </w:r>
            <w:r>
              <w:rPr>
                <w:rFonts w:hint="eastAsia"/>
                <w:color w:val="auto"/>
                <w:lang w:val="en-US" w:eastAsia="zh-CN"/>
              </w:rPr>
              <w:t>9</w:t>
            </w:r>
            <w:r>
              <w:rPr>
                <w:rFonts w:hint="eastAsia"/>
                <w:color w:val="auto"/>
              </w:rPr>
              <w:t>月</w:t>
            </w:r>
            <w:r>
              <w:rPr>
                <w:rFonts w:hint="eastAsia"/>
                <w:color w:val="auto"/>
                <w:lang w:val="en-US" w:eastAsia="zh-CN"/>
              </w:rPr>
              <w:t>7</w:t>
            </w:r>
            <w:r>
              <w:rPr>
                <w:rFonts w:hint="eastAsia"/>
                <w:color w:val="auto"/>
              </w:rPr>
              <w:t xml:space="preserve"> 日上午</w:t>
            </w:r>
            <w:r>
              <w:rPr>
                <w:rFonts w:hint="eastAsia"/>
                <w:color w:val="auto"/>
                <w:lang w:val="en-US" w:eastAsia="zh-CN"/>
              </w:rPr>
              <w:t>9</w:t>
            </w:r>
            <w:r>
              <w:rPr>
                <w:rFonts w:hint="eastAsia"/>
                <w:color w:val="auto"/>
              </w:rPr>
              <w:t>时</w:t>
            </w:r>
            <w:r>
              <w:rPr>
                <w:rFonts w:hint="eastAsia"/>
                <w:color w:val="auto"/>
                <w:lang w:val="en-US" w:eastAsia="zh-CN"/>
              </w:rPr>
              <w:t>00</w:t>
            </w:r>
            <w:r>
              <w:rPr>
                <w:rFonts w:hint="eastAsia"/>
                <w:color w:val="auto"/>
              </w:rPr>
              <w:t xml:space="preserve">分至 </w:t>
            </w:r>
            <w:r>
              <w:rPr>
                <w:rFonts w:hint="eastAsia"/>
                <w:color w:val="auto"/>
                <w:lang w:val="en-US" w:eastAsia="zh-CN"/>
              </w:rPr>
              <w:t>2020</w:t>
            </w:r>
            <w:r>
              <w:rPr>
                <w:rFonts w:hint="eastAsia"/>
                <w:color w:val="auto"/>
              </w:rPr>
              <w:t>年</w:t>
            </w:r>
            <w:r>
              <w:rPr>
                <w:rFonts w:hint="eastAsia"/>
                <w:color w:val="auto"/>
                <w:lang w:val="en-US" w:eastAsia="zh-CN"/>
              </w:rPr>
              <w:t>9</w:t>
            </w:r>
            <w:r>
              <w:rPr>
                <w:rFonts w:hint="eastAsia"/>
                <w:color w:val="auto"/>
              </w:rPr>
              <w:t xml:space="preserve">月 </w:t>
            </w:r>
            <w:r>
              <w:rPr>
                <w:rFonts w:hint="eastAsia"/>
                <w:color w:val="auto"/>
                <w:lang w:val="en-US" w:eastAsia="zh-CN"/>
              </w:rPr>
              <w:t>7</w:t>
            </w:r>
            <w:r>
              <w:rPr>
                <w:rFonts w:hint="eastAsia"/>
                <w:color w:val="auto"/>
              </w:rPr>
              <w:t xml:space="preserve"> 日上午</w:t>
            </w:r>
            <w:r>
              <w:rPr>
                <w:rFonts w:hint="eastAsia"/>
                <w:color w:val="auto"/>
                <w:lang w:val="en-US" w:eastAsia="zh-CN"/>
              </w:rPr>
              <w:t>9</w:t>
            </w:r>
            <w:r>
              <w:rPr>
                <w:rFonts w:hint="eastAsia"/>
                <w:color w:val="auto"/>
              </w:rPr>
              <w:t xml:space="preserve">时 </w:t>
            </w:r>
            <w:r>
              <w:rPr>
                <w:rFonts w:hint="eastAsia"/>
                <w:color w:val="auto"/>
                <w:lang w:val="en-US" w:eastAsia="zh-CN"/>
              </w:rPr>
              <w:t>30</w:t>
            </w:r>
            <w:r>
              <w:rPr>
                <w:rFonts w:hint="eastAsia"/>
                <w:color w:val="auto"/>
              </w:rPr>
              <w:t>分止，样品递交截止时间与投标截止时间一致。</w:t>
            </w:r>
          </w:p>
          <w:p>
            <w:pPr>
              <w:rPr>
                <w:rFonts w:hint="eastAsia" w:eastAsia="宋体"/>
                <w:color w:val="auto"/>
                <w:lang w:eastAsia="zh-CN"/>
              </w:rPr>
            </w:pPr>
            <w:r>
              <w:rPr>
                <w:rFonts w:hint="eastAsia"/>
                <w:color w:val="auto"/>
              </w:rPr>
              <w:t>（2）样品递交地点：桂林市公共资源交易中心</w:t>
            </w:r>
            <w:r>
              <w:rPr>
                <w:rFonts w:hint="eastAsia"/>
                <w:color w:val="auto"/>
                <w:lang w:val="en-US" w:eastAsia="zh-CN"/>
              </w:rPr>
              <w:t>12</w:t>
            </w:r>
            <w:r>
              <w:rPr>
                <w:rFonts w:hint="eastAsia"/>
                <w:color w:val="auto"/>
              </w:rPr>
              <w:t>号开标室（广西桂林市临桂区西城中路69号创业大厦西辅楼4楼）</w:t>
            </w:r>
            <w:r>
              <w:rPr>
                <w:rFonts w:hint="eastAsia"/>
                <w:color w:val="auto"/>
                <w:lang w:eastAsia="zh-CN"/>
              </w:rPr>
              <w:t>；</w:t>
            </w:r>
          </w:p>
          <w:p>
            <w:pPr>
              <w:rPr>
                <w:color w:val="auto"/>
              </w:rPr>
            </w:pPr>
            <w:r>
              <w:rPr>
                <w:rFonts w:hint="eastAsia"/>
                <w:color w:val="auto"/>
              </w:rPr>
              <w:t>（3）样品只是作为加分项，不作为投标的必须要求；</w:t>
            </w:r>
          </w:p>
          <w:p>
            <w:pPr>
              <w:rPr>
                <w:color w:val="auto"/>
              </w:rPr>
            </w:pPr>
            <w:r>
              <w:rPr>
                <w:rFonts w:hint="eastAsia"/>
                <w:color w:val="auto"/>
              </w:rPr>
              <w:t>（4）样品递交：</w:t>
            </w:r>
          </w:p>
          <w:p>
            <w:pPr>
              <w:rPr>
                <w:rFonts w:hint="eastAsia"/>
                <w:color w:val="auto"/>
              </w:rPr>
            </w:pPr>
            <w:r>
              <w:rPr>
                <w:rFonts w:hint="eastAsia"/>
                <w:color w:val="auto"/>
                <w:lang w:val="en-US" w:eastAsia="zh-CN"/>
              </w:rPr>
              <w:t>①所有小样可以统一放进一个箱子（袋子）中提交到政府集中采购中心指定的地方；</w:t>
            </w:r>
          </w:p>
          <w:p>
            <w:pPr>
              <w:rPr>
                <w:color w:val="auto"/>
              </w:rPr>
            </w:pPr>
            <w:r>
              <w:rPr>
                <w:rFonts w:hint="eastAsia"/>
                <w:color w:val="auto"/>
              </w:rPr>
              <w:t>②箱子(袋子)正面贴上投标人名称、项目名称和项目编号等信息的标签；</w:t>
            </w:r>
          </w:p>
          <w:p>
            <w:pPr>
              <w:rPr>
                <w:color w:val="auto"/>
              </w:rPr>
            </w:pPr>
            <w:r>
              <w:rPr>
                <w:rFonts w:hint="eastAsia"/>
                <w:color w:val="auto"/>
              </w:rPr>
              <w:t>③各小样不能出现任何厂家（公司）或投标品牌标识，如出现透露信息的标识，小样不得进行评定；</w:t>
            </w:r>
          </w:p>
          <w:p>
            <w:pPr>
              <w:rPr>
                <w:color w:val="auto"/>
              </w:rPr>
            </w:pPr>
            <w:r>
              <w:rPr>
                <w:rFonts w:hint="eastAsia"/>
                <w:color w:val="auto"/>
              </w:rPr>
              <w:t>④政府集中采购中心工作人员只负责按箱（袋）数接收样品；评标前由政府集中采购中心工作人员将对投标人的标签进行遮盖，评定样品时由评标委员会共同启封，待评定样品完毕后，再统一拆封所有投标人的标签。</w:t>
            </w:r>
          </w:p>
          <w:p>
            <w:pPr>
              <w:rPr>
                <w:color w:val="auto"/>
              </w:rPr>
            </w:pPr>
            <w:r>
              <w:rPr>
                <w:rFonts w:hint="eastAsia"/>
                <w:color w:val="auto"/>
              </w:rPr>
              <w:t>（5）采购结果公告后，中标人样品不退，作为验收依据之一。其余未中标的样品在接到本中心通知后两个工作日内予以退回，不及时领取样品所造成的损失，投标人自行承担。</w:t>
            </w:r>
          </w:p>
          <w:p>
            <w:pPr>
              <w:rPr>
                <w:color w:val="auto"/>
              </w:rPr>
            </w:pPr>
            <w:r>
              <w:rPr>
                <w:rFonts w:hint="eastAsia"/>
                <w:color w:val="auto"/>
              </w:rPr>
              <w:t>3、第1项号、第2项号货物因材质参数相同，递交一份样品即可。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1830" w:type="dxa"/>
            <w:gridSpan w:val="2"/>
            <w:vAlign w:val="center"/>
          </w:tcPr>
          <w:p>
            <w:pPr>
              <w:jc w:val="center"/>
              <w:rPr>
                <w:rFonts w:hint="eastAsia"/>
                <w:color w:val="auto"/>
                <w:sz w:val="21"/>
                <w:szCs w:val="21"/>
              </w:rPr>
            </w:pPr>
            <w:r>
              <w:rPr>
                <w:color w:val="auto"/>
                <w:sz w:val="21"/>
                <w:szCs w:val="21"/>
              </w:rPr>
              <w:t>★</w:t>
            </w:r>
            <w:r>
              <w:rPr>
                <w:b/>
                <w:color w:val="auto"/>
                <w:sz w:val="21"/>
                <w:szCs w:val="21"/>
              </w:rPr>
              <w:t>售后服务要求</w:t>
            </w:r>
          </w:p>
        </w:tc>
        <w:tc>
          <w:tcPr>
            <w:tcW w:w="8478" w:type="dxa"/>
            <w:gridSpan w:val="4"/>
            <w:vAlign w:val="top"/>
          </w:tcPr>
          <w:p>
            <w:pPr>
              <w:jc w:val="both"/>
              <w:rPr>
                <w:rFonts w:hint="eastAsia"/>
                <w:color w:val="auto"/>
                <w:sz w:val="21"/>
                <w:szCs w:val="21"/>
              </w:rPr>
            </w:pPr>
            <w:r>
              <w:rPr>
                <w:rFonts w:hint="eastAsia"/>
                <w:color w:val="auto"/>
                <w:sz w:val="21"/>
                <w:szCs w:val="21"/>
              </w:rPr>
              <w:t>1、按国家有关产品“三包”规定执行“三包”，免费保修期最短不得少于 5年（免费保修期自货物安装调试并在验收合格之日起计算），免费保修期内：免费上门维修、更换配件；免费送货上门、安装、调试，免费培训维护人员。</w:t>
            </w:r>
          </w:p>
          <w:p>
            <w:pPr>
              <w:jc w:val="both"/>
              <w:rPr>
                <w:rFonts w:hint="eastAsia"/>
                <w:color w:val="auto"/>
                <w:sz w:val="21"/>
                <w:szCs w:val="21"/>
              </w:rPr>
            </w:pPr>
            <w:r>
              <w:rPr>
                <w:rFonts w:hint="eastAsia"/>
                <w:color w:val="auto"/>
                <w:sz w:val="21"/>
                <w:szCs w:val="21"/>
              </w:rPr>
              <w:t>2、本次采购货物在完成所有安装调试并经采购人验收前，采购人有权对货物随机抽样送国家认可的检验部门检验，若检验不合格或检验所得结果（标准）与投标承诺不一致的，采购人将予以退货。检验过程中产生的所有费用由中标供应商承担。</w:t>
            </w:r>
          </w:p>
          <w:p>
            <w:pPr>
              <w:jc w:val="both"/>
              <w:rPr>
                <w:rFonts w:hint="eastAsia"/>
                <w:color w:val="auto"/>
                <w:sz w:val="21"/>
                <w:szCs w:val="21"/>
              </w:rPr>
            </w:pPr>
            <w:r>
              <w:rPr>
                <w:rFonts w:hint="eastAsia"/>
                <w:color w:val="auto"/>
                <w:sz w:val="21"/>
                <w:szCs w:val="21"/>
              </w:rPr>
              <w:t>3、中标供应商和制造商在质量保证期内应当为采购人提供以下技术支持和服务</w:t>
            </w:r>
          </w:p>
          <w:p>
            <w:pPr>
              <w:jc w:val="both"/>
              <w:rPr>
                <w:rFonts w:hint="eastAsia"/>
                <w:color w:val="auto"/>
                <w:sz w:val="21"/>
                <w:szCs w:val="21"/>
              </w:rPr>
            </w:pPr>
            <w:r>
              <w:rPr>
                <w:rFonts w:hint="eastAsia"/>
                <w:color w:val="auto"/>
                <w:sz w:val="21"/>
                <w:szCs w:val="21"/>
              </w:rPr>
              <w:t>3.1 电话咨询</w:t>
            </w:r>
          </w:p>
          <w:p>
            <w:pPr>
              <w:jc w:val="both"/>
              <w:rPr>
                <w:rFonts w:hint="eastAsia"/>
                <w:color w:val="auto"/>
                <w:sz w:val="21"/>
                <w:szCs w:val="21"/>
              </w:rPr>
            </w:pPr>
            <w:r>
              <w:rPr>
                <w:rFonts w:hint="eastAsia"/>
                <w:color w:val="auto"/>
                <w:sz w:val="21"/>
                <w:szCs w:val="21"/>
              </w:rPr>
              <w:t>中标供应商和制造商应当为采购人提供 7×24 小时技术援助电话，解答采购人在使用中遇到的问题，及时为采购人提出解决问题的建议。</w:t>
            </w:r>
          </w:p>
          <w:p>
            <w:pPr>
              <w:jc w:val="both"/>
              <w:rPr>
                <w:rFonts w:hint="eastAsia"/>
                <w:color w:val="auto"/>
                <w:sz w:val="21"/>
                <w:szCs w:val="21"/>
              </w:rPr>
            </w:pPr>
            <w:r>
              <w:rPr>
                <w:rFonts w:hint="eastAsia"/>
                <w:color w:val="auto"/>
                <w:sz w:val="21"/>
                <w:szCs w:val="21"/>
              </w:rPr>
              <w:t>3.2 现场响应采购人遇到使用或技术问题，电话咨询不能解决的，成交供应商和制造商应在 4 小时内到达现场进行处理，到达现场后 2 小时内排除故障，恢复正常使用。</w:t>
            </w:r>
          </w:p>
          <w:p>
            <w:pPr>
              <w:jc w:val="both"/>
              <w:rPr>
                <w:rFonts w:hint="eastAsia"/>
                <w:color w:val="auto"/>
                <w:sz w:val="21"/>
                <w:szCs w:val="21"/>
              </w:rPr>
            </w:pPr>
            <w:r>
              <w:rPr>
                <w:rFonts w:hint="eastAsia"/>
                <w:color w:val="auto"/>
                <w:sz w:val="21"/>
                <w:szCs w:val="21"/>
              </w:rPr>
              <w:t>4、质保期外服务要求</w:t>
            </w:r>
          </w:p>
          <w:p>
            <w:pPr>
              <w:jc w:val="both"/>
              <w:rPr>
                <w:rFonts w:hint="eastAsia"/>
                <w:color w:val="auto"/>
                <w:sz w:val="21"/>
                <w:szCs w:val="21"/>
              </w:rPr>
            </w:pPr>
            <w:r>
              <w:rPr>
                <w:rFonts w:hint="eastAsia"/>
                <w:color w:val="auto"/>
                <w:sz w:val="21"/>
                <w:szCs w:val="21"/>
              </w:rPr>
              <w:t>4.1 质量保证期过后，中标供应商和制造商应同样提供 7×24 小时免费电话</w:t>
            </w:r>
          </w:p>
          <w:p>
            <w:pPr>
              <w:jc w:val="both"/>
              <w:rPr>
                <w:rFonts w:hint="eastAsia"/>
                <w:color w:val="auto"/>
                <w:sz w:val="21"/>
                <w:szCs w:val="21"/>
              </w:rPr>
            </w:pPr>
            <w:r>
              <w:rPr>
                <w:rFonts w:hint="eastAsia"/>
                <w:color w:val="auto"/>
                <w:sz w:val="21"/>
                <w:szCs w:val="21"/>
              </w:rPr>
              <w:t>咨询服务，并应承诺提供产品上门维护。</w:t>
            </w:r>
          </w:p>
          <w:p>
            <w:pPr>
              <w:jc w:val="both"/>
              <w:rPr>
                <w:rFonts w:hint="eastAsia"/>
                <w:color w:val="auto"/>
                <w:sz w:val="21"/>
                <w:szCs w:val="21"/>
              </w:rPr>
            </w:pPr>
            <w:r>
              <w:rPr>
                <w:rFonts w:hint="eastAsia"/>
                <w:color w:val="auto"/>
                <w:sz w:val="21"/>
                <w:szCs w:val="21"/>
              </w:rPr>
              <w:t>4.2 质量保证期过后，采购人需要继续由原成交供应商和制造商提供售后服务的，该成交供应商和制造商应以优惠价格提供售后服务。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30" w:type="dxa"/>
            <w:gridSpan w:val="2"/>
            <w:vAlign w:val="center"/>
          </w:tcPr>
          <w:p>
            <w:pPr>
              <w:jc w:val="center"/>
              <w:rPr>
                <w:color w:val="auto"/>
                <w:sz w:val="21"/>
                <w:szCs w:val="21"/>
              </w:rPr>
            </w:pPr>
            <w:r>
              <w:rPr>
                <w:color w:val="auto"/>
                <w:sz w:val="21"/>
                <w:szCs w:val="21"/>
              </w:rPr>
              <w:t>★</w:t>
            </w:r>
            <w:r>
              <w:rPr>
                <w:b/>
                <w:color w:val="auto"/>
                <w:sz w:val="21"/>
                <w:szCs w:val="21"/>
              </w:rPr>
              <w:t>付款方式</w:t>
            </w:r>
          </w:p>
        </w:tc>
        <w:tc>
          <w:tcPr>
            <w:tcW w:w="8478" w:type="dxa"/>
            <w:gridSpan w:val="4"/>
            <w:vAlign w:val="top"/>
          </w:tcPr>
          <w:p>
            <w:pPr>
              <w:jc w:val="both"/>
              <w:rPr>
                <w:rFonts w:hint="eastAsia" w:eastAsia="宋体"/>
                <w:color w:val="auto"/>
                <w:sz w:val="21"/>
                <w:szCs w:val="21"/>
                <w:lang w:eastAsia="zh-CN"/>
              </w:rPr>
            </w:pPr>
            <w:r>
              <w:rPr>
                <w:rFonts w:hint="eastAsia"/>
                <w:color w:val="auto"/>
                <w:sz w:val="21"/>
                <w:szCs w:val="21"/>
              </w:rPr>
              <w:t>所有产品安装完毕</w:t>
            </w:r>
            <w:r>
              <w:rPr>
                <w:rFonts w:hint="eastAsia"/>
                <w:color w:val="auto"/>
                <w:sz w:val="21"/>
                <w:szCs w:val="21"/>
                <w:lang w:val="en-US" w:eastAsia="zh-CN"/>
              </w:rPr>
              <w:t>并</w:t>
            </w:r>
            <w:r>
              <w:rPr>
                <w:rFonts w:hint="eastAsia"/>
                <w:color w:val="auto"/>
                <w:sz w:val="21"/>
                <w:szCs w:val="21"/>
              </w:rPr>
              <w:t>验收合格后</w:t>
            </w:r>
            <w:r>
              <w:rPr>
                <w:rFonts w:hint="eastAsia"/>
                <w:color w:val="auto"/>
                <w:sz w:val="21"/>
                <w:szCs w:val="21"/>
                <w:lang w:eastAsia="zh-CN"/>
              </w:rPr>
              <w:t>，</w:t>
            </w:r>
            <w:r>
              <w:rPr>
                <w:rFonts w:hint="eastAsia"/>
                <w:color w:val="auto"/>
                <w:sz w:val="21"/>
                <w:szCs w:val="21"/>
              </w:rPr>
              <w:t>15个工作日内由财政直接支付</w:t>
            </w:r>
            <w:r>
              <w:rPr>
                <w:rFonts w:hint="eastAsia"/>
                <w:color w:val="auto"/>
                <w:sz w:val="21"/>
                <w:szCs w:val="21"/>
                <w:lang w:val="en-US" w:eastAsia="zh-CN"/>
              </w:rPr>
              <w:t>合同总金额的100%</w:t>
            </w:r>
            <w:r>
              <w:rPr>
                <w:rFonts w:hint="eastAsia"/>
                <w:color w:val="auto"/>
                <w:sz w:val="21"/>
                <w:szCs w:val="21"/>
              </w:rPr>
              <w:t>（无息）</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30" w:type="dxa"/>
            <w:gridSpan w:val="2"/>
            <w:vAlign w:val="center"/>
          </w:tcPr>
          <w:p>
            <w:pPr>
              <w:jc w:val="center"/>
              <w:rPr>
                <w:color w:val="auto"/>
                <w:sz w:val="21"/>
                <w:szCs w:val="21"/>
              </w:rPr>
            </w:pPr>
            <w:r>
              <w:rPr>
                <w:color w:val="auto"/>
                <w:sz w:val="21"/>
                <w:szCs w:val="21"/>
              </w:rPr>
              <w:t>★</w:t>
            </w:r>
            <w:r>
              <w:rPr>
                <w:b/>
                <w:color w:val="auto"/>
                <w:sz w:val="21"/>
                <w:szCs w:val="21"/>
              </w:rPr>
              <w:t>交货要求</w:t>
            </w:r>
          </w:p>
        </w:tc>
        <w:tc>
          <w:tcPr>
            <w:tcW w:w="8478" w:type="dxa"/>
            <w:gridSpan w:val="4"/>
            <w:vAlign w:val="top"/>
          </w:tcPr>
          <w:p>
            <w:pPr>
              <w:pStyle w:val="67"/>
              <w:spacing w:before="3"/>
              <w:jc w:val="both"/>
              <w:rPr>
                <w:color w:val="auto"/>
                <w:sz w:val="21"/>
                <w:szCs w:val="21"/>
              </w:rPr>
            </w:pPr>
            <w:r>
              <w:rPr>
                <w:color w:val="auto"/>
                <w:sz w:val="21"/>
                <w:szCs w:val="21"/>
              </w:rPr>
              <w:t xml:space="preserve">交货时间：自合同签订之日起 </w:t>
            </w:r>
            <w:r>
              <w:rPr>
                <w:rFonts w:hint="eastAsia" w:ascii="Times New Roman"/>
                <w:color w:val="auto"/>
                <w:sz w:val="21"/>
                <w:szCs w:val="21"/>
                <w:lang w:val="en-US" w:eastAsia="zh-CN"/>
              </w:rPr>
              <w:t>10</w:t>
            </w:r>
            <w:r>
              <w:rPr>
                <w:color w:val="auto"/>
                <w:sz w:val="21"/>
                <w:szCs w:val="21"/>
              </w:rPr>
              <w:t>个工作日内安装调试完毕并交付使用。</w:t>
            </w:r>
          </w:p>
          <w:p>
            <w:pPr>
              <w:jc w:val="both"/>
              <w:rPr>
                <w:rFonts w:hint="eastAsia"/>
                <w:color w:val="auto"/>
                <w:sz w:val="21"/>
                <w:szCs w:val="21"/>
              </w:rPr>
            </w:pPr>
            <w:r>
              <w:rPr>
                <w:color w:val="auto"/>
                <w:sz w:val="21"/>
                <w:szCs w:val="21"/>
              </w:rPr>
              <w:t>交货地点：</w:t>
            </w:r>
            <w:r>
              <w:rPr>
                <w:rFonts w:hint="eastAsia"/>
                <w:color w:val="auto"/>
                <w:sz w:val="21"/>
                <w:szCs w:val="21"/>
              </w:rPr>
              <w:t>桂林市临桂区会仙镇新立村委秦村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vAlign w:val="center"/>
          </w:tcPr>
          <w:p>
            <w:pPr>
              <w:jc w:val="center"/>
              <w:rPr>
                <w:b/>
                <w:bCs/>
                <w:color w:val="auto"/>
              </w:rPr>
            </w:pPr>
            <w:r>
              <w:rPr>
                <w:b/>
                <w:bCs/>
                <w:color w:val="auto"/>
                <w:sz w:val="21"/>
                <w:szCs w:val="21"/>
              </w:rPr>
              <w:t>★</w:t>
            </w:r>
            <w:r>
              <w:rPr>
                <w:rFonts w:hint="eastAsia"/>
                <w:b/>
                <w:bCs/>
                <w:color w:val="auto"/>
                <w:sz w:val="21"/>
                <w:szCs w:val="21"/>
              </w:rPr>
              <w:t>签订合同</w:t>
            </w:r>
          </w:p>
        </w:tc>
        <w:tc>
          <w:tcPr>
            <w:tcW w:w="8478" w:type="dxa"/>
            <w:gridSpan w:val="4"/>
            <w:vAlign w:val="center"/>
          </w:tcPr>
          <w:p>
            <w:pPr>
              <w:rPr>
                <w:color w:val="auto"/>
              </w:rPr>
            </w:pPr>
            <w:r>
              <w:rPr>
                <w:rFonts w:hint="eastAsia"/>
                <w:color w:val="auto"/>
              </w:rPr>
              <w:t>结果公布之日起</w:t>
            </w:r>
            <w:r>
              <w:rPr>
                <w:rFonts w:hint="eastAsia"/>
                <w:color w:val="auto"/>
                <w:lang w:val="en-US" w:eastAsia="zh-CN"/>
              </w:rPr>
              <w:t>3</w:t>
            </w:r>
            <w:r>
              <w:rPr>
                <w:rFonts w:hint="eastAsia"/>
                <w:color w:val="auto"/>
              </w:rPr>
              <w:t>个日历</w:t>
            </w:r>
            <w:r>
              <w:rPr>
                <w:rFonts w:hint="eastAsia"/>
                <w:color w:val="auto"/>
                <w:lang w:eastAsia="zh-CN"/>
              </w:rPr>
              <w:t>日内</w:t>
            </w:r>
            <w:r>
              <w:rPr>
                <w:rFonts w:hint="eastAsia"/>
                <w:color w:val="auto"/>
              </w:rPr>
              <w:t>签订合同，</w:t>
            </w:r>
            <w:r>
              <w:rPr>
                <w:rFonts w:hint="eastAsia"/>
                <w:color w:val="auto"/>
                <w:lang w:val="en-US" w:eastAsia="zh-CN"/>
              </w:rPr>
              <w:t>履约时</w:t>
            </w:r>
            <w:r>
              <w:rPr>
                <w:rFonts w:hint="eastAsia"/>
                <w:color w:val="auto"/>
              </w:rPr>
              <w:t>需提供采购需求中第2项核心产品</w:t>
            </w:r>
            <w:r>
              <w:rPr>
                <w:color w:val="auto"/>
              </w:rPr>
              <w:t>“</w:t>
            </w:r>
            <w:r>
              <w:rPr>
                <w:rFonts w:hint="eastAsia"/>
                <w:color w:val="auto"/>
              </w:rPr>
              <w:t>二连4人位中梯公寓床</w:t>
            </w:r>
            <w:r>
              <w:rPr>
                <w:color w:val="auto"/>
              </w:rPr>
              <w:t>”</w:t>
            </w:r>
            <w:r>
              <w:rPr>
                <w:rFonts w:hint="eastAsia"/>
                <w:color w:val="auto"/>
              </w:rPr>
              <w:t>一整套样品，样品必须符合本次招标参数要求，不满足招标文件参数要求的，做虚假应标处理，相关损失均由中标人承担。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vAlign w:val="center"/>
          </w:tcPr>
          <w:p>
            <w:pPr>
              <w:jc w:val="center"/>
              <w:rPr>
                <w:b/>
                <w:bCs/>
                <w:color w:val="auto"/>
                <w:sz w:val="21"/>
                <w:szCs w:val="21"/>
              </w:rPr>
            </w:pPr>
            <w:r>
              <w:rPr>
                <w:b/>
                <w:bCs/>
                <w:color w:val="auto"/>
                <w:sz w:val="21"/>
                <w:szCs w:val="21"/>
              </w:rPr>
              <w:t>★核心产品</w:t>
            </w:r>
          </w:p>
        </w:tc>
        <w:tc>
          <w:tcPr>
            <w:tcW w:w="8478" w:type="dxa"/>
            <w:gridSpan w:val="4"/>
            <w:vAlign w:val="center"/>
          </w:tcPr>
          <w:p>
            <w:pPr>
              <w:rPr>
                <w:color w:val="auto"/>
              </w:rPr>
            </w:pPr>
            <w:r>
              <w:rPr>
                <w:color w:val="auto"/>
              </w:rPr>
              <w:t>本项目核心产品：本项目第</w:t>
            </w:r>
            <w:r>
              <w:rPr>
                <w:rFonts w:hint="eastAsia"/>
                <w:color w:val="auto"/>
              </w:rPr>
              <w:t>2</w:t>
            </w:r>
            <w:r>
              <w:rPr>
                <w:color w:val="auto"/>
              </w:rPr>
              <w:t>项货物“</w:t>
            </w:r>
            <w:r>
              <w:rPr>
                <w:rFonts w:hint="eastAsia"/>
                <w:color w:val="auto"/>
              </w:rPr>
              <w:t>二连4人位中梯公寓床</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vAlign w:val="center"/>
          </w:tcPr>
          <w:p>
            <w:pPr>
              <w:jc w:val="center"/>
              <w:rPr>
                <w:b/>
                <w:bCs/>
                <w:color w:val="auto"/>
                <w:sz w:val="21"/>
                <w:szCs w:val="21"/>
              </w:rPr>
            </w:pPr>
            <w:r>
              <w:rPr>
                <w:b/>
                <w:bCs/>
                <w:color w:val="auto"/>
                <w:sz w:val="21"/>
                <w:szCs w:val="21"/>
              </w:rPr>
              <w:t>★</w:t>
            </w:r>
            <w:r>
              <w:rPr>
                <w:rFonts w:hint="eastAsia"/>
                <w:b/>
                <w:bCs/>
                <w:color w:val="auto"/>
                <w:sz w:val="21"/>
                <w:szCs w:val="21"/>
              </w:rPr>
              <w:t>验收方法及方案</w:t>
            </w:r>
          </w:p>
        </w:tc>
        <w:tc>
          <w:tcPr>
            <w:tcW w:w="8478" w:type="dxa"/>
            <w:gridSpan w:val="4"/>
            <w:vAlign w:val="center"/>
          </w:tcPr>
          <w:p>
            <w:pPr>
              <w:rPr>
                <w:color w:val="auto"/>
              </w:rPr>
            </w:pPr>
            <w:r>
              <w:rPr>
                <w:rFonts w:hint="eastAsia"/>
                <w:color w:val="auto"/>
              </w:rPr>
              <w:t>1、中标供应商的投标样品将作为货物验收参照标本，中标供应商所提供的货物与投标样品必须一致，否则将视为验收不合格。另外，验收时如中标供应商所提供的产品与其投标时所响应的参数不一致或出现其它可能影响产品质量的问题时，采购人有权对交付的货物委托第三方检验机构（取得计量认证具有 CMA 标识）进行抽样检验。如果所抽取的样品经检验合格的，采购人应将整批货物判定合格，对整批货物按合格品验收并承担所有的检验费和样品费；如果所抽取的样品经检验不合格的，采购人应将整批货物判定为不合格产品，不予验收，由此产生的检验费、样品费由中标供应商承担，采购人可同时向中标供应商提出直接或间接损失的赔偿。</w:t>
            </w:r>
          </w:p>
          <w:p>
            <w:pPr>
              <w:rPr>
                <w:color w:val="auto"/>
              </w:rPr>
            </w:pPr>
            <w:r>
              <w:rPr>
                <w:rFonts w:hint="eastAsia"/>
                <w:color w:val="auto"/>
              </w:rPr>
              <w:t>2、验收不合格或不能按期履行合同的处理：中标供应商必须在合同指定时间内将货物运送到安装地点并完成安装工作，否则中标供应商必须承担由此产生的一切后果。如中标供应商不能按约定时间交货，造成采购人不能按时入住的，采购人将安排相应受到此状况影响的学生入住酒店，由此产生的一切费用（住宿费、交通费等）将从中标供应商的货款中扣除，并且还将根据实际情况从货款中扣减因延期交货给采购人带来的其它直接损失和间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vAlign w:val="center"/>
          </w:tcPr>
          <w:p>
            <w:pPr>
              <w:rPr>
                <w:rFonts w:hint="eastAsia"/>
                <w:color w:val="auto"/>
              </w:rPr>
            </w:pPr>
            <w:r>
              <w:rPr>
                <w:rFonts w:hint="eastAsia"/>
                <w:color w:val="auto"/>
              </w:rPr>
              <w:t>★其他要求</w:t>
            </w:r>
          </w:p>
        </w:tc>
        <w:tc>
          <w:tcPr>
            <w:tcW w:w="8478" w:type="dxa"/>
            <w:gridSpan w:val="4"/>
            <w:vAlign w:val="center"/>
          </w:tcPr>
          <w:p>
            <w:pPr>
              <w:rPr>
                <w:rFonts w:hint="eastAsia"/>
                <w:color w:val="auto"/>
              </w:rPr>
            </w:pPr>
            <w:r>
              <w:rPr>
                <w:rFonts w:hint="eastAsia"/>
                <w:color w:val="auto"/>
              </w:rPr>
              <w:t>1</w:t>
            </w:r>
            <w:r>
              <w:rPr>
                <w:rFonts w:hint="eastAsia"/>
                <w:color w:val="auto"/>
                <w:lang w:eastAsia="zh-CN"/>
              </w:rPr>
              <w:t>、</w:t>
            </w:r>
            <w:r>
              <w:rPr>
                <w:rFonts w:hint="eastAsia"/>
                <w:color w:val="auto"/>
              </w:rPr>
              <w:t>本项目采购预算金额为：人民币</w:t>
            </w:r>
            <w:r>
              <w:rPr>
                <w:rFonts w:hint="eastAsia"/>
                <w:color w:val="auto"/>
                <w:lang w:eastAsia="zh-CN"/>
              </w:rPr>
              <w:t>壹佰壹</w:t>
            </w:r>
            <w:r>
              <w:rPr>
                <w:rFonts w:hint="eastAsia"/>
                <w:color w:val="auto"/>
              </w:rPr>
              <w:t>拾</w:t>
            </w:r>
            <w:r>
              <w:rPr>
                <w:rFonts w:hint="eastAsia"/>
                <w:color w:val="auto"/>
                <w:lang w:eastAsia="zh-CN"/>
              </w:rPr>
              <w:t>陆</w:t>
            </w:r>
            <w:r>
              <w:rPr>
                <w:rFonts w:hint="eastAsia"/>
                <w:color w:val="auto"/>
              </w:rPr>
              <w:t>万零</w:t>
            </w:r>
            <w:r>
              <w:rPr>
                <w:rFonts w:hint="eastAsia"/>
                <w:color w:val="auto"/>
                <w:lang w:eastAsia="zh-CN"/>
              </w:rPr>
              <w:t>玖</w:t>
            </w:r>
            <w:r>
              <w:rPr>
                <w:rFonts w:hint="eastAsia"/>
                <w:color w:val="auto"/>
              </w:rPr>
              <w:t>佰元整（¥</w:t>
            </w:r>
            <w:r>
              <w:rPr>
                <w:rFonts w:hint="eastAsia"/>
                <w:color w:val="auto"/>
                <w:lang w:val="en-US" w:eastAsia="zh-CN"/>
              </w:rPr>
              <w:t>1160900</w:t>
            </w:r>
            <w:r>
              <w:rPr>
                <w:rFonts w:hint="eastAsia"/>
                <w:color w:val="auto"/>
              </w:rPr>
              <w:t>.00），投标报价超出采购预算金额的将被视为无效投标。</w:t>
            </w:r>
          </w:p>
          <w:p>
            <w:pPr>
              <w:rPr>
                <w:rFonts w:hint="eastAsia"/>
                <w:color w:val="auto"/>
              </w:rPr>
            </w:pPr>
            <w:r>
              <w:rPr>
                <w:rFonts w:hint="eastAsia"/>
                <w:color w:val="auto"/>
              </w:rPr>
              <w:t>2、本项目货物不接受进口产品（即通过中国海关报关验放进入中国境内且产自关境外的产品）参与投标。</w:t>
            </w:r>
          </w:p>
        </w:tc>
      </w:tr>
    </w:tbl>
    <w:p>
      <w:pPr>
        <w:widowControl/>
        <w:jc w:val="left"/>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pStyle w:val="2"/>
        <w:rPr>
          <w:rFonts w:hint="default" w:eastAsia="宋体"/>
          <w:color w:val="auto"/>
          <w:lang w:val="en-US" w:eastAsia="zh-CN"/>
        </w:rPr>
      </w:pPr>
    </w:p>
    <w:p>
      <w:pPr>
        <w:jc w:val="left"/>
        <w:rPr>
          <w:rFonts w:ascii="微软雅黑" w:hAnsi="微软雅黑" w:eastAsia="微软雅黑" w:cs="微软雅黑"/>
          <w:color w:val="auto"/>
          <w:sz w:val="48"/>
          <w:szCs w:val="48"/>
          <w:shd w:val="clear" w:color="auto" w:fill="FFFFFF"/>
        </w:rPr>
      </w:pPr>
      <w:r>
        <w:rPr>
          <w:rFonts w:hint="eastAsia" w:ascii="宋体" w:hAnsi="宋体"/>
          <w:color w:val="auto"/>
          <w:szCs w:val="21"/>
        </w:rPr>
        <w:t>参考图附件</w:t>
      </w:r>
      <w:r>
        <w:rPr>
          <w:rFonts w:hint="eastAsia" w:ascii="微软雅黑" w:hAnsi="微软雅黑" w:eastAsia="微软雅黑" w:cs="微软雅黑"/>
          <w:color w:val="auto"/>
          <w:sz w:val="24"/>
          <w:shd w:val="clear" w:color="auto" w:fill="FFFFFF"/>
        </w:rPr>
        <w:t>：图一</w:t>
      </w:r>
      <w:r>
        <w:rPr>
          <w:rFonts w:hint="eastAsia" w:ascii="微软雅黑" w:hAnsi="微软雅黑" w:eastAsia="微软雅黑" w:cs="微软雅黑"/>
          <w:color w:val="auto"/>
          <w:sz w:val="48"/>
          <w:szCs w:val="48"/>
          <w:shd w:val="clear" w:color="auto" w:fill="FFFFFF"/>
        </w:rPr>
        <w:drawing>
          <wp:inline distT="0" distB="0" distL="0" distR="0">
            <wp:extent cx="5269230" cy="3596005"/>
            <wp:effectExtent l="0" t="0" r="7620" b="4445"/>
            <wp:docPr id="1046" name="图片 11" descr="a821d64fdd3f55df96e75a5bfb301d2"/>
            <wp:cNvGraphicFramePr/>
            <a:graphic xmlns:a="http://schemas.openxmlformats.org/drawingml/2006/main">
              <a:graphicData uri="http://schemas.openxmlformats.org/drawingml/2006/picture">
                <pic:pic xmlns:pic="http://schemas.openxmlformats.org/drawingml/2006/picture">
                  <pic:nvPicPr>
                    <pic:cNvPr id="1046" name="图片 11" descr="a821d64fdd3f55df96e75a5bfb301d2"/>
                    <pic:cNvPicPr/>
                  </pic:nvPicPr>
                  <pic:blipFill>
                    <a:blip r:embed="rId8" cstate="print"/>
                    <a:srcRect/>
                    <a:stretch>
                      <a:fillRect/>
                    </a:stretch>
                  </pic:blipFill>
                  <pic:spPr>
                    <a:xfrm>
                      <a:off x="0" y="0"/>
                      <a:ext cx="5269230" cy="3596005"/>
                    </a:xfrm>
                    <a:prstGeom prst="rect">
                      <a:avLst/>
                    </a:prstGeom>
                  </pic:spPr>
                </pic:pic>
              </a:graphicData>
            </a:graphic>
          </wp:inline>
        </w:drawing>
      </w:r>
    </w:p>
    <w:p>
      <w:pPr>
        <w:jc w:val="left"/>
        <w:rPr>
          <w:color w:val="auto"/>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auto"/>
          <w:sz w:val="22"/>
          <w:szCs w:val="22"/>
          <w:shd w:val="clear" w:color="auto" w:fill="FFFFFF"/>
        </w:rPr>
        <w:t>图二</w:t>
      </w:r>
      <w:r>
        <w:rPr>
          <w:rFonts w:hint="eastAsia"/>
          <w:color w:val="auto"/>
        </w:rPr>
        <w:drawing>
          <wp:inline distT="0" distB="0" distL="0" distR="0">
            <wp:extent cx="5266690" cy="3755390"/>
            <wp:effectExtent l="0" t="0" r="10160" b="16510"/>
            <wp:docPr id="1047" name="图片 14" descr="5bb4e00ddd789bc84220f1a0881f3d1"/>
            <wp:cNvGraphicFramePr/>
            <a:graphic xmlns:a="http://schemas.openxmlformats.org/drawingml/2006/main">
              <a:graphicData uri="http://schemas.openxmlformats.org/drawingml/2006/picture">
                <pic:pic xmlns:pic="http://schemas.openxmlformats.org/drawingml/2006/picture">
                  <pic:nvPicPr>
                    <pic:cNvPr id="1047" name="图片 14" descr="5bb4e00ddd789bc84220f1a0881f3d1"/>
                    <pic:cNvPicPr/>
                  </pic:nvPicPr>
                  <pic:blipFill>
                    <a:blip r:embed="rId18" cstate="print"/>
                    <a:srcRect/>
                    <a:stretch>
                      <a:fillRect/>
                    </a:stretch>
                  </pic:blipFill>
                  <pic:spPr>
                    <a:xfrm>
                      <a:off x="0" y="0"/>
                      <a:ext cx="5266690" cy="3755390"/>
                    </a:xfrm>
                    <a:prstGeom prst="rect">
                      <a:avLst/>
                    </a:prstGeom>
                  </pic:spPr>
                </pic:pic>
              </a:graphicData>
            </a:graphic>
          </wp:inline>
        </w:drawing>
      </w:r>
    </w:p>
    <w:p>
      <w:pPr>
        <w:rPr>
          <w:rFonts w:ascii="微软雅黑" w:hAnsi="微软雅黑" w:eastAsia="微软雅黑" w:cs="微软雅黑"/>
          <w:color w:val="auto"/>
          <w:sz w:val="24"/>
          <w:shd w:val="clear" w:color="auto" w:fill="FFFFFF"/>
        </w:rPr>
      </w:pPr>
      <w:r>
        <w:rPr>
          <w:rFonts w:hint="eastAsia" w:ascii="微软雅黑" w:hAnsi="微软雅黑" w:eastAsia="微软雅黑" w:cs="微软雅黑"/>
          <w:color w:val="auto"/>
          <w:sz w:val="48"/>
          <w:szCs w:val="48"/>
          <w:shd w:val="clear" w:color="auto" w:fill="FFFFFF"/>
        </w:rPr>
        <w:drawing>
          <wp:anchor distT="0" distB="0" distL="114300" distR="114300" simplePos="0" relativeHeight="251658240" behindDoc="0" locked="0" layoutInCell="1" allowOverlap="1">
            <wp:simplePos x="0" y="0"/>
            <wp:positionH relativeFrom="page">
              <wp:posOffset>1952625</wp:posOffset>
            </wp:positionH>
            <wp:positionV relativeFrom="page">
              <wp:posOffset>1306830</wp:posOffset>
            </wp:positionV>
            <wp:extent cx="3357245" cy="2376805"/>
            <wp:effectExtent l="0" t="0" r="14605" b="4445"/>
            <wp:wrapSquare wrapText="bothSides"/>
            <wp:docPr id="1048" name="图片 2" descr="mmexport1596595562408"/>
            <wp:cNvGraphicFramePr/>
            <a:graphic xmlns:a="http://schemas.openxmlformats.org/drawingml/2006/main">
              <a:graphicData uri="http://schemas.openxmlformats.org/drawingml/2006/picture">
                <pic:pic xmlns:pic="http://schemas.openxmlformats.org/drawingml/2006/picture">
                  <pic:nvPicPr>
                    <pic:cNvPr id="1048" name="图片 2" descr="mmexport1596595562408"/>
                    <pic:cNvPicPr/>
                  </pic:nvPicPr>
                  <pic:blipFill>
                    <a:blip r:embed="rId21" cstate="print"/>
                    <a:srcRect l="36351" t="66549" r="24804" b="12829"/>
                    <a:stretch>
                      <a:fillRect/>
                    </a:stretch>
                  </pic:blipFill>
                  <pic:spPr>
                    <a:xfrm>
                      <a:off x="0" y="0"/>
                      <a:ext cx="3357245" cy="2376805"/>
                    </a:xfrm>
                    <a:prstGeom prst="rect">
                      <a:avLst/>
                    </a:prstGeom>
                    <a:ln>
                      <a:noFill/>
                    </a:ln>
                  </pic:spPr>
                </pic:pic>
              </a:graphicData>
            </a:graphic>
          </wp:anchor>
        </w:drawing>
      </w:r>
      <w:r>
        <w:rPr>
          <w:rFonts w:hint="eastAsia" w:ascii="微软雅黑" w:hAnsi="微软雅黑" w:eastAsia="微软雅黑" w:cs="微软雅黑"/>
          <w:color w:val="auto"/>
          <w:sz w:val="24"/>
          <w:shd w:val="clear" w:color="auto" w:fill="FFFFFF"/>
        </w:rPr>
        <w:t>图三</w:t>
      </w:r>
    </w:p>
    <w:p>
      <w:pPr>
        <w:rPr>
          <w:rFonts w:ascii="微软雅黑" w:hAnsi="微软雅黑" w:eastAsia="微软雅黑" w:cs="微软雅黑"/>
          <w:color w:val="auto"/>
          <w:sz w:val="24"/>
          <w:shd w:val="clear" w:color="auto" w:fill="FFFFFF"/>
        </w:rPr>
      </w:pPr>
    </w:p>
    <w:p>
      <w:pPr>
        <w:rPr>
          <w:rFonts w:ascii="微软雅黑" w:hAnsi="微软雅黑" w:eastAsia="微软雅黑" w:cs="微软雅黑"/>
          <w:color w:val="auto"/>
          <w:sz w:val="24"/>
          <w:shd w:val="clear" w:color="auto" w:fill="FFFFFF"/>
        </w:rPr>
      </w:pPr>
    </w:p>
    <w:p>
      <w:pPr>
        <w:rPr>
          <w:rFonts w:ascii="微软雅黑" w:hAnsi="微软雅黑" w:eastAsia="微软雅黑" w:cs="微软雅黑"/>
          <w:color w:val="auto"/>
          <w:sz w:val="24"/>
          <w:shd w:val="clear" w:color="auto" w:fill="FFFFFF"/>
        </w:rPr>
      </w:pPr>
    </w:p>
    <w:p>
      <w:pPr>
        <w:rPr>
          <w:rFonts w:ascii="微软雅黑" w:hAnsi="微软雅黑" w:eastAsia="微软雅黑" w:cs="微软雅黑"/>
          <w:color w:val="auto"/>
          <w:sz w:val="24"/>
          <w:shd w:val="clear" w:color="auto" w:fill="FFFFFF"/>
        </w:rPr>
      </w:pPr>
    </w:p>
    <w:p>
      <w:pPr>
        <w:rPr>
          <w:rFonts w:ascii="微软雅黑" w:hAnsi="微软雅黑" w:eastAsia="微软雅黑" w:cs="微软雅黑"/>
          <w:color w:val="auto"/>
          <w:sz w:val="24"/>
          <w:shd w:val="clear" w:color="auto" w:fill="FFFFFF"/>
        </w:rPr>
      </w:pPr>
    </w:p>
    <w:p>
      <w:pPr>
        <w:rPr>
          <w:rFonts w:ascii="微软雅黑" w:hAnsi="微软雅黑" w:eastAsia="微软雅黑" w:cs="微软雅黑"/>
          <w:color w:val="auto"/>
          <w:sz w:val="24"/>
          <w:shd w:val="clear" w:color="auto" w:fill="FFFFFF"/>
        </w:rPr>
      </w:pPr>
    </w:p>
    <w:p>
      <w:pPr>
        <w:rPr>
          <w:rFonts w:ascii="微软雅黑" w:hAnsi="微软雅黑" w:eastAsia="微软雅黑" w:cs="微软雅黑"/>
          <w:color w:val="auto"/>
          <w:sz w:val="24"/>
          <w:shd w:val="clear" w:color="auto" w:fill="FFFFFF"/>
        </w:rPr>
      </w:pPr>
    </w:p>
    <w:p>
      <w:pPr>
        <w:pStyle w:val="2"/>
        <w:rPr>
          <w:rFonts w:hint="default" w:eastAsia="宋体"/>
          <w:color w:val="auto"/>
          <w:lang w:val="en-US" w:eastAsia="zh-CN"/>
        </w:rPr>
      </w:pPr>
    </w:p>
    <w:p>
      <w:pPr>
        <w:rPr>
          <w:rFonts w:hint="eastAsia" w:eastAsia="微软雅黑"/>
          <w:b/>
          <w:bCs/>
          <w:color w:val="auto"/>
          <w:sz w:val="40"/>
          <w:szCs w:val="48"/>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auto"/>
          <w:sz w:val="48"/>
          <w:szCs w:val="48"/>
          <w:shd w:val="clear" w:color="auto" w:fill="FFFFFF"/>
        </w:rPr>
        <w:drawing>
          <wp:anchor distT="0" distB="0" distL="114300" distR="114300" simplePos="0" relativeHeight="251660288" behindDoc="0" locked="0" layoutInCell="1" allowOverlap="1">
            <wp:simplePos x="0" y="0"/>
            <wp:positionH relativeFrom="column">
              <wp:posOffset>171450</wp:posOffset>
            </wp:positionH>
            <wp:positionV relativeFrom="paragraph">
              <wp:posOffset>454025</wp:posOffset>
            </wp:positionV>
            <wp:extent cx="4044950" cy="5017135"/>
            <wp:effectExtent l="0" t="0" r="12700" b="12065"/>
            <wp:wrapSquare wrapText="bothSides"/>
            <wp:docPr id="6" name="图片 1" descr="Screenshot_2020-08-05-10-53-52-51"/>
            <wp:cNvGraphicFramePr/>
            <a:graphic xmlns:a="http://schemas.openxmlformats.org/drawingml/2006/main">
              <a:graphicData uri="http://schemas.openxmlformats.org/drawingml/2006/picture">
                <pic:pic xmlns:pic="http://schemas.openxmlformats.org/drawingml/2006/picture">
                  <pic:nvPicPr>
                    <pic:cNvPr id="6" name="图片 1" descr="Screenshot_2020-08-05-10-53-52-51"/>
                    <pic:cNvPicPr/>
                  </pic:nvPicPr>
                  <pic:blipFill>
                    <a:blip r:embed="rId22" cstate="print"/>
                    <a:srcRect l="10476" r="12824"/>
                    <a:stretch>
                      <a:fillRect/>
                    </a:stretch>
                  </pic:blipFill>
                  <pic:spPr>
                    <a:xfrm>
                      <a:off x="0" y="0"/>
                      <a:ext cx="4044950" cy="5017135"/>
                    </a:xfrm>
                    <a:prstGeom prst="rect">
                      <a:avLst/>
                    </a:prstGeom>
                    <a:ln>
                      <a:noFill/>
                    </a:ln>
                  </pic:spPr>
                </pic:pic>
              </a:graphicData>
            </a:graphic>
          </wp:anchor>
        </w:drawing>
      </w:r>
      <w:r>
        <w:rPr>
          <w:rFonts w:hint="eastAsia" w:ascii="微软雅黑" w:hAnsi="微软雅黑" w:eastAsia="微软雅黑" w:cs="微软雅黑"/>
          <w:color w:val="auto"/>
          <w:sz w:val="24"/>
          <w:shd w:val="clear" w:color="auto" w:fill="FFFFFF"/>
        </w:rPr>
        <w:t>图</w:t>
      </w:r>
      <w:r>
        <w:rPr>
          <w:rFonts w:hint="eastAsia" w:ascii="微软雅黑" w:hAnsi="微软雅黑" w:eastAsia="微软雅黑" w:cs="微软雅黑"/>
          <w:color w:val="auto"/>
          <w:sz w:val="24"/>
          <w:shd w:val="clear" w:color="auto" w:fill="FFFFFF"/>
          <w:lang w:eastAsia="zh-CN"/>
        </w:rPr>
        <w:t>四</w:t>
      </w:r>
    </w:p>
    <w:p>
      <w:pPr>
        <w:pStyle w:val="2"/>
        <w:rPr>
          <w:rFonts w:hint="default" w:eastAsia="宋体"/>
          <w:color w:val="auto"/>
          <w:lang w:val="en-US" w:eastAsia="zh-CN"/>
        </w:rPr>
      </w:pPr>
    </w:p>
    <w:p>
      <w:pPr>
        <w:jc w:val="center"/>
        <w:outlineLvl w:val="0"/>
        <w:rPr>
          <w:rFonts w:hint="eastAsia" w:ascii="宋体" w:hAnsi="宋体" w:eastAsia="宋体" w:cs="宋体"/>
          <w:color w:val="auto"/>
          <w:sz w:val="32"/>
          <w:szCs w:val="32"/>
        </w:rPr>
      </w:pPr>
      <w:bookmarkStart w:id="151" w:name="_Toc14972"/>
      <w:bookmarkStart w:id="152" w:name="_Toc18150"/>
      <w:r>
        <w:rPr>
          <w:rFonts w:hint="eastAsia" w:ascii="宋体" w:hAnsi="宋体" w:eastAsia="宋体" w:cs="宋体"/>
          <w:b/>
          <w:bCs/>
          <w:color w:val="auto"/>
          <w:kern w:val="44"/>
          <w:sz w:val="32"/>
          <w:szCs w:val="32"/>
          <w:lang w:val="en-US" w:eastAsia="zh-CN" w:bidi="ar-SA"/>
        </w:rPr>
        <w:t>第四章  评标办法</w:t>
      </w:r>
      <w:bookmarkEnd w:id="151"/>
      <w:bookmarkEnd w:id="152"/>
    </w:p>
    <w:p>
      <w:pPr>
        <w:ind w:firstLine="422" w:firstLineChars="200"/>
        <w:rPr>
          <w:color w:val="auto"/>
        </w:rPr>
      </w:pPr>
      <w:bookmarkStart w:id="153" w:name="_Toc23297"/>
      <w:r>
        <w:rPr>
          <w:b/>
          <w:bCs/>
          <w:color w:val="auto"/>
        </w:rPr>
        <w:t>一、评标原则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（一）评委会组成：本招标采购项目的评标委员会由采购人代表、技术和经济等方面的专家组成。其中，专家评委不得少于成员总数的三分之二。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（二）评标依据：评委将以招投标文件为评标依据，对投标人的投标报价、技术性能、履约能力、售后服务及政策功能等方面内容按百分制打分。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（三）评标方式：以封闭方式进行。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（四）采购人和采购代理机构、评标委员会成员要严格遵守政府采购相关法律制度，依法履行各自职责，公正、客观、审慎地组织和参与评审工作。</w:t>
      </w:r>
    </w:p>
    <w:p>
      <w:pPr>
        <w:ind w:firstLine="422" w:firstLineChars="200"/>
        <w:rPr>
          <w:b/>
          <w:bCs/>
          <w:color w:val="auto"/>
        </w:rPr>
      </w:pPr>
      <w:r>
        <w:rPr>
          <w:rFonts w:hint="eastAsia"/>
          <w:b/>
          <w:bCs/>
          <w:color w:val="auto"/>
        </w:rPr>
        <w:t>二、评定方法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（一）对进入详评的，采用百分制综合评分法。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（二）计分办法（按四舍五入取至百分位）：</w:t>
      </w:r>
    </w:p>
    <w:p>
      <w:pPr>
        <w:ind w:firstLine="422" w:firstLineChars="200"/>
        <w:rPr>
          <w:b/>
          <w:bCs/>
          <w:color w:val="auto"/>
        </w:rPr>
      </w:pPr>
      <w:r>
        <w:rPr>
          <w:rFonts w:hint="eastAsia"/>
          <w:b/>
          <w:bCs/>
          <w:color w:val="auto"/>
        </w:rPr>
        <w:t>1、价格分.......................................................................................................................................................</w:t>
      </w:r>
      <w:r>
        <w:rPr>
          <w:rFonts w:hint="eastAsia"/>
          <w:b/>
          <w:bCs/>
          <w:color w:val="auto"/>
          <w:lang w:val="en-US" w:eastAsia="zh-CN"/>
        </w:rPr>
        <w:t>50</w:t>
      </w:r>
      <w:r>
        <w:rPr>
          <w:rFonts w:hint="eastAsia"/>
          <w:b/>
          <w:bCs/>
          <w:color w:val="auto"/>
        </w:rPr>
        <w:t xml:space="preserve"> 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（1）按照《政府采购促进中小企业发展暂行办法》（财库[2011]181 号）规定：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投标单位认定为小型和微型企业的（以投标文件提供的符合规定的有关证明材料为准)，并提供本企业   制造的货物，由本企业承担工程、提供服务，或者提供其他小型、微型企业制造的货物的（不包括使用大型企业注册商标的货物），投标价给予 10%的扣除，扣除后的价格为评标报价，即评标报价=投标报价×（1-10%）；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注：1.中小微型企业划分标准按照《国家统计局关于印发《统计上大中小微型企业划分办法（2017）》 的通知》（国统字[2017]213 号）执行，具体划分标准见附表《统计上大中小微型企业划分标准》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（2）根据《关于政府采购支持监狱企业发展有关问题的通知》（财库[2014]68 号）和《关于促进残疾人就业政府采购政策的通知》（财库[2017]141 号），监狱企业和符合条件的残疾人企业视同小型、微型企业，享受小型、微型企业评审中价格扣除的政府采购政策。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（3）根据《关于促进残疾人就业政府采购政策的通知》（财库【2017】141 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对于不属于以上情形的投标人，其投标报价即为评标价。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 xml:space="preserve">（4）价格分采用低价优先法计算，即满足招标文件要求且评标报价最低的评标报价为评标基准价，其价格分为 </w:t>
      </w:r>
      <w:r>
        <w:rPr>
          <w:rFonts w:hint="eastAsia"/>
          <w:color w:val="auto"/>
          <w:lang w:val="en-US" w:eastAsia="zh-CN"/>
        </w:rPr>
        <w:t>50</w:t>
      </w:r>
      <w:r>
        <w:rPr>
          <w:rFonts w:hint="eastAsia"/>
          <w:color w:val="auto"/>
        </w:rPr>
        <w:t xml:space="preserve"> 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（5）价格分计算公式：</w:t>
      </w:r>
    </w:p>
    <w:p>
      <w:pPr>
        <w:keepNext w:val="0"/>
        <w:keepLines w:val="0"/>
        <w:pageBreakBefore w:val="0"/>
        <w:widowControl w:val="0"/>
        <w:kinsoku/>
        <w:wordWrap/>
        <w:overflowPunct/>
        <w:topLinePunct w:val="0"/>
        <w:autoSpaceDE/>
        <w:autoSpaceDN/>
        <w:bidi w:val="0"/>
        <w:adjustRightInd/>
        <w:snapToGrid/>
        <w:ind w:firstLine="2730" w:firstLineChars="1300"/>
        <w:textAlignment w:val="auto"/>
        <w:rPr>
          <w:color w:val="auto"/>
        </w:rPr>
      </w:pPr>
      <w:r>
        <w:rPr>
          <w:rFonts w:hint="eastAsia"/>
          <w:color w:val="auto"/>
        </w:rPr>
        <w:t>最低投标人评标报价金额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投标人价格分 =</w:t>
      </w:r>
      <w:r>
        <w:rPr>
          <w:rFonts w:hint="eastAsia"/>
          <w:color w:val="auto"/>
        </w:rPr>
        <w:tab/>
      </w:r>
      <w:r>
        <w:rPr>
          <w:rFonts w:hint="eastAsia"/>
          <w:color w:val="auto"/>
          <w:u w:val="single"/>
          <w:lang w:val="en-US" w:eastAsia="zh-CN"/>
        </w:rPr>
        <w:t xml:space="preserve">                                 </w:t>
      </w:r>
      <w:r>
        <w:rPr>
          <w:rFonts w:hint="eastAsia"/>
          <w:color w:val="auto"/>
        </w:rPr>
        <w:t>×</w:t>
      </w:r>
      <w:r>
        <w:rPr>
          <w:rFonts w:hint="eastAsia"/>
          <w:color w:val="auto"/>
          <w:lang w:val="en-US" w:eastAsia="zh-CN"/>
        </w:rPr>
        <w:t>50</w:t>
      </w:r>
      <w:r>
        <w:rPr>
          <w:rFonts w:hint="eastAsia"/>
          <w:color w:val="auto"/>
        </w:rPr>
        <w:t xml:space="preserve"> 分</w:t>
      </w:r>
    </w:p>
    <w:p>
      <w:pPr>
        <w:keepNext w:val="0"/>
        <w:keepLines w:val="0"/>
        <w:pageBreakBefore w:val="0"/>
        <w:widowControl w:val="0"/>
        <w:kinsoku/>
        <w:wordWrap/>
        <w:overflowPunct/>
        <w:topLinePunct w:val="0"/>
        <w:autoSpaceDE/>
        <w:autoSpaceDN/>
        <w:bidi w:val="0"/>
        <w:adjustRightInd/>
        <w:snapToGrid/>
        <w:ind w:firstLine="2940" w:firstLineChars="1400"/>
        <w:textAlignment w:val="auto"/>
        <w:rPr>
          <w:color w:val="auto"/>
        </w:rPr>
      </w:pPr>
      <w:r>
        <w:rPr>
          <w:rFonts w:hint="eastAsia"/>
          <w:color w:val="auto"/>
        </w:rPr>
        <w:t>投标人评标报价金额</w:t>
      </w:r>
    </w:p>
    <w:p>
      <w:pPr>
        <w:ind w:firstLine="422" w:firstLineChars="200"/>
        <w:rPr>
          <w:color w:val="auto"/>
        </w:rPr>
      </w:pPr>
      <w:r>
        <w:rPr>
          <w:rFonts w:hint="eastAsia"/>
          <w:b/>
          <w:bCs/>
          <w:color w:val="auto"/>
        </w:rPr>
        <w:t>2、</w:t>
      </w:r>
      <w:r>
        <w:rPr>
          <w:rFonts w:hint="eastAsia"/>
          <w:b/>
          <w:bCs/>
          <w:color w:val="auto"/>
          <w:lang w:val="en-US" w:eastAsia="zh-CN"/>
        </w:rPr>
        <w:t>技术性能分</w:t>
      </w:r>
      <w:r>
        <w:rPr>
          <w:rFonts w:hint="eastAsia"/>
          <w:b/>
          <w:bCs/>
          <w:color w:val="auto"/>
        </w:rPr>
        <w:t>......................................................................................................................................满分</w:t>
      </w:r>
      <w:r>
        <w:rPr>
          <w:rFonts w:hint="eastAsia"/>
          <w:b/>
          <w:bCs/>
          <w:color w:val="auto"/>
          <w:lang w:val="en-US" w:eastAsia="zh-CN"/>
        </w:rPr>
        <w:t>30</w:t>
      </w:r>
      <w:r>
        <w:rPr>
          <w:rFonts w:hint="eastAsia"/>
          <w:b/>
          <w:bCs/>
          <w:color w:val="auto"/>
        </w:rPr>
        <w:t xml:space="preserve"> 分</w:t>
      </w:r>
    </w:p>
    <w:p>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1.技术需求响应分</w:t>
      </w:r>
      <w:r>
        <w:rPr>
          <w:rFonts w:hint="eastAsia" w:ascii="宋体" w:hAnsi="宋体" w:eastAsia="宋体" w:cs="宋体"/>
          <w:b/>
          <w:bCs w:val="0"/>
          <w:color w:val="auto"/>
          <w:kern w:val="0"/>
          <w:sz w:val="21"/>
          <w:szCs w:val="21"/>
          <w:lang w:val="en-US" w:eastAsia="zh-CN" w:bidi="ar"/>
        </w:rPr>
        <w:t>（满分 5 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评委根据招标文件要求，对通过资格性和符合性审查进入详评的各投标人投标文件的“技术需求”响应情况进行独立评审，并按如下计分方式确定得分：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（1）技术参数完全满足招标文件要求，且所有技术参数无负偏离的，得 2 分；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（2）技术参数每有一项正偏离，得 1 分（需提供关于该项参数的有 CMA 认证的检测机构出具的检验报告复印件并加盖投标人公章），满分 3 分；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（3）技术参数有负偏离的，每有一项扣 1 分，扣完至技术需求响应分分值为 0 分为止。</w:t>
      </w:r>
    </w:p>
    <w:p>
      <w:pPr>
        <w:ind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2.样品分</w:t>
      </w:r>
      <w:r>
        <w:rPr>
          <w:rFonts w:hint="eastAsia" w:ascii="宋体" w:hAnsi="宋体" w:eastAsia="宋体" w:cs="宋体"/>
          <w:b/>
          <w:bCs/>
          <w:color w:val="auto"/>
          <w:kern w:val="0"/>
          <w:sz w:val="21"/>
          <w:szCs w:val="21"/>
          <w:lang w:val="en-US" w:eastAsia="zh-CN" w:bidi="ar"/>
        </w:rPr>
        <w:t>（满分 10 分）</w:t>
      </w:r>
    </w:p>
    <w:p>
      <w:pPr>
        <w:pStyle w:val="2"/>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这是原来的：由评标委员会在打分前根据货物采购需求中“主要技术参数及性能（配置）要求”的要求，对各投标 实物样品进行综合考虑，具体如下： </w:t>
      </w:r>
    </w:p>
    <w:p>
      <w:pPr>
        <w:pStyle w:val="2"/>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一档（0 分）：未提交投标样品、提交投标样品不全、提供样品不符合本次采购需求的。 </w:t>
      </w:r>
    </w:p>
    <w:p>
      <w:pPr>
        <w:pStyle w:val="2"/>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二档（4 分）：投标人提供的样品必须符合技术参数要求，且样品参数正偏离≥1 项≤2 项的。 </w:t>
      </w:r>
    </w:p>
    <w:p>
      <w:pPr>
        <w:pStyle w:val="2"/>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三档（8 分）：投标人提供的样品必须符合技术参数要求，且样品参数正偏离≥3项≤4 项的。 </w:t>
      </w:r>
    </w:p>
    <w:p>
      <w:pPr>
        <w:pStyle w:val="2"/>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四档（10 分）：投标人提供的样品必须符合技术参数要求，且样品参数正偏离&gt;4 项的。</w:t>
      </w:r>
    </w:p>
    <w:p>
      <w:pPr>
        <w:pStyle w:val="2"/>
        <w:keepNext w:val="0"/>
        <w:keepLines w:val="0"/>
        <w:pageBreakBefore w:val="0"/>
        <w:kinsoku/>
        <w:wordWrap/>
        <w:overflowPunct/>
        <w:topLinePunct w:val="0"/>
        <w:autoSpaceDE/>
        <w:autoSpaceDN/>
        <w:bidi w:val="0"/>
        <w:adjustRightInd/>
        <w:snapToGrid/>
        <w:ind w:firstLine="422" w:firstLineChars="200"/>
        <w:textAlignment w:val="auto"/>
        <w:rPr>
          <w:rFonts w:hint="eastAsia"/>
          <w:b/>
          <w:bCs/>
          <w:color w:val="auto"/>
          <w:sz w:val="21"/>
          <w:szCs w:val="21"/>
          <w:lang w:val="en-US" w:eastAsia="zh-CN"/>
        </w:rPr>
      </w:pPr>
      <w:r>
        <w:rPr>
          <w:rFonts w:hint="eastAsia"/>
          <w:b/>
          <w:bCs/>
          <w:color w:val="auto"/>
          <w:sz w:val="21"/>
          <w:szCs w:val="21"/>
          <w:lang w:val="en-US" w:eastAsia="zh-CN"/>
        </w:rPr>
        <w:t>注：本项中所提到的正偏离是指所提供样品材质的厚度以及钢管管壁厚度为正偏离，其余正偏离不认定为实质性正偏离，投标文件技术偏离表中承诺的技术参数应与所提供样品技术参数一致。</w:t>
      </w:r>
    </w:p>
    <w:p>
      <w:pPr>
        <w:ind w:firstLine="420" w:firstLineChars="200"/>
        <w:rPr>
          <w:rFonts w:hint="eastAsia" w:ascii="宋体" w:hAnsi="宋体" w:cs="宋体"/>
          <w:b/>
          <w:bCs/>
          <w:color w:val="auto"/>
          <w:lang w:eastAsia="zh-CN"/>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质量技术</w:t>
      </w:r>
      <w:r>
        <w:rPr>
          <w:rFonts w:hint="eastAsia" w:ascii="宋体" w:hAnsi="宋体" w:cs="宋体"/>
          <w:color w:val="auto"/>
          <w:kern w:val="0"/>
          <w:sz w:val="21"/>
          <w:szCs w:val="21"/>
          <w:lang w:val="en-US" w:eastAsia="zh-CN" w:bidi="ar"/>
        </w:rPr>
        <w:t>分</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满分 15 分</w:t>
      </w:r>
      <w:r>
        <w:rPr>
          <w:rFonts w:hint="eastAsia" w:ascii="宋体" w:hAnsi="宋体" w:cs="宋体"/>
          <w:b/>
          <w:bCs/>
          <w:color w:val="auto"/>
          <w:lang w:eastAsia="zh-CN"/>
        </w:rPr>
        <w:t>）</w:t>
      </w:r>
    </w:p>
    <w:p>
      <w:pPr>
        <w:ind w:firstLine="420" w:firstLineChars="200"/>
        <w:rPr>
          <w:rFonts w:hint="eastAsia" w:ascii="宋体" w:hAnsi="宋体" w:eastAsia="宋体" w:cs="宋体"/>
          <w:color w:val="auto"/>
        </w:rPr>
      </w:pPr>
      <w:r>
        <w:rPr>
          <w:rFonts w:hint="eastAsia" w:ascii="宋体" w:hAnsi="宋体" w:eastAsia="宋体" w:cs="宋体"/>
          <w:color w:val="auto"/>
        </w:rPr>
        <w:t>投标人提供自</w:t>
      </w:r>
      <w:r>
        <w:rPr>
          <w:rFonts w:hint="eastAsia" w:ascii="宋体" w:hAnsi="宋体" w:eastAsia="宋体" w:cs="宋体"/>
          <w:color w:val="auto"/>
          <w:lang w:val="en-US" w:eastAsia="zh-CN"/>
        </w:rPr>
        <w:t>2018</w:t>
      </w:r>
      <w:r>
        <w:rPr>
          <w:rFonts w:hint="eastAsia" w:ascii="宋体" w:hAnsi="宋体" w:eastAsia="宋体" w:cs="宋体"/>
          <w:color w:val="auto"/>
        </w:rPr>
        <w:t xml:space="preserve"> 年 1 月 1 日至开标截止时间前由第三方检测（验）机构出具的，符合参数要求的检测（验）报告，所提供的检测（验）报告必须是通过计量认证（CMA 标识）的机构出具的方为有效：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（1）铁床立柱管【检测(验)内容耐腐蚀≥420h。】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（2）铁床长横梁管【检测(验)内容耐腐蚀≥420h。】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（3）铁床档头横梁管【检测(验)内容耐腐蚀≥420h。】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（4）铁床档头竖管【检测(验)内容耐腐蚀≥420h。】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（5）铁床床桓管【检测(验)内容耐腐蚀≥420h。】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（6）铁床爬梯立柱管【检测(验)内容耐腐蚀≥420h。】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（7）铁床爬梯踏板【检测(验)内容耐腐蚀≥420h。】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（8）铁床挂件（卡式链接件）【检测(验)内容耐腐蚀≥420h。】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（9）铁床前护栏主管【检测(验)内容耐腐蚀≥420h。】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（10）铁床前护栏竖管【检测(验)内容耐腐蚀≥420h。】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（11）铁床蚊帐杆管【检测(验)内容耐腐蚀≥420h。】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（12）床底柜门板（冷轧钢板）【检测(验)内容耐腐蚀≥420h。】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（13）床底柜底框板（冷轧钢板）【检测(验)内容耐腐蚀≥420h。】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（14）床底柜侧板（冷轧钢板）【检测(验)内容耐腐蚀≥420h。】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（15）床底柜顶板（冷轧钢板）【检测(验)内容耐腐蚀≥420h。】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提供以上检测(验)报告的，其内容必需满足上述要求且符合国家相应标准，每提供一项检测(验)报告，得 1 分，满分 15 分。</w:t>
      </w:r>
    </w:p>
    <w:p>
      <w:pPr>
        <w:pStyle w:val="2"/>
        <w:keepNext w:val="0"/>
        <w:keepLines w:val="0"/>
        <w:pageBreakBefore w:val="0"/>
        <w:kinsoku/>
        <w:wordWrap/>
        <w:overflowPunct/>
        <w:topLinePunct w:val="0"/>
        <w:autoSpaceDE/>
        <w:autoSpaceDN/>
        <w:bidi w:val="0"/>
        <w:adjustRightInd/>
        <w:snapToGrid/>
        <w:ind w:firstLine="422" w:firstLineChars="200"/>
        <w:textAlignment w:val="auto"/>
        <w:rPr>
          <w:rFonts w:hint="eastAsia"/>
          <w:b/>
          <w:bCs/>
          <w:color w:val="auto"/>
          <w:lang w:val="en-US" w:eastAsia="zh-CN"/>
        </w:rPr>
      </w:pPr>
      <w:r>
        <w:rPr>
          <w:rFonts w:hint="eastAsia" w:ascii="宋体" w:hAnsi="宋体" w:eastAsia="宋体" w:cs="宋体"/>
          <w:b/>
          <w:bCs/>
          <w:color w:val="auto"/>
          <w:sz w:val="21"/>
          <w:szCs w:val="21"/>
        </w:rPr>
        <w:t>（注：要求加盖投标人公章，检测（验）产品内容必须与招标文件中承诺的相关参数内容一致或优于，投标时出具，具有 CMA 标识的检测（验）报告复印件，其应与原件一致，履约时提供原件核查，如有弄虚作假，取消履约资格）投标人所提供的检测（验）产品的委托单位（送检人）必须是投标产品的生产厂商或投标人，否则对应项不得分。检测（验）报告必须复印清晰且完整、有效，检测(验) 报告上应有查询真伪途径。</w:t>
      </w: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cs="宋体"/>
          <w:b/>
          <w:bCs/>
          <w:color w:val="auto"/>
          <w:sz w:val="21"/>
          <w:szCs w:val="21"/>
          <w:lang w:eastAsia="zh-CN"/>
        </w:rPr>
        <w:t>履约能力分</w:t>
      </w:r>
      <w:r>
        <w:rPr>
          <w:rFonts w:hint="eastAsia" w:ascii="宋体" w:hAnsi="宋体" w:eastAsia="宋体" w:cs="宋体"/>
          <w:b/>
          <w:bCs/>
          <w:color w:val="auto"/>
          <w:sz w:val="21"/>
          <w:szCs w:val="21"/>
        </w:rPr>
        <w:t xml:space="preserve">..................................................................满分 </w:t>
      </w:r>
      <w:r>
        <w:rPr>
          <w:rFonts w:hint="eastAsia" w:ascii="宋体" w:hAnsi="宋体" w:cs="宋体"/>
          <w:b/>
          <w:bCs/>
          <w:color w:val="auto"/>
          <w:sz w:val="21"/>
          <w:szCs w:val="21"/>
          <w:lang w:val="en-US" w:eastAsia="zh-CN"/>
        </w:rPr>
        <w:t>11</w:t>
      </w:r>
      <w:r>
        <w:rPr>
          <w:rFonts w:hint="eastAsia" w:ascii="宋体" w:hAnsi="宋体" w:eastAsia="宋体" w:cs="宋体"/>
          <w:b/>
          <w:bCs/>
          <w:color w:val="auto"/>
          <w:sz w:val="21"/>
          <w:szCs w:val="21"/>
        </w:rPr>
        <w:t xml:space="preserve"> 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color w:val="auto"/>
        </w:rPr>
      </w:pPr>
      <w:r>
        <w:rPr>
          <w:rFonts w:hint="eastAsia" w:ascii="宋体" w:hAnsi="宋体" w:cs="宋体"/>
          <w:b w:val="0"/>
          <w:bCs w:val="0"/>
          <w:color w:val="auto"/>
          <w:lang w:val="en-US" w:eastAsia="zh-CN"/>
        </w:rPr>
        <w:t>1.</w:t>
      </w:r>
      <w:r>
        <w:rPr>
          <w:rFonts w:hint="eastAsia" w:ascii="宋体" w:hAnsi="宋体" w:eastAsia="宋体" w:cs="宋体"/>
          <w:b w:val="0"/>
          <w:bCs w:val="0"/>
          <w:color w:val="auto"/>
        </w:rPr>
        <w:t>项目配送、安装方案分</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 xml:space="preserve">满分 </w:t>
      </w:r>
      <w:r>
        <w:rPr>
          <w:rFonts w:hint="eastAsia" w:ascii="宋体" w:hAnsi="宋体" w:cs="宋体"/>
          <w:b/>
          <w:bCs/>
          <w:color w:val="auto"/>
          <w:kern w:val="0"/>
          <w:sz w:val="21"/>
          <w:szCs w:val="21"/>
          <w:lang w:val="en-US" w:eastAsia="zh-CN" w:bidi="ar"/>
        </w:rPr>
        <w:t>6</w:t>
      </w:r>
      <w:r>
        <w:rPr>
          <w:rFonts w:hint="eastAsia" w:ascii="宋体" w:hAnsi="宋体" w:eastAsia="宋体" w:cs="宋体"/>
          <w:b/>
          <w:bCs/>
          <w:color w:val="auto"/>
          <w:kern w:val="0"/>
          <w:sz w:val="21"/>
          <w:szCs w:val="21"/>
          <w:lang w:val="en-US" w:eastAsia="zh-CN" w:bidi="ar"/>
        </w:rPr>
        <w:t xml:space="preserve"> 分</w:t>
      </w:r>
      <w:r>
        <w:rPr>
          <w:rFonts w:hint="eastAsia" w:ascii="宋体" w:hAnsi="宋体" w:cs="宋体"/>
          <w:b/>
          <w:bCs/>
          <w:color w:val="auto"/>
          <w:lang w:eastAsia="zh-CN"/>
        </w:rP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由评委在打分前根据投标文件项目实施方案中项目进度、人力资源安排、项目管理、技术保障、措施、风险防范及应对措施、技术培训的服务内容和措施等等方面，</w:t>
      </w:r>
      <w:r>
        <w:rPr>
          <w:rFonts w:hint="eastAsia" w:ascii="宋体" w:hAnsi="宋体" w:eastAsia="宋体" w:cs="宋体"/>
          <w:color w:val="auto"/>
          <w:kern w:val="0"/>
          <w:sz w:val="21"/>
          <w:szCs w:val="21"/>
          <w:lang w:bidi="ar"/>
        </w:rPr>
        <w:t>由评委确定各投标人所属档次并独立打分</w:t>
      </w:r>
      <w:r>
        <w:rPr>
          <w:rFonts w:hint="eastAsia" w:ascii="宋体" w:hAnsi="宋体" w:eastAsia="宋体" w:cs="宋体"/>
          <w:color w:val="auto"/>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一档（0 分）：未提供项目配送、安装方案的。 </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二档（0.1 - 2 分）：对项目理解一般，配送、安装方案针对性不强，有项目执行组织措施、项目执行保障措施，有实施组织方案，保证项目正常实施。 </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三档（2.1 - 4分）：对项目理解清晰、准确，配送、安装方案详细合理，组织机构健全，项目执行保障措施完整，方案资料齐全、完善，保证项目正常实施。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四档（4.1 -6 分）：对项目理解清晰、准确，配送、安装方案详细合理、有针对性，组织机构健全、完善，项目执行保障措施清晰、合理，方案资料齐全、完善，具有针对性，保证项目正常实施。</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b/>
          <w:bCs/>
          <w:color w:val="auto"/>
          <w:sz w:val="21"/>
          <w:szCs w:val="21"/>
          <w:lang w:val="en-US" w:eastAsia="zh-CN"/>
        </w:rPr>
      </w:pPr>
      <w:r>
        <w:rPr>
          <w:rFonts w:hint="eastAsia"/>
          <w:color w:val="auto"/>
          <w:sz w:val="21"/>
          <w:szCs w:val="21"/>
          <w:lang w:val="en-US" w:eastAsia="zh-CN"/>
        </w:rPr>
        <w:t>2.</w:t>
      </w:r>
      <w:r>
        <w:rPr>
          <w:rFonts w:hint="eastAsia"/>
          <w:color w:val="auto"/>
          <w:sz w:val="21"/>
          <w:szCs w:val="21"/>
          <w:lang w:eastAsia="zh-CN"/>
        </w:rPr>
        <w:t>信誉分</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 xml:space="preserve">满分 </w:t>
      </w:r>
      <w:r>
        <w:rPr>
          <w:rFonts w:hint="eastAsia" w:ascii="宋体" w:hAnsi="宋体" w:cs="宋体"/>
          <w:b/>
          <w:bCs/>
          <w:color w:val="auto"/>
          <w:kern w:val="0"/>
          <w:sz w:val="21"/>
          <w:szCs w:val="21"/>
          <w:lang w:val="en-US" w:eastAsia="zh-CN" w:bidi="ar"/>
        </w:rPr>
        <w:t>4</w:t>
      </w:r>
      <w:r>
        <w:rPr>
          <w:rFonts w:hint="eastAsia" w:ascii="宋体" w:hAnsi="宋体" w:eastAsia="宋体" w:cs="宋体"/>
          <w:b/>
          <w:bCs/>
          <w:color w:val="auto"/>
          <w:kern w:val="0"/>
          <w:sz w:val="21"/>
          <w:szCs w:val="21"/>
          <w:lang w:val="en-US" w:eastAsia="zh-CN" w:bidi="ar"/>
        </w:rPr>
        <w:t xml:space="preserve"> 分</w:t>
      </w:r>
      <w:r>
        <w:rPr>
          <w:rFonts w:hint="eastAsia" w:ascii="宋体" w:hAnsi="宋体" w:cs="宋体"/>
          <w:b/>
          <w:bCs/>
          <w:color w:val="auto"/>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（1）投标单位（或产品生产厂家）通过 ISO14001 环境管理体系认证、ISO9001 质量管理体系认证、OHSAS18001 职业健康安全体系认证【投标文件中提供有效期内认证证书复印件，其应与原件一致，履约时提供原件核查，如有弄虚作假，取消履约资格】，每提供 1 项得 1 分，本项最多得 3 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）投标单位（或产品生产厂家）获得符合 GB/T31950-2015 《企业诚信管理体系》要求的诚信管理体系认证证书得</w:t>
      </w:r>
      <w:r>
        <w:rPr>
          <w:rFonts w:hint="eastAsia" w:ascii="宋体" w:hAnsi="宋体" w:eastAsia="宋体" w:cs="宋体"/>
          <w:color w:val="auto"/>
          <w:sz w:val="21"/>
          <w:szCs w:val="21"/>
          <w:lang w:val="en-US" w:eastAsia="zh-CN"/>
        </w:rPr>
        <w:t>1分。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【投标文件中提供有效期内认证证书复印件，其应与原件一致，履约时提供原件核查，如有弄虚作假，取消履约资格】；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业绩</w:t>
      </w:r>
      <w:r>
        <w:rPr>
          <w:rFonts w:hint="eastAsia" w:ascii="宋体" w:hAnsi="宋体" w:eastAsia="宋体" w:cs="宋体"/>
          <w:color w:val="auto"/>
          <w:sz w:val="21"/>
          <w:szCs w:val="21"/>
        </w:rPr>
        <w:t>分</w:t>
      </w:r>
      <w:r>
        <w:rPr>
          <w:rFonts w:hint="eastAsia" w:ascii="宋体" w:hAnsi="宋体" w:cs="宋体"/>
          <w:b/>
          <w:bCs/>
          <w:color w:val="auto"/>
          <w:sz w:val="21"/>
          <w:szCs w:val="21"/>
          <w:lang w:eastAsia="zh-CN"/>
        </w:rPr>
        <w:t>（满分</w:t>
      </w:r>
      <w:r>
        <w:rPr>
          <w:rFonts w:hint="eastAsia" w:ascii="宋体" w:hAnsi="宋体" w:cs="宋体"/>
          <w:b/>
          <w:bCs/>
          <w:color w:val="auto"/>
          <w:sz w:val="21"/>
          <w:szCs w:val="21"/>
          <w:lang w:val="en-US" w:eastAsia="zh-CN"/>
        </w:rPr>
        <w:t>1分）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投标人自 2017 年 1 月 1 日以来具有同类产品（金属床、金属柜）的销售业绩 [无不良记录，以中标（成交）通知书和采购合同复印件为准（能清晰反映所销售的货物名称、种类、金额)，否则将不予评审；同一个编号的项目有两个或两个以上的分标中标的只算一次]，每提供一项得0.5分，最多</w:t>
      </w:r>
      <w:r>
        <w:rPr>
          <w:rFonts w:hint="eastAsia" w:ascii="宋体" w:hAnsi="宋体" w:eastAsia="宋体" w:cs="宋体"/>
          <w:color w:val="auto"/>
        </w:rPr>
        <w:t>得</w:t>
      </w:r>
      <w:r>
        <w:rPr>
          <w:rFonts w:hint="eastAsia" w:ascii="宋体" w:hAnsi="宋体" w:eastAsia="宋体" w:cs="宋体"/>
          <w:color w:val="auto"/>
          <w:lang w:val="en-US" w:eastAsia="zh-CN"/>
        </w:rPr>
        <w:t>1</w:t>
      </w:r>
      <w:r>
        <w:rPr>
          <w:rFonts w:hint="eastAsia" w:ascii="宋体" w:hAnsi="宋体" w:eastAsia="宋体" w:cs="宋体"/>
          <w:color w:val="auto"/>
        </w:rPr>
        <w:t>分。</w:t>
      </w:r>
    </w:p>
    <w:p>
      <w:pPr>
        <w:ind w:firstLine="422" w:firstLineChars="200"/>
        <w:rPr>
          <w:rFonts w:hint="eastAsia" w:ascii="宋体" w:hAnsi="宋体" w:eastAsia="宋体" w:cs="宋体"/>
          <w:color w:val="auto"/>
        </w:rPr>
      </w:pPr>
      <w:r>
        <w:rPr>
          <w:rFonts w:hint="eastAsia" w:ascii="宋体" w:hAnsi="宋体" w:cs="宋体"/>
          <w:b/>
          <w:bCs/>
          <w:color w:val="auto"/>
          <w:lang w:val="en-US" w:eastAsia="zh-CN"/>
        </w:rPr>
        <w:t>4</w:t>
      </w:r>
      <w:r>
        <w:rPr>
          <w:rFonts w:hint="eastAsia" w:ascii="宋体" w:hAnsi="宋体" w:eastAsia="宋体" w:cs="宋体"/>
          <w:b/>
          <w:bCs/>
          <w:color w:val="auto"/>
        </w:rPr>
        <w:t>、售后服务分...................................................................满分</w:t>
      </w:r>
      <w:r>
        <w:rPr>
          <w:rFonts w:hint="eastAsia" w:ascii="宋体" w:hAnsi="宋体" w:eastAsia="宋体" w:cs="宋体"/>
          <w:b/>
          <w:bCs/>
          <w:color w:val="auto"/>
          <w:lang w:val="en-US" w:eastAsia="zh-CN"/>
        </w:rPr>
        <w:t>6</w:t>
      </w:r>
      <w:r>
        <w:rPr>
          <w:rFonts w:hint="eastAsia" w:ascii="宋体" w:hAnsi="宋体" w:eastAsia="宋体" w:cs="宋体"/>
          <w:b/>
          <w:bCs/>
          <w:color w:val="auto"/>
        </w:rPr>
        <w:t>分</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bidi="ar"/>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满分</w:t>
      </w:r>
      <w:r>
        <w:rPr>
          <w:rFonts w:hint="eastAsia" w:ascii="宋体" w:hAnsi="宋体" w:cs="宋体"/>
          <w:b/>
          <w:bCs/>
          <w:color w:val="auto"/>
          <w:kern w:val="0"/>
          <w:sz w:val="21"/>
          <w:szCs w:val="21"/>
          <w:lang w:val="en-US" w:eastAsia="zh-CN" w:bidi="ar"/>
        </w:rPr>
        <w:t>4</w:t>
      </w:r>
      <w:r>
        <w:rPr>
          <w:rFonts w:hint="eastAsia" w:ascii="宋体" w:hAnsi="宋体" w:eastAsia="宋体" w:cs="宋体"/>
          <w:b/>
          <w:bCs/>
          <w:color w:val="auto"/>
          <w:kern w:val="0"/>
          <w:sz w:val="21"/>
          <w:szCs w:val="21"/>
          <w:lang w:val="en-US" w:eastAsia="zh-CN" w:bidi="ar"/>
        </w:rPr>
        <w:t>分</w:t>
      </w:r>
      <w:r>
        <w:rPr>
          <w:rFonts w:hint="eastAsia" w:ascii="宋体" w:hAnsi="宋体" w:cs="宋体"/>
          <w:b/>
          <w:bCs/>
          <w:color w:val="auto"/>
          <w:lang w:eastAsia="zh-CN"/>
        </w:rP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一档（</w:t>
      </w:r>
      <w:r>
        <w:rPr>
          <w:rFonts w:hint="eastAsia" w:ascii="宋体" w:hAnsi="宋体" w:eastAsia="宋体" w:cs="宋体"/>
          <w:color w:val="auto"/>
          <w:kern w:val="0"/>
          <w:sz w:val="21"/>
          <w:szCs w:val="21"/>
          <w:lang w:val="en-US" w:eastAsia="zh-CN" w:bidi="ar"/>
        </w:rPr>
        <w:t>0.1-1</w:t>
      </w:r>
      <w:r>
        <w:rPr>
          <w:rFonts w:hint="eastAsia" w:ascii="宋体" w:hAnsi="宋体" w:eastAsia="宋体" w:cs="宋体"/>
          <w:color w:val="auto"/>
          <w:kern w:val="0"/>
          <w:sz w:val="21"/>
          <w:szCs w:val="21"/>
          <w:lang w:bidi="ar"/>
        </w:rPr>
        <w:t xml:space="preserve">分）：售后服务方案满足招标文件要求。 </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二档（</w:t>
      </w:r>
      <w:r>
        <w:rPr>
          <w:rFonts w:hint="eastAsia" w:ascii="宋体" w:hAnsi="宋体" w:eastAsia="宋体" w:cs="宋体"/>
          <w:color w:val="auto"/>
          <w:kern w:val="0"/>
          <w:sz w:val="21"/>
          <w:szCs w:val="21"/>
          <w:lang w:val="en-US" w:eastAsia="zh-CN" w:bidi="ar"/>
        </w:rPr>
        <w:t>1.1</w:t>
      </w:r>
      <w:r>
        <w:rPr>
          <w:rFonts w:hint="eastAsia" w:ascii="宋体" w:hAnsi="宋体" w:eastAsia="宋体" w:cs="宋体"/>
          <w:color w:val="auto"/>
          <w:kern w:val="0"/>
          <w:sz w:val="21"/>
          <w:szCs w:val="21"/>
          <w:lang w:bidi="ar"/>
        </w:rPr>
        <w:t xml:space="preserve"> - </w:t>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 xml:space="preserve"> 分）：满足招标文件售后服务要求的同时，售后服务方案内完整、可行，故障响 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三档（</w:t>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1 -</w:t>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 xml:space="preserve"> 分）：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 承诺的能力以及承诺内容的真实性的，视做无效承诺则不予计分)。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承诺接到采购人故障报修后，能在 1.5 小时内到达项目现场的得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需提供相关有效证明材料：可以是投标人营业执照副本或服务网点房屋租赁合同等证明材料复印件，以及百度、高德等地图（包括但不限于）中路线截图，并注明投标人服务网点详细地址、联系人及联系电话等相关信息）。</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满分</w:t>
      </w:r>
      <w:r>
        <w:rPr>
          <w:rFonts w:hint="eastAsia" w:ascii="宋体" w:hAnsi="宋体" w:cs="宋体"/>
          <w:b/>
          <w:bCs/>
          <w:color w:val="auto"/>
          <w:kern w:val="0"/>
          <w:sz w:val="21"/>
          <w:szCs w:val="21"/>
          <w:lang w:val="en-US" w:eastAsia="zh-CN" w:bidi="ar"/>
        </w:rPr>
        <w:t>1</w:t>
      </w:r>
      <w:r>
        <w:rPr>
          <w:rFonts w:hint="eastAsia" w:ascii="宋体" w:hAnsi="宋体" w:eastAsia="宋体" w:cs="宋体"/>
          <w:b/>
          <w:bCs/>
          <w:color w:val="auto"/>
          <w:kern w:val="0"/>
          <w:sz w:val="21"/>
          <w:szCs w:val="21"/>
          <w:lang w:val="en-US" w:eastAsia="zh-CN" w:bidi="ar"/>
        </w:rPr>
        <w:t>分</w:t>
      </w:r>
      <w:r>
        <w:rPr>
          <w:rFonts w:hint="eastAsia" w:ascii="宋体" w:hAnsi="宋体" w:cs="宋体"/>
          <w:b/>
          <w:bCs/>
          <w:color w:val="auto"/>
          <w:lang w:eastAsia="zh-CN"/>
        </w:rPr>
        <w:t>）</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承诺更长保修期：在满足基本免费保修</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年期基础上，免费保修期每延长一年得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 xml:space="preserve">分，最多得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满分 1 分</w:t>
      </w:r>
      <w:r>
        <w:rPr>
          <w:rFonts w:hint="eastAsia" w:ascii="宋体" w:hAnsi="宋体" w:cs="宋体"/>
          <w:b/>
          <w:bCs/>
          <w:color w:val="auto"/>
          <w:lang w:eastAsia="zh-CN"/>
        </w:rPr>
        <w:t>）</w:t>
      </w:r>
    </w:p>
    <w:p>
      <w:pPr>
        <w:ind w:firstLine="422" w:firstLineChars="200"/>
        <w:rPr>
          <w:rFonts w:hint="eastAsia" w:ascii="宋体" w:hAnsi="宋体" w:eastAsia="宋体" w:cs="宋体"/>
          <w:b/>
          <w:bCs/>
          <w:color w:val="auto"/>
        </w:rPr>
      </w:pPr>
      <w:r>
        <w:rPr>
          <w:rFonts w:hint="eastAsia" w:ascii="宋体" w:hAnsi="宋体" w:cs="宋体"/>
          <w:b/>
          <w:bCs/>
          <w:color w:val="auto"/>
          <w:lang w:val="en-US" w:eastAsia="zh-CN"/>
        </w:rPr>
        <w:t>5</w:t>
      </w:r>
      <w:r>
        <w:rPr>
          <w:rFonts w:hint="eastAsia" w:ascii="宋体" w:hAnsi="宋体" w:eastAsia="宋体" w:cs="宋体"/>
          <w:b/>
          <w:bCs/>
          <w:color w:val="auto"/>
        </w:rPr>
        <w:t>.政策功能分（节能、环保、广西区内产............................................满分 3 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应优先采购财政部现行《节能产品政府采购清单》目录内（政府强制采购节能产品除外）的产品（提供有效证明复印件）。得 1 分</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满分</w:t>
      </w:r>
      <w:r>
        <w:rPr>
          <w:rFonts w:hint="eastAsia" w:ascii="宋体" w:hAnsi="宋体" w:cs="宋体"/>
          <w:b/>
          <w:bCs/>
          <w:color w:val="auto"/>
          <w:kern w:val="0"/>
          <w:sz w:val="21"/>
          <w:szCs w:val="21"/>
          <w:lang w:val="en-US" w:eastAsia="zh-CN" w:bidi="ar"/>
        </w:rPr>
        <w:t xml:space="preserve"> 1 </w:t>
      </w:r>
      <w:r>
        <w:rPr>
          <w:rFonts w:hint="eastAsia" w:ascii="宋体" w:hAnsi="宋体" w:eastAsia="宋体" w:cs="宋体"/>
          <w:b/>
          <w:bCs/>
          <w:color w:val="auto"/>
          <w:kern w:val="0"/>
          <w:sz w:val="21"/>
          <w:szCs w:val="21"/>
          <w:lang w:val="en-US" w:eastAsia="zh-CN" w:bidi="ar"/>
        </w:rPr>
        <w:t>分</w:t>
      </w:r>
      <w:r>
        <w:rPr>
          <w:rFonts w:hint="eastAsia" w:ascii="宋体" w:hAnsi="宋体" w:cs="宋体"/>
          <w:b/>
          <w:bCs/>
          <w:color w:val="auto"/>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应优先采购财政部现行《环境标志产品政府采购清单》目录内的产品（提供有效证明复印件）。 得 1 分</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满分 1 分</w:t>
      </w:r>
      <w:r>
        <w:rPr>
          <w:rFonts w:hint="eastAsia" w:ascii="宋体" w:hAnsi="宋体" w:cs="宋体"/>
          <w:b/>
          <w:bCs/>
          <w:color w:val="auto"/>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对使用广西工业产品（指在广西境内生产的工业产品）的金额占本项目（分标）总金额 80%以上（含）的（以提供生产企业的工商营业执照复印件为准），得 1 分。</w:t>
      </w:r>
      <w:r>
        <w:rPr>
          <w:rFonts w:hint="eastAsia" w:ascii="宋体" w:hAnsi="宋体" w:cs="宋体"/>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满分 1 分</w:t>
      </w:r>
      <w:r>
        <w:rPr>
          <w:rFonts w:hint="eastAsia" w:ascii="宋体" w:hAnsi="宋体" w:cs="宋体"/>
          <w:b/>
          <w:bCs/>
          <w:color w:val="auto"/>
          <w:lang w:eastAsia="zh-CN"/>
        </w:rPr>
        <w:t>）</w:t>
      </w:r>
    </w:p>
    <w:p>
      <w:pPr>
        <w:rPr>
          <w:rFonts w:hint="eastAsia" w:ascii="宋体" w:hAnsi="宋体" w:eastAsia="宋体" w:cs="宋体"/>
          <w:b/>
          <w:bCs/>
          <w:color w:val="auto"/>
        </w:rPr>
      </w:pPr>
      <w:r>
        <w:rPr>
          <w:rFonts w:hint="eastAsia" w:ascii="宋体" w:hAnsi="宋体" w:eastAsia="宋体" w:cs="宋体"/>
          <w:b/>
          <w:bCs/>
          <w:color w:val="auto"/>
        </w:rPr>
        <w:t>备注：根据《广西壮族自治区人民政府办公厅关于印发招标采购促进广西工业产品产销对接实施细则的通知》（桂政办发【2015】78 号）的规定，“广西工业产品”是指广西境内生产的工业产品，具体以生产企业的工商营业执照注册所在地为准。“使用广西工业产品 80%以上”是指参加政府采购项目或招标项目时供货范围中采用广西工业产品的金额占本次招标总金额的 80%以上</w:t>
      </w:r>
    </w:p>
    <w:p>
      <w:pPr>
        <w:ind w:firstLine="422" w:firstLineChars="200"/>
        <w:rPr>
          <w:rFonts w:hint="eastAsia" w:ascii="宋体" w:hAnsi="宋体" w:eastAsia="宋体" w:cs="宋体"/>
          <w:b/>
          <w:bCs/>
          <w:color w:val="auto"/>
        </w:rPr>
      </w:pPr>
      <w:r>
        <w:rPr>
          <w:rFonts w:hint="eastAsia" w:ascii="宋体" w:hAnsi="宋体" w:cs="宋体"/>
          <w:b/>
          <w:bCs/>
          <w:color w:val="auto"/>
          <w:lang w:val="en-US" w:eastAsia="zh-CN"/>
        </w:rPr>
        <w:t>6</w:t>
      </w:r>
      <w:r>
        <w:rPr>
          <w:rFonts w:hint="eastAsia" w:ascii="宋体" w:hAnsi="宋体" w:eastAsia="宋体" w:cs="宋体"/>
          <w:b/>
          <w:bCs/>
          <w:color w:val="auto"/>
        </w:rPr>
        <w:t>、综合得分＝1+2+3+4+5</w:t>
      </w:r>
    </w:p>
    <w:p>
      <w:pPr>
        <w:ind w:firstLine="422" w:firstLineChars="200"/>
        <w:rPr>
          <w:rFonts w:hint="eastAsia" w:ascii="宋体" w:hAnsi="宋体" w:eastAsia="宋体" w:cs="宋体"/>
          <w:b/>
          <w:bCs/>
          <w:color w:val="auto"/>
        </w:rPr>
      </w:pPr>
      <w:r>
        <w:rPr>
          <w:rFonts w:hint="eastAsia" w:ascii="宋体" w:hAnsi="宋体" w:eastAsia="宋体" w:cs="宋体"/>
          <w:b/>
          <w:bCs/>
          <w:color w:val="auto"/>
        </w:rPr>
        <w:t>三、推荐及确定中标候选供应商原则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（1）评标委员会根据综合得分由高到低排列次序，若得分相同时，按评标价由低到高顺序排列；得分相同且评标价也相同的由评标委员会按照抽签的方式决定排次次序。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（2）评标委员会可推荐前三名为中标候选人，采购人应当确定评标委员会推荐排名第一的中标候选人为中标人。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rPr>
      </w:pPr>
      <w:r>
        <w:rPr>
          <w:rFonts w:hint="eastAsia" w:ascii="宋体" w:hAnsi="宋体" w:eastAsia="宋体" w:cs="宋体"/>
          <w:color w:val="auto"/>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ind w:firstLine="422" w:firstLineChars="200"/>
        <w:rPr>
          <w:rFonts w:hint="eastAsia" w:ascii="宋体" w:hAnsi="宋体" w:eastAsia="宋体" w:cs="宋体"/>
          <w:b/>
          <w:bCs/>
          <w:color w:val="auto"/>
        </w:rPr>
      </w:pPr>
      <w:r>
        <w:rPr>
          <w:rFonts w:hint="eastAsia" w:ascii="宋体" w:hAnsi="宋体" w:eastAsia="宋体" w:cs="宋体"/>
          <w:b/>
          <w:bCs/>
          <w:color w:val="auto"/>
        </w:rPr>
        <w:t>四、特别说明</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color w:val="auto"/>
        </w:rPr>
      </w:pPr>
      <w:r>
        <w:rPr>
          <w:rFonts w:hint="eastAsia" w:ascii="宋体" w:hAnsi="宋体" w:eastAsia="宋体" w:cs="宋体"/>
          <w:b/>
          <w:bCs/>
          <w:color w:val="auto"/>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pacing w:line="390" w:lineRule="exact"/>
        <w:ind w:firstLine="422" w:firstLineChars="200"/>
        <w:contextualSpacing/>
        <w:rPr>
          <w:rFonts w:hint="eastAsia" w:ascii="宋体" w:hAnsi="宋体" w:eastAsia="宋体" w:cs="宋体"/>
          <w:b/>
          <w:bCs/>
          <w:color w:val="auto"/>
          <w:szCs w:val="20"/>
          <w:lang w:eastAsia="zh-CN"/>
        </w:rPr>
      </w:pPr>
      <w:r>
        <w:rPr>
          <w:rFonts w:hint="eastAsia" w:ascii="宋体" w:hAnsi="宋体" w:eastAsia="宋体" w:cs="宋体"/>
          <w:b/>
          <w:bCs/>
          <w:color w:val="auto"/>
          <w:szCs w:val="20"/>
        </w:rPr>
        <w:br w:type="page"/>
      </w:r>
      <w:bookmarkEnd w:id="153"/>
      <w:r>
        <w:rPr>
          <w:rFonts w:hint="eastAsia"/>
          <w:b/>
          <w:bCs/>
          <w:color w:val="auto"/>
          <w:lang w:eastAsia="zh-CN"/>
        </w:rPr>
        <w:t>附表</w:t>
      </w:r>
    </w:p>
    <w:p>
      <w:pPr>
        <w:widowControl/>
        <w:spacing w:before="156" w:beforeLines="50" w:after="156" w:afterLines="50" w:line="400" w:lineRule="exact"/>
        <w:jc w:val="center"/>
        <w:rPr>
          <w:rFonts w:hint="eastAsia" w:ascii="宋体" w:hAnsi="宋体" w:eastAsia="宋体" w:cs="宋体"/>
          <w:b/>
          <w:bCs/>
          <w:color w:val="auto"/>
          <w:kern w:val="0"/>
          <w:sz w:val="30"/>
          <w:szCs w:val="30"/>
        </w:rPr>
      </w:pPr>
      <w:bookmarkStart w:id="154" w:name="_Toc28361_WPSOffice_Level2"/>
      <w:r>
        <w:rPr>
          <w:rFonts w:hint="eastAsia" w:ascii="宋体" w:hAnsi="宋体" w:eastAsia="宋体" w:cs="宋体"/>
          <w:b/>
          <w:bCs/>
          <w:color w:val="auto"/>
          <w:kern w:val="0"/>
          <w:sz w:val="30"/>
          <w:szCs w:val="30"/>
        </w:rPr>
        <w:t>统计上大中小微型企业划分标准</w:t>
      </w:r>
      <w:bookmarkEnd w:id="154"/>
    </w:p>
    <w:tbl>
      <w:tblPr>
        <w:tblStyle w:val="26"/>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计量</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单位</w:t>
            </w:r>
          </w:p>
        </w:tc>
        <w:tc>
          <w:tcPr>
            <w:tcW w:w="1125"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spacing w:val="-12"/>
                <w:kern w:val="0"/>
                <w:sz w:val="18"/>
                <w:szCs w:val="18"/>
              </w:rPr>
            </w:pP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2000≤Z＜5000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widowControl/>
        <w:spacing w:line="540" w:lineRule="exact"/>
        <w:rPr>
          <w:rFonts w:hint="eastAsia" w:ascii="宋体" w:hAnsi="宋体" w:eastAsia="宋体" w:cs="宋体"/>
          <w:color w:val="auto"/>
          <w:spacing w:val="8"/>
          <w:kern w:val="0"/>
          <w:sz w:val="24"/>
        </w:rPr>
      </w:pPr>
    </w:p>
    <w:p>
      <w:pPr>
        <w:widowControl/>
        <w:spacing w:line="540" w:lineRule="exact"/>
        <w:rPr>
          <w:rFonts w:hint="eastAsia" w:ascii="宋体" w:hAnsi="宋体" w:eastAsia="宋体" w:cs="宋体"/>
          <w:color w:val="auto"/>
          <w:spacing w:val="8"/>
          <w:kern w:val="0"/>
          <w:sz w:val="24"/>
        </w:rPr>
      </w:pPr>
      <w:r>
        <w:rPr>
          <w:rFonts w:hint="eastAsia" w:ascii="宋体" w:hAnsi="宋体" w:eastAsia="宋体" w:cs="宋体"/>
          <w:color w:val="auto"/>
          <w:spacing w:val="8"/>
          <w:kern w:val="0"/>
          <w:sz w:val="24"/>
        </w:rPr>
        <w:t>说明：</w:t>
      </w:r>
    </w:p>
    <w:p>
      <w:pPr>
        <w:pStyle w:val="15"/>
        <w:adjustRightInd w:val="0"/>
        <w:spacing w:line="380" w:lineRule="exact"/>
        <w:ind w:firstLine="512" w:firstLineChars="200"/>
        <w:contextualSpacing/>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1.大型、中型和小型企业须同时满足所列指标的下限，否则下划一档；微型企业只须满足所列指标中的一项即可。</w:t>
      </w:r>
    </w:p>
    <w:p>
      <w:pPr>
        <w:pStyle w:val="15"/>
        <w:adjustRightInd w:val="0"/>
        <w:spacing w:line="380" w:lineRule="exact"/>
        <w:ind w:firstLine="512" w:firstLineChars="200"/>
        <w:contextualSpacing/>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512" w:firstLineChars="200"/>
        <w:contextualSpacing/>
        <w:rPr>
          <w:rFonts w:hint="eastAsia" w:ascii="宋体" w:hAnsi="宋体" w:eastAsia="宋体" w:cs="宋体"/>
          <w:bCs/>
          <w:color w:val="auto"/>
        </w:rPr>
      </w:pPr>
      <w:r>
        <w:rPr>
          <w:rFonts w:hint="eastAsia" w:ascii="宋体" w:hAnsi="宋体" w:eastAsia="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155" w:name="_Toc14595"/>
      <w:bookmarkStart w:id="156" w:name="_Toc16361"/>
      <w:r>
        <w:rPr>
          <w:rFonts w:hint="eastAsia" w:ascii="宋体" w:hAnsi="宋体" w:eastAsia="宋体" w:cs="宋体"/>
          <w:b/>
          <w:bCs/>
          <w:color w:val="auto"/>
          <w:kern w:val="44"/>
          <w:sz w:val="32"/>
          <w:szCs w:val="32"/>
          <w:lang w:val="en-US" w:eastAsia="zh-CN" w:bidi="ar-SA"/>
        </w:rPr>
        <w:t>第五章  采购合同（合同主要条款及格式）</w:t>
      </w:r>
      <w:bookmarkEnd w:id="155"/>
      <w:bookmarkEnd w:id="156"/>
    </w:p>
    <w:p>
      <w:pPr>
        <w:rPr>
          <w:rFonts w:hint="eastAsia" w:ascii="宋体" w:hAnsi="宋体" w:cs="宋体"/>
          <w:color w:val="auto"/>
          <w:lang w:eastAsia="zh-CN"/>
        </w:rPr>
      </w:pPr>
    </w:p>
    <w:p>
      <w:pPr>
        <w:rPr>
          <w:rFonts w:hint="eastAsia" w:ascii="宋体" w:hAnsi="宋体" w:eastAsia="宋体" w:cs="宋体"/>
          <w:color w:val="auto"/>
          <w:lang w:eastAsia="zh-CN"/>
        </w:rPr>
      </w:pPr>
      <w:r>
        <w:rPr>
          <w:rFonts w:hint="eastAsia" w:ascii="宋体" w:hAnsi="宋体" w:cs="宋体"/>
          <w:color w:val="auto"/>
          <w:lang w:eastAsia="zh-CN"/>
        </w:rPr>
        <w:t>合同编号：G</w:t>
      </w:r>
      <w:r>
        <w:rPr>
          <w:rFonts w:hint="eastAsia" w:ascii="宋体" w:hAnsi="宋体" w:cs="宋体"/>
          <w:color w:val="auto"/>
          <w:lang w:val="en-US" w:eastAsia="zh-CN"/>
        </w:rPr>
        <w:t>L</w:t>
      </w:r>
      <w:r>
        <w:rPr>
          <w:rFonts w:hint="eastAsia" w:ascii="宋体" w:hAnsi="宋体" w:cs="宋体"/>
          <w:color w:val="auto"/>
          <w:lang w:eastAsia="zh-CN"/>
        </w:rPr>
        <w:t>ZC2020-</w:t>
      </w:r>
      <w:r>
        <w:rPr>
          <w:rFonts w:hint="eastAsia" w:ascii="宋体" w:hAnsi="宋体" w:cs="宋体"/>
          <w:color w:val="auto"/>
          <w:lang w:val="en-US" w:eastAsia="zh-CN"/>
        </w:rPr>
        <w:t>HT</w:t>
      </w:r>
      <w:r>
        <w:rPr>
          <w:rFonts w:hint="eastAsia" w:ascii="宋体" w:hAnsi="宋体" w:cs="宋体"/>
          <w:color w:val="auto"/>
          <w:lang w:eastAsia="zh-CN"/>
        </w:rPr>
        <w:t>G1-990086-JCZX</w:t>
      </w:r>
    </w:p>
    <w:p>
      <w:pPr>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cs="宋体"/>
          <w:color w:val="auto"/>
          <w:lang w:eastAsia="zh-CN"/>
        </w:rPr>
        <w:t>会仙校区15#楼学生床铺及柜子</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rPr>
        <w:t>项目编号：</w:t>
      </w:r>
      <w:r>
        <w:rPr>
          <w:rFonts w:hint="eastAsia" w:ascii="宋体" w:hAnsi="宋体" w:cs="宋体"/>
          <w:color w:val="auto"/>
          <w:lang w:eastAsia="zh-CN"/>
        </w:rPr>
        <w:t xml:space="preserve">GLZC2020-G1-990086-JCZX </w:t>
      </w:r>
    </w:p>
    <w:p>
      <w:pPr>
        <w:spacing w:line="400" w:lineRule="exact"/>
        <w:rPr>
          <w:rFonts w:hint="eastAsia" w:ascii="宋体" w:hAnsi="宋体" w:eastAsia="宋体" w:cs="宋体"/>
          <w:color w:val="auto"/>
          <w:u w:val="single"/>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桂林市交通技工学校      </w:t>
      </w:r>
      <w:r>
        <w:rPr>
          <w:rFonts w:hint="eastAsia" w:ascii="宋体" w:hAnsi="宋体" w:eastAsia="宋体" w:cs="宋体"/>
          <w:color w:val="auto"/>
          <w:szCs w:val="21"/>
          <w:u w:val="single"/>
        </w:rPr>
        <w:t xml:space="preserve">      </w:t>
      </w:r>
      <w:r>
        <w:rPr>
          <w:rFonts w:hint="eastAsia" w:ascii="宋体" w:hAnsi="宋体" w:eastAsia="宋体" w:cs="宋体"/>
          <w:color w:val="auto"/>
        </w:rPr>
        <w:t>（采购人）</w:t>
      </w:r>
    </w:p>
    <w:p>
      <w:pPr>
        <w:spacing w:line="400" w:lineRule="exact"/>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（中标供应商）</w:t>
      </w:r>
    </w:p>
    <w:p>
      <w:pPr>
        <w:spacing w:line="400" w:lineRule="exact"/>
        <w:rPr>
          <w:rFonts w:hint="eastAsia" w:ascii="宋体" w:hAnsi="宋体" w:eastAsia="宋体" w:cs="宋体"/>
          <w:color w:val="auto"/>
        </w:rPr>
      </w:pP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8"/>
        </w:numPr>
        <w:spacing w:line="400" w:lineRule="exact"/>
        <w:ind w:firstLine="413" w:firstLineChars="196"/>
        <w:outlineLvl w:val="1"/>
        <w:rPr>
          <w:rFonts w:hint="eastAsia" w:ascii="宋体" w:hAnsi="宋体" w:eastAsia="宋体" w:cs="宋体"/>
          <w:b/>
          <w:color w:val="auto"/>
          <w:szCs w:val="21"/>
        </w:rPr>
      </w:pPr>
      <w:bookmarkStart w:id="157" w:name="_Toc20977"/>
      <w:bookmarkStart w:id="158" w:name="_Toc495841768"/>
      <w:bookmarkStart w:id="159" w:name="_Toc7911"/>
      <w:r>
        <w:rPr>
          <w:rFonts w:hint="eastAsia" w:ascii="宋体" w:hAnsi="宋体" w:eastAsia="宋体" w:cs="宋体"/>
          <w:b/>
          <w:color w:val="auto"/>
          <w:szCs w:val="21"/>
        </w:rPr>
        <w:t xml:space="preserve"> 合同标的及合同金额</w:t>
      </w:r>
      <w:bookmarkEnd w:id="157"/>
      <w:bookmarkEnd w:id="158"/>
      <w:bookmarkEnd w:id="159"/>
    </w:p>
    <w:p>
      <w:pPr>
        <w:pStyle w:val="43"/>
        <w:numPr>
          <w:ilvl w:val="0"/>
          <w:numId w:val="0"/>
        </w:numPr>
        <w:rPr>
          <w:rFonts w:hint="eastAsia"/>
          <w:color w:val="auto"/>
        </w:rPr>
      </w:pPr>
    </w:p>
    <w:tbl>
      <w:tblPr>
        <w:tblStyle w:val="2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项号</w:t>
            </w:r>
          </w:p>
        </w:tc>
        <w:tc>
          <w:tcPr>
            <w:tcW w:w="1232"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货物名称</w:t>
            </w:r>
          </w:p>
        </w:tc>
        <w:tc>
          <w:tcPr>
            <w:tcW w:w="1445"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技术参数</w:t>
            </w:r>
          </w:p>
        </w:tc>
        <w:tc>
          <w:tcPr>
            <w:tcW w:w="1073"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数量</w:t>
            </w:r>
          </w:p>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①</w:t>
            </w:r>
          </w:p>
        </w:tc>
        <w:tc>
          <w:tcPr>
            <w:tcW w:w="714"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1545"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单价（元）</w:t>
            </w:r>
          </w:p>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②</w:t>
            </w:r>
          </w:p>
        </w:tc>
        <w:tc>
          <w:tcPr>
            <w:tcW w:w="1575"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单项合计金额（元）</w:t>
            </w:r>
          </w:p>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32" w:type="dxa"/>
            <w:vAlign w:val="center"/>
          </w:tcPr>
          <w:p>
            <w:pPr>
              <w:snapToGrid w:val="0"/>
              <w:spacing w:line="400" w:lineRule="exact"/>
              <w:jc w:val="center"/>
              <w:rPr>
                <w:rFonts w:hint="eastAsia" w:ascii="宋体" w:hAnsi="宋体" w:eastAsia="宋体" w:cs="宋体"/>
                <w:color w:val="auto"/>
                <w:szCs w:val="21"/>
              </w:rPr>
            </w:pPr>
          </w:p>
        </w:tc>
        <w:tc>
          <w:tcPr>
            <w:tcW w:w="1445" w:type="dxa"/>
            <w:vAlign w:val="center"/>
          </w:tcPr>
          <w:p>
            <w:pPr>
              <w:snapToGrid w:val="0"/>
              <w:spacing w:line="400" w:lineRule="exact"/>
              <w:jc w:val="center"/>
              <w:rPr>
                <w:rFonts w:hint="eastAsia" w:ascii="宋体" w:hAnsi="宋体" w:eastAsia="宋体" w:cs="宋体"/>
                <w:color w:val="auto"/>
                <w:szCs w:val="21"/>
              </w:rPr>
            </w:pPr>
          </w:p>
        </w:tc>
        <w:tc>
          <w:tcPr>
            <w:tcW w:w="1483" w:type="dxa"/>
            <w:vAlign w:val="center"/>
          </w:tcPr>
          <w:p>
            <w:pPr>
              <w:snapToGrid w:val="0"/>
              <w:spacing w:line="400" w:lineRule="exact"/>
              <w:jc w:val="center"/>
              <w:rPr>
                <w:rFonts w:hint="eastAsia" w:ascii="宋体" w:hAnsi="宋体" w:eastAsia="宋体" w:cs="宋体"/>
                <w:color w:val="auto"/>
                <w:szCs w:val="21"/>
              </w:rPr>
            </w:pPr>
          </w:p>
        </w:tc>
        <w:tc>
          <w:tcPr>
            <w:tcW w:w="1073" w:type="dxa"/>
            <w:vAlign w:val="center"/>
          </w:tcPr>
          <w:p>
            <w:pPr>
              <w:snapToGrid w:val="0"/>
              <w:spacing w:line="400" w:lineRule="exact"/>
              <w:jc w:val="center"/>
              <w:rPr>
                <w:rFonts w:hint="eastAsia" w:ascii="宋体" w:hAnsi="宋体" w:eastAsia="宋体" w:cs="宋体"/>
                <w:color w:val="auto"/>
                <w:szCs w:val="21"/>
              </w:rPr>
            </w:pPr>
          </w:p>
        </w:tc>
        <w:tc>
          <w:tcPr>
            <w:tcW w:w="714" w:type="dxa"/>
            <w:vAlign w:val="center"/>
          </w:tcPr>
          <w:p>
            <w:pPr>
              <w:snapToGrid w:val="0"/>
              <w:spacing w:line="400" w:lineRule="exact"/>
              <w:jc w:val="center"/>
              <w:rPr>
                <w:rFonts w:hint="eastAsia" w:ascii="宋体" w:hAnsi="宋体" w:eastAsia="宋体" w:cs="宋体"/>
                <w:color w:val="auto"/>
                <w:szCs w:val="21"/>
              </w:rPr>
            </w:pPr>
          </w:p>
        </w:tc>
        <w:tc>
          <w:tcPr>
            <w:tcW w:w="1545" w:type="dxa"/>
            <w:vAlign w:val="center"/>
          </w:tcPr>
          <w:p>
            <w:pPr>
              <w:snapToGrid w:val="0"/>
              <w:spacing w:line="400" w:lineRule="exact"/>
              <w:jc w:val="center"/>
              <w:rPr>
                <w:rFonts w:hint="eastAsia" w:ascii="宋体" w:hAnsi="宋体" w:eastAsia="宋体" w:cs="宋体"/>
                <w:color w:val="auto"/>
                <w:szCs w:val="21"/>
              </w:rPr>
            </w:pPr>
          </w:p>
        </w:tc>
        <w:tc>
          <w:tcPr>
            <w:tcW w:w="1575" w:type="dxa"/>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232" w:type="dxa"/>
            <w:vAlign w:val="center"/>
          </w:tcPr>
          <w:p>
            <w:pPr>
              <w:snapToGrid w:val="0"/>
              <w:spacing w:line="400" w:lineRule="exact"/>
              <w:jc w:val="center"/>
              <w:rPr>
                <w:rFonts w:hint="eastAsia" w:ascii="宋体" w:hAnsi="宋体" w:eastAsia="宋体" w:cs="宋体"/>
                <w:color w:val="auto"/>
                <w:szCs w:val="21"/>
              </w:rPr>
            </w:pPr>
          </w:p>
        </w:tc>
        <w:tc>
          <w:tcPr>
            <w:tcW w:w="1445" w:type="dxa"/>
            <w:vAlign w:val="center"/>
          </w:tcPr>
          <w:p>
            <w:pPr>
              <w:snapToGrid w:val="0"/>
              <w:spacing w:line="400" w:lineRule="exact"/>
              <w:jc w:val="center"/>
              <w:rPr>
                <w:rFonts w:hint="eastAsia" w:ascii="宋体" w:hAnsi="宋体" w:eastAsia="宋体" w:cs="宋体"/>
                <w:color w:val="auto"/>
                <w:szCs w:val="21"/>
              </w:rPr>
            </w:pPr>
          </w:p>
        </w:tc>
        <w:tc>
          <w:tcPr>
            <w:tcW w:w="1483" w:type="dxa"/>
            <w:vAlign w:val="center"/>
          </w:tcPr>
          <w:p>
            <w:pPr>
              <w:snapToGrid w:val="0"/>
              <w:spacing w:line="400" w:lineRule="exact"/>
              <w:jc w:val="center"/>
              <w:rPr>
                <w:rFonts w:hint="eastAsia" w:ascii="宋体" w:hAnsi="宋体" w:eastAsia="宋体" w:cs="宋体"/>
                <w:color w:val="auto"/>
                <w:szCs w:val="21"/>
              </w:rPr>
            </w:pPr>
          </w:p>
        </w:tc>
        <w:tc>
          <w:tcPr>
            <w:tcW w:w="1073" w:type="dxa"/>
            <w:vAlign w:val="center"/>
          </w:tcPr>
          <w:p>
            <w:pPr>
              <w:snapToGrid w:val="0"/>
              <w:spacing w:line="400" w:lineRule="exact"/>
              <w:jc w:val="center"/>
              <w:rPr>
                <w:rFonts w:hint="eastAsia" w:ascii="宋体" w:hAnsi="宋体" w:eastAsia="宋体" w:cs="宋体"/>
                <w:color w:val="auto"/>
                <w:szCs w:val="21"/>
              </w:rPr>
            </w:pPr>
          </w:p>
        </w:tc>
        <w:tc>
          <w:tcPr>
            <w:tcW w:w="714" w:type="dxa"/>
            <w:vAlign w:val="center"/>
          </w:tcPr>
          <w:p>
            <w:pPr>
              <w:snapToGrid w:val="0"/>
              <w:spacing w:line="400" w:lineRule="exact"/>
              <w:jc w:val="center"/>
              <w:rPr>
                <w:rFonts w:hint="eastAsia" w:ascii="宋体" w:hAnsi="宋体" w:eastAsia="宋体" w:cs="宋体"/>
                <w:color w:val="auto"/>
                <w:szCs w:val="21"/>
              </w:rPr>
            </w:pPr>
          </w:p>
        </w:tc>
        <w:tc>
          <w:tcPr>
            <w:tcW w:w="1545" w:type="dxa"/>
            <w:vAlign w:val="center"/>
          </w:tcPr>
          <w:p>
            <w:pPr>
              <w:snapToGrid w:val="0"/>
              <w:spacing w:line="400" w:lineRule="exact"/>
              <w:jc w:val="center"/>
              <w:rPr>
                <w:rFonts w:hint="eastAsia" w:ascii="宋体" w:hAnsi="宋体" w:eastAsia="宋体" w:cs="宋体"/>
                <w:color w:val="auto"/>
                <w:szCs w:val="21"/>
              </w:rPr>
            </w:pPr>
          </w:p>
        </w:tc>
        <w:tc>
          <w:tcPr>
            <w:tcW w:w="1575" w:type="dxa"/>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232" w:type="dxa"/>
            <w:vAlign w:val="center"/>
          </w:tcPr>
          <w:p>
            <w:pPr>
              <w:snapToGrid w:val="0"/>
              <w:spacing w:line="400" w:lineRule="exact"/>
              <w:jc w:val="center"/>
              <w:rPr>
                <w:rFonts w:hint="eastAsia" w:ascii="宋体" w:hAnsi="宋体" w:eastAsia="宋体" w:cs="宋体"/>
                <w:color w:val="auto"/>
                <w:szCs w:val="21"/>
              </w:rPr>
            </w:pPr>
          </w:p>
        </w:tc>
        <w:tc>
          <w:tcPr>
            <w:tcW w:w="1445" w:type="dxa"/>
            <w:vAlign w:val="center"/>
          </w:tcPr>
          <w:p>
            <w:pPr>
              <w:snapToGrid w:val="0"/>
              <w:spacing w:line="400" w:lineRule="exact"/>
              <w:jc w:val="center"/>
              <w:rPr>
                <w:rFonts w:hint="eastAsia" w:ascii="宋体" w:hAnsi="宋体" w:eastAsia="宋体" w:cs="宋体"/>
                <w:color w:val="auto"/>
                <w:szCs w:val="21"/>
              </w:rPr>
            </w:pPr>
          </w:p>
        </w:tc>
        <w:tc>
          <w:tcPr>
            <w:tcW w:w="1483" w:type="dxa"/>
            <w:vAlign w:val="center"/>
          </w:tcPr>
          <w:p>
            <w:pPr>
              <w:snapToGrid w:val="0"/>
              <w:spacing w:line="400" w:lineRule="exact"/>
              <w:jc w:val="center"/>
              <w:rPr>
                <w:rFonts w:hint="eastAsia" w:ascii="宋体" w:hAnsi="宋体" w:eastAsia="宋体" w:cs="宋体"/>
                <w:color w:val="auto"/>
                <w:szCs w:val="21"/>
              </w:rPr>
            </w:pPr>
          </w:p>
        </w:tc>
        <w:tc>
          <w:tcPr>
            <w:tcW w:w="1073" w:type="dxa"/>
            <w:vAlign w:val="center"/>
          </w:tcPr>
          <w:p>
            <w:pPr>
              <w:snapToGrid w:val="0"/>
              <w:spacing w:line="400" w:lineRule="exact"/>
              <w:jc w:val="center"/>
              <w:rPr>
                <w:rFonts w:hint="eastAsia" w:ascii="宋体" w:hAnsi="宋体" w:eastAsia="宋体" w:cs="宋体"/>
                <w:color w:val="auto"/>
                <w:szCs w:val="21"/>
              </w:rPr>
            </w:pPr>
          </w:p>
        </w:tc>
        <w:tc>
          <w:tcPr>
            <w:tcW w:w="714" w:type="dxa"/>
            <w:vAlign w:val="center"/>
          </w:tcPr>
          <w:p>
            <w:pPr>
              <w:snapToGrid w:val="0"/>
              <w:spacing w:line="400" w:lineRule="exact"/>
              <w:jc w:val="center"/>
              <w:rPr>
                <w:rFonts w:hint="eastAsia" w:ascii="宋体" w:hAnsi="宋体" w:eastAsia="宋体" w:cs="宋体"/>
                <w:color w:val="auto"/>
                <w:szCs w:val="21"/>
              </w:rPr>
            </w:pPr>
          </w:p>
        </w:tc>
        <w:tc>
          <w:tcPr>
            <w:tcW w:w="1545" w:type="dxa"/>
            <w:vAlign w:val="center"/>
          </w:tcPr>
          <w:p>
            <w:pPr>
              <w:snapToGrid w:val="0"/>
              <w:spacing w:line="400" w:lineRule="exact"/>
              <w:jc w:val="center"/>
              <w:rPr>
                <w:rFonts w:hint="eastAsia" w:ascii="宋体" w:hAnsi="宋体" w:eastAsia="宋体" w:cs="宋体"/>
                <w:color w:val="auto"/>
                <w:szCs w:val="21"/>
              </w:rPr>
            </w:pPr>
          </w:p>
        </w:tc>
        <w:tc>
          <w:tcPr>
            <w:tcW w:w="1575" w:type="dxa"/>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                                                      合     计</w:t>
            </w:r>
          </w:p>
        </w:tc>
        <w:tc>
          <w:tcPr>
            <w:tcW w:w="1575" w:type="dxa"/>
            <w:vAlign w:val="center"/>
          </w:tcPr>
          <w:p>
            <w:pPr>
              <w:snapToGrid w:val="0"/>
              <w:spacing w:line="400" w:lineRule="exact"/>
              <w:rPr>
                <w:rFonts w:hint="eastAsia" w:ascii="宋体" w:hAnsi="宋体" w:eastAsia="宋体" w:cs="宋体"/>
                <w:color w:val="auto"/>
                <w:szCs w:val="21"/>
              </w:rPr>
            </w:pPr>
          </w:p>
        </w:tc>
      </w:tr>
    </w:tbl>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根据《中标通知书》的中标内容，合同的总金额为：（大写）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人民币（¥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spacing w:line="400" w:lineRule="exact"/>
        <w:ind w:firstLine="413" w:firstLineChars="196"/>
        <w:outlineLvl w:val="1"/>
        <w:rPr>
          <w:rFonts w:hint="eastAsia" w:ascii="宋体" w:hAnsi="宋体" w:eastAsia="宋体" w:cs="宋体"/>
          <w:b/>
          <w:color w:val="auto"/>
          <w:szCs w:val="21"/>
        </w:rPr>
      </w:pPr>
      <w:bookmarkStart w:id="160" w:name="_Toc495841769"/>
      <w:bookmarkStart w:id="161" w:name="_Toc15939"/>
      <w:bookmarkStart w:id="162" w:name="_Toc7193"/>
      <w:r>
        <w:rPr>
          <w:rFonts w:hint="eastAsia" w:ascii="宋体" w:hAnsi="宋体" w:eastAsia="宋体" w:cs="宋体"/>
          <w:b/>
          <w:color w:val="auto"/>
          <w:szCs w:val="21"/>
        </w:rPr>
        <w:t>第二条  质量保证</w:t>
      </w:r>
      <w:bookmarkEnd w:id="160"/>
      <w:bookmarkEnd w:id="161"/>
      <w:bookmarkEnd w:id="162"/>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2.乙方提供货物的质量保证期为自交货物验收合格之日起至五年内止（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（1）更换：由乙方承担所有发生的全部费用。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（2）贬值处理：由甲乙双方合议定价。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hint="eastAsia" w:ascii="宋体" w:hAnsi="宋体" w:eastAsia="宋体" w:cs="宋体"/>
          <w:b/>
          <w:color w:val="auto"/>
          <w:szCs w:val="21"/>
        </w:rPr>
      </w:pPr>
      <w:bookmarkStart w:id="163" w:name="_Toc495841770"/>
      <w:bookmarkStart w:id="164" w:name="_Toc18258"/>
      <w:bookmarkStart w:id="165" w:name="_Toc28745"/>
      <w:r>
        <w:rPr>
          <w:rFonts w:hint="eastAsia" w:ascii="宋体" w:hAnsi="宋体" w:eastAsia="宋体" w:cs="宋体"/>
          <w:b/>
          <w:color w:val="auto"/>
          <w:szCs w:val="21"/>
        </w:rPr>
        <w:t>第三条  权力保证</w:t>
      </w:r>
      <w:bookmarkEnd w:id="163"/>
      <w:bookmarkEnd w:id="164"/>
      <w:bookmarkEnd w:id="165"/>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1.乙方应保证所提供货物在使用时不会侵犯任何第三方的专利权、商标权、工业设计权或其他权利。</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2.乙方应按招标文件规定的时间向甲方提供使用货物的有关技术资料。</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3.乙方保证所交付的货物的所有权完全属于乙方且无任何抵押、质押、查封等产权瑕疵。</w:t>
      </w:r>
    </w:p>
    <w:p>
      <w:pPr>
        <w:pStyle w:val="15"/>
        <w:spacing w:line="440" w:lineRule="exact"/>
        <w:ind w:firstLine="420" w:firstLineChars="200"/>
        <w:rPr>
          <w:rFonts w:hint="eastAsia"/>
          <w:color w:val="auto"/>
        </w:rPr>
      </w:pPr>
      <w:r>
        <w:rPr>
          <w:rFonts w:hint="eastAsia" w:hAnsi="宋体" w:cs="宋体"/>
          <w:color w:val="auto"/>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00" w:lineRule="exact"/>
        <w:ind w:firstLine="413" w:firstLineChars="196"/>
        <w:outlineLvl w:val="1"/>
        <w:rPr>
          <w:rFonts w:hint="eastAsia" w:ascii="宋体" w:hAnsi="宋体" w:eastAsia="宋体" w:cs="宋体"/>
          <w:b/>
          <w:color w:val="auto"/>
          <w:szCs w:val="21"/>
        </w:rPr>
      </w:pPr>
      <w:bookmarkStart w:id="166" w:name="_Toc495841771"/>
      <w:bookmarkStart w:id="167" w:name="_Toc24662"/>
      <w:bookmarkStart w:id="168" w:name="_Toc18759"/>
      <w:r>
        <w:rPr>
          <w:rFonts w:hint="eastAsia" w:ascii="宋体" w:hAnsi="宋体" w:eastAsia="宋体" w:cs="宋体"/>
          <w:b/>
          <w:color w:val="auto"/>
          <w:szCs w:val="21"/>
        </w:rPr>
        <w:t>第四条  货物包装、运输</w:t>
      </w:r>
      <w:bookmarkEnd w:id="166"/>
      <w:bookmarkEnd w:id="167"/>
      <w:bookmarkEnd w:id="168"/>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2.使用中文说明书（货物属于进口产品的，供货时应同时附上中文使用说明书）、质量检验证明书、</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随配附件和工具以及清单一并附于货物内。</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3.乙方在货物发运手续办理完毕后二十四小时内或货到甲方四十八小时前通知甲方，以准备接货。</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4.货物在交付甲方前发生的风险均由乙方负责。</w:t>
      </w:r>
    </w:p>
    <w:p>
      <w:pPr>
        <w:spacing w:line="400" w:lineRule="exact"/>
        <w:ind w:firstLine="413" w:firstLineChars="196"/>
        <w:outlineLvl w:val="1"/>
        <w:rPr>
          <w:rFonts w:hint="eastAsia" w:ascii="宋体" w:hAnsi="宋体" w:eastAsia="宋体" w:cs="宋体"/>
          <w:b/>
          <w:color w:val="auto"/>
          <w:szCs w:val="21"/>
        </w:rPr>
      </w:pPr>
      <w:bookmarkStart w:id="169" w:name="_Toc495841772"/>
      <w:bookmarkStart w:id="170" w:name="_Toc5755"/>
      <w:bookmarkStart w:id="171" w:name="_Toc6786"/>
      <w:r>
        <w:rPr>
          <w:rFonts w:hint="eastAsia" w:ascii="宋体" w:hAnsi="宋体" w:eastAsia="宋体" w:cs="宋体"/>
          <w:b/>
          <w:color w:val="auto"/>
          <w:szCs w:val="21"/>
        </w:rPr>
        <w:t>第五条  交付</w:t>
      </w:r>
      <w:bookmarkEnd w:id="169"/>
      <w:bookmarkEnd w:id="170"/>
      <w:bookmarkEnd w:id="171"/>
    </w:p>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1.交付使用期：</w:t>
      </w:r>
      <w:r>
        <w:rPr>
          <w:rFonts w:hint="eastAsia" w:ascii="宋体" w:hAnsi="宋体" w:cs="宋体"/>
          <w:color w:val="auto"/>
          <w:szCs w:val="21"/>
          <w:lang w:eastAsia="zh-CN"/>
        </w:rPr>
        <w:t>中标通知书发布</w:t>
      </w:r>
      <w:r>
        <w:rPr>
          <w:rFonts w:hint="eastAsia" w:ascii="宋体" w:hAnsi="宋体" w:eastAsia="宋体" w:cs="宋体"/>
          <w:color w:val="auto"/>
          <w:szCs w:val="21"/>
        </w:rPr>
        <w:t>之日起</w:t>
      </w:r>
      <w:r>
        <w:rPr>
          <w:rFonts w:hint="eastAsia" w:ascii="宋体" w:hAnsi="宋体" w:eastAsia="宋体" w:cs="宋体"/>
          <w:color w:val="auto"/>
          <w:szCs w:val="21"/>
          <w:lang w:val="en-US" w:eastAsia="zh-CN"/>
        </w:rPr>
        <w:t>3</w:t>
      </w:r>
      <w:r>
        <w:rPr>
          <w:rFonts w:hint="eastAsia" w:ascii="宋体" w:hAnsi="宋体" w:eastAsia="宋体" w:cs="宋体"/>
          <w:color w:val="auto"/>
          <w:szCs w:val="21"/>
        </w:rPr>
        <w:t>个日历</w:t>
      </w:r>
      <w:r>
        <w:rPr>
          <w:rFonts w:hint="eastAsia" w:ascii="宋体" w:hAnsi="宋体" w:eastAsia="宋体" w:cs="宋体"/>
          <w:color w:val="auto"/>
          <w:szCs w:val="21"/>
          <w:lang w:eastAsia="zh-CN"/>
        </w:rPr>
        <w:t>日</w:t>
      </w:r>
      <w:r>
        <w:rPr>
          <w:rFonts w:hint="eastAsia" w:ascii="宋体" w:hAnsi="宋体" w:eastAsia="宋体" w:cs="宋体"/>
          <w:color w:val="auto"/>
          <w:szCs w:val="21"/>
          <w:u w:val="none"/>
        </w:rPr>
        <w:t>内</w:t>
      </w:r>
      <w:r>
        <w:rPr>
          <w:rFonts w:hint="eastAsia" w:ascii="宋体" w:hAnsi="宋体" w:cs="宋体"/>
          <w:color w:val="auto"/>
          <w:szCs w:val="21"/>
          <w:u w:val="none"/>
          <w:lang w:val="en-US" w:eastAsia="zh-CN"/>
        </w:rPr>
        <w:t>签订采购合同，</w:t>
      </w:r>
      <w:r>
        <w:rPr>
          <w:rFonts w:hint="eastAsia"/>
          <w:color w:val="auto"/>
          <w:sz w:val="21"/>
          <w:szCs w:val="21"/>
          <w:lang w:val="en-US" w:eastAsia="zh-CN"/>
        </w:rPr>
        <w:t>自合同签订起10个工作日内</w:t>
      </w:r>
      <w:r>
        <w:rPr>
          <w:rFonts w:hint="eastAsia"/>
          <w:color w:val="auto"/>
          <w:sz w:val="21"/>
          <w:szCs w:val="21"/>
        </w:rPr>
        <w:t>全部安装</w:t>
      </w:r>
      <w:r>
        <w:rPr>
          <w:rFonts w:hint="eastAsia"/>
          <w:color w:val="auto"/>
          <w:sz w:val="21"/>
          <w:szCs w:val="21"/>
          <w:lang w:val="en-US" w:eastAsia="zh-CN"/>
        </w:rPr>
        <w:t>调试</w:t>
      </w:r>
      <w:r>
        <w:rPr>
          <w:rFonts w:hint="eastAsia"/>
          <w:color w:val="auto"/>
          <w:sz w:val="21"/>
          <w:szCs w:val="21"/>
        </w:rPr>
        <w:t>完毕</w:t>
      </w:r>
      <w:r>
        <w:rPr>
          <w:rFonts w:hint="eastAsia"/>
          <w:color w:val="auto"/>
          <w:sz w:val="21"/>
          <w:szCs w:val="21"/>
          <w:lang w:val="en-US" w:eastAsia="zh-CN"/>
        </w:rPr>
        <w:t>并交付使用</w:t>
      </w:r>
      <w:r>
        <w:rPr>
          <w:rFonts w:hint="eastAsia" w:ascii="宋体" w:hAnsi="宋体" w:eastAsia="宋体" w:cs="宋体"/>
          <w:color w:val="auto"/>
          <w:szCs w:val="21"/>
        </w:rPr>
        <w:t>（免费送货上门，免费安装调试）</w:t>
      </w:r>
      <w:r>
        <w:rPr>
          <w:rFonts w:hint="eastAsia" w:ascii="宋体" w:hAnsi="宋体" w:eastAsia="宋体" w:cs="宋体"/>
          <w:color w:val="auto"/>
          <w:szCs w:val="21"/>
          <w:lang w:eastAsia="zh-CN"/>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交付</w:t>
      </w:r>
      <w:r>
        <w:rPr>
          <w:rFonts w:hint="eastAsia" w:ascii="宋体" w:hAnsi="宋体" w:eastAsia="宋体" w:cs="宋体"/>
          <w:color w:val="auto"/>
          <w:szCs w:val="21"/>
        </w:rPr>
        <w:t>地点：桂林市临桂区会仙镇新立村委秦村</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2.乙方提供不符合招投标文件和本合同规定的货物，甲方有权拒绝接受。</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hint="eastAsia" w:ascii="宋体" w:hAnsi="宋体" w:eastAsia="宋体" w:cs="宋体"/>
          <w:b/>
          <w:color w:val="auto"/>
          <w:szCs w:val="21"/>
        </w:rPr>
      </w:pPr>
      <w:bookmarkStart w:id="172" w:name="_Toc23508"/>
      <w:bookmarkStart w:id="173" w:name="_Toc14073"/>
      <w:bookmarkStart w:id="174" w:name="_Toc495841773"/>
      <w:r>
        <w:rPr>
          <w:rFonts w:hint="eastAsia" w:ascii="宋体" w:hAnsi="宋体" w:eastAsia="宋体" w:cs="宋体"/>
          <w:b/>
          <w:color w:val="auto"/>
          <w:szCs w:val="21"/>
        </w:rPr>
        <w:t>第六条  调试和验收</w:t>
      </w:r>
      <w:bookmarkEnd w:id="172"/>
      <w:bookmarkEnd w:id="173"/>
      <w:bookmarkEnd w:id="174"/>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pStyle w:val="15"/>
        <w:snapToGrid w:val="0"/>
        <w:spacing w:after="120" w:line="440" w:lineRule="exact"/>
        <w:ind w:firstLine="420" w:firstLineChars="200"/>
        <w:jc w:val="left"/>
        <w:rPr>
          <w:rFonts w:hAnsi="宋体" w:cs="宋体"/>
          <w:color w:val="auto"/>
        </w:rPr>
      </w:pPr>
      <w:r>
        <w:rPr>
          <w:rFonts w:hint="eastAsia" w:hAnsi="宋体" w:cs="宋体"/>
          <w:color w:val="auto"/>
        </w:rPr>
        <w:t>（1）初步验收合格后，进入一个月试用期；试用期间发生公寓床坍塌等非学生原因造成的伤害事故等问题，修复后试用相应顺延；试用期结束后七个工作日内完成最终验收；</w:t>
      </w:r>
    </w:p>
    <w:p>
      <w:pPr>
        <w:pStyle w:val="15"/>
        <w:snapToGrid w:val="0"/>
        <w:spacing w:after="120" w:line="440" w:lineRule="exact"/>
        <w:ind w:firstLine="420" w:firstLineChars="200"/>
        <w:jc w:val="left"/>
        <w:rPr>
          <w:rFonts w:hAnsi="宋体" w:cs="宋体"/>
          <w:color w:val="auto"/>
        </w:rPr>
      </w:pPr>
      <w:r>
        <w:rPr>
          <w:rFonts w:hint="eastAsia" w:hAnsi="宋体" w:cs="宋体"/>
          <w:color w:val="auto"/>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5"/>
        <w:snapToGrid w:val="0"/>
        <w:spacing w:after="120" w:line="440" w:lineRule="exact"/>
        <w:ind w:firstLine="420" w:firstLineChars="200"/>
        <w:jc w:val="left"/>
        <w:rPr>
          <w:rFonts w:hAnsi="宋体" w:cs="宋体"/>
          <w:color w:val="auto"/>
        </w:rPr>
      </w:pPr>
      <w:r>
        <w:rPr>
          <w:rFonts w:hint="eastAsia" w:hAnsi="宋体" w:cs="宋体"/>
          <w:color w:val="auto"/>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（4）如货物经乙方两次维修仍不能达到合同约定的质量标准，甲方有权退货，并视作乙方不能交付货物而须支付违约赔偿金给甲方，甲方还可依法追究乙方的违约责任。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4.甲方对验收有异议的，在验收后五个工作日内以书面形式向乙方提出，乙方应自收到甲方书面异议后</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日内及时予以解决。</w:t>
      </w:r>
    </w:p>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5.</w:t>
      </w:r>
      <w:r>
        <w:rPr>
          <w:rFonts w:hint="eastAsia" w:ascii="宋体" w:hAnsi="宋体" w:eastAsia="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15"/>
        <w:snapToGrid w:val="0"/>
        <w:spacing w:after="120" w:line="440" w:lineRule="exact"/>
        <w:ind w:firstLine="420" w:firstLineChars="200"/>
        <w:rPr>
          <w:rFonts w:hAnsi="宋体" w:cs="宋体"/>
          <w:color w:val="auto"/>
        </w:rPr>
      </w:pPr>
      <w:r>
        <w:rPr>
          <w:rFonts w:hint="eastAsia" w:hAnsi="宋体" w:cs="宋体"/>
          <w:color w:val="auto"/>
        </w:rPr>
        <w:t>7.货物安装完成后</w:t>
      </w:r>
      <w:r>
        <w:rPr>
          <w:rFonts w:hint="eastAsia" w:hAnsi="宋体" w:cs="宋体"/>
          <w:bCs/>
          <w:color w:val="auto"/>
          <w:u w:val="single"/>
        </w:rPr>
        <w:t>七个工作日</w:t>
      </w:r>
      <w:r>
        <w:rPr>
          <w:rFonts w:hint="eastAsia" w:hAnsi="宋体" w:cs="宋体"/>
          <w:color w:val="auto"/>
        </w:rPr>
        <w:t xml:space="preserve">内，甲方无故不进行初步验收工作并已使用货物的，视同已安装调试完成并初步验收合格。验收不合格的项目，将按本合同第十四条违约责任处理，未作约定的，按照《合同法》规定处理。    </w:t>
      </w:r>
    </w:p>
    <w:p>
      <w:pPr>
        <w:pStyle w:val="15"/>
        <w:snapToGrid w:val="0"/>
        <w:spacing w:after="120" w:line="440" w:lineRule="exact"/>
        <w:ind w:firstLine="420" w:firstLineChars="200"/>
        <w:jc w:val="left"/>
        <w:rPr>
          <w:rFonts w:hAnsi="宋体" w:cs="宋体"/>
          <w:color w:val="auto"/>
        </w:rPr>
      </w:pPr>
      <w:r>
        <w:rPr>
          <w:rFonts w:hint="eastAsia" w:hAnsi="宋体" w:cs="宋体"/>
          <w:color w:val="auto"/>
        </w:rPr>
        <w:t>8. 验收时乙方必须在现场，验收完毕后作出验收结果报告（验收书），列明各项标准的验收情况及项目总体评价，由验收双方共同签署；验收费用由乙方负责。费用标准参照国家或自治区有关规定执行。</w:t>
      </w:r>
    </w:p>
    <w:p>
      <w:pPr>
        <w:spacing w:line="400" w:lineRule="exact"/>
        <w:ind w:firstLine="420" w:firstLineChars="200"/>
        <w:rPr>
          <w:rFonts w:hint="eastAsia" w:ascii="宋体" w:hAnsi="宋体" w:eastAsia="宋体" w:cs="宋体"/>
          <w:color w:val="auto"/>
        </w:rPr>
      </w:pPr>
      <w:r>
        <w:rPr>
          <w:rFonts w:hint="eastAsia" w:hAnsi="宋体" w:cs="宋体"/>
          <w:color w:val="auto"/>
        </w:rPr>
        <w:t>9.其他未尽事宜应严格按照《关于印发广西壮族自治区政府采购项目履约验收管理办法的通知》[桂财采〔2015〕22号]以及《财政部关于进一步加强政府采购需求和履约验收管理的指导意见》[财库〔2016〕205号]规定执行。</w:t>
      </w:r>
    </w:p>
    <w:p>
      <w:pPr>
        <w:spacing w:line="400" w:lineRule="exact"/>
        <w:ind w:firstLine="413" w:firstLineChars="196"/>
        <w:outlineLvl w:val="1"/>
        <w:rPr>
          <w:rFonts w:hint="eastAsia" w:ascii="宋体" w:hAnsi="宋体" w:eastAsia="宋体" w:cs="宋体"/>
          <w:b/>
          <w:color w:val="auto"/>
          <w:szCs w:val="21"/>
        </w:rPr>
      </w:pPr>
      <w:bookmarkStart w:id="175" w:name="_Toc495841774"/>
      <w:bookmarkStart w:id="176" w:name="_Toc21085"/>
      <w:bookmarkStart w:id="177" w:name="_Toc724"/>
      <w:r>
        <w:rPr>
          <w:rFonts w:hint="eastAsia" w:ascii="宋体" w:hAnsi="宋体" w:eastAsia="宋体" w:cs="宋体"/>
          <w:b/>
          <w:color w:val="auto"/>
          <w:szCs w:val="21"/>
        </w:rPr>
        <w:t>第七条  安装</w:t>
      </w:r>
      <w:bookmarkEnd w:id="175"/>
      <w:bookmarkEnd w:id="176"/>
      <w:bookmarkEnd w:id="177"/>
    </w:p>
    <w:p>
      <w:pPr>
        <w:tabs>
          <w:tab w:val="left" w:pos="0"/>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1.甲方应提供必要安装条件（如场地、电源、水源等）。</w:t>
      </w:r>
    </w:p>
    <w:p>
      <w:pPr>
        <w:snapToGrid w:val="0"/>
        <w:spacing w:line="440" w:lineRule="exact"/>
        <w:ind w:firstLine="420" w:firstLineChars="200"/>
        <w:rPr>
          <w:rFonts w:hint="eastAsia" w:ascii="宋体" w:hAnsi="宋体" w:cs="宋体"/>
          <w:color w:val="auto"/>
          <w:szCs w:val="21"/>
        </w:rPr>
      </w:pPr>
      <w:bookmarkStart w:id="178" w:name="_Toc29370"/>
      <w:bookmarkStart w:id="179" w:name="_Toc29939"/>
      <w:bookmarkStart w:id="180" w:name="_Toc495841775"/>
      <w:r>
        <w:rPr>
          <w:rFonts w:hint="eastAsia" w:ascii="宋体" w:hAnsi="宋体" w:cs="宋体"/>
          <w:color w:val="auto"/>
          <w:szCs w:val="21"/>
        </w:rPr>
        <w:t>2.</w:t>
      </w:r>
      <w:r>
        <w:rPr>
          <w:rFonts w:hint="eastAsia" w:ascii="宋体" w:hAnsi="宋体" w:cs="宋体"/>
          <w:color w:val="auto"/>
          <w:szCs w:val="21"/>
          <w:highlight w:val="none"/>
        </w:rPr>
        <w:t>安装要求按采购需求表执行</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u w:val="single"/>
        </w:rPr>
      </w:pPr>
      <w:r>
        <w:rPr>
          <w:rFonts w:hint="eastAsia" w:ascii="宋体" w:hAnsi="宋体" w:cs="宋体"/>
          <w:color w:val="auto"/>
          <w:szCs w:val="21"/>
          <w:lang w:val="en-US" w:eastAsia="zh-CN"/>
        </w:rPr>
        <w:t>3.安装</w:t>
      </w:r>
      <w:r>
        <w:rPr>
          <w:rFonts w:hint="eastAsia" w:ascii="宋体" w:hAnsi="宋体" w:cs="宋体"/>
          <w:color w:val="auto"/>
          <w:szCs w:val="21"/>
        </w:rPr>
        <w:t>地点：桂林市（采购人指定地点）。</w:t>
      </w:r>
    </w:p>
    <w:p>
      <w:pPr>
        <w:spacing w:line="400" w:lineRule="exact"/>
        <w:ind w:firstLine="413" w:firstLineChars="196"/>
        <w:outlineLvl w:val="1"/>
        <w:rPr>
          <w:rFonts w:hint="eastAsia" w:ascii="宋体" w:hAnsi="宋体" w:eastAsia="宋体" w:cs="宋体"/>
          <w:b/>
          <w:color w:val="auto"/>
          <w:szCs w:val="21"/>
        </w:rPr>
      </w:pPr>
      <w:r>
        <w:rPr>
          <w:rFonts w:hint="eastAsia" w:ascii="宋体" w:hAnsi="宋体" w:eastAsia="宋体" w:cs="宋体"/>
          <w:b/>
          <w:color w:val="auto"/>
          <w:szCs w:val="21"/>
        </w:rPr>
        <w:t>第八条  售后服务、保修期</w:t>
      </w:r>
      <w:bookmarkEnd w:id="178"/>
      <w:bookmarkEnd w:id="179"/>
      <w:bookmarkEnd w:id="180"/>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rPr>
      </w:pPr>
      <w:bookmarkStart w:id="181" w:name="_Toc12595"/>
      <w:bookmarkStart w:id="182" w:name="_Toc495841776"/>
      <w:bookmarkStart w:id="183" w:name="_Toc16038"/>
      <w:r>
        <w:rPr>
          <w:rFonts w:hint="eastAsia"/>
          <w:color w:val="auto"/>
          <w:sz w:val="21"/>
          <w:szCs w:val="21"/>
        </w:rPr>
        <w:t>1、按国家有关产品“三包”规定执行“三包”，免费保修期最短不得少于 5年（免费保修期自货物安装调试并在验收合格之日起计算），免费保修期内：免费上门维修、更换配件；免费送货上门、安装、调试，免费培训维护人员。</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rPr>
      </w:pPr>
      <w:r>
        <w:rPr>
          <w:rFonts w:hint="eastAsia"/>
          <w:color w:val="auto"/>
          <w:sz w:val="21"/>
          <w:szCs w:val="21"/>
        </w:rPr>
        <w:t>2、本次采购货物在完成所有安装调试并经采购人验收前，采购人有权对货物随机抽样送国家认可的检验部门检验，若检验不合格或检验所得结果（标准）与投标承诺不一致的，采购人将予以退货。检验过程中产生的所有费用由中标供应商承担。</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eastAsia="宋体"/>
          <w:color w:val="auto"/>
          <w:sz w:val="21"/>
          <w:szCs w:val="21"/>
          <w:lang w:val="en-US" w:eastAsia="zh-CN"/>
        </w:rPr>
      </w:pPr>
      <w:r>
        <w:rPr>
          <w:rFonts w:hint="eastAsia"/>
          <w:color w:val="auto"/>
          <w:sz w:val="21"/>
          <w:szCs w:val="21"/>
        </w:rPr>
        <w:t>3、中标供应商和制造商在质量保证期内应当为采购人提供以下技术支持和服务</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rPr>
      </w:pPr>
      <w:r>
        <w:rPr>
          <w:rFonts w:hint="eastAsia"/>
          <w:color w:val="auto"/>
          <w:sz w:val="21"/>
          <w:szCs w:val="21"/>
        </w:rPr>
        <w:t>3.1 电话咨询</w:t>
      </w:r>
      <w:r>
        <w:rPr>
          <w:rFonts w:hint="eastAsia"/>
          <w:color w:val="auto"/>
          <w:sz w:val="21"/>
          <w:szCs w:val="21"/>
          <w:lang w:val="en-US" w:eastAsia="zh-CN"/>
        </w:rPr>
        <w:t>:</w:t>
      </w:r>
      <w:r>
        <w:rPr>
          <w:rFonts w:hint="eastAsia"/>
          <w:color w:val="auto"/>
          <w:sz w:val="21"/>
          <w:szCs w:val="21"/>
        </w:rPr>
        <w:t>中标供应商和制造商应当为采购人提供 7×24 小时技术援助电话，解答采购人在使用中遇到的问题，及时为采购人提出解决问题的建议。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rPr>
      </w:pPr>
      <w:r>
        <w:rPr>
          <w:rFonts w:hint="eastAsia"/>
          <w:color w:val="auto"/>
          <w:sz w:val="21"/>
          <w:szCs w:val="21"/>
        </w:rPr>
        <w:t>3.2 现场响应采购人遇到使用或技术问题，电话咨询不能解决的，成交供应商和制造商应在 4 小时内到达现场进行处理，到达现场后 2 小时内排除故障，恢复正常使用。</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rPr>
      </w:pPr>
      <w:r>
        <w:rPr>
          <w:rFonts w:hint="eastAsia"/>
          <w:color w:val="auto"/>
          <w:sz w:val="21"/>
          <w:szCs w:val="21"/>
        </w:rPr>
        <w:t>4、质保期外服务要求</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rPr>
      </w:pPr>
      <w:r>
        <w:rPr>
          <w:rFonts w:hint="eastAsia"/>
          <w:color w:val="auto"/>
          <w:sz w:val="21"/>
          <w:szCs w:val="21"/>
        </w:rPr>
        <w:t>4.1 质量保证期过后，中标供应商和制造商应同样提供 7×24 小时免费电话咨询服务，并应承诺提供产品上门维护。</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color w:val="auto"/>
          <w:szCs w:val="21"/>
        </w:rPr>
      </w:pPr>
      <w:r>
        <w:rPr>
          <w:rFonts w:hint="eastAsia"/>
          <w:color w:val="auto"/>
          <w:sz w:val="21"/>
          <w:szCs w:val="21"/>
        </w:rPr>
        <w:t>4.2 质量保证期过后，采购人需要继续由原成交供应商和制造商提供售后服务的，该成交供应商和制造商应以优惠价格提供售后服务。</w:t>
      </w:r>
    </w:p>
    <w:p>
      <w:pPr>
        <w:spacing w:line="400" w:lineRule="exact"/>
        <w:ind w:firstLine="413" w:firstLineChars="196"/>
        <w:outlineLvl w:val="1"/>
        <w:rPr>
          <w:rFonts w:hint="eastAsia" w:ascii="宋体" w:hAnsi="宋体" w:eastAsia="宋体" w:cs="宋体"/>
          <w:b/>
          <w:color w:val="auto"/>
          <w:szCs w:val="21"/>
        </w:rPr>
      </w:pPr>
      <w:r>
        <w:rPr>
          <w:rFonts w:hint="eastAsia" w:ascii="宋体" w:hAnsi="宋体" w:eastAsia="宋体" w:cs="宋体"/>
          <w:b/>
          <w:color w:val="auto"/>
          <w:szCs w:val="21"/>
        </w:rPr>
        <w:t>第九条  税费</w:t>
      </w:r>
      <w:bookmarkEnd w:id="181"/>
      <w:bookmarkEnd w:id="182"/>
      <w:bookmarkEnd w:id="183"/>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pPr>
        <w:spacing w:line="400" w:lineRule="exact"/>
        <w:ind w:firstLine="413" w:firstLineChars="196"/>
        <w:outlineLvl w:val="1"/>
        <w:rPr>
          <w:rFonts w:hint="eastAsia" w:ascii="宋体" w:hAnsi="宋体" w:eastAsia="宋体" w:cs="宋体"/>
          <w:b/>
          <w:color w:val="auto"/>
          <w:szCs w:val="21"/>
        </w:rPr>
      </w:pPr>
      <w:bookmarkStart w:id="184" w:name="_Toc495841777"/>
      <w:bookmarkStart w:id="185" w:name="_Toc18828"/>
      <w:bookmarkStart w:id="186" w:name="_Toc26889"/>
      <w:r>
        <w:rPr>
          <w:rFonts w:hint="eastAsia" w:ascii="宋体" w:hAnsi="宋体" w:eastAsia="宋体" w:cs="宋体"/>
          <w:b/>
          <w:color w:val="auto"/>
          <w:szCs w:val="21"/>
        </w:rPr>
        <w:t>第十条  付款方式</w:t>
      </w:r>
      <w:bookmarkEnd w:id="184"/>
      <w:bookmarkEnd w:id="185"/>
      <w:bookmarkEnd w:id="186"/>
    </w:p>
    <w:p>
      <w:pPr>
        <w:spacing w:line="400" w:lineRule="exact"/>
        <w:ind w:firstLine="411" w:firstLineChars="196"/>
        <w:rPr>
          <w:rFonts w:hint="eastAsia" w:ascii="宋体" w:hAnsi="宋体" w:eastAsia="宋体" w:cs="宋体"/>
          <w:color w:val="auto"/>
          <w:szCs w:val="21"/>
        </w:rPr>
      </w:pPr>
      <w:bookmarkStart w:id="187" w:name="_Toc495841778"/>
      <w:bookmarkStart w:id="188" w:name="_Toc19042"/>
      <w:r>
        <w:rPr>
          <w:rFonts w:hint="eastAsia" w:ascii="宋体" w:hAnsi="宋体" w:eastAsia="宋体" w:cs="宋体"/>
          <w:color w:val="auto"/>
          <w:szCs w:val="21"/>
        </w:rPr>
        <w:t>1</w:t>
      </w:r>
      <w:r>
        <w:rPr>
          <w:rFonts w:hint="eastAsia"/>
          <w:color w:val="auto"/>
          <w:sz w:val="21"/>
          <w:szCs w:val="21"/>
        </w:rPr>
        <w:t>所有产品安装完毕</w:t>
      </w:r>
      <w:r>
        <w:rPr>
          <w:rFonts w:hint="eastAsia"/>
          <w:color w:val="auto"/>
          <w:sz w:val="21"/>
          <w:szCs w:val="21"/>
          <w:lang w:val="en-US" w:eastAsia="zh-CN"/>
        </w:rPr>
        <w:t>并</w:t>
      </w:r>
      <w:r>
        <w:rPr>
          <w:rFonts w:hint="eastAsia"/>
          <w:color w:val="auto"/>
          <w:sz w:val="21"/>
          <w:szCs w:val="21"/>
        </w:rPr>
        <w:t>验收合格后</w:t>
      </w:r>
      <w:r>
        <w:rPr>
          <w:rFonts w:hint="eastAsia"/>
          <w:color w:val="auto"/>
          <w:sz w:val="21"/>
          <w:szCs w:val="21"/>
          <w:lang w:eastAsia="zh-CN"/>
        </w:rPr>
        <w:t>，</w:t>
      </w:r>
      <w:r>
        <w:rPr>
          <w:rFonts w:hint="eastAsia"/>
          <w:color w:val="auto"/>
          <w:sz w:val="21"/>
          <w:szCs w:val="21"/>
        </w:rPr>
        <w:t>15个工作日内由财政直接支付</w:t>
      </w:r>
      <w:r>
        <w:rPr>
          <w:rFonts w:hint="eastAsia"/>
          <w:color w:val="auto"/>
          <w:sz w:val="21"/>
          <w:szCs w:val="21"/>
          <w:lang w:val="en-US" w:eastAsia="zh-CN"/>
        </w:rPr>
        <w:t>合同总金额的100%</w:t>
      </w:r>
      <w:r>
        <w:rPr>
          <w:rFonts w:hint="eastAsia"/>
          <w:color w:val="auto"/>
          <w:sz w:val="21"/>
          <w:szCs w:val="21"/>
        </w:rPr>
        <w:t>（无息）</w:t>
      </w:r>
      <w:r>
        <w:rPr>
          <w:rFonts w:hint="eastAsia"/>
          <w:color w:val="auto"/>
          <w:sz w:val="21"/>
          <w:szCs w:val="21"/>
          <w:lang w:eastAsia="zh-CN"/>
        </w:rPr>
        <w:t>。</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供应商在签订合同</w:t>
      </w:r>
      <w:r>
        <w:rPr>
          <w:rFonts w:hint="eastAsia" w:ascii="Times New Roman" w:eastAsia="Times New Roman"/>
          <w:color w:val="auto"/>
          <w:sz w:val="21"/>
          <w:szCs w:val="21"/>
          <w:lang w:val="en-US" w:eastAsia="zh-CN"/>
        </w:rPr>
        <w:t>时</w:t>
      </w:r>
      <w:r>
        <w:rPr>
          <w:rFonts w:hint="eastAsia" w:ascii="Times New Roman" w:eastAsia="Times New Roman"/>
          <w:color w:val="auto"/>
          <w:sz w:val="21"/>
          <w:szCs w:val="21"/>
        </w:rPr>
        <w:t>向</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rPr>
        <w:t>缴纳履约保证金（具体银行账号</w:t>
      </w:r>
      <w:r>
        <w:rPr>
          <w:rFonts w:hint="eastAsia" w:ascii="Times New Roman" w:eastAsia="Times New Roman"/>
          <w:color w:val="auto"/>
          <w:sz w:val="21"/>
          <w:szCs w:val="21"/>
          <w:lang w:val="en-US" w:eastAsia="zh-CN"/>
        </w:rPr>
        <w:t>由采购人提供</w:t>
      </w:r>
      <w:r>
        <w:rPr>
          <w:rFonts w:hint="eastAsia" w:ascii="Times New Roman" w:eastAsia="Times New Roman"/>
          <w:color w:val="auto"/>
          <w:sz w:val="21"/>
          <w:szCs w:val="21"/>
        </w:rPr>
        <w:t>），履约保证金金额按中标价的5%（人民币，四舍五入到元）缴纳（不计息），</w:t>
      </w:r>
      <w:r>
        <w:rPr>
          <w:rFonts w:hint="eastAsia" w:ascii="Times New Roman"/>
          <w:color w:val="auto"/>
          <w:sz w:val="21"/>
          <w:szCs w:val="21"/>
          <w:lang w:val="en-US" w:eastAsia="zh-CN"/>
        </w:rPr>
        <w:t>成交</w:t>
      </w:r>
      <w:r>
        <w:rPr>
          <w:rFonts w:hint="eastAsia" w:ascii="Times New Roman" w:eastAsia="Times New Roman"/>
          <w:color w:val="auto"/>
          <w:sz w:val="21"/>
          <w:szCs w:val="21"/>
        </w:rPr>
        <w:t>供应商提交履约保证金应当以转账、电汇等</w:t>
      </w:r>
      <w:r>
        <w:rPr>
          <w:rFonts w:hint="eastAsia" w:ascii="Times New Roman" w:eastAsia="Times New Roman"/>
          <w:color w:val="auto"/>
          <w:sz w:val="21"/>
          <w:szCs w:val="21"/>
          <w:lang w:val="en-US" w:eastAsia="zh-CN"/>
        </w:rPr>
        <w:t>非现金</w:t>
      </w:r>
      <w:r>
        <w:rPr>
          <w:rFonts w:hint="eastAsia" w:ascii="Times New Roman" w:eastAsia="Times New Roman"/>
          <w:color w:val="auto"/>
          <w:sz w:val="21"/>
          <w:szCs w:val="21"/>
        </w:rPr>
        <w:t>形式缴入采购人指定账户。</w:t>
      </w:r>
      <w:r>
        <w:rPr>
          <w:rFonts w:hint="eastAsia" w:ascii="Times New Roman"/>
          <w:color w:val="auto"/>
          <w:sz w:val="21"/>
          <w:szCs w:val="21"/>
          <w:lang w:val="en-US" w:eastAsia="zh-CN"/>
        </w:rPr>
        <w:t>验收合格一年</w:t>
      </w:r>
      <w:r>
        <w:rPr>
          <w:rFonts w:hint="eastAsia" w:ascii="Times New Roman" w:eastAsia="Times New Roman"/>
          <w:color w:val="auto"/>
          <w:sz w:val="21"/>
          <w:szCs w:val="21"/>
        </w:rPr>
        <w:t>后，若货物无质量问题，</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供应商凭《政府采购项目验收单》和履约保证金缴纳凭证</w:t>
      </w:r>
      <w:r>
        <w:rPr>
          <w:rFonts w:hint="eastAsia" w:ascii="Times New Roman" w:eastAsia="Times New Roman"/>
          <w:color w:val="auto"/>
          <w:sz w:val="21"/>
          <w:szCs w:val="21"/>
          <w:lang w:val="en-US" w:eastAsia="zh-CN"/>
        </w:rPr>
        <w:t>原件</w:t>
      </w:r>
      <w:r>
        <w:rPr>
          <w:rFonts w:hint="eastAsia" w:ascii="Times New Roman" w:eastAsia="Times New Roman"/>
          <w:color w:val="auto"/>
          <w:sz w:val="21"/>
          <w:szCs w:val="21"/>
        </w:rPr>
        <w:t>向</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rPr>
        <w:t>申请办理退还手续</w:t>
      </w:r>
      <w:r>
        <w:rPr>
          <w:rFonts w:hint="eastAsia" w:ascii="Times New Roman" w:eastAsia="Times New Roman"/>
          <w:color w:val="auto"/>
          <w:sz w:val="21"/>
          <w:szCs w:val="21"/>
          <w:lang w:eastAsia="zh-CN"/>
        </w:rPr>
        <w:t>，</w:t>
      </w:r>
      <w:r>
        <w:rPr>
          <w:rFonts w:hint="eastAsia" w:ascii="Times New Roman" w:eastAsia="Times New Roman"/>
          <w:color w:val="auto"/>
          <w:sz w:val="21"/>
          <w:szCs w:val="21"/>
          <w:u w:val="single"/>
          <w:lang w:val="en-US" w:eastAsia="zh-CN"/>
        </w:rPr>
        <w:t>桂林市交通技工学校</w:t>
      </w:r>
      <w:r>
        <w:rPr>
          <w:rFonts w:hint="eastAsia" w:ascii="Times New Roman" w:eastAsia="Times New Roman"/>
          <w:color w:val="auto"/>
          <w:sz w:val="21"/>
          <w:szCs w:val="21"/>
          <w:lang w:eastAsia="zh-CN"/>
        </w:rPr>
        <w:t>在</w:t>
      </w:r>
      <w:r>
        <w:rPr>
          <w:rFonts w:hint="eastAsia" w:ascii="Times New Roman" w:eastAsia="Times New Roman"/>
          <w:color w:val="auto"/>
          <w:sz w:val="21"/>
          <w:szCs w:val="21"/>
        </w:rPr>
        <w:t>5个工作日内无息退还。</w:t>
      </w:r>
    </w:p>
    <w:p>
      <w:pPr>
        <w:spacing w:line="400" w:lineRule="exact"/>
        <w:ind w:firstLine="413" w:firstLineChars="196"/>
        <w:outlineLvl w:val="1"/>
        <w:rPr>
          <w:rFonts w:hint="eastAsia" w:ascii="宋体" w:hAnsi="宋体" w:eastAsia="宋体" w:cs="宋体"/>
          <w:b/>
          <w:color w:val="auto"/>
          <w:szCs w:val="21"/>
        </w:rPr>
      </w:pPr>
      <w:bookmarkStart w:id="189" w:name="_Toc16350"/>
      <w:r>
        <w:rPr>
          <w:rFonts w:hint="eastAsia" w:ascii="宋体" w:hAnsi="宋体" w:eastAsia="宋体" w:cs="宋体"/>
          <w:b/>
          <w:color w:val="auto"/>
          <w:szCs w:val="21"/>
        </w:rPr>
        <w:t>第十一条  违约责任</w:t>
      </w:r>
      <w:bookmarkEnd w:id="187"/>
      <w:bookmarkEnd w:id="188"/>
      <w:bookmarkEnd w:id="189"/>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乙方所提供的货物规格、技术标准、材料等质量不合格的，应及时更换，更换不及时的按逾期交货处罚，乙方应向甲方支付合同金额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%违约金并赔偿甲方经济损失。</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 因包装、运输引起的货物损坏，按质量不合格处理。</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 甲方无故延期接收货物、乙方逾期交货的，每天向对方偿付违约货款额</w:t>
      </w:r>
      <w:r>
        <w:rPr>
          <w:rFonts w:hint="eastAsia" w:ascii="宋体" w:hAnsi="宋体" w:cs="宋体"/>
          <w:color w:val="auto"/>
          <w:szCs w:val="21"/>
          <w:u w:val="single"/>
          <w:lang w:val="en-US" w:eastAsia="zh-CN"/>
        </w:rPr>
        <w:t>1</w:t>
      </w:r>
      <w:r>
        <w:rPr>
          <w:rFonts w:hint="default" w:ascii="Arial" w:hAnsi="Arial" w:cs="Arial"/>
          <w:color w:val="auto"/>
          <w:szCs w:val="21"/>
          <w:u w:val="single"/>
          <w:lang w:val="en-US" w:eastAsia="zh-CN"/>
        </w:rPr>
        <w:t>‰</w:t>
      </w:r>
      <w:r>
        <w:rPr>
          <w:rFonts w:hint="eastAsia" w:ascii="宋体" w:hAnsi="宋体" w:eastAsia="宋体" w:cs="宋体"/>
          <w:color w:val="auto"/>
          <w:szCs w:val="21"/>
        </w:rPr>
        <w:t>违约金，但违约金累计不得超过违约货款额</w:t>
      </w:r>
      <w:r>
        <w:rPr>
          <w:rFonts w:hint="eastAsia" w:ascii="宋体" w:hAnsi="宋体" w:eastAsia="宋体" w:cs="宋体"/>
          <w:color w:val="auto"/>
          <w:szCs w:val="21"/>
          <w:u w:val="single"/>
        </w:rPr>
        <w:t>5%</w:t>
      </w:r>
      <w:r>
        <w:rPr>
          <w:rFonts w:hint="eastAsia" w:ascii="宋体" w:hAnsi="宋体" w:eastAsia="宋体" w:cs="宋体"/>
          <w:color w:val="auto"/>
          <w:szCs w:val="21"/>
        </w:rPr>
        <w:t>，超过</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10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天对方有权解除合同，违约方承担因此给对方造成经济损失；甲方延期付货款的，每天向乙方偿付延期货款额3‰滞纳金，但滞纳金累计不得超过延期货款额</w:t>
      </w:r>
      <w:r>
        <w:rPr>
          <w:rFonts w:hint="eastAsia" w:ascii="宋体" w:hAnsi="宋体" w:eastAsia="宋体" w:cs="宋体"/>
          <w:color w:val="auto"/>
          <w:szCs w:val="21"/>
          <w:u w:val="single"/>
        </w:rPr>
        <w:t>5%</w:t>
      </w:r>
      <w:r>
        <w:rPr>
          <w:rFonts w:hint="eastAsia" w:ascii="宋体" w:hAnsi="宋体" w:eastAsia="宋体" w:cs="宋体"/>
          <w:color w:val="auto"/>
          <w:szCs w:val="21"/>
        </w:rPr>
        <w:t>。</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 乙方未按本合同和投标文件中规定的服务承诺提供售后服务的，乙方应按本合同合同金额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%向甲方支付违约金。</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6. 乙方提供的货物在质保期内，因设计、工艺或材料的缺陷和其他质量原因造成的问题，由乙方负责，费用从</w:t>
      </w:r>
      <w:r>
        <w:rPr>
          <w:rFonts w:hint="eastAsia" w:ascii="宋体" w:hAnsi="宋体" w:cs="宋体"/>
          <w:color w:val="auto"/>
          <w:szCs w:val="21"/>
          <w:lang w:eastAsia="zh-CN"/>
        </w:rPr>
        <w:t>履约金</w:t>
      </w:r>
      <w:r>
        <w:rPr>
          <w:rFonts w:hint="eastAsia" w:ascii="宋体" w:hAnsi="宋体" w:eastAsia="宋体" w:cs="宋体"/>
          <w:color w:val="auto"/>
          <w:szCs w:val="21"/>
        </w:rPr>
        <w:t>中扣除，不足另补。</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7. 其他违约行为按违约货款额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%收取违约金并赔偿经济损失。</w:t>
      </w:r>
    </w:p>
    <w:p>
      <w:pPr>
        <w:spacing w:line="400" w:lineRule="exact"/>
        <w:ind w:firstLine="413" w:firstLineChars="196"/>
        <w:outlineLvl w:val="1"/>
        <w:rPr>
          <w:rFonts w:hint="eastAsia" w:ascii="宋体" w:hAnsi="宋体" w:eastAsia="宋体" w:cs="宋体"/>
          <w:b/>
          <w:color w:val="auto"/>
          <w:szCs w:val="21"/>
        </w:rPr>
      </w:pPr>
      <w:bookmarkStart w:id="190" w:name="_Toc5808"/>
      <w:bookmarkStart w:id="191" w:name="_Toc495841779"/>
      <w:bookmarkStart w:id="192" w:name="_Toc30736"/>
      <w:r>
        <w:rPr>
          <w:rFonts w:hint="eastAsia" w:ascii="宋体" w:hAnsi="宋体" w:eastAsia="宋体" w:cs="宋体"/>
          <w:b/>
          <w:color w:val="auto"/>
          <w:szCs w:val="21"/>
        </w:rPr>
        <w:t>第十二条  不可抗力事件处理</w:t>
      </w:r>
      <w:bookmarkEnd w:id="190"/>
      <w:bookmarkEnd w:id="191"/>
      <w:bookmarkEnd w:id="192"/>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1.在合同有效期内，乙方因不可抗力事件导致不能履行合同，则合同履行期可延长，其延长期与不可抗力影响期相同。</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pPr>
        <w:spacing w:line="400" w:lineRule="exact"/>
        <w:ind w:firstLine="413" w:firstLineChars="196"/>
        <w:outlineLvl w:val="1"/>
        <w:rPr>
          <w:rFonts w:hint="eastAsia" w:ascii="宋体" w:hAnsi="宋体" w:eastAsia="宋体" w:cs="宋体"/>
          <w:b/>
          <w:color w:val="auto"/>
          <w:szCs w:val="21"/>
        </w:rPr>
      </w:pPr>
      <w:bookmarkStart w:id="193" w:name="_Toc7512"/>
      <w:bookmarkStart w:id="194" w:name="_Toc9"/>
      <w:bookmarkStart w:id="195" w:name="_Toc495841780"/>
      <w:r>
        <w:rPr>
          <w:rFonts w:hint="eastAsia" w:ascii="宋体" w:hAnsi="宋体" w:eastAsia="宋体" w:cs="宋体"/>
          <w:b/>
          <w:color w:val="auto"/>
          <w:szCs w:val="21"/>
        </w:rPr>
        <w:t>第十三条  合同争议解决</w:t>
      </w:r>
      <w:bookmarkEnd w:id="193"/>
      <w:bookmarkEnd w:id="194"/>
      <w:bookmarkEnd w:id="195"/>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pPr>
        <w:spacing w:line="400" w:lineRule="exact"/>
        <w:ind w:firstLine="413" w:firstLineChars="196"/>
        <w:outlineLvl w:val="1"/>
        <w:rPr>
          <w:rFonts w:hint="eastAsia" w:ascii="宋体" w:hAnsi="宋体" w:eastAsia="宋体" w:cs="宋体"/>
          <w:b/>
          <w:color w:val="auto"/>
          <w:szCs w:val="21"/>
        </w:rPr>
      </w:pPr>
      <w:bookmarkStart w:id="196" w:name="_Toc30739"/>
      <w:bookmarkStart w:id="197" w:name="_Toc495841781"/>
      <w:bookmarkStart w:id="198" w:name="_Toc26915"/>
      <w:r>
        <w:rPr>
          <w:rFonts w:hint="eastAsia" w:ascii="宋体" w:hAnsi="宋体" w:eastAsia="宋体" w:cs="宋体"/>
          <w:b/>
          <w:color w:val="auto"/>
          <w:szCs w:val="21"/>
        </w:rPr>
        <w:t>第十四条  合同生效及其它</w:t>
      </w:r>
      <w:bookmarkEnd w:id="196"/>
      <w:bookmarkEnd w:id="197"/>
      <w:bookmarkEnd w:id="198"/>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1.合同经甲乙双方法定代表人、负责人、自然人或相应的授权代表签字并加盖投标人公章后生效。</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2.合同执行中涉及采购资金和采购内容修改或补充的，需经</w:t>
      </w:r>
      <w:r>
        <w:rPr>
          <w:rFonts w:hint="eastAsia" w:ascii="宋体" w:hAnsi="宋体" w:cs="宋体"/>
          <w:color w:val="auto"/>
          <w:szCs w:val="21"/>
          <w:lang w:val="en-US" w:eastAsia="zh-CN"/>
        </w:rPr>
        <w:t>自治区</w:t>
      </w:r>
      <w:r>
        <w:rPr>
          <w:rFonts w:hint="eastAsia" w:ascii="宋体" w:hAnsi="宋体" w:eastAsia="宋体" w:cs="宋体"/>
          <w:color w:val="auto"/>
          <w:szCs w:val="21"/>
        </w:rPr>
        <w:t>财政部门审批，并签订书面补充协议报</w:t>
      </w:r>
      <w:r>
        <w:rPr>
          <w:rFonts w:hint="eastAsia" w:ascii="宋体" w:hAnsi="宋体" w:eastAsia="宋体" w:cs="宋体"/>
          <w:color w:val="auto"/>
          <w:szCs w:val="21"/>
          <w:highlight w:val="none"/>
          <w:lang w:val="en-US" w:eastAsia="zh-CN"/>
        </w:rPr>
        <w:t>桂林市政府采购管理办公室</w:t>
      </w:r>
      <w:r>
        <w:rPr>
          <w:rFonts w:hint="eastAsia" w:ascii="宋体" w:hAnsi="宋体" w:eastAsia="宋体" w:cs="宋体"/>
          <w:color w:val="auto"/>
          <w:szCs w:val="21"/>
        </w:rPr>
        <w:t>备案，方可作为主合同不可分割的一部分。</w:t>
      </w:r>
    </w:p>
    <w:p>
      <w:pPr>
        <w:spacing w:line="400" w:lineRule="exact"/>
        <w:ind w:left="435"/>
        <w:rPr>
          <w:rFonts w:hint="eastAsia" w:ascii="宋体" w:hAnsi="宋体" w:eastAsia="宋体" w:cs="宋体"/>
          <w:color w:val="auto"/>
          <w:szCs w:val="21"/>
        </w:rPr>
      </w:pPr>
      <w:r>
        <w:rPr>
          <w:rFonts w:hint="eastAsia" w:ascii="宋体" w:hAnsi="宋体" w:eastAsia="宋体" w:cs="宋体"/>
          <w:color w:val="auto"/>
          <w:szCs w:val="21"/>
        </w:rPr>
        <w:t>3.本合同未尽事宜，遵照《合同法》有关条文执行。</w:t>
      </w:r>
    </w:p>
    <w:p>
      <w:pPr>
        <w:spacing w:line="400" w:lineRule="exact"/>
        <w:ind w:firstLine="413" w:firstLineChars="196"/>
        <w:outlineLvl w:val="1"/>
        <w:rPr>
          <w:rFonts w:hint="eastAsia" w:ascii="宋体" w:hAnsi="宋体" w:eastAsia="宋体" w:cs="宋体"/>
          <w:b/>
          <w:color w:val="auto"/>
          <w:szCs w:val="21"/>
        </w:rPr>
      </w:pPr>
      <w:bookmarkStart w:id="199" w:name="_Toc20115"/>
      <w:bookmarkStart w:id="200" w:name="_Toc11165"/>
      <w:bookmarkStart w:id="201" w:name="_Toc495841782"/>
      <w:r>
        <w:rPr>
          <w:rFonts w:hint="eastAsia" w:ascii="宋体" w:hAnsi="宋体" w:eastAsia="宋体" w:cs="宋体"/>
          <w:b/>
          <w:color w:val="auto"/>
          <w:szCs w:val="21"/>
        </w:rPr>
        <w:t>第十五条  合同的变更、终止与转让</w:t>
      </w:r>
      <w:bookmarkEnd w:id="199"/>
      <w:bookmarkEnd w:id="200"/>
      <w:bookmarkEnd w:id="201"/>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1.除《中华人民共和国政府采购法》第五十条规定的情形外，本合同一经签订，甲乙双方不得擅自变更，中止或终止。</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2.乙方不得擅自转让(无进口资格的供应商委托进口货物除外)其应履行的合同义务。</w:t>
      </w:r>
    </w:p>
    <w:p>
      <w:pPr>
        <w:spacing w:line="400" w:lineRule="exact"/>
        <w:ind w:firstLine="413" w:firstLineChars="196"/>
        <w:outlineLvl w:val="1"/>
        <w:rPr>
          <w:rFonts w:hint="eastAsia" w:ascii="宋体" w:hAnsi="宋体" w:eastAsia="宋体" w:cs="宋体"/>
          <w:b/>
          <w:color w:val="auto"/>
          <w:szCs w:val="21"/>
        </w:rPr>
      </w:pPr>
      <w:bookmarkStart w:id="202" w:name="_Toc19322"/>
      <w:bookmarkStart w:id="203" w:name="_Toc495841783"/>
      <w:bookmarkStart w:id="204" w:name="_Toc7041"/>
      <w:r>
        <w:rPr>
          <w:rFonts w:hint="eastAsia" w:ascii="宋体" w:hAnsi="宋体" w:eastAsia="宋体" w:cs="宋体"/>
          <w:b/>
          <w:color w:val="auto"/>
          <w:szCs w:val="21"/>
        </w:rPr>
        <w:t>第十六条  签订本合同依据</w:t>
      </w:r>
      <w:bookmarkEnd w:id="202"/>
      <w:bookmarkEnd w:id="203"/>
      <w:bookmarkEnd w:id="204"/>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1.招标文件；</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2.乙方提供的投标（或应答）文件；</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3.售后服务承诺书；</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4.中标通知书。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本合同甲乙双方签字盖章后生效，一式</w:t>
      </w:r>
      <w:r>
        <w:rPr>
          <w:rFonts w:hint="eastAsia" w:ascii="宋体" w:hAnsi="宋体" w:cs="宋体"/>
          <w:color w:val="auto"/>
          <w:szCs w:val="21"/>
          <w:lang w:eastAsia="zh-CN"/>
        </w:rPr>
        <w:t>肆</w:t>
      </w:r>
      <w:r>
        <w:rPr>
          <w:rFonts w:hint="eastAsia" w:ascii="宋体" w:hAnsi="宋体" w:eastAsia="宋体" w:cs="宋体"/>
          <w:color w:val="auto"/>
          <w:szCs w:val="21"/>
        </w:rPr>
        <w:t>份，具有同等法律效力，甲方持</w:t>
      </w:r>
      <w:r>
        <w:rPr>
          <w:rFonts w:hint="eastAsia" w:ascii="宋体" w:hAnsi="宋体" w:eastAsia="宋体" w:cs="宋体"/>
          <w:color w:val="auto"/>
          <w:szCs w:val="21"/>
          <w:lang w:val="en-US" w:eastAsia="zh-CN"/>
        </w:rPr>
        <w:t>叁</w:t>
      </w:r>
      <w:r>
        <w:rPr>
          <w:rFonts w:hint="eastAsia" w:ascii="宋体" w:hAnsi="宋体" w:eastAsia="宋体" w:cs="宋体"/>
          <w:color w:val="auto"/>
          <w:szCs w:val="21"/>
        </w:rPr>
        <w:t>份、乙方持</w:t>
      </w:r>
      <w:r>
        <w:rPr>
          <w:rFonts w:hint="eastAsia" w:ascii="宋体" w:hAnsi="宋体" w:cs="宋体"/>
          <w:color w:val="auto"/>
          <w:szCs w:val="21"/>
          <w:lang w:eastAsia="zh-CN"/>
        </w:rPr>
        <w:t>壹</w:t>
      </w:r>
      <w:r>
        <w:rPr>
          <w:rFonts w:hint="eastAsia" w:ascii="宋体" w:hAnsi="宋体" w:eastAsia="宋体" w:cs="宋体"/>
          <w:color w:val="auto"/>
          <w:szCs w:val="21"/>
        </w:rPr>
        <w:t>份。</w:t>
      </w:r>
      <w:r>
        <w:rPr>
          <w:rFonts w:hint="eastAsia" w:ascii="宋体" w:hAnsi="宋体" w:eastAsia="宋体" w:cs="宋体"/>
          <w:color w:val="auto"/>
        </w:rPr>
        <w:t>政府采购合同双方自签订之日起</w:t>
      </w:r>
      <w:r>
        <w:rPr>
          <w:rFonts w:hint="eastAsia" w:ascii="宋体" w:hAnsi="宋体" w:eastAsia="宋体" w:cs="宋体"/>
          <w:color w:val="auto"/>
          <w:lang w:val="en-US" w:eastAsia="zh-CN"/>
        </w:rPr>
        <w:t>壹</w:t>
      </w:r>
      <w:r>
        <w:rPr>
          <w:rFonts w:hint="eastAsia" w:ascii="宋体" w:hAnsi="宋体" w:eastAsia="宋体" w:cs="宋体"/>
          <w:color w:val="auto"/>
        </w:rPr>
        <w:t>个工作日内，乙方</w:t>
      </w:r>
      <w:r>
        <w:rPr>
          <w:rFonts w:hint="eastAsia" w:ascii="宋体" w:hAnsi="宋体" w:eastAsia="宋体" w:cs="宋体"/>
          <w:color w:val="auto"/>
          <w:szCs w:val="21"/>
          <w:highlight w:val="none"/>
        </w:rPr>
        <w:t>将合同原件</w:t>
      </w:r>
      <w:r>
        <w:rPr>
          <w:rFonts w:hint="eastAsia" w:ascii="宋体" w:hAnsi="宋体" w:cs="宋体"/>
          <w:color w:val="auto"/>
          <w:szCs w:val="21"/>
          <w:highlight w:val="none"/>
          <w:lang w:val="en-US" w:eastAsia="zh-CN"/>
        </w:rPr>
        <w:t>壹</w:t>
      </w:r>
      <w:r>
        <w:rPr>
          <w:rFonts w:hint="eastAsia" w:ascii="宋体" w:hAnsi="宋体" w:eastAsia="宋体" w:cs="宋体"/>
          <w:color w:val="auto"/>
          <w:szCs w:val="21"/>
          <w:highlight w:val="none"/>
        </w:rPr>
        <w:t>份交采购代理机构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并于合同签订之日起</w:t>
      </w:r>
      <w:r>
        <w:rPr>
          <w:rFonts w:hint="eastAsia" w:ascii="宋体" w:hAnsi="宋体" w:cs="宋体"/>
          <w:color w:val="auto"/>
          <w:szCs w:val="21"/>
          <w:highlight w:val="none"/>
          <w:lang w:val="en-US" w:eastAsia="zh-CN"/>
        </w:rPr>
        <w:t>柒</w:t>
      </w:r>
      <w:r>
        <w:rPr>
          <w:rFonts w:hint="eastAsia" w:ascii="宋体" w:hAnsi="宋体" w:eastAsia="宋体" w:cs="宋体"/>
          <w:color w:val="auto"/>
          <w:szCs w:val="21"/>
          <w:highlight w:val="none"/>
        </w:rPr>
        <w:t>个工作日内将一份合同原件送</w:t>
      </w:r>
      <w:r>
        <w:rPr>
          <w:rFonts w:hint="eastAsia" w:ascii="宋体" w:hAnsi="宋体" w:eastAsia="宋体" w:cs="宋体"/>
          <w:color w:val="auto"/>
          <w:szCs w:val="21"/>
          <w:highlight w:val="none"/>
          <w:lang w:val="en-US" w:eastAsia="zh-CN"/>
        </w:rPr>
        <w:t>送桂林市政府采购管理办公室备</w:t>
      </w:r>
      <w:r>
        <w:rPr>
          <w:rFonts w:hint="eastAsia" w:ascii="宋体" w:hAnsi="宋体" w:eastAsia="宋体" w:cs="宋体"/>
          <w:color w:val="auto"/>
          <w:szCs w:val="21"/>
          <w:highlight w:val="none"/>
        </w:rPr>
        <w:t>案。</w:t>
      </w:r>
    </w:p>
    <w:p>
      <w:pPr>
        <w:pStyle w:val="2"/>
        <w:rPr>
          <w:rFonts w:hint="eastAsia"/>
          <w:color w:val="auto"/>
        </w:rPr>
      </w:pPr>
    </w:p>
    <w:p>
      <w:pPr>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甲方（公章）：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乙方（公章，自然人除外）：</w:t>
      </w:r>
      <w:r>
        <w:rPr>
          <w:rFonts w:hint="eastAsia" w:ascii="宋体" w:hAnsi="宋体" w:eastAsia="宋体" w:cs="宋体"/>
          <w:color w:val="auto"/>
          <w:szCs w:val="21"/>
          <w:u w:val="single"/>
        </w:rPr>
        <w:t xml:space="preserve">                        </w:t>
      </w:r>
    </w:p>
    <w:p>
      <w:pPr>
        <w:spacing w:line="400" w:lineRule="exact"/>
        <w:ind w:left="4620" w:hanging="4620" w:hangingChars="2200"/>
        <w:rPr>
          <w:rFonts w:hint="eastAsia" w:ascii="宋体" w:hAnsi="宋体" w:eastAsia="宋体" w:cs="宋体"/>
          <w:color w:val="auto"/>
          <w:szCs w:val="21"/>
          <w:u w:val="single"/>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rPr>
        <w:t>法定代表人（负责人、自然人）签字（属自然人的应在签名处加盖大拇指指印）</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tabs>
          <w:tab w:val="left" w:pos="4680"/>
        </w:tabs>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委托代理人：</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电   话： </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开户名称：</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开户银行：</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银行账号：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银行账号：</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期：</w:t>
      </w:r>
      <w:r>
        <w:rPr>
          <w:rFonts w:hint="eastAsia" w:ascii="宋体" w:hAnsi="宋体" w:eastAsia="宋体" w:cs="宋体"/>
          <w:color w:val="auto"/>
          <w:szCs w:val="21"/>
          <w:u w:val="single"/>
        </w:rPr>
        <w:t xml:space="preserve">                                       </w:t>
      </w:r>
    </w:p>
    <w:p>
      <w:pPr>
        <w:rPr>
          <w:rFonts w:hint="eastAsia" w:ascii="宋体" w:hAnsi="宋体" w:eastAsia="宋体" w:cs="宋体"/>
          <w:color w:val="auto"/>
        </w:rPr>
      </w:pPr>
      <w:r>
        <w:rPr>
          <w:rFonts w:hint="eastAsia" w:ascii="宋体" w:hAnsi="宋体" w:eastAsia="宋体" w:cs="宋体"/>
          <w:color w:val="auto"/>
        </w:rPr>
        <w:t xml:space="preserve">  </w:t>
      </w:r>
    </w:p>
    <w:p>
      <w:pPr>
        <w:jc w:val="center"/>
        <w:outlineLvl w:val="0"/>
        <w:rPr>
          <w:rFonts w:hint="eastAsia" w:ascii="宋体" w:hAnsi="宋体" w:eastAsia="宋体" w:cs="宋体"/>
          <w:color w:val="auto"/>
          <w:sz w:val="32"/>
          <w:szCs w:val="32"/>
        </w:rPr>
      </w:pPr>
      <w:r>
        <w:rPr>
          <w:rFonts w:hint="eastAsia" w:ascii="宋体" w:hAnsi="宋体" w:eastAsia="宋体" w:cs="宋体"/>
          <w:b/>
          <w:color w:val="auto"/>
          <w:sz w:val="32"/>
          <w:szCs w:val="32"/>
        </w:rPr>
        <w:br w:type="page"/>
      </w:r>
      <w:bookmarkStart w:id="205" w:name="_Toc24269"/>
      <w:bookmarkStart w:id="206" w:name="_Toc27453"/>
      <w:r>
        <w:rPr>
          <w:rFonts w:hint="eastAsia" w:ascii="宋体" w:hAnsi="宋体" w:eastAsia="宋体" w:cs="宋体"/>
          <w:b/>
          <w:bCs/>
          <w:color w:val="auto"/>
          <w:kern w:val="44"/>
          <w:sz w:val="32"/>
          <w:szCs w:val="32"/>
          <w:lang w:val="en-US" w:eastAsia="zh-CN" w:bidi="ar-SA"/>
        </w:rPr>
        <w:t>第六章  投标文件（格式）</w:t>
      </w:r>
      <w:bookmarkEnd w:id="205"/>
      <w:bookmarkEnd w:id="206"/>
    </w:p>
    <w:p>
      <w:pPr>
        <w:rPr>
          <w:rFonts w:hint="eastAsia"/>
          <w:b/>
          <w:bCs/>
          <w:color w:val="auto"/>
          <w:sz w:val="30"/>
          <w:szCs w:val="30"/>
        </w:rPr>
      </w:pPr>
      <w:bookmarkStart w:id="207" w:name="_Toc498627082"/>
      <w:bookmarkStart w:id="208" w:name="_Toc486695806"/>
      <w:bookmarkStart w:id="209" w:name="_Toc498698226"/>
      <w:bookmarkStart w:id="210" w:name="_Toc486867150"/>
      <w:bookmarkStart w:id="211" w:name="_Toc478137727"/>
      <w:bookmarkStart w:id="212" w:name="_Toc1762"/>
      <w:bookmarkStart w:id="213" w:name="_Toc31410"/>
      <w:r>
        <w:rPr>
          <w:rFonts w:hint="eastAsia"/>
          <w:b/>
          <w:bCs/>
          <w:color w:val="auto"/>
          <w:sz w:val="30"/>
          <w:szCs w:val="30"/>
        </w:rPr>
        <w:t>投标文件封面格式</w:t>
      </w:r>
      <w:bookmarkEnd w:id="207"/>
      <w:bookmarkEnd w:id="208"/>
      <w:bookmarkEnd w:id="209"/>
      <w:bookmarkEnd w:id="210"/>
      <w:bookmarkEnd w:id="211"/>
      <w:r>
        <w:rPr>
          <w:rFonts w:hint="eastAsia"/>
          <w:b/>
          <w:bCs/>
          <w:color w:val="auto"/>
          <w:sz w:val="30"/>
          <w:szCs w:val="30"/>
        </w:rPr>
        <w:t>：</w:t>
      </w:r>
      <w:bookmarkEnd w:id="212"/>
      <w:bookmarkEnd w:id="213"/>
    </w:p>
    <w:p>
      <w:pPr>
        <w:adjustRightInd w:val="0"/>
        <w:snapToGrid w:val="0"/>
        <w:jc w:val="right"/>
        <w:rPr>
          <w:rFonts w:hint="eastAsia" w:ascii="宋体" w:hAnsi="宋体" w:eastAsia="宋体" w:cs="宋体"/>
          <w:b/>
          <w:color w:val="auto"/>
          <w:sz w:val="44"/>
          <w:szCs w:val="44"/>
        </w:rPr>
      </w:pPr>
      <w:r>
        <w:rPr>
          <w:rFonts w:hint="eastAsia" w:ascii="宋体" w:hAnsi="宋体" w:eastAsia="宋体" w:cs="宋体"/>
          <w:b/>
          <w:color w:val="auto"/>
          <w:sz w:val="32"/>
          <w:szCs w:val="32"/>
        </w:rPr>
        <w:t>正本/副本</w:t>
      </w:r>
    </w:p>
    <w:p>
      <w:pPr>
        <w:adjustRightInd w:val="0"/>
        <w:snapToGrid w:val="0"/>
        <w:rPr>
          <w:rFonts w:hint="eastAsia" w:ascii="宋体" w:hAnsi="宋体" w:eastAsia="宋体" w:cs="宋体"/>
          <w:b/>
          <w:color w:val="auto"/>
          <w:sz w:val="44"/>
          <w:szCs w:val="44"/>
        </w:rPr>
      </w:pPr>
    </w:p>
    <w:p>
      <w:pPr>
        <w:adjustRightInd w:val="0"/>
        <w:snapToGrid w:val="0"/>
        <w:jc w:val="center"/>
        <w:rPr>
          <w:rFonts w:hint="eastAsia" w:ascii="宋体" w:hAnsi="宋体" w:eastAsia="宋体" w:cs="宋体"/>
          <w:b/>
          <w:color w:val="auto"/>
          <w:sz w:val="44"/>
          <w:szCs w:val="44"/>
        </w:rPr>
      </w:pPr>
      <w:bookmarkStart w:id="214" w:name="_Toc3441_WPSOffice_Level1"/>
      <w:bookmarkStart w:id="215" w:name="_Toc13659_WPSOffice_Level1"/>
      <w:r>
        <w:rPr>
          <w:rFonts w:hint="eastAsia" w:ascii="宋体" w:hAnsi="宋体" w:eastAsia="宋体" w:cs="宋体"/>
          <w:bCs/>
          <w:color w:val="auto"/>
          <w:sz w:val="72"/>
          <w:szCs w:val="72"/>
        </w:rPr>
        <w:t>投标文件</w:t>
      </w:r>
      <w:bookmarkEnd w:id="214"/>
      <w:bookmarkEnd w:id="215"/>
    </w:p>
    <w:p>
      <w:pPr>
        <w:adjustRightInd w:val="0"/>
        <w:snapToGrid w:val="0"/>
        <w:rPr>
          <w:rFonts w:hint="eastAsia" w:ascii="宋体" w:hAnsi="宋体" w:eastAsia="宋体" w:cs="宋体"/>
          <w:b/>
          <w:color w:val="auto"/>
          <w:sz w:val="44"/>
          <w:szCs w:val="44"/>
        </w:rPr>
      </w:pPr>
    </w:p>
    <w:p>
      <w:pPr>
        <w:adjustRightInd w:val="0"/>
        <w:snapToGrid w:val="0"/>
        <w:rPr>
          <w:rFonts w:hint="eastAsia" w:ascii="宋体" w:hAnsi="宋体" w:eastAsia="宋体" w:cs="宋体"/>
          <w:b/>
          <w:color w:val="auto"/>
          <w:sz w:val="44"/>
          <w:szCs w:val="44"/>
        </w:rPr>
      </w:pPr>
    </w:p>
    <w:p>
      <w:pPr>
        <w:ind w:firstLine="1059" w:firstLineChars="353"/>
        <w:rPr>
          <w:rFonts w:hint="eastAsia" w:ascii="宋体" w:hAnsi="宋体" w:eastAsia="宋体" w:cs="宋体"/>
          <w:color w:val="auto"/>
          <w:sz w:val="30"/>
          <w:szCs w:val="30"/>
          <w:lang w:eastAsia="zh-CN"/>
        </w:rPr>
      </w:pPr>
      <w:r>
        <w:rPr>
          <w:rFonts w:hint="eastAsia" w:ascii="宋体" w:hAnsi="宋体" w:eastAsia="宋体" w:cs="宋体"/>
          <w:bCs/>
          <w:color w:val="auto"/>
          <w:sz w:val="30"/>
          <w:szCs w:val="30"/>
        </w:rPr>
        <w:t>项目名称：</w:t>
      </w:r>
      <w:r>
        <w:rPr>
          <w:rFonts w:hint="eastAsia" w:ascii="宋体" w:hAnsi="宋体" w:cs="宋体"/>
          <w:bCs/>
          <w:color w:val="auto"/>
          <w:sz w:val="30"/>
          <w:szCs w:val="30"/>
          <w:u w:val="single"/>
          <w:lang w:eastAsia="zh-CN"/>
        </w:rPr>
        <w:t>会仙校区15#楼学生床铺及柜子</w:t>
      </w:r>
    </w:p>
    <w:p>
      <w:pPr>
        <w:ind w:firstLine="1059" w:firstLineChars="353"/>
        <w:rPr>
          <w:rFonts w:hint="eastAsia" w:ascii="宋体" w:hAnsi="宋体" w:eastAsia="宋体" w:cs="宋体"/>
          <w:bCs/>
          <w:color w:val="auto"/>
          <w:sz w:val="30"/>
          <w:szCs w:val="30"/>
          <w:u w:val="single"/>
          <w:lang w:eastAsia="zh-CN"/>
        </w:rPr>
      </w:pPr>
      <w:r>
        <w:rPr>
          <w:rFonts w:hint="eastAsia" w:ascii="宋体" w:hAnsi="宋体" w:eastAsia="宋体" w:cs="宋体"/>
          <w:bCs/>
          <w:color w:val="auto"/>
          <w:sz w:val="30"/>
          <w:szCs w:val="30"/>
        </w:rPr>
        <w:t>项目编号：</w:t>
      </w:r>
      <w:r>
        <w:rPr>
          <w:rFonts w:hint="eastAsia" w:ascii="宋体" w:hAnsi="宋体" w:cs="宋体"/>
          <w:bCs/>
          <w:color w:val="auto"/>
          <w:sz w:val="30"/>
          <w:szCs w:val="30"/>
          <w:u w:val="single"/>
          <w:lang w:eastAsia="zh-CN"/>
        </w:rPr>
        <w:t xml:space="preserve">GLZC2020-G1-990086-JCZX </w:t>
      </w:r>
    </w:p>
    <w:p>
      <w:pPr>
        <w:ind w:firstLine="741" w:firstLineChars="353"/>
        <w:rPr>
          <w:rFonts w:hint="eastAsia" w:ascii="宋体" w:hAnsi="宋体" w:eastAsia="宋体" w:cs="宋体"/>
          <w:color w:val="auto"/>
        </w:rPr>
      </w:pPr>
    </w:p>
    <w:p>
      <w:pPr>
        <w:snapToGrid w:val="0"/>
        <w:spacing w:before="156" w:beforeLines="50" w:after="50"/>
        <w:ind w:firstLine="1260" w:firstLineChars="450"/>
        <w:rPr>
          <w:rFonts w:hint="eastAsia" w:ascii="宋体" w:hAnsi="宋体" w:eastAsia="宋体" w:cs="宋体"/>
          <w:bCs/>
          <w:color w:val="auto"/>
          <w:sz w:val="28"/>
          <w:szCs w:val="28"/>
        </w:rPr>
      </w:pPr>
    </w:p>
    <w:p>
      <w:pPr>
        <w:pStyle w:val="43"/>
        <w:rPr>
          <w:rFonts w:hint="eastAsia"/>
          <w:color w:val="auto"/>
        </w:rPr>
      </w:pPr>
    </w:p>
    <w:p>
      <w:pPr>
        <w:snapToGrid w:val="0"/>
        <w:spacing w:before="156" w:beforeLines="50" w:after="50"/>
        <w:ind w:firstLine="1260" w:firstLineChars="450"/>
        <w:rPr>
          <w:rFonts w:hint="eastAsia" w:ascii="宋体" w:hAnsi="宋体" w:eastAsia="宋体" w:cs="宋体"/>
          <w:bCs/>
          <w:color w:val="auto"/>
          <w:sz w:val="28"/>
          <w:szCs w:val="28"/>
        </w:rPr>
      </w:pPr>
    </w:p>
    <w:p>
      <w:pPr>
        <w:snapToGrid w:val="0"/>
        <w:spacing w:before="156" w:beforeLines="50" w:after="50"/>
        <w:ind w:firstLine="1260" w:firstLineChars="450"/>
        <w:rPr>
          <w:rFonts w:hint="eastAsia" w:ascii="宋体" w:hAnsi="宋体" w:eastAsia="宋体" w:cs="宋体"/>
          <w:bCs/>
          <w:color w:val="auto"/>
          <w:sz w:val="28"/>
          <w:szCs w:val="28"/>
        </w:rPr>
      </w:pPr>
    </w:p>
    <w:p>
      <w:pPr>
        <w:ind w:firstLine="964" w:firstLineChars="300"/>
        <w:jc w:val="left"/>
        <w:rPr>
          <w:rFonts w:hint="eastAsia" w:ascii="宋体" w:hAnsi="宋体" w:eastAsia="宋体" w:cs="宋体"/>
          <w:b/>
          <w:color w:val="auto"/>
          <w:sz w:val="32"/>
          <w:szCs w:val="32"/>
        </w:rPr>
      </w:pPr>
    </w:p>
    <w:p>
      <w:pPr>
        <w:pStyle w:val="13"/>
        <w:ind w:left="980" w:hanging="560" w:hangingChars="200"/>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采购代理机构：</w:t>
      </w:r>
      <w:r>
        <w:rPr>
          <w:rFonts w:hint="eastAsia" w:ascii="宋体" w:hAnsi="宋体" w:eastAsia="宋体" w:cs="宋体"/>
          <w:bCs/>
          <w:color w:val="auto"/>
          <w:sz w:val="28"/>
          <w:szCs w:val="28"/>
          <w:u w:val="single"/>
        </w:rPr>
        <w:t>桂林市政府集中采购中心</w:t>
      </w:r>
    </w:p>
    <w:p>
      <w:pPr>
        <w:pStyle w:val="13"/>
        <w:ind w:left="980" w:hanging="560" w:hangingChars="200"/>
        <w:rPr>
          <w:rFonts w:hint="eastAsia" w:ascii="宋体" w:hAnsi="宋体" w:eastAsia="宋体" w:cs="宋体"/>
          <w:bCs/>
          <w:color w:val="auto"/>
          <w:sz w:val="28"/>
          <w:szCs w:val="28"/>
        </w:rPr>
      </w:pPr>
      <w:bookmarkStart w:id="216" w:name="_Toc4932_WPSOffice_Level2"/>
      <w:bookmarkStart w:id="217" w:name="_Toc20319_WPSOffice_Level2"/>
      <w:r>
        <w:rPr>
          <w:rFonts w:hint="eastAsia" w:ascii="宋体" w:hAnsi="宋体" w:eastAsia="宋体" w:cs="宋体"/>
          <w:bCs/>
          <w:color w:val="auto"/>
          <w:sz w:val="28"/>
          <w:szCs w:val="28"/>
        </w:rPr>
        <w:t>投标人（公章、自然人除外）：</w:t>
      </w:r>
      <w:r>
        <w:rPr>
          <w:rFonts w:hint="eastAsia" w:ascii="宋体" w:hAnsi="宋体" w:eastAsia="宋体" w:cs="宋体"/>
          <w:bCs/>
          <w:color w:val="auto"/>
          <w:sz w:val="28"/>
          <w:szCs w:val="28"/>
          <w:u w:val="single"/>
        </w:rPr>
        <w:t xml:space="preserve">                       </w:t>
      </w:r>
      <w:bookmarkEnd w:id="216"/>
      <w:bookmarkEnd w:id="217"/>
      <w:r>
        <w:rPr>
          <w:rFonts w:hint="eastAsia" w:ascii="宋体" w:hAnsi="宋体" w:eastAsia="宋体" w:cs="宋体"/>
          <w:bCs/>
          <w:color w:val="auto"/>
          <w:sz w:val="28"/>
          <w:szCs w:val="28"/>
          <w:u w:val="single"/>
        </w:rPr>
        <w:t xml:space="preserve">       </w:t>
      </w:r>
    </w:p>
    <w:p>
      <w:pPr>
        <w:pStyle w:val="15"/>
        <w:spacing w:line="320" w:lineRule="exact"/>
        <w:ind w:firstLine="420"/>
        <w:rPr>
          <w:rFonts w:hint="eastAsia" w:ascii="宋体" w:hAnsi="宋体" w:eastAsia="宋体" w:cs="宋体"/>
          <w:color w:val="auto"/>
          <w:sz w:val="28"/>
          <w:szCs w:val="28"/>
        </w:rPr>
      </w:pPr>
      <w:bookmarkStart w:id="218" w:name="_Toc11679_WPSOffice_Level2"/>
      <w:bookmarkStart w:id="219" w:name="_Toc4767_WPSOffice_Level2"/>
      <w:r>
        <w:rPr>
          <w:rFonts w:hint="eastAsia" w:ascii="宋体" w:hAnsi="宋体" w:eastAsia="宋体" w:cs="宋体"/>
          <w:color w:val="auto"/>
          <w:sz w:val="28"/>
          <w:szCs w:val="28"/>
        </w:rPr>
        <w:t>法定代表人、负责人、自然人或相应的委托代理人签字（或盖章）</w:t>
      </w:r>
    </w:p>
    <w:p>
      <w:pPr>
        <w:pStyle w:val="13"/>
        <w:ind w:left="980" w:hanging="560" w:hanging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（属自然人的应在签名处加盖大拇指指印）：</w:t>
      </w:r>
      <w:r>
        <w:rPr>
          <w:rFonts w:hint="eastAsia" w:ascii="宋体" w:hAnsi="宋体" w:eastAsia="宋体" w:cs="宋体"/>
          <w:color w:val="auto"/>
          <w:sz w:val="28"/>
          <w:szCs w:val="28"/>
          <w:u w:val="single"/>
        </w:rPr>
        <w:t xml:space="preserve">                  </w:t>
      </w:r>
      <w:bookmarkEnd w:id="218"/>
      <w:bookmarkEnd w:id="219"/>
      <w:bookmarkStart w:id="220" w:name="_Toc32056_WPSOffice_Level2"/>
      <w:bookmarkStart w:id="221" w:name="_Toc9622_WPSOffice_Level2"/>
    </w:p>
    <w:p>
      <w:pPr>
        <w:pStyle w:val="13"/>
        <w:ind w:left="980" w:hanging="560" w:hangingChars="200"/>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联系电话：</w:t>
      </w:r>
      <w:bookmarkEnd w:id="220"/>
      <w:bookmarkEnd w:id="221"/>
      <w:r>
        <w:rPr>
          <w:rFonts w:hint="eastAsia" w:ascii="宋体" w:hAnsi="宋体" w:eastAsia="宋体" w:cs="宋体"/>
          <w:bCs/>
          <w:color w:val="auto"/>
          <w:sz w:val="28"/>
          <w:szCs w:val="28"/>
          <w:u w:val="single"/>
        </w:rPr>
        <w:t xml:space="preserve">                                                </w:t>
      </w:r>
    </w:p>
    <w:p>
      <w:pPr>
        <w:pStyle w:val="13"/>
        <w:ind w:left="980" w:hanging="560" w:hangingChars="200"/>
        <w:rPr>
          <w:rFonts w:hint="eastAsia" w:ascii="宋体" w:hAnsi="宋体" w:eastAsia="宋体" w:cs="宋体"/>
          <w:b/>
          <w:color w:val="auto"/>
          <w:sz w:val="32"/>
          <w:szCs w:val="32"/>
        </w:rPr>
      </w:pPr>
      <w:bookmarkStart w:id="222" w:name="_Toc26465_WPSOffice_Level2"/>
      <w:bookmarkStart w:id="223" w:name="_Toc15933_WPSOffice_Level2"/>
      <w:r>
        <w:rPr>
          <w:rFonts w:hint="eastAsia" w:ascii="宋体" w:hAnsi="宋体" w:eastAsia="宋体" w:cs="宋体"/>
          <w:bCs/>
          <w:color w:val="auto"/>
          <w:sz w:val="28"/>
          <w:szCs w:val="28"/>
        </w:rPr>
        <w:t>日期：</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bookmarkEnd w:id="222"/>
      <w:bookmarkEnd w:id="223"/>
    </w:p>
    <w:p>
      <w:pPr>
        <w:spacing w:line="40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jc w:val="center"/>
        <w:rPr>
          <w:rFonts w:hint="eastAsia"/>
          <w:b/>
          <w:bCs/>
          <w:color w:val="auto"/>
          <w:sz w:val="32"/>
          <w:szCs w:val="32"/>
          <w:lang w:eastAsia="zh-CN"/>
        </w:rPr>
      </w:pPr>
      <w:r>
        <w:rPr>
          <w:rFonts w:hint="eastAsia"/>
          <w:b/>
          <w:bCs/>
          <w:color w:val="auto"/>
          <w:sz w:val="32"/>
          <w:szCs w:val="32"/>
          <w:lang w:eastAsia="zh-CN"/>
        </w:rPr>
        <w:t>投标文件目录</w:t>
      </w:r>
    </w:p>
    <w:p>
      <w:pPr>
        <w:tabs>
          <w:tab w:val="left" w:pos="1305"/>
        </w:tabs>
        <w:spacing w:line="380" w:lineRule="exact"/>
        <w:ind w:firstLine="422" w:firstLineChars="150"/>
        <w:rPr>
          <w:rFonts w:hint="eastAsia" w:ascii="宋体" w:hAnsi="宋体" w:eastAsia="宋体" w:cs="宋体"/>
          <w:b/>
          <w:color w:val="auto"/>
          <w:sz w:val="28"/>
          <w:szCs w:val="28"/>
        </w:rPr>
      </w:pPr>
      <w:r>
        <w:rPr>
          <w:rFonts w:hint="eastAsia" w:ascii="宋体" w:hAnsi="宋体" w:eastAsia="宋体" w:cs="宋体"/>
          <w:b/>
          <w:color w:val="auto"/>
          <w:sz w:val="28"/>
          <w:szCs w:val="28"/>
        </w:rPr>
        <w:t>一、投标报价表</w:t>
      </w:r>
    </w:p>
    <w:p>
      <w:pPr>
        <w:tabs>
          <w:tab w:val="left" w:pos="1305"/>
        </w:tabs>
        <w:spacing w:line="380" w:lineRule="exact"/>
        <w:ind w:firstLine="422" w:firstLineChars="150"/>
        <w:rPr>
          <w:rFonts w:hint="eastAsia" w:ascii="宋体" w:hAnsi="宋体" w:eastAsia="宋体" w:cs="宋体"/>
          <w:b/>
          <w:color w:val="auto"/>
          <w:sz w:val="28"/>
          <w:szCs w:val="28"/>
        </w:rPr>
      </w:pPr>
      <w:r>
        <w:rPr>
          <w:rFonts w:hint="eastAsia" w:ascii="宋体" w:hAnsi="宋体" w:eastAsia="宋体" w:cs="宋体"/>
          <w:b/>
          <w:color w:val="auto"/>
          <w:sz w:val="28"/>
          <w:szCs w:val="28"/>
        </w:rPr>
        <w:t>二、资格性响应证明材料</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1.投标人相应的法定代表人、负责人、自然人身份证正反面复印件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auto"/>
          <w:szCs w:val="21"/>
          <w:u w:val="single"/>
        </w:rPr>
        <w:t>（委托代理时必须提供）；</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3.投标人的法人或者其他组织营业执照等证明文件复印件</w:t>
      </w:r>
      <w:r>
        <w:rPr>
          <w:rFonts w:hint="eastAsia" w:ascii="宋体" w:hAnsi="宋体" w:eastAsia="宋体" w:cs="宋体"/>
          <w:b/>
          <w:bCs/>
          <w:color w:val="auto"/>
          <w:szCs w:val="21"/>
        </w:rPr>
        <w:t>（必须提供，自然人除外）</w:t>
      </w:r>
      <w:r>
        <w:rPr>
          <w:rFonts w:hint="eastAsia" w:ascii="宋体" w:hAnsi="宋体" w:eastAsia="宋体" w:cs="宋体"/>
          <w:color w:val="auto"/>
          <w:szCs w:val="21"/>
        </w:rPr>
        <w:t>；</w:t>
      </w:r>
    </w:p>
    <w:p>
      <w:pPr>
        <w:tabs>
          <w:tab w:val="left" w:pos="1305"/>
        </w:tabs>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投标人参加政府采购活动前3年内在经营活动中没有重大违法记录及有关信用信息的书面声明</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pStyle w:val="43"/>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kern w:val="2"/>
          <w:sz w:val="21"/>
          <w:szCs w:val="21"/>
          <w:lang w:val="en-US" w:eastAsia="zh-CN" w:bidi="ar-SA"/>
        </w:rPr>
        <w:t>6.供应商近半年内任意一个月或任一季度依法缴纳税收的证明材料（增值税发票或企业所得税完税证明或税务部门出具的免税证明）复印件</w:t>
      </w:r>
      <w:r>
        <w:rPr>
          <w:rFonts w:hint="eastAsia" w:ascii="宋体" w:hAnsi="宋体" w:eastAsia="宋体" w:cs="宋体"/>
          <w:b/>
          <w:bCs/>
          <w:i w:val="0"/>
          <w:iCs w:val="0"/>
          <w:color w:val="auto"/>
          <w:kern w:val="2"/>
          <w:sz w:val="21"/>
          <w:szCs w:val="21"/>
          <w:lang w:val="en-US" w:eastAsia="zh-CN" w:bidi="ar-SA"/>
        </w:rPr>
        <w:t>（必须提供）</w:t>
      </w:r>
      <w:r>
        <w:rPr>
          <w:rFonts w:hint="eastAsia" w:ascii="宋体" w:hAnsi="宋体" w:eastAsia="宋体" w:cs="宋体"/>
          <w:color w:val="auto"/>
          <w:kern w:val="2"/>
          <w:sz w:val="21"/>
          <w:szCs w:val="21"/>
          <w:lang w:val="en-US" w:eastAsia="zh-CN" w:bidi="ar-SA"/>
        </w:rPr>
        <w:t>；</w:t>
      </w:r>
    </w:p>
    <w:p>
      <w:pPr>
        <w:tabs>
          <w:tab w:val="left" w:pos="1305"/>
        </w:tabs>
        <w:spacing w:line="380" w:lineRule="exact"/>
        <w:ind w:firstLine="422" w:firstLineChars="150"/>
        <w:rPr>
          <w:rFonts w:hint="eastAsia" w:ascii="宋体" w:hAnsi="宋体" w:eastAsia="宋体" w:cs="宋体"/>
          <w:b/>
          <w:color w:val="auto"/>
          <w:sz w:val="28"/>
          <w:szCs w:val="28"/>
        </w:rPr>
      </w:pPr>
      <w:r>
        <w:rPr>
          <w:rFonts w:hint="eastAsia" w:ascii="宋体" w:hAnsi="宋体" w:eastAsia="宋体" w:cs="宋体"/>
          <w:b/>
          <w:color w:val="auto"/>
          <w:sz w:val="28"/>
          <w:szCs w:val="28"/>
        </w:rPr>
        <w:t>三、商务、技术性响应及其他证明材料：</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1. </w:t>
      </w:r>
      <w:r>
        <w:rPr>
          <w:rFonts w:hint="eastAsia" w:ascii="宋体" w:hAnsi="宋体" w:eastAsia="宋体" w:cs="宋体"/>
          <w:color w:val="auto"/>
          <w:szCs w:val="21"/>
        </w:rPr>
        <w:t>技术规格偏离表</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2. </w:t>
      </w:r>
      <w:r>
        <w:rPr>
          <w:rFonts w:hint="eastAsia" w:ascii="宋体" w:hAnsi="宋体" w:eastAsia="宋体" w:cs="宋体"/>
          <w:color w:val="auto"/>
          <w:szCs w:val="21"/>
        </w:rPr>
        <w:t>商务响应表</w:t>
      </w:r>
      <w:r>
        <w:rPr>
          <w:rFonts w:hint="eastAsia" w:ascii="宋体" w:hAnsi="宋体" w:eastAsia="宋体" w:cs="宋体"/>
          <w:b/>
          <w:color w:val="auto"/>
          <w:szCs w:val="21"/>
        </w:rPr>
        <w:t>（必须提供）；</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3. </w:t>
      </w:r>
      <w:r>
        <w:rPr>
          <w:rFonts w:hint="eastAsia" w:ascii="宋体" w:hAnsi="宋体" w:eastAsia="宋体" w:cs="宋体"/>
          <w:color w:val="auto"/>
          <w:szCs w:val="21"/>
        </w:rPr>
        <w:t>“货物采购需求”需提供的有效证明文件</w:t>
      </w:r>
      <w:r>
        <w:rPr>
          <w:rFonts w:hint="eastAsia" w:ascii="宋体" w:hAnsi="宋体" w:eastAsia="宋体" w:cs="宋体"/>
          <w:b/>
          <w:color w:val="auto"/>
          <w:szCs w:val="21"/>
        </w:rPr>
        <w:t>（按其要求提供）</w:t>
      </w:r>
      <w:r>
        <w:rPr>
          <w:rFonts w:hint="eastAsia" w:ascii="宋体" w:hAnsi="宋体" w:eastAsia="宋体" w:cs="宋体"/>
          <w:color w:val="auto"/>
          <w:szCs w:val="21"/>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4. </w:t>
      </w:r>
      <w:r>
        <w:rPr>
          <w:rFonts w:hint="eastAsia" w:ascii="宋体" w:hAnsi="宋体" w:eastAsia="宋体" w:cs="宋体"/>
          <w:color w:val="auto"/>
          <w:szCs w:val="21"/>
        </w:rPr>
        <w:t>投标人的售后服务承诺书（含免费保修期、交付使用期、技术服务、技术培训、售后服务的内容和措施等）</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5. </w:t>
      </w:r>
      <w:r>
        <w:rPr>
          <w:rFonts w:hint="eastAsia" w:ascii="宋体" w:hAnsi="宋体" w:eastAsia="宋体" w:cs="宋体"/>
          <w:color w:val="auto"/>
          <w:szCs w:val="21"/>
        </w:rPr>
        <w:t>项目实施人员一览表</w:t>
      </w:r>
      <w:r>
        <w:rPr>
          <w:rFonts w:hint="eastAsia" w:ascii="宋体" w:hAnsi="宋体" w:eastAsia="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0"/>
        </w:rPr>
      </w:pPr>
      <w:r>
        <w:rPr>
          <w:rFonts w:hint="eastAsia" w:ascii="宋体" w:hAnsi="宋体" w:cs="宋体"/>
          <w:color w:val="auto"/>
          <w:szCs w:val="21"/>
          <w:lang w:val="en-US" w:eastAsia="zh-CN"/>
        </w:rPr>
        <w:t xml:space="preserve">6. </w:t>
      </w:r>
      <w:r>
        <w:rPr>
          <w:rFonts w:hint="eastAsia" w:ascii="宋体" w:hAnsi="宋体" w:eastAsia="宋体" w:cs="宋体"/>
          <w:color w:val="auto"/>
          <w:szCs w:val="21"/>
        </w:rPr>
        <w:t>节能方面的证书复印件</w:t>
      </w:r>
      <w:r>
        <w:rPr>
          <w:rFonts w:hint="eastAsia" w:ascii="宋体" w:hAnsi="宋体" w:eastAsia="宋体" w:cs="宋体"/>
          <w:b/>
          <w:color w:val="auto"/>
          <w:szCs w:val="21"/>
        </w:rPr>
        <w:t>（如有，请提供）；</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0"/>
        </w:rPr>
      </w:pPr>
      <w:r>
        <w:rPr>
          <w:rFonts w:hint="eastAsia" w:ascii="宋体" w:hAnsi="宋体" w:cs="宋体"/>
          <w:color w:val="auto"/>
          <w:szCs w:val="21"/>
          <w:lang w:val="en-US" w:eastAsia="zh-CN"/>
        </w:rPr>
        <w:t xml:space="preserve">7. </w:t>
      </w:r>
      <w:r>
        <w:rPr>
          <w:rFonts w:hint="eastAsia" w:ascii="宋体" w:hAnsi="宋体" w:eastAsia="宋体" w:cs="宋体"/>
          <w:color w:val="auto"/>
          <w:szCs w:val="21"/>
        </w:rPr>
        <w:t>环境标志方面的证书复印件</w:t>
      </w:r>
      <w:r>
        <w:rPr>
          <w:rFonts w:hint="eastAsia" w:ascii="宋体" w:hAnsi="宋体" w:eastAsia="宋体" w:cs="宋体"/>
          <w:b/>
          <w:color w:val="auto"/>
          <w:szCs w:val="21"/>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lang w:val="en-US" w:eastAsia="zh-CN"/>
        </w:rPr>
        <w:t xml:space="preserve">8. </w:t>
      </w:r>
      <w:r>
        <w:rPr>
          <w:rFonts w:hint="eastAsia" w:ascii="宋体" w:hAnsi="宋体" w:eastAsia="宋体" w:cs="宋体"/>
          <w:color w:val="auto"/>
        </w:rPr>
        <w:t>投标人201</w:t>
      </w:r>
      <w:r>
        <w:rPr>
          <w:rFonts w:hint="eastAsia" w:ascii="宋体" w:hAnsi="宋体" w:cs="宋体"/>
          <w:color w:val="auto"/>
          <w:lang w:val="en-US" w:eastAsia="zh-CN"/>
        </w:rPr>
        <w:t>7</w:t>
      </w:r>
      <w:r>
        <w:rPr>
          <w:rFonts w:hint="eastAsia" w:ascii="宋体" w:hAnsi="宋体" w:eastAsia="宋体" w:cs="宋体"/>
          <w:color w:val="auto"/>
        </w:rPr>
        <w:t>年</w:t>
      </w:r>
      <w:r>
        <w:rPr>
          <w:rFonts w:hint="eastAsia" w:ascii="宋体" w:hAnsi="宋体" w:cs="宋体"/>
          <w:color w:val="auto"/>
          <w:lang w:val="en-US" w:eastAsia="zh-CN"/>
        </w:rPr>
        <w:t>1月1日</w:t>
      </w:r>
      <w:r>
        <w:rPr>
          <w:rFonts w:hint="eastAsia" w:ascii="宋体" w:hAnsi="宋体" w:eastAsia="宋体" w:cs="宋体"/>
          <w:color w:val="auto"/>
        </w:rPr>
        <w:t>以来</w:t>
      </w:r>
      <w:r>
        <w:rPr>
          <w:rFonts w:hint="eastAsia" w:ascii="宋体" w:hAnsi="宋体" w:cs="宋体"/>
          <w:color w:val="auto"/>
          <w:lang w:val="en-US" w:eastAsia="zh-CN"/>
        </w:rPr>
        <w:t>同类产品（金属床、金属柜）</w:t>
      </w:r>
      <w:r>
        <w:rPr>
          <w:rFonts w:hint="eastAsia" w:ascii="宋体" w:hAnsi="宋体" w:eastAsia="宋体" w:cs="宋体"/>
          <w:color w:val="auto"/>
        </w:rPr>
        <w:t>销售业绩的相关证明材料</w:t>
      </w:r>
      <w:r>
        <w:rPr>
          <w:rFonts w:hint="eastAsia" w:ascii="宋体" w:hAnsi="宋体" w:eastAsia="宋体" w:cs="宋体"/>
          <w:color w:val="auto"/>
          <w:szCs w:val="21"/>
        </w:rPr>
        <w:t>（无不良记录，以中标、成交通知书或签订的销售合同为准，并能清晰反映所销售的货物名称、金额</w:t>
      </w:r>
      <w:r>
        <w:rPr>
          <w:rFonts w:hint="eastAsia" w:ascii="宋体" w:hAnsi="宋体" w:eastAsia="宋体" w:cs="宋体"/>
          <w:color w:val="auto"/>
        </w:rPr>
        <w:t>）</w:t>
      </w:r>
      <w:r>
        <w:rPr>
          <w:rFonts w:hint="eastAsia" w:ascii="宋体" w:hAnsi="宋体" w:eastAsia="宋体" w:cs="宋体"/>
          <w:b/>
          <w:color w:val="auto"/>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cs="宋体"/>
          <w:color w:val="auto"/>
          <w:szCs w:val="21"/>
          <w:lang w:val="en-US" w:eastAsia="zh-CN"/>
        </w:rPr>
        <w:t xml:space="preserve">9. </w:t>
      </w:r>
      <w:r>
        <w:rPr>
          <w:rFonts w:hint="eastAsia" w:ascii="宋体" w:hAnsi="宋体" w:eastAsia="宋体" w:cs="宋体"/>
          <w:color w:val="auto"/>
          <w:szCs w:val="21"/>
        </w:rPr>
        <w:t>投标人为生产厂家的，投标人的生产制造设备清单及专业技术能力说明</w:t>
      </w:r>
      <w:r>
        <w:rPr>
          <w:rFonts w:hint="eastAsia" w:ascii="宋体" w:hAnsi="宋体" w:eastAsia="宋体" w:cs="宋体"/>
          <w:b/>
          <w:color w:val="auto"/>
        </w:rPr>
        <w:t>（如有，请提供）</w:t>
      </w:r>
      <w:r>
        <w:rPr>
          <w:rFonts w:hint="eastAsia" w:ascii="宋体" w:hAnsi="宋体" w:eastAsia="宋体" w:cs="宋体"/>
          <w:color w:val="auto"/>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0"/>
          <w:lang w:val="en-US" w:eastAsia="zh-CN"/>
        </w:rPr>
        <w:t xml:space="preserve">10. </w:t>
      </w:r>
      <w:r>
        <w:rPr>
          <w:rFonts w:hint="eastAsia" w:ascii="宋体" w:hAnsi="宋体" w:eastAsia="宋体" w:cs="宋体"/>
          <w:color w:val="auto"/>
          <w:szCs w:val="20"/>
        </w:rPr>
        <w:t>投标人相关获奖证书、认证证书等复印件</w:t>
      </w:r>
      <w:r>
        <w:rPr>
          <w:rFonts w:hint="eastAsia" w:ascii="宋体" w:hAnsi="宋体" w:eastAsia="宋体" w:cs="宋体"/>
          <w:b/>
          <w:color w:val="auto"/>
        </w:rPr>
        <w:t>（如有，请提供）</w:t>
      </w:r>
      <w:r>
        <w:rPr>
          <w:rFonts w:hint="eastAsia" w:ascii="宋体" w:hAnsi="宋体" w:eastAsia="宋体" w:cs="宋体"/>
          <w:color w:val="auto"/>
          <w:szCs w:val="20"/>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rPr>
      </w:pPr>
      <w:r>
        <w:rPr>
          <w:rFonts w:hint="eastAsia" w:ascii="宋体" w:hAnsi="宋体" w:cs="宋体"/>
          <w:color w:val="auto"/>
          <w:lang w:val="en-US" w:eastAsia="zh-CN"/>
        </w:rPr>
        <w:t xml:space="preserve">11. </w:t>
      </w:r>
      <w:r>
        <w:rPr>
          <w:rFonts w:hint="eastAsia" w:ascii="宋体" w:hAnsi="宋体" w:eastAsia="宋体" w:cs="宋体"/>
          <w:color w:val="auto"/>
        </w:rPr>
        <w:t>投标人所投产品为广西工业产品的，如实提供《广西工业产品声明函》</w:t>
      </w:r>
      <w:r>
        <w:rPr>
          <w:rFonts w:hint="eastAsia" w:ascii="宋体" w:hAnsi="宋体" w:eastAsia="宋体" w:cs="宋体"/>
          <w:b/>
          <w:color w:val="auto"/>
        </w:rPr>
        <w:t>（如有，请提供）</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 xml:space="preserve">12. </w:t>
      </w:r>
      <w:r>
        <w:rPr>
          <w:rFonts w:hint="eastAsia" w:ascii="宋体" w:hAnsi="宋体" w:eastAsia="宋体" w:cs="宋体"/>
          <w:color w:val="auto"/>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auto"/>
        </w:rPr>
        <w:t>（如有，请提供）</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 xml:space="preserve">13. </w:t>
      </w:r>
      <w:r>
        <w:rPr>
          <w:rFonts w:hint="eastAsia" w:ascii="宋体" w:hAnsi="宋体" w:eastAsia="宋体" w:cs="宋体"/>
          <w:color w:val="auto"/>
        </w:rPr>
        <w:t>如产品属于监狱企业的，以提供由省级以上监狱管理局、戒毒管理局（含新疆生产建设兵团）出具的属于监狱企业的证明文件为准</w:t>
      </w:r>
      <w:r>
        <w:rPr>
          <w:rFonts w:hint="eastAsia" w:ascii="宋体" w:hAnsi="宋体" w:eastAsia="宋体" w:cs="宋体"/>
          <w:color w:val="auto"/>
          <w:kern w:val="0"/>
          <w:sz w:val="24"/>
        </w:rPr>
        <w:t>（</w:t>
      </w:r>
      <w:r>
        <w:rPr>
          <w:rFonts w:hint="eastAsia" w:ascii="宋体" w:hAnsi="宋体" w:eastAsia="宋体" w:cs="宋体"/>
          <w:b/>
          <w:color w:val="auto"/>
        </w:rPr>
        <w:t>如有，请提供</w:t>
      </w:r>
      <w:r>
        <w:rPr>
          <w:rFonts w:hint="eastAsia" w:ascii="宋体" w:hAnsi="宋体" w:eastAsia="宋体" w:cs="宋体"/>
          <w:color w:val="auto"/>
          <w:kern w:val="0"/>
          <w:sz w:val="24"/>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lang w:val="en-US" w:eastAsia="zh-CN"/>
        </w:rPr>
        <w:t xml:space="preserve">14. </w:t>
      </w:r>
      <w:r>
        <w:rPr>
          <w:rFonts w:hint="eastAsia" w:ascii="宋体" w:hAnsi="宋体" w:eastAsia="宋体" w:cs="宋体"/>
          <w:color w:val="auto"/>
        </w:rPr>
        <w:t>符合条件的残疾人福利性单位在参加政府采购活动时，应当提供《残疾人福利性单位声明函》（见附件），并对声明的真实性负责</w:t>
      </w:r>
      <w:r>
        <w:rPr>
          <w:rFonts w:hint="eastAsia" w:ascii="宋体" w:hAnsi="宋体" w:cs="宋体"/>
          <w:b/>
          <w:bCs/>
          <w:color w:val="auto"/>
          <w:lang w:eastAsia="zh-CN"/>
        </w:rPr>
        <w:t>（</w:t>
      </w:r>
      <w:r>
        <w:rPr>
          <w:rFonts w:hint="eastAsia" w:ascii="宋体" w:hAnsi="宋体" w:cs="宋体"/>
          <w:b/>
          <w:bCs/>
          <w:color w:val="auto"/>
          <w:lang w:val="en-US" w:eastAsia="zh-CN"/>
        </w:rPr>
        <w:t>如有，请提供</w:t>
      </w:r>
      <w:r>
        <w:rPr>
          <w:rFonts w:hint="eastAsia" w:ascii="宋体" w:hAnsi="宋体" w:cs="宋体"/>
          <w:b/>
          <w:bCs/>
          <w:color w:val="auto"/>
          <w:lang w:eastAsia="zh-CN"/>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 xml:space="preserve">15. </w:t>
      </w:r>
      <w:r>
        <w:rPr>
          <w:rFonts w:hint="eastAsia" w:ascii="宋体" w:hAnsi="宋体" w:eastAsia="宋体" w:cs="宋体"/>
          <w:color w:val="auto"/>
          <w:szCs w:val="21"/>
        </w:rPr>
        <w:t>投标人可结合本项目的评标办法视自身情况自行提交相关证明材料</w:t>
      </w:r>
      <w:r>
        <w:rPr>
          <w:rFonts w:hint="eastAsia" w:ascii="宋体" w:hAnsi="宋体" w:eastAsia="宋体" w:cs="宋体"/>
          <w:b/>
          <w:color w:val="auto"/>
        </w:rPr>
        <w:t>（如有，请提供）</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 xml:space="preserve">16. </w:t>
      </w:r>
      <w:r>
        <w:rPr>
          <w:rFonts w:hint="eastAsia" w:ascii="宋体" w:hAnsi="宋体" w:eastAsia="宋体" w:cs="宋体"/>
          <w:color w:val="auto"/>
        </w:rPr>
        <w:t>项目</w:t>
      </w:r>
      <w:r>
        <w:rPr>
          <w:rFonts w:hint="eastAsia" w:ascii="宋体" w:hAnsi="宋体" w:cs="宋体"/>
          <w:color w:val="auto"/>
          <w:lang w:val="en-US" w:eastAsia="zh-CN"/>
        </w:rPr>
        <w:t>配送、安装方案</w:t>
      </w:r>
      <w:r>
        <w:rPr>
          <w:rFonts w:hint="eastAsia" w:ascii="宋体" w:hAnsi="宋体" w:eastAsia="宋体" w:cs="宋体"/>
          <w:b/>
          <w:color w:val="auto"/>
        </w:rPr>
        <w:t>（如有，请提供）</w:t>
      </w:r>
      <w:r>
        <w:rPr>
          <w:rFonts w:hint="eastAsia" w:ascii="宋体" w:hAnsi="宋体" w:eastAsia="宋体" w:cs="宋体"/>
          <w:color w:val="auto"/>
          <w:szCs w:val="21"/>
        </w:rPr>
        <w:t>。</w:t>
      </w:r>
    </w:p>
    <w:p>
      <w:pPr>
        <w:spacing w:line="400" w:lineRule="exact"/>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bCs/>
          <w:color w:val="auto"/>
          <w:sz w:val="32"/>
          <w:szCs w:val="32"/>
          <w:lang w:eastAsia="zh-CN"/>
        </w:rPr>
      </w:pPr>
      <w:r>
        <w:rPr>
          <w:rFonts w:hint="eastAsia"/>
          <w:b/>
          <w:bCs/>
          <w:color w:val="auto"/>
          <w:sz w:val="32"/>
          <w:szCs w:val="32"/>
          <w:lang w:eastAsia="zh-CN"/>
        </w:rPr>
        <w:t>一、投标报价表</w:t>
      </w:r>
    </w:p>
    <w:p>
      <w:pPr>
        <w:pStyle w:val="15"/>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auto"/>
          <w:kern w:val="2"/>
          <w:sz w:val="32"/>
          <w:szCs w:val="24"/>
          <w:lang w:val="en-US" w:eastAsia="zh-CN" w:bidi="ar-SA"/>
        </w:rPr>
      </w:pPr>
      <w:r>
        <w:rPr>
          <w:rFonts w:hint="eastAsia" w:ascii="宋体" w:hAnsi="宋体" w:eastAsia="宋体" w:cs="宋体"/>
          <w:b/>
          <w:color w:val="auto"/>
          <w:kern w:val="2"/>
          <w:sz w:val="32"/>
          <w:szCs w:val="24"/>
          <w:lang w:val="en-US" w:eastAsia="zh-CN" w:bidi="ar-SA"/>
        </w:rPr>
        <w:t>投标报价表（格式）（可根据项目类别进行调整）</w:t>
      </w:r>
    </w:p>
    <w:p>
      <w:pPr>
        <w:rPr>
          <w:rFonts w:hint="eastAsia"/>
          <w:color w:val="auto"/>
        </w:rPr>
      </w:pPr>
    </w:p>
    <w:p>
      <w:pPr>
        <w:pStyle w:val="15"/>
        <w:spacing w:line="300" w:lineRule="exact"/>
        <w:ind w:firstLine="551" w:firstLineChars="196"/>
        <w:rPr>
          <w:rFonts w:hint="eastAsia" w:hAnsi="宋体"/>
          <w:b/>
          <w:color w:val="auto"/>
          <w:sz w:val="28"/>
          <w:szCs w:val="28"/>
        </w:rPr>
      </w:pPr>
      <w:r>
        <w:rPr>
          <w:rFonts w:hint="eastAsia" w:hAnsi="宋体"/>
          <w:b/>
          <w:color w:val="auto"/>
          <w:sz w:val="28"/>
          <w:szCs w:val="28"/>
        </w:rPr>
        <w:t>分标</w:t>
      </w:r>
    </w:p>
    <w:tbl>
      <w:tblPr>
        <w:tblStyle w:val="26"/>
        <w:tblW w:w="99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货物名称</w:t>
            </w:r>
          </w:p>
        </w:tc>
        <w:tc>
          <w:tcPr>
            <w:tcW w:w="14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rPr>
            </w:pPr>
            <w:r>
              <w:rPr>
                <w:rFonts w:hint="eastAsia" w:ascii="宋体" w:hAnsi="宋体"/>
                <w:color w:val="auto"/>
              </w:rPr>
              <w:t>生产厂家</w:t>
            </w: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szCs w:val="21"/>
              </w:rPr>
              <w:t>品牌、规格型号</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数量</w:t>
            </w:r>
          </w:p>
          <w:p>
            <w:pPr>
              <w:spacing w:line="300" w:lineRule="exact"/>
              <w:jc w:val="center"/>
              <w:rPr>
                <w:rFonts w:hint="eastAsia" w:ascii="宋体" w:hAnsi="宋体"/>
                <w:color w:val="auto"/>
              </w:rPr>
            </w:pPr>
            <w:r>
              <w:rPr>
                <w:rFonts w:hint="eastAsia" w:ascii="宋体" w:hAnsi="宋体"/>
                <w:color w:val="auto"/>
                <w:szCs w:val="21"/>
              </w:rPr>
              <w:t>①</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单位</w:t>
            </w: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单价</w:t>
            </w:r>
          </w:p>
          <w:p>
            <w:pPr>
              <w:spacing w:line="300" w:lineRule="exact"/>
              <w:jc w:val="center"/>
              <w:rPr>
                <w:rFonts w:hint="eastAsia" w:ascii="宋体" w:hAnsi="宋体"/>
                <w:color w:val="auto"/>
              </w:rPr>
            </w:pPr>
            <w:r>
              <w:rPr>
                <w:rFonts w:hint="eastAsia" w:ascii="宋体" w:hAnsi="宋体"/>
                <w:color w:val="auto"/>
                <w:szCs w:val="21"/>
              </w:rPr>
              <w:t>②</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单项合计=数量×单价</w:t>
            </w:r>
          </w:p>
          <w:p>
            <w:pPr>
              <w:spacing w:line="300" w:lineRule="exact"/>
              <w:jc w:val="center"/>
              <w:rPr>
                <w:rFonts w:hint="eastAsia" w:ascii="宋体" w:hAnsi="宋体"/>
                <w:color w:val="auto"/>
              </w:rPr>
            </w:pPr>
            <w:r>
              <w:rPr>
                <w:rFonts w:hint="eastAsia" w:ascii="宋体" w:hAnsi="宋体"/>
                <w:color w:val="auto"/>
                <w:szCs w:val="21"/>
              </w:rPr>
              <w:t>③＝①×②</w:t>
            </w:r>
          </w:p>
        </w:tc>
        <w:tc>
          <w:tcPr>
            <w:tcW w:w="567" w:type="dxa"/>
            <w:tcBorders>
              <w:bottom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N</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ascii="宋体" w:hAnsi="宋体" w:cs="宋体"/>
                <w:color w:val="auto"/>
                <w:szCs w:val="21"/>
              </w:rPr>
              <w:t>…</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ascii="宋体" w:hAnsi="宋体" w:cs="宋体"/>
                <w:color w:val="auto"/>
                <w:szCs w:val="21"/>
              </w:rPr>
              <w:t>…</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人民币（</w:t>
            </w:r>
            <w:r>
              <w:rPr>
                <w:rFonts w:hint="eastAsia" w:ascii="宋体" w:hAnsi="宋体"/>
                <w:color w:val="auto"/>
                <w:spacing w:val="-6"/>
                <w:lang w:val="en-US" w:eastAsia="zh-CN"/>
              </w:rPr>
              <w:t>¥</w:t>
            </w:r>
            <w:r>
              <w:rPr>
                <w:rFonts w:ascii="宋体" w:hAnsi="宋体"/>
                <w:color w:val="auto"/>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lang w:val="en-US" w:eastAsia="zh-CN"/>
              </w:rPr>
              <w:t>¥</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hint="eastAsia"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lang w:val="en-US" w:eastAsia="zh-CN"/>
              </w:rPr>
              <w:t>¥</w:t>
            </w:r>
            <w:r>
              <w:rPr>
                <w:rFonts w:ascii="宋体" w:hAnsi="宋体"/>
                <w:color w:val="auto"/>
                <w:spacing w:val="-6"/>
                <w:szCs w:val="21"/>
              </w:rPr>
              <w:t xml:space="preserve">             ）</w:t>
            </w:r>
            <w:r>
              <w:rPr>
                <w:rFonts w:hint="eastAsia" w:ascii="宋体" w:hAnsi="宋体"/>
                <w:color w:val="auto"/>
                <w:spacing w:val="-6"/>
                <w:szCs w:val="21"/>
              </w:rPr>
              <w:t>。</w:t>
            </w:r>
          </w:p>
          <w:p>
            <w:pPr>
              <w:spacing w:line="340" w:lineRule="exact"/>
              <w:rPr>
                <w:rFonts w:hint="eastAsia"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hint="eastAsia" w:ascii="宋体" w:hAnsi="宋体"/>
          <w:color w:val="auto"/>
          <w:szCs w:val="21"/>
        </w:rPr>
      </w:pPr>
    </w:p>
    <w:p>
      <w:pPr>
        <w:spacing w:line="340" w:lineRule="exact"/>
        <w:rPr>
          <w:rFonts w:hint="eastAsia"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tabs>
          <w:tab w:val="left" w:pos="1305"/>
        </w:tabs>
        <w:spacing w:line="340" w:lineRule="exact"/>
        <w:ind w:firstLine="205" w:firstLineChars="98"/>
        <w:rPr>
          <w:rFonts w:hint="eastAsia"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tabs>
          <w:tab w:val="left" w:pos="1305"/>
        </w:tabs>
        <w:spacing w:line="340" w:lineRule="exact"/>
        <w:ind w:firstLine="205" w:firstLineChars="98"/>
        <w:rPr>
          <w:rFonts w:hint="default" w:ascii="宋体" w:hAnsi="宋体" w:eastAsia="宋体"/>
          <w:color w:val="auto"/>
          <w:szCs w:val="21"/>
          <w:u w:val="single"/>
          <w:lang w:val="en-US" w:eastAsia="zh-CN"/>
        </w:rPr>
      </w:pPr>
      <w:r>
        <w:rPr>
          <w:rFonts w:hint="eastAsia" w:ascii="宋体" w:hAnsi="宋体"/>
          <w:color w:val="auto"/>
          <w:szCs w:val="21"/>
          <w:u w:val="single"/>
          <w:lang w:val="en-US" w:eastAsia="zh-CN"/>
        </w:rPr>
        <w:t xml:space="preserve">                  </w:t>
      </w:r>
    </w:p>
    <w:p>
      <w:pPr>
        <w:tabs>
          <w:tab w:val="left" w:pos="1305"/>
        </w:tabs>
        <w:spacing w:line="340" w:lineRule="exact"/>
        <w:ind w:firstLine="205" w:firstLineChars="98"/>
        <w:rPr>
          <w:rFonts w:hint="eastAsia"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5"/>
        <w:spacing w:line="360" w:lineRule="exact"/>
        <w:ind w:firstLine="630" w:firstLineChars="300"/>
        <w:rPr>
          <w:rFonts w:hint="eastAsia"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5"/>
        <w:spacing w:line="400" w:lineRule="exact"/>
        <w:ind w:left="630" w:leftChars="300"/>
        <w:rPr>
          <w:rFonts w:hint="eastAsia"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rPr>
          <w:rFonts w:hint="eastAsia" w:ascii="宋体" w:hAnsi="宋体" w:eastAsia="宋体" w:cs="宋体"/>
          <w:b/>
          <w:bCs/>
          <w:color w:val="auto"/>
          <w:sz w:val="32"/>
          <w:szCs w:val="32"/>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，投标人应在本表备注栏内写明各分项货物属于节能（或环境标志）产品政府采购清单第几类第几项序号的产品，以便评标委员会作为优先采购或评分的依据。</w:t>
      </w:r>
      <w:r>
        <w:rPr>
          <w:rFonts w:hint="eastAsia" w:ascii="宋体" w:hAnsi="宋体" w:eastAsia="宋体" w:cs="宋体"/>
          <w:b/>
          <w:color w:val="auto"/>
          <w:sz w:val="32"/>
          <w:szCs w:val="32"/>
        </w:rPr>
        <w:br w:type="page"/>
      </w:r>
      <w:bookmarkStart w:id="224" w:name="_Toc495841787"/>
      <w:bookmarkStart w:id="225" w:name="_Toc27290"/>
      <w:r>
        <w:rPr>
          <w:rFonts w:hint="eastAsia" w:ascii="宋体" w:hAnsi="宋体" w:eastAsia="宋体" w:cs="宋体"/>
          <w:b/>
          <w:bCs/>
          <w:color w:val="auto"/>
          <w:sz w:val="32"/>
          <w:szCs w:val="32"/>
          <w:lang w:eastAsia="zh-CN"/>
        </w:rPr>
        <w:t>二、资格性响应证明材料（格式）</w:t>
      </w:r>
      <w:bookmarkEnd w:id="224"/>
      <w:bookmarkEnd w:id="225"/>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26" w:name="_Toc495841788"/>
      <w:bookmarkStart w:id="227" w:name="_Toc11828"/>
      <w:r>
        <w:rPr>
          <w:rFonts w:hint="eastAsia" w:ascii="宋体" w:hAnsi="宋体" w:eastAsia="宋体" w:cs="宋体"/>
          <w:b/>
          <w:bCs/>
          <w:color w:val="auto"/>
          <w:sz w:val="32"/>
          <w:szCs w:val="32"/>
        </w:rPr>
        <w:t>1.投标人相应的法定代表人、负责人、自然人身份证正反面复印件（必须提供）</w:t>
      </w:r>
      <w:bookmarkEnd w:id="226"/>
      <w:bookmarkEnd w:id="227"/>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28" w:name="_Toc11623"/>
      <w:bookmarkStart w:id="229" w:name="_Toc495841789"/>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28"/>
      <w:bookmarkEnd w:id="229"/>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jc w:val="both"/>
        <w:rPr>
          <w:rFonts w:hint="eastAsia" w:ascii="宋体" w:hAnsi="宋体" w:eastAsia="宋体" w:cs="宋体"/>
          <w:b/>
          <w:color w:val="auto"/>
          <w:sz w:val="32"/>
        </w:rPr>
      </w:pPr>
    </w:p>
    <w:p>
      <w:pPr>
        <w:jc w:val="center"/>
        <w:rPr>
          <w:rFonts w:hint="eastAsia" w:ascii="宋体" w:hAnsi="宋体" w:eastAsia="宋体" w:cs="宋体"/>
          <w:b/>
          <w:color w:val="auto"/>
          <w:sz w:val="32"/>
        </w:rPr>
      </w:pPr>
      <w:r>
        <w:rPr>
          <w:rFonts w:hint="eastAsia" w:ascii="宋体" w:hAnsi="宋体" w:eastAsia="宋体" w:cs="宋体"/>
          <w:b/>
          <w:color w:val="auto"/>
          <w:sz w:val="32"/>
        </w:rPr>
        <w:t>授权委托书（格式一）</w:t>
      </w:r>
    </w:p>
    <w:p>
      <w:pPr>
        <w:snapToGrid w:val="0"/>
        <w:spacing w:line="400" w:lineRule="exact"/>
        <w:rPr>
          <w:rFonts w:hint="eastAsia" w:ascii="宋体" w:hAnsi="宋体" w:eastAsia="宋体" w:cs="宋体"/>
          <w:color w:val="auto"/>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u w:val="single"/>
        </w:rPr>
        <w:t>桂林市政府集中采购中心</w:t>
      </w:r>
    </w:p>
    <w:p>
      <w:pPr>
        <w:spacing w:line="400" w:lineRule="exact"/>
        <w:ind w:firstLine="525" w:firstLineChars="250"/>
        <w:rPr>
          <w:rFonts w:hint="eastAsia" w:ascii="宋体" w:hAnsi="宋体" w:eastAsia="宋体" w:cs="宋体"/>
          <w:color w:val="auto"/>
        </w:rPr>
      </w:pPr>
      <w:r>
        <w:rPr>
          <w:rFonts w:hint="eastAsia" w:ascii="宋体" w:hAnsi="宋体" w:eastAsia="宋体" w:cs="宋体"/>
          <w:color w:val="auto"/>
          <w:kern w:val="0"/>
        </w:rPr>
        <w:t>我</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（姓名）系</w:t>
      </w:r>
      <w:r>
        <w:rPr>
          <w:rFonts w:hint="eastAsia" w:ascii="宋体" w:hAnsi="宋体" w:eastAsia="宋体" w:cs="宋体"/>
          <w:color w:val="auto"/>
          <w:kern w:val="0"/>
          <w:u w:val="single"/>
        </w:rPr>
        <w:t xml:space="preserve">                           </w:t>
      </w:r>
      <w:r>
        <w:rPr>
          <w:rFonts w:hint="eastAsia" w:ascii="宋体" w:hAnsi="宋体" w:eastAsia="宋体" w:cs="宋体"/>
          <w:color w:val="auto"/>
          <w:kern w:val="0"/>
        </w:rPr>
        <w:t>（投标人名称）的法定代表人（负责人），现授权委托本单位在职职工</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身份证号码：</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rPr>
        <w:t>以我公司名义参加</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项目的投标活动，并代表我方全权办理针对上述项目的投标、开标、评标、签约等具体事务和签署相关文件。</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我方对被授权人的签字事项负全部责任。</w:t>
      </w:r>
    </w:p>
    <w:p>
      <w:pPr>
        <w:spacing w:line="400" w:lineRule="exact"/>
        <w:ind w:firstLine="420" w:firstLineChars="200"/>
        <w:rPr>
          <w:rFonts w:hint="eastAsia" w:ascii="宋体" w:hAnsi="宋体" w:eastAsia="宋体" w:cs="宋体"/>
          <w:color w:val="auto"/>
          <w:u w:val="single"/>
        </w:rPr>
      </w:pPr>
      <w:r>
        <w:rPr>
          <w:rFonts w:hint="eastAsia" w:ascii="宋体" w:hAnsi="宋体" w:eastAsia="宋体" w:cs="宋体"/>
          <w:color w:val="auto"/>
        </w:rPr>
        <w:t>授权委托代理期限：自即日起至该项目政府采购活动结束。</w:t>
      </w:r>
    </w:p>
    <w:p>
      <w:pPr>
        <w:spacing w:line="400" w:lineRule="exact"/>
        <w:rPr>
          <w:rFonts w:hint="eastAsia" w:ascii="宋体" w:hAnsi="宋体" w:eastAsia="宋体" w:cs="宋体"/>
          <w:color w:val="auto"/>
          <w:u w:val="single"/>
        </w:rPr>
      </w:pPr>
      <w:r>
        <w:rPr>
          <w:rFonts w:hint="eastAsia" w:ascii="宋体" w:hAnsi="宋体" w:eastAsia="宋体" w:cs="宋体"/>
          <w:color w:val="auto"/>
        </w:rPr>
        <w:t xml:space="preserve">                                                                                             </w:t>
      </w:r>
    </w:p>
    <w:p>
      <w:pPr>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pPr>
        <w:snapToGrid w:val="0"/>
        <w:spacing w:line="400" w:lineRule="exact"/>
        <w:ind w:firstLine="525"/>
        <w:rPr>
          <w:rFonts w:hint="eastAsia" w:ascii="宋体" w:hAnsi="宋体" w:eastAsia="宋体" w:cs="宋体"/>
          <w:color w:val="auto"/>
          <w:szCs w:val="21"/>
        </w:rPr>
      </w:pPr>
    </w:p>
    <w:p>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pPr>
        <w:snapToGrid w:val="0"/>
        <w:spacing w:line="400" w:lineRule="exact"/>
        <w:ind w:firstLine="420"/>
        <w:rPr>
          <w:rFonts w:hint="eastAsia" w:ascii="宋体" w:hAnsi="宋体" w:eastAsia="宋体" w:cs="宋体"/>
          <w:color w:val="auto"/>
          <w:szCs w:val="21"/>
        </w:rPr>
      </w:pPr>
    </w:p>
    <w:p>
      <w:pPr>
        <w:snapToGrid w:val="0"/>
        <w:spacing w:line="40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投标人（公章）：</w:t>
      </w:r>
      <w:r>
        <w:rPr>
          <w:rFonts w:hint="eastAsia" w:ascii="宋体" w:hAnsi="宋体" w:eastAsia="宋体" w:cs="宋体"/>
          <w:color w:val="auto"/>
          <w:szCs w:val="21"/>
          <w:u w:val="single"/>
        </w:rPr>
        <w:t xml:space="preserve">                                   </w:t>
      </w:r>
    </w:p>
    <w:p>
      <w:pPr>
        <w:snapToGrid w:val="0"/>
        <w:spacing w:line="400" w:lineRule="exact"/>
        <w:ind w:firstLine="420"/>
        <w:rPr>
          <w:rFonts w:hint="eastAsia" w:ascii="宋体" w:hAnsi="宋体" w:eastAsia="宋体" w:cs="宋体"/>
          <w:color w:val="auto"/>
          <w:szCs w:val="21"/>
        </w:rPr>
      </w:pPr>
    </w:p>
    <w:p>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法定代表人（负责人）签字（或盖章）：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400" w:lineRule="exact"/>
        <w:ind w:firstLine="420"/>
        <w:rPr>
          <w:rFonts w:hint="eastAsia" w:ascii="宋体" w:hAnsi="宋体" w:eastAsia="宋体" w:cs="宋体"/>
          <w:color w:val="auto"/>
          <w:szCs w:val="21"/>
        </w:rPr>
      </w:pPr>
    </w:p>
    <w:p>
      <w:pPr>
        <w:spacing w:line="400" w:lineRule="exact"/>
        <w:ind w:firstLine="602" w:firstLineChars="250"/>
        <w:rPr>
          <w:rFonts w:hint="eastAsia" w:ascii="宋体" w:hAnsi="宋体" w:eastAsia="宋体" w:cs="宋体"/>
          <w:b/>
          <w:color w:val="auto"/>
          <w:sz w:val="24"/>
        </w:rPr>
      </w:pPr>
      <w:r>
        <w:rPr>
          <w:rFonts w:hint="eastAsia" w:ascii="宋体" w:hAnsi="宋体" w:eastAsia="宋体" w:cs="宋体"/>
          <w:b/>
          <w:color w:val="auto"/>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pStyle w:val="15"/>
        <w:jc w:val="center"/>
        <w:rPr>
          <w:rFonts w:hint="eastAsia" w:ascii="宋体" w:hAnsi="宋体" w:eastAsia="宋体" w:cs="宋体"/>
          <w:b/>
          <w:color w:val="auto"/>
          <w:sz w:val="32"/>
        </w:rPr>
      </w:pPr>
      <w:r>
        <w:rPr>
          <w:rFonts w:hint="eastAsia" w:ascii="宋体" w:hAnsi="宋体" w:eastAsia="宋体" w:cs="宋体"/>
          <w:b/>
          <w:color w:val="auto"/>
          <w:sz w:val="32"/>
        </w:rPr>
        <w:t>授权委托书（格式二）</w:t>
      </w:r>
    </w:p>
    <w:p>
      <w:pPr>
        <w:snapToGrid w:val="0"/>
        <w:spacing w:line="400" w:lineRule="exact"/>
        <w:rPr>
          <w:rFonts w:hint="eastAsia" w:ascii="宋体" w:hAnsi="宋体" w:eastAsia="宋体" w:cs="宋体"/>
          <w:color w:val="auto"/>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u w:val="single"/>
        </w:rPr>
        <w:t>桂林市政府集中采购中心</w:t>
      </w:r>
    </w:p>
    <w:p>
      <w:pPr>
        <w:snapToGrid w:val="0"/>
        <w:spacing w:line="400" w:lineRule="exact"/>
        <w:rPr>
          <w:rFonts w:hint="eastAsia" w:ascii="宋体" w:hAnsi="宋体" w:eastAsia="宋体" w:cs="宋体"/>
          <w:color w:val="auto"/>
          <w:szCs w:val="21"/>
          <w:u w:val="single"/>
        </w:rPr>
      </w:pPr>
    </w:p>
    <w:p>
      <w:pPr>
        <w:pStyle w:val="15"/>
        <w:spacing w:line="34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（姓名）系自然人，现授权委托</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 名）</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身份证号码：</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rPr>
        <w:t>以本人名义参加</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项目的投标活动，并代表本人全权办理针对上述项目的投标、开标、评标、签约等具体事务和签署相关文件。</w:t>
      </w:r>
    </w:p>
    <w:p>
      <w:pPr>
        <w:pStyle w:val="15"/>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本人对被授权人的签字事项负全部责任。</w:t>
      </w:r>
    </w:p>
    <w:p>
      <w:pPr>
        <w:pStyle w:val="15"/>
        <w:spacing w:line="400" w:lineRule="exact"/>
        <w:ind w:firstLine="420" w:firstLineChars="200"/>
        <w:rPr>
          <w:rFonts w:hint="eastAsia" w:ascii="宋体" w:hAnsi="宋体" w:eastAsia="宋体" w:cs="宋体"/>
          <w:color w:val="auto"/>
          <w:u w:val="single"/>
        </w:rPr>
      </w:pPr>
      <w:r>
        <w:rPr>
          <w:rFonts w:hint="eastAsia" w:ascii="宋体" w:hAnsi="宋体" w:eastAsia="宋体" w:cs="宋体"/>
          <w:color w:val="auto"/>
        </w:rPr>
        <w:t>授权委托代理期限：自即日起至该项目政府采购活动结束。</w:t>
      </w:r>
    </w:p>
    <w:p>
      <w:pPr>
        <w:pStyle w:val="15"/>
        <w:spacing w:line="340" w:lineRule="exact"/>
        <w:ind w:firstLine="420" w:firstLineChars="200"/>
        <w:rPr>
          <w:rFonts w:hint="eastAsia" w:ascii="宋体" w:hAnsi="宋体" w:eastAsia="宋体" w:cs="宋体"/>
          <w:color w:val="auto"/>
          <w:u w:val="single"/>
        </w:rPr>
      </w:pPr>
    </w:p>
    <w:p>
      <w:pPr>
        <w:pStyle w:val="15"/>
        <w:spacing w:line="340" w:lineRule="exact"/>
        <w:rPr>
          <w:rFonts w:hint="eastAsia" w:ascii="宋体" w:hAnsi="宋体" w:eastAsia="宋体" w:cs="宋体"/>
          <w:color w:val="auto"/>
          <w:u w:val="single"/>
        </w:rPr>
      </w:pPr>
      <w:r>
        <w:rPr>
          <w:rFonts w:hint="eastAsia" w:ascii="宋体" w:hAnsi="宋体" w:eastAsia="宋体" w:cs="宋体"/>
          <w:color w:val="auto"/>
        </w:rPr>
        <w:t xml:space="preserve">                                                                                             </w:t>
      </w:r>
    </w:p>
    <w:p>
      <w:pPr>
        <w:spacing w:line="34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pPr>
        <w:snapToGrid w:val="0"/>
        <w:spacing w:line="340" w:lineRule="exact"/>
        <w:ind w:firstLine="525"/>
        <w:rPr>
          <w:rFonts w:hint="eastAsia" w:ascii="宋体" w:hAnsi="宋体" w:eastAsia="宋体" w:cs="宋体"/>
          <w:color w:val="auto"/>
          <w:szCs w:val="21"/>
        </w:rPr>
      </w:pPr>
    </w:p>
    <w:p>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pPr>
        <w:snapToGrid w:val="0"/>
        <w:spacing w:line="340" w:lineRule="exact"/>
        <w:ind w:firstLine="420"/>
        <w:rPr>
          <w:rFonts w:hint="eastAsia" w:ascii="宋体" w:hAnsi="宋体" w:eastAsia="宋体" w:cs="宋体"/>
          <w:color w:val="auto"/>
          <w:szCs w:val="21"/>
        </w:rPr>
      </w:pPr>
    </w:p>
    <w:p>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自然人签字并在签名处加盖大拇指指印：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340" w:lineRule="exact"/>
        <w:ind w:firstLine="420"/>
        <w:rPr>
          <w:rFonts w:hint="eastAsia" w:ascii="宋体" w:hAnsi="宋体" w:eastAsia="宋体" w:cs="宋体"/>
          <w:color w:val="auto"/>
          <w:szCs w:val="21"/>
        </w:rPr>
      </w:pPr>
    </w:p>
    <w:p>
      <w:pPr>
        <w:spacing w:line="400" w:lineRule="exact"/>
        <w:ind w:firstLine="602" w:firstLineChars="250"/>
        <w:rPr>
          <w:rFonts w:hint="eastAsia" w:ascii="宋体" w:hAnsi="宋体" w:eastAsia="宋体" w:cs="宋体"/>
          <w:b/>
          <w:color w:val="auto"/>
          <w:sz w:val="24"/>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30" w:name="_Toc495841790"/>
      <w:bookmarkStart w:id="231" w:name="_Toc12280"/>
      <w:r>
        <w:rPr>
          <w:rFonts w:hint="eastAsia" w:ascii="宋体" w:hAnsi="宋体" w:eastAsia="宋体" w:cs="宋体"/>
          <w:b/>
          <w:bCs/>
          <w:color w:val="auto"/>
          <w:sz w:val="32"/>
          <w:szCs w:val="32"/>
        </w:rPr>
        <w:t>3.投标人的法人或者其他组织营业执照等证明文件复印件（必须提供，自然人除外）</w:t>
      </w:r>
      <w:bookmarkEnd w:id="230"/>
      <w:bookmarkEnd w:id="231"/>
    </w:p>
    <w:p>
      <w:pPr>
        <w:tabs>
          <w:tab w:val="left" w:pos="1305"/>
        </w:tabs>
        <w:spacing w:line="400" w:lineRule="exact"/>
        <w:rPr>
          <w:rFonts w:hint="eastAsia" w:ascii="宋体" w:hAnsi="宋体" w:eastAsia="宋体" w:cs="宋体"/>
          <w:b/>
          <w:color w:val="auto"/>
          <w:szCs w:val="21"/>
        </w:rPr>
      </w:pPr>
      <w:r>
        <w:rPr>
          <w:rFonts w:hint="eastAsia" w:ascii="宋体" w:hAnsi="宋体" w:eastAsia="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hint="eastAsia" w:ascii="宋体" w:hAnsi="宋体" w:eastAsia="宋体" w:cs="宋体"/>
          <w:b/>
          <w:color w:val="auto"/>
          <w:sz w:val="32"/>
          <w:szCs w:val="32"/>
        </w:rPr>
      </w:pPr>
    </w:p>
    <w:p>
      <w:pPr>
        <w:spacing w:line="400" w:lineRule="exact"/>
        <w:ind w:left="420" w:leftChars="200" w:firstLine="157" w:firstLineChars="49"/>
        <w:rPr>
          <w:rFonts w:hint="eastAsia" w:ascii="宋体" w:hAnsi="宋体" w:eastAsia="宋体" w:cs="宋体"/>
          <w:b/>
          <w:color w:val="auto"/>
          <w:sz w:val="32"/>
          <w:szCs w:val="32"/>
        </w:rPr>
      </w:pPr>
    </w:p>
    <w:p>
      <w:pPr>
        <w:pStyle w:val="71"/>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4.</w:t>
      </w:r>
      <w:r>
        <w:rPr>
          <w:rFonts w:hint="eastAsia" w:ascii="宋体" w:hAnsi="宋体" w:eastAsia="宋体" w:cs="宋体"/>
          <w:b/>
          <w:bCs/>
          <w:color w:val="auto"/>
          <w:sz w:val="32"/>
          <w:szCs w:val="32"/>
          <w:lang w:val="en-US" w:eastAsia="zh-CN"/>
        </w:rPr>
        <w:t>投标人近三年中任一年度经第三方审计的财务状况报告复印件（或银行出具的资信证明或财政部门认可的政府采购专业担保机构出具的投标担保函）（必须提供）</w:t>
      </w:r>
      <w:r>
        <w:rPr>
          <w:rFonts w:hint="eastAsia" w:ascii="宋体" w:hAnsi="宋体" w:eastAsia="宋体" w:cs="宋体"/>
          <w:b/>
          <w:bCs/>
          <w:color w:val="auto"/>
          <w:sz w:val="32"/>
          <w:szCs w:val="32"/>
        </w:rPr>
        <w:t>；</w:t>
      </w:r>
      <w:bookmarkStart w:id="232" w:name="_Toc495841793"/>
      <w:bookmarkStart w:id="233" w:name="_Toc26950"/>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.投标人参加政府采购活动前3年内在经营活动中没有重大违法记录及有关信用信息的书面声明（必须提供）</w:t>
      </w:r>
      <w:bookmarkEnd w:id="232"/>
      <w:bookmarkEnd w:id="233"/>
    </w:p>
    <w:p>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声   明</w:t>
      </w:r>
    </w:p>
    <w:p>
      <w:pPr>
        <w:snapToGrid w:val="0"/>
        <w:spacing w:line="400" w:lineRule="exact"/>
        <w:rPr>
          <w:rFonts w:hint="eastAsia" w:ascii="宋体" w:hAnsi="宋体" w:eastAsia="宋体" w:cs="宋体"/>
          <w:color w:val="auto"/>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u w:val="single"/>
        </w:rPr>
        <w:t>桂林市政府集中采购中心</w:t>
      </w:r>
    </w:p>
    <w:p>
      <w:pPr>
        <w:snapToGrid w:val="0"/>
        <w:spacing w:line="400" w:lineRule="exact"/>
        <w:rPr>
          <w:rFonts w:hint="eastAsia" w:ascii="宋体" w:hAnsi="宋体" w:eastAsia="宋体" w:cs="宋体"/>
          <w:color w:val="auto"/>
          <w:szCs w:val="21"/>
          <w:u w:val="single"/>
        </w:rPr>
      </w:pPr>
    </w:p>
    <w:p>
      <w:pPr>
        <w:pStyle w:val="15"/>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auto"/>
          <w:szCs w:val="21"/>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napToGrid w:val="0"/>
        <w:spacing w:line="400" w:lineRule="exact"/>
        <w:ind w:firstLine="1890" w:firstLineChars="900"/>
        <w:rPr>
          <w:rFonts w:hint="eastAsia" w:ascii="宋体" w:hAnsi="宋体" w:eastAsia="宋体" w:cs="宋体"/>
          <w:color w:val="auto"/>
        </w:rPr>
      </w:pPr>
      <w:r>
        <w:rPr>
          <w:rFonts w:hint="eastAsia" w:ascii="宋体" w:hAnsi="宋体" w:eastAsia="宋体" w:cs="宋体"/>
          <w:color w:val="auto"/>
        </w:rPr>
        <w:t xml:space="preserve"> </w:t>
      </w: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p>
      <w:pPr>
        <w:spacing w:line="400" w:lineRule="exact"/>
        <w:rPr>
          <w:rFonts w:hint="eastAsia" w:ascii="宋体" w:hAnsi="宋体" w:eastAsia="宋体" w:cs="宋体"/>
          <w:b/>
          <w:color w:val="auto"/>
          <w:sz w:val="32"/>
          <w:szCs w:val="32"/>
        </w:rPr>
      </w:pPr>
    </w:p>
    <w:p>
      <w:pPr>
        <w:spacing w:line="400" w:lineRule="exact"/>
        <w:rPr>
          <w:rFonts w:hint="eastAsia" w:ascii="宋体" w:hAnsi="宋体" w:eastAsia="宋体" w:cs="宋体"/>
          <w:b/>
          <w:color w:val="auto"/>
          <w:sz w:val="32"/>
          <w:szCs w:val="32"/>
        </w:rPr>
      </w:pPr>
    </w:p>
    <w:p>
      <w:pPr>
        <w:spacing w:line="400" w:lineRule="exact"/>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bookmarkStart w:id="234" w:name="_Toc495841794"/>
    </w:p>
    <w:p>
      <w:pPr>
        <w:spacing w:line="400" w:lineRule="exact"/>
        <w:jc w:val="center"/>
        <w:outlineLvl w:val="1"/>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6.投标人近半年内任意一个月或任一季度依法缴纳税收的证明材料（增值税发票或企业所得税完税证明或税务部门出具的免税证明）复印件（必须提供）</w:t>
      </w: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r>
        <w:rPr>
          <w:rFonts w:hint="eastAsia" w:ascii="宋体" w:hAnsi="宋体" w:eastAsia="宋体" w:cs="宋体"/>
          <w:b/>
          <w:color w:val="auto"/>
          <w:sz w:val="32"/>
          <w:szCs w:val="32"/>
        </w:rPr>
        <w:br w:type="page"/>
      </w:r>
      <w:bookmarkStart w:id="235" w:name="_Toc26652"/>
      <w:r>
        <w:rPr>
          <w:rFonts w:hint="eastAsia" w:ascii="宋体" w:hAnsi="宋体" w:eastAsia="宋体" w:cs="宋体"/>
          <w:b/>
          <w:bCs/>
          <w:color w:val="auto"/>
          <w:sz w:val="32"/>
          <w:szCs w:val="32"/>
        </w:rPr>
        <w:t>三、商务、技术性响应及其他有效证明材料（格式）</w:t>
      </w:r>
      <w:bookmarkEnd w:id="234"/>
      <w:bookmarkEnd w:id="235"/>
    </w:p>
    <w:p>
      <w:pPr>
        <w:rPr>
          <w:rFonts w:hint="eastAsia" w:ascii="宋体" w:hAnsi="宋体" w:eastAsia="宋体" w:cs="宋体"/>
          <w:b/>
          <w:bCs/>
          <w:color w:val="auto"/>
          <w:sz w:val="32"/>
          <w:szCs w:val="32"/>
        </w:rPr>
      </w:pPr>
      <w:bookmarkStart w:id="236" w:name="_Toc2409"/>
      <w:bookmarkStart w:id="237" w:name="_Toc495841795"/>
      <w:r>
        <w:rPr>
          <w:rFonts w:hint="eastAsia" w:ascii="宋体" w:hAnsi="宋体" w:eastAsia="宋体" w:cs="宋体"/>
          <w:b/>
          <w:bCs/>
          <w:color w:val="auto"/>
          <w:sz w:val="32"/>
          <w:szCs w:val="32"/>
        </w:rPr>
        <w:t>1.技术规格偏离表（必须提供）</w:t>
      </w:r>
      <w:bookmarkEnd w:id="236"/>
      <w:bookmarkEnd w:id="237"/>
    </w:p>
    <w:p>
      <w:pPr>
        <w:rPr>
          <w:rFonts w:hint="eastAsia" w:ascii="宋体" w:hAnsi="宋体" w:eastAsia="宋体" w:cs="宋体"/>
          <w:b/>
          <w:color w:val="auto"/>
          <w:sz w:val="24"/>
        </w:rPr>
      </w:pPr>
    </w:p>
    <w:p>
      <w:pPr>
        <w:jc w:val="center"/>
        <w:rPr>
          <w:rFonts w:hint="eastAsia" w:ascii="宋体" w:hAnsi="宋体" w:eastAsia="宋体" w:cs="宋体"/>
          <w:b/>
          <w:bCs/>
          <w:color w:val="auto"/>
          <w:sz w:val="32"/>
        </w:rPr>
      </w:pPr>
      <w:r>
        <w:rPr>
          <w:rFonts w:hint="eastAsia" w:ascii="宋体" w:hAnsi="宋体" w:eastAsia="宋体" w:cs="宋体"/>
          <w:b/>
          <w:color w:val="auto"/>
          <w:sz w:val="32"/>
          <w:szCs w:val="32"/>
        </w:rPr>
        <w:t>技术规格偏离表</w:t>
      </w:r>
      <w:r>
        <w:rPr>
          <w:rFonts w:hint="eastAsia" w:ascii="宋体" w:hAnsi="宋体" w:eastAsia="宋体" w:cs="宋体"/>
          <w:b/>
          <w:bCs/>
          <w:color w:val="auto"/>
          <w:sz w:val="32"/>
        </w:rPr>
        <w:t>（格式）</w:t>
      </w:r>
    </w:p>
    <w:p>
      <w:pPr>
        <w:snapToGrid w:val="0"/>
        <w:spacing w:line="400" w:lineRule="exact"/>
        <w:rPr>
          <w:rFonts w:hint="eastAsia"/>
          <w:color w:val="auto"/>
        </w:rPr>
      </w:pPr>
      <w:r>
        <w:rPr>
          <w:rFonts w:hint="eastAsia"/>
          <w:b/>
          <w:bCs/>
          <w:color w:val="auto"/>
        </w:rPr>
        <w:t>分标：</w:t>
      </w:r>
      <w:r>
        <w:rPr>
          <w:rFonts w:hint="eastAsia"/>
          <w:b/>
          <w:bCs/>
          <w:color w:val="auto"/>
          <w:u w:val="single"/>
        </w:rPr>
        <w:t xml:space="preserve">     </w:t>
      </w:r>
    </w:p>
    <w:tbl>
      <w:tblPr>
        <w:tblStyle w:val="2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序号</w:t>
            </w:r>
          </w:p>
        </w:tc>
        <w:tc>
          <w:tcPr>
            <w:tcW w:w="2126" w:type="dxa"/>
            <w:shd w:val="clear" w:color="auto" w:fill="8DB3E2"/>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货物名称</w:t>
            </w:r>
          </w:p>
        </w:tc>
        <w:tc>
          <w:tcPr>
            <w:tcW w:w="2313" w:type="dxa"/>
            <w:shd w:val="clear" w:color="auto" w:fill="8DB3E2"/>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szCs w:val="21"/>
              </w:rPr>
              <w:t>项目要求及技术需求</w:t>
            </w:r>
          </w:p>
        </w:tc>
        <w:tc>
          <w:tcPr>
            <w:tcW w:w="2520"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投标文件的响应情况</w:t>
            </w:r>
          </w:p>
        </w:tc>
        <w:tc>
          <w:tcPr>
            <w:tcW w:w="2113" w:type="dxa"/>
            <w:shd w:val="clear" w:color="auto" w:fill="8DB3E2"/>
            <w:vAlign w:val="center"/>
          </w:tcPr>
          <w:p>
            <w:pPr>
              <w:spacing w:line="400" w:lineRule="exact"/>
              <w:jc w:val="center"/>
              <w:rPr>
                <w:rFonts w:hint="eastAsia" w:ascii="宋体" w:hAnsi="宋体" w:eastAsia="宋体" w:cs="宋体"/>
                <w:b/>
                <w:color w:val="auto"/>
              </w:rPr>
            </w:pPr>
            <w:bookmarkStart w:id="238" w:name="_Toc254970560"/>
            <w:bookmarkStart w:id="239" w:name="_Toc254970701"/>
            <w:r>
              <w:rPr>
                <w:rFonts w:hint="eastAsia" w:ascii="宋体" w:hAnsi="宋体" w:eastAsia="宋体" w:cs="宋体"/>
                <w:b/>
                <w:color w:val="auto"/>
              </w:rPr>
              <w:t>偏离情况</w:t>
            </w:r>
            <w:bookmarkEnd w:id="238"/>
            <w:bookmarkEnd w:id="239"/>
            <w:r>
              <w:rPr>
                <w:rFonts w:hint="eastAsia" w:ascii="宋体" w:hAnsi="宋体" w:eastAsia="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center"/>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center"/>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center"/>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center"/>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top"/>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top"/>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top"/>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top"/>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top"/>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top"/>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N</w:t>
            </w:r>
          </w:p>
        </w:tc>
        <w:tc>
          <w:tcPr>
            <w:tcW w:w="2126" w:type="dxa"/>
            <w:vAlign w:val="center"/>
          </w:tcPr>
          <w:p>
            <w:pPr>
              <w:spacing w:line="400" w:lineRule="exact"/>
              <w:rPr>
                <w:rFonts w:hint="eastAsia" w:ascii="宋体" w:hAnsi="宋体" w:eastAsia="宋体" w:cs="宋体"/>
                <w:b/>
                <w:bCs/>
                <w:color w:val="auto"/>
                <w:kern w:val="0"/>
                <w:szCs w:val="21"/>
              </w:rPr>
            </w:pPr>
          </w:p>
        </w:tc>
        <w:tc>
          <w:tcPr>
            <w:tcW w:w="2313" w:type="dxa"/>
            <w:vAlign w:val="top"/>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top"/>
          </w:tcPr>
          <w:p>
            <w:pPr>
              <w:spacing w:line="400" w:lineRule="exact"/>
              <w:jc w:val="left"/>
              <w:rPr>
                <w:rFonts w:hint="eastAsia" w:ascii="宋体" w:hAnsi="宋体" w:eastAsia="宋体" w:cs="宋体"/>
                <w:color w:val="auto"/>
              </w:rPr>
            </w:pPr>
          </w:p>
        </w:tc>
      </w:tr>
    </w:tbl>
    <w:p>
      <w:pPr>
        <w:snapToGrid w:val="0"/>
        <w:spacing w:line="400" w:lineRule="exact"/>
        <w:rPr>
          <w:rFonts w:hint="eastAsia" w:ascii="宋体" w:hAnsi="宋体" w:eastAsia="宋体" w:cs="宋体"/>
          <w:color w:val="auto"/>
          <w:szCs w:val="20"/>
          <w:u w:val="single"/>
        </w:rPr>
      </w:pPr>
      <w:r>
        <w:rPr>
          <w:rFonts w:hint="eastAsia" w:ascii="宋体" w:hAnsi="宋体" w:eastAsia="宋体" w:cs="宋体"/>
          <w:color w:val="auto"/>
        </w:rPr>
        <w:t>注：供应商应对照招标文件中项目要求及技术需求的内容逐条响应，并在“偏离情况说明”栏注明“正偏离”、“负偏离”或“无偏离”。</w:t>
      </w:r>
    </w:p>
    <w:p>
      <w:pPr>
        <w:snapToGrid w:val="0"/>
        <w:spacing w:line="400" w:lineRule="exact"/>
        <w:ind w:firstLine="3780" w:firstLineChars="1800"/>
        <w:rPr>
          <w:rFonts w:hint="eastAsia" w:ascii="宋体" w:hAnsi="宋体" w:eastAsia="宋体" w:cs="宋体"/>
          <w:color w:val="auto"/>
          <w:szCs w:val="20"/>
          <w:u w:val="single"/>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pacing w:line="340" w:lineRule="exact"/>
        <w:ind w:firstLine="1680" w:firstLineChars="800"/>
        <w:rPr>
          <w:rFonts w:hint="eastAsia" w:ascii="宋体" w:hAnsi="宋体" w:eastAsia="宋体" w:cs="宋体"/>
          <w:color w:val="auto"/>
          <w:szCs w:val="21"/>
          <w:u w:val="single"/>
        </w:rPr>
      </w:pPr>
    </w:p>
    <w:p>
      <w:pPr>
        <w:ind w:firstLine="1890" w:firstLineChars="900"/>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spacing w:line="360" w:lineRule="exact"/>
        <w:rPr>
          <w:rFonts w:hint="eastAsia" w:ascii="宋体" w:hAnsi="宋体" w:eastAsia="宋体" w:cs="宋体"/>
          <w:color w:val="auto"/>
        </w:rPr>
      </w:pPr>
    </w:p>
    <w:p>
      <w:pPr>
        <w:spacing w:line="400" w:lineRule="exact"/>
        <w:ind w:left="982" w:leftChars="200" w:hanging="562" w:hangingChars="200"/>
        <w:rPr>
          <w:rFonts w:hint="eastAsia" w:ascii="宋体" w:hAnsi="宋体" w:eastAsia="宋体" w:cs="宋体"/>
          <w:b/>
          <w:color w:val="auto"/>
          <w:sz w:val="24"/>
        </w:rPr>
      </w:pPr>
      <w:r>
        <w:rPr>
          <w:rFonts w:hint="eastAsia" w:ascii="宋体" w:hAnsi="宋体" w:eastAsia="宋体" w:cs="宋体"/>
          <w:b/>
          <w:bCs/>
          <w:color w:val="auto"/>
          <w:sz w:val="28"/>
          <w:szCs w:val="28"/>
        </w:rPr>
        <w:t>注：</w:t>
      </w:r>
      <w:r>
        <w:rPr>
          <w:rFonts w:hint="eastAsia" w:ascii="宋体" w:hAnsi="宋体" w:eastAsia="宋体" w:cs="宋体"/>
          <w:b/>
          <w:color w:val="auto"/>
          <w:sz w:val="24"/>
        </w:rPr>
        <w:t>1.“技术规格偏离表”各项内容必须如实填写。</w:t>
      </w:r>
    </w:p>
    <w:p>
      <w:pPr>
        <w:spacing w:line="400" w:lineRule="exact"/>
        <w:ind w:left="840" w:leftChars="400" w:firstLine="181" w:firstLineChars="75"/>
        <w:rPr>
          <w:rFonts w:hint="eastAsia" w:ascii="宋体" w:hAnsi="宋体" w:eastAsia="宋体" w:cs="宋体"/>
          <w:b/>
          <w:color w:val="auto"/>
          <w:sz w:val="24"/>
        </w:rPr>
      </w:pPr>
      <w:r>
        <w:rPr>
          <w:rFonts w:hint="eastAsia" w:ascii="宋体" w:hAnsi="宋体" w:eastAsia="宋体" w:cs="宋体"/>
          <w:b/>
          <w:color w:val="auto"/>
          <w:sz w:val="24"/>
        </w:rPr>
        <w:t>2.当本表由多页构成时，需逐页加盖投标人公章（属自然人的须逐页签字）。</w:t>
      </w:r>
    </w:p>
    <w:p>
      <w:pPr>
        <w:spacing w:line="400" w:lineRule="exact"/>
        <w:ind w:left="982" w:leftChars="200" w:hanging="562" w:hangingChars="200"/>
        <w:rPr>
          <w:rFonts w:hint="eastAsia" w:ascii="宋体" w:hAnsi="宋体" w:eastAsia="宋体" w:cs="宋体"/>
          <w:b/>
          <w:bCs/>
          <w:color w:val="auto"/>
          <w:sz w:val="28"/>
          <w:szCs w:val="28"/>
        </w:rPr>
      </w:pPr>
    </w:p>
    <w:p>
      <w:pPr>
        <w:spacing w:line="360" w:lineRule="exact"/>
        <w:rPr>
          <w:rFonts w:hint="eastAsia" w:ascii="宋体" w:hAnsi="宋体" w:eastAsia="宋体" w:cs="宋体"/>
          <w:color w:val="auto"/>
        </w:rPr>
      </w:pPr>
    </w:p>
    <w:p>
      <w:pPr>
        <w:rPr>
          <w:rFonts w:hint="eastAsia" w:ascii="宋体" w:hAnsi="宋体" w:eastAsia="宋体" w:cs="宋体"/>
          <w:b/>
          <w:bCs/>
          <w:color w:val="auto"/>
          <w:sz w:val="32"/>
          <w:szCs w:val="32"/>
        </w:rPr>
      </w:pPr>
      <w:r>
        <w:rPr>
          <w:rFonts w:hint="eastAsia" w:ascii="宋体" w:hAnsi="宋体" w:eastAsia="宋体" w:cs="宋体"/>
          <w:color w:val="auto"/>
        </w:rPr>
        <w:br w:type="page"/>
      </w:r>
      <w:bookmarkStart w:id="240" w:name="_Toc15632"/>
      <w:r>
        <w:rPr>
          <w:rFonts w:hint="eastAsia" w:ascii="宋体" w:hAnsi="宋体" w:eastAsia="宋体" w:cs="宋体"/>
          <w:b/>
          <w:bCs/>
          <w:color w:val="auto"/>
          <w:sz w:val="32"/>
          <w:szCs w:val="32"/>
        </w:rPr>
        <w:t>2.商务响应表（必须提供）</w:t>
      </w:r>
      <w:bookmarkEnd w:id="240"/>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商务响应表（格式）</w:t>
      </w:r>
    </w:p>
    <w:p>
      <w:pPr>
        <w:snapToGrid w:val="0"/>
        <w:spacing w:line="400" w:lineRule="exact"/>
        <w:rPr>
          <w:rFonts w:hint="eastAsia"/>
          <w:color w:val="auto"/>
        </w:rPr>
      </w:pPr>
      <w:r>
        <w:rPr>
          <w:rFonts w:hint="eastAsia"/>
          <w:b/>
          <w:bCs/>
          <w:color w:val="auto"/>
        </w:rPr>
        <w:t>分标：</w:t>
      </w:r>
      <w:r>
        <w:rPr>
          <w:rFonts w:hint="eastAsia"/>
          <w:b/>
          <w:bCs/>
          <w:color w:val="auto"/>
          <w:u w:val="single"/>
        </w:rPr>
        <w:t xml:space="preserve">     </w:t>
      </w:r>
    </w:p>
    <w:tbl>
      <w:tblPr>
        <w:tblStyle w:val="26"/>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int="eastAsia" w:ascii="宋体" w:hAnsi="宋体" w:eastAsia="宋体" w:cs="宋体"/>
                <w:b/>
                <w:bCs/>
                <w:color w:val="auto"/>
              </w:rPr>
            </w:pPr>
            <w:r>
              <w:rPr>
                <w:rFonts w:hint="eastAsia" w:ascii="宋体" w:hAnsi="宋体" w:eastAsia="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int="eastAsia" w:ascii="宋体" w:hAnsi="宋体" w:eastAsia="宋体" w:cs="宋体"/>
                <w:b/>
                <w:bCs/>
                <w:color w:val="auto"/>
              </w:rPr>
            </w:pPr>
            <w:r>
              <w:rPr>
                <w:rFonts w:hint="eastAsia" w:ascii="宋体" w:hAnsi="宋体" w:eastAsia="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int="eastAsia" w:ascii="宋体" w:hAnsi="宋体" w:eastAsia="宋体" w:cs="宋体"/>
                <w:b/>
                <w:bCs/>
                <w:color w:val="auto"/>
              </w:rPr>
            </w:pPr>
            <w:r>
              <w:rPr>
                <w:rFonts w:hint="eastAsia" w:ascii="宋体" w:hAnsi="宋体" w:eastAsia="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bl>
    <w:p>
      <w:pPr>
        <w:snapToGrid w:val="0"/>
        <w:spacing w:before="50" w:after="50"/>
        <w:rPr>
          <w:rFonts w:hint="eastAsia" w:ascii="宋体" w:hAnsi="宋体" w:eastAsia="宋体" w:cs="宋体"/>
          <w:color w:val="auto"/>
        </w:rPr>
      </w:pPr>
      <w:r>
        <w:rPr>
          <w:rFonts w:hint="eastAsia" w:ascii="宋体" w:hAnsi="宋体" w:eastAsia="宋体" w:cs="宋体"/>
          <w:color w:val="auto"/>
        </w:rPr>
        <w:t>注：供应商应对照招标文件中商务要求的内容逐条响应，并在“偏离情况说明”栏注明“正偏离”、“负偏离”或“无偏离”。</w:t>
      </w:r>
    </w:p>
    <w:p>
      <w:pPr>
        <w:snapToGrid w:val="0"/>
        <w:spacing w:before="50" w:after="50"/>
        <w:rPr>
          <w:rFonts w:hint="eastAsia" w:ascii="宋体" w:hAnsi="宋体" w:eastAsia="宋体" w:cs="宋体"/>
          <w:color w:val="auto"/>
          <w:spacing w:val="20"/>
          <w:sz w:val="24"/>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pacing w:line="340" w:lineRule="exact"/>
        <w:ind w:firstLine="1680" w:firstLineChars="800"/>
        <w:rPr>
          <w:rFonts w:hint="eastAsia" w:ascii="宋体" w:hAnsi="宋体" w:eastAsia="宋体" w:cs="宋体"/>
          <w:color w:val="auto"/>
          <w:szCs w:val="21"/>
          <w:u w:val="single"/>
        </w:rPr>
      </w:pPr>
    </w:p>
    <w:p>
      <w:pPr>
        <w:ind w:firstLine="1890" w:firstLineChars="900"/>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ind w:firstLine="1890" w:firstLineChars="900"/>
        <w:rPr>
          <w:rFonts w:hint="eastAsia" w:ascii="宋体" w:hAnsi="宋体" w:eastAsia="宋体" w:cs="宋体"/>
          <w:color w:val="auto"/>
          <w:u w:val="single"/>
        </w:rPr>
      </w:pPr>
    </w:p>
    <w:p>
      <w:pPr>
        <w:ind w:firstLine="1890" w:firstLineChars="900"/>
        <w:rPr>
          <w:rFonts w:hint="eastAsia" w:ascii="宋体" w:hAnsi="宋体" w:eastAsia="宋体" w:cs="宋体"/>
          <w:color w:val="auto"/>
          <w:u w:val="single"/>
        </w:rPr>
      </w:pPr>
    </w:p>
    <w:p>
      <w:pPr>
        <w:spacing w:line="400" w:lineRule="exact"/>
        <w:ind w:left="982" w:leftChars="200" w:hanging="562" w:hanging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注：</w:t>
      </w:r>
      <w:r>
        <w:rPr>
          <w:rFonts w:hint="eastAsia" w:ascii="宋体" w:hAnsi="宋体" w:eastAsia="宋体" w:cs="宋体"/>
          <w:b/>
          <w:color w:val="auto"/>
          <w:sz w:val="24"/>
        </w:rPr>
        <w:t>1.“商务响应表”各项内容必须如实填写。</w:t>
      </w:r>
    </w:p>
    <w:p>
      <w:pPr>
        <w:spacing w:line="400" w:lineRule="exact"/>
        <w:ind w:firstLine="964" w:firstLineChars="400"/>
        <w:rPr>
          <w:rFonts w:hint="eastAsia" w:ascii="宋体" w:hAnsi="宋体" w:eastAsia="宋体" w:cs="宋体"/>
          <w:b/>
          <w:bCs/>
          <w:color w:val="auto"/>
          <w:sz w:val="28"/>
          <w:szCs w:val="28"/>
        </w:rPr>
      </w:pPr>
      <w:r>
        <w:rPr>
          <w:rFonts w:hint="eastAsia" w:ascii="宋体" w:hAnsi="宋体" w:eastAsia="宋体" w:cs="宋体"/>
          <w:b/>
          <w:color w:val="auto"/>
          <w:sz w:val="24"/>
        </w:rPr>
        <w:t>2.当本表由多页构成时，需逐页加盖投标人公章（属自然人的须逐页签字）。</w:t>
      </w:r>
    </w:p>
    <w:p>
      <w:pPr>
        <w:ind w:firstLine="1890" w:firstLineChars="900"/>
        <w:rPr>
          <w:rFonts w:hint="eastAsia" w:ascii="宋体" w:hAnsi="宋体" w:eastAsia="宋体" w:cs="宋体"/>
          <w:color w:val="auto"/>
        </w:rPr>
      </w:pPr>
    </w:p>
    <w:p>
      <w:pPr>
        <w:rPr>
          <w:rFonts w:hint="eastAsia" w:ascii="宋体" w:hAnsi="宋体" w:eastAsia="宋体" w:cs="宋体"/>
          <w:b/>
          <w:bCs/>
          <w:color w:val="auto"/>
          <w:sz w:val="32"/>
          <w:szCs w:val="32"/>
        </w:rPr>
      </w:pPr>
      <w:r>
        <w:rPr>
          <w:rFonts w:hint="eastAsia" w:ascii="宋体" w:hAnsi="宋体" w:eastAsia="宋体" w:cs="宋体"/>
          <w:color w:val="auto"/>
        </w:rPr>
        <w:br w:type="page"/>
      </w:r>
      <w:bookmarkStart w:id="241" w:name="_Toc18341"/>
      <w:bookmarkStart w:id="242" w:name="_Toc495841796"/>
      <w:r>
        <w:rPr>
          <w:rFonts w:hint="eastAsia" w:ascii="宋体" w:hAnsi="宋体" w:eastAsia="宋体" w:cs="宋体"/>
          <w:b/>
          <w:bCs/>
          <w:color w:val="auto"/>
          <w:sz w:val="32"/>
          <w:szCs w:val="32"/>
        </w:rPr>
        <w:t>3.“货物采购需求”需提供的有效证明文件（按其要求提供）：</w:t>
      </w:r>
      <w:bookmarkEnd w:id="241"/>
      <w:bookmarkEnd w:id="242"/>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43" w:name="_Toc12988"/>
      <w:bookmarkStart w:id="244" w:name="_Toc495841797"/>
      <w:r>
        <w:rPr>
          <w:rFonts w:hint="eastAsia" w:ascii="宋体" w:hAnsi="宋体" w:eastAsia="宋体" w:cs="宋体"/>
          <w:b/>
          <w:bCs/>
          <w:color w:val="auto"/>
          <w:sz w:val="32"/>
          <w:szCs w:val="32"/>
        </w:rPr>
        <w:t>4.投标人的售后服务承诺书（含免费保修期、交付使用期、技术服务、技术培训、售后服务的内容和措施等）（必须提供）</w:t>
      </w:r>
      <w:bookmarkEnd w:id="243"/>
      <w:bookmarkEnd w:id="244"/>
    </w:p>
    <w:p>
      <w:pPr>
        <w:ind w:firstLine="472" w:firstLineChars="147"/>
        <w:jc w:val="center"/>
        <w:rPr>
          <w:rFonts w:hint="eastAsia" w:ascii="宋体" w:hAnsi="宋体" w:eastAsia="宋体" w:cs="宋体"/>
          <w:b/>
          <w:bCs/>
          <w:color w:val="auto"/>
          <w:sz w:val="32"/>
          <w:szCs w:val="32"/>
        </w:rPr>
      </w:pPr>
    </w:p>
    <w:p>
      <w:pPr>
        <w:ind w:firstLine="472" w:firstLineChars="147"/>
        <w:jc w:val="center"/>
        <w:rPr>
          <w:rFonts w:hint="eastAsia" w:ascii="宋体" w:hAnsi="宋体" w:eastAsia="宋体" w:cs="宋体"/>
          <w:b/>
          <w:bCs/>
          <w:color w:val="auto"/>
          <w:sz w:val="32"/>
        </w:rPr>
      </w:pPr>
      <w:r>
        <w:rPr>
          <w:rFonts w:hint="eastAsia" w:ascii="宋体" w:hAnsi="宋体" w:eastAsia="宋体" w:cs="宋体"/>
          <w:b/>
          <w:bCs/>
          <w:color w:val="auto"/>
          <w:sz w:val="32"/>
          <w:szCs w:val="32"/>
        </w:rPr>
        <w:t>售后服务承诺书</w:t>
      </w:r>
      <w:r>
        <w:rPr>
          <w:rFonts w:hint="eastAsia" w:ascii="宋体" w:hAnsi="宋体" w:eastAsia="宋体" w:cs="宋体"/>
          <w:b/>
          <w:bCs/>
          <w:color w:val="auto"/>
          <w:sz w:val="32"/>
        </w:rPr>
        <w:t>（格式）</w:t>
      </w:r>
    </w:p>
    <w:p>
      <w:pPr>
        <w:pStyle w:val="43"/>
        <w:rPr>
          <w:rFonts w:hint="eastAsia"/>
          <w:color w:val="auto"/>
        </w:rPr>
      </w:pPr>
    </w:p>
    <w:p>
      <w:pPr>
        <w:spacing w:line="400" w:lineRule="exact"/>
        <w:rPr>
          <w:rFonts w:hint="eastAsia" w:ascii="宋体" w:hAnsi="宋体" w:eastAsia="宋体" w:cs="宋体"/>
          <w:color w:val="auto"/>
          <w:sz w:val="32"/>
          <w:szCs w:val="32"/>
        </w:rPr>
      </w:pPr>
    </w:p>
    <w:p>
      <w:pPr>
        <w:spacing w:line="400" w:lineRule="exact"/>
        <w:rPr>
          <w:rFonts w:hint="eastAsia" w:ascii="宋体" w:hAnsi="宋体" w:eastAsia="宋体" w:cs="宋体"/>
          <w:color w:val="auto"/>
          <w:sz w:val="32"/>
          <w:szCs w:val="32"/>
        </w:rPr>
      </w:pPr>
    </w:p>
    <w:p>
      <w:pPr>
        <w:spacing w:line="400" w:lineRule="exact"/>
        <w:rPr>
          <w:rFonts w:hint="eastAsia" w:ascii="宋体" w:hAnsi="宋体" w:eastAsia="宋体" w:cs="宋体"/>
          <w:color w:val="auto"/>
          <w:sz w:val="32"/>
          <w:szCs w:val="32"/>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pacing w:line="340" w:lineRule="exact"/>
        <w:ind w:firstLine="1680" w:firstLineChars="800"/>
        <w:rPr>
          <w:rFonts w:hint="eastAsia" w:ascii="宋体" w:hAnsi="宋体" w:eastAsia="宋体" w:cs="宋体"/>
          <w:color w:val="auto"/>
          <w:szCs w:val="21"/>
          <w:u w:val="single"/>
        </w:rPr>
      </w:pPr>
    </w:p>
    <w:p>
      <w:pPr>
        <w:snapToGrid w:val="0"/>
        <w:spacing w:line="400" w:lineRule="exact"/>
        <w:ind w:firstLine="1680" w:firstLineChars="800"/>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80" w:lineRule="exact"/>
        <w:rPr>
          <w:rFonts w:hint="eastAsia" w:ascii="宋体" w:hAnsi="宋体" w:eastAsia="宋体" w:cs="宋体"/>
          <w:b/>
          <w:color w:val="auto"/>
          <w:sz w:val="32"/>
          <w:szCs w:val="32"/>
        </w:rPr>
      </w:pPr>
    </w:p>
    <w:p>
      <w:pPr>
        <w:spacing w:line="380" w:lineRule="exact"/>
        <w:rPr>
          <w:rFonts w:hint="eastAsia" w:ascii="宋体" w:hAnsi="宋体" w:eastAsia="宋体" w:cs="宋体"/>
          <w:b/>
          <w:color w:val="auto"/>
          <w:sz w:val="32"/>
          <w:szCs w:val="32"/>
        </w:rPr>
      </w:pPr>
    </w:p>
    <w:p>
      <w:pPr>
        <w:rPr>
          <w:rFonts w:hint="eastAsia" w:ascii="宋体" w:hAnsi="宋体" w:eastAsia="宋体" w:cs="宋体"/>
          <w:b/>
          <w:bCs/>
          <w:color w:val="auto"/>
          <w:sz w:val="32"/>
          <w:szCs w:val="32"/>
        </w:rPr>
      </w:pPr>
      <w:bookmarkStart w:id="245" w:name="_Toc495841798"/>
      <w:r>
        <w:rPr>
          <w:rFonts w:hint="eastAsia" w:ascii="宋体" w:hAnsi="宋体" w:eastAsia="宋体" w:cs="宋体"/>
          <w:b/>
          <w:color w:val="auto"/>
          <w:sz w:val="32"/>
          <w:szCs w:val="32"/>
        </w:rPr>
        <w:br w:type="page"/>
      </w:r>
      <w:bookmarkStart w:id="246" w:name="_Toc7840"/>
      <w:r>
        <w:rPr>
          <w:rFonts w:hint="eastAsia" w:ascii="宋体" w:hAnsi="宋体" w:eastAsia="宋体" w:cs="宋体"/>
          <w:b/>
          <w:bCs/>
          <w:color w:val="auto"/>
          <w:sz w:val="32"/>
          <w:szCs w:val="32"/>
        </w:rPr>
        <w:t>5.</w:t>
      </w:r>
      <w:bookmarkEnd w:id="245"/>
      <w:r>
        <w:rPr>
          <w:rFonts w:hint="eastAsia" w:ascii="宋体" w:hAnsi="宋体" w:eastAsia="宋体" w:cs="宋体"/>
          <w:b/>
          <w:bCs/>
          <w:color w:val="auto"/>
          <w:sz w:val="32"/>
          <w:szCs w:val="32"/>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46"/>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项目实施人员一览表（格式）</w:t>
      </w:r>
    </w:p>
    <w:p>
      <w:pPr>
        <w:snapToGrid w:val="0"/>
        <w:spacing w:line="400" w:lineRule="exact"/>
        <w:rPr>
          <w:rFonts w:hint="eastAsia" w:ascii="宋体" w:hAnsi="宋体" w:eastAsia="宋体" w:cs="宋体"/>
          <w:b/>
          <w:bCs/>
          <w:color w:val="auto"/>
          <w:sz w:val="32"/>
          <w:szCs w:val="32"/>
        </w:rPr>
      </w:pPr>
      <w:r>
        <w:rPr>
          <w:rFonts w:hint="eastAsia"/>
          <w:b/>
          <w:bCs/>
          <w:color w:val="auto"/>
        </w:rPr>
        <w:t>分标：</w:t>
      </w:r>
      <w:r>
        <w:rPr>
          <w:rFonts w:hint="eastAsia"/>
          <w:b/>
          <w:bCs/>
          <w:color w:val="auto"/>
          <w:u w:val="single"/>
        </w:rPr>
        <w:t xml:space="preserve">     </w:t>
      </w:r>
      <w:r>
        <w:rPr>
          <w:rFonts w:hint="eastAsia" w:ascii="宋体" w:hAnsi="宋体" w:eastAsia="宋体" w:cs="宋体"/>
          <w:b/>
          <w:bCs/>
          <w:color w:val="auto"/>
          <w:sz w:val="32"/>
          <w:szCs w:val="32"/>
        </w:rPr>
        <w:t xml:space="preserve">     </w:t>
      </w:r>
    </w:p>
    <w:tbl>
      <w:tblPr>
        <w:tblStyle w:val="2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姓 名</w:t>
            </w:r>
          </w:p>
        </w:tc>
        <w:tc>
          <w:tcPr>
            <w:tcW w:w="993"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职务</w:t>
            </w:r>
          </w:p>
        </w:tc>
        <w:tc>
          <w:tcPr>
            <w:tcW w:w="1888"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专业技术资格</w:t>
            </w:r>
          </w:p>
        </w:tc>
        <w:tc>
          <w:tcPr>
            <w:tcW w:w="1559"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证书编号</w:t>
            </w:r>
          </w:p>
        </w:tc>
        <w:tc>
          <w:tcPr>
            <w:tcW w:w="2163"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参加工作时间</w:t>
            </w:r>
          </w:p>
        </w:tc>
        <w:tc>
          <w:tcPr>
            <w:tcW w:w="1477"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bl>
    <w:p>
      <w:pPr>
        <w:spacing w:line="400" w:lineRule="exact"/>
        <w:rPr>
          <w:rFonts w:hint="eastAsia" w:ascii="宋体" w:hAnsi="宋体" w:eastAsia="宋体" w:cs="宋体"/>
          <w:color w:val="auto"/>
          <w:szCs w:val="21"/>
        </w:rPr>
      </w:pPr>
    </w:p>
    <w:p>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注：1.在填写时，如本表格不适合投标单位的实际情况，可根据本表格式自行制表填写。</w:t>
      </w:r>
    </w:p>
    <w:p>
      <w:pPr>
        <w:spacing w:line="400" w:lineRule="exact"/>
        <w:ind w:firstLine="3255" w:firstLineChars="1550"/>
        <w:rPr>
          <w:rFonts w:hint="eastAsia" w:ascii="宋体" w:hAnsi="宋体" w:eastAsia="宋体" w:cs="宋体"/>
          <w:color w:val="auto"/>
        </w:rPr>
      </w:pPr>
      <w:r>
        <w:rPr>
          <w:rFonts w:hint="eastAsia" w:ascii="宋体" w:hAnsi="宋体" w:eastAsia="宋体" w:cs="宋体"/>
          <w:color w:val="auto"/>
        </w:rPr>
        <w:t xml:space="preserve">   </w:t>
      </w:r>
    </w:p>
    <w:p>
      <w:pPr>
        <w:spacing w:line="400" w:lineRule="exact"/>
        <w:ind w:firstLine="3255" w:firstLineChars="1550"/>
        <w:rPr>
          <w:rFonts w:hint="eastAsia" w:ascii="宋体" w:hAnsi="宋体" w:eastAsia="宋体" w:cs="宋体"/>
          <w:color w:val="auto"/>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pacing w:line="340" w:lineRule="exact"/>
        <w:ind w:firstLine="1680" w:firstLineChars="800"/>
        <w:rPr>
          <w:rFonts w:hint="eastAsia" w:ascii="宋体" w:hAnsi="宋体" w:eastAsia="宋体" w:cs="宋体"/>
          <w:color w:val="auto"/>
          <w:szCs w:val="21"/>
          <w:u w:val="single"/>
        </w:rPr>
      </w:pPr>
    </w:p>
    <w:p>
      <w:pPr>
        <w:spacing w:line="340" w:lineRule="exact"/>
        <w:ind w:firstLine="1890" w:firstLineChars="900"/>
        <w:rPr>
          <w:rFonts w:hint="eastAsia" w:ascii="宋体" w:hAnsi="宋体" w:eastAsia="宋体" w:cs="宋体"/>
          <w:b/>
          <w:color w:val="auto"/>
          <w:sz w:val="32"/>
          <w:szCs w:val="32"/>
        </w:rPr>
      </w:pPr>
      <w:r>
        <w:rPr>
          <w:rFonts w:hint="eastAsia" w:ascii="宋体" w:hAnsi="宋体" w:eastAsia="宋体" w:cs="宋体"/>
          <w:color w:val="auto"/>
        </w:rPr>
        <w:t>日          期：</w:t>
      </w:r>
      <w:r>
        <w:rPr>
          <w:rFonts w:hint="eastAsia" w:ascii="宋体" w:hAnsi="宋体" w:eastAsia="宋体" w:cs="宋体"/>
          <w:color w:val="auto"/>
          <w:u w:val="single"/>
        </w:rPr>
        <w:t xml:space="preserve">                                                   </w:t>
      </w:r>
    </w:p>
    <w:p>
      <w:pPr>
        <w:spacing w:line="500" w:lineRule="exact"/>
        <w:rPr>
          <w:rFonts w:hint="eastAsia" w:ascii="宋体" w:hAnsi="宋体" w:eastAsia="宋体" w:cs="宋体"/>
          <w:b/>
          <w:bCs/>
          <w:color w:val="auto"/>
          <w:sz w:val="32"/>
          <w:szCs w:val="32"/>
        </w:rPr>
      </w:pPr>
    </w:p>
    <w:p>
      <w:pPr>
        <w:spacing w:line="400" w:lineRule="exact"/>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47" w:name="_Toc10856"/>
      <w:bookmarkStart w:id="248" w:name="_Toc495841799"/>
      <w:r>
        <w:rPr>
          <w:rFonts w:hint="eastAsia" w:ascii="宋体" w:hAnsi="宋体" w:eastAsia="宋体" w:cs="宋体"/>
          <w:b/>
          <w:bCs/>
          <w:color w:val="auto"/>
          <w:sz w:val="32"/>
          <w:szCs w:val="32"/>
        </w:rPr>
        <w:t>6.节能方面的证书复印件（如有，请提供）</w:t>
      </w:r>
      <w:bookmarkEnd w:id="247"/>
      <w:bookmarkEnd w:id="248"/>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49" w:name="_Toc21473"/>
      <w:bookmarkStart w:id="250" w:name="_Toc495841800"/>
      <w:r>
        <w:rPr>
          <w:rFonts w:hint="eastAsia" w:ascii="宋体" w:hAnsi="宋体" w:eastAsia="宋体" w:cs="宋体"/>
          <w:b/>
          <w:bCs/>
          <w:color w:val="auto"/>
          <w:sz w:val="32"/>
          <w:szCs w:val="32"/>
        </w:rPr>
        <w:t>7.环境标志方面的证书复印件（如有，请提供）</w:t>
      </w:r>
      <w:bookmarkEnd w:id="249"/>
      <w:bookmarkEnd w:id="250"/>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51" w:name="_Toc495841802"/>
      <w:bookmarkStart w:id="252" w:name="_Toc6517"/>
      <w:r>
        <w:rPr>
          <w:rFonts w:hint="eastAsia" w:ascii="宋体" w:hAnsi="宋体" w:eastAsia="宋体" w:cs="宋体"/>
          <w:b/>
          <w:bCs/>
          <w:color w:val="auto"/>
          <w:sz w:val="32"/>
          <w:szCs w:val="32"/>
        </w:rPr>
        <w:t>8.投标人201</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1月1日</w:t>
      </w:r>
      <w:r>
        <w:rPr>
          <w:rFonts w:hint="eastAsia" w:ascii="宋体" w:hAnsi="宋体" w:eastAsia="宋体" w:cs="宋体"/>
          <w:b/>
          <w:bCs/>
          <w:color w:val="auto"/>
          <w:sz w:val="32"/>
          <w:szCs w:val="32"/>
        </w:rPr>
        <w:t>以来同类产品（</w:t>
      </w:r>
      <w:r>
        <w:rPr>
          <w:rFonts w:hint="eastAsia" w:ascii="宋体" w:hAnsi="宋体" w:cs="宋体"/>
          <w:b/>
          <w:bCs/>
          <w:color w:val="auto"/>
          <w:sz w:val="32"/>
          <w:szCs w:val="32"/>
          <w:lang w:val="en-US" w:eastAsia="zh-CN"/>
        </w:rPr>
        <w:t>金属床、金属柜</w:t>
      </w:r>
      <w:r>
        <w:rPr>
          <w:rFonts w:hint="eastAsia" w:ascii="宋体" w:hAnsi="宋体" w:eastAsia="宋体" w:cs="宋体"/>
          <w:b/>
          <w:bCs/>
          <w:color w:val="auto"/>
          <w:sz w:val="32"/>
          <w:szCs w:val="32"/>
        </w:rPr>
        <w:t>）销售业绩的相关证明材料（无不良记录，以中标、成交通知书或签订的销售合同为准，并能清晰反映所销售的货物名称、金额）（如有，请提供）</w:t>
      </w:r>
      <w:bookmarkEnd w:id="251"/>
      <w:bookmarkEnd w:id="252"/>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53" w:name="_Toc495841803"/>
      <w:bookmarkStart w:id="254" w:name="_Toc30520"/>
      <w:r>
        <w:rPr>
          <w:rFonts w:hint="eastAsia" w:ascii="宋体" w:hAnsi="宋体" w:eastAsia="宋体" w:cs="宋体"/>
          <w:b/>
          <w:bCs/>
          <w:color w:val="auto"/>
          <w:sz w:val="32"/>
          <w:szCs w:val="32"/>
        </w:rPr>
        <w:t>9.投标人为生产厂家的，投标人的生产制造设备清单及专业技术能力说明（如有，请提供）</w:t>
      </w:r>
      <w:bookmarkEnd w:id="253"/>
      <w:bookmarkEnd w:id="254"/>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55" w:name="_Toc5317"/>
      <w:bookmarkStart w:id="256" w:name="_Toc495841804"/>
      <w:r>
        <w:rPr>
          <w:rFonts w:hint="eastAsia" w:ascii="宋体" w:hAnsi="宋体" w:eastAsia="宋体" w:cs="宋体"/>
          <w:b/>
          <w:bCs/>
          <w:color w:val="auto"/>
          <w:sz w:val="32"/>
          <w:szCs w:val="32"/>
        </w:rPr>
        <w:t>10.投标人相关获奖证书、认证证书等复印件（如有，请提供）</w:t>
      </w:r>
      <w:bookmarkEnd w:id="255"/>
      <w:bookmarkEnd w:id="256"/>
      <w:bookmarkStart w:id="257" w:name="_Toc495841805"/>
      <w:r>
        <w:rPr>
          <w:rFonts w:hint="eastAsia" w:ascii="宋体" w:hAnsi="宋体" w:eastAsia="宋体" w:cs="宋体"/>
          <w:b/>
          <w:color w:val="auto"/>
          <w:sz w:val="32"/>
          <w:szCs w:val="32"/>
        </w:rPr>
        <w:br w:type="page"/>
      </w:r>
      <w:bookmarkStart w:id="258" w:name="_Toc10511"/>
      <w:r>
        <w:rPr>
          <w:rFonts w:hint="eastAsia" w:ascii="宋体" w:hAnsi="宋体" w:eastAsia="宋体" w:cs="宋体"/>
          <w:b/>
          <w:bCs/>
          <w:color w:val="auto"/>
          <w:sz w:val="32"/>
          <w:szCs w:val="32"/>
        </w:rPr>
        <w:t>11.投标人所投产品为广西工业产品的，如实提供《广西工业产品声明函》（如有，请提供）</w:t>
      </w:r>
      <w:bookmarkEnd w:id="257"/>
      <w:bookmarkEnd w:id="258"/>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p>
    <w:p>
      <w:pPr>
        <w:spacing w:line="3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广西工业产品声明函</w:t>
      </w:r>
    </w:p>
    <w:p>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hint="eastAsia" w:ascii="宋体" w:hAnsi="宋体" w:eastAsia="宋体" w:cs="宋体"/>
          <w:color w:val="auto"/>
          <w:sz w:val="24"/>
        </w:rPr>
      </w:pPr>
    </w:p>
    <w:tbl>
      <w:tblPr>
        <w:tblStyle w:val="26"/>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620"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产品名称</w:t>
            </w:r>
          </w:p>
        </w:tc>
        <w:tc>
          <w:tcPr>
            <w:tcW w:w="1617"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型号和规格</w:t>
            </w:r>
          </w:p>
        </w:tc>
        <w:tc>
          <w:tcPr>
            <w:tcW w:w="903"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2160"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制造厂商及原产地</w:t>
            </w:r>
          </w:p>
        </w:tc>
        <w:tc>
          <w:tcPr>
            <w:tcW w:w="1087"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投标价</w:t>
            </w:r>
          </w:p>
        </w:tc>
        <w:tc>
          <w:tcPr>
            <w:tcW w:w="1073"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20" w:type="dxa"/>
            <w:vAlign w:val="center"/>
          </w:tcPr>
          <w:p>
            <w:pPr>
              <w:spacing w:line="360" w:lineRule="exact"/>
              <w:jc w:val="center"/>
              <w:rPr>
                <w:rFonts w:hint="eastAsia" w:ascii="宋体" w:hAnsi="宋体" w:eastAsia="宋体" w:cs="宋体"/>
                <w:color w:val="auto"/>
                <w:szCs w:val="21"/>
              </w:rPr>
            </w:pPr>
          </w:p>
        </w:tc>
        <w:tc>
          <w:tcPr>
            <w:tcW w:w="1617" w:type="dxa"/>
            <w:vAlign w:val="center"/>
          </w:tcPr>
          <w:p>
            <w:pPr>
              <w:spacing w:line="360" w:lineRule="exact"/>
              <w:jc w:val="center"/>
              <w:rPr>
                <w:rFonts w:hint="eastAsia" w:ascii="宋体" w:hAnsi="宋体" w:eastAsia="宋体" w:cs="宋体"/>
                <w:color w:val="auto"/>
                <w:szCs w:val="21"/>
              </w:rPr>
            </w:pPr>
          </w:p>
        </w:tc>
        <w:tc>
          <w:tcPr>
            <w:tcW w:w="903" w:type="dxa"/>
            <w:vAlign w:val="center"/>
          </w:tcPr>
          <w:p>
            <w:pPr>
              <w:spacing w:line="360" w:lineRule="exact"/>
              <w:jc w:val="center"/>
              <w:rPr>
                <w:rFonts w:hint="eastAsia" w:ascii="宋体" w:hAnsi="宋体" w:eastAsia="宋体" w:cs="宋体"/>
                <w:color w:val="auto"/>
                <w:szCs w:val="21"/>
              </w:rPr>
            </w:pPr>
          </w:p>
        </w:tc>
        <w:tc>
          <w:tcPr>
            <w:tcW w:w="2160" w:type="dxa"/>
            <w:vAlign w:val="center"/>
          </w:tcPr>
          <w:p>
            <w:pPr>
              <w:spacing w:line="360" w:lineRule="exact"/>
              <w:jc w:val="center"/>
              <w:rPr>
                <w:rFonts w:hint="eastAsia" w:ascii="宋体" w:hAnsi="宋体" w:eastAsia="宋体" w:cs="宋体"/>
                <w:color w:val="auto"/>
                <w:szCs w:val="21"/>
              </w:rPr>
            </w:pPr>
          </w:p>
        </w:tc>
        <w:tc>
          <w:tcPr>
            <w:tcW w:w="1087" w:type="dxa"/>
            <w:vAlign w:val="center"/>
          </w:tcPr>
          <w:p>
            <w:pPr>
              <w:spacing w:line="360" w:lineRule="exact"/>
              <w:jc w:val="center"/>
              <w:rPr>
                <w:rFonts w:hint="eastAsia" w:ascii="宋体" w:hAnsi="宋体" w:eastAsia="宋体" w:cs="宋体"/>
                <w:color w:val="auto"/>
                <w:szCs w:val="21"/>
              </w:rPr>
            </w:pPr>
          </w:p>
        </w:tc>
        <w:tc>
          <w:tcPr>
            <w:tcW w:w="1073" w:type="dxa"/>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620" w:type="dxa"/>
            <w:vAlign w:val="center"/>
          </w:tcPr>
          <w:p>
            <w:pPr>
              <w:spacing w:line="360" w:lineRule="exact"/>
              <w:jc w:val="center"/>
              <w:rPr>
                <w:rFonts w:hint="eastAsia" w:ascii="宋体" w:hAnsi="宋体" w:eastAsia="宋体" w:cs="宋体"/>
                <w:color w:val="auto"/>
                <w:szCs w:val="21"/>
              </w:rPr>
            </w:pPr>
          </w:p>
        </w:tc>
        <w:tc>
          <w:tcPr>
            <w:tcW w:w="1617" w:type="dxa"/>
            <w:vAlign w:val="center"/>
          </w:tcPr>
          <w:p>
            <w:pPr>
              <w:spacing w:line="360" w:lineRule="exact"/>
              <w:jc w:val="center"/>
              <w:rPr>
                <w:rFonts w:hint="eastAsia" w:ascii="宋体" w:hAnsi="宋体" w:eastAsia="宋体" w:cs="宋体"/>
                <w:color w:val="auto"/>
                <w:szCs w:val="21"/>
              </w:rPr>
            </w:pPr>
          </w:p>
        </w:tc>
        <w:tc>
          <w:tcPr>
            <w:tcW w:w="903" w:type="dxa"/>
            <w:vAlign w:val="center"/>
          </w:tcPr>
          <w:p>
            <w:pPr>
              <w:spacing w:line="360" w:lineRule="exact"/>
              <w:jc w:val="center"/>
              <w:rPr>
                <w:rFonts w:hint="eastAsia" w:ascii="宋体" w:hAnsi="宋体" w:eastAsia="宋体" w:cs="宋体"/>
                <w:color w:val="auto"/>
                <w:szCs w:val="21"/>
              </w:rPr>
            </w:pPr>
          </w:p>
        </w:tc>
        <w:tc>
          <w:tcPr>
            <w:tcW w:w="2160" w:type="dxa"/>
            <w:vAlign w:val="center"/>
          </w:tcPr>
          <w:p>
            <w:pPr>
              <w:spacing w:line="360" w:lineRule="exact"/>
              <w:jc w:val="center"/>
              <w:rPr>
                <w:rFonts w:hint="eastAsia" w:ascii="宋体" w:hAnsi="宋体" w:eastAsia="宋体" w:cs="宋体"/>
                <w:color w:val="auto"/>
                <w:szCs w:val="21"/>
              </w:rPr>
            </w:pPr>
          </w:p>
        </w:tc>
        <w:tc>
          <w:tcPr>
            <w:tcW w:w="1087" w:type="dxa"/>
            <w:vAlign w:val="center"/>
          </w:tcPr>
          <w:p>
            <w:pPr>
              <w:spacing w:line="360" w:lineRule="exact"/>
              <w:jc w:val="center"/>
              <w:rPr>
                <w:rFonts w:hint="eastAsia" w:ascii="宋体" w:hAnsi="宋体" w:eastAsia="宋体" w:cs="宋体"/>
                <w:color w:val="auto"/>
                <w:szCs w:val="21"/>
              </w:rPr>
            </w:pPr>
          </w:p>
        </w:tc>
        <w:tc>
          <w:tcPr>
            <w:tcW w:w="1073" w:type="dxa"/>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620" w:type="dxa"/>
            <w:vAlign w:val="center"/>
          </w:tcPr>
          <w:p>
            <w:pPr>
              <w:spacing w:line="360" w:lineRule="exact"/>
              <w:jc w:val="center"/>
              <w:rPr>
                <w:rFonts w:hint="eastAsia" w:ascii="宋体" w:hAnsi="宋体" w:eastAsia="宋体" w:cs="宋体"/>
                <w:color w:val="auto"/>
                <w:szCs w:val="21"/>
              </w:rPr>
            </w:pPr>
          </w:p>
        </w:tc>
        <w:tc>
          <w:tcPr>
            <w:tcW w:w="1617" w:type="dxa"/>
            <w:vAlign w:val="center"/>
          </w:tcPr>
          <w:p>
            <w:pPr>
              <w:spacing w:line="360" w:lineRule="exact"/>
              <w:jc w:val="center"/>
              <w:rPr>
                <w:rFonts w:hint="eastAsia" w:ascii="宋体" w:hAnsi="宋体" w:eastAsia="宋体" w:cs="宋体"/>
                <w:color w:val="auto"/>
                <w:szCs w:val="21"/>
              </w:rPr>
            </w:pPr>
          </w:p>
        </w:tc>
        <w:tc>
          <w:tcPr>
            <w:tcW w:w="903" w:type="dxa"/>
            <w:vAlign w:val="center"/>
          </w:tcPr>
          <w:p>
            <w:pPr>
              <w:spacing w:line="360" w:lineRule="exact"/>
              <w:jc w:val="center"/>
              <w:rPr>
                <w:rFonts w:hint="eastAsia" w:ascii="宋体" w:hAnsi="宋体" w:eastAsia="宋体" w:cs="宋体"/>
                <w:color w:val="auto"/>
                <w:szCs w:val="21"/>
              </w:rPr>
            </w:pPr>
          </w:p>
        </w:tc>
        <w:tc>
          <w:tcPr>
            <w:tcW w:w="2160" w:type="dxa"/>
            <w:vAlign w:val="center"/>
          </w:tcPr>
          <w:p>
            <w:pPr>
              <w:spacing w:line="360" w:lineRule="exact"/>
              <w:jc w:val="center"/>
              <w:rPr>
                <w:rFonts w:hint="eastAsia" w:ascii="宋体" w:hAnsi="宋体" w:eastAsia="宋体" w:cs="宋体"/>
                <w:color w:val="auto"/>
                <w:szCs w:val="21"/>
              </w:rPr>
            </w:pPr>
          </w:p>
        </w:tc>
        <w:tc>
          <w:tcPr>
            <w:tcW w:w="1087" w:type="dxa"/>
            <w:vAlign w:val="center"/>
          </w:tcPr>
          <w:p>
            <w:pPr>
              <w:spacing w:line="360" w:lineRule="exact"/>
              <w:jc w:val="center"/>
              <w:rPr>
                <w:rFonts w:hint="eastAsia" w:ascii="宋体" w:hAnsi="宋体" w:eastAsia="宋体" w:cs="宋体"/>
                <w:color w:val="auto"/>
                <w:szCs w:val="21"/>
              </w:rPr>
            </w:pPr>
          </w:p>
        </w:tc>
        <w:tc>
          <w:tcPr>
            <w:tcW w:w="1073" w:type="dxa"/>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hint="eastAsia" w:ascii="宋体" w:hAnsi="宋体" w:eastAsia="宋体" w:cs="宋体"/>
                <w:color w:val="auto"/>
                <w:szCs w:val="21"/>
              </w:rPr>
            </w:pPr>
          </w:p>
        </w:tc>
        <w:tc>
          <w:tcPr>
            <w:tcW w:w="162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广西工业产品合计价格</w:t>
            </w:r>
          </w:p>
        </w:tc>
        <w:tc>
          <w:tcPr>
            <w:tcW w:w="2520" w:type="dxa"/>
            <w:gridSpan w:val="2"/>
            <w:vAlign w:val="center"/>
          </w:tcPr>
          <w:p>
            <w:pPr>
              <w:spacing w:line="360" w:lineRule="exact"/>
              <w:jc w:val="center"/>
              <w:rPr>
                <w:rFonts w:hint="eastAsia" w:ascii="宋体" w:hAnsi="宋体" w:eastAsia="宋体" w:cs="宋体"/>
                <w:color w:val="auto"/>
                <w:szCs w:val="21"/>
              </w:rPr>
            </w:pPr>
          </w:p>
        </w:tc>
        <w:tc>
          <w:tcPr>
            <w:tcW w:w="216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占投标总价比例</w:t>
            </w:r>
          </w:p>
        </w:tc>
        <w:tc>
          <w:tcPr>
            <w:tcW w:w="2160" w:type="dxa"/>
            <w:gridSpan w:val="2"/>
            <w:vAlign w:val="center"/>
          </w:tcPr>
          <w:p>
            <w:pPr>
              <w:spacing w:line="360" w:lineRule="exact"/>
              <w:jc w:val="center"/>
              <w:rPr>
                <w:rFonts w:hint="eastAsia" w:ascii="宋体" w:hAnsi="宋体" w:eastAsia="宋体" w:cs="宋体"/>
                <w:color w:val="auto"/>
                <w:szCs w:val="21"/>
              </w:rPr>
            </w:pPr>
          </w:p>
        </w:tc>
      </w:tr>
    </w:tbl>
    <w:p>
      <w:pPr>
        <w:spacing w:line="460" w:lineRule="exact"/>
        <w:ind w:left="239" w:leftChars="114" w:firstLine="720" w:firstLineChars="300"/>
        <w:rPr>
          <w:rFonts w:hint="eastAsia" w:ascii="宋体" w:hAnsi="宋体" w:eastAsia="宋体" w:cs="宋体"/>
          <w:color w:val="auto"/>
          <w:sz w:val="24"/>
        </w:rPr>
      </w:pPr>
      <w:r>
        <w:rPr>
          <w:rFonts w:hint="eastAsia" w:ascii="宋体" w:hAnsi="宋体" w:eastAsia="宋体" w:cs="宋体"/>
          <w:color w:val="auto"/>
          <w:sz w:val="24"/>
        </w:rPr>
        <w:t>本公司对上述声明的真实性负责。如有虚假，将依法承担相应责任。</w:t>
      </w:r>
    </w:p>
    <w:p>
      <w:pPr>
        <w:spacing w:line="460" w:lineRule="exact"/>
        <w:ind w:left="239" w:leftChars="114" w:firstLine="240" w:firstLineChars="100"/>
        <w:rPr>
          <w:rFonts w:hint="eastAsia" w:ascii="宋体" w:hAnsi="宋体" w:eastAsia="宋体" w:cs="宋体"/>
          <w:color w:val="auto"/>
          <w:sz w:val="24"/>
        </w:rPr>
      </w:pPr>
    </w:p>
    <w:p>
      <w:pPr>
        <w:spacing w:line="460" w:lineRule="exact"/>
        <w:ind w:left="239" w:leftChars="114" w:firstLine="240" w:firstLineChars="100"/>
        <w:rPr>
          <w:rFonts w:hint="eastAsia" w:ascii="宋体" w:hAnsi="宋体" w:eastAsia="宋体" w:cs="宋体"/>
          <w:color w:val="auto"/>
          <w:sz w:val="24"/>
        </w:rPr>
      </w:pPr>
    </w:p>
    <w:p>
      <w:pPr>
        <w:spacing w:line="460" w:lineRule="exact"/>
        <w:ind w:left="239" w:leftChars="114" w:firstLine="6240" w:firstLineChars="2600"/>
        <w:rPr>
          <w:rFonts w:hint="eastAsia" w:ascii="宋体" w:hAnsi="宋体" w:eastAsia="宋体" w:cs="宋体"/>
          <w:color w:val="auto"/>
          <w:sz w:val="24"/>
        </w:rPr>
      </w:pPr>
      <w:r>
        <w:rPr>
          <w:rFonts w:hint="eastAsia" w:ascii="宋体" w:hAnsi="宋体" w:eastAsia="宋体" w:cs="宋体"/>
          <w:color w:val="auto"/>
          <w:sz w:val="24"/>
        </w:rPr>
        <w:t>企业名称（盖</w:t>
      </w:r>
      <w:r>
        <w:rPr>
          <w:rFonts w:hint="eastAsia" w:ascii="宋体" w:hAnsi="宋体" w:eastAsia="宋体" w:cs="宋体"/>
          <w:color w:val="auto"/>
          <w:spacing w:val="6"/>
          <w:sz w:val="30"/>
          <w:szCs w:val="30"/>
        </w:rPr>
        <w:t>公</w:t>
      </w:r>
      <w:r>
        <w:rPr>
          <w:rFonts w:hint="eastAsia" w:ascii="宋体" w:hAnsi="宋体" w:eastAsia="宋体" w:cs="宋体"/>
          <w:color w:val="auto"/>
          <w:sz w:val="24"/>
        </w:rPr>
        <w:t>章）：</w:t>
      </w:r>
    </w:p>
    <w:p>
      <w:pPr>
        <w:spacing w:line="460" w:lineRule="exact"/>
        <w:ind w:left="239" w:leftChars="114" w:firstLine="6600" w:firstLineChars="2750"/>
        <w:rPr>
          <w:rFonts w:hint="eastAsia" w:ascii="宋体" w:hAnsi="宋体" w:eastAsia="宋体" w:cs="宋体"/>
          <w:color w:val="auto"/>
          <w:sz w:val="24"/>
        </w:rPr>
      </w:pPr>
      <w:r>
        <w:rPr>
          <w:rFonts w:hint="eastAsia" w:ascii="宋体" w:hAnsi="宋体" w:eastAsia="宋体" w:cs="宋体"/>
          <w:color w:val="auto"/>
          <w:sz w:val="24"/>
        </w:rPr>
        <w:t>日 期：</w:t>
      </w:r>
    </w:p>
    <w:p>
      <w:pPr>
        <w:spacing w:line="500" w:lineRule="exact"/>
        <w:rPr>
          <w:rFonts w:hint="eastAsia" w:ascii="宋体" w:hAnsi="宋体" w:eastAsia="宋体" w:cs="宋体"/>
          <w:b/>
          <w:bCs/>
          <w:color w:val="auto"/>
          <w:sz w:val="32"/>
          <w:szCs w:val="32"/>
        </w:rPr>
      </w:pPr>
    </w:p>
    <w:p>
      <w:pPr>
        <w:spacing w:line="500" w:lineRule="exact"/>
        <w:rPr>
          <w:rFonts w:hint="eastAsia" w:ascii="宋体" w:hAnsi="宋体" w:eastAsia="宋体" w:cs="宋体"/>
          <w:b/>
          <w:bCs/>
          <w:color w:val="auto"/>
          <w:sz w:val="32"/>
          <w:szCs w:val="32"/>
        </w:rPr>
      </w:pPr>
    </w:p>
    <w:p>
      <w:pPr>
        <w:spacing w:line="500" w:lineRule="exact"/>
        <w:rPr>
          <w:rFonts w:hint="eastAsia" w:ascii="宋体" w:hAnsi="宋体" w:eastAsia="宋体" w:cs="宋体"/>
          <w:b/>
          <w:bCs/>
          <w:color w:val="auto"/>
          <w:sz w:val="32"/>
          <w:szCs w:val="32"/>
        </w:rPr>
      </w:pPr>
    </w:p>
    <w:p>
      <w:pPr>
        <w:spacing w:line="500" w:lineRule="exact"/>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59" w:name="_Toc12562"/>
      <w:r>
        <w:rPr>
          <w:rFonts w:hint="eastAsia" w:ascii="宋体" w:hAnsi="宋体" w:eastAsia="宋体" w:cs="宋体"/>
          <w:b/>
          <w:color w:val="auto"/>
          <w:sz w:val="32"/>
          <w:szCs w:val="32"/>
        </w:rPr>
        <w:br w:type="page"/>
      </w:r>
      <w:r>
        <w:rPr>
          <w:rFonts w:hint="eastAsia" w:ascii="宋体" w:hAnsi="宋体" w:eastAsia="宋体" w:cs="宋体"/>
          <w:b/>
          <w:bCs/>
          <w:color w:val="auto"/>
          <w:sz w:val="32"/>
          <w:szCs w:val="32"/>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59"/>
      <w:r>
        <w:rPr>
          <w:rFonts w:hint="eastAsia" w:ascii="宋体" w:hAnsi="宋体" w:eastAsia="宋体" w:cs="宋体"/>
          <w:b/>
          <w:bCs/>
          <w:color w:val="auto"/>
          <w:sz w:val="32"/>
          <w:szCs w:val="32"/>
        </w:rPr>
        <w:t>；</w:t>
      </w:r>
    </w:p>
    <w:p>
      <w:pPr>
        <w:rPr>
          <w:rFonts w:hint="eastAsia" w:ascii="宋体" w:hAnsi="宋体" w:eastAsia="宋体" w:cs="宋体"/>
          <w:b/>
          <w:bCs/>
          <w:color w:val="auto"/>
          <w:sz w:val="28"/>
          <w:szCs w:val="28"/>
        </w:rPr>
      </w:pPr>
      <w:bookmarkStart w:id="260" w:name="_Toc24169_WPSOffice_Level1"/>
      <w:r>
        <w:rPr>
          <w:rFonts w:hint="eastAsia" w:ascii="宋体" w:hAnsi="宋体" w:eastAsia="宋体" w:cs="宋体"/>
          <w:b/>
          <w:bCs/>
          <w:color w:val="auto"/>
          <w:sz w:val="28"/>
          <w:szCs w:val="28"/>
        </w:rPr>
        <w:t>附件</w:t>
      </w:r>
      <w:bookmarkEnd w:id="260"/>
    </w:p>
    <w:p>
      <w:pPr>
        <w:pStyle w:val="15"/>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p>
    <w:p>
      <w:pPr>
        <w:spacing w:line="400" w:lineRule="exact"/>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本公司郑重声明，根据《政府采购促进中小企业发展暂行办法》（财库[2011]181号）的规定，本公司为</w:t>
      </w:r>
      <w:bookmarkStart w:id="261" w:name="OLE_LINK5"/>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（请填写：中型、小型、微型）企业</w:t>
      </w:r>
      <w:bookmarkEnd w:id="261"/>
      <w:r>
        <w:rPr>
          <w:rFonts w:hint="eastAsia" w:ascii="宋体" w:hAnsi="宋体" w:eastAsia="宋体" w:cs="宋体"/>
          <w:color w:val="auto"/>
          <w:spacing w:val="6"/>
          <w:szCs w:val="21"/>
        </w:rPr>
        <w:t>。即，本公司同时满足以下条件：</w:t>
      </w:r>
    </w:p>
    <w:p>
      <w:pPr>
        <w:spacing w:line="400" w:lineRule="exact"/>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（请填写：中型、小型、微型）企业。</w:t>
      </w:r>
    </w:p>
    <w:p>
      <w:pPr>
        <w:spacing w:line="400" w:lineRule="exact"/>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2.本公司参加</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单位的</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项目采购活动提供本企业制造的货物，由本企业承担工程、提供服务，或者提供其他</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（请填写：中型、小型、微型）企业制造的货物。本条所称货物不包括使用大型企业注册商标的货物。</w:t>
      </w:r>
    </w:p>
    <w:p>
      <w:pPr>
        <w:pStyle w:val="15"/>
        <w:spacing w:line="400" w:lineRule="exact"/>
        <w:ind w:firstLine="444" w:firstLineChars="200"/>
        <w:rPr>
          <w:rFonts w:hint="eastAsia" w:ascii="宋体" w:hAnsi="宋体" w:eastAsia="宋体" w:cs="宋体"/>
          <w:color w:val="auto"/>
          <w:sz w:val="24"/>
          <w:szCs w:val="24"/>
        </w:rPr>
      </w:pPr>
      <w:r>
        <w:rPr>
          <w:rFonts w:hint="eastAsia" w:ascii="宋体" w:hAnsi="宋体" w:eastAsia="宋体" w:cs="宋体"/>
          <w:color w:val="auto"/>
          <w:spacing w:val="6"/>
          <w:szCs w:val="21"/>
        </w:rPr>
        <w:t>本公司对上述声明的真实性负责。如有虚假，将依法承担相应责任。</w:t>
      </w:r>
    </w:p>
    <w:p>
      <w:pPr>
        <w:pStyle w:val="15"/>
        <w:spacing w:line="440" w:lineRule="exact"/>
        <w:ind w:firstLine="480" w:firstLineChars="200"/>
        <w:rPr>
          <w:rFonts w:hint="eastAsia" w:ascii="宋体" w:hAnsi="宋体" w:eastAsia="宋体" w:cs="宋体"/>
          <w:color w:val="auto"/>
          <w:sz w:val="24"/>
          <w:szCs w:val="24"/>
        </w:rPr>
      </w:pPr>
    </w:p>
    <w:p>
      <w:pPr>
        <w:pStyle w:val="15"/>
        <w:spacing w:line="440" w:lineRule="exact"/>
        <w:ind w:firstLine="3614" w:firstLineChars="15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企业名称（加盖公章）：</w:t>
      </w:r>
      <w:r>
        <w:rPr>
          <w:rFonts w:hint="eastAsia" w:ascii="宋体" w:hAnsi="宋体" w:eastAsia="宋体" w:cs="宋体"/>
          <w:b/>
          <w:bCs/>
          <w:color w:val="auto"/>
          <w:sz w:val="24"/>
          <w:szCs w:val="24"/>
          <w:u w:val="single"/>
        </w:rPr>
        <w:t xml:space="preserve">                   </w:t>
      </w:r>
    </w:p>
    <w:p>
      <w:pPr>
        <w:pStyle w:val="15"/>
        <w:spacing w:line="440" w:lineRule="exact"/>
        <w:ind w:firstLine="4819" w:firstLineChars="2000"/>
        <w:rPr>
          <w:rFonts w:hint="eastAsia" w:ascii="宋体" w:hAnsi="宋体" w:eastAsia="宋体" w:cs="宋体"/>
          <w:b/>
          <w:bCs/>
          <w:color w:val="auto"/>
          <w:sz w:val="28"/>
          <w:szCs w:val="28"/>
        </w:rPr>
      </w:pPr>
      <w:r>
        <w:rPr>
          <w:rFonts w:hint="eastAsia" w:ascii="宋体" w:hAnsi="宋体" w:eastAsia="宋体" w:cs="宋体"/>
          <w:b/>
          <w:bCs/>
          <w:color w:val="auto"/>
          <w:sz w:val="24"/>
          <w:szCs w:val="24"/>
        </w:rPr>
        <w:t>日期：     年   月   日</w:t>
      </w:r>
    </w:p>
    <w:p>
      <w:pPr>
        <w:pStyle w:val="15"/>
        <w:spacing w:line="440" w:lineRule="exact"/>
        <w:rPr>
          <w:rFonts w:hint="eastAsia" w:ascii="宋体" w:hAnsi="宋体" w:eastAsia="宋体" w:cs="宋体"/>
          <w:b/>
          <w:bCs/>
          <w:color w:val="auto"/>
          <w:sz w:val="24"/>
          <w:szCs w:val="24"/>
        </w:rPr>
      </w:pPr>
    </w:p>
    <w:p>
      <w:pPr>
        <w:pStyle w:val="15"/>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pPr>
        <w:pStyle w:val="15"/>
        <w:numPr>
          <w:ilvl w:val="0"/>
          <w:numId w:val="9"/>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9"/>
        </w:numPr>
        <w:spacing w:line="44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采购代理机构在公告中标结果时，将同时公告其《中小企业声明函》，接受社会监督，如有弄虚作假，中标供应商将承担相应责任。</w:t>
      </w:r>
    </w:p>
    <w:p>
      <w:pPr>
        <w:spacing w:line="500" w:lineRule="exact"/>
        <w:rPr>
          <w:rFonts w:hint="eastAsia" w:ascii="宋体" w:hAnsi="宋体" w:eastAsia="宋体" w:cs="宋体"/>
          <w:b/>
          <w:color w:val="auto"/>
          <w:sz w:val="32"/>
          <w:szCs w:val="32"/>
        </w:rPr>
      </w:pPr>
    </w:p>
    <w:p>
      <w:pPr>
        <w:spacing w:line="500" w:lineRule="exact"/>
        <w:rPr>
          <w:rFonts w:hint="eastAsia" w:ascii="宋体" w:hAnsi="宋体" w:eastAsia="宋体" w:cs="宋体"/>
          <w:b/>
          <w:color w:val="auto"/>
          <w:sz w:val="32"/>
          <w:szCs w:val="32"/>
        </w:rPr>
      </w:pPr>
    </w:p>
    <w:p>
      <w:pPr>
        <w:rPr>
          <w:rFonts w:hint="eastAsia" w:ascii="宋体" w:hAnsi="宋体" w:eastAsia="宋体" w:cs="宋体"/>
          <w:b/>
          <w:bCs/>
          <w:color w:val="auto"/>
          <w:sz w:val="32"/>
          <w:szCs w:val="32"/>
        </w:rPr>
      </w:pPr>
      <w:bookmarkStart w:id="262" w:name="_Toc26450"/>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13.如产品属于监狱企业的，以提供由省级以上监狱管理局、戒毒管理局（含新疆生产建设兵团）出具的属于监狱企业的证明文件为准（如有，请提供）；</w:t>
      </w:r>
      <w:bookmarkEnd w:id="262"/>
    </w:p>
    <w:p>
      <w:pPr>
        <w:rPr>
          <w:rFonts w:hint="eastAsia" w:ascii="宋体" w:hAnsi="宋体" w:eastAsia="宋体" w:cs="宋体"/>
          <w:b/>
          <w:bCs/>
          <w:color w:val="auto"/>
          <w:sz w:val="32"/>
          <w:szCs w:val="32"/>
        </w:rPr>
      </w:pPr>
      <w:bookmarkStart w:id="263" w:name="_Toc17129"/>
      <w:r>
        <w:rPr>
          <w:rFonts w:hint="eastAsia" w:ascii="宋体" w:hAnsi="宋体" w:eastAsia="宋体" w:cs="宋体"/>
          <w:b/>
          <w:bCs/>
          <w:color w:val="auto"/>
          <w:sz w:val="32"/>
          <w:szCs w:val="32"/>
        </w:rPr>
        <w:t>14.符合条件的残疾人福利性单位在参加政府采购活动时，应当提供《残疾人福利性单位声明函》（见附件），并对声明的真实性负责。</w:t>
      </w:r>
      <w:bookmarkEnd w:id="263"/>
    </w:p>
    <w:p>
      <w:pPr>
        <w:spacing w:line="588" w:lineRule="exact"/>
        <w:jc w:val="center"/>
        <w:rPr>
          <w:rFonts w:hint="eastAsia" w:ascii="宋体" w:hAnsi="宋体" w:eastAsia="宋体" w:cs="宋体"/>
          <w:b/>
          <w:color w:val="auto"/>
          <w:spacing w:val="6"/>
          <w:sz w:val="30"/>
          <w:szCs w:val="30"/>
        </w:rPr>
      </w:pPr>
      <w:r>
        <w:rPr>
          <w:rFonts w:hint="eastAsia" w:ascii="宋体" w:hAnsi="宋体" w:eastAsia="宋体" w:cs="宋体"/>
          <w:b/>
          <w:color w:val="auto"/>
          <w:spacing w:val="6"/>
          <w:sz w:val="32"/>
          <w:szCs w:val="32"/>
        </w:rPr>
        <w:t>残疾人福利性单位声明函</w:t>
      </w:r>
    </w:p>
    <w:p>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本单位对上述声明的真实性负责。如有虚假，将依法承担相应责任。</w:t>
      </w:r>
    </w:p>
    <w:p>
      <w:pPr>
        <w:spacing w:line="588" w:lineRule="exact"/>
        <w:rPr>
          <w:rFonts w:hint="eastAsia" w:ascii="宋体" w:hAnsi="宋体" w:eastAsia="宋体" w:cs="宋体"/>
          <w:color w:val="auto"/>
          <w:spacing w:val="6"/>
          <w:sz w:val="30"/>
          <w:szCs w:val="30"/>
        </w:rPr>
      </w:pPr>
    </w:p>
    <w:p>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单位名称（盖公章）：</w:t>
      </w:r>
    </w:p>
    <w:p>
      <w:pPr>
        <w:tabs>
          <w:tab w:val="left" w:pos="4860"/>
        </w:tabs>
        <w:spacing w:line="588" w:lineRule="exact"/>
        <w:ind w:right="1560" w:firstLine="624" w:firstLineChars="200"/>
        <w:jc w:val="center"/>
        <w:rPr>
          <w:rFonts w:hint="eastAsia" w:ascii="宋体" w:hAnsi="宋体" w:eastAsia="宋体" w:cs="宋体"/>
          <w:b/>
          <w:bCs/>
          <w:color w:val="auto"/>
          <w:sz w:val="32"/>
          <w:szCs w:val="32"/>
        </w:rPr>
      </w:pPr>
      <w:r>
        <w:rPr>
          <w:rFonts w:hint="eastAsia" w:ascii="宋体" w:hAnsi="宋体" w:eastAsia="宋体" w:cs="宋体"/>
          <w:color w:val="auto"/>
          <w:spacing w:val="6"/>
          <w:sz w:val="30"/>
          <w:szCs w:val="30"/>
        </w:rPr>
        <w:t>日  期：</w:t>
      </w:r>
    </w:p>
    <w:p>
      <w:pPr>
        <w:spacing w:line="500" w:lineRule="exact"/>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64" w:name="_Toc495841807"/>
      <w:bookmarkStart w:id="265" w:name="_Toc14735"/>
      <w:r>
        <w:rPr>
          <w:rFonts w:hint="eastAsia" w:ascii="宋体" w:hAnsi="宋体" w:eastAsia="宋体" w:cs="宋体"/>
          <w:b/>
          <w:bCs/>
          <w:color w:val="auto"/>
          <w:sz w:val="32"/>
          <w:szCs w:val="32"/>
        </w:rPr>
        <w:t>15.投标人可结合本项目的评标办法视自身情况自行提交相关证明材料（如有，请提供）</w:t>
      </w:r>
      <w:bookmarkEnd w:id="264"/>
      <w:bookmarkEnd w:id="265"/>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16.项目</w:t>
      </w:r>
      <w:r>
        <w:rPr>
          <w:rFonts w:hint="eastAsia" w:ascii="宋体" w:hAnsi="宋体" w:cs="宋体"/>
          <w:b/>
          <w:bCs/>
          <w:color w:val="auto"/>
          <w:sz w:val="32"/>
          <w:szCs w:val="32"/>
          <w:lang w:val="en-US" w:eastAsia="zh-CN"/>
        </w:rPr>
        <w:t>配送、安装方案</w:t>
      </w:r>
      <w:r>
        <w:rPr>
          <w:rFonts w:hint="eastAsia" w:ascii="宋体" w:hAnsi="宋体" w:eastAsia="宋体" w:cs="宋体"/>
          <w:b/>
          <w:bCs/>
          <w:color w:val="auto"/>
          <w:sz w:val="32"/>
          <w:szCs w:val="32"/>
        </w:rPr>
        <w:t>（如有，请提供）</w:t>
      </w:r>
    </w:p>
    <w:sectPr>
      <w:footerReference r:id="rId6" w:type="default"/>
      <w:pgSz w:w="11906" w:h="16838"/>
      <w:pgMar w:top="1440" w:right="1080" w:bottom="1440" w:left="1080" w:header="851" w:footer="992" w:gutter="0"/>
      <w:pgNumType w:start="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119"/>
      </w:rPr>
      <w:instrText xml:space="preserve"> PAGE </w:instrText>
    </w:r>
    <w:r>
      <w:fldChar w:fldCharType="separate"/>
    </w:r>
    <w:r>
      <w:rPr>
        <w:rStyle w:val="119"/>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179A9516"/>
    <w:multiLevelType w:val="singleLevel"/>
    <w:tmpl w:val="179A9516"/>
    <w:lvl w:ilvl="0" w:tentative="0">
      <w:start w:val="4"/>
      <w:numFmt w:val="decimal"/>
      <w:suff w:val="nothing"/>
      <w:lvlText w:val="（%1）"/>
      <w:lvlJc w:val="left"/>
    </w:lvl>
  </w:abstractNum>
  <w:abstractNum w:abstractNumId="5">
    <w:nsid w:val="262694A4"/>
    <w:multiLevelType w:val="singleLevel"/>
    <w:tmpl w:val="262694A4"/>
    <w:lvl w:ilvl="0" w:tentative="0">
      <w:start w:val="1"/>
      <w:numFmt w:val="chineseCounting"/>
      <w:suff w:val="space"/>
      <w:lvlText w:val="第%1章"/>
      <w:lvlJc w:val="left"/>
      <w:rPr>
        <w:rFonts w:hint="eastAsia"/>
      </w:rPr>
    </w:lvl>
  </w:abstractNum>
  <w:abstractNum w:abstractNumId="6">
    <w:nsid w:val="2E3DCA9D"/>
    <w:multiLevelType w:val="singleLevel"/>
    <w:tmpl w:val="2E3DCA9D"/>
    <w:lvl w:ilvl="0" w:tentative="0">
      <w:start w:val="1"/>
      <w:numFmt w:val="chineseCounting"/>
      <w:suff w:val="space"/>
      <w:lvlText w:val="第%1条"/>
      <w:lvlJc w:val="left"/>
      <w:rPr>
        <w:rFonts w:hint="eastAsia"/>
      </w:rPr>
    </w:lvl>
  </w:abstractNum>
  <w:abstractNum w:abstractNumId="7">
    <w:nsid w:val="524A5894"/>
    <w:multiLevelType w:val="singleLevel"/>
    <w:tmpl w:val="524A5894"/>
    <w:lvl w:ilvl="0" w:tentative="0">
      <w:start w:val="1"/>
      <w:numFmt w:val="decimal"/>
      <w:suff w:val="nothing"/>
      <w:lvlText w:val="%1、"/>
      <w:lvlJc w:val="left"/>
    </w:lvl>
  </w:abstractNum>
  <w:abstractNum w:abstractNumId="8">
    <w:nsid w:val="59DC546A"/>
    <w:multiLevelType w:val="singleLevel"/>
    <w:tmpl w:val="59DC546A"/>
    <w:lvl w:ilvl="0" w:tentative="0">
      <w:start w:val="1"/>
      <w:numFmt w:val="decimal"/>
      <w:suff w:val="nothing"/>
      <w:lvlText w:val="（%1）"/>
      <w:lvlJc w:val="left"/>
    </w:lvl>
  </w:abstractNum>
  <w:num w:numId="1">
    <w:abstractNumId w:val="5"/>
  </w:num>
  <w:num w:numId="2">
    <w:abstractNumId w:val="4"/>
  </w:num>
  <w:num w:numId="3">
    <w:abstractNumId w:val="8"/>
  </w:num>
  <w:num w:numId="4">
    <w:abstractNumId w:val="0"/>
  </w:num>
  <w:num w:numId="5">
    <w:abstractNumId w:val="3"/>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1237"/>
    <w:rsid w:val="02F7004C"/>
    <w:rsid w:val="03D32D87"/>
    <w:rsid w:val="047E6649"/>
    <w:rsid w:val="05CF1553"/>
    <w:rsid w:val="0B5727A9"/>
    <w:rsid w:val="0CA64CC1"/>
    <w:rsid w:val="112F2C85"/>
    <w:rsid w:val="172E62A3"/>
    <w:rsid w:val="1D2C7A0A"/>
    <w:rsid w:val="215840C7"/>
    <w:rsid w:val="21B76C72"/>
    <w:rsid w:val="2A9A292E"/>
    <w:rsid w:val="416B31D3"/>
    <w:rsid w:val="4E8C0F0C"/>
    <w:rsid w:val="51BC2171"/>
    <w:rsid w:val="5285730E"/>
    <w:rsid w:val="52E306CA"/>
    <w:rsid w:val="5E520C19"/>
    <w:rsid w:val="64F77026"/>
    <w:rsid w:val="6CC37961"/>
    <w:rsid w:val="6E722052"/>
    <w:rsid w:val="707E664C"/>
    <w:rsid w:val="761D1811"/>
    <w:rsid w:val="7AEC03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0"/>
    <w:qFormat/>
    <w:uiPriority w:val="0"/>
    <w:pPr>
      <w:ind w:firstLine="420"/>
    </w:pPr>
    <w:rPr>
      <w:szCs w:val="20"/>
    </w:rPr>
  </w:style>
  <w:style w:type="paragraph" w:styleId="10">
    <w:name w:val="Document Map"/>
    <w:basedOn w:val="1"/>
    <w:link w:val="111"/>
    <w:qFormat/>
    <w:uiPriority w:val="0"/>
    <w:rPr>
      <w:rFonts w:ascii="宋体" w:hAnsi="Tahoma"/>
      <w:sz w:val="18"/>
      <w:szCs w:val="18"/>
    </w:rPr>
  </w:style>
  <w:style w:type="paragraph" w:styleId="11">
    <w:name w:val="annotation text"/>
    <w:basedOn w:val="1"/>
    <w:link w:val="108"/>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1"/>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1"/>
    <w:next w:val="11"/>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 w:val="21"/>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4"/>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9"/>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1"/>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10"/>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7"/>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58</Pages>
  <Words>6853</Words>
  <Characters>39063</Characters>
  <Lines>325</Lines>
  <Paragraphs>91</Paragraphs>
  <TotalTime>4</TotalTime>
  <ScaleCrop>false</ScaleCrop>
  <LinksUpToDate>false</LinksUpToDate>
  <CharactersWithSpaces>45825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2020-03-09T21:34:00Z</dcterms:created>
  <dc:creator>微软用户</dc:creator>
  <cp:lastModifiedBy>user</cp:lastModifiedBy>
  <cp:lastPrinted>2020-06-02T14:38:00Z</cp:lastPrinted>
  <dcterms:modified xsi:type="dcterms:W3CDTF">2020-08-17T07:32:58Z</dcterms:modified>
  <dc:title>医疗设备采购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