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jc w:val="left"/>
        <w:rPr>
          <w:rFonts w:ascii="Times New Roman" w:hAnsi="Times New Roman"/>
          <w:b/>
          <w:bCs/>
          <w:color w:val="auto"/>
          <w:spacing w:val="80"/>
          <w:sz w:val="64"/>
        </w:rPr>
      </w:pPr>
    </w:p>
    <w:p>
      <w:pPr>
        <w:pStyle w:val="18"/>
        <w:jc w:val="center"/>
        <w:rPr>
          <w:rFonts w:ascii="华文新魏" w:eastAsia="华文新魏"/>
          <w:b/>
          <w:bCs/>
          <w:color w:val="auto"/>
          <w:spacing w:val="80"/>
          <w:sz w:val="60"/>
          <w:szCs w:val="60"/>
        </w:rPr>
      </w:pPr>
      <w:r>
        <w:rPr>
          <w:rFonts w:hint="eastAsia" w:ascii="华文新魏" w:eastAsia="华文新魏"/>
          <w:b/>
          <w:bCs/>
          <w:color w:val="auto"/>
          <w:spacing w:val="80"/>
          <w:sz w:val="60"/>
          <w:szCs w:val="60"/>
        </w:rPr>
        <w:t>桂林市政府集中采购中心</w:t>
      </w:r>
    </w:p>
    <w:p>
      <w:pPr>
        <w:pStyle w:val="18"/>
        <w:jc w:val="center"/>
        <w:rPr>
          <w:rFonts w:ascii="华文新魏" w:eastAsia="华文新魏"/>
          <w:b/>
          <w:bCs/>
          <w:color w:val="auto"/>
          <w:spacing w:val="80"/>
          <w:sz w:val="72"/>
        </w:rPr>
      </w:pPr>
    </w:p>
    <w:p>
      <w:pPr>
        <w:pStyle w:val="18"/>
        <w:jc w:val="center"/>
        <w:rPr>
          <w:rFonts w:ascii="楷体_GB2312" w:eastAsia="楷体_GB2312"/>
          <w:b/>
          <w:bCs/>
          <w:color w:val="auto"/>
          <w:sz w:val="72"/>
        </w:rPr>
      </w:pPr>
    </w:p>
    <w:p>
      <w:pPr>
        <w:pStyle w:val="18"/>
        <w:jc w:val="center"/>
        <w:rPr>
          <w:color w:val="auto"/>
        </w:rPr>
      </w:pPr>
    </w:p>
    <w:p>
      <w:pPr>
        <w:spacing w:line="1400" w:lineRule="exact"/>
        <w:jc w:val="center"/>
        <w:rPr>
          <w:rFonts w:ascii="楷体_GB2312" w:eastAsia="楷体_GB2312"/>
          <w:b/>
          <w:color w:val="auto"/>
          <w:spacing w:val="60"/>
          <w:sz w:val="132"/>
          <w:szCs w:val="132"/>
        </w:rPr>
      </w:pPr>
      <w:r>
        <w:rPr>
          <w:rFonts w:hint="eastAsia" w:ascii="楷体_GB2312" w:eastAsia="楷体_GB2312"/>
          <w:b/>
          <w:color w:val="auto"/>
          <w:spacing w:val="60"/>
          <w:sz w:val="132"/>
          <w:szCs w:val="132"/>
        </w:rPr>
        <w:t>招标文件</w:t>
      </w:r>
    </w:p>
    <w:p>
      <w:pPr>
        <w:pStyle w:val="18"/>
        <w:rPr>
          <w:color w:val="auto"/>
        </w:rPr>
      </w:pPr>
    </w:p>
    <w:p>
      <w:pPr>
        <w:pStyle w:val="18"/>
        <w:ind w:firstLine="3885" w:firstLineChars="1850"/>
        <w:rPr>
          <w:color w:val="auto"/>
        </w:rPr>
      </w:pPr>
    </w:p>
    <w:p>
      <w:pPr>
        <w:pStyle w:val="18"/>
        <w:rPr>
          <w:color w:val="auto"/>
        </w:rPr>
      </w:pPr>
    </w:p>
    <w:p>
      <w:pPr>
        <w:pStyle w:val="18"/>
        <w:rPr>
          <w:color w:val="auto"/>
        </w:rPr>
      </w:pPr>
    </w:p>
    <w:p>
      <w:pPr>
        <w:jc w:val="both"/>
        <w:rPr>
          <w:rFonts w:hint="eastAsia" w:ascii="宋体" w:hAnsi="宋体"/>
          <w:b/>
          <w:bCs/>
          <w:color w:val="auto"/>
          <w:spacing w:val="40"/>
          <w:sz w:val="32"/>
        </w:rPr>
      </w:pPr>
    </w:p>
    <w:p>
      <w:pPr>
        <w:jc w:val="center"/>
        <w:rPr>
          <w:rFonts w:hint="eastAsia" w:ascii="宋体" w:hAnsi="宋体"/>
          <w:b/>
          <w:bCs/>
          <w:color w:val="auto"/>
          <w:spacing w:val="40"/>
          <w:sz w:val="32"/>
          <w:szCs w:val="32"/>
        </w:rPr>
      </w:pPr>
      <w:r>
        <w:rPr>
          <w:rFonts w:hint="eastAsia" w:ascii="宋体" w:hAnsi="宋体"/>
          <w:b/>
          <w:bCs/>
          <w:color w:val="auto"/>
          <w:spacing w:val="40"/>
          <w:sz w:val="32"/>
        </w:rPr>
        <w:t>项目名称：</w:t>
      </w:r>
      <w:r>
        <w:rPr>
          <w:rFonts w:hint="eastAsia" w:ascii="宋体" w:hAnsi="宋体"/>
          <w:b/>
          <w:bCs/>
          <w:color w:val="auto"/>
          <w:spacing w:val="40"/>
          <w:sz w:val="32"/>
          <w:szCs w:val="32"/>
        </w:rPr>
        <w:t>五期学生公寓楼组合公寓床采购</w:t>
      </w:r>
    </w:p>
    <w:p>
      <w:pPr>
        <w:jc w:val="center"/>
        <w:rPr>
          <w:rFonts w:ascii="宋体" w:hAnsi="宋体"/>
          <w:b/>
          <w:bCs/>
          <w:color w:val="auto"/>
          <w:sz w:val="32"/>
        </w:rPr>
      </w:pPr>
      <w:bookmarkStart w:id="323" w:name="_GoBack"/>
      <w:bookmarkEnd w:id="323"/>
      <w:r>
        <w:rPr>
          <w:rFonts w:hint="eastAsia" w:ascii="宋体" w:hAnsi="宋体"/>
          <w:b/>
          <w:bCs/>
          <w:color w:val="auto"/>
          <w:spacing w:val="40"/>
          <w:sz w:val="32"/>
        </w:rPr>
        <w:t>项目编号：GXZC2020-G1-001981-GLSZ</w:t>
      </w:r>
    </w:p>
    <w:p>
      <w:pPr>
        <w:ind w:left="-2" w:leftChars="-1" w:firstLine="840" w:firstLineChars="400"/>
        <w:jc w:val="center"/>
        <w:rPr>
          <w:color w:val="auto"/>
        </w:rPr>
      </w:pPr>
      <w:r>
        <w:rPr>
          <w:rFonts w:hint="eastAsia"/>
          <w:color w:val="auto"/>
        </w:rPr>
        <w:cr/>
      </w:r>
    </w:p>
    <w:p>
      <w:pPr>
        <w:ind w:left="-2" w:leftChars="-1" w:firstLine="840" w:firstLineChars="400"/>
        <w:jc w:val="center"/>
        <w:rPr>
          <w:color w:val="auto"/>
        </w:rPr>
      </w:pPr>
    </w:p>
    <w:p>
      <w:pPr>
        <w:ind w:left="-2" w:leftChars="-1" w:firstLine="630" w:firstLineChars="300"/>
        <w:jc w:val="center"/>
        <w:rPr>
          <w:color w:val="auto"/>
        </w:rPr>
      </w:pPr>
    </w:p>
    <w:p>
      <w:pPr>
        <w:jc w:val="center"/>
        <w:rPr>
          <w:rFonts w:hint="eastAsia" w:ascii="宋体" w:hAnsi="宋体"/>
          <w:b/>
          <w:bCs/>
          <w:color w:val="auto"/>
          <w:spacing w:val="40"/>
          <w:sz w:val="32"/>
          <w:szCs w:val="32"/>
        </w:rPr>
      </w:pPr>
      <w:r>
        <w:rPr>
          <w:rFonts w:hint="eastAsia" w:ascii="宋体" w:hAnsi="宋体"/>
          <w:b/>
          <w:bCs/>
          <w:color w:val="auto"/>
          <w:spacing w:val="40"/>
          <w:sz w:val="32"/>
          <w:szCs w:val="32"/>
        </w:rPr>
        <w:t>采购代理机构：桂林市政府集中采购中心</w:t>
      </w:r>
    </w:p>
    <w:p>
      <w:pPr>
        <w:jc w:val="center"/>
        <w:rPr>
          <w:rFonts w:ascii="宋体" w:hAnsi="宋体"/>
          <w:b/>
          <w:bCs/>
          <w:color w:val="auto"/>
          <w:sz w:val="32"/>
        </w:rPr>
      </w:pPr>
      <w:r>
        <w:rPr>
          <w:rFonts w:hint="eastAsia" w:ascii="宋体" w:hAnsi="宋体"/>
          <w:b/>
          <w:bCs/>
          <w:color w:val="auto"/>
          <w:sz w:val="32"/>
        </w:rPr>
        <w:t>2020年</w:t>
      </w:r>
      <w:r>
        <w:rPr>
          <w:rFonts w:hint="eastAsia" w:ascii="宋体" w:hAnsi="宋体"/>
          <w:b/>
          <w:color w:val="auto"/>
          <w:sz w:val="32"/>
          <w:szCs w:val="32"/>
          <w:lang w:val="en-US" w:eastAsia="zh-CN"/>
        </w:rPr>
        <w:t>7</w:t>
      </w:r>
      <w:r>
        <w:rPr>
          <w:rFonts w:hint="eastAsia" w:ascii="宋体" w:hAnsi="宋体"/>
          <w:b/>
          <w:bCs/>
          <w:color w:val="auto"/>
          <w:sz w:val="32"/>
        </w:rPr>
        <w:t>月</w:t>
      </w:r>
      <w:r>
        <w:rPr>
          <w:rFonts w:hint="eastAsia" w:ascii="宋体" w:hAnsi="宋体"/>
          <w:b/>
          <w:bCs/>
          <w:color w:val="auto"/>
          <w:sz w:val="32"/>
          <w:lang w:val="en-US" w:eastAsia="zh-CN"/>
        </w:rPr>
        <w:t>3</w:t>
      </w:r>
      <w:r>
        <w:rPr>
          <w:rFonts w:hint="eastAsia" w:ascii="宋体" w:hAnsi="宋体"/>
          <w:b/>
          <w:bCs/>
          <w:color w:val="auto"/>
          <w:sz w:val="32"/>
        </w:rPr>
        <w:t>日</w:t>
      </w:r>
    </w:p>
    <w:p>
      <w:pPr>
        <w:jc w:val="center"/>
        <w:rPr>
          <w:bCs/>
          <w:color w:val="auto"/>
          <w:sz w:val="30"/>
          <w:szCs w:val="30"/>
        </w:rPr>
      </w:pPr>
    </w:p>
    <w:p>
      <w:pPr>
        <w:pStyle w:val="76"/>
        <w:jc w:val="center"/>
        <w:rPr>
          <w:rFonts w:ascii="Times New Roman" w:hAnsi="Times New Roman" w:eastAsia="方正大标宋简体"/>
          <w:color w:val="auto"/>
          <w:lang w:val="zh-CN"/>
        </w:rPr>
        <w:sectPr>
          <w:headerReference r:id="rId3" w:type="default"/>
          <w:footerReference r:id="rId4" w:type="default"/>
          <w:pgSz w:w="11906" w:h="16838"/>
          <w:pgMar w:top="1440" w:right="1080" w:bottom="1440" w:left="1080" w:header="851" w:footer="992" w:gutter="0"/>
          <w:pgNumType w:fmt="upperRoman"/>
          <w:cols w:space="720" w:num="1"/>
          <w:docGrid w:type="lines" w:linePitch="312" w:charSpace="0"/>
        </w:sectPr>
      </w:pPr>
    </w:p>
    <w:p>
      <w:pPr>
        <w:jc w:val="center"/>
        <w:rPr>
          <w:color w:val="auto"/>
        </w:rPr>
      </w:pPr>
      <w:r>
        <w:rPr>
          <w:rFonts w:ascii="宋体" w:hAnsi="宋体"/>
          <w:color w:val="auto"/>
        </w:rPr>
        <w:t>目录</w:t>
      </w:r>
    </w:p>
    <w:p>
      <w:pPr>
        <w:pStyle w:val="23"/>
        <w:tabs>
          <w:tab w:val="right" w:leader="dot" w:pos="9746"/>
        </w:tabs>
        <w:rPr>
          <w:color w:val="auto"/>
        </w:rPr>
      </w:pPr>
      <w:r>
        <w:rPr>
          <w:color w:val="auto"/>
          <w:szCs w:val="21"/>
        </w:rPr>
        <w:fldChar w:fldCharType="begin"/>
      </w:r>
      <w:r>
        <w:rPr>
          <w:color w:val="auto"/>
          <w:szCs w:val="21"/>
        </w:rPr>
        <w:instrText xml:space="preserve">TOC \o "1-3" \h \u </w:instrText>
      </w:r>
      <w:r>
        <w:rPr>
          <w:color w:val="auto"/>
          <w:szCs w:val="21"/>
        </w:rPr>
        <w:fldChar w:fldCharType="separate"/>
      </w:r>
      <w:r>
        <w:rPr>
          <w:color w:val="auto"/>
        </w:rPr>
        <w:fldChar w:fldCharType="begin"/>
      </w:r>
      <w:r>
        <w:rPr>
          <w:color w:val="auto"/>
        </w:rPr>
        <w:instrText xml:space="preserve"> HYPERLINK \l "_Toc4647" </w:instrText>
      </w:r>
      <w:r>
        <w:rPr>
          <w:color w:val="auto"/>
        </w:rPr>
        <w:fldChar w:fldCharType="separate"/>
      </w:r>
      <w:r>
        <w:rPr>
          <w:rFonts w:hint="eastAsia" w:ascii="华文中宋" w:hAnsi="华文中宋" w:eastAsia="华文中宋"/>
          <w:color w:val="auto"/>
        </w:rPr>
        <w:t>第一章 公开招标公告</w:t>
      </w:r>
      <w:r>
        <w:rPr>
          <w:color w:val="auto"/>
        </w:rPr>
        <w:tab/>
      </w:r>
      <w:r>
        <w:rPr>
          <w:color w:val="auto"/>
        </w:rPr>
        <w:fldChar w:fldCharType="begin"/>
      </w:r>
      <w:r>
        <w:rPr>
          <w:color w:val="auto"/>
        </w:rPr>
        <w:instrText xml:space="preserve"> PAGEREF _Toc4647 </w:instrText>
      </w:r>
      <w:r>
        <w:rPr>
          <w:color w:val="auto"/>
        </w:rPr>
        <w:fldChar w:fldCharType="separate"/>
      </w:r>
      <w:r>
        <w:rPr>
          <w:color w:val="auto"/>
        </w:rPr>
        <w:t>1</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"_Toc28530" </w:instrText>
      </w:r>
      <w:r>
        <w:rPr>
          <w:color w:val="auto"/>
        </w:rPr>
        <w:fldChar w:fldCharType="separate"/>
      </w:r>
      <w:r>
        <w:rPr>
          <w:rFonts w:hint="eastAsia" w:ascii="黑体" w:hAnsi="黑体" w:cs="宋体"/>
          <w:color w:val="auto"/>
          <w:szCs w:val="28"/>
        </w:rPr>
        <w:t>一、项目基本情况</w:t>
      </w:r>
      <w:r>
        <w:rPr>
          <w:color w:val="auto"/>
        </w:rPr>
        <w:tab/>
      </w:r>
      <w:r>
        <w:rPr>
          <w:color w:val="auto"/>
        </w:rPr>
        <w:fldChar w:fldCharType="begin"/>
      </w:r>
      <w:r>
        <w:rPr>
          <w:color w:val="auto"/>
        </w:rPr>
        <w:instrText xml:space="preserve"> PAGEREF _Toc28530 </w:instrText>
      </w:r>
      <w:r>
        <w:rPr>
          <w:color w:val="auto"/>
        </w:rPr>
        <w:fldChar w:fldCharType="separate"/>
      </w:r>
      <w:r>
        <w:rPr>
          <w:color w:val="auto"/>
        </w:rPr>
        <w:t>1</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"_Toc969" </w:instrText>
      </w:r>
      <w:r>
        <w:rPr>
          <w:color w:val="auto"/>
        </w:rPr>
        <w:fldChar w:fldCharType="separate"/>
      </w:r>
      <w:r>
        <w:rPr>
          <w:rFonts w:hint="eastAsia" w:ascii="黑体" w:hAnsi="黑体" w:cs="宋体"/>
          <w:color w:val="auto"/>
          <w:szCs w:val="28"/>
        </w:rPr>
        <w:t>二、申请人的资格要求</w:t>
      </w:r>
      <w:r>
        <w:rPr>
          <w:color w:val="auto"/>
        </w:rPr>
        <w:tab/>
      </w:r>
      <w:r>
        <w:rPr>
          <w:color w:val="auto"/>
        </w:rPr>
        <w:fldChar w:fldCharType="begin"/>
      </w:r>
      <w:r>
        <w:rPr>
          <w:color w:val="auto"/>
        </w:rPr>
        <w:instrText xml:space="preserve"> PAGEREF _Toc969 </w:instrText>
      </w:r>
      <w:r>
        <w:rPr>
          <w:color w:val="auto"/>
        </w:rPr>
        <w:fldChar w:fldCharType="separate"/>
      </w:r>
      <w:r>
        <w:rPr>
          <w:color w:val="auto"/>
        </w:rPr>
        <w:t>1</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"_Toc22794" </w:instrText>
      </w:r>
      <w:r>
        <w:rPr>
          <w:color w:val="auto"/>
        </w:rPr>
        <w:fldChar w:fldCharType="separate"/>
      </w:r>
      <w:r>
        <w:rPr>
          <w:rFonts w:hint="eastAsia" w:ascii="黑体" w:hAnsi="黑体" w:cs="宋体"/>
          <w:color w:val="auto"/>
          <w:szCs w:val="28"/>
        </w:rPr>
        <w:t>三、获取招标文件</w:t>
      </w:r>
      <w:r>
        <w:rPr>
          <w:color w:val="auto"/>
        </w:rPr>
        <w:tab/>
      </w:r>
      <w:r>
        <w:rPr>
          <w:color w:val="auto"/>
        </w:rPr>
        <w:fldChar w:fldCharType="begin"/>
      </w:r>
      <w:r>
        <w:rPr>
          <w:color w:val="auto"/>
        </w:rPr>
        <w:instrText xml:space="preserve"> PAGEREF _Toc22794 </w:instrText>
      </w:r>
      <w:r>
        <w:rPr>
          <w:color w:val="auto"/>
        </w:rPr>
        <w:fldChar w:fldCharType="separate"/>
      </w:r>
      <w:r>
        <w:rPr>
          <w:color w:val="auto"/>
        </w:rPr>
        <w:t>2</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"_Toc7593" </w:instrText>
      </w:r>
      <w:r>
        <w:rPr>
          <w:color w:val="auto"/>
        </w:rPr>
        <w:fldChar w:fldCharType="separate"/>
      </w:r>
      <w:r>
        <w:rPr>
          <w:rFonts w:hint="eastAsia" w:ascii="黑体" w:hAnsi="黑体" w:cs="宋体"/>
          <w:color w:val="auto"/>
          <w:szCs w:val="28"/>
        </w:rPr>
        <w:t>四、提交投标文件截止时间、开标时间和地点</w:t>
      </w:r>
      <w:r>
        <w:rPr>
          <w:color w:val="auto"/>
        </w:rPr>
        <w:tab/>
      </w:r>
      <w:r>
        <w:rPr>
          <w:color w:val="auto"/>
        </w:rPr>
        <w:fldChar w:fldCharType="begin"/>
      </w:r>
      <w:r>
        <w:rPr>
          <w:color w:val="auto"/>
        </w:rPr>
        <w:instrText xml:space="preserve"> PAGEREF _Toc7593 </w:instrText>
      </w:r>
      <w:r>
        <w:rPr>
          <w:color w:val="auto"/>
        </w:rPr>
        <w:fldChar w:fldCharType="separate"/>
      </w:r>
      <w:r>
        <w:rPr>
          <w:color w:val="auto"/>
        </w:rPr>
        <w:t>2</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"_Toc20761" </w:instrText>
      </w:r>
      <w:r>
        <w:rPr>
          <w:color w:val="auto"/>
        </w:rPr>
        <w:fldChar w:fldCharType="separate"/>
      </w:r>
      <w:r>
        <w:rPr>
          <w:rFonts w:hint="eastAsia" w:ascii="黑体" w:hAnsi="黑体" w:cs="宋体"/>
          <w:color w:val="auto"/>
          <w:szCs w:val="28"/>
        </w:rPr>
        <w:t>五、公告期限</w:t>
      </w:r>
      <w:r>
        <w:rPr>
          <w:color w:val="auto"/>
        </w:rPr>
        <w:tab/>
      </w:r>
      <w:r>
        <w:rPr>
          <w:color w:val="auto"/>
        </w:rPr>
        <w:fldChar w:fldCharType="begin"/>
      </w:r>
      <w:r>
        <w:rPr>
          <w:color w:val="auto"/>
        </w:rPr>
        <w:instrText xml:space="preserve"> PAGEREF _Toc20761 </w:instrText>
      </w:r>
      <w:r>
        <w:rPr>
          <w:color w:val="auto"/>
        </w:rPr>
        <w:fldChar w:fldCharType="separate"/>
      </w:r>
      <w:r>
        <w:rPr>
          <w:color w:val="auto"/>
        </w:rPr>
        <w:t>2</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"_Toc1937" </w:instrText>
      </w:r>
      <w:r>
        <w:rPr>
          <w:color w:val="auto"/>
        </w:rPr>
        <w:fldChar w:fldCharType="separate"/>
      </w:r>
      <w:r>
        <w:rPr>
          <w:rFonts w:hint="eastAsia" w:ascii="黑体" w:hAnsi="黑体" w:cs="宋体"/>
          <w:color w:val="auto"/>
          <w:szCs w:val="28"/>
        </w:rPr>
        <w:t>六、其他补充事宜</w:t>
      </w:r>
      <w:r>
        <w:rPr>
          <w:color w:val="auto"/>
        </w:rPr>
        <w:tab/>
      </w:r>
      <w:r>
        <w:rPr>
          <w:color w:val="auto"/>
        </w:rPr>
        <w:fldChar w:fldCharType="begin"/>
      </w:r>
      <w:r>
        <w:rPr>
          <w:color w:val="auto"/>
        </w:rPr>
        <w:instrText xml:space="preserve"> PAGEREF _Toc1937 </w:instrText>
      </w:r>
      <w:r>
        <w:rPr>
          <w:color w:val="auto"/>
        </w:rPr>
        <w:fldChar w:fldCharType="separate"/>
      </w:r>
      <w:r>
        <w:rPr>
          <w:color w:val="auto"/>
        </w:rPr>
        <w:t>3</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"_Toc13248" </w:instrText>
      </w:r>
      <w:r>
        <w:rPr>
          <w:color w:val="auto"/>
        </w:rPr>
        <w:fldChar w:fldCharType="separate"/>
      </w:r>
      <w:r>
        <w:rPr>
          <w:rFonts w:hint="eastAsia" w:ascii="黑体" w:hAnsi="黑体" w:cs="宋体"/>
          <w:color w:val="auto"/>
          <w:szCs w:val="28"/>
        </w:rPr>
        <w:t>七、对本次招标提出询问，请按</w:t>
      </w:r>
      <w:r>
        <w:rPr>
          <w:rFonts w:ascii="黑体" w:hAnsi="黑体" w:cs="宋体"/>
          <w:color w:val="auto"/>
          <w:szCs w:val="28"/>
        </w:rPr>
        <w:t>以下方式</w:t>
      </w:r>
      <w:r>
        <w:rPr>
          <w:rFonts w:hint="eastAsia" w:ascii="黑体" w:hAnsi="黑体" w:cs="宋体"/>
          <w:color w:val="auto"/>
          <w:szCs w:val="28"/>
        </w:rPr>
        <w:t>联系。</w:t>
      </w:r>
      <w:r>
        <w:rPr>
          <w:color w:val="auto"/>
        </w:rPr>
        <w:tab/>
      </w:r>
      <w:r>
        <w:rPr>
          <w:color w:val="auto"/>
        </w:rPr>
        <w:fldChar w:fldCharType="begin"/>
      </w:r>
      <w:r>
        <w:rPr>
          <w:color w:val="auto"/>
        </w:rPr>
        <w:instrText xml:space="preserve"> PAGEREF _Toc13248 </w:instrText>
      </w:r>
      <w:r>
        <w:rPr>
          <w:color w:val="auto"/>
        </w:rPr>
        <w:fldChar w:fldCharType="separate"/>
      </w:r>
      <w:r>
        <w:rPr>
          <w:color w:val="auto"/>
        </w:rPr>
        <w:t>3</w:t>
      </w:r>
      <w:r>
        <w:rPr>
          <w:color w:val="auto"/>
        </w:rPr>
        <w:fldChar w:fldCharType="end"/>
      </w:r>
      <w:r>
        <w:rPr>
          <w:color w:val="auto"/>
        </w:rPr>
        <w:fldChar w:fldCharType="end"/>
      </w:r>
    </w:p>
    <w:p>
      <w:pPr>
        <w:pStyle w:val="23"/>
        <w:tabs>
          <w:tab w:val="right" w:leader="dot" w:pos="9746"/>
        </w:tabs>
        <w:rPr>
          <w:color w:val="auto"/>
        </w:rPr>
      </w:pPr>
      <w:r>
        <w:rPr>
          <w:color w:val="auto"/>
        </w:rPr>
        <w:fldChar w:fldCharType="begin"/>
      </w:r>
      <w:r>
        <w:rPr>
          <w:color w:val="auto"/>
        </w:rPr>
        <w:instrText xml:space="preserve"> HYPERLINK \l "_Toc15001" </w:instrText>
      </w:r>
      <w:r>
        <w:rPr>
          <w:color w:val="auto"/>
        </w:rPr>
        <w:fldChar w:fldCharType="separate"/>
      </w:r>
      <w:r>
        <w:rPr>
          <w:rFonts w:eastAsia="黑体"/>
          <w:color w:val="auto"/>
          <w:szCs w:val="32"/>
        </w:rPr>
        <w:t>第二章投标人须知</w:t>
      </w:r>
      <w:r>
        <w:rPr>
          <w:color w:val="auto"/>
        </w:rPr>
        <w:tab/>
      </w:r>
      <w:r>
        <w:rPr>
          <w:color w:val="auto"/>
        </w:rPr>
        <w:fldChar w:fldCharType="begin"/>
      </w:r>
      <w:r>
        <w:rPr>
          <w:color w:val="auto"/>
        </w:rPr>
        <w:instrText xml:space="preserve"> PAGEREF _Toc15001 </w:instrText>
      </w:r>
      <w:r>
        <w:rPr>
          <w:color w:val="auto"/>
        </w:rPr>
        <w:fldChar w:fldCharType="separate"/>
      </w:r>
      <w:r>
        <w:rPr>
          <w:color w:val="auto"/>
        </w:rPr>
        <w:t>4</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"_Toc21838" </w:instrText>
      </w:r>
      <w:r>
        <w:rPr>
          <w:color w:val="auto"/>
        </w:rPr>
        <w:fldChar w:fldCharType="separate"/>
      </w:r>
      <w:r>
        <w:rPr>
          <w:color w:val="auto"/>
        </w:rPr>
        <w:t>投标人须知前附表</w:t>
      </w:r>
      <w:r>
        <w:rPr>
          <w:color w:val="auto"/>
        </w:rPr>
        <w:tab/>
      </w:r>
      <w:r>
        <w:rPr>
          <w:color w:val="auto"/>
        </w:rPr>
        <w:fldChar w:fldCharType="begin"/>
      </w:r>
      <w:r>
        <w:rPr>
          <w:color w:val="auto"/>
        </w:rPr>
        <w:instrText xml:space="preserve"> PAGEREF _Toc21838 </w:instrText>
      </w:r>
      <w:r>
        <w:rPr>
          <w:color w:val="auto"/>
        </w:rPr>
        <w:fldChar w:fldCharType="separate"/>
      </w:r>
      <w:r>
        <w:rPr>
          <w:color w:val="auto"/>
        </w:rPr>
        <w:t>4</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"_Toc17184" </w:instrText>
      </w:r>
      <w:r>
        <w:rPr>
          <w:color w:val="auto"/>
        </w:rPr>
        <w:fldChar w:fldCharType="separate"/>
      </w:r>
      <w:r>
        <w:rPr>
          <w:color w:val="auto"/>
          <w:szCs w:val="28"/>
        </w:rPr>
        <w:t>一、总则</w:t>
      </w:r>
      <w:r>
        <w:rPr>
          <w:color w:val="auto"/>
        </w:rPr>
        <w:tab/>
      </w:r>
      <w:r>
        <w:rPr>
          <w:color w:val="auto"/>
        </w:rPr>
        <w:fldChar w:fldCharType="begin"/>
      </w:r>
      <w:r>
        <w:rPr>
          <w:color w:val="auto"/>
        </w:rPr>
        <w:instrText xml:space="preserve"> PAGEREF _Toc17184 </w:instrText>
      </w:r>
      <w:r>
        <w:rPr>
          <w:color w:val="auto"/>
        </w:rPr>
        <w:fldChar w:fldCharType="separate"/>
      </w:r>
      <w:r>
        <w:rPr>
          <w:color w:val="auto"/>
        </w:rPr>
        <w:t>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"_Toc7363" </w:instrText>
      </w:r>
      <w:r>
        <w:rPr>
          <w:color w:val="auto"/>
        </w:rPr>
        <w:fldChar w:fldCharType="separate"/>
      </w:r>
      <w:r>
        <w:rPr>
          <w:color w:val="auto"/>
          <w:szCs w:val="21"/>
        </w:rPr>
        <w:t>1. 项目名称及项目编号</w:t>
      </w:r>
      <w:r>
        <w:rPr>
          <w:color w:val="auto"/>
        </w:rPr>
        <w:tab/>
      </w:r>
      <w:r>
        <w:rPr>
          <w:color w:val="auto"/>
        </w:rPr>
        <w:fldChar w:fldCharType="begin"/>
      </w:r>
      <w:r>
        <w:rPr>
          <w:color w:val="auto"/>
        </w:rPr>
        <w:instrText xml:space="preserve"> PAGEREF _Toc7363 </w:instrText>
      </w:r>
      <w:r>
        <w:rPr>
          <w:color w:val="auto"/>
        </w:rPr>
        <w:fldChar w:fldCharType="separate"/>
      </w:r>
      <w:r>
        <w:rPr>
          <w:color w:val="auto"/>
        </w:rPr>
        <w:t>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"_Toc20417" </w:instrText>
      </w:r>
      <w:r>
        <w:rPr>
          <w:color w:val="auto"/>
        </w:rPr>
        <w:fldChar w:fldCharType="separate"/>
      </w:r>
      <w:r>
        <w:rPr>
          <w:color w:val="auto"/>
          <w:szCs w:val="21"/>
        </w:rPr>
        <w:t>2. 适应范围</w:t>
      </w:r>
      <w:r>
        <w:rPr>
          <w:color w:val="auto"/>
        </w:rPr>
        <w:tab/>
      </w:r>
      <w:r>
        <w:rPr>
          <w:color w:val="auto"/>
        </w:rPr>
        <w:fldChar w:fldCharType="begin"/>
      </w:r>
      <w:r>
        <w:rPr>
          <w:color w:val="auto"/>
        </w:rPr>
        <w:instrText xml:space="preserve"> PAGEREF _Toc20417 </w:instrText>
      </w:r>
      <w:r>
        <w:rPr>
          <w:color w:val="auto"/>
        </w:rPr>
        <w:fldChar w:fldCharType="separate"/>
      </w:r>
      <w:r>
        <w:rPr>
          <w:color w:val="auto"/>
        </w:rPr>
        <w:t>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"_Toc15235" </w:instrText>
      </w:r>
      <w:r>
        <w:rPr>
          <w:color w:val="auto"/>
        </w:rPr>
        <w:fldChar w:fldCharType="separate"/>
      </w:r>
      <w:r>
        <w:rPr>
          <w:color w:val="auto"/>
          <w:szCs w:val="21"/>
        </w:rPr>
        <w:t>3. 定义</w:t>
      </w:r>
      <w:r>
        <w:rPr>
          <w:color w:val="auto"/>
        </w:rPr>
        <w:tab/>
      </w:r>
      <w:r>
        <w:rPr>
          <w:color w:val="auto"/>
        </w:rPr>
        <w:fldChar w:fldCharType="begin"/>
      </w:r>
      <w:r>
        <w:rPr>
          <w:color w:val="auto"/>
        </w:rPr>
        <w:instrText xml:space="preserve"> PAGEREF _Toc15235 </w:instrText>
      </w:r>
      <w:r>
        <w:rPr>
          <w:color w:val="auto"/>
        </w:rPr>
        <w:fldChar w:fldCharType="separate"/>
      </w:r>
      <w:r>
        <w:rPr>
          <w:color w:val="auto"/>
        </w:rPr>
        <w:t>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"_Toc23735" </w:instrText>
      </w:r>
      <w:r>
        <w:rPr>
          <w:color w:val="auto"/>
        </w:rPr>
        <w:fldChar w:fldCharType="separate"/>
      </w:r>
      <w:r>
        <w:rPr>
          <w:color w:val="auto"/>
          <w:szCs w:val="21"/>
        </w:rPr>
        <w:t>4. 招标方式、评分办法</w:t>
      </w:r>
      <w:r>
        <w:rPr>
          <w:color w:val="auto"/>
        </w:rPr>
        <w:tab/>
      </w:r>
      <w:r>
        <w:rPr>
          <w:color w:val="auto"/>
        </w:rPr>
        <w:fldChar w:fldCharType="begin"/>
      </w:r>
      <w:r>
        <w:rPr>
          <w:color w:val="auto"/>
        </w:rPr>
        <w:instrText xml:space="preserve"> PAGEREF _Toc23735 </w:instrText>
      </w:r>
      <w:r>
        <w:rPr>
          <w:color w:val="auto"/>
        </w:rPr>
        <w:fldChar w:fldCharType="separate"/>
      </w:r>
      <w:r>
        <w:rPr>
          <w:color w:val="auto"/>
        </w:rPr>
        <w:t>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"_Toc13217" </w:instrText>
      </w:r>
      <w:r>
        <w:rPr>
          <w:color w:val="auto"/>
        </w:rPr>
        <w:fldChar w:fldCharType="separate"/>
      </w:r>
      <w:r>
        <w:rPr>
          <w:color w:val="auto"/>
          <w:szCs w:val="21"/>
        </w:rPr>
        <w:t>5. 投标人资格</w:t>
      </w:r>
      <w:r>
        <w:rPr>
          <w:color w:val="auto"/>
        </w:rPr>
        <w:tab/>
      </w:r>
      <w:r>
        <w:rPr>
          <w:color w:val="auto"/>
        </w:rPr>
        <w:fldChar w:fldCharType="begin"/>
      </w:r>
      <w:r>
        <w:rPr>
          <w:color w:val="auto"/>
        </w:rPr>
        <w:instrText xml:space="preserve"> PAGEREF _Toc13217 </w:instrText>
      </w:r>
      <w:r>
        <w:rPr>
          <w:color w:val="auto"/>
        </w:rPr>
        <w:fldChar w:fldCharType="separate"/>
      </w:r>
      <w:r>
        <w:rPr>
          <w:color w:val="auto"/>
        </w:rPr>
        <w:t>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"_Toc1925" </w:instrText>
      </w:r>
      <w:r>
        <w:rPr>
          <w:color w:val="auto"/>
        </w:rPr>
        <w:fldChar w:fldCharType="separate"/>
      </w:r>
      <w:r>
        <w:rPr>
          <w:color w:val="auto"/>
          <w:szCs w:val="21"/>
        </w:rPr>
        <w:t>6. 投标费用</w:t>
      </w:r>
      <w:r>
        <w:rPr>
          <w:color w:val="auto"/>
        </w:rPr>
        <w:tab/>
      </w:r>
      <w:r>
        <w:rPr>
          <w:color w:val="auto"/>
        </w:rPr>
        <w:fldChar w:fldCharType="begin"/>
      </w:r>
      <w:r>
        <w:rPr>
          <w:color w:val="auto"/>
        </w:rPr>
        <w:instrText xml:space="preserve"> PAGEREF _Toc1925 </w:instrText>
      </w:r>
      <w:r>
        <w:rPr>
          <w:color w:val="auto"/>
        </w:rPr>
        <w:fldChar w:fldCharType="separate"/>
      </w:r>
      <w:r>
        <w:rPr>
          <w:color w:val="auto"/>
        </w:rPr>
        <w:t>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"_Toc10591" </w:instrText>
      </w:r>
      <w:r>
        <w:rPr>
          <w:color w:val="auto"/>
        </w:rPr>
        <w:fldChar w:fldCharType="separate"/>
      </w:r>
      <w:r>
        <w:rPr>
          <w:color w:val="auto"/>
          <w:szCs w:val="21"/>
        </w:rPr>
        <w:t>7. 联合体投标要求</w:t>
      </w:r>
      <w:r>
        <w:rPr>
          <w:color w:val="auto"/>
        </w:rPr>
        <w:tab/>
      </w:r>
      <w:r>
        <w:rPr>
          <w:color w:val="auto"/>
        </w:rPr>
        <w:fldChar w:fldCharType="begin"/>
      </w:r>
      <w:r>
        <w:rPr>
          <w:color w:val="auto"/>
        </w:rPr>
        <w:instrText xml:space="preserve"> PAGEREF _Toc10591 </w:instrText>
      </w:r>
      <w:r>
        <w:rPr>
          <w:color w:val="auto"/>
        </w:rPr>
        <w:fldChar w:fldCharType="separate"/>
      </w:r>
      <w:r>
        <w:rPr>
          <w:color w:val="auto"/>
        </w:rPr>
        <w:t>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"_Toc13551" </w:instrText>
      </w:r>
      <w:r>
        <w:rPr>
          <w:color w:val="auto"/>
        </w:rPr>
        <w:fldChar w:fldCharType="separate"/>
      </w:r>
      <w:r>
        <w:rPr>
          <w:color w:val="auto"/>
          <w:szCs w:val="21"/>
        </w:rPr>
        <w:t>8. 转包与分包</w:t>
      </w:r>
      <w:r>
        <w:rPr>
          <w:color w:val="auto"/>
        </w:rPr>
        <w:tab/>
      </w:r>
      <w:r>
        <w:rPr>
          <w:color w:val="auto"/>
        </w:rPr>
        <w:fldChar w:fldCharType="begin"/>
      </w:r>
      <w:r>
        <w:rPr>
          <w:color w:val="auto"/>
        </w:rPr>
        <w:instrText xml:space="preserve"> PAGEREF _Toc13551 </w:instrText>
      </w:r>
      <w:r>
        <w:rPr>
          <w:color w:val="auto"/>
        </w:rPr>
        <w:fldChar w:fldCharType="separate"/>
      </w:r>
      <w:r>
        <w:rPr>
          <w:color w:val="auto"/>
        </w:rPr>
        <w:t>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"_Toc8666" </w:instrText>
      </w:r>
      <w:r>
        <w:rPr>
          <w:color w:val="auto"/>
        </w:rPr>
        <w:fldChar w:fldCharType="separate"/>
      </w:r>
      <w:r>
        <w:rPr>
          <w:color w:val="auto"/>
          <w:szCs w:val="21"/>
        </w:rPr>
        <w:t>9. 特别说明</w:t>
      </w:r>
      <w:r>
        <w:rPr>
          <w:color w:val="auto"/>
        </w:rPr>
        <w:tab/>
      </w:r>
      <w:r>
        <w:rPr>
          <w:color w:val="auto"/>
        </w:rPr>
        <w:fldChar w:fldCharType="begin"/>
      </w:r>
      <w:r>
        <w:rPr>
          <w:color w:val="auto"/>
        </w:rPr>
        <w:instrText xml:space="preserve"> PAGEREF _Toc8666 </w:instrText>
      </w:r>
      <w:r>
        <w:rPr>
          <w:color w:val="auto"/>
        </w:rPr>
        <w:fldChar w:fldCharType="separate"/>
      </w:r>
      <w:r>
        <w:rPr>
          <w:color w:val="auto"/>
        </w:rPr>
        <w:t>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"_Toc17268" </w:instrText>
      </w:r>
      <w:r>
        <w:rPr>
          <w:color w:val="auto"/>
        </w:rPr>
        <w:fldChar w:fldCharType="separate"/>
      </w:r>
      <w:r>
        <w:rPr>
          <w:color w:val="auto"/>
          <w:szCs w:val="21"/>
        </w:rPr>
        <w:t>10. 质疑和投诉</w:t>
      </w:r>
      <w:r>
        <w:rPr>
          <w:color w:val="auto"/>
        </w:rPr>
        <w:tab/>
      </w:r>
      <w:r>
        <w:rPr>
          <w:color w:val="auto"/>
        </w:rPr>
        <w:fldChar w:fldCharType="begin"/>
      </w:r>
      <w:r>
        <w:rPr>
          <w:color w:val="auto"/>
        </w:rPr>
        <w:instrText xml:space="preserve"> PAGEREF _Toc17268 </w:instrText>
      </w:r>
      <w:r>
        <w:rPr>
          <w:color w:val="auto"/>
        </w:rPr>
        <w:fldChar w:fldCharType="separate"/>
      </w:r>
      <w:r>
        <w:rPr>
          <w:color w:val="auto"/>
        </w:rPr>
        <w:t>8</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"_Toc28189" </w:instrText>
      </w:r>
      <w:r>
        <w:rPr>
          <w:color w:val="auto"/>
        </w:rPr>
        <w:fldChar w:fldCharType="separate"/>
      </w:r>
      <w:r>
        <w:rPr>
          <w:color w:val="auto"/>
          <w:szCs w:val="28"/>
        </w:rPr>
        <w:t>二、招标文件</w:t>
      </w:r>
      <w:r>
        <w:rPr>
          <w:color w:val="auto"/>
        </w:rPr>
        <w:tab/>
      </w:r>
      <w:r>
        <w:rPr>
          <w:color w:val="auto"/>
        </w:rPr>
        <w:fldChar w:fldCharType="begin"/>
      </w:r>
      <w:r>
        <w:rPr>
          <w:color w:val="auto"/>
        </w:rPr>
        <w:instrText xml:space="preserve"> PAGEREF _Toc28189 </w:instrText>
      </w:r>
      <w:r>
        <w:rPr>
          <w:color w:val="auto"/>
        </w:rPr>
        <w:fldChar w:fldCharType="separate"/>
      </w:r>
      <w:r>
        <w:rPr>
          <w:color w:val="auto"/>
        </w:rPr>
        <w:t>8</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"_Toc22161" </w:instrText>
      </w:r>
      <w:r>
        <w:rPr>
          <w:color w:val="auto"/>
        </w:rPr>
        <w:fldChar w:fldCharType="separate"/>
      </w:r>
      <w:r>
        <w:rPr>
          <w:color w:val="auto"/>
          <w:szCs w:val="21"/>
        </w:rPr>
        <w:t>11. 招标文件的构成</w:t>
      </w:r>
      <w:r>
        <w:rPr>
          <w:color w:val="auto"/>
        </w:rPr>
        <w:tab/>
      </w:r>
      <w:r>
        <w:rPr>
          <w:color w:val="auto"/>
        </w:rPr>
        <w:fldChar w:fldCharType="begin"/>
      </w:r>
      <w:r>
        <w:rPr>
          <w:color w:val="auto"/>
        </w:rPr>
        <w:instrText xml:space="preserve"> PAGEREF _Toc22161 </w:instrText>
      </w:r>
      <w:r>
        <w:rPr>
          <w:color w:val="auto"/>
        </w:rPr>
        <w:fldChar w:fldCharType="separate"/>
      </w:r>
      <w:r>
        <w:rPr>
          <w:color w:val="auto"/>
        </w:rPr>
        <w:t>8</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"_Toc14570" </w:instrText>
      </w:r>
      <w:r>
        <w:rPr>
          <w:color w:val="auto"/>
        </w:rPr>
        <w:fldChar w:fldCharType="separate"/>
      </w:r>
      <w:r>
        <w:rPr>
          <w:color w:val="auto"/>
          <w:szCs w:val="21"/>
        </w:rPr>
        <w:t>12. 招标文件的澄清与修改</w:t>
      </w:r>
      <w:r>
        <w:rPr>
          <w:color w:val="auto"/>
        </w:rPr>
        <w:tab/>
      </w:r>
      <w:r>
        <w:rPr>
          <w:color w:val="auto"/>
        </w:rPr>
        <w:fldChar w:fldCharType="begin"/>
      </w:r>
      <w:r>
        <w:rPr>
          <w:color w:val="auto"/>
        </w:rPr>
        <w:instrText xml:space="preserve"> PAGEREF _Toc14570 </w:instrText>
      </w:r>
      <w:r>
        <w:rPr>
          <w:color w:val="auto"/>
        </w:rPr>
        <w:fldChar w:fldCharType="separate"/>
      </w:r>
      <w:r>
        <w:rPr>
          <w:color w:val="auto"/>
        </w:rPr>
        <w:t>9</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"_Toc26542" </w:instrText>
      </w:r>
      <w:r>
        <w:rPr>
          <w:color w:val="auto"/>
        </w:rPr>
        <w:fldChar w:fldCharType="separate"/>
      </w:r>
      <w:r>
        <w:rPr>
          <w:color w:val="auto"/>
          <w:szCs w:val="28"/>
        </w:rPr>
        <w:t>三、投标文件的编制</w:t>
      </w:r>
      <w:r>
        <w:rPr>
          <w:color w:val="auto"/>
        </w:rPr>
        <w:tab/>
      </w:r>
      <w:r>
        <w:rPr>
          <w:color w:val="auto"/>
        </w:rPr>
        <w:fldChar w:fldCharType="begin"/>
      </w:r>
      <w:r>
        <w:rPr>
          <w:color w:val="auto"/>
        </w:rPr>
        <w:instrText xml:space="preserve"> PAGEREF _Toc26542 </w:instrText>
      </w:r>
      <w:r>
        <w:rPr>
          <w:color w:val="auto"/>
        </w:rPr>
        <w:fldChar w:fldCharType="separate"/>
      </w:r>
      <w:r>
        <w:rPr>
          <w:color w:val="auto"/>
        </w:rPr>
        <w:t>9</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"_Toc7972" </w:instrText>
      </w:r>
      <w:r>
        <w:rPr>
          <w:color w:val="auto"/>
        </w:rPr>
        <w:fldChar w:fldCharType="separate"/>
      </w:r>
      <w:r>
        <w:rPr>
          <w:color w:val="auto"/>
          <w:szCs w:val="21"/>
        </w:rPr>
        <w:t>13. 投标文件的组成及要求</w:t>
      </w:r>
      <w:r>
        <w:rPr>
          <w:color w:val="auto"/>
        </w:rPr>
        <w:tab/>
      </w:r>
      <w:r>
        <w:rPr>
          <w:color w:val="auto"/>
        </w:rPr>
        <w:fldChar w:fldCharType="begin"/>
      </w:r>
      <w:r>
        <w:rPr>
          <w:color w:val="auto"/>
        </w:rPr>
        <w:instrText xml:space="preserve"> PAGEREF _Toc7972 </w:instrText>
      </w:r>
      <w:r>
        <w:rPr>
          <w:color w:val="auto"/>
        </w:rPr>
        <w:fldChar w:fldCharType="separate"/>
      </w:r>
      <w:r>
        <w:rPr>
          <w:color w:val="auto"/>
        </w:rPr>
        <w:t>9</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"_Toc7663" </w:instrText>
      </w:r>
      <w:r>
        <w:rPr>
          <w:color w:val="auto"/>
        </w:rPr>
        <w:fldChar w:fldCharType="separate"/>
      </w:r>
      <w:r>
        <w:rPr>
          <w:color w:val="auto"/>
          <w:szCs w:val="21"/>
        </w:rPr>
        <w:t>14. 投标文件的语言及计量</w:t>
      </w:r>
      <w:r>
        <w:rPr>
          <w:color w:val="auto"/>
        </w:rPr>
        <w:tab/>
      </w:r>
      <w:r>
        <w:rPr>
          <w:color w:val="auto"/>
        </w:rPr>
        <w:fldChar w:fldCharType="begin"/>
      </w:r>
      <w:r>
        <w:rPr>
          <w:color w:val="auto"/>
        </w:rPr>
        <w:instrText xml:space="preserve"> PAGEREF _Toc7663 </w:instrText>
      </w:r>
      <w:r>
        <w:rPr>
          <w:color w:val="auto"/>
        </w:rPr>
        <w:fldChar w:fldCharType="separate"/>
      </w:r>
      <w:r>
        <w:rPr>
          <w:color w:val="auto"/>
        </w:rPr>
        <w:t>11</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"_Toc8378" </w:instrText>
      </w:r>
      <w:r>
        <w:rPr>
          <w:color w:val="auto"/>
        </w:rPr>
        <w:fldChar w:fldCharType="separate"/>
      </w:r>
      <w:r>
        <w:rPr>
          <w:color w:val="auto"/>
          <w:szCs w:val="21"/>
        </w:rPr>
        <w:t>15. 投标报价</w:t>
      </w:r>
      <w:r>
        <w:rPr>
          <w:color w:val="auto"/>
        </w:rPr>
        <w:tab/>
      </w:r>
      <w:r>
        <w:rPr>
          <w:color w:val="auto"/>
        </w:rPr>
        <w:fldChar w:fldCharType="begin"/>
      </w:r>
      <w:r>
        <w:rPr>
          <w:color w:val="auto"/>
        </w:rPr>
        <w:instrText xml:space="preserve"> PAGEREF _Toc8378 </w:instrText>
      </w:r>
      <w:r>
        <w:rPr>
          <w:color w:val="auto"/>
        </w:rPr>
        <w:fldChar w:fldCharType="separate"/>
      </w:r>
      <w:r>
        <w:rPr>
          <w:color w:val="auto"/>
        </w:rPr>
        <w:t>11</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"_Toc3780" </w:instrText>
      </w:r>
      <w:r>
        <w:rPr>
          <w:color w:val="auto"/>
        </w:rPr>
        <w:fldChar w:fldCharType="separate"/>
      </w:r>
      <w:r>
        <w:rPr>
          <w:color w:val="auto"/>
          <w:szCs w:val="21"/>
        </w:rPr>
        <w:t>16. 投标有效期</w:t>
      </w:r>
      <w:r>
        <w:rPr>
          <w:color w:val="auto"/>
        </w:rPr>
        <w:tab/>
      </w:r>
      <w:r>
        <w:rPr>
          <w:color w:val="auto"/>
        </w:rPr>
        <w:fldChar w:fldCharType="begin"/>
      </w:r>
      <w:r>
        <w:rPr>
          <w:color w:val="auto"/>
        </w:rPr>
        <w:instrText xml:space="preserve"> PAGEREF _Toc3780 </w:instrText>
      </w:r>
      <w:r>
        <w:rPr>
          <w:color w:val="auto"/>
        </w:rPr>
        <w:fldChar w:fldCharType="separate"/>
      </w:r>
      <w:r>
        <w:rPr>
          <w:color w:val="auto"/>
        </w:rPr>
        <w:t>11</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"_Toc17813" </w:instrText>
      </w:r>
      <w:r>
        <w:rPr>
          <w:color w:val="auto"/>
        </w:rPr>
        <w:fldChar w:fldCharType="separate"/>
      </w:r>
      <w:r>
        <w:rPr>
          <w:color w:val="auto"/>
          <w:szCs w:val="21"/>
        </w:rPr>
        <w:t>17. 投标保证金</w:t>
      </w:r>
      <w:r>
        <w:rPr>
          <w:color w:val="auto"/>
        </w:rPr>
        <w:tab/>
      </w:r>
      <w:r>
        <w:rPr>
          <w:color w:val="auto"/>
        </w:rPr>
        <w:fldChar w:fldCharType="begin"/>
      </w:r>
      <w:r>
        <w:rPr>
          <w:color w:val="auto"/>
        </w:rPr>
        <w:instrText xml:space="preserve"> PAGEREF _Toc17813 </w:instrText>
      </w:r>
      <w:r>
        <w:rPr>
          <w:color w:val="auto"/>
        </w:rPr>
        <w:fldChar w:fldCharType="separate"/>
      </w:r>
      <w:r>
        <w:rPr>
          <w:color w:val="auto"/>
        </w:rPr>
        <w:t>11</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"_Toc12744" </w:instrText>
      </w:r>
      <w:r>
        <w:rPr>
          <w:color w:val="auto"/>
        </w:rPr>
        <w:fldChar w:fldCharType="separate"/>
      </w:r>
      <w:r>
        <w:rPr>
          <w:color w:val="auto"/>
          <w:szCs w:val="21"/>
        </w:rPr>
        <w:t>18. 投标文件的份数、装订、签署和包装、密封</w:t>
      </w:r>
      <w:r>
        <w:rPr>
          <w:color w:val="auto"/>
        </w:rPr>
        <w:tab/>
      </w:r>
      <w:r>
        <w:rPr>
          <w:color w:val="auto"/>
        </w:rPr>
        <w:fldChar w:fldCharType="begin"/>
      </w:r>
      <w:r>
        <w:rPr>
          <w:color w:val="auto"/>
        </w:rPr>
        <w:instrText xml:space="preserve"> PAGEREF _Toc12744 </w:instrText>
      </w:r>
      <w:r>
        <w:rPr>
          <w:color w:val="auto"/>
        </w:rPr>
        <w:fldChar w:fldCharType="separate"/>
      </w:r>
      <w:r>
        <w:rPr>
          <w:color w:val="auto"/>
        </w:rPr>
        <w:t>11</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"_Toc16621" </w:instrText>
      </w:r>
      <w:r>
        <w:rPr>
          <w:color w:val="auto"/>
        </w:rPr>
        <w:fldChar w:fldCharType="separate"/>
      </w:r>
      <w:r>
        <w:rPr>
          <w:color w:val="auto"/>
          <w:szCs w:val="21"/>
        </w:rPr>
        <w:t>19. 投标文件的补充、修改和撤回</w:t>
      </w:r>
      <w:r>
        <w:rPr>
          <w:color w:val="auto"/>
        </w:rPr>
        <w:tab/>
      </w:r>
      <w:r>
        <w:rPr>
          <w:color w:val="auto"/>
        </w:rPr>
        <w:fldChar w:fldCharType="begin"/>
      </w:r>
      <w:r>
        <w:rPr>
          <w:color w:val="auto"/>
        </w:rPr>
        <w:instrText xml:space="preserve"> PAGEREF _Toc16621 </w:instrText>
      </w:r>
      <w:r>
        <w:rPr>
          <w:color w:val="auto"/>
        </w:rPr>
        <w:fldChar w:fldCharType="separate"/>
      </w:r>
      <w:r>
        <w:rPr>
          <w:color w:val="auto"/>
        </w:rPr>
        <w:t>12</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"_Toc18227" </w:instrText>
      </w:r>
      <w:r>
        <w:rPr>
          <w:color w:val="auto"/>
        </w:rPr>
        <w:fldChar w:fldCharType="separate"/>
      </w:r>
      <w:r>
        <w:rPr>
          <w:color w:val="auto"/>
          <w:szCs w:val="21"/>
        </w:rPr>
        <w:t>20. 投标文件的递交</w:t>
      </w:r>
      <w:r>
        <w:rPr>
          <w:color w:val="auto"/>
        </w:rPr>
        <w:tab/>
      </w:r>
      <w:r>
        <w:rPr>
          <w:color w:val="auto"/>
        </w:rPr>
        <w:fldChar w:fldCharType="begin"/>
      </w:r>
      <w:r>
        <w:rPr>
          <w:color w:val="auto"/>
        </w:rPr>
        <w:instrText xml:space="preserve"> PAGEREF _Toc18227 </w:instrText>
      </w:r>
      <w:r>
        <w:rPr>
          <w:color w:val="auto"/>
        </w:rPr>
        <w:fldChar w:fldCharType="separate"/>
      </w:r>
      <w:r>
        <w:rPr>
          <w:color w:val="auto"/>
        </w:rPr>
        <w:t>12</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"_Toc19575" </w:instrText>
      </w:r>
      <w:r>
        <w:rPr>
          <w:color w:val="auto"/>
        </w:rPr>
        <w:fldChar w:fldCharType="separate"/>
      </w:r>
      <w:r>
        <w:rPr>
          <w:color w:val="auto"/>
          <w:szCs w:val="28"/>
        </w:rPr>
        <w:t>四、开标</w:t>
      </w:r>
      <w:r>
        <w:rPr>
          <w:color w:val="auto"/>
        </w:rPr>
        <w:tab/>
      </w:r>
      <w:r>
        <w:rPr>
          <w:color w:val="auto"/>
        </w:rPr>
        <w:fldChar w:fldCharType="begin"/>
      </w:r>
      <w:r>
        <w:rPr>
          <w:color w:val="auto"/>
        </w:rPr>
        <w:instrText xml:space="preserve"> PAGEREF _Toc19575 </w:instrText>
      </w:r>
      <w:r>
        <w:rPr>
          <w:color w:val="auto"/>
        </w:rPr>
        <w:fldChar w:fldCharType="separate"/>
      </w:r>
      <w:r>
        <w:rPr>
          <w:color w:val="auto"/>
        </w:rPr>
        <w:t>12</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"_Toc6868" </w:instrText>
      </w:r>
      <w:r>
        <w:rPr>
          <w:color w:val="auto"/>
        </w:rPr>
        <w:fldChar w:fldCharType="separate"/>
      </w:r>
      <w:r>
        <w:rPr>
          <w:color w:val="auto"/>
          <w:szCs w:val="21"/>
        </w:rPr>
        <w:t>21. 开标时间及地点</w:t>
      </w:r>
      <w:r>
        <w:rPr>
          <w:color w:val="auto"/>
        </w:rPr>
        <w:tab/>
      </w:r>
      <w:r>
        <w:rPr>
          <w:color w:val="auto"/>
        </w:rPr>
        <w:fldChar w:fldCharType="begin"/>
      </w:r>
      <w:r>
        <w:rPr>
          <w:color w:val="auto"/>
        </w:rPr>
        <w:instrText xml:space="preserve"> PAGEREF _Toc6868 </w:instrText>
      </w:r>
      <w:r>
        <w:rPr>
          <w:color w:val="auto"/>
        </w:rPr>
        <w:fldChar w:fldCharType="separate"/>
      </w:r>
      <w:r>
        <w:rPr>
          <w:color w:val="auto"/>
        </w:rPr>
        <w:t>12</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"_Toc25067" </w:instrText>
      </w:r>
      <w:r>
        <w:rPr>
          <w:color w:val="auto"/>
        </w:rPr>
        <w:fldChar w:fldCharType="separate"/>
      </w:r>
      <w:r>
        <w:rPr>
          <w:color w:val="auto"/>
          <w:szCs w:val="21"/>
        </w:rPr>
        <w:t>22. 开标程序</w:t>
      </w:r>
      <w:r>
        <w:rPr>
          <w:color w:val="auto"/>
        </w:rPr>
        <w:tab/>
      </w:r>
      <w:r>
        <w:rPr>
          <w:color w:val="auto"/>
        </w:rPr>
        <w:fldChar w:fldCharType="begin"/>
      </w:r>
      <w:r>
        <w:rPr>
          <w:color w:val="auto"/>
        </w:rPr>
        <w:instrText xml:space="preserve"> PAGEREF _Toc25067 </w:instrText>
      </w:r>
      <w:r>
        <w:rPr>
          <w:color w:val="auto"/>
        </w:rPr>
        <w:fldChar w:fldCharType="separate"/>
      </w:r>
      <w:r>
        <w:rPr>
          <w:color w:val="auto"/>
        </w:rPr>
        <w:t>12</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"_Toc20493" </w:instrText>
      </w:r>
      <w:r>
        <w:rPr>
          <w:color w:val="auto"/>
        </w:rPr>
        <w:fldChar w:fldCharType="separate"/>
      </w:r>
      <w:r>
        <w:rPr>
          <w:color w:val="auto"/>
          <w:szCs w:val="28"/>
        </w:rPr>
        <w:t>五、资格性审查</w:t>
      </w:r>
      <w:r>
        <w:rPr>
          <w:color w:val="auto"/>
        </w:rPr>
        <w:tab/>
      </w:r>
      <w:r>
        <w:rPr>
          <w:color w:val="auto"/>
        </w:rPr>
        <w:fldChar w:fldCharType="begin"/>
      </w:r>
      <w:r>
        <w:rPr>
          <w:color w:val="auto"/>
        </w:rPr>
        <w:instrText xml:space="preserve"> PAGEREF _Toc20493 </w:instrText>
      </w:r>
      <w:r>
        <w:rPr>
          <w:color w:val="auto"/>
        </w:rPr>
        <w:fldChar w:fldCharType="separate"/>
      </w:r>
      <w:r>
        <w:rPr>
          <w:color w:val="auto"/>
        </w:rPr>
        <w:t>13</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"_Toc28069" </w:instrText>
      </w:r>
      <w:r>
        <w:rPr>
          <w:color w:val="auto"/>
        </w:rPr>
        <w:fldChar w:fldCharType="separate"/>
      </w:r>
      <w:r>
        <w:rPr>
          <w:color w:val="auto"/>
          <w:szCs w:val="21"/>
        </w:rPr>
        <w:t>23. 资格性审查</w:t>
      </w:r>
      <w:r>
        <w:rPr>
          <w:color w:val="auto"/>
        </w:rPr>
        <w:tab/>
      </w:r>
      <w:r>
        <w:rPr>
          <w:color w:val="auto"/>
        </w:rPr>
        <w:fldChar w:fldCharType="begin"/>
      </w:r>
      <w:r>
        <w:rPr>
          <w:color w:val="auto"/>
        </w:rPr>
        <w:instrText xml:space="preserve"> PAGEREF _Toc28069 </w:instrText>
      </w:r>
      <w:r>
        <w:rPr>
          <w:color w:val="auto"/>
        </w:rPr>
        <w:fldChar w:fldCharType="separate"/>
      </w:r>
      <w:r>
        <w:rPr>
          <w:color w:val="auto"/>
        </w:rPr>
        <w:t>13</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"_Toc1626" </w:instrText>
      </w:r>
      <w:r>
        <w:rPr>
          <w:color w:val="auto"/>
        </w:rPr>
        <w:fldChar w:fldCharType="separate"/>
      </w:r>
      <w:r>
        <w:rPr>
          <w:color w:val="auto"/>
          <w:szCs w:val="28"/>
        </w:rPr>
        <w:t>六、评标</w:t>
      </w:r>
      <w:r>
        <w:rPr>
          <w:color w:val="auto"/>
        </w:rPr>
        <w:tab/>
      </w:r>
      <w:r>
        <w:rPr>
          <w:color w:val="auto"/>
        </w:rPr>
        <w:fldChar w:fldCharType="begin"/>
      </w:r>
      <w:r>
        <w:rPr>
          <w:color w:val="auto"/>
        </w:rPr>
        <w:instrText xml:space="preserve"> PAGEREF _Toc1626 </w:instrText>
      </w:r>
      <w:r>
        <w:rPr>
          <w:color w:val="auto"/>
        </w:rPr>
        <w:fldChar w:fldCharType="separate"/>
      </w:r>
      <w:r>
        <w:rPr>
          <w:color w:val="auto"/>
        </w:rPr>
        <w:t>13</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"_Toc11123" </w:instrText>
      </w:r>
      <w:r>
        <w:rPr>
          <w:color w:val="auto"/>
        </w:rPr>
        <w:fldChar w:fldCharType="separate"/>
      </w:r>
      <w:r>
        <w:rPr>
          <w:color w:val="auto"/>
          <w:szCs w:val="21"/>
        </w:rPr>
        <w:t>24. 评标委员会组成</w:t>
      </w:r>
      <w:r>
        <w:rPr>
          <w:color w:val="auto"/>
        </w:rPr>
        <w:tab/>
      </w:r>
      <w:r>
        <w:rPr>
          <w:color w:val="auto"/>
        </w:rPr>
        <w:fldChar w:fldCharType="begin"/>
      </w:r>
      <w:r>
        <w:rPr>
          <w:color w:val="auto"/>
        </w:rPr>
        <w:instrText xml:space="preserve"> PAGEREF _Toc11123 </w:instrText>
      </w:r>
      <w:r>
        <w:rPr>
          <w:color w:val="auto"/>
        </w:rPr>
        <w:fldChar w:fldCharType="separate"/>
      </w:r>
      <w:r>
        <w:rPr>
          <w:color w:val="auto"/>
        </w:rPr>
        <w:t>13</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"_Toc25454" </w:instrText>
      </w:r>
      <w:r>
        <w:rPr>
          <w:color w:val="auto"/>
        </w:rPr>
        <w:fldChar w:fldCharType="separate"/>
      </w:r>
      <w:r>
        <w:rPr>
          <w:color w:val="auto"/>
          <w:szCs w:val="21"/>
        </w:rPr>
        <w:t>25. 评标办法</w:t>
      </w:r>
      <w:r>
        <w:rPr>
          <w:color w:val="auto"/>
        </w:rPr>
        <w:tab/>
      </w:r>
      <w:r>
        <w:rPr>
          <w:color w:val="auto"/>
        </w:rPr>
        <w:fldChar w:fldCharType="begin"/>
      </w:r>
      <w:r>
        <w:rPr>
          <w:color w:val="auto"/>
        </w:rPr>
        <w:instrText xml:space="preserve"> PAGEREF _Toc25454 </w:instrText>
      </w:r>
      <w:r>
        <w:rPr>
          <w:color w:val="auto"/>
        </w:rPr>
        <w:fldChar w:fldCharType="separate"/>
      </w:r>
      <w:r>
        <w:rPr>
          <w:color w:val="auto"/>
        </w:rPr>
        <w:t>13</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"_Toc9945" </w:instrText>
      </w:r>
      <w:r>
        <w:rPr>
          <w:color w:val="auto"/>
        </w:rPr>
        <w:fldChar w:fldCharType="separate"/>
      </w:r>
      <w:r>
        <w:rPr>
          <w:color w:val="auto"/>
          <w:szCs w:val="21"/>
        </w:rPr>
        <w:t>26. 评标</w:t>
      </w:r>
      <w:r>
        <w:rPr>
          <w:color w:val="auto"/>
        </w:rPr>
        <w:tab/>
      </w:r>
      <w:r>
        <w:rPr>
          <w:color w:val="auto"/>
        </w:rPr>
        <w:fldChar w:fldCharType="begin"/>
      </w:r>
      <w:r>
        <w:rPr>
          <w:color w:val="auto"/>
        </w:rPr>
        <w:instrText xml:space="preserve"> PAGEREF _Toc9945 </w:instrText>
      </w:r>
      <w:r>
        <w:rPr>
          <w:color w:val="auto"/>
        </w:rPr>
        <w:fldChar w:fldCharType="separate"/>
      </w:r>
      <w:r>
        <w:rPr>
          <w:color w:val="auto"/>
        </w:rPr>
        <w:t>14</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"_Toc14067" </w:instrText>
      </w:r>
      <w:r>
        <w:rPr>
          <w:color w:val="auto"/>
        </w:rPr>
        <w:fldChar w:fldCharType="separate"/>
      </w:r>
      <w:r>
        <w:rPr>
          <w:color w:val="auto"/>
          <w:szCs w:val="21"/>
        </w:rPr>
        <w:t>27. 推荐及确定中标候选供应商原则</w:t>
      </w:r>
      <w:r>
        <w:rPr>
          <w:color w:val="auto"/>
        </w:rPr>
        <w:tab/>
      </w:r>
      <w:r>
        <w:rPr>
          <w:color w:val="auto"/>
        </w:rPr>
        <w:fldChar w:fldCharType="begin"/>
      </w:r>
      <w:r>
        <w:rPr>
          <w:color w:val="auto"/>
        </w:rPr>
        <w:instrText xml:space="preserve"> PAGEREF _Toc14067 </w:instrText>
      </w:r>
      <w:r>
        <w:rPr>
          <w:color w:val="auto"/>
        </w:rPr>
        <w:fldChar w:fldCharType="separate"/>
      </w:r>
      <w:r>
        <w:rPr>
          <w:color w:val="auto"/>
        </w:rPr>
        <w:t>15</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"_Toc25157" </w:instrText>
      </w:r>
      <w:r>
        <w:rPr>
          <w:color w:val="auto"/>
        </w:rPr>
        <w:fldChar w:fldCharType="separate"/>
      </w:r>
      <w:r>
        <w:rPr>
          <w:color w:val="auto"/>
          <w:szCs w:val="21"/>
        </w:rPr>
        <w:t>28. 投标无效</w:t>
      </w:r>
      <w:r>
        <w:rPr>
          <w:rFonts w:hint="eastAsia"/>
          <w:color w:val="auto"/>
          <w:szCs w:val="21"/>
        </w:rPr>
        <w:t>情形</w:t>
      </w:r>
      <w:r>
        <w:rPr>
          <w:color w:val="auto"/>
        </w:rPr>
        <w:tab/>
      </w:r>
      <w:r>
        <w:rPr>
          <w:color w:val="auto"/>
        </w:rPr>
        <w:fldChar w:fldCharType="begin"/>
      </w:r>
      <w:r>
        <w:rPr>
          <w:color w:val="auto"/>
        </w:rPr>
        <w:instrText xml:space="preserve"> PAGEREF _Toc25157 </w:instrText>
      </w:r>
      <w:r>
        <w:rPr>
          <w:color w:val="auto"/>
        </w:rPr>
        <w:fldChar w:fldCharType="separate"/>
      </w:r>
      <w:r>
        <w:rPr>
          <w:color w:val="auto"/>
        </w:rPr>
        <w:t>15</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"_Toc19808" </w:instrText>
      </w:r>
      <w:r>
        <w:rPr>
          <w:color w:val="auto"/>
        </w:rPr>
        <w:fldChar w:fldCharType="separate"/>
      </w:r>
      <w:r>
        <w:rPr>
          <w:color w:val="auto"/>
          <w:szCs w:val="21"/>
        </w:rPr>
        <w:t>29. 串通投标</w:t>
      </w:r>
      <w:r>
        <w:rPr>
          <w:rFonts w:hint="eastAsia"/>
          <w:color w:val="auto"/>
          <w:szCs w:val="21"/>
        </w:rPr>
        <w:t>情形</w:t>
      </w:r>
      <w:r>
        <w:rPr>
          <w:color w:val="auto"/>
        </w:rPr>
        <w:tab/>
      </w:r>
      <w:r>
        <w:rPr>
          <w:color w:val="auto"/>
        </w:rPr>
        <w:fldChar w:fldCharType="begin"/>
      </w:r>
      <w:r>
        <w:rPr>
          <w:color w:val="auto"/>
        </w:rPr>
        <w:instrText xml:space="preserve"> PAGEREF _Toc19808 </w:instrText>
      </w:r>
      <w:r>
        <w:rPr>
          <w:color w:val="auto"/>
        </w:rPr>
        <w:fldChar w:fldCharType="separate"/>
      </w:r>
      <w:r>
        <w:rPr>
          <w:color w:val="auto"/>
        </w:rPr>
        <w:t>15</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"_Toc1290" </w:instrText>
      </w:r>
      <w:r>
        <w:rPr>
          <w:color w:val="auto"/>
        </w:rPr>
        <w:fldChar w:fldCharType="separate"/>
      </w:r>
      <w:r>
        <w:rPr>
          <w:color w:val="auto"/>
          <w:szCs w:val="21"/>
        </w:rPr>
        <w:t>30. 废标</w:t>
      </w:r>
      <w:r>
        <w:rPr>
          <w:rFonts w:hint="eastAsia"/>
          <w:color w:val="auto"/>
          <w:szCs w:val="21"/>
        </w:rPr>
        <w:t>情形</w:t>
      </w:r>
      <w:r>
        <w:rPr>
          <w:color w:val="auto"/>
        </w:rPr>
        <w:tab/>
      </w:r>
      <w:r>
        <w:rPr>
          <w:color w:val="auto"/>
        </w:rPr>
        <w:fldChar w:fldCharType="begin"/>
      </w:r>
      <w:r>
        <w:rPr>
          <w:color w:val="auto"/>
        </w:rPr>
        <w:instrText xml:space="preserve"> PAGEREF _Toc1290 </w:instrText>
      </w:r>
      <w:r>
        <w:rPr>
          <w:color w:val="auto"/>
        </w:rPr>
        <w:fldChar w:fldCharType="separate"/>
      </w:r>
      <w:r>
        <w:rPr>
          <w:color w:val="auto"/>
        </w:rPr>
        <w:t>15</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"_Toc29328" </w:instrText>
      </w:r>
      <w:r>
        <w:rPr>
          <w:color w:val="auto"/>
        </w:rPr>
        <w:fldChar w:fldCharType="separate"/>
      </w:r>
      <w:r>
        <w:rPr>
          <w:color w:val="auto"/>
          <w:szCs w:val="21"/>
        </w:rPr>
        <w:t>31. 开标、评标过程的监控</w:t>
      </w:r>
      <w:r>
        <w:rPr>
          <w:color w:val="auto"/>
        </w:rPr>
        <w:tab/>
      </w:r>
      <w:r>
        <w:rPr>
          <w:color w:val="auto"/>
        </w:rPr>
        <w:fldChar w:fldCharType="begin"/>
      </w:r>
      <w:r>
        <w:rPr>
          <w:color w:val="auto"/>
        </w:rPr>
        <w:instrText xml:space="preserve"> PAGEREF _Toc29328 </w:instrText>
      </w:r>
      <w:r>
        <w:rPr>
          <w:color w:val="auto"/>
        </w:rPr>
        <w:fldChar w:fldCharType="separate"/>
      </w:r>
      <w:r>
        <w:rPr>
          <w:color w:val="auto"/>
        </w:rPr>
        <w:t>15</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"_Toc11807" </w:instrText>
      </w:r>
      <w:r>
        <w:rPr>
          <w:color w:val="auto"/>
        </w:rPr>
        <w:fldChar w:fldCharType="separate"/>
      </w:r>
      <w:r>
        <w:rPr>
          <w:color w:val="auto"/>
          <w:szCs w:val="21"/>
        </w:rPr>
        <w:t>32. 信用查询</w:t>
      </w:r>
      <w:r>
        <w:rPr>
          <w:color w:val="auto"/>
        </w:rPr>
        <w:tab/>
      </w:r>
      <w:r>
        <w:rPr>
          <w:color w:val="auto"/>
        </w:rPr>
        <w:fldChar w:fldCharType="begin"/>
      </w:r>
      <w:r>
        <w:rPr>
          <w:color w:val="auto"/>
        </w:rPr>
        <w:instrText xml:space="preserve"> PAGEREF _Toc11807 </w:instrText>
      </w:r>
      <w:r>
        <w:rPr>
          <w:color w:val="auto"/>
        </w:rPr>
        <w:fldChar w:fldCharType="separate"/>
      </w:r>
      <w:r>
        <w:rPr>
          <w:color w:val="auto"/>
        </w:rPr>
        <w:t>16</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"_Toc27132" </w:instrText>
      </w:r>
      <w:r>
        <w:rPr>
          <w:color w:val="auto"/>
        </w:rPr>
        <w:fldChar w:fldCharType="separate"/>
      </w:r>
      <w:r>
        <w:rPr>
          <w:color w:val="auto"/>
          <w:szCs w:val="21"/>
        </w:rPr>
        <w:t>33. 中标公告及中标通知书</w:t>
      </w:r>
      <w:r>
        <w:rPr>
          <w:color w:val="auto"/>
        </w:rPr>
        <w:tab/>
      </w:r>
      <w:r>
        <w:rPr>
          <w:color w:val="auto"/>
        </w:rPr>
        <w:fldChar w:fldCharType="begin"/>
      </w:r>
      <w:r>
        <w:rPr>
          <w:color w:val="auto"/>
        </w:rPr>
        <w:instrText xml:space="preserve"> PAGEREF _Toc27132 </w:instrText>
      </w:r>
      <w:r>
        <w:rPr>
          <w:color w:val="auto"/>
        </w:rPr>
        <w:fldChar w:fldCharType="separate"/>
      </w:r>
      <w:r>
        <w:rPr>
          <w:color w:val="auto"/>
        </w:rPr>
        <w:t>16</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"_Toc14840" </w:instrText>
      </w:r>
      <w:r>
        <w:rPr>
          <w:color w:val="auto"/>
        </w:rPr>
        <w:fldChar w:fldCharType="separate"/>
      </w:r>
      <w:r>
        <w:rPr>
          <w:color w:val="auto"/>
          <w:szCs w:val="28"/>
        </w:rPr>
        <w:t>七、履约保证金及签订合同</w:t>
      </w:r>
      <w:r>
        <w:rPr>
          <w:color w:val="auto"/>
        </w:rPr>
        <w:tab/>
      </w:r>
      <w:r>
        <w:rPr>
          <w:color w:val="auto"/>
        </w:rPr>
        <w:fldChar w:fldCharType="begin"/>
      </w:r>
      <w:r>
        <w:rPr>
          <w:color w:val="auto"/>
        </w:rPr>
        <w:instrText xml:space="preserve"> PAGEREF _Toc14840 </w:instrText>
      </w:r>
      <w:r>
        <w:rPr>
          <w:color w:val="auto"/>
        </w:rPr>
        <w:fldChar w:fldCharType="separate"/>
      </w:r>
      <w:r>
        <w:rPr>
          <w:color w:val="auto"/>
        </w:rPr>
        <w:t>16</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"_Toc4542" </w:instrText>
      </w:r>
      <w:r>
        <w:rPr>
          <w:color w:val="auto"/>
        </w:rPr>
        <w:fldChar w:fldCharType="separate"/>
      </w:r>
      <w:r>
        <w:rPr>
          <w:color w:val="auto"/>
          <w:szCs w:val="21"/>
        </w:rPr>
        <w:t>34. 履约保证金</w:t>
      </w:r>
      <w:r>
        <w:rPr>
          <w:color w:val="auto"/>
        </w:rPr>
        <w:tab/>
      </w:r>
      <w:r>
        <w:rPr>
          <w:color w:val="auto"/>
        </w:rPr>
        <w:fldChar w:fldCharType="begin"/>
      </w:r>
      <w:r>
        <w:rPr>
          <w:color w:val="auto"/>
        </w:rPr>
        <w:instrText xml:space="preserve"> PAGEREF _Toc4542 </w:instrText>
      </w:r>
      <w:r>
        <w:rPr>
          <w:color w:val="auto"/>
        </w:rPr>
        <w:fldChar w:fldCharType="separate"/>
      </w:r>
      <w:r>
        <w:rPr>
          <w:color w:val="auto"/>
        </w:rPr>
        <w:t>16</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"_Toc31723" </w:instrText>
      </w:r>
      <w:r>
        <w:rPr>
          <w:color w:val="auto"/>
        </w:rPr>
        <w:fldChar w:fldCharType="separate"/>
      </w:r>
      <w:r>
        <w:rPr>
          <w:color w:val="auto"/>
          <w:szCs w:val="21"/>
        </w:rPr>
        <w:t>35. 签订合同</w:t>
      </w:r>
      <w:r>
        <w:rPr>
          <w:color w:val="auto"/>
        </w:rPr>
        <w:tab/>
      </w:r>
      <w:r>
        <w:rPr>
          <w:color w:val="auto"/>
        </w:rPr>
        <w:fldChar w:fldCharType="begin"/>
      </w:r>
      <w:r>
        <w:rPr>
          <w:color w:val="auto"/>
        </w:rPr>
        <w:instrText xml:space="preserve"> PAGEREF _Toc31723</w:instrText>
      </w:r>
      <w:r>
        <w:rPr>
          <w:color w:val="auto"/>
        </w:rPr>
        <w:fldChar w:fldCharType="separate"/>
      </w:r>
      <w:r>
        <w:rPr>
          <w:color w:val="auto"/>
        </w:rPr>
        <w:t>17</w:t>
      </w:r>
      <w:r>
        <w:rPr>
          <w:color w:val="auto"/>
        </w:rPr>
        <w:fldChar w:fldCharType="end"/>
      </w:r>
      <w:r>
        <w:rPr>
          <w:color w:val="auto"/>
        </w:rPr>
        <w:fldChar w:fldCharType="end"/>
      </w:r>
    </w:p>
    <w:p>
      <w:pPr>
        <w:pStyle w:val="25"/>
        <w:tabs>
          <w:tab w:val="right" w:leader="dot" w:pos="9746"/>
        </w:tabs>
        <w:rPr>
          <w:color w:val="auto"/>
        </w:rPr>
      </w:pPr>
      <w:r>
        <w:rPr>
          <w:color w:val="auto"/>
        </w:rPr>
        <w:fldChar w:fldCharType="begin"/>
      </w:r>
      <w:r>
        <w:rPr>
          <w:color w:val="auto"/>
        </w:rPr>
        <w:instrText xml:space="preserve"> HYPERLINK \l "_Toc20178" </w:instrText>
      </w:r>
      <w:r>
        <w:rPr>
          <w:color w:val="auto"/>
        </w:rPr>
        <w:fldChar w:fldCharType="separate"/>
      </w:r>
      <w:r>
        <w:rPr>
          <w:color w:val="auto"/>
          <w:szCs w:val="28"/>
        </w:rPr>
        <w:t>八、其他事项</w:t>
      </w:r>
      <w:r>
        <w:rPr>
          <w:color w:val="auto"/>
        </w:rPr>
        <w:tab/>
      </w:r>
      <w:r>
        <w:rPr>
          <w:color w:val="auto"/>
        </w:rPr>
        <w:fldChar w:fldCharType="begin"/>
      </w:r>
      <w:r>
        <w:rPr>
          <w:color w:val="auto"/>
        </w:rPr>
        <w:instrText xml:space="preserve"> PAGEREF _Toc20178 </w:instrText>
      </w:r>
      <w:r>
        <w:rPr>
          <w:color w:val="auto"/>
        </w:rPr>
        <w:fldChar w:fldCharType="separate"/>
      </w:r>
      <w:r>
        <w:rPr>
          <w:color w:val="auto"/>
        </w:rPr>
        <w:t>17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"_Toc12293" </w:instrText>
      </w:r>
      <w:r>
        <w:rPr>
          <w:color w:val="auto"/>
        </w:rPr>
        <w:fldChar w:fldCharType="separate"/>
      </w:r>
      <w:r>
        <w:rPr>
          <w:color w:val="auto"/>
          <w:szCs w:val="21"/>
        </w:rPr>
        <w:t>36. 招标代理服务费</w:t>
      </w:r>
      <w:r>
        <w:rPr>
          <w:color w:val="auto"/>
        </w:rPr>
        <w:tab/>
      </w:r>
      <w:r>
        <w:rPr>
          <w:color w:val="auto"/>
        </w:rPr>
        <w:fldChar w:fldCharType="begin"/>
      </w:r>
      <w:r>
        <w:rPr>
          <w:color w:val="auto"/>
        </w:rPr>
        <w:instrText xml:space="preserve"> PAGEREF _Toc12293 </w:instrText>
      </w:r>
      <w:r>
        <w:rPr>
          <w:color w:val="auto"/>
        </w:rPr>
        <w:fldChar w:fldCharType="separate"/>
      </w:r>
      <w:r>
        <w:rPr>
          <w:color w:val="auto"/>
        </w:rPr>
        <w:t>17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"_Toc5161" </w:instrText>
      </w:r>
      <w:r>
        <w:rPr>
          <w:color w:val="auto"/>
        </w:rPr>
        <w:fldChar w:fldCharType="separate"/>
      </w:r>
      <w:r>
        <w:rPr>
          <w:color w:val="auto"/>
          <w:szCs w:val="21"/>
        </w:rPr>
        <w:t>3</w:t>
      </w:r>
      <w:r>
        <w:rPr>
          <w:rFonts w:hint="eastAsia"/>
          <w:color w:val="auto"/>
          <w:szCs w:val="21"/>
        </w:rPr>
        <w:t>7</w:t>
      </w:r>
      <w:r>
        <w:rPr>
          <w:color w:val="auto"/>
          <w:szCs w:val="21"/>
        </w:rPr>
        <w:t>. 解释权</w:t>
      </w:r>
      <w:r>
        <w:rPr>
          <w:color w:val="auto"/>
        </w:rPr>
        <w:tab/>
      </w:r>
      <w:r>
        <w:rPr>
          <w:color w:val="auto"/>
        </w:rPr>
        <w:fldChar w:fldCharType="begin"/>
      </w:r>
      <w:r>
        <w:rPr>
          <w:color w:val="auto"/>
        </w:rPr>
        <w:instrText xml:space="preserve"> PAGEREF _Toc5161 </w:instrText>
      </w:r>
      <w:r>
        <w:rPr>
          <w:color w:val="auto"/>
        </w:rPr>
        <w:fldChar w:fldCharType="separate"/>
      </w:r>
      <w:r>
        <w:rPr>
          <w:color w:val="auto"/>
        </w:rPr>
        <w:t>17</w:t>
      </w:r>
      <w:r>
        <w:rPr>
          <w:color w:val="auto"/>
        </w:rPr>
        <w:fldChar w:fldCharType="end"/>
      </w:r>
      <w:r>
        <w:rPr>
          <w:color w:val="auto"/>
        </w:rPr>
        <w:fldChar w:fldCharType="end"/>
      </w:r>
    </w:p>
    <w:p>
      <w:pPr>
        <w:pStyle w:val="17"/>
        <w:tabs>
          <w:tab w:val="right" w:leader="dot" w:pos="9746"/>
        </w:tabs>
        <w:rPr>
          <w:color w:val="auto"/>
        </w:rPr>
      </w:pPr>
      <w:r>
        <w:rPr>
          <w:color w:val="auto"/>
        </w:rPr>
        <w:fldChar w:fldCharType="begin"/>
      </w:r>
      <w:r>
        <w:rPr>
          <w:color w:val="auto"/>
        </w:rPr>
        <w:instrText xml:space="preserve"> HYPERLINK \l "_Toc20535" </w:instrText>
      </w:r>
      <w:r>
        <w:rPr>
          <w:color w:val="auto"/>
        </w:rPr>
        <w:fldChar w:fldCharType="separate"/>
      </w:r>
      <w:r>
        <w:rPr>
          <w:color w:val="auto"/>
          <w:szCs w:val="21"/>
        </w:rPr>
        <w:t>3</w:t>
      </w:r>
      <w:r>
        <w:rPr>
          <w:rFonts w:hint="eastAsia"/>
          <w:color w:val="auto"/>
          <w:szCs w:val="21"/>
        </w:rPr>
        <w:t>8</w:t>
      </w:r>
      <w:r>
        <w:rPr>
          <w:color w:val="auto"/>
          <w:szCs w:val="21"/>
        </w:rPr>
        <w:t>. 监督管理机构</w:t>
      </w:r>
      <w:r>
        <w:rPr>
          <w:color w:val="auto"/>
        </w:rPr>
        <w:tab/>
      </w:r>
      <w:r>
        <w:rPr>
          <w:color w:val="auto"/>
        </w:rPr>
        <w:fldChar w:fldCharType="begin"/>
      </w:r>
      <w:r>
        <w:rPr>
          <w:color w:val="auto"/>
        </w:rPr>
        <w:instrText xml:space="preserve"> PAGEREF _Toc20535 </w:instrText>
      </w:r>
      <w:r>
        <w:rPr>
          <w:color w:val="auto"/>
        </w:rPr>
        <w:fldChar w:fldCharType="separate"/>
      </w:r>
      <w:r>
        <w:rPr>
          <w:color w:val="auto"/>
        </w:rPr>
        <w:t>17</w:t>
      </w:r>
      <w:r>
        <w:rPr>
          <w:color w:val="auto"/>
        </w:rPr>
        <w:fldChar w:fldCharType="end"/>
      </w:r>
      <w:r>
        <w:rPr>
          <w:color w:val="auto"/>
        </w:rPr>
        <w:fldChar w:fldCharType="end"/>
      </w:r>
    </w:p>
    <w:p>
      <w:pPr>
        <w:pStyle w:val="23"/>
        <w:tabs>
          <w:tab w:val="right" w:leader="dot" w:pos="9746"/>
        </w:tabs>
        <w:rPr>
          <w:color w:val="auto"/>
        </w:rPr>
      </w:pPr>
      <w:r>
        <w:rPr>
          <w:color w:val="auto"/>
        </w:rPr>
        <w:fldChar w:fldCharType="begin"/>
      </w:r>
      <w:r>
        <w:rPr>
          <w:color w:val="auto"/>
        </w:rPr>
        <w:instrText xml:space="preserve"> HYPERLINK \l "_Toc9099" </w:instrText>
      </w:r>
      <w:r>
        <w:rPr>
          <w:color w:val="auto"/>
        </w:rPr>
        <w:fldChar w:fldCharType="separate"/>
      </w:r>
      <w:r>
        <w:rPr>
          <w:rFonts w:eastAsia="黑体"/>
          <w:color w:val="auto"/>
          <w:szCs w:val="32"/>
        </w:rPr>
        <w:t>第三章货物采购需求</w:t>
      </w:r>
      <w:r>
        <w:rPr>
          <w:color w:val="auto"/>
        </w:rPr>
        <w:tab/>
      </w:r>
      <w:r>
        <w:rPr>
          <w:color w:val="auto"/>
        </w:rPr>
        <w:fldChar w:fldCharType="begin"/>
      </w:r>
      <w:r>
        <w:rPr>
          <w:color w:val="auto"/>
        </w:rPr>
        <w:instrText xml:space="preserve"> PAGEREF _Toc9099 </w:instrText>
      </w:r>
      <w:r>
        <w:rPr>
          <w:color w:val="auto"/>
        </w:rPr>
        <w:fldChar w:fldCharType="separate"/>
      </w:r>
      <w:r>
        <w:rPr>
          <w:color w:val="auto"/>
        </w:rPr>
        <w:t>18</w:t>
      </w:r>
      <w:r>
        <w:rPr>
          <w:color w:val="auto"/>
        </w:rPr>
        <w:fldChar w:fldCharType="end"/>
      </w:r>
      <w:r>
        <w:rPr>
          <w:color w:val="auto"/>
        </w:rPr>
        <w:fldChar w:fldCharType="end"/>
      </w:r>
    </w:p>
    <w:p>
      <w:pPr>
        <w:pStyle w:val="23"/>
        <w:tabs>
          <w:tab w:val="right" w:leader="dot" w:pos="9746"/>
        </w:tabs>
        <w:rPr>
          <w:rFonts w:hint="eastAsia" w:eastAsia="宋体"/>
          <w:color w:val="auto"/>
          <w:lang w:val="en-US" w:eastAsia="zh-CN"/>
        </w:rPr>
      </w:pPr>
      <w:r>
        <w:rPr>
          <w:color w:val="auto"/>
        </w:rPr>
        <w:fldChar w:fldCharType="begin"/>
      </w:r>
      <w:r>
        <w:rPr>
          <w:color w:val="auto"/>
        </w:rPr>
        <w:instrText xml:space="preserve"> HYPERLINK \l "_Toc24159" </w:instrText>
      </w:r>
      <w:r>
        <w:rPr>
          <w:color w:val="auto"/>
        </w:rPr>
        <w:fldChar w:fldCharType="separate"/>
      </w:r>
      <w:r>
        <w:rPr>
          <w:rFonts w:eastAsia="黑体"/>
          <w:color w:val="auto"/>
          <w:szCs w:val="32"/>
        </w:rPr>
        <w:t>第四章评标办法</w:t>
      </w:r>
      <w:r>
        <w:rPr>
          <w:color w:val="auto"/>
        </w:rPr>
        <w:tab/>
      </w:r>
      <w:r>
        <w:rPr>
          <w:rFonts w:hint="eastAsia"/>
          <w:color w:val="auto"/>
          <w:lang w:val="en-US" w:eastAsia="zh-CN"/>
        </w:rPr>
        <w:t>3</w:t>
      </w:r>
      <w:r>
        <w:rPr>
          <w:rFonts w:hint="eastAsia"/>
          <w:color w:val="auto"/>
        </w:rPr>
        <w:fldChar w:fldCharType="end"/>
      </w:r>
      <w:r>
        <w:rPr>
          <w:rFonts w:hint="eastAsia"/>
          <w:color w:val="auto"/>
          <w:lang w:val="en-US" w:eastAsia="zh-CN"/>
        </w:rPr>
        <w:t>7</w:t>
      </w:r>
    </w:p>
    <w:p>
      <w:pPr>
        <w:pStyle w:val="25"/>
        <w:tabs>
          <w:tab w:val="right" w:leader="dot" w:pos="9746"/>
        </w:tabs>
        <w:rPr>
          <w:rFonts w:hint="eastAsia" w:eastAsia="宋体"/>
          <w:color w:val="auto"/>
          <w:lang w:eastAsia="zh-CN"/>
        </w:rPr>
      </w:pPr>
      <w:r>
        <w:rPr>
          <w:color w:val="auto"/>
        </w:rPr>
        <w:fldChar w:fldCharType="begin"/>
      </w:r>
      <w:r>
        <w:rPr>
          <w:color w:val="auto"/>
        </w:rPr>
        <w:instrText xml:space="preserve"> HYPERLINK \l "_Toc7566" </w:instrText>
      </w:r>
      <w:r>
        <w:rPr>
          <w:color w:val="auto"/>
        </w:rPr>
        <w:fldChar w:fldCharType="separate"/>
      </w:r>
      <w:r>
        <w:rPr>
          <w:bCs/>
          <w:color w:val="auto"/>
          <w:szCs w:val="20"/>
        </w:rPr>
        <w:t>附表</w:t>
      </w:r>
      <w:r>
        <w:rPr>
          <w:color w:val="auto"/>
        </w:rPr>
        <w:tab/>
      </w:r>
      <w:r>
        <w:rPr>
          <w:rFonts w:hint="eastAsia"/>
          <w:color w:val="auto"/>
        </w:rPr>
        <w:t>4</w:t>
      </w:r>
      <w:r>
        <w:rPr>
          <w:rFonts w:hint="eastAsia"/>
          <w:color w:val="auto"/>
        </w:rPr>
        <w:fldChar w:fldCharType="end"/>
      </w:r>
      <w:r>
        <w:rPr>
          <w:rFonts w:hint="eastAsia"/>
          <w:color w:val="auto"/>
          <w:szCs w:val="21"/>
          <w:lang w:val="en-US" w:eastAsia="zh-CN"/>
        </w:rPr>
        <w:t>2</w:t>
      </w:r>
    </w:p>
    <w:p>
      <w:pPr>
        <w:pStyle w:val="23"/>
        <w:tabs>
          <w:tab w:val="right" w:leader="dot" w:pos="9746"/>
        </w:tabs>
        <w:rPr>
          <w:rFonts w:hint="eastAsia" w:eastAsia="宋体"/>
          <w:color w:val="auto"/>
          <w:lang w:eastAsia="zh-CN"/>
        </w:rPr>
      </w:pPr>
      <w:r>
        <w:rPr>
          <w:color w:val="auto"/>
        </w:rPr>
        <w:fldChar w:fldCharType="begin"/>
      </w:r>
      <w:r>
        <w:rPr>
          <w:color w:val="auto"/>
        </w:rPr>
        <w:instrText xml:space="preserve"> HYPERLINK \l "_Toc1106" </w:instrText>
      </w:r>
      <w:r>
        <w:rPr>
          <w:color w:val="auto"/>
        </w:rPr>
        <w:fldChar w:fldCharType="separate"/>
      </w:r>
      <w:r>
        <w:rPr>
          <w:rFonts w:eastAsia="黑体"/>
          <w:color w:val="auto"/>
          <w:szCs w:val="32"/>
        </w:rPr>
        <w:t>第五章采购合同（合同主要条款及格式）</w:t>
      </w:r>
      <w:r>
        <w:rPr>
          <w:color w:val="auto"/>
        </w:rPr>
        <w:tab/>
      </w:r>
      <w:r>
        <w:rPr>
          <w:rFonts w:hint="eastAsia"/>
          <w:color w:val="auto"/>
        </w:rPr>
        <w:t>4</w:t>
      </w:r>
      <w:r>
        <w:rPr>
          <w:rFonts w:hint="eastAsia"/>
          <w:color w:val="auto"/>
        </w:rPr>
        <w:fldChar w:fldCharType="end"/>
      </w:r>
      <w:r>
        <w:rPr>
          <w:rFonts w:hint="eastAsia"/>
          <w:color w:val="auto"/>
          <w:szCs w:val="21"/>
          <w:lang w:val="en-US" w:eastAsia="zh-CN"/>
        </w:rPr>
        <w:t>4</w:t>
      </w:r>
    </w:p>
    <w:p>
      <w:pPr>
        <w:pStyle w:val="25"/>
        <w:tabs>
          <w:tab w:val="right" w:leader="dot" w:pos="9746"/>
        </w:tabs>
        <w:rPr>
          <w:rFonts w:hint="eastAsia" w:eastAsia="宋体"/>
          <w:color w:val="auto"/>
          <w:lang w:eastAsia="zh-CN"/>
        </w:rPr>
      </w:pPr>
      <w:r>
        <w:rPr>
          <w:color w:val="auto"/>
        </w:rPr>
        <w:fldChar w:fldCharType="begin"/>
      </w:r>
      <w:r>
        <w:rPr>
          <w:color w:val="auto"/>
        </w:rPr>
        <w:instrText xml:space="preserve"> HYPERLINK \l "_Toc9920" </w:instrText>
      </w:r>
      <w:r>
        <w:rPr>
          <w:color w:val="auto"/>
        </w:rPr>
        <w:fldChar w:fldCharType="separate"/>
      </w:r>
      <w:r>
        <w:rPr>
          <w:color w:val="auto"/>
          <w:szCs w:val="21"/>
        </w:rPr>
        <w:t>第一条合同标的及合同金额</w:t>
      </w:r>
      <w:r>
        <w:rPr>
          <w:color w:val="auto"/>
        </w:rPr>
        <w:tab/>
      </w:r>
      <w:r>
        <w:rPr>
          <w:rFonts w:hint="eastAsia"/>
          <w:color w:val="auto"/>
        </w:rPr>
        <w:t>4</w:t>
      </w:r>
      <w:r>
        <w:rPr>
          <w:rFonts w:hint="eastAsia"/>
          <w:color w:val="auto"/>
        </w:rPr>
        <w:fldChar w:fldCharType="end"/>
      </w:r>
      <w:r>
        <w:rPr>
          <w:rFonts w:hint="eastAsia"/>
          <w:color w:val="auto"/>
          <w:szCs w:val="21"/>
          <w:lang w:val="en-US" w:eastAsia="zh-CN"/>
        </w:rPr>
        <w:t>4</w:t>
      </w:r>
    </w:p>
    <w:p>
      <w:pPr>
        <w:pStyle w:val="25"/>
        <w:tabs>
          <w:tab w:val="right" w:leader="dot" w:pos="9746"/>
        </w:tabs>
        <w:rPr>
          <w:rFonts w:hint="eastAsia" w:eastAsia="宋体"/>
          <w:color w:val="auto"/>
          <w:lang w:eastAsia="zh-CN"/>
        </w:rPr>
      </w:pPr>
      <w:r>
        <w:rPr>
          <w:color w:val="auto"/>
        </w:rPr>
        <w:fldChar w:fldCharType="begin"/>
      </w:r>
      <w:r>
        <w:rPr>
          <w:color w:val="auto"/>
        </w:rPr>
        <w:instrText xml:space="preserve"> HYPERLINK \l "_Toc30452" </w:instrText>
      </w:r>
      <w:r>
        <w:rPr>
          <w:color w:val="auto"/>
        </w:rPr>
        <w:fldChar w:fldCharType="separate"/>
      </w:r>
      <w:r>
        <w:rPr>
          <w:color w:val="auto"/>
          <w:szCs w:val="21"/>
        </w:rPr>
        <w:t>第二条质量保证</w:t>
      </w:r>
      <w:r>
        <w:rPr>
          <w:color w:val="auto"/>
        </w:rPr>
        <w:tab/>
      </w:r>
      <w:r>
        <w:rPr>
          <w:rFonts w:hint="eastAsia"/>
          <w:color w:val="auto"/>
        </w:rPr>
        <w:t>4</w:t>
      </w:r>
      <w:r>
        <w:rPr>
          <w:rFonts w:hint="eastAsia"/>
          <w:color w:val="auto"/>
        </w:rPr>
        <w:fldChar w:fldCharType="end"/>
      </w:r>
      <w:r>
        <w:rPr>
          <w:rFonts w:hint="eastAsia"/>
          <w:color w:val="auto"/>
          <w:szCs w:val="21"/>
          <w:lang w:val="en-US" w:eastAsia="zh-CN"/>
        </w:rPr>
        <w:t>4</w:t>
      </w:r>
    </w:p>
    <w:p>
      <w:pPr>
        <w:pStyle w:val="25"/>
        <w:tabs>
          <w:tab w:val="right" w:leader="dot" w:pos="9746"/>
        </w:tabs>
        <w:rPr>
          <w:rFonts w:hint="eastAsia" w:eastAsia="宋体"/>
          <w:color w:val="auto"/>
          <w:lang w:val="en-US" w:eastAsia="zh-CN"/>
        </w:rPr>
      </w:pPr>
      <w:r>
        <w:rPr>
          <w:color w:val="auto"/>
        </w:rPr>
        <w:fldChar w:fldCharType="begin"/>
      </w:r>
      <w:r>
        <w:rPr>
          <w:color w:val="auto"/>
        </w:rPr>
        <w:instrText xml:space="preserve"> HYPERLINK \l "_Toc27855" </w:instrText>
      </w:r>
      <w:r>
        <w:rPr>
          <w:color w:val="auto"/>
        </w:rPr>
        <w:fldChar w:fldCharType="separate"/>
      </w:r>
      <w:r>
        <w:rPr>
          <w:color w:val="auto"/>
          <w:szCs w:val="21"/>
        </w:rPr>
        <w:t>第三条权力保证</w:t>
      </w:r>
      <w:r>
        <w:rPr>
          <w:color w:val="auto"/>
        </w:rPr>
        <w:tab/>
      </w:r>
      <w:r>
        <w:rPr>
          <w:rFonts w:hint="eastAsia"/>
          <w:color w:val="auto"/>
        </w:rPr>
        <w:t>4</w:t>
      </w:r>
      <w:r>
        <w:rPr>
          <w:rFonts w:hint="eastAsia"/>
          <w:color w:val="auto"/>
        </w:rPr>
        <w:fldChar w:fldCharType="end"/>
      </w:r>
      <w:r>
        <w:rPr>
          <w:rFonts w:hint="eastAsia"/>
          <w:color w:val="auto"/>
          <w:lang w:val="en-US" w:eastAsia="zh-CN"/>
        </w:rPr>
        <w:t>4</w:t>
      </w:r>
    </w:p>
    <w:p>
      <w:pPr>
        <w:pStyle w:val="25"/>
        <w:tabs>
          <w:tab w:val="right" w:leader="dot" w:pos="9746"/>
        </w:tabs>
        <w:rPr>
          <w:rFonts w:hint="eastAsia" w:eastAsia="宋体"/>
          <w:color w:val="auto"/>
          <w:lang w:eastAsia="zh-CN"/>
        </w:rPr>
      </w:pPr>
      <w:r>
        <w:rPr>
          <w:color w:val="auto"/>
        </w:rPr>
        <w:fldChar w:fldCharType="begin"/>
      </w:r>
      <w:r>
        <w:rPr>
          <w:color w:val="auto"/>
        </w:rPr>
        <w:instrText xml:space="preserve"> HYPERLINK \l "_Toc28943" </w:instrText>
      </w:r>
      <w:r>
        <w:rPr>
          <w:color w:val="auto"/>
        </w:rPr>
        <w:fldChar w:fldCharType="separate"/>
      </w:r>
      <w:r>
        <w:rPr>
          <w:color w:val="auto"/>
          <w:szCs w:val="21"/>
        </w:rPr>
        <w:t>第四条货物包装、运输</w:t>
      </w:r>
      <w:r>
        <w:rPr>
          <w:color w:val="auto"/>
        </w:rPr>
        <w:tab/>
      </w:r>
      <w:r>
        <w:rPr>
          <w:rFonts w:hint="eastAsia"/>
          <w:color w:val="auto"/>
        </w:rPr>
        <w:t>4</w:t>
      </w:r>
      <w:r>
        <w:rPr>
          <w:rFonts w:hint="eastAsia"/>
          <w:color w:val="auto"/>
        </w:rPr>
        <w:fldChar w:fldCharType="end"/>
      </w:r>
      <w:r>
        <w:rPr>
          <w:rFonts w:hint="eastAsia"/>
          <w:color w:val="auto"/>
          <w:szCs w:val="21"/>
          <w:lang w:val="en-US" w:eastAsia="zh-CN"/>
        </w:rPr>
        <w:t>5</w:t>
      </w:r>
    </w:p>
    <w:p>
      <w:pPr>
        <w:pStyle w:val="25"/>
        <w:tabs>
          <w:tab w:val="right" w:leader="dot" w:pos="9746"/>
        </w:tabs>
        <w:rPr>
          <w:rFonts w:hint="eastAsia" w:eastAsia="宋体"/>
          <w:color w:val="auto"/>
          <w:lang w:eastAsia="zh-CN"/>
        </w:rPr>
      </w:pPr>
      <w:r>
        <w:rPr>
          <w:color w:val="auto"/>
        </w:rPr>
        <w:fldChar w:fldCharType="begin"/>
      </w:r>
      <w:r>
        <w:rPr>
          <w:color w:val="auto"/>
        </w:rPr>
        <w:instrText xml:space="preserve"> HYPERLINK \l "_Toc10054" </w:instrText>
      </w:r>
      <w:r>
        <w:rPr>
          <w:color w:val="auto"/>
        </w:rPr>
        <w:fldChar w:fldCharType="separate"/>
      </w:r>
      <w:r>
        <w:rPr>
          <w:color w:val="auto"/>
          <w:szCs w:val="21"/>
        </w:rPr>
        <w:t>第五条交付</w:t>
      </w:r>
      <w:r>
        <w:rPr>
          <w:color w:val="auto"/>
        </w:rPr>
        <w:tab/>
      </w:r>
      <w:r>
        <w:rPr>
          <w:rFonts w:hint="eastAsia"/>
          <w:color w:val="auto"/>
        </w:rPr>
        <w:t>4</w:t>
      </w:r>
      <w:r>
        <w:rPr>
          <w:rFonts w:hint="eastAsia"/>
          <w:color w:val="auto"/>
        </w:rPr>
        <w:fldChar w:fldCharType="end"/>
      </w:r>
      <w:r>
        <w:rPr>
          <w:rFonts w:hint="eastAsia"/>
          <w:color w:val="auto"/>
          <w:lang w:val="en-US" w:eastAsia="zh-CN"/>
        </w:rPr>
        <w:t>5</w:t>
      </w:r>
    </w:p>
    <w:p>
      <w:pPr>
        <w:pStyle w:val="25"/>
        <w:tabs>
          <w:tab w:val="right" w:leader="dot" w:pos="9746"/>
        </w:tabs>
        <w:rPr>
          <w:color w:val="auto"/>
        </w:rPr>
      </w:pPr>
      <w:r>
        <w:rPr>
          <w:color w:val="auto"/>
        </w:rPr>
        <w:fldChar w:fldCharType="begin"/>
      </w:r>
      <w:r>
        <w:rPr>
          <w:color w:val="auto"/>
        </w:rPr>
        <w:instrText xml:space="preserve"> HYPERLINK \l "_Toc7783" </w:instrText>
      </w:r>
      <w:r>
        <w:rPr>
          <w:color w:val="auto"/>
        </w:rPr>
        <w:fldChar w:fldCharType="separate"/>
      </w:r>
      <w:r>
        <w:rPr>
          <w:color w:val="auto"/>
          <w:szCs w:val="21"/>
        </w:rPr>
        <w:t>第六条调试和验收</w:t>
      </w:r>
      <w:r>
        <w:rPr>
          <w:color w:val="auto"/>
        </w:rPr>
        <w:tab/>
      </w:r>
      <w:r>
        <w:rPr>
          <w:rFonts w:hint="eastAsia"/>
          <w:color w:val="auto"/>
        </w:rPr>
        <w:t>4</w:t>
      </w:r>
      <w:r>
        <w:rPr>
          <w:rFonts w:hint="eastAsia"/>
          <w:color w:val="auto"/>
          <w:lang w:val="en-US" w:eastAsia="zh-CN"/>
        </w:rPr>
        <w:t>5</w:t>
      </w:r>
      <w:r>
        <w:rPr>
          <w:rFonts w:hint="eastAsia"/>
          <w:color w:val="auto"/>
        </w:rPr>
        <w:fldChar w:fldCharType="end"/>
      </w:r>
    </w:p>
    <w:p>
      <w:pPr>
        <w:pStyle w:val="25"/>
        <w:tabs>
          <w:tab w:val="right" w:leader="dot" w:pos="9746"/>
        </w:tabs>
        <w:rPr>
          <w:rFonts w:hint="eastAsia" w:eastAsia="宋体"/>
          <w:color w:val="auto"/>
          <w:lang w:eastAsia="zh-CN"/>
        </w:rPr>
      </w:pPr>
      <w:r>
        <w:rPr>
          <w:color w:val="auto"/>
        </w:rPr>
        <w:fldChar w:fldCharType="begin"/>
      </w:r>
      <w:r>
        <w:rPr>
          <w:color w:val="auto"/>
        </w:rPr>
        <w:instrText xml:space="preserve"> HYPERLINK \l "_Toc933" </w:instrText>
      </w:r>
      <w:r>
        <w:rPr>
          <w:color w:val="auto"/>
        </w:rPr>
        <w:fldChar w:fldCharType="separate"/>
      </w:r>
      <w:r>
        <w:rPr>
          <w:color w:val="auto"/>
          <w:szCs w:val="21"/>
        </w:rPr>
        <w:t>第七条安装和培训</w:t>
      </w:r>
      <w:r>
        <w:rPr>
          <w:color w:val="auto"/>
        </w:rPr>
        <w:tab/>
      </w:r>
      <w:r>
        <w:rPr>
          <w:rFonts w:hint="eastAsia"/>
          <w:color w:val="auto"/>
          <w:lang w:val="en-US" w:eastAsia="zh-CN"/>
        </w:rPr>
        <w:t>4</w:t>
      </w:r>
      <w:r>
        <w:rPr>
          <w:rFonts w:hint="eastAsia"/>
          <w:color w:val="auto"/>
        </w:rPr>
        <w:fldChar w:fldCharType="end"/>
      </w:r>
      <w:r>
        <w:rPr>
          <w:rFonts w:hint="eastAsia"/>
          <w:color w:val="auto"/>
          <w:szCs w:val="21"/>
          <w:lang w:val="en-US" w:eastAsia="zh-CN"/>
        </w:rPr>
        <w:t>6</w:t>
      </w:r>
    </w:p>
    <w:p>
      <w:pPr>
        <w:pStyle w:val="25"/>
        <w:tabs>
          <w:tab w:val="right" w:leader="dot" w:pos="9746"/>
        </w:tabs>
        <w:rPr>
          <w:rFonts w:hint="eastAsia" w:eastAsia="宋体"/>
          <w:color w:val="auto"/>
          <w:lang w:eastAsia="zh-CN"/>
        </w:rPr>
      </w:pPr>
      <w:r>
        <w:rPr>
          <w:color w:val="auto"/>
        </w:rPr>
        <w:fldChar w:fldCharType="begin"/>
      </w:r>
      <w:r>
        <w:rPr>
          <w:color w:val="auto"/>
        </w:rPr>
        <w:instrText xml:space="preserve"> HYPERLINK \l "_Toc27706" </w:instrText>
      </w:r>
      <w:r>
        <w:rPr>
          <w:color w:val="auto"/>
        </w:rPr>
        <w:fldChar w:fldCharType="separate"/>
      </w:r>
      <w:r>
        <w:rPr>
          <w:color w:val="auto"/>
          <w:szCs w:val="21"/>
        </w:rPr>
        <w:t>第八条售后服务、保修期</w:t>
      </w:r>
      <w:r>
        <w:rPr>
          <w:color w:val="auto"/>
        </w:rPr>
        <w:tab/>
      </w:r>
      <w:r>
        <w:rPr>
          <w:rFonts w:hint="eastAsia"/>
          <w:color w:val="auto"/>
        </w:rPr>
        <w:t>4</w:t>
      </w:r>
      <w:r>
        <w:rPr>
          <w:rFonts w:hint="eastAsia"/>
          <w:color w:val="auto"/>
        </w:rPr>
        <w:fldChar w:fldCharType="end"/>
      </w:r>
      <w:r>
        <w:rPr>
          <w:rFonts w:hint="eastAsia"/>
          <w:color w:val="auto"/>
          <w:szCs w:val="21"/>
          <w:lang w:val="en-US" w:eastAsia="zh-CN"/>
        </w:rPr>
        <w:t>6</w:t>
      </w:r>
    </w:p>
    <w:p>
      <w:pPr>
        <w:pStyle w:val="25"/>
        <w:tabs>
          <w:tab w:val="right" w:leader="dot" w:pos="9746"/>
        </w:tabs>
        <w:rPr>
          <w:rFonts w:hint="default" w:eastAsia="宋体"/>
          <w:color w:val="auto"/>
          <w:lang w:val="en-US" w:eastAsia="zh-CN"/>
        </w:rPr>
      </w:pPr>
      <w:r>
        <w:rPr>
          <w:color w:val="auto"/>
        </w:rPr>
        <w:fldChar w:fldCharType="begin"/>
      </w:r>
      <w:r>
        <w:rPr>
          <w:color w:val="auto"/>
        </w:rPr>
        <w:instrText xml:space="preserve"> HYPERLINK \l "_Toc16639" </w:instrText>
      </w:r>
      <w:r>
        <w:rPr>
          <w:color w:val="auto"/>
        </w:rPr>
        <w:fldChar w:fldCharType="separate"/>
      </w:r>
      <w:r>
        <w:rPr>
          <w:color w:val="auto"/>
          <w:szCs w:val="21"/>
        </w:rPr>
        <w:t>第九条税费</w:t>
      </w:r>
      <w:r>
        <w:rPr>
          <w:color w:val="auto"/>
        </w:rPr>
        <w:tab/>
      </w:r>
      <w:r>
        <w:rPr>
          <w:rFonts w:hint="eastAsia"/>
          <w:color w:val="auto"/>
        </w:rPr>
        <w:fldChar w:fldCharType="end"/>
      </w:r>
      <w:r>
        <w:rPr>
          <w:rFonts w:hint="eastAsia"/>
          <w:color w:val="auto"/>
          <w:lang w:val="en-US" w:eastAsia="zh-CN"/>
        </w:rPr>
        <w:t>47</w:t>
      </w:r>
    </w:p>
    <w:p>
      <w:pPr>
        <w:pStyle w:val="25"/>
        <w:tabs>
          <w:tab w:val="right" w:leader="dot" w:pos="9746"/>
        </w:tabs>
        <w:rPr>
          <w:rFonts w:hint="default" w:eastAsia="宋体"/>
          <w:color w:val="auto"/>
          <w:lang w:val="en-US" w:eastAsia="zh-CN"/>
        </w:rPr>
      </w:pPr>
      <w:r>
        <w:rPr>
          <w:color w:val="auto"/>
        </w:rPr>
        <w:fldChar w:fldCharType="begin"/>
      </w:r>
      <w:r>
        <w:rPr>
          <w:color w:val="auto"/>
        </w:rPr>
        <w:instrText xml:space="preserve"> HYPERLINK \l "_Toc20696" </w:instrText>
      </w:r>
      <w:r>
        <w:rPr>
          <w:color w:val="auto"/>
        </w:rPr>
        <w:fldChar w:fldCharType="separate"/>
      </w:r>
      <w:r>
        <w:rPr>
          <w:color w:val="auto"/>
          <w:szCs w:val="21"/>
        </w:rPr>
        <w:t>第十条付款方式</w:t>
      </w:r>
      <w:r>
        <w:rPr>
          <w:color w:val="auto"/>
        </w:rPr>
        <w:tab/>
      </w:r>
      <w:r>
        <w:rPr>
          <w:rFonts w:hint="eastAsia"/>
          <w:color w:val="auto"/>
        </w:rPr>
        <w:fldChar w:fldCharType="end"/>
      </w:r>
      <w:r>
        <w:rPr>
          <w:rFonts w:hint="eastAsia"/>
          <w:color w:val="auto"/>
          <w:lang w:val="en-US" w:eastAsia="zh-CN"/>
        </w:rPr>
        <w:t>47</w:t>
      </w:r>
    </w:p>
    <w:p>
      <w:pPr>
        <w:pStyle w:val="25"/>
        <w:tabs>
          <w:tab w:val="right" w:leader="dot" w:pos="9746"/>
        </w:tabs>
        <w:rPr>
          <w:rFonts w:hint="eastAsia" w:eastAsia="宋体"/>
          <w:color w:val="auto"/>
          <w:lang w:val="en-US" w:eastAsia="zh-CN"/>
        </w:rPr>
      </w:pPr>
      <w:r>
        <w:rPr>
          <w:color w:val="auto"/>
        </w:rPr>
        <w:fldChar w:fldCharType="begin"/>
      </w:r>
      <w:r>
        <w:rPr>
          <w:color w:val="auto"/>
        </w:rPr>
        <w:instrText xml:space="preserve"> HYPERLINK \l "_Toc1248" </w:instrText>
      </w:r>
      <w:r>
        <w:rPr>
          <w:color w:val="auto"/>
        </w:rPr>
        <w:fldChar w:fldCharType="separate"/>
      </w:r>
      <w:r>
        <w:rPr>
          <w:color w:val="auto"/>
          <w:szCs w:val="21"/>
        </w:rPr>
        <w:t>第十一条违约责任</w:t>
      </w:r>
      <w:r>
        <w:rPr>
          <w:color w:val="auto"/>
        </w:rPr>
        <w:tab/>
      </w:r>
      <w:r>
        <w:rPr>
          <w:rFonts w:hint="eastAsia"/>
          <w:color w:val="auto"/>
          <w:lang w:val="en-US" w:eastAsia="zh-CN"/>
        </w:rPr>
        <w:t>4</w:t>
      </w:r>
      <w:r>
        <w:rPr>
          <w:rFonts w:hint="eastAsia"/>
          <w:color w:val="auto"/>
        </w:rPr>
        <w:fldChar w:fldCharType="end"/>
      </w:r>
      <w:r>
        <w:rPr>
          <w:rFonts w:hint="eastAsia"/>
          <w:color w:val="auto"/>
          <w:lang w:val="en-US" w:eastAsia="zh-CN"/>
        </w:rPr>
        <w:t>7</w:t>
      </w:r>
    </w:p>
    <w:p>
      <w:pPr>
        <w:pStyle w:val="25"/>
        <w:tabs>
          <w:tab w:val="right" w:leader="dot" w:pos="9746"/>
        </w:tabs>
        <w:rPr>
          <w:rFonts w:hint="eastAsia" w:eastAsia="宋体"/>
          <w:color w:val="auto"/>
          <w:lang w:eastAsia="zh-CN"/>
        </w:rPr>
      </w:pPr>
      <w:r>
        <w:rPr>
          <w:color w:val="auto"/>
        </w:rPr>
        <w:fldChar w:fldCharType="begin"/>
      </w:r>
      <w:r>
        <w:rPr>
          <w:color w:val="auto"/>
        </w:rPr>
        <w:instrText xml:space="preserve"> HYPERLINK \l "_Toc31218" </w:instrText>
      </w:r>
      <w:r>
        <w:rPr>
          <w:color w:val="auto"/>
        </w:rPr>
        <w:fldChar w:fldCharType="separate"/>
      </w:r>
      <w:r>
        <w:rPr>
          <w:color w:val="auto"/>
          <w:szCs w:val="21"/>
        </w:rPr>
        <w:t>第十二条不可抗力事件处理</w:t>
      </w:r>
      <w:r>
        <w:rPr>
          <w:color w:val="auto"/>
        </w:rPr>
        <w:tab/>
      </w:r>
      <w:r>
        <w:rPr>
          <w:rFonts w:hint="eastAsia"/>
          <w:color w:val="auto"/>
          <w:lang w:val="en-US" w:eastAsia="zh-CN"/>
        </w:rPr>
        <w:t>4</w:t>
      </w:r>
      <w:r>
        <w:rPr>
          <w:rFonts w:hint="eastAsia"/>
          <w:color w:val="auto"/>
        </w:rPr>
        <w:fldChar w:fldCharType="end"/>
      </w:r>
      <w:r>
        <w:rPr>
          <w:rFonts w:hint="eastAsia"/>
          <w:color w:val="auto"/>
          <w:szCs w:val="21"/>
          <w:lang w:val="en-US" w:eastAsia="zh-CN"/>
        </w:rPr>
        <w:t>8</w:t>
      </w:r>
    </w:p>
    <w:p>
      <w:pPr>
        <w:pStyle w:val="25"/>
        <w:tabs>
          <w:tab w:val="right" w:leader="dot" w:pos="9746"/>
        </w:tabs>
        <w:rPr>
          <w:rFonts w:hint="eastAsia" w:eastAsia="宋体"/>
          <w:color w:val="auto"/>
          <w:lang w:eastAsia="zh-CN"/>
        </w:rPr>
      </w:pPr>
      <w:r>
        <w:rPr>
          <w:color w:val="auto"/>
        </w:rPr>
        <w:fldChar w:fldCharType="begin"/>
      </w:r>
      <w:r>
        <w:rPr>
          <w:color w:val="auto"/>
        </w:rPr>
        <w:instrText xml:space="preserve"> HYPERLINK \l "_Toc8313" </w:instrText>
      </w:r>
      <w:r>
        <w:rPr>
          <w:color w:val="auto"/>
        </w:rPr>
        <w:fldChar w:fldCharType="separate"/>
      </w:r>
      <w:r>
        <w:rPr>
          <w:color w:val="auto"/>
          <w:szCs w:val="21"/>
        </w:rPr>
        <w:t>第十三条合同争议解决</w:t>
      </w:r>
      <w:r>
        <w:rPr>
          <w:color w:val="auto"/>
        </w:rPr>
        <w:tab/>
      </w:r>
      <w:r>
        <w:rPr>
          <w:rFonts w:hint="eastAsia"/>
          <w:color w:val="auto"/>
          <w:lang w:val="en-US" w:eastAsia="zh-CN"/>
        </w:rPr>
        <w:t>4</w:t>
      </w:r>
      <w:r>
        <w:rPr>
          <w:rFonts w:hint="eastAsia"/>
          <w:color w:val="auto"/>
        </w:rPr>
        <w:fldChar w:fldCharType="end"/>
      </w:r>
      <w:r>
        <w:rPr>
          <w:rFonts w:hint="eastAsia"/>
          <w:color w:val="auto"/>
          <w:szCs w:val="21"/>
          <w:lang w:val="en-US" w:eastAsia="zh-CN"/>
        </w:rPr>
        <w:t>8</w:t>
      </w:r>
    </w:p>
    <w:p>
      <w:pPr>
        <w:pStyle w:val="25"/>
        <w:tabs>
          <w:tab w:val="right" w:leader="dot" w:pos="9746"/>
        </w:tabs>
        <w:rPr>
          <w:rFonts w:hint="default" w:eastAsia="宋体"/>
          <w:color w:val="auto"/>
          <w:lang w:val="en-US" w:eastAsia="zh-CN"/>
        </w:rPr>
      </w:pPr>
      <w:r>
        <w:rPr>
          <w:color w:val="auto"/>
        </w:rPr>
        <w:fldChar w:fldCharType="begin"/>
      </w:r>
      <w:r>
        <w:rPr>
          <w:color w:val="auto"/>
        </w:rPr>
        <w:instrText xml:space="preserve"> HYPERLINK \l "_Toc25058" </w:instrText>
      </w:r>
      <w:r>
        <w:rPr>
          <w:color w:val="auto"/>
        </w:rPr>
        <w:fldChar w:fldCharType="separate"/>
      </w:r>
      <w:r>
        <w:rPr>
          <w:color w:val="auto"/>
          <w:szCs w:val="21"/>
        </w:rPr>
        <w:t>第十四条合同生效及其它</w:t>
      </w:r>
      <w:r>
        <w:rPr>
          <w:color w:val="auto"/>
        </w:rPr>
        <w:tab/>
      </w:r>
      <w:r>
        <w:rPr>
          <w:rFonts w:hint="eastAsia"/>
          <w:color w:val="auto"/>
        </w:rPr>
        <w:fldChar w:fldCharType="end"/>
      </w:r>
      <w:r>
        <w:rPr>
          <w:rFonts w:hint="eastAsia"/>
          <w:color w:val="auto"/>
          <w:lang w:val="en-US" w:eastAsia="zh-CN"/>
        </w:rPr>
        <w:t>48</w:t>
      </w:r>
    </w:p>
    <w:p>
      <w:pPr>
        <w:pStyle w:val="25"/>
        <w:tabs>
          <w:tab w:val="right" w:leader="dot" w:pos="9746"/>
        </w:tabs>
        <w:rPr>
          <w:rFonts w:hint="eastAsia" w:eastAsia="宋体"/>
          <w:color w:val="auto"/>
          <w:lang w:val="en-US" w:eastAsia="zh-CN"/>
        </w:rPr>
      </w:pPr>
      <w:r>
        <w:rPr>
          <w:color w:val="auto"/>
        </w:rPr>
        <w:fldChar w:fldCharType="begin"/>
      </w:r>
      <w:r>
        <w:rPr>
          <w:color w:val="auto"/>
        </w:rPr>
        <w:instrText xml:space="preserve"> HYPERLINK \l "_Toc27680" </w:instrText>
      </w:r>
      <w:r>
        <w:rPr>
          <w:color w:val="auto"/>
        </w:rPr>
        <w:fldChar w:fldCharType="separate"/>
      </w:r>
      <w:r>
        <w:rPr>
          <w:color w:val="auto"/>
          <w:szCs w:val="21"/>
        </w:rPr>
        <w:t>第十五条合同的变更、终止与转让</w:t>
      </w:r>
      <w:r>
        <w:rPr>
          <w:color w:val="auto"/>
        </w:rPr>
        <w:tab/>
      </w:r>
      <w:r>
        <w:rPr>
          <w:rFonts w:hint="eastAsia"/>
          <w:color w:val="auto"/>
        </w:rPr>
        <w:fldChar w:fldCharType="end"/>
      </w:r>
      <w:r>
        <w:rPr>
          <w:rFonts w:hint="eastAsia"/>
          <w:color w:val="auto"/>
          <w:lang w:val="en-US" w:eastAsia="zh-CN"/>
        </w:rPr>
        <w:t>48</w:t>
      </w:r>
    </w:p>
    <w:p>
      <w:pPr>
        <w:pStyle w:val="25"/>
        <w:tabs>
          <w:tab w:val="right" w:leader="dot" w:pos="9746"/>
        </w:tabs>
        <w:rPr>
          <w:rFonts w:hint="default" w:eastAsia="宋体"/>
          <w:color w:val="auto"/>
          <w:lang w:val="en-US" w:eastAsia="zh-CN"/>
        </w:rPr>
      </w:pPr>
      <w:r>
        <w:rPr>
          <w:color w:val="auto"/>
        </w:rPr>
        <w:fldChar w:fldCharType="begin"/>
      </w:r>
      <w:r>
        <w:rPr>
          <w:color w:val="auto"/>
        </w:rPr>
        <w:instrText xml:space="preserve"> HYPERLINK \l "_Toc22950" </w:instrText>
      </w:r>
      <w:r>
        <w:rPr>
          <w:color w:val="auto"/>
        </w:rPr>
        <w:fldChar w:fldCharType="separate"/>
      </w:r>
      <w:r>
        <w:rPr>
          <w:color w:val="auto"/>
          <w:szCs w:val="21"/>
        </w:rPr>
        <w:t>第十六条签订本合同依据</w:t>
      </w:r>
      <w:r>
        <w:rPr>
          <w:color w:val="auto"/>
        </w:rPr>
        <w:tab/>
      </w:r>
      <w:r>
        <w:rPr>
          <w:rFonts w:hint="eastAsia"/>
          <w:color w:val="auto"/>
        </w:rPr>
        <w:fldChar w:fldCharType="end"/>
      </w:r>
      <w:r>
        <w:rPr>
          <w:rFonts w:hint="eastAsia"/>
          <w:color w:val="auto"/>
          <w:lang w:val="en-US" w:eastAsia="zh-CN"/>
        </w:rPr>
        <w:t>48</w:t>
      </w:r>
    </w:p>
    <w:p>
      <w:pPr>
        <w:pStyle w:val="23"/>
        <w:tabs>
          <w:tab w:val="right" w:leader="dot" w:pos="9746"/>
        </w:tabs>
        <w:rPr>
          <w:rFonts w:hint="eastAsia" w:eastAsia="宋体"/>
          <w:color w:val="auto"/>
          <w:lang w:val="en-US" w:eastAsia="zh-CN"/>
        </w:rPr>
      </w:pPr>
      <w:r>
        <w:rPr>
          <w:color w:val="auto"/>
        </w:rPr>
        <w:fldChar w:fldCharType="begin"/>
      </w:r>
      <w:r>
        <w:rPr>
          <w:color w:val="auto"/>
        </w:rPr>
        <w:instrText xml:space="preserve"> HYPERLINK \l "_Toc17730" </w:instrText>
      </w:r>
      <w:r>
        <w:rPr>
          <w:color w:val="auto"/>
        </w:rPr>
        <w:fldChar w:fldCharType="separate"/>
      </w:r>
      <w:r>
        <w:rPr>
          <w:rFonts w:eastAsia="黑体"/>
          <w:color w:val="auto"/>
          <w:szCs w:val="32"/>
        </w:rPr>
        <w:t>第六章投标文件（格式）</w:t>
      </w:r>
      <w:r>
        <w:rPr>
          <w:color w:val="auto"/>
        </w:rPr>
        <w:tab/>
      </w:r>
      <w:r>
        <w:rPr>
          <w:rFonts w:hint="eastAsia"/>
          <w:color w:val="auto"/>
        </w:rPr>
        <w:t>5</w:t>
      </w:r>
      <w:r>
        <w:rPr>
          <w:rFonts w:hint="eastAsia"/>
          <w:color w:val="auto"/>
        </w:rPr>
        <w:fldChar w:fldCharType="end"/>
      </w:r>
      <w:r>
        <w:rPr>
          <w:rFonts w:hint="eastAsia"/>
          <w:color w:val="auto"/>
          <w:lang w:val="en-US" w:eastAsia="zh-CN"/>
        </w:rPr>
        <w:t>3</w:t>
      </w:r>
    </w:p>
    <w:p>
      <w:pPr>
        <w:pStyle w:val="25"/>
        <w:tabs>
          <w:tab w:val="right" w:leader="dot" w:pos="9746"/>
        </w:tabs>
        <w:rPr>
          <w:rFonts w:hint="eastAsia" w:eastAsia="宋体"/>
          <w:color w:val="auto"/>
          <w:lang w:val="en-US" w:eastAsia="zh-CN"/>
        </w:rPr>
      </w:pPr>
      <w:r>
        <w:rPr>
          <w:color w:val="auto"/>
        </w:rPr>
        <w:fldChar w:fldCharType="begin"/>
      </w:r>
      <w:r>
        <w:rPr>
          <w:color w:val="auto"/>
        </w:rPr>
        <w:instrText xml:space="preserve"> HYPERLINK \l "_Toc6939" </w:instrText>
      </w:r>
      <w:r>
        <w:rPr>
          <w:color w:val="auto"/>
        </w:rPr>
        <w:fldChar w:fldCharType="separate"/>
      </w:r>
      <w:r>
        <w:rPr>
          <w:bCs/>
          <w:color w:val="auto"/>
          <w:szCs w:val="30"/>
        </w:rPr>
        <w:t>投标文件封面格式：</w:t>
      </w:r>
      <w:r>
        <w:rPr>
          <w:color w:val="auto"/>
        </w:rPr>
        <w:tab/>
      </w:r>
      <w:r>
        <w:rPr>
          <w:rFonts w:hint="eastAsia"/>
          <w:color w:val="auto"/>
        </w:rPr>
        <w:t>5</w:t>
      </w:r>
      <w:r>
        <w:rPr>
          <w:rFonts w:hint="eastAsia"/>
          <w:color w:val="auto"/>
        </w:rPr>
        <w:fldChar w:fldCharType="end"/>
      </w:r>
      <w:r>
        <w:rPr>
          <w:rFonts w:hint="eastAsia"/>
          <w:color w:val="auto"/>
          <w:lang w:val="en-US" w:eastAsia="zh-CN"/>
        </w:rPr>
        <w:t>3</w:t>
      </w:r>
    </w:p>
    <w:p>
      <w:pPr>
        <w:pStyle w:val="25"/>
        <w:tabs>
          <w:tab w:val="right" w:leader="dot" w:pos="9746"/>
        </w:tabs>
        <w:rPr>
          <w:rFonts w:hint="eastAsia" w:eastAsia="宋体"/>
          <w:color w:val="auto"/>
          <w:lang w:val="en-US" w:eastAsia="zh-CN"/>
        </w:rPr>
      </w:pPr>
      <w:r>
        <w:rPr>
          <w:color w:val="auto"/>
        </w:rPr>
        <w:fldChar w:fldCharType="begin"/>
      </w:r>
      <w:r>
        <w:rPr>
          <w:color w:val="auto"/>
        </w:rPr>
        <w:instrText xml:space="preserve"> HYPERLINK \l "_Toc28664" </w:instrText>
      </w:r>
      <w:r>
        <w:rPr>
          <w:color w:val="auto"/>
        </w:rPr>
        <w:fldChar w:fldCharType="separate"/>
      </w:r>
      <w:r>
        <w:rPr>
          <w:color w:val="auto"/>
          <w:szCs w:val="32"/>
        </w:rPr>
        <w:t>投标文件目录</w:t>
      </w:r>
      <w:r>
        <w:rPr>
          <w:color w:val="auto"/>
        </w:rPr>
        <w:tab/>
      </w:r>
      <w:r>
        <w:rPr>
          <w:rFonts w:hint="eastAsia"/>
          <w:color w:val="auto"/>
        </w:rPr>
        <w:t>5</w:t>
      </w:r>
      <w:r>
        <w:rPr>
          <w:rFonts w:hint="eastAsia"/>
          <w:color w:val="auto"/>
        </w:rPr>
        <w:fldChar w:fldCharType="end"/>
      </w:r>
      <w:r>
        <w:rPr>
          <w:rFonts w:hint="eastAsia"/>
          <w:color w:val="auto"/>
          <w:lang w:val="en-US" w:eastAsia="zh-CN"/>
        </w:rPr>
        <w:t>4</w:t>
      </w:r>
    </w:p>
    <w:p>
      <w:pPr>
        <w:pStyle w:val="25"/>
        <w:tabs>
          <w:tab w:val="right" w:leader="dot" w:pos="9746"/>
        </w:tabs>
        <w:rPr>
          <w:rFonts w:hint="default" w:eastAsia="宋体"/>
          <w:color w:val="auto"/>
          <w:lang w:val="en-US" w:eastAsia="zh-CN"/>
        </w:rPr>
      </w:pPr>
      <w:r>
        <w:rPr>
          <w:color w:val="auto"/>
        </w:rPr>
        <w:fldChar w:fldCharType="begin"/>
      </w:r>
      <w:r>
        <w:rPr>
          <w:color w:val="auto"/>
        </w:rPr>
        <w:instrText xml:space="preserve"> HYPERLINK \l "_Toc19671" </w:instrText>
      </w:r>
      <w:r>
        <w:rPr>
          <w:color w:val="auto"/>
        </w:rPr>
        <w:fldChar w:fldCharType="separate"/>
      </w:r>
      <w:r>
        <w:rPr>
          <w:color w:val="auto"/>
          <w:szCs w:val="32"/>
        </w:rPr>
        <w:t>一、投标报价表</w:t>
      </w:r>
      <w:r>
        <w:rPr>
          <w:color w:val="auto"/>
        </w:rPr>
        <w:tab/>
      </w:r>
      <w:r>
        <w:rPr>
          <w:rFonts w:hint="eastAsia"/>
          <w:color w:val="auto"/>
        </w:rPr>
        <w:fldChar w:fldCharType="end"/>
      </w:r>
      <w:r>
        <w:rPr>
          <w:rFonts w:hint="eastAsia"/>
          <w:color w:val="auto"/>
          <w:lang w:val="en-US" w:eastAsia="zh-CN"/>
        </w:rPr>
        <w:t>56</w:t>
      </w:r>
    </w:p>
    <w:p>
      <w:pPr>
        <w:pStyle w:val="25"/>
        <w:tabs>
          <w:tab w:val="right" w:leader="dot" w:pos="9746"/>
        </w:tabs>
        <w:rPr>
          <w:rFonts w:hint="default" w:eastAsia="宋体"/>
          <w:color w:val="auto"/>
          <w:lang w:val="en-US" w:eastAsia="zh-CN"/>
        </w:rPr>
      </w:pPr>
      <w:r>
        <w:rPr>
          <w:color w:val="auto"/>
        </w:rPr>
        <w:fldChar w:fldCharType="begin"/>
      </w:r>
      <w:r>
        <w:rPr>
          <w:color w:val="auto"/>
        </w:rPr>
        <w:instrText xml:space="preserve"> HYPERLINK \l "_Toc18369" </w:instrText>
      </w:r>
      <w:r>
        <w:rPr>
          <w:color w:val="auto"/>
        </w:rPr>
        <w:fldChar w:fldCharType="separate"/>
      </w:r>
      <w:r>
        <w:rPr>
          <w:color w:val="auto"/>
          <w:szCs w:val="32"/>
        </w:rPr>
        <w:t>二、资格性响应证明材料（格式）</w:t>
      </w:r>
      <w:r>
        <w:rPr>
          <w:color w:val="auto"/>
        </w:rPr>
        <w:tab/>
      </w:r>
      <w:r>
        <w:rPr>
          <w:rFonts w:hint="eastAsia"/>
          <w:color w:val="auto"/>
        </w:rPr>
        <w:fldChar w:fldCharType="end"/>
      </w:r>
      <w:r>
        <w:rPr>
          <w:rFonts w:hint="eastAsia"/>
          <w:color w:val="auto"/>
          <w:lang w:val="en-US" w:eastAsia="zh-CN"/>
        </w:rPr>
        <w:t>57</w:t>
      </w:r>
    </w:p>
    <w:p>
      <w:pPr>
        <w:pStyle w:val="25"/>
        <w:tabs>
          <w:tab w:val="right" w:leader="dot" w:pos="9746"/>
        </w:tabs>
        <w:rPr>
          <w:rFonts w:hint="eastAsia" w:eastAsia="宋体"/>
          <w:color w:val="auto"/>
          <w:lang w:val="en-US" w:eastAsia="zh-CN"/>
        </w:rPr>
      </w:pPr>
      <w:r>
        <w:rPr>
          <w:color w:val="auto"/>
        </w:rPr>
        <w:fldChar w:fldCharType="begin"/>
      </w:r>
      <w:r>
        <w:rPr>
          <w:color w:val="auto"/>
        </w:rPr>
        <w:instrText xml:space="preserve"> HYPERLINK \l "_Toc2522" </w:instrText>
      </w:r>
      <w:r>
        <w:rPr>
          <w:color w:val="auto"/>
        </w:rPr>
        <w:fldChar w:fldCharType="separate"/>
      </w:r>
      <w:r>
        <w:rPr>
          <w:color w:val="auto"/>
          <w:szCs w:val="32"/>
        </w:rPr>
        <w:t>三、商务、技术性响应及其他有效证明材料（格式）</w:t>
      </w:r>
      <w:r>
        <w:rPr>
          <w:color w:val="auto"/>
        </w:rPr>
        <w:tab/>
      </w:r>
      <w:r>
        <w:rPr>
          <w:rFonts w:hint="eastAsia"/>
          <w:color w:val="auto"/>
        </w:rPr>
        <w:t>6</w:t>
      </w:r>
      <w:r>
        <w:rPr>
          <w:rFonts w:hint="eastAsia"/>
          <w:color w:val="auto"/>
        </w:rPr>
        <w:fldChar w:fldCharType="end"/>
      </w:r>
      <w:r>
        <w:rPr>
          <w:rFonts w:hint="eastAsia"/>
          <w:color w:val="auto"/>
          <w:lang w:val="en-US" w:eastAsia="zh-CN"/>
        </w:rPr>
        <w:t>1</w:t>
      </w:r>
    </w:p>
    <w:p>
      <w:pPr>
        <w:rPr>
          <w:color w:val="auto"/>
          <w:szCs w:val="21"/>
        </w:rPr>
      </w:pPr>
      <w:r>
        <w:rPr>
          <w:color w:val="auto"/>
          <w:szCs w:val="21"/>
        </w:rPr>
        <w:fldChar w:fldCharType="end"/>
      </w:r>
    </w:p>
    <w:p>
      <w:pPr>
        <w:jc w:val="center"/>
        <w:outlineLvl w:val="0"/>
        <w:rPr>
          <w:rFonts w:eastAsia="黑体"/>
          <w:color w:val="auto"/>
          <w:sz w:val="32"/>
          <w:szCs w:val="32"/>
        </w:rPr>
        <w:sectPr>
          <w:footerReference r:id="rId5" w:type="default"/>
          <w:pgSz w:w="11906" w:h="16838"/>
          <w:pgMar w:top="1440" w:right="1080" w:bottom="1440" w:left="1080" w:header="851" w:footer="992" w:gutter="0"/>
          <w:pgNumType w:fmt="upperRoman" w:start="1"/>
          <w:cols w:space="720" w:num="1"/>
          <w:docGrid w:type="lines" w:linePitch="312" w:charSpace="0"/>
        </w:sectPr>
      </w:pPr>
    </w:p>
    <w:p>
      <w:pPr>
        <w:pStyle w:val="3"/>
        <w:numPr>
          <w:ilvl w:val="0"/>
          <w:numId w:val="1"/>
        </w:numPr>
        <w:tabs>
          <w:tab w:val="left" w:pos="0"/>
          <w:tab w:val="left" w:pos="3165"/>
          <w:tab w:val="center" w:pos="4153"/>
        </w:tabs>
        <w:autoSpaceDE w:val="0"/>
        <w:autoSpaceDN w:val="0"/>
        <w:adjustRightInd w:val="0"/>
        <w:spacing w:before="0" w:after="0" w:line="440" w:lineRule="exact"/>
        <w:jc w:val="center"/>
        <w:rPr>
          <w:rFonts w:ascii="华文中宋" w:hAnsi="华文中宋" w:eastAsia="华文中宋"/>
          <w:color w:val="auto"/>
        </w:rPr>
      </w:pPr>
      <w:bookmarkStart w:id="0" w:name="_Toc35393789"/>
      <w:bookmarkStart w:id="1" w:name="_Toc4647"/>
      <w:bookmarkStart w:id="2" w:name="_Toc28359001"/>
      <w:r>
        <w:rPr>
          <w:rFonts w:hint="eastAsia" w:ascii="华文中宋" w:hAnsi="华文中宋" w:eastAsia="华文中宋"/>
          <w:color w:val="auto"/>
        </w:rPr>
        <w:t>公开招标公告</w:t>
      </w:r>
      <w:bookmarkEnd w:id="0"/>
      <w:bookmarkEnd w:id="1"/>
      <w:bookmarkEnd w:id="2"/>
    </w:p>
    <w:p>
      <w:pPr>
        <w:rPr>
          <w:color w:val="auto"/>
        </w:rPr>
      </w:pPr>
    </w:p>
    <w:p>
      <w:pPr>
        <w:spacing w:line="380" w:lineRule="exact"/>
        <w:ind w:firstLine="560" w:firstLineChars="200"/>
        <w:rPr>
          <w:color w:val="auto"/>
          <w:sz w:val="28"/>
          <w:szCs w:val="28"/>
        </w:rPr>
      </w:pPr>
      <w:r>
        <w:rPr>
          <w:rFonts w:hint="eastAsia" w:ascii="仿宋" w:hAnsi="仿宋" w:eastAsia="仿宋" w:cs="仿宋"/>
          <w:color w:val="auto"/>
          <w:sz w:val="28"/>
          <w:szCs w:val="28"/>
        </w:rPr>
        <w:t>桂林市政府集中采购中心受</w:t>
      </w:r>
      <w:r>
        <w:rPr>
          <w:rFonts w:hint="eastAsia" w:ascii="仿宋" w:hAnsi="仿宋" w:eastAsia="仿宋" w:cs="仿宋"/>
          <w:color w:val="auto"/>
          <w:sz w:val="28"/>
          <w:szCs w:val="28"/>
          <w:u w:val="single"/>
        </w:rPr>
        <w:t>广西师范大学</w:t>
      </w:r>
      <w:r>
        <w:rPr>
          <w:rFonts w:hint="eastAsia" w:ascii="仿宋" w:hAnsi="仿宋" w:eastAsia="仿宋" w:cs="仿宋"/>
          <w:color w:val="auto"/>
          <w:sz w:val="28"/>
          <w:szCs w:val="28"/>
        </w:rPr>
        <w:t>委托，根据《中华人民共和国政府采购法》、《中华人民共和国政府采购法实施条例》及财政部令第87号《政府采购货物和服务招标投标管理办法》等规定，现就</w:t>
      </w:r>
      <w:r>
        <w:rPr>
          <w:rFonts w:hint="eastAsia" w:ascii="仿宋" w:hAnsi="仿宋" w:eastAsia="仿宋" w:cs="仿宋"/>
          <w:color w:val="auto"/>
          <w:sz w:val="28"/>
          <w:szCs w:val="28"/>
          <w:u w:val="single"/>
        </w:rPr>
        <w:t>五期学生公寓楼组合公寓床采购</w:t>
      </w:r>
      <w:r>
        <w:rPr>
          <w:rFonts w:hint="eastAsia" w:ascii="仿宋" w:hAnsi="仿宋" w:eastAsia="仿宋" w:cs="仿宋"/>
          <w:color w:val="auto"/>
          <w:sz w:val="28"/>
          <w:szCs w:val="28"/>
        </w:rPr>
        <w:t>项目（</w:t>
      </w:r>
      <w:r>
        <w:rPr>
          <w:rFonts w:hint="eastAsia" w:ascii="仿宋" w:hAnsi="仿宋" w:eastAsia="仿宋"/>
          <w:color w:val="auto"/>
          <w:sz w:val="28"/>
          <w:szCs w:val="28"/>
        </w:rPr>
        <w:t>GXZC2020-G1-001981-GLSZ</w:t>
      </w:r>
      <w:r>
        <w:rPr>
          <w:rFonts w:hint="eastAsia" w:ascii="仿宋" w:hAnsi="仿宋" w:eastAsia="仿宋" w:cs="仿宋"/>
          <w:color w:val="auto"/>
          <w:sz w:val="28"/>
          <w:szCs w:val="28"/>
        </w:rPr>
        <w:t>）进行公开招标，欢迎符合条件的供应商前来投标，并于2020年</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24</w:t>
      </w:r>
      <w:r>
        <w:rPr>
          <w:rFonts w:hint="eastAsia" w:ascii="仿宋" w:hAnsi="仿宋" w:eastAsia="仿宋" w:cs="仿宋"/>
          <w:color w:val="auto"/>
          <w:sz w:val="28"/>
          <w:szCs w:val="28"/>
        </w:rPr>
        <w:t>日上午</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点</w:t>
      </w:r>
      <w:r>
        <w:rPr>
          <w:rFonts w:hint="eastAsia" w:ascii="仿宋" w:hAnsi="仿宋" w:eastAsia="仿宋" w:cs="仿宋"/>
          <w:color w:val="auto"/>
          <w:sz w:val="28"/>
          <w:szCs w:val="28"/>
          <w:lang w:val="en-US" w:eastAsia="zh-CN"/>
        </w:rPr>
        <w:t>30</w:t>
      </w:r>
      <w:r>
        <w:rPr>
          <w:rFonts w:hint="eastAsia" w:ascii="仿宋" w:hAnsi="仿宋" w:eastAsia="仿宋" w:cs="仿宋"/>
          <w:color w:val="auto"/>
          <w:sz w:val="28"/>
          <w:szCs w:val="28"/>
        </w:rPr>
        <w:t>分前递交投标文件。现将本次公开招标的有关事项公告如下：</w:t>
      </w:r>
    </w:p>
    <w:p>
      <w:pPr>
        <w:pStyle w:val="4"/>
        <w:spacing w:line="380" w:lineRule="exact"/>
        <w:rPr>
          <w:rFonts w:ascii="黑体" w:hAnsi="黑体" w:cs="宋体"/>
          <w:b w:val="0"/>
          <w:color w:val="auto"/>
          <w:sz w:val="28"/>
          <w:szCs w:val="28"/>
        </w:rPr>
      </w:pPr>
      <w:bookmarkStart w:id="3" w:name="_Toc35393790"/>
      <w:bookmarkStart w:id="4" w:name="_Toc28530"/>
      <w:bookmarkStart w:id="5" w:name="_Toc28359079"/>
      <w:bookmarkStart w:id="6" w:name="_Toc35393621"/>
      <w:bookmarkStart w:id="7" w:name="_Toc28359002"/>
      <w:bookmarkStart w:id="8" w:name="_Hlk24379207"/>
      <w:r>
        <w:rPr>
          <w:rFonts w:hint="eastAsia" w:ascii="黑体" w:hAnsi="黑体" w:cs="宋体"/>
          <w:b w:val="0"/>
          <w:color w:val="auto"/>
          <w:sz w:val="28"/>
          <w:szCs w:val="28"/>
        </w:rPr>
        <w:t>一、项目基本情况</w:t>
      </w:r>
      <w:bookmarkEnd w:id="3"/>
      <w:bookmarkEnd w:id="4"/>
      <w:bookmarkEnd w:id="5"/>
      <w:bookmarkEnd w:id="6"/>
      <w:bookmarkEnd w:id="7"/>
    </w:p>
    <w:p>
      <w:pPr>
        <w:spacing w:line="380" w:lineRule="exact"/>
        <w:ind w:firstLine="560" w:firstLineChars="200"/>
        <w:rPr>
          <w:rFonts w:ascii="仿宋" w:hAnsi="仿宋" w:eastAsia="仿宋"/>
          <w:color w:val="auto"/>
          <w:sz w:val="28"/>
          <w:szCs w:val="28"/>
        </w:rPr>
      </w:pPr>
      <w:r>
        <w:rPr>
          <w:rFonts w:hint="eastAsia" w:ascii="仿宋" w:hAnsi="仿宋" w:eastAsia="仿宋"/>
          <w:color w:val="auto"/>
          <w:sz w:val="28"/>
          <w:szCs w:val="28"/>
        </w:rPr>
        <w:t>项目编号：GXZC2020-G1-001981-GLSZ</w:t>
      </w:r>
    </w:p>
    <w:p>
      <w:pPr>
        <w:spacing w:line="380" w:lineRule="exact"/>
        <w:ind w:left="559" w:leftChars="266"/>
        <w:rPr>
          <w:rFonts w:ascii="仿宋" w:hAnsi="仿宋" w:eastAsia="仿宋"/>
          <w:color w:val="auto"/>
          <w:sz w:val="28"/>
          <w:szCs w:val="28"/>
        </w:rPr>
      </w:pPr>
      <w:r>
        <w:rPr>
          <w:rFonts w:hint="eastAsia" w:ascii="仿宋" w:hAnsi="仿宋" w:eastAsia="仿宋"/>
          <w:color w:val="auto"/>
          <w:sz w:val="28"/>
          <w:szCs w:val="28"/>
        </w:rPr>
        <w:t>项目名称：</w:t>
      </w:r>
      <w:bookmarkEnd w:id="8"/>
      <w:r>
        <w:rPr>
          <w:rFonts w:hint="eastAsia" w:ascii="仿宋" w:hAnsi="仿宋" w:eastAsia="仿宋"/>
          <w:color w:val="auto"/>
          <w:sz w:val="28"/>
          <w:szCs w:val="28"/>
        </w:rPr>
        <w:t>五期学生公寓楼组合公寓床采购</w:t>
      </w:r>
    </w:p>
    <w:p>
      <w:pPr>
        <w:spacing w:line="380" w:lineRule="exact"/>
        <w:ind w:left="559" w:leftChars="266"/>
        <w:rPr>
          <w:rFonts w:ascii="仿宋" w:hAnsi="仿宋" w:eastAsia="仿宋"/>
          <w:color w:val="auto"/>
          <w:sz w:val="28"/>
          <w:szCs w:val="28"/>
        </w:rPr>
      </w:pPr>
      <w:r>
        <w:rPr>
          <w:rFonts w:hint="eastAsia" w:ascii="仿宋" w:hAnsi="仿宋" w:eastAsia="仿宋"/>
          <w:color w:val="auto"/>
          <w:sz w:val="28"/>
          <w:szCs w:val="28"/>
        </w:rPr>
        <w:t>预算金额：肆佰陆拾陆万捌仟叁佰元整（</w:t>
      </w:r>
      <w:r>
        <w:rPr>
          <w:rFonts w:hint="eastAsia" w:ascii="仿宋" w:hAnsi="仿宋" w:eastAsia="仿宋"/>
          <w:color w:val="auto"/>
          <w:sz w:val="28"/>
          <w:szCs w:val="28"/>
          <w:lang w:val="en-US" w:eastAsia="zh-CN"/>
        </w:rPr>
        <w:t>¥</w:t>
      </w:r>
      <w:r>
        <w:rPr>
          <w:rFonts w:hint="eastAsia" w:ascii="仿宋" w:hAnsi="仿宋" w:eastAsia="仿宋"/>
          <w:color w:val="auto"/>
          <w:sz w:val="28"/>
          <w:szCs w:val="28"/>
        </w:rPr>
        <w:t>4668300.00）</w:t>
      </w:r>
    </w:p>
    <w:p>
      <w:pPr>
        <w:spacing w:line="380" w:lineRule="exact"/>
        <w:ind w:firstLine="560" w:firstLineChars="200"/>
        <w:rPr>
          <w:rFonts w:ascii="仿宋" w:hAnsi="仿宋" w:eastAsia="仿宋"/>
          <w:color w:val="auto"/>
          <w:sz w:val="28"/>
          <w:szCs w:val="28"/>
        </w:rPr>
      </w:pPr>
      <w:r>
        <w:rPr>
          <w:rFonts w:hint="eastAsia" w:ascii="仿宋" w:hAnsi="仿宋" w:eastAsia="仿宋"/>
          <w:color w:val="auto"/>
          <w:sz w:val="28"/>
          <w:szCs w:val="28"/>
        </w:rPr>
        <w:t>采购需求：</w:t>
      </w:r>
    </w:p>
    <w:tbl>
      <w:tblPr>
        <w:tblStyle w:val="30"/>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2683"/>
        <w:gridCol w:w="1059"/>
        <w:gridCol w:w="1040"/>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97" w:type="dxa"/>
            <w:vAlign w:val="center"/>
          </w:tcPr>
          <w:p>
            <w:pPr>
              <w:widowControl/>
              <w:spacing w:line="420" w:lineRule="exact"/>
              <w:jc w:val="center"/>
              <w:rPr>
                <w:rFonts w:ascii="仿宋" w:hAnsi="仿宋" w:eastAsia="仿宋"/>
                <w:color w:val="auto"/>
                <w:sz w:val="28"/>
                <w:szCs w:val="28"/>
              </w:rPr>
            </w:pPr>
            <w:r>
              <w:rPr>
                <w:rFonts w:hint="eastAsia" w:ascii="仿宋" w:hAnsi="仿宋" w:eastAsia="仿宋" w:cs="仿宋"/>
                <w:color w:val="auto"/>
                <w:kern w:val="0"/>
                <w:sz w:val="28"/>
                <w:szCs w:val="28"/>
              </w:rPr>
              <w:t>项号</w:t>
            </w:r>
          </w:p>
        </w:tc>
        <w:tc>
          <w:tcPr>
            <w:tcW w:w="2683" w:type="dxa"/>
            <w:vAlign w:val="center"/>
          </w:tcPr>
          <w:p>
            <w:pPr>
              <w:widowControl/>
              <w:spacing w:line="420" w:lineRule="exact"/>
              <w:jc w:val="center"/>
              <w:rPr>
                <w:rFonts w:ascii="仿宋" w:hAnsi="仿宋" w:eastAsia="仿宋"/>
                <w:color w:val="auto"/>
                <w:sz w:val="28"/>
                <w:szCs w:val="28"/>
              </w:rPr>
            </w:pPr>
            <w:r>
              <w:rPr>
                <w:rFonts w:hint="eastAsia" w:ascii="仿宋" w:hAnsi="仿宋" w:eastAsia="仿宋" w:cs="仿宋"/>
                <w:color w:val="auto"/>
                <w:kern w:val="0"/>
                <w:sz w:val="28"/>
                <w:szCs w:val="28"/>
              </w:rPr>
              <w:t>货物名称</w:t>
            </w:r>
          </w:p>
        </w:tc>
        <w:tc>
          <w:tcPr>
            <w:tcW w:w="1059" w:type="dxa"/>
            <w:vAlign w:val="center"/>
          </w:tcPr>
          <w:p>
            <w:pPr>
              <w:widowControl/>
              <w:spacing w:line="420" w:lineRule="exact"/>
              <w:jc w:val="center"/>
              <w:textAlignment w:val="center"/>
              <w:rPr>
                <w:rFonts w:ascii="仿宋" w:hAnsi="仿宋" w:eastAsia="仿宋"/>
                <w:color w:val="auto"/>
                <w:sz w:val="28"/>
                <w:szCs w:val="28"/>
              </w:rPr>
            </w:pPr>
            <w:r>
              <w:rPr>
                <w:rFonts w:hint="eastAsia" w:ascii="仿宋" w:hAnsi="仿宋" w:eastAsia="仿宋" w:cs="仿宋"/>
                <w:color w:val="auto"/>
                <w:kern w:val="0"/>
                <w:sz w:val="28"/>
                <w:szCs w:val="28"/>
              </w:rPr>
              <w:t>单位</w:t>
            </w:r>
          </w:p>
        </w:tc>
        <w:tc>
          <w:tcPr>
            <w:tcW w:w="1040" w:type="dxa"/>
            <w:vAlign w:val="center"/>
          </w:tcPr>
          <w:p>
            <w:pPr>
              <w:widowControl/>
              <w:spacing w:line="420" w:lineRule="exact"/>
              <w:jc w:val="center"/>
              <w:textAlignment w:val="center"/>
              <w:rPr>
                <w:rFonts w:ascii="仿宋" w:hAnsi="仿宋" w:eastAsia="仿宋"/>
                <w:color w:val="auto"/>
                <w:sz w:val="28"/>
                <w:szCs w:val="28"/>
              </w:rPr>
            </w:pPr>
            <w:r>
              <w:rPr>
                <w:rFonts w:hint="eastAsia" w:ascii="仿宋" w:hAnsi="仿宋" w:eastAsia="仿宋" w:cs="仿宋"/>
                <w:color w:val="auto"/>
                <w:kern w:val="0"/>
                <w:sz w:val="28"/>
                <w:szCs w:val="28"/>
              </w:rPr>
              <w:t>数量</w:t>
            </w:r>
          </w:p>
        </w:tc>
        <w:tc>
          <w:tcPr>
            <w:tcW w:w="3121" w:type="dxa"/>
            <w:vAlign w:val="center"/>
          </w:tcPr>
          <w:p>
            <w:pPr>
              <w:widowControl/>
              <w:spacing w:line="420" w:lineRule="exact"/>
              <w:jc w:val="center"/>
              <w:rPr>
                <w:rFonts w:ascii="仿宋" w:hAnsi="仿宋" w:eastAsia="仿宋"/>
                <w:color w:val="auto"/>
                <w:sz w:val="28"/>
                <w:szCs w:val="28"/>
              </w:rPr>
            </w:pPr>
            <w:r>
              <w:rPr>
                <w:rFonts w:hint="eastAsia" w:ascii="仿宋" w:hAnsi="仿宋" w:eastAsia="仿宋" w:cs="仿宋"/>
                <w:color w:val="auto"/>
                <w:kern w:val="0"/>
                <w:sz w:val="28"/>
                <w:szCs w:val="28"/>
              </w:rPr>
              <w:t>简要规格描述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097" w:type="dxa"/>
            <w:vAlign w:val="center"/>
          </w:tcPr>
          <w:p>
            <w:pPr>
              <w:spacing w:line="420" w:lineRule="exact"/>
              <w:jc w:val="center"/>
              <w:textAlignment w:val="center"/>
              <w:rPr>
                <w:rFonts w:ascii="仿宋" w:hAnsi="仿宋" w:eastAsia="仿宋" w:cs="Arial"/>
                <w:bCs/>
                <w:color w:val="auto"/>
                <w:sz w:val="28"/>
                <w:szCs w:val="28"/>
              </w:rPr>
            </w:pPr>
            <w:r>
              <w:rPr>
                <w:rFonts w:hint="eastAsia" w:ascii="仿宋" w:hAnsi="仿宋" w:eastAsia="仿宋" w:cs="仿宋"/>
                <w:color w:val="auto"/>
                <w:sz w:val="28"/>
                <w:szCs w:val="28"/>
              </w:rPr>
              <w:t>1</w:t>
            </w:r>
          </w:p>
        </w:tc>
        <w:tc>
          <w:tcPr>
            <w:tcW w:w="2683" w:type="dxa"/>
            <w:vAlign w:val="center"/>
          </w:tcPr>
          <w:p>
            <w:pPr>
              <w:widowControl/>
              <w:spacing w:line="420" w:lineRule="exact"/>
              <w:jc w:val="center"/>
              <w:rPr>
                <w:rFonts w:ascii="仿宋" w:hAnsi="仿宋" w:eastAsia="仿宋"/>
                <w:color w:val="auto"/>
                <w:sz w:val="28"/>
                <w:szCs w:val="28"/>
              </w:rPr>
            </w:pPr>
            <w:r>
              <w:rPr>
                <w:rFonts w:hint="eastAsia" w:ascii="仿宋" w:hAnsi="仿宋" w:eastAsia="仿宋" w:cs="仿宋"/>
                <w:color w:val="auto"/>
                <w:sz w:val="28"/>
                <w:szCs w:val="28"/>
                <w:shd w:val="clear" w:color="auto" w:fill="FFFFFF"/>
              </w:rPr>
              <w:t>三连体组合公寓床A型</w:t>
            </w:r>
          </w:p>
        </w:tc>
        <w:tc>
          <w:tcPr>
            <w:tcW w:w="1059" w:type="dxa"/>
            <w:vAlign w:val="center"/>
          </w:tcPr>
          <w:p>
            <w:pPr>
              <w:widowControl/>
              <w:spacing w:line="420" w:lineRule="exact"/>
              <w:jc w:val="center"/>
              <w:rPr>
                <w:rFonts w:ascii="仿宋" w:hAnsi="仿宋" w:eastAsia="仿宋"/>
                <w:color w:val="auto"/>
                <w:sz w:val="28"/>
                <w:szCs w:val="28"/>
              </w:rPr>
            </w:pPr>
            <w:r>
              <w:rPr>
                <w:rFonts w:hint="eastAsia" w:ascii="仿宋" w:hAnsi="仿宋" w:eastAsia="仿宋" w:cs="仿宋"/>
                <w:color w:val="auto"/>
                <w:sz w:val="28"/>
                <w:szCs w:val="28"/>
                <w:shd w:val="clear" w:color="auto" w:fill="FFFFFF"/>
              </w:rPr>
              <w:t>套</w:t>
            </w:r>
          </w:p>
        </w:tc>
        <w:tc>
          <w:tcPr>
            <w:tcW w:w="1040" w:type="dxa"/>
            <w:vAlign w:val="center"/>
          </w:tcPr>
          <w:p>
            <w:pPr>
              <w:widowControl/>
              <w:spacing w:line="420" w:lineRule="exact"/>
              <w:jc w:val="center"/>
              <w:rPr>
                <w:rFonts w:ascii="仿宋" w:hAnsi="仿宋" w:eastAsia="仿宋"/>
                <w:color w:val="auto"/>
                <w:sz w:val="28"/>
                <w:szCs w:val="28"/>
              </w:rPr>
            </w:pPr>
            <w:r>
              <w:rPr>
                <w:rFonts w:hint="eastAsia" w:ascii="仿宋" w:hAnsi="仿宋" w:eastAsia="仿宋" w:cs="仿宋"/>
                <w:color w:val="auto"/>
                <w:sz w:val="28"/>
                <w:szCs w:val="28"/>
                <w:shd w:val="clear" w:color="auto" w:fill="FFFFFF"/>
              </w:rPr>
              <w:t>746</w:t>
            </w:r>
          </w:p>
        </w:tc>
        <w:tc>
          <w:tcPr>
            <w:tcW w:w="3121" w:type="dxa"/>
            <w:vAlign w:val="center"/>
          </w:tcPr>
          <w:p>
            <w:pPr>
              <w:widowControl/>
              <w:spacing w:line="420" w:lineRule="exact"/>
              <w:jc w:val="center"/>
              <w:rPr>
                <w:rFonts w:ascii="仿宋" w:hAnsi="仿宋" w:eastAsia="仿宋"/>
                <w:color w:val="auto"/>
                <w:sz w:val="28"/>
                <w:szCs w:val="28"/>
              </w:rPr>
            </w:pPr>
            <w:r>
              <w:rPr>
                <w:rFonts w:hint="eastAsia" w:ascii="仿宋" w:hAnsi="仿宋" w:eastAsia="仿宋" w:cs="仿宋"/>
                <w:color w:val="auto"/>
                <w:sz w:val="28"/>
                <w:szCs w:val="28"/>
              </w:rPr>
              <w:t>公寓床，详见招标文件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097" w:type="dxa"/>
            <w:vAlign w:val="center"/>
          </w:tcPr>
          <w:p>
            <w:pPr>
              <w:spacing w:line="420" w:lineRule="exact"/>
              <w:jc w:val="center"/>
              <w:textAlignment w:val="center"/>
              <w:rPr>
                <w:rFonts w:ascii="仿宋" w:hAnsi="仿宋" w:eastAsia="仿宋" w:cs="Arial"/>
                <w:bCs/>
                <w:color w:val="auto"/>
                <w:sz w:val="28"/>
                <w:szCs w:val="28"/>
              </w:rPr>
            </w:pPr>
            <w:r>
              <w:rPr>
                <w:rFonts w:hint="eastAsia" w:ascii="仿宋" w:hAnsi="仿宋" w:eastAsia="仿宋" w:cs="仿宋"/>
                <w:color w:val="auto"/>
                <w:sz w:val="28"/>
                <w:szCs w:val="28"/>
              </w:rPr>
              <w:t>2</w:t>
            </w:r>
          </w:p>
        </w:tc>
        <w:tc>
          <w:tcPr>
            <w:tcW w:w="2683" w:type="dxa"/>
            <w:vAlign w:val="center"/>
          </w:tcPr>
          <w:p>
            <w:pPr>
              <w:widowControl/>
              <w:spacing w:line="420" w:lineRule="exact"/>
              <w:jc w:val="center"/>
              <w:rPr>
                <w:rFonts w:ascii="仿宋" w:hAnsi="仿宋" w:eastAsia="仿宋"/>
                <w:color w:val="auto"/>
                <w:sz w:val="28"/>
                <w:szCs w:val="28"/>
              </w:rPr>
            </w:pPr>
            <w:r>
              <w:rPr>
                <w:rFonts w:hint="eastAsia" w:ascii="仿宋" w:hAnsi="仿宋" w:eastAsia="仿宋" w:cs="仿宋"/>
                <w:color w:val="auto"/>
                <w:sz w:val="28"/>
                <w:szCs w:val="28"/>
                <w:shd w:val="clear" w:color="auto" w:fill="FFFFFF"/>
              </w:rPr>
              <w:t>三连体组合公寓床B型</w:t>
            </w:r>
          </w:p>
        </w:tc>
        <w:tc>
          <w:tcPr>
            <w:tcW w:w="1059" w:type="dxa"/>
            <w:vAlign w:val="center"/>
          </w:tcPr>
          <w:p>
            <w:pPr>
              <w:widowControl/>
              <w:spacing w:line="420" w:lineRule="exact"/>
              <w:jc w:val="center"/>
              <w:rPr>
                <w:rFonts w:ascii="仿宋" w:hAnsi="仿宋" w:eastAsia="仿宋"/>
                <w:color w:val="auto"/>
                <w:sz w:val="28"/>
                <w:szCs w:val="28"/>
              </w:rPr>
            </w:pPr>
            <w:r>
              <w:rPr>
                <w:rFonts w:hint="eastAsia" w:ascii="仿宋" w:hAnsi="仿宋" w:eastAsia="仿宋" w:cs="仿宋"/>
                <w:color w:val="auto"/>
                <w:sz w:val="28"/>
                <w:szCs w:val="28"/>
                <w:shd w:val="clear" w:color="auto" w:fill="FFFFFF"/>
              </w:rPr>
              <w:t>套</w:t>
            </w:r>
          </w:p>
        </w:tc>
        <w:tc>
          <w:tcPr>
            <w:tcW w:w="1040" w:type="dxa"/>
            <w:vAlign w:val="center"/>
          </w:tcPr>
          <w:p>
            <w:pPr>
              <w:widowControl/>
              <w:spacing w:line="420" w:lineRule="exact"/>
              <w:jc w:val="center"/>
              <w:rPr>
                <w:rFonts w:ascii="仿宋" w:hAnsi="仿宋" w:eastAsia="仿宋"/>
                <w:color w:val="auto"/>
                <w:sz w:val="28"/>
                <w:szCs w:val="28"/>
              </w:rPr>
            </w:pPr>
            <w:r>
              <w:rPr>
                <w:rFonts w:hint="eastAsia" w:ascii="仿宋" w:hAnsi="仿宋" w:eastAsia="仿宋" w:cs="仿宋"/>
                <w:color w:val="auto"/>
                <w:sz w:val="28"/>
                <w:szCs w:val="28"/>
                <w:shd w:val="clear" w:color="auto" w:fill="FFFFFF"/>
              </w:rPr>
              <w:t>30</w:t>
            </w:r>
          </w:p>
        </w:tc>
        <w:tc>
          <w:tcPr>
            <w:tcW w:w="3121" w:type="dxa"/>
            <w:vAlign w:val="center"/>
          </w:tcPr>
          <w:p>
            <w:pPr>
              <w:widowControl/>
              <w:spacing w:line="420" w:lineRule="exact"/>
              <w:jc w:val="center"/>
              <w:rPr>
                <w:rFonts w:ascii="仿宋" w:hAnsi="仿宋" w:eastAsia="仿宋"/>
                <w:color w:val="auto"/>
                <w:sz w:val="28"/>
                <w:szCs w:val="28"/>
              </w:rPr>
            </w:pPr>
            <w:r>
              <w:rPr>
                <w:rFonts w:hint="eastAsia" w:ascii="仿宋" w:hAnsi="仿宋" w:eastAsia="仿宋" w:cs="仿宋"/>
                <w:color w:val="auto"/>
                <w:sz w:val="28"/>
                <w:szCs w:val="28"/>
              </w:rPr>
              <w:t>公寓床，详见招标文件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097" w:type="dxa"/>
            <w:vAlign w:val="center"/>
          </w:tcPr>
          <w:p>
            <w:pPr>
              <w:spacing w:line="420" w:lineRule="exact"/>
              <w:jc w:val="center"/>
              <w:textAlignment w:val="center"/>
              <w:rPr>
                <w:rFonts w:ascii="仿宋" w:hAnsi="仿宋" w:eastAsia="仿宋" w:cs="Arial"/>
                <w:color w:val="auto"/>
                <w:sz w:val="28"/>
                <w:szCs w:val="28"/>
              </w:rPr>
            </w:pPr>
            <w:r>
              <w:rPr>
                <w:rFonts w:hint="eastAsia" w:ascii="仿宋" w:hAnsi="仿宋" w:eastAsia="仿宋" w:cs="仿宋"/>
                <w:color w:val="auto"/>
                <w:sz w:val="28"/>
                <w:szCs w:val="28"/>
              </w:rPr>
              <w:t>3</w:t>
            </w:r>
          </w:p>
        </w:tc>
        <w:tc>
          <w:tcPr>
            <w:tcW w:w="2683" w:type="dxa"/>
            <w:vAlign w:val="center"/>
          </w:tcPr>
          <w:p>
            <w:pPr>
              <w:widowControl/>
              <w:spacing w:line="420" w:lineRule="exact"/>
              <w:jc w:val="center"/>
              <w:rPr>
                <w:rFonts w:ascii="仿宋" w:hAnsi="仿宋" w:eastAsia="仿宋" w:cs="宋体"/>
                <w:color w:val="auto"/>
                <w:kern w:val="0"/>
                <w:sz w:val="28"/>
                <w:szCs w:val="28"/>
              </w:rPr>
            </w:pPr>
            <w:r>
              <w:rPr>
                <w:rFonts w:hint="eastAsia" w:ascii="仿宋" w:hAnsi="仿宋" w:eastAsia="仿宋" w:cs="仿宋"/>
                <w:color w:val="auto"/>
                <w:sz w:val="28"/>
                <w:szCs w:val="28"/>
                <w:shd w:val="clear" w:color="auto" w:fill="FFFFFF"/>
              </w:rPr>
              <w:t>无障碍家具</w:t>
            </w:r>
          </w:p>
        </w:tc>
        <w:tc>
          <w:tcPr>
            <w:tcW w:w="1059" w:type="dxa"/>
            <w:vAlign w:val="center"/>
          </w:tcPr>
          <w:p>
            <w:pPr>
              <w:spacing w:line="420" w:lineRule="exact"/>
              <w:jc w:val="center"/>
              <w:rPr>
                <w:rFonts w:ascii="仿宋" w:hAnsi="仿宋" w:eastAsia="仿宋" w:cs="Arial"/>
                <w:color w:val="auto"/>
                <w:sz w:val="28"/>
                <w:szCs w:val="28"/>
              </w:rPr>
            </w:pPr>
            <w:r>
              <w:rPr>
                <w:rFonts w:hint="eastAsia" w:ascii="仿宋" w:hAnsi="仿宋" w:eastAsia="仿宋" w:cs="仿宋"/>
                <w:color w:val="auto"/>
                <w:sz w:val="28"/>
                <w:szCs w:val="28"/>
                <w:shd w:val="clear" w:color="auto" w:fill="FFFFFF"/>
              </w:rPr>
              <w:t>套</w:t>
            </w:r>
          </w:p>
        </w:tc>
        <w:tc>
          <w:tcPr>
            <w:tcW w:w="1040" w:type="dxa"/>
            <w:vAlign w:val="center"/>
          </w:tcPr>
          <w:p>
            <w:pPr>
              <w:spacing w:line="420" w:lineRule="exact"/>
              <w:jc w:val="center"/>
              <w:rPr>
                <w:rFonts w:ascii="仿宋" w:hAnsi="仿宋" w:eastAsia="仿宋" w:cs="Arial"/>
                <w:color w:val="auto"/>
                <w:sz w:val="28"/>
                <w:szCs w:val="28"/>
              </w:rPr>
            </w:pPr>
            <w:r>
              <w:rPr>
                <w:rFonts w:hint="eastAsia" w:ascii="仿宋" w:hAnsi="仿宋" w:eastAsia="仿宋" w:cs="仿宋"/>
                <w:color w:val="auto"/>
                <w:sz w:val="28"/>
                <w:szCs w:val="28"/>
              </w:rPr>
              <w:t>66</w:t>
            </w:r>
          </w:p>
        </w:tc>
        <w:tc>
          <w:tcPr>
            <w:tcW w:w="3121" w:type="dxa"/>
            <w:vAlign w:val="center"/>
          </w:tcPr>
          <w:p>
            <w:pPr>
              <w:widowControl/>
              <w:spacing w:line="420" w:lineRule="exact"/>
              <w:jc w:val="center"/>
              <w:rPr>
                <w:rFonts w:ascii="仿宋" w:hAnsi="仿宋" w:eastAsia="仿宋" w:cs="Arial"/>
                <w:color w:val="auto"/>
                <w:sz w:val="28"/>
                <w:szCs w:val="28"/>
              </w:rPr>
            </w:pPr>
            <w:r>
              <w:rPr>
                <w:rFonts w:hint="eastAsia" w:ascii="仿宋" w:hAnsi="仿宋" w:eastAsia="仿宋" w:cs="仿宋"/>
                <w:color w:val="auto"/>
                <w:sz w:val="28"/>
                <w:szCs w:val="28"/>
              </w:rPr>
              <w:t>公寓床，详见招标文件</w:t>
            </w:r>
          </w:p>
        </w:tc>
      </w:tr>
    </w:tbl>
    <w:p>
      <w:pPr>
        <w:spacing w:line="380" w:lineRule="exact"/>
        <w:rPr>
          <w:rFonts w:ascii="仿宋" w:hAnsi="仿宋" w:eastAsia="仿宋"/>
          <w:color w:val="auto"/>
          <w:sz w:val="28"/>
          <w:szCs w:val="28"/>
        </w:rPr>
      </w:pPr>
    </w:p>
    <w:p>
      <w:pPr>
        <w:spacing w:line="380" w:lineRule="exact"/>
        <w:ind w:firstLine="560" w:firstLineChars="200"/>
        <w:rPr>
          <w:rFonts w:ascii="仿宋" w:hAnsi="仿宋" w:eastAsia="仿宋"/>
          <w:color w:val="auto"/>
          <w:sz w:val="28"/>
          <w:szCs w:val="28"/>
          <w:u w:val="single"/>
        </w:rPr>
      </w:pPr>
      <w:r>
        <w:rPr>
          <w:rFonts w:hint="eastAsia" w:ascii="仿宋" w:hAnsi="仿宋" w:eastAsia="仿宋"/>
          <w:color w:val="auto"/>
          <w:sz w:val="28"/>
          <w:szCs w:val="28"/>
        </w:rPr>
        <w:t>合同履行期限：自合同签订之日起至中标人承诺免费保修期满。</w:t>
      </w:r>
    </w:p>
    <w:p>
      <w:pPr>
        <w:spacing w:line="380" w:lineRule="exact"/>
        <w:ind w:firstLine="560" w:firstLineChars="200"/>
        <w:rPr>
          <w:rFonts w:ascii="仿宋" w:hAnsi="仿宋" w:eastAsia="仿宋"/>
          <w:color w:val="auto"/>
          <w:sz w:val="28"/>
          <w:szCs w:val="28"/>
        </w:rPr>
      </w:pPr>
      <w:r>
        <w:rPr>
          <w:rFonts w:hint="eastAsia" w:ascii="仿宋" w:hAnsi="仿宋" w:eastAsia="仿宋"/>
          <w:color w:val="auto"/>
          <w:sz w:val="28"/>
          <w:szCs w:val="28"/>
        </w:rPr>
        <w:t>本项目不接受联合体投标。</w:t>
      </w:r>
    </w:p>
    <w:p>
      <w:pPr>
        <w:pStyle w:val="4"/>
        <w:spacing w:line="380" w:lineRule="exact"/>
        <w:rPr>
          <w:rFonts w:ascii="黑体" w:hAnsi="黑体" w:cs="宋体"/>
          <w:b w:val="0"/>
          <w:color w:val="auto"/>
          <w:sz w:val="28"/>
          <w:szCs w:val="28"/>
        </w:rPr>
      </w:pPr>
      <w:bookmarkStart w:id="9" w:name="_Toc28359003"/>
      <w:bookmarkStart w:id="10" w:name="_Toc35393791"/>
      <w:bookmarkStart w:id="11" w:name="_Toc969"/>
      <w:bookmarkStart w:id="12" w:name="_Toc28359080"/>
      <w:bookmarkStart w:id="13" w:name="_Toc35393622"/>
      <w:r>
        <w:rPr>
          <w:rFonts w:hint="eastAsia" w:ascii="黑体" w:hAnsi="黑体" w:cs="宋体"/>
          <w:b w:val="0"/>
          <w:color w:val="auto"/>
          <w:sz w:val="28"/>
          <w:szCs w:val="28"/>
        </w:rPr>
        <w:t>二、申请人的资格要求：</w:t>
      </w:r>
      <w:bookmarkEnd w:id="9"/>
      <w:bookmarkEnd w:id="10"/>
      <w:bookmarkEnd w:id="11"/>
      <w:bookmarkEnd w:id="12"/>
      <w:bookmarkEnd w:id="13"/>
    </w:p>
    <w:p>
      <w:pPr>
        <w:spacing w:line="380" w:lineRule="exact"/>
        <w:ind w:firstLine="560" w:firstLineChars="200"/>
        <w:rPr>
          <w:rFonts w:ascii="仿宋" w:hAnsi="仿宋" w:eastAsia="仿宋"/>
          <w:color w:val="auto"/>
          <w:sz w:val="28"/>
          <w:szCs w:val="28"/>
        </w:rPr>
      </w:pPr>
      <w:r>
        <w:rPr>
          <w:rFonts w:hint="eastAsia" w:ascii="仿宋" w:hAnsi="仿宋" w:eastAsia="仿宋"/>
          <w:color w:val="auto"/>
          <w:sz w:val="28"/>
          <w:szCs w:val="28"/>
        </w:rPr>
        <w:t>1.满足《中华人民共和国政府采购法》第二十二条规定；</w:t>
      </w:r>
    </w:p>
    <w:p>
      <w:pPr>
        <w:spacing w:line="380" w:lineRule="exact"/>
        <w:ind w:firstLine="560" w:firstLineChars="200"/>
        <w:rPr>
          <w:rFonts w:ascii="仿宋" w:hAnsi="仿宋" w:eastAsia="仿宋"/>
          <w:color w:val="auto"/>
          <w:sz w:val="28"/>
          <w:szCs w:val="28"/>
        </w:rPr>
      </w:pPr>
      <w:r>
        <w:rPr>
          <w:rFonts w:hint="eastAsia" w:ascii="仿宋" w:hAnsi="仿宋" w:eastAsia="仿宋"/>
          <w:color w:val="auto"/>
          <w:sz w:val="28"/>
          <w:szCs w:val="28"/>
        </w:rPr>
        <w:t>2.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spacing w:line="380" w:lineRule="exact"/>
        <w:ind w:firstLine="560" w:firstLineChars="200"/>
        <w:rPr>
          <w:rFonts w:ascii="仿宋" w:hAnsi="仿宋" w:eastAsia="仿宋"/>
          <w:color w:val="auto"/>
          <w:sz w:val="28"/>
          <w:szCs w:val="28"/>
        </w:rPr>
      </w:pPr>
      <w:bookmarkStart w:id="14" w:name="_Toc28359004"/>
      <w:bookmarkStart w:id="15" w:name="_Toc28359081"/>
      <w:r>
        <w:rPr>
          <w:rFonts w:hint="eastAsia" w:ascii="仿宋" w:hAnsi="仿宋" w:eastAsia="仿宋"/>
          <w:color w:val="auto"/>
          <w:sz w:val="28"/>
          <w:szCs w:val="28"/>
        </w:rPr>
        <w:t>3.落实政府采购政策需满足的资格要求：</w:t>
      </w:r>
    </w:p>
    <w:p>
      <w:pPr>
        <w:spacing w:line="380" w:lineRule="exact"/>
        <w:ind w:firstLine="560" w:firstLineChars="200"/>
        <w:rPr>
          <w:rFonts w:ascii="仿宋" w:hAnsi="仿宋" w:eastAsia="仿宋"/>
          <w:color w:val="auto"/>
          <w:sz w:val="28"/>
          <w:szCs w:val="28"/>
        </w:rPr>
      </w:pPr>
      <w:r>
        <w:rPr>
          <w:rFonts w:hint="eastAsia" w:ascii="宋体" w:hAnsi="宋体" w:cs="宋体"/>
          <w:color w:val="auto"/>
          <w:sz w:val="28"/>
          <w:szCs w:val="28"/>
        </w:rPr>
        <w:t>①</w:t>
      </w:r>
      <w:r>
        <w:rPr>
          <w:rFonts w:hint="eastAsia" w:ascii="仿宋" w:hAnsi="仿宋" w:eastAsia="仿宋"/>
          <w:color w:val="auto"/>
          <w:sz w:val="28"/>
          <w:szCs w:val="28"/>
        </w:rPr>
        <w:t>《政府采购促进中小企业发展暂行办法》（财库[2011]181号）。</w:t>
      </w:r>
    </w:p>
    <w:p>
      <w:pPr>
        <w:spacing w:line="380" w:lineRule="exact"/>
        <w:ind w:firstLine="560" w:firstLineChars="200"/>
        <w:rPr>
          <w:rFonts w:ascii="仿宋" w:hAnsi="仿宋" w:eastAsia="仿宋"/>
          <w:color w:val="auto"/>
          <w:sz w:val="28"/>
          <w:szCs w:val="28"/>
        </w:rPr>
      </w:pPr>
      <w:r>
        <w:rPr>
          <w:rFonts w:hint="eastAsia" w:ascii="宋体" w:hAnsi="宋体" w:cs="宋体"/>
          <w:color w:val="auto"/>
          <w:sz w:val="28"/>
          <w:szCs w:val="28"/>
        </w:rPr>
        <w:t>②</w:t>
      </w:r>
      <w:r>
        <w:rPr>
          <w:rFonts w:hint="eastAsia" w:ascii="仿宋" w:hAnsi="仿宋" w:eastAsia="仿宋"/>
          <w:color w:val="auto"/>
          <w:sz w:val="28"/>
          <w:szCs w:val="28"/>
        </w:rPr>
        <w:t xml:space="preserve">《关于政府采购支持监狱企业发展有关问题的通知》（财库[2014]68号）。 </w:t>
      </w:r>
    </w:p>
    <w:p>
      <w:pPr>
        <w:spacing w:line="380" w:lineRule="exact"/>
        <w:ind w:firstLine="560" w:firstLineChars="200"/>
        <w:rPr>
          <w:rFonts w:ascii="仿宋" w:hAnsi="仿宋" w:eastAsia="仿宋"/>
          <w:color w:val="auto"/>
          <w:sz w:val="28"/>
          <w:szCs w:val="28"/>
        </w:rPr>
      </w:pPr>
      <w:r>
        <w:rPr>
          <w:rFonts w:hint="eastAsia" w:ascii="宋体" w:hAnsi="宋体" w:cs="宋体"/>
          <w:color w:val="auto"/>
          <w:sz w:val="28"/>
          <w:szCs w:val="28"/>
        </w:rPr>
        <w:t>③</w:t>
      </w:r>
      <w:r>
        <w:rPr>
          <w:rFonts w:hint="eastAsia" w:ascii="仿宋" w:hAnsi="仿宋" w:eastAsia="仿宋"/>
          <w:color w:val="auto"/>
          <w:sz w:val="28"/>
          <w:szCs w:val="28"/>
        </w:rPr>
        <w:t>《关于促进残疾人就业政府采购政策的通知》（财库[2017]141号）。</w:t>
      </w:r>
    </w:p>
    <w:p>
      <w:pPr>
        <w:spacing w:line="380" w:lineRule="exact"/>
        <w:ind w:firstLine="560" w:firstLineChars="200"/>
        <w:rPr>
          <w:rFonts w:ascii="仿宋" w:hAnsi="仿宋" w:eastAsia="仿宋"/>
          <w:color w:val="auto"/>
          <w:sz w:val="28"/>
          <w:szCs w:val="28"/>
        </w:rPr>
      </w:pPr>
      <w:r>
        <w:rPr>
          <w:rFonts w:hint="eastAsia" w:ascii="宋体" w:hAnsi="宋体" w:cs="宋体"/>
          <w:color w:val="auto"/>
          <w:sz w:val="28"/>
          <w:szCs w:val="28"/>
        </w:rPr>
        <w:t>④</w:t>
      </w:r>
      <w:r>
        <w:rPr>
          <w:rFonts w:hint="eastAsia" w:ascii="仿宋" w:hAnsi="仿宋" w:eastAsia="仿宋"/>
          <w:color w:val="auto"/>
          <w:sz w:val="28"/>
          <w:szCs w:val="28"/>
        </w:rPr>
        <w:t>《广西壮族自治区人民政府办公厅关于印发招标采购促进广西工业产品产销对接实施细则的通知》(桂政办发〔2015〕78号) 。</w:t>
      </w:r>
    </w:p>
    <w:p>
      <w:pPr>
        <w:spacing w:line="380" w:lineRule="exact"/>
        <w:ind w:firstLine="560" w:firstLineChars="200"/>
        <w:rPr>
          <w:rFonts w:ascii="仿宋" w:hAnsi="仿宋" w:eastAsia="仿宋"/>
          <w:color w:val="auto"/>
          <w:sz w:val="28"/>
          <w:szCs w:val="28"/>
        </w:rPr>
      </w:pPr>
      <w:r>
        <w:rPr>
          <w:rFonts w:hint="eastAsia" w:ascii="宋体" w:hAnsi="宋体" w:cs="宋体"/>
          <w:color w:val="auto"/>
          <w:sz w:val="28"/>
          <w:szCs w:val="28"/>
        </w:rPr>
        <w:t>⑤</w:t>
      </w:r>
      <w:r>
        <w:rPr>
          <w:rFonts w:hint="eastAsia" w:ascii="仿宋" w:hAnsi="仿宋" w:eastAsia="仿宋"/>
          <w:color w:val="auto"/>
          <w:sz w:val="28"/>
          <w:szCs w:val="28"/>
        </w:rPr>
        <w:t>《节能产品政府采购品目清单》。</w:t>
      </w:r>
    </w:p>
    <w:p>
      <w:pPr>
        <w:spacing w:line="380" w:lineRule="exact"/>
        <w:ind w:firstLine="560" w:firstLineChars="200"/>
        <w:rPr>
          <w:color w:val="auto"/>
        </w:rPr>
      </w:pPr>
      <w:r>
        <w:rPr>
          <w:rFonts w:hint="eastAsia" w:ascii="宋体" w:hAnsi="宋体" w:cs="宋体"/>
          <w:color w:val="auto"/>
          <w:sz w:val="28"/>
          <w:szCs w:val="28"/>
        </w:rPr>
        <w:t>⑥</w:t>
      </w:r>
      <w:r>
        <w:rPr>
          <w:rFonts w:hint="eastAsia" w:ascii="仿宋" w:hAnsi="仿宋" w:eastAsia="仿宋"/>
          <w:color w:val="auto"/>
          <w:sz w:val="28"/>
          <w:szCs w:val="28"/>
        </w:rPr>
        <w:t>《关于调整优化节能产品、环境标志产品政府采购执行机制的通知》（财库〔2019〕9号）。</w:t>
      </w:r>
    </w:p>
    <w:p>
      <w:pPr>
        <w:spacing w:line="380" w:lineRule="exact"/>
        <w:ind w:firstLine="560" w:firstLineChars="200"/>
        <w:rPr>
          <w:color w:val="auto"/>
        </w:rPr>
      </w:pPr>
      <w:r>
        <w:rPr>
          <w:rFonts w:hint="eastAsia" w:ascii="宋体" w:hAnsi="宋体" w:cs="宋体"/>
          <w:bCs/>
          <w:color w:val="auto"/>
          <w:sz w:val="28"/>
          <w:szCs w:val="28"/>
        </w:rPr>
        <w:t>⑦</w:t>
      </w:r>
      <w:r>
        <w:rPr>
          <w:rFonts w:hint="eastAsia" w:ascii="宋体" w:hAnsi="宋体" w:cs="宋体"/>
          <w:b/>
          <w:color w:val="auto"/>
          <w:sz w:val="28"/>
          <w:szCs w:val="28"/>
        </w:rPr>
        <w:t>本项目非专门面向中小微企业采购。</w:t>
      </w:r>
    </w:p>
    <w:p>
      <w:pPr>
        <w:spacing w:line="380" w:lineRule="exact"/>
        <w:ind w:firstLine="560" w:firstLineChars="200"/>
        <w:rPr>
          <w:rFonts w:ascii="仿宋" w:hAnsi="仿宋" w:eastAsia="仿宋"/>
          <w:i/>
          <w:iCs/>
          <w:color w:val="auto"/>
          <w:sz w:val="28"/>
          <w:szCs w:val="28"/>
          <w:u w:val="single"/>
        </w:rPr>
      </w:pPr>
      <w:r>
        <w:rPr>
          <w:rFonts w:hint="eastAsia" w:ascii="仿宋" w:hAnsi="仿宋" w:eastAsia="仿宋"/>
          <w:color w:val="auto"/>
          <w:sz w:val="28"/>
          <w:szCs w:val="28"/>
        </w:rPr>
        <w:t>4.本项目的特定资格要求：无</w:t>
      </w:r>
    </w:p>
    <w:p>
      <w:pPr>
        <w:pStyle w:val="4"/>
        <w:spacing w:line="380" w:lineRule="exact"/>
        <w:rPr>
          <w:rFonts w:ascii="黑体" w:hAnsi="黑体" w:cs="宋体"/>
          <w:b w:val="0"/>
          <w:color w:val="auto"/>
          <w:sz w:val="28"/>
          <w:szCs w:val="28"/>
        </w:rPr>
      </w:pPr>
      <w:bookmarkStart w:id="16" w:name="_Toc35393623"/>
      <w:bookmarkStart w:id="17" w:name="_Toc22794"/>
      <w:bookmarkStart w:id="18" w:name="_Toc35393792"/>
      <w:r>
        <w:rPr>
          <w:rFonts w:hint="eastAsia" w:ascii="黑体" w:hAnsi="黑体" w:cs="宋体"/>
          <w:b w:val="0"/>
          <w:color w:val="auto"/>
          <w:sz w:val="28"/>
          <w:szCs w:val="28"/>
        </w:rPr>
        <w:t>三、获取招标文件</w:t>
      </w:r>
      <w:bookmarkEnd w:id="14"/>
      <w:bookmarkEnd w:id="15"/>
      <w:bookmarkEnd w:id="16"/>
      <w:bookmarkEnd w:id="17"/>
      <w:bookmarkEnd w:id="18"/>
    </w:p>
    <w:p>
      <w:pPr>
        <w:spacing w:line="380" w:lineRule="exact"/>
        <w:ind w:firstLine="540"/>
        <w:rPr>
          <w:color w:val="auto"/>
        </w:rPr>
      </w:pPr>
      <w:r>
        <w:rPr>
          <w:rFonts w:hint="eastAsia" w:ascii="仿宋" w:hAnsi="仿宋" w:eastAsia="仿宋" w:cs="宋体"/>
          <w:color w:val="auto"/>
          <w:sz w:val="28"/>
          <w:szCs w:val="28"/>
        </w:rPr>
        <w:t>1.招标文件获取时间：2020年</w:t>
      </w:r>
      <w:r>
        <w:rPr>
          <w:rFonts w:hint="eastAsia" w:ascii="仿宋" w:hAnsi="仿宋" w:eastAsia="仿宋" w:cs="宋体"/>
          <w:color w:val="auto"/>
          <w:sz w:val="28"/>
          <w:szCs w:val="28"/>
          <w:lang w:val="en-US" w:eastAsia="zh-CN"/>
        </w:rPr>
        <w:t>7</w:t>
      </w:r>
      <w:r>
        <w:rPr>
          <w:rFonts w:hint="eastAsia" w:ascii="仿宋" w:hAnsi="仿宋" w:eastAsia="仿宋" w:cs="宋体"/>
          <w:color w:val="auto"/>
          <w:sz w:val="28"/>
          <w:szCs w:val="28"/>
        </w:rPr>
        <w:t>月</w:t>
      </w:r>
      <w:r>
        <w:rPr>
          <w:rFonts w:hint="eastAsia" w:ascii="仿宋" w:hAnsi="仿宋" w:eastAsia="仿宋" w:cs="宋体"/>
          <w:color w:val="auto"/>
          <w:sz w:val="28"/>
          <w:szCs w:val="28"/>
          <w:lang w:val="en-US" w:eastAsia="zh-CN"/>
        </w:rPr>
        <w:t>4</w:t>
      </w:r>
      <w:r>
        <w:rPr>
          <w:rFonts w:hint="eastAsia" w:ascii="仿宋" w:hAnsi="仿宋" w:eastAsia="仿宋" w:cs="宋体"/>
          <w:color w:val="auto"/>
          <w:sz w:val="28"/>
          <w:szCs w:val="28"/>
        </w:rPr>
        <w:t>日至2020年</w:t>
      </w:r>
      <w:r>
        <w:rPr>
          <w:rFonts w:hint="eastAsia" w:ascii="仿宋" w:hAnsi="仿宋" w:eastAsia="仿宋" w:cs="宋体"/>
          <w:color w:val="auto"/>
          <w:sz w:val="28"/>
          <w:szCs w:val="28"/>
          <w:lang w:val="en-US" w:eastAsia="zh-CN"/>
        </w:rPr>
        <w:t>7</w:t>
      </w:r>
      <w:r>
        <w:rPr>
          <w:rFonts w:hint="eastAsia" w:ascii="仿宋" w:hAnsi="仿宋" w:eastAsia="仿宋" w:cs="宋体"/>
          <w:color w:val="auto"/>
          <w:sz w:val="28"/>
          <w:szCs w:val="28"/>
        </w:rPr>
        <w:t>月</w:t>
      </w:r>
      <w:r>
        <w:rPr>
          <w:rFonts w:hint="eastAsia" w:ascii="仿宋" w:hAnsi="仿宋" w:eastAsia="仿宋" w:cs="宋体"/>
          <w:color w:val="auto"/>
          <w:sz w:val="28"/>
          <w:szCs w:val="28"/>
          <w:lang w:val="en-US" w:eastAsia="zh-CN"/>
        </w:rPr>
        <w:t>24</w:t>
      </w:r>
      <w:r>
        <w:rPr>
          <w:rFonts w:hint="eastAsia" w:ascii="仿宋" w:hAnsi="仿宋" w:eastAsia="仿宋" w:cs="宋体"/>
          <w:color w:val="auto"/>
          <w:sz w:val="28"/>
          <w:szCs w:val="28"/>
        </w:rPr>
        <w:t>日。</w:t>
      </w:r>
    </w:p>
    <w:p>
      <w:pPr>
        <w:spacing w:line="380" w:lineRule="exact"/>
        <w:ind w:firstLine="540"/>
        <w:rPr>
          <w:rFonts w:ascii="仿宋" w:hAnsi="仿宋" w:eastAsia="仿宋" w:cs="宋体"/>
          <w:color w:val="auto"/>
          <w:sz w:val="28"/>
          <w:szCs w:val="28"/>
        </w:rPr>
      </w:pPr>
      <w:r>
        <w:rPr>
          <w:rFonts w:hint="eastAsia" w:ascii="仿宋" w:hAnsi="仿宋" w:eastAsia="仿宋" w:cs="宋体"/>
          <w:color w:val="auto"/>
          <w:sz w:val="28"/>
          <w:szCs w:val="28"/>
        </w:rPr>
        <w:t>2.地点及方式：潜在供应商请自行选择以下网站，在本公告附件处下载招标文件电子版。</w:t>
      </w:r>
    </w:p>
    <w:p>
      <w:pPr>
        <w:spacing w:line="380" w:lineRule="exact"/>
        <w:ind w:firstLine="560" w:firstLineChars="200"/>
        <w:rPr>
          <w:rFonts w:ascii="仿宋" w:hAnsi="仿宋" w:eastAsia="仿宋" w:cs="宋体"/>
          <w:color w:val="auto"/>
          <w:sz w:val="28"/>
          <w:szCs w:val="28"/>
        </w:rPr>
      </w:pPr>
      <w:r>
        <w:rPr>
          <w:rFonts w:hint="eastAsia" w:ascii="仿宋" w:hAnsi="仿宋" w:eastAsia="仿宋" w:cs="宋体"/>
          <w:color w:val="auto"/>
          <w:sz w:val="28"/>
          <w:szCs w:val="28"/>
        </w:rPr>
        <w:t xml:space="preserve">桂林市公共资源交易中心网（ </w:t>
      </w:r>
      <w:r>
        <w:rPr>
          <w:color w:val="auto"/>
        </w:rPr>
        <w:fldChar w:fldCharType="begin"/>
      </w:r>
      <w:r>
        <w:rPr>
          <w:color w:val="auto"/>
        </w:rPr>
        <w:instrText xml:space="preserve"> HYPERLINK "http://glggzy.org.cn/gxglzbw/" </w:instrText>
      </w:r>
      <w:r>
        <w:rPr>
          <w:color w:val="auto"/>
        </w:rPr>
        <w:fldChar w:fldCharType="separate"/>
      </w:r>
      <w:r>
        <w:rPr>
          <w:rFonts w:hint="eastAsia" w:ascii="仿宋" w:hAnsi="仿宋" w:eastAsia="仿宋" w:cs="宋体"/>
          <w:color w:val="auto"/>
          <w:sz w:val="28"/>
          <w:szCs w:val="28"/>
        </w:rPr>
        <w:t>http://glggzy.org.cn/gxglzbw/</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t>）</w:t>
      </w:r>
    </w:p>
    <w:p>
      <w:pPr>
        <w:spacing w:line="380" w:lineRule="exact"/>
        <w:ind w:firstLine="560" w:firstLineChars="200"/>
        <w:rPr>
          <w:rFonts w:ascii="仿宋" w:hAnsi="仿宋" w:eastAsia="仿宋" w:cs="宋体"/>
          <w:color w:val="auto"/>
          <w:sz w:val="28"/>
          <w:szCs w:val="28"/>
        </w:rPr>
      </w:pPr>
      <w:r>
        <w:rPr>
          <w:rFonts w:hint="eastAsia" w:ascii="仿宋" w:hAnsi="仿宋" w:eastAsia="仿宋" w:cs="宋体"/>
          <w:color w:val="auto"/>
          <w:sz w:val="28"/>
          <w:szCs w:val="28"/>
        </w:rPr>
        <w:t>桂林市政府采购网（</w:t>
      </w:r>
      <w:r>
        <w:rPr>
          <w:color w:val="auto"/>
        </w:rPr>
        <w:fldChar w:fldCharType="begin"/>
      </w:r>
      <w:r>
        <w:rPr>
          <w:color w:val="auto"/>
        </w:rPr>
        <w:instrText xml:space="preserve"> HYPERLINK "http://zfcg.guilin.gov.cn" </w:instrText>
      </w:r>
      <w:r>
        <w:rPr>
          <w:color w:val="auto"/>
        </w:rPr>
        <w:fldChar w:fldCharType="separate"/>
      </w:r>
      <w:r>
        <w:rPr>
          <w:rFonts w:hint="eastAsia" w:ascii="仿宋" w:hAnsi="仿宋" w:eastAsia="仿宋" w:cs="宋体"/>
          <w:color w:val="auto"/>
          <w:sz w:val="28"/>
          <w:szCs w:val="28"/>
        </w:rPr>
        <w:t>http://g</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t>l.zfcg.zcygov.cn/）</w:t>
      </w:r>
    </w:p>
    <w:p>
      <w:pPr>
        <w:spacing w:line="380" w:lineRule="exact"/>
        <w:ind w:firstLine="560" w:firstLineChars="200"/>
        <w:rPr>
          <w:rFonts w:ascii="仿宋" w:hAnsi="仿宋" w:eastAsia="仿宋" w:cs="仿宋"/>
          <w:color w:val="auto"/>
          <w:sz w:val="28"/>
          <w:szCs w:val="28"/>
        </w:rPr>
      </w:pPr>
      <w:r>
        <w:rPr>
          <w:rFonts w:ascii="仿宋" w:hAnsi="仿宋" w:eastAsia="仿宋" w:cs="仿宋"/>
          <w:color w:val="auto"/>
          <w:sz w:val="28"/>
          <w:szCs w:val="28"/>
        </w:rPr>
        <w:t>广西壮族自治区政府采购网</w:t>
      </w:r>
      <w:r>
        <w:rPr>
          <w:rFonts w:hint="eastAsia" w:ascii="仿宋" w:hAnsi="仿宋" w:eastAsia="仿宋" w:cs="仿宋"/>
          <w:color w:val="auto"/>
          <w:sz w:val="28"/>
          <w:szCs w:val="28"/>
        </w:rPr>
        <w:t>（</w:t>
      </w:r>
      <w:r>
        <w:rPr>
          <w:color w:val="auto"/>
        </w:rPr>
        <w:fldChar w:fldCharType="begin"/>
      </w:r>
      <w:r>
        <w:rPr>
          <w:color w:val="auto"/>
        </w:rPr>
        <w:instrText xml:space="preserve"> HYPERLINK "http://www.ccgp-guangxi.gov.cn/" </w:instrText>
      </w:r>
      <w:r>
        <w:rPr>
          <w:color w:val="auto"/>
        </w:rPr>
        <w:fldChar w:fldCharType="separate"/>
      </w:r>
      <w:r>
        <w:rPr>
          <w:rFonts w:ascii="仿宋" w:hAnsi="仿宋" w:eastAsia="仿宋" w:cs="仿宋"/>
          <w:color w:val="auto"/>
          <w:sz w:val="28"/>
          <w:szCs w:val="28"/>
        </w:rPr>
        <w:t>http://www.ccgp-guangxi.gov.cn/</w:t>
      </w:r>
      <w:r>
        <w:rPr>
          <w:rFonts w:ascii="仿宋" w:hAnsi="仿宋" w:eastAsia="仿宋" w:cs="仿宋"/>
          <w:color w:val="auto"/>
          <w:sz w:val="28"/>
          <w:szCs w:val="28"/>
        </w:rPr>
        <w:fldChar w:fldCharType="end"/>
      </w:r>
      <w:r>
        <w:rPr>
          <w:rFonts w:hint="eastAsia" w:ascii="仿宋" w:hAnsi="仿宋" w:eastAsia="仿宋" w:cs="仿宋"/>
          <w:color w:val="auto"/>
          <w:sz w:val="28"/>
          <w:szCs w:val="28"/>
        </w:rPr>
        <w:t>）</w:t>
      </w:r>
    </w:p>
    <w:p>
      <w:pPr>
        <w:spacing w:line="380" w:lineRule="exact"/>
        <w:ind w:firstLine="420" w:firstLineChars="200"/>
        <w:rPr>
          <w:rFonts w:ascii="仿宋" w:hAnsi="仿宋" w:eastAsia="仿宋" w:cs="仿宋"/>
          <w:color w:val="auto"/>
          <w:sz w:val="28"/>
          <w:szCs w:val="28"/>
        </w:rPr>
      </w:pPr>
      <w:r>
        <w:rPr>
          <w:color w:val="auto"/>
        </w:rPr>
        <w:fldChar w:fldCharType="begin"/>
      </w:r>
      <w:r>
        <w:rPr>
          <w:color w:val="auto"/>
        </w:rPr>
        <w:instrText xml:space="preserve"> HYPERLINK "http://www.ccgp.gov.cn（中国政府采购网）" </w:instrText>
      </w:r>
      <w:r>
        <w:rPr>
          <w:color w:val="auto"/>
        </w:rPr>
        <w:fldChar w:fldCharType="separate"/>
      </w:r>
      <w:r>
        <w:rPr>
          <w:rFonts w:ascii="仿宋" w:hAnsi="仿宋" w:eastAsia="仿宋" w:cs="仿宋"/>
          <w:color w:val="auto"/>
          <w:sz w:val="28"/>
          <w:szCs w:val="28"/>
        </w:rPr>
        <w:t>中国政府采购网</w:t>
      </w:r>
      <w:r>
        <w:rPr>
          <w:rFonts w:hint="eastAsia" w:ascii="仿宋" w:hAnsi="仿宋" w:eastAsia="仿宋" w:cs="仿宋"/>
          <w:color w:val="auto"/>
          <w:sz w:val="28"/>
          <w:szCs w:val="28"/>
        </w:rPr>
        <w:t>（</w:t>
      </w:r>
      <w:r>
        <w:rPr>
          <w:rFonts w:hint="eastAsia" w:ascii="仿宋" w:hAnsi="仿宋" w:eastAsia="仿宋" w:cs="仿宋"/>
          <w:color w:val="auto"/>
          <w:sz w:val="28"/>
          <w:szCs w:val="28"/>
        </w:rPr>
        <w:fldChar w:fldCharType="end"/>
      </w:r>
      <w:r>
        <w:rPr>
          <w:rFonts w:ascii="仿宋" w:hAnsi="仿宋" w:eastAsia="仿宋" w:cs="仿宋"/>
          <w:color w:val="auto"/>
          <w:sz w:val="28"/>
          <w:szCs w:val="28"/>
        </w:rPr>
        <w:t>http://www.ccgp.gov.cn</w:t>
      </w:r>
      <w:r>
        <w:rPr>
          <w:rFonts w:hint="eastAsia" w:ascii="仿宋" w:hAnsi="仿宋" w:eastAsia="仿宋" w:cs="仿宋"/>
          <w:color w:val="auto"/>
          <w:sz w:val="28"/>
          <w:szCs w:val="28"/>
        </w:rPr>
        <w:t>）</w:t>
      </w:r>
    </w:p>
    <w:p>
      <w:pPr>
        <w:pStyle w:val="4"/>
        <w:spacing w:line="380" w:lineRule="exact"/>
        <w:ind w:firstLine="560" w:firstLineChars="200"/>
        <w:rPr>
          <w:rFonts w:ascii="仿宋" w:hAnsi="仿宋" w:eastAsia="仿宋" w:cs="宋体"/>
          <w:b w:val="0"/>
          <w:bCs w:val="0"/>
          <w:color w:val="auto"/>
          <w:sz w:val="28"/>
          <w:szCs w:val="28"/>
        </w:rPr>
      </w:pPr>
      <w:r>
        <w:rPr>
          <w:rFonts w:hint="eastAsia" w:ascii="仿宋" w:hAnsi="仿宋" w:eastAsia="仿宋" w:cs="宋体"/>
          <w:b w:val="0"/>
          <w:bCs w:val="0"/>
          <w:color w:val="auto"/>
          <w:sz w:val="28"/>
          <w:szCs w:val="28"/>
        </w:rPr>
        <w:t>3.招标文件售价：本项目招标文件不收取费用。</w:t>
      </w:r>
    </w:p>
    <w:p>
      <w:pPr>
        <w:pStyle w:val="4"/>
        <w:spacing w:line="380" w:lineRule="exact"/>
        <w:rPr>
          <w:rFonts w:ascii="黑体" w:hAnsi="黑体" w:cs="宋体"/>
          <w:b w:val="0"/>
          <w:color w:val="auto"/>
          <w:sz w:val="28"/>
          <w:szCs w:val="28"/>
        </w:rPr>
      </w:pPr>
      <w:bookmarkStart w:id="19" w:name="_Toc28359005"/>
      <w:bookmarkStart w:id="20" w:name="_Toc28359082"/>
      <w:bookmarkStart w:id="21" w:name="_Toc35393793"/>
      <w:bookmarkStart w:id="22" w:name="_Toc7593"/>
      <w:bookmarkStart w:id="23" w:name="_Toc35393624"/>
      <w:r>
        <w:rPr>
          <w:rFonts w:hint="eastAsia" w:ascii="黑体" w:hAnsi="黑体" w:cs="宋体"/>
          <w:b w:val="0"/>
          <w:color w:val="auto"/>
          <w:sz w:val="28"/>
          <w:szCs w:val="28"/>
        </w:rPr>
        <w:t>四、提交投标文件</w:t>
      </w:r>
      <w:bookmarkEnd w:id="19"/>
      <w:bookmarkEnd w:id="20"/>
      <w:r>
        <w:rPr>
          <w:rFonts w:hint="eastAsia" w:ascii="黑体" w:hAnsi="黑体" w:cs="宋体"/>
          <w:b w:val="0"/>
          <w:color w:val="auto"/>
          <w:sz w:val="28"/>
          <w:szCs w:val="28"/>
        </w:rPr>
        <w:t>截止时间、开标时间和地点</w:t>
      </w:r>
      <w:bookmarkEnd w:id="21"/>
      <w:bookmarkEnd w:id="22"/>
      <w:bookmarkEnd w:id="23"/>
    </w:p>
    <w:p>
      <w:pPr>
        <w:spacing w:line="380" w:lineRule="exact"/>
        <w:ind w:firstLine="560" w:firstLineChars="200"/>
        <w:rPr>
          <w:rFonts w:ascii="仿宋" w:hAnsi="仿宋" w:eastAsia="仿宋"/>
          <w:bCs/>
          <w:color w:val="auto"/>
          <w:sz w:val="28"/>
          <w:szCs w:val="28"/>
        </w:rPr>
      </w:pPr>
      <w:r>
        <w:rPr>
          <w:rFonts w:hint="eastAsia" w:ascii="仿宋" w:hAnsi="仿宋" w:eastAsia="仿宋"/>
          <w:bCs/>
          <w:color w:val="auto"/>
          <w:sz w:val="28"/>
          <w:szCs w:val="28"/>
        </w:rPr>
        <w:t>提交投标文件起止时间：</w:t>
      </w:r>
      <w:r>
        <w:rPr>
          <w:rFonts w:hint="eastAsia" w:ascii="仿宋" w:hAnsi="仿宋" w:eastAsia="仿宋"/>
          <w:bCs/>
          <w:color w:val="auto"/>
          <w:sz w:val="28"/>
          <w:szCs w:val="28"/>
          <w:u w:val="single"/>
          <w:lang w:val="en-US" w:eastAsia="zh-CN"/>
        </w:rPr>
        <w:t>2020</w:t>
      </w:r>
      <w:r>
        <w:rPr>
          <w:rFonts w:hint="eastAsia" w:ascii="仿宋" w:hAnsi="仿宋" w:eastAsia="仿宋"/>
          <w:bCs/>
          <w:color w:val="auto"/>
          <w:sz w:val="28"/>
          <w:szCs w:val="28"/>
          <w:u w:val="single"/>
        </w:rPr>
        <w:t>年</w:t>
      </w:r>
      <w:r>
        <w:rPr>
          <w:rFonts w:hint="eastAsia" w:ascii="仿宋" w:hAnsi="仿宋" w:eastAsia="仿宋"/>
          <w:bCs/>
          <w:color w:val="auto"/>
          <w:sz w:val="28"/>
          <w:szCs w:val="28"/>
          <w:u w:val="single"/>
          <w:lang w:val="en-US" w:eastAsia="zh-CN"/>
        </w:rPr>
        <w:t>7</w:t>
      </w:r>
      <w:r>
        <w:rPr>
          <w:rFonts w:hint="eastAsia" w:ascii="仿宋" w:hAnsi="仿宋" w:eastAsia="仿宋"/>
          <w:bCs/>
          <w:color w:val="auto"/>
          <w:sz w:val="28"/>
          <w:szCs w:val="28"/>
          <w:u w:val="single"/>
        </w:rPr>
        <w:t>月</w:t>
      </w:r>
      <w:r>
        <w:rPr>
          <w:rFonts w:hint="eastAsia" w:ascii="仿宋" w:hAnsi="仿宋" w:eastAsia="仿宋"/>
          <w:bCs/>
          <w:color w:val="auto"/>
          <w:sz w:val="28"/>
          <w:szCs w:val="28"/>
          <w:u w:val="single"/>
          <w:lang w:val="en-US" w:eastAsia="zh-CN"/>
        </w:rPr>
        <w:t>24</w:t>
      </w:r>
      <w:r>
        <w:rPr>
          <w:rFonts w:hint="eastAsia" w:ascii="仿宋" w:hAnsi="仿宋" w:eastAsia="仿宋"/>
          <w:bCs/>
          <w:color w:val="auto"/>
          <w:sz w:val="28"/>
          <w:szCs w:val="28"/>
          <w:u w:val="single"/>
        </w:rPr>
        <w:t>日</w:t>
      </w:r>
      <w:r>
        <w:rPr>
          <w:rFonts w:hint="eastAsia" w:ascii="仿宋" w:hAnsi="仿宋" w:eastAsia="仿宋"/>
          <w:bCs/>
          <w:color w:val="auto"/>
          <w:sz w:val="28"/>
          <w:szCs w:val="28"/>
          <w:u w:val="single"/>
          <w:lang w:val="en-US" w:eastAsia="zh-CN"/>
        </w:rPr>
        <w:t>9</w:t>
      </w:r>
      <w:r>
        <w:rPr>
          <w:rFonts w:hint="eastAsia" w:ascii="仿宋" w:hAnsi="仿宋" w:eastAsia="仿宋"/>
          <w:bCs/>
          <w:color w:val="auto"/>
          <w:sz w:val="28"/>
          <w:szCs w:val="28"/>
          <w:u w:val="single"/>
        </w:rPr>
        <w:t>点</w:t>
      </w:r>
      <w:r>
        <w:rPr>
          <w:rFonts w:hint="eastAsia" w:ascii="仿宋" w:hAnsi="仿宋" w:eastAsia="仿宋"/>
          <w:bCs/>
          <w:color w:val="auto"/>
          <w:sz w:val="28"/>
          <w:szCs w:val="28"/>
          <w:u w:val="single"/>
          <w:lang w:val="en-US" w:eastAsia="zh-CN"/>
        </w:rPr>
        <w:t>00</w:t>
      </w:r>
      <w:r>
        <w:rPr>
          <w:rFonts w:hint="eastAsia" w:ascii="仿宋" w:hAnsi="仿宋" w:eastAsia="仿宋"/>
          <w:bCs/>
          <w:color w:val="auto"/>
          <w:sz w:val="28"/>
          <w:szCs w:val="28"/>
          <w:u w:val="single"/>
        </w:rPr>
        <w:t>分</w:t>
      </w:r>
      <w:r>
        <w:rPr>
          <w:rFonts w:hint="eastAsia" w:ascii="仿宋" w:hAnsi="仿宋" w:eastAsia="仿宋"/>
          <w:bCs/>
          <w:color w:val="auto"/>
          <w:sz w:val="28"/>
          <w:szCs w:val="28"/>
        </w:rPr>
        <w:t>（北京时间）至</w:t>
      </w:r>
    </w:p>
    <w:p>
      <w:pPr>
        <w:spacing w:line="380" w:lineRule="exact"/>
        <w:ind w:firstLine="560" w:firstLineChars="200"/>
        <w:rPr>
          <w:rFonts w:ascii="仿宋" w:hAnsi="仿宋" w:eastAsia="仿宋"/>
          <w:bCs/>
          <w:color w:val="auto"/>
          <w:sz w:val="28"/>
          <w:szCs w:val="28"/>
        </w:rPr>
      </w:pPr>
      <w:r>
        <w:rPr>
          <w:rFonts w:hint="eastAsia" w:ascii="仿宋" w:hAnsi="仿宋" w:eastAsia="仿宋"/>
          <w:bCs/>
          <w:color w:val="auto"/>
          <w:sz w:val="28"/>
          <w:szCs w:val="28"/>
          <w:u w:val="single"/>
          <w:lang w:val="en-US" w:eastAsia="zh-CN"/>
        </w:rPr>
        <w:t>2020</w:t>
      </w:r>
      <w:r>
        <w:rPr>
          <w:rFonts w:hint="eastAsia" w:ascii="仿宋" w:hAnsi="仿宋" w:eastAsia="仿宋"/>
          <w:bCs/>
          <w:color w:val="auto"/>
          <w:sz w:val="28"/>
          <w:szCs w:val="28"/>
          <w:u w:val="single"/>
        </w:rPr>
        <w:t>年</w:t>
      </w:r>
      <w:r>
        <w:rPr>
          <w:rFonts w:hint="eastAsia" w:ascii="仿宋" w:hAnsi="仿宋" w:eastAsia="仿宋"/>
          <w:bCs/>
          <w:color w:val="auto"/>
          <w:sz w:val="28"/>
          <w:szCs w:val="28"/>
          <w:u w:val="single"/>
          <w:lang w:val="en-US" w:eastAsia="zh-CN"/>
        </w:rPr>
        <w:t>7</w:t>
      </w:r>
      <w:r>
        <w:rPr>
          <w:rFonts w:hint="eastAsia" w:ascii="仿宋" w:hAnsi="仿宋" w:eastAsia="仿宋"/>
          <w:bCs/>
          <w:color w:val="auto"/>
          <w:sz w:val="28"/>
          <w:szCs w:val="28"/>
          <w:u w:val="single"/>
        </w:rPr>
        <w:t>月</w:t>
      </w:r>
      <w:r>
        <w:rPr>
          <w:rFonts w:hint="eastAsia" w:ascii="仿宋" w:hAnsi="仿宋" w:eastAsia="仿宋"/>
          <w:bCs/>
          <w:color w:val="auto"/>
          <w:sz w:val="28"/>
          <w:szCs w:val="28"/>
          <w:u w:val="single"/>
          <w:lang w:val="en-US" w:eastAsia="zh-CN"/>
        </w:rPr>
        <w:t>24</w:t>
      </w:r>
      <w:r>
        <w:rPr>
          <w:rFonts w:hint="eastAsia" w:ascii="仿宋" w:hAnsi="仿宋" w:eastAsia="仿宋"/>
          <w:bCs/>
          <w:color w:val="auto"/>
          <w:sz w:val="28"/>
          <w:szCs w:val="28"/>
          <w:u w:val="single"/>
        </w:rPr>
        <w:t>日</w:t>
      </w:r>
      <w:r>
        <w:rPr>
          <w:rFonts w:hint="eastAsia" w:ascii="仿宋" w:hAnsi="仿宋" w:eastAsia="仿宋"/>
          <w:bCs/>
          <w:color w:val="auto"/>
          <w:sz w:val="28"/>
          <w:szCs w:val="28"/>
          <w:u w:val="single"/>
          <w:lang w:val="en-US" w:eastAsia="zh-CN"/>
        </w:rPr>
        <w:t>9</w:t>
      </w:r>
      <w:r>
        <w:rPr>
          <w:rFonts w:hint="eastAsia" w:ascii="仿宋" w:hAnsi="仿宋" w:eastAsia="仿宋"/>
          <w:bCs/>
          <w:color w:val="auto"/>
          <w:sz w:val="28"/>
          <w:szCs w:val="28"/>
          <w:u w:val="single"/>
        </w:rPr>
        <w:t>点</w:t>
      </w:r>
      <w:r>
        <w:rPr>
          <w:rFonts w:hint="eastAsia" w:ascii="仿宋" w:hAnsi="仿宋" w:eastAsia="仿宋"/>
          <w:bCs/>
          <w:color w:val="auto"/>
          <w:sz w:val="28"/>
          <w:szCs w:val="28"/>
          <w:u w:val="single"/>
          <w:lang w:val="en-US" w:eastAsia="zh-CN"/>
        </w:rPr>
        <w:t>30</w:t>
      </w:r>
      <w:r>
        <w:rPr>
          <w:rFonts w:hint="eastAsia" w:ascii="仿宋" w:hAnsi="仿宋" w:eastAsia="仿宋"/>
          <w:bCs/>
          <w:color w:val="auto"/>
          <w:sz w:val="28"/>
          <w:szCs w:val="28"/>
          <w:u w:val="single"/>
        </w:rPr>
        <w:t>分</w:t>
      </w:r>
      <w:r>
        <w:rPr>
          <w:rFonts w:hint="eastAsia" w:ascii="仿宋" w:hAnsi="仿宋" w:eastAsia="仿宋"/>
          <w:bCs/>
          <w:color w:val="auto"/>
          <w:sz w:val="28"/>
          <w:szCs w:val="28"/>
        </w:rPr>
        <w:t>（北京时间）止</w:t>
      </w:r>
    </w:p>
    <w:p>
      <w:pPr>
        <w:spacing w:line="380" w:lineRule="exact"/>
        <w:ind w:firstLine="560" w:firstLineChars="200"/>
        <w:rPr>
          <w:rFonts w:ascii="仿宋" w:hAnsi="仿宋" w:eastAsia="仿宋"/>
          <w:color w:val="auto"/>
          <w:sz w:val="28"/>
          <w:szCs w:val="28"/>
        </w:rPr>
      </w:pPr>
      <w:r>
        <w:rPr>
          <w:rFonts w:hint="eastAsia" w:ascii="仿宋" w:hAnsi="仿宋" w:eastAsia="仿宋"/>
          <w:color w:val="auto"/>
          <w:sz w:val="28"/>
          <w:szCs w:val="28"/>
        </w:rPr>
        <w:t>地点：桂林市公共资源交易中心</w:t>
      </w:r>
      <w:r>
        <w:rPr>
          <w:rFonts w:hint="eastAsia" w:ascii="仿宋" w:hAnsi="仿宋" w:eastAsia="仿宋"/>
          <w:color w:val="auto"/>
          <w:sz w:val="28"/>
          <w:szCs w:val="28"/>
          <w:lang w:val="en-US" w:eastAsia="zh-CN"/>
        </w:rPr>
        <w:t>8</w:t>
      </w:r>
      <w:r>
        <w:rPr>
          <w:rFonts w:hint="eastAsia" w:ascii="仿宋" w:hAnsi="仿宋" w:eastAsia="仿宋"/>
          <w:color w:val="auto"/>
          <w:sz w:val="28"/>
          <w:szCs w:val="28"/>
        </w:rPr>
        <w:t>号开标室（广西桂林市临桂区西城中路69号创业大厦西辅楼4楼）。</w:t>
      </w:r>
    </w:p>
    <w:p>
      <w:pPr>
        <w:pStyle w:val="4"/>
        <w:spacing w:line="380" w:lineRule="exact"/>
        <w:rPr>
          <w:color w:val="auto"/>
        </w:rPr>
      </w:pPr>
    </w:p>
    <w:p>
      <w:pPr>
        <w:spacing w:line="380" w:lineRule="exact"/>
        <w:ind w:firstLine="560" w:firstLineChars="200"/>
        <w:rPr>
          <w:rFonts w:ascii="仿宋" w:hAnsi="仿宋" w:eastAsia="仿宋"/>
          <w:bCs/>
          <w:color w:val="auto"/>
          <w:sz w:val="28"/>
          <w:szCs w:val="28"/>
          <w:u w:val="single"/>
        </w:rPr>
      </w:pPr>
      <w:r>
        <w:rPr>
          <w:rFonts w:hint="eastAsia" w:ascii="仿宋" w:hAnsi="仿宋" w:eastAsia="仿宋"/>
          <w:bCs/>
          <w:color w:val="auto"/>
          <w:sz w:val="28"/>
          <w:szCs w:val="28"/>
        </w:rPr>
        <w:t>开标时间：</w:t>
      </w:r>
      <w:r>
        <w:rPr>
          <w:rFonts w:hint="eastAsia" w:ascii="仿宋" w:hAnsi="仿宋" w:eastAsia="仿宋"/>
          <w:bCs/>
          <w:color w:val="auto"/>
          <w:sz w:val="28"/>
          <w:szCs w:val="28"/>
          <w:u w:val="single"/>
          <w:lang w:val="en-US" w:eastAsia="zh-CN"/>
        </w:rPr>
        <w:t>2020</w:t>
      </w:r>
      <w:r>
        <w:rPr>
          <w:rFonts w:hint="eastAsia" w:ascii="仿宋" w:hAnsi="仿宋" w:eastAsia="仿宋"/>
          <w:bCs/>
          <w:color w:val="auto"/>
          <w:sz w:val="28"/>
          <w:szCs w:val="28"/>
          <w:u w:val="single"/>
        </w:rPr>
        <w:t>年</w:t>
      </w:r>
      <w:r>
        <w:rPr>
          <w:rFonts w:hint="eastAsia" w:ascii="仿宋" w:hAnsi="仿宋" w:eastAsia="仿宋"/>
          <w:bCs/>
          <w:color w:val="auto"/>
          <w:sz w:val="28"/>
          <w:szCs w:val="28"/>
          <w:u w:val="single"/>
          <w:lang w:val="en-US" w:eastAsia="zh-CN"/>
        </w:rPr>
        <w:t>7</w:t>
      </w:r>
      <w:r>
        <w:rPr>
          <w:rFonts w:hint="eastAsia" w:ascii="仿宋" w:hAnsi="仿宋" w:eastAsia="仿宋"/>
          <w:bCs/>
          <w:color w:val="auto"/>
          <w:sz w:val="28"/>
          <w:szCs w:val="28"/>
          <w:u w:val="single"/>
        </w:rPr>
        <w:t>月</w:t>
      </w:r>
      <w:r>
        <w:rPr>
          <w:rFonts w:hint="eastAsia" w:ascii="仿宋" w:hAnsi="仿宋" w:eastAsia="仿宋"/>
          <w:bCs/>
          <w:color w:val="auto"/>
          <w:sz w:val="28"/>
          <w:szCs w:val="28"/>
          <w:u w:val="single"/>
          <w:lang w:val="en-US" w:eastAsia="zh-CN"/>
        </w:rPr>
        <w:t>24</w:t>
      </w:r>
      <w:r>
        <w:rPr>
          <w:rFonts w:hint="eastAsia" w:ascii="仿宋" w:hAnsi="仿宋" w:eastAsia="仿宋"/>
          <w:bCs/>
          <w:color w:val="auto"/>
          <w:sz w:val="28"/>
          <w:szCs w:val="28"/>
          <w:u w:val="single"/>
        </w:rPr>
        <w:t>日</w:t>
      </w:r>
      <w:r>
        <w:rPr>
          <w:rFonts w:hint="eastAsia" w:ascii="仿宋" w:hAnsi="仿宋" w:eastAsia="仿宋"/>
          <w:bCs/>
          <w:color w:val="auto"/>
          <w:sz w:val="28"/>
          <w:szCs w:val="28"/>
          <w:u w:val="single"/>
          <w:lang w:val="en-US" w:eastAsia="zh-CN"/>
        </w:rPr>
        <w:t>9</w:t>
      </w:r>
      <w:r>
        <w:rPr>
          <w:rFonts w:hint="eastAsia" w:ascii="仿宋" w:hAnsi="仿宋" w:eastAsia="仿宋"/>
          <w:bCs/>
          <w:color w:val="auto"/>
          <w:sz w:val="28"/>
          <w:szCs w:val="28"/>
          <w:u w:val="single"/>
        </w:rPr>
        <w:t>点</w:t>
      </w:r>
      <w:r>
        <w:rPr>
          <w:rFonts w:hint="eastAsia" w:ascii="仿宋" w:hAnsi="仿宋" w:eastAsia="仿宋"/>
          <w:bCs/>
          <w:color w:val="auto"/>
          <w:sz w:val="28"/>
          <w:szCs w:val="28"/>
          <w:u w:val="single"/>
          <w:lang w:val="en-US" w:eastAsia="zh-CN"/>
        </w:rPr>
        <w:t>30</w:t>
      </w:r>
      <w:r>
        <w:rPr>
          <w:rFonts w:hint="eastAsia" w:ascii="仿宋" w:hAnsi="仿宋" w:eastAsia="仿宋"/>
          <w:bCs/>
          <w:color w:val="auto"/>
          <w:sz w:val="28"/>
          <w:szCs w:val="28"/>
          <w:u w:val="single"/>
        </w:rPr>
        <w:t>分</w:t>
      </w:r>
      <w:r>
        <w:rPr>
          <w:rFonts w:hint="eastAsia" w:ascii="仿宋" w:hAnsi="仿宋" w:eastAsia="仿宋"/>
          <w:bCs/>
          <w:color w:val="auto"/>
          <w:sz w:val="28"/>
          <w:szCs w:val="28"/>
        </w:rPr>
        <w:t>（北京时间）</w:t>
      </w:r>
    </w:p>
    <w:p>
      <w:pPr>
        <w:spacing w:line="380" w:lineRule="exact"/>
        <w:ind w:firstLine="560" w:firstLineChars="200"/>
        <w:rPr>
          <w:rFonts w:ascii="仿宋" w:hAnsi="仿宋" w:eastAsia="仿宋"/>
          <w:bCs/>
          <w:color w:val="auto"/>
          <w:sz w:val="28"/>
          <w:szCs w:val="28"/>
          <w:u w:val="single"/>
        </w:rPr>
      </w:pPr>
      <w:r>
        <w:rPr>
          <w:rFonts w:hint="eastAsia" w:ascii="仿宋" w:hAnsi="仿宋" w:eastAsia="仿宋"/>
          <w:color w:val="auto"/>
          <w:sz w:val="28"/>
          <w:szCs w:val="28"/>
        </w:rPr>
        <w:t>地点：桂林市公共资源交易中心</w:t>
      </w:r>
      <w:r>
        <w:rPr>
          <w:rFonts w:hint="eastAsia" w:ascii="仿宋" w:hAnsi="仿宋" w:eastAsia="仿宋"/>
          <w:color w:val="auto"/>
          <w:sz w:val="28"/>
          <w:szCs w:val="28"/>
          <w:lang w:val="en-US" w:eastAsia="zh-CN"/>
        </w:rPr>
        <w:t>8</w:t>
      </w:r>
      <w:r>
        <w:rPr>
          <w:rFonts w:hint="eastAsia" w:ascii="仿宋" w:hAnsi="仿宋" w:eastAsia="仿宋"/>
          <w:color w:val="auto"/>
          <w:sz w:val="28"/>
          <w:szCs w:val="28"/>
        </w:rPr>
        <w:t>号开标室（广西桂林市临桂区西城中路69号创业大厦西辅楼4楼）。</w:t>
      </w:r>
    </w:p>
    <w:p>
      <w:pPr>
        <w:pStyle w:val="4"/>
        <w:spacing w:line="380" w:lineRule="exact"/>
        <w:rPr>
          <w:rFonts w:ascii="黑体" w:hAnsi="黑体" w:cs="宋体"/>
          <w:b w:val="0"/>
          <w:color w:val="auto"/>
          <w:sz w:val="28"/>
          <w:szCs w:val="28"/>
        </w:rPr>
      </w:pPr>
      <w:bookmarkStart w:id="24" w:name="_Toc35393794"/>
      <w:bookmarkStart w:id="25" w:name="_Toc20761"/>
      <w:bookmarkStart w:id="26" w:name="_Toc28359084"/>
      <w:bookmarkStart w:id="27" w:name="_Toc35393625"/>
      <w:bookmarkStart w:id="28" w:name="_Toc28359007"/>
      <w:r>
        <w:rPr>
          <w:rFonts w:hint="eastAsia" w:ascii="黑体" w:hAnsi="黑体" w:cs="宋体"/>
          <w:b w:val="0"/>
          <w:color w:val="auto"/>
          <w:sz w:val="28"/>
          <w:szCs w:val="28"/>
        </w:rPr>
        <w:t>五、公告期限</w:t>
      </w:r>
      <w:bookmarkEnd w:id="24"/>
      <w:bookmarkEnd w:id="25"/>
      <w:bookmarkEnd w:id="26"/>
      <w:bookmarkEnd w:id="27"/>
      <w:bookmarkEnd w:id="28"/>
    </w:p>
    <w:p>
      <w:pPr>
        <w:spacing w:line="380" w:lineRule="exact"/>
        <w:ind w:firstLine="560" w:firstLineChars="200"/>
        <w:rPr>
          <w:rFonts w:ascii="仿宋" w:hAnsi="仿宋" w:eastAsia="仿宋" w:cs="宋体"/>
          <w:color w:val="auto"/>
          <w:kern w:val="0"/>
          <w:sz w:val="28"/>
          <w:szCs w:val="28"/>
        </w:rPr>
      </w:pPr>
      <w:r>
        <w:rPr>
          <w:rFonts w:hint="eastAsia" w:ascii="仿宋" w:hAnsi="仿宋" w:eastAsia="仿宋" w:cs="宋体"/>
          <w:color w:val="auto"/>
          <w:kern w:val="0"/>
          <w:sz w:val="28"/>
          <w:szCs w:val="28"/>
        </w:rPr>
        <w:t>自本公告发布之日起5个工作日。</w:t>
      </w:r>
    </w:p>
    <w:p>
      <w:pPr>
        <w:pStyle w:val="4"/>
        <w:numPr>
          <w:ilvl w:val="0"/>
          <w:numId w:val="2"/>
        </w:numPr>
        <w:spacing w:line="380" w:lineRule="exact"/>
        <w:rPr>
          <w:rFonts w:ascii="黑体" w:hAnsi="黑体" w:cs="宋体"/>
          <w:b w:val="0"/>
          <w:color w:val="auto"/>
          <w:sz w:val="28"/>
          <w:szCs w:val="28"/>
        </w:rPr>
      </w:pPr>
      <w:bookmarkStart w:id="29" w:name="_Toc35393626"/>
      <w:bookmarkStart w:id="30" w:name="_Toc35393795"/>
      <w:bookmarkStart w:id="31" w:name="_Toc1937"/>
      <w:r>
        <w:rPr>
          <w:rFonts w:hint="eastAsia" w:ascii="黑体" w:hAnsi="黑体" w:cs="宋体"/>
          <w:b w:val="0"/>
          <w:color w:val="auto"/>
          <w:sz w:val="28"/>
          <w:szCs w:val="28"/>
        </w:rPr>
        <w:t>其他补充事宜</w:t>
      </w:r>
      <w:bookmarkEnd w:id="29"/>
      <w:bookmarkEnd w:id="30"/>
      <w:bookmarkEnd w:id="31"/>
    </w:p>
    <w:p>
      <w:pPr>
        <w:numPr>
          <w:ilvl w:val="0"/>
          <w:numId w:val="3"/>
        </w:numPr>
        <w:spacing w:line="380" w:lineRule="exact"/>
        <w:ind w:firstLine="562" w:firstLineChars="200"/>
        <w:rPr>
          <w:rFonts w:ascii="仿宋" w:hAnsi="仿宋" w:eastAsia="仿宋" w:cs="仿宋"/>
          <w:color w:val="auto"/>
          <w:sz w:val="28"/>
          <w:szCs w:val="28"/>
        </w:rPr>
      </w:pPr>
      <w:r>
        <w:rPr>
          <w:rFonts w:hint="eastAsia" w:ascii="仿宋" w:hAnsi="仿宋" w:eastAsia="仿宋" w:cs="仿宋"/>
          <w:b/>
          <w:bCs/>
          <w:color w:val="auto"/>
          <w:sz w:val="28"/>
          <w:szCs w:val="28"/>
        </w:rPr>
        <w:t>本项目无需缴纳投标保证金。</w:t>
      </w:r>
    </w:p>
    <w:p>
      <w:pPr>
        <w:numPr>
          <w:ilvl w:val="0"/>
          <w:numId w:val="3"/>
        </w:numPr>
        <w:spacing w:line="380" w:lineRule="exact"/>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投标人可以由法定代表人、负责人、自然人或其委托代理人出席开标</w:t>
      </w:r>
    </w:p>
    <w:p>
      <w:pPr>
        <w:spacing w:line="380" w:lineRule="exact"/>
        <w:rPr>
          <w:rFonts w:ascii="仿宋" w:hAnsi="仿宋" w:eastAsia="仿宋" w:cs="仿宋"/>
          <w:color w:val="auto"/>
          <w:sz w:val="28"/>
          <w:szCs w:val="28"/>
        </w:rPr>
      </w:pPr>
      <w:r>
        <w:rPr>
          <w:rFonts w:hint="eastAsia" w:ascii="仿宋" w:hAnsi="仿宋" w:eastAsia="仿宋" w:cs="仿宋"/>
          <w:color w:val="auto"/>
          <w:sz w:val="28"/>
          <w:szCs w:val="28"/>
        </w:rPr>
        <w:t>会议（携带本人身份证原件，委托代理人出席还应携带单位授权委托书原件）。</w:t>
      </w:r>
    </w:p>
    <w:p>
      <w:pPr>
        <w:numPr>
          <w:ilvl w:val="0"/>
          <w:numId w:val="3"/>
        </w:numPr>
        <w:spacing w:line="380" w:lineRule="exact"/>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本项目信息发布媒体：</w:t>
      </w:r>
    </w:p>
    <w:p>
      <w:pPr>
        <w:spacing w:line="380" w:lineRule="exact"/>
        <w:ind w:firstLine="560" w:firstLineChars="200"/>
        <w:rPr>
          <w:rFonts w:ascii="仿宋" w:hAnsi="仿宋" w:eastAsia="仿宋" w:cs="宋体"/>
          <w:color w:val="auto"/>
          <w:sz w:val="28"/>
          <w:szCs w:val="28"/>
        </w:rPr>
      </w:pPr>
      <w:bookmarkStart w:id="32" w:name="_Toc28359085"/>
      <w:bookmarkStart w:id="33" w:name="_Toc35393627"/>
      <w:bookmarkStart w:id="34" w:name="_Toc35393796"/>
      <w:bookmarkStart w:id="35" w:name="_Toc28359008"/>
      <w:r>
        <w:rPr>
          <w:rFonts w:hint="eastAsia" w:ascii="仿宋" w:hAnsi="仿宋" w:eastAsia="仿宋" w:cs="宋体"/>
          <w:color w:val="auto"/>
          <w:sz w:val="28"/>
          <w:szCs w:val="28"/>
        </w:rPr>
        <w:t xml:space="preserve">桂林市公共资源交易中心网（ </w:t>
      </w:r>
      <w:r>
        <w:rPr>
          <w:color w:val="auto"/>
        </w:rPr>
        <w:fldChar w:fldCharType="begin"/>
      </w:r>
      <w:r>
        <w:rPr>
          <w:color w:val="auto"/>
        </w:rPr>
        <w:instrText xml:space="preserve"> HYPERLINK "http://glggzy.org.cn/gxglzbw/" </w:instrText>
      </w:r>
      <w:r>
        <w:rPr>
          <w:color w:val="auto"/>
        </w:rPr>
        <w:fldChar w:fldCharType="separate"/>
      </w:r>
      <w:r>
        <w:rPr>
          <w:rFonts w:hint="eastAsia" w:ascii="仿宋" w:hAnsi="仿宋" w:eastAsia="仿宋" w:cs="宋体"/>
          <w:color w:val="auto"/>
          <w:sz w:val="28"/>
          <w:szCs w:val="28"/>
        </w:rPr>
        <w:t>http://glggzy.org.cn/gxglzbw/</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t>）</w:t>
      </w:r>
    </w:p>
    <w:p>
      <w:pPr>
        <w:spacing w:line="380" w:lineRule="exact"/>
        <w:ind w:firstLine="560" w:firstLineChars="200"/>
        <w:rPr>
          <w:rFonts w:ascii="仿宋" w:hAnsi="仿宋" w:eastAsia="仿宋" w:cs="宋体"/>
          <w:color w:val="auto"/>
          <w:sz w:val="28"/>
          <w:szCs w:val="28"/>
        </w:rPr>
      </w:pPr>
      <w:r>
        <w:rPr>
          <w:rFonts w:hint="eastAsia" w:ascii="仿宋" w:hAnsi="仿宋" w:eastAsia="仿宋" w:cs="宋体"/>
          <w:color w:val="auto"/>
          <w:sz w:val="28"/>
          <w:szCs w:val="28"/>
        </w:rPr>
        <w:t>桂林市政府采购网（</w:t>
      </w:r>
      <w:r>
        <w:rPr>
          <w:color w:val="auto"/>
        </w:rPr>
        <w:fldChar w:fldCharType="begin"/>
      </w:r>
      <w:r>
        <w:rPr>
          <w:color w:val="auto"/>
        </w:rPr>
        <w:instrText xml:space="preserve"> HYPERLINK "http://zfcg.guilin.gov.cn" </w:instrText>
      </w:r>
      <w:r>
        <w:rPr>
          <w:color w:val="auto"/>
        </w:rPr>
        <w:fldChar w:fldCharType="separate"/>
      </w:r>
      <w:r>
        <w:rPr>
          <w:rFonts w:hint="eastAsia" w:ascii="仿宋" w:hAnsi="仿宋" w:eastAsia="仿宋" w:cs="宋体"/>
          <w:color w:val="auto"/>
          <w:sz w:val="28"/>
          <w:szCs w:val="28"/>
        </w:rPr>
        <w:t>http://g</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t>l.zfcg.zcygov.cn/）</w:t>
      </w:r>
    </w:p>
    <w:p>
      <w:pPr>
        <w:spacing w:line="380" w:lineRule="exact"/>
        <w:ind w:firstLine="560" w:firstLineChars="200"/>
        <w:rPr>
          <w:rFonts w:ascii="仿宋" w:hAnsi="仿宋" w:eastAsia="仿宋" w:cs="仿宋"/>
          <w:color w:val="auto"/>
          <w:sz w:val="28"/>
          <w:szCs w:val="28"/>
        </w:rPr>
      </w:pPr>
      <w:r>
        <w:rPr>
          <w:rFonts w:ascii="仿宋" w:hAnsi="仿宋" w:eastAsia="仿宋" w:cs="仿宋"/>
          <w:color w:val="auto"/>
          <w:sz w:val="28"/>
          <w:szCs w:val="28"/>
        </w:rPr>
        <w:t>广西壮族自治区政府采购网</w:t>
      </w:r>
      <w:r>
        <w:rPr>
          <w:rFonts w:hint="eastAsia" w:ascii="仿宋" w:hAnsi="仿宋" w:eastAsia="仿宋" w:cs="仿宋"/>
          <w:color w:val="auto"/>
          <w:sz w:val="28"/>
          <w:szCs w:val="28"/>
        </w:rPr>
        <w:t>（</w:t>
      </w:r>
      <w:r>
        <w:rPr>
          <w:color w:val="auto"/>
        </w:rPr>
        <w:fldChar w:fldCharType="begin"/>
      </w:r>
      <w:r>
        <w:rPr>
          <w:color w:val="auto"/>
        </w:rPr>
        <w:instrText xml:space="preserve"> HYPERLINK "http://www.ccgp-guangxi.gov.cn/" </w:instrText>
      </w:r>
      <w:r>
        <w:rPr>
          <w:color w:val="auto"/>
        </w:rPr>
        <w:fldChar w:fldCharType="separate"/>
      </w:r>
      <w:r>
        <w:rPr>
          <w:rFonts w:ascii="仿宋" w:hAnsi="仿宋" w:eastAsia="仿宋" w:cs="仿宋"/>
          <w:color w:val="auto"/>
          <w:sz w:val="28"/>
          <w:szCs w:val="28"/>
        </w:rPr>
        <w:t>http://www.ccgp-guangxi.gov.cn/</w:t>
      </w:r>
      <w:r>
        <w:rPr>
          <w:rFonts w:ascii="仿宋" w:hAnsi="仿宋" w:eastAsia="仿宋" w:cs="仿宋"/>
          <w:color w:val="auto"/>
          <w:sz w:val="28"/>
          <w:szCs w:val="28"/>
        </w:rPr>
        <w:fldChar w:fldCharType="end"/>
      </w:r>
      <w:r>
        <w:rPr>
          <w:rFonts w:hint="eastAsia" w:ascii="仿宋" w:hAnsi="仿宋" w:eastAsia="仿宋" w:cs="仿宋"/>
          <w:color w:val="auto"/>
          <w:sz w:val="28"/>
          <w:szCs w:val="28"/>
        </w:rPr>
        <w:t>）</w:t>
      </w:r>
    </w:p>
    <w:p>
      <w:pPr>
        <w:spacing w:line="380" w:lineRule="exact"/>
        <w:ind w:firstLine="420" w:firstLineChars="200"/>
        <w:rPr>
          <w:rFonts w:ascii="仿宋" w:hAnsi="仿宋" w:eastAsia="仿宋" w:cs="仿宋"/>
          <w:color w:val="auto"/>
          <w:sz w:val="28"/>
          <w:szCs w:val="28"/>
        </w:rPr>
      </w:pPr>
      <w:r>
        <w:rPr>
          <w:color w:val="auto"/>
        </w:rPr>
        <w:fldChar w:fldCharType="begin"/>
      </w:r>
      <w:r>
        <w:rPr>
          <w:color w:val="auto"/>
        </w:rPr>
        <w:instrText xml:space="preserve"> HYPERLINK "http://www.ccgp.gov.cn（中国政府采购网）" </w:instrText>
      </w:r>
      <w:r>
        <w:rPr>
          <w:color w:val="auto"/>
        </w:rPr>
        <w:fldChar w:fldCharType="separate"/>
      </w:r>
      <w:r>
        <w:rPr>
          <w:rFonts w:ascii="仿宋" w:hAnsi="仿宋" w:eastAsia="仿宋" w:cs="仿宋"/>
          <w:color w:val="auto"/>
          <w:sz w:val="28"/>
          <w:szCs w:val="28"/>
        </w:rPr>
        <w:t>中国政府采购网</w:t>
      </w:r>
      <w:r>
        <w:rPr>
          <w:rFonts w:hint="eastAsia" w:ascii="仿宋" w:hAnsi="仿宋" w:eastAsia="仿宋" w:cs="仿宋"/>
          <w:color w:val="auto"/>
          <w:sz w:val="28"/>
          <w:szCs w:val="28"/>
        </w:rPr>
        <w:t>（</w:t>
      </w:r>
      <w:r>
        <w:rPr>
          <w:rFonts w:hint="eastAsia" w:ascii="仿宋" w:hAnsi="仿宋" w:eastAsia="仿宋" w:cs="仿宋"/>
          <w:color w:val="auto"/>
          <w:sz w:val="28"/>
          <w:szCs w:val="28"/>
        </w:rPr>
        <w:fldChar w:fldCharType="end"/>
      </w:r>
      <w:r>
        <w:rPr>
          <w:rFonts w:ascii="仿宋" w:hAnsi="仿宋" w:eastAsia="仿宋" w:cs="仿宋"/>
          <w:color w:val="auto"/>
          <w:sz w:val="28"/>
          <w:szCs w:val="28"/>
        </w:rPr>
        <w:t>http://www.ccgp.gov.cn</w:t>
      </w:r>
      <w:r>
        <w:rPr>
          <w:rFonts w:hint="eastAsia" w:ascii="仿宋" w:hAnsi="仿宋" w:eastAsia="仿宋" w:cs="仿宋"/>
          <w:color w:val="auto"/>
          <w:sz w:val="28"/>
          <w:szCs w:val="28"/>
        </w:rPr>
        <w:t>）</w:t>
      </w:r>
    </w:p>
    <w:p>
      <w:pPr>
        <w:pStyle w:val="4"/>
        <w:spacing w:line="380" w:lineRule="exact"/>
        <w:rPr>
          <w:rFonts w:ascii="黑体" w:hAnsi="黑体" w:cs="宋体"/>
          <w:b w:val="0"/>
          <w:color w:val="auto"/>
          <w:sz w:val="28"/>
          <w:szCs w:val="28"/>
        </w:rPr>
      </w:pPr>
      <w:bookmarkStart w:id="36" w:name="_Toc13248"/>
      <w:r>
        <w:rPr>
          <w:rFonts w:hint="eastAsia" w:ascii="黑体" w:hAnsi="黑体" w:cs="宋体"/>
          <w:b w:val="0"/>
          <w:color w:val="auto"/>
          <w:sz w:val="28"/>
          <w:szCs w:val="28"/>
        </w:rPr>
        <w:t>七、对本次招标提出询问，请按</w:t>
      </w:r>
      <w:r>
        <w:rPr>
          <w:rFonts w:ascii="黑体" w:hAnsi="黑体" w:cs="宋体"/>
          <w:b w:val="0"/>
          <w:color w:val="auto"/>
          <w:sz w:val="28"/>
          <w:szCs w:val="28"/>
        </w:rPr>
        <w:t>以下方式</w:t>
      </w:r>
      <w:r>
        <w:rPr>
          <w:rFonts w:hint="eastAsia" w:ascii="黑体" w:hAnsi="黑体" w:cs="宋体"/>
          <w:b w:val="0"/>
          <w:color w:val="auto"/>
          <w:sz w:val="28"/>
          <w:szCs w:val="28"/>
        </w:rPr>
        <w:t>联系。</w:t>
      </w:r>
      <w:bookmarkEnd w:id="32"/>
      <w:bookmarkEnd w:id="33"/>
      <w:bookmarkEnd w:id="34"/>
      <w:bookmarkEnd w:id="35"/>
      <w:bookmarkEnd w:id="36"/>
    </w:p>
    <w:p>
      <w:pPr>
        <w:widowControl/>
        <w:spacing w:line="380" w:lineRule="exact"/>
        <w:jc w:val="left"/>
        <w:rPr>
          <w:rFonts w:ascii="仿宋_GB2312" w:eastAsia="仿宋_GB2312"/>
          <w:color w:val="auto"/>
          <w:sz w:val="28"/>
          <w:szCs w:val="28"/>
        </w:rPr>
      </w:pPr>
      <w:r>
        <w:rPr>
          <w:rFonts w:hint="eastAsia" w:ascii="仿宋" w:hAnsi="仿宋" w:eastAsia="仿宋" w:cs="宋体"/>
          <w:color w:val="auto"/>
          <w:sz w:val="28"/>
          <w:szCs w:val="28"/>
        </w:rPr>
        <w:t>　　　1.采购人信息</w:t>
      </w:r>
    </w:p>
    <w:p>
      <w:pPr>
        <w:spacing w:line="380" w:lineRule="exact"/>
        <w:ind w:left="1129" w:leftChars="371" w:hanging="350" w:hangingChars="125"/>
        <w:jc w:val="left"/>
        <w:rPr>
          <w:rFonts w:ascii="仿宋" w:hAnsi="仿宋" w:eastAsia="仿宋"/>
          <w:color w:val="auto"/>
          <w:sz w:val="28"/>
          <w:szCs w:val="28"/>
        </w:rPr>
      </w:pPr>
      <w:r>
        <w:rPr>
          <w:rFonts w:hint="eastAsia" w:ascii="仿宋" w:hAnsi="仿宋" w:eastAsia="仿宋"/>
          <w:color w:val="auto"/>
          <w:sz w:val="28"/>
          <w:szCs w:val="28"/>
        </w:rPr>
        <w:t>名 称：</w:t>
      </w:r>
      <w:r>
        <w:rPr>
          <w:rFonts w:hint="eastAsia" w:ascii="仿宋" w:hAnsi="仿宋" w:eastAsia="仿宋"/>
          <w:color w:val="auto"/>
          <w:sz w:val="28"/>
          <w:szCs w:val="28"/>
          <w:u w:val="single"/>
        </w:rPr>
        <w:t>　广西师范大学　</w:t>
      </w:r>
    </w:p>
    <w:p>
      <w:pPr>
        <w:spacing w:line="380" w:lineRule="exact"/>
        <w:ind w:left="1129" w:leftChars="371" w:hanging="350" w:hangingChars="125"/>
        <w:jc w:val="left"/>
        <w:rPr>
          <w:rFonts w:ascii="仿宋" w:hAnsi="仿宋" w:eastAsia="仿宋"/>
          <w:color w:val="auto"/>
          <w:sz w:val="28"/>
          <w:szCs w:val="28"/>
        </w:rPr>
      </w:pPr>
      <w:r>
        <w:rPr>
          <w:rFonts w:hint="eastAsia" w:ascii="仿宋" w:hAnsi="仿宋" w:eastAsia="仿宋"/>
          <w:color w:val="auto"/>
          <w:sz w:val="28"/>
          <w:szCs w:val="28"/>
        </w:rPr>
        <w:t>地址：</w:t>
      </w:r>
      <w:r>
        <w:rPr>
          <w:rFonts w:hint="eastAsia" w:ascii="仿宋" w:hAnsi="仿宋" w:eastAsia="仿宋"/>
          <w:color w:val="auto"/>
          <w:sz w:val="28"/>
          <w:szCs w:val="28"/>
          <w:u w:val="single"/>
        </w:rPr>
        <w:t>　 广西桂林市雁山区雁中路1号</w:t>
      </w:r>
    </w:p>
    <w:p>
      <w:pPr>
        <w:spacing w:line="380" w:lineRule="exact"/>
        <w:ind w:left="1129" w:leftChars="371" w:hanging="350" w:hangingChars="125"/>
        <w:jc w:val="left"/>
        <w:rPr>
          <w:rFonts w:ascii="仿宋" w:hAnsi="仿宋" w:eastAsia="仿宋"/>
          <w:color w:val="auto"/>
          <w:sz w:val="28"/>
          <w:szCs w:val="28"/>
        </w:rPr>
      </w:pPr>
      <w:bookmarkStart w:id="37" w:name="_Toc28359086"/>
      <w:bookmarkStart w:id="38" w:name="_Toc28359009"/>
      <w:r>
        <w:rPr>
          <w:rFonts w:hint="eastAsia" w:ascii="仿宋" w:hAnsi="仿宋" w:eastAsia="仿宋"/>
          <w:color w:val="auto"/>
          <w:sz w:val="28"/>
          <w:szCs w:val="28"/>
        </w:rPr>
        <w:t>联系人：</w:t>
      </w:r>
      <w:r>
        <w:rPr>
          <w:rFonts w:hint="eastAsia" w:ascii="仿宋" w:hAnsi="仿宋" w:eastAsia="仿宋"/>
          <w:color w:val="auto"/>
          <w:sz w:val="28"/>
          <w:szCs w:val="28"/>
          <w:u w:val="single"/>
        </w:rPr>
        <w:t xml:space="preserve">  辛老师  高老师  </w:t>
      </w:r>
      <w:r>
        <w:rPr>
          <w:rFonts w:hint="eastAsia" w:ascii="仿宋" w:hAnsi="仿宋" w:eastAsia="仿宋"/>
          <w:color w:val="auto"/>
          <w:sz w:val="28"/>
          <w:szCs w:val="28"/>
        </w:rPr>
        <w:t>联系方式：</w:t>
      </w:r>
      <w:r>
        <w:rPr>
          <w:rFonts w:hint="eastAsia" w:ascii="仿宋" w:hAnsi="仿宋" w:eastAsia="仿宋"/>
          <w:color w:val="auto"/>
          <w:sz w:val="28"/>
          <w:szCs w:val="28"/>
          <w:u w:val="single"/>
        </w:rPr>
        <w:t>　0773-3696563　</w:t>
      </w:r>
    </w:p>
    <w:p>
      <w:pPr>
        <w:spacing w:line="380" w:lineRule="exact"/>
        <w:ind w:left="1129" w:leftChars="371" w:hanging="350" w:hangingChars="125"/>
        <w:jc w:val="left"/>
        <w:rPr>
          <w:rFonts w:ascii="仿宋" w:hAnsi="仿宋" w:eastAsia="仿宋"/>
          <w:color w:val="auto"/>
          <w:sz w:val="28"/>
          <w:szCs w:val="28"/>
        </w:rPr>
      </w:pPr>
      <w:r>
        <w:rPr>
          <w:rFonts w:hint="eastAsia" w:ascii="仿宋" w:hAnsi="仿宋" w:eastAsia="仿宋" w:cs="宋体"/>
          <w:color w:val="auto"/>
          <w:sz w:val="28"/>
          <w:szCs w:val="28"/>
        </w:rPr>
        <w:t>2.采购代理机构信息</w:t>
      </w:r>
      <w:bookmarkEnd w:id="37"/>
      <w:bookmarkEnd w:id="38"/>
    </w:p>
    <w:p>
      <w:pPr>
        <w:spacing w:line="380" w:lineRule="exact"/>
        <w:ind w:firstLine="840" w:firstLineChars="300"/>
        <w:rPr>
          <w:rFonts w:ascii="仿宋" w:hAnsi="仿宋" w:eastAsia="仿宋"/>
          <w:color w:val="auto"/>
          <w:sz w:val="28"/>
          <w:szCs w:val="28"/>
          <w:u w:val="single"/>
        </w:rPr>
      </w:pPr>
      <w:r>
        <w:rPr>
          <w:rFonts w:hint="eastAsia" w:ascii="仿宋" w:hAnsi="仿宋" w:eastAsia="仿宋"/>
          <w:color w:val="auto"/>
          <w:sz w:val="28"/>
          <w:szCs w:val="28"/>
        </w:rPr>
        <w:t xml:space="preserve">名 称： </w:t>
      </w:r>
      <w:r>
        <w:rPr>
          <w:rFonts w:hint="eastAsia" w:ascii="仿宋" w:hAnsi="仿宋" w:eastAsia="仿宋"/>
          <w:color w:val="auto"/>
          <w:sz w:val="28"/>
          <w:szCs w:val="28"/>
          <w:u w:val="single"/>
        </w:rPr>
        <w:t>桂林市政府集中采购中心　</w:t>
      </w:r>
    </w:p>
    <w:p>
      <w:pPr>
        <w:spacing w:line="380" w:lineRule="exact"/>
        <w:ind w:firstLine="840" w:firstLineChars="300"/>
        <w:rPr>
          <w:rFonts w:ascii="仿宋" w:hAnsi="仿宋" w:eastAsia="仿宋"/>
          <w:color w:val="auto"/>
          <w:sz w:val="28"/>
          <w:szCs w:val="28"/>
        </w:rPr>
      </w:pPr>
      <w:r>
        <w:rPr>
          <w:rFonts w:hint="eastAsia" w:ascii="仿宋" w:hAnsi="仿宋" w:eastAsia="仿宋"/>
          <w:color w:val="auto"/>
          <w:sz w:val="28"/>
          <w:szCs w:val="28"/>
        </w:rPr>
        <w:t>地　址：</w:t>
      </w:r>
      <w:r>
        <w:rPr>
          <w:rFonts w:hint="eastAsia" w:ascii="仿宋" w:hAnsi="仿宋" w:eastAsia="仿宋"/>
          <w:color w:val="auto"/>
          <w:sz w:val="28"/>
          <w:szCs w:val="28"/>
          <w:u w:val="single"/>
        </w:rPr>
        <w:t>桂林市临桂区西城中路69号创业大厦西辅楼5楼</w:t>
      </w:r>
    </w:p>
    <w:p>
      <w:pPr>
        <w:spacing w:line="380" w:lineRule="exact"/>
        <w:ind w:firstLine="840" w:firstLineChars="300"/>
        <w:rPr>
          <w:rFonts w:ascii="仿宋" w:hAnsi="仿宋" w:eastAsia="仿宋"/>
          <w:color w:val="auto"/>
          <w:sz w:val="28"/>
          <w:szCs w:val="28"/>
        </w:rPr>
      </w:pPr>
      <w:r>
        <w:rPr>
          <w:rFonts w:hint="eastAsia" w:ascii="仿宋" w:hAnsi="仿宋" w:eastAsia="仿宋"/>
          <w:color w:val="auto"/>
          <w:sz w:val="28"/>
          <w:szCs w:val="28"/>
        </w:rPr>
        <w:t>联系方式：</w:t>
      </w:r>
      <w:bookmarkStart w:id="39" w:name="_Toc28359087"/>
      <w:bookmarkStart w:id="40" w:name="_Toc28359010"/>
      <w:r>
        <w:rPr>
          <w:rFonts w:hint="eastAsia" w:ascii="仿宋" w:hAnsi="仿宋" w:eastAsia="仿宋"/>
          <w:color w:val="auto"/>
          <w:sz w:val="28"/>
          <w:szCs w:val="28"/>
          <w:u w:val="single"/>
        </w:rPr>
        <w:t>　0773-5625175　</w:t>
      </w:r>
    </w:p>
    <w:p>
      <w:pPr>
        <w:spacing w:line="380" w:lineRule="exact"/>
        <w:ind w:firstLine="840" w:firstLineChars="300"/>
        <w:rPr>
          <w:rFonts w:ascii="仿宋" w:hAnsi="仿宋" w:eastAsia="仿宋"/>
          <w:color w:val="auto"/>
          <w:sz w:val="28"/>
          <w:szCs w:val="28"/>
          <w:u w:val="single"/>
        </w:rPr>
      </w:pPr>
      <w:r>
        <w:rPr>
          <w:rFonts w:hint="eastAsia" w:ascii="仿宋" w:hAnsi="仿宋" w:eastAsia="仿宋" w:cs="宋体"/>
          <w:color w:val="auto"/>
          <w:sz w:val="28"/>
          <w:szCs w:val="28"/>
        </w:rPr>
        <w:t>3.项目</w:t>
      </w:r>
      <w:r>
        <w:rPr>
          <w:rFonts w:ascii="仿宋" w:hAnsi="仿宋" w:eastAsia="仿宋" w:cs="宋体"/>
          <w:color w:val="auto"/>
          <w:sz w:val="28"/>
          <w:szCs w:val="28"/>
        </w:rPr>
        <w:t>联系方式</w:t>
      </w:r>
      <w:bookmarkEnd w:id="39"/>
      <w:bookmarkEnd w:id="40"/>
    </w:p>
    <w:p>
      <w:pPr>
        <w:pStyle w:val="18"/>
        <w:spacing w:line="380" w:lineRule="exact"/>
        <w:ind w:firstLine="840" w:firstLineChars="300"/>
        <w:rPr>
          <w:rFonts w:ascii="仿宋" w:hAnsi="仿宋" w:eastAsia="仿宋"/>
          <w:color w:val="auto"/>
          <w:sz w:val="28"/>
          <w:szCs w:val="28"/>
        </w:rPr>
      </w:pPr>
      <w:r>
        <w:rPr>
          <w:rFonts w:hint="eastAsia" w:ascii="仿宋" w:hAnsi="仿宋" w:eastAsia="仿宋"/>
          <w:color w:val="auto"/>
          <w:sz w:val="28"/>
          <w:szCs w:val="28"/>
        </w:rPr>
        <w:t>项目联系人：</w:t>
      </w:r>
      <w:r>
        <w:rPr>
          <w:rFonts w:hint="eastAsia" w:ascii="仿宋" w:hAnsi="仿宋" w:eastAsia="仿宋"/>
          <w:color w:val="auto"/>
          <w:sz w:val="28"/>
          <w:szCs w:val="28"/>
          <w:lang w:val="en-US" w:eastAsia="zh-CN"/>
        </w:rPr>
        <w:t>秦</w:t>
      </w:r>
      <w:r>
        <w:rPr>
          <w:rFonts w:hint="eastAsia" w:ascii="仿宋" w:hAnsi="仿宋" w:eastAsia="仿宋"/>
          <w:color w:val="auto"/>
          <w:sz w:val="28"/>
          <w:szCs w:val="28"/>
        </w:rPr>
        <w:t>工</w:t>
      </w:r>
    </w:p>
    <w:p>
      <w:pPr>
        <w:spacing w:line="380" w:lineRule="exact"/>
        <w:ind w:firstLine="840" w:firstLineChars="300"/>
        <w:rPr>
          <w:rFonts w:hint="default" w:ascii="仿宋" w:hAnsi="仿宋" w:eastAsia="仿宋"/>
          <w:color w:val="auto"/>
          <w:sz w:val="28"/>
          <w:szCs w:val="28"/>
          <w:u w:val="single"/>
          <w:lang w:val="en-US" w:eastAsia="zh-CN"/>
        </w:rPr>
      </w:pPr>
      <w:r>
        <w:rPr>
          <w:rFonts w:hint="eastAsia" w:ascii="仿宋" w:hAnsi="仿宋" w:eastAsia="仿宋"/>
          <w:color w:val="auto"/>
          <w:sz w:val="28"/>
          <w:szCs w:val="28"/>
        </w:rPr>
        <w:t>电　话：</w:t>
      </w:r>
      <w:r>
        <w:rPr>
          <w:rFonts w:hint="eastAsia" w:ascii="仿宋" w:hAnsi="仿宋" w:eastAsia="仿宋"/>
          <w:color w:val="auto"/>
          <w:sz w:val="28"/>
          <w:szCs w:val="28"/>
          <w:u w:val="single"/>
        </w:rPr>
        <w:t>0773-56251</w:t>
      </w:r>
      <w:r>
        <w:rPr>
          <w:rFonts w:hint="eastAsia" w:ascii="仿宋" w:hAnsi="仿宋" w:eastAsia="仿宋"/>
          <w:color w:val="auto"/>
          <w:sz w:val="28"/>
          <w:szCs w:val="28"/>
          <w:u w:val="single"/>
          <w:lang w:val="en-US" w:eastAsia="zh-CN"/>
        </w:rPr>
        <w:t>75</w:t>
      </w:r>
    </w:p>
    <w:p>
      <w:pPr>
        <w:spacing w:line="380" w:lineRule="exact"/>
        <w:ind w:firstLine="840" w:firstLineChars="300"/>
        <w:rPr>
          <w:rFonts w:ascii="仿宋" w:hAnsi="仿宋" w:eastAsia="仿宋" w:cs="宋体"/>
          <w:color w:val="auto"/>
          <w:sz w:val="28"/>
          <w:szCs w:val="28"/>
        </w:rPr>
      </w:pPr>
      <w:r>
        <w:rPr>
          <w:rFonts w:hint="eastAsia" w:ascii="仿宋" w:hAnsi="仿宋" w:eastAsia="仿宋" w:cs="宋体"/>
          <w:color w:val="auto"/>
          <w:sz w:val="28"/>
          <w:szCs w:val="28"/>
        </w:rPr>
        <w:t>4.政府采购监督管理机构</w:t>
      </w:r>
    </w:p>
    <w:p>
      <w:pPr>
        <w:spacing w:line="380" w:lineRule="exact"/>
        <w:ind w:firstLine="840" w:firstLineChars="300"/>
        <w:rPr>
          <w:rFonts w:ascii="仿宋" w:hAnsi="仿宋" w:eastAsia="仿宋" w:cs="宋体"/>
          <w:color w:val="auto"/>
          <w:sz w:val="28"/>
          <w:szCs w:val="28"/>
        </w:rPr>
      </w:pPr>
      <w:r>
        <w:rPr>
          <w:rFonts w:hint="eastAsia" w:ascii="仿宋" w:hAnsi="仿宋" w:eastAsia="仿宋" w:cs="宋体"/>
          <w:color w:val="auto"/>
          <w:sz w:val="28"/>
          <w:szCs w:val="28"/>
        </w:rPr>
        <w:t>名 称：广西壮族自治区财政厅政府采购监督管理处</w:t>
      </w:r>
    </w:p>
    <w:p>
      <w:pPr>
        <w:spacing w:line="380" w:lineRule="exact"/>
        <w:ind w:firstLine="840" w:firstLineChars="300"/>
        <w:rPr>
          <w:rFonts w:ascii="仿宋" w:hAnsi="仿宋" w:eastAsia="仿宋" w:cs="宋体"/>
          <w:color w:val="auto"/>
          <w:sz w:val="28"/>
          <w:szCs w:val="28"/>
        </w:rPr>
      </w:pPr>
      <w:r>
        <w:rPr>
          <w:rFonts w:hint="eastAsia" w:ascii="仿宋" w:hAnsi="仿宋" w:eastAsia="仿宋" w:cs="宋体"/>
          <w:color w:val="auto"/>
          <w:sz w:val="28"/>
          <w:szCs w:val="28"/>
        </w:rPr>
        <w:t>联系方式：</w:t>
      </w:r>
      <w:r>
        <w:rPr>
          <w:rFonts w:hint="eastAsia" w:ascii="仿宋" w:hAnsi="仿宋" w:eastAsia="仿宋" w:cs="宋体"/>
          <w:color w:val="auto"/>
          <w:sz w:val="28"/>
          <w:szCs w:val="28"/>
          <w:u w:val="single"/>
        </w:rPr>
        <w:t>0771-5331544</w:t>
      </w:r>
    </w:p>
    <w:p>
      <w:pPr>
        <w:spacing w:line="360" w:lineRule="exact"/>
        <w:ind w:firstLine="10280" w:firstLineChars="3200"/>
        <w:jc w:val="left"/>
        <w:rPr>
          <w:b/>
          <w:color w:val="auto"/>
          <w:sz w:val="32"/>
          <w:szCs w:val="32"/>
        </w:rPr>
      </w:pPr>
    </w:p>
    <w:p>
      <w:pPr>
        <w:jc w:val="center"/>
        <w:outlineLvl w:val="0"/>
        <w:rPr>
          <w:rFonts w:eastAsia="黑体"/>
          <w:color w:val="auto"/>
          <w:sz w:val="32"/>
          <w:szCs w:val="32"/>
        </w:rPr>
      </w:pPr>
      <w:r>
        <w:rPr>
          <w:rFonts w:eastAsia="黑体"/>
          <w:color w:val="auto"/>
          <w:sz w:val="32"/>
          <w:szCs w:val="32"/>
        </w:rPr>
        <w:br w:type="page"/>
      </w:r>
      <w:bookmarkStart w:id="41" w:name="_Toc15001"/>
      <w:bookmarkStart w:id="42" w:name="_Toc12553"/>
      <w:r>
        <w:rPr>
          <w:rFonts w:eastAsia="黑体"/>
          <w:color w:val="auto"/>
          <w:sz w:val="32"/>
          <w:szCs w:val="32"/>
        </w:rPr>
        <w:t>第二章投标人须知</w:t>
      </w:r>
      <w:bookmarkEnd w:id="41"/>
      <w:bookmarkEnd w:id="42"/>
    </w:p>
    <w:p>
      <w:pPr>
        <w:tabs>
          <w:tab w:val="left" w:pos="1065"/>
          <w:tab w:val="center" w:pos="4411"/>
        </w:tabs>
        <w:spacing w:line="440" w:lineRule="exact"/>
        <w:jc w:val="center"/>
        <w:outlineLvl w:val="1"/>
        <w:rPr>
          <w:b/>
          <w:color w:val="auto"/>
          <w:sz w:val="24"/>
        </w:rPr>
      </w:pPr>
      <w:bookmarkStart w:id="43" w:name="_Toc21838"/>
      <w:bookmarkStart w:id="44" w:name="_Toc495841753"/>
      <w:bookmarkStart w:id="45" w:name="_Toc14222"/>
      <w:r>
        <w:rPr>
          <w:b/>
          <w:color w:val="auto"/>
          <w:sz w:val="24"/>
        </w:rPr>
        <w:t>投标人须知前附表</w:t>
      </w:r>
      <w:bookmarkEnd w:id="43"/>
      <w:bookmarkEnd w:id="44"/>
      <w:bookmarkEnd w:id="45"/>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065"/>
        <w:gridCol w:w="1735"/>
        <w:gridCol w:w="6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714" w:type="dxa"/>
            <w:shd w:val="clear" w:color="auto" w:fill="8DB3E2"/>
            <w:vAlign w:val="center"/>
          </w:tcPr>
          <w:p>
            <w:pPr>
              <w:spacing w:line="400" w:lineRule="exact"/>
              <w:jc w:val="center"/>
              <w:rPr>
                <w:b/>
                <w:color w:val="auto"/>
                <w:szCs w:val="21"/>
              </w:rPr>
            </w:pPr>
            <w:r>
              <w:rPr>
                <w:b/>
                <w:color w:val="auto"/>
                <w:szCs w:val="21"/>
              </w:rPr>
              <w:t>序号</w:t>
            </w:r>
          </w:p>
        </w:tc>
        <w:tc>
          <w:tcPr>
            <w:tcW w:w="1065" w:type="dxa"/>
            <w:shd w:val="clear" w:color="auto" w:fill="8DB3E2"/>
            <w:vAlign w:val="center"/>
          </w:tcPr>
          <w:p>
            <w:pPr>
              <w:spacing w:line="400" w:lineRule="exact"/>
              <w:jc w:val="center"/>
              <w:rPr>
                <w:b/>
                <w:color w:val="auto"/>
                <w:szCs w:val="21"/>
              </w:rPr>
            </w:pPr>
            <w:r>
              <w:rPr>
                <w:b/>
                <w:color w:val="auto"/>
                <w:szCs w:val="21"/>
              </w:rPr>
              <w:t>条款号</w:t>
            </w:r>
          </w:p>
        </w:tc>
        <w:tc>
          <w:tcPr>
            <w:tcW w:w="1735" w:type="dxa"/>
            <w:shd w:val="clear" w:color="auto" w:fill="8DB3E2"/>
            <w:vAlign w:val="center"/>
          </w:tcPr>
          <w:p>
            <w:pPr>
              <w:spacing w:line="400" w:lineRule="exact"/>
              <w:jc w:val="center"/>
              <w:rPr>
                <w:b/>
                <w:color w:val="auto"/>
                <w:szCs w:val="21"/>
              </w:rPr>
            </w:pPr>
            <w:r>
              <w:rPr>
                <w:b/>
                <w:color w:val="auto"/>
                <w:szCs w:val="21"/>
              </w:rPr>
              <w:t>条款名称</w:t>
            </w:r>
          </w:p>
        </w:tc>
        <w:tc>
          <w:tcPr>
            <w:tcW w:w="6229" w:type="dxa"/>
            <w:shd w:val="clear" w:color="auto" w:fill="8DB3E2"/>
            <w:vAlign w:val="center"/>
          </w:tcPr>
          <w:p>
            <w:pPr>
              <w:spacing w:line="400" w:lineRule="exact"/>
              <w:jc w:val="center"/>
              <w:rPr>
                <w:b/>
                <w:color w:val="auto"/>
                <w:szCs w:val="21"/>
              </w:rPr>
            </w:pPr>
            <w:r>
              <w:rPr>
                <w:b/>
                <w:color w:val="auto"/>
                <w:szCs w:val="21"/>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14" w:type="dxa"/>
            <w:vAlign w:val="center"/>
          </w:tcPr>
          <w:p>
            <w:pPr>
              <w:spacing w:line="400" w:lineRule="exact"/>
              <w:jc w:val="center"/>
              <w:rPr>
                <w:color w:val="auto"/>
                <w:szCs w:val="21"/>
              </w:rPr>
            </w:pPr>
            <w:r>
              <w:rPr>
                <w:color w:val="auto"/>
                <w:szCs w:val="21"/>
              </w:rPr>
              <w:t>1</w:t>
            </w:r>
          </w:p>
        </w:tc>
        <w:tc>
          <w:tcPr>
            <w:tcW w:w="1065" w:type="dxa"/>
            <w:vAlign w:val="center"/>
          </w:tcPr>
          <w:p>
            <w:pPr>
              <w:spacing w:line="400" w:lineRule="exact"/>
              <w:jc w:val="center"/>
              <w:rPr>
                <w:color w:val="auto"/>
                <w:szCs w:val="21"/>
              </w:rPr>
            </w:pPr>
            <w:r>
              <w:rPr>
                <w:color w:val="auto"/>
                <w:szCs w:val="21"/>
              </w:rPr>
              <w:t>1</w:t>
            </w:r>
          </w:p>
        </w:tc>
        <w:tc>
          <w:tcPr>
            <w:tcW w:w="1735" w:type="dxa"/>
            <w:vAlign w:val="center"/>
          </w:tcPr>
          <w:p>
            <w:pPr>
              <w:spacing w:line="400" w:lineRule="exact"/>
              <w:jc w:val="center"/>
              <w:rPr>
                <w:color w:val="auto"/>
                <w:szCs w:val="21"/>
              </w:rPr>
            </w:pPr>
            <w:r>
              <w:rPr>
                <w:color w:val="auto"/>
                <w:szCs w:val="21"/>
              </w:rPr>
              <w:t>项目名称及项目编号</w:t>
            </w:r>
          </w:p>
        </w:tc>
        <w:tc>
          <w:tcPr>
            <w:tcW w:w="6229" w:type="dxa"/>
            <w:vAlign w:val="center"/>
          </w:tcPr>
          <w:p>
            <w:pPr>
              <w:widowControl/>
              <w:spacing w:line="440" w:lineRule="exact"/>
              <w:jc w:val="left"/>
              <w:rPr>
                <w:rFonts w:ascii="宋体" w:hAnsi="宋体"/>
                <w:color w:val="auto"/>
                <w:szCs w:val="21"/>
              </w:rPr>
            </w:pPr>
            <w:r>
              <w:rPr>
                <w:rFonts w:hint="eastAsia" w:ascii="宋体" w:hAnsi="宋体"/>
                <w:color w:val="auto"/>
                <w:szCs w:val="21"/>
              </w:rPr>
              <w:t>项目名称：</w:t>
            </w:r>
            <w:r>
              <w:rPr>
                <w:rFonts w:hint="eastAsia" w:ascii="宋体" w:hAnsi="宋体" w:cs="宋体"/>
                <w:color w:val="auto"/>
                <w:szCs w:val="21"/>
              </w:rPr>
              <w:t xml:space="preserve">五期学生公寓楼组合公寓床采购 </w:t>
            </w:r>
          </w:p>
          <w:p>
            <w:pPr>
              <w:spacing w:line="340" w:lineRule="exact"/>
              <w:rPr>
                <w:color w:val="auto"/>
                <w:szCs w:val="21"/>
              </w:rPr>
            </w:pPr>
            <w:r>
              <w:rPr>
                <w:rFonts w:hint="eastAsia" w:ascii="宋体" w:hAnsi="宋体"/>
                <w:color w:val="auto"/>
                <w:szCs w:val="21"/>
              </w:rPr>
              <w:t>项目编号：GXZC2020-G1-001981-GLSZ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14" w:type="dxa"/>
            <w:vAlign w:val="center"/>
          </w:tcPr>
          <w:p>
            <w:pPr>
              <w:spacing w:line="400" w:lineRule="exact"/>
              <w:jc w:val="center"/>
              <w:rPr>
                <w:color w:val="auto"/>
                <w:szCs w:val="21"/>
              </w:rPr>
            </w:pPr>
            <w:r>
              <w:rPr>
                <w:color w:val="auto"/>
                <w:szCs w:val="21"/>
              </w:rPr>
              <w:t>2</w:t>
            </w:r>
          </w:p>
        </w:tc>
        <w:tc>
          <w:tcPr>
            <w:tcW w:w="1065" w:type="dxa"/>
            <w:vAlign w:val="center"/>
          </w:tcPr>
          <w:p>
            <w:pPr>
              <w:spacing w:line="400" w:lineRule="exact"/>
              <w:jc w:val="center"/>
              <w:rPr>
                <w:color w:val="auto"/>
                <w:szCs w:val="21"/>
              </w:rPr>
            </w:pPr>
            <w:r>
              <w:rPr>
                <w:color w:val="auto"/>
                <w:szCs w:val="21"/>
              </w:rPr>
              <w:t>5</w:t>
            </w:r>
          </w:p>
        </w:tc>
        <w:tc>
          <w:tcPr>
            <w:tcW w:w="1735" w:type="dxa"/>
            <w:vAlign w:val="center"/>
          </w:tcPr>
          <w:p>
            <w:pPr>
              <w:spacing w:line="400" w:lineRule="exact"/>
              <w:jc w:val="center"/>
              <w:rPr>
                <w:color w:val="auto"/>
                <w:szCs w:val="21"/>
              </w:rPr>
            </w:pPr>
            <w:r>
              <w:rPr>
                <w:color w:val="auto"/>
                <w:szCs w:val="21"/>
              </w:rPr>
              <w:t>投标人资格</w:t>
            </w:r>
          </w:p>
        </w:tc>
        <w:tc>
          <w:tcPr>
            <w:tcW w:w="6229" w:type="dxa"/>
            <w:vAlign w:val="center"/>
          </w:tcPr>
          <w:p>
            <w:pPr>
              <w:spacing w:line="400" w:lineRule="exact"/>
              <w:rPr>
                <w:color w:val="auto"/>
                <w:szCs w:val="21"/>
              </w:rPr>
            </w:pPr>
            <w:r>
              <w:rPr>
                <w:color w:val="auto"/>
                <w:szCs w:val="21"/>
              </w:rPr>
              <w:t>5.1符合《中华人民共和国政府采购法》第二十二条规定的供应商资格条件，并且国内注册或登记、具备</w:t>
            </w:r>
            <w:r>
              <w:rPr>
                <w:rFonts w:hint="eastAsia"/>
                <w:color w:val="auto"/>
                <w:szCs w:val="21"/>
              </w:rPr>
              <w:t>合法资格</w:t>
            </w:r>
            <w:r>
              <w:rPr>
                <w:color w:val="auto"/>
                <w:szCs w:val="21"/>
              </w:rPr>
              <w:t>，</w:t>
            </w:r>
            <w:r>
              <w:rPr>
                <w:rFonts w:hint="eastAsia"/>
                <w:color w:val="auto"/>
                <w:szCs w:val="21"/>
              </w:rPr>
              <w:t>提供本次采购货物或服务的供应商</w:t>
            </w:r>
            <w:r>
              <w:rPr>
                <w:color w:val="auto"/>
                <w:szCs w:val="21"/>
              </w:rPr>
              <w:t>。</w:t>
            </w:r>
          </w:p>
          <w:p>
            <w:pPr>
              <w:spacing w:line="400" w:lineRule="exact"/>
              <w:rPr>
                <w:color w:val="auto"/>
                <w:szCs w:val="21"/>
              </w:rPr>
            </w:pPr>
            <w:r>
              <w:rPr>
                <w:color w:val="auto"/>
                <w:szCs w:val="21"/>
              </w:rPr>
              <w:t>5.</w:t>
            </w:r>
            <w:r>
              <w:rPr>
                <w:rFonts w:hint="eastAsia"/>
                <w:color w:val="auto"/>
                <w:szCs w:val="21"/>
              </w:rPr>
              <w:t>2</w:t>
            </w:r>
            <w:r>
              <w:rPr>
                <w:color w:val="auto"/>
                <w:szCs w:val="21"/>
              </w:rPr>
              <w:t>本项目不接受联合体投标。</w:t>
            </w:r>
          </w:p>
          <w:p>
            <w:pPr>
              <w:spacing w:line="400" w:lineRule="exact"/>
              <w:rPr>
                <w:color w:val="auto"/>
                <w:szCs w:val="21"/>
              </w:rPr>
            </w:pPr>
            <w:r>
              <w:rPr>
                <w:color w:val="auto"/>
                <w:szCs w:val="21"/>
              </w:rPr>
              <w:t>5.</w:t>
            </w:r>
            <w:r>
              <w:rPr>
                <w:rFonts w:hint="eastAsia"/>
                <w:color w:val="auto"/>
                <w:szCs w:val="21"/>
              </w:rPr>
              <w:t>3</w:t>
            </w:r>
            <w:r>
              <w:rPr>
                <w:color w:val="auto"/>
                <w:szCs w:val="21"/>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14" w:type="dxa"/>
            <w:vAlign w:val="center"/>
          </w:tcPr>
          <w:p>
            <w:pPr>
              <w:spacing w:line="400" w:lineRule="exact"/>
              <w:jc w:val="center"/>
              <w:rPr>
                <w:color w:val="auto"/>
                <w:szCs w:val="21"/>
              </w:rPr>
            </w:pPr>
            <w:r>
              <w:rPr>
                <w:color w:val="auto"/>
                <w:szCs w:val="21"/>
              </w:rPr>
              <w:t>3</w:t>
            </w:r>
          </w:p>
        </w:tc>
        <w:tc>
          <w:tcPr>
            <w:tcW w:w="1065" w:type="dxa"/>
            <w:vAlign w:val="center"/>
          </w:tcPr>
          <w:p>
            <w:pPr>
              <w:spacing w:line="400" w:lineRule="exact"/>
              <w:jc w:val="center"/>
              <w:rPr>
                <w:color w:val="auto"/>
                <w:szCs w:val="21"/>
              </w:rPr>
            </w:pPr>
            <w:r>
              <w:rPr>
                <w:color w:val="auto"/>
                <w:szCs w:val="21"/>
              </w:rPr>
              <w:t>6</w:t>
            </w:r>
          </w:p>
        </w:tc>
        <w:tc>
          <w:tcPr>
            <w:tcW w:w="1735" w:type="dxa"/>
            <w:vAlign w:val="center"/>
          </w:tcPr>
          <w:p>
            <w:pPr>
              <w:spacing w:line="400" w:lineRule="exact"/>
              <w:jc w:val="center"/>
              <w:rPr>
                <w:color w:val="auto"/>
                <w:position w:val="-2"/>
                <w:szCs w:val="21"/>
              </w:rPr>
            </w:pPr>
            <w:r>
              <w:rPr>
                <w:color w:val="auto"/>
                <w:szCs w:val="21"/>
              </w:rPr>
              <w:t>投标费用</w:t>
            </w:r>
          </w:p>
        </w:tc>
        <w:tc>
          <w:tcPr>
            <w:tcW w:w="6229" w:type="dxa"/>
            <w:vAlign w:val="center"/>
          </w:tcPr>
          <w:p>
            <w:pPr>
              <w:spacing w:line="400" w:lineRule="exact"/>
              <w:rPr>
                <w:color w:val="auto"/>
                <w:szCs w:val="21"/>
              </w:rPr>
            </w:pPr>
            <w:r>
              <w:rPr>
                <w:color w:val="auto"/>
                <w:szCs w:val="21"/>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14" w:type="dxa"/>
            <w:vAlign w:val="center"/>
          </w:tcPr>
          <w:p>
            <w:pPr>
              <w:spacing w:line="360" w:lineRule="exact"/>
              <w:jc w:val="center"/>
              <w:rPr>
                <w:color w:val="auto"/>
                <w:szCs w:val="21"/>
              </w:rPr>
            </w:pPr>
            <w:r>
              <w:rPr>
                <w:color w:val="auto"/>
                <w:szCs w:val="21"/>
              </w:rPr>
              <w:t>4</w:t>
            </w:r>
          </w:p>
        </w:tc>
        <w:tc>
          <w:tcPr>
            <w:tcW w:w="1065" w:type="dxa"/>
            <w:vAlign w:val="center"/>
          </w:tcPr>
          <w:p>
            <w:pPr>
              <w:spacing w:line="360" w:lineRule="exact"/>
              <w:jc w:val="center"/>
              <w:rPr>
                <w:color w:val="auto"/>
                <w:position w:val="-2"/>
                <w:szCs w:val="21"/>
              </w:rPr>
            </w:pPr>
            <w:r>
              <w:rPr>
                <w:color w:val="auto"/>
                <w:position w:val="-2"/>
                <w:szCs w:val="21"/>
              </w:rPr>
              <w:t>15</w:t>
            </w:r>
          </w:p>
        </w:tc>
        <w:tc>
          <w:tcPr>
            <w:tcW w:w="1735" w:type="dxa"/>
            <w:vAlign w:val="center"/>
          </w:tcPr>
          <w:p>
            <w:pPr>
              <w:spacing w:line="360" w:lineRule="exact"/>
              <w:jc w:val="center"/>
              <w:rPr>
                <w:color w:val="auto"/>
                <w:szCs w:val="21"/>
              </w:rPr>
            </w:pPr>
            <w:r>
              <w:rPr>
                <w:color w:val="auto"/>
                <w:szCs w:val="21"/>
              </w:rPr>
              <w:t>采购预算金额及投标报价</w:t>
            </w:r>
          </w:p>
        </w:tc>
        <w:tc>
          <w:tcPr>
            <w:tcW w:w="6229" w:type="dxa"/>
            <w:vAlign w:val="center"/>
          </w:tcPr>
          <w:p>
            <w:pPr>
              <w:spacing w:line="440" w:lineRule="exact"/>
              <w:rPr>
                <w:color w:val="auto"/>
                <w:szCs w:val="21"/>
              </w:rPr>
            </w:pPr>
            <w:r>
              <w:rPr>
                <w:color w:val="auto"/>
                <w:szCs w:val="21"/>
              </w:rPr>
              <w:t>15.1</w:t>
            </w:r>
            <w:r>
              <w:rPr>
                <w:rFonts w:hint="eastAsia" w:ascii="宋体" w:hAnsi="宋体"/>
                <w:color w:val="auto"/>
                <w:szCs w:val="21"/>
              </w:rPr>
              <w:t>本项目采购预算金额：人民币</w:t>
            </w:r>
            <w:r>
              <w:rPr>
                <w:rFonts w:hint="eastAsia" w:ascii="宋体" w:hAnsi="宋体" w:cs="宋体"/>
                <w:b/>
                <w:color w:val="auto"/>
                <w:szCs w:val="21"/>
              </w:rPr>
              <w:t>肆佰陆拾陆万捌仟叁佰元整（</w:t>
            </w:r>
            <w:r>
              <w:rPr>
                <w:rFonts w:hint="eastAsia" w:asciiTheme="minorEastAsia" w:hAnsiTheme="minorEastAsia" w:eastAsiaTheme="minorEastAsia" w:cstheme="minorEastAsia"/>
                <w:color w:val="auto"/>
                <w:sz w:val="28"/>
                <w:szCs w:val="28"/>
                <w:lang w:val="en-US" w:eastAsia="zh-CN"/>
              </w:rPr>
              <w:t>¥</w:t>
            </w:r>
            <w:r>
              <w:rPr>
                <w:rFonts w:hint="eastAsia" w:ascii="宋体" w:hAnsi="宋体" w:cs="宋体"/>
                <w:b/>
                <w:color w:val="auto"/>
                <w:kern w:val="0"/>
                <w:szCs w:val="21"/>
              </w:rPr>
              <w:t>4668300.00</w:t>
            </w:r>
            <w:r>
              <w:rPr>
                <w:rFonts w:hint="eastAsia" w:ascii="宋体" w:hAnsi="宋体" w:cs="宋体"/>
                <w:b/>
                <w:color w:val="auto"/>
                <w:szCs w:val="21"/>
              </w:rPr>
              <w:t>）</w:t>
            </w:r>
            <w:r>
              <w:rPr>
                <w:rFonts w:hint="eastAsia" w:ascii="宋体" w:hAnsi="宋体"/>
                <w:color w:val="auto"/>
                <w:szCs w:val="21"/>
              </w:rPr>
              <w:t>，投标报价超过采购预算金额的，投标文件按无效处理。</w:t>
            </w:r>
          </w:p>
          <w:p>
            <w:pPr>
              <w:spacing w:line="360" w:lineRule="exact"/>
              <w:rPr>
                <w:color w:val="auto"/>
                <w:szCs w:val="21"/>
              </w:rPr>
            </w:pPr>
            <w:r>
              <w:rPr>
                <w:color w:val="auto"/>
                <w:szCs w:val="21"/>
              </w:rPr>
              <w:t>15.2投标人必须就“货物采购需求”</w:t>
            </w:r>
            <w:r>
              <w:rPr>
                <w:rFonts w:hint="eastAsia"/>
                <w:color w:val="auto"/>
                <w:szCs w:val="21"/>
              </w:rPr>
              <w:t>中所投分标内容</w:t>
            </w:r>
            <w:r>
              <w:rPr>
                <w:color w:val="auto"/>
                <w:szCs w:val="21"/>
              </w:rPr>
              <w:t>作完整唯一报价，否则，其投标将被拒绝；投标文件只允许有一个报价，有选择的或有条件的报价将不予接受。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14" w:type="dxa"/>
            <w:vAlign w:val="center"/>
          </w:tcPr>
          <w:p>
            <w:pPr>
              <w:spacing w:line="400" w:lineRule="exact"/>
              <w:jc w:val="center"/>
              <w:rPr>
                <w:color w:val="auto"/>
                <w:szCs w:val="21"/>
              </w:rPr>
            </w:pPr>
            <w:r>
              <w:rPr>
                <w:color w:val="auto"/>
                <w:szCs w:val="21"/>
              </w:rPr>
              <w:t>5</w:t>
            </w:r>
          </w:p>
        </w:tc>
        <w:tc>
          <w:tcPr>
            <w:tcW w:w="1065" w:type="dxa"/>
            <w:vAlign w:val="center"/>
          </w:tcPr>
          <w:p>
            <w:pPr>
              <w:spacing w:line="400" w:lineRule="exact"/>
              <w:jc w:val="center"/>
              <w:rPr>
                <w:color w:val="auto"/>
                <w:szCs w:val="21"/>
              </w:rPr>
            </w:pPr>
            <w:r>
              <w:rPr>
                <w:color w:val="auto"/>
                <w:szCs w:val="21"/>
              </w:rPr>
              <w:t>16.1</w:t>
            </w:r>
          </w:p>
        </w:tc>
        <w:tc>
          <w:tcPr>
            <w:tcW w:w="1735" w:type="dxa"/>
            <w:vAlign w:val="center"/>
          </w:tcPr>
          <w:p>
            <w:pPr>
              <w:spacing w:line="400" w:lineRule="exact"/>
              <w:jc w:val="center"/>
              <w:rPr>
                <w:color w:val="auto"/>
                <w:szCs w:val="21"/>
              </w:rPr>
            </w:pPr>
            <w:r>
              <w:rPr>
                <w:color w:val="auto"/>
                <w:szCs w:val="21"/>
              </w:rPr>
              <w:t>投标有效期</w:t>
            </w:r>
          </w:p>
        </w:tc>
        <w:tc>
          <w:tcPr>
            <w:tcW w:w="6229" w:type="dxa"/>
            <w:vAlign w:val="center"/>
          </w:tcPr>
          <w:p>
            <w:pPr>
              <w:spacing w:line="400" w:lineRule="exact"/>
              <w:rPr>
                <w:color w:val="auto"/>
                <w:szCs w:val="21"/>
              </w:rPr>
            </w:pPr>
            <w:r>
              <w:rPr>
                <w:color w:val="auto"/>
                <w:szCs w:val="21"/>
              </w:rPr>
              <w:t>投标截止时间之日起90天。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14" w:type="dxa"/>
            <w:vAlign w:val="center"/>
          </w:tcPr>
          <w:p>
            <w:pPr>
              <w:spacing w:line="400" w:lineRule="exact"/>
              <w:jc w:val="center"/>
              <w:rPr>
                <w:color w:val="auto"/>
                <w:szCs w:val="21"/>
              </w:rPr>
            </w:pPr>
            <w:r>
              <w:rPr>
                <w:color w:val="auto"/>
                <w:szCs w:val="21"/>
              </w:rPr>
              <w:t>6</w:t>
            </w:r>
          </w:p>
        </w:tc>
        <w:tc>
          <w:tcPr>
            <w:tcW w:w="1065" w:type="dxa"/>
            <w:vAlign w:val="center"/>
          </w:tcPr>
          <w:p>
            <w:pPr>
              <w:spacing w:line="400" w:lineRule="exact"/>
              <w:jc w:val="center"/>
              <w:rPr>
                <w:color w:val="auto"/>
                <w:szCs w:val="21"/>
              </w:rPr>
            </w:pPr>
            <w:r>
              <w:rPr>
                <w:color w:val="auto"/>
                <w:szCs w:val="21"/>
              </w:rPr>
              <w:t>17</w:t>
            </w:r>
          </w:p>
        </w:tc>
        <w:tc>
          <w:tcPr>
            <w:tcW w:w="1735" w:type="dxa"/>
            <w:vAlign w:val="center"/>
          </w:tcPr>
          <w:p>
            <w:pPr>
              <w:spacing w:line="400" w:lineRule="exact"/>
              <w:jc w:val="center"/>
              <w:rPr>
                <w:color w:val="auto"/>
                <w:szCs w:val="21"/>
              </w:rPr>
            </w:pPr>
            <w:r>
              <w:rPr>
                <w:color w:val="auto"/>
                <w:szCs w:val="21"/>
              </w:rPr>
              <w:t>投标保证金</w:t>
            </w:r>
          </w:p>
        </w:tc>
        <w:tc>
          <w:tcPr>
            <w:tcW w:w="6229" w:type="dxa"/>
          </w:tcPr>
          <w:p>
            <w:pPr>
              <w:spacing w:line="400" w:lineRule="exact"/>
              <w:rPr>
                <w:color w:val="auto"/>
                <w:szCs w:val="21"/>
              </w:rPr>
            </w:pPr>
            <w:r>
              <w:rPr>
                <w:rFonts w:hint="eastAsia"/>
                <w:b/>
                <w:bCs/>
                <w:color w:val="auto"/>
                <w:szCs w:val="21"/>
              </w:rPr>
              <w:t>本项目无需缴纳投标保证金</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14" w:type="dxa"/>
            <w:vAlign w:val="center"/>
          </w:tcPr>
          <w:p>
            <w:pPr>
              <w:spacing w:line="400" w:lineRule="exact"/>
              <w:jc w:val="center"/>
              <w:rPr>
                <w:color w:val="auto"/>
                <w:szCs w:val="21"/>
              </w:rPr>
            </w:pPr>
            <w:r>
              <w:rPr>
                <w:color w:val="auto"/>
                <w:szCs w:val="21"/>
              </w:rPr>
              <w:t>7</w:t>
            </w:r>
          </w:p>
        </w:tc>
        <w:tc>
          <w:tcPr>
            <w:tcW w:w="1065" w:type="dxa"/>
            <w:vAlign w:val="center"/>
          </w:tcPr>
          <w:p>
            <w:pPr>
              <w:spacing w:line="400" w:lineRule="exact"/>
              <w:jc w:val="center"/>
              <w:rPr>
                <w:color w:val="auto"/>
                <w:szCs w:val="21"/>
              </w:rPr>
            </w:pPr>
            <w:r>
              <w:rPr>
                <w:color w:val="auto"/>
                <w:szCs w:val="21"/>
              </w:rPr>
              <w:t>18.1</w:t>
            </w:r>
          </w:p>
        </w:tc>
        <w:tc>
          <w:tcPr>
            <w:tcW w:w="1735" w:type="dxa"/>
            <w:vAlign w:val="center"/>
          </w:tcPr>
          <w:p>
            <w:pPr>
              <w:spacing w:line="400" w:lineRule="exact"/>
              <w:jc w:val="center"/>
              <w:rPr>
                <w:color w:val="auto"/>
                <w:szCs w:val="21"/>
              </w:rPr>
            </w:pPr>
            <w:r>
              <w:rPr>
                <w:color w:val="auto"/>
                <w:szCs w:val="21"/>
              </w:rPr>
              <w:t>投标文件份数</w:t>
            </w:r>
          </w:p>
        </w:tc>
        <w:tc>
          <w:tcPr>
            <w:tcW w:w="6229" w:type="dxa"/>
            <w:vAlign w:val="center"/>
          </w:tcPr>
          <w:p>
            <w:pPr>
              <w:spacing w:line="400" w:lineRule="exact"/>
              <w:rPr>
                <w:color w:val="auto"/>
                <w:szCs w:val="21"/>
                <w:u w:val="single"/>
              </w:rPr>
            </w:pPr>
            <w:r>
              <w:rPr>
                <w:rFonts w:hint="eastAsia"/>
                <w:b/>
                <w:bCs/>
                <w:color w:val="auto"/>
                <w:szCs w:val="21"/>
                <w:u w:val="single"/>
              </w:rPr>
              <w:t>正本壹册，副本肆册，须完整提交</w:t>
            </w:r>
            <w:r>
              <w:rPr>
                <w:color w:val="auto"/>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14" w:type="dxa"/>
            <w:vAlign w:val="center"/>
          </w:tcPr>
          <w:p>
            <w:pPr>
              <w:spacing w:line="360" w:lineRule="exact"/>
              <w:jc w:val="center"/>
              <w:rPr>
                <w:color w:val="auto"/>
                <w:szCs w:val="21"/>
              </w:rPr>
            </w:pPr>
            <w:r>
              <w:rPr>
                <w:color w:val="auto"/>
                <w:szCs w:val="21"/>
              </w:rPr>
              <w:t>8</w:t>
            </w:r>
          </w:p>
        </w:tc>
        <w:tc>
          <w:tcPr>
            <w:tcW w:w="1065" w:type="dxa"/>
            <w:vAlign w:val="center"/>
          </w:tcPr>
          <w:p>
            <w:pPr>
              <w:spacing w:line="360" w:lineRule="exact"/>
              <w:jc w:val="center"/>
              <w:rPr>
                <w:color w:val="auto"/>
                <w:position w:val="10"/>
                <w:szCs w:val="21"/>
              </w:rPr>
            </w:pPr>
            <w:r>
              <w:rPr>
                <w:color w:val="auto"/>
                <w:szCs w:val="21"/>
              </w:rPr>
              <w:t>18.2</w:t>
            </w:r>
          </w:p>
        </w:tc>
        <w:tc>
          <w:tcPr>
            <w:tcW w:w="1735" w:type="dxa"/>
            <w:vAlign w:val="center"/>
          </w:tcPr>
          <w:p>
            <w:pPr>
              <w:spacing w:line="360" w:lineRule="exact"/>
              <w:jc w:val="center"/>
              <w:rPr>
                <w:color w:val="auto"/>
                <w:position w:val="10"/>
                <w:szCs w:val="21"/>
              </w:rPr>
            </w:pPr>
            <w:r>
              <w:rPr>
                <w:color w:val="auto"/>
                <w:szCs w:val="21"/>
              </w:rPr>
              <w:t>投标文件装订</w:t>
            </w:r>
          </w:p>
        </w:tc>
        <w:tc>
          <w:tcPr>
            <w:tcW w:w="6229" w:type="dxa"/>
            <w:vAlign w:val="center"/>
          </w:tcPr>
          <w:p>
            <w:pPr>
              <w:spacing w:line="360" w:lineRule="exact"/>
              <w:rPr>
                <w:color w:val="auto"/>
                <w:szCs w:val="21"/>
              </w:rPr>
            </w:pPr>
            <w:r>
              <w:rPr>
                <w:color w:val="auto"/>
                <w:szCs w:val="21"/>
              </w:rPr>
              <w:t>投标人应按投标人须知第13.1条“投标文件组成”规定的顺序自编目录及页码，投标文件的“正本”、“副本”应当单独装订成册并标注页码，装订应牢固，不易拆散和换页（A4标准纸装订，图纸除外）。封面应注明“正本”、“副本”字样，封面上写明项目名称、项目编号、采购代理机构、投标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14" w:type="dxa"/>
            <w:vAlign w:val="center"/>
          </w:tcPr>
          <w:p>
            <w:pPr>
              <w:spacing w:line="360" w:lineRule="exact"/>
              <w:jc w:val="center"/>
              <w:rPr>
                <w:color w:val="auto"/>
                <w:szCs w:val="21"/>
              </w:rPr>
            </w:pPr>
            <w:r>
              <w:rPr>
                <w:color w:val="auto"/>
                <w:szCs w:val="21"/>
              </w:rPr>
              <w:t>9</w:t>
            </w:r>
          </w:p>
        </w:tc>
        <w:tc>
          <w:tcPr>
            <w:tcW w:w="1065" w:type="dxa"/>
            <w:vAlign w:val="center"/>
          </w:tcPr>
          <w:p>
            <w:pPr>
              <w:spacing w:line="360" w:lineRule="exact"/>
              <w:jc w:val="center"/>
              <w:rPr>
                <w:color w:val="auto"/>
                <w:szCs w:val="21"/>
              </w:rPr>
            </w:pPr>
            <w:r>
              <w:rPr>
                <w:color w:val="auto"/>
                <w:szCs w:val="21"/>
              </w:rPr>
              <w:t>18.6</w:t>
            </w:r>
          </w:p>
        </w:tc>
        <w:tc>
          <w:tcPr>
            <w:tcW w:w="1735" w:type="dxa"/>
            <w:vAlign w:val="center"/>
          </w:tcPr>
          <w:p>
            <w:pPr>
              <w:spacing w:line="360" w:lineRule="exact"/>
              <w:jc w:val="center"/>
              <w:rPr>
                <w:color w:val="auto"/>
                <w:szCs w:val="21"/>
              </w:rPr>
            </w:pPr>
            <w:r>
              <w:rPr>
                <w:color w:val="auto"/>
                <w:szCs w:val="21"/>
              </w:rPr>
              <w:t>投标人公章</w:t>
            </w:r>
          </w:p>
        </w:tc>
        <w:tc>
          <w:tcPr>
            <w:tcW w:w="6229" w:type="dxa"/>
            <w:vAlign w:val="center"/>
          </w:tcPr>
          <w:p>
            <w:pPr>
              <w:spacing w:line="360" w:lineRule="exact"/>
              <w:rPr>
                <w:color w:val="auto"/>
                <w:szCs w:val="21"/>
              </w:rPr>
            </w:pPr>
            <w:r>
              <w:rPr>
                <w:color w:val="auto"/>
                <w:szCs w:val="21"/>
              </w:rPr>
              <w:t>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14" w:type="dxa"/>
            <w:vAlign w:val="center"/>
          </w:tcPr>
          <w:p>
            <w:pPr>
              <w:spacing w:line="360" w:lineRule="exact"/>
              <w:jc w:val="center"/>
              <w:rPr>
                <w:color w:val="auto"/>
                <w:szCs w:val="21"/>
              </w:rPr>
            </w:pPr>
            <w:r>
              <w:rPr>
                <w:color w:val="auto"/>
                <w:szCs w:val="21"/>
              </w:rPr>
              <w:t>10</w:t>
            </w:r>
          </w:p>
        </w:tc>
        <w:tc>
          <w:tcPr>
            <w:tcW w:w="1065" w:type="dxa"/>
            <w:vAlign w:val="center"/>
          </w:tcPr>
          <w:p>
            <w:pPr>
              <w:spacing w:line="360" w:lineRule="exact"/>
              <w:jc w:val="center"/>
              <w:rPr>
                <w:color w:val="auto"/>
                <w:szCs w:val="21"/>
              </w:rPr>
            </w:pPr>
            <w:r>
              <w:rPr>
                <w:color w:val="auto"/>
                <w:szCs w:val="21"/>
              </w:rPr>
              <w:t>18.7</w:t>
            </w:r>
          </w:p>
        </w:tc>
        <w:tc>
          <w:tcPr>
            <w:tcW w:w="1735" w:type="dxa"/>
            <w:vAlign w:val="center"/>
          </w:tcPr>
          <w:p>
            <w:pPr>
              <w:spacing w:line="360" w:lineRule="exact"/>
              <w:jc w:val="center"/>
              <w:rPr>
                <w:color w:val="auto"/>
                <w:szCs w:val="21"/>
              </w:rPr>
            </w:pPr>
            <w:r>
              <w:rPr>
                <w:color w:val="auto"/>
                <w:szCs w:val="21"/>
              </w:rPr>
              <w:t>投标文件包装、密封</w:t>
            </w:r>
          </w:p>
        </w:tc>
        <w:tc>
          <w:tcPr>
            <w:tcW w:w="6229" w:type="dxa"/>
            <w:vAlign w:val="center"/>
          </w:tcPr>
          <w:p>
            <w:pPr>
              <w:spacing w:line="360" w:lineRule="exact"/>
              <w:rPr>
                <w:color w:val="auto"/>
                <w:szCs w:val="21"/>
              </w:rPr>
            </w:pPr>
            <w:r>
              <w:rPr>
                <w:color w:val="auto"/>
                <w:szCs w:val="21"/>
              </w:rPr>
              <w:t>将投标文件“正本”、“副本”一并装入并密封在一个投标文件袋（盒、箱）中，并在密封处密封签章【公章、密封章、法定代表人、负责人或相应的授权委托代理人签字均可】。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14" w:type="dxa"/>
            <w:vAlign w:val="center"/>
          </w:tcPr>
          <w:p>
            <w:pPr>
              <w:spacing w:line="360" w:lineRule="exact"/>
              <w:jc w:val="center"/>
              <w:rPr>
                <w:color w:val="auto"/>
                <w:szCs w:val="21"/>
              </w:rPr>
            </w:pPr>
            <w:r>
              <w:rPr>
                <w:color w:val="auto"/>
                <w:szCs w:val="21"/>
              </w:rPr>
              <w:t>11</w:t>
            </w:r>
          </w:p>
        </w:tc>
        <w:tc>
          <w:tcPr>
            <w:tcW w:w="1065" w:type="dxa"/>
            <w:vAlign w:val="center"/>
          </w:tcPr>
          <w:p>
            <w:pPr>
              <w:spacing w:line="360" w:lineRule="exact"/>
              <w:jc w:val="center"/>
              <w:rPr>
                <w:color w:val="auto"/>
                <w:szCs w:val="21"/>
              </w:rPr>
            </w:pPr>
            <w:r>
              <w:rPr>
                <w:color w:val="auto"/>
                <w:szCs w:val="21"/>
              </w:rPr>
              <w:t>18.8</w:t>
            </w:r>
          </w:p>
        </w:tc>
        <w:tc>
          <w:tcPr>
            <w:tcW w:w="1735" w:type="dxa"/>
            <w:vAlign w:val="center"/>
          </w:tcPr>
          <w:p>
            <w:pPr>
              <w:spacing w:line="360" w:lineRule="exact"/>
              <w:jc w:val="center"/>
              <w:rPr>
                <w:color w:val="auto"/>
                <w:szCs w:val="21"/>
              </w:rPr>
            </w:pPr>
            <w:r>
              <w:rPr>
                <w:color w:val="auto"/>
                <w:szCs w:val="21"/>
              </w:rPr>
              <w:t>投标文件袋（盒、箱）标记</w:t>
            </w:r>
          </w:p>
        </w:tc>
        <w:tc>
          <w:tcPr>
            <w:tcW w:w="6229" w:type="dxa"/>
            <w:vAlign w:val="center"/>
          </w:tcPr>
          <w:p>
            <w:pPr>
              <w:spacing w:line="360" w:lineRule="exact"/>
              <w:rPr>
                <w:color w:val="auto"/>
                <w:spacing w:val="-6"/>
                <w:kern w:val="0"/>
                <w:szCs w:val="21"/>
              </w:rPr>
            </w:pPr>
            <w:r>
              <w:rPr>
                <w:color w:val="auto"/>
                <w:szCs w:val="21"/>
              </w:rPr>
              <w:t>项目名称：</w:t>
            </w:r>
            <w:r>
              <w:rPr>
                <w:rFonts w:hint="eastAsia"/>
                <w:color w:val="auto"/>
                <w:szCs w:val="21"/>
                <w:u w:val="single"/>
              </w:rPr>
              <w:t>五期学生公寓楼组合公寓床采购</w:t>
            </w:r>
          </w:p>
          <w:p>
            <w:pPr>
              <w:spacing w:line="360" w:lineRule="exact"/>
              <w:rPr>
                <w:color w:val="auto"/>
                <w:szCs w:val="21"/>
              </w:rPr>
            </w:pPr>
            <w:r>
              <w:rPr>
                <w:color w:val="auto"/>
                <w:szCs w:val="21"/>
              </w:rPr>
              <w:t>项目编号：</w:t>
            </w:r>
            <w:r>
              <w:rPr>
                <w:rFonts w:hint="eastAsia"/>
                <w:color w:val="auto"/>
                <w:szCs w:val="21"/>
                <w:u w:val="single"/>
              </w:rPr>
              <w:t>GXZC2020-G1-001981-GLSZ</w:t>
            </w:r>
          </w:p>
          <w:p>
            <w:pPr>
              <w:spacing w:line="360" w:lineRule="exact"/>
              <w:rPr>
                <w:color w:val="auto"/>
                <w:szCs w:val="21"/>
              </w:rPr>
            </w:pPr>
            <w:r>
              <w:rPr>
                <w:color w:val="auto"/>
                <w:szCs w:val="21"/>
              </w:rPr>
              <w:t>采购代理机构：</w:t>
            </w:r>
            <w:r>
              <w:rPr>
                <w:rFonts w:hint="eastAsia"/>
                <w:color w:val="auto"/>
                <w:szCs w:val="21"/>
                <w:u w:val="single"/>
              </w:rPr>
              <w:t>桂林市政府集中采购中心</w:t>
            </w:r>
          </w:p>
          <w:p>
            <w:pPr>
              <w:spacing w:line="360" w:lineRule="exact"/>
              <w:rPr>
                <w:color w:val="auto"/>
                <w:szCs w:val="21"/>
              </w:rPr>
            </w:pPr>
            <w:r>
              <w:rPr>
                <w:color w:val="auto"/>
                <w:szCs w:val="21"/>
              </w:rPr>
              <w:t>投标单位名称：</w:t>
            </w:r>
          </w:p>
          <w:p>
            <w:pPr>
              <w:spacing w:line="360" w:lineRule="exact"/>
              <w:rPr>
                <w:color w:val="auto"/>
                <w:szCs w:val="21"/>
              </w:rPr>
            </w:pPr>
            <w:r>
              <w:rPr>
                <w:color w:val="auto"/>
                <w:szCs w:val="21"/>
              </w:rPr>
              <w:t>在</w:t>
            </w:r>
            <w:r>
              <w:rPr>
                <w:rFonts w:hint="eastAsia"/>
                <w:color w:val="auto"/>
                <w:szCs w:val="21"/>
              </w:rPr>
              <w:t>2020年</w:t>
            </w:r>
            <w:r>
              <w:rPr>
                <w:rFonts w:hint="eastAsia"/>
                <w:color w:val="auto"/>
                <w:szCs w:val="21"/>
                <w:lang w:val="en-US" w:eastAsia="zh-CN"/>
              </w:rPr>
              <w:t>7</w:t>
            </w:r>
            <w:r>
              <w:rPr>
                <w:rFonts w:hint="eastAsia"/>
                <w:color w:val="auto"/>
                <w:szCs w:val="21"/>
              </w:rPr>
              <w:t>月</w:t>
            </w:r>
            <w:r>
              <w:rPr>
                <w:rFonts w:hint="eastAsia"/>
                <w:color w:val="auto"/>
                <w:szCs w:val="21"/>
                <w:lang w:val="en-US" w:eastAsia="zh-CN"/>
              </w:rPr>
              <w:t>24</w:t>
            </w:r>
            <w:r>
              <w:rPr>
                <w:rFonts w:hint="eastAsia"/>
                <w:color w:val="auto"/>
                <w:szCs w:val="21"/>
              </w:rPr>
              <w:t>日</w:t>
            </w:r>
            <w:r>
              <w:rPr>
                <w:color w:val="auto"/>
                <w:szCs w:val="21"/>
              </w:rPr>
              <w:t>上午</w:t>
            </w:r>
            <w:r>
              <w:rPr>
                <w:rFonts w:hint="eastAsia"/>
                <w:color w:val="auto"/>
                <w:szCs w:val="21"/>
                <w:lang w:val="en-US" w:eastAsia="zh-CN"/>
              </w:rPr>
              <w:t>9</w:t>
            </w:r>
            <w:r>
              <w:rPr>
                <w:color w:val="auto"/>
                <w:szCs w:val="21"/>
              </w:rPr>
              <w:t>时</w:t>
            </w:r>
            <w:r>
              <w:rPr>
                <w:rFonts w:hint="eastAsia"/>
                <w:color w:val="auto"/>
                <w:szCs w:val="21"/>
                <w:lang w:val="en-US" w:eastAsia="zh-CN"/>
              </w:rPr>
              <w:t>30</w:t>
            </w:r>
            <w:r>
              <w:rPr>
                <w:color w:val="auto"/>
                <w:szCs w:val="21"/>
              </w:rPr>
              <w:t>分前不得开启</w:t>
            </w:r>
            <w:r>
              <w:rPr>
                <w:rFonts w:hint="eastAsia"/>
                <w:color w:val="auto"/>
                <w:szCs w:val="21"/>
              </w:rPr>
              <w:t>（此处填写截标时间）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14" w:type="dxa"/>
            <w:vAlign w:val="center"/>
          </w:tcPr>
          <w:p>
            <w:pPr>
              <w:spacing w:line="360" w:lineRule="exact"/>
              <w:jc w:val="center"/>
              <w:rPr>
                <w:color w:val="auto"/>
                <w:szCs w:val="21"/>
              </w:rPr>
            </w:pPr>
            <w:r>
              <w:rPr>
                <w:color w:val="auto"/>
                <w:szCs w:val="21"/>
              </w:rPr>
              <w:t>12</w:t>
            </w:r>
          </w:p>
        </w:tc>
        <w:tc>
          <w:tcPr>
            <w:tcW w:w="1065" w:type="dxa"/>
            <w:vAlign w:val="center"/>
          </w:tcPr>
          <w:p>
            <w:pPr>
              <w:spacing w:line="360" w:lineRule="exact"/>
              <w:jc w:val="center"/>
              <w:rPr>
                <w:color w:val="auto"/>
                <w:position w:val="-2"/>
                <w:szCs w:val="21"/>
              </w:rPr>
            </w:pPr>
            <w:r>
              <w:rPr>
                <w:color w:val="auto"/>
                <w:szCs w:val="21"/>
              </w:rPr>
              <w:t>20.</w:t>
            </w:r>
            <w:r>
              <w:rPr>
                <w:rFonts w:hint="eastAsia"/>
                <w:color w:val="auto"/>
                <w:szCs w:val="21"/>
              </w:rPr>
              <w:t>2</w:t>
            </w:r>
          </w:p>
        </w:tc>
        <w:tc>
          <w:tcPr>
            <w:tcW w:w="1735" w:type="dxa"/>
            <w:vAlign w:val="center"/>
          </w:tcPr>
          <w:p>
            <w:pPr>
              <w:spacing w:line="360" w:lineRule="exact"/>
              <w:jc w:val="center"/>
              <w:rPr>
                <w:color w:val="auto"/>
                <w:position w:val="-2"/>
                <w:szCs w:val="21"/>
              </w:rPr>
            </w:pPr>
            <w:r>
              <w:rPr>
                <w:color w:val="auto"/>
                <w:szCs w:val="21"/>
              </w:rPr>
              <w:t>投标文件递交</w:t>
            </w:r>
          </w:p>
        </w:tc>
        <w:tc>
          <w:tcPr>
            <w:tcW w:w="6229" w:type="dxa"/>
            <w:vAlign w:val="center"/>
          </w:tcPr>
          <w:p>
            <w:pPr>
              <w:spacing w:line="360" w:lineRule="exact"/>
              <w:rPr>
                <w:color w:val="auto"/>
                <w:szCs w:val="21"/>
              </w:rPr>
            </w:pPr>
            <w:r>
              <w:rPr>
                <w:color w:val="auto"/>
                <w:szCs w:val="21"/>
              </w:rPr>
              <w:t>投标人应于</w:t>
            </w:r>
            <w:r>
              <w:rPr>
                <w:rFonts w:hint="eastAsia"/>
                <w:color w:val="auto"/>
                <w:szCs w:val="21"/>
              </w:rPr>
              <w:t>2020年</w:t>
            </w:r>
            <w:r>
              <w:rPr>
                <w:rFonts w:hint="eastAsia"/>
                <w:color w:val="auto"/>
                <w:szCs w:val="21"/>
                <w:lang w:val="en-US" w:eastAsia="zh-CN"/>
              </w:rPr>
              <w:t>7</w:t>
            </w:r>
            <w:r>
              <w:rPr>
                <w:rFonts w:hint="eastAsia"/>
                <w:color w:val="auto"/>
                <w:szCs w:val="21"/>
              </w:rPr>
              <w:t>月</w:t>
            </w:r>
            <w:r>
              <w:rPr>
                <w:rFonts w:hint="eastAsia"/>
                <w:color w:val="auto"/>
                <w:szCs w:val="21"/>
                <w:lang w:val="en-US" w:eastAsia="zh-CN"/>
              </w:rPr>
              <w:t>24</w:t>
            </w:r>
            <w:r>
              <w:rPr>
                <w:rFonts w:hint="eastAsia"/>
                <w:color w:val="auto"/>
                <w:szCs w:val="21"/>
              </w:rPr>
              <w:t>日上午</w:t>
            </w:r>
            <w:r>
              <w:rPr>
                <w:rFonts w:hint="eastAsia"/>
                <w:color w:val="auto"/>
                <w:szCs w:val="21"/>
                <w:lang w:val="en-US" w:eastAsia="zh-CN"/>
              </w:rPr>
              <w:t>9</w:t>
            </w:r>
            <w:r>
              <w:rPr>
                <w:rFonts w:hint="eastAsia"/>
                <w:color w:val="auto"/>
                <w:szCs w:val="21"/>
              </w:rPr>
              <w:t>时</w:t>
            </w:r>
            <w:r>
              <w:rPr>
                <w:rFonts w:hint="eastAsia"/>
                <w:color w:val="auto"/>
                <w:szCs w:val="21"/>
                <w:lang w:val="en-US" w:eastAsia="zh-CN"/>
              </w:rPr>
              <w:t>30</w:t>
            </w:r>
            <w:r>
              <w:rPr>
                <w:rFonts w:hint="eastAsia"/>
                <w:color w:val="auto"/>
                <w:szCs w:val="21"/>
              </w:rPr>
              <w:t>分</w:t>
            </w:r>
            <w:r>
              <w:rPr>
                <w:color w:val="auto"/>
                <w:szCs w:val="21"/>
              </w:rPr>
              <w:t>止，将投标文件密封提交至</w:t>
            </w:r>
            <w:r>
              <w:rPr>
                <w:rFonts w:hint="eastAsia"/>
                <w:color w:val="auto"/>
                <w:szCs w:val="21"/>
                <w:u w:val="single"/>
              </w:rPr>
              <w:t>桂林市公共资源交易中心（临桂新区西城中路69号西辅楼四楼）</w:t>
            </w:r>
            <w:r>
              <w:rPr>
                <w:rFonts w:hint="eastAsia"/>
                <w:color w:val="auto"/>
                <w:szCs w:val="21"/>
                <w:u w:val="single"/>
                <w:lang w:val="en-US" w:eastAsia="zh-CN"/>
              </w:rPr>
              <w:t>8</w:t>
            </w:r>
            <w:r>
              <w:rPr>
                <w:rFonts w:hint="eastAsia"/>
                <w:color w:val="auto"/>
                <w:szCs w:val="21"/>
                <w:u w:val="single"/>
              </w:rPr>
              <w:t>号开标室</w:t>
            </w:r>
            <w:r>
              <w:rPr>
                <w:color w:val="auto"/>
                <w:szCs w:val="21"/>
              </w:rPr>
              <w:t>，未携带以上相关材料递交的或逾期送达的或未送达指定地点的投标文件将予以拒收。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714" w:type="dxa"/>
            <w:vAlign w:val="center"/>
          </w:tcPr>
          <w:p>
            <w:pPr>
              <w:spacing w:line="360" w:lineRule="exact"/>
              <w:jc w:val="center"/>
              <w:rPr>
                <w:color w:val="auto"/>
                <w:szCs w:val="21"/>
              </w:rPr>
            </w:pPr>
            <w:r>
              <w:rPr>
                <w:color w:val="auto"/>
                <w:szCs w:val="21"/>
              </w:rPr>
              <w:t>13</w:t>
            </w:r>
          </w:p>
        </w:tc>
        <w:tc>
          <w:tcPr>
            <w:tcW w:w="1065" w:type="dxa"/>
            <w:vAlign w:val="center"/>
          </w:tcPr>
          <w:p>
            <w:pPr>
              <w:spacing w:line="360" w:lineRule="exact"/>
              <w:jc w:val="center"/>
              <w:rPr>
                <w:color w:val="auto"/>
                <w:szCs w:val="21"/>
              </w:rPr>
            </w:pPr>
            <w:r>
              <w:rPr>
                <w:color w:val="auto"/>
                <w:szCs w:val="21"/>
              </w:rPr>
              <w:t>21.1</w:t>
            </w:r>
          </w:p>
        </w:tc>
        <w:tc>
          <w:tcPr>
            <w:tcW w:w="1735" w:type="dxa"/>
            <w:vAlign w:val="center"/>
          </w:tcPr>
          <w:p>
            <w:pPr>
              <w:spacing w:line="360" w:lineRule="exact"/>
              <w:jc w:val="center"/>
              <w:rPr>
                <w:color w:val="auto"/>
                <w:szCs w:val="21"/>
              </w:rPr>
            </w:pPr>
            <w:r>
              <w:rPr>
                <w:color w:val="auto"/>
                <w:szCs w:val="21"/>
              </w:rPr>
              <w:t>开标时间及地点</w:t>
            </w:r>
          </w:p>
        </w:tc>
        <w:tc>
          <w:tcPr>
            <w:tcW w:w="6229" w:type="dxa"/>
          </w:tcPr>
          <w:p>
            <w:pPr>
              <w:spacing w:line="360" w:lineRule="exact"/>
              <w:rPr>
                <w:color w:val="auto"/>
                <w:szCs w:val="21"/>
              </w:rPr>
            </w:pPr>
            <w:r>
              <w:rPr>
                <w:color w:val="auto"/>
                <w:szCs w:val="21"/>
              </w:rPr>
              <w:t>开标时间：</w:t>
            </w:r>
            <w:r>
              <w:rPr>
                <w:rFonts w:hint="eastAsia"/>
                <w:color w:val="auto"/>
                <w:szCs w:val="21"/>
                <w:u w:val="single"/>
              </w:rPr>
              <w:t>2020年</w:t>
            </w:r>
            <w:r>
              <w:rPr>
                <w:rFonts w:hint="eastAsia"/>
                <w:color w:val="auto"/>
                <w:szCs w:val="21"/>
                <w:u w:val="single"/>
                <w:lang w:val="en-US" w:eastAsia="zh-CN"/>
              </w:rPr>
              <w:t>7</w:t>
            </w:r>
            <w:r>
              <w:rPr>
                <w:rFonts w:hint="eastAsia"/>
                <w:color w:val="auto"/>
                <w:szCs w:val="21"/>
                <w:u w:val="single"/>
              </w:rPr>
              <w:t>月</w:t>
            </w:r>
            <w:r>
              <w:rPr>
                <w:rFonts w:hint="eastAsia"/>
                <w:color w:val="auto"/>
                <w:szCs w:val="21"/>
                <w:u w:val="single"/>
                <w:lang w:val="en-US" w:eastAsia="zh-CN"/>
              </w:rPr>
              <w:t>24</w:t>
            </w:r>
            <w:r>
              <w:rPr>
                <w:rFonts w:hint="eastAsia"/>
                <w:color w:val="auto"/>
                <w:szCs w:val="21"/>
                <w:u w:val="single"/>
              </w:rPr>
              <w:t>日上午</w:t>
            </w:r>
            <w:r>
              <w:rPr>
                <w:rFonts w:hint="eastAsia"/>
                <w:color w:val="auto"/>
                <w:szCs w:val="21"/>
                <w:u w:val="single"/>
                <w:lang w:val="en-US" w:eastAsia="zh-CN"/>
              </w:rPr>
              <w:t>9</w:t>
            </w:r>
            <w:r>
              <w:rPr>
                <w:rFonts w:hint="eastAsia"/>
                <w:color w:val="auto"/>
                <w:szCs w:val="21"/>
                <w:u w:val="single"/>
              </w:rPr>
              <w:t>时</w:t>
            </w:r>
            <w:r>
              <w:rPr>
                <w:rFonts w:hint="eastAsia"/>
                <w:color w:val="auto"/>
                <w:szCs w:val="21"/>
                <w:u w:val="single"/>
                <w:lang w:val="en-US" w:eastAsia="zh-CN"/>
              </w:rPr>
              <w:t>30</w:t>
            </w:r>
            <w:r>
              <w:rPr>
                <w:rFonts w:hint="eastAsia"/>
                <w:color w:val="auto"/>
                <w:szCs w:val="21"/>
                <w:u w:val="single"/>
              </w:rPr>
              <w:t>分</w:t>
            </w:r>
            <w:r>
              <w:rPr>
                <w:color w:val="auto"/>
                <w:szCs w:val="21"/>
                <w:u w:val="single"/>
              </w:rPr>
              <w:t>；</w:t>
            </w:r>
            <w:r>
              <w:rPr>
                <w:color w:val="auto"/>
                <w:szCs w:val="21"/>
              </w:rPr>
              <w:t>开标地点：</w:t>
            </w:r>
            <w:r>
              <w:rPr>
                <w:rFonts w:hint="eastAsia"/>
                <w:color w:val="auto"/>
                <w:szCs w:val="21"/>
                <w:u w:val="single"/>
              </w:rPr>
              <w:t>桂林市公共资源交易中心（广西桂林市临桂区西城中路69号创业大厦西辅楼4楼）</w:t>
            </w:r>
            <w:r>
              <w:rPr>
                <w:rFonts w:hint="eastAsia"/>
                <w:color w:val="auto"/>
                <w:szCs w:val="21"/>
                <w:u w:val="single"/>
                <w:lang w:val="en-US" w:eastAsia="zh-CN"/>
              </w:rPr>
              <w:t>8</w:t>
            </w:r>
            <w:r>
              <w:rPr>
                <w:rFonts w:hint="eastAsia"/>
                <w:color w:val="auto"/>
                <w:szCs w:val="21"/>
                <w:u w:val="single"/>
              </w:rPr>
              <w:t>号开标室</w:t>
            </w:r>
            <w:r>
              <w:rPr>
                <w:color w:val="auto"/>
                <w:szCs w:val="21"/>
              </w:rPr>
              <w:t>；采购代理机构按以上规定的开标时间和地点进行公开开标，投标人准时参加开标会并签字，如未按时签字的，视同放弃开标监督权利，认可开标结果。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14" w:type="dxa"/>
            <w:vAlign w:val="center"/>
          </w:tcPr>
          <w:p>
            <w:pPr>
              <w:spacing w:line="360" w:lineRule="exact"/>
              <w:jc w:val="center"/>
              <w:rPr>
                <w:color w:val="auto"/>
                <w:szCs w:val="21"/>
              </w:rPr>
            </w:pPr>
            <w:r>
              <w:rPr>
                <w:color w:val="auto"/>
                <w:szCs w:val="21"/>
              </w:rPr>
              <w:t>14</w:t>
            </w:r>
          </w:p>
        </w:tc>
        <w:tc>
          <w:tcPr>
            <w:tcW w:w="1065" w:type="dxa"/>
            <w:vAlign w:val="center"/>
          </w:tcPr>
          <w:p>
            <w:pPr>
              <w:spacing w:line="360" w:lineRule="exact"/>
              <w:jc w:val="center"/>
              <w:rPr>
                <w:color w:val="auto"/>
                <w:szCs w:val="21"/>
              </w:rPr>
            </w:pPr>
            <w:r>
              <w:rPr>
                <w:color w:val="auto"/>
                <w:szCs w:val="21"/>
              </w:rPr>
              <w:t>24</w:t>
            </w:r>
          </w:p>
        </w:tc>
        <w:tc>
          <w:tcPr>
            <w:tcW w:w="1735" w:type="dxa"/>
            <w:vAlign w:val="center"/>
          </w:tcPr>
          <w:p>
            <w:pPr>
              <w:spacing w:line="360" w:lineRule="exact"/>
              <w:jc w:val="center"/>
              <w:rPr>
                <w:color w:val="auto"/>
                <w:szCs w:val="21"/>
              </w:rPr>
            </w:pPr>
            <w:r>
              <w:rPr>
                <w:color w:val="auto"/>
                <w:szCs w:val="21"/>
              </w:rPr>
              <w:t>评标委员会组成</w:t>
            </w:r>
          </w:p>
        </w:tc>
        <w:tc>
          <w:tcPr>
            <w:tcW w:w="6229" w:type="dxa"/>
            <w:vAlign w:val="center"/>
          </w:tcPr>
          <w:p>
            <w:pPr>
              <w:spacing w:line="360" w:lineRule="exact"/>
              <w:rPr>
                <w:color w:val="auto"/>
                <w:szCs w:val="21"/>
              </w:rPr>
            </w:pPr>
            <w:r>
              <w:rPr>
                <w:color w:val="auto"/>
                <w:szCs w:val="21"/>
              </w:rPr>
              <w:t>评标委员会由采购人代表和有关技术、经济等方面的专家组成，成员人</w:t>
            </w:r>
            <w:r>
              <w:rPr>
                <w:color w:val="auto"/>
                <w:szCs w:val="21"/>
                <w:u w:val="single"/>
              </w:rPr>
              <w:t>数共</w:t>
            </w:r>
            <w:r>
              <w:rPr>
                <w:rFonts w:hint="eastAsia"/>
                <w:color w:val="auto"/>
                <w:szCs w:val="21"/>
                <w:u w:val="single"/>
              </w:rPr>
              <w:t>5</w:t>
            </w:r>
            <w:r>
              <w:rPr>
                <w:color w:val="auto"/>
                <w:szCs w:val="21"/>
                <w:u w:val="single"/>
              </w:rPr>
              <w:t>人，其中采购人代表1人，技术、经济等专家</w:t>
            </w:r>
            <w:r>
              <w:rPr>
                <w:rFonts w:hint="eastAsia"/>
                <w:color w:val="auto"/>
                <w:szCs w:val="21"/>
                <w:u w:val="single"/>
              </w:rPr>
              <w:t>4</w:t>
            </w:r>
            <w:r>
              <w:rPr>
                <w:color w:val="auto"/>
                <w:szCs w:val="21"/>
                <w:u w:val="single"/>
              </w:rPr>
              <w:t>人</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14" w:type="dxa"/>
            <w:vAlign w:val="center"/>
          </w:tcPr>
          <w:p>
            <w:pPr>
              <w:spacing w:line="360" w:lineRule="exact"/>
              <w:jc w:val="center"/>
              <w:rPr>
                <w:color w:val="auto"/>
                <w:szCs w:val="21"/>
              </w:rPr>
            </w:pPr>
            <w:r>
              <w:rPr>
                <w:color w:val="auto"/>
                <w:szCs w:val="21"/>
              </w:rPr>
              <w:t>15</w:t>
            </w:r>
          </w:p>
        </w:tc>
        <w:tc>
          <w:tcPr>
            <w:tcW w:w="1065" w:type="dxa"/>
            <w:vAlign w:val="center"/>
          </w:tcPr>
          <w:p>
            <w:pPr>
              <w:spacing w:line="360" w:lineRule="exact"/>
              <w:jc w:val="center"/>
              <w:rPr>
                <w:color w:val="auto"/>
                <w:szCs w:val="21"/>
              </w:rPr>
            </w:pPr>
            <w:r>
              <w:rPr>
                <w:color w:val="auto"/>
                <w:szCs w:val="21"/>
              </w:rPr>
              <w:t>25.1</w:t>
            </w:r>
          </w:p>
        </w:tc>
        <w:tc>
          <w:tcPr>
            <w:tcW w:w="1735" w:type="dxa"/>
            <w:vAlign w:val="center"/>
          </w:tcPr>
          <w:p>
            <w:pPr>
              <w:spacing w:line="360" w:lineRule="exact"/>
              <w:jc w:val="center"/>
              <w:rPr>
                <w:color w:val="auto"/>
                <w:szCs w:val="21"/>
              </w:rPr>
            </w:pPr>
            <w:r>
              <w:rPr>
                <w:color w:val="auto"/>
                <w:szCs w:val="21"/>
              </w:rPr>
              <w:t>评标办法</w:t>
            </w:r>
          </w:p>
        </w:tc>
        <w:tc>
          <w:tcPr>
            <w:tcW w:w="6229" w:type="dxa"/>
            <w:vAlign w:val="center"/>
          </w:tcPr>
          <w:p>
            <w:pPr>
              <w:spacing w:line="360" w:lineRule="exact"/>
              <w:rPr>
                <w:color w:val="auto"/>
                <w:szCs w:val="21"/>
              </w:rPr>
            </w:pPr>
            <w:r>
              <w:rPr>
                <w:color w:val="auto"/>
                <w:szCs w:val="21"/>
              </w:rPr>
              <w:t>综合评分法，具体评标内容及标准详见第四章。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714" w:type="dxa"/>
            <w:vAlign w:val="center"/>
          </w:tcPr>
          <w:p>
            <w:pPr>
              <w:spacing w:line="360" w:lineRule="exact"/>
              <w:jc w:val="center"/>
              <w:rPr>
                <w:color w:val="auto"/>
                <w:szCs w:val="21"/>
              </w:rPr>
            </w:pPr>
            <w:r>
              <w:rPr>
                <w:color w:val="auto"/>
                <w:szCs w:val="21"/>
              </w:rPr>
              <w:t>16</w:t>
            </w:r>
          </w:p>
        </w:tc>
        <w:tc>
          <w:tcPr>
            <w:tcW w:w="1065" w:type="dxa"/>
            <w:vAlign w:val="center"/>
          </w:tcPr>
          <w:p>
            <w:pPr>
              <w:spacing w:line="360" w:lineRule="exact"/>
              <w:jc w:val="center"/>
              <w:rPr>
                <w:color w:val="auto"/>
                <w:szCs w:val="21"/>
              </w:rPr>
            </w:pPr>
            <w:r>
              <w:rPr>
                <w:color w:val="auto"/>
                <w:szCs w:val="21"/>
              </w:rPr>
              <w:t>32</w:t>
            </w:r>
          </w:p>
        </w:tc>
        <w:tc>
          <w:tcPr>
            <w:tcW w:w="1735" w:type="dxa"/>
            <w:vAlign w:val="center"/>
          </w:tcPr>
          <w:p>
            <w:pPr>
              <w:tabs>
                <w:tab w:val="left" w:pos="1140"/>
              </w:tabs>
              <w:spacing w:line="360" w:lineRule="exact"/>
              <w:jc w:val="center"/>
              <w:rPr>
                <w:color w:val="auto"/>
                <w:szCs w:val="21"/>
              </w:rPr>
            </w:pPr>
            <w:r>
              <w:rPr>
                <w:color w:val="auto"/>
                <w:szCs w:val="21"/>
              </w:rPr>
              <w:t>信用查询</w:t>
            </w:r>
          </w:p>
        </w:tc>
        <w:tc>
          <w:tcPr>
            <w:tcW w:w="6229" w:type="dxa"/>
            <w:vAlign w:val="center"/>
          </w:tcPr>
          <w:p>
            <w:pPr>
              <w:autoSpaceDE w:val="0"/>
              <w:autoSpaceDN w:val="0"/>
              <w:snapToGrid w:val="0"/>
              <w:spacing w:line="340" w:lineRule="exact"/>
              <w:textAlignment w:val="bottom"/>
              <w:rPr>
                <w:color w:val="auto"/>
                <w:szCs w:val="21"/>
              </w:rPr>
            </w:pPr>
            <w:r>
              <w:rPr>
                <w:color w:val="auto"/>
                <w:szCs w:val="21"/>
              </w:rPr>
              <w:t>根据《关于做好政府采购有关信用主体标识码登记及在政府采购活动中查询使用信用记录有关问题的通知》桂财采〔2016〕37号的通知，由采购代理机构对第一中标候选供应商进行信用查询：</w:t>
            </w:r>
          </w:p>
          <w:p>
            <w:pPr>
              <w:autoSpaceDE w:val="0"/>
              <w:autoSpaceDN w:val="0"/>
              <w:snapToGrid w:val="0"/>
              <w:spacing w:line="340" w:lineRule="exact"/>
              <w:textAlignment w:val="bottom"/>
              <w:rPr>
                <w:color w:val="auto"/>
                <w:szCs w:val="21"/>
              </w:rPr>
            </w:pPr>
            <w:r>
              <w:rPr>
                <w:color w:val="auto"/>
                <w:szCs w:val="21"/>
              </w:rPr>
              <w:t>⑴查询渠道：“信用中国”网站(www.creditchina.gov.cn)、中国政府采购网(www.ccgp.gov.cn)等；</w:t>
            </w:r>
          </w:p>
          <w:p>
            <w:pPr>
              <w:autoSpaceDE w:val="0"/>
              <w:autoSpaceDN w:val="0"/>
              <w:snapToGrid w:val="0"/>
              <w:spacing w:line="340" w:lineRule="exact"/>
              <w:textAlignment w:val="bottom"/>
              <w:rPr>
                <w:color w:val="auto"/>
                <w:szCs w:val="21"/>
              </w:rPr>
            </w:pPr>
            <w:r>
              <w:rPr>
                <w:color w:val="auto"/>
                <w:szCs w:val="21"/>
              </w:rPr>
              <w:t>⑵查询截止时间：中标通知书发出前；</w:t>
            </w:r>
          </w:p>
          <w:p>
            <w:pPr>
              <w:autoSpaceDE w:val="0"/>
              <w:autoSpaceDN w:val="0"/>
              <w:snapToGrid w:val="0"/>
              <w:spacing w:line="340" w:lineRule="exact"/>
              <w:textAlignment w:val="bottom"/>
              <w:rPr>
                <w:color w:val="auto"/>
                <w:szCs w:val="21"/>
              </w:rPr>
            </w:pPr>
            <w:r>
              <w:rPr>
                <w:color w:val="auto"/>
                <w:szCs w:val="21"/>
              </w:rPr>
              <w:t>⑶信用信息查询记录和证据留存方式：在查询网站中直接打印查询记录，打印材料作为采购活动资料保存；</w:t>
            </w:r>
          </w:p>
          <w:p>
            <w:pPr>
              <w:spacing w:line="340" w:lineRule="exact"/>
              <w:rPr>
                <w:color w:val="auto"/>
                <w:szCs w:val="21"/>
              </w:rPr>
            </w:pPr>
            <w:r>
              <w:rPr>
                <w:color w:val="auto"/>
                <w:szCs w:val="21"/>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p>
            <w:pPr>
              <w:spacing w:line="340" w:lineRule="exact"/>
              <w:rPr>
                <w:color w:val="auto"/>
                <w:szCs w:val="21"/>
              </w:rPr>
            </w:pPr>
            <w:r>
              <w:rPr>
                <w:color w:val="auto"/>
                <w:szCs w:val="21"/>
              </w:rPr>
              <w:t>两个以上的自然人、法人或者其他组织组成一个联合体，以一个供应商的身份共同参加政府采购活动的，对所有联合体成员进行信用记录查询，联合体成员存在不良信用记录的，视同联合体存在不良信用记录。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14" w:type="dxa"/>
            <w:vAlign w:val="center"/>
          </w:tcPr>
          <w:p>
            <w:pPr>
              <w:spacing w:line="360" w:lineRule="exact"/>
              <w:jc w:val="center"/>
              <w:rPr>
                <w:color w:val="auto"/>
                <w:szCs w:val="21"/>
              </w:rPr>
            </w:pPr>
            <w:r>
              <w:rPr>
                <w:color w:val="auto"/>
                <w:szCs w:val="21"/>
              </w:rPr>
              <w:t>17</w:t>
            </w:r>
          </w:p>
        </w:tc>
        <w:tc>
          <w:tcPr>
            <w:tcW w:w="1065" w:type="dxa"/>
            <w:vAlign w:val="center"/>
          </w:tcPr>
          <w:p>
            <w:pPr>
              <w:spacing w:line="360" w:lineRule="exact"/>
              <w:jc w:val="center"/>
              <w:rPr>
                <w:color w:val="auto"/>
                <w:szCs w:val="21"/>
              </w:rPr>
            </w:pPr>
            <w:r>
              <w:rPr>
                <w:color w:val="auto"/>
                <w:szCs w:val="21"/>
              </w:rPr>
              <w:t>33</w:t>
            </w:r>
          </w:p>
        </w:tc>
        <w:tc>
          <w:tcPr>
            <w:tcW w:w="1735" w:type="dxa"/>
            <w:vAlign w:val="center"/>
          </w:tcPr>
          <w:p>
            <w:pPr>
              <w:spacing w:line="360" w:lineRule="exact"/>
              <w:jc w:val="center"/>
              <w:rPr>
                <w:color w:val="auto"/>
                <w:szCs w:val="21"/>
              </w:rPr>
            </w:pPr>
            <w:r>
              <w:rPr>
                <w:color w:val="auto"/>
                <w:szCs w:val="21"/>
              </w:rPr>
              <w:t>中标公告及中标通知书</w:t>
            </w:r>
          </w:p>
        </w:tc>
        <w:tc>
          <w:tcPr>
            <w:tcW w:w="6229" w:type="dxa"/>
            <w:vAlign w:val="center"/>
          </w:tcPr>
          <w:p>
            <w:pPr>
              <w:tabs>
                <w:tab w:val="left" w:pos="455"/>
              </w:tabs>
              <w:spacing w:line="360" w:lineRule="exact"/>
              <w:rPr>
                <w:color w:val="auto"/>
                <w:szCs w:val="21"/>
              </w:rPr>
            </w:pPr>
            <w:r>
              <w:rPr>
                <w:color w:val="auto"/>
                <w:szCs w:val="21"/>
              </w:rPr>
              <w:t>3</w:t>
            </w:r>
            <w:r>
              <w:rPr>
                <w:rFonts w:hint="eastAsia"/>
                <w:color w:val="auto"/>
                <w:szCs w:val="21"/>
              </w:rPr>
              <w:t>3</w:t>
            </w:r>
            <w:r>
              <w:rPr>
                <w:color w:val="auto"/>
                <w:szCs w:val="21"/>
              </w:rPr>
              <w:t>.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1个工作日。</w:t>
            </w:r>
          </w:p>
          <w:p>
            <w:pPr>
              <w:spacing w:line="360" w:lineRule="exact"/>
              <w:rPr>
                <w:color w:val="auto"/>
                <w:szCs w:val="21"/>
              </w:rPr>
            </w:pPr>
            <w:r>
              <w:rPr>
                <w:color w:val="auto"/>
                <w:szCs w:val="21"/>
              </w:rPr>
              <w:t>3</w:t>
            </w:r>
            <w:r>
              <w:rPr>
                <w:rFonts w:hint="eastAsia"/>
                <w:color w:val="auto"/>
                <w:szCs w:val="21"/>
              </w:rPr>
              <w:t>3</w:t>
            </w:r>
            <w:r>
              <w:rPr>
                <w:color w:val="auto"/>
                <w:szCs w:val="21"/>
              </w:rPr>
              <w:t>.2中标公告</w:t>
            </w:r>
            <w:r>
              <w:rPr>
                <w:rFonts w:hint="eastAsia"/>
                <w:color w:val="auto"/>
                <w:szCs w:val="21"/>
              </w:rPr>
              <w:t>发布的</w:t>
            </w:r>
            <w:r>
              <w:rPr>
                <w:color w:val="auto"/>
                <w:szCs w:val="21"/>
              </w:rPr>
              <w:t>同时</w:t>
            </w:r>
            <w:r>
              <w:rPr>
                <w:rFonts w:hint="eastAsia"/>
                <w:color w:val="auto"/>
                <w:szCs w:val="21"/>
              </w:rPr>
              <w:t>，</w:t>
            </w:r>
            <w:r>
              <w:rPr>
                <w:color w:val="auto"/>
                <w:szCs w:val="21"/>
              </w:rPr>
              <w:t>采购代理机构向中标供应商发出中标通知书，中标供应商应自接到通知之日起七个工作日内，办理中标通知书领取手续。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14" w:type="dxa"/>
            <w:vAlign w:val="center"/>
          </w:tcPr>
          <w:p>
            <w:pPr>
              <w:spacing w:line="360" w:lineRule="exact"/>
              <w:jc w:val="center"/>
              <w:rPr>
                <w:color w:val="auto"/>
                <w:szCs w:val="21"/>
              </w:rPr>
            </w:pPr>
            <w:r>
              <w:rPr>
                <w:color w:val="auto"/>
                <w:szCs w:val="21"/>
              </w:rPr>
              <w:t>18</w:t>
            </w:r>
          </w:p>
        </w:tc>
        <w:tc>
          <w:tcPr>
            <w:tcW w:w="1065" w:type="dxa"/>
            <w:vAlign w:val="center"/>
          </w:tcPr>
          <w:p>
            <w:pPr>
              <w:spacing w:line="360" w:lineRule="exact"/>
              <w:jc w:val="center"/>
              <w:rPr>
                <w:color w:val="auto"/>
                <w:szCs w:val="21"/>
              </w:rPr>
            </w:pPr>
            <w:r>
              <w:rPr>
                <w:color w:val="auto"/>
                <w:szCs w:val="21"/>
              </w:rPr>
              <w:t>34</w:t>
            </w:r>
          </w:p>
        </w:tc>
        <w:tc>
          <w:tcPr>
            <w:tcW w:w="1735" w:type="dxa"/>
            <w:vAlign w:val="center"/>
          </w:tcPr>
          <w:p>
            <w:pPr>
              <w:spacing w:line="360" w:lineRule="exact"/>
              <w:jc w:val="center"/>
              <w:rPr>
                <w:color w:val="auto"/>
                <w:szCs w:val="21"/>
              </w:rPr>
            </w:pPr>
            <w:r>
              <w:rPr>
                <w:color w:val="auto"/>
                <w:szCs w:val="21"/>
              </w:rPr>
              <w:t>履约保证金</w:t>
            </w:r>
          </w:p>
        </w:tc>
        <w:tc>
          <w:tcPr>
            <w:tcW w:w="6229" w:type="dxa"/>
            <w:vAlign w:val="center"/>
          </w:tcPr>
          <w:p>
            <w:pPr>
              <w:pStyle w:val="13"/>
              <w:spacing w:line="440" w:lineRule="exact"/>
              <w:rPr>
                <w:rFonts w:ascii="宋体" w:hAnsi="宋体" w:cs="宋体"/>
                <w:color w:val="auto"/>
                <w:szCs w:val="21"/>
              </w:rPr>
            </w:pPr>
            <w:r>
              <w:rPr>
                <w:rFonts w:hint="eastAsia" w:ascii="宋体" w:hAnsi="宋体" w:cs="宋体"/>
                <w:color w:val="auto"/>
                <w:szCs w:val="21"/>
              </w:rPr>
              <w:t>履约保证金的金额：合同价款的5%</w:t>
            </w:r>
          </w:p>
          <w:p>
            <w:pPr>
              <w:pStyle w:val="13"/>
              <w:spacing w:line="440" w:lineRule="exact"/>
              <w:rPr>
                <w:rFonts w:ascii="宋体" w:hAnsi="宋体" w:cs="宋体"/>
                <w:color w:val="auto"/>
                <w:szCs w:val="21"/>
              </w:rPr>
            </w:pPr>
            <w:r>
              <w:rPr>
                <w:rFonts w:hint="eastAsia" w:ascii="宋体" w:hAnsi="宋体" w:cs="宋体"/>
                <w:color w:val="auto"/>
                <w:szCs w:val="21"/>
              </w:rPr>
              <w:t>履约保证金的形式：</w:t>
            </w:r>
            <w:r>
              <w:rPr>
                <w:rFonts w:hint="eastAsia"/>
                <w:color w:val="auto"/>
                <w:szCs w:val="21"/>
              </w:rPr>
              <w:t>转账、电汇等形式缴入采购人指定账户</w:t>
            </w:r>
          </w:p>
          <w:p>
            <w:pPr>
              <w:pStyle w:val="18"/>
              <w:spacing w:line="360" w:lineRule="exact"/>
              <w:rPr>
                <w:rFonts w:ascii="Times New Roman" w:hAnsi="Times New Roman"/>
                <w:color w:val="auto"/>
                <w:szCs w:val="21"/>
              </w:rPr>
            </w:pPr>
            <w:r>
              <w:rPr>
                <w:rFonts w:hint="eastAsia" w:hAnsi="宋体" w:cs="宋体"/>
                <w:color w:val="auto"/>
                <w:szCs w:val="21"/>
              </w:rPr>
              <w:t>履约保证金提交时间：在签订合同前。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14" w:type="dxa"/>
            <w:vAlign w:val="center"/>
          </w:tcPr>
          <w:p>
            <w:pPr>
              <w:spacing w:line="360" w:lineRule="exact"/>
              <w:jc w:val="center"/>
              <w:rPr>
                <w:color w:val="auto"/>
                <w:szCs w:val="21"/>
              </w:rPr>
            </w:pPr>
            <w:r>
              <w:rPr>
                <w:color w:val="auto"/>
                <w:szCs w:val="21"/>
              </w:rPr>
              <w:t>19</w:t>
            </w:r>
          </w:p>
        </w:tc>
        <w:tc>
          <w:tcPr>
            <w:tcW w:w="1065" w:type="dxa"/>
            <w:vAlign w:val="center"/>
          </w:tcPr>
          <w:p>
            <w:pPr>
              <w:spacing w:line="360" w:lineRule="exact"/>
              <w:jc w:val="center"/>
              <w:rPr>
                <w:color w:val="auto"/>
                <w:szCs w:val="21"/>
              </w:rPr>
            </w:pPr>
            <w:r>
              <w:rPr>
                <w:color w:val="auto"/>
                <w:szCs w:val="21"/>
              </w:rPr>
              <w:t>35.1</w:t>
            </w:r>
          </w:p>
        </w:tc>
        <w:tc>
          <w:tcPr>
            <w:tcW w:w="1735" w:type="dxa"/>
            <w:vAlign w:val="center"/>
          </w:tcPr>
          <w:p>
            <w:pPr>
              <w:spacing w:line="360" w:lineRule="exact"/>
              <w:jc w:val="center"/>
              <w:rPr>
                <w:color w:val="auto"/>
                <w:szCs w:val="21"/>
              </w:rPr>
            </w:pPr>
            <w:r>
              <w:rPr>
                <w:color w:val="auto"/>
                <w:szCs w:val="21"/>
              </w:rPr>
              <w:t>签订合同时间</w:t>
            </w:r>
          </w:p>
        </w:tc>
        <w:tc>
          <w:tcPr>
            <w:tcW w:w="6229" w:type="dxa"/>
            <w:vAlign w:val="center"/>
          </w:tcPr>
          <w:p>
            <w:pPr>
              <w:spacing w:line="360" w:lineRule="exact"/>
              <w:rPr>
                <w:color w:val="auto"/>
                <w:szCs w:val="21"/>
              </w:rPr>
            </w:pPr>
            <w:r>
              <w:rPr>
                <w:color w:val="auto"/>
                <w:szCs w:val="21"/>
              </w:rPr>
              <w:t>中标通知书发出之日起</w:t>
            </w:r>
            <w:r>
              <w:rPr>
                <w:rFonts w:hint="eastAsia"/>
                <w:color w:val="auto"/>
                <w:szCs w:val="21"/>
              </w:rPr>
              <w:t>二十五日</w:t>
            </w:r>
            <w:r>
              <w:rPr>
                <w:color w:val="auto"/>
                <w:szCs w:val="21"/>
              </w:rPr>
              <w:t>内。中标供应商领取中标通知书后，应按规定与采购人签订合同。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14" w:type="dxa"/>
            <w:vAlign w:val="center"/>
          </w:tcPr>
          <w:p>
            <w:pPr>
              <w:spacing w:line="360" w:lineRule="exact"/>
              <w:jc w:val="center"/>
              <w:rPr>
                <w:color w:val="auto"/>
                <w:szCs w:val="21"/>
              </w:rPr>
            </w:pPr>
            <w:r>
              <w:rPr>
                <w:color w:val="auto"/>
                <w:szCs w:val="21"/>
              </w:rPr>
              <w:t>20</w:t>
            </w:r>
          </w:p>
        </w:tc>
        <w:tc>
          <w:tcPr>
            <w:tcW w:w="1065" w:type="dxa"/>
            <w:vAlign w:val="center"/>
          </w:tcPr>
          <w:p>
            <w:pPr>
              <w:spacing w:line="360" w:lineRule="exact"/>
              <w:jc w:val="center"/>
              <w:rPr>
                <w:color w:val="auto"/>
                <w:szCs w:val="21"/>
              </w:rPr>
            </w:pPr>
            <w:r>
              <w:rPr>
                <w:color w:val="auto"/>
                <w:szCs w:val="21"/>
              </w:rPr>
              <w:t>35.4</w:t>
            </w:r>
          </w:p>
        </w:tc>
        <w:tc>
          <w:tcPr>
            <w:tcW w:w="1735" w:type="dxa"/>
            <w:vAlign w:val="center"/>
          </w:tcPr>
          <w:p>
            <w:pPr>
              <w:spacing w:line="360" w:lineRule="exact"/>
              <w:jc w:val="center"/>
              <w:rPr>
                <w:color w:val="auto"/>
                <w:szCs w:val="21"/>
              </w:rPr>
            </w:pPr>
            <w:r>
              <w:rPr>
                <w:color w:val="auto"/>
                <w:szCs w:val="21"/>
              </w:rPr>
              <w:t>合同备案存档</w:t>
            </w:r>
          </w:p>
        </w:tc>
        <w:tc>
          <w:tcPr>
            <w:tcW w:w="6229" w:type="dxa"/>
            <w:vAlign w:val="center"/>
          </w:tcPr>
          <w:p>
            <w:pPr>
              <w:spacing w:line="360" w:lineRule="exact"/>
              <w:rPr>
                <w:color w:val="auto"/>
                <w:szCs w:val="21"/>
              </w:rPr>
            </w:pPr>
            <w:r>
              <w:rPr>
                <w:color w:val="auto"/>
                <w:szCs w:val="21"/>
              </w:rPr>
              <w:t>政府采购合同双方自签订之日起</w:t>
            </w:r>
            <w:r>
              <w:rPr>
                <w:rFonts w:hint="eastAsia"/>
                <w:color w:val="auto"/>
                <w:szCs w:val="21"/>
              </w:rPr>
              <w:t>一</w:t>
            </w:r>
            <w:r>
              <w:rPr>
                <w:color w:val="auto"/>
                <w:szCs w:val="21"/>
              </w:rPr>
              <w:t>个工作日内将合同原件两份交采购代理机构。采购代理机构将政府采购合同在省级以上人民政府财政部门指定媒体上公告并于合同签订之日起</w:t>
            </w:r>
            <w:r>
              <w:rPr>
                <w:rFonts w:hint="eastAsia"/>
                <w:color w:val="auto"/>
                <w:szCs w:val="21"/>
              </w:rPr>
              <w:t>七</w:t>
            </w:r>
            <w:r>
              <w:rPr>
                <w:color w:val="auto"/>
                <w:szCs w:val="21"/>
              </w:rPr>
              <w:t>个工作日内将一份合同原件送</w:t>
            </w:r>
            <w:r>
              <w:rPr>
                <w:rFonts w:hint="eastAsia"/>
                <w:color w:val="auto"/>
                <w:szCs w:val="21"/>
              </w:rPr>
              <w:t>广西壮族自治区财政厅政府采购监督管理处</w:t>
            </w:r>
            <w:r>
              <w:rPr>
                <w:color w:val="auto"/>
                <w:szCs w:val="21"/>
              </w:rPr>
              <w:t>备案，一份由</w:t>
            </w:r>
            <w:r>
              <w:rPr>
                <w:rFonts w:hint="eastAsia" w:ascii="宋体" w:hAnsi="宋体" w:cs="宋体"/>
                <w:color w:val="auto"/>
                <w:szCs w:val="21"/>
              </w:rPr>
              <w:t>桂林市政府集中采购中心</w:t>
            </w:r>
            <w:r>
              <w:rPr>
                <w:color w:val="auto"/>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14" w:type="dxa"/>
            <w:vAlign w:val="center"/>
          </w:tcPr>
          <w:p>
            <w:pPr>
              <w:spacing w:line="360" w:lineRule="exact"/>
              <w:jc w:val="center"/>
              <w:rPr>
                <w:color w:val="auto"/>
                <w:szCs w:val="21"/>
              </w:rPr>
            </w:pPr>
            <w:r>
              <w:rPr>
                <w:color w:val="auto"/>
                <w:szCs w:val="21"/>
              </w:rPr>
              <w:t>21</w:t>
            </w:r>
          </w:p>
        </w:tc>
        <w:tc>
          <w:tcPr>
            <w:tcW w:w="1065" w:type="dxa"/>
            <w:vAlign w:val="center"/>
          </w:tcPr>
          <w:p>
            <w:pPr>
              <w:spacing w:line="360" w:lineRule="exact"/>
              <w:jc w:val="center"/>
              <w:rPr>
                <w:color w:val="auto"/>
                <w:szCs w:val="21"/>
              </w:rPr>
            </w:pPr>
            <w:r>
              <w:rPr>
                <w:color w:val="auto"/>
                <w:szCs w:val="21"/>
              </w:rPr>
              <w:t>36</w:t>
            </w:r>
          </w:p>
        </w:tc>
        <w:tc>
          <w:tcPr>
            <w:tcW w:w="1735" w:type="dxa"/>
            <w:vAlign w:val="center"/>
          </w:tcPr>
          <w:p>
            <w:pPr>
              <w:spacing w:line="360" w:lineRule="exact"/>
              <w:jc w:val="center"/>
              <w:rPr>
                <w:color w:val="auto"/>
                <w:szCs w:val="21"/>
              </w:rPr>
            </w:pPr>
            <w:r>
              <w:rPr>
                <w:color w:val="auto"/>
                <w:szCs w:val="21"/>
              </w:rPr>
              <w:t>招标代理服务费</w:t>
            </w:r>
          </w:p>
        </w:tc>
        <w:tc>
          <w:tcPr>
            <w:tcW w:w="6229" w:type="dxa"/>
            <w:vAlign w:val="center"/>
          </w:tcPr>
          <w:p>
            <w:pPr>
              <w:spacing w:line="360" w:lineRule="exact"/>
              <w:rPr>
                <w:color w:val="auto"/>
                <w:szCs w:val="21"/>
              </w:rPr>
            </w:pPr>
            <w:r>
              <w:rPr>
                <w:rFonts w:hint="eastAsia" w:ascii="宋体" w:hAnsi="宋体" w:cs="宋体"/>
                <w:color w:val="auto"/>
                <w:szCs w:val="21"/>
              </w:rPr>
              <w:t>本项目免收代理服务费。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714" w:type="dxa"/>
            <w:vAlign w:val="center"/>
          </w:tcPr>
          <w:p>
            <w:pPr>
              <w:spacing w:line="360" w:lineRule="exact"/>
              <w:jc w:val="center"/>
              <w:rPr>
                <w:color w:val="auto"/>
                <w:szCs w:val="21"/>
              </w:rPr>
            </w:pPr>
            <w:r>
              <w:rPr>
                <w:color w:val="auto"/>
                <w:szCs w:val="21"/>
              </w:rPr>
              <w:t>2</w:t>
            </w:r>
            <w:r>
              <w:rPr>
                <w:rFonts w:hint="eastAsia"/>
                <w:color w:val="auto"/>
                <w:szCs w:val="21"/>
              </w:rPr>
              <w:t>2</w:t>
            </w:r>
          </w:p>
        </w:tc>
        <w:tc>
          <w:tcPr>
            <w:tcW w:w="1065" w:type="dxa"/>
            <w:vAlign w:val="center"/>
          </w:tcPr>
          <w:p>
            <w:pPr>
              <w:spacing w:line="360" w:lineRule="exact"/>
              <w:jc w:val="center"/>
              <w:rPr>
                <w:color w:val="auto"/>
                <w:szCs w:val="21"/>
              </w:rPr>
            </w:pPr>
            <w:r>
              <w:rPr>
                <w:color w:val="auto"/>
                <w:szCs w:val="21"/>
              </w:rPr>
              <w:t>3</w:t>
            </w:r>
            <w:r>
              <w:rPr>
                <w:rFonts w:hint="eastAsia"/>
                <w:color w:val="auto"/>
                <w:szCs w:val="21"/>
              </w:rPr>
              <w:t>7</w:t>
            </w:r>
          </w:p>
        </w:tc>
        <w:tc>
          <w:tcPr>
            <w:tcW w:w="1735" w:type="dxa"/>
            <w:vAlign w:val="center"/>
          </w:tcPr>
          <w:p>
            <w:pPr>
              <w:spacing w:line="360" w:lineRule="exact"/>
              <w:jc w:val="center"/>
              <w:rPr>
                <w:color w:val="auto"/>
                <w:szCs w:val="21"/>
              </w:rPr>
            </w:pPr>
            <w:r>
              <w:rPr>
                <w:color w:val="auto"/>
                <w:szCs w:val="21"/>
              </w:rPr>
              <w:t>解释权</w:t>
            </w:r>
          </w:p>
        </w:tc>
        <w:tc>
          <w:tcPr>
            <w:tcW w:w="6229" w:type="dxa"/>
            <w:vAlign w:val="center"/>
          </w:tcPr>
          <w:p>
            <w:pPr>
              <w:spacing w:line="360" w:lineRule="exact"/>
              <w:rPr>
                <w:color w:val="auto"/>
                <w:szCs w:val="21"/>
              </w:rPr>
            </w:pPr>
            <w:r>
              <w:rPr>
                <w:color w:val="auto"/>
                <w:szCs w:val="21"/>
              </w:rPr>
              <w:t>本招标文件是根据《中华人民共和国政府采购法》、《中华人民共和国政府采购法实施条例》及</w:t>
            </w:r>
            <w:r>
              <w:rPr>
                <w:rStyle w:val="112"/>
                <w:color w:val="auto"/>
                <w:szCs w:val="21"/>
              </w:rPr>
              <w:t>财政部令第87号</w:t>
            </w:r>
            <w:r>
              <w:rPr>
                <w:color w:val="auto"/>
                <w:szCs w:val="21"/>
              </w:rPr>
              <w:t>《政府采购货物和服务招标投标管理办法》等相关规定编制，本招标文件的解释权属于</w:t>
            </w:r>
            <w:r>
              <w:rPr>
                <w:rFonts w:hint="eastAsia" w:ascii="宋体" w:hAnsi="宋体" w:cs="宋体"/>
                <w:color w:val="auto"/>
                <w:szCs w:val="21"/>
              </w:rPr>
              <w:t>桂林市政府集中采购中心</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14" w:type="dxa"/>
            <w:vAlign w:val="center"/>
          </w:tcPr>
          <w:p>
            <w:pPr>
              <w:spacing w:line="360" w:lineRule="exact"/>
              <w:jc w:val="center"/>
              <w:rPr>
                <w:color w:val="auto"/>
                <w:szCs w:val="21"/>
              </w:rPr>
            </w:pPr>
            <w:r>
              <w:rPr>
                <w:color w:val="auto"/>
                <w:szCs w:val="21"/>
              </w:rPr>
              <w:t>2</w:t>
            </w:r>
            <w:r>
              <w:rPr>
                <w:rFonts w:hint="eastAsia"/>
                <w:color w:val="auto"/>
                <w:szCs w:val="21"/>
              </w:rPr>
              <w:t>3</w:t>
            </w:r>
          </w:p>
        </w:tc>
        <w:tc>
          <w:tcPr>
            <w:tcW w:w="1065" w:type="dxa"/>
            <w:vAlign w:val="center"/>
          </w:tcPr>
          <w:p>
            <w:pPr>
              <w:spacing w:line="360" w:lineRule="exact"/>
              <w:jc w:val="center"/>
              <w:rPr>
                <w:color w:val="auto"/>
                <w:szCs w:val="21"/>
              </w:rPr>
            </w:pPr>
            <w:r>
              <w:rPr>
                <w:color w:val="auto"/>
                <w:szCs w:val="21"/>
              </w:rPr>
              <w:t>3</w:t>
            </w:r>
            <w:r>
              <w:rPr>
                <w:rFonts w:hint="eastAsia"/>
                <w:color w:val="auto"/>
                <w:szCs w:val="21"/>
              </w:rPr>
              <w:t>8</w:t>
            </w:r>
          </w:p>
        </w:tc>
        <w:tc>
          <w:tcPr>
            <w:tcW w:w="1735" w:type="dxa"/>
            <w:vAlign w:val="center"/>
          </w:tcPr>
          <w:p>
            <w:pPr>
              <w:spacing w:line="360" w:lineRule="exact"/>
              <w:jc w:val="center"/>
              <w:rPr>
                <w:color w:val="auto"/>
                <w:position w:val="10"/>
                <w:szCs w:val="21"/>
              </w:rPr>
            </w:pPr>
            <w:r>
              <w:rPr>
                <w:color w:val="auto"/>
                <w:szCs w:val="21"/>
              </w:rPr>
              <w:t>监督管理机构</w:t>
            </w:r>
          </w:p>
        </w:tc>
        <w:tc>
          <w:tcPr>
            <w:tcW w:w="6229" w:type="dxa"/>
            <w:vAlign w:val="center"/>
          </w:tcPr>
          <w:p>
            <w:pPr>
              <w:spacing w:line="360" w:lineRule="exact"/>
              <w:rPr>
                <w:color w:val="auto"/>
                <w:szCs w:val="21"/>
              </w:rPr>
            </w:pPr>
            <w:r>
              <w:rPr>
                <w:rFonts w:hint="eastAsia"/>
                <w:color w:val="auto"/>
                <w:szCs w:val="21"/>
              </w:rPr>
              <w:t>广西壮族自治区财政厅政府采购监督管理处电话：0771-5331544</w:t>
            </w:r>
          </w:p>
        </w:tc>
      </w:tr>
    </w:tbl>
    <w:p>
      <w:pPr>
        <w:spacing w:line="360" w:lineRule="auto"/>
        <w:jc w:val="center"/>
        <w:outlineLvl w:val="1"/>
        <w:rPr>
          <w:b/>
          <w:color w:val="auto"/>
          <w:sz w:val="28"/>
          <w:szCs w:val="28"/>
        </w:rPr>
      </w:pPr>
      <w:bookmarkStart w:id="46" w:name="_Toc3679"/>
      <w:bookmarkStart w:id="47" w:name="_Toc495841754"/>
      <w:r>
        <w:rPr>
          <w:b/>
          <w:color w:val="auto"/>
          <w:sz w:val="28"/>
          <w:szCs w:val="28"/>
        </w:rPr>
        <w:br w:type="page"/>
      </w:r>
      <w:bookmarkStart w:id="48" w:name="_Toc17184"/>
      <w:r>
        <w:rPr>
          <w:b/>
          <w:color w:val="auto"/>
          <w:sz w:val="28"/>
          <w:szCs w:val="28"/>
        </w:rPr>
        <w:t>一、总则</w:t>
      </w:r>
      <w:bookmarkEnd w:id="46"/>
      <w:bookmarkEnd w:id="47"/>
      <w:bookmarkEnd w:id="48"/>
    </w:p>
    <w:p>
      <w:pPr>
        <w:spacing w:line="400" w:lineRule="exact"/>
        <w:ind w:firstLine="413" w:firstLineChars="196"/>
        <w:outlineLvl w:val="2"/>
        <w:rPr>
          <w:b/>
          <w:color w:val="auto"/>
          <w:szCs w:val="21"/>
        </w:rPr>
      </w:pPr>
      <w:bookmarkStart w:id="49" w:name="_Toc7363"/>
      <w:bookmarkStart w:id="50" w:name="_Toc23807"/>
      <w:r>
        <w:rPr>
          <w:b/>
          <w:color w:val="auto"/>
          <w:szCs w:val="21"/>
        </w:rPr>
        <w:t>1. 项目名称及项目编号</w:t>
      </w:r>
      <w:bookmarkEnd w:id="49"/>
      <w:bookmarkEnd w:id="50"/>
    </w:p>
    <w:p>
      <w:pPr>
        <w:spacing w:line="400" w:lineRule="exact"/>
        <w:ind w:firstLine="420" w:firstLineChars="200"/>
        <w:rPr>
          <w:color w:val="auto"/>
          <w:szCs w:val="21"/>
        </w:rPr>
      </w:pPr>
      <w:r>
        <w:rPr>
          <w:color w:val="auto"/>
          <w:szCs w:val="21"/>
        </w:rPr>
        <w:t>项目名称：</w:t>
      </w:r>
      <w:r>
        <w:rPr>
          <w:rFonts w:hint="eastAsia"/>
          <w:color w:val="auto"/>
          <w:szCs w:val="21"/>
        </w:rPr>
        <w:t>五期学生公寓楼组合公寓床采购</w:t>
      </w:r>
    </w:p>
    <w:p>
      <w:pPr>
        <w:spacing w:line="400" w:lineRule="exact"/>
        <w:ind w:firstLine="420" w:firstLineChars="200"/>
        <w:rPr>
          <w:color w:val="auto"/>
          <w:spacing w:val="-6"/>
          <w:kern w:val="0"/>
          <w:szCs w:val="21"/>
        </w:rPr>
      </w:pPr>
      <w:r>
        <w:rPr>
          <w:color w:val="auto"/>
          <w:szCs w:val="21"/>
        </w:rPr>
        <w:t>项目编号：</w:t>
      </w:r>
      <w:r>
        <w:rPr>
          <w:rFonts w:hint="eastAsia"/>
          <w:color w:val="auto"/>
          <w:szCs w:val="21"/>
        </w:rPr>
        <w:t>GXZC2020-G1-001981-GLSZ</w:t>
      </w:r>
    </w:p>
    <w:p>
      <w:pPr>
        <w:spacing w:line="400" w:lineRule="exact"/>
        <w:ind w:firstLine="413" w:firstLineChars="196"/>
        <w:outlineLvl w:val="2"/>
        <w:rPr>
          <w:b/>
          <w:color w:val="auto"/>
          <w:szCs w:val="21"/>
        </w:rPr>
      </w:pPr>
      <w:bookmarkStart w:id="51" w:name="_Toc340"/>
      <w:bookmarkStart w:id="52" w:name="_Toc20417"/>
      <w:r>
        <w:rPr>
          <w:b/>
          <w:color w:val="auto"/>
          <w:szCs w:val="21"/>
        </w:rPr>
        <w:t>2. 适应范围</w:t>
      </w:r>
      <w:bookmarkEnd w:id="51"/>
      <w:bookmarkEnd w:id="52"/>
    </w:p>
    <w:p>
      <w:pPr>
        <w:spacing w:line="400" w:lineRule="exact"/>
        <w:ind w:firstLine="420" w:firstLineChars="200"/>
        <w:rPr>
          <w:color w:val="auto"/>
          <w:szCs w:val="21"/>
        </w:rPr>
      </w:pPr>
      <w:r>
        <w:rPr>
          <w:color w:val="auto"/>
          <w:szCs w:val="21"/>
        </w:rPr>
        <w:t>本招标文件适用本招标采购项目的招标、投标、评标、合同履约、验收、付款等行为（法律、法规另有规定的，从其规定）。</w:t>
      </w:r>
    </w:p>
    <w:p>
      <w:pPr>
        <w:spacing w:line="400" w:lineRule="exact"/>
        <w:ind w:firstLine="413" w:firstLineChars="196"/>
        <w:outlineLvl w:val="2"/>
        <w:rPr>
          <w:b/>
          <w:color w:val="auto"/>
          <w:szCs w:val="21"/>
        </w:rPr>
      </w:pPr>
      <w:bookmarkStart w:id="53" w:name="_Toc1895"/>
      <w:bookmarkStart w:id="54" w:name="_Toc15235"/>
      <w:r>
        <w:rPr>
          <w:b/>
          <w:color w:val="auto"/>
          <w:szCs w:val="21"/>
        </w:rPr>
        <w:t>3. 定义</w:t>
      </w:r>
      <w:bookmarkEnd w:id="53"/>
      <w:bookmarkEnd w:id="54"/>
    </w:p>
    <w:p>
      <w:pPr>
        <w:spacing w:line="400" w:lineRule="exact"/>
        <w:ind w:firstLine="435"/>
        <w:rPr>
          <w:color w:val="auto"/>
          <w:szCs w:val="21"/>
        </w:rPr>
      </w:pPr>
      <w:r>
        <w:rPr>
          <w:color w:val="auto"/>
          <w:szCs w:val="21"/>
        </w:rPr>
        <w:t>3.1“投标人”</w:t>
      </w:r>
      <w:r>
        <w:rPr>
          <w:rFonts w:hint="eastAsia"/>
          <w:color w:val="auto"/>
          <w:szCs w:val="21"/>
        </w:rPr>
        <w:t>系</w:t>
      </w:r>
      <w:r>
        <w:rPr>
          <w:color w:val="auto"/>
          <w:szCs w:val="21"/>
        </w:rPr>
        <w:t>指响应招标、参加投标竞争的法人、其他组织</w:t>
      </w:r>
      <w:r>
        <w:rPr>
          <w:rFonts w:hint="eastAsia"/>
          <w:color w:val="auto"/>
          <w:szCs w:val="21"/>
        </w:rPr>
        <w:t>或者自然人</w:t>
      </w:r>
      <w:r>
        <w:rPr>
          <w:color w:val="auto"/>
          <w:szCs w:val="21"/>
        </w:rPr>
        <w:t>。</w:t>
      </w:r>
    </w:p>
    <w:p>
      <w:pPr>
        <w:spacing w:line="400" w:lineRule="exact"/>
        <w:ind w:firstLine="435"/>
        <w:rPr>
          <w:color w:val="auto"/>
          <w:szCs w:val="21"/>
        </w:rPr>
      </w:pPr>
      <w:r>
        <w:rPr>
          <w:color w:val="auto"/>
          <w:szCs w:val="21"/>
        </w:rPr>
        <w:t>3.2“货物”系指按招标文件规定，投标人须向采购人提供的一切设备、保险、税金、备品备件、工具、手册及其它有关技术资料和材料。</w:t>
      </w:r>
    </w:p>
    <w:p>
      <w:pPr>
        <w:spacing w:line="400" w:lineRule="exact"/>
        <w:ind w:firstLine="435"/>
        <w:rPr>
          <w:color w:val="auto"/>
          <w:szCs w:val="21"/>
        </w:rPr>
      </w:pPr>
      <w:r>
        <w:rPr>
          <w:color w:val="auto"/>
          <w:szCs w:val="21"/>
        </w:rPr>
        <w:t>3.3“服务”系指按招标文件规定，投标人须承担的安装、调试、技术协助、校准、培训、技术指导以及其他类似的义务。</w:t>
      </w:r>
    </w:p>
    <w:p>
      <w:pPr>
        <w:spacing w:line="400" w:lineRule="exact"/>
        <w:ind w:firstLine="435"/>
        <w:rPr>
          <w:color w:val="auto"/>
          <w:szCs w:val="21"/>
        </w:rPr>
      </w:pPr>
      <w:r>
        <w:rPr>
          <w:color w:val="auto"/>
          <w:szCs w:val="21"/>
        </w:rPr>
        <w:t>3.4“项目”系指投标人按招标文件规定向采购人提供的货物和服务。</w:t>
      </w:r>
    </w:p>
    <w:p>
      <w:pPr>
        <w:spacing w:line="400" w:lineRule="exact"/>
        <w:ind w:firstLine="435"/>
        <w:rPr>
          <w:color w:val="auto"/>
          <w:szCs w:val="21"/>
        </w:rPr>
      </w:pPr>
      <w:r>
        <w:rPr>
          <w:color w:val="auto"/>
          <w:szCs w:val="21"/>
        </w:rPr>
        <w:t>3.5“书面形式”包括信函、传真、电报。</w:t>
      </w:r>
    </w:p>
    <w:p>
      <w:pPr>
        <w:spacing w:line="400" w:lineRule="exact"/>
        <w:ind w:firstLine="435"/>
        <w:rPr>
          <w:b/>
          <w:color w:val="auto"/>
          <w:sz w:val="21"/>
          <w:szCs w:val="21"/>
        </w:rPr>
      </w:pPr>
      <w:r>
        <w:rPr>
          <w:b/>
          <w:color w:val="auto"/>
          <w:sz w:val="21"/>
          <w:szCs w:val="21"/>
        </w:rPr>
        <w:t>3.6实质性要求：标注★号项的要求为实质性要求</w:t>
      </w:r>
      <w:r>
        <w:rPr>
          <w:rFonts w:hint="eastAsia"/>
          <w:b/>
          <w:color w:val="auto"/>
          <w:sz w:val="21"/>
          <w:szCs w:val="21"/>
        </w:rPr>
        <w:t>，</w:t>
      </w:r>
      <w:r>
        <w:rPr>
          <w:b/>
          <w:color w:val="auto"/>
          <w:sz w:val="21"/>
          <w:szCs w:val="21"/>
        </w:rPr>
        <w:t>不允许负偏离</w:t>
      </w:r>
      <w:r>
        <w:rPr>
          <w:rFonts w:hint="eastAsia"/>
          <w:b/>
          <w:color w:val="auto"/>
          <w:sz w:val="21"/>
          <w:szCs w:val="21"/>
        </w:rPr>
        <w:t>，</w:t>
      </w:r>
      <w:r>
        <w:rPr>
          <w:b/>
          <w:color w:val="auto"/>
          <w:sz w:val="21"/>
          <w:szCs w:val="21"/>
        </w:rPr>
        <w:t>否则投标无效。</w:t>
      </w:r>
    </w:p>
    <w:p>
      <w:pPr>
        <w:spacing w:line="400" w:lineRule="exact"/>
        <w:ind w:firstLine="413" w:firstLineChars="196"/>
        <w:outlineLvl w:val="2"/>
        <w:rPr>
          <w:b/>
          <w:color w:val="auto"/>
          <w:szCs w:val="21"/>
        </w:rPr>
      </w:pPr>
      <w:bookmarkStart w:id="55" w:name="_Toc23735"/>
      <w:bookmarkStart w:id="56" w:name="_Toc28906"/>
      <w:r>
        <w:rPr>
          <w:b/>
          <w:color w:val="auto"/>
          <w:szCs w:val="21"/>
        </w:rPr>
        <w:t>4. 招标方式、评分办法</w:t>
      </w:r>
      <w:bookmarkEnd w:id="55"/>
      <w:bookmarkEnd w:id="56"/>
    </w:p>
    <w:p>
      <w:pPr>
        <w:spacing w:line="400" w:lineRule="exact"/>
        <w:ind w:firstLine="435"/>
        <w:rPr>
          <w:color w:val="auto"/>
          <w:szCs w:val="21"/>
        </w:rPr>
      </w:pPr>
      <w:r>
        <w:rPr>
          <w:color w:val="auto"/>
          <w:szCs w:val="21"/>
        </w:rPr>
        <w:t>公开招标、综合评分法</w:t>
      </w:r>
    </w:p>
    <w:p>
      <w:pPr>
        <w:spacing w:line="400" w:lineRule="exact"/>
        <w:ind w:firstLine="413" w:firstLineChars="196"/>
        <w:outlineLvl w:val="2"/>
        <w:rPr>
          <w:b/>
          <w:color w:val="auto"/>
          <w:szCs w:val="21"/>
        </w:rPr>
      </w:pPr>
      <w:bookmarkStart w:id="57" w:name="_Toc13217"/>
      <w:bookmarkStart w:id="58" w:name="_Toc598"/>
      <w:r>
        <w:rPr>
          <w:b/>
          <w:color w:val="auto"/>
          <w:szCs w:val="21"/>
        </w:rPr>
        <w:t>5. 投标人资格</w:t>
      </w:r>
      <w:bookmarkEnd w:id="57"/>
      <w:bookmarkEnd w:id="58"/>
    </w:p>
    <w:p>
      <w:pPr>
        <w:spacing w:line="400" w:lineRule="exact"/>
        <w:ind w:firstLine="435"/>
        <w:rPr>
          <w:color w:val="auto"/>
          <w:szCs w:val="21"/>
        </w:rPr>
      </w:pPr>
      <w:r>
        <w:rPr>
          <w:color w:val="auto"/>
          <w:szCs w:val="21"/>
        </w:rPr>
        <w:t>5.1符合《中华人民共和国政府采购法》第二十二条</w:t>
      </w:r>
      <w:r>
        <w:rPr>
          <w:rFonts w:hint="eastAsia"/>
          <w:color w:val="auto"/>
          <w:szCs w:val="21"/>
        </w:rPr>
        <w:t>和《政府采购法实施条例》第十八条规定</w:t>
      </w:r>
      <w:r>
        <w:rPr>
          <w:color w:val="auto"/>
          <w:szCs w:val="21"/>
        </w:rPr>
        <w:t>，并且</w:t>
      </w:r>
      <w:r>
        <w:rPr>
          <w:rFonts w:hint="eastAsia"/>
          <w:color w:val="auto"/>
          <w:szCs w:val="21"/>
        </w:rPr>
        <w:t>在</w:t>
      </w:r>
      <w:r>
        <w:rPr>
          <w:color w:val="auto"/>
          <w:szCs w:val="21"/>
        </w:rPr>
        <w:t>国内注册或登记、具备</w:t>
      </w:r>
      <w:r>
        <w:rPr>
          <w:rFonts w:hint="eastAsia"/>
          <w:color w:val="auto"/>
          <w:szCs w:val="21"/>
        </w:rPr>
        <w:t>合法资格</w:t>
      </w:r>
      <w:r>
        <w:rPr>
          <w:color w:val="auto"/>
          <w:szCs w:val="21"/>
        </w:rPr>
        <w:t>，</w:t>
      </w:r>
      <w:r>
        <w:rPr>
          <w:rFonts w:hint="eastAsia"/>
          <w:color w:val="auto"/>
          <w:szCs w:val="21"/>
        </w:rPr>
        <w:t>提供本次采购货物或服务的供应商。</w:t>
      </w:r>
    </w:p>
    <w:p>
      <w:pPr>
        <w:spacing w:line="400" w:lineRule="exact"/>
        <w:ind w:firstLine="435"/>
        <w:rPr>
          <w:color w:val="auto"/>
          <w:szCs w:val="21"/>
        </w:rPr>
      </w:pPr>
      <w:r>
        <w:rPr>
          <w:color w:val="auto"/>
          <w:szCs w:val="21"/>
        </w:rPr>
        <w:t>5.</w:t>
      </w:r>
      <w:r>
        <w:rPr>
          <w:rFonts w:hint="eastAsia"/>
          <w:color w:val="auto"/>
          <w:szCs w:val="21"/>
        </w:rPr>
        <w:t>2</w:t>
      </w:r>
      <w:r>
        <w:rPr>
          <w:color w:val="auto"/>
          <w:szCs w:val="21"/>
        </w:rPr>
        <w:t>本项目不接受联合体投标。</w:t>
      </w:r>
    </w:p>
    <w:p>
      <w:pPr>
        <w:spacing w:line="400" w:lineRule="exact"/>
        <w:ind w:firstLine="435"/>
        <w:rPr>
          <w:color w:val="auto"/>
          <w:szCs w:val="21"/>
        </w:rPr>
      </w:pPr>
      <w:r>
        <w:rPr>
          <w:color w:val="auto"/>
          <w:szCs w:val="21"/>
        </w:rPr>
        <w:t>5.</w:t>
      </w:r>
      <w:r>
        <w:rPr>
          <w:rFonts w:hint="eastAsia"/>
          <w:color w:val="auto"/>
          <w:szCs w:val="21"/>
        </w:rPr>
        <w:t>3</w:t>
      </w:r>
      <w:r>
        <w:rPr>
          <w:color w:val="auto"/>
          <w:szCs w:val="21"/>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spacing w:line="400" w:lineRule="exact"/>
        <w:ind w:firstLine="413" w:firstLineChars="196"/>
        <w:outlineLvl w:val="2"/>
        <w:rPr>
          <w:b/>
          <w:color w:val="auto"/>
          <w:szCs w:val="21"/>
        </w:rPr>
      </w:pPr>
      <w:bookmarkStart w:id="59" w:name="_Toc1925"/>
      <w:bookmarkStart w:id="60" w:name="_Toc24742"/>
      <w:r>
        <w:rPr>
          <w:b/>
          <w:color w:val="auto"/>
          <w:szCs w:val="21"/>
        </w:rPr>
        <w:t>6. 投标费用</w:t>
      </w:r>
      <w:bookmarkEnd w:id="59"/>
      <w:bookmarkEnd w:id="60"/>
    </w:p>
    <w:p>
      <w:pPr>
        <w:spacing w:line="400" w:lineRule="exact"/>
        <w:ind w:firstLine="435"/>
        <w:rPr>
          <w:b/>
          <w:color w:val="auto"/>
          <w:szCs w:val="21"/>
        </w:rPr>
      </w:pPr>
      <w:r>
        <w:rPr>
          <w:color w:val="auto"/>
          <w:szCs w:val="21"/>
        </w:rPr>
        <w:t>不论投标结果如何，投标人均应自行承担所有与投标有关的全部费用。</w:t>
      </w:r>
    </w:p>
    <w:p>
      <w:pPr>
        <w:spacing w:line="400" w:lineRule="exact"/>
        <w:ind w:firstLine="413" w:firstLineChars="196"/>
        <w:outlineLvl w:val="2"/>
        <w:rPr>
          <w:b/>
          <w:color w:val="auto"/>
          <w:szCs w:val="21"/>
        </w:rPr>
      </w:pPr>
      <w:bookmarkStart w:id="61" w:name="_Toc22702"/>
      <w:bookmarkStart w:id="62" w:name="_Toc10591"/>
      <w:r>
        <w:rPr>
          <w:b/>
          <w:color w:val="auto"/>
          <w:szCs w:val="21"/>
        </w:rPr>
        <w:t>7. 联合体投标要求</w:t>
      </w:r>
      <w:bookmarkEnd w:id="61"/>
      <w:bookmarkEnd w:id="62"/>
    </w:p>
    <w:p>
      <w:pPr>
        <w:spacing w:line="400" w:lineRule="exact"/>
        <w:ind w:firstLine="420" w:firstLineChars="200"/>
        <w:rPr>
          <w:color w:val="auto"/>
          <w:szCs w:val="21"/>
        </w:rPr>
      </w:pPr>
      <w:r>
        <w:rPr>
          <w:color w:val="auto"/>
          <w:szCs w:val="21"/>
        </w:rPr>
        <w:t>本项目不接受联合体投标。</w:t>
      </w:r>
    </w:p>
    <w:p>
      <w:pPr>
        <w:spacing w:line="400" w:lineRule="exact"/>
        <w:ind w:firstLine="413" w:firstLineChars="196"/>
        <w:outlineLvl w:val="2"/>
        <w:rPr>
          <w:b/>
          <w:color w:val="auto"/>
          <w:szCs w:val="21"/>
        </w:rPr>
      </w:pPr>
      <w:bookmarkStart w:id="63" w:name="_Toc6046"/>
      <w:bookmarkStart w:id="64" w:name="_Toc13551"/>
      <w:r>
        <w:rPr>
          <w:b/>
          <w:color w:val="auto"/>
          <w:szCs w:val="21"/>
        </w:rPr>
        <w:t>8. 转包与分包</w:t>
      </w:r>
      <w:bookmarkEnd w:id="63"/>
      <w:bookmarkEnd w:id="64"/>
    </w:p>
    <w:p>
      <w:pPr>
        <w:tabs>
          <w:tab w:val="left" w:pos="1635"/>
        </w:tabs>
        <w:spacing w:line="400" w:lineRule="exact"/>
        <w:ind w:firstLine="420" w:firstLineChars="200"/>
        <w:rPr>
          <w:color w:val="auto"/>
          <w:szCs w:val="21"/>
        </w:rPr>
      </w:pPr>
      <w:r>
        <w:rPr>
          <w:color w:val="auto"/>
          <w:szCs w:val="21"/>
        </w:rPr>
        <w:t>8.1本项目不允许转包。</w:t>
      </w:r>
    </w:p>
    <w:p>
      <w:pPr>
        <w:tabs>
          <w:tab w:val="left" w:pos="1635"/>
        </w:tabs>
        <w:spacing w:line="400" w:lineRule="exact"/>
        <w:ind w:firstLine="435"/>
        <w:rPr>
          <w:color w:val="auto"/>
          <w:szCs w:val="21"/>
        </w:rPr>
      </w:pPr>
      <w:r>
        <w:rPr>
          <w:color w:val="auto"/>
          <w:szCs w:val="21"/>
        </w:rPr>
        <w:t>8.2本项目不可以分包。</w:t>
      </w:r>
    </w:p>
    <w:p>
      <w:pPr>
        <w:spacing w:line="400" w:lineRule="exact"/>
        <w:ind w:firstLine="413" w:firstLineChars="196"/>
        <w:outlineLvl w:val="2"/>
        <w:rPr>
          <w:b/>
          <w:color w:val="auto"/>
          <w:szCs w:val="21"/>
        </w:rPr>
      </w:pPr>
      <w:bookmarkStart w:id="65" w:name="_Toc8666"/>
      <w:bookmarkStart w:id="66" w:name="_Toc1504"/>
      <w:r>
        <w:rPr>
          <w:b/>
          <w:color w:val="auto"/>
          <w:szCs w:val="21"/>
        </w:rPr>
        <w:t>9. 特别说明</w:t>
      </w:r>
      <w:bookmarkEnd w:id="65"/>
      <w:bookmarkEnd w:id="66"/>
    </w:p>
    <w:p>
      <w:pPr>
        <w:tabs>
          <w:tab w:val="left" w:pos="1635"/>
        </w:tabs>
        <w:spacing w:line="400" w:lineRule="exact"/>
        <w:ind w:firstLine="420" w:firstLineChars="200"/>
        <w:rPr>
          <w:rFonts w:ascii="宋体" w:hAnsi="宋体" w:cs="宋体"/>
          <w:color w:val="auto"/>
          <w:szCs w:val="21"/>
        </w:rPr>
      </w:pPr>
      <w:r>
        <w:rPr>
          <w:rFonts w:hint="eastAsia" w:ascii="宋体" w:hAnsi="宋体" w:cs="宋体"/>
          <w:color w:val="auto"/>
          <w:szCs w:val="21"/>
        </w:rPr>
        <w:t>9.1提供相同品牌产品且通过资格审查、符合性审查的不同投标人参加同一合同项下投标的，按一家投标人计算，评审后得分最高的同品牌投标人获得中标供应商推荐资格；评审得分相同的，评标价最低的同品牌投标人获得中标供应商推荐资格；评标价也相同的，由评标委员会以抽签方式确定中标候选供应商。其他同品牌投标人不作为中标候选供应商。</w:t>
      </w:r>
    </w:p>
    <w:p>
      <w:pPr>
        <w:tabs>
          <w:tab w:val="left" w:pos="1635"/>
        </w:tabs>
        <w:spacing w:line="400" w:lineRule="exact"/>
        <w:ind w:firstLine="435"/>
        <w:rPr>
          <w:rFonts w:ascii="宋体" w:hAnsi="宋体" w:cs="宋体"/>
          <w:color w:val="auto"/>
          <w:szCs w:val="21"/>
        </w:rPr>
      </w:pPr>
      <w:r>
        <w:rPr>
          <w:rFonts w:hint="eastAsia" w:ascii="宋体" w:hAnsi="宋体" w:cs="宋体"/>
          <w:color w:val="auto"/>
          <w:szCs w:val="21"/>
        </w:rPr>
        <w:t>多家投标人提供的核心产品品牌相同的，按前款规定处理。</w:t>
      </w:r>
    </w:p>
    <w:p>
      <w:pPr>
        <w:tabs>
          <w:tab w:val="left" w:pos="1635"/>
        </w:tabs>
        <w:spacing w:line="400" w:lineRule="exact"/>
        <w:ind w:firstLine="435"/>
        <w:rPr>
          <w:color w:val="auto"/>
          <w:szCs w:val="21"/>
        </w:rPr>
      </w:pPr>
      <w:r>
        <w:rPr>
          <w:color w:val="auto"/>
          <w:szCs w:val="21"/>
        </w:rPr>
        <w:t>9.2关联供应商不得参加同一合同项下政府采购活动，否则投标文件将被视为无效：</w:t>
      </w:r>
    </w:p>
    <w:p>
      <w:pPr>
        <w:tabs>
          <w:tab w:val="left" w:pos="1635"/>
        </w:tabs>
        <w:spacing w:line="400" w:lineRule="exact"/>
        <w:ind w:firstLine="420" w:firstLineChars="200"/>
        <w:rPr>
          <w:color w:val="auto"/>
          <w:szCs w:val="21"/>
        </w:rPr>
      </w:pPr>
      <w:r>
        <w:rPr>
          <w:color w:val="auto"/>
          <w:szCs w:val="21"/>
        </w:rPr>
        <w:t>（1）单位负责人为同一人或者存在直接控股、管理关系的不同供应商，不得参加同一合同项下的政府采购活动。</w:t>
      </w:r>
    </w:p>
    <w:p>
      <w:pPr>
        <w:tabs>
          <w:tab w:val="left" w:pos="1635"/>
        </w:tabs>
        <w:spacing w:line="400" w:lineRule="exact"/>
        <w:ind w:firstLine="435"/>
        <w:rPr>
          <w:color w:val="auto"/>
          <w:szCs w:val="21"/>
        </w:rPr>
      </w:pPr>
      <w:r>
        <w:rPr>
          <w:color w:val="auto"/>
          <w:szCs w:val="21"/>
        </w:rPr>
        <w:t>（2）为本采购项目提供整体设计、规范编制或者项目管理、监理、检测等服务的供应商，不得再参加本次采购活动。</w:t>
      </w:r>
    </w:p>
    <w:p>
      <w:pPr>
        <w:tabs>
          <w:tab w:val="left" w:pos="1635"/>
        </w:tabs>
        <w:spacing w:line="400" w:lineRule="exact"/>
        <w:ind w:firstLine="435"/>
        <w:rPr>
          <w:color w:val="auto"/>
          <w:szCs w:val="21"/>
        </w:rPr>
      </w:pPr>
      <w:r>
        <w:rPr>
          <w:color w:val="auto"/>
          <w:szCs w:val="21"/>
        </w:rPr>
        <w:t>9.3投标人应仔细阅读招标文件的所有内容，按照招标文件的要求提交投标文件，并对所提供的全部资料的真实性承担法律责任。</w:t>
      </w:r>
    </w:p>
    <w:p>
      <w:pPr>
        <w:tabs>
          <w:tab w:val="left" w:pos="1635"/>
        </w:tabs>
        <w:spacing w:line="400" w:lineRule="exact"/>
        <w:ind w:firstLine="435"/>
        <w:rPr>
          <w:b/>
          <w:color w:val="auto"/>
          <w:szCs w:val="21"/>
        </w:rPr>
      </w:pPr>
      <w:r>
        <w:rPr>
          <w:color w:val="auto"/>
          <w:szCs w:val="21"/>
        </w:rPr>
        <w:t>9.4投标人在投标活动中提供任何虚假材料，其投标无效，并报监管部门查处；中标后发现的，中标供应商须依照《中华人民共和国消费者权益保护法》赔偿采购人，且民事赔偿并不免除违法投标人的行政与刑事责任。</w:t>
      </w:r>
    </w:p>
    <w:p>
      <w:pPr>
        <w:spacing w:line="400" w:lineRule="exact"/>
        <w:ind w:firstLine="413" w:firstLineChars="196"/>
        <w:outlineLvl w:val="2"/>
        <w:rPr>
          <w:b/>
          <w:color w:val="auto"/>
          <w:szCs w:val="21"/>
        </w:rPr>
      </w:pPr>
      <w:bookmarkStart w:id="67" w:name="_Toc6489"/>
      <w:bookmarkStart w:id="68" w:name="_Toc17268"/>
      <w:r>
        <w:rPr>
          <w:b/>
          <w:color w:val="auto"/>
          <w:szCs w:val="21"/>
        </w:rPr>
        <w:t>10. 质疑和投诉</w:t>
      </w:r>
      <w:bookmarkEnd w:id="67"/>
      <w:bookmarkEnd w:id="68"/>
    </w:p>
    <w:p>
      <w:pPr>
        <w:spacing w:line="400" w:lineRule="exact"/>
        <w:ind w:firstLine="411" w:firstLineChars="196"/>
        <w:outlineLvl w:val="2"/>
        <w:rPr>
          <w:color w:val="auto"/>
          <w:szCs w:val="21"/>
        </w:rPr>
      </w:pPr>
      <w:bookmarkStart w:id="69" w:name="_Toc26087"/>
      <w:bookmarkStart w:id="70" w:name="_Toc8195"/>
      <w:r>
        <w:rPr>
          <w:color w:val="auto"/>
          <w:szCs w:val="21"/>
        </w:rPr>
        <w:t>10.1投标人认为招标文件使自己的合法权益受到损害的，</w:t>
      </w:r>
      <w:r>
        <w:rPr>
          <w:b/>
          <w:bCs/>
          <w:color w:val="auto"/>
          <w:szCs w:val="21"/>
        </w:rPr>
        <w:t>应当在</w:t>
      </w:r>
      <w:r>
        <w:rPr>
          <w:rFonts w:hint="eastAsia"/>
          <w:b/>
          <w:bCs/>
          <w:color w:val="auto"/>
          <w:szCs w:val="21"/>
        </w:rPr>
        <w:t>本项目招标公告期限届满之日</w:t>
      </w:r>
      <w:r>
        <w:rPr>
          <w:b/>
          <w:bCs/>
          <w:color w:val="auto"/>
          <w:szCs w:val="21"/>
        </w:rPr>
        <w:t>起</w:t>
      </w:r>
      <w:r>
        <w:rPr>
          <w:rFonts w:hint="eastAsia"/>
          <w:b/>
          <w:bCs/>
          <w:color w:val="auto"/>
          <w:szCs w:val="21"/>
        </w:rPr>
        <w:t>七</w:t>
      </w:r>
      <w:r>
        <w:rPr>
          <w:b/>
          <w:bCs/>
          <w:color w:val="auto"/>
          <w:szCs w:val="21"/>
        </w:rPr>
        <w:t>个工作日内</w:t>
      </w:r>
      <w:r>
        <w:rPr>
          <w:color w:val="auto"/>
          <w:szCs w:val="21"/>
        </w:rPr>
        <w:t>以书面形式向</w:t>
      </w:r>
      <w:r>
        <w:rPr>
          <w:rFonts w:hint="eastAsia"/>
          <w:color w:val="auto"/>
          <w:szCs w:val="21"/>
        </w:rPr>
        <w:t>桂林市政府集中采购中心</w:t>
      </w:r>
      <w:r>
        <w:rPr>
          <w:color w:val="auto"/>
          <w:szCs w:val="21"/>
          <w:u w:val="single"/>
        </w:rPr>
        <w:t>提出质疑</w:t>
      </w:r>
      <w:r>
        <w:rPr>
          <w:color w:val="auto"/>
          <w:szCs w:val="21"/>
        </w:rPr>
        <w:t>。投标人认为招标过程或中标结果使自己的合法权益受到损害的，应当在采购程序环节结束之日或中标公告期限届满之日起七个工作日内，以书面形式向</w:t>
      </w:r>
      <w:r>
        <w:rPr>
          <w:rFonts w:hint="eastAsia" w:ascii="宋体" w:hAnsi="宋体" w:cs="宋体"/>
          <w:color w:val="auto"/>
          <w:szCs w:val="21"/>
        </w:rPr>
        <w:t>桂林市政府集中采购中心</w:t>
      </w:r>
      <w:r>
        <w:rPr>
          <w:color w:val="auto"/>
          <w:szCs w:val="21"/>
        </w:rPr>
        <w:t>提出质疑。</w:t>
      </w:r>
      <w:r>
        <w:rPr>
          <w:rFonts w:hint="eastAsia" w:ascii="宋体" w:hAnsi="宋体" w:cs="宋体"/>
          <w:color w:val="auto"/>
          <w:szCs w:val="21"/>
        </w:rPr>
        <w:t>桂林市政府集中采购中心</w:t>
      </w:r>
      <w:r>
        <w:rPr>
          <w:color w:val="auto"/>
          <w:szCs w:val="21"/>
        </w:rPr>
        <w:t>应认真做好质疑处理工作。</w:t>
      </w:r>
      <w:bookmarkEnd w:id="69"/>
      <w:bookmarkEnd w:id="70"/>
    </w:p>
    <w:p>
      <w:pPr>
        <w:snapToGrid w:val="0"/>
        <w:spacing w:line="440" w:lineRule="exact"/>
        <w:ind w:firstLine="420" w:firstLineChars="200"/>
        <w:rPr>
          <w:rFonts w:ascii="宋体" w:hAnsi="宋体"/>
          <w:color w:val="auto"/>
          <w:szCs w:val="20"/>
        </w:rPr>
      </w:pPr>
      <w:r>
        <w:rPr>
          <w:rFonts w:hint="eastAsia" w:ascii="宋体" w:hAnsi="宋体"/>
          <w:color w:val="auto"/>
          <w:szCs w:val="20"/>
        </w:rPr>
        <w:t>接收质疑函方式：以书面形式（原件）提交</w:t>
      </w:r>
    </w:p>
    <w:p>
      <w:pPr>
        <w:snapToGrid w:val="0"/>
        <w:spacing w:line="440" w:lineRule="exact"/>
        <w:ind w:firstLine="420" w:firstLineChars="200"/>
        <w:rPr>
          <w:rFonts w:hint="default" w:ascii="宋体" w:hAnsi="宋体" w:eastAsia="宋体"/>
          <w:color w:val="auto"/>
          <w:szCs w:val="20"/>
          <w:lang w:val="en-US" w:eastAsia="zh-CN"/>
        </w:rPr>
      </w:pPr>
      <w:r>
        <w:rPr>
          <w:rFonts w:hint="eastAsia" w:ascii="宋体" w:hAnsi="宋体"/>
          <w:color w:val="auto"/>
          <w:szCs w:val="20"/>
        </w:rPr>
        <w:t>质疑联系人：</w:t>
      </w:r>
      <w:r>
        <w:rPr>
          <w:rFonts w:hint="eastAsia" w:ascii="宋体" w:hAnsi="宋体"/>
          <w:color w:val="auto"/>
          <w:szCs w:val="20"/>
          <w:lang w:val="en-US" w:eastAsia="zh-CN"/>
        </w:rPr>
        <w:t>秦</w:t>
      </w:r>
      <w:r>
        <w:rPr>
          <w:rFonts w:hint="eastAsia" w:ascii="宋体" w:hAnsi="宋体"/>
          <w:color w:val="auto"/>
          <w:szCs w:val="20"/>
        </w:rPr>
        <w:t>工，联系电话：0773-56251</w:t>
      </w:r>
      <w:r>
        <w:rPr>
          <w:rFonts w:hint="eastAsia" w:ascii="宋体" w:hAnsi="宋体"/>
          <w:color w:val="auto"/>
          <w:szCs w:val="20"/>
          <w:lang w:val="en-US" w:eastAsia="zh-CN"/>
        </w:rPr>
        <w:t>75</w:t>
      </w:r>
    </w:p>
    <w:p>
      <w:pPr>
        <w:tabs>
          <w:tab w:val="left" w:pos="2190"/>
        </w:tabs>
        <w:spacing w:line="420" w:lineRule="exact"/>
        <w:ind w:firstLine="435"/>
        <w:rPr>
          <w:color w:val="auto"/>
        </w:rPr>
      </w:pPr>
      <w:r>
        <w:rPr>
          <w:rFonts w:hint="eastAsia" w:ascii="宋体" w:hAnsi="宋体"/>
          <w:color w:val="auto"/>
          <w:szCs w:val="20"/>
        </w:rPr>
        <w:t>通讯地址：</w:t>
      </w:r>
      <w:r>
        <w:rPr>
          <w:rFonts w:hint="eastAsia" w:ascii="宋体" w:hAnsi="宋体"/>
          <w:color w:val="auto"/>
        </w:rPr>
        <w:t>桂林市临桂区西城中路69号创业大厦西辅楼5楼57</w:t>
      </w:r>
      <w:r>
        <w:rPr>
          <w:rFonts w:hint="eastAsia" w:ascii="宋体" w:hAnsi="宋体"/>
          <w:color w:val="auto"/>
          <w:lang w:val="en-US" w:eastAsia="zh-CN"/>
        </w:rPr>
        <w:t>7</w:t>
      </w:r>
      <w:r>
        <w:rPr>
          <w:rFonts w:hint="eastAsia" w:ascii="宋体" w:hAnsi="宋体"/>
          <w:color w:val="auto"/>
        </w:rPr>
        <w:t>室</w:t>
      </w:r>
    </w:p>
    <w:p>
      <w:pPr>
        <w:spacing w:line="400" w:lineRule="exact"/>
        <w:ind w:firstLine="411" w:firstLineChars="196"/>
        <w:outlineLvl w:val="2"/>
        <w:rPr>
          <w:color w:val="auto"/>
          <w:szCs w:val="21"/>
        </w:rPr>
      </w:pPr>
      <w:bookmarkStart w:id="71" w:name="_Toc5874"/>
      <w:bookmarkStart w:id="72" w:name="_Toc17981"/>
      <w:r>
        <w:rPr>
          <w:color w:val="auto"/>
          <w:szCs w:val="21"/>
        </w:rPr>
        <w:t>10.2投标人对采购代理机构的答复不满意或者采购代理机构未在规定的时间内作出答复的，可以在答复期满后十五个工作日内向</w:t>
      </w:r>
      <w:r>
        <w:rPr>
          <w:rFonts w:hint="eastAsia"/>
          <w:color w:val="auto"/>
          <w:szCs w:val="21"/>
        </w:rPr>
        <w:t>广西壮族自治区财政厅政府采购监督管理处</w:t>
      </w:r>
      <w:r>
        <w:rPr>
          <w:color w:val="auto"/>
          <w:szCs w:val="21"/>
        </w:rPr>
        <w:t>监督管理机构投诉。</w:t>
      </w:r>
      <w:bookmarkEnd w:id="71"/>
      <w:bookmarkEnd w:id="72"/>
    </w:p>
    <w:p>
      <w:pPr>
        <w:spacing w:line="400" w:lineRule="exact"/>
        <w:ind w:firstLine="411" w:firstLineChars="196"/>
        <w:outlineLvl w:val="2"/>
        <w:rPr>
          <w:color w:val="auto"/>
          <w:szCs w:val="21"/>
        </w:rPr>
      </w:pPr>
      <w:bookmarkStart w:id="73" w:name="_Toc23108"/>
      <w:bookmarkStart w:id="74" w:name="_Toc613"/>
      <w:r>
        <w:rPr>
          <w:color w:val="auto"/>
          <w:szCs w:val="21"/>
        </w:rPr>
        <w:t>10.3质疑、投诉应当采用书面形式，质疑书、投诉书实行实名制，均应明确阐述招标文件、招标过程或中标结果中使自己合法权益受到损害的实质性内容，并提供必要的证明材料。</w:t>
      </w:r>
      <w:bookmarkEnd w:id="73"/>
      <w:bookmarkEnd w:id="74"/>
    </w:p>
    <w:p>
      <w:pPr>
        <w:tabs>
          <w:tab w:val="left" w:pos="2190"/>
        </w:tabs>
        <w:spacing w:line="400" w:lineRule="exact"/>
        <w:ind w:firstLine="435"/>
        <w:rPr>
          <w:b/>
          <w:color w:val="auto"/>
          <w:sz w:val="28"/>
          <w:szCs w:val="28"/>
        </w:rPr>
      </w:pPr>
    </w:p>
    <w:p>
      <w:pPr>
        <w:spacing w:line="360" w:lineRule="auto"/>
        <w:jc w:val="center"/>
        <w:outlineLvl w:val="1"/>
        <w:rPr>
          <w:b/>
          <w:color w:val="auto"/>
          <w:sz w:val="28"/>
          <w:szCs w:val="28"/>
        </w:rPr>
      </w:pPr>
      <w:bookmarkStart w:id="75" w:name="_Toc28189"/>
      <w:bookmarkStart w:id="76" w:name="_Toc495841755"/>
      <w:bookmarkStart w:id="77" w:name="_Toc26849"/>
      <w:r>
        <w:rPr>
          <w:b/>
          <w:color w:val="auto"/>
          <w:sz w:val="28"/>
          <w:szCs w:val="28"/>
        </w:rPr>
        <w:t>二、招标文件</w:t>
      </w:r>
      <w:bookmarkEnd w:id="75"/>
      <w:bookmarkEnd w:id="76"/>
      <w:bookmarkEnd w:id="77"/>
    </w:p>
    <w:p>
      <w:pPr>
        <w:spacing w:line="400" w:lineRule="exact"/>
        <w:ind w:firstLine="413" w:firstLineChars="196"/>
        <w:outlineLvl w:val="2"/>
        <w:rPr>
          <w:b/>
          <w:color w:val="auto"/>
          <w:szCs w:val="21"/>
        </w:rPr>
      </w:pPr>
      <w:bookmarkStart w:id="78" w:name="_Toc22161"/>
      <w:bookmarkStart w:id="79" w:name="_Toc3397"/>
      <w:r>
        <w:rPr>
          <w:b/>
          <w:color w:val="auto"/>
          <w:szCs w:val="21"/>
        </w:rPr>
        <w:t>11. 招标文件的构成</w:t>
      </w:r>
      <w:bookmarkEnd w:id="78"/>
      <w:bookmarkEnd w:id="79"/>
    </w:p>
    <w:p>
      <w:pPr>
        <w:spacing w:line="400" w:lineRule="exact"/>
        <w:ind w:firstLine="411" w:firstLineChars="196"/>
        <w:rPr>
          <w:color w:val="auto"/>
          <w:szCs w:val="21"/>
        </w:rPr>
      </w:pPr>
      <w:r>
        <w:rPr>
          <w:color w:val="auto"/>
          <w:szCs w:val="21"/>
        </w:rPr>
        <w:t>（1）招标公告；</w:t>
      </w:r>
    </w:p>
    <w:p>
      <w:pPr>
        <w:spacing w:line="400" w:lineRule="exact"/>
        <w:ind w:firstLine="411" w:firstLineChars="196"/>
        <w:rPr>
          <w:color w:val="auto"/>
          <w:szCs w:val="21"/>
        </w:rPr>
      </w:pPr>
      <w:r>
        <w:rPr>
          <w:color w:val="auto"/>
          <w:szCs w:val="21"/>
        </w:rPr>
        <w:t>（2）总则；</w:t>
      </w:r>
    </w:p>
    <w:p>
      <w:pPr>
        <w:spacing w:line="400" w:lineRule="exact"/>
        <w:ind w:firstLine="411" w:firstLineChars="196"/>
        <w:rPr>
          <w:color w:val="auto"/>
          <w:szCs w:val="21"/>
        </w:rPr>
      </w:pPr>
      <w:r>
        <w:rPr>
          <w:color w:val="auto"/>
          <w:szCs w:val="21"/>
        </w:rPr>
        <w:t>（3）货物采购需求；</w:t>
      </w:r>
    </w:p>
    <w:p>
      <w:pPr>
        <w:spacing w:line="400" w:lineRule="exact"/>
        <w:ind w:firstLine="411" w:firstLineChars="196"/>
        <w:rPr>
          <w:color w:val="auto"/>
          <w:szCs w:val="21"/>
        </w:rPr>
      </w:pPr>
      <w:r>
        <w:rPr>
          <w:color w:val="auto"/>
          <w:szCs w:val="21"/>
        </w:rPr>
        <w:t>（4）评标办法；</w:t>
      </w:r>
    </w:p>
    <w:p>
      <w:pPr>
        <w:spacing w:line="400" w:lineRule="exact"/>
        <w:ind w:firstLine="411" w:firstLineChars="196"/>
        <w:rPr>
          <w:color w:val="auto"/>
          <w:szCs w:val="21"/>
        </w:rPr>
      </w:pPr>
      <w:r>
        <w:rPr>
          <w:color w:val="auto"/>
          <w:szCs w:val="21"/>
        </w:rPr>
        <w:t>（5）采购合同（合同主要条款及格式）；</w:t>
      </w:r>
    </w:p>
    <w:p>
      <w:pPr>
        <w:spacing w:line="400" w:lineRule="exact"/>
        <w:ind w:firstLine="411" w:firstLineChars="196"/>
        <w:rPr>
          <w:color w:val="auto"/>
          <w:szCs w:val="21"/>
        </w:rPr>
      </w:pPr>
      <w:r>
        <w:rPr>
          <w:color w:val="auto"/>
          <w:szCs w:val="21"/>
        </w:rPr>
        <w:t>（6）投标文件（格式）。</w:t>
      </w:r>
    </w:p>
    <w:p>
      <w:pPr>
        <w:spacing w:line="400" w:lineRule="exact"/>
        <w:ind w:firstLine="413" w:firstLineChars="196"/>
        <w:outlineLvl w:val="2"/>
        <w:rPr>
          <w:b/>
          <w:color w:val="auto"/>
          <w:szCs w:val="21"/>
        </w:rPr>
      </w:pPr>
      <w:bookmarkStart w:id="80" w:name="_Toc14570"/>
      <w:bookmarkStart w:id="81" w:name="_Toc24191"/>
      <w:r>
        <w:rPr>
          <w:b/>
          <w:color w:val="auto"/>
          <w:szCs w:val="21"/>
        </w:rPr>
        <w:t>12. 招标文件的澄清与修改</w:t>
      </w:r>
      <w:bookmarkEnd w:id="80"/>
      <w:bookmarkEnd w:id="81"/>
    </w:p>
    <w:p>
      <w:pPr>
        <w:spacing w:line="400" w:lineRule="exact"/>
        <w:ind w:firstLine="411" w:firstLineChars="196"/>
        <w:rPr>
          <w:color w:val="auto"/>
          <w:szCs w:val="21"/>
        </w:rPr>
      </w:pPr>
      <w:r>
        <w:rPr>
          <w:color w:val="auto"/>
          <w:szCs w:val="21"/>
        </w:rPr>
        <w:t>12.1投标人应认真阅读招标文件，发现其中有误或有不合理要求的，投标人必须在</w:t>
      </w:r>
      <w:r>
        <w:rPr>
          <w:rFonts w:hint="eastAsia"/>
          <w:color w:val="auto"/>
          <w:szCs w:val="21"/>
        </w:rPr>
        <w:t>招标公告期限届满之日</w:t>
      </w:r>
      <w:r>
        <w:rPr>
          <w:color w:val="auto"/>
          <w:szCs w:val="21"/>
        </w:rPr>
        <w:t>起</w:t>
      </w:r>
      <w:r>
        <w:rPr>
          <w:rFonts w:hint="eastAsia"/>
          <w:color w:val="auto"/>
          <w:szCs w:val="21"/>
        </w:rPr>
        <w:t>七</w:t>
      </w:r>
      <w:r>
        <w:rPr>
          <w:color w:val="auto"/>
          <w:szCs w:val="21"/>
        </w:rPr>
        <w:t>个工作日内以书面形式要求采购代理机构澄清。</w:t>
      </w:r>
    </w:p>
    <w:p>
      <w:pPr>
        <w:spacing w:line="400" w:lineRule="exact"/>
        <w:ind w:firstLine="411" w:firstLineChars="196"/>
        <w:rPr>
          <w:color w:val="auto"/>
          <w:szCs w:val="21"/>
        </w:rPr>
      </w:pPr>
      <w:r>
        <w:rPr>
          <w:color w:val="auto"/>
          <w:szCs w:val="21"/>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pPr>
        <w:spacing w:line="400" w:lineRule="exact"/>
        <w:ind w:firstLine="411" w:firstLineChars="196"/>
        <w:rPr>
          <w:color w:val="auto"/>
          <w:szCs w:val="21"/>
        </w:rPr>
      </w:pPr>
      <w:r>
        <w:rPr>
          <w:color w:val="auto"/>
          <w:szCs w:val="21"/>
        </w:rPr>
        <w:t>12.3</w:t>
      </w:r>
      <w:r>
        <w:rPr>
          <w:b/>
          <w:color w:val="auto"/>
          <w:szCs w:val="21"/>
        </w:rPr>
        <w:t>投标人</w:t>
      </w:r>
      <w:r>
        <w:rPr>
          <w:rFonts w:hint="eastAsia"/>
          <w:b/>
          <w:color w:val="auto"/>
          <w:szCs w:val="21"/>
        </w:rPr>
        <w:t>下载</w:t>
      </w:r>
      <w:r>
        <w:rPr>
          <w:b/>
          <w:color w:val="auto"/>
          <w:szCs w:val="21"/>
        </w:rPr>
        <w:t>招标文件后应实时关注相关网站了解澄清、修改等与项目有关的内容，如因投标人未及时登录相关网站了解澄清、修改等与项目有关的内容，从而导致投标无效的，由投标人自行承担责任。</w:t>
      </w:r>
    </w:p>
    <w:p>
      <w:pPr>
        <w:spacing w:line="400" w:lineRule="exact"/>
        <w:ind w:firstLine="411" w:firstLineChars="196"/>
        <w:rPr>
          <w:color w:val="auto"/>
          <w:szCs w:val="21"/>
        </w:rPr>
      </w:pPr>
      <w:r>
        <w:rPr>
          <w:color w:val="auto"/>
          <w:szCs w:val="21"/>
        </w:rPr>
        <w:t>12.4必要的澄清、修改的内容为招标文件的组成部分。当澄清、修改通知就同一内容的表述不一致时，以最后发出的书面文件为准。</w:t>
      </w:r>
    </w:p>
    <w:p>
      <w:pPr>
        <w:spacing w:line="400" w:lineRule="exact"/>
        <w:ind w:firstLine="411" w:firstLineChars="196"/>
        <w:rPr>
          <w:color w:val="auto"/>
          <w:szCs w:val="21"/>
        </w:rPr>
      </w:pPr>
      <w:r>
        <w:rPr>
          <w:color w:val="auto"/>
          <w:szCs w:val="21"/>
        </w:rPr>
        <w:t>12.5招标文件的澄清、修改都应该通过采购代理机构以法定形式发布，采购人非通过本机构，不得擅自澄清、修改招标文件。</w:t>
      </w:r>
    </w:p>
    <w:p>
      <w:pPr>
        <w:tabs>
          <w:tab w:val="left" w:pos="2190"/>
        </w:tabs>
        <w:spacing w:line="400" w:lineRule="exact"/>
        <w:ind w:firstLine="435"/>
        <w:rPr>
          <w:color w:val="auto"/>
          <w:szCs w:val="21"/>
        </w:rPr>
      </w:pPr>
    </w:p>
    <w:p>
      <w:pPr>
        <w:spacing w:line="360" w:lineRule="auto"/>
        <w:jc w:val="center"/>
        <w:outlineLvl w:val="1"/>
        <w:rPr>
          <w:b/>
          <w:color w:val="auto"/>
          <w:sz w:val="28"/>
          <w:szCs w:val="28"/>
        </w:rPr>
      </w:pPr>
      <w:bookmarkStart w:id="82" w:name="_Toc7631"/>
      <w:bookmarkStart w:id="83" w:name="_Toc26542"/>
      <w:bookmarkStart w:id="84" w:name="_Toc495841756"/>
      <w:r>
        <w:rPr>
          <w:b/>
          <w:color w:val="auto"/>
          <w:sz w:val="28"/>
          <w:szCs w:val="28"/>
        </w:rPr>
        <w:t>三、投标文件的编制</w:t>
      </w:r>
      <w:bookmarkEnd w:id="82"/>
      <w:bookmarkEnd w:id="83"/>
      <w:bookmarkEnd w:id="84"/>
    </w:p>
    <w:p>
      <w:pPr>
        <w:spacing w:line="400" w:lineRule="exact"/>
        <w:ind w:firstLine="413" w:firstLineChars="196"/>
        <w:outlineLvl w:val="2"/>
        <w:rPr>
          <w:b/>
          <w:color w:val="auto"/>
          <w:szCs w:val="21"/>
        </w:rPr>
      </w:pPr>
      <w:bookmarkStart w:id="85" w:name="_Toc15443"/>
      <w:bookmarkStart w:id="86" w:name="_Toc7972"/>
      <w:r>
        <w:rPr>
          <w:b/>
          <w:color w:val="auto"/>
          <w:szCs w:val="21"/>
        </w:rPr>
        <w:t>13. 投标文件的组成及要求</w:t>
      </w:r>
      <w:bookmarkEnd w:id="85"/>
      <w:bookmarkEnd w:id="86"/>
    </w:p>
    <w:p>
      <w:pPr>
        <w:tabs>
          <w:tab w:val="left" w:pos="2190"/>
        </w:tabs>
        <w:spacing w:line="400" w:lineRule="exact"/>
        <w:ind w:firstLine="435"/>
        <w:rPr>
          <w:b/>
          <w:color w:val="auto"/>
          <w:szCs w:val="21"/>
        </w:rPr>
      </w:pPr>
      <w:r>
        <w:rPr>
          <w:color w:val="auto"/>
          <w:szCs w:val="21"/>
        </w:rPr>
        <w:t>13.1</w:t>
      </w:r>
      <w:r>
        <w:rPr>
          <w:b/>
          <w:color w:val="auto"/>
          <w:szCs w:val="21"/>
        </w:rPr>
        <w:t>投标文件组成【格式见第六章“投标文件（格式）”】</w:t>
      </w:r>
    </w:p>
    <w:p>
      <w:pPr>
        <w:tabs>
          <w:tab w:val="left" w:pos="1305"/>
        </w:tabs>
        <w:spacing w:line="400" w:lineRule="exact"/>
        <w:ind w:firstLine="422" w:firstLineChars="200"/>
        <w:rPr>
          <w:rFonts w:hint="eastAsia" w:eastAsia="宋体"/>
          <w:b/>
          <w:color w:val="auto"/>
          <w:szCs w:val="21"/>
          <w:u w:val="single"/>
          <w:lang w:eastAsia="zh-CN"/>
        </w:rPr>
      </w:pPr>
      <w:r>
        <w:rPr>
          <w:b/>
          <w:color w:val="auto"/>
          <w:szCs w:val="21"/>
        </w:rPr>
        <w:t>13.1.1</w:t>
      </w:r>
      <w:r>
        <w:rPr>
          <w:b/>
          <w:color w:val="auto"/>
          <w:szCs w:val="21"/>
          <w:u w:val="single"/>
        </w:rPr>
        <w:t>投标报价表（格式见附件）</w:t>
      </w:r>
      <w:r>
        <w:rPr>
          <w:rFonts w:hint="eastAsia"/>
          <w:b/>
          <w:color w:val="auto"/>
          <w:szCs w:val="21"/>
          <w:u w:val="single"/>
          <w:lang w:eastAsia="zh-CN"/>
        </w:rPr>
        <w:t>（</w:t>
      </w:r>
      <w:r>
        <w:rPr>
          <w:rFonts w:hint="eastAsia"/>
          <w:b/>
          <w:color w:val="auto"/>
          <w:szCs w:val="21"/>
          <w:u w:val="single"/>
          <w:lang w:val="en-US" w:eastAsia="zh-CN"/>
        </w:rPr>
        <w:t>必须提供</w:t>
      </w:r>
      <w:r>
        <w:rPr>
          <w:rFonts w:hint="eastAsia"/>
          <w:b/>
          <w:color w:val="auto"/>
          <w:szCs w:val="21"/>
          <w:u w:val="single"/>
          <w:lang w:eastAsia="zh-CN"/>
        </w:rPr>
        <w:t>）</w:t>
      </w:r>
    </w:p>
    <w:p>
      <w:pPr>
        <w:tabs>
          <w:tab w:val="left" w:pos="1305"/>
        </w:tabs>
        <w:spacing w:line="400" w:lineRule="exact"/>
        <w:ind w:firstLine="422" w:firstLineChars="200"/>
        <w:rPr>
          <w:b/>
          <w:color w:val="auto"/>
          <w:szCs w:val="21"/>
        </w:rPr>
      </w:pPr>
      <w:r>
        <w:rPr>
          <w:b/>
          <w:color w:val="auto"/>
          <w:szCs w:val="21"/>
        </w:rPr>
        <w:t>13.1.2资格性响应证明材料：</w:t>
      </w:r>
    </w:p>
    <w:p>
      <w:pPr>
        <w:spacing w:line="400" w:lineRule="exact"/>
        <w:ind w:firstLine="411" w:firstLineChars="196"/>
        <w:rPr>
          <w:color w:val="auto"/>
          <w:szCs w:val="21"/>
        </w:rPr>
      </w:pPr>
      <w:r>
        <w:rPr>
          <w:color w:val="auto"/>
          <w:szCs w:val="21"/>
        </w:rPr>
        <w:t>（1）投标人相应的法定代表人、负责人、自然人身份证正反面复印件</w:t>
      </w:r>
      <w:r>
        <w:rPr>
          <w:b/>
          <w:bCs/>
          <w:color w:val="auto"/>
          <w:szCs w:val="21"/>
        </w:rPr>
        <w:t>（必须提供）</w:t>
      </w:r>
      <w:r>
        <w:rPr>
          <w:color w:val="auto"/>
          <w:szCs w:val="21"/>
        </w:rPr>
        <w:t>；</w:t>
      </w:r>
    </w:p>
    <w:p>
      <w:pPr>
        <w:spacing w:line="400" w:lineRule="exact"/>
        <w:ind w:firstLine="411" w:firstLineChars="196"/>
        <w:rPr>
          <w:color w:val="auto"/>
          <w:szCs w:val="21"/>
        </w:rPr>
      </w:pPr>
      <w:r>
        <w:rPr>
          <w:color w:val="auto"/>
          <w:szCs w:val="21"/>
        </w:rPr>
        <w:t>（2）</w:t>
      </w:r>
      <w:r>
        <w:rPr>
          <w:rFonts w:hint="eastAsia"/>
          <w:color w:val="auto"/>
          <w:szCs w:val="21"/>
          <w:u w:val="single"/>
        </w:rPr>
        <w:t>投标人的授权委托书原件、委托代理人身份证正反面复印件以及由县级以上（含县级）社会养老保险经办机构出具的投标人为委托代理人交纳的开标截止时间前半年内任意连续三个月社保证明复印件（如投标人为截标时间前60日以内成立的公司，可以提供投标人与委托代理人签订的劳动合同复印件代替社保证明复印件；如投标人为事业单位，可以提供事业单位机构编制管理证复印件或事业单位机构为其发放工资的工资条复印件代替社保证明复印件；如委托代理人为免缴纳社保人员，提供免缴纳社保的证明材料复印件及投标人与委托代理人签订的劳动合同复印件代替社保证明复印件）【自然人投标的应提供由县级以上（含县级）社会养老保险经办机构出具的自然人本人及委托代理人所交纳的开标截止时间前半年内任意连续三个月社保证明复印件】</w:t>
      </w:r>
      <w:r>
        <w:rPr>
          <w:b/>
          <w:color w:val="auto"/>
          <w:szCs w:val="21"/>
          <w:u w:val="single"/>
        </w:rPr>
        <w:t>（委托代理时必须提供）；</w:t>
      </w:r>
    </w:p>
    <w:p>
      <w:pPr>
        <w:spacing w:line="400" w:lineRule="exact"/>
        <w:ind w:firstLine="411" w:firstLineChars="196"/>
        <w:rPr>
          <w:color w:val="auto"/>
          <w:szCs w:val="21"/>
        </w:rPr>
      </w:pPr>
      <w:r>
        <w:rPr>
          <w:color w:val="auto"/>
          <w:szCs w:val="21"/>
        </w:rPr>
        <w:t>（3）投标人的法人或者其他组织营业执照等证明文件复印件</w:t>
      </w:r>
      <w:r>
        <w:rPr>
          <w:b/>
          <w:color w:val="auto"/>
          <w:szCs w:val="21"/>
        </w:rPr>
        <w:t>（必须提供，自然人除外）</w:t>
      </w:r>
      <w:r>
        <w:rPr>
          <w:color w:val="auto"/>
          <w:szCs w:val="21"/>
        </w:rPr>
        <w:t>；</w:t>
      </w:r>
    </w:p>
    <w:p>
      <w:pPr>
        <w:tabs>
          <w:tab w:val="left" w:pos="1305"/>
        </w:tabs>
        <w:spacing w:line="400" w:lineRule="exact"/>
        <w:ind w:firstLine="422" w:firstLineChars="200"/>
        <w:rPr>
          <w:b/>
          <w:color w:val="auto"/>
          <w:szCs w:val="21"/>
          <w:u w:val="single"/>
        </w:rPr>
      </w:pPr>
      <w:r>
        <w:rPr>
          <w:b/>
          <w:color w:val="auto"/>
          <w:szCs w:val="21"/>
          <w:u w:val="single"/>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r>
        <w:rPr>
          <w:rFonts w:hint="eastAsia"/>
          <w:b/>
          <w:color w:val="auto"/>
          <w:szCs w:val="21"/>
          <w:u w:val="single"/>
        </w:rPr>
        <w:t>（所需材料均为复印件）</w:t>
      </w:r>
    </w:p>
    <w:p>
      <w:pPr>
        <w:numPr>
          <w:ilvl w:val="0"/>
          <w:numId w:val="4"/>
        </w:numPr>
        <w:spacing w:line="400" w:lineRule="exact"/>
        <w:ind w:firstLine="411" w:firstLineChars="196"/>
        <w:rPr>
          <w:color w:val="auto"/>
          <w:szCs w:val="21"/>
        </w:rPr>
      </w:pPr>
      <w:r>
        <w:rPr>
          <w:rFonts w:hint="eastAsia" w:ascii="宋体" w:hAnsi="宋体" w:cs="宋体"/>
          <w:color w:val="auto"/>
          <w:szCs w:val="21"/>
        </w:rPr>
        <w:t>供应商近三年中任一年度经第三方审计的财务状况报告复印件（或银行出具的资信证明或财政部门认可的政府采购专业担保机构出具的投标担保函）</w:t>
      </w:r>
      <w:r>
        <w:rPr>
          <w:b/>
          <w:color w:val="auto"/>
          <w:szCs w:val="21"/>
        </w:rPr>
        <w:t>（必须提供）；</w:t>
      </w:r>
    </w:p>
    <w:p>
      <w:pPr>
        <w:numPr>
          <w:ilvl w:val="0"/>
          <w:numId w:val="4"/>
        </w:numPr>
        <w:spacing w:line="400" w:lineRule="exact"/>
        <w:ind w:firstLine="411" w:firstLineChars="196"/>
        <w:rPr>
          <w:color w:val="auto"/>
          <w:szCs w:val="21"/>
        </w:rPr>
      </w:pPr>
      <w:r>
        <w:rPr>
          <w:color w:val="auto"/>
          <w:szCs w:val="21"/>
        </w:rPr>
        <w:t>投标人参加政府采购活动前3年内在经营活动中没有重大违法记录及有关信用信息的书面声明</w:t>
      </w:r>
      <w:r>
        <w:rPr>
          <w:b/>
          <w:color w:val="auto"/>
          <w:szCs w:val="21"/>
        </w:rPr>
        <w:t>（必须提供）</w:t>
      </w:r>
      <w:r>
        <w:rPr>
          <w:color w:val="auto"/>
          <w:szCs w:val="21"/>
        </w:rPr>
        <w:t>；</w:t>
      </w:r>
    </w:p>
    <w:p>
      <w:pPr>
        <w:spacing w:line="400" w:lineRule="exact"/>
        <w:ind w:left="412" w:leftChars="196"/>
        <w:rPr>
          <w:color w:val="auto"/>
          <w:szCs w:val="21"/>
        </w:rPr>
      </w:pPr>
      <w:r>
        <w:rPr>
          <w:rFonts w:hint="eastAsia"/>
          <w:color w:val="auto"/>
          <w:szCs w:val="21"/>
        </w:rPr>
        <w:t>（6）</w:t>
      </w:r>
      <w:r>
        <w:rPr>
          <w:rFonts w:hint="eastAsia" w:ascii="宋体" w:hAnsi="宋体" w:cs="宋体"/>
          <w:color w:val="auto"/>
          <w:szCs w:val="21"/>
        </w:rPr>
        <w:t>供应商近半年内任意一个月或任一季度依法缴纳税收的证明材料（增值税发票或企业所得税完税证明或税务部门出具的免税证明）复印件</w:t>
      </w:r>
      <w:r>
        <w:rPr>
          <w:rFonts w:hint="eastAsia" w:ascii="宋体" w:hAnsi="宋体" w:cs="宋体"/>
          <w:b/>
          <w:bCs/>
          <w:color w:val="auto"/>
          <w:szCs w:val="21"/>
        </w:rPr>
        <w:t>（必须提供）；</w:t>
      </w:r>
    </w:p>
    <w:p>
      <w:pPr>
        <w:tabs>
          <w:tab w:val="left" w:pos="1305"/>
        </w:tabs>
        <w:spacing w:line="400" w:lineRule="exact"/>
        <w:ind w:firstLine="422" w:firstLineChars="200"/>
        <w:rPr>
          <w:color w:val="auto"/>
          <w:szCs w:val="21"/>
        </w:rPr>
      </w:pPr>
      <w:r>
        <w:rPr>
          <w:b/>
          <w:color w:val="auto"/>
          <w:szCs w:val="21"/>
        </w:rPr>
        <w:t>13.1.3商务、技术性响应及其他证明材料：</w:t>
      </w:r>
    </w:p>
    <w:p>
      <w:pPr>
        <w:numPr>
          <w:ilvl w:val="0"/>
          <w:numId w:val="5"/>
        </w:numPr>
        <w:tabs>
          <w:tab w:val="left" w:pos="1305"/>
        </w:tabs>
        <w:spacing w:line="400" w:lineRule="exact"/>
        <w:ind w:firstLine="420" w:firstLineChars="200"/>
        <w:rPr>
          <w:color w:val="auto"/>
          <w:szCs w:val="21"/>
        </w:rPr>
      </w:pPr>
      <w:r>
        <w:rPr>
          <w:color w:val="auto"/>
          <w:szCs w:val="21"/>
        </w:rPr>
        <w:t>技术规格偏离表</w:t>
      </w:r>
      <w:r>
        <w:rPr>
          <w:b/>
          <w:color w:val="auto"/>
          <w:szCs w:val="21"/>
        </w:rPr>
        <w:t>（必须提供）</w:t>
      </w:r>
      <w:r>
        <w:rPr>
          <w:color w:val="auto"/>
          <w:szCs w:val="21"/>
        </w:rPr>
        <w:t>；</w:t>
      </w:r>
    </w:p>
    <w:p>
      <w:pPr>
        <w:numPr>
          <w:ilvl w:val="0"/>
          <w:numId w:val="5"/>
        </w:numPr>
        <w:tabs>
          <w:tab w:val="left" w:pos="1305"/>
        </w:tabs>
        <w:spacing w:line="400" w:lineRule="exact"/>
        <w:ind w:firstLine="420" w:firstLineChars="200"/>
        <w:rPr>
          <w:color w:val="auto"/>
          <w:szCs w:val="21"/>
        </w:rPr>
      </w:pPr>
      <w:r>
        <w:rPr>
          <w:color w:val="auto"/>
          <w:szCs w:val="21"/>
        </w:rPr>
        <w:t>商务响应表</w:t>
      </w:r>
      <w:r>
        <w:rPr>
          <w:b/>
          <w:color w:val="auto"/>
          <w:szCs w:val="21"/>
        </w:rPr>
        <w:t>（必须提供）；</w:t>
      </w:r>
    </w:p>
    <w:p>
      <w:pPr>
        <w:numPr>
          <w:ilvl w:val="0"/>
          <w:numId w:val="5"/>
        </w:numPr>
        <w:tabs>
          <w:tab w:val="left" w:pos="1305"/>
        </w:tabs>
        <w:spacing w:line="400" w:lineRule="exact"/>
        <w:ind w:firstLine="420" w:firstLineChars="200"/>
        <w:rPr>
          <w:color w:val="auto"/>
          <w:szCs w:val="21"/>
        </w:rPr>
      </w:pPr>
      <w:r>
        <w:rPr>
          <w:color w:val="auto"/>
          <w:szCs w:val="21"/>
        </w:rPr>
        <w:t>“货物采购需求”需提供的有效证明文件</w:t>
      </w:r>
      <w:r>
        <w:rPr>
          <w:b/>
          <w:color w:val="auto"/>
          <w:szCs w:val="21"/>
        </w:rPr>
        <w:t>（按其要求提供）</w:t>
      </w:r>
      <w:r>
        <w:rPr>
          <w:color w:val="auto"/>
          <w:szCs w:val="21"/>
        </w:rPr>
        <w:t>；</w:t>
      </w:r>
    </w:p>
    <w:p>
      <w:pPr>
        <w:tabs>
          <w:tab w:val="left" w:pos="1305"/>
        </w:tabs>
        <w:spacing w:line="400" w:lineRule="exact"/>
        <w:ind w:firstLine="420" w:firstLineChars="200"/>
        <w:rPr>
          <w:color w:val="auto"/>
          <w:szCs w:val="21"/>
        </w:rPr>
      </w:pPr>
      <w:r>
        <w:rPr>
          <w:color w:val="auto"/>
          <w:szCs w:val="21"/>
        </w:rPr>
        <w:t>（4）投标人的售后服务承诺书（含免费保修期、交付使用期、技术服务、技术培训、售后服务的内容和措施等）</w:t>
      </w:r>
      <w:r>
        <w:rPr>
          <w:b/>
          <w:color w:val="auto"/>
          <w:szCs w:val="21"/>
        </w:rPr>
        <w:t>（必须提供）</w:t>
      </w:r>
      <w:r>
        <w:rPr>
          <w:color w:val="auto"/>
          <w:szCs w:val="21"/>
        </w:rPr>
        <w:t>；</w:t>
      </w:r>
    </w:p>
    <w:p>
      <w:pPr>
        <w:spacing w:line="400" w:lineRule="exact"/>
        <w:ind w:firstLine="420" w:firstLineChars="200"/>
        <w:rPr>
          <w:color w:val="auto"/>
          <w:szCs w:val="21"/>
        </w:rPr>
      </w:pPr>
      <w:r>
        <w:rPr>
          <w:color w:val="auto"/>
          <w:szCs w:val="21"/>
        </w:rPr>
        <w:t>（5）项目实施人员一览表</w:t>
      </w:r>
      <w:r>
        <w:rPr>
          <w:b/>
          <w:bCs/>
          <w:color w:val="auto"/>
          <w:szCs w:val="21"/>
        </w:rPr>
        <w:t>【如有，请提供，并一起提供</w:t>
      </w:r>
      <w:r>
        <w:rPr>
          <w:rFonts w:hint="eastAsia"/>
          <w:b/>
          <w:bCs/>
          <w:color w:val="auto"/>
          <w:szCs w:val="21"/>
        </w:rPr>
        <w:t>由县级以上（含县级）社会养老保险经办机构出具的投标人为项目实施人员交纳的开标截止时间前半年内任意连续三个月社保证明复印件（如投标人为截标时间前60日以内成立的公司，可以提供投标人与项目实施人员签订的劳动合同复印件代替社保证明复印件；项目实施人员为免缴纳社保人员，提供免缴纳社保的证明材料复印件及投标人与项目实施人员签订的劳动合同复印件代替社保证明复印件）</w:t>
      </w:r>
      <w:r>
        <w:rPr>
          <w:b/>
          <w:bCs/>
          <w:color w:val="auto"/>
          <w:szCs w:val="21"/>
        </w:rPr>
        <w:t>】</w:t>
      </w:r>
      <w:r>
        <w:rPr>
          <w:b/>
          <w:color w:val="auto"/>
          <w:szCs w:val="21"/>
        </w:rPr>
        <w:t>（如有，请提供）</w:t>
      </w:r>
      <w:r>
        <w:rPr>
          <w:b/>
          <w:bCs/>
          <w:color w:val="auto"/>
          <w:szCs w:val="21"/>
        </w:rPr>
        <w:t>；</w:t>
      </w:r>
    </w:p>
    <w:p>
      <w:pPr>
        <w:snapToGrid w:val="0"/>
        <w:spacing w:line="400" w:lineRule="exact"/>
        <w:ind w:firstLine="420" w:firstLineChars="200"/>
        <w:rPr>
          <w:color w:val="auto"/>
          <w:szCs w:val="20"/>
        </w:rPr>
      </w:pPr>
      <w:r>
        <w:rPr>
          <w:color w:val="auto"/>
          <w:szCs w:val="20"/>
        </w:rPr>
        <w:t>（6）</w:t>
      </w:r>
      <w:r>
        <w:rPr>
          <w:color w:val="auto"/>
          <w:szCs w:val="21"/>
        </w:rPr>
        <w:t>节能方面的证书复印件</w:t>
      </w:r>
      <w:r>
        <w:rPr>
          <w:b/>
          <w:color w:val="auto"/>
          <w:szCs w:val="21"/>
        </w:rPr>
        <w:t>（如有，请提供）；</w:t>
      </w:r>
    </w:p>
    <w:p>
      <w:pPr>
        <w:snapToGrid w:val="0"/>
        <w:spacing w:line="400" w:lineRule="exact"/>
        <w:ind w:firstLine="420" w:firstLineChars="200"/>
        <w:rPr>
          <w:color w:val="auto"/>
          <w:szCs w:val="20"/>
        </w:rPr>
      </w:pPr>
      <w:r>
        <w:rPr>
          <w:color w:val="auto"/>
          <w:szCs w:val="20"/>
        </w:rPr>
        <w:t>（7）</w:t>
      </w:r>
      <w:r>
        <w:rPr>
          <w:color w:val="auto"/>
          <w:szCs w:val="21"/>
        </w:rPr>
        <w:t>环境标志方面的证书复印件</w:t>
      </w:r>
      <w:r>
        <w:rPr>
          <w:b/>
          <w:color w:val="auto"/>
          <w:szCs w:val="21"/>
        </w:rPr>
        <w:t>（如有，请提供）；</w:t>
      </w:r>
    </w:p>
    <w:p>
      <w:pPr>
        <w:tabs>
          <w:tab w:val="left" w:pos="1305"/>
        </w:tabs>
        <w:spacing w:line="400" w:lineRule="exact"/>
        <w:ind w:firstLine="420" w:firstLineChars="200"/>
        <w:rPr>
          <w:color w:val="auto"/>
          <w:szCs w:val="21"/>
        </w:rPr>
      </w:pPr>
      <w:r>
        <w:rPr>
          <w:color w:val="auto"/>
          <w:szCs w:val="21"/>
        </w:rPr>
        <w:t>（</w:t>
      </w:r>
      <w:r>
        <w:rPr>
          <w:rFonts w:hint="eastAsia"/>
          <w:color w:val="auto"/>
          <w:szCs w:val="21"/>
        </w:rPr>
        <w:t>8</w:t>
      </w:r>
      <w:r>
        <w:rPr>
          <w:color w:val="auto"/>
          <w:szCs w:val="21"/>
        </w:rPr>
        <w:t>）</w:t>
      </w:r>
      <w:r>
        <w:rPr>
          <w:rFonts w:hint="eastAsia"/>
          <w:color w:val="auto"/>
        </w:rPr>
        <w:t>投标人201</w:t>
      </w:r>
      <w:r>
        <w:rPr>
          <w:rFonts w:hint="eastAsia"/>
          <w:color w:val="auto"/>
          <w:lang w:val="en-US" w:eastAsia="zh-CN"/>
        </w:rPr>
        <w:t>7</w:t>
      </w:r>
      <w:r>
        <w:rPr>
          <w:rFonts w:hint="eastAsia"/>
          <w:color w:val="auto"/>
        </w:rPr>
        <w:t>年以来类似项目销售业绩的相关证明材料</w:t>
      </w:r>
      <w:r>
        <w:rPr>
          <w:color w:val="auto"/>
          <w:szCs w:val="21"/>
        </w:rPr>
        <w:t>（无不良记录，以中标、成交通知书或签订的销售合同为准，并能清晰反映所销售的货物名称、金额</w:t>
      </w:r>
      <w:r>
        <w:rPr>
          <w:color w:val="auto"/>
        </w:rPr>
        <w:t>）</w:t>
      </w:r>
      <w:r>
        <w:rPr>
          <w:b/>
          <w:color w:val="auto"/>
        </w:rPr>
        <w:t>（如有，请提供）；</w:t>
      </w:r>
    </w:p>
    <w:p>
      <w:pPr>
        <w:tabs>
          <w:tab w:val="left" w:pos="1305"/>
        </w:tabs>
        <w:spacing w:line="400" w:lineRule="exact"/>
        <w:ind w:firstLine="420" w:firstLineChars="200"/>
        <w:rPr>
          <w:color w:val="auto"/>
        </w:rPr>
      </w:pPr>
      <w:r>
        <w:rPr>
          <w:color w:val="auto"/>
          <w:szCs w:val="21"/>
        </w:rPr>
        <w:t>（</w:t>
      </w:r>
      <w:r>
        <w:rPr>
          <w:rFonts w:hint="eastAsia"/>
          <w:color w:val="auto"/>
          <w:szCs w:val="21"/>
        </w:rPr>
        <w:t>9</w:t>
      </w:r>
      <w:r>
        <w:rPr>
          <w:color w:val="auto"/>
          <w:szCs w:val="21"/>
        </w:rPr>
        <w:t>）投标人为生产厂家的，投标人的生产制造设备清单及专业技术能力说明</w:t>
      </w:r>
      <w:r>
        <w:rPr>
          <w:b/>
          <w:color w:val="auto"/>
        </w:rPr>
        <w:t>（如有，请提供）</w:t>
      </w:r>
      <w:r>
        <w:rPr>
          <w:color w:val="auto"/>
        </w:rPr>
        <w:t>；</w:t>
      </w:r>
    </w:p>
    <w:p>
      <w:pPr>
        <w:tabs>
          <w:tab w:val="left" w:pos="1305"/>
        </w:tabs>
        <w:spacing w:line="400" w:lineRule="exact"/>
        <w:ind w:firstLine="420" w:firstLineChars="200"/>
        <w:rPr>
          <w:color w:val="auto"/>
          <w:szCs w:val="21"/>
        </w:rPr>
      </w:pPr>
      <w:r>
        <w:rPr>
          <w:color w:val="auto"/>
          <w:szCs w:val="21"/>
        </w:rPr>
        <w:t>（1</w:t>
      </w:r>
      <w:r>
        <w:rPr>
          <w:rFonts w:hint="eastAsia"/>
          <w:color w:val="auto"/>
          <w:szCs w:val="21"/>
        </w:rPr>
        <w:t>0</w:t>
      </w:r>
      <w:r>
        <w:rPr>
          <w:color w:val="auto"/>
          <w:szCs w:val="21"/>
        </w:rPr>
        <w:t>）</w:t>
      </w:r>
      <w:r>
        <w:rPr>
          <w:color w:val="auto"/>
          <w:szCs w:val="20"/>
        </w:rPr>
        <w:t>投标人相关获奖证书、认证证书等复印件</w:t>
      </w:r>
      <w:r>
        <w:rPr>
          <w:b/>
          <w:color w:val="auto"/>
        </w:rPr>
        <w:t>（如有，请提供）</w:t>
      </w:r>
      <w:r>
        <w:rPr>
          <w:color w:val="auto"/>
          <w:szCs w:val="20"/>
        </w:rPr>
        <w:t>；</w:t>
      </w:r>
    </w:p>
    <w:p>
      <w:pPr>
        <w:tabs>
          <w:tab w:val="left" w:pos="1305"/>
        </w:tabs>
        <w:spacing w:line="400" w:lineRule="exact"/>
        <w:ind w:firstLine="420" w:firstLineChars="200"/>
        <w:rPr>
          <w:b/>
          <w:color w:val="auto"/>
        </w:rPr>
      </w:pPr>
      <w:r>
        <w:rPr>
          <w:color w:val="auto"/>
          <w:szCs w:val="21"/>
        </w:rPr>
        <w:t>（1</w:t>
      </w:r>
      <w:r>
        <w:rPr>
          <w:rFonts w:hint="eastAsia"/>
          <w:color w:val="auto"/>
          <w:szCs w:val="21"/>
        </w:rPr>
        <w:t>1</w:t>
      </w:r>
      <w:r>
        <w:rPr>
          <w:color w:val="auto"/>
          <w:szCs w:val="21"/>
        </w:rPr>
        <w:t>）</w:t>
      </w:r>
      <w:r>
        <w:rPr>
          <w:color w:val="auto"/>
        </w:rPr>
        <w:t>投标人所投产品为广西工业产品的，如实提供《广西工业产品声明函》</w:t>
      </w:r>
      <w:r>
        <w:rPr>
          <w:b/>
          <w:color w:val="auto"/>
        </w:rPr>
        <w:t>（如有，请提供）</w:t>
      </w:r>
      <w:r>
        <w:rPr>
          <w:color w:val="auto"/>
        </w:rPr>
        <w:t>；</w:t>
      </w:r>
    </w:p>
    <w:p>
      <w:pPr>
        <w:spacing w:line="400" w:lineRule="exact"/>
        <w:ind w:firstLine="420" w:firstLineChars="200"/>
        <w:rPr>
          <w:b/>
          <w:color w:val="auto"/>
        </w:rPr>
      </w:pPr>
      <w:r>
        <w:rPr>
          <w:color w:val="auto"/>
        </w:rPr>
        <w:t>（1</w:t>
      </w:r>
      <w:r>
        <w:rPr>
          <w:rFonts w:hint="eastAsia"/>
          <w:color w:val="auto"/>
        </w:rPr>
        <w:t>2</w:t>
      </w:r>
      <w:r>
        <w:rPr>
          <w:color w:val="auto"/>
        </w:rPr>
        <w:t>）如所提供服务企业属于小型、微型企业【中小微型企业划分标准按照《国家统计局关于印发《统计上大中小微型企业划分办法（2017）》的通知》（国统字[2017]213号）执行，具体划分标准见第四章评标办法中附表《统计上大中小微型企业划分标准》】，以提供的《中小企业声明函》（见附件）为准</w:t>
      </w:r>
      <w:r>
        <w:rPr>
          <w:b/>
          <w:color w:val="auto"/>
        </w:rPr>
        <w:t>（如有，请提供）；</w:t>
      </w:r>
    </w:p>
    <w:p>
      <w:pPr>
        <w:spacing w:line="400" w:lineRule="exact"/>
        <w:ind w:firstLine="420" w:firstLineChars="200"/>
        <w:rPr>
          <w:color w:val="auto"/>
        </w:rPr>
      </w:pPr>
      <w:r>
        <w:rPr>
          <w:color w:val="auto"/>
        </w:rPr>
        <w:t>（1</w:t>
      </w:r>
      <w:r>
        <w:rPr>
          <w:rFonts w:hint="eastAsia"/>
          <w:color w:val="auto"/>
        </w:rPr>
        <w:t>3</w:t>
      </w:r>
      <w:r>
        <w:rPr>
          <w:color w:val="auto"/>
        </w:rPr>
        <w:t>）如产品属于监狱企业的，以提供由省级以上监狱管理局、戒毒管理局（含新疆生产建设兵团）出具的属于监狱企业的证明文件为准</w:t>
      </w:r>
      <w:r>
        <w:rPr>
          <w:color w:val="auto"/>
          <w:kern w:val="0"/>
          <w:sz w:val="24"/>
        </w:rPr>
        <w:t>（</w:t>
      </w:r>
      <w:r>
        <w:rPr>
          <w:b/>
          <w:color w:val="auto"/>
        </w:rPr>
        <w:t>如有，请提供</w:t>
      </w:r>
      <w:r>
        <w:rPr>
          <w:color w:val="auto"/>
          <w:kern w:val="0"/>
          <w:sz w:val="24"/>
        </w:rPr>
        <w:t>）；</w:t>
      </w:r>
    </w:p>
    <w:p>
      <w:pPr>
        <w:spacing w:line="400" w:lineRule="exact"/>
        <w:ind w:firstLine="420" w:firstLineChars="200"/>
        <w:rPr>
          <w:color w:val="auto"/>
          <w:szCs w:val="21"/>
        </w:rPr>
      </w:pPr>
      <w:r>
        <w:rPr>
          <w:color w:val="auto"/>
        </w:rPr>
        <w:t>（1</w:t>
      </w:r>
      <w:r>
        <w:rPr>
          <w:rFonts w:hint="eastAsia"/>
          <w:color w:val="auto"/>
        </w:rPr>
        <w:t>4</w:t>
      </w:r>
      <w:r>
        <w:rPr>
          <w:color w:val="auto"/>
        </w:rPr>
        <w:t>）符合条件的残疾人福利性单位在参加政府采购活动时，应当提供《残疾人福利性单位声明函》（见附件），并对声明的真实性负责。</w:t>
      </w:r>
      <w:r>
        <w:rPr>
          <w:b/>
          <w:color w:val="auto"/>
        </w:rPr>
        <w:t>（如有，请提供）</w:t>
      </w:r>
    </w:p>
    <w:p>
      <w:pPr>
        <w:tabs>
          <w:tab w:val="left" w:pos="1305"/>
        </w:tabs>
        <w:spacing w:line="400" w:lineRule="exact"/>
        <w:ind w:firstLine="420" w:firstLineChars="200"/>
        <w:rPr>
          <w:color w:val="auto"/>
          <w:szCs w:val="21"/>
        </w:rPr>
      </w:pPr>
      <w:r>
        <w:rPr>
          <w:color w:val="auto"/>
        </w:rPr>
        <w:t>（1</w:t>
      </w:r>
      <w:r>
        <w:rPr>
          <w:rFonts w:hint="eastAsia"/>
          <w:color w:val="auto"/>
        </w:rPr>
        <w:t>5</w:t>
      </w:r>
      <w:r>
        <w:rPr>
          <w:color w:val="auto"/>
        </w:rPr>
        <w:t>）</w:t>
      </w:r>
      <w:r>
        <w:rPr>
          <w:color w:val="auto"/>
          <w:szCs w:val="21"/>
        </w:rPr>
        <w:t>投标人可结合本项目的评标办法视自身情况自行提交相关证明材料</w:t>
      </w:r>
      <w:r>
        <w:rPr>
          <w:b/>
          <w:color w:val="auto"/>
        </w:rPr>
        <w:t>（如有，请提供）</w:t>
      </w:r>
      <w:r>
        <w:rPr>
          <w:color w:val="auto"/>
          <w:szCs w:val="21"/>
        </w:rPr>
        <w:t>。</w:t>
      </w:r>
    </w:p>
    <w:p>
      <w:pPr>
        <w:ind w:firstLine="420" w:firstLineChars="200"/>
        <w:rPr>
          <w:color w:val="auto"/>
        </w:rPr>
      </w:pPr>
      <w:r>
        <w:rPr>
          <w:rFonts w:hint="eastAsia"/>
          <w:color w:val="auto"/>
        </w:rPr>
        <w:t>（16）项目实施方案</w:t>
      </w:r>
      <w:r>
        <w:rPr>
          <w:b/>
          <w:color w:val="auto"/>
        </w:rPr>
        <w:t>（如有，请提供）</w:t>
      </w:r>
      <w:r>
        <w:rPr>
          <w:color w:val="auto"/>
          <w:szCs w:val="21"/>
        </w:rPr>
        <w:t>。</w:t>
      </w:r>
    </w:p>
    <w:p>
      <w:pPr>
        <w:spacing w:line="400" w:lineRule="exact"/>
        <w:ind w:firstLine="420"/>
        <w:rPr>
          <w:color w:val="auto"/>
          <w:szCs w:val="21"/>
        </w:rPr>
      </w:pPr>
      <w:r>
        <w:rPr>
          <w:b/>
          <w:color w:val="auto"/>
          <w:szCs w:val="21"/>
        </w:rPr>
        <w:t>投标人提供的以上相关证明材料应真实有效，属于“必须提供”的文件应加盖投标人公章（扫描公章无效</w:t>
      </w:r>
      <w:r>
        <w:rPr>
          <w:rFonts w:hint="eastAsia"/>
          <w:b/>
          <w:color w:val="auto"/>
          <w:szCs w:val="21"/>
        </w:rPr>
        <w:t>，自然人除外</w:t>
      </w:r>
      <w:r>
        <w:rPr>
          <w:b/>
          <w:color w:val="auto"/>
          <w:szCs w:val="21"/>
        </w:rPr>
        <w:t>）</w:t>
      </w:r>
      <w:r>
        <w:rPr>
          <w:rFonts w:hint="eastAsia"/>
          <w:b/>
          <w:color w:val="auto"/>
          <w:szCs w:val="21"/>
        </w:rPr>
        <w:t>，否则投标无效</w:t>
      </w:r>
      <w:r>
        <w:rPr>
          <w:b/>
          <w:color w:val="auto"/>
          <w:szCs w:val="21"/>
        </w:rPr>
        <w:t>。</w:t>
      </w:r>
    </w:p>
    <w:p>
      <w:pPr>
        <w:spacing w:line="400" w:lineRule="exact"/>
        <w:ind w:firstLine="420"/>
        <w:rPr>
          <w:color w:val="auto"/>
        </w:rPr>
      </w:pPr>
      <w:r>
        <w:rPr>
          <w:color w:val="auto"/>
          <w:szCs w:val="21"/>
        </w:rPr>
        <w:t>13.2</w:t>
      </w:r>
      <w:r>
        <w:rPr>
          <w:color w:val="auto"/>
        </w:rPr>
        <w:t>投标人应按招标文件第六章“投标文件（格式）”编制投标文件。</w:t>
      </w:r>
    </w:p>
    <w:p>
      <w:pPr>
        <w:spacing w:line="400" w:lineRule="exact"/>
        <w:ind w:firstLine="420"/>
        <w:rPr>
          <w:color w:val="auto"/>
        </w:rPr>
      </w:pPr>
      <w:r>
        <w:rPr>
          <w:color w:val="auto"/>
        </w:rPr>
        <w:t>13.3投标文件应当对招标文件提出的要求和条件作出明确响应。</w:t>
      </w:r>
    </w:p>
    <w:p>
      <w:pPr>
        <w:spacing w:line="400" w:lineRule="exact"/>
        <w:ind w:firstLine="413" w:firstLineChars="196"/>
        <w:outlineLvl w:val="2"/>
        <w:rPr>
          <w:b/>
          <w:color w:val="auto"/>
          <w:szCs w:val="21"/>
        </w:rPr>
      </w:pPr>
      <w:bookmarkStart w:id="87" w:name="_Toc7663"/>
      <w:bookmarkStart w:id="88" w:name="_Toc11037"/>
      <w:r>
        <w:rPr>
          <w:b/>
          <w:color w:val="auto"/>
          <w:szCs w:val="21"/>
        </w:rPr>
        <w:t>14. 投标文件的语言及计量</w:t>
      </w:r>
      <w:bookmarkEnd w:id="87"/>
      <w:bookmarkEnd w:id="88"/>
    </w:p>
    <w:p>
      <w:pPr>
        <w:tabs>
          <w:tab w:val="left" w:pos="1305"/>
        </w:tabs>
        <w:spacing w:line="400" w:lineRule="exact"/>
        <w:ind w:firstLine="420" w:firstLineChars="200"/>
        <w:rPr>
          <w:color w:val="auto"/>
          <w:szCs w:val="21"/>
        </w:rPr>
      </w:pPr>
      <w:r>
        <w:rPr>
          <w:color w:val="auto"/>
          <w:szCs w:val="21"/>
        </w:rPr>
        <w:t>14.1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pPr>
        <w:tabs>
          <w:tab w:val="left" w:pos="1305"/>
        </w:tabs>
        <w:spacing w:line="400" w:lineRule="exact"/>
        <w:ind w:firstLine="420" w:firstLineChars="200"/>
        <w:rPr>
          <w:color w:val="auto"/>
          <w:szCs w:val="21"/>
        </w:rPr>
      </w:pPr>
      <w:r>
        <w:rPr>
          <w:color w:val="auto"/>
          <w:szCs w:val="21"/>
        </w:rPr>
        <w:t>14.2投标计量单位，招标文件已有明确规定的，使用招标文件规定的计量单位；招标文件没有规定的，应采用中华人民共和国法定计量单位（货币单位：元人民币），否则视同未响应。</w:t>
      </w:r>
    </w:p>
    <w:p>
      <w:pPr>
        <w:numPr>
          <w:ilvl w:val="0"/>
          <w:numId w:val="6"/>
        </w:numPr>
        <w:spacing w:line="400" w:lineRule="exact"/>
        <w:ind w:firstLine="413" w:firstLineChars="196"/>
        <w:outlineLvl w:val="2"/>
        <w:rPr>
          <w:b/>
          <w:color w:val="auto"/>
          <w:szCs w:val="21"/>
        </w:rPr>
      </w:pPr>
      <w:bookmarkStart w:id="89" w:name="_Toc8378"/>
      <w:bookmarkStart w:id="90" w:name="_Toc8372"/>
      <w:r>
        <w:rPr>
          <w:b/>
          <w:color w:val="auto"/>
          <w:szCs w:val="21"/>
        </w:rPr>
        <w:t>投标报价</w:t>
      </w:r>
      <w:bookmarkEnd w:id="89"/>
      <w:bookmarkEnd w:id="90"/>
    </w:p>
    <w:p>
      <w:pPr>
        <w:spacing w:line="400" w:lineRule="exact"/>
        <w:ind w:firstLine="420" w:firstLineChars="200"/>
        <w:rPr>
          <w:color w:val="auto"/>
          <w:szCs w:val="21"/>
        </w:rPr>
      </w:pPr>
      <w:r>
        <w:rPr>
          <w:color w:val="auto"/>
          <w:szCs w:val="21"/>
        </w:rPr>
        <w:t>15.1投标报价应按招标文件中第六章“投标文件（格式）”填写，投标报价超过采购预算金额的，投标文件按无效处理。</w:t>
      </w:r>
    </w:p>
    <w:p>
      <w:pPr>
        <w:spacing w:line="400" w:lineRule="exact"/>
        <w:ind w:firstLine="420" w:firstLineChars="200"/>
        <w:rPr>
          <w:color w:val="auto"/>
          <w:szCs w:val="21"/>
        </w:rPr>
      </w:pPr>
      <w:r>
        <w:rPr>
          <w:color w:val="auto"/>
          <w:szCs w:val="21"/>
        </w:rPr>
        <w:t>15.2投标人必须就“货物采购需求”</w:t>
      </w:r>
      <w:r>
        <w:rPr>
          <w:rFonts w:hint="eastAsia"/>
          <w:color w:val="auto"/>
          <w:szCs w:val="21"/>
        </w:rPr>
        <w:t>中所投分标内容</w:t>
      </w:r>
      <w:r>
        <w:rPr>
          <w:color w:val="auto"/>
          <w:szCs w:val="21"/>
        </w:rPr>
        <w:t>作完整唯一报价，否则，其投标将被拒绝；投标文件只允许有一个报价，有选择的或有条件的报价将不予接受。</w:t>
      </w:r>
    </w:p>
    <w:p>
      <w:pPr>
        <w:spacing w:line="400" w:lineRule="exact"/>
        <w:ind w:firstLine="420" w:firstLineChars="200"/>
        <w:rPr>
          <w:color w:val="auto"/>
          <w:szCs w:val="21"/>
        </w:rPr>
      </w:pPr>
      <w:r>
        <w:rPr>
          <w:color w:val="auto"/>
          <w:szCs w:val="21"/>
        </w:rPr>
        <w:t>15.3投标报价应包括本次招标采购范围内货物价款、货物随配标准附件、包装、运输、装卸、保险、税金、货到位以及安装、安装所需辅材、调试、检验、售后服务、培训、保修及其他所有成本费用的总和</w:t>
      </w:r>
      <w:r>
        <w:rPr>
          <w:rFonts w:hint="eastAsia"/>
          <w:color w:val="auto"/>
          <w:szCs w:val="21"/>
        </w:rPr>
        <w:t>，</w:t>
      </w:r>
      <w:r>
        <w:rPr>
          <w:color w:val="auto"/>
        </w:rPr>
        <w:t>投标人</w:t>
      </w:r>
      <w:r>
        <w:rPr>
          <w:rFonts w:hint="eastAsia"/>
          <w:color w:val="auto"/>
        </w:rPr>
        <w:t>应</w:t>
      </w:r>
      <w:r>
        <w:rPr>
          <w:color w:val="auto"/>
        </w:rPr>
        <w:t>综合考虑在报价中。</w:t>
      </w:r>
    </w:p>
    <w:p>
      <w:pPr>
        <w:spacing w:line="400" w:lineRule="exact"/>
        <w:ind w:firstLine="413" w:firstLineChars="196"/>
        <w:outlineLvl w:val="2"/>
        <w:rPr>
          <w:b/>
          <w:color w:val="auto"/>
          <w:szCs w:val="21"/>
        </w:rPr>
      </w:pPr>
      <w:bookmarkStart w:id="91" w:name="_Toc3780"/>
      <w:bookmarkStart w:id="92" w:name="_Toc22333"/>
      <w:r>
        <w:rPr>
          <w:b/>
          <w:color w:val="auto"/>
          <w:szCs w:val="21"/>
        </w:rPr>
        <w:t>16. 投标有效期</w:t>
      </w:r>
      <w:bookmarkEnd w:id="91"/>
      <w:bookmarkEnd w:id="92"/>
    </w:p>
    <w:p>
      <w:pPr>
        <w:tabs>
          <w:tab w:val="left" w:pos="1305"/>
        </w:tabs>
        <w:spacing w:line="400" w:lineRule="exact"/>
        <w:ind w:firstLine="420" w:firstLineChars="200"/>
        <w:rPr>
          <w:color w:val="auto"/>
          <w:szCs w:val="21"/>
        </w:rPr>
      </w:pPr>
      <w:r>
        <w:rPr>
          <w:color w:val="auto"/>
          <w:szCs w:val="21"/>
        </w:rPr>
        <w:t>16.1投标有效期：</w:t>
      </w:r>
      <w:r>
        <w:rPr>
          <w:color w:val="auto"/>
        </w:rPr>
        <w:t>投标截止时间之日起90天</w:t>
      </w:r>
      <w:r>
        <w:rPr>
          <w:color w:val="auto"/>
          <w:sz w:val="22"/>
          <w:szCs w:val="22"/>
        </w:rPr>
        <w:t>。</w:t>
      </w:r>
    </w:p>
    <w:p>
      <w:pPr>
        <w:tabs>
          <w:tab w:val="left" w:pos="1305"/>
        </w:tabs>
        <w:spacing w:line="400" w:lineRule="exact"/>
        <w:ind w:firstLine="420" w:firstLineChars="200"/>
        <w:rPr>
          <w:color w:val="auto"/>
          <w:szCs w:val="21"/>
        </w:rPr>
      </w:pPr>
      <w:r>
        <w:rPr>
          <w:color w:val="auto"/>
          <w:szCs w:val="21"/>
        </w:rPr>
        <w:t>16.2出现特殊情况下，需要延长投标有效期的，采购代理机构以书面形式通知投标人延长投标有效期。投标人同意延长的，</w:t>
      </w:r>
      <w:r>
        <w:rPr>
          <w:rFonts w:hint="eastAsia"/>
          <w:color w:val="auto"/>
          <w:szCs w:val="21"/>
        </w:rPr>
        <w:t>原</w:t>
      </w:r>
      <w:r>
        <w:rPr>
          <w:color w:val="auto"/>
          <w:szCs w:val="21"/>
        </w:rPr>
        <w:t>投标文件</w:t>
      </w:r>
      <w:r>
        <w:rPr>
          <w:rFonts w:hint="eastAsia"/>
          <w:color w:val="auto"/>
          <w:szCs w:val="21"/>
        </w:rPr>
        <w:t>继续有效</w:t>
      </w:r>
      <w:r>
        <w:rPr>
          <w:color w:val="auto"/>
          <w:szCs w:val="21"/>
        </w:rPr>
        <w:t>。投标人拒绝延长的，其投标无效。</w:t>
      </w:r>
    </w:p>
    <w:p>
      <w:pPr>
        <w:spacing w:line="400" w:lineRule="exact"/>
        <w:ind w:firstLine="413" w:firstLineChars="196"/>
        <w:outlineLvl w:val="2"/>
        <w:rPr>
          <w:b/>
          <w:color w:val="auto"/>
          <w:szCs w:val="21"/>
        </w:rPr>
      </w:pPr>
      <w:bookmarkStart w:id="93" w:name="_Toc5668"/>
      <w:bookmarkStart w:id="94" w:name="_Toc17813"/>
      <w:r>
        <w:rPr>
          <w:b/>
          <w:color w:val="auto"/>
          <w:szCs w:val="21"/>
        </w:rPr>
        <w:t>17. 投标保证金</w:t>
      </w:r>
      <w:bookmarkEnd w:id="93"/>
      <w:bookmarkEnd w:id="94"/>
    </w:p>
    <w:p>
      <w:pPr>
        <w:tabs>
          <w:tab w:val="left" w:pos="1305"/>
        </w:tabs>
        <w:spacing w:line="400" w:lineRule="exact"/>
        <w:ind w:firstLine="420" w:firstLineChars="200"/>
        <w:rPr>
          <w:color w:val="auto"/>
          <w:szCs w:val="21"/>
        </w:rPr>
      </w:pPr>
      <w:r>
        <w:rPr>
          <w:rFonts w:hint="eastAsia"/>
          <w:color w:val="auto"/>
          <w:szCs w:val="21"/>
        </w:rPr>
        <w:t>本项目无需缴纳投标保证金。</w:t>
      </w:r>
    </w:p>
    <w:p>
      <w:pPr>
        <w:spacing w:line="400" w:lineRule="exact"/>
        <w:ind w:firstLine="413" w:firstLineChars="196"/>
        <w:outlineLvl w:val="2"/>
        <w:rPr>
          <w:b/>
          <w:color w:val="auto"/>
          <w:szCs w:val="21"/>
        </w:rPr>
      </w:pPr>
      <w:bookmarkStart w:id="95" w:name="_Toc12744"/>
      <w:bookmarkStart w:id="96" w:name="_Toc30873"/>
      <w:r>
        <w:rPr>
          <w:b/>
          <w:color w:val="auto"/>
          <w:szCs w:val="21"/>
        </w:rPr>
        <w:t>18. 投标文件的份数、装订、签署和包装、密封</w:t>
      </w:r>
      <w:bookmarkEnd w:id="95"/>
      <w:bookmarkEnd w:id="96"/>
    </w:p>
    <w:p>
      <w:pPr>
        <w:tabs>
          <w:tab w:val="left" w:pos="1305"/>
        </w:tabs>
        <w:spacing w:line="400" w:lineRule="exact"/>
        <w:ind w:firstLine="420" w:firstLineChars="200"/>
        <w:rPr>
          <w:color w:val="auto"/>
          <w:szCs w:val="21"/>
        </w:rPr>
      </w:pPr>
      <w:r>
        <w:rPr>
          <w:color w:val="auto"/>
          <w:szCs w:val="21"/>
        </w:rPr>
        <w:t>18.1</w:t>
      </w:r>
      <w:r>
        <w:rPr>
          <w:b/>
          <w:color w:val="auto"/>
          <w:szCs w:val="21"/>
        </w:rPr>
        <w:t>投标文件份数：</w:t>
      </w:r>
      <w:r>
        <w:rPr>
          <w:color w:val="auto"/>
          <w:szCs w:val="21"/>
        </w:rPr>
        <w:t>正本壹册，副本</w:t>
      </w:r>
      <w:r>
        <w:rPr>
          <w:rFonts w:hint="eastAsia"/>
          <w:color w:val="auto"/>
          <w:szCs w:val="21"/>
        </w:rPr>
        <w:t>肆册</w:t>
      </w:r>
      <w:r>
        <w:rPr>
          <w:color w:val="auto"/>
          <w:szCs w:val="21"/>
        </w:rPr>
        <w:t>，须完整提交。</w:t>
      </w:r>
    </w:p>
    <w:p>
      <w:pPr>
        <w:tabs>
          <w:tab w:val="left" w:pos="1305"/>
          <w:tab w:val="center" w:pos="5029"/>
        </w:tabs>
        <w:spacing w:line="400" w:lineRule="exact"/>
        <w:ind w:firstLine="420" w:firstLineChars="200"/>
        <w:rPr>
          <w:color w:val="auto"/>
          <w:szCs w:val="21"/>
        </w:rPr>
      </w:pPr>
      <w:r>
        <w:rPr>
          <w:color w:val="auto"/>
          <w:szCs w:val="21"/>
        </w:rPr>
        <w:t>18.2</w:t>
      </w:r>
      <w:r>
        <w:rPr>
          <w:b/>
          <w:color w:val="auto"/>
          <w:szCs w:val="21"/>
        </w:rPr>
        <w:t>投标文件装订：</w:t>
      </w:r>
      <w:r>
        <w:rPr>
          <w:color w:val="auto"/>
          <w:szCs w:val="21"/>
        </w:rPr>
        <w:t>投标人应按投标人须知第13.1条“投标文件组成”规定的顺序自编目录及页码，投标文件的“正本”、“副本”应当单独装订成册并标注页码，装订应牢固，不易拆散和换页（A4标准纸装订，图纸除外）。封面应注明“正本”、“副本”字样，封面上写明项目名称、项目编号、</w:t>
      </w:r>
      <w:r>
        <w:rPr>
          <w:rFonts w:hint="eastAsia"/>
          <w:color w:val="auto"/>
          <w:szCs w:val="21"/>
        </w:rPr>
        <w:t>分标号、</w:t>
      </w:r>
      <w:r>
        <w:rPr>
          <w:color w:val="auto"/>
          <w:szCs w:val="21"/>
        </w:rPr>
        <w:t>采购代理机构、投标单位名称。</w:t>
      </w:r>
    </w:p>
    <w:p>
      <w:pPr>
        <w:tabs>
          <w:tab w:val="left" w:pos="1305"/>
        </w:tabs>
        <w:spacing w:line="400" w:lineRule="exact"/>
        <w:ind w:firstLine="420" w:firstLineChars="200"/>
        <w:rPr>
          <w:color w:val="auto"/>
          <w:szCs w:val="21"/>
        </w:rPr>
      </w:pPr>
      <w:r>
        <w:rPr>
          <w:color w:val="auto"/>
          <w:szCs w:val="21"/>
        </w:rPr>
        <w:t>18.3投标文件的正本需打印或用不褪色的墨水填写，投标文件正本除本招标文件中规定的可提供复印件外均须提供原件。</w:t>
      </w:r>
    </w:p>
    <w:p>
      <w:pPr>
        <w:tabs>
          <w:tab w:val="left" w:pos="1305"/>
        </w:tabs>
        <w:spacing w:line="400" w:lineRule="exact"/>
        <w:ind w:firstLine="420" w:firstLineChars="200"/>
        <w:rPr>
          <w:color w:val="auto"/>
          <w:szCs w:val="21"/>
        </w:rPr>
      </w:pPr>
      <w:r>
        <w:rPr>
          <w:color w:val="auto"/>
          <w:szCs w:val="21"/>
        </w:rPr>
        <w:t>18.4投标文件须由投标人在规定位置盖投标人公章</w:t>
      </w:r>
      <w:r>
        <w:rPr>
          <w:bCs/>
          <w:color w:val="auto"/>
          <w:szCs w:val="21"/>
        </w:rPr>
        <w:t>（扫描公章无效）</w:t>
      </w:r>
      <w:r>
        <w:rPr>
          <w:color w:val="auto"/>
          <w:szCs w:val="21"/>
        </w:rPr>
        <w:t>并由法定代表人、负责人或相应的授权委托代理人签字，投标人应写全称，投标文件副本可以是加盖公章的正本的复印件，当正本与副本不一致时，以正本为准。</w:t>
      </w:r>
    </w:p>
    <w:p>
      <w:pPr>
        <w:snapToGrid w:val="0"/>
        <w:spacing w:line="400" w:lineRule="exact"/>
        <w:ind w:firstLine="420" w:firstLineChars="200"/>
        <w:jc w:val="left"/>
        <w:rPr>
          <w:color w:val="auto"/>
          <w:szCs w:val="21"/>
        </w:rPr>
      </w:pPr>
      <w:r>
        <w:rPr>
          <w:color w:val="auto"/>
          <w:szCs w:val="21"/>
        </w:rPr>
        <w:t>18.5投标文件不得涂改，若有修改错漏处，须加盖投标人公章及法定代表人、负责人或相应的授权委托代理人签字。投标文件因字迹潦草或表达不清所引起的后果由投标人负责。</w:t>
      </w:r>
    </w:p>
    <w:p>
      <w:pPr>
        <w:tabs>
          <w:tab w:val="left" w:pos="1305"/>
        </w:tabs>
        <w:spacing w:line="400" w:lineRule="exact"/>
        <w:ind w:firstLine="420" w:firstLineChars="200"/>
        <w:rPr>
          <w:b/>
          <w:color w:val="auto"/>
          <w:szCs w:val="21"/>
        </w:rPr>
      </w:pPr>
      <w:r>
        <w:rPr>
          <w:color w:val="auto"/>
          <w:szCs w:val="21"/>
        </w:rPr>
        <w:t>18.6</w:t>
      </w:r>
      <w:r>
        <w:rPr>
          <w:b/>
          <w:color w:val="auto"/>
          <w:szCs w:val="21"/>
        </w:rPr>
        <w:t>投标人公章：</w:t>
      </w:r>
      <w:r>
        <w:rPr>
          <w:color w:val="auto"/>
          <w:szCs w:val="21"/>
        </w:rPr>
        <w:t>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p>
    <w:p>
      <w:pPr>
        <w:tabs>
          <w:tab w:val="left" w:pos="1305"/>
        </w:tabs>
        <w:spacing w:line="400" w:lineRule="exact"/>
        <w:ind w:firstLine="420" w:firstLineChars="200"/>
        <w:rPr>
          <w:color w:val="auto"/>
        </w:rPr>
      </w:pPr>
      <w:r>
        <w:rPr>
          <w:color w:val="auto"/>
          <w:szCs w:val="21"/>
        </w:rPr>
        <w:t>18.7</w:t>
      </w:r>
      <w:r>
        <w:rPr>
          <w:b/>
          <w:color w:val="auto"/>
          <w:szCs w:val="21"/>
        </w:rPr>
        <w:t>投标文件包装、密封：</w:t>
      </w:r>
      <w:r>
        <w:rPr>
          <w:color w:val="auto"/>
          <w:szCs w:val="21"/>
        </w:rPr>
        <w:t>将投标文件“正本”、“副本”一并装入并密封在一个投标文件袋（盒、箱）中，并在密封处密封签章</w:t>
      </w:r>
      <w:r>
        <w:rPr>
          <w:color w:val="auto"/>
          <w:sz w:val="18"/>
          <w:szCs w:val="18"/>
        </w:rPr>
        <w:t>【</w:t>
      </w:r>
      <w:r>
        <w:rPr>
          <w:b/>
          <w:color w:val="auto"/>
          <w:szCs w:val="21"/>
        </w:rPr>
        <w:t>公章、密封章、法定代表人、负责人或相应的授权委托代理人签字均可</w:t>
      </w:r>
      <w:r>
        <w:rPr>
          <w:color w:val="auto"/>
          <w:sz w:val="18"/>
          <w:szCs w:val="18"/>
        </w:rPr>
        <w:t>】</w:t>
      </w:r>
      <w:r>
        <w:rPr>
          <w:color w:val="auto"/>
        </w:rPr>
        <w:t>。</w:t>
      </w:r>
    </w:p>
    <w:p>
      <w:pPr>
        <w:spacing w:line="400" w:lineRule="exact"/>
        <w:ind w:firstLine="420" w:firstLineChars="200"/>
        <w:rPr>
          <w:b/>
          <w:color w:val="auto"/>
          <w:szCs w:val="21"/>
        </w:rPr>
      </w:pPr>
      <w:r>
        <w:rPr>
          <w:color w:val="auto"/>
        </w:rPr>
        <w:t>18.8</w:t>
      </w:r>
      <w:r>
        <w:rPr>
          <w:b/>
          <w:color w:val="auto"/>
          <w:szCs w:val="21"/>
        </w:rPr>
        <w:t>投标文件袋（盒、箱）标记：</w:t>
      </w:r>
    </w:p>
    <w:p>
      <w:pPr>
        <w:spacing w:line="400" w:lineRule="exact"/>
        <w:ind w:firstLine="630" w:firstLineChars="300"/>
        <w:rPr>
          <w:color w:val="auto"/>
          <w:szCs w:val="21"/>
        </w:rPr>
      </w:pPr>
      <w:r>
        <w:rPr>
          <w:color w:val="auto"/>
          <w:szCs w:val="21"/>
        </w:rPr>
        <w:t>项目名称：</w:t>
      </w:r>
      <w:r>
        <w:rPr>
          <w:rFonts w:hint="eastAsia"/>
          <w:color w:val="auto"/>
          <w:szCs w:val="21"/>
        </w:rPr>
        <w:t>五期公寓楼组合公寓床采购</w:t>
      </w:r>
    </w:p>
    <w:p>
      <w:pPr>
        <w:spacing w:line="400" w:lineRule="exact"/>
        <w:ind w:firstLine="630" w:firstLineChars="300"/>
        <w:rPr>
          <w:color w:val="auto"/>
          <w:szCs w:val="21"/>
        </w:rPr>
      </w:pPr>
      <w:r>
        <w:rPr>
          <w:color w:val="auto"/>
          <w:szCs w:val="21"/>
        </w:rPr>
        <w:t>项目编号：</w:t>
      </w:r>
      <w:r>
        <w:rPr>
          <w:rFonts w:hint="eastAsia"/>
          <w:color w:val="auto"/>
          <w:szCs w:val="21"/>
        </w:rPr>
        <w:t>GXZC2020-G1-001981-GLSZ</w:t>
      </w:r>
    </w:p>
    <w:p>
      <w:pPr>
        <w:spacing w:line="400" w:lineRule="exact"/>
        <w:ind w:firstLine="630" w:firstLineChars="300"/>
        <w:rPr>
          <w:color w:val="auto"/>
          <w:szCs w:val="21"/>
        </w:rPr>
      </w:pPr>
      <w:r>
        <w:rPr>
          <w:color w:val="auto"/>
          <w:szCs w:val="21"/>
        </w:rPr>
        <w:t>采购代理机构：</w:t>
      </w:r>
      <w:r>
        <w:rPr>
          <w:rFonts w:hint="eastAsia"/>
          <w:color w:val="auto"/>
          <w:szCs w:val="21"/>
        </w:rPr>
        <w:t>桂林市政府集中采购中心</w:t>
      </w:r>
    </w:p>
    <w:p>
      <w:pPr>
        <w:spacing w:line="400" w:lineRule="exact"/>
        <w:ind w:firstLine="630" w:firstLineChars="300"/>
        <w:rPr>
          <w:color w:val="auto"/>
          <w:szCs w:val="21"/>
        </w:rPr>
      </w:pPr>
      <w:r>
        <w:rPr>
          <w:color w:val="auto"/>
          <w:szCs w:val="21"/>
        </w:rPr>
        <w:t>投标单位名称：</w:t>
      </w:r>
    </w:p>
    <w:p>
      <w:pPr>
        <w:spacing w:line="400" w:lineRule="exact"/>
        <w:ind w:firstLine="630" w:firstLineChars="300"/>
        <w:rPr>
          <w:color w:val="auto"/>
          <w:szCs w:val="21"/>
        </w:rPr>
      </w:pPr>
      <w:r>
        <w:rPr>
          <w:color w:val="auto"/>
          <w:szCs w:val="21"/>
        </w:rPr>
        <w:t>在</w:t>
      </w:r>
      <w:r>
        <w:rPr>
          <w:rFonts w:hint="eastAsia"/>
          <w:color w:val="auto"/>
          <w:szCs w:val="21"/>
        </w:rPr>
        <w:t>2020年</w:t>
      </w:r>
      <w:r>
        <w:rPr>
          <w:rFonts w:hint="eastAsia"/>
          <w:color w:val="auto"/>
          <w:szCs w:val="21"/>
          <w:lang w:val="en-US" w:eastAsia="zh-CN"/>
        </w:rPr>
        <w:t>7</w:t>
      </w:r>
      <w:r>
        <w:rPr>
          <w:rFonts w:hint="eastAsia"/>
          <w:color w:val="auto"/>
          <w:szCs w:val="21"/>
        </w:rPr>
        <w:t>月</w:t>
      </w:r>
      <w:r>
        <w:rPr>
          <w:rFonts w:hint="eastAsia"/>
          <w:color w:val="auto"/>
          <w:szCs w:val="21"/>
          <w:lang w:val="en-US" w:eastAsia="zh-CN"/>
        </w:rPr>
        <w:t>24</w:t>
      </w:r>
      <w:r>
        <w:rPr>
          <w:rFonts w:hint="eastAsia"/>
          <w:color w:val="auto"/>
          <w:szCs w:val="21"/>
        </w:rPr>
        <w:t>日</w:t>
      </w:r>
      <w:r>
        <w:rPr>
          <w:color w:val="auto"/>
          <w:szCs w:val="21"/>
        </w:rPr>
        <w:t>上午</w:t>
      </w:r>
      <w:r>
        <w:rPr>
          <w:rFonts w:hint="eastAsia"/>
          <w:color w:val="auto"/>
          <w:szCs w:val="21"/>
          <w:lang w:val="en-US" w:eastAsia="zh-CN"/>
        </w:rPr>
        <w:t>9</w:t>
      </w:r>
      <w:r>
        <w:rPr>
          <w:color w:val="auto"/>
          <w:szCs w:val="21"/>
        </w:rPr>
        <w:t>时</w:t>
      </w:r>
      <w:r>
        <w:rPr>
          <w:rFonts w:hint="eastAsia"/>
          <w:color w:val="auto"/>
          <w:szCs w:val="21"/>
          <w:lang w:val="en-US" w:eastAsia="zh-CN"/>
        </w:rPr>
        <w:t>30</w:t>
      </w:r>
      <w:r>
        <w:rPr>
          <w:color w:val="auto"/>
          <w:szCs w:val="21"/>
        </w:rPr>
        <w:t>分前不得开启</w:t>
      </w:r>
      <w:r>
        <w:rPr>
          <w:rFonts w:hint="eastAsia"/>
          <w:color w:val="auto"/>
          <w:szCs w:val="21"/>
        </w:rPr>
        <w:t>（此处填写截标时间）</w:t>
      </w:r>
    </w:p>
    <w:p>
      <w:pPr>
        <w:spacing w:line="400" w:lineRule="exact"/>
        <w:ind w:firstLine="413" w:firstLineChars="196"/>
        <w:outlineLvl w:val="2"/>
        <w:rPr>
          <w:b/>
          <w:color w:val="auto"/>
          <w:szCs w:val="21"/>
        </w:rPr>
      </w:pPr>
      <w:bookmarkStart w:id="97" w:name="_Toc24490"/>
      <w:bookmarkStart w:id="98" w:name="_Toc16621"/>
      <w:r>
        <w:rPr>
          <w:b/>
          <w:color w:val="auto"/>
          <w:szCs w:val="21"/>
        </w:rPr>
        <w:t>19. 投标文件的补充、修改和撤回</w:t>
      </w:r>
      <w:bookmarkEnd w:id="97"/>
      <w:bookmarkEnd w:id="98"/>
    </w:p>
    <w:p>
      <w:pPr>
        <w:spacing w:line="400" w:lineRule="exact"/>
        <w:ind w:firstLine="435"/>
        <w:rPr>
          <w:color w:val="auto"/>
          <w:szCs w:val="21"/>
        </w:rPr>
      </w:pPr>
      <w:r>
        <w:rPr>
          <w:color w:val="auto"/>
        </w:rPr>
        <w:t>投标人在投标截止时间前，可以对所递交的投标文件进行补充、修改或者撤回，并书面通知采购代理机构。补充、修改的内容应当按照招标文件要求签署、盖章、密封后，作为投标文件的组成部分。</w:t>
      </w:r>
    </w:p>
    <w:p>
      <w:pPr>
        <w:spacing w:line="400" w:lineRule="exact"/>
        <w:ind w:firstLine="413" w:firstLineChars="196"/>
        <w:outlineLvl w:val="2"/>
        <w:rPr>
          <w:b/>
          <w:color w:val="auto"/>
          <w:szCs w:val="21"/>
        </w:rPr>
      </w:pPr>
      <w:bookmarkStart w:id="99" w:name="_Toc18227"/>
      <w:bookmarkStart w:id="100" w:name="_Toc31572"/>
      <w:r>
        <w:rPr>
          <w:b/>
          <w:color w:val="auto"/>
          <w:szCs w:val="21"/>
        </w:rPr>
        <w:t>20. 投标文件的递交</w:t>
      </w:r>
      <w:bookmarkEnd w:id="99"/>
      <w:bookmarkEnd w:id="100"/>
    </w:p>
    <w:p>
      <w:pPr>
        <w:tabs>
          <w:tab w:val="left" w:pos="7200"/>
        </w:tabs>
        <w:spacing w:line="400" w:lineRule="exact"/>
        <w:ind w:firstLine="420" w:firstLineChars="200"/>
        <w:rPr>
          <w:color w:val="auto"/>
          <w:szCs w:val="21"/>
        </w:rPr>
      </w:pPr>
      <w:r>
        <w:rPr>
          <w:rFonts w:hint="eastAsia"/>
          <w:color w:val="auto"/>
          <w:szCs w:val="21"/>
        </w:rPr>
        <w:t>20.1</w:t>
      </w:r>
      <w:r>
        <w:rPr>
          <w:color w:val="auto"/>
          <w:szCs w:val="21"/>
        </w:rPr>
        <w:t>投标截止时间：</w:t>
      </w:r>
      <w:r>
        <w:rPr>
          <w:rFonts w:hint="eastAsia"/>
          <w:color w:val="auto"/>
          <w:szCs w:val="21"/>
        </w:rPr>
        <w:t>2020年</w:t>
      </w:r>
      <w:r>
        <w:rPr>
          <w:rFonts w:hint="eastAsia"/>
          <w:color w:val="auto"/>
          <w:szCs w:val="21"/>
          <w:lang w:val="en-US" w:eastAsia="zh-CN"/>
        </w:rPr>
        <w:t>7</w:t>
      </w:r>
      <w:r>
        <w:rPr>
          <w:rFonts w:hint="eastAsia"/>
          <w:color w:val="auto"/>
          <w:szCs w:val="21"/>
        </w:rPr>
        <w:t>月</w:t>
      </w:r>
      <w:r>
        <w:rPr>
          <w:rFonts w:hint="eastAsia"/>
          <w:color w:val="auto"/>
          <w:szCs w:val="21"/>
          <w:lang w:val="en-US" w:eastAsia="zh-CN"/>
        </w:rPr>
        <w:t>24</w:t>
      </w:r>
      <w:r>
        <w:rPr>
          <w:rFonts w:hint="eastAsia"/>
          <w:color w:val="auto"/>
          <w:szCs w:val="21"/>
        </w:rPr>
        <w:t>日</w:t>
      </w:r>
      <w:r>
        <w:rPr>
          <w:rFonts w:hint="eastAsia"/>
          <w:color w:val="auto"/>
          <w:szCs w:val="21"/>
          <w:lang w:val="en-US" w:eastAsia="zh-CN"/>
        </w:rPr>
        <w:t>9</w:t>
      </w:r>
      <w:r>
        <w:rPr>
          <w:rFonts w:hint="eastAsia"/>
          <w:color w:val="auto"/>
          <w:szCs w:val="21"/>
        </w:rPr>
        <w:t>时</w:t>
      </w:r>
      <w:r>
        <w:rPr>
          <w:rFonts w:hint="eastAsia"/>
          <w:color w:val="auto"/>
          <w:szCs w:val="21"/>
          <w:lang w:val="en-US" w:eastAsia="zh-CN"/>
        </w:rPr>
        <w:t>30</w:t>
      </w:r>
      <w:r>
        <w:rPr>
          <w:rFonts w:hint="eastAsia"/>
          <w:color w:val="auto"/>
          <w:szCs w:val="21"/>
        </w:rPr>
        <w:t>分</w:t>
      </w:r>
      <w:r>
        <w:rPr>
          <w:color w:val="auto"/>
          <w:szCs w:val="21"/>
        </w:rPr>
        <w:t>。</w:t>
      </w:r>
    </w:p>
    <w:p>
      <w:pPr>
        <w:tabs>
          <w:tab w:val="left" w:pos="7200"/>
        </w:tabs>
        <w:spacing w:line="400" w:lineRule="exact"/>
        <w:ind w:firstLine="420" w:firstLineChars="200"/>
        <w:rPr>
          <w:color w:val="auto"/>
        </w:rPr>
      </w:pPr>
      <w:r>
        <w:rPr>
          <w:rFonts w:hint="eastAsia"/>
          <w:color w:val="auto"/>
          <w:szCs w:val="21"/>
        </w:rPr>
        <w:t>20.2</w:t>
      </w:r>
      <w:r>
        <w:rPr>
          <w:color w:val="auto"/>
          <w:szCs w:val="21"/>
        </w:rPr>
        <w:t>投标文件递交：投标人应于</w:t>
      </w:r>
      <w:r>
        <w:rPr>
          <w:rFonts w:hint="eastAsia"/>
          <w:color w:val="auto"/>
          <w:szCs w:val="21"/>
        </w:rPr>
        <w:t>2020年</w:t>
      </w:r>
      <w:r>
        <w:rPr>
          <w:rFonts w:hint="eastAsia"/>
          <w:color w:val="auto"/>
          <w:szCs w:val="21"/>
          <w:lang w:val="en-US" w:eastAsia="zh-CN"/>
        </w:rPr>
        <w:t>7</w:t>
      </w:r>
      <w:r>
        <w:rPr>
          <w:rFonts w:hint="eastAsia"/>
          <w:color w:val="auto"/>
          <w:szCs w:val="21"/>
        </w:rPr>
        <w:t>月</w:t>
      </w:r>
      <w:r>
        <w:rPr>
          <w:rFonts w:hint="eastAsia"/>
          <w:color w:val="auto"/>
          <w:szCs w:val="21"/>
          <w:lang w:val="en-US" w:eastAsia="zh-CN"/>
        </w:rPr>
        <w:t>24</w:t>
      </w:r>
      <w:r>
        <w:rPr>
          <w:rFonts w:hint="eastAsia"/>
          <w:color w:val="auto"/>
          <w:szCs w:val="21"/>
        </w:rPr>
        <w:t>日</w:t>
      </w:r>
      <w:r>
        <w:rPr>
          <w:color w:val="auto"/>
          <w:szCs w:val="21"/>
        </w:rPr>
        <w:t>上午</w:t>
      </w:r>
      <w:r>
        <w:rPr>
          <w:rFonts w:hint="eastAsia"/>
          <w:color w:val="auto"/>
          <w:szCs w:val="21"/>
          <w:lang w:val="en-US" w:eastAsia="zh-CN"/>
        </w:rPr>
        <w:t>9</w:t>
      </w:r>
      <w:r>
        <w:rPr>
          <w:color w:val="auto"/>
          <w:szCs w:val="21"/>
        </w:rPr>
        <w:t>时</w:t>
      </w:r>
      <w:r>
        <w:rPr>
          <w:rFonts w:hint="eastAsia"/>
          <w:color w:val="auto"/>
          <w:szCs w:val="21"/>
          <w:lang w:val="en-US" w:eastAsia="zh-CN"/>
        </w:rPr>
        <w:t>00</w:t>
      </w:r>
      <w:r>
        <w:rPr>
          <w:color w:val="auto"/>
          <w:szCs w:val="21"/>
        </w:rPr>
        <w:t>分至</w:t>
      </w:r>
      <w:r>
        <w:rPr>
          <w:rFonts w:hint="eastAsia"/>
          <w:color w:val="auto"/>
          <w:szCs w:val="21"/>
        </w:rPr>
        <w:t>2020年</w:t>
      </w:r>
      <w:r>
        <w:rPr>
          <w:rFonts w:hint="eastAsia"/>
          <w:color w:val="auto"/>
          <w:szCs w:val="21"/>
          <w:lang w:val="en-US" w:eastAsia="zh-CN"/>
        </w:rPr>
        <w:t>7</w:t>
      </w:r>
      <w:r>
        <w:rPr>
          <w:rFonts w:hint="eastAsia"/>
          <w:color w:val="auto"/>
          <w:szCs w:val="21"/>
        </w:rPr>
        <w:t>月</w:t>
      </w:r>
      <w:r>
        <w:rPr>
          <w:rFonts w:hint="eastAsia"/>
          <w:color w:val="auto"/>
          <w:szCs w:val="21"/>
          <w:lang w:val="en-US" w:eastAsia="zh-CN"/>
        </w:rPr>
        <w:t>24</w:t>
      </w:r>
      <w:r>
        <w:rPr>
          <w:rFonts w:hint="eastAsia"/>
          <w:color w:val="auto"/>
          <w:szCs w:val="21"/>
        </w:rPr>
        <w:t>日</w:t>
      </w:r>
      <w:r>
        <w:rPr>
          <w:color w:val="auto"/>
          <w:szCs w:val="21"/>
        </w:rPr>
        <w:t>上午</w:t>
      </w:r>
      <w:r>
        <w:rPr>
          <w:rFonts w:hint="eastAsia"/>
          <w:color w:val="auto"/>
          <w:szCs w:val="21"/>
          <w:lang w:val="en-US" w:eastAsia="zh-CN"/>
        </w:rPr>
        <w:t>9</w:t>
      </w:r>
      <w:r>
        <w:rPr>
          <w:color w:val="auto"/>
          <w:szCs w:val="21"/>
        </w:rPr>
        <w:t>时</w:t>
      </w:r>
      <w:r>
        <w:rPr>
          <w:rFonts w:hint="eastAsia"/>
          <w:color w:val="auto"/>
          <w:szCs w:val="21"/>
          <w:lang w:val="en-US" w:eastAsia="zh-CN"/>
        </w:rPr>
        <w:t>30</w:t>
      </w:r>
      <w:r>
        <w:rPr>
          <w:color w:val="auto"/>
          <w:szCs w:val="21"/>
        </w:rPr>
        <w:t>分止</w:t>
      </w:r>
      <w:r>
        <w:rPr>
          <w:b/>
          <w:color w:val="auto"/>
        </w:rPr>
        <w:t>，</w:t>
      </w:r>
      <w:r>
        <w:rPr>
          <w:color w:val="auto"/>
          <w:szCs w:val="21"/>
        </w:rPr>
        <w:t>将投标文件密封提交至</w:t>
      </w:r>
      <w:r>
        <w:rPr>
          <w:rFonts w:hint="eastAsia"/>
          <w:color w:val="auto"/>
          <w:szCs w:val="21"/>
        </w:rPr>
        <w:t>桂林市公共资源交易中心（广西桂林市临桂区西城中路69号创业大厦西辅楼4楼）</w:t>
      </w:r>
      <w:r>
        <w:rPr>
          <w:rFonts w:hint="eastAsia"/>
          <w:color w:val="auto"/>
          <w:szCs w:val="21"/>
          <w:lang w:val="en-US" w:eastAsia="zh-CN"/>
        </w:rPr>
        <w:t>8</w:t>
      </w:r>
      <w:r>
        <w:rPr>
          <w:rFonts w:hint="eastAsia"/>
          <w:color w:val="auto"/>
          <w:szCs w:val="21"/>
        </w:rPr>
        <w:t>号开标室</w:t>
      </w:r>
      <w:r>
        <w:rPr>
          <w:color w:val="auto"/>
        </w:rPr>
        <w:t>，未携带以上相关材料递交的或逾期送达的或未送达指定地点的投标文件将予以拒收。</w:t>
      </w:r>
    </w:p>
    <w:p>
      <w:pPr>
        <w:spacing w:line="400" w:lineRule="exact"/>
        <w:ind w:firstLine="435"/>
        <w:rPr>
          <w:color w:val="auto"/>
          <w:szCs w:val="21"/>
        </w:rPr>
      </w:pPr>
      <w:r>
        <w:rPr>
          <w:color w:val="auto"/>
          <w:szCs w:val="21"/>
        </w:rPr>
        <w:t>20.</w:t>
      </w:r>
      <w:r>
        <w:rPr>
          <w:rFonts w:hint="eastAsia"/>
          <w:color w:val="auto"/>
          <w:szCs w:val="21"/>
        </w:rPr>
        <w:t>3</w:t>
      </w:r>
      <w:r>
        <w:rPr>
          <w:color w:val="auto"/>
          <w:szCs w:val="21"/>
        </w:rPr>
        <w:t>除招标文件另有规定外，投标人所递交的投标文件</w:t>
      </w:r>
      <w:r>
        <w:rPr>
          <w:rFonts w:hint="eastAsia"/>
          <w:color w:val="auto"/>
          <w:szCs w:val="21"/>
        </w:rPr>
        <w:t>在投标截止时间后</w:t>
      </w:r>
      <w:r>
        <w:rPr>
          <w:color w:val="auto"/>
          <w:szCs w:val="21"/>
        </w:rPr>
        <w:t>不予退还。</w:t>
      </w:r>
    </w:p>
    <w:p>
      <w:pPr>
        <w:spacing w:line="400" w:lineRule="exact"/>
        <w:ind w:firstLine="435"/>
        <w:rPr>
          <w:color w:val="auto"/>
        </w:rPr>
      </w:pPr>
      <w:r>
        <w:rPr>
          <w:color w:val="auto"/>
        </w:rPr>
        <w:t>20.</w:t>
      </w:r>
      <w:r>
        <w:rPr>
          <w:rFonts w:hint="eastAsia"/>
          <w:color w:val="auto"/>
        </w:rPr>
        <w:t>4</w:t>
      </w:r>
      <w:r>
        <w:rPr>
          <w:color w:val="auto"/>
        </w:rPr>
        <w:t>投标人应当在招标文件要求提交投标文件的截止时间前，将投标文件密封送达投标地点。采购代理机构收到投标文件后，应当如实记载投标文件的送达时间和密封情况，签收保存，并向投标人出具签收回执。任何单位和个人不得在开标前开启投标文件。</w:t>
      </w:r>
    </w:p>
    <w:p>
      <w:pPr>
        <w:spacing w:line="400" w:lineRule="exact"/>
        <w:ind w:firstLine="435"/>
        <w:rPr>
          <w:color w:val="auto"/>
        </w:rPr>
      </w:pPr>
    </w:p>
    <w:p>
      <w:pPr>
        <w:spacing w:line="360" w:lineRule="auto"/>
        <w:jc w:val="center"/>
        <w:outlineLvl w:val="1"/>
        <w:rPr>
          <w:b/>
          <w:color w:val="auto"/>
          <w:sz w:val="28"/>
          <w:szCs w:val="28"/>
        </w:rPr>
      </w:pPr>
      <w:bookmarkStart w:id="101" w:name="_Toc19575"/>
      <w:bookmarkStart w:id="102" w:name="_Toc495841757"/>
      <w:bookmarkStart w:id="103" w:name="_Toc307"/>
      <w:r>
        <w:rPr>
          <w:b/>
          <w:color w:val="auto"/>
          <w:sz w:val="28"/>
          <w:szCs w:val="28"/>
        </w:rPr>
        <w:t>四、开标</w:t>
      </w:r>
      <w:bookmarkEnd w:id="101"/>
      <w:bookmarkEnd w:id="102"/>
      <w:bookmarkEnd w:id="103"/>
    </w:p>
    <w:p>
      <w:pPr>
        <w:spacing w:line="400" w:lineRule="exact"/>
        <w:ind w:firstLine="413" w:firstLineChars="196"/>
        <w:outlineLvl w:val="2"/>
        <w:rPr>
          <w:b/>
          <w:color w:val="auto"/>
          <w:szCs w:val="21"/>
        </w:rPr>
      </w:pPr>
      <w:bookmarkStart w:id="104" w:name="_Toc6868"/>
      <w:bookmarkStart w:id="105" w:name="_Toc17073"/>
      <w:r>
        <w:rPr>
          <w:b/>
          <w:color w:val="auto"/>
          <w:szCs w:val="21"/>
        </w:rPr>
        <w:t>21. 开标时间及地点</w:t>
      </w:r>
      <w:bookmarkEnd w:id="104"/>
      <w:bookmarkEnd w:id="105"/>
    </w:p>
    <w:p>
      <w:pPr>
        <w:spacing w:line="400" w:lineRule="exact"/>
        <w:ind w:firstLine="420" w:firstLineChars="200"/>
        <w:rPr>
          <w:b/>
          <w:color w:val="auto"/>
          <w:szCs w:val="21"/>
        </w:rPr>
      </w:pPr>
      <w:r>
        <w:rPr>
          <w:color w:val="auto"/>
          <w:szCs w:val="21"/>
        </w:rPr>
        <w:t>21.1开标时间及地点：开标时间：</w:t>
      </w:r>
      <w:r>
        <w:rPr>
          <w:rFonts w:hint="eastAsia"/>
          <w:color w:val="auto"/>
          <w:szCs w:val="21"/>
        </w:rPr>
        <w:t>2020年</w:t>
      </w:r>
      <w:r>
        <w:rPr>
          <w:rFonts w:hint="eastAsia"/>
          <w:color w:val="auto"/>
          <w:szCs w:val="21"/>
          <w:lang w:val="en-US" w:eastAsia="zh-CN"/>
        </w:rPr>
        <w:t>7</w:t>
      </w:r>
      <w:r>
        <w:rPr>
          <w:rFonts w:hint="eastAsia"/>
          <w:color w:val="auto"/>
          <w:szCs w:val="21"/>
        </w:rPr>
        <w:t>月</w:t>
      </w:r>
      <w:r>
        <w:rPr>
          <w:rFonts w:hint="eastAsia"/>
          <w:color w:val="auto"/>
          <w:szCs w:val="21"/>
          <w:lang w:val="en-US" w:eastAsia="zh-CN"/>
        </w:rPr>
        <w:t>24</w:t>
      </w:r>
      <w:r>
        <w:rPr>
          <w:rFonts w:hint="eastAsia"/>
          <w:color w:val="auto"/>
          <w:szCs w:val="21"/>
        </w:rPr>
        <w:t>日</w:t>
      </w:r>
      <w:r>
        <w:rPr>
          <w:rFonts w:hint="eastAsia"/>
          <w:color w:val="auto"/>
          <w:szCs w:val="21"/>
          <w:lang w:val="en-US" w:eastAsia="zh-CN"/>
        </w:rPr>
        <w:t>9</w:t>
      </w:r>
      <w:r>
        <w:rPr>
          <w:rFonts w:hint="eastAsia"/>
          <w:color w:val="auto"/>
          <w:szCs w:val="21"/>
        </w:rPr>
        <w:t>时</w:t>
      </w:r>
      <w:r>
        <w:rPr>
          <w:rFonts w:hint="eastAsia"/>
          <w:color w:val="auto"/>
          <w:szCs w:val="21"/>
          <w:lang w:val="en-US" w:eastAsia="zh-CN"/>
        </w:rPr>
        <w:t>30</w:t>
      </w:r>
      <w:r>
        <w:rPr>
          <w:rFonts w:hint="eastAsia"/>
          <w:color w:val="auto"/>
          <w:szCs w:val="21"/>
        </w:rPr>
        <w:t>分</w:t>
      </w:r>
      <w:r>
        <w:rPr>
          <w:color w:val="auto"/>
          <w:szCs w:val="21"/>
        </w:rPr>
        <w:t>；开标地点：桂林市公共资源交易中心（广西桂林市临桂区西城中路69号创业大厦西辅楼4楼）</w:t>
      </w:r>
      <w:r>
        <w:rPr>
          <w:rFonts w:hint="eastAsia"/>
          <w:color w:val="auto"/>
          <w:szCs w:val="21"/>
          <w:lang w:val="en-US" w:eastAsia="zh-CN"/>
        </w:rPr>
        <w:t>8</w:t>
      </w:r>
      <w:r>
        <w:rPr>
          <w:rFonts w:hint="eastAsia"/>
          <w:color w:val="auto"/>
          <w:szCs w:val="21"/>
        </w:rPr>
        <w:t>号开标室</w:t>
      </w:r>
      <w:r>
        <w:rPr>
          <w:color w:val="auto"/>
          <w:szCs w:val="21"/>
        </w:rPr>
        <w:t>开标。</w:t>
      </w:r>
      <w:r>
        <w:rPr>
          <w:color w:val="auto"/>
        </w:rPr>
        <w:t>投标人可以由法定代表人、负责人</w:t>
      </w:r>
      <w:r>
        <w:rPr>
          <w:rFonts w:hint="eastAsia"/>
          <w:color w:val="auto"/>
        </w:rPr>
        <w:t>、自然人</w:t>
      </w:r>
      <w:r>
        <w:rPr>
          <w:color w:val="auto"/>
        </w:rPr>
        <w:t>或其委托代理人出席开标会议</w:t>
      </w:r>
      <w:r>
        <w:rPr>
          <w:color w:val="auto"/>
          <w:szCs w:val="21"/>
        </w:rPr>
        <w:t>；投标人准时参加开标会并签字，如未按时签字的，视同放弃开标监督权利，认可开标结果。</w:t>
      </w:r>
    </w:p>
    <w:p>
      <w:pPr>
        <w:tabs>
          <w:tab w:val="left" w:pos="1305"/>
        </w:tabs>
        <w:spacing w:line="400" w:lineRule="exact"/>
        <w:ind w:firstLine="420" w:firstLineChars="200"/>
        <w:rPr>
          <w:color w:val="auto"/>
          <w:szCs w:val="21"/>
        </w:rPr>
      </w:pPr>
      <w:r>
        <w:rPr>
          <w:color w:val="auto"/>
          <w:szCs w:val="21"/>
        </w:rPr>
        <w:t>21.2投标人不足3家的，不得开标，采购人或者采购代理机构应当重新组织采购。</w:t>
      </w:r>
    </w:p>
    <w:p>
      <w:pPr>
        <w:spacing w:line="400" w:lineRule="exact"/>
        <w:ind w:firstLine="413" w:firstLineChars="196"/>
        <w:outlineLvl w:val="2"/>
        <w:rPr>
          <w:b/>
          <w:color w:val="auto"/>
          <w:szCs w:val="21"/>
        </w:rPr>
      </w:pPr>
      <w:bookmarkStart w:id="106" w:name="_Toc11217"/>
      <w:bookmarkStart w:id="107" w:name="_Toc25067"/>
      <w:r>
        <w:rPr>
          <w:b/>
          <w:color w:val="auto"/>
          <w:szCs w:val="21"/>
        </w:rPr>
        <w:t>22. 开标程序</w:t>
      </w:r>
      <w:bookmarkEnd w:id="106"/>
      <w:bookmarkEnd w:id="107"/>
    </w:p>
    <w:p>
      <w:pPr>
        <w:tabs>
          <w:tab w:val="left" w:pos="1305"/>
        </w:tabs>
        <w:spacing w:line="400" w:lineRule="exact"/>
        <w:ind w:firstLine="420" w:firstLineChars="200"/>
        <w:rPr>
          <w:color w:val="auto"/>
          <w:szCs w:val="21"/>
        </w:rPr>
      </w:pPr>
      <w:r>
        <w:rPr>
          <w:color w:val="auto"/>
          <w:szCs w:val="21"/>
        </w:rPr>
        <w:t>（1）主持人宣布开标会正式开始，宣布开标程序、开标纪律，介绍项目情况和到会人员；</w:t>
      </w:r>
    </w:p>
    <w:p>
      <w:pPr>
        <w:tabs>
          <w:tab w:val="left" w:pos="1305"/>
        </w:tabs>
        <w:spacing w:line="400" w:lineRule="exact"/>
        <w:ind w:firstLine="420" w:firstLineChars="200"/>
        <w:rPr>
          <w:color w:val="auto"/>
          <w:szCs w:val="21"/>
        </w:rPr>
      </w:pPr>
      <w:r>
        <w:rPr>
          <w:color w:val="auto"/>
          <w:szCs w:val="21"/>
        </w:rPr>
        <w:t>（2）投标人对其投标文件的密封情况进行检查并确认签字；</w:t>
      </w:r>
    </w:p>
    <w:p>
      <w:pPr>
        <w:tabs>
          <w:tab w:val="left" w:pos="1305"/>
        </w:tabs>
        <w:spacing w:line="400" w:lineRule="exact"/>
        <w:ind w:firstLine="420" w:firstLineChars="200"/>
        <w:rPr>
          <w:color w:val="auto"/>
          <w:szCs w:val="21"/>
        </w:rPr>
      </w:pPr>
      <w:r>
        <w:rPr>
          <w:color w:val="auto"/>
          <w:szCs w:val="21"/>
        </w:rPr>
        <w:t>（3）按各投标人提交投标文件时间的先后顺序打开投标文件外包装；</w:t>
      </w:r>
    </w:p>
    <w:p>
      <w:pPr>
        <w:tabs>
          <w:tab w:val="left" w:pos="1305"/>
        </w:tabs>
        <w:spacing w:line="400" w:lineRule="exact"/>
        <w:ind w:firstLine="420" w:firstLineChars="200"/>
        <w:rPr>
          <w:color w:val="auto"/>
          <w:szCs w:val="21"/>
        </w:rPr>
      </w:pPr>
      <w:r>
        <w:rPr>
          <w:color w:val="auto"/>
          <w:szCs w:val="21"/>
        </w:rPr>
        <w:t>（4）唱标，宣读投标截止时间前接收的所有投标文件的投标人名称，投标报价表的投标报价、折扣；</w:t>
      </w:r>
    </w:p>
    <w:p>
      <w:pPr>
        <w:tabs>
          <w:tab w:val="left" w:pos="1305"/>
        </w:tabs>
        <w:spacing w:line="400" w:lineRule="exact"/>
        <w:ind w:firstLine="420" w:firstLineChars="200"/>
        <w:rPr>
          <w:color w:val="auto"/>
          <w:szCs w:val="21"/>
        </w:rPr>
      </w:pPr>
      <w:r>
        <w:rPr>
          <w:color w:val="auto"/>
          <w:szCs w:val="21"/>
        </w:rPr>
        <w:t>（5）采购代理机构做开标记录，投标人代表对开标记录进行当场校核及勘误并签字确认；同时由记录人、监督人（如有）当场签字确认；</w:t>
      </w:r>
    </w:p>
    <w:p>
      <w:pPr>
        <w:tabs>
          <w:tab w:val="left" w:pos="1305"/>
        </w:tabs>
        <w:spacing w:line="400" w:lineRule="exact"/>
        <w:ind w:firstLine="420" w:firstLineChars="200"/>
        <w:rPr>
          <w:color w:val="auto"/>
          <w:szCs w:val="21"/>
        </w:rPr>
      </w:pPr>
      <w:r>
        <w:rPr>
          <w:color w:val="auto"/>
        </w:rPr>
        <w:t>（6）</w:t>
      </w:r>
      <w:r>
        <w:rPr>
          <w:color w:val="auto"/>
          <w:szCs w:val="21"/>
        </w:rPr>
        <w:t>投标人代表对开标过程和开标记录有</w:t>
      </w:r>
      <w:r>
        <w:rPr>
          <w:rFonts w:hint="eastAsia"/>
          <w:color w:val="auto"/>
          <w:szCs w:val="21"/>
        </w:rPr>
        <w:t>疑义</w:t>
      </w:r>
      <w:r>
        <w:rPr>
          <w:color w:val="auto"/>
          <w:szCs w:val="21"/>
        </w:rPr>
        <w:t>，以及认为采购人、采购代理机构相关工作人员有需要回避的情形的，应当场提出询问或者回避申请。采购人、采购代理机构对投标人代表提出的询问或者回避申请应当及时处理。</w:t>
      </w:r>
    </w:p>
    <w:p>
      <w:pPr>
        <w:tabs>
          <w:tab w:val="left" w:pos="1305"/>
        </w:tabs>
        <w:spacing w:line="400" w:lineRule="exact"/>
        <w:ind w:firstLine="420" w:firstLineChars="200"/>
        <w:rPr>
          <w:color w:val="auto"/>
          <w:szCs w:val="21"/>
        </w:rPr>
      </w:pPr>
      <w:r>
        <w:rPr>
          <w:color w:val="auto"/>
          <w:szCs w:val="21"/>
        </w:rPr>
        <w:t>（7）宣布开标结束，采购人、投标人和有关方面代表退场，由工作人员将投标文件等材料移交评标室。</w:t>
      </w:r>
    </w:p>
    <w:p>
      <w:pPr>
        <w:tabs>
          <w:tab w:val="left" w:pos="1305"/>
        </w:tabs>
        <w:spacing w:line="400" w:lineRule="exact"/>
        <w:ind w:firstLine="420" w:firstLineChars="200"/>
        <w:rPr>
          <w:color w:val="auto"/>
          <w:szCs w:val="21"/>
        </w:rPr>
      </w:pPr>
    </w:p>
    <w:p>
      <w:pPr>
        <w:spacing w:line="360" w:lineRule="auto"/>
        <w:jc w:val="center"/>
        <w:outlineLvl w:val="1"/>
        <w:rPr>
          <w:b/>
          <w:color w:val="auto"/>
          <w:sz w:val="28"/>
          <w:szCs w:val="28"/>
        </w:rPr>
      </w:pPr>
      <w:bookmarkStart w:id="108" w:name="_Toc495841758"/>
      <w:bookmarkStart w:id="109" w:name="_Toc20493"/>
      <w:bookmarkStart w:id="110" w:name="_Toc13013"/>
      <w:r>
        <w:rPr>
          <w:b/>
          <w:color w:val="auto"/>
          <w:sz w:val="28"/>
          <w:szCs w:val="28"/>
        </w:rPr>
        <w:t>五、资格性审查</w:t>
      </w:r>
      <w:bookmarkEnd w:id="108"/>
      <w:bookmarkEnd w:id="109"/>
      <w:bookmarkEnd w:id="110"/>
    </w:p>
    <w:p>
      <w:pPr>
        <w:spacing w:line="400" w:lineRule="exact"/>
        <w:ind w:firstLine="413" w:firstLineChars="196"/>
        <w:outlineLvl w:val="2"/>
        <w:rPr>
          <w:b/>
          <w:color w:val="auto"/>
          <w:szCs w:val="21"/>
        </w:rPr>
      </w:pPr>
      <w:bookmarkStart w:id="111" w:name="_Toc13578"/>
      <w:bookmarkStart w:id="112" w:name="_Toc28069"/>
      <w:r>
        <w:rPr>
          <w:b/>
          <w:color w:val="auto"/>
          <w:szCs w:val="21"/>
        </w:rPr>
        <w:t>23. 资格性审查</w:t>
      </w:r>
      <w:bookmarkEnd w:id="111"/>
      <w:bookmarkEnd w:id="112"/>
    </w:p>
    <w:p>
      <w:pPr>
        <w:tabs>
          <w:tab w:val="left" w:pos="1305"/>
        </w:tabs>
        <w:spacing w:line="400" w:lineRule="exact"/>
        <w:ind w:firstLine="420" w:firstLineChars="200"/>
        <w:rPr>
          <w:color w:val="auto"/>
          <w:szCs w:val="21"/>
        </w:rPr>
      </w:pPr>
      <w:r>
        <w:rPr>
          <w:color w:val="auto"/>
          <w:szCs w:val="21"/>
        </w:rPr>
        <w:t>23.1公开招标采购项目开标结束后，采购人应当依法对投标人的资格进行审查。合格投标人不足3家的，不得评标。</w:t>
      </w:r>
    </w:p>
    <w:p>
      <w:pPr>
        <w:spacing w:line="400" w:lineRule="exact"/>
        <w:ind w:firstLine="420" w:firstLineChars="200"/>
        <w:rPr>
          <w:b/>
          <w:color w:val="auto"/>
          <w:szCs w:val="21"/>
        </w:rPr>
      </w:pPr>
      <w:r>
        <w:rPr>
          <w:color w:val="auto"/>
          <w:szCs w:val="21"/>
        </w:rPr>
        <w:t>23.2</w:t>
      </w:r>
      <w:r>
        <w:rPr>
          <w:b/>
          <w:bCs/>
          <w:color w:val="auto"/>
          <w:szCs w:val="21"/>
        </w:rPr>
        <w:t>采购人或者采购代理机构</w:t>
      </w:r>
      <w:r>
        <w:rPr>
          <w:b/>
          <w:color w:val="auto"/>
          <w:szCs w:val="21"/>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pPr>
        <w:spacing w:line="400" w:lineRule="exact"/>
        <w:ind w:firstLine="420" w:firstLineChars="200"/>
        <w:rPr>
          <w:color w:val="auto"/>
          <w:szCs w:val="21"/>
        </w:rPr>
      </w:pPr>
      <w:r>
        <w:rPr>
          <w:color w:val="auto"/>
          <w:szCs w:val="21"/>
        </w:rPr>
        <w:t>查询渠道：《国家企业信用信息公示系统》（网址：</w:t>
      </w:r>
      <w:r>
        <w:rPr>
          <w:color w:val="auto"/>
        </w:rPr>
        <w:fldChar w:fldCharType="begin"/>
      </w:r>
      <w:r>
        <w:rPr>
          <w:color w:val="auto"/>
        </w:rPr>
        <w:instrText xml:space="preserve"> HYPERLINK "http://www.gsxt.gov.cn/index.html" </w:instrText>
      </w:r>
      <w:r>
        <w:rPr>
          <w:color w:val="auto"/>
        </w:rPr>
        <w:fldChar w:fldCharType="separate"/>
      </w:r>
      <w:r>
        <w:rPr>
          <w:color w:val="auto"/>
          <w:szCs w:val="21"/>
        </w:rPr>
        <w:t>http://www.gsxt.gov.cn/index.html</w:t>
      </w:r>
      <w:r>
        <w:rPr>
          <w:color w:val="auto"/>
          <w:szCs w:val="21"/>
        </w:rPr>
        <w:fldChar w:fldCharType="end"/>
      </w:r>
      <w:r>
        <w:rPr>
          <w:color w:val="auto"/>
          <w:szCs w:val="21"/>
        </w:rPr>
        <w:t>）</w:t>
      </w:r>
    </w:p>
    <w:p>
      <w:pPr>
        <w:spacing w:line="400" w:lineRule="exact"/>
        <w:ind w:firstLine="420" w:firstLineChars="200"/>
        <w:rPr>
          <w:color w:val="auto"/>
          <w:szCs w:val="21"/>
        </w:rPr>
      </w:pPr>
      <w:r>
        <w:rPr>
          <w:color w:val="auto"/>
          <w:szCs w:val="21"/>
        </w:rPr>
        <w:t>审查流程：</w:t>
      </w:r>
    </w:p>
    <w:p>
      <w:pPr>
        <w:spacing w:line="400" w:lineRule="exact"/>
        <w:ind w:firstLine="420" w:firstLineChars="200"/>
        <w:rPr>
          <w:color w:val="auto"/>
          <w:szCs w:val="21"/>
        </w:rPr>
      </w:pPr>
      <w:r>
        <w:rPr>
          <w:color w:val="auto"/>
          <w:szCs w:val="21"/>
        </w:rPr>
        <w:t>（1）进入《国家企业信用信息公示系统》（网址：http://www.gsxt.gov.cn/index.html），输入企业名称，进入企业信息主页面；</w:t>
      </w:r>
    </w:p>
    <w:p>
      <w:pPr>
        <w:spacing w:line="400" w:lineRule="exact"/>
        <w:ind w:firstLine="420" w:firstLineChars="200"/>
        <w:rPr>
          <w:color w:val="auto"/>
          <w:szCs w:val="21"/>
        </w:rPr>
      </w:pPr>
      <w:r>
        <w:rPr>
          <w:color w:val="auto"/>
          <w:szCs w:val="21"/>
        </w:rPr>
        <w:t>（2）查看主页“股东及出资信息”栏，或年报中的“股东及出资信息”栏信息；</w:t>
      </w:r>
    </w:p>
    <w:p>
      <w:pPr>
        <w:spacing w:line="400" w:lineRule="exact"/>
        <w:ind w:firstLine="420" w:firstLineChars="200"/>
        <w:rPr>
          <w:color w:val="auto"/>
          <w:szCs w:val="21"/>
        </w:rPr>
      </w:pPr>
      <w:r>
        <w:rPr>
          <w:color w:val="auto"/>
          <w:szCs w:val="21"/>
        </w:rPr>
        <w:t>（3）将各投标人的股东及出资信息进行比对，得出审查结论；</w:t>
      </w:r>
    </w:p>
    <w:p>
      <w:pPr>
        <w:snapToGrid w:val="0"/>
        <w:spacing w:line="400" w:lineRule="exact"/>
        <w:ind w:firstLine="420" w:firstLineChars="200"/>
        <w:rPr>
          <w:color w:val="auto"/>
          <w:szCs w:val="21"/>
        </w:rPr>
      </w:pPr>
      <w:r>
        <w:rPr>
          <w:color w:val="auto"/>
          <w:szCs w:val="21"/>
        </w:rPr>
        <w:t>（4）将相关资料作为评审资料打印存档。</w:t>
      </w:r>
    </w:p>
    <w:p>
      <w:pPr>
        <w:snapToGrid w:val="0"/>
        <w:spacing w:line="400" w:lineRule="exact"/>
        <w:ind w:firstLine="420" w:firstLineChars="200"/>
        <w:rPr>
          <w:color w:val="auto"/>
          <w:szCs w:val="21"/>
        </w:rPr>
      </w:pPr>
    </w:p>
    <w:p>
      <w:pPr>
        <w:spacing w:line="360" w:lineRule="auto"/>
        <w:jc w:val="center"/>
        <w:outlineLvl w:val="1"/>
        <w:rPr>
          <w:b/>
          <w:color w:val="auto"/>
          <w:sz w:val="28"/>
          <w:szCs w:val="28"/>
        </w:rPr>
      </w:pPr>
      <w:bookmarkStart w:id="113" w:name="_Toc3415"/>
      <w:bookmarkStart w:id="114" w:name="_Toc495841759"/>
      <w:bookmarkStart w:id="115" w:name="_Toc1626"/>
      <w:r>
        <w:rPr>
          <w:b/>
          <w:color w:val="auto"/>
          <w:sz w:val="28"/>
          <w:szCs w:val="28"/>
        </w:rPr>
        <w:t>六、评标</w:t>
      </w:r>
      <w:bookmarkEnd w:id="113"/>
      <w:bookmarkEnd w:id="114"/>
      <w:bookmarkEnd w:id="115"/>
    </w:p>
    <w:p>
      <w:pPr>
        <w:spacing w:line="360" w:lineRule="exact"/>
        <w:ind w:firstLine="413" w:firstLineChars="196"/>
        <w:outlineLvl w:val="2"/>
        <w:rPr>
          <w:b/>
          <w:color w:val="auto"/>
          <w:szCs w:val="21"/>
        </w:rPr>
      </w:pPr>
      <w:bookmarkStart w:id="116" w:name="_Toc11123"/>
      <w:bookmarkStart w:id="117" w:name="_Toc14749"/>
      <w:r>
        <w:rPr>
          <w:b/>
          <w:color w:val="auto"/>
          <w:szCs w:val="21"/>
        </w:rPr>
        <w:t>24. 评标委员会组成</w:t>
      </w:r>
      <w:bookmarkEnd w:id="116"/>
      <w:bookmarkEnd w:id="117"/>
    </w:p>
    <w:p>
      <w:pPr>
        <w:spacing w:line="360" w:lineRule="exact"/>
        <w:ind w:firstLine="420" w:firstLineChars="200"/>
        <w:rPr>
          <w:color w:val="auto"/>
          <w:szCs w:val="21"/>
        </w:rPr>
      </w:pPr>
      <w:r>
        <w:rPr>
          <w:color w:val="auto"/>
          <w:szCs w:val="21"/>
        </w:rPr>
        <w:t>评标委员会由采购人代表和有关技术、经济等方面的专家组成，成员人数共</w:t>
      </w:r>
      <w:r>
        <w:rPr>
          <w:rFonts w:hint="eastAsia"/>
          <w:color w:val="auto"/>
          <w:szCs w:val="21"/>
          <w:u w:val="single"/>
        </w:rPr>
        <w:t>5</w:t>
      </w:r>
      <w:r>
        <w:rPr>
          <w:color w:val="auto"/>
          <w:szCs w:val="21"/>
        </w:rPr>
        <w:t>人，其中采购人代表</w:t>
      </w:r>
      <w:r>
        <w:rPr>
          <w:color w:val="auto"/>
          <w:szCs w:val="21"/>
          <w:u w:val="single"/>
        </w:rPr>
        <w:t>1</w:t>
      </w:r>
      <w:r>
        <w:rPr>
          <w:color w:val="auto"/>
          <w:szCs w:val="21"/>
        </w:rPr>
        <w:t>人，技术、经济等专家</w:t>
      </w:r>
      <w:r>
        <w:rPr>
          <w:rFonts w:hint="eastAsia"/>
          <w:color w:val="auto"/>
          <w:szCs w:val="21"/>
          <w:u w:val="single"/>
        </w:rPr>
        <w:t>4</w:t>
      </w:r>
      <w:r>
        <w:rPr>
          <w:color w:val="auto"/>
          <w:szCs w:val="21"/>
        </w:rPr>
        <w:t>人。</w:t>
      </w:r>
    </w:p>
    <w:p>
      <w:pPr>
        <w:spacing w:line="360" w:lineRule="exact"/>
        <w:ind w:firstLine="413" w:firstLineChars="196"/>
        <w:outlineLvl w:val="2"/>
        <w:rPr>
          <w:b/>
          <w:color w:val="auto"/>
          <w:szCs w:val="21"/>
        </w:rPr>
      </w:pPr>
      <w:bookmarkStart w:id="118" w:name="_Toc24437"/>
      <w:bookmarkStart w:id="119" w:name="_Toc25454"/>
      <w:r>
        <w:rPr>
          <w:b/>
          <w:color w:val="auto"/>
          <w:szCs w:val="21"/>
        </w:rPr>
        <w:t>25. 评标办法</w:t>
      </w:r>
      <w:bookmarkEnd w:id="118"/>
      <w:bookmarkEnd w:id="119"/>
    </w:p>
    <w:p>
      <w:pPr>
        <w:tabs>
          <w:tab w:val="left" w:pos="1140"/>
        </w:tabs>
        <w:spacing w:line="360" w:lineRule="exact"/>
        <w:ind w:firstLine="420" w:firstLineChars="200"/>
        <w:rPr>
          <w:color w:val="auto"/>
          <w:szCs w:val="21"/>
        </w:rPr>
      </w:pPr>
      <w:r>
        <w:rPr>
          <w:color w:val="auto"/>
          <w:szCs w:val="21"/>
        </w:rPr>
        <w:t>25.1评标办法：综合评分法，具体评标内容及标准详见第四章。</w:t>
      </w:r>
    </w:p>
    <w:p>
      <w:pPr>
        <w:tabs>
          <w:tab w:val="left" w:pos="1140"/>
        </w:tabs>
        <w:spacing w:line="360" w:lineRule="exact"/>
        <w:ind w:firstLine="420" w:firstLineChars="200"/>
        <w:rPr>
          <w:color w:val="auto"/>
        </w:rPr>
      </w:pPr>
      <w:r>
        <w:rPr>
          <w:color w:val="auto"/>
          <w:szCs w:val="21"/>
        </w:rPr>
        <w:t>25.2评标委员会应按招标文件进行评标，不得擅自更改评标办法。</w:t>
      </w:r>
    </w:p>
    <w:p>
      <w:pPr>
        <w:spacing w:line="360" w:lineRule="exact"/>
        <w:ind w:firstLine="413" w:firstLineChars="196"/>
        <w:outlineLvl w:val="2"/>
        <w:rPr>
          <w:b/>
          <w:color w:val="auto"/>
          <w:szCs w:val="21"/>
        </w:rPr>
      </w:pPr>
      <w:bookmarkStart w:id="120" w:name="_Toc20321"/>
      <w:bookmarkStart w:id="121" w:name="_Toc9945"/>
      <w:r>
        <w:rPr>
          <w:b/>
          <w:color w:val="auto"/>
          <w:szCs w:val="21"/>
        </w:rPr>
        <w:t>26. 评标</w:t>
      </w:r>
      <w:bookmarkEnd w:id="120"/>
      <w:bookmarkEnd w:id="121"/>
    </w:p>
    <w:p>
      <w:pPr>
        <w:spacing w:line="360" w:lineRule="exact"/>
        <w:ind w:firstLine="420" w:firstLineChars="200"/>
        <w:rPr>
          <w:color w:val="auto"/>
          <w:szCs w:val="21"/>
        </w:rPr>
      </w:pPr>
      <w:r>
        <w:rPr>
          <w:color w:val="auto"/>
          <w:szCs w:val="21"/>
        </w:rPr>
        <w:t>26.1采购代理机构负责评标组织工作</w:t>
      </w:r>
      <w:r>
        <w:rPr>
          <w:rFonts w:hint="eastAsia"/>
          <w:color w:val="auto"/>
          <w:szCs w:val="21"/>
        </w:rPr>
        <w:t>，</w:t>
      </w:r>
      <w:r>
        <w:rPr>
          <w:color w:val="auto"/>
          <w:szCs w:val="21"/>
        </w:rPr>
        <w:t>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r>
        <w:rPr>
          <w:rFonts w:hint="eastAsia"/>
          <w:color w:val="auto"/>
          <w:szCs w:val="21"/>
        </w:rPr>
        <w:t>。</w:t>
      </w:r>
    </w:p>
    <w:p>
      <w:pPr>
        <w:spacing w:line="360" w:lineRule="exact"/>
        <w:ind w:firstLine="420" w:firstLineChars="200"/>
        <w:rPr>
          <w:color w:val="auto"/>
          <w:szCs w:val="21"/>
        </w:rPr>
      </w:pPr>
      <w:r>
        <w:rPr>
          <w:color w:val="auto"/>
          <w:szCs w:val="21"/>
        </w:rPr>
        <w:t>26.2评标委员会负责具体评标事务；审查、评价投标文件是否符合招标文件的商务、技术等实质性要求；要求投标人对投标文件有关事项作出澄清或者说明；对投标文件进行比较和评价；确定中标候选供应商名单，以及根据采购人委托直接确定中标供应商；向采购人、采购代理机构或者有关部门报告评标中发现的违法行为。</w:t>
      </w:r>
    </w:p>
    <w:p>
      <w:pPr>
        <w:spacing w:line="360" w:lineRule="exact"/>
        <w:ind w:firstLine="420" w:firstLineChars="200"/>
        <w:rPr>
          <w:color w:val="auto"/>
          <w:szCs w:val="21"/>
        </w:rPr>
      </w:pPr>
      <w:r>
        <w:rPr>
          <w:color w:val="auto"/>
          <w:szCs w:val="21"/>
        </w:rPr>
        <w:t>26.3在评标过程中，评标委员会任何人不得对某个投标人发表任何倾向性意见，不得向其他专家评委明示或者暗示自己的评审意见。</w:t>
      </w:r>
    </w:p>
    <w:p>
      <w:pPr>
        <w:spacing w:line="360" w:lineRule="exact"/>
        <w:ind w:firstLine="420" w:firstLineChars="200"/>
        <w:rPr>
          <w:color w:val="auto"/>
          <w:szCs w:val="21"/>
        </w:rPr>
      </w:pPr>
      <w:r>
        <w:rPr>
          <w:color w:val="auto"/>
          <w:szCs w:val="21"/>
        </w:rPr>
        <w:t>26.4评标委员会应当对符合资格的投标人的投标文件进行符合性审查，以确定其是否满足招标文件的实质性要求。</w:t>
      </w:r>
    </w:p>
    <w:p>
      <w:pPr>
        <w:spacing w:line="360" w:lineRule="exact"/>
        <w:ind w:firstLine="420" w:firstLineChars="200"/>
        <w:rPr>
          <w:color w:val="auto"/>
          <w:szCs w:val="21"/>
        </w:rPr>
      </w:pPr>
      <w:r>
        <w:rPr>
          <w:color w:val="auto"/>
          <w:szCs w:val="21"/>
        </w:rPr>
        <w:t>26.5对于投标文件中含义不明确、同类问题表述不一致或者有明显文字和计算错误的内容，评标委员会应当以书面形式要求投标人作出必要的澄清、说明或者补正。</w:t>
      </w:r>
    </w:p>
    <w:p>
      <w:pPr>
        <w:tabs>
          <w:tab w:val="left" w:pos="1140"/>
        </w:tabs>
        <w:spacing w:line="360" w:lineRule="exact"/>
        <w:ind w:firstLine="420" w:firstLineChars="200"/>
        <w:rPr>
          <w:color w:val="auto"/>
          <w:szCs w:val="21"/>
        </w:rPr>
      </w:pPr>
      <w:r>
        <w:rPr>
          <w:color w:val="auto"/>
          <w:szCs w:val="21"/>
        </w:rPr>
        <w:t>投标人的澄清、说明或者补正应当采用书面形式，并加盖公章，或者由法定代表人或其授权的代表签字。投标人的澄清、说明或者补正不得超出投标文件的范围或者改变投标文件的实质性内容。</w:t>
      </w:r>
    </w:p>
    <w:p>
      <w:pPr>
        <w:spacing w:line="360" w:lineRule="exact"/>
        <w:ind w:firstLine="411" w:firstLineChars="196"/>
        <w:rPr>
          <w:color w:val="auto"/>
          <w:szCs w:val="21"/>
        </w:rPr>
      </w:pPr>
      <w:r>
        <w:rPr>
          <w:color w:val="auto"/>
          <w:szCs w:val="21"/>
        </w:rPr>
        <w:t>26.6评标委员会应当按照招标文件中规定的评标方法和标准，对符合性审查合格的投标文件进行商务和技术评估，综合比较与评价。</w:t>
      </w:r>
    </w:p>
    <w:p>
      <w:pPr>
        <w:spacing w:line="360" w:lineRule="exact"/>
        <w:ind w:firstLine="411" w:firstLineChars="196"/>
        <w:rPr>
          <w:color w:val="auto"/>
          <w:szCs w:val="21"/>
        </w:rPr>
      </w:pPr>
      <w:r>
        <w:rPr>
          <w:color w:val="auto"/>
          <w:szCs w:val="21"/>
        </w:rPr>
        <w:t>26.7投标文件报价出现前后不一致的，除招标文件另有规定外，按照下列规定修正：</w:t>
      </w:r>
    </w:p>
    <w:p>
      <w:pPr>
        <w:spacing w:line="360" w:lineRule="exact"/>
        <w:ind w:firstLine="411" w:firstLineChars="196"/>
        <w:rPr>
          <w:color w:val="auto"/>
          <w:szCs w:val="21"/>
        </w:rPr>
      </w:pPr>
      <w:r>
        <w:rPr>
          <w:color w:val="auto"/>
          <w:szCs w:val="21"/>
        </w:rPr>
        <w:t>（1）投标文件中投标报价表内容与投标文件中相应内容不一致的，以投标报价表为准；</w:t>
      </w:r>
    </w:p>
    <w:p>
      <w:pPr>
        <w:spacing w:line="360" w:lineRule="exact"/>
        <w:ind w:firstLine="411" w:firstLineChars="196"/>
        <w:rPr>
          <w:color w:val="auto"/>
          <w:szCs w:val="21"/>
        </w:rPr>
      </w:pPr>
      <w:r>
        <w:rPr>
          <w:color w:val="auto"/>
          <w:szCs w:val="21"/>
        </w:rPr>
        <w:t>（2）大写金额和小写金额不一致的，以大写金额为准；</w:t>
      </w:r>
    </w:p>
    <w:p>
      <w:pPr>
        <w:spacing w:line="360" w:lineRule="exact"/>
        <w:ind w:firstLine="411" w:firstLineChars="196"/>
        <w:rPr>
          <w:color w:val="auto"/>
          <w:szCs w:val="21"/>
        </w:rPr>
      </w:pPr>
      <w:r>
        <w:rPr>
          <w:color w:val="auto"/>
          <w:szCs w:val="21"/>
        </w:rPr>
        <w:t>（3）单价金额小数点或者百分比有明显错位的，以报价表的总价为准，并修改单价；</w:t>
      </w:r>
    </w:p>
    <w:p>
      <w:pPr>
        <w:spacing w:line="360" w:lineRule="exact"/>
        <w:ind w:firstLine="411" w:firstLineChars="196"/>
        <w:rPr>
          <w:color w:val="auto"/>
          <w:szCs w:val="21"/>
        </w:rPr>
      </w:pPr>
      <w:r>
        <w:rPr>
          <w:color w:val="auto"/>
          <w:szCs w:val="21"/>
        </w:rPr>
        <w:t>（4）总价金额与按单价汇总金额不一致的，以单价金额计算结果为准。</w:t>
      </w:r>
    </w:p>
    <w:p>
      <w:pPr>
        <w:spacing w:line="360" w:lineRule="exact"/>
        <w:ind w:firstLine="411" w:firstLineChars="196"/>
        <w:rPr>
          <w:color w:val="auto"/>
          <w:szCs w:val="21"/>
        </w:rPr>
      </w:pPr>
      <w:r>
        <w:rPr>
          <w:color w:val="auto"/>
          <w:szCs w:val="21"/>
        </w:rPr>
        <w:t>同时出现两种以上不一致的，按照前款规定的顺序修正。修正后的报价（不得超出投标文件的范围或者改变投标文件的实质性内容）经投标人确认后产生约束力，投标人不确认的，其投标无效。</w:t>
      </w:r>
    </w:p>
    <w:p>
      <w:pPr>
        <w:spacing w:line="360" w:lineRule="exact"/>
        <w:ind w:firstLine="411" w:firstLineChars="196"/>
        <w:rPr>
          <w:color w:val="auto"/>
          <w:szCs w:val="21"/>
        </w:rPr>
      </w:pPr>
      <w:r>
        <w:rPr>
          <w:color w:val="auto"/>
          <w:szCs w:val="21"/>
        </w:rPr>
        <w:t>26.8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exact"/>
        <w:ind w:firstLine="411" w:firstLineChars="196"/>
        <w:rPr>
          <w:color w:val="auto"/>
          <w:szCs w:val="21"/>
        </w:rPr>
      </w:pPr>
      <w:r>
        <w:rPr>
          <w:color w:val="auto"/>
          <w:szCs w:val="21"/>
        </w:rPr>
        <w:t>26.9评标委员会成员对需要共同认定的事项存在争议的，应当按照少数服从多数的原则作出结论。持不同意见的评标委员会成员应当在评标报告上签署不同意见及理由，否则视为同意评标报告。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360" w:lineRule="exact"/>
        <w:ind w:firstLine="420" w:firstLineChars="200"/>
        <w:rPr>
          <w:color w:val="auto"/>
          <w:szCs w:val="21"/>
        </w:rPr>
      </w:pPr>
      <w:r>
        <w:rPr>
          <w:color w:val="auto"/>
          <w:szCs w:val="21"/>
        </w:rPr>
        <w:t>26.10评标结果汇总完成后，除下列情形外，任何人不得修改评标结果：</w:t>
      </w:r>
    </w:p>
    <w:p>
      <w:pPr>
        <w:snapToGrid w:val="0"/>
        <w:spacing w:line="360" w:lineRule="exact"/>
        <w:ind w:firstLine="420" w:firstLineChars="200"/>
        <w:rPr>
          <w:color w:val="auto"/>
          <w:szCs w:val="21"/>
        </w:rPr>
      </w:pPr>
      <w:r>
        <w:rPr>
          <w:color w:val="auto"/>
          <w:szCs w:val="21"/>
        </w:rPr>
        <w:t>（一）分值汇总计算错误的；</w:t>
      </w:r>
    </w:p>
    <w:p>
      <w:pPr>
        <w:snapToGrid w:val="0"/>
        <w:spacing w:line="360" w:lineRule="exact"/>
        <w:ind w:firstLine="420" w:firstLineChars="200"/>
        <w:rPr>
          <w:color w:val="auto"/>
          <w:szCs w:val="21"/>
        </w:rPr>
      </w:pPr>
      <w:r>
        <w:rPr>
          <w:color w:val="auto"/>
          <w:szCs w:val="21"/>
        </w:rPr>
        <w:t>（二）分项评分超出评分标准范围的；</w:t>
      </w:r>
    </w:p>
    <w:p>
      <w:pPr>
        <w:snapToGrid w:val="0"/>
        <w:spacing w:line="360" w:lineRule="exact"/>
        <w:ind w:firstLine="420" w:firstLineChars="200"/>
        <w:rPr>
          <w:color w:val="auto"/>
          <w:szCs w:val="21"/>
        </w:rPr>
      </w:pPr>
      <w:r>
        <w:rPr>
          <w:color w:val="auto"/>
          <w:szCs w:val="21"/>
        </w:rPr>
        <w:t>（三）评标委员会成员对客观评审因素评分不一致的；</w:t>
      </w:r>
    </w:p>
    <w:p>
      <w:pPr>
        <w:snapToGrid w:val="0"/>
        <w:spacing w:line="360" w:lineRule="exact"/>
        <w:ind w:firstLine="420" w:firstLineChars="200"/>
        <w:rPr>
          <w:color w:val="auto"/>
          <w:szCs w:val="21"/>
        </w:rPr>
      </w:pPr>
      <w:r>
        <w:rPr>
          <w:color w:val="auto"/>
          <w:szCs w:val="21"/>
        </w:rPr>
        <w:t>（四）经评标委员会认定评分畸高、畸低的。</w:t>
      </w:r>
    </w:p>
    <w:p>
      <w:pPr>
        <w:snapToGrid w:val="0"/>
        <w:spacing w:line="360" w:lineRule="exact"/>
        <w:ind w:firstLine="420" w:firstLineChars="200"/>
        <w:rPr>
          <w:color w:val="auto"/>
          <w:szCs w:val="21"/>
        </w:rPr>
      </w:pPr>
      <w:r>
        <w:rPr>
          <w:color w:val="auto"/>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snapToGrid w:val="0"/>
        <w:spacing w:line="360" w:lineRule="exact"/>
        <w:ind w:firstLine="420" w:firstLineChars="200"/>
        <w:rPr>
          <w:color w:val="auto"/>
          <w:szCs w:val="21"/>
        </w:rPr>
      </w:pPr>
      <w:r>
        <w:rPr>
          <w:color w:val="auto"/>
          <w:szCs w:val="21"/>
        </w:rPr>
        <w:t>投标人对本条第一款情形提出质疑的，采购人或者采购代理机构可以组织原评标委员会进行重新评审，重新评审改变评标结果的，应当书面报告本级财政部门。</w:t>
      </w:r>
    </w:p>
    <w:p>
      <w:pPr>
        <w:spacing w:line="360" w:lineRule="exact"/>
        <w:ind w:firstLine="411" w:firstLineChars="196"/>
        <w:rPr>
          <w:color w:val="auto"/>
          <w:szCs w:val="21"/>
        </w:rPr>
      </w:pPr>
      <w:r>
        <w:rPr>
          <w:color w:val="auto"/>
          <w:szCs w:val="21"/>
        </w:rPr>
        <w:t>26.11采购代理机构发现评标委员会有明显的违规倾向或歧视现象，或不按评标办法进行，或其他不正常行为的，应当及时制止。如制止无效，应及时向桂林市政府采购监督管理机构报告。</w:t>
      </w:r>
    </w:p>
    <w:p>
      <w:pPr>
        <w:spacing w:line="360" w:lineRule="exact"/>
        <w:ind w:firstLine="413" w:firstLineChars="196"/>
        <w:outlineLvl w:val="2"/>
        <w:rPr>
          <w:b/>
          <w:color w:val="auto"/>
          <w:szCs w:val="21"/>
        </w:rPr>
      </w:pPr>
      <w:bookmarkStart w:id="122" w:name="_Toc30450"/>
      <w:bookmarkStart w:id="123" w:name="_Toc14067"/>
      <w:r>
        <w:rPr>
          <w:b/>
          <w:color w:val="auto"/>
          <w:szCs w:val="21"/>
        </w:rPr>
        <w:t>27. 推荐及确定中标候选供应商原则</w:t>
      </w:r>
      <w:bookmarkEnd w:id="122"/>
      <w:bookmarkEnd w:id="123"/>
    </w:p>
    <w:p>
      <w:pPr>
        <w:tabs>
          <w:tab w:val="left" w:pos="4214"/>
        </w:tabs>
        <w:spacing w:line="360" w:lineRule="exact"/>
        <w:ind w:firstLine="420" w:firstLineChars="200"/>
        <w:rPr>
          <w:color w:val="auto"/>
          <w:szCs w:val="21"/>
        </w:rPr>
      </w:pPr>
      <w:r>
        <w:rPr>
          <w:color w:val="auto"/>
          <w:szCs w:val="21"/>
        </w:rPr>
        <w:t>（1）评标委员会根据综合得分由高到低排列次序，若得分相同时，按评标价由低到高顺序排列；得分相同且评标价也相同的由评标委员会按照抽签的方式决定排次次序</w:t>
      </w:r>
      <w:r>
        <w:rPr>
          <w:color w:val="auto"/>
          <w:sz w:val="22"/>
          <w:szCs w:val="22"/>
        </w:rPr>
        <w:t>。</w:t>
      </w:r>
    </w:p>
    <w:p>
      <w:pPr>
        <w:tabs>
          <w:tab w:val="left" w:pos="4214"/>
        </w:tabs>
        <w:spacing w:line="360" w:lineRule="exact"/>
        <w:ind w:firstLine="420" w:firstLineChars="200"/>
        <w:rPr>
          <w:color w:val="auto"/>
          <w:szCs w:val="21"/>
        </w:rPr>
      </w:pPr>
      <w:r>
        <w:rPr>
          <w:color w:val="auto"/>
          <w:szCs w:val="21"/>
        </w:rPr>
        <w:t>（2）评标委员会可推荐前三名为中标候选供应商，采购人应当确定评标委员会推荐排名第一的中标候选供应商为中标供应商。</w:t>
      </w:r>
    </w:p>
    <w:p>
      <w:pPr>
        <w:spacing w:line="360" w:lineRule="exact"/>
        <w:ind w:firstLine="447" w:firstLineChars="213"/>
        <w:rPr>
          <w:color w:val="auto"/>
          <w:szCs w:val="21"/>
        </w:rPr>
      </w:pPr>
      <w:r>
        <w:rPr>
          <w:color w:val="auto"/>
          <w:szCs w:val="21"/>
        </w:rPr>
        <w:t>（3）排名第一的中标候选供应商放弃中标、因不可抗力提出不能履行合同，或者招标文件规定应当提交履约保证金而在规定的期限内未能提交的，或因失信行为被取消中标候选供应商资格的，采购人可以确定排名第二的中标候选供应商为中标供应商，并依此类推。</w:t>
      </w:r>
    </w:p>
    <w:p>
      <w:pPr>
        <w:spacing w:line="360" w:lineRule="exact"/>
        <w:ind w:firstLine="413" w:firstLineChars="196"/>
        <w:outlineLvl w:val="2"/>
        <w:rPr>
          <w:b/>
          <w:color w:val="auto"/>
          <w:szCs w:val="21"/>
        </w:rPr>
      </w:pPr>
      <w:bookmarkStart w:id="124" w:name="_Toc1836"/>
      <w:bookmarkStart w:id="125" w:name="_Toc25157"/>
      <w:r>
        <w:rPr>
          <w:b/>
          <w:color w:val="auto"/>
          <w:szCs w:val="21"/>
        </w:rPr>
        <w:t>28. 属于下列情况之一者，投标无效：</w:t>
      </w:r>
      <w:bookmarkEnd w:id="124"/>
      <w:bookmarkEnd w:id="125"/>
    </w:p>
    <w:p>
      <w:pPr>
        <w:snapToGrid w:val="0"/>
        <w:spacing w:line="360" w:lineRule="exact"/>
        <w:ind w:firstLine="411" w:firstLineChars="196"/>
        <w:rPr>
          <w:color w:val="auto"/>
          <w:szCs w:val="21"/>
        </w:rPr>
      </w:pPr>
      <w:r>
        <w:rPr>
          <w:color w:val="auto"/>
          <w:szCs w:val="21"/>
        </w:rPr>
        <w:t>（</w:t>
      </w:r>
      <w:r>
        <w:rPr>
          <w:rFonts w:hint="eastAsia"/>
          <w:color w:val="auto"/>
          <w:szCs w:val="21"/>
        </w:rPr>
        <w:t>1</w:t>
      </w:r>
      <w:r>
        <w:rPr>
          <w:color w:val="auto"/>
          <w:szCs w:val="21"/>
        </w:rPr>
        <w:t>）未按照招标文件规定要求签字、盖章的；</w:t>
      </w:r>
    </w:p>
    <w:p>
      <w:pPr>
        <w:snapToGrid w:val="0"/>
        <w:spacing w:line="360" w:lineRule="exact"/>
        <w:ind w:firstLine="420" w:firstLineChars="200"/>
        <w:rPr>
          <w:color w:val="auto"/>
          <w:szCs w:val="21"/>
        </w:rPr>
      </w:pPr>
      <w:r>
        <w:rPr>
          <w:color w:val="auto"/>
          <w:szCs w:val="21"/>
        </w:rPr>
        <w:t>（</w:t>
      </w:r>
      <w:r>
        <w:rPr>
          <w:rFonts w:hint="eastAsia"/>
          <w:color w:val="auto"/>
          <w:szCs w:val="21"/>
        </w:rPr>
        <w:t>2</w:t>
      </w:r>
      <w:r>
        <w:rPr>
          <w:color w:val="auto"/>
          <w:szCs w:val="21"/>
        </w:rPr>
        <w:t>）报价超过招标文件中规定的预算金额的；</w:t>
      </w:r>
    </w:p>
    <w:p>
      <w:pPr>
        <w:snapToGrid w:val="0"/>
        <w:spacing w:line="360" w:lineRule="exact"/>
        <w:ind w:firstLine="411" w:firstLineChars="196"/>
        <w:rPr>
          <w:color w:val="auto"/>
          <w:szCs w:val="21"/>
        </w:rPr>
      </w:pPr>
      <w:r>
        <w:rPr>
          <w:color w:val="auto"/>
          <w:szCs w:val="21"/>
        </w:rPr>
        <w:t>（</w:t>
      </w:r>
      <w:r>
        <w:rPr>
          <w:rFonts w:hint="eastAsia"/>
          <w:color w:val="auto"/>
          <w:szCs w:val="21"/>
        </w:rPr>
        <w:t>3</w:t>
      </w:r>
      <w:r>
        <w:rPr>
          <w:color w:val="auto"/>
          <w:szCs w:val="21"/>
        </w:rPr>
        <w:t>）不具备招标文件中规定的资格要求的</w:t>
      </w:r>
      <w:r>
        <w:rPr>
          <w:color w:val="auto"/>
        </w:rPr>
        <w:t>；</w:t>
      </w:r>
    </w:p>
    <w:p>
      <w:pPr>
        <w:snapToGrid w:val="0"/>
        <w:spacing w:line="360" w:lineRule="exact"/>
        <w:ind w:firstLine="411" w:firstLineChars="196"/>
        <w:rPr>
          <w:color w:val="auto"/>
          <w:szCs w:val="21"/>
        </w:rPr>
      </w:pPr>
      <w:r>
        <w:rPr>
          <w:color w:val="auto"/>
          <w:szCs w:val="21"/>
        </w:rPr>
        <w:t>（</w:t>
      </w:r>
      <w:r>
        <w:rPr>
          <w:rFonts w:hint="eastAsia"/>
          <w:color w:val="auto"/>
          <w:szCs w:val="21"/>
        </w:rPr>
        <w:t>4</w:t>
      </w:r>
      <w:r>
        <w:rPr>
          <w:color w:val="auto"/>
          <w:szCs w:val="21"/>
        </w:rPr>
        <w:t>）投标文件含有采购人不能接受的附加条件的；</w:t>
      </w:r>
    </w:p>
    <w:p>
      <w:pPr>
        <w:snapToGrid w:val="0"/>
        <w:spacing w:line="360" w:lineRule="exact"/>
        <w:ind w:firstLine="411" w:firstLineChars="196"/>
        <w:rPr>
          <w:color w:val="auto"/>
          <w:szCs w:val="21"/>
        </w:rPr>
      </w:pPr>
      <w:r>
        <w:rPr>
          <w:color w:val="auto"/>
          <w:szCs w:val="21"/>
        </w:rPr>
        <w:t>（</w:t>
      </w:r>
      <w:r>
        <w:rPr>
          <w:rFonts w:hint="eastAsia"/>
          <w:color w:val="auto"/>
          <w:szCs w:val="21"/>
        </w:rPr>
        <w:t>5</w:t>
      </w:r>
      <w:r>
        <w:rPr>
          <w:color w:val="auto"/>
          <w:szCs w:val="21"/>
        </w:rPr>
        <w:t>）投标文件未按招标文件的内容和要求编制，或提供虚假或无效材料的；</w:t>
      </w:r>
    </w:p>
    <w:p>
      <w:pPr>
        <w:snapToGrid w:val="0"/>
        <w:spacing w:line="360" w:lineRule="exact"/>
        <w:ind w:firstLine="411" w:firstLineChars="196"/>
        <w:rPr>
          <w:color w:val="auto"/>
        </w:rPr>
      </w:pPr>
      <w:r>
        <w:rPr>
          <w:color w:val="auto"/>
          <w:szCs w:val="21"/>
        </w:rPr>
        <w:t>（</w:t>
      </w:r>
      <w:r>
        <w:rPr>
          <w:rFonts w:hint="eastAsia"/>
          <w:color w:val="auto"/>
          <w:szCs w:val="21"/>
        </w:rPr>
        <w:t>6</w:t>
      </w:r>
      <w:r>
        <w:rPr>
          <w:color w:val="auto"/>
          <w:szCs w:val="21"/>
        </w:rPr>
        <w:t>）</w:t>
      </w:r>
      <w:r>
        <w:rPr>
          <w:color w:val="auto"/>
        </w:rPr>
        <w:t>投标</w:t>
      </w:r>
      <w:r>
        <w:rPr>
          <w:color w:val="auto"/>
          <w:szCs w:val="21"/>
        </w:rPr>
        <w:t>人未就“货物采购需求”中的所有内容作完整唯一报价的</w:t>
      </w:r>
      <w:r>
        <w:rPr>
          <w:color w:val="auto"/>
        </w:rPr>
        <w:t>；</w:t>
      </w:r>
    </w:p>
    <w:p>
      <w:pPr>
        <w:snapToGrid w:val="0"/>
        <w:spacing w:line="360" w:lineRule="exact"/>
        <w:ind w:firstLine="411" w:firstLineChars="196"/>
        <w:rPr>
          <w:color w:val="auto"/>
          <w:szCs w:val="21"/>
        </w:rPr>
      </w:pPr>
      <w:r>
        <w:rPr>
          <w:color w:val="auto"/>
          <w:szCs w:val="21"/>
        </w:rPr>
        <w:t>（</w:t>
      </w:r>
      <w:r>
        <w:rPr>
          <w:rFonts w:hint="eastAsia"/>
          <w:color w:val="auto"/>
          <w:szCs w:val="21"/>
        </w:rPr>
        <w:t>7</w:t>
      </w:r>
      <w:r>
        <w:rPr>
          <w:color w:val="auto"/>
          <w:szCs w:val="21"/>
        </w:rPr>
        <w:t>）未完全响应招标文件实质性要求的；</w:t>
      </w:r>
    </w:p>
    <w:p>
      <w:pPr>
        <w:spacing w:line="360" w:lineRule="exact"/>
        <w:ind w:firstLine="420" w:firstLineChars="200"/>
        <w:rPr>
          <w:color w:val="auto"/>
          <w:szCs w:val="21"/>
        </w:rPr>
      </w:pPr>
      <w:r>
        <w:rPr>
          <w:color w:val="auto"/>
          <w:szCs w:val="21"/>
        </w:rPr>
        <w:t>（</w:t>
      </w:r>
      <w:r>
        <w:rPr>
          <w:rFonts w:hint="eastAsia"/>
          <w:color w:val="auto"/>
          <w:szCs w:val="21"/>
        </w:rPr>
        <w:t>8</w:t>
      </w:r>
      <w:r>
        <w:rPr>
          <w:color w:val="auto"/>
          <w:szCs w:val="21"/>
        </w:rPr>
        <w:t>）法律、法规和招标文件规定的其他无效情形。</w:t>
      </w:r>
    </w:p>
    <w:p>
      <w:pPr>
        <w:spacing w:line="360" w:lineRule="exact"/>
        <w:ind w:firstLine="413" w:firstLineChars="196"/>
        <w:outlineLvl w:val="2"/>
        <w:rPr>
          <w:b/>
          <w:color w:val="auto"/>
          <w:szCs w:val="21"/>
        </w:rPr>
      </w:pPr>
      <w:bookmarkStart w:id="126" w:name="_Toc19808"/>
      <w:bookmarkStart w:id="127" w:name="_Toc15081"/>
      <w:r>
        <w:rPr>
          <w:b/>
          <w:color w:val="auto"/>
          <w:szCs w:val="21"/>
        </w:rPr>
        <w:t>29. 投标人有下列情形之一的，视为串通投标，投标文件将被视为无效：</w:t>
      </w:r>
      <w:bookmarkEnd w:id="126"/>
      <w:bookmarkEnd w:id="127"/>
    </w:p>
    <w:p>
      <w:pPr>
        <w:snapToGrid w:val="0"/>
        <w:spacing w:line="360" w:lineRule="exact"/>
        <w:ind w:left="355" w:leftChars="169" w:firstLine="102" w:firstLineChars="49"/>
        <w:rPr>
          <w:color w:val="auto"/>
        </w:rPr>
      </w:pPr>
      <w:r>
        <w:rPr>
          <w:color w:val="auto"/>
        </w:rPr>
        <w:t>（1）不同投标人的投标文件由同一单位或者个人编制；</w:t>
      </w:r>
    </w:p>
    <w:p>
      <w:pPr>
        <w:snapToGrid w:val="0"/>
        <w:spacing w:line="360" w:lineRule="exact"/>
        <w:ind w:left="355" w:leftChars="169" w:firstLine="102" w:firstLineChars="49"/>
        <w:rPr>
          <w:color w:val="auto"/>
        </w:rPr>
      </w:pPr>
      <w:r>
        <w:rPr>
          <w:color w:val="auto"/>
        </w:rPr>
        <w:t>（2）不同投标人委托同一单位或者个人办理投标事宜；</w:t>
      </w:r>
    </w:p>
    <w:p>
      <w:pPr>
        <w:snapToGrid w:val="0"/>
        <w:spacing w:line="360" w:lineRule="exact"/>
        <w:ind w:left="355" w:leftChars="169" w:firstLine="102" w:firstLineChars="49"/>
        <w:rPr>
          <w:color w:val="auto"/>
        </w:rPr>
      </w:pPr>
      <w:r>
        <w:rPr>
          <w:color w:val="auto"/>
        </w:rPr>
        <w:t>（3）不同的投标人的投标文件载明的项目管理员或者联系人员为同一个人；</w:t>
      </w:r>
    </w:p>
    <w:p>
      <w:pPr>
        <w:snapToGrid w:val="0"/>
        <w:spacing w:line="360" w:lineRule="exact"/>
        <w:ind w:left="355" w:leftChars="169" w:firstLine="102" w:firstLineChars="49"/>
        <w:rPr>
          <w:color w:val="auto"/>
        </w:rPr>
      </w:pPr>
      <w:r>
        <w:rPr>
          <w:color w:val="auto"/>
        </w:rPr>
        <w:t>（4）不同投标人的投标文件异常一致或投标报价呈规律性差异；</w:t>
      </w:r>
    </w:p>
    <w:p>
      <w:pPr>
        <w:snapToGrid w:val="0"/>
        <w:spacing w:line="360" w:lineRule="exact"/>
        <w:ind w:left="355" w:leftChars="169" w:firstLine="102" w:firstLineChars="49"/>
        <w:rPr>
          <w:color w:val="auto"/>
        </w:rPr>
      </w:pPr>
      <w:r>
        <w:rPr>
          <w:color w:val="auto"/>
        </w:rPr>
        <w:t>（5）不同投标人的投标文件相互混装；</w:t>
      </w:r>
    </w:p>
    <w:p>
      <w:pPr>
        <w:snapToGrid w:val="0"/>
        <w:spacing w:line="360" w:lineRule="exact"/>
        <w:ind w:left="355" w:leftChars="169" w:firstLine="102" w:firstLineChars="49"/>
        <w:rPr>
          <w:color w:val="auto"/>
        </w:rPr>
      </w:pPr>
      <w:r>
        <w:rPr>
          <w:color w:val="auto"/>
        </w:rPr>
        <w:t>（6）不同投标人的投标保证金从同一单位或者个人账户转出。</w:t>
      </w:r>
    </w:p>
    <w:p>
      <w:pPr>
        <w:spacing w:line="360" w:lineRule="exact"/>
        <w:ind w:firstLine="413" w:firstLineChars="196"/>
        <w:outlineLvl w:val="2"/>
        <w:rPr>
          <w:b/>
          <w:color w:val="auto"/>
          <w:szCs w:val="21"/>
        </w:rPr>
      </w:pPr>
      <w:bookmarkStart w:id="128" w:name="_Toc1290"/>
      <w:bookmarkStart w:id="129" w:name="_Toc18148"/>
      <w:r>
        <w:rPr>
          <w:b/>
          <w:color w:val="auto"/>
          <w:szCs w:val="21"/>
        </w:rPr>
        <w:t>30. 属于下列情形之一的，应予废标：</w:t>
      </w:r>
      <w:bookmarkEnd w:id="128"/>
      <w:bookmarkEnd w:id="129"/>
    </w:p>
    <w:p>
      <w:pPr>
        <w:tabs>
          <w:tab w:val="left" w:pos="840"/>
        </w:tabs>
        <w:snapToGrid w:val="0"/>
        <w:spacing w:line="360" w:lineRule="exact"/>
        <w:ind w:left="330" w:leftChars="157" w:firstLine="102" w:firstLineChars="49"/>
        <w:rPr>
          <w:color w:val="auto"/>
          <w:szCs w:val="21"/>
        </w:rPr>
      </w:pPr>
      <w:r>
        <w:rPr>
          <w:color w:val="auto"/>
          <w:szCs w:val="21"/>
        </w:rPr>
        <w:t>（1）符合专业条件的供应商或者对招标文件作实质响应的供应商不足3家的；</w:t>
      </w:r>
    </w:p>
    <w:p>
      <w:pPr>
        <w:tabs>
          <w:tab w:val="left" w:pos="840"/>
        </w:tabs>
        <w:snapToGrid w:val="0"/>
        <w:spacing w:line="360" w:lineRule="exact"/>
        <w:ind w:left="330" w:leftChars="157" w:firstLine="105" w:firstLineChars="50"/>
        <w:rPr>
          <w:color w:val="auto"/>
          <w:szCs w:val="21"/>
        </w:rPr>
      </w:pPr>
      <w:r>
        <w:rPr>
          <w:color w:val="auto"/>
          <w:szCs w:val="21"/>
        </w:rPr>
        <w:t>（2）出现影响采购公正的违法、违规行为的；</w:t>
      </w:r>
    </w:p>
    <w:p>
      <w:pPr>
        <w:tabs>
          <w:tab w:val="left" w:pos="840"/>
        </w:tabs>
        <w:snapToGrid w:val="0"/>
        <w:spacing w:line="360" w:lineRule="exact"/>
        <w:ind w:left="330" w:leftChars="157" w:firstLine="105" w:firstLineChars="50"/>
        <w:rPr>
          <w:color w:val="auto"/>
        </w:rPr>
      </w:pPr>
      <w:r>
        <w:rPr>
          <w:color w:val="auto"/>
        </w:rPr>
        <w:t>（3）采购文件内容违反国家有关强制性规定的；</w:t>
      </w:r>
    </w:p>
    <w:p>
      <w:pPr>
        <w:tabs>
          <w:tab w:val="left" w:pos="840"/>
        </w:tabs>
        <w:snapToGrid w:val="0"/>
        <w:spacing w:line="360" w:lineRule="exact"/>
        <w:ind w:left="330" w:leftChars="157" w:firstLine="105" w:firstLineChars="50"/>
        <w:rPr>
          <w:color w:val="auto"/>
        </w:rPr>
      </w:pPr>
      <w:r>
        <w:rPr>
          <w:color w:val="auto"/>
        </w:rPr>
        <w:t>（4）因重大变故，采购任务取消的。</w:t>
      </w:r>
    </w:p>
    <w:p>
      <w:pPr>
        <w:spacing w:line="360" w:lineRule="exact"/>
        <w:ind w:firstLine="413" w:firstLineChars="196"/>
        <w:outlineLvl w:val="2"/>
        <w:rPr>
          <w:b/>
          <w:color w:val="auto"/>
          <w:szCs w:val="21"/>
        </w:rPr>
      </w:pPr>
      <w:bookmarkStart w:id="130" w:name="_Toc29328"/>
      <w:bookmarkStart w:id="131" w:name="_Toc28686"/>
      <w:r>
        <w:rPr>
          <w:b/>
          <w:color w:val="auto"/>
          <w:szCs w:val="21"/>
        </w:rPr>
        <w:t>31. 开标、评标过程的监控</w:t>
      </w:r>
      <w:bookmarkEnd w:id="130"/>
      <w:bookmarkEnd w:id="131"/>
    </w:p>
    <w:p>
      <w:pPr>
        <w:spacing w:line="360" w:lineRule="exact"/>
        <w:ind w:firstLine="411" w:firstLineChars="196"/>
        <w:rPr>
          <w:color w:val="auto"/>
        </w:rPr>
      </w:pPr>
      <w:r>
        <w:rPr>
          <w:color w:val="auto"/>
        </w:rPr>
        <w:t>本项目开标、评标过程实行全程录音、录像监控，投标人在评标过程中所进行的试图影响评标结果的不公正活动，可能导致其投标被拒绝。</w:t>
      </w:r>
    </w:p>
    <w:p>
      <w:pPr>
        <w:spacing w:line="360" w:lineRule="exact"/>
        <w:ind w:firstLine="413" w:firstLineChars="196"/>
        <w:outlineLvl w:val="2"/>
        <w:rPr>
          <w:b/>
          <w:color w:val="auto"/>
          <w:szCs w:val="21"/>
        </w:rPr>
      </w:pPr>
      <w:bookmarkStart w:id="132" w:name="_Toc1321"/>
      <w:bookmarkStart w:id="133" w:name="_Toc11807"/>
      <w:r>
        <w:rPr>
          <w:b/>
          <w:color w:val="auto"/>
          <w:szCs w:val="21"/>
        </w:rPr>
        <w:t>32. 信用查询</w:t>
      </w:r>
      <w:bookmarkEnd w:id="132"/>
      <w:bookmarkEnd w:id="133"/>
    </w:p>
    <w:p>
      <w:pPr>
        <w:spacing w:line="360" w:lineRule="exact"/>
        <w:ind w:firstLine="411" w:firstLineChars="196"/>
        <w:rPr>
          <w:color w:val="auto"/>
        </w:rPr>
      </w:pPr>
      <w:r>
        <w:rPr>
          <w:color w:val="auto"/>
        </w:rPr>
        <w:t>根据《关于做好政府采购有关信用主体标识码登记及在政府采购活动中查询使用信用记录有关问题的通知》桂财采〔2016〕37号的通知，中标通知书发出前，由采购代理机构对第一中标候选供应商进行信用查询：</w:t>
      </w:r>
    </w:p>
    <w:p>
      <w:pPr>
        <w:spacing w:line="360" w:lineRule="exact"/>
        <w:ind w:firstLine="411" w:firstLineChars="196"/>
        <w:rPr>
          <w:color w:val="auto"/>
        </w:rPr>
      </w:pPr>
      <w:r>
        <w:rPr>
          <w:color w:val="auto"/>
        </w:rPr>
        <w:t>⑴查询渠道：“信用中国”网站(www.creditchina.gov.cn)、中国政府采购网(www.ccgp.gov.cn)等；</w:t>
      </w:r>
    </w:p>
    <w:p>
      <w:pPr>
        <w:spacing w:line="360" w:lineRule="exact"/>
        <w:ind w:firstLine="411" w:firstLineChars="196"/>
        <w:rPr>
          <w:color w:val="auto"/>
        </w:rPr>
      </w:pPr>
      <w:r>
        <w:rPr>
          <w:color w:val="auto"/>
        </w:rPr>
        <w:t>⑵查询截止时间：中标通知书发出前；</w:t>
      </w:r>
    </w:p>
    <w:p>
      <w:pPr>
        <w:spacing w:line="360" w:lineRule="exact"/>
        <w:ind w:firstLine="411" w:firstLineChars="196"/>
        <w:rPr>
          <w:color w:val="auto"/>
        </w:rPr>
      </w:pPr>
      <w:r>
        <w:rPr>
          <w:color w:val="auto"/>
        </w:rPr>
        <w:t>⑶信用信息查询记录和证据留存方式：在查询网站中直接打印查询记录，打印材料作为采购活动资料保存；</w:t>
      </w:r>
    </w:p>
    <w:p>
      <w:pPr>
        <w:spacing w:line="360" w:lineRule="exact"/>
        <w:ind w:firstLine="411" w:firstLineChars="196"/>
        <w:rPr>
          <w:color w:val="auto"/>
        </w:rPr>
      </w:pPr>
      <w:r>
        <w:rPr>
          <w:color w:val="auto"/>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p>
      <w:pPr>
        <w:spacing w:line="360" w:lineRule="exact"/>
        <w:ind w:firstLine="411" w:firstLineChars="196"/>
        <w:rPr>
          <w:color w:val="auto"/>
        </w:rPr>
      </w:pPr>
      <w:r>
        <w:rPr>
          <w:color w:val="auto"/>
        </w:rPr>
        <w:t>两个以上的自然人、法人或者其他组织组成一个联合体，以一个供应商的身份共同参加政府采购活动的，对所有联合体成员进行信用记录查询，联合体成员存在不良信用记录的，视同联合体存在不良信用记录。</w:t>
      </w:r>
    </w:p>
    <w:p>
      <w:pPr>
        <w:spacing w:line="360" w:lineRule="exact"/>
        <w:ind w:firstLine="413" w:firstLineChars="196"/>
        <w:outlineLvl w:val="2"/>
        <w:rPr>
          <w:b/>
          <w:color w:val="auto"/>
          <w:szCs w:val="21"/>
        </w:rPr>
      </w:pPr>
      <w:bookmarkStart w:id="134" w:name="_Toc27132"/>
      <w:bookmarkStart w:id="135" w:name="_Toc27712"/>
      <w:r>
        <w:rPr>
          <w:b/>
          <w:color w:val="auto"/>
          <w:szCs w:val="21"/>
        </w:rPr>
        <w:t>33. 中标公告及中标通知书</w:t>
      </w:r>
      <w:bookmarkEnd w:id="134"/>
      <w:bookmarkEnd w:id="135"/>
    </w:p>
    <w:p>
      <w:pPr>
        <w:tabs>
          <w:tab w:val="left" w:pos="455"/>
        </w:tabs>
        <w:spacing w:line="360" w:lineRule="exact"/>
        <w:ind w:firstLine="420" w:firstLineChars="200"/>
        <w:rPr>
          <w:color w:val="auto"/>
        </w:rPr>
      </w:pPr>
      <w:r>
        <w:rPr>
          <w:color w:val="auto"/>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w:t>
      </w:r>
      <w:r>
        <w:rPr>
          <w:rFonts w:hint="eastAsia"/>
          <w:color w:val="auto"/>
          <w:szCs w:val="21"/>
        </w:rPr>
        <w:t>一</w:t>
      </w:r>
      <w:r>
        <w:rPr>
          <w:color w:val="auto"/>
          <w:szCs w:val="21"/>
        </w:rPr>
        <w:t>个工作日。</w:t>
      </w:r>
    </w:p>
    <w:p>
      <w:pPr>
        <w:spacing w:line="360" w:lineRule="exact"/>
        <w:ind w:firstLine="420" w:firstLineChars="200"/>
        <w:rPr>
          <w:color w:val="auto"/>
        </w:rPr>
      </w:pPr>
      <w:r>
        <w:rPr>
          <w:color w:val="auto"/>
          <w:szCs w:val="21"/>
        </w:rPr>
        <w:t>33.2中标公告</w:t>
      </w:r>
      <w:r>
        <w:rPr>
          <w:rFonts w:hint="eastAsia"/>
          <w:color w:val="auto"/>
          <w:szCs w:val="21"/>
        </w:rPr>
        <w:t>发布的</w:t>
      </w:r>
      <w:r>
        <w:rPr>
          <w:color w:val="auto"/>
          <w:szCs w:val="21"/>
        </w:rPr>
        <w:t>同时</w:t>
      </w:r>
      <w:r>
        <w:rPr>
          <w:rFonts w:hint="eastAsia"/>
          <w:color w:val="auto"/>
          <w:szCs w:val="21"/>
        </w:rPr>
        <w:t>，</w:t>
      </w:r>
      <w:r>
        <w:rPr>
          <w:color w:val="auto"/>
          <w:szCs w:val="21"/>
        </w:rPr>
        <w:t>采购代理机构向中标供应商发出中标通知书，中标供应商应自接到通知之日起七个工作日内，办理中标通知书领取手续。</w:t>
      </w:r>
    </w:p>
    <w:p>
      <w:pPr>
        <w:tabs>
          <w:tab w:val="left" w:pos="1140"/>
        </w:tabs>
        <w:spacing w:line="400" w:lineRule="exact"/>
        <w:ind w:left="420" w:leftChars="200"/>
        <w:rPr>
          <w:b/>
          <w:color w:val="auto"/>
          <w:sz w:val="28"/>
          <w:szCs w:val="28"/>
        </w:rPr>
      </w:pPr>
    </w:p>
    <w:p>
      <w:pPr>
        <w:spacing w:line="360" w:lineRule="auto"/>
        <w:jc w:val="center"/>
        <w:outlineLvl w:val="1"/>
        <w:rPr>
          <w:b/>
          <w:color w:val="auto"/>
          <w:sz w:val="28"/>
          <w:szCs w:val="28"/>
        </w:rPr>
      </w:pPr>
      <w:bookmarkStart w:id="136" w:name="_Toc31543"/>
      <w:bookmarkStart w:id="137" w:name="_Toc14840"/>
      <w:bookmarkStart w:id="138" w:name="_Toc495841760"/>
      <w:r>
        <w:rPr>
          <w:b/>
          <w:color w:val="auto"/>
          <w:sz w:val="28"/>
          <w:szCs w:val="28"/>
        </w:rPr>
        <w:t>七、履约保证金及签订合同</w:t>
      </w:r>
      <w:bookmarkEnd w:id="136"/>
      <w:bookmarkEnd w:id="137"/>
      <w:bookmarkEnd w:id="138"/>
    </w:p>
    <w:p>
      <w:pPr>
        <w:spacing w:line="360" w:lineRule="exact"/>
        <w:ind w:firstLine="413" w:firstLineChars="196"/>
        <w:outlineLvl w:val="2"/>
        <w:rPr>
          <w:b/>
          <w:color w:val="auto"/>
          <w:szCs w:val="21"/>
        </w:rPr>
      </w:pPr>
      <w:bookmarkStart w:id="139" w:name="_Toc6994"/>
      <w:bookmarkStart w:id="140" w:name="_Toc4542"/>
      <w:r>
        <w:rPr>
          <w:b/>
          <w:color w:val="auto"/>
          <w:szCs w:val="21"/>
        </w:rPr>
        <w:t>34. 履约保证金</w:t>
      </w:r>
      <w:bookmarkEnd w:id="139"/>
      <w:bookmarkEnd w:id="140"/>
    </w:p>
    <w:p>
      <w:pPr>
        <w:pStyle w:val="18"/>
        <w:spacing w:line="360" w:lineRule="exact"/>
        <w:ind w:left="2" w:leftChars="1" w:firstLine="420" w:firstLineChars="200"/>
        <w:rPr>
          <w:rFonts w:ascii="Times New Roman" w:hAnsi="Times New Roman"/>
          <w:color w:val="auto"/>
          <w:szCs w:val="21"/>
        </w:rPr>
      </w:pPr>
      <w:r>
        <w:rPr>
          <w:rFonts w:ascii="Times New Roman" w:hAnsi="Times New Roman"/>
          <w:color w:val="auto"/>
          <w:szCs w:val="21"/>
        </w:rPr>
        <w:t>34.1履约保证金金额按中标价的</w:t>
      </w:r>
      <w:r>
        <w:rPr>
          <w:rFonts w:hint="eastAsia" w:ascii="Times New Roman" w:hAnsi="Times New Roman"/>
          <w:color w:val="auto"/>
          <w:szCs w:val="21"/>
        </w:rPr>
        <w:t>5%</w:t>
      </w:r>
      <w:r>
        <w:rPr>
          <w:rFonts w:ascii="Times New Roman" w:hAnsi="Times New Roman"/>
          <w:color w:val="auto"/>
          <w:szCs w:val="21"/>
        </w:rPr>
        <w:t>（人民币，四舍五入到元）缴纳</w:t>
      </w:r>
      <w:r>
        <w:rPr>
          <w:rFonts w:hint="eastAsia" w:ascii="Times New Roman" w:hAnsi="Times New Roman"/>
          <w:color w:val="auto"/>
          <w:szCs w:val="21"/>
        </w:rPr>
        <w:t>（不计息）</w:t>
      </w:r>
      <w:r>
        <w:rPr>
          <w:rFonts w:ascii="Times New Roman" w:hAnsi="Times New Roman"/>
          <w:color w:val="auto"/>
          <w:szCs w:val="21"/>
        </w:rPr>
        <w:t>，中标供应商在签订合同前向采购人缴纳履约保证金（具体银行账号由采购人提供），中标供应商提交履约保证金应当以</w:t>
      </w:r>
      <w:r>
        <w:rPr>
          <w:rFonts w:hint="eastAsia" w:ascii="Times New Roman" w:hAnsi="Times New Roman"/>
          <w:color w:val="auto"/>
          <w:szCs w:val="21"/>
        </w:rPr>
        <w:t>转账、电汇</w:t>
      </w:r>
      <w:r>
        <w:rPr>
          <w:rFonts w:ascii="Times New Roman" w:hAnsi="Times New Roman"/>
          <w:color w:val="auto"/>
          <w:szCs w:val="21"/>
        </w:rPr>
        <w:t>等形式</w:t>
      </w:r>
      <w:r>
        <w:rPr>
          <w:rFonts w:hint="eastAsia" w:ascii="Times New Roman" w:hAnsi="Times New Roman"/>
          <w:color w:val="auto"/>
          <w:szCs w:val="21"/>
        </w:rPr>
        <w:t>缴入采购人指定账户</w:t>
      </w:r>
      <w:r>
        <w:rPr>
          <w:rFonts w:ascii="Times New Roman" w:hAnsi="Times New Roman"/>
          <w:color w:val="auto"/>
          <w:szCs w:val="21"/>
        </w:rPr>
        <w:t>。</w:t>
      </w:r>
      <w:r>
        <w:rPr>
          <w:rFonts w:hint="eastAsia" w:hAnsi="宋体" w:cs="宋体"/>
          <w:color w:val="auto"/>
          <w:szCs w:val="21"/>
        </w:rPr>
        <w:t>项目验收合格后</w:t>
      </w:r>
      <w:r>
        <w:rPr>
          <w:rFonts w:hint="eastAsia"/>
          <w:color w:val="auto"/>
        </w:rPr>
        <w:t>，中标供应商凭《政府采购项目验收单》和履约保证金缴纳凭证原件向采购人申请办理退还手续，</w:t>
      </w:r>
      <w:r>
        <w:rPr>
          <w:rFonts w:hint="eastAsia" w:hAnsi="宋体" w:cs="宋体"/>
          <w:color w:val="auto"/>
          <w:szCs w:val="21"/>
        </w:rPr>
        <w:t>采购人在30个工作日内无息退还</w:t>
      </w:r>
      <w:r>
        <w:rPr>
          <w:rFonts w:hint="eastAsia"/>
          <w:color w:val="auto"/>
        </w:rPr>
        <w:t>。</w:t>
      </w:r>
    </w:p>
    <w:p>
      <w:pPr>
        <w:spacing w:line="460" w:lineRule="exact"/>
        <w:ind w:firstLine="422" w:firstLineChars="200"/>
        <w:rPr>
          <w:color w:val="auto"/>
          <w:szCs w:val="21"/>
        </w:rPr>
      </w:pPr>
      <w:r>
        <w:rPr>
          <w:rFonts w:hint="eastAsia"/>
          <w:b/>
          <w:bCs/>
          <w:color w:val="auto"/>
        </w:rPr>
        <w:t>账户名称：</w:t>
      </w:r>
      <w:r>
        <w:rPr>
          <w:rFonts w:hint="eastAsia"/>
          <w:color w:val="auto"/>
          <w:szCs w:val="21"/>
        </w:rPr>
        <w:t>广西师范大学</w:t>
      </w:r>
    </w:p>
    <w:p>
      <w:pPr>
        <w:spacing w:line="460" w:lineRule="exact"/>
        <w:ind w:firstLine="422" w:firstLineChars="200"/>
        <w:rPr>
          <w:color w:val="auto"/>
          <w:szCs w:val="21"/>
        </w:rPr>
      </w:pPr>
      <w:r>
        <w:rPr>
          <w:rFonts w:hint="eastAsia"/>
          <w:b/>
          <w:bCs/>
          <w:color w:val="auto"/>
        </w:rPr>
        <w:t>开户银行：</w:t>
      </w:r>
      <w:r>
        <w:rPr>
          <w:rFonts w:hint="eastAsia"/>
          <w:color w:val="auto"/>
          <w:szCs w:val="21"/>
        </w:rPr>
        <w:t>中国工商银行桂林市高新区支行</w:t>
      </w:r>
    </w:p>
    <w:p>
      <w:pPr>
        <w:spacing w:line="460" w:lineRule="exact"/>
        <w:ind w:firstLine="422" w:firstLineChars="200"/>
        <w:rPr>
          <w:color w:val="auto"/>
          <w:szCs w:val="21"/>
        </w:rPr>
      </w:pPr>
      <w:r>
        <w:rPr>
          <w:rFonts w:hint="eastAsia"/>
          <w:b/>
          <w:bCs/>
          <w:color w:val="auto"/>
        </w:rPr>
        <w:t>银行账号：</w:t>
      </w:r>
      <w:r>
        <w:rPr>
          <w:rFonts w:hint="eastAsia"/>
          <w:color w:val="auto"/>
          <w:szCs w:val="21"/>
        </w:rPr>
        <w:t xml:space="preserve">2103215109264004618 </w:t>
      </w:r>
    </w:p>
    <w:p>
      <w:pPr>
        <w:spacing w:line="360" w:lineRule="exact"/>
        <w:ind w:left="2" w:leftChars="1" w:firstLine="420" w:firstLineChars="200"/>
        <w:rPr>
          <w:color w:val="auto"/>
        </w:rPr>
      </w:pPr>
      <w:r>
        <w:rPr>
          <w:color w:val="auto"/>
          <w:szCs w:val="21"/>
        </w:rPr>
        <w:t>34.2如果中标供应商没能按上述第34.1款规定执行，采购人将上报</w:t>
      </w:r>
      <w:r>
        <w:rPr>
          <w:rFonts w:hint="eastAsia"/>
          <w:color w:val="auto"/>
          <w:szCs w:val="21"/>
        </w:rPr>
        <w:t>广西壮族自治区财政厅政府采购监督管理处</w:t>
      </w:r>
      <w:r>
        <w:rPr>
          <w:color w:val="auto"/>
          <w:szCs w:val="21"/>
        </w:rPr>
        <w:t>，取消中标资格</w:t>
      </w:r>
      <w:r>
        <w:rPr>
          <w:color w:val="auto"/>
        </w:rPr>
        <w:t>，</w:t>
      </w:r>
      <w:r>
        <w:rPr>
          <w:color w:val="auto"/>
          <w:szCs w:val="21"/>
        </w:rPr>
        <w:t>并有权授予第二中标候选供应商为中标供应商资格或重新组织招标。</w:t>
      </w:r>
    </w:p>
    <w:p>
      <w:pPr>
        <w:spacing w:line="360" w:lineRule="exact"/>
        <w:ind w:left="2" w:leftChars="1" w:firstLine="420" w:firstLineChars="200"/>
        <w:rPr>
          <w:color w:val="auto"/>
          <w:szCs w:val="21"/>
        </w:rPr>
      </w:pPr>
      <w:r>
        <w:rPr>
          <w:color w:val="auto"/>
          <w:szCs w:val="21"/>
        </w:rPr>
        <w:t>34.3如中标供应商不按双方签订的合同规定履约，则没收其全部履约保证金，履约保证金不足以赔偿损失的，按实际损失赔偿。</w:t>
      </w:r>
    </w:p>
    <w:p>
      <w:pPr>
        <w:spacing w:line="360" w:lineRule="exact"/>
        <w:ind w:left="2" w:leftChars="1" w:firstLine="420" w:firstLineChars="200"/>
        <w:rPr>
          <w:color w:val="auto"/>
          <w:szCs w:val="21"/>
        </w:rPr>
      </w:pPr>
      <w:r>
        <w:rPr>
          <w:color w:val="auto"/>
          <w:szCs w:val="21"/>
        </w:rPr>
        <w:t>34.4在履约保证金到期退还前，若中标供应商的开户名称、开户银行、账号有变动的，以书面形式通知采购人，否则由此产生的后果由中标供应商自负。</w:t>
      </w:r>
    </w:p>
    <w:p>
      <w:pPr>
        <w:spacing w:line="360" w:lineRule="exact"/>
        <w:ind w:firstLine="413" w:firstLineChars="196"/>
        <w:outlineLvl w:val="2"/>
        <w:rPr>
          <w:b/>
          <w:color w:val="auto"/>
          <w:szCs w:val="21"/>
        </w:rPr>
      </w:pPr>
      <w:bookmarkStart w:id="141" w:name="_Toc31723"/>
      <w:bookmarkStart w:id="142" w:name="_Toc18160"/>
      <w:r>
        <w:rPr>
          <w:b/>
          <w:color w:val="auto"/>
          <w:szCs w:val="21"/>
        </w:rPr>
        <w:t>35. 签订合同</w:t>
      </w:r>
      <w:bookmarkEnd w:id="141"/>
      <w:bookmarkEnd w:id="142"/>
    </w:p>
    <w:p>
      <w:pPr>
        <w:spacing w:line="360" w:lineRule="exact"/>
        <w:ind w:left="2" w:leftChars="1" w:firstLine="420" w:firstLineChars="200"/>
        <w:rPr>
          <w:color w:val="auto"/>
          <w:szCs w:val="21"/>
        </w:rPr>
      </w:pPr>
      <w:r>
        <w:rPr>
          <w:color w:val="auto"/>
          <w:szCs w:val="21"/>
        </w:rPr>
        <w:t>35.1签订合同时间：</w:t>
      </w:r>
      <w:r>
        <w:rPr>
          <w:b/>
          <w:bCs/>
          <w:color w:val="auto"/>
          <w:szCs w:val="21"/>
        </w:rPr>
        <w:t>中标通知书发出之日起</w:t>
      </w:r>
      <w:r>
        <w:rPr>
          <w:rFonts w:hint="eastAsia"/>
          <w:b/>
          <w:bCs/>
          <w:color w:val="auto"/>
          <w:szCs w:val="21"/>
        </w:rPr>
        <w:t>二十五日</w:t>
      </w:r>
      <w:r>
        <w:rPr>
          <w:b/>
          <w:bCs/>
          <w:color w:val="auto"/>
          <w:szCs w:val="21"/>
        </w:rPr>
        <w:t>内</w:t>
      </w:r>
      <w:r>
        <w:rPr>
          <w:color w:val="auto"/>
          <w:szCs w:val="21"/>
        </w:rPr>
        <w:t>。中标供应商领取中标通知书后，应按规定与采购人签订合同。</w:t>
      </w:r>
    </w:p>
    <w:p>
      <w:pPr>
        <w:spacing w:line="360" w:lineRule="exact"/>
        <w:ind w:left="2" w:leftChars="1" w:firstLine="420" w:firstLineChars="200"/>
        <w:rPr>
          <w:b/>
          <w:bCs/>
          <w:color w:val="auto"/>
          <w:szCs w:val="21"/>
        </w:rPr>
      </w:pPr>
      <w:r>
        <w:rPr>
          <w:color w:val="auto"/>
        </w:rPr>
        <w:t>35.2中标供应商为联合体的，联合体各方均应与采购人签订合同，并承担连带责任。</w:t>
      </w:r>
      <w:r>
        <w:rPr>
          <w:rFonts w:hint="eastAsia"/>
          <w:b/>
          <w:bCs/>
          <w:color w:val="auto"/>
        </w:rPr>
        <w:t>（本项目不接受联合体投标）</w:t>
      </w:r>
    </w:p>
    <w:p>
      <w:pPr>
        <w:spacing w:line="360" w:lineRule="exact"/>
        <w:ind w:left="2" w:leftChars="1" w:firstLine="420" w:firstLineChars="200"/>
        <w:rPr>
          <w:color w:val="auto"/>
          <w:szCs w:val="21"/>
        </w:rPr>
      </w:pPr>
      <w:r>
        <w:rPr>
          <w:color w:val="auto"/>
          <w:szCs w:val="21"/>
        </w:rPr>
        <w:t>35.3如中标供应商有下列情形之一的，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pPr>
        <w:spacing w:line="360" w:lineRule="exact"/>
        <w:ind w:firstLine="315" w:firstLineChars="150"/>
        <w:rPr>
          <w:color w:val="auto"/>
          <w:szCs w:val="21"/>
        </w:rPr>
      </w:pPr>
      <w:r>
        <w:rPr>
          <w:color w:val="auto"/>
          <w:szCs w:val="21"/>
        </w:rPr>
        <w:t>（1）中标后不与采购人签订合同的（不可抗力除外）；</w:t>
      </w:r>
    </w:p>
    <w:p>
      <w:pPr>
        <w:spacing w:line="360" w:lineRule="exact"/>
        <w:ind w:left="2" w:leftChars="1" w:firstLine="315" w:firstLineChars="150"/>
        <w:rPr>
          <w:color w:val="auto"/>
          <w:szCs w:val="21"/>
        </w:rPr>
      </w:pPr>
      <w:r>
        <w:rPr>
          <w:color w:val="auto"/>
          <w:szCs w:val="21"/>
        </w:rPr>
        <w:t>（2）将中标项目转让给他人，或者在投标文件中未说明，且未经采购人同意，将中标项目分包给他人的；</w:t>
      </w:r>
    </w:p>
    <w:p>
      <w:pPr>
        <w:spacing w:line="360" w:lineRule="exact"/>
        <w:ind w:firstLine="315" w:firstLineChars="150"/>
        <w:rPr>
          <w:color w:val="auto"/>
          <w:szCs w:val="21"/>
        </w:rPr>
      </w:pPr>
      <w:r>
        <w:rPr>
          <w:color w:val="auto"/>
          <w:szCs w:val="21"/>
        </w:rPr>
        <w:t>（3）拒绝履行合同义务的。</w:t>
      </w:r>
    </w:p>
    <w:p>
      <w:pPr>
        <w:spacing w:line="360" w:lineRule="exact"/>
        <w:ind w:left="2" w:leftChars="1" w:firstLine="420" w:firstLineChars="200"/>
        <w:rPr>
          <w:color w:val="auto"/>
          <w:szCs w:val="21"/>
        </w:rPr>
      </w:pPr>
      <w:r>
        <w:rPr>
          <w:color w:val="auto"/>
          <w:szCs w:val="21"/>
        </w:rPr>
        <w:t>35.4合同备案存档：政府采购合同双方自签订之日起</w:t>
      </w:r>
      <w:r>
        <w:rPr>
          <w:rFonts w:hint="eastAsia"/>
          <w:color w:val="auto"/>
          <w:szCs w:val="21"/>
        </w:rPr>
        <w:t>一</w:t>
      </w:r>
      <w:r>
        <w:rPr>
          <w:color w:val="auto"/>
          <w:szCs w:val="21"/>
        </w:rPr>
        <w:t>个工作日内将合同原件两份交采购代理机构。采购代理机构将政府采购合同在省级以上人民政府财政部门指定媒体上公告并于合同签订之日起</w:t>
      </w:r>
      <w:r>
        <w:rPr>
          <w:rFonts w:hint="eastAsia"/>
          <w:color w:val="auto"/>
          <w:szCs w:val="21"/>
        </w:rPr>
        <w:t>七</w:t>
      </w:r>
      <w:r>
        <w:rPr>
          <w:color w:val="auto"/>
          <w:szCs w:val="21"/>
        </w:rPr>
        <w:t>个工作日内将一份合同原件送</w:t>
      </w:r>
      <w:r>
        <w:rPr>
          <w:rFonts w:hint="eastAsia"/>
          <w:color w:val="auto"/>
          <w:szCs w:val="21"/>
        </w:rPr>
        <w:t>广西壮族自治区财政厅政府采购监督管理处</w:t>
      </w:r>
      <w:r>
        <w:rPr>
          <w:color w:val="auto"/>
          <w:szCs w:val="21"/>
        </w:rPr>
        <w:t>备案，一份由</w:t>
      </w:r>
      <w:r>
        <w:rPr>
          <w:rFonts w:hint="eastAsia"/>
          <w:color w:val="auto"/>
          <w:szCs w:val="21"/>
        </w:rPr>
        <w:t>桂林市政府集中采购中心</w:t>
      </w:r>
      <w:r>
        <w:rPr>
          <w:color w:val="auto"/>
          <w:szCs w:val="21"/>
        </w:rPr>
        <w:t>存档。</w:t>
      </w:r>
    </w:p>
    <w:p>
      <w:pPr>
        <w:spacing w:line="400" w:lineRule="exact"/>
        <w:ind w:left="2" w:leftChars="1" w:firstLine="420" w:firstLineChars="200"/>
        <w:rPr>
          <w:color w:val="auto"/>
          <w:szCs w:val="21"/>
        </w:rPr>
      </w:pPr>
    </w:p>
    <w:p>
      <w:pPr>
        <w:spacing w:line="360" w:lineRule="auto"/>
        <w:jc w:val="center"/>
        <w:outlineLvl w:val="1"/>
        <w:rPr>
          <w:b/>
          <w:color w:val="auto"/>
          <w:sz w:val="28"/>
          <w:szCs w:val="28"/>
        </w:rPr>
      </w:pPr>
      <w:bookmarkStart w:id="143" w:name="_Toc20178"/>
      <w:bookmarkStart w:id="144" w:name="_Toc495841761"/>
      <w:bookmarkStart w:id="145" w:name="_Toc1909"/>
      <w:r>
        <w:rPr>
          <w:b/>
          <w:color w:val="auto"/>
          <w:sz w:val="28"/>
          <w:szCs w:val="28"/>
        </w:rPr>
        <w:t>八、其他事项</w:t>
      </w:r>
      <w:bookmarkEnd w:id="143"/>
      <w:bookmarkEnd w:id="144"/>
      <w:bookmarkEnd w:id="145"/>
    </w:p>
    <w:p>
      <w:pPr>
        <w:spacing w:line="380" w:lineRule="exact"/>
        <w:ind w:firstLine="413" w:firstLineChars="196"/>
        <w:outlineLvl w:val="2"/>
        <w:rPr>
          <w:b/>
          <w:color w:val="auto"/>
          <w:szCs w:val="21"/>
        </w:rPr>
      </w:pPr>
      <w:bookmarkStart w:id="146" w:name="_Toc4309"/>
      <w:bookmarkStart w:id="147" w:name="_Toc12293"/>
      <w:bookmarkStart w:id="148" w:name="_Toc2437"/>
      <w:bookmarkStart w:id="149" w:name="_Toc19503"/>
      <w:bookmarkStart w:id="150" w:name="_Toc5655"/>
      <w:bookmarkStart w:id="151" w:name="_Toc32243"/>
      <w:r>
        <w:rPr>
          <w:b/>
          <w:color w:val="auto"/>
          <w:szCs w:val="21"/>
        </w:rPr>
        <w:t>36. 招标代理服务费</w:t>
      </w:r>
      <w:bookmarkEnd w:id="146"/>
      <w:bookmarkEnd w:id="147"/>
      <w:bookmarkEnd w:id="148"/>
      <w:bookmarkEnd w:id="149"/>
      <w:bookmarkEnd w:id="150"/>
    </w:p>
    <w:p>
      <w:pPr>
        <w:spacing w:line="380" w:lineRule="exact"/>
        <w:ind w:firstLine="420" w:firstLineChars="200"/>
        <w:rPr>
          <w:b/>
          <w:color w:val="auto"/>
          <w:szCs w:val="21"/>
        </w:rPr>
      </w:pPr>
      <w:r>
        <w:rPr>
          <w:rFonts w:hint="eastAsia" w:ascii="宋体" w:hAnsi="宋体" w:cs="宋体"/>
          <w:color w:val="auto"/>
          <w:szCs w:val="21"/>
        </w:rPr>
        <w:t>本项目免收代理服务费。</w:t>
      </w:r>
    </w:p>
    <w:p>
      <w:pPr>
        <w:spacing w:line="400" w:lineRule="exact"/>
        <w:ind w:firstLine="413" w:firstLineChars="196"/>
        <w:outlineLvl w:val="2"/>
        <w:rPr>
          <w:b/>
          <w:color w:val="auto"/>
          <w:szCs w:val="21"/>
        </w:rPr>
      </w:pPr>
      <w:bookmarkStart w:id="152" w:name="_Toc5161"/>
      <w:r>
        <w:rPr>
          <w:b/>
          <w:color w:val="auto"/>
          <w:szCs w:val="21"/>
        </w:rPr>
        <w:t>3</w:t>
      </w:r>
      <w:r>
        <w:rPr>
          <w:rFonts w:hint="eastAsia"/>
          <w:b/>
          <w:color w:val="auto"/>
          <w:szCs w:val="21"/>
        </w:rPr>
        <w:t>7</w:t>
      </w:r>
      <w:r>
        <w:rPr>
          <w:b/>
          <w:color w:val="auto"/>
          <w:szCs w:val="21"/>
        </w:rPr>
        <w:t>. 解释权</w:t>
      </w:r>
      <w:bookmarkEnd w:id="152"/>
    </w:p>
    <w:p>
      <w:pPr>
        <w:snapToGrid w:val="0"/>
        <w:spacing w:line="400" w:lineRule="exact"/>
        <w:ind w:firstLine="420" w:firstLineChars="200"/>
        <w:rPr>
          <w:color w:val="auto"/>
        </w:rPr>
      </w:pPr>
      <w:r>
        <w:rPr>
          <w:color w:val="auto"/>
        </w:rPr>
        <w:t>本招标文件是根据《中华人民共和国政府采购法》、《中华人民共和国政府采购法实施条例》及财政部令第87号《政府采购货物和服务招标投标管理办法》和政府采购管理有关规定编制，本招标文件的解释权属于</w:t>
      </w:r>
      <w:r>
        <w:rPr>
          <w:rFonts w:hint="eastAsia"/>
          <w:color w:val="auto"/>
        </w:rPr>
        <w:t>桂林市政府集中采购中心</w:t>
      </w:r>
      <w:r>
        <w:rPr>
          <w:color w:val="auto"/>
        </w:rPr>
        <w:t>。</w:t>
      </w:r>
      <w:bookmarkEnd w:id="151"/>
    </w:p>
    <w:p>
      <w:pPr>
        <w:spacing w:line="400" w:lineRule="exact"/>
        <w:ind w:firstLine="413" w:firstLineChars="196"/>
        <w:outlineLvl w:val="2"/>
        <w:rPr>
          <w:b/>
          <w:color w:val="auto"/>
          <w:szCs w:val="21"/>
        </w:rPr>
      </w:pPr>
      <w:bookmarkStart w:id="153" w:name="_Toc20535"/>
      <w:bookmarkStart w:id="154" w:name="_Toc11077"/>
      <w:r>
        <w:rPr>
          <w:b/>
          <w:color w:val="auto"/>
          <w:szCs w:val="21"/>
        </w:rPr>
        <w:t>3</w:t>
      </w:r>
      <w:r>
        <w:rPr>
          <w:rFonts w:hint="eastAsia"/>
          <w:b/>
          <w:color w:val="auto"/>
          <w:szCs w:val="21"/>
        </w:rPr>
        <w:t>8</w:t>
      </w:r>
      <w:r>
        <w:rPr>
          <w:b/>
          <w:color w:val="auto"/>
          <w:szCs w:val="21"/>
        </w:rPr>
        <w:t>. 监督管理机构</w:t>
      </w:r>
      <w:bookmarkEnd w:id="153"/>
    </w:p>
    <w:p>
      <w:pPr>
        <w:snapToGrid w:val="0"/>
        <w:spacing w:line="400" w:lineRule="exact"/>
        <w:ind w:firstLine="420" w:firstLineChars="200"/>
        <w:rPr>
          <w:color w:val="auto"/>
          <w:szCs w:val="21"/>
        </w:rPr>
      </w:pPr>
      <w:r>
        <w:rPr>
          <w:rFonts w:hint="eastAsia" w:hAnsi="宋体" w:cs="宋体"/>
          <w:color w:val="auto"/>
          <w:szCs w:val="21"/>
        </w:rPr>
        <w:t>广西壮族自治区财政厅政府采购监督管理处</w:t>
      </w:r>
      <w:r>
        <w:rPr>
          <w:color w:val="auto"/>
          <w:szCs w:val="21"/>
        </w:rPr>
        <w:t>电话：</w:t>
      </w:r>
      <w:r>
        <w:rPr>
          <w:rFonts w:hint="eastAsia" w:hAnsi="宋体" w:cs="宋体"/>
          <w:color w:val="auto"/>
          <w:szCs w:val="21"/>
        </w:rPr>
        <w:t>0771-5331544</w:t>
      </w:r>
    </w:p>
    <w:bookmarkEnd w:id="154"/>
    <w:p>
      <w:pPr>
        <w:jc w:val="center"/>
        <w:outlineLvl w:val="0"/>
        <w:rPr>
          <w:rFonts w:eastAsia="黑体"/>
          <w:color w:val="auto"/>
          <w:sz w:val="32"/>
          <w:szCs w:val="32"/>
        </w:rPr>
      </w:pPr>
      <w:r>
        <w:rPr>
          <w:rFonts w:eastAsia="黑体"/>
          <w:color w:val="auto"/>
          <w:sz w:val="32"/>
          <w:szCs w:val="32"/>
        </w:rPr>
        <w:br w:type="page"/>
      </w:r>
      <w:bookmarkStart w:id="155" w:name="_Toc12929"/>
      <w:bookmarkStart w:id="156" w:name="_Toc9099"/>
      <w:r>
        <w:rPr>
          <w:rFonts w:eastAsia="黑体"/>
          <w:color w:val="auto"/>
          <w:sz w:val="32"/>
          <w:szCs w:val="32"/>
        </w:rPr>
        <w:t>第三章货物采购需求</w:t>
      </w:r>
      <w:bookmarkEnd w:id="155"/>
      <w:bookmarkEnd w:id="156"/>
    </w:p>
    <w:p>
      <w:pPr>
        <w:adjustRightInd w:val="0"/>
        <w:spacing w:line="400" w:lineRule="exact"/>
        <w:rPr>
          <w:b/>
          <w:color w:val="auto"/>
        </w:rPr>
      </w:pPr>
      <w:r>
        <w:rPr>
          <w:b/>
          <w:color w:val="auto"/>
        </w:rPr>
        <w:t>说明：</w:t>
      </w:r>
    </w:p>
    <w:p>
      <w:pPr>
        <w:adjustRightInd w:val="0"/>
        <w:spacing w:line="400" w:lineRule="exact"/>
        <w:ind w:firstLine="431"/>
        <w:rPr>
          <w:b/>
          <w:color w:val="auto"/>
        </w:rPr>
      </w:pPr>
      <w:r>
        <w:rPr>
          <w:b/>
          <w:color w:val="auto"/>
        </w:rPr>
        <w:t>1、根据《关于调整优化节能产品、环境标志产品政府采购执行机制的通知》（财库〔2019〕9号）的规定，政府采购节能产品、环境标志产品实施品目清单管理，依据品目清单和认证证书实施政府优先采购。采购人拟采购的产品属于品目清单范围的，采购人及其委托的采购代理机构应当依据国家确定的认证机构出具的、处于有效期之内的节能产品、环境标志产品认证证书，对获得证书的产品实施政府优先采购。投标人投标时须提供投标产品的相关证明材料。</w:t>
      </w:r>
    </w:p>
    <w:p>
      <w:pPr>
        <w:adjustRightInd w:val="0"/>
        <w:spacing w:line="400" w:lineRule="exact"/>
        <w:ind w:firstLine="431"/>
        <w:rPr>
          <w:rFonts w:cs="宋体"/>
          <w:b/>
          <w:color w:val="auto"/>
        </w:rPr>
      </w:pPr>
      <w:r>
        <w:rPr>
          <w:rFonts w:hint="eastAsia" w:cs="宋体"/>
          <w:b/>
          <w:color w:val="auto"/>
        </w:rPr>
        <w:t>《节能产品政府采购品目清单》中：</w:t>
      </w:r>
    </w:p>
    <w:p>
      <w:pPr>
        <w:numPr>
          <w:ilvl w:val="0"/>
          <w:numId w:val="7"/>
        </w:numPr>
        <w:adjustRightInd w:val="0"/>
        <w:spacing w:line="400" w:lineRule="exact"/>
        <w:ind w:left="845"/>
        <w:rPr>
          <w:rFonts w:cs="宋体"/>
          <w:b/>
          <w:color w:val="auto"/>
        </w:rPr>
      </w:pPr>
      <w:r>
        <w:rPr>
          <w:rFonts w:hint="eastAsia" w:cs="宋体"/>
          <w:b/>
          <w:color w:val="auto"/>
        </w:rPr>
        <w:t>计算机设备（台式计算机、便携式计算机、平板式微型计算机）；</w:t>
      </w:r>
    </w:p>
    <w:p>
      <w:pPr>
        <w:numPr>
          <w:ilvl w:val="0"/>
          <w:numId w:val="7"/>
        </w:numPr>
        <w:adjustRightInd w:val="0"/>
        <w:spacing w:line="400" w:lineRule="exact"/>
        <w:ind w:left="845"/>
        <w:rPr>
          <w:rFonts w:cs="宋体"/>
          <w:b/>
          <w:color w:val="auto"/>
        </w:rPr>
      </w:pPr>
      <w:r>
        <w:rPr>
          <w:rFonts w:hint="eastAsia" w:cs="宋体"/>
          <w:b/>
          <w:color w:val="auto"/>
        </w:rPr>
        <w:t>输入输出设备【打印设备（喷墨打印机、激光打印机、针式打印机）、显示设备（液晶显示器）】；</w:t>
      </w:r>
    </w:p>
    <w:p>
      <w:pPr>
        <w:numPr>
          <w:ilvl w:val="0"/>
          <w:numId w:val="7"/>
        </w:numPr>
        <w:adjustRightInd w:val="0"/>
        <w:spacing w:line="400" w:lineRule="exact"/>
        <w:ind w:left="845"/>
        <w:rPr>
          <w:rFonts w:cs="宋体"/>
          <w:b/>
          <w:color w:val="auto"/>
        </w:rPr>
      </w:pPr>
      <w:r>
        <w:rPr>
          <w:rFonts w:hint="eastAsia" w:cs="宋体"/>
          <w:b/>
          <w:color w:val="auto"/>
        </w:rPr>
        <w:t>制冷空调设备【制冷压缩机（冷水机组、水源热泵机组、溴化锂吸收式冷水机组）、空调机组（多联式空调（热泵）机组（制冷量＞14000W）、单元式空气调节机（制冷量＞14000W））、专用制冷、空调设备（机房空调）】；</w:t>
      </w:r>
    </w:p>
    <w:p>
      <w:pPr>
        <w:numPr>
          <w:ilvl w:val="0"/>
          <w:numId w:val="7"/>
        </w:numPr>
        <w:adjustRightInd w:val="0"/>
        <w:spacing w:line="400" w:lineRule="exact"/>
        <w:ind w:left="845"/>
        <w:rPr>
          <w:rFonts w:cs="宋体"/>
          <w:b/>
          <w:color w:val="auto"/>
        </w:rPr>
      </w:pPr>
      <w:r>
        <w:rPr>
          <w:rFonts w:hint="eastAsia" w:cs="宋体"/>
          <w:b/>
          <w:color w:val="auto"/>
        </w:rPr>
        <w:t>镇流器（管型荧光灯镇流器）；</w:t>
      </w:r>
    </w:p>
    <w:p>
      <w:pPr>
        <w:numPr>
          <w:ilvl w:val="0"/>
          <w:numId w:val="7"/>
        </w:numPr>
        <w:adjustRightInd w:val="0"/>
        <w:spacing w:line="400" w:lineRule="exact"/>
        <w:ind w:left="845"/>
        <w:rPr>
          <w:rFonts w:cs="宋体"/>
          <w:b/>
          <w:color w:val="auto"/>
        </w:rPr>
      </w:pPr>
      <w:r>
        <w:rPr>
          <w:rFonts w:hint="eastAsia" w:cs="宋体"/>
          <w:b/>
          <w:color w:val="auto"/>
        </w:rPr>
        <w:t>生活用电器｛空调机【房间空气调节器、多联式空调（热泵）机组（制冷量</w:t>
      </w:r>
      <w:r>
        <w:rPr>
          <w:rFonts w:ascii="Arial" w:hAnsi="Arial" w:cs="Arial"/>
          <w:b/>
          <w:color w:val="auto"/>
        </w:rPr>
        <w:t>≤</w:t>
      </w:r>
      <w:r>
        <w:rPr>
          <w:rFonts w:hint="eastAsia" w:cs="宋体"/>
          <w:b/>
          <w:color w:val="auto"/>
        </w:rPr>
        <w:t>14000W）、单元式空气调节机（制冷量</w:t>
      </w:r>
      <w:r>
        <w:rPr>
          <w:rFonts w:ascii="Arial" w:hAnsi="Arial" w:cs="Arial"/>
          <w:b/>
          <w:color w:val="auto"/>
        </w:rPr>
        <w:t>≤</w:t>
      </w:r>
      <w:r>
        <w:rPr>
          <w:rFonts w:hint="eastAsia" w:cs="宋体"/>
          <w:b/>
          <w:color w:val="auto"/>
        </w:rPr>
        <w:t>14000W）】、热水器（电热水器）｝；</w:t>
      </w:r>
    </w:p>
    <w:p>
      <w:pPr>
        <w:numPr>
          <w:ilvl w:val="0"/>
          <w:numId w:val="7"/>
        </w:numPr>
        <w:adjustRightInd w:val="0"/>
        <w:spacing w:line="400" w:lineRule="exact"/>
        <w:ind w:left="845"/>
        <w:rPr>
          <w:rFonts w:cs="宋体"/>
          <w:b/>
          <w:color w:val="auto"/>
        </w:rPr>
      </w:pPr>
      <w:r>
        <w:rPr>
          <w:rFonts w:hint="eastAsia" w:cs="宋体"/>
          <w:b/>
          <w:color w:val="auto"/>
        </w:rPr>
        <w:t>照明设备（普通照明用双端荧光灯）；</w:t>
      </w:r>
    </w:p>
    <w:p>
      <w:pPr>
        <w:numPr>
          <w:ilvl w:val="0"/>
          <w:numId w:val="7"/>
        </w:numPr>
        <w:adjustRightInd w:val="0"/>
        <w:spacing w:line="400" w:lineRule="exact"/>
        <w:ind w:left="845"/>
        <w:rPr>
          <w:rFonts w:cs="宋体"/>
          <w:b/>
          <w:color w:val="auto"/>
        </w:rPr>
      </w:pPr>
      <w:r>
        <w:rPr>
          <w:rFonts w:hint="eastAsia" w:cs="宋体"/>
          <w:b/>
          <w:color w:val="auto"/>
        </w:rPr>
        <w:t>电视设备【普通电视设备（电视机）】；</w:t>
      </w:r>
    </w:p>
    <w:p>
      <w:pPr>
        <w:numPr>
          <w:ilvl w:val="0"/>
          <w:numId w:val="7"/>
        </w:numPr>
        <w:adjustRightInd w:val="0"/>
        <w:spacing w:line="400" w:lineRule="exact"/>
        <w:ind w:left="845"/>
        <w:rPr>
          <w:rFonts w:cs="宋体"/>
          <w:b/>
          <w:color w:val="auto"/>
        </w:rPr>
      </w:pPr>
      <w:r>
        <w:rPr>
          <w:rFonts w:hint="eastAsia" w:cs="宋体"/>
          <w:b/>
          <w:color w:val="auto"/>
        </w:rPr>
        <w:t>视频设备【视频监控设备（监视器）】；</w:t>
      </w:r>
    </w:p>
    <w:p>
      <w:pPr>
        <w:numPr>
          <w:ilvl w:val="0"/>
          <w:numId w:val="7"/>
        </w:numPr>
        <w:adjustRightInd w:val="0"/>
        <w:spacing w:line="400" w:lineRule="exact"/>
        <w:ind w:left="845"/>
        <w:rPr>
          <w:rFonts w:cs="宋体"/>
          <w:b/>
          <w:color w:val="auto"/>
        </w:rPr>
      </w:pPr>
      <w:r>
        <w:rPr>
          <w:rFonts w:hint="eastAsia" w:cs="宋体"/>
          <w:b/>
          <w:color w:val="auto"/>
        </w:rPr>
        <w:t>便器（坐便器、蹲便器、小便器）；</w:t>
      </w:r>
    </w:p>
    <w:p>
      <w:pPr>
        <w:numPr>
          <w:ilvl w:val="0"/>
          <w:numId w:val="7"/>
        </w:numPr>
        <w:adjustRightInd w:val="0"/>
        <w:spacing w:line="400" w:lineRule="exact"/>
        <w:ind w:left="845"/>
        <w:rPr>
          <w:rFonts w:cs="宋体"/>
          <w:b/>
          <w:color w:val="auto"/>
        </w:rPr>
      </w:pPr>
      <w:r>
        <w:rPr>
          <w:rFonts w:hint="eastAsia" w:cs="宋体"/>
          <w:b/>
          <w:color w:val="auto"/>
        </w:rPr>
        <w:t>水嘴。</w:t>
      </w:r>
    </w:p>
    <w:p>
      <w:pPr>
        <w:adjustRightInd w:val="0"/>
        <w:spacing w:line="400" w:lineRule="exact"/>
        <w:ind w:firstLine="431"/>
        <w:rPr>
          <w:color w:val="auto"/>
        </w:rPr>
      </w:pPr>
      <w:r>
        <w:rPr>
          <w:rFonts w:hint="eastAsia" w:cs="宋体"/>
          <w:b/>
          <w:color w:val="auto"/>
        </w:rPr>
        <w:t>以上所罗列的设备为《节能产品政府采购品目清单》中政府强制采购节能产品，采购人拟采购的产品属于政府强制采购产品的，投标人投标时必须针对该产品出具依据国家确定的认证机构出具的、处于有效期之内的节能产品认证证书复印件，并加盖投标人公章，否则投标无效。</w:t>
      </w:r>
    </w:p>
    <w:p>
      <w:pPr>
        <w:adjustRightInd w:val="0"/>
        <w:spacing w:line="400" w:lineRule="exact"/>
        <w:ind w:firstLine="431"/>
        <w:rPr>
          <w:b/>
          <w:color w:val="auto"/>
        </w:rPr>
      </w:pPr>
      <w:r>
        <w:rPr>
          <w:b/>
          <w:color w:val="auto"/>
        </w:rPr>
        <w:t>2、投标人应对投标内容所涉及的专利承担法律责任，并负责保护业主的利益不受任何损害。一切由于文字、商标、技术和软件专利授权引起的法律裁决、诉讼和赔偿费用均由中标人负责。同时，具有产品专利的投标人应在其投标文件中提供与其自有产品专利相关的有效证明材料，否则，不能就其产品的专利在本项目投标过程中被侵权问题而提出异议。</w:t>
      </w:r>
    </w:p>
    <w:p>
      <w:pPr>
        <w:adjustRightInd w:val="0"/>
        <w:spacing w:line="400" w:lineRule="exact"/>
        <w:ind w:firstLine="431"/>
        <w:rPr>
          <w:b/>
          <w:color w:val="auto"/>
        </w:rPr>
      </w:pPr>
      <w:r>
        <w:rPr>
          <w:b/>
          <w:color w:val="auto"/>
        </w:rPr>
        <w:t>3、根据《关于信息安全产品实施政府采购的通知》（财库[2010]48号）的规定，如采购需求中有涉及信息安全产品的设备，必须提供由中国信息安全认证中心按国家标准认证颁发的有效认证证书复印件。</w:t>
      </w:r>
    </w:p>
    <w:p>
      <w:pPr>
        <w:adjustRightInd w:val="0"/>
        <w:spacing w:line="400" w:lineRule="exact"/>
        <w:ind w:firstLine="431"/>
        <w:rPr>
          <w:b/>
          <w:color w:val="auto"/>
        </w:rPr>
      </w:pPr>
      <w:r>
        <w:rPr>
          <w:b/>
          <w:color w:val="auto"/>
        </w:rPr>
        <w:t>4、投标人应注意下列内容：</w:t>
      </w:r>
    </w:p>
    <w:p>
      <w:pPr>
        <w:adjustRightInd w:val="0"/>
        <w:spacing w:line="400" w:lineRule="exact"/>
        <w:ind w:firstLine="431"/>
        <w:rPr>
          <w:rFonts w:hint="eastAsia" w:eastAsia="宋体"/>
          <w:b/>
          <w:color w:val="auto"/>
          <w:lang w:eastAsia="zh-CN"/>
        </w:rPr>
      </w:pPr>
      <w:r>
        <w:rPr>
          <w:b/>
          <w:color w:val="auto"/>
        </w:rPr>
        <w:t>1）本需求一览表中标注★号的内容为实质性要求和条件，投标人须满足或响应，若无法完全满足，将会被认定为无效投标</w:t>
      </w:r>
      <w:r>
        <w:rPr>
          <w:rFonts w:hint="eastAsia"/>
          <w:b/>
          <w:color w:val="auto"/>
          <w:lang w:eastAsia="zh-CN"/>
        </w:rPr>
        <w:t>；</w:t>
      </w:r>
    </w:p>
    <w:p>
      <w:pPr>
        <w:adjustRightInd w:val="0"/>
        <w:spacing w:line="400" w:lineRule="exact"/>
        <w:ind w:firstLine="431"/>
        <w:rPr>
          <w:b/>
          <w:color w:val="auto"/>
        </w:rPr>
      </w:pPr>
      <w:r>
        <w:rPr>
          <w:b/>
          <w:color w:val="auto"/>
        </w:rPr>
        <w:t>2）投标人须在投标文件中填写/应答技术规格参数，当投标文件中技术参数与招标文件中技术参数有偏离时，须在“偏离”栏内如实注明是“正偏离”或“负偏离”，“正偏离”指投标设备的技术参数优于招标文件中要求，“负偏离”指投标设备的技术参数低于招标文件中要求。投标文件中的技术参数、功能或其它内容有“正偏离”的，投标人须对“正偏离”的情况单独作出说明。</w:t>
      </w:r>
    </w:p>
    <w:tbl>
      <w:tblPr>
        <w:tblStyle w:val="30"/>
        <w:tblpPr w:leftFromText="180" w:rightFromText="180" w:vertAnchor="text" w:horzAnchor="page" w:tblpX="1307" w:tblpY="562"/>
        <w:tblOverlap w:val="never"/>
        <w:tblW w:w="988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3"/>
        <w:gridCol w:w="916"/>
        <w:gridCol w:w="625"/>
        <w:gridCol w:w="1625"/>
        <w:gridCol w:w="6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68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项号</w:t>
            </w:r>
          </w:p>
        </w:tc>
        <w:tc>
          <w:tcPr>
            <w:tcW w:w="91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货物名称</w:t>
            </w:r>
          </w:p>
        </w:tc>
        <w:tc>
          <w:tcPr>
            <w:tcW w:w="6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w:t>
            </w:r>
          </w:p>
        </w:tc>
        <w:tc>
          <w:tcPr>
            <w:tcW w:w="16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规格型号</w:t>
            </w:r>
          </w:p>
        </w:tc>
        <w:tc>
          <w:tcPr>
            <w:tcW w:w="603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主要技术参数及性能（配置）要求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68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textAlignment w:val="center"/>
              <w:rPr>
                <w:rFonts w:ascii="宋体" w:hAnsi="宋体" w:cs="宋体"/>
                <w:b/>
                <w:bCs/>
                <w:color w:val="auto"/>
                <w:szCs w:val="21"/>
                <w:highlight w:val="none"/>
              </w:rPr>
            </w:pPr>
            <w:r>
              <w:rPr>
                <w:rFonts w:hint="eastAsia" w:ascii="宋体" w:hAnsi="宋体" w:cs="宋体"/>
                <w:color w:val="auto"/>
                <w:szCs w:val="21"/>
                <w:highlight w:val="none"/>
              </w:rPr>
              <w:t>1</w:t>
            </w:r>
          </w:p>
        </w:tc>
        <w:tc>
          <w:tcPr>
            <w:tcW w:w="916"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hAnsi="宋体" w:cs="宋体"/>
                <w:b/>
                <w:bCs/>
                <w:color w:val="auto"/>
                <w:szCs w:val="21"/>
                <w:highlight w:val="none"/>
              </w:rPr>
            </w:pPr>
            <w:r>
              <w:rPr>
                <w:rFonts w:hint="eastAsia" w:ascii="宋体" w:hAnsi="宋体" w:cs="宋体"/>
                <w:color w:val="auto"/>
                <w:szCs w:val="21"/>
                <w:highlight w:val="none"/>
                <w:shd w:val="clear" w:color="auto" w:fill="FFFFFF"/>
              </w:rPr>
              <w:t>三连体组合公寓床A型</w:t>
            </w:r>
          </w:p>
        </w:tc>
        <w:tc>
          <w:tcPr>
            <w:tcW w:w="625"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746套</w:t>
            </w:r>
          </w:p>
        </w:tc>
        <w:tc>
          <w:tcPr>
            <w:tcW w:w="1625"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 xml:space="preserve">长6200mm×宽900mm×高2000mm </w:t>
            </w:r>
          </w:p>
          <w:p>
            <w:pPr>
              <w:widowControl/>
              <w:spacing w:line="420" w:lineRule="exact"/>
              <w:jc w:val="center"/>
              <w:rPr>
                <w:rFonts w:ascii="宋体" w:hAnsi="宋体" w:cs="宋体"/>
                <w:color w:val="auto"/>
                <w:szCs w:val="21"/>
                <w:highlight w:val="none"/>
              </w:rPr>
            </w:pPr>
            <w:r>
              <w:rPr>
                <w:rFonts w:hint="eastAsia" w:ascii="宋体" w:hAnsi="宋体" w:cs="宋体"/>
                <w:color w:val="auto"/>
                <w:szCs w:val="21"/>
                <w:highlight w:val="none"/>
                <w:shd w:val="clear" w:color="auto" w:fill="FFFFFF"/>
              </w:rPr>
              <w:t>(到床头框上沿)</w:t>
            </w:r>
          </w:p>
        </w:tc>
        <w:tc>
          <w:tcPr>
            <w:tcW w:w="6037"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每套三联体组合公寓床含三联体组合床一件、铁皮公寓柜三个、靠背椅三张（即三个床位的配套家具）。</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一、三联体组合公寓床外观尺寸及铁床技术要求：</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（一）三连体铁床规格长6200mm×宽900mm×高2000mm（±5mm）(到床头框上沿)； 带蚊帐杆规格：长 6200mm×宽900mm×高2800mm （±5mm）。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（二）铁床工艺技术、试验方法、检验程序、检验规则应符合 GB/T 3325-2017«金属家具通用技术条件»的标准。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（三）材料及材质等相关要求：</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★1.钢制部分：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材料：钢材采用国家标准钢材，高频焊接冷轧钢材，各钢件经除锈、酸洗、磷化等工序，除油脱脂磷化处理静电喷粉，高温固化，颜色为灰白色，焊接表面光滑无毛刺，焊接处无夹渣、气孔、焊瘤、焊丝头咬边飞溅，并保证无脱焊、虚焊及焊穿等现象,5 年内不脱落、生锈。</w:t>
            </w:r>
          </w:p>
          <w:p>
            <w:pPr>
              <w:pStyle w:val="3"/>
              <w:keepNext w:val="0"/>
              <w:keepLines w:val="0"/>
              <w:widowControl/>
              <w:spacing w:before="0" w:after="0" w:line="240" w:lineRule="auto"/>
              <w:ind w:firstLine="420"/>
              <w:jc w:val="left"/>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耐腐蚀要求：在试板任意一面的对角线上，用锐利的刀具划出深至钢板的划痕，然后浸入温度为</w:t>
            </w:r>
            <w:r>
              <w:rPr>
                <w:rFonts w:ascii="宋体" w:hAnsi="宋体" w:cs="宋体"/>
                <w:b w:val="0"/>
                <w:bCs w:val="0"/>
                <w:color w:val="auto"/>
                <w:sz w:val="21"/>
                <w:szCs w:val="21"/>
                <w:highlight w:val="none"/>
              </w:rPr>
              <w:t>15℃～25℃，浓度为3%的氯化钠溶液中进行耐腐蚀试验后，划道两侧3mm外，无锈迹、剥落、起皱、变色和失光等现象。</w:t>
            </w:r>
          </w:p>
          <w:p>
            <w:pPr>
              <w:spacing w:line="400" w:lineRule="exact"/>
              <w:jc w:val="left"/>
              <w:rPr>
                <w:rFonts w:ascii="宋体" w:hAnsi="宋体" w:cs="宋体"/>
                <w:color w:val="auto"/>
                <w:szCs w:val="21"/>
                <w:highlight w:val="none"/>
              </w:rPr>
            </w:pPr>
            <w:r>
              <w:rPr>
                <w:rFonts w:hint="eastAsia" w:asciiTheme="majorEastAsia" w:hAnsiTheme="majorEastAsia" w:eastAsiaTheme="majorEastAsia" w:cstheme="majorEastAsia"/>
                <w:color w:val="auto"/>
                <w:kern w:val="44"/>
                <w:szCs w:val="21"/>
                <w:highlight w:val="none"/>
              </w:rPr>
              <w:t xml:space="preserve">    </w:t>
            </w:r>
            <w:r>
              <w:rPr>
                <w:rFonts w:hint="eastAsia" w:ascii="宋体" w:hAnsi="宋体" w:cs="宋体"/>
                <w:color w:val="auto"/>
                <w:szCs w:val="21"/>
                <w:highlight w:val="none"/>
              </w:rPr>
              <w:t>抗拉强度或下屈服强度及断后伸长率标准应符合GB/T 228.1-2010«金属材料拉伸试验 第1部分：室温试验方法»。</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塑粉应符合HG/T 2006-2006《热固性粉末涂料》的标准；要求：可溶性铅：≤90mg/kg，可溶性镉：≤75mg/kg，可溶性铬≤60mg/kg，可溶性汞≤60mg/k。</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★2.铁床床立柱（边立柱）：</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（1）立柱管≥宽85mm×厚85mm×管壁厚1.2mm 高频焊接封口型管材，需加有 2 条加强筋，采用封闭式型材使立柱抗扭距性增强，要求能使床下柜牢牢卡在立柱之间，使结构更加稳固；卡式连接件与立柱齐平；</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（2）铁床床立柱（冷轧钢板）材质要求：管壁公称厚度≥1.2mm 。</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★3.铁床床长横梁（前长横梁）：</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（1）≥宽100mm×厚40mm×管壁厚1.5㎜，高频焊接封口型材管，立面不少于 2 条加强筋。</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（2）铁床床长横梁（冷轧钢板）材质要求：管壁公称厚度 ≥ 1.5mm。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★4.铁床床长横梁（后长横梁）及短横梁：</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（1）≥宽95mm×厚40mm</w:t>
            </w:r>
            <w:r>
              <w:rPr>
                <w:rFonts w:ascii="Arial" w:hAnsi="Arial" w:cs="Arial"/>
                <w:color w:val="auto"/>
                <w:szCs w:val="21"/>
                <w:highlight w:val="none"/>
              </w:rPr>
              <w:t>×</w:t>
            </w:r>
            <w:r>
              <w:rPr>
                <w:rFonts w:hint="eastAsia" w:ascii="宋体" w:hAnsi="宋体" w:cs="宋体"/>
                <w:color w:val="auto"/>
                <w:szCs w:val="21"/>
                <w:highlight w:val="none"/>
              </w:rPr>
              <w:t>管壁厚 1.2mm，高频焊接封口型材管。</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（2）铁床床长横梁及短横梁（冷轧钢板）材质要求：管壁公称厚度≥ 1.2 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★5.铁床床挂件（卡式连接件）：</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（1）卡板采用的是≥宽30mm×厚30mm×高220mm×卡板厚2.0mm 的型材，卡槽式嵌入，越受力越紧固。</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（2）铁床床挂件（冷轧钢板）材质要求：钢板公称厚度 ≥2.0mm。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★6.铁床床立柱（中立柱）：</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（1）≥宽80mm×厚40mm×管壁厚1.5mm为高频焊接封口型材管，中立柱顶底部为塑料内塞，塑料件采用 ABS 工程塑料体注塑成型，起防滑及密封作用（不允许采用 3D 打印塑料），完全不含重金属，与立柱连接处光滑、平顺、手感好、无毛刺。</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（2）铁床中立柱材质要求：管壁公称厚度 ≥1.5mm 。</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★7.铁床床护栏（床前护栏）：</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（1）采用≥Φ33mm×管壁厚1.0mm型材；竖管采用≥Φ19mm×管壁厚1.0mm圆管。</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（2）铁床床护栏材质要求：管壁公称厚度≥ 1.0 mm。（管壁厚是要1mm还是1.2mm应统一）</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★8.铁床床头、床尾护栏：</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（1）横管采用≥宽25mm×厚25mm×管壁厚1.0mm方管，竖管采用≥Φ19mm×管壁厚1.0mm圆管。</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（2）铁床床头、床尾护栏横管、竖管材质要求：管壁公称厚度≥ 1.0mm 。</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★9.铁床床桓：</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（1）采用≥宽40mm×厚20mm×管壁厚1.0mm  型材，5 根（均匀分布）。</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（2）铁床床桓（冷轧钢板）材质要求：管壁公称厚度≥ 1.0mm 。</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★10.铁床蚊帐杆：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（1）高度为 900mm，Φ14mm×管壁厚1.0 ㎜圆管。</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（2）铁床蚊帐杆（冷轧钢板）材质要求：厚度：管壁公称厚度≥1.0mm。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★11.铁床床爬梯主管：</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（1）爬梯主架管采用≥宽65mm×厚32mm×管壁厚1.2mm ，优质冷轧钢带经模压并采用高频焊接一次成形为中空封闭管，管材外圆内方，且外侧面带有一次成型模压花纹，利于学生上下起到抓手防滑作用。爬梯主框架管经数控弯曲一次成型（弯曲部位不得有切口，不得焊接成型。爬梯脚套为优质注塑塑料外套。</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（2）铁床床爬梯主管（冷轧钢板）材质要求：管壁公称厚度 ≥1.2mm。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★12.铁床床爬梯踏板：</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（1）整体踩板尺寸≥415mm×120mm×钢板厚1.5mm 采用优质冷轧钢板冲压成型；踩板前后折边，折边不得焊接，折边高度为20mm（±2mm），上面加装有 ABS 工程塑料所制的果绿色内嵌式带夜光防滑塑料板，内嵌式夜光防滑塑料板具备6个与踏板固定卡扣栓，防滑塑料板尺寸长365mm*宽59mm（偏差±2mm），板厚度3mm。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（2）铁床床爬梯踏板（冷轧钢板）材质要求：钢板公称厚度 ≥1.5mm。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★13. 铁床中床头护栏：</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（1）横管采用≥宽25mm×厚25mm×管壁厚1.0mm方管，竖管采用≥Φ19mm×管壁厚1.0mm圆管。</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（2）铁床中床头护栏（冷轧钢板）材质要求：管壁公称厚度 ≥1.0mm。</w:t>
            </w:r>
          </w:p>
          <w:p>
            <w:pPr>
              <w:pStyle w:val="71"/>
              <w:spacing w:before="61" w:line="300" w:lineRule="exact"/>
              <w:ind w:right="155" w:rightChars="74"/>
              <w:rPr>
                <w:color w:val="auto"/>
                <w:szCs w:val="21"/>
                <w:highlight w:val="none"/>
              </w:rPr>
            </w:pPr>
            <w:r>
              <w:rPr>
                <w:rFonts w:hint="eastAsia" w:ascii="宋体" w:hAnsi="宋体" w:cs="宋体"/>
                <w:color w:val="auto"/>
                <w:szCs w:val="21"/>
                <w:highlight w:val="none"/>
              </w:rPr>
              <w:t>14.杉木（床）板：（1）</w:t>
            </w:r>
            <w:r>
              <w:rPr>
                <w:rFonts w:hint="eastAsia"/>
                <w:color w:val="auto"/>
                <w:szCs w:val="21"/>
                <w:highlight w:val="none"/>
              </w:rPr>
              <w:t>床板树种：杉木，</w:t>
            </w:r>
            <w:r>
              <w:rPr>
                <w:color w:val="auto"/>
                <w:szCs w:val="21"/>
                <w:highlight w:val="none"/>
              </w:rPr>
              <w:t xml:space="preserve">床板规格：厚15mm </w:t>
            </w:r>
            <w:r>
              <w:rPr>
                <w:rFonts w:hint="eastAsia"/>
                <w:color w:val="auto"/>
                <w:szCs w:val="21"/>
                <w:highlight w:val="none"/>
              </w:rPr>
              <w:t>、长、宽按设计制作以</w:t>
            </w:r>
            <w:r>
              <w:rPr>
                <w:rFonts w:hint="eastAsia"/>
                <w:color w:val="auto"/>
                <w:spacing w:val="-10"/>
                <w:szCs w:val="21"/>
                <w:highlight w:val="none"/>
                <w:u w:val="single"/>
              </w:rPr>
              <w:t>≤</w:t>
            </w:r>
            <w:r>
              <w:rPr>
                <w:color w:val="auto"/>
                <w:spacing w:val="-10"/>
                <w:szCs w:val="21"/>
                <w:highlight w:val="none"/>
                <w:u w:val="single"/>
              </w:rPr>
              <w:t xml:space="preserve"> 7 </w:t>
            </w:r>
            <w:r>
              <w:rPr>
                <w:rFonts w:hint="eastAsia"/>
                <w:color w:val="auto"/>
                <w:spacing w:val="-10"/>
                <w:szCs w:val="21"/>
                <w:highlight w:val="none"/>
                <w:u w:val="single"/>
              </w:rPr>
              <w:t>块</w:t>
            </w:r>
            <w:r>
              <w:rPr>
                <w:color w:val="auto"/>
                <w:spacing w:val="-10"/>
                <w:szCs w:val="21"/>
                <w:highlight w:val="none"/>
              </w:rPr>
              <w:t>木板拼接成</w:t>
            </w:r>
            <w:r>
              <w:rPr>
                <w:rFonts w:hint="eastAsia"/>
                <w:color w:val="auto"/>
                <w:spacing w:val="-10"/>
                <w:szCs w:val="21"/>
                <w:highlight w:val="none"/>
              </w:rPr>
              <w:t>一幅床板，</w:t>
            </w:r>
            <w:r>
              <w:rPr>
                <w:rFonts w:hint="eastAsia"/>
                <w:color w:val="auto"/>
                <w:szCs w:val="21"/>
                <w:highlight w:val="none"/>
              </w:rPr>
              <w:t>床板</w:t>
            </w:r>
            <w:r>
              <w:rPr>
                <w:rFonts w:hint="eastAsia"/>
                <w:color w:val="auto"/>
                <w:szCs w:val="21"/>
                <w:highlight w:val="none"/>
                <w:u w:val="single"/>
              </w:rPr>
              <w:t>双</w:t>
            </w:r>
            <w:r>
              <w:rPr>
                <w:color w:val="auto"/>
                <w:szCs w:val="21"/>
                <w:highlight w:val="none"/>
                <w:u w:val="single"/>
              </w:rPr>
              <w:t>面</w:t>
            </w:r>
            <w:r>
              <w:rPr>
                <w:color w:val="auto"/>
                <w:szCs w:val="21"/>
                <w:highlight w:val="none"/>
              </w:rPr>
              <w:t>刨光。</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（2）杉木床板要求：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①.外观要求：外观应无腐朽，床板表面应无贯通裂纹，死节不许有，活节宽度不应超过10mm,单块板≤1个，不允许有漏节和脱落节子，钝棱（豁边）长度不允许超过单块床板长度的20%、宽度不允许超过2mm；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②.含水率：10%~(产品所在地区年平均木材平衡含水率+1%)。</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15.塑粉应符合 HG/T 2006-2006《热固性粉末涂料》的标准；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要求：可溶性铅：≤90mg/kg，可溶性镉：≤75mg/kg，可溶性铬≤60mg/kg，可溶性汞≤60mg/kg。</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四</w:t>
            </w:r>
            <w:r>
              <w:rPr>
                <w:rFonts w:hint="eastAsia" w:ascii="宋体" w:hAnsi="宋体" w:cs="宋体"/>
                <w:color w:val="auto"/>
                <w:szCs w:val="21"/>
                <w:highlight w:val="none"/>
              </w:rPr>
              <w:t>）铁床结构应拆装方便，组合牢固，长期使用不会出现松动，无安全隐患。床爬梯与床架用碳钢螺杆和螺帽紧固连接。</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五</w:t>
            </w:r>
            <w:r>
              <w:rPr>
                <w:rFonts w:hint="eastAsia" w:ascii="宋体" w:hAnsi="宋体" w:cs="宋体"/>
                <w:color w:val="auto"/>
                <w:szCs w:val="21"/>
                <w:highlight w:val="none"/>
              </w:rPr>
              <w:t>）安装要求：铁床为三连体安装形式。</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二、三联体组合公寓床中钢制柜（公寓柜）技术要求：</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（一）规格尺寸：整体尺寸高1</w:t>
            </w:r>
            <w:r>
              <w:rPr>
                <w:rFonts w:ascii="宋体" w:hAnsi="宋体" w:cs="宋体"/>
                <w:color w:val="auto"/>
                <w:szCs w:val="21"/>
                <w:highlight w:val="none"/>
              </w:rPr>
              <w:t>695</w:t>
            </w:r>
            <w:r>
              <w:rPr>
                <w:rFonts w:hint="eastAsia" w:ascii="宋体" w:hAnsi="宋体" w:cs="宋体"/>
                <w:color w:val="auto"/>
                <w:szCs w:val="21"/>
                <w:highlight w:val="none"/>
              </w:rPr>
              <w:t>mm×深600mm×宽</w:t>
            </w:r>
            <w:r>
              <w:rPr>
                <w:rFonts w:ascii="宋体" w:hAnsi="宋体" w:cs="宋体"/>
                <w:color w:val="auto"/>
                <w:szCs w:val="21"/>
                <w:highlight w:val="none"/>
              </w:rPr>
              <w:t>1950</w:t>
            </w:r>
            <w:r>
              <w:rPr>
                <w:rFonts w:hint="eastAsia" w:ascii="宋体" w:hAnsi="宋体" w:cs="宋体"/>
                <w:color w:val="auto"/>
                <w:szCs w:val="21"/>
                <w:highlight w:val="none"/>
              </w:rPr>
              <w:t>mm（±5mm）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（二）钢制柜应符合 GB/T 3325-2017«金属家具通用技术条件»的标准。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（三）钢制部分尺寸及其它要求：</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★1.钢制柜（公寓衣柜）规格：高1695mm×宽600mm×深600 mm（±5mm），柜体内分上下两层，内配一根不锈钢管Ф19mm×管壁厚1.0mm 挂衣杆。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★2.钢制柜（公寓书柜）规格：高1695mm×宽300mm×深600 mm（±5mm），通透式柜体、分为上下 2 部分，上部为 2 层隔板共分 3 层，下部一层隔板共分 2 层。</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★3.书架规格：高200mm×宽1050mm×深230 mm（±5mm），分三个格，三角型斜拉加固。</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★4.材质及工艺要求：</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耐腐蚀性：在试板任意一面的对角线上，用锐利的刀具划出深至钢板的划痕，然后浸入温度为15℃～25℃，浓度为3%的氯化钠溶液中进行耐腐蚀试验后，划道两侧3mm外，无锈迹、剥落、起皱、变色和失光等现象。</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（2）抗拉强度或下屈服强度及断后伸长率标准应符合GB/T 228.1-2010«金属材料 拉伸试验 第1部分：室温试验方法»。</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3）钢制部分工艺要求，钢材采用国家标准钢材，高频焊接冷轧钢材，各钢件经除锈、酸洗、磷化等工序，除油脱脂磷化处理静电喷粉，高温固化，颜色为灰白色，焊接表面光滑无毛刺，焊接处无夹渣、气孔、焊瘤、焊丝头咬边飞溅，并保证无脱焊、虚焊及焊穿等现象,5 年内不脱漆、生锈。</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（4）塑粉应符合 HG/T 2006-2006《热固性粉末涂料》的标准；要求：可溶性铅：≤90mg/kg，可溶性镉：≤75mg/kg，可溶性铬≤60mg/kg，可溶性汞≤60mg/kg。</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（5）钢制柜顶板、层板、侧板、门板、底框（冷轧钢板）材质要求：钢板称厚度≥0.6mm。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（6）书架底部采用 20mm×20mm×钢板1.5mm 型材加固，所有柜体下方须防水防潮处理，不直接接触地面。</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（7）优质五金配件：拉手、挂锁、导轨、铰链；</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四</w:t>
            </w:r>
            <w:r>
              <w:rPr>
                <w:rFonts w:hint="eastAsia" w:ascii="宋体" w:hAnsi="宋体" w:cs="宋体"/>
                <w:color w:val="auto"/>
                <w:szCs w:val="21"/>
                <w:highlight w:val="none"/>
              </w:rPr>
              <w:t>）木制部分：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1.木制桌（电脑桌）：规格 1050×600mm（±5mm），配置：带2个抽屉，抽屉含明锁锁扣及拉手。</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2.桌面采用 E1 级中密度纤维板，板内密度≥720kg/m³，桌面厚度≥25mm，桌面贴防火板饰面，桌面前端造型采用鸭嘴型成型工艺、PVC封边、桌面上部离地高度≥750mm。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★3.木制桌面板要求：</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①应符合 GB/T15104-2006《装饰单板贴面人造板》，GB18584《室内装饰装修材料木家具中有害物质限量》的标准。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②中密度纤维板含水率：10%~(产品所在地区年平均木材平衡含水率+1%)。</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③甲醛释放量：一立方米气候箱法 E1≤0.124mg/m³。</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（四）柜体颜色：柜门与抽屉面板为蓝色，其余为灰白色。</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三、靠背椅（课桌椅）技术要求：</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★（一）尺寸：椅板尺寸：380W×380D（mm）（±5mm），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椅面有效深度 380 mm，椅面离地高度 420 mm（±5mm），背板尺寸：380W×180D（mm）（±5mm）。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（二）材质及工艺要求：</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椅坐板及靠背板采用胶合板（俗称多层实木板），板材厚≥10mm，椅面及靠背正反面贴防火板；椅架采用优质冷轧钢管，钢管宽20mm×厚40mm（允许偏差±1mm）型材，管壁厚≥1.0mm，钢管表面经除锈、酸洗、磷化等工序，除油除锈脱脂磷化处理静电喷粉，高温固化，颜色为灰白色，焊接表面光滑无毛刺，焊接处无夹渣、气孔、焊瘤、焊丝头咬边飞溅，并保证无脱焊、虚焊及焊穿等现象。</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2.面板：胶合板（俗称多层实木板）贴防火面板，椅子座面及靠背厚度≥10mm，钢脚带胶垫。</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★3.胶合板（俗称多层实木板）要求：</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①含水率：10%~(产品所在地区年平均木材平衡含水率+1%)。</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②甲醛释放量： 按GB 18580-2017</w:t>
            </w:r>
            <w:r>
              <w:rPr>
                <w:rFonts w:hint="eastAsia" w:ascii="Arial" w:hAnsi="Arial" w:cs="Arial"/>
                <w:color w:val="auto"/>
                <w:szCs w:val="21"/>
                <w:highlight w:val="none"/>
                <w:shd w:val="clear" w:color="auto" w:fill="FFFFFF"/>
              </w:rPr>
              <w:t>《室内装饰装修材料人造板及其制品中甲醛释放限量》</w:t>
            </w:r>
            <w:r>
              <w:rPr>
                <w:rFonts w:hint="eastAsia" w:ascii="宋体" w:hAnsi="宋体" w:cs="宋体"/>
                <w:color w:val="auto"/>
                <w:szCs w:val="21"/>
                <w:highlight w:val="none"/>
              </w:rPr>
              <w:t>lm³气候箱法E1≤ 0.124mg/m³。</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4.面板基材胶合板（俗称多层实木板）要求：用阔叶树原木旋切单板经拼板压制干燥而成，含水率应满足标准要求，椅板安装须使用抽芯铆钉连接。靠背椅具体样式参见附件三。</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5.塑粉应符合 HG/T 2006-2006《热固性粉末涂料》的标准；要求：可溶性铅：≤90mg/kg，可溶性镉：≤75mg/kg，可溶性铬≤60mg/kg，可溶性汞≤60mg/kg。</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6.课桌椅脚管：抗拉强度Rm（MPa）315~430断后伸长率A（%）≥33；厚≥1.0。</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7. 课桌椅侧横管：抗拉强度Rm（MPa）315~430断后伸长率A（%）≥33；≥0.8mm。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8. 课桌椅长横管：抗拉强度Rm（MPa）315~430断后伸长率A（%）≥33；厚≥1.0。</w:t>
            </w:r>
          </w:p>
          <w:p>
            <w:pPr>
              <w:spacing w:line="400" w:lineRule="exact"/>
              <w:jc w:val="left"/>
              <w:rPr>
                <w:rFonts w:ascii="黑体" w:cs="黑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68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textAlignment w:val="center"/>
              <w:rPr>
                <w:rFonts w:ascii="宋体" w:hAnsi="宋体" w:cs="宋体"/>
                <w:b/>
                <w:bCs/>
                <w:color w:val="auto"/>
                <w:szCs w:val="21"/>
                <w:highlight w:val="none"/>
              </w:rPr>
            </w:pPr>
            <w:r>
              <w:rPr>
                <w:rFonts w:hint="eastAsia" w:ascii="宋体" w:hAnsi="宋体" w:cs="宋体"/>
                <w:color w:val="auto"/>
                <w:szCs w:val="21"/>
                <w:highlight w:val="none"/>
              </w:rPr>
              <w:t>2</w:t>
            </w:r>
          </w:p>
        </w:tc>
        <w:tc>
          <w:tcPr>
            <w:tcW w:w="916"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三连体组合公寓床B型</w:t>
            </w:r>
          </w:p>
        </w:tc>
        <w:tc>
          <w:tcPr>
            <w:tcW w:w="625"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30套</w:t>
            </w:r>
          </w:p>
        </w:tc>
        <w:tc>
          <w:tcPr>
            <w:tcW w:w="1625"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 xml:space="preserve">长6000mm×宽900mm×高2000mm </w:t>
            </w:r>
          </w:p>
          <w:p>
            <w:pPr>
              <w:widowControl/>
              <w:spacing w:line="420" w:lineRule="exact"/>
              <w:jc w:val="center"/>
              <w:rPr>
                <w:rFonts w:ascii="宋体" w:hAnsi="宋体" w:cs="宋体"/>
                <w:color w:val="auto"/>
                <w:szCs w:val="21"/>
                <w:highlight w:val="none"/>
              </w:rPr>
            </w:pPr>
            <w:r>
              <w:rPr>
                <w:rFonts w:hint="eastAsia" w:ascii="宋体" w:hAnsi="宋体" w:cs="宋体"/>
                <w:color w:val="auto"/>
                <w:szCs w:val="21"/>
                <w:highlight w:val="none"/>
                <w:shd w:val="clear" w:color="auto" w:fill="FFFFFF"/>
              </w:rPr>
              <w:t>(到床头框上沿)</w:t>
            </w:r>
          </w:p>
        </w:tc>
        <w:tc>
          <w:tcPr>
            <w:tcW w:w="6037"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除床铺长度外，其余参数与三连体组合公寓床A型一致。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68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textAlignment w:val="center"/>
              <w:rPr>
                <w:rFonts w:ascii="宋体" w:hAnsi="宋体" w:cs="宋体"/>
                <w:b/>
                <w:bCs/>
                <w:color w:val="auto"/>
                <w:szCs w:val="21"/>
                <w:highlight w:val="none"/>
              </w:rPr>
            </w:pPr>
            <w:r>
              <w:rPr>
                <w:rFonts w:hint="eastAsia" w:ascii="宋体" w:hAnsi="宋体" w:cs="宋体"/>
                <w:color w:val="auto"/>
                <w:szCs w:val="21"/>
                <w:highlight w:val="none"/>
              </w:rPr>
              <w:t>3</w:t>
            </w:r>
          </w:p>
        </w:tc>
        <w:tc>
          <w:tcPr>
            <w:tcW w:w="916"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无障碍家具</w:t>
            </w:r>
          </w:p>
        </w:tc>
        <w:tc>
          <w:tcPr>
            <w:tcW w:w="625"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66套</w:t>
            </w:r>
          </w:p>
        </w:tc>
        <w:tc>
          <w:tcPr>
            <w:tcW w:w="1625"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长2000×宽1000×高800mm（无障碍单人床）</w:t>
            </w:r>
          </w:p>
          <w:p>
            <w:pPr>
              <w:widowControl/>
              <w:spacing w:line="420" w:lineRule="exact"/>
              <w:jc w:val="center"/>
              <w:rPr>
                <w:rFonts w:ascii="宋体" w:hAnsi="宋体" w:cs="宋体"/>
                <w:color w:val="auto"/>
                <w:szCs w:val="21"/>
                <w:highlight w:val="none"/>
              </w:rPr>
            </w:pPr>
            <w:r>
              <w:rPr>
                <w:rFonts w:hint="eastAsia" w:ascii="宋体" w:hAnsi="宋体" w:cs="宋体"/>
                <w:color w:val="auto"/>
                <w:szCs w:val="21"/>
                <w:highlight w:val="none"/>
                <w:shd w:val="clear" w:color="auto" w:fill="FFFFFF"/>
              </w:rPr>
              <w:t>高1600mm×深600mm×宽1700mm（无障碍多功能柜）</w:t>
            </w:r>
          </w:p>
        </w:tc>
        <w:tc>
          <w:tcPr>
            <w:tcW w:w="603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每套无障碍家具含无障碍单人床一件、无障碍多功能柜一套（含桌子、书架）、靠背椅一张（即一个床位的配套家具）。</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一、无障碍单人床中铁床技术要求：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（一）无障碍单人床规格：长2000mm×宽1000mm×高800mm（±5mm），带蚊帐杆规格： 长2000×宽1000×高1600mm （±5mm）。</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（二）铁床应符合 GB/T 3325-2017«金属家具通用技术条件»的标准。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（三）钢制部分工艺要求：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材料：钢材采用国家标准钢材，高频焊接冷轧钢材，各钢件经除锈、酸洗、磷化等工序，除油脱脂磷化处理静电喷粉，高温固化，颜色为灰白色，焊接表面光滑无毛刺，焊接处无夹渣、气孔、焊瘤、焊丝头咬边飞溅，并保证无脱焊、虚焊及焊穿等现象,5 年内不脱漆、生锈。</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（四）材料及材质等相关要求：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★1.钢制部分：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w:t>
            </w:r>
            <w:r>
              <w:rPr>
                <w:rFonts w:hint="eastAsia" w:asciiTheme="majorEastAsia" w:hAnsiTheme="majorEastAsia" w:eastAsiaTheme="majorEastAsia" w:cstheme="majorEastAsia"/>
                <w:color w:val="auto"/>
                <w:szCs w:val="21"/>
                <w:highlight w:val="none"/>
              </w:rPr>
              <w:t>耐腐蚀要求：在试</w:t>
            </w:r>
            <w:r>
              <w:rPr>
                <w:rFonts w:hint="eastAsia" w:ascii="宋体" w:hAnsi="宋体" w:cs="宋体"/>
                <w:color w:val="auto"/>
                <w:szCs w:val="21"/>
                <w:highlight w:val="none"/>
              </w:rPr>
              <w:t>板任意一面的对角线上，用锐利的刀具划出深至钢板的划痕，然后浸入温度为15℃～25℃，浓度为3%的氯化钠溶液中进行耐腐蚀试验后，划道两侧3mm外，无锈迹、剥落、起皱、变色和失光等现象。</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（2）抗拉强度或下屈服强度及断后伸长率标准应符合GB/T 228.1-2010«金属材料 拉伸试验 第1部分：室温试验方法。</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（3）塑粉应符合HG/T 2006-2006《热固性粉末涂料》的标准；要求：可溶性铅：≤90mg/kg，可溶性镉：≤75mg/kg，可溶性铬≤60mg/kg，可溶性汞≤60mg/k。</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★2.铁床床立柱：</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（1）立柱管≥宽85mm×厚85mm×管壁厚1.2mm 高频焊接封口型材管，需加有 2 条加强筋，采用封闭式型材使立柱抗扭距性增强，要求能使床下柜牢牢卡在立柱之间，使结构更加稳固；卡式连接件与立柱齐平；</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（2）铁床床立柱（冷轧钢板）材质要求：钢板公称厚度≥1.2mm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★3.铁床床长横梁（前长横梁）：</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（1）≥宽100mm×厚40mm×管壁厚1.5㎜，高频焊接封口型材管，立面不少于 2 条加强筋。</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（2）铁床床长横梁（冷轧钢板）材质要求：钢板公称厚度 ≥ 1.5mm。</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★4.铁床床长横梁（后长横梁）及短横梁：</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（1）≥宽95mm×厚40mm，管壁厚度 1.2mm，高频焊接封口型材管。</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（2）铁床床长横梁及短横梁（冷轧钢板）材质要求：钢板公称厚度≥ 1.2 mm。</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★5.铁床床挂件（卡式连接件）：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（1）采用的是≥宽30mm×厚30mm×高220mm×钢板厚2.0mm 的型材，卡槽式嵌入，越受力越紧固。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（2）铁床床挂件（冷轧钢板）材质要求：钢板公称厚度 ≥2.0mm。</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★6.铁床床头：</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（1）横管采用≥宽25mm×厚25mm×管壁厚1.0mm方管，竖管采用≥Φ19mm×管壁厚1.0mm圆管。</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（2）铁床床头护栏横管、竖管材质要求管壁公称厚度≥ 1.0mm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★7.铁床床桓：</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（1）采用≥宽40mm×厚20mm×管壁厚1.0mm  型材，5 根（均匀分布）。</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（2）铁床床桓（冷轧钢板）材质要求：管壁公称厚度≥ 1.0mm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★8..铁床蚊帐杆：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（1）高度为 900mm，Φ14mm×管壁厚1.0 ㎜圆管。</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（2）铁床蚊帐杆（冷轧钢板）材质要求：管壁公称厚度≥1.0mm。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9.杉木（床）板：应符合 GB/T1931-2009«木材含水率测定方法»、GB/T29894-2013«木材鉴别方法通则»、GB/T3324-2008«木家具通用技术条件»的标准；</w:t>
            </w:r>
          </w:p>
          <w:p>
            <w:pPr>
              <w:pStyle w:val="71"/>
              <w:spacing w:before="61" w:line="300" w:lineRule="exact"/>
              <w:ind w:right="155" w:rightChars="74"/>
              <w:rPr>
                <w:color w:val="auto"/>
                <w:szCs w:val="21"/>
                <w:highlight w:val="none"/>
              </w:rPr>
            </w:pPr>
            <w:r>
              <w:rPr>
                <w:rFonts w:hint="eastAsia" w:ascii="宋体" w:hAnsi="宋体" w:cs="宋体"/>
                <w:color w:val="auto"/>
                <w:szCs w:val="21"/>
                <w:highlight w:val="none"/>
              </w:rPr>
              <w:t>（1）</w:t>
            </w:r>
            <w:r>
              <w:rPr>
                <w:rFonts w:hint="eastAsia"/>
                <w:color w:val="auto"/>
                <w:szCs w:val="21"/>
                <w:highlight w:val="none"/>
              </w:rPr>
              <w:t>床板树种：杉木，</w:t>
            </w:r>
            <w:r>
              <w:rPr>
                <w:color w:val="auto"/>
                <w:szCs w:val="21"/>
                <w:highlight w:val="none"/>
              </w:rPr>
              <w:t xml:space="preserve">床板规格：厚15mm </w:t>
            </w:r>
            <w:r>
              <w:rPr>
                <w:rFonts w:hint="eastAsia"/>
                <w:color w:val="auto"/>
                <w:szCs w:val="21"/>
                <w:highlight w:val="none"/>
              </w:rPr>
              <w:t>、长、宽按设计制作以</w:t>
            </w:r>
            <w:r>
              <w:rPr>
                <w:rFonts w:hint="eastAsia"/>
                <w:color w:val="auto"/>
                <w:spacing w:val="-10"/>
                <w:szCs w:val="21"/>
                <w:highlight w:val="none"/>
                <w:u w:val="single"/>
              </w:rPr>
              <w:t>≤</w:t>
            </w:r>
            <w:r>
              <w:rPr>
                <w:color w:val="auto"/>
                <w:spacing w:val="-10"/>
                <w:szCs w:val="21"/>
                <w:highlight w:val="none"/>
                <w:u w:val="single"/>
              </w:rPr>
              <w:t xml:space="preserve"> 7 </w:t>
            </w:r>
            <w:r>
              <w:rPr>
                <w:rFonts w:hint="eastAsia"/>
                <w:color w:val="auto"/>
                <w:spacing w:val="-10"/>
                <w:szCs w:val="21"/>
                <w:highlight w:val="none"/>
                <w:u w:val="single"/>
              </w:rPr>
              <w:t>块</w:t>
            </w:r>
            <w:r>
              <w:rPr>
                <w:color w:val="auto"/>
                <w:spacing w:val="-10"/>
                <w:szCs w:val="21"/>
                <w:highlight w:val="none"/>
              </w:rPr>
              <w:t>木板拼接成</w:t>
            </w:r>
            <w:r>
              <w:rPr>
                <w:rFonts w:hint="eastAsia"/>
                <w:color w:val="auto"/>
                <w:spacing w:val="-10"/>
                <w:szCs w:val="21"/>
                <w:highlight w:val="none"/>
              </w:rPr>
              <w:t>一幅床板，</w:t>
            </w:r>
            <w:r>
              <w:rPr>
                <w:rFonts w:hint="eastAsia"/>
                <w:color w:val="auto"/>
                <w:szCs w:val="21"/>
                <w:highlight w:val="none"/>
              </w:rPr>
              <w:t>床板</w:t>
            </w:r>
            <w:r>
              <w:rPr>
                <w:rFonts w:hint="eastAsia"/>
                <w:color w:val="auto"/>
                <w:szCs w:val="21"/>
                <w:highlight w:val="none"/>
                <w:u w:val="single"/>
              </w:rPr>
              <w:t>双</w:t>
            </w:r>
            <w:r>
              <w:rPr>
                <w:color w:val="auto"/>
                <w:szCs w:val="21"/>
                <w:highlight w:val="none"/>
                <w:u w:val="single"/>
              </w:rPr>
              <w:t>面</w:t>
            </w:r>
            <w:r>
              <w:rPr>
                <w:color w:val="auto"/>
                <w:szCs w:val="21"/>
                <w:highlight w:val="none"/>
              </w:rPr>
              <w:t>刨光。</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（2）杉木床板要求：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①.外观要求：外观应无腐朽，床板表面应无贯通裂纹，死节不许有，活节宽度不应超过10mm,单块板≤1个，不允许有漏节和脱落节子，钝棱（豁边）长度不允许超过单块床板长度的20%、宽度不允许超过5mm；</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②.含水率：10%~(产品所在地区年平均木材平衡含水率+1%)。</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10.塑粉应符合 HG/T 2006-2006《热固性粉末涂料》的标准；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要求：可溶性铅：≤90mg/kg，可溶性镉：≤75mg/kg，可溶性铬≤60mg/kg，可溶性汞≤60mg/kg。</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铁床结构应拆装方便、快捷，组合牢固，长期使用不会出现松动，无安全隐患。无障碍单人床具体样式参见附件五。</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二、无障碍多功能柜技术要求：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（一）规格尺寸：整体尺寸 长</w:t>
            </w:r>
            <w:r>
              <w:rPr>
                <w:rFonts w:ascii="宋体" w:hAnsi="宋体" w:cs="宋体"/>
                <w:color w:val="auto"/>
                <w:szCs w:val="21"/>
                <w:highlight w:val="none"/>
              </w:rPr>
              <w:t>20</w:t>
            </w:r>
            <w:r>
              <w:rPr>
                <w:rFonts w:hint="eastAsia" w:ascii="宋体" w:hAnsi="宋体" w:cs="宋体"/>
                <w:color w:val="auto"/>
                <w:szCs w:val="21"/>
                <w:highlight w:val="none"/>
              </w:rPr>
              <w:t>00mm×宽600mm×高1700mm（±5mm）</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（二）钢制柜应符合 GB/T 3325-2017«金属家具通用技术条件»的标准。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（三）钢制部分尺寸及其它要求：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★1.无障碍多功能柜（衣柜）规格：1700mm（高）×600mm（长）×600 mm（宽）（±5mm），柜体内分上下两层，内配一根不锈钢Ф19×管壁厚1.0mm 挂衣杆。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★2.无障碍多功能柜（书桌）规格：760mm（高）×1000mm（长）×580 mm（宽）（±5mm）。</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★3.书架规格：940mm（高）×1000mm（宽）×230 mm（深）（±5mm）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★4.材质及工艺要求：。</w:t>
            </w:r>
          </w:p>
          <w:p>
            <w:pPr>
              <w:pStyle w:val="2"/>
              <w:rPr>
                <w:color w:val="auto"/>
                <w:highlight w:val="none"/>
              </w:rPr>
            </w:pPr>
          </w:p>
          <w:p>
            <w:pPr>
              <w:pStyle w:val="2"/>
              <w:rPr>
                <w:rFonts w:hint="eastAsia" w:ascii="宋体" w:hAnsi="宋体" w:cs="宋体"/>
                <w:color w:val="auto"/>
                <w:szCs w:val="21"/>
                <w:highlight w:val="none"/>
              </w:rPr>
            </w:pPr>
          </w:p>
          <w:p>
            <w:pPr>
              <w:spacing w:line="440" w:lineRule="exact"/>
              <w:rPr>
                <w:rFonts w:ascii="宋体" w:hAnsi="宋体" w:cs="宋体"/>
                <w:color w:val="auto"/>
                <w:szCs w:val="21"/>
                <w:highlight w:val="none"/>
              </w:rPr>
            </w:pPr>
            <w:r>
              <w:rPr>
                <w:rFonts w:hint="eastAsia" w:ascii="宋体" w:hAnsi="宋体" w:cs="宋体"/>
                <w:color w:val="auto"/>
                <w:szCs w:val="21"/>
                <w:highlight w:val="none"/>
              </w:rPr>
              <w:t>（1）耐腐蚀性：在试板任意一面的对角线上，用锐利的刀具划出深至钢板的划痕，然后浸入温度为15℃～25℃，浓度为3%的氯化钠溶液中进行耐腐蚀试验后，划道两侧3mm外，无锈迹、剥落、起皱、变色和失光等现象。</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（2）抗拉强度或下屈服强度及断后伸长率标准应符合GB/T228.1-2010«金属材料 拉伸试验 第1部分：室温试验方法»。</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钢制部分工艺要求，钢材采用国家标准钢材，高频焊接冷轧钢材，各钢件经除锈、酸洗、磷化等工序，除油脱脂磷化处理静电喷粉，高温固化，颜色为灰白色，焊接表面光滑无毛刺，焊接处无夹渣、气孔、焊瘤、焊丝头咬边飞溅，并保证无脱焊、虚焊及焊穿等现象,5 年内不脱漆、生锈。</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（4）塑粉应符合 HG/T 2006-2006《热固性粉末涂料》的标准；要求：可溶性铅：≤90mg/kg，可溶性镉：≤75mg/kg，可溶性铬≤60mg/kg，可溶性汞≤60mg/kg。</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（5）钢制柜顶板、层板、侧板、门板、底框（冷轧钢板）材质要求：钢板公称厚度≥0.6mm。</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（6）优质五金配件：拉手、挂锁、导轨、铰链；</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四</w:t>
            </w:r>
            <w:r>
              <w:rPr>
                <w:rFonts w:hint="eastAsia" w:ascii="宋体" w:hAnsi="宋体" w:cs="宋体"/>
                <w:color w:val="auto"/>
                <w:szCs w:val="21"/>
                <w:highlight w:val="none"/>
              </w:rPr>
              <w:t>）木制部分：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1.木制桌面（电脑桌面）：规格 长1000mm×宽580mm（±5mm）。配置：带2个抽屉，抽屉含明锁锁扣及拉手。</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2.桌面采用 E1 级中密度纤维板，板内密度≥720kg/m³，桌面厚度≥25mm，桌面贴防火板饰面，桌面前端造型采用鸭嘴型成型工艺、PVC封边、桌面上部离地高度≥750mm。</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★3.木制桌面板基材要求：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①应符合 GB/T15104-2006《装饰单板贴面人造板》，GB18584《室内装饰装修材料木家具中有害物质限量》的标准。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②中密度纤维板基材含水率：10%~(产品所在地区年平均木材平衡含水率+1%)。</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③甲醛释放量：一立方米气候箱法检测 E1≤0.124mg/m³。</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柜体颜色：柜门与抽屉面板为蓝色，其余为灰白色。无障碍多功能柜具体样式参见附件五。</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三、靠背椅(课桌椅)技术要求：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★（一）尺寸：椅板尺寸：380W×380D（mm）（±5mm），</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椅面有效深度 380 mm，椅面离地高度 420 mm（±5mm），背板尺寸：380W×180D（mm）（±5mm）。</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（二）材质及工艺要求：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1.椅板及背板采用胶合板（俗称多层实木板），板材厚≥10mm，椅面及靠背正反面贴防火板；椅架采用优质冷轧钢管，钢管 20mm×40mm（±1mm）型材，管壁厚≥1.0mm，钢管表面经除锈、酸洗、磷化等工序，除油除锈脱脂磷化处理静电喷粉，高温固化，颜色为灰白色，焊接表面光滑无毛刺，焊接处无夹渣、气孔、焊瘤、焊丝头咬边飞溅，并保证无脱焊、虚焊及焊穿等现象。</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2.面板：采用胶合板（俗称多层实木板），面贴防火面板，椅子座面及靠背厚度≥10mm，钢脚带胶垫。</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★3.胶合板（俗称多层实木板）贴防火面板，椅子座面及靠背厚度≥10mm，钢脚带胶垫。</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.胶合板（俗称多层实木板）要求：</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①含水率：10%~(产品所在地区年平均木材平衡含水率+1%)。</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②甲醛释放量： 一立方米气候箱法E1≤ 0.124mg/m³。</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.面板基材胶合板（俗称多层实木板）要求：用阔叶树原木旋切单板经拼板压制干燥而成，含水率应满足标准要求，椅板安装须使用抽芯铆钉连接。靠背椅具体样式参见附件三。</w:t>
            </w:r>
          </w:p>
          <w:p>
            <w:pPr>
              <w:spacing w:line="440" w:lineRule="exact"/>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.塑粉应符合 HG/T 2006-2006《热固性粉末涂料》的标准；要求：可溶性铅：≤90mg/kg，可溶性镉：≤75mg/kg，可溶性铬≤60mg/kg，可溶性汞≤60mg/kg。</w:t>
            </w:r>
          </w:p>
          <w:p>
            <w:pPr>
              <w:spacing w:line="440" w:lineRule="exact"/>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 课桌椅脚管：抗拉强度Rm（MPa）315~430断后伸长率A（%）≥33；厚≥1.0。</w:t>
            </w:r>
          </w:p>
          <w:p>
            <w:pPr>
              <w:spacing w:line="440" w:lineRule="exact"/>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 课桌椅侧横管：抗拉强度Rm（MPa）315~430断后伸长率A（%）≥33；≥0.8mm。</w:t>
            </w:r>
          </w:p>
          <w:p>
            <w:pPr>
              <w:spacing w:line="440" w:lineRule="exact"/>
              <w:rPr>
                <w:rFonts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 课桌椅长横管：抗拉强度Rm（MPa）315~430断后伸长率A（%）≥33；厚≥1.0。</w:t>
            </w:r>
          </w:p>
          <w:p>
            <w:pPr>
              <w:pStyle w:val="2"/>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color w:val="auto"/>
                <w:szCs w:val="21"/>
                <w:highlight w:val="none"/>
              </w:rPr>
              <w:t>质量标准</w:t>
            </w:r>
          </w:p>
        </w:tc>
        <w:tc>
          <w:tcPr>
            <w:tcW w:w="8287"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b/>
                <w:color w:val="auto"/>
                <w:szCs w:val="21"/>
                <w:highlight w:val="none"/>
              </w:rPr>
            </w:pPr>
            <w:r>
              <w:rPr>
                <w:rFonts w:hint="eastAsia" w:ascii="宋体" w:hAnsi="宋体" w:cs="宋体"/>
                <w:color w:val="auto"/>
                <w:highlight w:val="none"/>
              </w:rPr>
              <w:t>应符合相关国家标准、行业标准及设备制造厂家合格产品的出厂质量要求。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验收条件及标准</w:t>
            </w:r>
          </w:p>
        </w:tc>
        <w:tc>
          <w:tcPr>
            <w:tcW w:w="8287"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auto"/>
                <w:highlight w:val="none"/>
              </w:rPr>
            </w:pPr>
            <w:r>
              <w:rPr>
                <w:rFonts w:hint="eastAsia" w:ascii="宋体" w:hAnsi="宋体" w:cs="宋体"/>
                <w:color w:val="auto"/>
                <w:highlight w:val="none"/>
              </w:rPr>
              <w:t>设备需全新、完好、无破损，按照技术要求的各项指标进行验收。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55"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验收方法及方案</w:t>
            </w:r>
          </w:p>
        </w:tc>
        <w:tc>
          <w:tcPr>
            <w:tcW w:w="8287" w:type="dxa"/>
            <w:gridSpan w:val="3"/>
            <w:tcBorders>
              <w:top w:val="single" w:color="auto" w:sz="4" w:space="0"/>
              <w:left w:val="single" w:color="auto" w:sz="4" w:space="0"/>
              <w:bottom w:val="single" w:color="auto" w:sz="4" w:space="0"/>
              <w:right w:val="single" w:color="auto" w:sz="4" w:space="0"/>
            </w:tcBorders>
            <w:vAlign w:val="center"/>
          </w:tcPr>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1.中标供应商的投标样品将作为货物验收参照标本，中标供应商所提供的货物与投标样品必须一致，否则将视为验收不合格。另外，验收时如中标供应商所提供的产品与其投标时所响应的参数不一致或出现其它可能影响产品质量的问题时，采购人有权对交付的货物委托第三方检验机构（取得计量认证具有CMA</w:t>
            </w:r>
            <w:r>
              <w:rPr>
                <w:rFonts w:hint="eastAsia" w:ascii="宋体" w:hAnsi="宋体" w:cs="宋体"/>
                <w:color w:val="auto"/>
                <w:sz w:val="21"/>
                <w:szCs w:val="21"/>
                <w:highlight w:val="none"/>
                <w:lang w:val="en-US" w:eastAsia="zh-CN"/>
              </w:rPr>
              <w:t>标识</w:t>
            </w:r>
            <w:r>
              <w:rPr>
                <w:rFonts w:hint="eastAsia" w:ascii="宋体" w:hAnsi="宋体" w:cs="宋体"/>
                <w:color w:val="auto"/>
                <w:sz w:val="21"/>
                <w:szCs w:val="21"/>
                <w:highlight w:val="none"/>
              </w:rPr>
              <w:t>）进行抽样检验。如果所抽取的样品经检验合格的，采购人应将整批货物判定合格，对整批货物按合格品验收并承担所有的检验费和样品费；如果所抽取的样品经检验不合格的，采购人应将整批货物判定为不合格产品，不予验收，由此产生的检验费、样品费由中标供应商承担，采购人可同时向中标供应商提出直接或间接损失的赔偿。</w:t>
            </w:r>
          </w:p>
          <w:p>
            <w:pPr>
              <w:pStyle w:val="15"/>
              <w:spacing w:line="440" w:lineRule="exact"/>
              <w:rPr>
                <w:color w:val="auto"/>
                <w:sz w:val="21"/>
                <w:szCs w:val="21"/>
                <w:highlight w:val="none"/>
              </w:rPr>
            </w:pPr>
            <w:r>
              <w:rPr>
                <w:rFonts w:hint="eastAsia" w:ascii="宋体" w:hAnsi="宋体" w:cs="宋体"/>
                <w:color w:val="auto"/>
                <w:sz w:val="21"/>
                <w:szCs w:val="21"/>
                <w:highlight w:val="none"/>
              </w:rPr>
              <w:t>2.验收不合格或不能按期履行合同的处理：中标供应商必须在合同指定时间内将货物运送到安装地点并完成安装工作，否则中标供应商必须承担由此产生的一切后果。如中标供应商不能按约定时间交货，造成采购人不能按时入住的，采购人将安排相应受到此状况影响的学生入住酒店，由此产生的一切费用（住宿费、交通费等）将从中标供应商的货款中扣除，并且还将根据实际情况从货款中扣减因延期交货给采购人带来的其它直接损失和间接损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55"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样品递交</w:t>
            </w:r>
          </w:p>
          <w:p>
            <w:pPr>
              <w:adjustRightIn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要求</w:t>
            </w:r>
          </w:p>
        </w:tc>
        <w:tc>
          <w:tcPr>
            <w:tcW w:w="8287" w:type="dxa"/>
            <w:gridSpan w:val="3"/>
            <w:tcBorders>
              <w:top w:val="single" w:color="auto" w:sz="4" w:space="0"/>
              <w:left w:val="single" w:color="auto" w:sz="4" w:space="0"/>
              <w:bottom w:val="single" w:color="auto" w:sz="4" w:space="0"/>
              <w:right w:val="single" w:color="auto" w:sz="4" w:space="0"/>
            </w:tcBorders>
            <w:vAlign w:val="center"/>
          </w:tcPr>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1.投标人按照本项目“样品递交要求”递交所投货物的以下主材小样以及五金配件： </w:t>
            </w:r>
          </w:p>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（1）采购需求中第 1 项号货物“三联体组合床”提供床立柱（包括边立柱、中立柱）、床长横梁（包含前、后横梁），四项主材小样，样品是经过除油除锈磷化的半成品，长度≥100cm，小样为整条钢管，不允许拼接，主材小样均可见横截面。床爬梯完整（包含踏板、床梯主管）小样一套，各部件小样须清楚标明名称。</w:t>
            </w:r>
          </w:p>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（2）采购需求中第 1 项号货物“公寓柜”的衣柜以及桌面所用的主材小样各 1 件（主材小样规格≥10cm×10cm，衣柜主材小样为喷塑后的，要求提供的主材小样（一半横截面为喷塑，一半横截面微裸材）；公寓柜五金配件（包括抽屉导轨、铰链、拉手及挂锁扣）各1件。主材小样及五金配件均要求清楚标明所用材料名称。 </w:t>
            </w:r>
          </w:p>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（3）采购需求中第 1 项号货物“靠背椅”的椅座以及椅架所用主材小样各 1 件（①椅座板1块；②椅架主材小样长度≥20cm，要求一半喷涂一半裸管）；主材小样要求清楚标明所用材料名称。 </w:t>
            </w:r>
          </w:p>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2.样品递交要求： </w:t>
            </w:r>
          </w:p>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（1）样品递交时间：2020 年 </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 xml:space="preserve"> 月 </w:t>
            </w:r>
            <w:r>
              <w:rPr>
                <w:rFonts w:hint="eastAsia" w:ascii="宋体" w:hAnsi="宋体" w:cs="宋体"/>
                <w:color w:val="auto"/>
                <w:sz w:val="21"/>
                <w:szCs w:val="21"/>
                <w:highlight w:val="none"/>
                <w:lang w:val="en-US" w:eastAsia="zh-CN"/>
              </w:rPr>
              <w:t>24</w:t>
            </w:r>
            <w:r>
              <w:rPr>
                <w:rFonts w:hint="eastAsia" w:ascii="宋体" w:hAnsi="宋体" w:cs="宋体"/>
                <w:color w:val="auto"/>
                <w:sz w:val="21"/>
                <w:szCs w:val="21"/>
                <w:highlight w:val="none"/>
              </w:rPr>
              <w:t xml:space="preserve"> 日上午</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rPr>
              <w:t>时</w:t>
            </w:r>
            <w:r>
              <w:rPr>
                <w:rFonts w:hint="eastAsia" w:ascii="宋体" w:hAnsi="宋体" w:cs="宋体"/>
                <w:color w:val="auto"/>
                <w:sz w:val="21"/>
                <w:szCs w:val="21"/>
                <w:highlight w:val="none"/>
                <w:lang w:val="en-US" w:eastAsia="zh-CN"/>
              </w:rPr>
              <w:t>00</w:t>
            </w:r>
            <w:r>
              <w:rPr>
                <w:rFonts w:hint="eastAsia" w:ascii="宋体" w:hAnsi="宋体" w:cs="宋体"/>
                <w:color w:val="auto"/>
                <w:sz w:val="21"/>
                <w:szCs w:val="21"/>
                <w:highlight w:val="none"/>
              </w:rPr>
              <w:t xml:space="preserve">分至2020 年 </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 xml:space="preserve"> 月 </w:t>
            </w:r>
            <w:r>
              <w:rPr>
                <w:rFonts w:hint="eastAsia" w:ascii="宋体" w:hAnsi="宋体" w:cs="宋体"/>
                <w:color w:val="auto"/>
                <w:sz w:val="21"/>
                <w:szCs w:val="21"/>
                <w:highlight w:val="none"/>
                <w:lang w:val="en-US" w:eastAsia="zh-CN"/>
              </w:rPr>
              <w:t>24</w:t>
            </w:r>
            <w:r>
              <w:rPr>
                <w:rFonts w:hint="eastAsia" w:ascii="宋体" w:hAnsi="宋体" w:cs="宋体"/>
                <w:color w:val="auto"/>
                <w:sz w:val="21"/>
                <w:szCs w:val="21"/>
                <w:highlight w:val="none"/>
              </w:rPr>
              <w:t xml:space="preserve"> 日上午</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rPr>
              <w:t>时</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val="en-US" w:eastAsia="zh-CN"/>
              </w:rPr>
              <w:t>止，</w:t>
            </w:r>
            <w:r>
              <w:rPr>
                <w:rFonts w:hint="eastAsia" w:ascii="宋体" w:hAnsi="宋体" w:cs="宋体"/>
                <w:color w:val="auto"/>
                <w:sz w:val="21"/>
                <w:szCs w:val="21"/>
                <w:highlight w:val="none"/>
              </w:rPr>
              <w:t xml:space="preserve">样品递交截止时间与投标截止时间一致。 </w:t>
            </w:r>
          </w:p>
          <w:p>
            <w:pPr>
              <w:pStyle w:val="15"/>
              <w:spacing w:line="440" w:lineRule="exac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（2）样品递交地点：桂林市公共资源交易中心（桂林市临桂区西城中路69号创业大厦西辅楼4楼）</w:t>
            </w:r>
            <w:r>
              <w:rPr>
                <w:rFonts w:hint="eastAsia" w:ascii="宋体" w:hAnsi="宋体" w:cs="宋体"/>
                <w:color w:val="auto"/>
                <w:sz w:val="21"/>
                <w:szCs w:val="21"/>
                <w:highlight w:val="none"/>
                <w:lang w:val="en-US" w:eastAsia="zh-CN"/>
              </w:rPr>
              <w:t>8号开标室</w:t>
            </w:r>
          </w:p>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（3）样</w:t>
            </w:r>
            <w:r>
              <w:rPr>
                <w:rFonts w:hint="eastAsia" w:ascii="宋体" w:hAnsi="宋体" w:cs="宋体"/>
                <w:color w:val="auto"/>
                <w:sz w:val="21"/>
                <w:szCs w:val="21"/>
                <w:highlight w:val="none"/>
                <w:lang w:val="en-US" w:eastAsia="zh-CN"/>
              </w:rPr>
              <w:t>品</w:t>
            </w:r>
            <w:r>
              <w:rPr>
                <w:rFonts w:hint="eastAsia" w:ascii="宋体" w:hAnsi="宋体" w:cs="宋体"/>
                <w:color w:val="auto"/>
                <w:sz w:val="21"/>
                <w:szCs w:val="21"/>
                <w:highlight w:val="none"/>
              </w:rPr>
              <w:t xml:space="preserve">只是作为加分项，不作为投标的必须要求； </w:t>
            </w:r>
          </w:p>
          <w:p>
            <w:pPr>
              <w:pStyle w:val="15"/>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（4）样</w:t>
            </w:r>
            <w:r>
              <w:rPr>
                <w:rFonts w:hint="eastAsia" w:ascii="宋体" w:hAnsi="宋体" w:cs="宋体"/>
                <w:color w:val="auto"/>
                <w:sz w:val="21"/>
                <w:szCs w:val="21"/>
                <w:highlight w:val="none"/>
                <w:lang w:val="en-US" w:eastAsia="zh-CN"/>
              </w:rPr>
              <w:t>品</w:t>
            </w:r>
            <w:r>
              <w:rPr>
                <w:rFonts w:hint="eastAsia" w:ascii="宋体" w:hAnsi="宋体" w:cs="宋体"/>
                <w:color w:val="auto"/>
                <w:sz w:val="21"/>
                <w:szCs w:val="21"/>
                <w:highlight w:val="none"/>
              </w:rPr>
              <w:t>递交：</w:t>
            </w:r>
          </w:p>
          <w:p>
            <w:pPr>
              <w:pStyle w:val="15"/>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①所有小样可以统一放进一个箱子（袋子）中提交到采购中心指定的地方；</w:t>
            </w:r>
          </w:p>
          <w:p>
            <w:pPr>
              <w:pStyle w:val="15"/>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②箱子(袋子)正面贴上投标人名称、项目名称和项目编号等信息的标签；</w:t>
            </w:r>
          </w:p>
          <w:p>
            <w:pPr>
              <w:pStyle w:val="15"/>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③各小样不能出现任何厂家（公司）或投标品牌标识，如出现透露信息的标识，小样不得进行评定；</w:t>
            </w:r>
          </w:p>
          <w:p>
            <w:pPr>
              <w:pStyle w:val="15"/>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④</w:t>
            </w:r>
            <w:r>
              <w:rPr>
                <w:rFonts w:hint="eastAsia" w:ascii="宋体" w:hAnsi="宋体" w:cs="宋体"/>
                <w:color w:val="auto"/>
                <w:sz w:val="21"/>
                <w:szCs w:val="21"/>
                <w:highlight w:val="none"/>
                <w:lang w:val="en-US" w:eastAsia="zh-CN"/>
              </w:rPr>
              <w:t>政府集中采购中心</w:t>
            </w:r>
            <w:r>
              <w:rPr>
                <w:rFonts w:hint="eastAsia" w:ascii="宋体" w:hAnsi="宋体" w:cs="宋体"/>
                <w:color w:val="auto"/>
                <w:sz w:val="21"/>
                <w:szCs w:val="21"/>
                <w:highlight w:val="none"/>
              </w:rPr>
              <w:t>工作人员只负责按箱（袋）数接收样品；评标前由</w:t>
            </w:r>
            <w:r>
              <w:rPr>
                <w:rFonts w:hint="eastAsia" w:ascii="宋体" w:hAnsi="宋体" w:cs="宋体"/>
                <w:color w:val="auto"/>
                <w:sz w:val="21"/>
                <w:szCs w:val="21"/>
                <w:highlight w:val="none"/>
                <w:lang w:val="en-US" w:eastAsia="zh-CN"/>
              </w:rPr>
              <w:t>政府集中采购中心</w:t>
            </w:r>
            <w:r>
              <w:rPr>
                <w:rFonts w:hint="eastAsia" w:ascii="宋体" w:hAnsi="宋体" w:cs="宋体"/>
                <w:color w:val="auto"/>
                <w:sz w:val="21"/>
                <w:szCs w:val="21"/>
                <w:highlight w:val="none"/>
              </w:rPr>
              <w:t>工作人员将对投标人的标签进行遮盖，评定样</w:t>
            </w:r>
            <w:r>
              <w:rPr>
                <w:rFonts w:hint="eastAsia" w:ascii="宋体" w:hAnsi="宋体" w:cs="宋体"/>
                <w:color w:val="auto"/>
                <w:sz w:val="21"/>
                <w:szCs w:val="21"/>
                <w:highlight w:val="none"/>
                <w:lang w:val="en-US" w:eastAsia="zh-CN"/>
              </w:rPr>
              <w:t>品</w:t>
            </w:r>
            <w:r>
              <w:rPr>
                <w:rFonts w:hint="eastAsia" w:ascii="宋体" w:hAnsi="宋体" w:cs="宋体"/>
                <w:color w:val="auto"/>
                <w:sz w:val="21"/>
                <w:szCs w:val="21"/>
                <w:highlight w:val="none"/>
              </w:rPr>
              <w:t>时由评</w:t>
            </w:r>
            <w:r>
              <w:rPr>
                <w:rFonts w:hint="eastAsia" w:ascii="宋体" w:hAnsi="宋体" w:cs="宋体"/>
                <w:color w:val="auto"/>
                <w:sz w:val="21"/>
                <w:szCs w:val="21"/>
                <w:highlight w:val="none"/>
                <w:lang w:val="en-US" w:eastAsia="zh-CN"/>
              </w:rPr>
              <w:t>标委员会共同启封</w:t>
            </w:r>
            <w:r>
              <w:rPr>
                <w:rFonts w:hint="eastAsia" w:ascii="宋体" w:hAnsi="宋体" w:cs="宋体"/>
                <w:color w:val="auto"/>
                <w:sz w:val="21"/>
                <w:szCs w:val="21"/>
                <w:highlight w:val="none"/>
              </w:rPr>
              <w:t>，待评定样</w:t>
            </w:r>
            <w:r>
              <w:rPr>
                <w:rFonts w:hint="eastAsia" w:ascii="宋体" w:hAnsi="宋体" w:cs="宋体"/>
                <w:color w:val="auto"/>
                <w:sz w:val="21"/>
                <w:szCs w:val="21"/>
                <w:highlight w:val="none"/>
                <w:lang w:val="en-US" w:eastAsia="zh-CN"/>
              </w:rPr>
              <w:t>品</w:t>
            </w:r>
            <w:r>
              <w:rPr>
                <w:rFonts w:hint="eastAsia" w:ascii="宋体" w:hAnsi="宋体" w:cs="宋体"/>
                <w:color w:val="auto"/>
                <w:sz w:val="21"/>
                <w:szCs w:val="21"/>
                <w:highlight w:val="none"/>
              </w:rPr>
              <w:t>完毕后，再统一拆封所有投标人的标签。</w:t>
            </w:r>
          </w:p>
          <w:p>
            <w:pPr>
              <w:pStyle w:val="15"/>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eastAsia="zh-CN"/>
              </w:rPr>
              <w:t>）采购结果公告后，中标人样品不退，作为验收依据之一。其余未中标的样品在接到本中心通知后两个工作日内予以退回，不及时领取样品所造成的损失，投标人自行承担。</w:t>
            </w:r>
          </w:p>
          <w:p>
            <w:pPr>
              <w:pStyle w:val="15"/>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 第 1 项号、第 2 项号货物因材质参数相同，递交一份样品即可。</w:t>
            </w:r>
          </w:p>
          <w:p>
            <w:pPr>
              <w:pStyle w:val="15"/>
              <w:spacing w:line="440" w:lineRule="exact"/>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9886" w:type="dxa"/>
            <w:gridSpan w:val="5"/>
            <w:tcBorders>
              <w:top w:val="single" w:color="auto" w:sz="4" w:space="0"/>
              <w:left w:val="single" w:color="auto" w:sz="4" w:space="0"/>
              <w:bottom w:val="single" w:color="auto" w:sz="4" w:space="0"/>
              <w:right w:val="single" w:color="auto" w:sz="4" w:space="0"/>
            </w:tcBorders>
            <w:vAlign w:val="center"/>
          </w:tcPr>
          <w:p>
            <w:pPr>
              <w:pStyle w:val="15"/>
              <w:spacing w:line="440" w:lineRule="exact"/>
              <w:rPr>
                <w:color w:val="auto"/>
                <w:sz w:val="21"/>
                <w:szCs w:val="21"/>
                <w:highlight w:val="none"/>
              </w:rPr>
            </w:pPr>
            <w:r>
              <w:rPr>
                <w:rFonts w:hint="eastAsia"/>
                <w:color w:val="auto"/>
                <w:sz w:val="21"/>
                <w:szCs w:val="21"/>
                <w:highlight w:val="none"/>
              </w:rPr>
              <w:t>商务条款表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55"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售后服务</w:t>
            </w:r>
          </w:p>
        </w:tc>
        <w:tc>
          <w:tcPr>
            <w:tcW w:w="8287" w:type="dxa"/>
            <w:gridSpan w:val="3"/>
            <w:tcBorders>
              <w:top w:val="single" w:color="auto" w:sz="4" w:space="0"/>
              <w:left w:val="single" w:color="auto" w:sz="4" w:space="0"/>
              <w:bottom w:val="single" w:color="auto" w:sz="4" w:space="0"/>
              <w:right w:val="single" w:color="auto" w:sz="4" w:space="0"/>
            </w:tcBorders>
            <w:vAlign w:val="center"/>
          </w:tcPr>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1.第 1 项号、第 2 项号货物验收合格后，按国家有关产品“三包”规定执行“三包”,提供不少于8年的免费质保期，提供终身维护服务。 </w:t>
            </w:r>
          </w:p>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2.中标供应商必须于货物验收时提供投标时所出具的检测报告原件，否则，不予验收。 </w:t>
            </w:r>
          </w:p>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3.质保期内提供免费服务（含部件、人力、上门等），保修期自双方代表在设备安装调试后的验收证明文件上签字之日起计算，质保期满后，乙方仍应提供维修服务，按维修件成本收费。 </w:t>
            </w:r>
          </w:p>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4.维修保养时如果需要更换配件的，要求更换的配件应跟被更换的品牌、类型相一致或者是同类同档次的替代品，后者需征得采购人同意。</w:t>
            </w:r>
          </w:p>
          <w:p>
            <w:pPr>
              <w:pStyle w:val="15"/>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5.免费质保期内，接到采购人故障报修后，30分钟内响应，4小时内到位。在规定时间内不能解决问题的产品应在24小时内提供等同档次产品给采购人使用。</w:t>
            </w:r>
          </w:p>
          <w:p>
            <w:pPr>
              <w:pStyle w:val="15"/>
              <w:spacing w:line="440" w:lineRule="exact"/>
              <w:rPr>
                <w:color w:val="auto"/>
                <w:sz w:val="21"/>
                <w:szCs w:val="21"/>
                <w:highlight w:val="none"/>
              </w:rPr>
            </w:pPr>
            <w:r>
              <w:rPr>
                <w:rFonts w:hint="eastAsia" w:ascii="宋体" w:hAnsi="宋体" w:cs="宋体"/>
                <w:color w:val="auto"/>
                <w:sz w:val="21"/>
                <w:szCs w:val="21"/>
                <w:highlight w:val="none"/>
              </w:rPr>
              <w:t>6.技术支持服务：免费保修期内定期对产品进行检修，提供永久性电话技术指导。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核心产品</w:t>
            </w:r>
          </w:p>
        </w:tc>
        <w:tc>
          <w:tcPr>
            <w:tcW w:w="8287"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本项目核心产品：</w:t>
            </w:r>
            <w:r>
              <w:rPr>
                <w:rFonts w:hint="eastAsia" w:ascii="宋体" w:hAnsi="宋体" w:cs="宋体"/>
                <w:b/>
                <w:color w:val="auto"/>
                <w:sz w:val="21"/>
                <w:szCs w:val="21"/>
                <w:highlight w:val="none"/>
                <w:u w:val="single"/>
              </w:rPr>
              <w:t>本项目第1项货物“三连体组合公寓床A型”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交付使用期及地点</w:t>
            </w:r>
          </w:p>
        </w:tc>
        <w:tc>
          <w:tcPr>
            <w:tcW w:w="8287"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1.交付使用期：自签订合同之日起 35 个日历日内全部安装调试合格完毕并交付使用。</w:t>
            </w:r>
          </w:p>
          <w:p>
            <w:pPr>
              <w:spacing w:line="440" w:lineRule="exac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2.交付地点：</w:t>
            </w:r>
            <w:r>
              <w:rPr>
                <w:rFonts w:hint="eastAsia" w:ascii="宋体" w:hAnsi="宋体" w:cs="宋体"/>
                <w:color w:val="auto"/>
                <w:sz w:val="21"/>
                <w:szCs w:val="21"/>
                <w:highlight w:val="none"/>
                <w:lang w:val="en-US" w:eastAsia="zh-CN"/>
              </w:rPr>
              <w:t>广西师范大学雁山校区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8287" w:type="dxa"/>
            <w:gridSpan w:val="3"/>
            <w:tcBorders>
              <w:top w:val="single" w:color="auto" w:sz="4" w:space="0"/>
              <w:left w:val="single" w:color="auto" w:sz="4" w:space="0"/>
              <w:bottom w:val="single" w:color="auto" w:sz="4" w:space="0"/>
              <w:right w:val="single" w:color="auto" w:sz="4" w:space="0"/>
            </w:tcBorders>
          </w:tcPr>
          <w:p>
            <w:pPr>
              <w:widowControl/>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1、合同签订时，中标人应按合同金额的5%向采购人交纳履约保证金，履约保证金待履行完合同约定的权利义务事项后（中标人承诺免费保修期满）且不存在争议的，采购人在30个工作日内无息返还履约保证金。</w:t>
            </w:r>
          </w:p>
          <w:p>
            <w:pPr>
              <w:widowControl/>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2、本项目预付款为合同总金额的30%，在合同生效以及具备实施条件后，采购人在15日内支付预付款；设备交货验收合格后采购人支付合同总金额的70%（无息）。</w:t>
            </w:r>
          </w:p>
          <w:p>
            <w:pPr>
              <w:widowControl/>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3、根据桂财采〔2020〕25号《广西壮族自治区财政厅关于加强政府采购促进经济稳定发展有关事项的通知》的规定，在签订合同时，供应商明确表示无需预付款或者主动要求降低预付款比例的，采购单位可不适用前述规定。如成交供应商在签订合同时，明确表示无需预付款时，付款方式为：中标人按合同约定交货验收合格后采购人支付合同总金额的100%（无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8287" w:type="dxa"/>
            <w:gridSpan w:val="3"/>
            <w:tcBorders>
              <w:top w:val="single" w:color="auto" w:sz="4" w:space="0"/>
              <w:left w:val="single" w:color="auto" w:sz="4" w:space="0"/>
              <w:bottom w:val="single" w:color="auto" w:sz="4" w:space="0"/>
              <w:right w:val="single" w:color="auto" w:sz="4" w:space="0"/>
            </w:tcBorders>
            <w:vAlign w:val="center"/>
          </w:tcPr>
          <w:p>
            <w:pPr>
              <w:pStyle w:val="15"/>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1.免费送货上门，免费按采购人要求安装调试，免费技术培训，直至操作人员熟练操作产品的各项功能。</w:t>
            </w:r>
          </w:p>
          <w:p>
            <w:pPr>
              <w:pStyle w:val="15"/>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2.政府采购预算金额为人民币</w:t>
            </w:r>
            <w:r>
              <w:rPr>
                <w:rFonts w:hint="eastAsia" w:ascii="宋体" w:hAnsi="宋体" w:cs="宋体"/>
                <w:b/>
                <w:color w:val="auto"/>
                <w:sz w:val="21"/>
                <w:szCs w:val="21"/>
                <w:highlight w:val="none"/>
              </w:rPr>
              <w:t>肆佰陆拾陆万捌仟叁佰元（</w:t>
            </w:r>
            <w:r>
              <w:rPr>
                <w:rFonts w:hint="eastAsia" w:ascii="宋体" w:hAnsi="宋体" w:cs="宋体"/>
                <w:b/>
                <w:color w:val="auto"/>
                <w:sz w:val="21"/>
                <w:szCs w:val="21"/>
                <w:highlight w:val="none"/>
                <w:lang w:val="en-US" w:eastAsia="zh-CN"/>
              </w:rPr>
              <w:t>¥</w:t>
            </w:r>
            <w:r>
              <w:rPr>
                <w:rFonts w:hint="eastAsia" w:ascii="宋体" w:hAnsi="宋体" w:cs="宋体"/>
                <w:b/>
                <w:color w:val="auto"/>
                <w:sz w:val="21"/>
                <w:szCs w:val="21"/>
                <w:highlight w:val="none"/>
              </w:rPr>
              <w:t>4668300.00）</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投标</w:t>
            </w:r>
            <w:r>
              <w:rPr>
                <w:rFonts w:hint="eastAsia" w:ascii="宋体" w:hAnsi="宋体" w:cs="宋体"/>
                <w:color w:val="auto"/>
                <w:sz w:val="21"/>
                <w:szCs w:val="21"/>
                <w:highlight w:val="none"/>
              </w:rPr>
              <w:t>报价超过采购预算金额的，其投标文件作无效处理。</w:t>
            </w:r>
          </w:p>
          <w:p>
            <w:pPr>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color w:val="auto"/>
                <w:sz w:val="21"/>
                <w:szCs w:val="21"/>
                <w:lang w:eastAsia="zh-CN"/>
              </w:rPr>
              <w:t>本项目采购产品主要执行标准：GB 24430.1-2009 《家用双层床安全第1部分：要求》、QB/T 1951.2-2013《金属家具质量检验及质量评定》、GB/T 3325-2017《金属家具通用技术条件》 、QB/T 1951.1-2010《木质家具质量检验及质量评定》、GB/T 18584-2001《室内装饰材料木家具中有害物质限量》、GB/T 18580-2017《室内装饰装修材料人造板及其制品中甲醛释放限量》、GB 18583-2008《室内装饰材料胶粘剂中害物质限量》、GB 18581-2009《室内装饰材料、溶剂型木器涂料中害物质限量》、GB/T 1931-2009《木材含水率测定方法》</w:t>
            </w:r>
            <w:r>
              <w:rPr>
                <w:rFonts w:hint="eastAsia"/>
                <w:color w:val="auto"/>
                <w:sz w:val="21"/>
                <w:szCs w:val="21"/>
                <w:lang w:val="en-US" w:eastAsia="zh-CN"/>
              </w:rPr>
              <w:t xml:space="preserve"> </w:t>
            </w:r>
            <w:r>
              <w:rPr>
                <w:rFonts w:hint="eastAsia"/>
                <w:color w:val="auto"/>
                <w:sz w:val="21"/>
                <w:szCs w:val="21"/>
                <w:lang w:eastAsia="zh-CN"/>
              </w:rPr>
              <w:t>、</w:t>
            </w:r>
            <w:r>
              <w:rPr>
                <w:rFonts w:hint="eastAsia" w:ascii="宋体" w:hAnsi="宋体" w:cs="宋体"/>
                <w:color w:val="auto"/>
                <w:sz w:val="21"/>
                <w:szCs w:val="21"/>
                <w:lang w:val="en-US" w:eastAsia="zh-CN"/>
              </w:rPr>
              <w:t>GB/T9846-2015《普通胶合板》</w:t>
            </w:r>
            <w:r>
              <w:rPr>
                <w:rFonts w:hint="eastAsia"/>
                <w:color w:val="auto"/>
                <w:sz w:val="21"/>
                <w:szCs w:val="21"/>
                <w:lang w:eastAsia="zh-CN"/>
              </w:rPr>
              <w:t>。</w:t>
            </w:r>
          </w:p>
          <w:p>
            <w:pPr>
              <w:pStyle w:val="15"/>
              <w:spacing w:line="360" w:lineRule="auto"/>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.本项目货物不接受进口产品（即通过中国海关报关验放进入中国境内且产自关境外的产品）参与投标，如有此类产品参与投标的作无效投标处理。</w:t>
            </w:r>
          </w:p>
          <w:p>
            <w:pPr>
              <w:pStyle w:val="15"/>
              <w:spacing w:line="360" w:lineRule="auto"/>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.货物验收时，采购人有权对货物进行破坏性测量，产生费用由中标供应商负责。</w:t>
            </w:r>
          </w:p>
          <w:p>
            <w:pPr>
              <w:pStyle w:val="15"/>
              <w:spacing w:line="360" w:lineRule="auto"/>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 xml:space="preserve">.安装工艺：安装螺丝必须使用塑料内外牙套及不锈钢木螺丝，以保证安装门铰的牢固性。所有家具必须坚固、实用、安全、美观，转角处无毛刺。 </w:t>
            </w:r>
          </w:p>
          <w:p>
            <w:pPr>
              <w:pStyle w:val="15"/>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.投标产品的标准及技术要求：投标人所投货物必须是投标品牌的全新产品，并符合相关的国家标准和行业标准。</w:t>
            </w:r>
          </w:p>
          <w:p>
            <w:pPr>
              <w:jc w:val="both"/>
              <w:rPr>
                <w:rFonts w:hint="eastAsia"/>
                <w:color w:val="auto"/>
                <w:sz w:val="21"/>
                <w:szCs w:val="21"/>
                <w:lang w:val="en-US" w:eastAsia="zh-CN"/>
              </w:rPr>
            </w:pPr>
            <w:r>
              <w:rPr>
                <w:rFonts w:hint="eastAsia" w:ascii="宋体" w:hAnsi="宋体" w:cs="宋体"/>
                <w:color w:val="auto"/>
                <w:sz w:val="21"/>
                <w:szCs w:val="21"/>
                <w:highlight w:val="none"/>
                <w:lang w:val="en-US" w:eastAsia="zh-CN"/>
              </w:rPr>
              <w:t>8.</w:t>
            </w:r>
            <w:r>
              <w:rPr>
                <w:rFonts w:hint="eastAsia"/>
                <w:color w:val="auto"/>
                <w:sz w:val="21"/>
                <w:szCs w:val="21"/>
                <w:lang w:val="en-US" w:eastAsia="zh-CN"/>
              </w:rPr>
              <w:t>本项目投标人可提供以下产品的检测（验）报告作为评审依据，所提供的检测（验）报告必须是通过计量认证（CMA标识）的机构出具的方为有效：</w:t>
            </w:r>
          </w:p>
          <w:p>
            <w:pPr>
              <w:numPr>
                <w:ilvl w:val="0"/>
                <w:numId w:val="8"/>
              </w:numPr>
              <w:rPr>
                <w:color w:val="auto"/>
                <w:highlight w:val="none"/>
              </w:rPr>
            </w:pPr>
            <w:r>
              <w:rPr>
                <w:rFonts w:hint="eastAsia"/>
                <w:color w:val="auto"/>
                <w:highlight w:val="none"/>
              </w:rPr>
              <w:t>床桓</w:t>
            </w:r>
            <w:r>
              <w:rPr>
                <w:color w:val="auto"/>
                <w:highlight w:val="none"/>
              </w:rPr>
              <w:t>【检测(验)内容</w:t>
            </w:r>
            <w:r>
              <w:rPr>
                <w:rFonts w:hint="eastAsia"/>
                <w:color w:val="auto"/>
                <w:highlight w:val="none"/>
              </w:rPr>
              <w:t>耐腐蚀≥480h。</w:t>
            </w:r>
            <w:r>
              <w:rPr>
                <w:color w:val="auto"/>
                <w:highlight w:val="none"/>
              </w:rPr>
              <w:t>】</w:t>
            </w:r>
          </w:p>
          <w:p>
            <w:pPr>
              <w:numPr>
                <w:ilvl w:val="0"/>
                <w:numId w:val="8"/>
              </w:numPr>
              <w:rPr>
                <w:color w:val="auto"/>
                <w:highlight w:val="none"/>
              </w:rPr>
            </w:pPr>
            <w:r>
              <w:rPr>
                <w:rFonts w:hint="eastAsia"/>
                <w:color w:val="auto"/>
                <w:highlight w:val="none"/>
              </w:rPr>
              <w:t>床短横梁</w:t>
            </w:r>
            <w:r>
              <w:rPr>
                <w:color w:val="auto"/>
                <w:highlight w:val="none"/>
              </w:rPr>
              <w:t>【检测(验)内容</w:t>
            </w:r>
            <w:r>
              <w:rPr>
                <w:rFonts w:hint="eastAsia"/>
                <w:color w:val="auto"/>
                <w:highlight w:val="none"/>
              </w:rPr>
              <w:t>耐腐蚀≥480h。</w:t>
            </w:r>
            <w:r>
              <w:rPr>
                <w:color w:val="auto"/>
                <w:highlight w:val="none"/>
              </w:rPr>
              <w:t>】</w:t>
            </w:r>
          </w:p>
          <w:p>
            <w:pPr>
              <w:numPr>
                <w:ilvl w:val="0"/>
                <w:numId w:val="8"/>
              </w:numPr>
              <w:rPr>
                <w:color w:val="auto"/>
                <w:highlight w:val="none"/>
              </w:rPr>
            </w:pPr>
            <w:r>
              <w:rPr>
                <w:rFonts w:hint="eastAsia"/>
                <w:color w:val="auto"/>
                <w:highlight w:val="none"/>
              </w:rPr>
              <w:t>床中立柱</w:t>
            </w:r>
            <w:r>
              <w:rPr>
                <w:color w:val="auto"/>
                <w:highlight w:val="none"/>
              </w:rPr>
              <w:t>【检测(验)内容</w:t>
            </w:r>
            <w:r>
              <w:rPr>
                <w:rFonts w:hint="eastAsia"/>
                <w:color w:val="auto"/>
                <w:highlight w:val="none"/>
              </w:rPr>
              <w:t>耐腐蚀≥480h。</w:t>
            </w:r>
            <w:r>
              <w:rPr>
                <w:color w:val="auto"/>
                <w:highlight w:val="none"/>
              </w:rPr>
              <w:t>】</w:t>
            </w:r>
          </w:p>
          <w:p>
            <w:pPr>
              <w:numPr>
                <w:ilvl w:val="0"/>
                <w:numId w:val="8"/>
              </w:numPr>
              <w:rPr>
                <w:color w:val="auto"/>
                <w:highlight w:val="none"/>
              </w:rPr>
            </w:pPr>
            <w:r>
              <w:rPr>
                <w:rFonts w:hint="eastAsia"/>
                <w:color w:val="auto"/>
                <w:highlight w:val="none"/>
              </w:rPr>
              <w:t>床挂件</w:t>
            </w:r>
            <w:r>
              <w:rPr>
                <w:color w:val="auto"/>
                <w:highlight w:val="none"/>
              </w:rPr>
              <w:t>【检测(验)内容</w:t>
            </w:r>
            <w:r>
              <w:rPr>
                <w:rFonts w:hint="eastAsia"/>
                <w:color w:val="auto"/>
                <w:highlight w:val="none"/>
              </w:rPr>
              <w:t>耐腐蚀≥480h。</w:t>
            </w:r>
            <w:r>
              <w:rPr>
                <w:color w:val="auto"/>
                <w:highlight w:val="none"/>
              </w:rPr>
              <w:t>】</w:t>
            </w:r>
          </w:p>
          <w:p>
            <w:pPr>
              <w:numPr>
                <w:ilvl w:val="0"/>
                <w:numId w:val="8"/>
              </w:numPr>
              <w:rPr>
                <w:color w:val="auto"/>
                <w:highlight w:val="none"/>
              </w:rPr>
            </w:pPr>
            <w:r>
              <w:rPr>
                <w:rFonts w:hint="eastAsia"/>
                <w:color w:val="auto"/>
                <w:highlight w:val="none"/>
              </w:rPr>
              <w:t>床爬梯主管</w:t>
            </w:r>
            <w:r>
              <w:rPr>
                <w:color w:val="auto"/>
                <w:highlight w:val="none"/>
              </w:rPr>
              <w:t>【检测(验)内容</w:t>
            </w:r>
            <w:r>
              <w:rPr>
                <w:rFonts w:hint="eastAsia"/>
                <w:color w:val="auto"/>
                <w:highlight w:val="none"/>
              </w:rPr>
              <w:t>耐腐蚀≥480h。</w:t>
            </w:r>
            <w:r>
              <w:rPr>
                <w:color w:val="auto"/>
                <w:highlight w:val="none"/>
              </w:rPr>
              <w:t>】</w:t>
            </w:r>
          </w:p>
          <w:p>
            <w:pPr>
              <w:numPr>
                <w:ilvl w:val="0"/>
                <w:numId w:val="8"/>
              </w:numPr>
              <w:rPr>
                <w:color w:val="auto"/>
                <w:highlight w:val="none"/>
              </w:rPr>
            </w:pPr>
            <w:r>
              <w:rPr>
                <w:rFonts w:hint="eastAsia"/>
                <w:color w:val="auto"/>
                <w:highlight w:val="none"/>
              </w:rPr>
              <w:t>床边立柱</w:t>
            </w:r>
            <w:r>
              <w:rPr>
                <w:color w:val="auto"/>
                <w:highlight w:val="none"/>
              </w:rPr>
              <w:t>【检测(验)内容</w:t>
            </w:r>
            <w:r>
              <w:rPr>
                <w:rFonts w:hint="eastAsia"/>
                <w:color w:val="auto"/>
                <w:highlight w:val="none"/>
              </w:rPr>
              <w:t>耐腐蚀≥480h。</w:t>
            </w:r>
            <w:r>
              <w:rPr>
                <w:color w:val="auto"/>
                <w:highlight w:val="none"/>
              </w:rPr>
              <w:t>】</w:t>
            </w:r>
          </w:p>
          <w:p>
            <w:pPr>
              <w:numPr>
                <w:ilvl w:val="0"/>
                <w:numId w:val="8"/>
              </w:numPr>
              <w:rPr>
                <w:color w:val="auto"/>
                <w:highlight w:val="none"/>
              </w:rPr>
            </w:pPr>
            <w:r>
              <w:rPr>
                <w:rFonts w:hint="eastAsia"/>
                <w:color w:val="auto"/>
                <w:highlight w:val="none"/>
              </w:rPr>
              <w:t>床长横梁</w:t>
            </w:r>
            <w:r>
              <w:rPr>
                <w:color w:val="auto"/>
                <w:highlight w:val="none"/>
              </w:rPr>
              <w:t>【检测(验)内容</w:t>
            </w:r>
            <w:r>
              <w:rPr>
                <w:rFonts w:hint="eastAsia"/>
                <w:color w:val="auto"/>
                <w:highlight w:val="none"/>
              </w:rPr>
              <w:t>耐腐蚀≥480h。</w:t>
            </w:r>
            <w:r>
              <w:rPr>
                <w:color w:val="auto"/>
                <w:highlight w:val="none"/>
              </w:rPr>
              <w:t>】</w:t>
            </w:r>
          </w:p>
          <w:p>
            <w:pPr>
              <w:numPr>
                <w:ilvl w:val="0"/>
                <w:numId w:val="8"/>
              </w:numPr>
              <w:rPr>
                <w:color w:val="auto"/>
                <w:highlight w:val="none"/>
              </w:rPr>
            </w:pPr>
            <w:r>
              <w:rPr>
                <w:rFonts w:hint="eastAsia"/>
                <w:color w:val="auto"/>
                <w:highlight w:val="none"/>
              </w:rPr>
              <w:t>钢制柜层板</w:t>
            </w:r>
            <w:r>
              <w:rPr>
                <w:color w:val="auto"/>
                <w:highlight w:val="none"/>
              </w:rPr>
              <w:t>【检测(验)内容</w:t>
            </w:r>
            <w:r>
              <w:rPr>
                <w:rFonts w:hint="eastAsia"/>
                <w:color w:val="auto"/>
                <w:highlight w:val="none"/>
              </w:rPr>
              <w:t>耐腐蚀≥480h。</w:t>
            </w:r>
            <w:r>
              <w:rPr>
                <w:color w:val="auto"/>
                <w:highlight w:val="none"/>
              </w:rPr>
              <w:t>】</w:t>
            </w:r>
          </w:p>
          <w:p>
            <w:pPr>
              <w:numPr>
                <w:ilvl w:val="0"/>
                <w:numId w:val="8"/>
              </w:numPr>
              <w:rPr>
                <w:color w:val="auto"/>
                <w:highlight w:val="none"/>
              </w:rPr>
            </w:pPr>
            <w:r>
              <w:rPr>
                <w:rFonts w:hint="eastAsia"/>
                <w:color w:val="auto"/>
                <w:highlight w:val="none"/>
              </w:rPr>
              <w:t>钢制柜侧板</w:t>
            </w:r>
            <w:r>
              <w:rPr>
                <w:color w:val="auto"/>
                <w:highlight w:val="none"/>
              </w:rPr>
              <w:t>【检测(验)内容</w:t>
            </w:r>
            <w:r>
              <w:rPr>
                <w:rFonts w:hint="eastAsia"/>
                <w:color w:val="auto"/>
                <w:highlight w:val="none"/>
              </w:rPr>
              <w:t>耐腐蚀≥480h。</w:t>
            </w:r>
            <w:r>
              <w:rPr>
                <w:color w:val="auto"/>
                <w:highlight w:val="none"/>
              </w:rPr>
              <w:t>】</w:t>
            </w:r>
          </w:p>
          <w:p>
            <w:pPr>
              <w:numPr>
                <w:ilvl w:val="0"/>
                <w:numId w:val="8"/>
              </w:numPr>
              <w:rPr>
                <w:color w:val="auto"/>
                <w:highlight w:val="none"/>
              </w:rPr>
            </w:pPr>
            <w:r>
              <w:rPr>
                <w:rFonts w:hint="eastAsia"/>
                <w:color w:val="auto"/>
                <w:highlight w:val="none"/>
              </w:rPr>
              <w:t>钢制柜门板</w:t>
            </w:r>
            <w:r>
              <w:rPr>
                <w:color w:val="auto"/>
                <w:highlight w:val="none"/>
              </w:rPr>
              <w:t>【检测(验)内容</w:t>
            </w:r>
            <w:r>
              <w:rPr>
                <w:rFonts w:hint="eastAsia"/>
                <w:color w:val="auto"/>
                <w:highlight w:val="none"/>
              </w:rPr>
              <w:t>耐腐蚀≥480h。</w:t>
            </w:r>
            <w:r>
              <w:rPr>
                <w:color w:val="auto"/>
                <w:highlight w:val="none"/>
              </w:rPr>
              <w:t>】</w:t>
            </w:r>
          </w:p>
          <w:p>
            <w:pPr>
              <w:numPr>
                <w:ilvl w:val="0"/>
                <w:numId w:val="8"/>
              </w:numPr>
              <w:rPr>
                <w:color w:val="auto"/>
              </w:rPr>
            </w:pPr>
            <w:r>
              <w:rPr>
                <w:rFonts w:hint="eastAsia"/>
                <w:color w:val="auto"/>
              </w:rPr>
              <w:t>木制桌面板【</w:t>
            </w:r>
            <w:r>
              <w:rPr>
                <w:color w:val="auto"/>
              </w:rPr>
              <w:t>检测(验)内容</w:t>
            </w:r>
            <w:r>
              <w:rPr>
                <w:rFonts w:hint="eastAsia"/>
                <w:color w:val="auto"/>
              </w:rPr>
              <w:t>含水率、甲醛释放量】</w:t>
            </w:r>
          </w:p>
          <w:p>
            <w:pPr>
              <w:numPr>
                <w:ilvl w:val="0"/>
                <w:numId w:val="8"/>
              </w:numPr>
              <w:rPr>
                <w:color w:val="auto"/>
              </w:rPr>
            </w:pPr>
            <w:r>
              <w:rPr>
                <w:rFonts w:hint="eastAsia"/>
                <w:color w:val="auto"/>
                <w:lang w:val="en-US" w:eastAsia="zh-CN"/>
              </w:rPr>
              <w:t>胶合板</w:t>
            </w:r>
            <w:r>
              <w:rPr>
                <w:rFonts w:hint="eastAsia"/>
                <w:color w:val="auto"/>
              </w:rPr>
              <w:t>【</w:t>
            </w:r>
            <w:r>
              <w:rPr>
                <w:color w:val="auto"/>
              </w:rPr>
              <w:t>检测(验)内容</w:t>
            </w:r>
            <w:r>
              <w:rPr>
                <w:rFonts w:hint="eastAsia"/>
                <w:color w:val="auto"/>
              </w:rPr>
              <w:t>含水率、甲醛释放量】</w:t>
            </w:r>
          </w:p>
          <w:p>
            <w:pPr>
              <w:numPr>
                <w:ilvl w:val="0"/>
                <w:numId w:val="8"/>
              </w:numPr>
              <w:rPr>
                <w:color w:val="auto"/>
              </w:rPr>
            </w:pPr>
            <w:r>
              <w:rPr>
                <w:rFonts w:hint="eastAsia"/>
                <w:color w:val="auto"/>
              </w:rPr>
              <w:t>课桌椅脚管（冷轧钢板）【</w:t>
            </w:r>
            <w:r>
              <w:rPr>
                <w:color w:val="auto"/>
              </w:rPr>
              <w:t>检测(验)内容</w:t>
            </w:r>
            <w:r>
              <w:rPr>
                <w:rFonts w:hint="eastAsia"/>
                <w:color w:val="auto"/>
              </w:rPr>
              <w:t>抗拉强度、断后伸长率、厚度≥1.0】</w:t>
            </w:r>
          </w:p>
          <w:p>
            <w:pPr>
              <w:numPr>
                <w:ilvl w:val="0"/>
                <w:numId w:val="8"/>
              </w:numPr>
              <w:rPr>
                <w:color w:val="auto"/>
              </w:rPr>
            </w:pPr>
            <w:r>
              <w:rPr>
                <w:rFonts w:hint="eastAsia"/>
                <w:color w:val="auto"/>
              </w:rPr>
              <w:t>课桌椅侧横管（冷轧钢板）【</w:t>
            </w:r>
            <w:r>
              <w:rPr>
                <w:color w:val="auto"/>
              </w:rPr>
              <w:t>检测(验)内容</w:t>
            </w:r>
            <w:r>
              <w:rPr>
                <w:rFonts w:hint="eastAsia"/>
                <w:color w:val="auto"/>
              </w:rPr>
              <w:t>抗拉强度、断后伸长率、厚度≥1.0】</w:t>
            </w:r>
          </w:p>
          <w:p>
            <w:pPr>
              <w:numPr>
                <w:ilvl w:val="0"/>
                <w:numId w:val="8"/>
              </w:numPr>
              <w:rPr>
                <w:color w:val="auto"/>
              </w:rPr>
            </w:pPr>
            <w:r>
              <w:rPr>
                <w:rFonts w:hint="eastAsia"/>
                <w:color w:val="auto"/>
              </w:rPr>
              <w:t>课桌椅长横管（冷轧钢板）【</w:t>
            </w:r>
            <w:r>
              <w:rPr>
                <w:color w:val="auto"/>
              </w:rPr>
              <w:t>检测(验)内容</w:t>
            </w:r>
            <w:r>
              <w:rPr>
                <w:rFonts w:hint="eastAsia"/>
                <w:color w:val="auto"/>
              </w:rPr>
              <w:t>抗拉强度、断后伸长率、厚度≥1.0】</w:t>
            </w:r>
          </w:p>
          <w:p>
            <w:pPr>
              <w:pStyle w:val="15"/>
              <w:spacing w:line="360" w:lineRule="auto"/>
              <w:rPr>
                <w:rFonts w:hint="default" w:ascii="宋体" w:hAnsi="宋体" w:eastAsia="宋体" w:cs="宋体"/>
                <w:color w:val="auto"/>
                <w:sz w:val="21"/>
                <w:szCs w:val="21"/>
                <w:highlight w:val="none"/>
                <w:lang w:val="en-US" w:eastAsia="zh-CN"/>
              </w:rPr>
            </w:pPr>
          </w:p>
        </w:tc>
      </w:tr>
    </w:tbl>
    <w:p>
      <w:pPr>
        <w:outlineLvl w:val="0"/>
        <w:rPr>
          <w:rFonts w:eastAsia="黑体"/>
          <w:color w:val="auto"/>
          <w:sz w:val="32"/>
          <w:szCs w:val="32"/>
        </w:rPr>
      </w:pPr>
    </w:p>
    <w:p>
      <w:pPr>
        <w:outlineLvl w:val="0"/>
        <w:rPr>
          <w:rFonts w:eastAsia="黑体"/>
          <w:color w:val="auto"/>
          <w:sz w:val="32"/>
          <w:szCs w:val="32"/>
        </w:rPr>
      </w:pPr>
    </w:p>
    <w:p>
      <w:pPr>
        <w:jc w:val="left"/>
        <w:rPr>
          <w:rFonts w:ascii="仿宋" w:hAnsi="仿宋" w:eastAsia="仿宋" w:cs="仿宋"/>
          <w:b/>
          <w:color w:val="auto"/>
          <w:sz w:val="24"/>
        </w:rPr>
      </w:pPr>
    </w:p>
    <w:p>
      <w:pPr>
        <w:jc w:val="left"/>
        <w:rPr>
          <w:rFonts w:ascii="仿宋" w:hAnsi="仿宋" w:eastAsia="仿宋" w:cs="仿宋"/>
          <w:b/>
          <w:color w:val="auto"/>
          <w:sz w:val="24"/>
        </w:rPr>
      </w:pPr>
    </w:p>
    <w:p>
      <w:pPr>
        <w:jc w:val="left"/>
        <w:rPr>
          <w:rFonts w:ascii="仿宋" w:hAnsi="仿宋" w:eastAsia="仿宋" w:cs="仿宋"/>
          <w:b/>
          <w:color w:val="auto"/>
          <w:sz w:val="24"/>
        </w:rPr>
      </w:pPr>
    </w:p>
    <w:p>
      <w:pPr>
        <w:jc w:val="left"/>
        <w:rPr>
          <w:rFonts w:ascii="仿宋" w:hAnsi="仿宋" w:eastAsia="仿宋" w:cs="仿宋"/>
          <w:b/>
          <w:color w:val="auto"/>
          <w:sz w:val="24"/>
        </w:rPr>
      </w:pPr>
    </w:p>
    <w:p>
      <w:pPr>
        <w:jc w:val="left"/>
        <w:rPr>
          <w:rFonts w:ascii="仿宋" w:hAnsi="仿宋" w:eastAsia="仿宋" w:cs="仿宋"/>
          <w:b/>
          <w:color w:val="auto"/>
          <w:sz w:val="24"/>
        </w:rPr>
      </w:pPr>
    </w:p>
    <w:p>
      <w:pPr>
        <w:jc w:val="left"/>
        <w:rPr>
          <w:rFonts w:ascii="仿宋" w:hAnsi="仿宋" w:eastAsia="仿宋" w:cs="仿宋"/>
          <w:b/>
          <w:color w:val="auto"/>
          <w:sz w:val="24"/>
        </w:rPr>
      </w:pPr>
      <w:r>
        <w:rPr>
          <w:rFonts w:ascii="仿宋" w:hAnsi="仿宋" w:eastAsia="仿宋" w:cs="仿宋"/>
          <w:b/>
          <w:color w:val="auto"/>
          <w:sz w:val="24"/>
        </w:rPr>
        <w:t>附图一</w:t>
      </w:r>
      <w:r>
        <w:rPr>
          <w:rFonts w:hint="eastAsia" w:ascii="仿宋" w:hAnsi="仿宋" w:eastAsia="仿宋" w:cs="仿宋"/>
          <w:b/>
          <w:color w:val="auto"/>
          <w:sz w:val="24"/>
        </w:rPr>
        <w:t>、</w:t>
      </w:r>
      <w:r>
        <w:rPr>
          <w:rFonts w:ascii="仿宋" w:hAnsi="仿宋" w:eastAsia="仿宋" w:cs="仿宋"/>
          <w:b/>
          <w:color w:val="auto"/>
          <w:sz w:val="24"/>
        </w:rPr>
        <w:t>三连体组合公寓床</w:t>
      </w:r>
    </w:p>
    <w:p>
      <w:pPr>
        <w:rPr>
          <w:color w:val="auto"/>
        </w:rPr>
      </w:pPr>
      <w:r>
        <w:rPr>
          <w:color w:val="auto"/>
        </w:rPr>
        <w:drawing>
          <wp:inline distT="0" distB="0" distL="114300" distR="114300">
            <wp:extent cx="6172200" cy="4343400"/>
            <wp:effectExtent l="0" t="0" r="0" b="0"/>
            <wp:docPr id="2" name="图片 1" descr="f9757220e794095bbec3972c4480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9757220e794095bbec3972c44808cf"/>
                    <pic:cNvPicPr>
                      <a:picLocks noChangeAspect="1"/>
                    </pic:cNvPicPr>
                  </pic:nvPicPr>
                  <pic:blipFill>
                    <a:blip r:embed="rId8"/>
                    <a:stretch>
                      <a:fillRect/>
                    </a:stretch>
                  </pic:blipFill>
                  <pic:spPr>
                    <a:xfrm>
                      <a:off x="0" y="0"/>
                      <a:ext cx="6172200" cy="4343400"/>
                    </a:xfrm>
                    <a:prstGeom prst="rect">
                      <a:avLst/>
                    </a:prstGeom>
                    <a:noFill/>
                    <a:ln>
                      <a:noFill/>
                    </a:ln>
                  </pic:spPr>
                </pic:pic>
              </a:graphicData>
            </a:graphic>
          </wp:inline>
        </w:drawing>
      </w:r>
    </w:p>
    <w:p>
      <w:pPr>
        <w:jc w:val="center"/>
        <w:rPr>
          <w:rFonts w:ascii="宋体" w:hAnsi="宋体" w:cs="宋体"/>
          <w:color w:val="auto"/>
          <w:sz w:val="22"/>
        </w:rPr>
      </w:pPr>
      <w:r>
        <w:rPr>
          <w:color w:val="auto"/>
        </w:rPr>
        <w:drawing>
          <wp:inline distT="0" distB="0" distL="114300" distR="114300">
            <wp:extent cx="5524500" cy="390525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524500" cy="3905250"/>
                    </a:xfrm>
                    <a:prstGeom prst="rect">
                      <a:avLst/>
                    </a:prstGeom>
                    <a:noFill/>
                    <a:ln>
                      <a:noFill/>
                    </a:ln>
                  </pic:spPr>
                </pic:pic>
              </a:graphicData>
            </a:graphic>
          </wp:inline>
        </w:drawing>
      </w:r>
    </w:p>
    <w:p>
      <w:pPr>
        <w:jc w:val="left"/>
        <w:rPr>
          <w:rFonts w:ascii="仿宋" w:hAnsi="仿宋" w:eastAsia="仿宋" w:cs="仿宋"/>
          <w:color w:val="auto"/>
          <w:sz w:val="24"/>
        </w:rPr>
      </w:pPr>
    </w:p>
    <w:p>
      <w:pPr>
        <w:jc w:val="left"/>
        <w:rPr>
          <w:rFonts w:ascii="仿宋" w:hAnsi="仿宋" w:eastAsia="仿宋" w:cs="仿宋"/>
          <w:color w:val="auto"/>
          <w:sz w:val="24"/>
        </w:rPr>
      </w:pPr>
      <w:r>
        <w:rPr>
          <w:rFonts w:ascii="仿宋" w:hAnsi="仿宋" w:eastAsia="仿宋" w:cs="仿宋"/>
          <w:color w:val="auto"/>
          <w:sz w:val="24"/>
        </w:rPr>
        <w:drawing>
          <wp:inline distT="0" distB="0" distL="114300" distR="114300">
            <wp:extent cx="5238750" cy="2971800"/>
            <wp:effectExtent l="0" t="0" r="0" b="0"/>
            <wp:docPr id="4" name="图片 3" descr="/private/var/mobile/Containers/Data/Application/742A8570-5DE1-460D-8712-5B97248E1166/tmp/insert_image_tmp_dir/2020-04-07 23:59:07.493000.png2020-04-07 23:59:07.49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private/var/mobile/Containers/Data/Application/742A8570-5DE1-460D-8712-5B97248E1166/tmp/insert_image_tmp_dir/2020-04-07 23:59:07.493000.png2020-04-07 23:59:07.493000"/>
                    <pic:cNvPicPr>
                      <a:picLocks noChangeAspect="1"/>
                    </pic:cNvPicPr>
                  </pic:nvPicPr>
                  <pic:blipFill>
                    <a:blip r:embed="rId10"/>
                    <a:stretch>
                      <a:fillRect/>
                    </a:stretch>
                  </pic:blipFill>
                  <pic:spPr>
                    <a:xfrm>
                      <a:off x="0" y="0"/>
                      <a:ext cx="5238750" cy="2971800"/>
                    </a:xfrm>
                    <a:prstGeom prst="rect">
                      <a:avLst/>
                    </a:prstGeom>
                    <a:noFill/>
                    <a:ln>
                      <a:noFill/>
                    </a:ln>
                  </pic:spPr>
                </pic:pic>
              </a:graphicData>
            </a:graphic>
          </wp:inline>
        </w:drawing>
      </w:r>
    </w:p>
    <w:p>
      <w:pPr>
        <w:jc w:val="center"/>
        <w:rPr>
          <w:rFonts w:ascii="仿宋" w:hAnsi="仿宋" w:eastAsia="仿宋" w:cs="仿宋"/>
          <w:color w:val="auto"/>
          <w:sz w:val="24"/>
        </w:rPr>
      </w:pPr>
    </w:p>
    <w:p>
      <w:pPr>
        <w:pStyle w:val="4"/>
        <w:rPr>
          <w:color w:val="auto"/>
        </w:rPr>
      </w:pPr>
    </w:p>
    <w:p>
      <w:pPr>
        <w:jc w:val="left"/>
        <w:rPr>
          <w:rFonts w:ascii="仿宋" w:hAnsi="仿宋" w:eastAsia="仿宋" w:cs="仿宋"/>
          <w:color w:val="auto"/>
          <w:sz w:val="24"/>
        </w:rPr>
      </w:pPr>
      <w:r>
        <w:rPr>
          <w:rFonts w:ascii="仿宋" w:hAnsi="仿宋" w:eastAsia="仿宋" w:cs="仿宋"/>
          <w:b/>
          <w:color w:val="auto"/>
          <w:sz w:val="24"/>
        </w:rPr>
        <w:t>附图</w:t>
      </w:r>
      <w:r>
        <w:rPr>
          <w:rFonts w:hint="eastAsia" w:ascii="仿宋" w:hAnsi="仿宋" w:eastAsia="仿宋" w:cs="仿宋"/>
          <w:b/>
          <w:color w:val="auto"/>
          <w:sz w:val="24"/>
        </w:rPr>
        <w:t>二</w:t>
      </w:r>
      <w:r>
        <w:rPr>
          <w:rFonts w:ascii="仿宋" w:hAnsi="仿宋" w:eastAsia="仿宋" w:cs="仿宋"/>
          <w:b/>
          <w:color w:val="auto"/>
          <w:sz w:val="24"/>
        </w:rPr>
        <w:t>、</w:t>
      </w:r>
      <w:r>
        <w:rPr>
          <w:rFonts w:hint="eastAsia" w:ascii="仿宋" w:hAnsi="仿宋" w:eastAsia="仿宋" w:cs="仿宋"/>
          <w:b/>
          <w:color w:val="auto"/>
          <w:sz w:val="24"/>
        </w:rPr>
        <w:t>靠背椅</w:t>
      </w:r>
      <w:r>
        <w:rPr>
          <w:rFonts w:ascii="仿宋" w:hAnsi="仿宋" w:eastAsia="仿宋" w:cs="仿宋"/>
          <w:b/>
          <w:color w:val="auto"/>
          <w:sz w:val="24"/>
        </w:rPr>
        <w:t>参考图</w:t>
      </w:r>
    </w:p>
    <w:p>
      <w:pPr>
        <w:jc w:val="center"/>
        <w:rPr>
          <w:rFonts w:ascii="仿宋" w:hAnsi="仿宋" w:eastAsia="仿宋" w:cs="仿宋"/>
          <w:color w:val="auto"/>
          <w:sz w:val="24"/>
        </w:rPr>
      </w:pPr>
      <w:r>
        <w:rPr>
          <w:color w:val="auto"/>
        </w:rPr>
        <w:object>
          <v:shape id="_x0000_i1025" o:spt="75" type="#_x0000_t75" style="height:269.2pt;width:224.75pt;" o:ole="t" filled="f" o:preferrelative="t" stroked="f" coordsize="21600,21600">
            <v:path/>
            <v:fill on="f" focussize="0,0"/>
            <v:stroke on="f" joinstyle="miter"/>
            <v:imagedata r:id="rId12" o:title=""/>
            <o:lock v:ext="edit" aspectratio="t"/>
            <w10:wrap type="none"/>
            <w10:anchorlock/>
          </v:shape>
          <o:OLEObject Type="Embed" ProgID="StaticMetafile" ShapeID="_x0000_i1025" DrawAspect="Content" ObjectID="_1468075725" r:id="rId11">
            <o:LockedField>false</o:LockedField>
          </o:OLEObject>
        </w:object>
      </w:r>
    </w:p>
    <w:p>
      <w:pPr>
        <w:jc w:val="left"/>
        <w:rPr>
          <w:rFonts w:ascii="仿宋" w:hAnsi="仿宋" w:eastAsia="仿宋" w:cs="仿宋"/>
          <w:b/>
          <w:color w:val="auto"/>
          <w:sz w:val="24"/>
        </w:rPr>
      </w:pPr>
    </w:p>
    <w:p>
      <w:pPr>
        <w:jc w:val="left"/>
        <w:rPr>
          <w:rFonts w:ascii="仿宋" w:hAnsi="仿宋" w:eastAsia="仿宋" w:cs="仿宋"/>
          <w:b/>
          <w:color w:val="auto"/>
          <w:sz w:val="24"/>
        </w:rPr>
      </w:pPr>
    </w:p>
    <w:p>
      <w:pPr>
        <w:jc w:val="left"/>
        <w:rPr>
          <w:rFonts w:ascii="仿宋" w:hAnsi="仿宋" w:eastAsia="仿宋" w:cs="仿宋"/>
          <w:b/>
          <w:color w:val="auto"/>
          <w:sz w:val="24"/>
        </w:rPr>
      </w:pPr>
    </w:p>
    <w:p>
      <w:pPr>
        <w:jc w:val="left"/>
        <w:rPr>
          <w:rFonts w:ascii="仿宋" w:hAnsi="仿宋" w:eastAsia="仿宋" w:cs="仿宋"/>
          <w:b/>
          <w:color w:val="auto"/>
          <w:sz w:val="24"/>
        </w:rPr>
      </w:pPr>
    </w:p>
    <w:p>
      <w:pPr>
        <w:jc w:val="left"/>
        <w:rPr>
          <w:rFonts w:ascii="仿宋" w:hAnsi="仿宋" w:eastAsia="仿宋" w:cs="仿宋"/>
          <w:b/>
          <w:color w:val="auto"/>
          <w:sz w:val="24"/>
        </w:rPr>
      </w:pPr>
    </w:p>
    <w:p>
      <w:pPr>
        <w:jc w:val="left"/>
        <w:rPr>
          <w:rFonts w:ascii="仿宋" w:hAnsi="仿宋" w:eastAsia="仿宋" w:cs="仿宋"/>
          <w:color w:val="auto"/>
          <w:sz w:val="24"/>
        </w:rPr>
      </w:pPr>
      <w:r>
        <w:rPr>
          <w:rFonts w:ascii="仿宋" w:hAnsi="仿宋" w:eastAsia="仿宋" w:cs="仿宋"/>
          <w:b/>
          <w:color w:val="auto"/>
          <w:sz w:val="24"/>
        </w:rPr>
        <w:t>附图</w:t>
      </w:r>
      <w:r>
        <w:rPr>
          <w:rFonts w:hint="eastAsia" w:ascii="仿宋" w:hAnsi="仿宋" w:eastAsia="仿宋" w:cs="仿宋"/>
          <w:b/>
          <w:color w:val="auto"/>
          <w:sz w:val="24"/>
        </w:rPr>
        <w:t>三</w:t>
      </w:r>
      <w:r>
        <w:rPr>
          <w:rFonts w:ascii="仿宋" w:hAnsi="仿宋" w:eastAsia="仿宋" w:cs="仿宋"/>
          <w:b/>
          <w:color w:val="auto"/>
          <w:sz w:val="24"/>
        </w:rPr>
        <w:t>、</w:t>
      </w:r>
      <w:r>
        <w:rPr>
          <w:rFonts w:hint="eastAsia" w:ascii="仿宋" w:hAnsi="仿宋" w:eastAsia="仿宋" w:cs="仿宋"/>
          <w:b/>
          <w:color w:val="auto"/>
          <w:sz w:val="24"/>
        </w:rPr>
        <w:t>无障碍家具</w:t>
      </w:r>
      <w:r>
        <w:rPr>
          <w:rFonts w:ascii="仿宋" w:hAnsi="仿宋" w:eastAsia="仿宋" w:cs="仿宋"/>
          <w:b/>
          <w:color w:val="auto"/>
          <w:sz w:val="24"/>
        </w:rPr>
        <w:t xml:space="preserve">参考图 </w:t>
      </w:r>
    </w:p>
    <w:p>
      <w:pPr>
        <w:jc w:val="center"/>
        <w:rPr>
          <w:rFonts w:ascii="仿宋" w:hAnsi="仿宋" w:eastAsia="仿宋" w:cs="仿宋"/>
          <w:color w:val="auto"/>
          <w:sz w:val="24"/>
        </w:rPr>
      </w:pPr>
      <w:r>
        <w:rPr>
          <w:rFonts w:ascii="仿宋" w:hAnsi="仿宋" w:eastAsia="仿宋" w:cs="仿宋"/>
          <w:color w:val="auto"/>
          <w:sz w:val="24"/>
        </w:rPr>
        <w:drawing>
          <wp:inline distT="0" distB="0" distL="114300" distR="114300">
            <wp:extent cx="5257800" cy="4210050"/>
            <wp:effectExtent l="0" t="0" r="0" b="0"/>
            <wp:docPr id="5" name="图片 5" descr="d8db74b0d744fcf362b3f678d855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8db74b0d744fcf362b3f678d85591d"/>
                    <pic:cNvPicPr>
                      <a:picLocks noChangeAspect="1"/>
                    </pic:cNvPicPr>
                  </pic:nvPicPr>
                  <pic:blipFill>
                    <a:blip r:embed="rId13"/>
                    <a:stretch>
                      <a:fillRect/>
                    </a:stretch>
                  </pic:blipFill>
                  <pic:spPr>
                    <a:xfrm>
                      <a:off x="0" y="0"/>
                      <a:ext cx="5257800" cy="4210050"/>
                    </a:xfrm>
                    <a:prstGeom prst="rect">
                      <a:avLst/>
                    </a:prstGeom>
                    <a:noFill/>
                    <a:ln>
                      <a:noFill/>
                    </a:ln>
                  </pic:spPr>
                </pic:pic>
              </a:graphicData>
            </a:graphic>
          </wp:inline>
        </w:drawing>
      </w:r>
    </w:p>
    <w:p>
      <w:pPr>
        <w:rPr>
          <w:color w:val="auto"/>
        </w:rPr>
      </w:pPr>
      <w:r>
        <w:rPr>
          <w:color w:val="auto"/>
        </w:rPr>
        <w:drawing>
          <wp:inline distT="0" distB="0" distL="114300" distR="114300">
            <wp:extent cx="5105400" cy="40671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105400" cy="4067175"/>
                    </a:xfrm>
                    <a:prstGeom prst="rect">
                      <a:avLst/>
                    </a:prstGeom>
                    <a:noFill/>
                    <a:ln>
                      <a:noFill/>
                    </a:ln>
                  </pic:spPr>
                </pic:pic>
              </a:graphicData>
            </a:graphic>
          </wp:inline>
        </w:drawing>
      </w:r>
    </w:p>
    <w:p>
      <w:pPr>
        <w:pStyle w:val="4"/>
        <w:rPr>
          <w:color w:val="auto"/>
        </w:rPr>
      </w:pPr>
      <w:r>
        <w:rPr>
          <w:color w:val="auto"/>
        </w:rPr>
        <w:drawing>
          <wp:inline distT="0" distB="0" distL="114300" distR="114300">
            <wp:extent cx="5276850" cy="4219575"/>
            <wp:effectExtent l="0" t="0" r="0" b="9525"/>
            <wp:docPr id="7" name="图片 7" descr="/private/var/mobile/Containers/Data/Application/742A8570-5DE1-460D-8712-5B97248E1166/tmp/insert_image_tmp_dir/2020-04-07 23:58:49.294000.png2020-04-07 23:58:49.2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mobile/Containers/Data/Application/742A8570-5DE1-460D-8712-5B97248E1166/tmp/insert_image_tmp_dir/2020-04-07 23:58:49.294000.png2020-04-07 23:58:49.294000"/>
                    <pic:cNvPicPr>
                      <a:picLocks noChangeAspect="1"/>
                    </pic:cNvPicPr>
                  </pic:nvPicPr>
                  <pic:blipFill>
                    <a:blip r:embed="rId15"/>
                    <a:stretch>
                      <a:fillRect/>
                    </a:stretch>
                  </pic:blipFill>
                  <pic:spPr>
                    <a:xfrm>
                      <a:off x="0" y="0"/>
                      <a:ext cx="5276850" cy="4219575"/>
                    </a:xfrm>
                    <a:prstGeom prst="rect">
                      <a:avLst/>
                    </a:prstGeom>
                    <a:noFill/>
                    <a:ln>
                      <a:noFill/>
                    </a:ln>
                  </pic:spPr>
                </pic:pic>
              </a:graphicData>
            </a:graphic>
          </wp:inline>
        </w:drawing>
      </w:r>
    </w:p>
    <w:p>
      <w:pPr>
        <w:pStyle w:val="15"/>
        <w:rPr>
          <w:color w:val="auto"/>
        </w:rPr>
      </w:pPr>
    </w:p>
    <w:p>
      <w:pPr>
        <w:outlineLvl w:val="0"/>
        <w:rPr>
          <w:rFonts w:eastAsia="黑体"/>
          <w:color w:val="auto"/>
          <w:sz w:val="32"/>
          <w:szCs w:val="32"/>
        </w:rPr>
      </w:pPr>
      <w:r>
        <w:rPr>
          <w:color w:val="auto"/>
        </w:rPr>
        <w:drawing>
          <wp:inline distT="0" distB="0" distL="114300" distR="114300">
            <wp:extent cx="5276850" cy="3733800"/>
            <wp:effectExtent l="0" t="0" r="0" b="0"/>
            <wp:docPr id="8" name="图片 8" descr="/private/var/mobile/Containers/Data/Application/742A8570-5DE1-460D-8712-5B97248E1166/tmp/insert_image_tmp_dir/2020-04-08 00:03:07.184000.png2020-04-08 00:03:07.18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rivate/var/mobile/Containers/Data/Application/742A8570-5DE1-460D-8712-5B97248E1166/tmp/insert_image_tmp_dir/2020-04-08 00:03:07.184000.png2020-04-08 00:03:07.184000"/>
                    <pic:cNvPicPr>
                      <a:picLocks noChangeAspect="1"/>
                    </pic:cNvPicPr>
                  </pic:nvPicPr>
                  <pic:blipFill>
                    <a:blip r:embed="rId16"/>
                    <a:stretch>
                      <a:fillRect/>
                    </a:stretch>
                  </pic:blipFill>
                  <pic:spPr>
                    <a:xfrm>
                      <a:off x="0" y="0"/>
                      <a:ext cx="5276850" cy="3733800"/>
                    </a:xfrm>
                    <a:prstGeom prst="rect">
                      <a:avLst/>
                    </a:prstGeom>
                    <a:noFill/>
                    <a:ln>
                      <a:noFill/>
                    </a:ln>
                  </pic:spPr>
                </pic:pic>
              </a:graphicData>
            </a:graphic>
          </wp:inline>
        </w:drawing>
      </w:r>
    </w:p>
    <w:p>
      <w:pPr>
        <w:outlineLvl w:val="0"/>
        <w:rPr>
          <w:rFonts w:eastAsia="黑体"/>
          <w:color w:val="auto"/>
          <w:sz w:val="32"/>
          <w:szCs w:val="32"/>
        </w:rPr>
      </w:pPr>
    </w:p>
    <w:p>
      <w:pPr>
        <w:keepNext w:val="0"/>
        <w:keepLines w:val="0"/>
        <w:pageBreakBefore w:val="0"/>
        <w:kinsoku/>
        <w:wordWrap/>
        <w:overflowPunct/>
        <w:topLinePunct w:val="0"/>
        <w:bidi w:val="0"/>
        <w:snapToGrid/>
        <w:spacing w:line="380" w:lineRule="exact"/>
        <w:jc w:val="center"/>
        <w:textAlignment w:val="auto"/>
        <w:outlineLvl w:val="0"/>
        <w:rPr>
          <w:rFonts w:hint="eastAsia" w:asciiTheme="minorEastAsia" w:hAnsiTheme="minorEastAsia" w:eastAsiaTheme="minorEastAsia" w:cstheme="minorEastAsia"/>
          <w:color w:val="auto"/>
          <w:sz w:val="32"/>
          <w:szCs w:val="32"/>
        </w:rPr>
      </w:pPr>
      <w:bookmarkStart w:id="157" w:name="_Toc24159"/>
      <w:bookmarkStart w:id="158" w:name="_Toc18150"/>
      <w:r>
        <w:rPr>
          <w:rFonts w:hint="eastAsia" w:asciiTheme="minorEastAsia" w:hAnsiTheme="minorEastAsia" w:eastAsiaTheme="minorEastAsia" w:cstheme="minorEastAsia"/>
          <w:color w:val="auto"/>
          <w:sz w:val="32"/>
          <w:szCs w:val="32"/>
        </w:rPr>
        <w:t>第四章评标办法</w:t>
      </w:r>
      <w:bookmarkEnd w:id="157"/>
      <w:bookmarkEnd w:id="158"/>
    </w:p>
    <w:p>
      <w:pPr>
        <w:keepNext w:val="0"/>
        <w:keepLines w:val="0"/>
        <w:pageBreakBefore w:val="0"/>
        <w:kinsoku/>
        <w:wordWrap/>
        <w:overflowPunct/>
        <w:topLinePunct w:val="0"/>
        <w:bidi w:val="0"/>
        <w:snapToGrid/>
        <w:spacing w:line="380" w:lineRule="exact"/>
        <w:ind w:firstLine="426" w:firstLineChars="202"/>
        <w:jc w:val="left"/>
        <w:textAlignment w:val="auto"/>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一、评标原则</w:t>
      </w:r>
    </w:p>
    <w:p>
      <w:pPr>
        <w:pStyle w:val="18"/>
        <w:keepNext w:val="0"/>
        <w:keepLines w:val="0"/>
        <w:pageBreakBefore w:val="0"/>
        <w:kinsoku/>
        <w:wordWrap/>
        <w:overflowPunct/>
        <w:topLinePunct w:val="0"/>
        <w:bidi w:val="0"/>
        <w:adjustRightInd w:val="0"/>
        <w:snapToGrid/>
        <w:spacing w:line="380" w:lineRule="exact"/>
        <w:ind w:firstLine="420" w:firstLineChars="200"/>
        <w:contextualSpacing/>
        <w:textAlignment w:val="auto"/>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（一）评委会组成：本招标采购项目的评标委员会由采购人代表、技术和经济等方面的专家组成。其中，专家评委不得少于成员总数的三分之二。</w:t>
      </w:r>
    </w:p>
    <w:p>
      <w:pPr>
        <w:pStyle w:val="18"/>
        <w:keepNext w:val="0"/>
        <w:keepLines w:val="0"/>
        <w:pageBreakBefore w:val="0"/>
        <w:kinsoku/>
        <w:wordWrap/>
        <w:overflowPunct/>
        <w:topLinePunct w:val="0"/>
        <w:bidi w:val="0"/>
        <w:adjustRightInd w:val="0"/>
        <w:snapToGrid/>
        <w:spacing w:line="380" w:lineRule="exact"/>
        <w:ind w:firstLine="420" w:firstLineChars="200"/>
        <w:contextualSpacing/>
        <w:textAlignment w:val="auto"/>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（二）评标依据：评委将以招投标文件为评标依据，对投标人的投标</w:t>
      </w:r>
      <w:r>
        <w:rPr>
          <w:rFonts w:hint="eastAsia" w:asciiTheme="minorEastAsia" w:hAnsiTheme="minorEastAsia" w:eastAsiaTheme="minorEastAsia" w:cstheme="minorEastAsia"/>
          <w:color w:val="auto"/>
          <w:szCs w:val="21"/>
        </w:rPr>
        <w:t>报价、技术性能、履约能力、售后服务及政策功能等方面内容按百分制打分。</w:t>
      </w:r>
    </w:p>
    <w:p>
      <w:pPr>
        <w:pStyle w:val="18"/>
        <w:keepNext w:val="0"/>
        <w:keepLines w:val="0"/>
        <w:pageBreakBefore w:val="0"/>
        <w:kinsoku/>
        <w:wordWrap/>
        <w:overflowPunct/>
        <w:topLinePunct w:val="0"/>
        <w:bidi w:val="0"/>
        <w:adjustRightInd w:val="0"/>
        <w:snapToGrid/>
        <w:spacing w:line="380" w:lineRule="exact"/>
        <w:ind w:firstLine="420" w:firstLineChars="200"/>
        <w:contextualSpacing/>
        <w:textAlignment w:val="auto"/>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（三）评标方式：以封闭方式进行。</w:t>
      </w:r>
    </w:p>
    <w:p>
      <w:pPr>
        <w:keepNext w:val="0"/>
        <w:keepLines w:val="0"/>
        <w:pageBreakBefore w:val="0"/>
        <w:kinsoku/>
        <w:wordWrap/>
        <w:overflowPunct/>
        <w:topLinePunct w:val="0"/>
        <w:bidi w:val="0"/>
        <w:snapToGrid/>
        <w:spacing w:line="380" w:lineRule="exact"/>
        <w:ind w:firstLine="420" w:firstLineChars="200"/>
        <w:textAlignment w:val="auto"/>
        <w:rPr>
          <w:rFonts w:hint="eastAsia" w:asciiTheme="minorEastAsia" w:hAnsiTheme="minorEastAsia" w:eastAsiaTheme="minorEastAsia" w:cstheme="minorEastAsia"/>
          <w:bCs/>
          <w:color w:val="auto"/>
          <w:szCs w:val="20"/>
        </w:rPr>
      </w:pPr>
      <w:r>
        <w:rPr>
          <w:rFonts w:hint="eastAsia" w:asciiTheme="minorEastAsia" w:hAnsiTheme="minorEastAsia" w:eastAsiaTheme="minorEastAsia" w:cstheme="minorEastAsia"/>
          <w:bCs/>
          <w:color w:val="auto"/>
          <w:szCs w:val="20"/>
        </w:rPr>
        <w:t>（四）采购人和采购代理机构、评标委员会成员要严格遵守政府采购相关法律制度，依法履行各自职责，公正、客观、审慎地组织和参与评审工作。</w:t>
      </w:r>
    </w:p>
    <w:p>
      <w:pPr>
        <w:keepNext w:val="0"/>
        <w:keepLines w:val="0"/>
        <w:pageBreakBefore w:val="0"/>
        <w:kinsoku/>
        <w:wordWrap/>
        <w:overflowPunct/>
        <w:topLinePunct w:val="0"/>
        <w:bidi w:val="0"/>
        <w:snapToGrid/>
        <w:spacing w:line="380" w:lineRule="exact"/>
        <w:ind w:firstLine="426" w:firstLineChars="202"/>
        <w:jc w:val="left"/>
        <w:textAlignment w:val="auto"/>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二、评定方法</w:t>
      </w:r>
    </w:p>
    <w:p>
      <w:pPr>
        <w:pStyle w:val="18"/>
        <w:keepNext w:val="0"/>
        <w:keepLines w:val="0"/>
        <w:pageBreakBefore w:val="0"/>
        <w:kinsoku/>
        <w:wordWrap/>
        <w:overflowPunct/>
        <w:topLinePunct w:val="0"/>
        <w:bidi w:val="0"/>
        <w:adjustRightInd w:val="0"/>
        <w:snapToGrid/>
        <w:spacing w:line="380" w:lineRule="exact"/>
        <w:ind w:firstLine="420" w:firstLineChars="200"/>
        <w:contextualSpacing/>
        <w:textAlignment w:val="auto"/>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（一）对进入详评的，采用百分制综合评分法。</w:t>
      </w:r>
    </w:p>
    <w:p>
      <w:pPr>
        <w:pStyle w:val="18"/>
        <w:keepNext w:val="0"/>
        <w:keepLines w:val="0"/>
        <w:pageBreakBefore w:val="0"/>
        <w:kinsoku/>
        <w:wordWrap/>
        <w:overflowPunct/>
        <w:topLinePunct w:val="0"/>
        <w:bidi w:val="0"/>
        <w:adjustRightInd w:val="0"/>
        <w:snapToGrid/>
        <w:spacing w:line="380" w:lineRule="exact"/>
        <w:ind w:firstLine="420" w:firstLineChars="200"/>
        <w:contextualSpacing/>
        <w:textAlignment w:val="auto"/>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（二）计分办法（按四舍五入取至百分位）：</w:t>
      </w:r>
    </w:p>
    <w:p>
      <w:pPr>
        <w:keepNext w:val="0"/>
        <w:keepLines w:val="0"/>
        <w:pageBreakBefore w:val="0"/>
        <w:kinsoku/>
        <w:wordWrap/>
        <w:overflowPunct/>
        <w:topLinePunct w:val="0"/>
        <w:bidi w:val="0"/>
        <w:snapToGrid/>
        <w:spacing w:line="380" w:lineRule="exact"/>
        <w:ind w:firstLine="426" w:firstLineChars="202"/>
        <w:jc w:val="left"/>
        <w:textAlignment w:val="auto"/>
        <w:outlineLvl w:val="1"/>
        <w:rPr>
          <w:rFonts w:hint="eastAsia" w:asciiTheme="minorEastAsia" w:hAnsiTheme="minorEastAsia" w:eastAsiaTheme="minorEastAsia" w:cstheme="minorEastAsia"/>
          <w:b/>
          <w:color w:val="auto"/>
          <w:szCs w:val="21"/>
        </w:rPr>
      </w:pPr>
      <w:bookmarkStart w:id="159" w:name="_Toc7653"/>
      <w:r>
        <w:rPr>
          <w:rFonts w:hint="eastAsia" w:asciiTheme="minorEastAsia" w:hAnsiTheme="minorEastAsia" w:eastAsiaTheme="minorEastAsia" w:cstheme="minorEastAsia"/>
          <w:b/>
          <w:color w:val="auto"/>
          <w:szCs w:val="21"/>
        </w:rPr>
        <w:t>1、价格分…………………………………………………………………………………………………30分</w:t>
      </w:r>
      <w:bookmarkEnd w:id="159"/>
    </w:p>
    <w:p>
      <w:pPr>
        <w:pStyle w:val="18"/>
        <w:keepNext w:val="0"/>
        <w:keepLines w:val="0"/>
        <w:pageBreakBefore w:val="0"/>
        <w:kinsoku/>
        <w:wordWrap/>
        <w:overflowPunct/>
        <w:topLinePunct w:val="0"/>
        <w:bidi w:val="0"/>
        <w:snapToGrid/>
        <w:spacing w:line="380" w:lineRule="exact"/>
        <w:ind w:firstLine="420" w:firstLineChars="200"/>
        <w:textAlignment w:val="auto"/>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（1）</w:t>
      </w:r>
      <w:r>
        <w:rPr>
          <w:rFonts w:hint="eastAsia" w:asciiTheme="minorEastAsia" w:hAnsiTheme="minorEastAsia" w:eastAsiaTheme="minorEastAsia" w:cstheme="minorEastAsia"/>
          <w:color w:val="auto"/>
        </w:rPr>
        <w:t>按照《政府采购促进中小企业发展暂行办法》（财库[2011]181号）规定：</w:t>
      </w:r>
    </w:p>
    <w:p>
      <w:pPr>
        <w:pStyle w:val="18"/>
        <w:keepNext w:val="0"/>
        <w:keepLines w:val="0"/>
        <w:pageBreakBefore w:val="0"/>
        <w:kinsoku/>
        <w:wordWrap/>
        <w:overflowPunct/>
        <w:topLinePunct w:val="0"/>
        <w:bidi w:val="0"/>
        <w:snapToGrid/>
        <w:spacing w:line="380" w:lineRule="exact"/>
        <w:ind w:firstLine="420" w:firstLineChars="200"/>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投标单位认定为小型和微型企业的（以投标文件提供的符合规定的有关证明材料为准)，并提供本企业制造的货物，由本企业承担工程、提供服务，或者提供其他小型、微型企业制造的货物的（不包括使用大型企业注册商标的货物）</w:t>
      </w:r>
      <w:r>
        <w:rPr>
          <w:rFonts w:hint="eastAsia" w:asciiTheme="minorEastAsia" w:hAnsiTheme="minorEastAsia" w:eastAsiaTheme="minorEastAsia" w:cstheme="minorEastAsia"/>
          <w:color w:val="auto"/>
        </w:rPr>
        <w:t>，投标价给予10%的扣除，扣除后的价格为评标报价，即评标报价=投标报价×（1-10%）；</w:t>
      </w:r>
    </w:p>
    <w:p>
      <w:pPr>
        <w:pStyle w:val="18"/>
        <w:keepNext w:val="0"/>
        <w:keepLines w:val="0"/>
        <w:pageBreakBefore w:val="0"/>
        <w:kinsoku/>
        <w:wordWrap/>
        <w:overflowPunct/>
        <w:topLinePunct w:val="0"/>
        <w:bidi w:val="0"/>
        <w:snapToGrid/>
        <w:spacing w:line="380" w:lineRule="exact"/>
        <w:ind w:firstLine="420"/>
        <w:textAlignment w:val="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注：1.中小微型企业划分标准按照《国家统计局关于印发《统计上大中小微型企业划分办法（2017）》的通知》（国统字[2017]213号）执行，具体划分标准见附表《统计上大中小微型企业划分标准》</w:t>
      </w:r>
    </w:p>
    <w:p>
      <w:pPr>
        <w:pStyle w:val="18"/>
        <w:keepNext w:val="0"/>
        <w:keepLines w:val="0"/>
        <w:pageBreakBefore w:val="0"/>
        <w:numPr>
          <w:ilvl w:val="0"/>
          <w:numId w:val="9"/>
        </w:numPr>
        <w:kinsoku/>
        <w:wordWrap/>
        <w:overflowPunct/>
        <w:topLinePunct w:val="0"/>
        <w:bidi w:val="0"/>
        <w:snapToGrid/>
        <w:spacing w:line="380" w:lineRule="exact"/>
        <w:ind w:firstLine="420"/>
        <w:textAlignment w:val="auto"/>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根据《关于政府采购支持监狱企业发展有关问题的通知》（财库[2014]68号）和</w:t>
      </w:r>
      <w:r>
        <w:rPr>
          <w:rFonts w:hint="eastAsia" w:asciiTheme="minorEastAsia" w:hAnsiTheme="minorEastAsia" w:eastAsiaTheme="minorEastAsia" w:cstheme="minorEastAsia"/>
          <w:color w:val="auto"/>
          <w:szCs w:val="21"/>
        </w:rPr>
        <w:t>《关于促进残疾人就业政府采购政策的通知》（财库[2017]141号）</w:t>
      </w:r>
      <w:r>
        <w:rPr>
          <w:rFonts w:hint="eastAsia" w:asciiTheme="minorEastAsia" w:hAnsiTheme="minorEastAsia" w:eastAsiaTheme="minorEastAsia" w:cstheme="minorEastAsia"/>
          <w:color w:val="auto"/>
          <w:kern w:val="0"/>
          <w:szCs w:val="21"/>
        </w:rPr>
        <w:t>，监狱企业和符合条件的残疾人企业视同小型、微型企业，享受小型、微型企业评审中价格扣除的政府采购政策。</w:t>
      </w:r>
    </w:p>
    <w:p>
      <w:pPr>
        <w:pStyle w:val="18"/>
        <w:keepNext w:val="0"/>
        <w:keepLines w:val="0"/>
        <w:pageBreakBefore w:val="0"/>
        <w:numPr>
          <w:ilvl w:val="0"/>
          <w:numId w:val="9"/>
        </w:numPr>
        <w:kinsoku/>
        <w:wordWrap/>
        <w:overflowPunct/>
        <w:topLinePunct w:val="0"/>
        <w:bidi w:val="0"/>
        <w:snapToGrid/>
        <w:spacing w:line="380" w:lineRule="exact"/>
        <w:ind w:firstLine="420"/>
        <w:textAlignment w:val="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根据《关于促进残疾人就业政府采购政策的通知》（财库【2017】141号）规定，残疾人福利性单位视同小型、微型企业，评审中对价格给予折扣，残疾人福利性单位属于小型、微型企业的，不重复享受政策。符合条件的残疾人福利性单位在参加政府采购活动时，应当提供本通知规定的《残疾人福利性单位声明函》（见附件），并对声明的真实性负责。中标为残疾人福利性单位的，采购代理机构应当随中标、成交结果同时公告其《残疾人福利性单位声明函》，接受社会监督。</w:t>
      </w:r>
    </w:p>
    <w:p>
      <w:pPr>
        <w:pStyle w:val="18"/>
        <w:keepNext w:val="0"/>
        <w:keepLines w:val="0"/>
        <w:pageBreakBefore w:val="0"/>
        <w:kinsoku/>
        <w:wordWrap/>
        <w:overflowPunct/>
        <w:topLinePunct w:val="0"/>
        <w:bidi w:val="0"/>
        <w:snapToGrid/>
        <w:spacing w:line="380" w:lineRule="exact"/>
        <w:ind w:firstLine="420" w:firstLineChars="200"/>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对于不属于以上情形的投标人，其投标报价即为评标价。</w:t>
      </w:r>
    </w:p>
    <w:p>
      <w:pPr>
        <w:pStyle w:val="18"/>
        <w:keepNext w:val="0"/>
        <w:keepLines w:val="0"/>
        <w:pageBreakBefore w:val="0"/>
        <w:kinsoku/>
        <w:wordWrap/>
        <w:overflowPunct/>
        <w:topLinePunct w:val="0"/>
        <w:bidi w:val="0"/>
        <w:snapToGrid/>
        <w:spacing w:line="380" w:lineRule="exact"/>
        <w:ind w:firstLine="420"/>
        <w:textAlignment w:val="auto"/>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（4）价格分采用低价优先法计算，即满足招标文件要求且评标报价最低的评标报价为评标基准价，其价格分为30分。</w:t>
      </w:r>
    </w:p>
    <w:p>
      <w:pPr>
        <w:pStyle w:val="18"/>
        <w:keepNext w:val="0"/>
        <w:keepLines w:val="0"/>
        <w:pageBreakBefore w:val="0"/>
        <w:kinsoku/>
        <w:wordWrap/>
        <w:overflowPunct/>
        <w:topLinePunct w:val="0"/>
        <w:bidi w:val="0"/>
        <w:snapToGrid/>
        <w:spacing w:line="380" w:lineRule="exact"/>
        <w:ind w:firstLine="420"/>
        <w:textAlignment w:val="auto"/>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（5）价格分计算公式：</w:t>
      </w:r>
    </w:p>
    <w:p>
      <w:pPr>
        <w:pStyle w:val="18"/>
        <w:keepNext w:val="0"/>
        <w:keepLines w:val="0"/>
        <w:pageBreakBefore w:val="0"/>
        <w:kinsoku/>
        <w:wordWrap/>
        <w:overflowPunct/>
        <w:topLinePunct w:val="0"/>
        <w:bidi w:val="0"/>
        <w:snapToGrid/>
        <w:spacing w:line="380" w:lineRule="exact"/>
        <w:ind w:firstLine="3192" w:firstLineChars="1520"/>
        <w:textAlignment w:val="auto"/>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最低投标人</w:t>
      </w:r>
      <w:r>
        <w:rPr>
          <w:rFonts w:hint="eastAsia" w:asciiTheme="minorEastAsia" w:hAnsiTheme="minorEastAsia" w:eastAsiaTheme="minorEastAsia" w:cstheme="minorEastAsia"/>
          <w:color w:val="auto"/>
        </w:rPr>
        <w:t>评标报价</w:t>
      </w:r>
      <w:r>
        <w:rPr>
          <w:rFonts w:hint="eastAsia" w:asciiTheme="minorEastAsia" w:hAnsiTheme="minorEastAsia" w:eastAsiaTheme="minorEastAsia" w:cstheme="minorEastAsia"/>
          <w:bCs/>
          <w:color w:val="auto"/>
        </w:rPr>
        <w:t xml:space="preserve">金额 </w:t>
      </w:r>
    </w:p>
    <w:p>
      <w:pPr>
        <w:pStyle w:val="18"/>
        <w:keepNext w:val="0"/>
        <w:keepLines w:val="0"/>
        <w:pageBreakBefore w:val="0"/>
        <w:kinsoku/>
        <w:wordWrap/>
        <w:overflowPunct/>
        <w:topLinePunct w:val="0"/>
        <w:bidi w:val="0"/>
        <w:snapToGrid/>
        <w:spacing w:line="380" w:lineRule="exact"/>
        <w:ind w:firstLine="420"/>
        <w:textAlignment w:val="auto"/>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pict>
          <v:line id="直接连接符 1" o:spid="_x0000_s1026" o:spt="20" style="position:absolute;left:0pt;margin-left:125.25pt;margin-top:11.55pt;height:0pt;width:173.25pt;z-index:2516582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">
            <v:path arrowok="t"/>
            <v:fill focussize="0,0"/>
            <v:stroke/>
            <v:imagedata o:title=""/>
            <o:lock v:ext="edit"/>
          </v:line>
        </w:pict>
      </w:r>
      <w:r>
        <w:rPr>
          <w:rFonts w:hint="eastAsia" w:asciiTheme="minorEastAsia" w:hAnsiTheme="minorEastAsia" w:eastAsiaTheme="minorEastAsia" w:cstheme="minorEastAsia"/>
          <w:bCs/>
          <w:color w:val="auto"/>
        </w:rPr>
        <w:t>投标人价格分 =                                        ×30分</w:t>
      </w:r>
    </w:p>
    <w:p>
      <w:pPr>
        <w:keepNext w:val="0"/>
        <w:keepLines w:val="0"/>
        <w:pageBreakBefore w:val="0"/>
        <w:kinsoku/>
        <w:wordWrap/>
        <w:overflowPunct/>
        <w:topLinePunct w:val="0"/>
        <w:bidi w:val="0"/>
        <w:snapToGrid/>
        <w:spacing w:line="380" w:lineRule="exact"/>
        <w:ind w:firstLine="420" w:firstLineChars="200"/>
        <w:textAlignment w:val="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投标人评标报价金额</w:t>
      </w:r>
    </w:p>
    <w:p>
      <w:pPr>
        <w:keepNext w:val="0"/>
        <w:keepLines w:val="0"/>
        <w:pageBreakBefore w:val="0"/>
        <w:kinsoku/>
        <w:wordWrap/>
        <w:overflowPunct/>
        <w:topLinePunct w:val="0"/>
        <w:bidi w:val="0"/>
        <w:snapToGrid/>
        <w:spacing w:line="380" w:lineRule="exact"/>
        <w:ind w:firstLine="426" w:firstLineChars="202"/>
        <w:jc w:val="left"/>
        <w:textAlignment w:val="auto"/>
        <w:outlineLvl w:val="1"/>
        <w:rPr>
          <w:rFonts w:hint="eastAsia" w:asciiTheme="minorEastAsia" w:hAnsiTheme="minorEastAsia" w:eastAsiaTheme="minorEastAsia" w:cstheme="minorEastAsia"/>
          <w:b/>
          <w:color w:val="auto"/>
          <w:szCs w:val="21"/>
        </w:rPr>
      </w:pPr>
    </w:p>
    <w:p>
      <w:pPr>
        <w:pStyle w:val="8"/>
        <w:keepNext w:val="0"/>
        <w:keepLines w:val="0"/>
        <w:pageBreakBefore w:val="0"/>
        <w:tabs>
          <w:tab w:val="left" w:leader="dot" w:pos="8332"/>
        </w:tabs>
        <w:kinsoku/>
        <w:wordWrap/>
        <w:overflowPunct/>
        <w:topLinePunct w:val="0"/>
        <w:bidi w:val="0"/>
        <w:snapToGrid/>
        <w:spacing w:before="139" w:line="380" w:lineRule="exact"/>
        <w:textAlignment w:val="auto"/>
        <w:rPr>
          <w:rFonts w:hint="eastAsia" w:asciiTheme="minorEastAsia" w:hAnsiTheme="minorEastAsia" w:eastAsiaTheme="minorEastAsia" w:cstheme="minorEastAsia"/>
          <w:color w:val="auto"/>
          <w:highlight w:val="none"/>
        </w:rPr>
      </w:pPr>
      <w:bookmarkStart w:id="160" w:name="_Toc7839"/>
      <w:r>
        <w:rPr>
          <w:rFonts w:hint="eastAsia" w:asciiTheme="minorEastAsia" w:hAnsiTheme="minorEastAsia" w:eastAsiaTheme="minorEastAsia" w:cstheme="minorEastAsia"/>
          <w:color w:val="auto"/>
          <w:highlight w:val="none"/>
        </w:rPr>
        <w:t>2、项目要求及技术需求响应分</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满分6分</w:t>
      </w:r>
    </w:p>
    <w:p>
      <w:pPr>
        <w:keepNext w:val="0"/>
        <w:keepLines w:val="0"/>
        <w:pageBreakBefore w:val="0"/>
        <w:kinsoku/>
        <w:wordWrap/>
        <w:overflowPunct/>
        <w:topLinePunct w:val="0"/>
        <w:bidi w:val="0"/>
        <w:snapToGrid/>
        <w:spacing w:line="3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评委根据招标文件要求，对通过资格性和符合性审查进入详评的各投标人投标文件的“项目要求及技术需求”响应情况进行独立评审，并按如下计分方式确定得分：</w:t>
      </w:r>
    </w:p>
    <w:p>
      <w:pPr>
        <w:keepNext w:val="0"/>
        <w:keepLines w:val="0"/>
        <w:pageBreakBefore w:val="0"/>
        <w:numPr>
          <w:ilvl w:val="0"/>
          <w:numId w:val="10"/>
        </w:numPr>
        <w:kinsoku/>
        <w:wordWrap/>
        <w:overflowPunct/>
        <w:topLinePunct w:val="0"/>
        <w:bidi w:val="0"/>
        <w:snapToGrid/>
        <w:spacing w:line="3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基本分：带★号技术参数完全满足招标文件要求，且未带★号技术参数无负偏离的，得 3分。</w:t>
      </w:r>
    </w:p>
    <w:p>
      <w:pPr>
        <w:keepNext w:val="0"/>
        <w:keepLines w:val="0"/>
        <w:pageBreakBefore w:val="0"/>
        <w:numPr>
          <w:ilvl w:val="0"/>
          <w:numId w:val="10"/>
        </w:numPr>
        <w:kinsoku/>
        <w:wordWrap/>
        <w:overflowPunct/>
        <w:topLinePunct w:val="0"/>
        <w:bidi w:val="0"/>
        <w:snapToGrid/>
        <w:spacing w:line="3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带★号技术参数有优于招标文件要求（应提供具有CMA标识的证明文件），经评标委员会审核确定的，每优于一项得 1 分，最多得 3分。</w:t>
      </w:r>
    </w:p>
    <w:p>
      <w:pPr>
        <w:keepNext w:val="0"/>
        <w:keepLines w:val="0"/>
        <w:pageBreakBefore w:val="0"/>
        <w:numPr>
          <w:ilvl w:val="0"/>
          <w:numId w:val="10"/>
        </w:numPr>
        <w:kinsoku/>
        <w:wordWrap/>
        <w:overflowPunct/>
        <w:topLinePunct w:val="0"/>
        <w:bidi w:val="0"/>
        <w:snapToGrid/>
        <w:spacing w:line="3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非★项技术参数及要求发生实质性负偏离的，</w:t>
      </w:r>
      <w:r>
        <w:rPr>
          <w:rFonts w:hint="eastAsia" w:asciiTheme="minorEastAsia" w:hAnsiTheme="minorEastAsia" w:eastAsiaTheme="minorEastAsia" w:cstheme="minorEastAsia"/>
          <w:color w:val="auto"/>
          <w:highlight w:val="none"/>
          <w:lang w:val="en-US" w:eastAsia="zh-CN"/>
        </w:rPr>
        <w:t>不得基本分，且</w:t>
      </w:r>
      <w:r>
        <w:rPr>
          <w:rFonts w:hint="eastAsia" w:asciiTheme="minorEastAsia" w:hAnsiTheme="minorEastAsia" w:eastAsiaTheme="minorEastAsia" w:cstheme="minorEastAsia"/>
          <w:color w:val="auto"/>
          <w:highlight w:val="none"/>
        </w:rPr>
        <w:t>每有一项扣1 分，扣完</w:t>
      </w:r>
      <w:r>
        <w:rPr>
          <w:rFonts w:hint="eastAsia" w:asciiTheme="minorEastAsia" w:hAnsiTheme="minorEastAsia" w:eastAsiaTheme="minorEastAsia" w:cstheme="minorEastAsia"/>
          <w:color w:val="auto"/>
          <w:highlight w:val="none"/>
          <w:lang w:val="en-US" w:eastAsia="zh-CN"/>
        </w:rPr>
        <w:t>本</w:t>
      </w:r>
      <w:r>
        <w:rPr>
          <w:rFonts w:hint="eastAsia" w:asciiTheme="minorEastAsia" w:hAnsiTheme="minorEastAsia" w:eastAsiaTheme="minorEastAsia" w:cstheme="minorEastAsia"/>
          <w:color w:val="auto"/>
          <w:highlight w:val="none"/>
        </w:rPr>
        <w:t>项</w:t>
      </w:r>
      <w:r>
        <w:rPr>
          <w:rFonts w:hint="eastAsia" w:asciiTheme="minorEastAsia" w:hAnsiTheme="minorEastAsia" w:eastAsiaTheme="minorEastAsia" w:cstheme="minorEastAsia"/>
          <w:color w:val="auto"/>
          <w:highlight w:val="none"/>
          <w:lang w:val="en-US" w:eastAsia="zh-CN"/>
        </w:rPr>
        <w:t>分值</w:t>
      </w:r>
      <w:r>
        <w:rPr>
          <w:rFonts w:hint="eastAsia" w:asciiTheme="minorEastAsia" w:hAnsiTheme="minorEastAsia" w:eastAsiaTheme="minorEastAsia" w:cstheme="minorEastAsia"/>
          <w:color w:val="auto"/>
          <w:highlight w:val="none"/>
        </w:rPr>
        <w:t>为止。</w:t>
      </w:r>
    </w:p>
    <w:p>
      <w:pPr>
        <w:pStyle w:val="8"/>
        <w:keepNext w:val="0"/>
        <w:keepLines w:val="0"/>
        <w:pageBreakBefore w:val="0"/>
        <w:tabs>
          <w:tab w:val="left" w:leader="dot" w:pos="8121"/>
        </w:tabs>
        <w:kinsoku/>
        <w:wordWrap/>
        <w:overflowPunct/>
        <w:topLinePunct w:val="0"/>
        <w:bidi w:val="0"/>
        <w:snapToGrid/>
        <w:spacing w:before="131" w:line="3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3、管材、部件、配件小样分</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满分15分</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由评标委员会在打分前根据货物采购需求中“主要技术参数及性能（配置）要求”的要求，对比各投标实物样品的材质、工艺、外观等内容进行综合考虑，具体如下：</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一档（</w:t>
      </w:r>
      <w:r>
        <w:rPr>
          <w:rFonts w:hint="eastAsia" w:asciiTheme="minorEastAsia" w:hAnsiTheme="minorEastAsia" w:eastAsiaTheme="minorEastAsia" w:cstheme="minorEastAsia"/>
          <w:color w:val="auto"/>
          <w:highlight w:val="none"/>
          <w:lang w:val="en-US" w:eastAsia="zh-CN"/>
        </w:rPr>
        <w:t>0</w:t>
      </w:r>
      <w:r>
        <w:rPr>
          <w:rFonts w:hint="eastAsia" w:asciiTheme="minorEastAsia" w:hAnsiTheme="minorEastAsia" w:eastAsiaTheme="minorEastAsia" w:cstheme="minorEastAsia"/>
          <w:color w:val="auto"/>
          <w:highlight w:val="none"/>
        </w:rPr>
        <w:t xml:space="preserve"> 分）：未提交投标样品</w:t>
      </w:r>
      <w:r>
        <w:rPr>
          <w:rFonts w:hint="eastAsia" w:asciiTheme="minorEastAsia" w:hAnsiTheme="minorEastAsia" w:eastAsiaTheme="minorEastAsia" w:cstheme="minor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二档（5分）：投标人提供的样品必须符合技术参数要求，样品外观、样品材质、实用性、材料可靠性等方面较差，综合评定一般；</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三档（10分）：投标人提供的样品必须符合技术参数要求，样品外观、样品材质、实用性、材料可靠性等方面同比有两个方面较好，综合评定良好；</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四档（15分）：投标人提供的样品必须符合技术参数要求，样品外观、样品材质、实用性、材料可靠性等方面同比均较好，综合评定优秀。</w:t>
      </w:r>
    </w:p>
    <w:p>
      <w:pPr>
        <w:keepNext w:val="0"/>
        <w:keepLines w:val="0"/>
        <w:pageBreakBefore w:val="0"/>
        <w:tabs>
          <w:tab w:val="left" w:leader="dot" w:pos="7904"/>
        </w:tabs>
        <w:kinsoku/>
        <w:wordWrap/>
        <w:overflowPunct/>
        <w:topLinePunct w:val="0"/>
        <w:bidi w:val="0"/>
        <w:snapToGrid/>
        <w:spacing w:before="130" w:line="380" w:lineRule="exact"/>
        <w:ind w:left="635" w:right="746"/>
        <w:jc w:val="left"/>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4、信誉业绩分</w:t>
      </w:r>
      <w:r>
        <w:rPr>
          <w:rFonts w:hint="eastAsia" w:asciiTheme="minorEastAsia" w:hAnsiTheme="minorEastAsia" w:eastAsiaTheme="minorEastAsia" w:cstheme="minorEastAsia"/>
          <w:b/>
          <w:color w:val="auto"/>
          <w:highlight w:val="none"/>
        </w:rPr>
        <w:tab/>
      </w:r>
      <w:r>
        <w:rPr>
          <w:rFonts w:hint="eastAsia" w:asciiTheme="minorEastAsia" w:hAnsiTheme="minorEastAsia" w:eastAsiaTheme="minorEastAsia" w:cstheme="minorEastAsia"/>
          <w:b/>
          <w:color w:val="auto"/>
          <w:highlight w:val="none"/>
        </w:rPr>
        <w:t>满分9分</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（1）投标单位（或产品生产厂家）通过 ISO14001 环境管理体系认证、ISO9001 质量管理体系认证、OHSAS18001 职业健康安全体系认证【投标文件中提供有效期内认证证书复印件，其应与原件一致，履约时提供原件核查，如有弄虚作假，取消履约资格】，每提供1项得1分，本项最多得3分。</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（2）投标单位获得符合GB/T29490-2013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企业知识产权管理规范</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知识产权管理体系认证证书（通过认证的内容包含办公家具、教学家具（校区）、公寓（宿舍）家具生产、销售的知识产权管理）得2分【投标文件中提供有效期内认证证书复印件，其应与原件一致，履约时提供原件核查，如有弄虚作假，取消履约资格】；</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（3）投标单位获得符合GB/T31950-2015</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《企业诚信管理体系》要求的诚信管理体系认证证书得2分【投标文件中提供有效期内认证证书复印件，其应与原件一致，履约时提供原件核查，如有弄虚作假，取消履约资格】；</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1"/>
          <w:szCs w:val="21"/>
          <w:highlight w:val="none"/>
        </w:rPr>
        <w:t>（4）业绩分：投标人自 2017 年 1 月 1 日以来具有同类产品</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金属床、金属柜</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的销售业绩 [无不良记录，以中标（成交）通知书和采购合同复印件为准（能清晰反映所销售的货物名称、种类、金额)，否则将不予评审；同一个编号的项目有两个或两个以上的分标中标的只算一次]，每提供一项得1分，最多得2分。</w:t>
      </w:r>
    </w:p>
    <w:p>
      <w:pPr>
        <w:keepNext w:val="0"/>
        <w:keepLines w:val="0"/>
        <w:pageBreakBefore w:val="0"/>
        <w:tabs>
          <w:tab w:val="left" w:leader="dot" w:pos="7904"/>
        </w:tabs>
        <w:kinsoku/>
        <w:wordWrap/>
        <w:overflowPunct/>
        <w:topLinePunct w:val="0"/>
        <w:bidi w:val="0"/>
        <w:snapToGrid/>
        <w:spacing w:before="130" w:line="380" w:lineRule="exact"/>
        <w:ind w:left="635" w:right="746"/>
        <w:jc w:val="left"/>
        <w:textAlignment w:val="auto"/>
        <w:rPr>
          <w:rFonts w:hint="eastAsia" w:asciiTheme="minorEastAsia" w:hAnsiTheme="minorEastAsia" w:eastAsiaTheme="minorEastAsia" w:cstheme="minorEastAsia"/>
          <w:b/>
          <w:color w:val="auto"/>
          <w:highlight w:val="none"/>
        </w:rPr>
      </w:pPr>
    </w:p>
    <w:p>
      <w:pPr>
        <w:keepNext w:val="0"/>
        <w:keepLines w:val="0"/>
        <w:pageBreakBefore w:val="0"/>
        <w:tabs>
          <w:tab w:val="left" w:leader="dot" w:pos="7904"/>
        </w:tabs>
        <w:kinsoku/>
        <w:wordWrap/>
        <w:overflowPunct/>
        <w:topLinePunct w:val="0"/>
        <w:bidi w:val="0"/>
        <w:snapToGrid/>
        <w:spacing w:before="130" w:line="380" w:lineRule="exact"/>
        <w:ind w:left="635" w:right="746"/>
        <w:jc w:val="left"/>
        <w:textAlignment w:val="auto"/>
        <w:rPr>
          <w:rFonts w:hint="eastAsia" w:asciiTheme="minorEastAsia" w:hAnsiTheme="minorEastAsia" w:eastAsiaTheme="minorEastAsia" w:cstheme="minorEastAsia"/>
          <w:b/>
          <w:color w:val="auto"/>
          <w:highlight w:val="none"/>
        </w:rPr>
      </w:pPr>
    </w:p>
    <w:p>
      <w:pPr>
        <w:keepNext w:val="0"/>
        <w:keepLines w:val="0"/>
        <w:pageBreakBefore w:val="0"/>
        <w:tabs>
          <w:tab w:val="left" w:leader="dot" w:pos="7904"/>
        </w:tabs>
        <w:kinsoku/>
        <w:wordWrap/>
        <w:overflowPunct/>
        <w:topLinePunct w:val="0"/>
        <w:bidi w:val="0"/>
        <w:snapToGrid/>
        <w:spacing w:before="130" w:line="380" w:lineRule="exact"/>
        <w:ind w:left="635" w:right="746"/>
        <w:jc w:val="left"/>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5、项目实施方案</w:t>
      </w:r>
      <w:r>
        <w:rPr>
          <w:rFonts w:hint="eastAsia" w:asciiTheme="minorEastAsia" w:hAnsiTheme="minorEastAsia" w:eastAsiaTheme="minorEastAsia" w:cstheme="minorEastAsia"/>
          <w:b/>
          <w:color w:val="auto"/>
          <w:highlight w:val="none"/>
        </w:rPr>
        <w:tab/>
      </w:r>
      <w:r>
        <w:rPr>
          <w:rFonts w:hint="eastAsia" w:asciiTheme="minorEastAsia" w:hAnsiTheme="minorEastAsia" w:eastAsiaTheme="minorEastAsia" w:cstheme="minorEastAsia"/>
          <w:b/>
          <w:color w:val="auto"/>
          <w:highlight w:val="none"/>
        </w:rPr>
        <w:t>（满分8分）</w:t>
      </w:r>
    </w:p>
    <w:p>
      <w:pPr>
        <w:keepNext w:val="0"/>
        <w:keepLines w:val="0"/>
        <w:pageBreakBefore w:val="0"/>
        <w:kinsoku/>
        <w:wordWrap/>
        <w:overflowPunct/>
        <w:topLinePunct w:val="0"/>
        <w:bidi w:val="0"/>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rPr>
        <w:t>由评委在打分前根据投标文件项目实施方案中项目进度、人力资源安排、项目管理、技术保障、措施、风险防范及应对措施、技术培训的服务内容和措施等确定投标人所属档次，然后评委在各档次内独立打分。</w:t>
      </w:r>
    </w:p>
    <w:p>
      <w:pPr>
        <w:keepNext w:val="0"/>
        <w:keepLines w:val="0"/>
        <w:pageBreakBefore w:val="0"/>
        <w:kinsoku/>
        <w:wordWrap/>
        <w:overflowPunct/>
        <w:topLinePunct w:val="0"/>
        <w:bidi w:val="0"/>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一档（</w:t>
      </w:r>
      <w:r>
        <w:rPr>
          <w:rFonts w:hint="eastAsia" w:asciiTheme="minorEastAsia" w:hAnsiTheme="minorEastAsia" w:eastAsiaTheme="minorEastAsia" w:cstheme="minorEastAsia"/>
          <w:color w:val="auto"/>
          <w:highlight w:val="none"/>
          <w:lang w:val="en-US" w:eastAsia="zh-CN"/>
        </w:rPr>
        <w:t>0.1-</w:t>
      </w:r>
      <w:r>
        <w:rPr>
          <w:rFonts w:hint="eastAsia" w:asciiTheme="minorEastAsia" w:hAnsiTheme="minorEastAsia" w:eastAsiaTheme="minorEastAsia" w:cstheme="minorEastAsia"/>
          <w:color w:val="auto"/>
          <w:highlight w:val="none"/>
        </w:rPr>
        <w:t>1分）：投标人提供方案简单</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满足招标文件要求。</w:t>
      </w:r>
    </w:p>
    <w:p>
      <w:pPr>
        <w:keepNext w:val="0"/>
        <w:keepLines w:val="0"/>
        <w:pageBreakBefore w:val="0"/>
        <w:kinsoku/>
        <w:wordWrap/>
        <w:overflowPunct/>
        <w:topLinePunct w:val="0"/>
        <w:autoSpaceDE w:val="0"/>
        <w:autoSpaceDN w:val="0"/>
        <w:bidi w:val="0"/>
        <w:adjustRightInd w:val="0"/>
        <w:snapToGrid/>
        <w:spacing w:line="380" w:lineRule="exact"/>
        <w:ind w:firstLine="420" w:firstLineChars="20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二档（1.1-3分）：投标人的项目实施方案进度安排,相关保障措施能力,对各项关键工作安排、对本项目的风险预见、风险应对措施、项目管理方案、组织机构安排及分工与职责安排等描述简单，介绍不详细。</w:t>
      </w:r>
    </w:p>
    <w:p>
      <w:pPr>
        <w:pStyle w:val="15"/>
        <w:keepNext w:val="0"/>
        <w:keepLines w:val="0"/>
        <w:pageBreakBefore w:val="0"/>
        <w:widowControl w:val="0"/>
        <w:kinsoku/>
        <w:wordWrap/>
        <w:overflowPunct/>
        <w:topLinePunct w:val="0"/>
        <w:autoSpaceDE/>
        <w:autoSpaceDN/>
        <w:bidi w:val="0"/>
        <w:adjustRightInd/>
        <w:snapToGrid/>
        <w:spacing w:line="380" w:lineRule="exact"/>
        <w:ind w:right="794" w:firstLine="420" w:firstLineChars="200"/>
        <w:textAlignment w:val="auto"/>
        <w:rPr>
          <w:rFonts w:hint="eastAsia" w:asciiTheme="minorEastAsia" w:hAnsiTheme="minorEastAsia" w:eastAsiaTheme="minorEastAsia" w:cstheme="minorEastAsia"/>
          <w:color w:val="auto"/>
          <w:kern w:val="2"/>
          <w:sz w:val="21"/>
          <w:szCs w:val="24"/>
          <w:highlight w:val="none"/>
          <w:lang w:val="en-US" w:eastAsia="zh-CN" w:bidi="ar-SA"/>
        </w:rPr>
      </w:pPr>
      <w:r>
        <w:rPr>
          <w:rFonts w:hint="eastAsia" w:asciiTheme="minorEastAsia" w:hAnsiTheme="minorEastAsia" w:eastAsiaTheme="minorEastAsia" w:cstheme="minorEastAsia"/>
          <w:color w:val="auto"/>
          <w:kern w:val="2"/>
          <w:sz w:val="21"/>
          <w:szCs w:val="24"/>
          <w:highlight w:val="none"/>
          <w:lang w:val="en-US" w:eastAsia="zh-CN" w:bidi="ar-SA"/>
        </w:rPr>
        <w:t>三档（3.1-5分）：投标人的项目实施方案进度安排合理较好,且有相关保障措施,对各项关键工作安排较合理，对本项目安全保障工作措施较好，项目管理方案比较完整,组织机构比较合理，人员有保障，分工与职责比较明确。</w:t>
      </w:r>
    </w:p>
    <w:p>
      <w:pPr>
        <w:pStyle w:val="15"/>
        <w:keepNext w:val="0"/>
        <w:keepLines w:val="0"/>
        <w:pageBreakBefore w:val="0"/>
        <w:kinsoku/>
        <w:wordWrap/>
        <w:overflowPunct/>
        <w:topLinePunct w:val="0"/>
        <w:bidi w:val="0"/>
        <w:snapToGrid/>
        <w:spacing w:line="380" w:lineRule="exact"/>
        <w:ind w:left="215" w:right="799" w:firstLine="420"/>
        <w:textAlignment w:val="auto"/>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四档（5.1-8分）：满足三档的基础上,投标人的项目实施方案进度安排合理,且相关保障措施到位,对各项关键工作安排合理，对本项目安全保障工作措施较好，有完善的项目解决方案，提出具有建设性的方案优化建议。</w:t>
      </w:r>
    </w:p>
    <w:p>
      <w:pPr>
        <w:pStyle w:val="8"/>
        <w:keepNext w:val="0"/>
        <w:keepLines w:val="0"/>
        <w:pageBreakBefore w:val="0"/>
        <w:numPr>
          <w:ilvl w:val="0"/>
          <w:numId w:val="0"/>
        </w:numPr>
        <w:tabs>
          <w:tab w:val="left" w:pos="850"/>
          <w:tab w:val="left" w:leader="dot" w:pos="8227"/>
        </w:tabs>
        <w:kinsoku/>
        <w:wordWrap/>
        <w:overflowPunct/>
        <w:topLinePunct w:val="0"/>
        <w:bidi w:val="0"/>
        <w:snapToGrid/>
        <w:spacing w:line="380" w:lineRule="exact"/>
        <w:ind w:left="634" w:left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质量技术【检验（检测）】</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满分15分</w:t>
      </w:r>
    </w:p>
    <w:p>
      <w:pPr>
        <w:pStyle w:val="18"/>
        <w:keepNext w:val="0"/>
        <w:keepLines w:val="0"/>
        <w:pageBreakBefore w:val="0"/>
        <w:kinsoku/>
        <w:wordWrap/>
        <w:overflowPunct/>
        <w:topLinePunct w:val="0"/>
        <w:bidi w:val="0"/>
        <w:snapToGrid/>
        <w:spacing w:line="380" w:lineRule="exact"/>
        <w:ind w:left="420" w:firstLine="420" w:firstLineChars="200"/>
        <w:textAlignment w:val="auto"/>
        <w:outlineLvl w:val="0"/>
        <w:rPr>
          <w:rFonts w:hint="eastAsia" w:asciiTheme="minorEastAsia" w:hAnsiTheme="minorEastAsia" w:eastAsiaTheme="minorEastAsia" w:cstheme="minorEastAsia"/>
          <w:bCs/>
          <w:color w:val="auto"/>
          <w:highlight w:val="none"/>
        </w:rPr>
      </w:pPr>
      <w:bookmarkStart w:id="161" w:name="_Toc29988"/>
      <w:r>
        <w:rPr>
          <w:rFonts w:hint="eastAsia" w:asciiTheme="minorEastAsia" w:hAnsiTheme="minorEastAsia" w:eastAsiaTheme="minorEastAsia" w:cstheme="minorEastAsia"/>
          <w:bCs/>
          <w:color w:val="auto"/>
          <w:highlight w:val="none"/>
        </w:rPr>
        <w:t>投标人提供自201</w:t>
      </w:r>
      <w:r>
        <w:rPr>
          <w:rFonts w:hint="eastAsia" w:asciiTheme="minorEastAsia" w:hAnsiTheme="minorEastAsia" w:eastAsiaTheme="minorEastAsia" w:cstheme="minorEastAsia"/>
          <w:bCs/>
          <w:color w:val="auto"/>
          <w:highlight w:val="none"/>
          <w:lang w:val="en-US" w:eastAsia="zh-CN"/>
        </w:rPr>
        <w:t>9</w:t>
      </w:r>
      <w:r>
        <w:rPr>
          <w:rFonts w:hint="eastAsia" w:asciiTheme="minorEastAsia" w:hAnsiTheme="minorEastAsia" w:eastAsiaTheme="minorEastAsia" w:cstheme="minorEastAsia"/>
          <w:bCs/>
          <w:color w:val="auto"/>
          <w:highlight w:val="none"/>
        </w:rPr>
        <w:t>年1月1日至开标截止时间前由第三方检测（验）机构出具的，符合参数要求的检测（验）报告</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所提供的检测（验）报告必须是通过计量认证（CMA标识）的机构出具的方为有效</w:t>
      </w:r>
      <w:r>
        <w:rPr>
          <w:rFonts w:hint="eastAsia" w:asciiTheme="minorEastAsia" w:hAnsiTheme="minorEastAsia" w:eastAsiaTheme="minorEastAsia" w:cstheme="minorEastAsia"/>
          <w:bCs/>
          <w:color w:val="auto"/>
          <w:highlight w:val="none"/>
        </w:rPr>
        <w:t>：</w:t>
      </w:r>
      <w:bookmarkEnd w:id="161"/>
    </w:p>
    <w:p>
      <w:pPr>
        <w:keepNext w:val="0"/>
        <w:keepLines w:val="0"/>
        <w:pageBreakBefore w:val="0"/>
        <w:numPr>
          <w:ilvl w:val="0"/>
          <w:numId w:val="11"/>
        </w:numPr>
        <w:kinsoku/>
        <w:wordWrap/>
        <w:overflowPunct/>
        <w:topLinePunct w:val="0"/>
        <w:bidi w:val="0"/>
        <w:snapToGrid/>
        <w:spacing w:line="380" w:lineRule="exact"/>
        <w:ind w:left="635" w:left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床桓【检测(验)内容耐腐蚀≥480h。】</w:t>
      </w:r>
    </w:p>
    <w:p>
      <w:pPr>
        <w:keepNext w:val="0"/>
        <w:keepLines w:val="0"/>
        <w:pageBreakBefore w:val="0"/>
        <w:numPr>
          <w:ilvl w:val="0"/>
          <w:numId w:val="11"/>
        </w:numPr>
        <w:kinsoku/>
        <w:wordWrap/>
        <w:overflowPunct/>
        <w:topLinePunct w:val="0"/>
        <w:bidi w:val="0"/>
        <w:snapToGrid/>
        <w:spacing w:line="380" w:lineRule="exact"/>
        <w:ind w:left="635" w:leftChars="0"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床短横梁【检测(验)内容耐腐蚀≥480h。】</w:t>
      </w:r>
    </w:p>
    <w:p>
      <w:pPr>
        <w:keepNext w:val="0"/>
        <w:keepLines w:val="0"/>
        <w:pageBreakBefore w:val="0"/>
        <w:numPr>
          <w:ilvl w:val="0"/>
          <w:numId w:val="11"/>
        </w:numPr>
        <w:kinsoku/>
        <w:wordWrap/>
        <w:overflowPunct/>
        <w:topLinePunct w:val="0"/>
        <w:bidi w:val="0"/>
        <w:snapToGrid/>
        <w:spacing w:line="380" w:lineRule="exact"/>
        <w:ind w:left="635" w:leftChars="0"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床中立柱【检测(验)内容耐腐蚀≥480h。】</w:t>
      </w:r>
    </w:p>
    <w:p>
      <w:pPr>
        <w:keepNext w:val="0"/>
        <w:keepLines w:val="0"/>
        <w:pageBreakBefore w:val="0"/>
        <w:numPr>
          <w:ilvl w:val="0"/>
          <w:numId w:val="11"/>
        </w:numPr>
        <w:kinsoku/>
        <w:wordWrap/>
        <w:overflowPunct/>
        <w:topLinePunct w:val="0"/>
        <w:bidi w:val="0"/>
        <w:snapToGrid/>
        <w:spacing w:line="380" w:lineRule="exact"/>
        <w:ind w:left="635" w:leftChars="0"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床挂件【检测(验)内容耐腐蚀≥480h。】</w:t>
      </w:r>
    </w:p>
    <w:p>
      <w:pPr>
        <w:keepNext w:val="0"/>
        <w:keepLines w:val="0"/>
        <w:pageBreakBefore w:val="0"/>
        <w:numPr>
          <w:ilvl w:val="0"/>
          <w:numId w:val="11"/>
        </w:numPr>
        <w:kinsoku/>
        <w:wordWrap/>
        <w:overflowPunct/>
        <w:topLinePunct w:val="0"/>
        <w:bidi w:val="0"/>
        <w:snapToGrid/>
        <w:spacing w:line="380" w:lineRule="exact"/>
        <w:ind w:left="635" w:leftChars="0"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床爬梯主管【检测(验)内容耐腐蚀≥480h。】</w:t>
      </w:r>
    </w:p>
    <w:p>
      <w:pPr>
        <w:keepNext w:val="0"/>
        <w:keepLines w:val="0"/>
        <w:pageBreakBefore w:val="0"/>
        <w:numPr>
          <w:ilvl w:val="0"/>
          <w:numId w:val="11"/>
        </w:numPr>
        <w:kinsoku/>
        <w:wordWrap/>
        <w:overflowPunct/>
        <w:topLinePunct w:val="0"/>
        <w:bidi w:val="0"/>
        <w:snapToGrid/>
        <w:spacing w:line="380" w:lineRule="exact"/>
        <w:ind w:left="635" w:leftChars="0"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床边立柱【检测(验)内容耐腐蚀≥480h。】</w:t>
      </w:r>
    </w:p>
    <w:p>
      <w:pPr>
        <w:keepNext w:val="0"/>
        <w:keepLines w:val="0"/>
        <w:pageBreakBefore w:val="0"/>
        <w:numPr>
          <w:ilvl w:val="0"/>
          <w:numId w:val="11"/>
        </w:numPr>
        <w:kinsoku/>
        <w:wordWrap/>
        <w:overflowPunct/>
        <w:topLinePunct w:val="0"/>
        <w:bidi w:val="0"/>
        <w:snapToGrid/>
        <w:spacing w:line="380" w:lineRule="exact"/>
        <w:ind w:left="635" w:leftChars="0"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床长横梁【检测(验)内容耐腐蚀≥480h。】</w:t>
      </w:r>
    </w:p>
    <w:p>
      <w:pPr>
        <w:keepNext w:val="0"/>
        <w:keepLines w:val="0"/>
        <w:pageBreakBefore w:val="0"/>
        <w:numPr>
          <w:ilvl w:val="0"/>
          <w:numId w:val="11"/>
        </w:numPr>
        <w:kinsoku/>
        <w:wordWrap/>
        <w:overflowPunct/>
        <w:topLinePunct w:val="0"/>
        <w:bidi w:val="0"/>
        <w:snapToGrid/>
        <w:spacing w:line="380" w:lineRule="exact"/>
        <w:ind w:left="635" w:leftChars="0"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钢制柜层板【检测(验)内容耐腐蚀≥480h。】</w:t>
      </w:r>
    </w:p>
    <w:p>
      <w:pPr>
        <w:keepNext w:val="0"/>
        <w:keepLines w:val="0"/>
        <w:pageBreakBefore w:val="0"/>
        <w:numPr>
          <w:ilvl w:val="0"/>
          <w:numId w:val="11"/>
        </w:numPr>
        <w:kinsoku/>
        <w:wordWrap/>
        <w:overflowPunct/>
        <w:topLinePunct w:val="0"/>
        <w:bidi w:val="0"/>
        <w:snapToGrid/>
        <w:spacing w:line="380" w:lineRule="exact"/>
        <w:ind w:left="635" w:leftChars="0"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钢制柜侧板【检测(验)内容耐腐蚀≥480h。】</w:t>
      </w:r>
    </w:p>
    <w:p>
      <w:pPr>
        <w:keepNext w:val="0"/>
        <w:keepLines w:val="0"/>
        <w:pageBreakBefore w:val="0"/>
        <w:numPr>
          <w:ilvl w:val="0"/>
          <w:numId w:val="0"/>
        </w:numPr>
        <w:kinsoku/>
        <w:wordWrap/>
        <w:overflowPunct/>
        <w:topLinePunct w:val="0"/>
        <w:bidi w:val="0"/>
        <w:snapToGrid/>
        <w:spacing w:line="380" w:lineRule="exact"/>
        <w:ind w:left="635" w:left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钢制柜门板【检测(验)内容耐腐蚀≥480h。】</w:t>
      </w:r>
    </w:p>
    <w:p>
      <w:pPr>
        <w:keepNext w:val="0"/>
        <w:keepLines w:val="0"/>
        <w:pageBreakBefore w:val="0"/>
        <w:numPr>
          <w:ilvl w:val="0"/>
          <w:numId w:val="0"/>
        </w:numPr>
        <w:kinsoku/>
        <w:wordWrap/>
        <w:overflowPunct/>
        <w:topLinePunct w:val="0"/>
        <w:bidi w:val="0"/>
        <w:snapToGrid/>
        <w:spacing w:line="380" w:lineRule="exact"/>
        <w:ind w:left="635" w:left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11</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木制桌面板【检测(验)内容含水率、甲醛释放量】</w:t>
      </w:r>
    </w:p>
    <w:p>
      <w:pPr>
        <w:keepNext w:val="0"/>
        <w:keepLines w:val="0"/>
        <w:pageBreakBefore w:val="0"/>
        <w:numPr>
          <w:ilvl w:val="0"/>
          <w:numId w:val="0"/>
        </w:numPr>
        <w:kinsoku/>
        <w:wordWrap/>
        <w:overflowPunct/>
        <w:topLinePunct w:val="0"/>
        <w:bidi w:val="0"/>
        <w:snapToGrid/>
        <w:spacing w:line="380" w:lineRule="exact"/>
        <w:ind w:left="635" w:left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（12）胶合板</w:t>
      </w:r>
      <w:r>
        <w:rPr>
          <w:rFonts w:hint="eastAsia" w:asciiTheme="minorEastAsia" w:hAnsiTheme="minorEastAsia" w:eastAsiaTheme="minorEastAsia" w:cstheme="minorEastAsia"/>
          <w:color w:val="auto"/>
          <w:highlight w:val="none"/>
        </w:rPr>
        <w:t>【检测(验)内容含水率、甲醛释放量】</w:t>
      </w:r>
    </w:p>
    <w:p>
      <w:pPr>
        <w:keepNext w:val="0"/>
        <w:keepLines w:val="0"/>
        <w:pageBreakBefore w:val="0"/>
        <w:numPr>
          <w:ilvl w:val="0"/>
          <w:numId w:val="0"/>
        </w:numPr>
        <w:kinsoku/>
        <w:wordWrap/>
        <w:overflowPunct/>
        <w:topLinePunct w:val="0"/>
        <w:bidi w:val="0"/>
        <w:snapToGrid/>
        <w:spacing w:line="380" w:lineRule="exact"/>
        <w:ind w:left="635" w:left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13</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课桌椅脚管（冷轧钢板）【检测(验)内容抗拉强度、断后伸长率、厚度≥1.0】</w:t>
      </w:r>
    </w:p>
    <w:p>
      <w:pPr>
        <w:keepNext w:val="0"/>
        <w:keepLines w:val="0"/>
        <w:pageBreakBefore w:val="0"/>
        <w:numPr>
          <w:ilvl w:val="0"/>
          <w:numId w:val="0"/>
        </w:numPr>
        <w:kinsoku/>
        <w:wordWrap/>
        <w:overflowPunct/>
        <w:topLinePunct w:val="0"/>
        <w:bidi w:val="0"/>
        <w:snapToGrid/>
        <w:spacing w:line="380" w:lineRule="exact"/>
        <w:ind w:left="635" w:left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14</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课桌椅侧横管（冷轧钢板）【检测(验)内容抗拉强度、断后伸长率、厚度≥1.0】</w:t>
      </w:r>
    </w:p>
    <w:p>
      <w:pPr>
        <w:keepNext w:val="0"/>
        <w:keepLines w:val="0"/>
        <w:pageBreakBefore w:val="0"/>
        <w:numPr>
          <w:ilvl w:val="0"/>
          <w:numId w:val="0"/>
        </w:numPr>
        <w:kinsoku/>
        <w:wordWrap/>
        <w:overflowPunct/>
        <w:topLinePunct w:val="0"/>
        <w:bidi w:val="0"/>
        <w:snapToGrid/>
        <w:spacing w:line="380" w:lineRule="exact"/>
        <w:ind w:left="635" w:left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15</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课桌椅长横管（冷轧钢板）【检测(验)内容抗拉强度、断后伸长率、厚度≥1.0】</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Theme="minorEastAsia" w:hAnsiTheme="minorEastAsia" w:eastAsiaTheme="minorEastAsia" w:cstheme="minorEastAsia"/>
          <w:b/>
          <w:bCs w:val="0"/>
          <w:color w:val="auto"/>
          <w:highlight w:val="none"/>
          <w:lang w:val="en-US" w:eastAsia="zh-CN"/>
        </w:rPr>
      </w:pPr>
      <w:r>
        <w:rPr>
          <w:rFonts w:hint="eastAsia" w:asciiTheme="minorEastAsia" w:hAnsiTheme="minorEastAsia" w:eastAsiaTheme="minorEastAsia" w:cstheme="minorEastAsia"/>
          <w:b/>
          <w:bCs w:val="0"/>
          <w:color w:val="auto"/>
          <w:highlight w:val="none"/>
          <w:lang w:val="en-US" w:eastAsia="zh-CN"/>
        </w:rPr>
        <w:t>提供</w:t>
      </w:r>
      <w:r>
        <w:rPr>
          <w:rFonts w:hint="eastAsia" w:asciiTheme="minorEastAsia" w:hAnsiTheme="minorEastAsia" w:eastAsiaTheme="minorEastAsia" w:cstheme="minorEastAsia"/>
          <w:b/>
          <w:bCs w:val="0"/>
          <w:color w:val="auto"/>
          <w:highlight w:val="none"/>
        </w:rPr>
        <w:t>以上检测(验)报告</w:t>
      </w:r>
      <w:r>
        <w:rPr>
          <w:rFonts w:hint="eastAsia" w:asciiTheme="minorEastAsia" w:hAnsiTheme="minorEastAsia" w:eastAsiaTheme="minorEastAsia" w:cstheme="minorEastAsia"/>
          <w:b/>
          <w:bCs w:val="0"/>
          <w:color w:val="auto"/>
          <w:highlight w:val="none"/>
          <w:lang w:val="en-US" w:eastAsia="zh-CN"/>
        </w:rPr>
        <w:t>的，其内容必需满足上述要求且符合国家相应标准</w:t>
      </w:r>
      <w:r>
        <w:rPr>
          <w:rFonts w:hint="eastAsia" w:asciiTheme="minorEastAsia" w:hAnsiTheme="minorEastAsia" w:eastAsiaTheme="minorEastAsia" w:cstheme="minorEastAsia"/>
          <w:b/>
          <w:bCs w:val="0"/>
          <w:color w:val="auto"/>
          <w:highlight w:val="none"/>
        </w:rPr>
        <w:t>，</w:t>
      </w:r>
      <w:r>
        <w:rPr>
          <w:rFonts w:hint="eastAsia" w:asciiTheme="minorEastAsia" w:hAnsiTheme="minorEastAsia" w:eastAsiaTheme="minorEastAsia" w:cstheme="minorEastAsia"/>
          <w:b/>
          <w:bCs w:val="0"/>
          <w:color w:val="auto"/>
          <w:highlight w:val="none"/>
          <w:lang w:val="en-US" w:eastAsia="zh-CN"/>
        </w:rPr>
        <w:t>每提供一项</w:t>
      </w:r>
      <w:r>
        <w:rPr>
          <w:rFonts w:hint="eastAsia" w:asciiTheme="minorEastAsia" w:hAnsiTheme="minorEastAsia" w:eastAsiaTheme="minorEastAsia" w:cstheme="minorEastAsia"/>
          <w:b/>
          <w:bCs w:val="0"/>
          <w:color w:val="auto"/>
          <w:highlight w:val="none"/>
        </w:rPr>
        <w:t>检测(验)报告</w:t>
      </w:r>
      <w:r>
        <w:rPr>
          <w:rFonts w:hint="eastAsia" w:asciiTheme="minorEastAsia" w:hAnsiTheme="minorEastAsia" w:eastAsiaTheme="minorEastAsia" w:cstheme="minorEastAsia"/>
          <w:b/>
          <w:bCs w:val="0"/>
          <w:color w:val="auto"/>
          <w:highlight w:val="none"/>
          <w:lang w:val="en-US" w:eastAsia="zh-CN"/>
        </w:rPr>
        <w:t>，</w:t>
      </w:r>
      <w:r>
        <w:rPr>
          <w:rFonts w:hint="eastAsia" w:asciiTheme="minorEastAsia" w:hAnsiTheme="minorEastAsia" w:eastAsiaTheme="minorEastAsia" w:cstheme="minorEastAsia"/>
          <w:b/>
          <w:bCs w:val="0"/>
          <w:color w:val="auto"/>
          <w:highlight w:val="none"/>
        </w:rPr>
        <w:t>得</w:t>
      </w:r>
      <w:r>
        <w:rPr>
          <w:rFonts w:hint="eastAsia" w:asciiTheme="minorEastAsia" w:hAnsiTheme="minorEastAsia" w:eastAsiaTheme="minorEastAsia" w:cstheme="minorEastAsia"/>
          <w:b/>
          <w:bCs w:val="0"/>
          <w:color w:val="auto"/>
          <w:highlight w:val="none"/>
          <w:lang w:val="en-US" w:eastAsia="zh-CN"/>
        </w:rPr>
        <w:t>1</w:t>
      </w:r>
      <w:r>
        <w:rPr>
          <w:rFonts w:hint="eastAsia" w:asciiTheme="minorEastAsia" w:hAnsiTheme="minorEastAsia" w:eastAsiaTheme="minorEastAsia" w:cstheme="minorEastAsia"/>
          <w:b/>
          <w:bCs w:val="0"/>
          <w:color w:val="auto"/>
          <w:highlight w:val="none"/>
        </w:rPr>
        <w:t>分</w:t>
      </w:r>
      <w:r>
        <w:rPr>
          <w:rFonts w:hint="eastAsia" w:asciiTheme="minorEastAsia" w:hAnsiTheme="minorEastAsia" w:eastAsiaTheme="minorEastAsia" w:cstheme="minorEastAsia"/>
          <w:b/>
          <w:bCs w:val="0"/>
          <w:color w:val="auto"/>
          <w:highlight w:val="none"/>
          <w:lang w:val="en-US" w:eastAsia="zh-CN"/>
        </w:rPr>
        <w:t>，满分15分。</w:t>
      </w:r>
    </w:p>
    <w:p>
      <w:pPr>
        <w:keepNext w:val="0"/>
        <w:keepLines w:val="0"/>
        <w:pageBreakBefore w:val="0"/>
        <w:kinsoku/>
        <w:wordWrap/>
        <w:overflowPunct/>
        <w:topLinePunct w:val="0"/>
        <w:bidi w:val="0"/>
        <w:snapToGrid/>
        <w:spacing w:line="3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（注：要求加盖投标人公章，检测（验）产品内容必须与招标文件中承诺的相关参数内容一致或优于，投标时出具，</w:t>
      </w:r>
      <w:r>
        <w:rPr>
          <w:rFonts w:hint="eastAsia" w:asciiTheme="minorEastAsia" w:hAnsiTheme="minorEastAsia" w:eastAsiaTheme="minorEastAsia" w:cstheme="minorEastAsia"/>
          <w:color w:val="auto"/>
          <w:kern w:val="0"/>
          <w:szCs w:val="21"/>
          <w:highlight w:val="none"/>
        </w:rPr>
        <w:t>具有CMA标识的检测</w:t>
      </w:r>
      <w:r>
        <w:rPr>
          <w:rFonts w:hint="eastAsia" w:asciiTheme="minorEastAsia" w:hAnsiTheme="minorEastAsia" w:eastAsiaTheme="minorEastAsia" w:cstheme="minorEastAsia"/>
          <w:color w:val="auto"/>
          <w:highlight w:val="none"/>
        </w:rPr>
        <w:t>（验）</w:t>
      </w:r>
      <w:r>
        <w:rPr>
          <w:rFonts w:hint="eastAsia" w:asciiTheme="minorEastAsia" w:hAnsiTheme="minorEastAsia" w:eastAsiaTheme="minorEastAsia" w:cstheme="minorEastAsia"/>
          <w:color w:val="auto"/>
          <w:kern w:val="0"/>
          <w:szCs w:val="21"/>
          <w:highlight w:val="none"/>
        </w:rPr>
        <w:t>报告复印件</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Cs w:val="21"/>
          <w:highlight w:val="none"/>
        </w:rPr>
        <w:t>其应与原件一致，履约时提供原件核查，如有弄虚作假，取消履约资格</w:t>
      </w:r>
      <w:r>
        <w:rPr>
          <w:rFonts w:hint="eastAsia" w:asciiTheme="minorEastAsia" w:hAnsiTheme="minorEastAsia" w:eastAsiaTheme="minorEastAsia" w:cstheme="minorEastAsia"/>
          <w:color w:val="auto"/>
          <w:spacing w:val="-11"/>
          <w:highlight w:val="none"/>
        </w:rPr>
        <w:t>）</w:t>
      </w:r>
      <w:r>
        <w:rPr>
          <w:rFonts w:hint="eastAsia" w:asciiTheme="minorEastAsia" w:hAnsiTheme="minorEastAsia" w:eastAsiaTheme="minorEastAsia" w:cstheme="minorEastAsia"/>
          <w:color w:val="auto"/>
          <w:highlight w:val="none"/>
        </w:rPr>
        <w:t xml:space="preserve">投标人所提供的检测（验）产品的委托单位（送检人）必须是投标产品的生产厂商或投标人，否则对应项不得分。检测（验）报告必须复印清晰且完整、有效，检测(验) </w:t>
      </w:r>
      <w:r>
        <w:rPr>
          <w:rFonts w:hint="eastAsia" w:asciiTheme="minorEastAsia" w:hAnsiTheme="minorEastAsia" w:eastAsiaTheme="minorEastAsia" w:cstheme="minorEastAsia"/>
          <w:color w:val="auto"/>
          <w:spacing w:val="-11"/>
          <w:highlight w:val="none"/>
        </w:rPr>
        <w:t>报告上应有查询真伪途径</w:t>
      </w:r>
      <w:r>
        <w:rPr>
          <w:rFonts w:hint="eastAsia" w:asciiTheme="minorEastAsia" w:hAnsiTheme="minorEastAsia" w:eastAsiaTheme="minorEastAsia" w:cstheme="minorEastAsia"/>
          <w:color w:val="auto"/>
          <w:highlight w:val="none"/>
        </w:rPr>
        <w:t>。</w:t>
      </w:r>
    </w:p>
    <w:p>
      <w:pPr>
        <w:pStyle w:val="8"/>
        <w:keepNext w:val="0"/>
        <w:keepLines w:val="0"/>
        <w:pageBreakBefore w:val="0"/>
        <w:numPr>
          <w:ilvl w:val="0"/>
          <w:numId w:val="0"/>
        </w:numPr>
        <w:tabs>
          <w:tab w:val="left" w:pos="850"/>
          <w:tab w:val="left" w:leader="dot" w:pos="7384"/>
        </w:tabs>
        <w:kinsoku/>
        <w:wordWrap/>
        <w:overflowPunct/>
        <w:topLinePunct w:val="0"/>
        <w:bidi w:val="0"/>
        <w:snapToGrid/>
        <w:spacing w:line="380" w:lineRule="exact"/>
        <w:ind w:left="634" w:left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售后服务分</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满分14分</w:t>
      </w:r>
    </w:p>
    <w:p>
      <w:pPr>
        <w:keepNext w:val="0"/>
        <w:keepLines w:val="0"/>
        <w:pageBreakBefore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（1）根据投标文件中售后服务方案内容的完整性、可行性，到达故障现场时间、人员配备情况、故障出现解决方案、定期维护 (注明时间)、免费保修期外维修方案、本地化售后服务措施、其他优惠措施等方面，由评委确定各投标人所属档次并独立打分，本项最多得分3分。</w:t>
      </w:r>
    </w:p>
    <w:p>
      <w:pPr>
        <w:keepNext w:val="0"/>
        <w:keepLines w:val="0"/>
        <w:pageBreakBefore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一档（</w:t>
      </w:r>
      <w:r>
        <w:rPr>
          <w:rFonts w:hint="eastAsia" w:asciiTheme="minorEastAsia" w:hAnsiTheme="minorEastAsia" w:eastAsiaTheme="minorEastAsia" w:cstheme="minorEastAsia"/>
          <w:color w:val="auto"/>
          <w:highlight w:val="none"/>
          <w:lang w:val="en-US" w:eastAsia="zh-CN"/>
        </w:rPr>
        <w:t>0.1-</w:t>
      </w:r>
      <w:r>
        <w:rPr>
          <w:rFonts w:hint="eastAsia" w:asciiTheme="minorEastAsia" w:hAnsiTheme="minorEastAsia" w:eastAsiaTheme="minorEastAsia" w:cstheme="minorEastAsia"/>
          <w:color w:val="auto"/>
          <w:highlight w:val="none"/>
        </w:rPr>
        <w:t>1分）：售后服务方案简单，满足招标文件要求。</w:t>
      </w:r>
    </w:p>
    <w:p>
      <w:pPr>
        <w:keepNext w:val="0"/>
        <w:keepLines w:val="0"/>
        <w:pageBreakBefore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二档（1.1-4分）：售后服务方案较完善，略优于招标文件要求。</w:t>
      </w:r>
    </w:p>
    <w:p>
      <w:pPr>
        <w:keepNext w:val="0"/>
        <w:keepLines w:val="0"/>
        <w:pageBreakBefore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三档（4.1-7分）：满足招标文件售后服务要求的同时，售后服务方案内完整、可行，故障响应时间、到达现场维护时间、修复时间优于招标文件要求，有项目售后实施计划，有本地化售后服务点、售后服务车辆、人员及零配件仓库。(需提供有效售后服务点、售后服务车辆、人员及零配件仓库等证明材料复印件，证明材料不全或不能有力证明具备能够保证履行以上承诺的能力以及承诺内容的真实性的，视做无效承诺则不予计分)        </w:t>
      </w:r>
    </w:p>
    <w:p>
      <w:pPr>
        <w:keepNext w:val="0"/>
        <w:keepLines w:val="0"/>
        <w:pageBreakBefore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四档（7.1-10分）：满足招标文件售后服务要求的同时，售后服务方案内容完整、齐全、可行，故障响应时间、到达现场维护时间、修复时间优于招标文件要求，有项目售后实施计划且完整实用，有本地化售后服务网点、售后服务车辆、专业售后培训上岗人员及零配件仓库，其它实质性优惠措施等。(需提供有效售后服务点、售后服务车辆、人员及零配件仓库等证明材料复印件，证明材料不全或不能有力证明具备能够保证履行以上承诺的能力以及承诺内容的真实性的，视做无效承诺则不予计分)。</w:t>
      </w:r>
      <w:bookmarkStart w:id="162" w:name="第五章_采购合同（合同主要条款及格式）"/>
      <w:bookmarkEnd w:id="162"/>
    </w:p>
    <w:p>
      <w:pPr>
        <w:keepNext w:val="0"/>
        <w:keepLines w:val="0"/>
        <w:pageBreakBefore w:val="0"/>
        <w:widowControl/>
        <w:numPr>
          <w:ilvl w:val="0"/>
          <w:numId w:val="12"/>
        </w:numPr>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承诺接到采购人故障报修后，能在1.5小时内到达项目现场的得2分。（需提供相关有效证明材料：可以是投标人营业执照副本或服务网点房屋租赁合同等证明材料复印件，以及百度</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高德等</w:t>
      </w:r>
      <w:r>
        <w:rPr>
          <w:rFonts w:hint="eastAsia" w:asciiTheme="minorEastAsia" w:hAnsiTheme="minorEastAsia" w:eastAsiaTheme="minorEastAsia" w:cstheme="minorEastAsia"/>
          <w:color w:val="auto"/>
          <w:highlight w:val="none"/>
        </w:rPr>
        <w:t>地图</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包括但不限于</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中路线截图，并注明投标人服务网点详细地址、联系人及联系电话等相关信息）。</w:t>
      </w:r>
    </w:p>
    <w:p>
      <w:pPr>
        <w:keepNext w:val="0"/>
        <w:keepLines w:val="0"/>
        <w:pageBreakBefore w:val="0"/>
        <w:widowControl/>
        <w:numPr>
          <w:ilvl w:val="0"/>
          <w:numId w:val="12"/>
        </w:numPr>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承诺更长保修期：在满足基本免费保修 8 年期基础上，免费保修期每延长一年得1分，最多得2分。</w:t>
      </w:r>
    </w:p>
    <w:p>
      <w:pPr>
        <w:keepNext w:val="0"/>
        <w:keepLines w:val="0"/>
        <w:pageBreakBefore w:val="0"/>
        <w:widowControl/>
        <w:kinsoku/>
        <w:wordWrap/>
        <w:overflowPunct/>
        <w:topLinePunct w:val="0"/>
        <w:bidi w:val="0"/>
        <w:snapToGrid/>
        <w:spacing w:line="380" w:lineRule="exact"/>
        <w:ind w:firstLine="422"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 xml:space="preserve">8.政策功能分（节能、环保、广西区内产品等）………………………………………满分3分 </w:t>
      </w:r>
    </w:p>
    <w:p>
      <w:pPr>
        <w:pStyle w:val="18"/>
        <w:keepNext w:val="0"/>
        <w:keepLines w:val="0"/>
        <w:pageBreakBefore w:val="0"/>
        <w:kinsoku/>
        <w:wordWrap/>
        <w:overflowPunct/>
        <w:topLinePunct w:val="0"/>
        <w:bidi w:val="0"/>
        <w:snapToGrid/>
        <w:spacing w:line="380" w:lineRule="exact"/>
        <w:ind w:firstLine="539" w:firstLineChars="257"/>
        <w:textAlignment w:val="auto"/>
        <w:outlineLvl w:val="0"/>
        <w:rPr>
          <w:rFonts w:hint="eastAsia" w:asciiTheme="minorEastAsia" w:hAnsiTheme="minorEastAsia" w:eastAsiaTheme="minorEastAsia" w:cstheme="minorEastAsia"/>
          <w:color w:val="auto"/>
          <w:highlight w:val="none"/>
          <w:u w:val="none"/>
        </w:rPr>
      </w:pPr>
      <w:bookmarkStart w:id="163" w:name="_Toc18482"/>
      <w:r>
        <w:rPr>
          <w:rFonts w:hint="eastAsia" w:asciiTheme="minorEastAsia" w:hAnsiTheme="minorEastAsia" w:eastAsiaTheme="minorEastAsia" w:cstheme="minorEastAsia"/>
          <w:color w:val="auto"/>
          <w:highlight w:val="none"/>
          <w:u w:val="none"/>
        </w:rPr>
        <w:t>（1）</w:t>
      </w:r>
      <w:r>
        <w:rPr>
          <w:rFonts w:hint="eastAsia" w:asciiTheme="minorEastAsia" w:hAnsiTheme="minorEastAsia" w:eastAsiaTheme="minorEastAsia" w:cstheme="minorEastAsia"/>
          <w:bCs/>
          <w:color w:val="auto"/>
          <w:szCs w:val="21"/>
          <w:highlight w:val="none"/>
          <w:u w:val="none"/>
        </w:rPr>
        <w:t>应优先采购财政部现行《节能产品政府采购清单》目录内（</w:t>
      </w:r>
      <w:r>
        <w:rPr>
          <w:rFonts w:hint="eastAsia" w:asciiTheme="minorEastAsia" w:hAnsiTheme="minorEastAsia" w:eastAsiaTheme="minorEastAsia" w:cstheme="minorEastAsia"/>
          <w:color w:val="auto"/>
          <w:szCs w:val="21"/>
          <w:highlight w:val="none"/>
          <w:u w:val="none"/>
        </w:rPr>
        <w:t>政府强制采购节能产品</w:t>
      </w:r>
      <w:r>
        <w:rPr>
          <w:rFonts w:hint="eastAsia" w:asciiTheme="minorEastAsia" w:hAnsiTheme="minorEastAsia" w:eastAsiaTheme="minorEastAsia" w:cstheme="minorEastAsia"/>
          <w:bCs/>
          <w:color w:val="auto"/>
          <w:szCs w:val="21"/>
          <w:highlight w:val="none"/>
          <w:u w:val="none"/>
        </w:rPr>
        <w:t>除外）的产品（提供有效证明复印件）。    得</w:t>
      </w:r>
      <w:r>
        <w:rPr>
          <w:rFonts w:hint="eastAsia" w:asciiTheme="minorEastAsia" w:hAnsiTheme="minorEastAsia" w:eastAsiaTheme="minorEastAsia" w:cstheme="minorEastAsia"/>
          <w:bCs/>
          <w:color w:val="auto"/>
          <w:szCs w:val="21"/>
          <w:highlight w:val="none"/>
          <w:u w:val="none"/>
          <w:lang w:val="en-US" w:eastAsia="zh-CN"/>
        </w:rPr>
        <w:t>1</w:t>
      </w:r>
      <w:r>
        <w:rPr>
          <w:rFonts w:hint="eastAsia" w:asciiTheme="minorEastAsia" w:hAnsiTheme="minorEastAsia" w:eastAsiaTheme="minorEastAsia" w:cstheme="minorEastAsia"/>
          <w:bCs/>
          <w:color w:val="auto"/>
          <w:szCs w:val="21"/>
          <w:highlight w:val="none"/>
          <w:u w:val="none"/>
        </w:rPr>
        <w:t>分</w:t>
      </w:r>
      <w:bookmarkEnd w:id="163"/>
    </w:p>
    <w:p>
      <w:pPr>
        <w:pStyle w:val="18"/>
        <w:keepNext w:val="0"/>
        <w:keepLines w:val="0"/>
        <w:pageBreakBefore w:val="0"/>
        <w:kinsoku/>
        <w:wordWrap/>
        <w:overflowPunct/>
        <w:topLinePunct w:val="0"/>
        <w:bidi w:val="0"/>
        <w:snapToGrid/>
        <w:spacing w:line="380" w:lineRule="exact"/>
        <w:ind w:left="420" w:leftChars="200" w:firstLine="111" w:firstLineChars="53"/>
        <w:textAlignment w:val="auto"/>
        <w:rPr>
          <w:rFonts w:hint="eastAsia" w:asciiTheme="minorEastAsia" w:hAnsiTheme="minorEastAsia" w:eastAsiaTheme="minorEastAsia" w:cstheme="minorEastAsia"/>
          <w:color w:val="auto"/>
          <w:highlight w:val="none"/>
          <w:u w:val="none"/>
        </w:rPr>
      </w:pPr>
      <w:r>
        <w:rPr>
          <w:rFonts w:hint="eastAsia" w:asciiTheme="minorEastAsia" w:hAnsiTheme="minorEastAsia" w:eastAsiaTheme="minorEastAsia" w:cstheme="minorEastAsia"/>
          <w:color w:val="auto"/>
          <w:highlight w:val="none"/>
          <w:u w:val="none"/>
        </w:rPr>
        <w:t xml:space="preserve">（2）应优先采购财政部现行《环境标志产品政府采购清单》目录内的产品（提供有效证明复印件）。                             </w:t>
      </w:r>
      <w:r>
        <w:rPr>
          <w:rFonts w:hint="eastAsia" w:asciiTheme="minorEastAsia" w:hAnsiTheme="minorEastAsia" w:eastAsiaTheme="minorEastAsia" w:cstheme="minorEastAsia"/>
          <w:bCs/>
          <w:color w:val="auto"/>
          <w:szCs w:val="21"/>
          <w:highlight w:val="none"/>
          <w:u w:val="none"/>
        </w:rPr>
        <w:t>得</w:t>
      </w:r>
      <w:r>
        <w:rPr>
          <w:rFonts w:hint="eastAsia" w:asciiTheme="minorEastAsia" w:hAnsiTheme="minorEastAsia" w:eastAsiaTheme="minorEastAsia" w:cstheme="minorEastAsia"/>
          <w:bCs/>
          <w:color w:val="auto"/>
          <w:szCs w:val="21"/>
          <w:highlight w:val="none"/>
          <w:u w:val="none"/>
          <w:lang w:val="en-US" w:eastAsia="zh-CN"/>
        </w:rPr>
        <w:t>1</w:t>
      </w:r>
      <w:r>
        <w:rPr>
          <w:rFonts w:hint="eastAsia" w:asciiTheme="minorEastAsia" w:hAnsiTheme="minorEastAsia" w:eastAsiaTheme="minorEastAsia" w:cstheme="minorEastAsia"/>
          <w:bCs/>
          <w:color w:val="auto"/>
          <w:szCs w:val="21"/>
          <w:highlight w:val="none"/>
          <w:u w:val="none"/>
        </w:rPr>
        <w:t>分</w:t>
      </w:r>
    </w:p>
    <w:p>
      <w:pPr>
        <w:pStyle w:val="18"/>
        <w:keepNext w:val="0"/>
        <w:keepLines w:val="0"/>
        <w:pageBreakBefore w:val="0"/>
        <w:kinsoku/>
        <w:wordWrap/>
        <w:overflowPunct/>
        <w:topLinePunct w:val="0"/>
        <w:bidi w:val="0"/>
        <w:snapToGrid/>
        <w:spacing w:line="380" w:lineRule="exact"/>
        <w:ind w:left="421"/>
        <w:textAlignment w:val="auto"/>
        <w:rPr>
          <w:rFonts w:hint="eastAsia" w:asciiTheme="minorEastAsia" w:hAnsiTheme="minorEastAsia" w:eastAsiaTheme="minorEastAsia" w:cstheme="minorEastAsia"/>
          <w:b/>
          <w:color w:val="auto"/>
          <w:highlight w:val="none"/>
          <w:u w:val="none"/>
        </w:rPr>
      </w:pPr>
      <w:r>
        <w:rPr>
          <w:rFonts w:hint="eastAsia" w:asciiTheme="minorEastAsia" w:hAnsiTheme="minorEastAsia" w:eastAsiaTheme="minorEastAsia" w:cstheme="minorEastAsia"/>
          <w:color w:val="auto"/>
          <w:highlight w:val="none"/>
          <w:u w:val="none"/>
        </w:rPr>
        <w:t>（3）对使用广西工业产品（指在广西境内生产的工业产品）的金额占本项目（分标）总金额80%以上（含）的（以提供生产企业的工商营业执照复印件为准），得</w:t>
      </w:r>
      <w:r>
        <w:rPr>
          <w:rFonts w:hint="eastAsia" w:asciiTheme="minorEastAsia" w:hAnsiTheme="minorEastAsia" w:eastAsiaTheme="minorEastAsia" w:cstheme="minorEastAsia"/>
          <w:color w:val="auto"/>
          <w:highlight w:val="none"/>
          <w:u w:val="none"/>
          <w:lang w:val="en-US" w:eastAsia="zh-CN"/>
        </w:rPr>
        <w:t>1</w:t>
      </w:r>
      <w:r>
        <w:rPr>
          <w:rFonts w:hint="eastAsia" w:asciiTheme="minorEastAsia" w:hAnsiTheme="minorEastAsia" w:eastAsiaTheme="minorEastAsia" w:cstheme="minorEastAsia"/>
          <w:color w:val="auto"/>
          <w:highlight w:val="none"/>
          <w:u w:val="none"/>
        </w:rPr>
        <w:t>分。</w:t>
      </w:r>
    </w:p>
    <w:p>
      <w:pPr>
        <w:keepNext w:val="0"/>
        <w:keepLines w:val="0"/>
        <w:pageBreakBefore w:val="0"/>
        <w:widowControl w:val="0"/>
        <w:kinsoku/>
        <w:wordWrap/>
        <w:overflowPunct/>
        <w:topLinePunct w:val="0"/>
        <w:autoSpaceDE/>
        <w:autoSpaceDN/>
        <w:bidi w:val="0"/>
        <w:adjustRightInd/>
        <w:snapToGrid/>
        <w:spacing w:line="380" w:lineRule="exact"/>
        <w:ind w:left="-311"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备注：根据《广西壮族自治区人民政府办公厅关于印发招标采购促进广西工业产品产销对接实施细则的通知》（桂政办发【2015】78 号）的规定，“广西工业产品”是指广西境内生产的工业产品，具体以生产企业的工商营业执照注册所在地为准。“使用广西工业产品 80%以上”是指参加政府采购项目或招标项目时供货范围中采用广西工业产品的金额占本次招标总金额的 80%以上</w:t>
      </w:r>
    </w:p>
    <w:p>
      <w:pPr>
        <w:pStyle w:val="8"/>
        <w:keepNext w:val="0"/>
        <w:keepLines w:val="0"/>
        <w:pageBreakBefore w:val="0"/>
        <w:kinsoku/>
        <w:wordWrap/>
        <w:overflowPunct/>
        <w:topLinePunct w:val="0"/>
        <w:bidi w:val="0"/>
        <w:snapToGrid/>
        <w:spacing w:before="31" w:line="380" w:lineRule="exact"/>
        <w:ind w:left="0" w:leftChars="0" w:firstLine="0" w:firstLineChars="0"/>
        <w:textAlignment w:val="auto"/>
        <w:rPr>
          <w:rFonts w:hint="eastAsia" w:asciiTheme="minorEastAsia" w:hAnsiTheme="minorEastAsia" w:eastAsiaTheme="minorEastAsia" w:cstheme="minorEastAsia"/>
          <w:color w:val="auto"/>
          <w:highlight w:val="none"/>
        </w:rPr>
      </w:pPr>
    </w:p>
    <w:p>
      <w:pPr>
        <w:pStyle w:val="8"/>
        <w:keepNext w:val="0"/>
        <w:keepLines w:val="0"/>
        <w:pageBreakBefore w:val="0"/>
        <w:widowControl w:val="0"/>
        <w:kinsoku/>
        <w:wordWrap/>
        <w:overflowPunct/>
        <w:topLinePunct w:val="0"/>
        <w:autoSpaceDE/>
        <w:autoSpaceDN/>
        <w:bidi w:val="0"/>
        <w:adjustRightInd/>
        <w:snapToGrid/>
        <w:spacing w:before="31" w:line="380" w:lineRule="exact"/>
        <w:ind w:left="0" w:leftChars="0" w:firstLine="422" w:firstLineChars="200"/>
        <w:textAlignment w:val="auto"/>
        <w:rPr>
          <w:rFonts w:hint="eastAsia" w:asciiTheme="minorEastAsia" w:hAnsiTheme="minorEastAsia" w:eastAsiaTheme="minorEastAsia" w:cstheme="minorEastAsia"/>
          <w:color w:val="auto"/>
          <w:highlight w:val="none"/>
        </w:rPr>
      </w:pPr>
    </w:p>
    <w:p>
      <w:pPr>
        <w:pStyle w:val="8"/>
        <w:keepNext w:val="0"/>
        <w:keepLines w:val="0"/>
        <w:pageBreakBefore w:val="0"/>
        <w:widowControl w:val="0"/>
        <w:kinsoku/>
        <w:wordWrap/>
        <w:overflowPunct/>
        <w:topLinePunct w:val="0"/>
        <w:autoSpaceDE/>
        <w:autoSpaceDN/>
        <w:bidi w:val="0"/>
        <w:adjustRightInd/>
        <w:snapToGrid/>
        <w:spacing w:before="31" w:line="380" w:lineRule="exact"/>
        <w:ind w:left="0" w:leftChars="0" w:firstLine="422" w:firstLineChars="200"/>
        <w:textAlignment w:val="auto"/>
        <w:rPr>
          <w:rFonts w:hint="eastAsia" w:asciiTheme="minorEastAsia" w:hAnsiTheme="minorEastAsia" w:eastAsiaTheme="minorEastAsia" w:cstheme="minorEastAsia"/>
          <w:color w:val="auto"/>
          <w:highlight w:val="none"/>
        </w:rPr>
      </w:pPr>
    </w:p>
    <w:p>
      <w:pPr>
        <w:pStyle w:val="8"/>
        <w:keepNext w:val="0"/>
        <w:keepLines w:val="0"/>
        <w:pageBreakBefore w:val="0"/>
        <w:widowControl w:val="0"/>
        <w:kinsoku/>
        <w:wordWrap/>
        <w:overflowPunct/>
        <w:topLinePunct w:val="0"/>
        <w:autoSpaceDE/>
        <w:autoSpaceDN/>
        <w:bidi w:val="0"/>
        <w:adjustRightInd/>
        <w:snapToGrid/>
        <w:spacing w:before="31" w:line="380" w:lineRule="exact"/>
        <w:ind w:left="0" w:leftChars="0" w:firstLine="422"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9、综合得分＝1+2+3+4+5+6+7+8</w:t>
      </w:r>
    </w:p>
    <w:bookmarkEnd w:id="160"/>
    <w:p>
      <w:pPr>
        <w:pStyle w:val="18"/>
        <w:keepNext w:val="0"/>
        <w:keepLines w:val="0"/>
        <w:pageBreakBefore w:val="0"/>
        <w:tabs>
          <w:tab w:val="left" w:pos="4214"/>
        </w:tabs>
        <w:kinsoku/>
        <w:wordWrap/>
        <w:overflowPunct/>
        <w:topLinePunct w:val="0"/>
        <w:bidi w:val="0"/>
        <w:snapToGrid/>
        <w:spacing w:line="380" w:lineRule="exact"/>
        <w:ind w:firstLine="422" w:firstLineChars="200"/>
        <w:textAlignment w:val="auto"/>
        <w:rPr>
          <w:rFonts w:hint="eastAsia" w:asciiTheme="minorEastAsia" w:hAnsiTheme="minorEastAsia" w:eastAsiaTheme="minorEastAsia" w:cstheme="minorEastAsia"/>
          <w:b/>
          <w:color w:val="auto"/>
          <w:highlight w:val="none"/>
        </w:rPr>
      </w:pPr>
    </w:p>
    <w:p>
      <w:pPr>
        <w:pStyle w:val="18"/>
        <w:keepNext w:val="0"/>
        <w:keepLines w:val="0"/>
        <w:pageBreakBefore w:val="0"/>
        <w:tabs>
          <w:tab w:val="left" w:pos="4214"/>
        </w:tabs>
        <w:kinsoku/>
        <w:wordWrap/>
        <w:overflowPunct/>
        <w:topLinePunct w:val="0"/>
        <w:bidi w:val="0"/>
        <w:snapToGrid/>
        <w:spacing w:line="380" w:lineRule="exact"/>
        <w:ind w:firstLine="422" w:firstLineChars="200"/>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三、推荐及确定中标候选供应商原则</w:t>
      </w:r>
    </w:p>
    <w:p>
      <w:pPr>
        <w:pStyle w:val="18"/>
        <w:keepNext w:val="0"/>
        <w:keepLines w:val="0"/>
        <w:pageBreakBefore w:val="0"/>
        <w:tabs>
          <w:tab w:val="left" w:pos="4214"/>
        </w:tabs>
        <w:kinsoku/>
        <w:wordWrap/>
        <w:overflowPunct/>
        <w:topLinePunct w:val="0"/>
        <w:bidi w:val="0"/>
        <w:snapToGrid/>
        <w:spacing w:line="38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（1）评标委员会根据综合得分由高到低排列次序，若得分相同时，按评标价由低到高顺序排列；得分相同且评标价也相同的由评标委员会按照抽签的方式决定排次次序</w:t>
      </w:r>
      <w:r>
        <w:rPr>
          <w:rFonts w:hint="eastAsia" w:asciiTheme="minorEastAsia" w:hAnsiTheme="minorEastAsia" w:eastAsiaTheme="minorEastAsia" w:cstheme="minorEastAsia"/>
          <w:color w:val="auto"/>
          <w:sz w:val="22"/>
          <w:szCs w:val="22"/>
          <w:highlight w:val="none"/>
        </w:rPr>
        <w:t>。</w:t>
      </w:r>
    </w:p>
    <w:p>
      <w:pPr>
        <w:pStyle w:val="18"/>
        <w:keepNext w:val="0"/>
        <w:keepLines w:val="0"/>
        <w:pageBreakBefore w:val="0"/>
        <w:tabs>
          <w:tab w:val="left" w:pos="4214"/>
        </w:tabs>
        <w:kinsoku/>
        <w:wordWrap/>
        <w:overflowPunct/>
        <w:topLinePunct w:val="0"/>
        <w:bidi w:val="0"/>
        <w:snapToGrid/>
        <w:spacing w:line="38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（2）评标委员会可推荐前三名为中标候选人，采购人应当确定评标委员会推荐排名第一的中标候选人为中标人。</w:t>
      </w:r>
    </w:p>
    <w:p>
      <w:pPr>
        <w:pStyle w:val="18"/>
        <w:keepNext w:val="0"/>
        <w:keepLines w:val="0"/>
        <w:pageBreakBefore w:val="0"/>
        <w:tabs>
          <w:tab w:val="left" w:pos="4214"/>
        </w:tabs>
        <w:kinsoku/>
        <w:wordWrap/>
        <w:overflowPunct/>
        <w:topLinePunct w:val="0"/>
        <w:bidi w:val="0"/>
        <w:snapToGrid/>
        <w:spacing w:line="38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并依此类推。</w:t>
      </w:r>
    </w:p>
    <w:p>
      <w:pPr>
        <w:keepNext w:val="0"/>
        <w:keepLines w:val="0"/>
        <w:pageBreakBefore w:val="0"/>
        <w:kinsoku/>
        <w:wordWrap/>
        <w:overflowPunct/>
        <w:topLinePunct w:val="0"/>
        <w:bidi w:val="0"/>
        <w:snapToGrid/>
        <w:spacing w:line="380" w:lineRule="exact"/>
        <w:ind w:firstLine="424" w:firstLineChars="202"/>
        <w:jc w:val="left"/>
        <w:textAlignment w:val="auto"/>
        <w:rPr>
          <w:rFonts w:hint="eastAsia" w:asciiTheme="minorEastAsia" w:hAnsiTheme="minorEastAsia" w:eastAsiaTheme="minorEastAsia" w:cstheme="minorEastAsia"/>
          <w:color w:val="auto"/>
          <w:szCs w:val="21"/>
          <w:highlight w:val="none"/>
        </w:rPr>
      </w:pPr>
    </w:p>
    <w:p>
      <w:pPr>
        <w:keepNext w:val="0"/>
        <w:keepLines w:val="0"/>
        <w:pageBreakBefore w:val="0"/>
        <w:kinsoku/>
        <w:wordWrap/>
        <w:overflowPunct/>
        <w:topLinePunct w:val="0"/>
        <w:bidi w:val="0"/>
        <w:snapToGrid/>
        <w:spacing w:line="380" w:lineRule="exact"/>
        <w:ind w:firstLine="426" w:firstLineChars="20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四、特别说明</w:t>
      </w:r>
    </w:p>
    <w:p>
      <w:pPr>
        <w:pStyle w:val="18"/>
        <w:keepNext w:val="0"/>
        <w:keepLines w:val="0"/>
        <w:pageBreakBefore w:val="0"/>
        <w:kinsoku/>
        <w:wordWrap/>
        <w:overflowPunct/>
        <w:topLinePunct w:val="0"/>
        <w:bidi w:val="0"/>
        <w:adjustRightInd w:val="0"/>
        <w:snapToGrid/>
        <w:spacing w:line="380" w:lineRule="exact"/>
        <w:ind w:firstLine="422" w:firstLineChars="200"/>
        <w:contextualSpacing/>
        <w:textAlignment w:val="auto"/>
        <w:rPr>
          <w:rFonts w:hint="eastAsia" w:asciiTheme="minorEastAsia" w:hAnsiTheme="minorEastAsia" w:eastAsiaTheme="minorEastAsia" w:cstheme="minorEastAsia"/>
          <w:b/>
          <w:bCs/>
          <w:color w:val="auto"/>
          <w:szCs w:val="21"/>
          <w:highlight w:val="none"/>
          <w:u w:val="double"/>
        </w:rPr>
      </w:pPr>
      <w:r>
        <w:rPr>
          <w:rFonts w:hint="eastAsia" w:asciiTheme="minorEastAsia" w:hAnsiTheme="minorEastAsia" w:eastAsiaTheme="minorEastAsia" w:cstheme="minorEastAsia"/>
          <w:b/>
          <w:bCs/>
          <w:color w:val="auto"/>
          <w:szCs w:val="21"/>
          <w:highlight w:val="none"/>
          <w:u w:val="double"/>
        </w:rPr>
        <w:t>评审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8"/>
        <w:adjustRightInd w:val="0"/>
        <w:spacing w:line="380" w:lineRule="exact"/>
        <w:ind w:firstLine="420" w:firstLineChars="200"/>
        <w:contextualSpacing/>
        <w:rPr>
          <w:color w:val="auto"/>
        </w:rPr>
      </w:pPr>
    </w:p>
    <w:p>
      <w:pPr>
        <w:widowControl/>
        <w:spacing w:line="600" w:lineRule="exact"/>
        <w:jc w:val="left"/>
        <w:outlineLvl w:val="1"/>
        <w:rPr>
          <w:b/>
          <w:bCs/>
          <w:color w:val="auto"/>
          <w:szCs w:val="20"/>
        </w:rPr>
      </w:pPr>
      <w:bookmarkStart w:id="164" w:name="_Toc23297"/>
      <w:r>
        <w:rPr>
          <w:b/>
          <w:bCs/>
          <w:color w:val="auto"/>
          <w:szCs w:val="20"/>
        </w:rPr>
        <w:br w:type="page"/>
      </w:r>
      <w:bookmarkStart w:id="165" w:name="_Toc7566"/>
      <w:r>
        <w:rPr>
          <w:b/>
          <w:bCs/>
          <w:color w:val="auto"/>
          <w:szCs w:val="20"/>
        </w:rPr>
        <w:t>附表</w:t>
      </w:r>
      <w:bookmarkEnd w:id="164"/>
      <w:bookmarkEnd w:id="165"/>
    </w:p>
    <w:p>
      <w:pPr>
        <w:widowControl/>
        <w:spacing w:beforeLines="50" w:afterLines="50" w:line="400" w:lineRule="exact"/>
        <w:jc w:val="center"/>
        <w:rPr>
          <w:b/>
          <w:bCs/>
          <w:color w:val="auto"/>
          <w:kern w:val="0"/>
          <w:sz w:val="30"/>
          <w:szCs w:val="30"/>
        </w:rPr>
      </w:pPr>
      <w:bookmarkStart w:id="166" w:name="_Toc28361_WPSOffice_Level2"/>
      <w:r>
        <w:rPr>
          <w:b/>
          <w:bCs/>
          <w:color w:val="auto"/>
          <w:kern w:val="0"/>
          <w:sz w:val="30"/>
          <w:szCs w:val="30"/>
        </w:rPr>
        <w:t>统计上大中小微型企业划分标准</w:t>
      </w:r>
      <w:bookmarkEnd w:id="166"/>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2113" w:type="dxa"/>
            <w:shd w:val="clear" w:color="auto" w:fill="8DB3E2"/>
            <w:vAlign w:val="center"/>
          </w:tcPr>
          <w:p>
            <w:pPr>
              <w:widowControl/>
              <w:spacing w:line="240" w:lineRule="exact"/>
              <w:jc w:val="center"/>
              <w:rPr>
                <w:b/>
                <w:bCs/>
                <w:color w:val="auto"/>
                <w:kern w:val="0"/>
                <w:sz w:val="18"/>
                <w:szCs w:val="21"/>
              </w:rPr>
            </w:pPr>
            <w:r>
              <w:rPr>
                <w:b/>
                <w:bCs/>
                <w:color w:val="auto"/>
                <w:kern w:val="0"/>
                <w:sz w:val="18"/>
                <w:szCs w:val="21"/>
              </w:rPr>
              <w:t>行业名称</w:t>
            </w:r>
          </w:p>
        </w:tc>
        <w:tc>
          <w:tcPr>
            <w:tcW w:w="1369" w:type="dxa"/>
            <w:shd w:val="clear" w:color="auto" w:fill="8DB3E2"/>
            <w:vAlign w:val="center"/>
          </w:tcPr>
          <w:p>
            <w:pPr>
              <w:widowControl/>
              <w:jc w:val="center"/>
              <w:rPr>
                <w:b/>
                <w:bCs/>
                <w:color w:val="auto"/>
                <w:kern w:val="0"/>
                <w:sz w:val="18"/>
                <w:szCs w:val="18"/>
              </w:rPr>
            </w:pPr>
            <w:r>
              <w:rPr>
                <w:b/>
                <w:bCs/>
                <w:color w:val="auto"/>
                <w:kern w:val="0"/>
                <w:sz w:val="18"/>
                <w:szCs w:val="18"/>
              </w:rPr>
              <w:t>指标名称</w:t>
            </w:r>
          </w:p>
        </w:tc>
        <w:tc>
          <w:tcPr>
            <w:tcW w:w="709" w:type="dxa"/>
            <w:shd w:val="clear" w:color="auto" w:fill="8DB3E2"/>
            <w:vAlign w:val="center"/>
          </w:tcPr>
          <w:p>
            <w:pPr>
              <w:widowControl/>
              <w:jc w:val="center"/>
              <w:rPr>
                <w:b/>
                <w:bCs/>
                <w:color w:val="auto"/>
                <w:kern w:val="0"/>
                <w:sz w:val="18"/>
                <w:szCs w:val="18"/>
              </w:rPr>
            </w:pPr>
            <w:r>
              <w:rPr>
                <w:b/>
                <w:bCs/>
                <w:color w:val="auto"/>
                <w:kern w:val="0"/>
                <w:sz w:val="18"/>
                <w:szCs w:val="18"/>
              </w:rPr>
              <w:t>计量</w:t>
            </w:r>
            <w:r>
              <w:rPr>
                <w:b/>
                <w:bCs/>
                <w:color w:val="auto"/>
                <w:kern w:val="0"/>
                <w:sz w:val="18"/>
                <w:szCs w:val="18"/>
              </w:rPr>
              <w:br w:type="textWrapping"/>
            </w:r>
            <w:r>
              <w:rPr>
                <w:b/>
                <w:bCs/>
                <w:color w:val="auto"/>
                <w:kern w:val="0"/>
                <w:sz w:val="18"/>
                <w:szCs w:val="18"/>
              </w:rPr>
              <w:t>单位</w:t>
            </w:r>
          </w:p>
        </w:tc>
        <w:tc>
          <w:tcPr>
            <w:tcW w:w="1125" w:type="dxa"/>
            <w:shd w:val="clear" w:color="auto" w:fill="8DB3E2"/>
            <w:vAlign w:val="center"/>
          </w:tcPr>
          <w:p>
            <w:pPr>
              <w:widowControl/>
              <w:jc w:val="center"/>
              <w:rPr>
                <w:b/>
                <w:bCs/>
                <w:color w:val="auto"/>
                <w:kern w:val="0"/>
                <w:sz w:val="18"/>
                <w:szCs w:val="18"/>
              </w:rPr>
            </w:pPr>
            <w:r>
              <w:rPr>
                <w:b/>
                <w:bCs/>
                <w:color w:val="auto"/>
                <w:kern w:val="0"/>
                <w:sz w:val="18"/>
                <w:szCs w:val="18"/>
              </w:rPr>
              <w:t>大型</w:t>
            </w:r>
          </w:p>
        </w:tc>
        <w:tc>
          <w:tcPr>
            <w:tcW w:w="1701" w:type="dxa"/>
            <w:shd w:val="clear" w:color="auto" w:fill="8DB3E2"/>
            <w:vAlign w:val="center"/>
          </w:tcPr>
          <w:p>
            <w:pPr>
              <w:widowControl/>
              <w:jc w:val="center"/>
              <w:rPr>
                <w:b/>
                <w:bCs/>
                <w:color w:val="auto"/>
                <w:kern w:val="0"/>
                <w:sz w:val="18"/>
                <w:szCs w:val="18"/>
              </w:rPr>
            </w:pPr>
            <w:r>
              <w:rPr>
                <w:b/>
                <w:bCs/>
                <w:color w:val="auto"/>
                <w:kern w:val="0"/>
                <w:sz w:val="18"/>
                <w:szCs w:val="18"/>
              </w:rPr>
              <w:t>中型</w:t>
            </w:r>
          </w:p>
        </w:tc>
        <w:tc>
          <w:tcPr>
            <w:tcW w:w="1426" w:type="dxa"/>
            <w:shd w:val="clear" w:color="auto" w:fill="8DB3E2"/>
            <w:vAlign w:val="center"/>
          </w:tcPr>
          <w:p>
            <w:pPr>
              <w:widowControl/>
              <w:jc w:val="center"/>
              <w:rPr>
                <w:b/>
                <w:bCs/>
                <w:color w:val="auto"/>
                <w:kern w:val="0"/>
                <w:sz w:val="18"/>
                <w:szCs w:val="18"/>
              </w:rPr>
            </w:pPr>
            <w:r>
              <w:rPr>
                <w:b/>
                <w:bCs/>
                <w:color w:val="auto"/>
                <w:kern w:val="0"/>
                <w:sz w:val="18"/>
                <w:szCs w:val="18"/>
              </w:rPr>
              <w:t>小型</w:t>
            </w:r>
          </w:p>
        </w:tc>
        <w:tc>
          <w:tcPr>
            <w:tcW w:w="992" w:type="dxa"/>
            <w:shd w:val="clear" w:color="auto" w:fill="8DB3E2"/>
            <w:vAlign w:val="center"/>
          </w:tcPr>
          <w:p>
            <w:pPr>
              <w:widowControl/>
              <w:jc w:val="center"/>
              <w:rPr>
                <w:b/>
                <w:bCs/>
                <w:color w:val="auto"/>
                <w:kern w:val="0"/>
                <w:sz w:val="18"/>
                <w:szCs w:val="18"/>
              </w:rPr>
            </w:pPr>
            <w:r>
              <w:rPr>
                <w:b/>
                <w:bCs/>
                <w:color w:val="auto"/>
                <w:kern w:val="0"/>
                <w:sz w:val="18"/>
                <w:szCs w:val="18"/>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Align w:val="center"/>
          </w:tcPr>
          <w:p>
            <w:pPr>
              <w:widowControl/>
              <w:spacing w:line="240" w:lineRule="exact"/>
              <w:jc w:val="left"/>
              <w:rPr>
                <w:color w:val="auto"/>
                <w:kern w:val="0"/>
                <w:sz w:val="18"/>
                <w:szCs w:val="18"/>
              </w:rPr>
            </w:pPr>
            <w:r>
              <w:rPr>
                <w:color w:val="auto"/>
                <w:kern w:val="0"/>
                <w:sz w:val="18"/>
                <w:szCs w:val="18"/>
              </w:rPr>
              <w:t>农、林、牧、渔业</w:t>
            </w:r>
          </w:p>
        </w:tc>
        <w:tc>
          <w:tcPr>
            <w:tcW w:w="1369" w:type="dxa"/>
            <w:vAlign w:val="center"/>
          </w:tcPr>
          <w:p>
            <w:pPr>
              <w:widowControl/>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Y≥20000</w:t>
            </w:r>
          </w:p>
        </w:tc>
        <w:tc>
          <w:tcPr>
            <w:tcW w:w="1701" w:type="dxa"/>
            <w:vAlign w:val="center"/>
          </w:tcPr>
          <w:p>
            <w:pPr>
              <w:widowControl/>
              <w:jc w:val="center"/>
              <w:rPr>
                <w:color w:val="auto"/>
                <w:kern w:val="0"/>
                <w:sz w:val="18"/>
                <w:szCs w:val="18"/>
              </w:rPr>
            </w:pPr>
            <w:r>
              <w:rPr>
                <w:color w:val="auto"/>
                <w:kern w:val="0"/>
                <w:sz w:val="18"/>
                <w:szCs w:val="18"/>
              </w:rPr>
              <w:t>500≤Y＜20000</w:t>
            </w:r>
          </w:p>
        </w:tc>
        <w:tc>
          <w:tcPr>
            <w:tcW w:w="1426" w:type="dxa"/>
            <w:vAlign w:val="center"/>
          </w:tcPr>
          <w:p>
            <w:pPr>
              <w:widowControl/>
              <w:jc w:val="center"/>
              <w:rPr>
                <w:color w:val="auto"/>
                <w:kern w:val="0"/>
                <w:sz w:val="18"/>
                <w:szCs w:val="18"/>
              </w:rPr>
            </w:pPr>
            <w:r>
              <w:rPr>
                <w:color w:val="auto"/>
                <w:kern w:val="0"/>
                <w:sz w:val="18"/>
                <w:szCs w:val="18"/>
              </w:rPr>
              <w:t>50≤Y＜500</w:t>
            </w:r>
          </w:p>
        </w:tc>
        <w:tc>
          <w:tcPr>
            <w:tcW w:w="992" w:type="dxa"/>
            <w:vAlign w:val="center"/>
          </w:tcPr>
          <w:p>
            <w:pPr>
              <w:widowControl/>
              <w:jc w:val="center"/>
              <w:rPr>
                <w:color w:val="auto"/>
                <w:kern w:val="0"/>
                <w:sz w:val="18"/>
                <w:szCs w:val="18"/>
              </w:rPr>
            </w:pPr>
            <w:r>
              <w:rPr>
                <w:color w:val="auto"/>
                <w:kern w:val="0"/>
                <w:sz w:val="18"/>
                <w:szCs w:val="18"/>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工业 *</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X≥1000</w:t>
            </w:r>
          </w:p>
        </w:tc>
        <w:tc>
          <w:tcPr>
            <w:tcW w:w="1701" w:type="dxa"/>
            <w:vAlign w:val="center"/>
          </w:tcPr>
          <w:p>
            <w:pPr>
              <w:widowControl/>
              <w:jc w:val="center"/>
              <w:rPr>
                <w:color w:val="auto"/>
                <w:kern w:val="0"/>
                <w:sz w:val="18"/>
                <w:szCs w:val="18"/>
              </w:rPr>
            </w:pPr>
            <w:r>
              <w:rPr>
                <w:color w:val="auto"/>
                <w:kern w:val="0"/>
                <w:sz w:val="18"/>
                <w:szCs w:val="18"/>
              </w:rPr>
              <w:t>300≤X＜1000</w:t>
            </w:r>
          </w:p>
        </w:tc>
        <w:tc>
          <w:tcPr>
            <w:tcW w:w="1426" w:type="dxa"/>
            <w:vAlign w:val="center"/>
          </w:tcPr>
          <w:p>
            <w:pPr>
              <w:widowControl/>
              <w:jc w:val="center"/>
              <w:rPr>
                <w:color w:val="auto"/>
                <w:kern w:val="0"/>
                <w:sz w:val="18"/>
                <w:szCs w:val="18"/>
              </w:rPr>
            </w:pPr>
            <w:r>
              <w:rPr>
                <w:color w:val="auto"/>
                <w:kern w:val="0"/>
                <w:sz w:val="18"/>
                <w:szCs w:val="18"/>
              </w:rPr>
              <w:t>20≤X＜300</w:t>
            </w:r>
          </w:p>
        </w:tc>
        <w:tc>
          <w:tcPr>
            <w:tcW w:w="992" w:type="dxa"/>
            <w:vAlign w:val="center"/>
          </w:tcPr>
          <w:p>
            <w:pPr>
              <w:widowControl/>
              <w:jc w:val="center"/>
              <w:rPr>
                <w:color w:val="auto"/>
                <w:kern w:val="0"/>
                <w:sz w:val="18"/>
                <w:szCs w:val="18"/>
              </w:rPr>
            </w:pPr>
            <w:r>
              <w:rPr>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Y≥40000</w:t>
            </w:r>
          </w:p>
        </w:tc>
        <w:tc>
          <w:tcPr>
            <w:tcW w:w="1701" w:type="dxa"/>
            <w:vAlign w:val="center"/>
          </w:tcPr>
          <w:p>
            <w:pPr>
              <w:widowControl/>
              <w:jc w:val="center"/>
              <w:rPr>
                <w:color w:val="auto"/>
                <w:kern w:val="0"/>
                <w:sz w:val="18"/>
                <w:szCs w:val="18"/>
              </w:rPr>
            </w:pPr>
            <w:r>
              <w:rPr>
                <w:color w:val="auto"/>
                <w:kern w:val="0"/>
                <w:sz w:val="18"/>
                <w:szCs w:val="18"/>
              </w:rPr>
              <w:t>2000≤Y＜40000</w:t>
            </w:r>
          </w:p>
        </w:tc>
        <w:tc>
          <w:tcPr>
            <w:tcW w:w="1426" w:type="dxa"/>
            <w:vAlign w:val="center"/>
          </w:tcPr>
          <w:p>
            <w:pPr>
              <w:widowControl/>
              <w:jc w:val="center"/>
              <w:rPr>
                <w:color w:val="auto"/>
                <w:kern w:val="0"/>
                <w:sz w:val="18"/>
                <w:szCs w:val="18"/>
              </w:rPr>
            </w:pPr>
            <w:r>
              <w:rPr>
                <w:color w:val="auto"/>
                <w:kern w:val="0"/>
                <w:sz w:val="18"/>
                <w:szCs w:val="18"/>
              </w:rPr>
              <w:t>300≤Y＜2000</w:t>
            </w:r>
          </w:p>
        </w:tc>
        <w:tc>
          <w:tcPr>
            <w:tcW w:w="992" w:type="dxa"/>
            <w:vAlign w:val="center"/>
          </w:tcPr>
          <w:p>
            <w:pPr>
              <w:widowControl/>
              <w:jc w:val="center"/>
              <w:rPr>
                <w:color w:val="auto"/>
                <w:kern w:val="0"/>
                <w:sz w:val="18"/>
                <w:szCs w:val="18"/>
              </w:rPr>
            </w:pPr>
            <w:r>
              <w:rPr>
                <w:color w:val="auto"/>
                <w:kern w:val="0"/>
                <w:sz w:val="18"/>
                <w:szCs w:val="18"/>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建筑业</w:t>
            </w:r>
          </w:p>
        </w:tc>
        <w:tc>
          <w:tcPr>
            <w:tcW w:w="1369" w:type="dxa"/>
            <w:vAlign w:val="center"/>
          </w:tcPr>
          <w:p>
            <w:pPr>
              <w:widowControl/>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Y≥80000</w:t>
            </w:r>
          </w:p>
        </w:tc>
        <w:tc>
          <w:tcPr>
            <w:tcW w:w="1701" w:type="dxa"/>
            <w:vAlign w:val="center"/>
          </w:tcPr>
          <w:p>
            <w:pPr>
              <w:widowControl/>
              <w:jc w:val="center"/>
              <w:rPr>
                <w:color w:val="auto"/>
                <w:kern w:val="0"/>
                <w:sz w:val="18"/>
                <w:szCs w:val="18"/>
              </w:rPr>
            </w:pPr>
            <w:r>
              <w:rPr>
                <w:color w:val="auto"/>
                <w:kern w:val="0"/>
                <w:sz w:val="18"/>
                <w:szCs w:val="18"/>
              </w:rPr>
              <w:t>6000≤Y＜80000</w:t>
            </w:r>
          </w:p>
        </w:tc>
        <w:tc>
          <w:tcPr>
            <w:tcW w:w="1426" w:type="dxa"/>
            <w:vAlign w:val="center"/>
          </w:tcPr>
          <w:p>
            <w:pPr>
              <w:widowControl/>
              <w:jc w:val="center"/>
              <w:rPr>
                <w:color w:val="auto"/>
                <w:kern w:val="0"/>
                <w:sz w:val="18"/>
                <w:szCs w:val="18"/>
              </w:rPr>
            </w:pPr>
            <w:r>
              <w:rPr>
                <w:color w:val="auto"/>
                <w:kern w:val="0"/>
                <w:sz w:val="18"/>
                <w:szCs w:val="18"/>
              </w:rPr>
              <w:t>300≤Y＜6000</w:t>
            </w:r>
          </w:p>
        </w:tc>
        <w:tc>
          <w:tcPr>
            <w:tcW w:w="992" w:type="dxa"/>
            <w:vAlign w:val="center"/>
          </w:tcPr>
          <w:p>
            <w:pPr>
              <w:widowControl/>
              <w:jc w:val="center"/>
              <w:rPr>
                <w:color w:val="auto"/>
                <w:kern w:val="0"/>
                <w:sz w:val="18"/>
                <w:szCs w:val="18"/>
              </w:rPr>
            </w:pPr>
            <w:r>
              <w:rPr>
                <w:color w:val="auto"/>
                <w:kern w:val="0"/>
                <w:sz w:val="18"/>
                <w:szCs w:val="18"/>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资产总额(Z)</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Z≥80000</w:t>
            </w:r>
          </w:p>
        </w:tc>
        <w:tc>
          <w:tcPr>
            <w:tcW w:w="1701" w:type="dxa"/>
            <w:vAlign w:val="center"/>
          </w:tcPr>
          <w:p>
            <w:pPr>
              <w:widowControl/>
              <w:jc w:val="center"/>
              <w:rPr>
                <w:color w:val="auto"/>
                <w:kern w:val="0"/>
                <w:sz w:val="18"/>
                <w:szCs w:val="18"/>
              </w:rPr>
            </w:pPr>
            <w:r>
              <w:rPr>
                <w:color w:val="auto"/>
                <w:kern w:val="0"/>
                <w:sz w:val="18"/>
                <w:szCs w:val="18"/>
              </w:rPr>
              <w:t>5000≤Z＜80000</w:t>
            </w:r>
          </w:p>
        </w:tc>
        <w:tc>
          <w:tcPr>
            <w:tcW w:w="1426" w:type="dxa"/>
            <w:vAlign w:val="center"/>
          </w:tcPr>
          <w:p>
            <w:pPr>
              <w:widowControl/>
              <w:jc w:val="center"/>
              <w:rPr>
                <w:color w:val="auto"/>
                <w:kern w:val="0"/>
                <w:sz w:val="18"/>
                <w:szCs w:val="18"/>
              </w:rPr>
            </w:pPr>
            <w:r>
              <w:rPr>
                <w:color w:val="auto"/>
                <w:kern w:val="0"/>
                <w:sz w:val="18"/>
                <w:szCs w:val="18"/>
              </w:rPr>
              <w:t>300≤Z＜5000</w:t>
            </w:r>
          </w:p>
        </w:tc>
        <w:tc>
          <w:tcPr>
            <w:tcW w:w="992" w:type="dxa"/>
            <w:vAlign w:val="center"/>
          </w:tcPr>
          <w:p>
            <w:pPr>
              <w:widowControl/>
              <w:jc w:val="center"/>
              <w:rPr>
                <w:color w:val="auto"/>
                <w:kern w:val="0"/>
                <w:sz w:val="18"/>
                <w:szCs w:val="18"/>
              </w:rPr>
            </w:pPr>
            <w:r>
              <w:rPr>
                <w:color w:val="auto"/>
                <w:kern w:val="0"/>
                <w:sz w:val="18"/>
                <w:szCs w:val="18"/>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批发业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X≥200</w:t>
            </w:r>
          </w:p>
        </w:tc>
        <w:tc>
          <w:tcPr>
            <w:tcW w:w="1701" w:type="dxa"/>
            <w:vAlign w:val="center"/>
          </w:tcPr>
          <w:p>
            <w:pPr>
              <w:widowControl/>
              <w:jc w:val="center"/>
              <w:rPr>
                <w:color w:val="auto"/>
                <w:kern w:val="0"/>
                <w:sz w:val="18"/>
                <w:szCs w:val="18"/>
              </w:rPr>
            </w:pPr>
            <w:r>
              <w:rPr>
                <w:color w:val="auto"/>
                <w:kern w:val="0"/>
                <w:sz w:val="18"/>
                <w:szCs w:val="18"/>
              </w:rPr>
              <w:t>20≤X＜200</w:t>
            </w:r>
          </w:p>
        </w:tc>
        <w:tc>
          <w:tcPr>
            <w:tcW w:w="1426" w:type="dxa"/>
            <w:vAlign w:val="center"/>
          </w:tcPr>
          <w:p>
            <w:pPr>
              <w:widowControl/>
              <w:jc w:val="center"/>
              <w:rPr>
                <w:color w:val="auto"/>
                <w:kern w:val="0"/>
                <w:sz w:val="18"/>
                <w:szCs w:val="18"/>
              </w:rPr>
            </w:pPr>
            <w:r>
              <w:rPr>
                <w:color w:val="auto"/>
                <w:kern w:val="0"/>
                <w:sz w:val="18"/>
                <w:szCs w:val="18"/>
              </w:rPr>
              <w:t>5≤X＜20</w:t>
            </w:r>
          </w:p>
        </w:tc>
        <w:tc>
          <w:tcPr>
            <w:tcW w:w="992" w:type="dxa"/>
            <w:vAlign w:val="center"/>
          </w:tcPr>
          <w:p>
            <w:pPr>
              <w:widowControl/>
              <w:jc w:val="center"/>
              <w:rPr>
                <w:color w:val="auto"/>
                <w:kern w:val="0"/>
                <w:sz w:val="18"/>
                <w:szCs w:val="18"/>
              </w:rPr>
            </w:pPr>
            <w:r>
              <w:rPr>
                <w:color w:val="auto"/>
                <w:kern w:val="0"/>
                <w:sz w:val="18"/>
                <w:szCs w:val="18"/>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Y≥40000</w:t>
            </w:r>
          </w:p>
        </w:tc>
        <w:tc>
          <w:tcPr>
            <w:tcW w:w="1701" w:type="dxa"/>
            <w:vAlign w:val="center"/>
          </w:tcPr>
          <w:p>
            <w:pPr>
              <w:widowControl/>
              <w:jc w:val="center"/>
              <w:rPr>
                <w:color w:val="auto"/>
                <w:kern w:val="0"/>
                <w:sz w:val="18"/>
                <w:szCs w:val="18"/>
              </w:rPr>
            </w:pPr>
            <w:r>
              <w:rPr>
                <w:color w:val="auto"/>
                <w:kern w:val="0"/>
                <w:sz w:val="18"/>
                <w:szCs w:val="18"/>
              </w:rPr>
              <w:t>5000≤Y＜40000</w:t>
            </w:r>
          </w:p>
        </w:tc>
        <w:tc>
          <w:tcPr>
            <w:tcW w:w="1426" w:type="dxa"/>
            <w:vAlign w:val="center"/>
          </w:tcPr>
          <w:p>
            <w:pPr>
              <w:widowControl/>
              <w:ind w:left="-1" w:leftChars="-1" w:hanging="1"/>
              <w:jc w:val="center"/>
              <w:rPr>
                <w:color w:val="auto"/>
                <w:kern w:val="0"/>
                <w:sz w:val="18"/>
                <w:szCs w:val="18"/>
              </w:rPr>
            </w:pPr>
            <w:r>
              <w:rPr>
                <w:color w:val="auto"/>
                <w:kern w:val="0"/>
                <w:sz w:val="18"/>
                <w:szCs w:val="18"/>
              </w:rPr>
              <w:t>1000≤Y＜5000</w:t>
            </w:r>
          </w:p>
        </w:tc>
        <w:tc>
          <w:tcPr>
            <w:tcW w:w="992" w:type="dxa"/>
            <w:vAlign w:val="center"/>
          </w:tcPr>
          <w:p>
            <w:pPr>
              <w:widowControl/>
              <w:jc w:val="center"/>
              <w:rPr>
                <w:color w:val="auto"/>
                <w:kern w:val="0"/>
                <w:sz w:val="18"/>
                <w:szCs w:val="18"/>
              </w:rPr>
            </w:pPr>
            <w:r>
              <w:rPr>
                <w:color w:val="auto"/>
                <w:kern w:val="0"/>
                <w:sz w:val="18"/>
                <w:szCs w:val="18"/>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零售业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jc w:val="center"/>
              <w:rPr>
                <w:color w:val="auto"/>
                <w:kern w:val="0"/>
                <w:sz w:val="18"/>
                <w:szCs w:val="18"/>
              </w:rPr>
            </w:pPr>
            <w:r>
              <w:rPr>
                <w:color w:val="auto"/>
                <w:kern w:val="0"/>
                <w:sz w:val="18"/>
                <w:szCs w:val="18"/>
              </w:rPr>
              <w:t>50≤X＜300</w:t>
            </w:r>
          </w:p>
        </w:tc>
        <w:tc>
          <w:tcPr>
            <w:tcW w:w="1426" w:type="dxa"/>
            <w:vAlign w:val="center"/>
          </w:tcPr>
          <w:p>
            <w:pPr>
              <w:widowControl/>
              <w:ind w:left="-1" w:leftChars="-1" w:hanging="1"/>
              <w:jc w:val="center"/>
              <w:rPr>
                <w:color w:val="auto"/>
                <w:kern w:val="0"/>
                <w:sz w:val="18"/>
                <w:szCs w:val="18"/>
              </w:rPr>
            </w:pPr>
            <w:r>
              <w:rPr>
                <w:color w:val="auto"/>
                <w:kern w:val="0"/>
                <w:sz w:val="18"/>
                <w:szCs w:val="18"/>
              </w:rPr>
              <w:t xml:space="preserve">10≤X＜50 </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Y≥20000</w:t>
            </w:r>
          </w:p>
        </w:tc>
        <w:tc>
          <w:tcPr>
            <w:tcW w:w="1701" w:type="dxa"/>
            <w:vAlign w:val="center"/>
          </w:tcPr>
          <w:p>
            <w:pPr>
              <w:widowControl/>
              <w:jc w:val="center"/>
              <w:rPr>
                <w:color w:val="auto"/>
                <w:kern w:val="0"/>
                <w:sz w:val="18"/>
                <w:szCs w:val="18"/>
              </w:rPr>
            </w:pPr>
            <w:r>
              <w:rPr>
                <w:color w:val="auto"/>
                <w:kern w:val="0"/>
                <w:sz w:val="18"/>
                <w:szCs w:val="18"/>
              </w:rPr>
              <w:t>500≤Y＜20000</w:t>
            </w:r>
          </w:p>
        </w:tc>
        <w:tc>
          <w:tcPr>
            <w:tcW w:w="1426" w:type="dxa"/>
            <w:vAlign w:val="center"/>
          </w:tcPr>
          <w:p>
            <w:pPr>
              <w:widowControl/>
              <w:ind w:left="-1" w:leftChars="-1" w:hanging="1"/>
              <w:jc w:val="center"/>
              <w:rPr>
                <w:color w:val="auto"/>
                <w:kern w:val="0"/>
                <w:sz w:val="18"/>
                <w:szCs w:val="18"/>
              </w:rPr>
            </w:pPr>
            <w:r>
              <w:rPr>
                <w:color w:val="auto"/>
                <w:kern w:val="0"/>
                <w:sz w:val="18"/>
                <w:szCs w:val="18"/>
              </w:rPr>
              <w:t>100≤Y＜500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交通运输业 *</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X≥1000</w:t>
            </w:r>
          </w:p>
        </w:tc>
        <w:tc>
          <w:tcPr>
            <w:tcW w:w="1701" w:type="dxa"/>
            <w:vAlign w:val="center"/>
          </w:tcPr>
          <w:p>
            <w:pPr>
              <w:widowControl/>
              <w:jc w:val="center"/>
              <w:rPr>
                <w:color w:val="auto"/>
                <w:kern w:val="0"/>
                <w:sz w:val="18"/>
                <w:szCs w:val="18"/>
              </w:rPr>
            </w:pPr>
            <w:r>
              <w:rPr>
                <w:color w:val="auto"/>
                <w:kern w:val="0"/>
                <w:sz w:val="18"/>
                <w:szCs w:val="18"/>
              </w:rPr>
              <w:t>300≤X＜1000</w:t>
            </w:r>
          </w:p>
        </w:tc>
        <w:tc>
          <w:tcPr>
            <w:tcW w:w="1426" w:type="dxa"/>
            <w:vAlign w:val="center"/>
          </w:tcPr>
          <w:p>
            <w:pPr>
              <w:widowControl/>
              <w:jc w:val="center"/>
              <w:rPr>
                <w:color w:val="auto"/>
                <w:kern w:val="0"/>
                <w:sz w:val="18"/>
                <w:szCs w:val="18"/>
              </w:rPr>
            </w:pPr>
            <w:r>
              <w:rPr>
                <w:color w:val="auto"/>
                <w:kern w:val="0"/>
                <w:sz w:val="18"/>
                <w:szCs w:val="18"/>
              </w:rPr>
              <w:t>20≤X＜300</w:t>
            </w:r>
          </w:p>
        </w:tc>
        <w:tc>
          <w:tcPr>
            <w:tcW w:w="992" w:type="dxa"/>
            <w:vAlign w:val="center"/>
          </w:tcPr>
          <w:p>
            <w:pPr>
              <w:widowControl/>
              <w:jc w:val="center"/>
              <w:rPr>
                <w:color w:val="auto"/>
                <w:kern w:val="0"/>
                <w:sz w:val="18"/>
                <w:szCs w:val="18"/>
              </w:rPr>
            </w:pPr>
            <w:r>
              <w:rPr>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Y≥30000</w:t>
            </w:r>
          </w:p>
        </w:tc>
        <w:tc>
          <w:tcPr>
            <w:tcW w:w="1701" w:type="dxa"/>
            <w:vAlign w:val="center"/>
          </w:tcPr>
          <w:p>
            <w:pPr>
              <w:widowControl/>
              <w:jc w:val="center"/>
              <w:rPr>
                <w:color w:val="auto"/>
                <w:kern w:val="0"/>
                <w:sz w:val="18"/>
                <w:szCs w:val="18"/>
              </w:rPr>
            </w:pPr>
            <w:r>
              <w:rPr>
                <w:color w:val="auto"/>
                <w:kern w:val="0"/>
                <w:sz w:val="18"/>
                <w:szCs w:val="18"/>
              </w:rPr>
              <w:t>3000≤Y＜30000</w:t>
            </w:r>
          </w:p>
        </w:tc>
        <w:tc>
          <w:tcPr>
            <w:tcW w:w="1426" w:type="dxa"/>
            <w:vAlign w:val="center"/>
          </w:tcPr>
          <w:p>
            <w:pPr>
              <w:widowControl/>
              <w:jc w:val="center"/>
              <w:rPr>
                <w:color w:val="auto"/>
                <w:kern w:val="0"/>
                <w:sz w:val="18"/>
                <w:szCs w:val="18"/>
              </w:rPr>
            </w:pPr>
            <w:r>
              <w:rPr>
                <w:color w:val="auto"/>
                <w:kern w:val="0"/>
                <w:sz w:val="18"/>
                <w:szCs w:val="18"/>
              </w:rPr>
              <w:t>200≤Y＜3000</w:t>
            </w:r>
          </w:p>
        </w:tc>
        <w:tc>
          <w:tcPr>
            <w:tcW w:w="992" w:type="dxa"/>
            <w:vAlign w:val="center"/>
          </w:tcPr>
          <w:p>
            <w:pPr>
              <w:widowControl/>
              <w:jc w:val="center"/>
              <w:rPr>
                <w:color w:val="auto"/>
                <w:kern w:val="0"/>
                <w:sz w:val="18"/>
                <w:szCs w:val="18"/>
              </w:rPr>
            </w:pPr>
            <w:r>
              <w:rPr>
                <w:color w:val="auto"/>
                <w:kern w:val="0"/>
                <w:sz w:val="18"/>
                <w:szCs w:val="18"/>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仓储业*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X≥200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100≤X＜200</w:t>
            </w:r>
          </w:p>
        </w:tc>
        <w:tc>
          <w:tcPr>
            <w:tcW w:w="1426" w:type="dxa"/>
            <w:vAlign w:val="center"/>
          </w:tcPr>
          <w:p>
            <w:pPr>
              <w:widowControl/>
              <w:jc w:val="center"/>
              <w:rPr>
                <w:color w:val="auto"/>
                <w:kern w:val="0"/>
                <w:sz w:val="18"/>
                <w:szCs w:val="18"/>
              </w:rPr>
            </w:pPr>
            <w:r>
              <w:rPr>
                <w:color w:val="auto"/>
                <w:kern w:val="0"/>
                <w:sz w:val="18"/>
                <w:szCs w:val="18"/>
              </w:rPr>
              <w:t>20≤X＜100</w:t>
            </w:r>
          </w:p>
        </w:tc>
        <w:tc>
          <w:tcPr>
            <w:tcW w:w="992" w:type="dxa"/>
            <w:vAlign w:val="center"/>
          </w:tcPr>
          <w:p>
            <w:pPr>
              <w:widowControl/>
              <w:jc w:val="center"/>
              <w:rPr>
                <w:color w:val="auto"/>
                <w:kern w:val="0"/>
                <w:sz w:val="18"/>
                <w:szCs w:val="18"/>
              </w:rPr>
            </w:pPr>
            <w:r>
              <w:rPr>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Y≥30000</w:t>
            </w:r>
          </w:p>
        </w:tc>
        <w:tc>
          <w:tcPr>
            <w:tcW w:w="1701" w:type="dxa"/>
            <w:vAlign w:val="center"/>
          </w:tcPr>
          <w:p>
            <w:pPr>
              <w:widowControl/>
              <w:jc w:val="center"/>
              <w:rPr>
                <w:color w:val="auto"/>
                <w:kern w:val="0"/>
                <w:sz w:val="18"/>
                <w:szCs w:val="18"/>
              </w:rPr>
            </w:pPr>
            <w:r>
              <w:rPr>
                <w:color w:val="auto"/>
                <w:kern w:val="0"/>
                <w:sz w:val="18"/>
                <w:szCs w:val="18"/>
              </w:rPr>
              <w:t>1000≤Y＜30000</w:t>
            </w:r>
          </w:p>
        </w:tc>
        <w:tc>
          <w:tcPr>
            <w:tcW w:w="1426" w:type="dxa"/>
            <w:vAlign w:val="center"/>
          </w:tcPr>
          <w:p>
            <w:pPr>
              <w:widowControl/>
              <w:jc w:val="center"/>
              <w:rPr>
                <w:color w:val="auto"/>
                <w:kern w:val="0"/>
                <w:sz w:val="18"/>
                <w:szCs w:val="18"/>
              </w:rPr>
            </w:pPr>
            <w:r>
              <w:rPr>
                <w:color w:val="auto"/>
                <w:kern w:val="0"/>
                <w:sz w:val="18"/>
                <w:szCs w:val="18"/>
              </w:rPr>
              <w:t>100≤Y＜1000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邮政业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X≥1000</w:t>
            </w:r>
          </w:p>
        </w:tc>
        <w:tc>
          <w:tcPr>
            <w:tcW w:w="1701" w:type="dxa"/>
            <w:vAlign w:val="center"/>
          </w:tcPr>
          <w:p>
            <w:pPr>
              <w:widowControl/>
              <w:jc w:val="center"/>
              <w:rPr>
                <w:color w:val="auto"/>
                <w:kern w:val="0"/>
                <w:sz w:val="18"/>
                <w:szCs w:val="18"/>
              </w:rPr>
            </w:pPr>
            <w:r>
              <w:rPr>
                <w:color w:val="auto"/>
                <w:kern w:val="0"/>
                <w:sz w:val="18"/>
                <w:szCs w:val="18"/>
              </w:rPr>
              <w:t>300≤X＜1000</w:t>
            </w:r>
          </w:p>
        </w:tc>
        <w:tc>
          <w:tcPr>
            <w:tcW w:w="1426" w:type="dxa"/>
            <w:vAlign w:val="center"/>
          </w:tcPr>
          <w:p>
            <w:pPr>
              <w:widowControl/>
              <w:jc w:val="center"/>
              <w:rPr>
                <w:color w:val="auto"/>
                <w:kern w:val="0"/>
                <w:sz w:val="18"/>
                <w:szCs w:val="18"/>
              </w:rPr>
            </w:pPr>
            <w:r>
              <w:rPr>
                <w:color w:val="auto"/>
                <w:kern w:val="0"/>
                <w:sz w:val="18"/>
                <w:szCs w:val="18"/>
              </w:rPr>
              <w:t>20≤X＜300</w:t>
            </w:r>
          </w:p>
        </w:tc>
        <w:tc>
          <w:tcPr>
            <w:tcW w:w="992" w:type="dxa"/>
            <w:vAlign w:val="center"/>
          </w:tcPr>
          <w:p>
            <w:pPr>
              <w:widowControl/>
              <w:jc w:val="center"/>
              <w:rPr>
                <w:color w:val="auto"/>
                <w:kern w:val="0"/>
                <w:sz w:val="18"/>
                <w:szCs w:val="18"/>
              </w:rPr>
            </w:pPr>
            <w:r>
              <w:rPr>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Y≥30000</w:t>
            </w:r>
          </w:p>
        </w:tc>
        <w:tc>
          <w:tcPr>
            <w:tcW w:w="1701" w:type="dxa"/>
            <w:vAlign w:val="center"/>
          </w:tcPr>
          <w:p>
            <w:pPr>
              <w:widowControl/>
              <w:jc w:val="center"/>
              <w:rPr>
                <w:color w:val="auto"/>
                <w:kern w:val="0"/>
                <w:sz w:val="18"/>
                <w:szCs w:val="18"/>
              </w:rPr>
            </w:pPr>
            <w:r>
              <w:rPr>
                <w:color w:val="auto"/>
                <w:kern w:val="0"/>
                <w:sz w:val="18"/>
                <w:szCs w:val="18"/>
              </w:rPr>
              <w:t>2000≤Y＜30000</w:t>
            </w:r>
          </w:p>
        </w:tc>
        <w:tc>
          <w:tcPr>
            <w:tcW w:w="1426" w:type="dxa"/>
            <w:vAlign w:val="center"/>
          </w:tcPr>
          <w:p>
            <w:pPr>
              <w:widowControl/>
              <w:jc w:val="center"/>
              <w:rPr>
                <w:color w:val="auto"/>
                <w:kern w:val="0"/>
                <w:sz w:val="18"/>
                <w:szCs w:val="18"/>
              </w:rPr>
            </w:pPr>
            <w:r>
              <w:rPr>
                <w:color w:val="auto"/>
                <w:kern w:val="0"/>
                <w:sz w:val="18"/>
                <w:szCs w:val="18"/>
              </w:rPr>
              <w:t>100≤Y＜2000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住宿业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100≤X＜300</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Y≥10000</w:t>
            </w:r>
          </w:p>
        </w:tc>
        <w:tc>
          <w:tcPr>
            <w:tcW w:w="1701" w:type="dxa"/>
            <w:vAlign w:val="center"/>
          </w:tcPr>
          <w:p>
            <w:pPr>
              <w:widowControl/>
              <w:jc w:val="center"/>
              <w:rPr>
                <w:color w:val="auto"/>
                <w:kern w:val="0"/>
                <w:sz w:val="18"/>
                <w:szCs w:val="18"/>
              </w:rPr>
            </w:pPr>
            <w:r>
              <w:rPr>
                <w:color w:val="auto"/>
                <w:kern w:val="0"/>
                <w:sz w:val="18"/>
                <w:szCs w:val="18"/>
              </w:rPr>
              <w:t>2000≤Y＜10000</w:t>
            </w:r>
          </w:p>
        </w:tc>
        <w:tc>
          <w:tcPr>
            <w:tcW w:w="1426" w:type="dxa"/>
            <w:vAlign w:val="center"/>
          </w:tcPr>
          <w:p>
            <w:pPr>
              <w:widowControl/>
              <w:jc w:val="center"/>
              <w:rPr>
                <w:color w:val="auto"/>
                <w:kern w:val="0"/>
                <w:sz w:val="18"/>
                <w:szCs w:val="18"/>
              </w:rPr>
            </w:pPr>
            <w:r>
              <w:rPr>
                <w:color w:val="auto"/>
                <w:kern w:val="0"/>
                <w:sz w:val="18"/>
                <w:szCs w:val="18"/>
              </w:rPr>
              <w:t>100≤Y＜2000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餐饮业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 xml:space="preserve">100≤X＜300 </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Y≥10000</w:t>
            </w:r>
          </w:p>
        </w:tc>
        <w:tc>
          <w:tcPr>
            <w:tcW w:w="1701" w:type="dxa"/>
            <w:vAlign w:val="center"/>
          </w:tcPr>
          <w:p>
            <w:pPr>
              <w:widowControl/>
              <w:jc w:val="center"/>
              <w:rPr>
                <w:color w:val="auto"/>
                <w:kern w:val="0"/>
                <w:sz w:val="18"/>
                <w:szCs w:val="18"/>
              </w:rPr>
            </w:pPr>
            <w:r>
              <w:rPr>
                <w:color w:val="auto"/>
                <w:kern w:val="0"/>
                <w:sz w:val="18"/>
                <w:szCs w:val="18"/>
              </w:rPr>
              <w:t>2000≤Y＜10000</w:t>
            </w:r>
          </w:p>
        </w:tc>
        <w:tc>
          <w:tcPr>
            <w:tcW w:w="1426" w:type="dxa"/>
            <w:vAlign w:val="center"/>
          </w:tcPr>
          <w:p>
            <w:pPr>
              <w:widowControl/>
              <w:jc w:val="center"/>
              <w:rPr>
                <w:color w:val="auto"/>
                <w:kern w:val="0"/>
                <w:sz w:val="18"/>
                <w:szCs w:val="18"/>
              </w:rPr>
            </w:pPr>
            <w:r>
              <w:rPr>
                <w:color w:val="auto"/>
                <w:kern w:val="0"/>
                <w:sz w:val="18"/>
                <w:szCs w:val="18"/>
              </w:rPr>
              <w:t>100≤Y＜2000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信息传输业 *</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X≥2000</w:t>
            </w:r>
          </w:p>
        </w:tc>
        <w:tc>
          <w:tcPr>
            <w:tcW w:w="1701" w:type="dxa"/>
            <w:vAlign w:val="center"/>
          </w:tcPr>
          <w:p>
            <w:pPr>
              <w:widowControl/>
              <w:jc w:val="center"/>
              <w:rPr>
                <w:color w:val="auto"/>
                <w:kern w:val="0"/>
                <w:sz w:val="18"/>
                <w:szCs w:val="18"/>
              </w:rPr>
            </w:pPr>
            <w:r>
              <w:rPr>
                <w:color w:val="auto"/>
                <w:kern w:val="0"/>
                <w:sz w:val="18"/>
                <w:szCs w:val="18"/>
              </w:rPr>
              <w:t>100≤X＜2000</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Y≥100000</w:t>
            </w:r>
          </w:p>
        </w:tc>
        <w:tc>
          <w:tcPr>
            <w:tcW w:w="1701" w:type="dxa"/>
            <w:vAlign w:val="center"/>
          </w:tcPr>
          <w:p>
            <w:pPr>
              <w:widowControl/>
              <w:jc w:val="center"/>
              <w:rPr>
                <w:color w:val="auto"/>
                <w:kern w:val="0"/>
                <w:sz w:val="18"/>
                <w:szCs w:val="18"/>
              </w:rPr>
            </w:pPr>
            <w:r>
              <w:rPr>
                <w:color w:val="auto"/>
                <w:kern w:val="0"/>
                <w:sz w:val="18"/>
                <w:szCs w:val="18"/>
              </w:rPr>
              <w:t>1000≤Y＜100000</w:t>
            </w:r>
          </w:p>
        </w:tc>
        <w:tc>
          <w:tcPr>
            <w:tcW w:w="1426" w:type="dxa"/>
            <w:vAlign w:val="center"/>
          </w:tcPr>
          <w:p>
            <w:pPr>
              <w:widowControl/>
              <w:jc w:val="center"/>
              <w:rPr>
                <w:color w:val="auto"/>
                <w:kern w:val="0"/>
                <w:sz w:val="18"/>
                <w:szCs w:val="18"/>
              </w:rPr>
            </w:pPr>
            <w:r>
              <w:rPr>
                <w:color w:val="auto"/>
                <w:kern w:val="0"/>
                <w:sz w:val="18"/>
                <w:szCs w:val="18"/>
              </w:rPr>
              <w:t>100≤Y＜1000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restart"/>
            <w:vAlign w:val="center"/>
          </w:tcPr>
          <w:p>
            <w:pPr>
              <w:widowControl/>
              <w:spacing w:line="240" w:lineRule="exact"/>
              <w:jc w:val="left"/>
              <w:rPr>
                <w:color w:val="auto"/>
                <w:spacing w:val="-12"/>
                <w:kern w:val="0"/>
                <w:sz w:val="18"/>
                <w:szCs w:val="18"/>
              </w:rPr>
            </w:pPr>
            <w:r>
              <w:rPr>
                <w:color w:val="auto"/>
                <w:spacing w:val="-12"/>
                <w:kern w:val="0"/>
                <w:sz w:val="18"/>
                <w:szCs w:val="18"/>
              </w:rPr>
              <w:t>软件和信息技术服</w:t>
            </w:r>
            <w:r>
              <w:rPr>
                <w:color w:val="auto"/>
                <w:kern w:val="0"/>
                <w:sz w:val="18"/>
                <w:szCs w:val="18"/>
              </w:rPr>
              <w:t>务业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 xml:space="preserve">100≤X＜300 </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continue"/>
            <w:vAlign w:val="center"/>
          </w:tcPr>
          <w:p>
            <w:pPr>
              <w:widowControl/>
              <w:jc w:val="left"/>
              <w:rPr>
                <w:color w:val="auto"/>
                <w:spacing w:val="-12"/>
                <w:kern w:val="0"/>
                <w:sz w:val="18"/>
                <w:szCs w:val="18"/>
              </w:rPr>
            </w:pPr>
          </w:p>
        </w:tc>
        <w:tc>
          <w:tcPr>
            <w:tcW w:w="1369" w:type="dxa"/>
            <w:vAlign w:val="center"/>
          </w:tcPr>
          <w:p>
            <w:pPr>
              <w:widowControl/>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Y≥10000</w:t>
            </w:r>
          </w:p>
        </w:tc>
        <w:tc>
          <w:tcPr>
            <w:tcW w:w="1701" w:type="dxa"/>
            <w:vAlign w:val="center"/>
          </w:tcPr>
          <w:p>
            <w:pPr>
              <w:widowControl/>
              <w:jc w:val="center"/>
              <w:rPr>
                <w:color w:val="auto"/>
                <w:kern w:val="0"/>
                <w:sz w:val="18"/>
                <w:szCs w:val="18"/>
              </w:rPr>
            </w:pPr>
            <w:r>
              <w:rPr>
                <w:color w:val="auto"/>
                <w:kern w:val="0"/>
                <w:sz w:val="18"/>
                <w:szCs w:val="18"/>
              </w:rPr>
              <w:t>1000≤Y＜10000</w:t>
            </w:r>
          </w:p>
        </w:tc>
        <w:tc>
          <w:tcPr>
            <w:tcW w:w="1426" w:type="dxa"/>
            <w:vAlign w:val="center"/>
          </w:tcPr>
          <w:p>
            <w:pPr>
              <w:widowControl/>
              <w:jc w:val="center"/>
              <w:rPr>
                <w:color w:val="auto"/>
                <w:kern w:val="0"/>
                <w:sz w:val="18"/>
                <w:szCs w:val="18"/>
              </w:rPr>
            </w:pPr>
            <w:r>
              <w:rPr>
                <w:color w:val="auto"/>
                <w:kern w:val="0"/>
                <w:sz w:val="18"/>
                <w:szCs w:val="18"/>
              </w:rPr>
              <w:t>50≤Y＜1000</w:t>
            </w:r>
          </w:p>
        </w:tc>
        <w:tc>
          <w:tcPr>
            <w:tcW w:w="992" w:type="dxa"/>
            <w:vAlign w:val="center"/>
          </w:tcPr>
          <w:p>
            <w:pPr>
              <w:widowControl/>
              <w:jc w:val="center"/>
              <w:rPr>
                <w:color w:val="auto"/>
                <w:kern w:val="0"/>
                <w:sz w:val="18"/>
                <w:szCs w:val="18"/>
              </w:rPr>
            </w:pPr>
            <w:r>
              <w:rPr>
                <w:color w:val="auto"/>
                <w:kern w:val="0"/>
                <w:sz w:val="18"/>
                <w:szCs w:val="18"/>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房地产开发经营</w:t>
            </w:r>
          </w:p>
        </w:tc>
        <w:tc>
          <w:tcPr>
            <w:tcW w:w="1369" w:type="dxa"/>
            <w:vAlign w:val="center"/>
          </w:tcPr>
          <w:p>
            <w:pPr>
              <w:widowControl/>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Y≥200000</w:t>
            </w:r>
          </w:p>
        </w:tc>
        <w:tc>
          <w:tcPr>
            <w:tcW w:w="1701" w:type="dxa"/>
            <w:vAlign w:val="center"/>
          </w:tcPr>
          <w:p>
            <w:pPr>
              <w:widowControl/>
              <w:jc w:val="center"/>
              <w:rPr>
                <w:color w:val="auto"/>
                <w:kern w:val="0"/>
                <w:sz w:val="18"/>
                <w:szCs w:val="18"/>
              </w:rPr>
            </w:pPr>
            <w:r>
              <w:rPr>
                <w:color w:val="auto"/>
                <w:kern w:val="0"/>
                <w:sz w:val="18"/>
                <w:szCs w:val="18"/>
              </w:rPr>
              <w:t>1000≤Y＜200000</w:t>
            </w:r>
          </w:p>
        </w:tc>
        <w:tc>
          <w:tcPr>
            <w:tcW w:w="1426" w:type="dxa"/>
            <w:vAlign w:val="center"/>
          </w:tcPr>
          <w:p>
            <w:pPr>
              <w:widowControl/>
              <w:jc w:val="center"/>
              <w:rPr>
                <w:color w:val="auto"/>
                <w:kern w:val="0"/>
                <w:sz w:val="18"/>
                <w:szCs w:val="18"/>
              </w:rPr>
            </w:pPr>
            <w:r>
              <w:rPr>
                <w:color w:val="auto"/>
                <w:kern w:val="0"/>
                <w:sz w:val="18"/>
                <w:szCs w:val="18"/>
              </w:rPr>
              <w:t>100≤Y＜1000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资产总额(Z)</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Z≥10000</w:t>
            </w:r>
          </w:p>
        </w:tc>
        <w:tc>
          <w:tcPr>
            <w:tcW w:w="1701" w:type="dxa"/>
            <w:vAlign w:val="center"/>
          </w:tcPr>
          <w:p>
            <w:pPr>
              <w:widowControl/>
              <w:jc w:val="center"/>
              <w:rPr>
                <w:color w:val="auto"/>
                <w:kern w:val="0"/>
                <w:sz w:val="18"/>
                <w:szCs w:val="18"/>
              </w:rPr>
            </w:pPr>
            <w:r>
              <w:rPr>
                <w:color w:val="auto"/>
                <w:kern w:val="0"/>
                <w:sz w:val="18"/>
                <w:szCs w:val="18"/>
              </w:rPr>
              <w:t>5000≤Z＜10000</w:t>
            </w:r>
          </w:p>
        </w:tc>
        <w:tc>
          <w:tcPr>
            <w:tcW w:w="1426" w:type="dxa"/>
            <w:vAlign w:val="center"/>
          </w:tcPr>
          <w:p>
            <w:pPr>
              <w:widowControl/>
              <w:jc w:val="center"/>
              <w:rPr>
                <w:color w:val="auto"/>
                <w:kern w:val="0"/>
                <w:sz w:val="18"/>
                <w:szCs w:val="18"/>
              </w:rPr>
            </w:pPr>
            <w:r>
              <w:rPr>
                <w:color w:val="auto"/>
                <w:kern w:val="0"/>
                <w:sz w:val="18"/>
                <w:szCs w:val="18"/>
              </w:rPr>
              <w:t>2000≤Z＜5000</w:t>
            </w:r>
          </w:p>
        </w:tc>
        <w:tc>
          <w:tcPr>
            <w:tcW w:w="992" w:type="dxa"/>
            <w:vAlign w:val="center"/>
          </w:tcPr>
          <w:p>
            <w:pPr>
              <w:widowControl/>
              <w:jc w:val="center"/>
              <w:rPr>
                <w:color w:val="auto"/>
                <w:kern w:val="0"/>
                <w:sz w:val="18"/>
                <w:szCs w:val="18"/>
              </w:rPr>
            </w:pPr>
            <w:r>
              <w:rPr>
                <w:color w:val="auto"/>
                <w:kern w:val="0"/>
                <w:sz w:val="18"/>
                <w:szCs w:val="18"/>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物业管理</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X≥1000</w:t>
            </w:r>
          </w:p>
        </w:tc>
        <w:tc>
          <w:tcPr>
            <w:tcW w:w="1701" w:type="dxa"/>
            <w:vAlign w:val="center"/>
          </w:tcPr>
          <w:p>
            <w:pPr>
              <w:widowControl/>
              <w:jc w:val="center"/>
              <w:rPr>
                <w:color w:val="auto"/>
                <w:kern w:val="0"/>
                <w:sz w:val="18"/>
                <w:szCs w:val="18"/>
              </w:rPr>
            </w:pPr>
            <w:r>
              <w:rPr>
                <w:color w:val="auto"/>
                <w:kern w:val="0"/>
                <w:sz w:val="18"/>
                <w:szCs w:val="18"/>
              </w:rPr>
              <w:t>300≤X＜1000</w:t>
            </w:r>
          </w:p>
        </w:tc>
        <w:tc>
          <w:tcPr>
            <w:tcW w:w="1426" w:type="dxa"/>
            <w:vAlign w:val="center"/>
          </w:tcPr>
          <w:p>
            <w:pPr>
              <w:widowControl/>
              <w:jc w:val="center"/>
              <w:rPr>
                <w:color w:val="auto"/>
                <w:kern w:val="0"/>
                <w:sz w:val="18"/>
                <w:szCs w:val="18"/>
              </w:rPr>
            </w:pPr>
            <w:r>
              <w:rPr>
                <w:color w:val="auto"/>
                <w:kern w:val="0"/>
                <w:sz w:val="18"/>
                <w:szCs w:val="18"/>
              </w:rPr>
              <w:t>100≤X＜300</w:t>
            </w:r>
          </w:p>
        </w:tc>
        <w:tc>
          <w:tcPr>
            <w:tcW w:w="992" w:type="dxa"/>
            <w:vAlign w:val="center"/>
          </w:tcPr>
          <w:p>
            <w:pPr>
              <w:widowControl/>
              <w:jc w:val="center"/>
              <w:rPr>
                <w:color w:val="auto"/>
                <w:kern w:val="0"/>
                <w:sz w:val="18"/>
                <w:szCs w:val="18"/>
              </w:rPr>
            </w:pPr>
            <w:r>
              <w:rPr>
                <w:color w:val="auto"/>
                <w:kern w:val="0"/>
                <w:sz w:val="18"/>
                <w:szCs w:val="18"/>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Y≥5000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1000≤Y＜5000</w:t>
            </w:r>
          </w:p>
        </w:tc>
        <w:tc>
          <w:tcPr>
            <w:tcW w:w="1426" w:type="dxa"/>
            <w:vAlign w:val="center"/>
          </w:tcPr>
          <w:p>
            <w:pPr>
              <w:widowControl/>
              <w:jc w:val="center"/>
              <w:rPr>
                <w:color w:val="auto"/>
                <w:kern w:val="0"/>
                <w:sz w:val="18"/>
                <w:szCs w:val="18"/>
              </w:rPr>
            </w:pPr>
            <w:r>
              <w:rPr>
                <w:color w:val="auto"/>
                <w:kern w:val="0"/>
                <w:sz w:val="18"/>
                <w:szCs w:val="18"/>
              </w:rPr>
              <w:t>500≤Y＜1000</w:t>
            </w:r>
          </w:p>
        </w:tc>
        <w:tc>
          <w:tcPr>
            <w:tcW w:w="992" w:type="dxa"/>
            <w:vAlign w:val="center"/>
          </w:tcPr>
          <w:p>
            <w:pPr>
              <w:widowControl/>
              <w:jc w:val="center"/>
              <w:rPr>
                <w:color w:val="auto"/>
                <w:kern w:val="0"/>
                <w:sz w:val="18"/>
                <w:szCs w:val="18"/>
              </w:rPr>
            </w:pPr>
            <w:r>
              <w:rPr>
                <w:color w:val="auto"/>
                <w:kern w:val="0"/>
                <w:sz w:val="18"/>
                <w:szCs w:val="18"/>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租赁和商务服务业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100≤X＜300</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资产总额(Z)</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Z≥120000</w:t>
            </w:r>
          </w:p>
        </w:tc>
        <w:tc>
          <w:tcPr>
            <w:tcW w:w="1701" w:type="dxa"/>
            <w:vAlign w:val="center"/>
          </w:tcPr>
          <w:p>
            <w:pPr>
              <w:widowControl/>
              <w:jc w:val="center"/>
              <w:rPr>
                <w:color w:val="auto"/>
                <w:kern w:val="0"/>
                <w:sz w:val="18"/>
                <w:szCs w:val="18"/>
              </w:rPr>
            </w:pPr>
            <w:r>
              <w:rPr>
                <w:color w:val="auto"/>
                <w:kern w:val="0"/>
                <w:sz w:val="18"/>
                <w:szCs w:val="18"/>
              </w:rPr>
              <w:t>8000≤Z＜120000</w:t>
            </w:r>
          </w:p>
        </w:tc>
        <w:tc>
          <w:tcPr>
            <w:tcW w:w="1426" w:type="dxa"/>
            <w:vAlign w:val="center"/>
          </w:tcPr>
          <w:p>
            <w:pPr>
              <w:widowControl/>
              <w:jc w:val="center"/>
              <w:rPr>
                <w:color w:val="auto"/>
                <w:kern w:val="0"/>
                <w:sz w:val="18"/>
                <w:szCs w:val="18"/>
              </w:rPr>
            </w:pPr>
            <w:r>
              <w:rPr>
                <w:color w:val="auto"/>
                <w:kern w:val="0"/>
                <w:sz w:val="18"/>
                <w:szCs w:val="18"/>
              </w:rPr>
              <w:t>100≤Z＜8000</w:t>
            </w:r>
          </w:p>
        </w:tc>
        <w:tc>
          <w:tcPr>
            <w:tcW w:w="992" w:type="dxa"/>
            <w:vAlign w:val="center"/>
          </w:tcPr>
          <w:p>
            <w:pPr>
              <w:widowControl/>
              <w:jc w:val="center"/>
              <w:rPr>
                <w:color w:val="auto"/>
                <w:kern w:val="0"/>
                <w:sz w:val="18"/>
                <w:szCs w:val="18"/>
              </w:rPr>
            </w:pPr>
            <w:r>
              <w:rPr>
                <w:color w:val="auto"/>
                <w:kern w:val="0"/>
                <w:sz w:val="18"/>
                <w:szCs w:val="18"/>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Align w:val="center"/>
          </w:tcPr>
          <w:p>
            <w:pPr>
              <w:widowControl/>
              <w:spacing w:line="240" w:lineRule="exact"/>
              <w:jc w:val="left"/>
              <w:rPr>
                <w:color w:val="auto"/>
                <w:kern w:val="0"/>
                <w:sz w:val="18"/>
                <w:szCs w:val="18"/>
              </w:rPr>
            </w:pPr>
            <w:r>
              <w:rPr>
                <w:color w:val="auto"/>
                <w:kern w:val="0"/>
                <w:sz w:val="18"/>
                <w:szCs w:val="18"/>
              </w:rPr>
              <w:t>其他未列明行业 *</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100≤X＜300</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bl>
    <w:p>
      <w:pPr>
        <w:widowControl/>
        <w:spacing w:line="540" w:lineRule="exact"/>
        <w:rPr>
          <w:rFonts w:eastAsia="仿宋_GB2312"/>
          <w:color w:val="auto"/>
          <w:spacing w:val="8"/>
          <w:kern w:val="0"/>
          <w:sz w:val="24"/>
        </w:rPr>
      </w:pPr>
    </w:p>
    <w:p>
      <w:pPr>
        <w:widowControl/>
        <w:spacing w:line="540" w:lineRule="exact"/>
        <w:rPr>
          <w:rFonts w:eastAsia="仿宋_GB2312"/>
          <w:color w:val="auto"/>
          <w:spacing w:val="8"/>
          <w:kern w:val="0"/>
          <w:sz w:val="24"/>
        </w:rPr>
      </w:pPr>
      <w:r>
        <w:rPr>
          <w:rFonts w:eastAsia="仿宋_GB2312"/>
          <w:color w:val="auto"/>
          <w:spacing w:val="8"/>
          <w:kern w:val="0"/>
          <w:sz w:val="24"/>
        </w:rPr>
        <w:t>说明：</w:t>
      </w:r>
    </w:p>
    <w:p>
      <w:pPr>
        <w:pStyle w:val="18"/>
        <w:adjustRightInd w:val="0"/>
        <w:spacing w:line="380" w:lineRule="exact"/>
        <w:ind w:firstLine="512" w:firstLineChars="200"/>
        <w:contextualSpacing/>
        <w:rPr>
          <w:rFonts w:ascii="Times New Roman" w:hAnsi="Times New Roman" w:eastAsia="仿宋_GB2312"/>
          <w:color w:val="auto"/>
          <w:spacing w:val="8"/>
          <w:kern w:val="0"/>
          <w:sz w:val="24"/>
          <w:szCs w:val="24"/>
        </w:rPr>
      </w:pPr>
      <w:r>
        <w:rPr>
          <w:rFonts w:ascii="Times New Roman" w:hAnsi="Times New Roman" w:eastAsia="仿宋_GB2312"/>
          <w:color w:val="auto"/>
          <w:spacing w:val="8"/>
          <w:kern w:val="0"/>
          <w:sz w:val="24"/>
          <w:szCs w:val="24"/>
        </w:rPr>
        <w:t>1.大型、中型和小型企业须同时满足所列指标的下限，否则下划一档；微型企业只须满足所列指标中的一项即可。</w:t>
      </w:r>
    </w:p>
    <w:p>
      <w:pPr>
        <w:pStyle w:val="18"/>
        <w:adjustRightInd w:val="0"/>
        <w:spacing w:line="380" w:lineRule="exact"/>
        <w:ind w:firstLine="512" w:firstLineChars="200"/>
        <w:contextualSpacing/>
        <w:rPr>
          <w:rFonts w:ascii="Times New Roman" w:hAnsi="Times New Roman" w:eastAsia="仿宋_GB2312"/>
          <w:color w:val="auto"/>
          <w:spacing w:val="8"/>
          <w:kern w:val="0"/>
          <w:sz w:val="24"/>
          <w:szCs w:val="24"/>
        </w:rPr>
      </w:pPr>
      <w:r>
        <w:rPr>
          <w:rFonts w:ascii="Times New Roman" w:hAnsi="Times New Roman" w:eastAsia="仿宋_GB2312"/>
          <w:color w:val="auto"/>
          <w:spacing w:val="8"/>
          <w:kern w:val="0"/>
          <w:sz w:val="24"/>
          <w:szCs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18"/>
        <w:adjustRightInd w:val="0"/>
        <w:spacing w:line="380" w:lineRule="exact"/>
        <w:ind w:firstLine="512" w:firstLineChars="200"/>
        <w:contextualSpacing/>
        <w:rPr>
          <w:rFonts w:ascii="Times New Roman" w:hAnsi="Times New Roman"/>
          <w:bCs/>
          <w:color w:val="auto"/>
        </w:rPr>
      </w:pPr>
      <w:r>
        <w:rPr>
          <w:rFonts w:ascii="Times New Roman" w:hAnsi="Times New Roman" w:eastAsia="仿宋_GB2312"/>
          <w:color w:val="auto"/>
          <w:spacing w:val="8"/>
          <w:kern w:val="0"/>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jc w:val="center"/>
        <w:outlineLvl w:val="0"/>
        <w:rPr>
          <w:rFonts w:eastAsia="黑体"/>
          <w:color w:val="auto"/>
          <w:sz w:val="32"/>
          <w:szCs w:val="32"/>
        </w:rPr>
      </w:pPr>
      <w:r>
        <w:rPr>
          <w:rFonts w:eastAsia="黑体"/>
          <w:color w:val="auto"/>
          <w:sz w:val="32"/>
          <w:szCs w:val="32"/>
        </w:rPr>
        <w:br w:type="page"/>
      </w:r>
      <w:bookmarkStart w:id="167" w:name="_Toc14595"/>
      <w:bookmarkStart w:id="168" w:name="_Toc1106"/>
      <w:r>
        <w:rPr>
          <w:rFonts w:eastAsia="黑体"/>
          <w:color w:val="auto"/>
          <w:sz w:val="32"/>
          <w:szCs w:val="32"/>
        </w:rPr>
        <w:t>第五章采购合同（合同主要条款及格式）</w:t>
      </w:r>
      <w:bookmarkEnd w:id="167"/>
      <w:bookmarkEnd w:id="168"/>
    </w:p>
    <w:p>
      <w:pPr>
        <w:rPr>
          <w:color w:val="auto"/>
        </w:rPr>
      </w:pPr>
    </w:p>
    <w:p>
      <w:pPr>
        <w:rPr>
          <w:color w:val="auto"/>
        </w:rPr>
      </w:pPr>
      <w:r>
        <w:rPr>
          <w:color w:val="auto"/>
        </w:rPr>
        <w:t>项目名称：</w:t>
      </w:r>
      <w:r>
        <w:rPr>
          <w:rFonts w:hint="eastAsia"/>
          <w:color w:val="auto"/>
        </w:rPr>
        <w:t>五期学生公寓楼组合公寓床采购</w:t>
      </w:r>
    </w:p>
    <w:p>
      <w:pPr>
        <w:spacing w:line="400" w:lineRule="exact"/>
        <w:rPr>
          <w:color w:val="auto"/>
          <w:szCs w:val="21"/>
        </w:rPr>
      </w:pPr>
      <w:r>
        <w:rPr>
          <w:color w:val="auto"/>
        </w:rPr>
        <w:t>项目编号：</w:t>
      </w:r>
      <w:r>
        <w:rPr>
          <w:rFonts w:hint="eastAsia"/>
          <w:color w:val="auto"/>
        </w:rPr>
        <w:t>GXZC2020-G1-001981-GLSZ</w:t>
      </w:r>
    </w:p>
    <w:p>
      <w:pPr>
        <w:spacing w:line="400" w:lineRule="exact"/>
        <w:rPr>
          <w:color w:val="auto"/>
          <w:u w:val="single"/>
        </w:rPr>
      </w:pPr>
      <w:r>
        <w:rPr>
          <w:color w:val="auto"/>
        </w:rPr>
        <w:t>甲方：</w:t>
      </w:r>
      <w:r>
        <w:rPr>
          <w:rFonts w:hint="eastAsia"/>
          <w:color w:val="auto"/>
          <w:szCs w:val="21"/>
          <w:u w:val="single"/>
        </w:rPr>
        <w:t>广西师范大学</w:t>
      </w:r>
      <w:r>
        <w:rPr>
          <w:color w:val="auto"/>
        </w:rPr>
        <w:t>（采购人）</w:t>
      </w:r>
    </w:p>
    <w:p>
      <w:pPr>
        <w:spacing w:line="400" w:lineRule="exact"/>
        <w:rPr>
          <w:color w:val="auto"/>
        </w:rPr>
      </w:pPr>
      <w:r>
        <w:rPr>
          <w:color w:val="auto"/>
        </w:rPr>
        <w:t>乙方：（中标供应商）</w:t>
      </w:r>
    </w:p>
    <w:p>
      <w:pPr>
        <w:spacing w:line="400" w:lineRule="exact"/>
        <w:rPr>
          <w:color w:val="auto"/>
        </w:rPr>
      </w:pPr>
    </w:p>
    <w:p>
      <w:pPr>
        <w:spacing w:line="400" w:lineRule="exact"/>
        <w:ind w:firstLine="420" w:firstLineChars="200"/>
        <w:rPr>
          <w:color w:val="auto"/>
        </w:rPr>
      </w:pPr>
      <w:r>
        <w:rPr>
          <w:color w:val="auto"/>
        </w:rPr>
        <w:t>根据《中华人民共和国政府采购法》、《中华人民共和国政府采购法实施条例》、《中华人民共和国合同法》等法律、法规规定，按照招、投标文件规定条款和中标供应商承诺、甲乙双方签订本采购合同。</w:t>
      </w:r>
    </w:p>
    <w:p>
      <w:pPr>
        <w:spacing w:line="400" w:lineRule="exact"/>
        <w:ind w:firstLine="413" w:firstLineChars="196"/>
        <w:outlineLvl w:val="1"/>
        <w:rPr>
          <w:b/>
          <w:color w:val="auto"/>
          <w:szCs w:val="21"/>
        </w:rPr>
      </w:pPr>
      <w:bookmarkStart w:id="169" w:name="_Toc7911"/>
      <w:bookmarkStart w:id="170" w:name="_Toc495841768"/>
      <w:bookmarkStart w:id="171" w:name="_Toc9920"/>
      <w:r>
        <w:rPr>
          <w:b/>
          <w:color w:val="auto"/>
          <w:szCs w:val="21"/>
        </w:rPr>
        <w:t>第一条合同标的及合同金额</w:t>
      </w:r>
      <w:bookmarkEnd w:id="169"/>
      <w:bookmarkEnd w:id="170"/>
      <w:bookmarkEnd w:id="171"/>
    </w:p>
    <w:p>
      <w:pPr>
        <w:spacing w:line="400" w:lineRule="exact"/>
        <w:rPr>
          <w:b/>
          <w:bCs/>
          <w:color w:val="auto"/>
          <w:u w:val="singl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2"/>
        <w:gridCol w:w="1445"/>
        <w:gridCol w:w="1483"/>
        <w:gridCol w:w="1073"/>
        <w:gridCol w:w="714"/>
        <w:gridCol w:w="154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709" w:type="dxa"/>
            <w:shd w:val="clear" w:color="auto" w:fill="8DB3E2"/>
            <w:vAlign w:val="center"/>
          </w:tcPr>
          <w:p>
            <w:pPr>
              <w:snapToGrid w:val="0"/>
              <w:spacing w:line="280" w:lineRule="exact"/>
              <w:jc w:val="center"/>
              <w:rPr>
                <w:b/>
                <w:color w:val="auto"/>
                <w:szCs w:val="21"/>
              </w:rPr>
            </w:pPr>
            <w:r>
              <w:rPr>
                <w:b/>
                <w:color w:val="auto"/>
                <w:szCs w:val="21"/>
              </w:rPr>
              <w:t>项号</w:t>
            </w:r>
          </w:p>
        </w:tc>
        <w:tc>
          <w:tcPr>
            <w:tcW w:w="1232" w:type="dxa"/>
            <w:shd w:val="clear" w:color="auto" w:fill="8DB3E2"/>
            <w:vAlign w:val="center"/>
          </w:tcPr>
          <w:p>
            <w:pPr>
              <w:snapToGrid w:val="0"/>
              <w:spacing w:line="280" w:lineRule="exact"/>
              <w:jc w:val="center"/>
              <w:rPr>
                <w:b/>
                <w:color w:val="auto"/>
                <w:szCs w:val="21"/>
              </w:rPr>
            </w:pPr>
            <w:r>
              <w:rPr>
                <w:b/>
                <w:color w:val="auto"/>
                <w:szCs w:val="21"/>
              </w:rPr>
              <w:t>货物名称</w:t>
            </w:r>
          </w:p>
        </w:tc>
        <w:tc>
          <w:tcPr>
            <w:tcW w:w="1445" w:type="dxa"/>
            <w:shd w:val="clear" w:color="auto" w:fill="8DB3E2"/>
            <w:vAlign w:val="center"/>
          </w:tcPr>
          <w:p>
            <w:pPr>
              <w:snapToGrid w:val="0"/>
              <w:spacing w:line="280" w:lineRule="exact"/>
              <w:jc w:val="center"/>
              <w:rPr>
                <w:b/>
                <w:color w:val="auto"/>
                <w:szCs w:val="21"/>
              </w:rPr>
            </w:pPr>
            <w:r>
              <w:rPr>
                <w:rFonts w:hint="eastAsia"/>
                <w:b/>
                <w:color w:val="auto"/>
                <w:szCs w:val="30"/>
              </w:rPr>
              <w:t>生产</w:t>
            </w:r>
            <w:r>
              <w:rPr>
                <w:b/>
                <w:color w:val="auto"/>
                <w:szCs w:val="30"/>
              </w:rPr>
              <w:t>厂家、品牌、规格型号</w:t>
            </w:r>
          </w:p>
        </w:tc>
        <w:tc>
          <w:tcPr>
            <w:tcW w:w="1483" w:type="dxa"/>
            <w:shd w:val="clear" w:color="auto" w:fill="8DB3E2"/>
            <w:vAlign w:val="center"/>
          </w:tcPr>
          <w:p>
            <w:pPr>
              <w:snapToGrid w:val="0"/>
              <w:spacing w:line="280" w:lineRule="exact"/>
              <w:jc w:val="center"/>
              <w:rPr>
                <w:b/>
                <w:color w:val="auto"/>
                <w:szCs w:val="21"/>
              </w:rPr>
            </w:pPr>
            <w:r>
              <w:rPr>
                <w:b/>
                <w:color w:val="auto"/>
                <w:szCs w:val="21"/>
              </w:rPr>
              <w:t>技术参数</w:t>
            </w:r>
          </w:p>
        </w:tc>
        <w:tc>
          <w:tcPr>
            <w:tcW w:w="1073" w:type="dxa"/>
            <w:shd w:val="clear" w:color="auto" w:fill="8DB3E2"/>
            <w:vAlign w:val="center"/>
          </w:tcPr>
          <w:p>
            <w:pPr>
              <w:snapToGrid w:val="0"/>
              <w:spacing w:line="280" w:lineRule="exact"/>
              <w:jc w:val="center"/>
              <w:rPr>
                <w:b/>
                <w:color w:val="auto"/>
                <w:szCs w:val="21"/>
              </w:rPr>
            </w:pPr>
            <w:r>
              <w:rPr>
                <w:b/>
                <w:color w:val="auto"/>
                <w:szCs w:val="21"/>
              </w:rPr>
              <w:t>数量</w:t>
            </w:r>
          </w:p>
          <w:p>
            <w:pPr>
              <w:snapToGrid w:val="0"/>
              <w:spacing w:line="280" w:lineRule="exact"/>
              <w:jc w:val="center"/>
              <w:rPr>
                <w:b/>
                <w:color w:val="auto"/>
                <w:szCs w:val="21"/>
              </w:rPr>
            </w:pPr>
            <w:r>
              <w:rPr>
                <w:b/>
                <w:color w:val="auto"/>
                <w:szCs w:val="21"/>
              </w:rPr>
              <w:t>①</w:t>
            </w:r>
          </w:p>
        </w:tc>
        <w:tc>
          <w:tcPr>
            <w:tcW w:w="714" w:type="dxa"/>
            <w:shd w:val="clear" w:color="auto" w:fill="8DB3E2"/>
            <w:vAlign w:val="center"/>
          </w:tcPr>
          <w:p>
            <w:pPr>
              <w:snapToGrid w:val="0"/>
              <w:spacing w:line="280" w:lineRule="exact"/>
              <w:jc w:val="center"/>
              <w:rPr>
                <w:b/>
                <w:color w:val="auto"/>
                <w:szCs w:val="21"/>
              </w:rPr>
            </w:pPr>
            <w:r>
              <w:rPr>
                <w:b/>
                <w:color w:val="auto"/>
                <w:szCs w:val="21"/>
              </w:rPr>
              <w:t>单位</w:t>
            </w:r>
          </w:p>
        </w:tc>
        <w:tc>
          <w:tcPr>
            <w:tcW w:w="1545" w:type="dxa"/>
            <w:shd w:val="clear" w:color="auto" w:fill="8DB3E2"/>
            <w:vAlign w:val="center"/>
          </w:tcPr>
          <w:p>
            <w:pPr>
              <w:snapToGrid w:val="0"/>
              <w:spacing w:line="280" w:lineRule="exact"/>
              <w:jc w:val="center"/>
              <w:rPr>
                <w:b/>
                <w:color w:val="auto"/>
                <w:szCs w:val="21"/>
              </w:rPr>
            </w:pPr>
            <w:r>
              <w:rPr>
                <w:b/>
                <w:color w:val="auto"/>
                <w:szCs w:val="21"/>
              </w:rPr>
              <w:t>单价（元）</w:t>
            </w:r>
          </w:p>
          <w:p>
            <w:pPr>
              <w:snapToGrid w:val="0"/>
              <w:spacing w:line="280" w:lineRule="exact"/>
              <w:jc w:val="center"/>
              <w:rPr>
                <w:b/>
                <w:color w:val="auto"/>
                <w:szCs w:val="21"/>
              </w:rPr>
            </w:pPr>
            <w:r>
              <w:rPr>
                <w:b/>
                <w:color w:val="auto"/>
                <w:szCs w:val="21"/>
              </w:rPr>
              <w:t>②</w:t>
            </w:r>
          </w:p>
        </w:tc>
        <w:tc>
          <w:tcPr>
            <w:tcW w:w="1575" w:type="dxa"/>
            <w:shd w:val="clear" w:color="auto" w:fill="8DB3E2"/>
            <w:vAlign w:val="center"/>
          </w:tcPr>
          <w:p>
            <w:pPr>
              <w:snapToGrid w:val="0"/>
              <w:spacing w:line="280" w:lineRule="exact"/>
              <w:jc w:val="center"/>
              <w:rPr>
                <w:b/>
                <w:color w:val="auto"/>
                <w:szCs w:val="21"/>
              </w:rPr>
            </w:pPr>
            <w:r>
              <w:rPr>
                <w:b/>
                <w:color w:val="auto"/>
                <w:szCs w:val="21"/>
              </w:rPr>
              <w:t>单项合计金额（元）</w:t>
            </w:r>
          </w:p>
          <w:p>
            <w:pPr>
              <w:snapToGrid w:val="0"/>
              <w:spacing w:line="280" w:lineRule="exact"/>
              <w:jc w:val="center"/>
              <w:rPr>
                <w:b/>
                <w:color w:val="auto"/>
                <w:szCs w:val="21"/>
              </w:rPr>
            </w:pPr>
            <w:r>
              <w:rPr>
                <w:b/>
                <w:color w:val="auto"/>
                <w:szCs w:val="21"/>
              </w:rPr>
              <w:t>③＝①×②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pPr>
              <w:snapToGrid w:val="0"/>
              <w:spacing w:line="400" w:lineRule="exact"/>
              <w:jc w:val="center"/>
              <w:rPr>
                <w:color w:val="auto"/>
                <w:szCs w:val="21"/>
              </w:rPr>
            </w:pPr>
            <w:r>
              <w:rPr>
                <w:color w:val="auto"/>
                <w:szCs w:val="21"/>
              </w:rPr>
              <w:t>1</w:t>
            </w:r>
          </w:p>
        </w:tc>
        <w:tc>
          <w:tcPr>
            <w:tcW w:w="1232" w:type="dxa"/>
            <w:vAlign w:val="center"/>
          </w:tcPr>
          <w:p>
            <w:pPr>
              <w:snapToGrid w:val="0"/>
              <w:spacing w:line="400" w:lineRule="exact"/>
              <w:jc w:val="center"/>
              <w:rPr>
                <w:color w:val="auto"/>
                <w:szCs w:val="21"/>
              </w:rPr>
            </w:pPr>
          </w:p>
        </w:tc>
        <w:tc>
          <w:tcPr>
            <w:tcW w:w="1445" w:type="dxa"/>
            <w:vAlign w:val="center"/>
          </w:tcPr>
          <w:p>
            <w:pPr>
              <w:snapToGrid w:val="0"/>
              <w:spacing w:line="400" w:lineRule="exact"/>
              <w:jc w:val="center"/>
              <w:rPr>
                <w:color w:val="auto"/>
                <w:szCs w:val="21"/>
              </w:rPr>
            </w:pPr>
          </w:p>
        </w:tc>
        <w:tc>
          <w:tcPr>
            <w:tcW w:w="1483" w:type="dxa"/>
            <w:vAlign w:val="center"/>
          </w:tcPr>
          <w:p>
            <w:pPr>
              <w:snapToGrid w:val="0"/>
              <w:spacing w:line="400" w:lineRule="exact"/>
              <w:jc w:val="center"/>
              <w:rPr>
                <w:color w:val="auto"/>
                <w:szCs w:val="21"/>
              </w:rPr>
            </w:pPr>
          </w:p>
        </w:tc>
        <w:tc>
          <w:tcPr>
            <w:tcW w:w="1073" w:type="dxa"/>
            <w:vAlign w:val="center"/>
          </w:tcPr>
          <w:p>
            <w:pPr>
              <w:snapToGrid w:val="0"/>
              <w:spacing w:line="400" w:lineRule="exact"/>
              <w:jc w:val="center"/>
              <w:rPr>
                <w:color w:val="auto"/>
                <w:szCs w:val="21"/>
              </w:rPr>
            </w:pPr>
          </w:p>
        </w:tc>
        <w:tc>
          <w:tcPr>
            <w:tcW w:w="714" w:type="dxa"/>
            <w:vAlign w:val="center"/>
          </w:tcPr>
          <w:p>
            <w:pPr>
              <w:snapToGrid w:val="0"/>
              <w:spacing w:line="400" w:lineRule="exact"/>
              <w:jc w:val="center"/>
              <w:rPr>
                <w:color w:val="auto"/>
                <w:szCs w:val="21"/>
              </w:rPr>
            </w:pPr>
          </w:p>
        </w:tc>
        <w:tc>
          <w:tcPr>
            <w:tcW w:w="1545" w:type="dxa"/>
            <w:vAlign w:val="center"/>
          </w:tcPr>
          <w:p>
            <w:pPr>
              <w:snapToGrid w:val="0"/>
              <w:spacing w:line="400" w:lineRule="exact"/>
              <w:jc w:val="center"/>
              <w:rPr>
                <w:color w:val="auto"/>
                <w:szCs w:val="21"/>
              </w:rPr>
            </w:pPr>
          </w:p>
        </w:tc>
        <w:tc>
          <w:tcPr>
            <w:tcW w:w="1575" w:type="dxa"/>
            <w:vAlign w:val="center"/>
          </w:tcPr>
          <w:p>
            <w:pPr>
              <w:snapToGrid w:val="0"/>
              <w:spacing w:line="40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pPr>
              <w:snapToGrid w:val="0"/>
              <w:spacing w:line="400" w:lineRule="exact"/>
              <w:jc w:val="center"/>
              <w:rPr>
                <w:color w:val="auto"/>
                <w:szCs w:val="21"/>
              </w:rPr>
            </w:pPr>
            <w:r>
              <w:rPr>
                <w:color w:val="auto"/>
                <w:szCs w:val="21"/>
              </w:rPr>
              <w:t>2</w:t>
            </w:r>
          </w:p>
        </w:tc>
        <w:tc>
          <w:tcPr>
            <w:tcW w:w="1232" w:type="dxa"/>
            <w:vAlign w:val="center"/>
          </w:tcPr>
          <w:p>
            <w:pPr>
              <w:snapToGrid w:val="0"/>
              <w:spacing w:line="400" w:lineRule="exact"/>
              <w:jc w:val="center"/>
              <w:rPr>
                <w:color w:val="auto"/>
                <w:szCs w:val="21"/>
              </w:rPr>
            </w:pPr>
          </w:p>
        </w:tc>
        <w:tc>
          <w:tcPr>
            <w:tcW w:w="1445" w:type="dxa"/>
            <w:vAlign w:val="center"/>
          </w:tcPr>
          <w:p>
            <w:pPr>
              <w:snapToGrid w:val="0"/>
              <w:spacing w:line="400" w:lineRule="exact"/>
              <w:jc w:val="center"/>
              <w:rPr>
                <w:color w:val="auto"/>
                <w:szCs w:val="21"/>
              </w:rPr>
            </w:pPr>
          </w:p>
        </w:tc>
        <w:tc>
          <w:tcPr>
            <w:tcW w:w="1483" w:type="dxa"/>
            <w:vAlign w:val="center"/>
          </w:tcPr>
          <w:p>
            <w:pPr>
              <w:snapToGrid w:val="0"/>
              <w:spacing w:line="400" w:lineRule="exact"/>
              <w:jc w:val="center"/>
              <w:rPr>
                <w:color w:val="auto"/>
                <w:szCs w:val="21"/>
              </w:rPr>
            </w:pPr>
          </w:p>
        </w:tc>
        <w:tc>
          <w:tcPr>
            <w:tcW w:w="1073" w:type="dxa"/>
            <w:vAlign w:val="center"/>
          </w:tcPr>
          <w:p>
            <w:pPr>
              <w:snapToGrid w:val="0"/>
              <w:spacing w:line="400" w:lineRule="exact"/>
              <w:jc w:val="center"/>
              <w:rPr>
                <w:color w:val="auto"/>
                <w:szCs w:val="21"/>
              </w:rPr>
            </w:pPr>
          </w:p>
        </w:tc>
        <w:tc>
          <w:tcPr>
            <w:tcW w:w="714" w:type="dxa"/>
            <w:vAlign w:val="center"/>
          </w:tcPr>
          <w:p>
            <w:pPr>
              <w:snapToGrid w:val="0"/>
              <w:spacing w:line="400" w:lineRule="exact"/>
              <w:jc w:val="center"/>
              <w:rPr>
                <w:color w:val="auto"/>
                <w:szCs w:val="21"/>
              </w:rPr>
            </w:pPr>
          </w:p>
        </w:tc>
        <w:tc>
          <w:tcPr>
            <w:tcW w:w="1545" w:type="dxa"/>
            <w:vAlign w:val="center"/>
          </w:tcPr>
          <w:p>
            <w:pPr>
              <w:snapToGrid w:val="0"/>
              <w:spacing w:line="400" w:lineRule="exact"/>
              <w:jc w:val="center"/>
              <w:rPr>
                <w:color w:val="auto"/>
                <w:szCs w:val="21"/>
              </w:rPr>
            </w:pPr>
          </w:p>
        </w:tc>
        <w:tc>
          <w:tcPr>
            <w:tcW w:w="1575" w:type="dxa"/>
            <w:vAlign w:val="center"/>
          </w:tcPr>
          <w:p>
            <w:pPr>
              <w:snapToGrid w:val="0"/>
              <w:spacing w:line="40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pPr>
              <w:snapToGrid w:val="0"/>
              <w:spacing w:line="400" w:lineRule="exact"/>
              <w:jc w:val="center"/>
              <w:rPr>
                <w:color w:val="auto"/>
                <w:szCs w:val="21"/>
              </w:rPr>
            </w:pPr>
            <w:r>
              <w:rPr>
                <w:color w:val="auto"/>
                <w:szCs w:val="21"/>
              </w:rPr>
              <w:t>…</w:t>
            </w:r>
          </w:p>
        </w:tc>
        <w:tc>
          <w:tcPr>
            <w:tcW w:w="1232" w:type="dxa"/>
            <w:vAlign w:val="center"/>
          </w:tcPr>
          <w:p>
            <w:pPr>
              <w:snapToGrid w:val="0"/>
              <w:spacing w:line="400" w:lineRule="exact"/>
              <w:jc w:val="center"/>
              <w:rPr>
                <w:color w:val="auto"/>
                <w:szCs w:val="21"/>
              </w:rPr>
            </w:pPr>
          </w:p>
        </w:tc>
        <w:tc>
          <w:tcPr>
            <w:tcW w:w="1445" w:type="dxa"/>
            <w:vAlign w:val="center"/>
          </w:tcPr>
          <w:p>
            <w:pPr>
              <w:snapToGrid w:val="0"/>
              <w:spacing w:line="400" w:lineRule="exact"/>
              <w:jc w:val="center"/>
              <w:rPr>
                <w:color w:val="auto"/>
                <w:szCs w:val="21"/>
              </w:rPr>
            </w:pPr>
          </w:p>
        </w:tc>
        <w:tc>
          <w:tcPr>
            <w:tcW w:w="1483" w:type="dxa"/>
            <w:vAlign w:val="center"/>
          </w:tcPr>
          <w:p>
            <w:pPr>
              <w:snapToGrid w:val="0"/>
              <w:spacing w:line="400" w:lineRule="exact"/>
              <w:jc w:val="center"/>
              <w:rPr>
                <w:color w:val="auto"/>
                <w:szCs w:val="21"/>
              </w:rPr>
            </w:pPr>
          </w:p>
        </w:tc>
        <w:tc>
          <w:tcPr>
            <w:tcW w:w="1073" w:type="dxa"/>
            <w:vAlign w:val="center"/>
          </w:tcPr>
          <w:p>
            <w:pPr>
              <w:snapToGrid w:val="0"/>
              <w:spacing w:line="400" w:lineRule="exact"/>
              <w:jc w:val="center"/>
              <w:rPr>
                <w:color w:val="auto"/>
                <w:szCs w:val="21"/>
              </w:rPr>
            </w:pPr>
          </w:p>
        </w:tc>
        <w:tc>
          <w:tcPr>
            <w:tcW w:w="714" w:type="dxa"/>
            <w:vAlign w:val="center"/>
          </w:tcPr>
          <w:p>
            <w:pPr>
              <w:snapToGrid w:val="0"/>
              <w:spacing w:line="400" w:lineRule="exact"/>
              <w:jc w:val="center"/>
              <w:rPr>
                <w:color w:val="auto"/>
                <w:szCs w:val="21"/>
              </w:rPr>
            </w:pPr>
          </w:p>
        </w:tc>
        <w:tc>
          <w:tcPr>
            <w:tcW w:w="1545" w:type="dxa"/>
            <w:vAlign w:val="center"/>
          </w:tcPr>
          <w:p>
            <w:pPr>
              <w:snapToGrid w:val="0"/>
              <w:spacing w:line="400" w:lineRule="exact"/>
              <w:jc w:val="center"/>
              <w:rPr>
                <w:color w:val="auto"/>
                <w:szCs w:val="21"/>
              </w:rPr>
            </w:pPr>
          </w:p>
        </w:tc>
        <w:tc>
          <w:tcPr>
            <w:tcW w:w="1575" w:type="dxa"/>
            <w:vAlign w:val="center"/>
          </w:tcPr>
          <w:p>
            <w:pPr>
              <w:snapToGrid w:val="0"/>
              <w:spacing w:line="40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201" w:type="dxa"/>
            <w:gridSpan w:val="7"/>
            <w:vAlign w:val="center"/>
          </w:tcPr>
          <w:p>
            <w:pPr>
              <w:snapToGrid w:val="0"/>
              <w:spacing w:line="400" w:lineRule="exact"/>
              <w:rPr>
                <w:color w:val="auto"/>
                <w:szCs w:val="21"/>
              </w:rPr>
            </w:pPr>
            <w:r>
              <w:rPr>
                <w:color w:val="auto"/>
                <w:szCs w:val="21"/>
              </w:rPr>
              <w:t>合计</w:t>
            </w:r>
          </w:p>
        </w:tc>
        <w:tc>
          <w:tcPr>
            <w:tcW w:w="1575" w:type="dxa"/>
            <w:vAlign w:val="center"/>
          </w:tcPr>
          <w:p>
            <w:pPr>
              <w:snapToGrid w:val="0"/>
              <w:spacing w:line="400" w:lineRule="exact"/>
              <w:rPr>
                <w:color w:val="auto"/>
                <w:szCs w:val="21"/>
              </w:rPr>
            </w:pPr>
          </w:p>
        </w:tc>
      </w:tr>
    </w:tbl>
    <w:p>
      <w:pPr>
        <w:spacing w:line="400" w:lineRule="exact"/>
        <w:ind w:firstLine="411" w:firstLineChars="196"/>
        <w:rPr>
          <w:color w:val="auto"/>
          <w:szCs w:val="21"/>
        </w:rPr>
      </w:pPr>
      <w:r>
        <w:rPr>
          <w:color w:val="auto"/>
          <w:szCs w:val="21"/>
        </w:rPr>
        <w:t>根据《中标通知书》的中标内容，合同的总金额为：（大写）人民币（¥元）</w:t>
      </w:r>
    </w:p>
    <w:p>
      <w:pPr>
        <w:spacing w:line="400" w:lineRule="exact"/>
        <w:ind w:firstLine="413" w:firstLineChars="196"/>
        <w:outlineLvl w:val="1"/>
        <w:rPr>
          <w:b/>
          <w:color w:val="auto"/>
          <w:szCs w:val="21"/>
        </w:rPr>
      </w:pPr>
      <w:bookmarkStart w:id="172" w:name="_Toc495841769"/>
      <w:bookmarkStart w:id="173" w:name="_Toc30452"/>
      <w:bookmarkStart w:id="174" w:name="_Toc15939"/>
      <w:r>
        <w:rPr>
          <w:b/>
          <w:color w:val="auto"/>
          <w:szCs w:val="21"/>
        </w:rPr>
        <w:t>第二条质量保证</w:t>
      </w:r>
      <w:bookmarkEnd w:id="172"/>
      <w:bookmarkEnd w:id="173"/>
      <w:bookmarkEnd w:id="174"/>
    </w:p>
    <w:p>
      <w:pPr>
        <w:spacing w:line="400" w:lineRule="exact"/>
        <w:ind w:firstLine="411" w:firstLineChars="196"/>
        <w:rPr>
          <w:color w:val="auto"/>
          <w:szCs w:val="21"/>
        </w:rPr>
      </w:pPr>
      <w:r>
        <w:rPr>
          <w:color w:val="auto"/>
          <w:szCs w:val="21"/>
        </w:rPr>
        <w:t>1.乙方应按投标文件承诺的货物规格型号、技术参数、质量标准等向甲方提供未经使用的全新原装产品，且在正常安装使用和保养条件下，其使用寿命期内各项指标均达到质量标准。乙方提供的节能和环境标志产品必须是列入现行政府采购清单目录内的产品。</w:t>
      </w:r>
    </w:p>
    <w:p>
      <w:pPr>
        <w:spacing w:line="400" w:lineRule="exact"/>
        <w:ind w:firstLine="435"/>
        <w:rPr>
          <w:color w:val="auto"/>
          <w:szCs w:val="21"/>
        </w:rPr>
      </w:pPr>
      <w:r>
        <w:rPr>
          <w:color w:val="auto"/>
          <w:szCs w:val="21"/>
        </w:rPr>
        <w:t>2.乙方提供货物的质量保证期为自交货物验收合格之日起至</w:t>
      </w:r>
      <w:r>
        <w:rPr>
          <w:rFonts w:hint="eastAsia"/>
          <w:color w:val="auto"/>
          <w:szCs w:val="21"/>
        </w:rPr>
        <w:t>五年</w:t>
      </w:r>
      <w:r>
        <w:rPr>
          <w:color w:val="auto"/>
          <w:szCs w:val="21"/>
        </w:rPr>
        <w:t>内止（厂家规定质保期超过一年的，按厂家规定，“货物采购需求”有规定的，按规定执行）。在质保期内因货物本身的质量问题发生故障，乙方应负责免费修理和更换零部件。对达不到技术要求者，根据实际情况，经双方协商，可按以下第（1）款办法处理：</w:t>
      </w:r>
    </w:p>
    <w:p>
      <w:pPr>
        <w:spacing w:line="400" w:lineRule="exact"/>
        <w:ind w:firstLine="435"/>
        <w:rPr>
          <w:color w:val="auto"/>
          <w:szCs w:val="21"/>
        </w:rPr>
      </w:pPr>
      <w:r>
        <w:rPr>
          <w:color w:val="auto"/>
          <w:szCs w:val="21"/>
        </w:rPr>
        <w:t>（1）更换：由乙方承担所有发生的全部费用。</w:t>
      </w:r>
    </w:p>
    <w:p>
      <w:pPr>
        <w:spacing w:line="400" w:lineRule="exact"/>
        <w:ind w:firstLine="420" w:firstLineChars="200"/>
        <w:rPr>
          <w:color w:val="auto"/>
          <w:szCs w:val="21"/>
        </w:rPr>
      </w:pPr>
      <w:r>
        <w:rPr>
          <w:color w:val="auto"/>
          <w:szCs w:val="21"/>
        </w:rPr>
        <w:t>（2）贬值处理：由甲乙双方合议定价。</w:t>
      </w:r>
    </w:p>
    <w:p>
      <w:pPr>
        <w:spacing w:line="400" w:lineRule="exact"/>
        <w:ind w:firstLine="420" w:firstLineChars="200"/>
        <w:rPr>
          <w:color w:val="auto"/>
          <w:szCs w:val="21"/>
        </w:rPr>
      </w:pPr>
      <w:r>
        <w:rPr>
          <w:color w:val="auto"/>
          <w:szCs w:val="21"/>
        </w:rPr>
        <w:t>（3）退货处理：乙方应退还甲方支付的合同款，同时应承担该货物的直接费用（运输、保险、检验、贷款利息及银行手续费等）。</w:t>
      </w:r>
    </w:p>
    <w:p>
      <w:pPr>
        <w:spacing w:line="400" w:lineRule="exact"/>
        <w:ind w:firstLine="413" w:firstLineChars="196"/>
        <w:outlineLvl w:val="1"/>
        <w:rPr>
          <w:b/>
          <w:color w:val="auto"/>
          <w:szCs w:val="21"/>
        </w:rPr>
      </w:pPr>
      <w:bookmarkStart w:id="175" w:name="_Toc27855"/>
      <w:bookmarkStart w:id="176" w:name="_Toc28745"/>
      <w:bookmarkStart w:id="177" w:name="_Toc495841770"/>
      <w:r>
        <w:rPr>
          <w:b/>
          <w:color w:val="auto"/>
          <w:szCs w:val="21"/>
        </w:rPr>
        <w:t>第三条权力保证</w:t>
      </w:r>
      <w:bookmarkEnd w:id="175"/>
      <w:bookmarkEnd w:id="176"/>
      <w:bookmarkEnd w:id="177"/>
    </w:p>
    <w:p>
      <w:pPr>
        <w:spacing w:line="400" w:lineRule="exact"/>
        <w:ind w:firstLine="411" w:firstLineChars="196"/>
        <w:rPr>
          <w:color w:val="auto"/>
          <w:szCs w:val="21"/>
        </w:rPr>
      </w:pPr>
      <w:r>
        <w:rPr>
          <w:color w:val="auto"/>
          <w:szCs w:val="21"/>
        </w:rPr>
        <w:t>1.乙方应保证所提供货物在使用时不会侵犯任何第三方的专利权、商标权、工业设计权或其他权利。</w:t>
      </w:r>
    </w:p>
    <w:p>
      <w:pPr>
        <w:spacing w:line="400" w:lineRule="exact"/>
        <w:ind w:firstLine="420" w:firstLineChars="200"/>
        <w:rPr>
          <w:color w:val="auto"/>
          <w:szCs w:val="21"/>
        </w:rPr>
      </w:pPr>
      <w:r>
        <w:rPr>
          <w:color w:val="auto"/>
          <w:szCs w:val="21"/>
        </w:rPr>
        <w:t>2.乙方应按招标文件规定的时间向甲方提供使用货物的有关技术资料。</w:t>
      </w:r>
    </w:p>
    <w:p>
      <w:pPr>
        <w:spacing w:line="400" w:lineRule="exact"/>
        <w:ind w:firstLine="420" w:firstLineChars="200"/>
        <w:rPr>
          <w:color w:val="auto"/>
          <w:szCs w:val="21"/>
        </w:rPr>
      </w:pPr>
      <w:r>
        <w:rPr>
          <w:color w:val="auto"/>
          <w:szCs w:val="21"/>
        </w:rPr>
        <w:t>3.乙方保证所交付的货物的所有权完全属于乙方且无任何抵押、质押、查封等产权瑕疵。</w:t>
      </w:r>
    </w:p>
    <w:p>
      <w:pPr>
        <w:pStyle w:val="18"/>
        <w:spacing w:line="440" w:lineRule="exact"/>
        <w:ind w:firstLine="420" w:firstLineChars="200"/>
        <w:rPr>
          <w:rFonts w:hAnsi="宋体" w:cs="宋体"/>
          <w:color w:val="auto"/>
        </w:rPr>
      </w:pPr>
      <w:r>
        <w:rPr>
          <w:rFonts w:hint="eastAsia" w:hAnsi="宋体" w:cs="宋体"/>
          <w:color w:val="auto"/>
        </w:rPr>
        <w:t>4.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400" w:lineRule="exact"/>
        <w:ind w:firstLine="422" w:firstLineChars="200"/>
        <w:outlineLvl w:val="1"/>
        <w:rPr>
          <w:b/>
          <w:color w:val="auto"/>
          <w:szCs w:val="21"/>
        </w:rPr>
      </w:pPr>
      <w:bookmarkStart w:id="178" w:name="_Toc495841771"/>
      <w:bookmarkStart w:id="179" w:name="_Toc28943"/>
      <w:bookmarkStart w:id="180" w:name="_Toc24662"/>
      <w:r>
        <w:rPr>
          <w:b/>
          <w:color w:val="auto"/>
          <w:szCs w:val="21"/>
        </w:rPr>
        <w:t>第四条货物包装、运输</w:t>
      </w:r>
      <w:bookmarkEnd w:id="178"/>
      <w:bookmarkEnd w:id="179"/>
      <w:bookmarkEnd w:id="180"/>
    </w:p>
    <w:p>
      <w:pPr>
        <w:spacing w:line="400" w:lineRule="exact"/>
        <w:ind w:firstLine="420" w:firstLineChars="200"/>
        <w:rPr>
          <w:color w:val="auto"/>
          <w:szCs w:val="21"/>
        </w:rPr>
      </w:pPr>
      <w:r>
        <w:rPr>
          <w:color w:val="auto"/>
          <w:szCs w:val="21"/>
        </w:rPr>
        <w:t>1.乙方应在货物发运前对其进行满足运输距离、防潮、防震、防锈和防破损装卸等要求包装，以保证货物安全运达甲方指定地点。</w:t>
      </w:r>
    </w:p>
    <w:p>
      <w:pPr>
        <w:spacing w:line="400" w:lineRule="exact"/>
        <w:ind w:left="420"/>
        <w:rPr>
          <w:color w:val="auto"/>
          <w:szCs w:val="21"/>
        </w:rPr>
      </w:pPr>
      <w:r>
        <w:rPr>
          <w:color w:val="auto"/>
          <w:szCs w:val="21"/>
        </w:rPr>
        <w:t>2.使用中文说明书（货物属于进口产品的，供货时应同时附上中文使用说明书）、质量检验证明书、</w:t>
      </w:r>
    </w:p>
    <w:p>
      <w:pPr>
        <w:spacing w:line="400" w:lineRule="exact"/>
        <w:rPr>
          <w:color w:val="auto"/>
          <w:szCs w:val="21"/>
        </w:rPr>
      </w:pPr>
      <w:r>
        <w:rPr>
          <w:color w:val="auto"/>
          <w:szCs w:val="21"/>
        </w:rPr>
        <w:t>随配附件和工具以及清单一并附于货物内。</w:t>
      </w:r>
    </w:p>
    <w:p>
      <w:pPr>
        <w:spacing w:line="400" w:lineRule="exact"/>
        <w:ind w:firstLine="420" w:firstLineChars="200"/>
        <w:rPr>
          <w:color w:val="auto"/>
          <w:szCs w:val="21"/>
        </w:rPr>
      </w:pPr>
      <w:r>
        <w:rPr>
          <w:color w:val="auto"/>
          <w:szCs w:val="21"/>
        </w:rPr>
        <w:t>3.乙方在货物发运手续办理完毕后二十四小时内或货到甲方四十八小时前通知甲方，以准备接货。</w:t>
      </w:r>
    </w:p>
    <w:p>
      <w:pPr>
        <w:spacing w:line="400" w:lineRule="exact"/>
        <w:ind w:left="420"/>
        <w:rPr>
          <w:color w:val="auto"/>
          <w:szCs w:val="21"/>
        </w:rPr>
      </w:pPr>
      <w:r>
        <w:rPr>
          <w:color w:val="auto"/>
          <w:szCs w:val="21"/>
        </w:rPr>
        <w:t>4.货物在交付甲方前发生的风险均由乙方负责。</w:t>
      </w:r>
    </w:p>
    <w:p>
      <w:pPr>
        <w:spacing w:line="400" w:lineRule="exact"/>
        <w:ind w:firstLine="413" w:firstLineChars="196"/>
        <w:outlineLvl w:val="1"/>
        <w:rPr>
          <w:b/>
          <w:color w:val="auto"/>
          <w:szCs w:val="21"/>
        </w:rPr>
      </w:pPr>
      <w:bookmarkStart w:id="181" w:name="_Toc495841772"/>
      <w:bookmarkStart w:id="182" w:name="_Toc10054"/>
      <w:bookmarkStart w:id="183" w:name="_Toc6786"/>
      <w:r>
        <w:rPr>
          <w:b/>
          <w:color w:val="auto"/>
          <w:szCs w:val="21"/>
        </w:rPr>
        <w:t>第五条交付</w:t>
      </w:r>
      <w:bookmarkEnd w:id="181"/>
      <w:bookmarkEnd w:id="182"/>
      <w:bookmarkEnd w:id="183"/>
    </w:p>
    <w:p>
      <w:pPr>
        <w:spacing w:line="440" w:lineRule="exact"/>
        <w:ind w:firstLine="420" w:firstLineChars="200"/>
        <w:rPr>
          <w:color w:val="auto"/>
          <w:szCs w:val="21"/>
        </w:rPr>
      </w:pPr>
      <w:r>
        <w:rPr>
          <w:color w:val="auto"/>
          <w:szCs w:val="21"/>
        </w:rPr>
        <w:t>1.交付使用期：</w:t>
      </w:r>
      <w:r>
        <w:rPr>
          <w:rFonts w:hint="eastAsia" w:ascii="宋体" w:hAnsi="宋体" w:cs="宋体"/>
          <w:color w:val="auto"/>
          <w:szCs w:val="21"/>
        </w:rPr>
        <w:t>自签订合同之日起 35 个日历日内全部安装调试合格完毕并交付使用。</w:t>
      </w:r>
    </w:p>
    <w:p>
      <w:pPr>
        <w:spacing w:line="400" w:lineRule="exact"/>
        <w:ind w:firstLine="420" w:firstLineChars="200"/>
        <w:rPr>
          <w:color w:val="auto"/>
          <w:szCs w:val="21"/>
        </w:rPr>
      </w:pPr>
      <w:r>
        <w:rPr>
          <w:rFonts w:hint="eastAsia"/>
          <w:color w:val="auto"/>
          <w:szCs w:val="21"/>
        </w:rPr>
        <w:t>交付</w:t>
      </w:r>
      <w:r>
        <w:rPr>
          <w:color w:val="auto"/>
          <w:szCs w:val="21"/>
        </w:rPr>
        <w:t>地点：</w:t>
      </w:r>
      <w:r>
        <w:rPr>
          <w:rFonts w:hint="eastAsia" w:ascii="宋体" w:hAnsi="宋体" w:cs="宋体"/>
          <w:color w:val="auto"/>
          <w:szCs w:val="21"/>
        </w:rPr>
        <w:t>广西师范大学雁山校区。</w:t>
      </w:r>
    </w:p>
    <w:p>
      <w:pPr>
        <w:spacing w:line="400" w:lineRule="exact"/>
        <w:ind w:firstLine="420" w:firstLineChars="200"/>
        <w:rPr>
          <w:color w:val="auto"/>
          <w:szCs w:val="21"/>
        </w:rPr>
      </w:pPr>
      <w:r>
        <w:rPr>
          <w:color w:val="auto"/>
          <w:szCs w:val="21"/>
        </w:rPr>
        <w:t>2.乙方提供不符合招投标文件和本合同规定的货物，甲方有权拒绝接受。</w:t>
      </w:r>
    </w:p>
    <w:p>
      <w:pPr>
        <w:spacing w:line="400" w:lineRule="exact"/>
        <w:ind w:firstLine="420" w:firstLineChars="200"/>
        <w:rPr>
          <w:color w:val="auto"/>
          <w:szCs w:val="21"/>
        </w:rPr>
      </w:pPr>
      <w:r>
        <w:rPr>
          <w:color w:val="auto"/>
          <w:szCs w:val="21"/>
        </w:rPr>
        <w:t>3.乙方应将所有提供货物的装箱清单、用户手册、原厂保修卡、随机资料、工具和备用、备件等交付给甲方，货物属于进口产品的，供货时应同时附上中文使用说明书，如有缺失应及时补齐，否则视为逾期交货。</w:t>
      </w:r>
    </w:p>
    <w:p>
      <w:pPr>
        <w:spacing w:line="400" w:lineRule="exact"/>
        <w:ind w:firstLine="413" w:firstLineChars="196"/>
        <w:outlineLvl w:val="1"/>
        <w:rPr>
          <w:b/>
          <w:color w:val="auto"/>
          <w:szCs w:val="21"/>
        </w:rPr>
      </w:pPr>
      <w:bookmarkStart w:id="184" w:name="_Toc495841773"/>
      <w:bookmarkStart w:id="185" w:name="_Toc14073"/>
      <w:bookmarkStart w:id="186" w:name="_Toc7783"/>
      <w:r>
        <w:rPr>
          <w:b/>
          <w:color w:val="auto"/>
          <w:szCs w:val="21"/>
        </w:rPr>
        <w:t>第六条调试和验收</w:t>
      </w:r>
      <w:bookmarkEnd w:id="184"/>
      <w:bookmarkEnd w:id="185"/>
      <w:bookmarkEnd w:id="186"/>
    </w:p>
    <w:p>
      <w:pPr>
        <w:spacing w:line="400" w:lineRule="exact"/>
        <w:ind w:firstLine="420" w:firstLineChars="200"/>
        <w:rPr>
          <w:color w:val="auto"/>
          <w:szCs w:val="21"/>
        </w:rPr>
      </w:pPr>
      <w:r>
        <w:rPr>
          <w:color w:val="auto"/>
          <w:szCs w:val="21"/>
        </w:rPr>
        <w:t>1.乙方交货前应对产品做出全面的检查和对验收文件进行整理，并列出清单，作为甲方验收和使用的技术条件依据，验收的结果应随货物交甲方。</w:t>
      </w:r>
    </w:p>
    <w:p>
      <w:pPr>
        <w:pStyle w:val="18"/>
        <w:snapToGrid w:val="0"/>
        <w:spacing w:after="120" w:line="440" w:lineRule="exact"/>
        <w:ind w:firstLine="420" w:firstLineChars="200"/>
        <w:jc w:val="left"/>
        <w:rPr>
          <w:color w:val="auto"/>
          <w:szCs w:val="21"/>
        </w:rPr>
      </w:pPr>
      <w:r>
        <w:rPr>
          <w:color w:val="auto"/>
          <w:szCs w:val="21"/>
        </w:rPr>
        <w:t>2.甲方依据招标文件、投标文件的技术规格要求及承诺和国家有关质量标准对货物进行现场初步验收，外观、说明书符合招标文件技术要求的，给予签收，初步验收不合格的不予签收。货到后，甲方应当在到货（安装、调试完）后七个工作日内进行验收</w:t>
      </w:r>
      <w:r>
        <w:rPr>
          <w:rFonts w:hint="eastAsia"/>
          <w:color w:val="auto"/>
          <w:szCs w:val="21"/>
        </w:rPr>
        <w:t>，</w:t>
      </w:r>
      <w:r>
        <w:rPr>
          <w:rFonts w:hint="eastAsia" w:hAnsi="宋体" w:cs="宋体"/>
          <w:color w:val="auto"/>
          <w:szCs w:val="21"/>
        </w:rPr>
        <w:t>逾期不验收的，乙方可视同验收合格</w:t>
      </w:r>
      <w:r>
        <w:rPr>
          <w:color w:val="auto"/>
          <w:szCs w:val="21"/>
        </w:rPr>
        <w:t xml:space="preserve">。 </w:t>
      </w:r>
      <w:r>
        <w:rPr>
          <w:rFonts w:hint="eastAsia"/>
          <w:color w:val="auto"/>
          <w:szCs w:val="21"/>
        </w:rPr>
        <w:t>验收合格后由甲乙双方签署货物验收单并加盖公章，甲乙双方各执一份。</w:t>
      </w:r>
    </w:p>
    <w:p>
      <w:pPr>
        <w:pStyle w:val="18"/>
        <w:snapToGrid w:val="0"/>
        <w:spacing w:after="120" w:line="440" w:lineRule="exact"/>
        <w:ind w:firstLine="420" w:firstLineChars="200"/>
        <w:jc w:val="left"/>
        <w:rPr>
          <w:rFonts w:hAnsi="宋体" w:cs="宋体"/>
          <w:color w:val="auto"/>
        </w:rPr>
      </w:pPr>
      <w:r>
        <w:rPr>
          <w:rFonts w:hint="eastAsia" w:hAnsi="宋体" w:cs="宋体"/>
          <w:color w:val="auto"/>
        </w:rPr>
        <w:t>（1）初步验收合格后，进入一个月试用期；试用期间发生公寓床坍塌等非学生原因造成的伤害事故等问题，修复后试用相应顺延；试用期结束后七个工作日内完成最终验收；</w:t>
      </w:r>
    </w:p>
    <w:p>
      <w:pPr>
        <w:pStyle w:val="18"/>
        <w:snapToGrid w:val="0"/>
        <w:spacing w:after="120" w:line="440" w:lineRule="exact"/>
        <w:ind w:firstLine="420" w:firstLineChars="200"/>
        <w:jc w:val="left"/>
        <w:rPr>
          <w:rFonts w:hAnsi="宋体" w:cs="宋体"/>
          <w:color w:val="auto"/>
        </w:rPr>
      </w:pPr>
      <w:r>
        <w:rPr>
          <w:rFonts w:hint="eastAsia" w:hAnsi="宋体" w:cs="宋体"/>
          <w:color w:val="auto"/>
        </w:rPr>
        <w:t>（2）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18"/>
        <w:snapToGrid w:val="0"/>
        <w:spacing w:after="120" w:line="440" w:lineRule="exact"/>
        <w:ind w:firstLine="420" w:firstLineChars="200"/>
        <w:jc w:val="left"/>
        <w:rPr>
          <w:rFonts w:hAnsi="宋体" w:cs="宋体"/>
          <w:color w:val="auto"/>
        </w:rPr>
      </w:pPr>
      <w:r>
        <w:rPr>
          <w:rFonts w:hint="eastAsia" w:hAnsi="宋体" w:cs="宋体"/>
          <w:color w:val="auto"/>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18"/>
        <w:snapToGrid w:val="0"/>
        <w:spacing w:after="120" w:line="440" w:lineRule="exact"/>
        <w:ind w:firstLine="420" w:firstLineChars="200"/>
        <w:jc w:val="left"/>
        <w:rPr>
          <w:rFonts w:hAnsi="宋体" w:cs="宋体"/>
          <w:color w:val="auto"/>
        </w:rPr>
      </w:pPr>
      <w:r>
        <w:rPr>
          <w:rFonts w:hint="eastAsia" w:hAnsi="宋体" w:cs="宋体"/>
          <w:color w:val="auto"/>
        </w:rPr>
        <w:t>（4）如货物经乙方</w:t>
      </w:r>
      <w:r>
        <w:rPr>
          <w:rFonts w:hint="eastAsia" w:hAnsi="宋体" w:cs="宋体"/>
          <w:color w:val="auto"/>
          <w:u w:val="single"/>
        </w:rPr>
        <w:t>两次</w:t>
      </w:r>
      <w:r>
        <w:rPr>
          <w:rFonts w:hint="eastAsia" w:hAnsi="宋体" w:cs="宋体"/>
          <w:color w:val="auto"/>
        </w:rPr>
        <w:t>维修仍不能达到合同约定的质量标准，甲方有权退货，并视作乙方不能交付货物而须支付违约赔偿金给甲方，甲方还可依法追究乙方的违约责任。 </w:t>
      </w:r>
    </w:p>
    <w:p>
      <w:pPr>
        <w:spacing w:line="400" w:lineRule="exact"/>
        <w:ind w:firstLine="420" w:firstLineChars="200"/>
        <w:rPr>
          <w:color w:val="auto"/>
          <w:szCs w:val="21"/>
        </w:rPr>
      </w:pPr>
      <w:r>
        <w:rPr>
          <w:color w:val="auto"/>
          <w:szCs w:val="21"/>
        </w:rPr>
        <w:t>3.甲方对乙方提供的货物在使用前进行调试时，乙方需负责安装并培训甲方的使用操作人员，并协助甲方一起调试，直到符合技术要求，甲方才做最终验收。</w:t>
      </w:r>
    </w:p>
    <w:p>
      <w:pPr>
        <w:spacing w:line="400" w:lineRule="exact"/>
        <w:ind w:firstLine="420" w:firstLineChars="200"/>
        <w:rPr>
          <w:color w:val="auto"/>
          <w:szCs w:val="21"/>
        </w:rPr>
      </w:pPr>
      <w:r>
        <w:rPr>
          <w:color w:val="auto"/>
          <w:szCs w:val="21"/>
        </w:rPr>
        <w:t>4.甲方对验收有异议的，在验收后五个工作日内以书面形式向乙方提出，乙方应自收到甲方书面异议后</w:t>
      </w:r>
      <w:r>
        <w:rPr>
          <w:rFonts w:hint="eastAsia"/>
          <w:color w:val="auto"/>
          <w:szCs w:val="21"/>
          <w:u w:val="single"/>
        </w:rPr>
        <w:t>七</w:t>
      </w:r>
      <w:r>
        <w:rPr>
          <w:color w:val="auto"/>
          <w:szCs w:val="21"/>
        </w:rPr>
        <w:t>日内及时予以解决。</w:t>
      </w:r>
    </w:p>
    <w:p>
      <w:pPr>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5.甲方委托第三方组织的验收项目，其验收时间以该项目验收方案确定的验收时间为准，验收结果以该项目验收报告结论为准。在验收过程中发现乙方有违约问题，可暂缓资金结算，待违约问题解决后，方可办理资金结算事宜。</w:t>
      </w:r>
    </w:p>
    <w:p>
      <w:pPr>
        <w:spacing w:line="400" w:lineRule="exact"/>
        <w:ind w:firstLine="420" w:firstLineChars="200"/>
        <w:rPr>
          <w:color w:val="auto"/>
          <w:kern w:val="0"/>
          <w:szCs w:val="21"/>
        </w:rPr>
      </w:pPr>
      <w:r>
        <w:rPr>
          <w:rFonts w:hint="eastAsia"/>
          <w:color w:val="auto"/>
          <w:szCs w:val="21"/>
        </w:rPr>
        <w:t>6</w:t>
      </w:r>
      <w:r>
        <w:rPr>
          <w:color w:val="auto"/>
          <w:szCs w:val="21"/>
        </w:rPr>
        <w:t>.</w:t>
      </w:r>
      <w:r>
        <w:rPr>
          <w:color w:val="auto"/>
          <w:kern w:val="0"/>
          <w:szCs w:val="21"/>
        </w:rPr>
        <w:t>所提供的产品必须为原装正品的、全新的、符合国家有关质量标准的产品；产品到货安装后，甲方将可能组织相关专家根据招标文件要求及投标文件承诺逐条对应进行现场核验，核验不合格的，甲方有权终止合同执行并全部退货，同时报相关监督管理部门处理，由此造成甲方经济损失的由乙方负责承担全部赔偿责任。</w:t>
      </w:r>
    </w:p>
    <w:p>
      <w:pPr>
        <w:pStyle w:val="18"/>
        <w:snapToGrid w:val="0"/>
        <w:spacing w:after="120" w:line="440" w:lineRule="exact"/>
        <w:ind w:firstLine="420" w:firstLineChars="200"/>
        <w:rPr>
          <w:rFonts w:hAnsi="宋体" w:cs="宋体"/>
          <w:color w:val="auto"/>
        </w:rPr>
      </w:pPr>
      <w:r>
        <w:rPr>
          <w:rFonts w:hint="eastAsia" w:hAnsi="宋体" w:cs="宋体"/>
          <w:color w:val="auto"/>
        </w:rPr>
        <w:t>7.货物安装完成后</w:t>
      </w:r>
      <w:r>
        <w:rPr>
          <w:rFonts w:hint="eastAsia" w:hAnsi="宋体" w:cs="宋体"/>
          <w:bCs/>
          <w:color w:val="auto"/>
          <w:u w:val="single"/>
        </w:rPr>
        <w:t>七个工作日</w:t>
      </w:r>
      <w:r>
        <w:rPr>
          <w:rFonts w:hint="eastAsia" w:hAnsi="宋体" w:cs="宋体"/>
          <w:color w:val="auto"/>
        </w:rPr>
        <w:t xml:space="preserve">内，甲方无故不进行初步验收工作并已使用货物的，视同已安装调试完成并初步验收合格。验收不合格的项目，将按本合同第十四条违约责任处理，未作约定的，按照《合同法》规定处理。    </w:t>
      </w:r>
    </w:p>
    <w:p>
      <w:pPr>
        <w:pStyle w:val="18"/>
        <w:snapToGrid w:val="0"/>
        <w:spacing w:after="120" w:line="440" w:lineRule="exact"/>
        <w:ind w:firstLine="420" w:firstLineChars="200"/>
        <w:jc w:val="left"/>
        <w:rPr>
          <w:rFonts w:hAnsi="宋体" w:cs="宋体"/>
          <w:color w:val="auto"/>
        </w:rPr>
      </w:pPr>
      <w:r>
        <w:rPr>
          <w:rFonts w:hint="eastAsia" w:hAnsi="宋体" w:cs="宋体"/>
          <w:color w:val="auto"/>
        </w:rPr>
        <w:t>8. 验收时乙方必须在现场，验收完毕后作出验收结果报告（验收书），列明各项标准的验收情况及项目总体评价，由验收双方共同签署；验收费用由乙方负责。费用标准参照国家或自治区有关规定执行。</w:t>
      </w:r>
    </w:p>
    <w:p>
      <w:pPr>
        <w:pStyle w:val="18"/>
        <w:snapToGrid w:val="0"/>
        <w:spacing w:after="120" w:line="440" w:lineRule="exact"/>
        <w:ind w:firstLine="420" w:firstLineChars="200"/>
        <w:jc w:val="left"/>
        <w:rPr>
          <w:rFonts w:hAnsi="宋体" w:cs="宋体"/>
          <w:color w:val="auto"/>
        </w:rPr>
      </w:pPr>
      <w:r>
        <w:rPr>
          <w:rFonts w:hint="eastAsia" w:hAnsi="宋体" w:cs="宋体"/>
          <w:color w:val="auto"/>
        </w:rPr>
        <w:t>9.其他未尽事宜应严格按照《关于印发广西壮族自治区政府采购项目履约验收管理办法的通知》[桂财采〔2015〕22号]以及《财政部关于进一步加强政府采购需求和履约验收管理的指导意见》[财库〔2016〕205号]规定执行。</w:t>
      </w:r>
    </w:p>
    <w:p>
      <w:pPr>
        <w:snapToGrid w:val="0"/>
        <w:spacing w:line="440" w:lineRule="exact"/>
        <w:ind w:firstLine="422" w:firstLineChars="200"/>
        <w:rPr>
          <w:rFonts w:ascii="宋体" w:hAnsi="宋体" w:cs="宋体"/>
          <w:b/>
          <w:color w:val="auto"/>
          <w:szCs w:val="21"/>
        </w:rPr>
      </w:pPr>
      <w:bookmarkStart w:id="187" w:name="_Toc27706"/>
      <w:bookmarkStart w:id="188" w:name="_Toc29939"/>
      <w:bookmarkStart w:id="189" w:name="_Toc495841775"/>
      <w:r>
        <w:rPr>
          <w:rFonts w:hint="eastAsia" w:ascii="宋体" w:hAnsi="宋体" w:cs="宋体"/>
          <w:b/>
          <w:color w:val="auto"/>
          <w:szCs w:val="21"/>
        </w:rPr>
        <w:t>第七条  安装和培训</w:t>
      </w:r>
    </w:p>
    <w:p>
      <w:pPr>
        <w:snapToGrid w:val="0"/>
        <w:spacing w:line="440" w:lineRule="exact"/>
        <w:ind w:firstLine="420" w:firstLineChars="200"/>
        <w:rPr>
          <w:rFonts w:hint="eastAsia" w:ascii="宋体" w:hAnsi="宋体" w:eastAsia="宋体" w:cs="宋体"/>
          <w:color w:val="auto"/>
          <w:szCs w:val="21"/>
          <w:lang w:eastAsia="zh-CN"/>
        </w:rPr>
      </w:pPr>
      <w:r>
        <w:rPr>
          <w:rFonts w:hint="eastAsia" w:ascii="宋体" w:hAnsi="宋体" w:cs="宋体"/>
          <w:color w:val="auto"/>
          <w:szCs w:val="21"/>
        </w:rPr>
        <w:t>1.甲方应提供必要安装条件（如场地、电源、水源等）</w:t>
      </w:r>
      <w:r>
        <w:rPr>
          <w:rFonts w:hint="eastAsia" w:ascii="宋体" w:hAnsi="宋体" w:cs="宋体"/>
          <w:color w:val="auto"/>
          <w:szCs w:val="21"/>
          <w:lang w:eastAsia="zh-CN"/>
        </w:rPr>
        <w:t>；</w:t>
      </w:r>
    </w:p>
    <w:p>
      <w:pPr>
        <w:snapToGrid w:val="0"/>
        <w:spacing w:line="440" w:lineRule="exact"/>
        <w:ind w:firstLine="420" w:firstLineChars="200"/>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highlight w:val="none"/>
        </w:rPr>
        <w:t>安装要求按采购需求表执行</w:t>
      </w:r>
      <w:r>
        <w:rPr>
          <w:rFonts w:hint="eastAsia" w:ascii="宋体" w:hAnsi="宋体" w:cs="宋体"/>
          <w:color w:val="auto"/>
          <w:szCs w:val="21"/>
        </w:rPr>
        <w:t>；</w:t>
      </w:r>
    </w:p>
    <w:p>
      <w:pPr>
        <w:snapToGrid w:val="0"/>
        <w:spacing w:line="440" w:lineRule="exact"/>
        <w:ind w:firstLine="420" w:firstLineChars="200"/>
        <w:rPr>
          <w:rFonts w:ascii="宋体" w:hAnsi="宋体" w:cs="宋体"/>
          <w:color w:val="auto"/>
          <w:szCs w:val="21"/>
          <w:u w:val="single"/>
        </w:rPr>
      </w:pPr>
      <w:r>
        <w:rPr>
          <w:rFonts w:hint="eastAsia" w:ascii="宋体" w:hAnsi="宋体" w:cs="宋体"/>
          <w:color w:val="auto"/>
          <w:szCs w:val="21"/>
          <w:lang w:val="en-US" w:eastAsia="zh-CN"/>
        </w:rPr>
        <w:t>3.安装</w:t>
      </w:r>
      <w:r>
        <w:rPr>
          <w:rFonts w:hint="eastAsia" w:ascii="宋体" w:hAnsi="宋体" w:cs="宋体"/>
          <w:color w:val="auto"/>
          <w:szCs w:val="21"/>
        </w:rPr>
        <w:t>地点：桂林市（采购人指定地点）。</w:t>
      </w:r>
    </w:p>
    <w:p>
      <w:pPr>
        <w:spacing w:line="400" w:lineRule="exact"/>
        <w:ind w:firstLine="413" w:firstLineChars="196"/>
        <w:outlineLvl w:val="1"/>
        <w:rPr>
          <w:b/>
          <w:color w:val="auto"/>
          <w:szCs w:val="21"/>
        </w:rPr>
      </w:pPr>
      <w:r>
        <w:rPr>
          <w:b/>
          <w:color w:val="auto"/>
          <w:szCs w:val="21"/>
        </w:rPr>
        <w:t>第八条售后服务、保修期</w:t>
      </w:r>
      <w:bookmarkEnd w:id="187"/>
      <w:bookmarkEnd w:id="188"/>
      <w:bookmarkEnd w:id="189"/>
    </w:p>
    <w:p>
      <w:pPr>
        <w:tabs>
          <w:tab w:val="left" w:pos="0"/>
        </w:tabs>
        <w:spacing w:line="400" w:lineRule="exact"/>
        <w:ind w:firstLine="420" w:firstLineChars="200"/>
        <w:rPr>
          <w:color w:val="auto"/>
          <w:szCs w:val="21"/>
        </w:rPr>
      </w:pPr>
      <w:r>
        <w:rPr>
          <w:color w:val="auto"/>
          <w:szCs w:val="21"/>
        </w:rPr>
        <w:t>1.乙方应按照国家有关法律规定和“三包”规定以及招投标文件和本合同所附《服务承诺》，为甲方提供售后服务。</w:t>
      </w:r>
    </w:p>
    <w:p>
      <w:pPr>
        <w:pStyle w:val="18"/>
        <w:snapToGrid w:val="0"/>
        <w:spacing w:after="120" w:line="440" w:lineRule="exact"/>
        <w:ind w:firstLine="420" w:firstLineChars="200"/>
        <w:rPr>
          <w:rFonts w:hAnsi="宋体" w:cs="宋体"/>
          <w:color w:val="auto"/>
        </w:rPr>
      </w:pPr>
      <w:r>
        <w:rPr>
          <w:color w:val="auto"/>
          <w:szCs w:val="21"/>
        </w:rPr>
        <w:t>2.如在使用过程中发生质量问题，乙方在接到甲方通知后在</w:t>
      </w:r>
      <w:r>
        <w:rPr>
          <w:rFonts w:hint="eastAsia"/>
          <w:color w:val="auto"/>
          <w:szCs w:val="21"/>
          <w:lang w:val="en-US" w:eastAsia="zh-CN"/>
        </w:rPr>
        <w:t>4</w:t>
      </w:r>
      <w:r>
        <w:rPr>
          <w:color w:val="auto"/>
          <w:szCs w:val="21"/>
        </w:rPr>
        <w:t>小时内到达甲方现场处理</w:t>
      </w:r>
      <w:r>
        <w:rPr>
          <w:rFonts w:hint="eastAsia"/>
          <w:color w:val="auto"/>
          <w:szCs w:val="21"/>
        </w:rPr>
        <w:t>，</w:t>
      </w:r>
      <w:r>
        <w:rPr>
          <w:rFonts w:hint="eastAsia" w:hAnsi="宋体" w:cs="宋体"/>
          <w:color w:val="auto"/>
        </w:rPr>
        <w:t>到达现场后2小时内排除故障。</w:t>
      </w:r>
    </w:p>
    <w:p>
      <w:pPr>
        <w:spacing w:line="400" w:lineRule="exact"/>
        <w:ind w:firstLine="420" w:firstLineChars="200"/>
        <w:rPr>
          <w:color w:val="auto"/>
          <w:szCs w:val="21"/>
        </w:rPr>
      </w:pPr>
      <w:r>
        <w:rPr>
          <w:color w:val="auto"/>
          <w:szCs w:val="21"/>
        </w:rPr>
        <w:t>3.在质保期内，乙方应对货物出现的质量及安全问题负责处理解决并承担一切费用。</w:t>
      </w:r>
    </w:p>
    <w:p>
      <w:pPr>
        <w:pStyle w:val="18"/>
        <w:snapToGrid w:val="0"/>
        <w:spacing w:after="120" w:line="440" w:lineRule="exact"/>
        <w:ind w:firstLine="420" w:firstLineChars="200"/>
        <w:rPr>
          <w:rFonts w:hAnsi="宋体" w:cs="宋体"/>
          <w:color w:val="auto"/>
        </w:rPr>
      </w:pPr>
      <w:r>
        <w:rPr>
          <w:color w:val="auto"/>
          <w:szCs w:val="21"/>
        </w:rPr>
        <w:t>4.货物免费保修期为不得少于</w:t>
      </w:r>
      <w:r>
        <w:rPr>
          <w:rFonts w:hint="eastAsia"/>
          <w:color w:val="auto"/>
          <w:szCs w:val="21"/>
        </w:rPr>
        <w:t>8</w:t>
      </w:r>
      <w:r>
        <w:rPr>
          <w:color w:val="auto"/>
          <w:szCs w:val="21"/>
        </w:rPr>
        <w:t>年（免费保修期自货物安装调试并在验收合格之日起计算），</w:t>
      </w:r>
      <w:r>
        <w:rPr>
          <w:rFonts w:hint="eastAsia"/>
          <w:color w:val="auto"/>
          <w:szCs w:val="21"/>
        </w:rPr>
        <w:t>需</w:t>
      </w:r>
      <w:r>
        <w:rPr>
          <w:color w:val="auto"/>
          <w:szCs w:val="21"/>
        </w:rPr>
        <w:t>免费上门保修服务。因人为因素出现的故障不在免费保修范围内。</w:t>
      </w:r>
      <w:r>
        <w:rPr>
          <w:rFonts w:hint="eastAsia" w:hAnsi="宋体" w:cs="宋体"/>
          <w:color w:val="auto"/>
        </w:rPr>
        <w:t>超过质保期的机器设备，终生维修，维修时只收部件成本费。</w:t>
      </w:r>
    </w:p>
    <w:p>
      <w:pPr>
        <w:spacing w:line="400" w:lineRule="exact"/>
        <w:ind w:firstLine="422" w:firstLineChars="200"/>
        <w:outlineLvl w:val="1"/>
        <w:rPr>
          <w:b/>
          <w:color w:val="auto"/>
          <w:szCs w:val="21"/>
        </w:rPr>
      </w:pPr>
      <w:bookmarkStart w:id="190" w:name="_Toc16639"/>
      <w:bookmarkStart w:id="191" w:name="_Toc12595"/>
      <w:bookmarkStart w:id="192" w:name="_Toc495841776"/>
      <w:r>
        <w:rPr>
          <w:b/>
          <w:color w:val="auto"/>
          <w:szCs w:val="21"/>
        </w:rPr>
        <w:t>第九条税费</w:t>
      </w:r>
      <w:bookmarkEnd w:id="190"/>
      <w:bookmarkEnd w:id="191"/>
      <w:bookmarkEnd w:id="192"/>
    </w:p>
    <w:p>
      <w:pPr>
        <w:spacing w:line="400" w:lineRule="exact"/>
        <w:ind w:firstLine="411" w:firstLineChars="196"/>
        <w:rPr>
          <w:color w:val="auto"/>
          <w:szCs w:val="21"/>
        </w:rPr>
      </w:pPr>
      <w:r>
        <w:rPr>
          <w:color w:val="auto"/>
          <w:szCs w:val="21"/>
        </w:rPr>
        <w:t>本合同执行中相关的一切税费均由乙方负担。</w:t>
      </w:r>
    </w:p>
    <w:p>
      <w:pPr>
        <w:spacing w:line="400" w:lineRule="exact"/>
        <w:ind w:firstLine="413" w:firstLineChars="196"/>
        <w:outlineLvl w:val="1"/>
        <w:rPr>
          <w:b/>
          <w:color w:val="auto"/>
          <w:szCs w:val="21"/>
        </w:rPr>
      </w:pPr>
      <w:bookmarkStart w:id="193" w:name="_Toc495841777"/>
      <w:bookmarkStart w:id="194" w:name="_Toc20696"/>
      <w:bookmarkStart w:id="195" w:name="_Toc18828"/>
      <w:r>
        <w:rPr>
          <w:b/>
          <w:color w:val="auto"/>
          <w:szCs w:val="21"/>
        </w:rPr>
        <w:t>第十条付款方式</w:t>
      </w:r>
      <w:bookmarkEnd w:id="193"/>
      <w:bookmarkEnd w:id="194"/>
      <w:bookmarkEnd w:id="195"/>
    </w:p>
    <w:p>
      <w:pPr>
        <w:snapToGrid w:val="0"/>
        <w:spacing w:line="440" w:lineRule="exact"/>
        <w:ind w:firstLine="420" w:firstLineChars="200"/>
        <w:rPr>
          <w:rFonts w:ascii="宋体" w:hAnsi="宋体" w:cs="宋体"/>
          <w:color w:val="auto"/>
          <w:szCs w:val="21"/>
        </w:rPr>
      </w:pPr>
      <w:bookmarkStart w:id="196" w:name="_Toc19042"/>
      <w:bookmarkStart w:id="197" w:name="_Toc495841778"/>
      <w:bookmarkStart w:id="198" w:name="_Toc1248"/>
      <w:r>
        <w:rPr>
          <w:rFonts w:hint="eastAsia" w:ascii="宋体" w:hAnsi="宋体" w:cs="宋体"/>
          <w:color w:val="auto"/>
          <w:szCs w:val="21"/>
        </w:rPr>
        <w:t>1、当采购数量与实际使用数量不一致时，乙方应根据实际使用量供货，合同的最终结算金额按实际使用量乘以成交单价进行计算。</w:t>
      </w:r>
    </w:p>
    <w:p>
      <w:pPr>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2、资金性质：财政性资金。</w:t>
      </w:r>
    </w:p>
    <w:p>
      <w:pPr>
        <w:spacing w:line="400" w:lineRule="exact"/>
        <w:ind w:firstLine="420" w:firstLineChars="200"/>
        <w:rPr>
          <w:rFonts w:ascii="宋体" w:hAnsi="宋体" w:cs="宋体"/>
          <w:color w:val="auto"/>
          <w:szCs w:val="21"/>
        </w:rPr>
      </w:pPr>
      <w:r>
        <w:rPr>
          <w:rFonts w:hint="eastAsia" w:ascii="宋体" w:hAnsi="宋体" w:cs="宋体"/>
          <w:color w:val="auto"/>
          <w:szCs w:val="21"/>
        </w:rPr>
        <w:t>3、付款方式：</w:t>
      </w:r>
      <w:bookmarkStart w:id="199" w:name="_Toc4964"/>
    </w:p>
    <w:p>
      <w:pPr>
        <w:spacing w:line="400" w:lineRule="exact"/>
        <w:ind w:firstLine="630" w:firstLineChars="300"/>
        <w:rPr>
          <w:color w:val="auto"/>
          <w:szCs w:val="21"/>
        </w:rPr>
      </w:pPr>
      <w:r>
        <w:rPr>
          <w:color w:val="auto"/>
          <w:szCs w:val="21"/>
        </w:rPr>
        <w:t>3.1合同签订时，中标人应按合同金额的5%向采购人交纳履约保证金，履约保证金待履行完合同约定的权利义务事项后（中标人承诺免费保修期满）且不存在争议的，采购人在30个工作日内无息返还履约保证金。</w:t>
      </w:r>
    </w:p>
    <w:p>
      <w:pPr>
        <w:spacing w:line="400" w:lineRule="exact"/>
        <w:ind w:firstLine="632" w:firstLineChars="300"/>
        <w:rPr>
          <w:b/>
          <w:bCs/>
          <w:color w:val="auto"/>
          <w:szCs w:val="21"/>
        </w:rPr>
      </w:pPr>
      <w:r>
        <w:rPr>
          <w:b/>
          <w:bCs/>
          <w:color w:val="auto"/>
          <w:szCs w:val="21"/>
        </w:rPr>
        <w:t xml:space="preserve">3.2 </w:t>
      </w:r>
      <w:r>
        <w:rPr>
          <w:b/>
          <w:bCs/>
          <w:color w:val="auto"/>
          <w:sz w:val="28"/>
          <w:szCs w:val="28"/>
        </w:rPr>
        <w:sym w:font="Wingdings 2" w:char="00A3"/>
      </w:r>
      <w:r>
        <w:rPr>
          <w:b/>
          <w:bCs/>
          <w:color w:val="auto"/>
          <w:szCs w:val="21"/>
        </w:rPr>
        <w:t>本项目预付款为合同总金额的</w:t>
      </w:r>
      <w:r>
        <w:rPr>
          <w:rFonts w:hint="eastAsia"/>
          <w:b/>
          <w:bCs/>
          <w:color w:val="auto"/>
          <w:szCs w:val="21"/>
          <w:u w:val="single"/>
        </w:rPr>
        <w:t>中标</w:t>
      </w:r>
      <w:r>
        <w:rPr>
          <w:b/>
          <w:bCs/>
          <w:color w:val="auto"/>
          <w:szCs w:val="21"/>
          <w:u w:val="single"/>
        </w:rPr>
        <w:t>后填写</w:t>
      </w:r>
      <w:r>
        <w:rPr>
          <w:b/>
          <w:bCs/>
          <w:color w:val="auto"/>
          <w:szCs w:val="21"/>
        </w:rPr>
        <w:t>%，在合同生效以及具备实施条件后，采购人在15日内支付预付款；设备交货验收合格后采购人支付合同总金额的</w:t>
      </w:r>
      <w:r>
        <w:rPr>
          <w:rFonts w:hint="eastAsia"/>
          <w:b/>
          <w:bCs/>
          <w:color w:val="auto"/>
          <w:szCs w:val="21"/>
          <w:u w:val="single"/>
        </w:rPr>
        <w:t>中标</w:t>
      </w:r>
      <w:r>
        <w:rPr>
          <w:b/>
          <w:bCs/>
          <w:color w:val="auto"/>
          <w:szCs w:val="21"/>
          <w:u w:val="single"/>
        </w:rPr>
        <w:t>后填写</w:t>
      </w:r>
      <w:r>
        <w:rPr>
          <w:b/>
          <w:bCs/>
          <w:color w:val="auto"/>
          <w:szCs w:val="21"/>
        </w:rPr>
        <w:t>%（无息）。</w:t>
      </w:r>
    </w:p>
    <w:p>
      <w:pPr>
        <w:spacing w:line="400" w:lineRule="exact"/>
        <w:ind w:firstLine="843" w:firstLineChars="300"/>
        <w:rPr>
          <w:b/>
          <w:bCs/>
          <w:color w:val="auto"/>
          <w:szCs w:val="21"/>
        </w:rPr>
      </w:pPr>
      <w:r>
        <w:rPr>
          <w:b/>
          <w:bCs/>
          <w:color w:val="auto"/>
          <w:sz w:val="28"/>
          <w:szCs w:val="28"/>
        </w:rPr>
        <w:sym w:font="Wingdings 2" w:char="00A3"/>
      </w:r>
      <w:r>
        <w:rPr>
          <w:b/>
          <w:bCs/>
          <w:color w:val="auto"/>
          <w:szCs w:val="21"/>
        </w:rPr>
        <w:t>中标人按合同约定交货验收合格后采购人支付合同总金额的100%（无息）</w:t>
      </w:r>
    </w:p>
    <w:p>
      <w:pPr>
        <w:snapToGrid w:val="0"/>
        <w:spacing w:line="400" w:lineRule="exact"/>
        <w:ind w:firstLine="843" w:firstLineChars="400"/>
        <w:rPr>
          <w:b/>
          <w:bCs/>
          <w:color w:val="auto"/>
          <w:szCs w:val="21"/>
        </w:rPr>
      </w:pPr>
      <w:r>
        <w:rPr>
          <w:b/>
          <w:bCs/>
          <w:color w:val="auto"/>
          <w:szCs w:val="21"/>
        </w:rPr>
        <w:t>注：根据桂财采〔2020〕25号《广西壮族自治区财政厅关于加强政府采购促进经济稳定发展有关事项的通知》的规定，在签订合同时，供应商明确表示无需预付款或者主动要求降低预付款比例的，采购单位可不适用前述规定。如中标人在签订合同时，明确表示无需预付款时，付款方式为：中标人按合同约定交货验收合格后采购人支付合同总金额的100%（无息）。</w:t>
      </w:r>
    </w:p>
    <w:bookmarkEnd w:id="199"/>
    <w:p>
      <w:pPr>
        <w:spacing w:line="400" w:lineRule="exact"/>
        <w:ind w:firstLine="422" w:firstLineChars="200"/>
        <w:outlineLvl w:val="1"/>
        <w:rPr>
          <w:b/>
          <w:color w:val="auto"/>
          <w:szCs w:val="21"/>
        </w:rPr>
      </w:pPr>
      <w:r>
        <w:rPr>
          <w:b/>
          <w:color w:val="auto"/>
          <w:szCs w:val="21"/>
        </w:rPr>
        <w:t>第十一条违约责任</w:t>
      </w:r>
      <w:bookmarkEnd w:id="196"/>
      <w:bookmarkEnd w:id="197"/>
      <w:bookmarkEnd w:id="198"/>
    </w:p>
    <w:p>
      <w:pPr>
        <w:spacing w:line="400" w:lineRule="exact"/>
        <w:ind w:firstLine="420" w:firstLineChars="200"/>
        <w:rPr>
          <w:color w:val="auto"/>
          <w:szCs w:val="21"/>
        </w:rPr>
      </w:pPr>
      <w:r>
        <w:rPr>
          <w:color w:val="auto"/>
          <w:szCs w:val="21"/>
        </w:rPr>
        <w:t>1. 乙方所提供的货物规格、技术标准、材料等质量不合格的，应及时更换，更换不及时的按逾期交货处罚，乙方应向甲方支付合同金额</w:t>
      </w:r>
      <w:r>
        <w:rPr>
          <w:color w:val="auto"/>
          <w:szCs w:val="21"/>
          <w:u w:val="single"/>
        </w:rPr>
        <w:t xml:space="preserve"> 5 </w:t>
      </w:r>
      <w:r>
        <w:rPr>
          <w:color w:val="auto"/>
          <w:szCs w:val="21"/>
        </w:rPr>
        <w:t>%违约金并赔偿甲方经济损失。</w:t>
      </w:r>
    </w:p>
    <w:p>
      <w:pPr>
        <w:spacing w:line="400" w:lineRule="exact"/>
        <w:ind w:firstLine="411" w:firstLineChars="196"/>
        <w:rPr>
          <w:color w:val="auto"/>
          <w:szCs w:val="21"/>
        </w:rPr>
      </w:pPr>
      <w:r>
        <w:rPr>
          <w:color w:val="auto"/>
          <w:szCs w:val="21"/>
        </w:rPr>
        <w:t>2. 乙方提供的货物如果侵犯了第三方合法权益而引发的任何纠纷或诉讼，均由乙方负责交涉并承担全部责任。</w:t>
      </w:r>
    </w:p>
    <w:p>
      <w:pPr>
        <w:spacing w:line="400" w:lineRule="exact"/>
        <w:ind w:firstLine="411" w:firstLineChars="196"/>
        <w:rPr>
          <w:color w:val="auto"/>
          <w:szCs w:val="21"/>
        </w:rPr>
      </w:pPr>
      <w:r>
        <w:rPr>
          <w:color w:val="auto"/>
          <w:szCs w:val="21"/>
        </w:rPr>
        <w:t>3. 因包装、运输引起的货物损坏，按质量不合格处理。</w:t>
      </w:r>
    </w:p>
    <w:p>
      <w:pPr>
        <w:spacing w:line="400" w:lineRule="exact"/>
        <w:ind w:firstLine="411" w:firstLineChars="196"/>
        <w:rPr>
          <w:color w:val="auto"/>
          <w:szCs w:val="21"/>
        </w:rPr>
      </w:pPr>
      <w:r>
        <w:rPr>
          <w:color w:val="auto"/>
          <w:szCs w:val="21"/>
        </w:rPr>
        <w:t>4. 甲方无故延期接收货物、乙方逾期交货的，每天向对方偿付违约货款额</w:t>
      </w:r>
      <w:r>
        <w:rPr>
          <w:rFonts w:hint="eastAsia"/>
          <w:color w:val="auto"/>
          <w:szCs w:val="21"/>
          <w:u w:val="single"/>
        </w:rPr>
        <w:t>3</w:t>
      </w:r>
      <w:r>
        <w:rPr>
          <w:color w:val="auto"/>
          <w:szCs w:val="21"/>
          <w:u w:val="single"/>
        </w:rPr>
        <w:t>‰</w:t>
      </w:r>
      <w:r>
        <w:rPr>
          <w:color w:val="auto"/>
          <w:szCs w:val="21"/>
        </w:rPr>
        <w:t>违约金，但违约金累计不得超过违约货款额</w:t>
      </w:r>
      <w:r>
        <w:rPr>
          <w:rFonts w:hint="eastAsia"/>
          <w:color w:val="auto"/>
          <w:szCs w:val="21"/>
          <w:u w:val="single"/>
        </w:rPr>
        <w:t>5</w:t>
      </w:r>
      <w:r>
        <w:rPr>
          <w:color w:val="auto"/>
          <w:szCs w:val="21"/>
          <w:u w:val="single"/>
        </w:rPr>
        <w:t>%</w:t>
      </w:r>
      <w:r>
        <w:rPr>
          <w:color w:val="auto"/>
          <w:szCs w:val="21"/>
        </w:rPr>
        <w:t>，超过</w:t>
      </w:r>
      <w:r>
        <w:rPr>
          <w:rFonts w:hint="eastAsia"/>
          <w:color w:val="auto"/>
          <w:szCs w:val="21"/>
          <w:u w:val="single"/>
        </w:rPr>
        <w:t>30</w:t>
      </w:r>
      <w:r>
        <w:rPr>
          <w:color w:val="auto"/>
          <w:szCs w:val="21"/>
        </w:rPr>
        <w:t>天对方有权解除合同，违约方承担因此给对方造成经济损失；甲方延期付货款的，每天向乙方偿付延期货款额</w:t>
      </w:r>
      <w:r>
        <w:rPr>
          <w:rFonts w:hint="eastAsia"/>
          <w:color w:val="auto"/>
          <w:szCs w:val="21"/>
          <w:u w:val="single"/>
        </w:rPr>
        <w:t>3</w:t>
      </w:r>
      <w:r>
        <w:rPr>
          <w:color w:val="auto"/>
          <w:szCs w:val="21"/>
          <w:u w:val="single"/>
        </w:rPr>
        <w:t>‰</w:t>
      </w:r>
      <w:r>
        <w:rPr>
          <w:color w:val="auto"/>
          <w:szCs w:val="21"/>
        </w:rPr>
        <w:t>滞纳金，但滞纳金累计不得超过延期货款额</w:t>
      </w:r>
      <w:r>
        <w:rPr>
          <w:rFonts w:hint="eastAsia"/>
          <w:color w:val="auto"/>
          <w:szCs w:val="21"/>
          <w:u w:val="single"/>
        </w:rPr>
        <w:t>5</w:t>
      </w:r>
      <w:r>
        <w:rPr>
          <w:color w:val="auto"/>
          <w:szCs w:val="21"/>
          <w:u w:val="single"/>
        </w:rPr>
        <w:t>%</w:t>
      </w:r>
      <w:r>
        <w:rPr>
          <w:color w:val="auto"/>
          <w:szCs w:val="21"/>
        </w:rPr>
        <w:t>。</w:t>
      </w:r>
    </w:p>
    <w:p>
      <w:pPr>
        <w:spacing w:line="400" w:lineRule="exact"/>
        <w:ind w:firstLine="411" w:firstLineChars="196"/>
        <w:rPr>
          <w:color w:val="auto"/>
          <w:szCs w:val="21"/>
        </w:rPr>
      </w:pPr>
      <w:r>
        <w:rPr>
          <w:color w:val="auto"/>
          <w:szCs w:val="21"/>
        </w:rPr>
        <w:t>5. 乙方未按本合同和投标文件中规定的服务承诺提供售后服务的，乙方应按本合同合同金额</w:t>
      </w:r>
      <w:r>
        <w:rPr>
          <w:color w:val="auto"/>
          <w:szCs w:val="21"/>
          <w:u w:val="single"/>
        </w:rPr>
        <w:t xml:space="preserve"> 5 </w:t>
      </w:r>
      <w:r>
        <w:rPr>
          <w:color w:val="auto"/>
          <w:szCs w:val="21"/>
        </w:rPr>
        <w:t>%向甲方支付违约金。</w:t>
      </w:r>
    </w:p>
    <w:p>
      <w:pPr>
        <w:spacing w:line="400" w:lineRule="exact"/>
        <w:ind w:firstLine="411" w:firstLineChars="196"/>
        <w:rPr>
          <w:color w:val="auto"/>
          <w:szCs w:val="21"/>
        </w:rPr>
      </w:pPr>
      <w:r>
        <w:rPr>
          <w:color w:val="auto"/>
          <w:szCs w:val="21"/>
        </w:rPr>
        <w:t>6. 乙方提供的货物在质保期内，因设计、工艺或材料的缺陷和其他质量原因造成的问题，由乙方负责，费用从质量保证金中扣除，不足另补。</w:t>
      </w:r>
    </w:p>
    <w:p>
      <w:pPr>
        <w:spacing w:line="400" w:lineRule="exact"/>
        <w:ind w:firstLine="411" w:firstLineChars="196"/>
        <w:rPr>
          <w:color w:val="auto"/>
          <w:szCs w:val="21"/>
        </w:rPr>
      </w:pPr>
      <w:r>
        <w:rPr>
          <w:color w:val="auto"/>
          <w:szCs w:val="21"/>
        </w:rPr>
        <w:t>7. 其他违约行为按违约货款额</w:t>
      </w:r>
      <w:r>
        <w:rPr>
          <w:color w:val="auto"/>
          <w:szCs w:val="21"/>
          <w:u w:val="single"/>
        </w:rPr>
        <w:t xml:space="preserve"> 5 </w:t>
      </w:r>
      <w:r>
        <w:rPr>
          <w:color w:val="auto"/>
          <w:szCs w:val="21"/>
        </w:rPr>
        <w:t>%收取违约金并赔偿经济损失。</w:t>
      </w:r>
    </w:p>
    <w:p>
      <w:pPr>
        <w:spacing w:line="400" w:lineRule="exact"/>
        <w:ind w:firstLine="413" w:firstLineChars="196"/>
        <w:outlineLvl w:val="1"/>
        <w:rPr>
          <w:b/>
          <w:color w:val="auto"/>
          <w:szCs w:val="21"/>
        </w:rPr>
      </w:pPr>
      <w:bookmarkStart w:id="200" w:name="_Toc31218"/>
      <w:bookmarkStart w:id="201" w:name="_Toc5808"/>
      <w:bookmarkStart w:id="202" w:name="_Toc495841779"/>
      <w:r>
        <w:rPr>
          <w:b/>
          <w:color w:val="auto"/>
          <w:szCs w:val="21"/>
        </w:rPr>
        <w:t>第十二条不可抗力事件处理</w:t>
      </w:r>
      <w:bookmarkEnd w:id="200"/>
      <w:bookmarkEnd w:id="201"/>
      <w:bookmarkEnd w:id="202"/>
    </w:p>
    <w:p>
      <w:pPr>
        <w:spacing w:line="400" w:lineRule="exact"/>
        <w:ind w:firstLine="420" w:firstLineChars="200"/>
        <w:rPr>
          <w:color w:val="auto"/>
          <w:szCs w:val="21"/>
        </w:rPr>
      </w:pPr>
      <w:r>
        <w:rPr>
          <w:color w:val="auto"/>
          <w:szCs w:val="21"/>
        </w:rPr>
        <w:t>1.在合同有效期内，乙方因不可抗力事件导致不能履行合同，则合同履行期可延长，其延长期与不可抗力影响期相同。</w:t>
      </w:r>
    </w:p>
    <w:p>
      <w:pPr>
        <w:spacing w:line="400" w:lineRule="exact"/>
        <w:ind w:left="420"/>
        <w:rPr>
          <w:color w:val="auto"/>
          <w:szCs w:val="21"/>
        </w:rPr>
      </w:pPr>
      <w:r>
        <w:rPr>
          <w:color w:val="auto"/>
          <w:szCs w:val="21"/>
        </w:rPr>
        <w:t>2.不可抗力事件发生后，应立即通知对方，并寄送有关权威机构出具的证明。</w:t>
      </w:r>
    </w:p>
    <w:p>
      <w:pPr>
        <w:spacing w:line="400" w:lineRule="exact"/>
        <w:ind w:left="420"/>
        <w:rPr>
          <w:color w:val="auto"/>
          <w:szCs w:val="21"/>
        </w:rPr>
      </w:pPr>
      <w:r>
        <w:rPr>
          <w:color w:val="auto"/>
          <w:szCs w:val="21"/>
        </w:rPr>
        <w:t>3.不可抗力事件延续一百二十天以上，双方应通过友好协商，确定是否继续履行合同。</w:t>
      </w:r>
    </w:p>
    <w:p>
      <w:pPr>
        <w:spacing w:line="400" w:lineRule="exact"/>
        <w:ind w:firstLine="413" w:firstLineChars="196"/>
        <w:outlineLvl w:val="1"/>
        <w:rPr>
          <w:b/>
          <w:color w:val="auto"/>
          <w:szCs w:val="21"/>
        </w:rPr>
      </w:pPr>
      <w:bookmarkStart w:id="203" w:name="_Toc8313"/>
      <w:bookmarkStart w:id="204" w:name="_Toc9"/>
      <w:bookmarkStart w:id="205" w:name="_Toc495841780"/>
      <w:r>
        <w:rPr>
          <w:b/>
          <w:color w:val="auto"/>
          <w:szCs w:val="21"/>
        </w:rPr>
        <w:t>第十三条合同争议解决</w:t>
      </w:r>
      <w:bookmarkEnd w:id="203"/>
      <w:bookmarkEnd w:id="204"/>
      <w:bookmarkEnd w:id="205"/>
    </w:p>
    <w:p>
      <w:pPr>
        <w:spacing w:line="400" w:lineRule="exact"/>
        <w:ind w:firstLine="420" w:firstLineChars="200"/>
        <w:rPr>
          <w:color w:val="auto"/>
          <w:szCs w:val="21"/>
        </w:rPr>
      </w:pPr>
      <w:r>
        <w:rPr>
          <w:color w:val="auto"/>
          <w:szCs w:val="21"/>
        </w:rPr>
        <w:t>1.因货物质量问题发生争议的，应邀请国家认可的质量检测机构对货物质量进行鉴定。货物符合标准的，鉴定费由甲方承担；货物不符合标准的，鉴定费由乙方承担。</w:t>
      </w:r>
    </w:p>
    <w:p>
      <w:pPr>
        <w:spacing w:line="400" w:lineRule="exact"/>
        <w:ind w:firstLine="420" w:firstLineChars="200"/>
        <w:rPr>
          <w:color w:val="auto"/>
          <w:szCs w:val="21"/>
        </w:rPr>
      </w:pPr>
      <w:r>
        <w:rPr>
          <w:color w:val="auto"/>
          <w:szCs w:val="21"/>
        </w:rPr>
        <w:t>2.因履行本合同引起的或与本合同有关的争议，甲乙双方应首先通过友好协商解决，如果协商不能解决，可向桂林市仲裁委员会申请仲裁或向</w:t>
      </w:r>
      <w:r>
        <w:rPr>
          <w:rFonts w:hint="eastAsia"/>
          <w:color w:val="auto"/>
          <w:szCs w:val="21"/>
        </w:rPr>
        <w:t>桂林市</w:t>
      </w:r>
      <w:r>
        <w:rPr>
          <w:color w:val="auto"/>
          <w:szCs w:val="21"/>
        </w:rPr>
        <w:t>人民法院提起诉讼。</w:t>
      </w:r>
    </w:p>
    <w:p>
      <w:pPr>
        <w:spacing w:line="400" w:lineRule="exact"/>
        <w:ind w:left="435"/>
        <w:rPr>
          <w:color w:val="auto"/>
          <w:szCs w:val="21"/>
        </w:rPr>
      </w:pPr>
      <w:r>
        <w:rPr>
          <w:color w:val="auto"/>
          <w:szCs w:val="21"/>
        </w:rPr>
        <w:t>3.诉讼期间，本合同继续履行。</w:t>
      </w:r>
    </w:p>
    <w:p>
      <w:pPr>
        <w:spacing w:line="400" w:lineRule="exact"/>
        <w:ind w:firstLine="413" w:firstLineChars="196"/>
        <w:outlineLvl w:val="1"/>
        <w:rPr>
          <w:b/>
          <w:color w:val="auto"/>
          <w:szCs w:val="21"/>
        </w:rPr>
      </w:pPr>
      <w:bookmarkStart w:id="206" w:name="_Toc26915"/>
      <w:bookmarkStart w:id="207" w:name="_Toc25058"/>
      <w:bookmarkStart w:id="208" w:name="_Toc495841781"/>
      <w:r>
        <w:rPr>
          <w:b/>
          <w:color w:val="auto"/>
          <w:szCs w:val="21"/>
        </w:rPr>
        <w:t>第十四条合同生效及其它</w:t>
      </w:r>
      <w:bookmarkEnd w:id="206"/>
      <w:bookmarkEnd w:id="207"/>
      <w:bookmarkEnd w:id="208"/>
    </w:p>
    <w:p>
      <w:pPr>
        <w:spacing w:line="400" w:lineRule="exact"/>
        <w:ind w:firstLine="420" w:firstLineChars="200"/>
        <w:rPr>
          <w:color w:val="auto"/>
          <w:szCs w:val="21"/>
        </w:rPr>
      </w:pPr>
      <w:r>
        <w:rPr>
          <w:color w:val="auto"/>
          <w:szCs w:val="21"/>
        </w:rPr>
        <w:t>1.合同经甲乙双方法定代表人、负责人</w:t>
      </w:r>
      <w:r>
        <w:rPr>
          <w:rFonts w:hint="eastAsia"/>
          <w:color w:val="auto"/>
          <w:szCs w:val="21"/>
        </w:rPr>
        <w:t>、自然人</w:t>
      </w:r>
      <w:r>
        <w:rPr>
          <w:color w:val="auto"/>
          <w:szCs w:val="21"/>
        </w:rPr>
        <w:t>或相应的授权代表签字并加盖投标人公章后生效。</w:t>
      </w:r>
    </w:p>
    <w:p>
      <w:pPr>
        <w:spacing w:line="400" w:lineRule="exact"/>
        <w:ind w:firstLine="420" w:firstLineChars="200"/>
        <w:rPr>
          <w:color w:val="auto"/>
          <w:szCs w:val="21"/>
        </w:rPr>
      </w:pPr>
      <w:r>
        <w:rPr>
          <w:color w:val="auto"/>
          <w:szCs w:val="21"/>
        </w:rPr>
        <w:t>2.合同执行中涉及采购资金和采购内容修改或补充的，需经桂林市财政部门审批，并签订书面补充协议报</w:t>
      </w:r>
      <w:r>
        <w:rPr>
          <w:rFonts w:hint="eastAsia"/>
          <w:color w:val="auto"/>
          <w:szCs w:val="21"/>
        </w:rPr>
        <w:t>广西壮族自治区财政厅政府采购监督管理处</w:t>
      </w:r>
      <w:r>
        <w:rPr>
          <w:color w:val="auto"/>
          <w:szCs w:val="21"/>
        </w:rPr>
        <w:t>备案，方可作为主合同不可分割的一部分。</w:t>
      </w:r>
    </w:p>
    <w:p>
      <w:pPr>
        <w:spacing w:line="400" w:lineRule="exact"/>
        <w:ind w:left="435"/>
        <w:rPr>
          <w:color w:val="auto"/>
          <w:szCs w:val="21"/>
        </w:rPr>
      </w:pPr>
      <w:r>
        <w:rPr>
          <w:color w:val="auto"/>
          <w:szCs w:val="21"/>
        </w:rPr>
        <w:t>3.本合同未尽事宜，遵照《合同法》有关条文执行。</w:t>
      </w:r>
    </w:p>
    <w:p>
      <w:pPr>
        <w:spacing w:line="400" w:lineRule="exact"/>
        <w:ind w:firstLine="413" w:firstLineChars="196"/>
        <w:outlineLvl w:val="1"/>
        <w:rPr>
          <w:b/>
          <w:color w:val="auto"/>
          <w:szCs w:val="21"/>
        </w:rPr>
      </w:pPr>
      <w:bookmarkStart w:id="209" w:name="_Toc27680"/>
      <w:bookmarkStart w:id="210" w:name="_Toc20115"/>
      <w:bookmarkStart w:id="211" w:name="_Toc495841782"/>
      <w:r>
        <w:rPr>
          <w:b/>
          <w:color w:val="auto"/>
          <w:szCs w:val="21"/>
        </w:rPr>
        <w:t>第十五条合同的变更、终止与转让</w:t>
      </w:r>
      <w:bookmarkEnd w:id="209"/>
      <w:bookmarkEnd w:id="210"/>
      <w:bookmarkEnd w:id="211"/>
    </w:p>
    <w:p>
      <w:pPr>
        <w:spacing w:line="400" w:lineRule="exact"/>
        <w:ind w:firstLine="420" w:firstLineChars="200"/>
        <w:rPr>
          <w:color w:val="auto"/>
          <w:szCs w:val="21"/>
        </w:rPr>
      </w:pPr>
      <w:r>
        <w:rPr>
          <w:color w:val="auto"/>
          <w:szCs w:val="21"/>
        </w:rPr>
        <w:t>1.除《中华人民共和国政府采购法》第五十条规定的情形外，本合同一经签订，甲乙双方不得擅自变更，中止或终止。</w:t>
      </w:r>
    </w:p>
    <w:p>
      <w:pPr>
        <w:spacing w:line="400" w:lineRule="exact"/>
        <w:ind w:left="420"/>
        <w:rPr>
          <w:color w:val="auto"/>
          <w:szCs w:val="21"/>
        </w:rPr>
      </w:pPr>
      <w:r>
        <w:rPr>
          <w:color w:val="auto"/>
          <w:szCs w:val="21"/>
        </w:rPr>
        <w:t>2.乙方不得擅自转让(无进口资格的供应商委托进口货物除外)其应履行的合同义务。</w:t>
      </w:r>
    </w:p>
    <w:p>
      <w:pPr>
        <w:spacing w:line="400" w:lineRule="exact"/>
        <w:ind w:firstLine="413" w:firstLineChars="196"/>
        <w:outlineLvl w:val="1"/>
        <w:rPr>
          <w:b/>
          <w:color w:val="auto"/>
          <w:szCs w:val="21"/>
        </w:rPr>
      </w:pPr>
      <w:bookmarkStart w:id="212" w:name="_Toc19322"/>
      <w:bookmarkStart w:id="213" w:name="_Toc495841783"/>
      <w:bookmarkStart w:id="214" w:name="_Toc22950"/>
      <w:r>
        <w:rPr>
          <w:b/>
          <w:color w:val="auto"/>
          <w:szCs w:val="21"/>
        </w:rPr>
        <w:t>第十六条签订本合同依据</w:t>
      </w:r>
      <w:bookmarkEnd w:id="212"/>
      <w:bookmarkEnd w:id="213"/>
      <w:bookmarkEnd w:id="214"/>
    </w:p>
    <w:p>
      <w:pPr>
        <w:spacing w:line="400" w:lineRule="exact"/>
        <w:ind w:left="420"/>
        <w:rPr>
          <w:color w:val="auto"/>
          <w:szCs w:val="21"/>
        </w:rPr>
      </w:pPr>
      <w:r>
        <w:rPr>
          <w:color w:val="auto"/>
          <w:szCs w:val="21"/>
        </w:rPr>
        <w:t>1.招标文件；</w:t>
      </w:r>
    </w:p>
    <w:p>
      <w:pPr>
        <w:spacing w:line="400" w:lineRule="exact"/>
        <w:ind w:left="420"/>
        <w:rPr>
          <w:color w:val="auto"/>
          <w:szCs w:val="21"/>
        </w:rPr>
      </w:pPr>
      <w:r>
        <w:rPr>
          <w:color w:val="auto"/>
          <w:szCs w:val="21"/>
        </w:rPr>
        <w:t>2.乙方提供的投标（或应答）文件；</w:t>
      </w:r>
    </w:p>
    <w:p>
      <w:pPr>
        <w:spacing w:line="400" w:lineRule="exact"/>
        <w:ind w:left="420"/>
        <w:rPr>
          <w:color w:val="auto"/>
          <w:szCs w:val="21"/>
        </w:rPr>
      </w:pPr>
      <w:r>
        <w:rPr>
          <w:color w:val="auto"/>
          <w:szCs w:val="21"/>
        </w:rPr>
        <w:t>3.售后服务承诺书；</w:t>
      </w:r>
    </w:p>
    <w:p>
      <w:pPr>
        <w:spacing w:line="400" w:lineRule="exact"/>
        <w:ind w:left="420"/>
        <w:rPr>
          <w:color w:val="auto"/>
          <w:szCs w:val="21"/>
        </w:rPr>
      </w:pPr>
      <w:r>
        <w:rPr>
          <w:color w:val="auto"/>
          <w:szCs w:val="21"/>
        </w:rPr>
        <w:t>4.中标通知书。</w:t>
      </w:r>
    </w:p>
    <w:p>
      <w:pPr>
        <w:spacing w:line="400" w:lineRule="exact"/>
        <w:ind w:left="420"/>
        <w:rPr>
          <w:color w:val="auto"/>
          <w:szCs w:val="21"/>
        </w:rPr>
      </w:pPr>
    </w:p>
    <w:p>
      <w:pPr>
        <w:spacing w:line="400" w:lineRule="exact"/>
        <w:ind w:firstLine="420" w:firstLineChars="200"/>
        <w:rPr>
          <w:color w:val="auto"/>
        </w:rPr>
      </w:pPr>
      <w:r>
        <w:rPr>
          <w:color w:val="auto"/>
          <w:szCs w:val="21"/>
        </w:rPr>
        <w:t>本合同甲乙双方签字盖章后生效，一式</w:t>
      </w:r>
      <w:r>
        <w:rPr>
          <w:rFonts w:hint="eastAsia"/>
          <w:color w:val="auto"/>
          <w:szCs w:val="21"/>
        </w:rPr>
        <w:t>陆</w:t>
      </w:r>
      <w:r>
        <w:rPr>
          <w:color w:val="auto"/>
          <w:szCs w:val="21"/>
        </w:rPr>
        <w:t>份，具有同等法律效力，甲</w:t>
      </w:r>
      <w:r>
        <w:rPr>
          <w:rFonts w:hint="eastAsia"/>
          <w:color w:val="auto"/>
          <w:szCs w:val="21"/>
        </w:rPr>
        <w:t>方持叁份</w:t>
      </w:r>
      <w:r>
        <w:rPr>
          <w:color w:val="auto"/>
          <w:szCs w:val="21"/>
        </w:rPr>
        <w:t>、乙方</w:t>
      </w:r>
      <w:r>
        <w:rPr>
          <w:rFonts w:hint="eastAsia"/>
          <w:color w:val="auto"/>
          <w:szCs w:val="21"/>
        </w:rPr>
        <w:t>持叁</w:t>
      </w:r>
      <w:r>
        <w:rPr>
          <w:color w:val="auto"/>
          <w:szCs w:val="21"/>
        </w:rPr>
        <w:t>份。</w:t>
      </w:r>
      <w:r>
        <w:rPr>
          <w:color w:val="auto"/>
        </w:rPr>
        <w:t>政府采购合同双方自签订之日起</w:t>
      </w:r>
      <w:r>
        <w:rPr>
          <w:rFonts w:hint="eastAsia"/>
          <w:color w:val="auto"/>
        </w:rPr>
        <w:t>壹</w:t>
      </w:r>
      <w:r>
        <w:rPr>
          <w:color w:val="auto"/>
        </w:rPr>
        <w:t>个工作日内</w:t>
      </w:r>
      <w:r>
        <w:rPr>
          <w:rFonts w:hint="eastAsia"/>
          <w:color w:val="auto"/>
        </w:rPr>
        <w:t>，乙方</w:t>
      </w:r>
      <w:r>
        <w:rPr>
          <w:color w:val="auto"/>
        </w:rPr>
        <w:t>将合同原件</w:t>
      </w:r>
      <w:r>
        <w:rPr>
          <w:rFonts w:hint="eastAsia"/>
          <w:color w:val="auto"/>
        </w:rPr>
        <w:t>贰</w:t>
      </w:r>
      <w:r>
        <w:rPr>
          <w:color w:val="auto"/>
        </w:rPr>
        <w:t>份交采购代理机构。采购代理机构将政府采购合同在省级以上人民政府财政部门指定媒体上公告并于合同签订之日起</w:t>
      </w:r>
      <w:r>
        <w:rPr>
          <w:rFonts w:hint="eastAsia"/>
          <w:color w:val="auto"/>
        </w:rPr>
        <w:t>柒</w:t>
      </w:r>
      <w:r>
        <w:rPr>
          <w:color w:val="auto"/>
        </w:rPr>
        <w:t>个工作日内将</w:t>
      </w:r>
      <w:r>
        <w:rPr>
          <w:rFonts w:hint="eastAsia"/>
          <w:color w:val="auto"/>
        </w:rPr>
        <w:t>壹</w:t>
      </w:r>
      <w:r>
        <w:rPr>
          <w:color w:val="auto"/>
        </w:rPr>
        <w:t>份合同原件送</w:t>
      </w:r>
      <w:r>
        <w:rPr>
          <w:rFonts w:hint="eastAsia"/>
          <w:color w:val="auto"/>
          <w:szCs w:val="21"/>
        </w:rPr>
        <w:t>广西壮族自治区财政厅政府采购监督管理处</w:t>
      </w:r>
      <w:r>
        <w:rPr>
          <w:color w:val="auto"/>
        </w:rPr>
        <w:t>备案，</w:t>
      </w:r>
      <w:r>
        <w:rPr>
          <w:rFonts w:hint="eastAsia"/>
          <w:color w:val="auto"/>
        </w:rPr>
        <w:t>壹</w:t>
      </w:r>
      <w:r>
        <w:rPr>
          <w:color w:val="auto"/>
        </w:rPr>
        <w:t>份由采购代理机构存档。</w:t>
      </w:r>
    </w:p>
    <w:p>
      <w:pPr>
        <w:spacing w:line="400" w:lineRule="exact"/>
        <w:ind w:firstLine="420" w:firstLineChars="200"/>
        <w:rPr>
          <w:color w:val="auto"/>
          <w:szCs w:val="21"/>
        </w:rPr>
      </w:pPr>
    </w:p>
    <w:p>
      <w:pPr>
        <w:spacing w:line="400" w:lineRule="exact"/>
        <w:rPr>
          <w:color w:val="auto"/>
          <w:szCs w:val="21"/>
          <w:u w:val="single"/>
        </w:rPr>
      </w:pPr>
      <w:r>
        <w:rPr>
          <w:color w:val="auto"/>
          <w:szCs w:val="21"/>
        </w:rPr>
        <w:t>甲方（公章）：乙方（公章，自然人除外）：</w:t>
      </w:r>
    </w:p>
    <w:p>
      <w:pPr>
        <w:spacing w:line="400" w:lineRule="exact"/>
        <w:ind w:left="4620" w:hanging="4620" w:hangingChars="2200"/>
        <w:rPr>
          <w:color w:val="auto"/>
          <w:szCs w:val="21"/>
          <w:u w:val="single"/>
        </w:rPr>
      </w:pPr>
      <w:r>
        <w:rPr>
          <w:color w:val="auto"/>
          <w:szCs w:val="21"/>
        </w:rPr>
        <w:t>法定代表人签字：</w:t>
      </w:r>
      <w:r>
        <w:rPr>
          <w:color w:val="auto"/>
        </w:rPr>
        <w:t>法定代表人（负责人、自然人）签字（属自然人的应在签名处加盖大拇指指印）</w:t>
      </w:r>
      <w:r>
        <w:rPr>
          <w:color w:val="auto"/>
          <w:szCs w:val="21"/>
        </w:rPr>
        <w:t>：</w:t>
      </w:r>
    </w:p>
    <w:p>
      <w:pPr>
        <w:tabs>
          <w:tab w:val="left" w:pos="4680"/>
        </w:tabs>
        <w:spacing w:line="400" w:lineRule="exact"/>
        <w:rPr>
          <w:color w:val="auto"/>
          <w:szCs w:val="21"/>
          <w:u w:val="single"/>
        </w:rPr>
      </w:pPr>
      <w:r>
        <w:rPr>
          <w:color w:val="auto"/>
          <w:szCs w:val="21"/>
        </w:rPr>
        <w:t>委托代理人：委托代理人：</w:t>
      </w:r>
    </w:p>
    <w:p>
      <w:pPr>
        <w:tabs>
          <w:tab w:val="left" w:pos="5040"/>
        </w:tabs>
        <w:spacing w:line="400" w:lineRule="exact"/>
        <w:rPr>
          <w:color w:val="auto"/>
          <w:szCs w:val="21"/>
          <w:u w:val="single"/>
        </w:rPr>
      </w:pPr>
      <w:r>
        <w:rPr>
          <w:color w:val="auto"/>
          <w:szCs w:val="21"/>
        </w:rPr>
        <w:t>电话：电话：</w:t>
      </w:r>
    </w:p>
    <w:p>
      <w:pPr>
        <w:tabs>
          <w:tab w:val="left" w:pos="5040"/>
        </w:tabs>
        <w:spacing w:line="400" w:lineRule="exact"/>
        <w:rPr>
          <w:color w:val="auto"/>
          <w:szCs w:val="21"/>
        </w:rPr>
      </w:pPr>
      <w:r>
        <w:rPr>
          <w:color w:val="auto"/>
          <w:szCs w:val="21"/>
        </w:rPr>
        <w:t>开户名称：开户名称：</w:t>
      </w:r>
    </w:p>
    <w:p>
      <w:pPr>
        <w:tabs>
          <w:tab w:val="left" w:pos="5040"/>
        </w:tabs>
        <w:spacing w:line="400" w:lineRule="exact"/>
        <w:rPr>
          <w:color w:val="auto"/>
          <w:szCs w:val="21"/>
        </w:rPr>
      </w:pPr>
      <w:r>
        <w:rPr>
          <w:color w:val="auto"/>
          <w:szCs w:val="21"/>
        </w:rPr>
        <w:t>开户银行：开户银行：</w:t>
      </w:r>
    </w:p>
    <w:p>
      <w:pPr>
        <w:tabs>
          <w:tab w:val="left" w:pos="5040"/>
        </w:tabs>
        <w:spacing w:line="400" w:lineRule="exact"/>
        <w:rPr>
          <w:color w:val="auto"/>
          <w:szCs w:val="21"/>
        </w:rPr>
      </w:pPr>
      <w:r>
        <w:rPr>
          <w:color w:val="auto"/>
          <w:szCs w:val="21"/>
        </w:rPr>
        <w:t>银行账号：银行账号：</w:t>
      </w:r>
    </w:p>
    <w:p>
      <w:pPr>
        <w:tabs>
          <w:tab w:val="left" w:pos="5040"/>
        </w:tabs>
        <w:spacing w:line="400" w:lineRule="exact"/>
        <w:rPr>
          <w:color w:val="auto"/>
          <w:szCs w:val="21"/>
        </w:rPr>
      </w:pPr>
      <w:r>
        <w:rPr>
          <w:color w:val="auto"/>
          <w:szCs w:val="21"/>
        </w:rPr>
        <w:t>日期：日期：</w:t>
      </w:r>
    </w:p>
    <w:p>
      <w:pPr>
        <w:rPr>
          <w:color w:val="auto"/>
        </w:rPr>
      </w:pPr>
    </w:p>
    <w:p>
      <w:pPr>
        <w:spacing w:before="120" w:line="320" w:lineRule="atLeast"/>
        <w:jc w:val="left"/>
        <w:outlineLvl w:val="1"/>
        <w:rPr>
          <w:rFonts w:ascii="宋体" w:hAnsi="宋体" w:cs="宋体"/>
          <w:b/>
          <w:bCs/>
          <w:color w:val="auto"/>
          <w:kern w:val="0"/>
          <w:szCs w:val="21"/>
        </w:rPr>
      </w:pPr>
      <w:r>
        <w:rPr>
          <w:b/>
          <w:color w:val="auto"/>
          <w:sz w:val="32"/>
          <w:szCs w:val="32"/>
        </w:rPr>
        <w:br w:type="page"/>
      </w:r>
      <w:bookmarkStart w:id="215" w:name="_Toc3630"/>
      <w:bookmarkStart w:id="216" w:name="_Toc29012"/>
      <w:bookmarkStart w:id="217" w:name="_Toc13493"/>
      <w:bookmarkStart w:id="218" w:name="_Toc25734"/>
      <w:bookmarkStart w:id="219" w:name="_Toc22187"/>
      <w:bookmarkStart w:id="220" w:name="_Toc28081"/>
      <w:bookmarkStart w:id="221" w:name="_Toc7851"/>
      <w:bookmarkStart w:id="222" w:name="_Toc24269"/>
      <w:bookmarkStart w:id="223" w:name="_Toc17730"/>
      <w:r>
        <w:rPr>
          <w:rFonts w:hint="eastAsia" w:ascii="宋体" w:hAnsi="宋体" w:cs="宋体"/>
          <w:b/>
          <w:bCs/>
          <w:color w:val="auto"/>
          <w:kern w:val="0"/>
          <w:szCs w:val="21"/>
        </w:rPr>
        <w:t>合同附件1</w:t>
      </w:r>
      <w:bookmarkEnd w:id="215"/>
      <w:bookmarkEnd w:id="216"/>
      <w:bookmarkEnd w:id="217"/>
      <w:bookmarkEnd w:id="218"/>
      <w:bookmarkEnd w:id="219"/>
      <w:bookmarkEnd w:id="220"/>
      <w:bookmarkEnd w:id="221"/>
    </w:p>
    <w:p>
      <w:pPr>
        <w:snapToGrid w:val="0"/>
        <w:spacing w:line="360" w:lineRule="exact"/>
        <w:jc w:val="center"/>
        <w:rPr>
          <w:rFonts w:ascii="宋体" w:hAnsi="宋体" w:cs="宋体"/>
          <w:b/>
          <w:bCs/>
          <w:color w:val="auto"/>
          <w:szCs w:val="21"/>
        </w:rPr>
      </w:pPr>
      <w:r>
        <w:rPr>
          <w:rFonts w:hint="eastAsia" w:ascii="宋体" w:hAnsi="宋体" w:cs="宋体"/>
          <w:b/>
          <w:bCs/>
          <w:color w:val="auto"/>
          <w:szCs w:val="21"/>
        </w:rPr>
        <w:t>投标承诺书</w:t>
      </w:r>
    </w:p>
    <w:p>
      <w:pPr>
        <w:rPr>
          <w:rFonts w:ascii="宋体" w:hAnsi="宋体" w:cs="宋体"/>
          <w:color w:val="auto"/>
          <w:szCs w:val="21"/>
        </w:rPr>
      </w:pPr>
      <w:r>
        <w:rPr>
          <w:rFonts w:hint="eastAsia" w:ascii="宋体" w:hAnsi="宋体" w:cs="宋体"/>
          <w:color w:val="auto"/>
          <w:szCs w:val="21"/>
        </w:rPr>
        <w:t>一般货物类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7"/>
        <w:gridCol w:w="4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82" w:type="dxa"/>
            <w:gridSpan w:val="2"/>
            <w:vAlign w:val="center"/>
          </w:tcPr>
          <w:p>
            <w:pPr>
              <w:ind w:right="210"/>
              <w:jc w:val="left"/>
              <w:rPr>
                <w:rFonts w:ascii="宋体" w:hAnsi="宋体" w:cs="宋体"/>
                <w:color w:val="auto"/>
                <w:szCs w:val="21"/>
              </w:rPr>
            </w:pPr>
            <w:r>
              <w:rPr>
                <w:rFonts w:hint="eastAsia" w:ascii="宋体" w:hAnsi="宋体" w:cs="宋体"/>
                <w:color w:val="auto"/>
                <w:szCs w:val="21"/>
              </w:rPr>
              <w:t>1．乙方承诺具体事项：</w:t>
            </w:r>
          </w:p>
          <w:p>
            <w:pPr>
              <w:ind w:right="210"/>
              <w:jc w:val="lef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82" w:type="dxa"/>
            <w:gridSpan w:val="2"/>
            <w:vAlign w:val="center"/>
          </w:tcPr>
          <w:p>
            <w:pPr>
              <w:rPr>
                <w:rFonts w:ascii="宋体" w:hAnsi="宋体" w:cs="宋体"/>
                <w:color w:val="auto"/>
                <w:szCs w:val="21"/>
              </w:rPr>
            </w:pPr>
            <w:r>
              <w:rPr>
                <w:rFonts w:hint="eastAsia" w:ascii="宋体" w:hAnsi="宋体" w:cs="宋体"/>
                <w:color w:val="auto"/>
                <w:szCs w:val="21"/>
              </w:rPr>
              <w:t>2．售后服务具体事项：</w:t>
            </w:r>
          </w:p>
          <w:p>
            <w:pP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82" w:type="dxa"/>
            <w:gridSpan w:val="2"/>
            <w:vAlign w:val="center"/>
          </w:tcPr>
          <w:p>
            <w:pPr>
              <w:rPr>
                <w:rFonts w:ascii="宋体" w:hAnsi="宋体" w:cs="宋体"/>
                <w:color w:val="auto"/>
                <w:szCs w:val="21"/>
              </w:rPr>
            </w:pPr>
            <w:r>
              <w:rPr>
                <w:rFonts w:hint="eastAsia" w:ascii="宋体" w:hAnsi="宋体" w:cs="宋体"/>
                <w:color w:val="auto"/>
                <w:szCs w:val="21"/>
              </w:rPr>
              <w:t>3．质保期责任：</w:t>
            </w:r>
          </w:p>
          <w:p>
            <w:pP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82" w:type="dxa"/>
            <w:gridSpan w:val="2"/>
            <w:vAlign w:val="center"/>
          </w:tcPr>
          <w:p>
            <w:pPr>
              <w:rPr>
                <w:rFonts w:ascii="宋体" w:hAnsi="宋体" w:cs="宋体"/>
                <w:color w:val="auto"/>
                <w:szCs w:val="21"/>
              </w:rPr>
            </w:pPr>
            <w:r>
              <w:rPr>
                <w:rFonts w:hint="eastAsia" w:ascii="宋体" w:hAnsi="宋体" w:cs="宋体"/>
                <w:color w:val="auto"/>
                <w:szCs w:val="21"/>
              </w:rPr>
              <w:t>4．其他具体事项：</w:t>
            </w:r>
          </w:p>
          <w:p>
            <w:pP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4297" w:type="dxa"/>
            <w:vAlign w:val="center"/>
          </w:tcPr>
          <w:p>
            <w:pPr>
              <w:rPr>
                <w:rFonts w:ascii="宋体" w:hAnsi="宋体" w:cs="宋体"/>
                <w:color w:val="auto"/>
                <w:szCs w:val="21"/>
              </w:rPr>
            </w:pPr>
            <w:r>
              <w:rPr>
                <w:rFonts w:hint="eastAsia" w:ascii="宋体" w:hAnsi="宋体" w:cs="宋体"/>
                <w:color w:val="auto"/>
                <w:szCs w:val="21"/>
              </w:rPr>
              <w:t>甲方(章)</w:t>
            </w:r>
          </w:p>
          <w:p>
            <w:pPr>
              <w:rPr>
                <w:rFonts w:ascii="宋体" w:hAnsi="宋体" w:cs="宋体"/>
                <w:color w:val="auto"/>
                <w:szCs w:val="21"/>
              </w:rPr>
            </w:pPr>
          </w:p>
          <w:p>
            <w:pPr>
              <w:rPr>
                <w:rFonts w:ascii="宋体" w:hAnsi="宋体" w:cs="宋体"/>
                <w:color w:val="auto"/>
                <w:szCs w:val="21"/>
              </w:rPr>
            </w:pPr>
          </w:p>
          <w:p>
            <w:pPr>
              <w:wordWrap w:val="0"/>
              <w:jc w:val="right"/>
              <w:rPr>
                <w:rFonts w:ascii="宋体" w:hAnsi="宋体" w:cs="宋体"/>
                <w:color w:val="auto"/>
                <w:szCs w:val="21"/>
              </w:rPr>
            </w:pPr>
            <w:r>
              <w:rPr>
                <w:rFonts w:hint="eastAsia" w:ascii="宋体" w:hAnsi="宋体" w:cs="宋体"/>
                <w:color w:val="auto"/>
                <w:szCs w:val="21"/>
              </w:rPr>
              <w:t xml:space="preserve"> 年  月   日</w:t>
            </w:r>
          </w:p>
        </w:tc>
        <w:tc>
          <w:tcPr>
            <w:tcW w:w="4285" w:type="dxa"/>
            <w:vAlign w:val="center"/>
          </w:tcPr>
          <w:p>
            <w:pPr>
              <w:rPr>
                <w:rFonts w:ascii="宋体" w:hAnsi="宋体" w:cs="宋体"/>
                <w:color w:val="auto"/>
                <w:szCs w:val="21"/>
              </w:rPr>
            </w:pPr>
            <w:r>
              <w:rPr>
                <w:rFonts w:hint="eastAsia" w:ascii="宋体" w:hAnsi="宋体" w:cs="宋体"/>
                <w:color w:val="auto"/>
                <w:szCs w:val="21"/>
              </w:rPr>
              <w:t>乙方(章)</w:t>
            </w:r>
          </w:p>
          <w:p>
            <w:pPr>
              <w:rPr>
                <w:rFonts w:ascii="宋体" w:hAnsi="宋体" w:cs="宋体"/>
                <w:color w:val="auto"/>
                <w:szCs w:val="21"/>
              </w:rPr>
            </w:pPr>
          </w:p>
          <w:p>
            <w:pPr>
              <w:rPr>
                <w:rFonts w:ascii="宋体" w:hAnsi="宋体" w:cs="宋体"/>
                <w:color w:val="auto"/>
                <w:szCs w:val="21"/>
              </w:rPr>
            </w:pPr>
          </w:p>
          <w:p>
            <w:pPr>
              <w:wordWrap w:val="0"/>
              <w:jc w:val="right"/>
              <w:rPr>
                <w:rFonts w:ascii="宋体" w:hAnsi="宋体" w:cs="宋体"/>
                <w:color w:val="auto"/>
                <w:szCs w:val="21"/>
              </w:rPr>
            </w:pPr>
            <w:r>
              <w:rPr>
                <w:rFonts w:hint="eastAsia" w:ascii="宋体" w:hAnsi="宋体" w:cs="宋体"/>
                <w:color w:val="auto"/>
                <w:szCs w:val="21"/>
              </w:rPr>
              <w:t xml:space="preserve"> 年  月   日</w:t>
            </w:r>
          </w:p>
        </w:tc>
      </w:tr>
    </w:tbl>
    <w:p>
      <w:pPr>
        <w:snapToGrid w:val="0"/>
        <w:spacing w:line="400" w:lineRule="exact"/>
        <w:rPr>
          <w:rFonts w:ascii="宋体" w:hAnsi="宋体" w:cs="宋体"/>
          <w:b/>
          <w:bCs/>
          <w:color w:val="auto"/>
          <w:szCs w:val="21"/>
        </w:rPr>
      </w:pPr>
      <w:r>
        <w:rPr>
          <w:rFonts w:hint="eastAsia" w:ascii="宋体" w:hAnsi="宋体" w:cs="宋体"/>
          <w:color w:val="auto"/>
          <w:szCs w:val="21"/>
        </w:rPr>
        <w:t>注：售后服务事项填不下时可另加附页。</w:t>
      </w:r>
    </w:p>
    <w:p>
      <w:pPr>
        <w:pStyle w:val="16"/>
        <w:ind w:left="0" w:leftChars="0"/>
        <w:jc w:val="left"/>
        <w:rPr>
          <w:rFonts w:ascii="宋体" w:hAnsi="宋体" w:cs="宋体"/>
          <w:b/>
          <w:bCs/>
          <w:color w:val="auto"/>
          <w:kern w:val="0"/>
          <w:szCs w:val="21"/>
        </w:rPr>
      </w:pPr>
      <w:r>
        <w:rPr>
          <w:rFonts w:hint="eastAsia" w:ascii="宋体" w:hAnsi="宋体" w:cs="宋体"/>
          <w:color w:val="auto"/>
          <w:sz w:val="18"/>
          <w:szCs w:val="18"/>
        </w:rPr>
        <w:br w:type="page"/>
      </w:r>
      <w:bookmarkStart w:id="224" w:name="_Toc31020"/>
      <w:bookmarkStart w:id="225" w:name="_Toc15296"/>
      <w:r>
        <w:rPr>
          <w:rFonts w:hint="eastAsia" w:ascii="宋体" w:hAnsi="宋体" w:cs="宋体"/>
          <w:b/>
          <w:bCs/>
          <w:color w:val="auto"/>
          <w:kern w:val="0"/>
          <w:szCs w:val="21"/>
        </w:rPr>
        <w:t>合同附件2</w:t>
      </w:r>
      <w:bookmarkEnd w:id="224"/>
      <w:bookmarkEnd w:id="225"/>
    </w:p>
    <w:p>
      <w:pPr>
        <w:pStyle w:val="18"/>
        <w:snapToGrid w:val="0"/>
        <w:rPr>
          <w:rFonts w:hAnsi="宋体" w:cs="宋体"/>
          <w:color w:val="auto"/>
        </w:rPr>
      </w:pPr>
    </w:p>
    <w:p>
      <w:pPr>
        <w:snapToGrid w:val="0"/>
        <w:spacing w:line="360" w:lineRule="exact"/>
        <w:jc w:val="center"/>
        <w:rPr>
          <w:rFonts w:ascii="宋体" w:hAnsi="宋体" w:cs="宋体"/>
          <w:b/>
          <w:bCs/>
          <w:color w:val="auto"/>
          <w:szCs w:val="21"/>
        </w:rPr>
      </w:pPr>
      <w:r>
        <w:rPr>
          <w:rFonts w:hint="eastAsia" w:ascii="宋体" w:hAnsi="宋体" w:cs="宋体"/>
          <w:b/>
          <w:bCs/>
          <w:color w:val="auto"/>
          <w:szCs w:val="21"/>
        </w:rPr>
        <w:t>政府采购项目合同验收书</w:t>
      </w:r>
    </w:p>
    <w:p>
      <w:pPr>
        <w:widowControl/>
        <w:snapToGrid w:val="0"/>
        <w:spacing w:line="44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根据政府采购项目（</w:t>
      </w:r>
      <w:r>
        <w:rPr>
          <w:rFonts w:hint="eastAsia" w:ascii="宋体" w:hAnsi="宋体" w:cs="宋体"/>
          <w:color w:val="auto"/>
          <w:kern w:val="0"/>
          <w:szCs w:val="21"/>
          <w:u w:val="single"/>
        </w:rPr>
        <w:t xml:space="preserve">采购合同编号：     </w:t>
      </w:r>
      <w:r>
        <w:rPr>
          <w:rFonts w:hint="eastAsia" w:ascii="宋体" w:hAnsi="宋体" w:cs="宋体"/>
          <w:color w:val="auto"/>
          <w:kern w:val="0"/>
          <w:szCs w:val="21"/>
        </w:rPr>
        <w:t>）的约定，我单位对（</w:t>
      </w:r>
      <w:r>
        <w:rPr>
          <w:rFonts w:hint="eastAsia" w:ascii="宋体" w:hAnsi="宋体" w:cs="宋体"/>
          <w:color w:val="auto"/>
          <w:kern w:val="0"/>
          <w:szCs w:val="21"/>
          <w:u w:val="single"/>
        </w:rPr>
        <w:t xml:space="preserve">  采购项目名称   </w:t>
      </w:r>
      <w:r>
        <w:rPr>
          <w:rFonts w:hint="eastAsia" w:ascii="宋体" w:hAnsi="宋体" w:cs="宋体"/>
          <w:color w:val="auto"/>
          <w:kern w:val="0"/>
          <w:szCs w:val="21"/>
        </w:rPr>
        <w:t>）政府采购项目中标（或成交）人（</w:t>
      </w:r>
      <w:r>
        <w:rPr>
          <w:rFonts w:hint="eastAsia" w:ascii="宋体" w:hAnsi="宋体" w:cs="宋体"/>
          <w:color w:val="auto"/>
          <w:kern w:val="0"/>
          <w:szCs w:val="21"/>
          <w:u w:val="single"/>
        </w:rPr>
        <w:t xml:space="preserve">            公司名称              </w:t>
      </w:r>
      <w:r>
        <w:rPr>
          <w:rFonts w:hint="eastAsia" w:ascii="宋体" w:hAnsi="宋体" w:cs="宋体"/>
          <w:color w:val="auto"/>
          <w:kern w:val="0"/>
          <w:szCs w:val="21"/>
        </w:rPr>
        <w:t>）提供的货物（或工程、服务）进行了验收，验收情况如下：</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499"/>
        <w:gridCol w:w="1605"/>
        <w:gridCol w:w="1303"/>
        <w:gridCol w:w="2451"/>
        <w:gridCol w:w="200"/>
        <w:gridCol w:w="780"/>
        <w:gridCol w:w="13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9" w:hRule="atLeast"/>
          <w:jc w:val="center"/>
        </w:trPr>
        <w:tc>
          <w:tcPr>
            <w:tcW w:w="3104"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4" w:firstLineChars="2"/>
              <w:jc w:val="center"/>
              <w:rPr>
                <w:rFonts w:ascii="宋体" w:hAnsi="宋体" w:cs="宋体"/>
                <w:color w:val="auto"/>
                <w:kern w:val="0"/>
                <w:szCs w:val="21"/>
              </w:rPr>
            </w:pPr>
            <w:r>
              <w:rPr>
                <w:rFonts w:hint="eastAsia" w:ascii="宋体" w:hAnsi="宋体" w:cs="宋体"/>
                <w:color w:val="auto"/>
                <w:kern w:val="0"/>
                <w:szCs w:val="21"/>
              </w:rPr>
              <w:t>验收方式：</w:t>
            </w:r>
          </w:p>
        </w:tc>
        <w:tc>
          <w:tcPr>
            <w:tcW w:w="6076" w:type="dxa"/>
            <w:gridSpan w:val="5"/>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420" w:firstLineChars="200"/>
              <w:jc w:val="center"/>
              <w:rPr>
                <w:rFonts w:ascii="宋体" w:hAnsi="宋体" w:cs="宋体"/>
                <w:color w:val="auto"/>
                <w:kern w:val="0"/>
                <w:szCs w:val="21"/>
              </w:rPr>
            </w:pPr>
            <w:r>
              <w:rPr>
                <w:rFonts w:hint="eastAsia" w:ascii="宋体" w:hAnsi="宋体" w:cs="宋体"/>
                <w:color w:val="auto"/>
                <w:kern w:val="0"/>
                <w:szCs w:val="21"/>
              </w:rPr>
              <w:t>□自行验收         □委托验收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63" w:hRule="atLeast"/>
          <w:jc w:val="center"/>
        </w:trPr>
        <w:tc>
          <w:tcPr>
            <w:tcW w:w="1499"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firstLine="2" w:firstLineChars="1"/>
              <w:jc w:val="center"/>
              <w:rPr>
                <w:rFonts w:ascii="宋体" w:hAnsi="宋体" w:cs="宋体"/>
                <w:color w:val="auto"/>
                <w:kern w:val="0"/>
                <w:szCs w:val="21"/>
              </w:rPr>
            </w:pPr>
            <w:r>
              <w:rPr>
                <w:rFonts w:hint="eastAsia" w:ascii="宋体" w:hAnsi="宋体" w:cs="宋体"/>
                <w:color w:val="auto"/>
                <w:kern w:val="0"/>
                <w:szCs w:val="21"/>
              </w:rPr>
              <w:t>序号</w:t>
            </w:r>
          </w:p>
        </w:tc>
        <w:tc>
          <w:tcPr>
            <w:tcW w:w="1605"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2" w:firstLineChars="1"/>
              <w:jc w:val="center"/>
              <w:rPr>
                <w:rFonts w:ascii="宋体" w:hAnsi="宋体" w:cs="宋体"/>
                <w:color w:val="auto"/>
                <w:kern w:val="0"/>
                <w:szCs w:val="21"/>
              </w:rPr>
            </w:pPr>
            <w:r>
              <w:rPr>
                <w:rFonts w:hint="eastAsia" w:ascii="宋体" w:hAnsi="宋体" w:cs="宋体"/>
                <w:color w:val="auto"/>
                <w:kern w:val="0"/>
                <w:szCs w:val="21"/>
              </w:rPr>
              <w:t>名  称</w:t>
            </w:r>
          </w:p>
        </w:tc>
        <w:tc>
          <w:tcPr>
            <w:tcW w:w="3754"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2" w:firstLineChars="1"/>
              <w:jc w:val="center"/>
              <w:rPr>
                <w:rFonts w:ascii="宋体" w:hAnsi="宋体" w:cs="宋体"/>
                <w:color w:val="auto"/>
                <w:kern w:val="0"/>
                <w:szCs w:val="21"/>
              </w:rPr>
            </w:pPr>
            <w:r>
              <w:rPr>
                <w:rFonts w:hint="eastAsia" w:ascii="宋体" w:hAnsi="宋体" w:cs="宋体"/>
                <w:color w:val="auto"/>
                <w:kern w:val="0"/>
                <w:szCs w:val="21"/>
              </w:rPr>
              <w:t>货物型号规格、标准及配置等（或服务内容、标准）</w:t>
            </w:r>
          </w:p>
        </w:tc>
        <w:tc>
          <w:tcPr>
            <w:tcW w:w="980"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jc w:val="center"/>
              <w:rPr>
                <w:rFonts w:ascii="宋体" w:hAnsi="宋体" w:cs="宋体"/>
                <w:color w:val="auto"/>
                <w:kern w:val="0"/>
                <w:szCs w:val="21"/>
              </w:rPr>
            </w:pPr>
            <w:r>
              <w:rPr>
                <w:rFonts w:hint="eastAsia" w:ascii="宋体" w:hAnsi="宋体" w:cs="宋体"/>
                <w:color w:val="auto"/>
                <w:kern w:val="0"/>
                <w:szCs w:val="21"/>
              </w:rPr>
              <w:t>数量</w:t>
            </w:r>
          </w:p>
        </w:tc>
        <w:tc>
          <w:tcPr>
            <w:tcW w:w="1342"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2" w:firstLineChars="1"/>
              <w:jc w:val="center"/>
              <w:rPr>
                <w:rFonts w:ascii="宋体" w:hAnsi="宋体" w:cs="宋体"/>
                <w:color w:val="auto"/>
                <w:kern w:val="0"/>
                <w:szCs w:val="21"/>
              </w:rPr>
            </w:pPr>
            <w:r>
              <w:rPr>
                <w:rFonts w:hint="eastAsia" w:ascii="宋体" w:hAnsi="宋体" w:cs="宋体"/>
                <w:color w:val="auto"/>
                <w:kern w:val="0"/>
                <w:szCs w:val="21"/>
              </w:rPr>
              <w:t>金  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59" w:hRule="atLeast"/>
          <w:jc w:val="center"/>
        </w:trPr>
        <w:tc>
          <w:tcPr>
            <w:tcW w:w="1499"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4" w:firstLineChars="2"/>
              <w:jc w:val="left"/>
              <w:rPr>
                <w:rFonts w:ascii="宋体" w:hAnsi="宋体" w:cs="宋体"/>
                <w:color w:val="auto"/>
                <w:kern w:val="0"/>
                <w:szCs w:val="21"/>
              </w:rPr>
            </w:pPr>
            <w:r>
              <w:rPr>
                <w:rFonts w:hint="eastAsia" w:ascii="宋体" w:hAnsi="宋体" w:cs="宋体"/>
                <w:color w:val="auto"/>
                <w:kern w:val="0"/>
                <w:szCs w:val="21"/>
              </w:rPr>
              <w:t> </w:t>
            </w:r>
          </w:p>
        </w:tc>
        <w:tc>
          <w:tcPr>
            <w:tcW w:w="1605"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420" w:firstLineChars="200"/>
              <w:jc w:val="left"/>
              <w:rPr>
                <w:rFonts w:ascii="宋体" w:hAnsi="宋体" w:cs="宋体"/>
                <w:color w:val="auto"/>
                <w:kern w:val="0"/>
                <w:szCs w:val="21"/>
              </w:rPr>
            </w:pPr>
            <w:r>
              <w:rPr>
                <w:rFonts w:hint="eastAsia" w:ascii="宋体" w:hAnsi="宋体" w:cs="宋体"/>
                <w:color w:val="auto"/>
                <w:kern w:val="0"/>
                <w:szCs w:val="21"/>
              </w:rPr>
              <w:t> </w:t>
            </w:r>
          </w:p>
        </w:tc>
        <w:tc>
          <w:tcPr>
            <w:tcW w:w="3754"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420" w:firstLineChars="200"/>
              <w:jc w:val="left"/>
              <w:rPr>
                <w:rFonts w:ascii="宋体" w:hAnsi="宋体" w:cs="宋体"/>
                <w:color w:val="auto"/>
                <w:kern w:val="0"/>
                <w:szCs w:val="21"/>
              </w:rPr>
            </w:pPr>
            <w:r>
              <w:rPr>
                <w:rFonts w:hint="eastAsia" w:ascii="宋体" w:hAnsi="宋体" w:cs="宋体"/>
                <w:color w:val="auto"/>
                <w:kern w:val="0"/>
                <w:szCs w:val="21"/>
              </w:rPr>
              <w:t> </w:t>
            </w:r>
          </w:p>
        </w:tc>
        <w:tc>
          <w:tcPr>
            <w:tcW w:w="980"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 </w:t>
            </w:r>
          </w:p>
        </w:tc>
        <w:tc>
          <w:tcPr>
            <w:tcW w:w="1342"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4" w:hRule="atLeast"/>
          <w:jc w:val="center"/>
        </w:trPr>
        <w:tc>
          <w:tcPr>
            <w:tcW w:w="1499"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420" w:firstLineChars="200"/>
              <w:jc w:val="left"/>
              <w:rPr>
                <w:rFonts w:ascii="宋体" w:hAnsi="宋体" w:cs="宋体"/>
                <w:color w:val="auto"/>
                <w:kern w:val="0"/>
                <w:szCs w:val="21"/>
              </w:rPr>
            </w:pPr>
            <w:r>
              <w:rPr>
                <w:rFonts w:hint="eastAsia" w:ascii="宋体" w:hAnsi="宋体" w:cs="宋体"/>
                <w:color w:val="auto"/>
                <w:kern w:val="0"/>
                <w:szCs w:val="21"/>
              </w:rPr>
              <w:t> </w:t>
            </w:r>
          </w:p>
        </w:tc>
        <w:tc>
          <w:tcPr>
            <w:tcW w:w="1605"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420" w:firstLineChars="200"/>
              <w:jc w:val="left"/>
              <w:rPr>
                <w:rFonts w:ascii="宋体" w:hAnsi="宋体" w:cs="宋体"/>
                <w:color w:val="auto"/>
                <w:kern w:val="0"/>
                <w:szCs w:val="21"/>
              </w:rPr>
            </w:pPr>
            <w:r>
              <w:rPr>
                <w:rFonts w:hint="eastAsia" w:ascii="宋体" w:hAnsi="宋体" w:cs="宋体"/>
                <w:color w:val="auto"/>
                <w:kern w:val="0"/>
                <w:szCs w:val="21"/>
              </w:rPr>
              <w:t> </w:t>
            </w:r>
          </w:p>
        </w:tc>
        <w:tc>
          <w:tcPr>
            <w:tcW w:w="3754"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420" w:firstLineChars="200"/>
              <w:jc w:val="left"/>
              <w:rPr>
                <w:rFonts w:ascii="宋体" w:hAnsi="宋体" w:cs="宋体"/>
                <w:color w:val="auto"/>
                <w:kern w:val="0"/>
                <w:szCs w:val="21"/>
              </w:rPr>
            </w:pPr>
            <w:r>
              <w:rPr>
                <w:rFonts w:hint="eastAsia" w:ascii="宋体" w:hAnsi="宋体" w:cs="宋体"/>
                <w:color w:val="auto"/>
                <w:kern w:val="0"/>
                <w:szCs w:val="21"/>
              </w:rPr>
              <w:t> </w:t>
            </w:r>
          </w:p>
        </w:tc>
        <w:tc>
          <w:tcPr>
            <w:tcW w:w="980"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 </w:t>
            </w:r>
          </w:p>
        </w:tc>
        <w:tc>
          <w:tcPr>
            <w:tcW w:w="1342"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4" w:hRule="atLeast"/>
          <w:jc w:val="center"/>
        </w:trPr>
        <w:tc>
          <w:tcPr>
            <w:tcW w:w="1499"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420" w:firstLineChars="200"/>
              <w:jc w:val="left"/>
              <w:rPr>
                <w:rFonts w:ascii="宋体" w:hAnsi="宋体" w:cs="宋体"/>
                <w:color w:val="auto"/>
                <w:kern w:val="0"/>
                <w:szCs w:val="21"/>
              </w:rPr>
            </w:pPr>
            <w:r>
              <w:rPr>
                <w:rFonts w:hint="eastAsia" w:ascii="宋体" w:hAnsi="宋体" w:cs="宋体"/>
                <w:color w:val="auto"/>
                <w:kern w:val="0"/>
                <w:szCs w:val="21"/>
              </w:rPr>
              <w:t> </w:t>
            </w:r>
          </w:p>
        </w:tc>
        <w:tc>
          <w:tcPr>
            <w:tcW w:w="1605"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420" w:firstLineChars="200"/>
              <w:jc w:val="left"/>
              <w:rPr>
                <w:rFonts w:ascii="宋体" w:hAnsi="宋体" w:cs="宋体"/>
                <w:color w:val="auto"/>
                <w:kern w:val="0"/>
                <w:szCs w:val="21"/>
              </w:rPr>
            </w:pPr>
            <w:r>
              <w:rPr>
                <w:rFonts w:hint="eastAsia" w:ascii="宋体" w:hAnsi="宋体" w:cs="宋体"/>
                <w:color w:val="auto"/>
                <w:kern w:val="0"/>
                <w:szCs w:val="21"/>
              </w:rPr>
              <w:t> </w:t>
            </w:r>
          </w:p>
        </w:tc>
        <w:tc>
          <w:tcPr>
            <w:tcW w:w="3754"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420" w:firstLineChars="200"/>
              <w:jc w:val="left"/>
              <w:rPr>
                <w:rFonts w:ascii="宋体" w:hAnsi="宋体" w:cs="宋体"/>
                <w:color w:val="auto"/>
                <w:kern w:val="0"/>
                <w:szCs w:val="21"/>
              </w:rPr>
            </w:pPr>
            <w:r>
              <w:rPr>
                <w:rFonts w:hint="eastAsia" w:ascii="宋体" w:hAnsi="宋体" w:cs="宋体"/>
                <w:color w:val="auto"/>
                <w:kern w:val="0"/>
                <w:szCs w:val="21"/>
              </w:rPr>
              <w:t> </w:t>
            </w:r>
          </w:p>
        </w:tc>
        <w:tc>
          <w:tcPr>
            <w:tcW w:w="980"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 </w:t>
            </w:r>
          </w:p>
        </w:tc>
        <w:tc>
          <w:tcPr>
            <w:tcW w:w="1342"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9" w:hRule="atLeast"/>
          <w:jc w:val="center"/>
        </w:trPr>
        <w:tc>
          <w:tcPr>
            <w:tcW w:w="6858" w:type="dxa"/>
            <w:gridSpan w:val="4"/>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left="-3" w:firstLine="4" w:firstLineChars="2"/>
              <w:jc w:val="left"/>
              <w:rPr>
                <w:rFonts w:ascii="宋体" w:hAnsi="宋体" w:cs="宋体"/>
                <w:color w:val="auto"/>
                <w:kern w:val="0"/>
                <w:szCs w:val="21"/>
              </w:rPr>
            </w:pPr>
            <w:r>
              <w:rPr>
                <w:rFonts w:hint="eastAsia" w:ascii="宋体" w:hAnsi="宋体" w:cs="宋体"/>
                <w:color w:val="auto"/>
                <w:kern w:val="0"/>
                <w:szCs w:val="21"/>
              </w:rPr>
              <w:t>合        计</w:t>
            </w:r>
          </w:p>
        </w:tc>
        <w:tc>
          <w:tcPr>
            <w:tcW w:w="980"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 </w:t>
            </w:r>
          </w:p>
        </w:tc>
        <w:tc>
          <w:tcPr>
            <w:tcW w:w="1342"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32" w:hRule="atLeast"/>
          <w:jc w:val="center"/>
        </w:trPr>
        <w:tc>
          <w:tcPr>
            <w:tcW w:w="9180" w:type="dxa"/>
            <w:gridSpan w:val="7"/>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firstLine="2" w:firstLineChars="1"/>
              <w:jc w:val="left"/>
              <w:rPr>
                <w:rFonts w:ascii="宋体" w:hAnsi="宋体" w:cs="宋体"/>
                <w:color w:val="auto"/>
                <w:kern w:val="0"/>
                <w:szCs w:val="21"/>
              </w:rPr>
            </w:pPr>
            <w:r>
              <w:rPr>
                <w:rFonts w:hint="eastAsia" w:ascii="宋体" w:hAnsi="宋体" w:cs="宋体"/>
                <w:color w:val="auto"/>
                <w:kern w:val="0"/>
                <w:szCs w:val="21"/>
              </w:rPr>
              <w:t>合计大写金额：   仟    佰    拾    万    仟    佰    拾    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32" w:hRule="atLeast"/>
          <w:jc w:val="center"/>
        </w:trPr>
        <w:tc>
          <w:tcPr>
            <w:tcW w:w="1499"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440" w:lineRule="exact"/>
              <w:ind w:firstLine="2" w:firstLineChars="1"/>
              <w:jc w:val="left"/>
              <w:rPr>
                <w:rFonts w:ascii="宋体" w:hAnsi="宋体" w:cs="宋体"/>
                <w:color w:val="auto"/>
                <w:kern w:val="0"/>
                <w:szCs w:val="21"/>
              </w:rPr>
            </w:pPr>
            <w:r>
              <w:rPr>
                <w:rFonts w:hint="eastAsia" w:ascii="宋体" w:hAnsi="宋体" w:cs="宋体"/>
                <w:color w:val="auto"/>
                <w:kern w:val="0"/>
                <w:szCs w:val="21"/>
              </w:rPr>
              <w:t>实际供货日期</w:t>
            </w:r>
          </w:p>
        </w:tc>
        <w:tc>
          <w:tcPr>
            <w:tcW w:w="2908"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440" w:lineRule="exact"/>
              <w:ind w:firstLine="420" w:firstLineChars="200"/>
              <w:jc w:val="left"/>
              <w:rPr>
                <w:rFonts w:ascii="宋体" w:hAnsi="宋体" w:cs="宋体"/>
                <w:color w:val="auto"/>
                <w:kern w:val="0"/>
                <w:szCs w:val="21"/>
              </w:rPr>
            </w:pPr>
          </w:p>
        </w:tc>
        <w:tc>
          <w:tcPr>
            <w:tcW w:w="2651"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440" w:lineRule="exact"/>
              <w:ind w:firstLine="39" w:firstLineChars="19"/>
              <w:jc w:val="center"/>
              <w:rPr>
                <w:rFonts w:ascii="宋体" w:hAnsi="宋体" w:cs="宋体"/>
                <w:color w:val="auto"/>
                <w:kern w:val="0"/>
                <w:szCs w:val="21"/>
              </w:rPr>
            </w:pPr>
            <w:r>
              <w:rPr>
                <w:rFonts w:hint="eastAsia" w:ascii="宋体" w:hAnsi="宋体" w:cs="宋体"/>
                <w:color w:val="auto"/>
                <w:kern w:val="0"/>
                <w:szCs w:val="21"/>
              </w:rPr>
              <w:t>合同交货验收日期</w:t>
            </w:r>
          </w:p>
        </w:tc>
        <w:tc>
          <w:tcPr>
            <w:tcW w:w="2122"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440" w:lineRule="exact"/>
              <w:ind w:firstLine="420" w:firstLineChars="200"/>
              <w:jc w:val="left"/>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285" w:hRule="atLeast"/>
          <w:jc w:val="center"/>
        </w:trPr>
        <w:tc>
          <w:tcPr>
            <w:tcW w:w="149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440" w:lineRule="exact"/>
              <w:jc w:val="left"/>
              <w:rPr>
                <w:rFonts w:ascii="宋体" w:hAnsi="宋体" w:cs="宋体"/>
                <w:color w:val="auto"/>
                <w:kern w:val="0"/>
                <w:szCs w:val="21"/>
              </w:rPr>
            </w:pPr>
            <w:r>
              <w:rPr>
                <w:rFonts w:hint="eastAsia" w:ascii="宋体" w:hAnsi="宋体" w:cs="宋体"/>
                <w:color w:val="auto"/>
                <w:kern w:val="0"/>
                <w:szCs w:val="21"/>
              </w:rPr>
              <w:t>验收具体内容</w:t>
            </w:r>
          </w:p>
        </w:tc>
        <w:tc>
          <w:tcPr>
            <w:tcW w:w="7681" w:type="dxa"/>
            <w:gridSpan w:val="6"/>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440" w:lineRule="exact"/>
              <w:jc w:val="left"/>
              <w:rPr>
                <w:rFonts w:ascii="宋体" w:hAnsi="宋体" w:cs="宋体"/>
                <w:color w:val="auto"/>
                <w:kern w:val="0"/>
                <w:szCs w:val="21"/>
              </w:rPr>
            </w:pPr>
            <w:r>
              <w:rPr>
                <w:rFonts w:hint="eastAsia" w:ascii="宋体" w:hAnsi="宋体" w:cs="宋体"/>
                <w:color w:val="auto"/>
                <w:szCs w:val="21"/>
              </w:rPr>
              <w:t>（应</w:t>
            </w:r>
            <w:r>
              <w:rPr>
                <w:rFonts w:hint="eastAsia" w:ascii="宋体" w:hAnsi="宋体" w:cs="宋体"/>
                <w:color w:val="auto"/>
                <w:kern w:val="0"/>
                <w:szCs w:val="21"/>
              </w:rPr>
              <w:t>按采购合同、招标文件、投标投标文件及验收方案等进行验收；并核对</w:t>
            </w:r>
            <w:r>
              <w:rPr>
                <w:rFonts w:hint="eastAsia" w:ascii="宋体" w:hAnsi="宋体" w:cs="宋体"/>
                <w:color w:val="auto"/>
                <w:szCs w:val="21"/>
              </w:rPr>
              <w:t>中标或者成交人在安装调试等方面是否违反合同约定或服务规范要求、提供的质量保证证明材料是否齐全、应有的配件及附件是否达到合同约定等</w:t>
            </w:r>
            <w:r>
              <w:rPr>
                <w:rFonts w:hint="eastAsia" w:ascii="宋体" w:hAnsi="宋体" w:cs="宋体"/>
                <w:color w:val="auto"/>
                <w:kern w:val="0"/>
                <w:szCs w:val="21"/>
              </w:rPr>
              <w:t>。可附件)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94" w:hRule="atLeast"/>
          <w:jc w:val="center"/>
        </w:trPr>
        <w:tc>
          <w:tcPr>
            <w:tcW w:w="1499"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440" w:lineRule="exact"/>
              <w:jc w:val="left"/>
              <w:rPr>
                <w:rFonts w:ascii="宋体" w:hAnsi="宋体" w:cs="宋体"/>
                <w:color w:val="auto"/>
                <w:kern w:val="0"/>
                <w:szCs w:val="21"/>
              </w:rPr>
            </w:pPr>
            <w:r>
              <w:rPr>
                <w:rFonts w:hint="eastAsia" w:ascii="宋体" w:hAnsi="宋体" w:cs="宋体"/>
                <w:color w:val="auto"/>
                <w:kern w:val="0"/>
                <w:szCs w:val="21"/>
              </w:rPr>
              <w:t>验收小组意见</w:t>
            </w:r>
          </w:p>
        </w:tc>
        <w:tc>
          <w:tcPr>
            <w:tcW w:w="7681" w:type="dxa"/>
            <w:gridSpan w:val="6"/>
            <w:tcBorders>
              <w:top w:val="single" w:color="auto" w:sz="8" w:space="0"/>
              <w:left w:val="single" w:color="auto" w:sz="8" w:space="0"/>
              <w:bottom w:val="single" w:color="auto" w:sz="4" w:space="0"/>
              <w:right w:val="single" w:color="auto" w:sz="8" w:space="0"/>
            </w:tcBorders>
            <w:vAlign w:val="center"/>
          </w:tcPr>
          <w:p>
            <w:pPr>
              <w:widowControl/>
              <w:spacing w:before="100" w:beforeAutospacing="1" w:after="100" w:afterAutospacing="1" w:line="440" w:lineRule="exact"/>
              <w:jc w:val="left"/>
              <w:rPr>
                <w:rFonts w:ascii="宋体" w:hAnsi="宋体" w:cs="宋体"/>
                <w:color w:val="auto"/>
                <w:kern w:val="0"/>
                <w:szCs w:val="21"/>
              </w:rPr>
            </w:pPr>
            <w:r>
              <w:rPr>
                <w:rFonts w:hint="eastAsia" w:ascii="宋体" w:hAnsi="宋体" w:cs="宋体"/>
                <w:color w:val="auto"/>
                <w:kern w:val="0"/>
                <w:szCs w:val="21"/>
              </w:rPr>
              <w:t>验收结论性意见：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32" w:hRule="atLeast"/>
          <w:jc w:val="center"/>
        </w:trPr>
        <w:tc>
          <w:tcPr>
            <w:tcW w:w="149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440" w:lineRule="exact"/>
              <w:jc w:val="left"/>
              <w:rPr>
                <w:rFonts w:ascii="宋体" w:hAnsi="宋体" w:cs="宋体"/>
                <w:color w:val="auto"/>
                <w:kern w:val="0"/>
                <w:szCs w:val="21"/>
              </w:rPr>
            </w:pPr>
          </w:p>
        </w:tc>
        <w:tc>
          <w:tcPr>
            <w:tcW w:w="7681" w:type="dxa"/>
            <w:gridSpan w:val="6"/>
            <w:tcBorders>
              <w:top w:val="single" w:color="auto" w:sz="4" w:space="0"/>
              <w:left w:val="single" w:color="auto" w:sz="8" w:space="0"/>
              <w:bottom w:val="single" w:color="auto" w:sz="8" w:space="0"/>
              <w:right w:val="single" w:color="auto" w:sz="8" w:space="0"/>
            </w:tcBorders>
            <w:vAlign w:val="center"/>
          </w:tcPr>
          <w:p>
            <w:pPr>
              <w:spacing w:before="100" w:beforeAutospacing="1" w:after="100" w:afterAutospacing="1" w:line="440" w:lineRule="exact"/>
              <w:jc w:val="left"/>
              <w:rPr>
                <w:rFonts w:ascii="宋体" w:hAnsi="宋体" w:cs="宋体"/>
                <w:color w:val="auto"/>
                <w:kern w:val="0"/>
                <w:szCs w:val="21"/>
              </w:rPr>
            </w:pPr>
            <w:r>
              <w:rPr>
                <w:rFonts w:hint="eastAsia" w:ascii="宋体" w:hAnsi="宋体" w:cs="宋体"/>
                <w:color w:val="auto"/>
                <w:kern w:val="0"/>
                <w:szCs w:val="21"/>
              </w:rPr>
              <w:t>有异议的意见和说明理由：</w:t>
            </w:r>
          </w:p>
          <w:p>
            <w:pPr>
              <w:spacing w:before="100" w:beforeAutospacing="1" w:after="100" w:afterAutospacing="1" w:line="440" w:lineRule="exact"/>
              <w:jc w:val="left"/>
              <w:rPr>
                <w:rFonts w:ascii="宋体" w:hAnsi="宋体" w:cs="宋体"/>
                <w:color w:val="auto"/>
                <w:kern w:val="0"/>
                <w:szCs w:val="21"/>
              </w:rPr>
            </w:pPr>
            <w:r>
              <w:rPr>
                <w:rFonts w:hint="eastAsia" w:ascii="宋体" w:hAnsi="宋体" w:cs="宋体"/>
                <w:color w:val="auto"/>
                <w:kern w:val="0"/>
                <w:szCs w:val="21"/>
              </w:rPr>
              <w:t xml:space="preserve">                                      签字：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8" w:hRule="atLeast"/>
          <w:jc w:val="center"/>
        </w:trPr>
        <w:tc>
          <w:tcPr>
            <w:tcW w:w="9180" w:type="dxa"/>
            <w:gridSpan w:val="7"/>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440" w:lineRule="exact"/>
              <w:jc w:val="left"/>
              <w:rPr>
                <w:rFonts w:ascii="宋体" w:hAnsi="宋体" w:cs="宋体"/>
                <w:color w:val="auto"/>
                <w:kern w:val="0"/>
                <w:szCs w:val="21"/>
              </w:rPr>
            </w:pPr>
            <w:r>
              <w:rPr>
                <w:rFonts w:hint="eastAsia" w:ascii="宋体" w:hAnsi="宋体" w:cs="宋体"/>
                <w:color w:val="auto"/>
                <w:kern w:val="0"/>
                <w:szCs w:val="21"/>
              </w:rPr>
              <w:t>验收小组成员签字：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32" w:hRule="atLeast"/>
          <w:jc w:val="center"/>
        </w:trPr>
        <w:tc>
          <w:tcPr>
            <w:tcW w:w="9180" w:type="dxa"/>
            <w:gridSpan w:val="7"/>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440" w:lineRule="exact"/>
              <w:jc w:val="left"/>
              <w:rPr>
                <w:rFonts w:ascii="宋体" w:hAnsi="宋体" w:cs="宋体"/>
                <w:color w:val="auto"/>
                <w:kern w:val="0"/>
                <w:szCs w:val="21"/>
              </w:rPr>
            </w:pPr>
            <w:r>
              <w:rPr>
                <w:rFonts w:hint="eastAsia" w:ascii="宋体" w:hAnsi="宋体" w:cs="宋体"/>
                <w:color w:val="auto"/>
                <w:kern w:val="0"/>
                <w:szCs w:val="21"/>
              </w:rPr>
              <w:t>监督人员或其他相关人员签字：</w:t>
            </w:r>
          </w:p>
          <w:p>
            <w:pPr>
              <w:widowControl/>
              <w:spacing w:before="100" w:beforeAutospacing="1" w:after="100" w:afterAutospacing="1" w:line="440" w:lineRule="exact"/>
              <w:ind w:firstLine="65" w:firstLineChars="31"/>
              <w:jc w:val="left"/>
              <w:rPr>
                <w:rFonts w:ascii="宋体" w:hAnsi="宋体" w:cs="宋体"/>
                <w:color w:val="auto"/>
                <w:kern w:val="0"/>
                <w:szCs w:val="21"/>
              </w:rPr>
            </w:pPr>
            <w:r>
              <w:rPr>
                <w:rFonts w:hint="eastAsia" w:ascii="宋体" w:hAnsi="宋体" w:cs="宋体"/>
                <w:color w:val="auto"/>
                <w:kern w:val="0"/>
                <w:szCs w:val="21"/>
              </w:rPr>
              <w:t>或受邀机构的意见（盖章）：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51" w:hRule="atLeast"/>
          <w:jc w:val="center"/>
        </w:trPr>
        <w:tc>
          <w:tcPr>
            <w:tcW w:w="4407" w:type="dxa"/>
            <w:gridSpan w:val="3"/>
            <w:tcBorders>
              <w:top w:val="single" w:color="auto" w:sz="8" w:space="0"/>
              <w:left w:val="single" w:color="auto" w:sz="8" w:space="0"/>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line="440" w:lineRule="exact"/>
              <w:ind w:firstLine="65" w:firstLineChars="31"/>
              <w:jc w:val="left"/>
              <w:rPr>
                <w:rFonts w:ascii="宋体" w:hAnsi="宋体" w:cs="宋体"/>
                <w:color w:val="auto"/>
                <w:kern w:val="0"/>
                <w:szCs w:val="21"/>
              </w:rPr>
            </w:pPr>
            <w:r>
              <w:rPr>
                <w:rFonts w:hint="eastAsia" w:ascii="宋体" w:hAnsi="宋体" w:cs="宋体"/>
                <w:color w:val="auto"/>
                <w:kern w:val="0"/>
                <w:szCs w:val="21"/>
              </w:rPr>
              <w:t>中标或者成交人负责人签字或盖章：</w:t>
            </w:r>
          </w:p>
          <w:p>
            <w:pPr>
              <w:widowControl/>
              <w:spacing w:before="100" w:beforeAutospacing="1" w:after="100" w:afterAutospacing="1" w:line="440" w:lineRule="exact"/>
              <w:jc w:val="left"/>
              <w:rPr>
                <w:rFonts w:ascii="宋体" w:hAnsi="宋体" w:cs="宋体"/>
                <w:color w:val="auto"/>
                <w:kern w:val="0"/>
                <w:szCs w:val="21"/>
              </w:rPr>
            </w:pPr>
            <w:r>
              <w:rPr>
                <w:rFonts w:hint="eastAsia" w:ascii="宋体" w:hAnsi="宋体" w:cs="宋体"/>
                <w:color w:val="auto"/>
                <w:kern w:val="0"/>
                <w:szCs w:val="21"/>
              </w:rPr>
              <w:t>联系电话：         年 月 日</w:t>
            </w:r>
          </w:p>
        </w:tc>
        <w:tc>
          <w:tcPr>
            <w:tcW w:w="4773" w:type="dxa"/>
            <w:gridSpan w:val="4"/>
            <w:tcBorders>
              <w:top w:val="single" w:color="auto" w:sz="8" w:space="0"/>
              <w:left w:val="nil"/>
              <w:bottom w:val="single" w:color="auto" w:sz="8" w:space="0"/>
              <w:right w:val="single" w:color="auto" w:sz="8" w:space="0"/>
            </w:tcBorders>
            <w:vAlign w:val="center"/>
          </w:tcPr>
          <w:p>
            <w:pPr>
              <w:widowControl/>
              <w:spacing w:before="100" w:beforeAutospacing="1" w:after="100" w:afterAutospacing="1" w:line="440" w:lineRule="exact"/>
              <w:jc w:val="left"/>
              <w:rPr>
                <w:rFonts w:ascii="宋体" w:hAnsi="宋体" w:cs="宋体"/>
                <w:color w:val="auto"/>
                <w:kern w:val="0"/>
                <w:szCs w:val="21"/>
              </w:rPr>
            </w:pPr>
            <w:r>
              <w:rPr>
                <w:rFonts w:hint="eastAsia" w:ascii="宋体" w:hAnsi="宋体" w:cs="宋体"/>
                <w:color w:val="auto"/>
                <w:kern w:val="0"/>
                <w:szCs w:val="21"/>
              </w:rPr>
              <w:t> 采购人或受托机构的意见（盖章）：</w:t>
            </w:r>
          </w:p>
          <w:p>
            <w:pPr>
              <w:widowControl/>
              <w:spacing w:before="100" w:beforeAutospacing="1" w:after="100" w:afterAutospacing="1" w:line="440" w:lineRule="exact"/>
              <w:jc w:val="left"/>
              <w:rPr>
                <w:rFonts w:ascii="宋体" w:hAnsi="宋体" w:cs="宋体"/>
                <w:color w:val="auto"/>
                <w:kern w:val="0"/>
                <w:szCs w:val="21"/>
              </w:rPr>
            </w:pPr>
            <w:r>
              <w:rPr>
                <w:rFonts w:hint="eastAsia" w:ascii="宋体" w:hAnsi="宋体" w:cs="宋体"/>
                <w:color w:val="auto"/>
                <w:kern w:val="0"/>
                <w:szCs w:val="21"/>
              </w:rPr>
              <w:t>联系电话：                 年   月   日</w:t>
            </w:r>
          </w:p>
        </w:tc>
      </w:tr>
    </w:tbl>
    <w:p>
      <w:pPr>
        <w:widowControl/>
        <w:spacing w:line="440" w:lineRule="exact"/>
        <w:jc w:val="left"/>
        <w:rPr>
          <w:rFonts w:ascii="宋体" w:hAnsi="宋体" w:cs="宋体"/>
          <w:color w:val="auto"/>
          <w:spacing w:val="-10"/>
          <w:kern w:val="0"/>
          <w:szCs w:val="21"/>
        </w:rPr>
      </w:pPr>
      <w:r>
        <w:rPr>
          <w:rFonts w:hint="eastAsia" w:ascii="宋体" w:hAnsi="宋体" w:cs="宋体"/>
          <w:color w:val="auto"/>
          <w:spacing w:val="-10"/>
          <w:kern w:val="0"/>
          <w:szCs w:val="21"/>
        </w:rPr>
        <w:t>备注：本报告单一式4份（采购人1份、中标人1份、采购监督部门备案1份、招标代理机构1份）。</w:t>
      </w:r>
    </w:p>
    <w:p>
      <w:pPr>
        <w:spacing w:before="120" w:line="320" w:lineRule="atLeast"/>
        <w:jc w:val="left"/>
        <w:outlineLvl w:val="1"/>
        <w:rPr>
          <w:rFonts w:ascii="宋体" w:hAnsi="宋体" w:cs="宋体"/>
          <w:b/>
          <w:bCs/>
          <w:color w:val="auto"/>
          <w:kern w:val="0"/>
          <w:szCs w:val="21"/>
        </w:rPr>
      </w:pPr>
      <w:r>
        <w:rPr>
          <w:rFonts w:hint="eastAsia" w:ascii="宋体" w:hAnsi="宋体" w:cs="宋体"/>
          <w:color w:val="auto"/>
        </w:rPr>
        <w:br w:type="page"/>
      </w:r>
      <w:bookmarkStart w:id="226" w:name="_Toc7374"/>
      <w:bookmarkStart w:id="227" w:name="_Toc17674"/>
      <w:bookmarkStart w:id="228" w:name="_Toc30684"/>
      <w:bookmarkStart w:id="229" w:name="_Toc12464"/>
      <w:bookmarkStart w:id="230" w:name="_Toc18709"/>
      <w:bookmarkStart w:id="231" w:name="_Toc16293"/>
      <w:bookmarkStart w:id="232" w:name="_Toc2602"/>
      <w:r>
        <w:rPr>
          <w:rFonts w:hint="eastAsia" w:ascii="宋体" w:hAnsi="宋体" w:cs="宋体"/>
          <w:b/>
          <w:bCs/>
          <w:color w:val="auto"/>
          <w:kern w:val="0"/>
          <w:szCs w:val="21"/>
        </w:rPr>
        <w:t>合同附件3</w:t>
      </w:r>
      <w:bookmarkEnd w:id="226"/>
      <w:bookmarkEnd w:id="227"/>
      <w:bookmarkEnd w:id="228"/>
      <w:bookmarkEnd w:id="229"/>
      <w:bookmarkEnd w:id="230"/>
      <w:bookmarkEnd w:id="231"/>
      <w:bookmarkEnd w:id="232"/>
    </w:p>
    <w:p>
      <w:pPr>
        <w:snapToGrid w:val="0"/>
        <w:spacing w:line="360" w:lineRule="exact"/>
        <w:jc w:val="center"/>
        <w:rPr>
          <w:rFonts w:ascii="宋体" w:hAnsi="宋体" w:cs="宋体"/>
          <w:b/>
          <w:bCs/>
          <w:color w:val="auto"/>
          <w:szCs w:val="21"/>
        </w:rPr>
      </w:pPr>
      <w:r>
        <w:rPr>
          <w:rFonts w:hint="eastAsia" w:ascii="宋体" w:hAnsi="宋体" w:cs="宋体"/>
          <w:b/>
          <w:bCs/>
          <w:color w:val="auto"/>
          <w:szCs w:val="21"/>
        </w:rPr>
        <w:t>政府采购项目履约保证金退付意见书</w:t>
      </w:r>
    </w:p>
    <w:p>
      <w:pPr>
        <w:jc w:val="center"/>
        <w:rPr>
          <w:rFonts w:ascii="宋体" w:hAnsi="宋体" w:cs="宋体"/>
          <w:color w:val="auto"/>
          <w:sz w:val="36"/>
          <w:szCs w:val="36"/>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vAlign w:val="center"/>
          </w:tcPr>
          <w:p>
            <w:pPr>
              <w:jc w:val="center"/>
              <w:rPr>
                <w:rFonts w:ascii="宋体" w:hAnsi="宋体" w:cs="宋体"/>
                <w:color w:val="auto"/>
                <w:szCs w:val="21"/>
              </w:rPr>
            </w:pPr>
            <w:r>
              <w:rPr>
                <w:rFonts w:hint="eastAsia" w:ascii="宋体" w:hAnsi="宋体" w:cs="宋体"/>
                <w:color w:val="auto"/>
                <w:szCs w:val="21"/>
              </w:rPr>
              <w:t>供</w:t>
            </w:r>
          </w:p>
          <w:p>
            <w:pPr>
              <w:jc w:val="center"/>
              <w:rPr>
                <w:rFonts w:ascii="宋体" w:hAnsi="宋体" w:cs="宋体"/>
                <w:color w:val="auto"/>
                <w:szCs w:val="21"/>
              </w:rPr>
            </w:pPr>
            <w:r>
              <w:rPr>
                <w:rFonts w:hint="eastAsia" w:ascii="宋体" w:hAnsi="宋体" w:cs="宋体"/>
                <w:color w:val="auto"/>
                <w:szCs w:val="21"/>
              </w:rPr>
              <w:t>应</w:t>
            </w:r>
          </w:p>
          <w:p>
            <w:pPr>
              <w:jc w:val="center"/>
              <w:rPr>
                <w:rFonts w:ascii="宋体" w:hAnsi="宋体" w:cs="宋体"/>
                <w:color w:val="auto"/>
                <w:szCs w:val="21"/>
              </w:rPr>
            </w:pPr>
            <w:r>
              <w:rPr>
                <w:rFonts w:hint="eastAsia" w:ascii="宋体" w:hAnsi="宋体" w:cs="宋体"/>
                <w:color w:val="auto"/>
                <w:szCs w:val="21"/>
              </w:rPr>
              <w:t>商</w:t>
            </w:r>
          </w:p>
          <w:p>
            <w:pPr>
              <w:jc w:val="center"/>
              <w:rPr>
                <w:rFonts w:ascii="宋体" w:hAnsi="宋体" w:cs="宋体"/>
                <w:color w:val="auto"/>
                <w:szCs w:val="21"/>
              </w:rPr>
            </w:pPr>
            <w:r>
              <w:rPr>
                <w:rFonts w:hint="eastAsia" w:ascii="宋体" w:hAnsi="宋体" w:cs="宋体"/>
                <w:color w:val="auto"/>
                <w:szCs w:val="21"/>
              </w:rPr>
              <w:t>申</w:t>
            </w:r>
          </w:p>
          <w:p>
            <w:pPr>
              <w:jc w:val="center"/>
              <w:rPr>
                <w:rFonts w:ascii="宋体" w:hAnsi="宋体" w:cs="宋体"/>
                <w:color w:val="auto"/>
                <w:szCs w:val="21"/>
              </w:rPr>
            </w:pPr>
            <w:r>
              <w:rPr>
                <w:rFonts w:hint="eastAsia" w:ascii="宋体" w:hAnsi="宋体" w:cs="宋体"/>
                <w:color w:val="auto"/>
                <w:szCs w:val="21"/>
              </w:rPr>
              <w:t>请</w:t>
            </w:r>
          </w:p>
        </w:tc>
        <w:tc>
          <w:tcPr>
            <w:tcW w:w="8172" w:type="dxa"/>
            <w:vAlign w:val="center"/>
          </w:tcPr>
          <w:p>
            <w:pPr>
              <w:rPr>
                <w:rFonts w:ascii="宋体" w:hAnsi="宋体" w:cs="宋体"/>
                <w:color w:val="auto"/>
                <w:szCs w:val="21"/>
              </w:rPr>
            </w:pPr>
            <w:r>
              <w:rPr>
                <w:rFonts w:hint="eastAsia" w:ascii="宋体" w:hAnsi="宋体" w:cs="宋体"/>
                <w:color w:val="auto"/>
                <w:szCs w:val="21"/>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vAlign w:val="center"/>
          </w:tcPr>
          <w:p>
            <w:pPr>
              <w:rPr>
                <w:rFonts w:ascii="宋体" w:hAnsi="宋体" w:cs="宋体"/>
                <w:color w:val="auto"/>
                <w:szCs w:val="21"/>
              </w:rPr>
            </w:pPr>
          </w:p>
        </w:tc>
        <w:tc>
          <w:tcPr>
            <w:tcW w:w="8172" w:type="dxa"/>
            <w:vAlign w:val="center"/>
          </w:tcPr>
          <w:p>
            <w:pPr>
              <w:rPr>
                <w:rFonts w:ascii="宋体" w:hAnsi="宋体" w:cs="宋体"/>
                <w:color w:val="auto"/>
                <w:szCs w:val="21"/>
              </w:rPr>
            </w:pPr>
            <w:r>
              <w:rPr>
                <w:rFonts w:hint="eastAsia" w:ascii="宋体" w:hAnsi="宋体" w:cs="宋体"/>
                <w:color w:val="auto"/>
                <w:szCs w:val="21"/>
              </w:rPr>
              <w:t>采购项目名称：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tcPr>
          <w:p>
            <w:pPr>
              <w:rPr>
                <w:rFonts w:ascii="宋体" w:hAnsi="宋体" w:cs="宋体"/>
                <w:color w:val="auto"/>
                <w:szCs w:val="21"/>
              </w:rPr>
            </w:pPr>
          </w:p>
        </w:tc>
        <w:tc>
          <w:tcPr>
            <w:tcW w:w="8172" w:type="dxa"/>
          </w:tcPr>
          <w:p>
            <w:pPr>
              <w:rPr>
                <w:rFonts w:ascii="宋体" w:hAnsi="宋体" w:cs="宋体"/>
                <w:color w:val="auto"/>
                <w:szCs w:val="21"/>
              </w:rPr>
            </w:pPr>
          </w:p>
          <w:p>
            <w:pPr>
              <w:spacing w:line="400" w:lineRule="exact"/>
              <w:ind w:firstLine="420" w:firstLineChars="200"/>
              <w:rPr>
                <w:rFonts w:ascii="宋体" w:hAnsi="宋体" w:cs="宋体"/>
                <w:color w:val="auto"/>
                <w:szCs w:val="21"/>
              </w:rPr>
            </w:pPr>
            <w:r>
              <w:rPr>
                <w:rFonts w:hint="eastAsia" w:ascii="宋体" w:hAnsi="宋体" w:cs="宋体"/>
                <w:color w:val="auto"/>
                <w:szCs w:val="21"/>
              </w:rPr>
              <w:t>该项目已于年月日验收并交付使用。根据合同规定，该项目的履约保证金期限于年月日已满，请将履约保证金</w:t>
            </w:r>
          </w:p>
          <w:p>
            <w:pPr>
              <w:spacing w:line="400" w:lineRule="exact"/>
              <w:rPr>
                <w:rFonts w:ascii="宋体" w:hAnsi="宋体" w:cs="宋体"/>
                <w:color w:val="auto"/>
                <w:szCs w:val="21"/>
              </w:rPr>
            </w:pPr>
            <w:r>
              <w:rPr>
                <w:rFonts w:hint="eastAsia" w:ascii="宋体" w:hAnsi="宋体" w:cs="宋体"/>
                <w:color w:val="auto"/>
                <w:szCs w:val="21"/>
              </w:rPr>
              <w:t>（大写）¥（小写）退付到达以下帐户。</w:t>
            </w:r>
          </w:p>
          <w:p>
            <w:pPr>
              <w:spacing w:line="400" w:lineRule="exact"/>
              <w:ind w:firstLine="705"/>
              <w:rPr>
                <w:rFonts w:ascii="宋体" w:hAnsi="宋体" w:cs="宋体"/>
                <w:color w:val="auto"/>
                <w:szCs w:val="21"/>
              </w:rPr>
            </w:pPr>
            <w:r>
              <w:rPr>
                <w:rFonts w:hint="eastAsia" w:ascii="宋体" w:hAnsi="宋体" w:cs="宋体"/>
                <w:color w:val="auto"/>
                <w:szCs w:val="21"/>
              </w:rPr>
              <w:t>单位名称：</w:t>
            </w:r>
          </w:p>
          <w:p>
            <w:pPr>
              <w:spacing w:line="400" w:lineRule="exact"/>
              <w:ind w:firstLine="705"/>
              <w:rPr>
                <w:rFonts w:ascii="宋体" w:hAnsi="宋体" w:cs="宋体"/>
                <w:color w:val="auto"/>
                <w:szCs w:val="21"/>
              </w:rPr>
            </w:pPr>
            <w:r>
              <w:rPr>
                <w:rFonts w:hint="eastAsia" w:ascii="宋体" w:hAnsi="宋体" w:cs="宋体"/>
                <w:color w:val="auto"/>
                <w:szCs w:val="21"/>
              </w:rPr>
              <w:t>开户银行：</w:t>
            </w:r>
          </w:p>
          <w:p>
            <w:pPr>
              <w:spacing w:line="400" w:lineRule="exact"/>
              <w:ind w:firstLine="705"/>
              <w:rPr>
                <w:rFonts w:ascii="宋体" w:hAnsi="宋体" w:cs="宋体"/>
                <w:color w:val="auto"/>
                <w:szCs w:val="21"/>
              </w:rPr>
            </w:pPr>
            <w:r>
              <w:rPr>
                <w:rFonts w:hint="eastAsia" w:ascii="宋体" w:hAnsi="宋体" w:cs="宋体"/>
                <w:color w:val="auto"/>
                <w:szCs w:val="21"/>
              </w:rPr>
              <w:t>帐   号：</w:t>
            </w:r>
          </w:p>
          <w:p>
            <w:pPr>
              <w:spacing w:line="400" w:lineRule="exact"/>
              <w:rPr>
                <w:rFonts w:ascii="宋体" w:hAnsi="宋体" w:cs="宋体"/>
                <w:color w:val="auto"/>
                <w:szCs w:val="21"/>
              </w:rPr>
            </w:pPr>
            <w:r>
              <w:rPr>
                <w:rFonts w:hint="eastAsia" w:ascii="宋体" w:hAnsi="宋体" w:cs="宋体"/>
                <w:color w:val="auto"/>
                <w:szCs w:val="21"/>
              </w:rPr>
              <w:t>联系人及电话：</w:t>
            </w:r>
          </w:p>
          <w:p>
            <w:pPr>
              <w:spacing w:line="400" w:lineRule="exact"/>
              <w:rPr>
                <w:rFonts w:ascii="宋体" w:hAnsi="宋体" w:cs="宋体"/>
                <w:color w:val="auto"/>
                <w:szCs w:val="21"/>
              </w:rPr>
            </w:pPr>
          </w:p>
          <w:p>
            <w:pPr>
              <w:spacing w:line="520" w:lineRule="exact"/>
              <w:jc w:val="center"/>
              <w:rPr>
                <w:rFonts w:ascii="宋体" w:hAnsi="宋体" w:cs="宋体"/>
                <w:color w:val="auto"/>
                <w:szCs w:val="21"/>
              </w:rPr>
            </w:pPr>
            <w:r>
              <w:rPr>
                <w:rFonts w:hint="eastAsia" w:ascii="宋体" w:hAnsi="宋体" w:cs="宋体"/>
                <w:color w:val="auto"/>
                <w:szCs w:val="21"/>
              </w:rPr>
              <w:t xml:space="preserve">                                     投标人签章：</w:t>
            </w:r>
          </w:p>
          <w:p>
            <w:pPr>
              <w:spacing w:line="520" w:lineRule="exact"/>
              <w:jc w:val="center"/>
              <w:rPr>
                <w:rFonts w:ascii="宋体" w:hAnsi="宋体" w:cs="宋体"/>
                <w:color w:val="auto"/>
                <w:szCs w:val="21"/>
              </w:rPr>
            </w:pPr>
            <w:r>
              <w:rPr>
                <w:rFonts w:hint="eastAsia" w:ascii="宋体" w:hAnsi="宋体" w:cs="宋体"/>
                <w:color w:val="auto"/>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s="宋体"/>
                <w:color w:val="auto"/>
                <w:szCs w:val="21"/>
              </w:rPr>
            </w:pPr>
            <w:r>
              <w:rPr>
                <w:rFonts w:hint="eastAsia" w:ascii="宋体" w:hAnsi="宋体" w:cs="宋体"/>
                <w:color w:val="auto"/>
                <w:szCs w:val="21"/>
              </w:rPr>
              <w:t>采</w:t>
            </w:r>
          </w:p>
          <w:p>
            <w:pPr>
              <w:jc w:val="center"/>
              <w:rPr>
                <w:rFonts w:ascii="宋体" w:hAnsi="宋体" w:cs="宋体"/>
                <w:color w:val="auto"/>
                <w:szCs w:val="21"/>
              </w:rPr>
            </w:pPr>
            <w:r>
              <w:rPr>
                <w:rFonts w:hint="eastAsia" w:ascii="宋体" w:hAnsi="宋体" w:cs="宋体"/>
                <w:color w:val="auto"/>
                <w:szCs w:val="21"/>
              </w:rPr>
              <w:t>购</w:t>
            </w:r>
          </w:p>
          <w:p>
            <w:pPr>
              <w:jc w:val="center"/>
              <w:rPr>
                <w:rFonts w:ascii="宋体" w:hAnsi="宋体" w:cs="宋体"/>
                <w:color w:val="auto"/>
                <w:szCs w:val="21"/>
              </w:rPr>
            </w:pPr>
            <w:r>
              <w:rPr>
                <w:rFonts w:hint="eastAsia" w:ascii="宋体" w:hAnsi="宋体" w:cs="宋体"/>
                <w:color w:val="auto"/>
                <w:szCs w:val="21"/>
              </w:rPr>
              <w:t>单</w:t>
            </w:r>
          </w:p>
          <w:p>
            <w:pPr>
              <w:jc w:val="center"/>
              <w:rPr>
                <w:rFonts w:ascii="宋体" w:hAnsi="宋体" w:cs="宋体"/>
                <w:color w:val="auto"/>
                <w:szCs w:val="21"/>
              </w:rPr>
            </w:pPr>
            <w:r>
              <w:rPr>
                <w:rFonts w:hint="eastAsia" w:ascii="宋体" w:hAnsi="宋体" w:cs="宋体"/>
                <w:color w:val="auto"/>
                <w:szCs w:val="21"/>
              </w:rPr>
              <w:t>位</w:t>
            </w:r>
          </w:p>
          <w:p>
            <w:pPr>
              <w:jc w:val="center"/>
              <w:rPr>
                <w:rFonts w:ascii="宋体" w:hAnsi="宋体" w:cs="宋体"/>
                <w:color w:val="auto"/>
                <w:szCs w:val="21"/>
              </w:rPr>
            </w:pPr>
            <w:r>
              <w:rPr>
                <w:rFonts w:hint="eastAsia" w:ascii="宋体" w:hAnsi="宋体" w:cs="宋体"/>
                <w:color w:val="auto"/>
                <w:szCs w:val="21"/>
              </w:rPr>
              <w:t>意</w:t>
            </w:r>
          </w:p>
          <w:p>
            <w:pPr>
              <w:jc w:val="center"/>
              <w:rPr>
                <w:rFonts w:ascii="宋体" w:hAnsi="宋体" w:cs="宋体"/>
                <w:color w:val="auto"/>
                <w:szCs w:val="21"/>
              </w:rPr>
            </w:pPr>
            <w:r>
              <w:rPr>
                <w:rFonts w:hint="eastAsia" w:ascii="宋体" w:hAnsi="宋体" w:cs="宋体"/>
                <w:color w:val="auto"/>
                <w:szCs w:val="21"/>
              </w:rPr>
              <w:t>见</w:t>
            </w:r>
          </w:p>
        </w:tc>
        <w:tc>
          <w:tcPr>
            <w:tcW w:w="8172" w:type="dxa"/>
          </w:tcPr>
          <w:p>
            <w:pPr>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退付意见：是否同意退付履约保证金及退付金额：</w:t>
            </w:r>
          </w:p>
          <w:p>
            <w:pPr>
              <w:rPr>
                <w:rFonts w:ascii="宋体" w:hAnsi="宋体" w:cs="宋体"/>
                <w:color w:val="auto"/>
                <w:szCs w:val="21"/>
              </w:rPr>
            </w:pPr>
          </w:p>
          <w:p>
            <w:pPr>
              <w:rPr>
                <w:rFonts w:ascii="宋体" w:hAnsi="宋体" w:cs="宋体"/>
                <w:color w:val="auto"/>
                <w:szCs w:val="21"/>
              </w:rPr>
            </w:pPr>
          </w:p>
          <w:p>
            <w:pPr>
              <w:spacing w:line="520" w:lineRule="exact"/>
              <w:rPr>
                <w:rFonts w:ascii="宋体" w:hAnsi="宋体" w:cs="宋体"/>
                <w:color w:val="auto"/>
                <w:szCs w:val="21"/>
              </w:rPr>
            </w:pPr>
            <w:r>
              <w:rPr>
                <w:rFonts w:hint="eastAsia" w:ascii="宋体" w:hAnsi="宋体" w:cs="宋体"/>
                <w:color w:val="auto"/>
                <w:szCs w:val="21"/>
              </w:rPr>
              <w:t>联系人及电话：                                 采购人签章</w:t>
            </w:r>
          </w:p>
          <w:p>
            <w:pPr>
              <w:spacing w:line="520" w:lineRule="exact"/>
              <w:jc w:val="center"/>
              <w:rPr>
                <w:rFonts w:ascii="宋体" w:hAnsi="宋体" w:cs="宋体"/>
                <w:color w:val="auto"/>
                <w:szCs w:val="21"/>
              </w:rPr>
            </w:pPr>
            <w:r>
              <w:rPr>
                <w:rFonts w:hint="eastAsia" w:ascii="宋体" w:hAnsi="宋体" w:cs="宋体"/>
                <w:color w:val="auto"/>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s="宋体"/>
                <w:color w:val="auto"/>
                <w:szCs w:val="21"/>
              </w:rPr>
            </w:pPr>
            <w:r>
              <w:rPr>
                <w:rFonts w:hint="eastAsia" w:ascii="宋体" w:hAnsi="宋体" w:cs="宋体"/>
                <w:color w:val="auto"/>
                <w:szCs w:val="21"/>
              </w:rPr>
              <w:t>财</w:t>
            </w:r>
          </w:p>
          <w:p>
            <w:pPr>
              <w:jc w:val="center"/>
              <w:rPr>
                <w:rFonts w:ascii="宋体" w:hAnsi="宋体" w:cs="宋体"/>
                <w:color w:val="auto"/>
                <w:szCs w:val="21"/>
              </w:rPr>
            </w:pPr>
            <w:r>
              <w:rPr>
                <w:rFonts w:hint="eastAsia" w:ascii="宋体" w:hAnsi="宋体" w:cs="宋体"/>
                <w:color w:val="auto"/>
                <w:szCs w:val="21"/>
              </w:rPr>
              <w:t>务</w:t>
            </w:r>
          </w:p>
          <w:p>
            <w:pPr>
              <w:jc w:val="center"/>
              <w:rPr>
                <w:rFonts w:ascii="宋体" w:hAnsi="宋体" w:cs="宋体"/>
                <w:color w:val="auto"/>
                <w:szCs w:val="21"/>
              </w:rPr>
            </w:pPr>
            <w:r>
              <w:rPr>
                <w:rFonts w:hint="eastAsia" w:ascii="宋体" w:hAnsi="宋体" w:cs="宋体"/>
                <w:color w:val="auto"/>
                <w:szCs w:val="21"/>
              </w:rPr>
              <w:t>部</w:t>
            </w:r>
          </w:p>
          <w:p>
            <w:pPr>
              <w:jc w:val="center"/>
              <w:rPr>
                <w:rFonts w:ascii="宋体" w:hAnsi="宋体" w:cs="宋体"/>
                <w:color w:val="auto"/>
                <w:szCs w:val="21"/>
              </w:rPr>
            </w:pPr>
            <w:r>
              <w:rPr>
                <w:rFonts w:hint="eastAsia" w:ascii="宋体" w:hAnsi="宋体" w:cs="宋体"/>
                <w:color w:val="auto"/>
                <w:szCs w:val="21"/>
              </w:rPr>
              <w:t>门</w:t>
            </w:r>
          </w:p>
          <w:p>
            <w:pPr>
              <w:jc w:val="center"/>
              <w:rPr>
                <w:rFonts w:ascii="宋体" w:hAnsi="宋体" w:cs="宋体"/>
                <w:color w:val="auto"/>
                <w:szCs w:val="21"/>
              </w:rPr>
            </w:pPr>
            <w:r>
              <w:rPr>
                <w:rFonts w:hint="eastAsia" w:ascii="宋体" w:hAnsi="宋体" w:cs="宋体"/>
                <w:color w:val="auto"/>
                <w:szCs w:val="21"/>
              </w:rPr>
              <w:t>意</w:t>
            </w:r>
          </w:p>
          <w:p>
            <w:pPr>
              <w:jc w:val="center"/>
              <w:rPr>
                <w:rFonts w:ascii="宋体" w:hAnsi="宋体" w:cs="宋体"/>
                <w:color w:val="auto"/>
                <w:szCs w:val="21"/>
              </w:rPr>
            </w:pPr>
            <w:r>
              <w:rPr>
                <w:rFonts w:hint="eastAsia" w:ascii="宋体" w:hAnsi="宋体" w:cs="宋体"/>
                <w:color w:val="auto"/>
                <w:szCs w:val="21"/>
              </w:rPr>
              <w:t>见</w:t>
            </w:r>
          </w:p>
        </w:tc>
        <w:tc>
          <w:tcPr>
            <w:tcW w:w="8172" w:type="dxa"/>
          </w:tcPr>
          <w:p>
            <w:pPr>
              <w:spacing w:line="640" w:lineRule="exact"/>
              <w:rPr>
                <w:rFonts w:ascii="宋体" w:hAnsi="宋体" w:cs="宋体"/>
                <w:color w:val="auto"/>
                <w:szCs w:val="21"/>
              </w:rPr>
            </w:pPr>
            <w:r>
              <w:rPr>
                <w:rFonts w:hint="eastAsia" w:ascii="宋体" w:hAnsi="宋体" w:cs="宋体"/>
                <w:color w:val="auto"/>
                <w:szCs w:val="21"/>
              </w:rPr>
              <w:t>此表于年 月  日收到。</w:t>
            </w:r>
          </w:p>
          <w:p>
            <w:pPr>
              <w:spacing w:line="640" w:lineRule="exact"/>
              <w:rPr>
                <w:rFonts w:ascii="宋体" w:hAnsi="宋体" w:cs="宋体"/>
                <w:color w:val="auto"/>
                <w:szCs w:val="21"/>
              </w:rPr>
            </w:pPr>
            <w:r>
              <w:rPr>
                <w:rFonts w:hint="eastAsia" w:ascii="宋体" w:hAnsi="宋体" w:cs="宋体"/>
                <w:color w:val="auto"/>
                <w:szCs w:val="21"/>
              </w:rPr>
              <w:t>会计审核：</w:t>
            </w:r>
          </w:p>
          <w:p>
            <w:pPr>
              <w:spacing w:line="640" w:lineRule="exact"/>
              <w:rPr>
                <w:rFonts w:ascii="宋体" w:hAnsi="宋体" w:cs="宋体"/>
                <w:color w:val="auto"/>
                <w:szCs w:val="21"/>
              </w:rPr>
            </w:pPr>
            <w:r>
              <w:rPr>
                <w:rFonts w:hint="eastAsia" w:ascii="宋体" w:hAnsi="宋体" w:cs="宋体"/>
                <w:color w:val="auto"/>
                <w:szCs w:val="21"/>
              </w:rPr>
              <w:t>财务负责人审核：</w:t>
            </w:r>
          </w:p>
          <w:p>
            <w:pPr>
              <w:spacing w:line="640" w:lineRule="exact"/>
              <w:rPr>
                <w:rFonts w:ascii="宋体" w:hAnsi="宋体" w:cs="宋体"/>
                <w:color w:val="auto"/>
                <w:szCs w:val="21"/>
              </w:rPr>
            </w:pPr>
            <w:r>
              <w:rPr>
                <w:rFonts w:hint="eastAsia" w:ascii="宋体" w:hAnsi="宋体" w:cs="宋体"/>
                <w:color w:val="auto"/>
                <w:szCs w:val="21"/>
              </w:rPr>
              <w:t>单位负责人签字：</w:t>
            </w:r>
          </w:p>
          <w:p>
            <w:pPr>
              <w:spacing w:line="640" w:lineRule="exact"/>
              <w:rPr>
                <w:rFonts w:ascii="宋体" w:hAnsi="宋体" w:cs="宋体"/>
                <w:color w:val="auto"/>
                <w:szCs w:val="21"/>
              </w:rPr>
            </w:pPr>
            <w:r>
              <w:rPr>
                <w:rFonts w:hint="eastAsia" w:ascii="宋体" w:hAnsi="宋体" w:cs="宋体"/>
                <w:color w:val="auto"/>
                <w:szCs w:val="21"/>
              </w:rPr>
              <w:t>出纳办理转帐日期：</w:t>
            </w:r>
          </w:p>
        </w:tc>
      </w:tr>
    </w:tbl>
    <w:p>
      <w:pPr>
        <w:pStyle w:val="15"/>
        <w:ind w:left="480" w:leftChars="114" w:hanging="241" w:hangingChars="100"/>
        <w:rPr>
          <w:rFonts w:ascii="宋体" w:hAnsi="宋体" w:cs="宋体"/>
          <w:b/>
          <w:bCs/>
          <w:color w:val="auto"/>
        </w:rPr>
      </w:pPr>
      <w:r>
        <w:rPr>
          <w:rFonts w:hint="eastAsia" w:ascii="宋体" w:hAnsi="宋体" w:cs="宋体"/>
          <w:b/>
          <w:bCs/>
          <w:color w:val="auto"/>
        </w:rPr>
        <w:t>注：投标人凭经采购人审批的退付意见书到相关财务部办理履约保证金退付事宜。</w:t>
      </w:r>
    </w:p>
    <w:p>
      <w:pPr>
        <w:jc w:val="center"/>
        <w:outlineLvl w:val="0"/>
        <w:rPr>
          <w:rFonts w:eastAsia="黑体"/>
          <w:color w:val="auto"/>
          <w:sz w:val="32"/>
          <w:szCs w:val="32"/>
        </w:rPr>
      </w:pPr>
    </w:p>
    <w:p>
      <w:pPr>
        <w:jc w:val="center"/>
        <w:outlineLvl w:val="0"/>
        <w:rPr>
          <w:rFonts w:eastAsia="黑体"/>
          <w:color w:val="auto"/>
          <w:sz w:val="32"/>
          <w:szCs w:val="32"/>
        </w:rPr>
      </w:pPr>
      <w:r>
        <w:rPr>
          <w:rFonts w:eastAsia="黑体"/>
          <w:color w:val="auto"/>
          <w:sz w:val="32"/>
          <w:szCs w:val="32"/>
        </w:rPr>
        <w:t>第六章投标文件（格式）</w:t>
      </w:r>
      <w:bookmarkEnd w:id="222"/>
      <w:bookmarkEnd w:id="223"/>
    </w:p>
    <w:p>
      <w:pPr>
        <w:outlineLvl w:val="1"/>
        <w:rPr>
          <w:b/>
          <w:bCs/>
          <w:color w:val="auto"/>
          <w:sz w:val="32"/>
          <w:szCs w:val="32"/>
        </w:rPr>
      </w:pPr>
      <w:bookmarkStart w:id="233" w:name="_Toc486695806"/>
      <w:bookmarkStart w:id="234" w:name="_Toc486867150"/>
      <w:bookmarkStart w:id="235" w:name="_Toc498627082"/>
      <w:bookmarkStart w:id="236" w:name="_Toc498698226"/>
      <w:bookmarkStart w:id="237" w:name="_Toc478137727"/>
      <w:bookmarkStart w:id="238" w:name="_Toc6939"/>
      <w:bookmarkStart w:id="239" w:name="_Toc1762"/>
      <w:bookmarkStart w:id="240" w:name="_Toc31410"/>
      <w:r>
        <w:rPr>
          <w:b/>
          <w:bCs/>
          <w:color w:val="auto"/>
          <w:sz w:val="30"/>
          <w:szCs w:val="30"/>
        </w:rPr>
        <w:t>投标文件封面格式</w:t>
      </w:r>
      <w:bookmarkEnd w:id="233"/>
      <w:bookmarkEnd w:id="234"/>
      <w:bookmarkEnd w:id="235"/>
      <w:bookmarkEnd w:id="236"/>
      <w:bookmarkEnd w:id="237"/>
      <w:r>
        <w:rPr>
          <w:b/>
          <w:bCs/>
          <w:color w:val="auto"/>
          <w:sz w:val="30"/>
          <w:szCs w:val="30"/>
        </w:rPr>
        <w:t>：</w:t>
      </w:r>
      <w:bookmarkEnd w:id="238"/>
      <w:bookmarkEnd w:id="239"/>
      <w:bookmarkEnd w:id="240"/>
    </w:p>
    <w:p>
      <w:pPr>
        <w:adjustRightInd w:val="0"/>
        <w:snapToGrid w:val="0"/>
        <w:jc w:val="right"/>
        <w:rPr>
          <w:b/>
          <w:color w:val="auto"/>
          <w:sz w:val="44"/>
          <w:szCs w:val="44"/>
        </w:rPr>
      </w:pPr>
      <w:r>
        <w:rPr>
          <w:rFonts w:eastAsia="方正宋黑简体"/>
          <w:b/>
          <w:color w:val="auto"/>
          <w:sz w:val="32"/>
          <w:szCs w:val="32"/>
        </w:rPr>
        <w:t>正本/副本</w:t>
      </w:r>
    </w:p>
    <w:p>
      <w:pPr>
        <w:adjustRightInd w:val="0"/>
        <w:snapToGrid w:val="0"/>
        <w:rPr>
          <w:b/>
          <w:color w:val="auto"/>
          <w:sz w:val="44"/>
          <w:szCs w:val="44"/>
        </w:rPr>
      </w:pPr>
    </w:p>
    <w:p>
      <w:pPr>
        <w:adjustRightInd w:val="0"/>
        <w:snapToGrid w:val="0"/>
        <w:jc w:val="center"/>
        <w:rPr>
          <w:b/>
          <w:color w:val="auto"/>
          <w:sz w:val="44"/>
          <w:szCs w:val="44"/>
        </w:rPr>
      </w:pPr>
      <w:bookmarkStart w:id="241" w:name="_Toc13659_WPSOffice_Level1"/>
      <w:bookmarkStart w:id="242" w:name="_Toc3441_WPSOffice_Level1"/>
      <w:r>
        <w:rPr>
          <w:rFonts w:eastAsia="方正大标宋简体"/>
          <w:bCs/>
          <w:color w:val="auto"/>
          <w:sz w:val="72"/>
          <w:szCs w:val="72"/>
        </w:rPr>
        <w:t>投标文件</w:t>
      </w:r>
      <w:bookmarkEnd w:id="241"/>
      <w:bookmarkEnd w:id="242"/>
    </w:p>
    <w:p>
      <w:pPr>
        <w:adjustRightInd w:val="0"/>
        <w:snapToGrid w:val="0"/>
        <w:rPr>
          <w:b/>
          <w:color w:val="auto"/>
          <w:sz w:val="44"/>
          <w:szCs w:val="44"/>
        </w:rPr>
      </w:pPr>
    </w:p>
    <w:p>
      <w:pPr>
        <w:adjustRightInd w:val="0"/>
        <w:snapToGrid w:val="0"/>
        <w:rPr>
          <w:b/>
          <w:color w:val="auto"/>
          <w:sz w:val="44"/>
          <w:szCs w:val="44"/>
        </w:rPr>
      </w:pPr>
    </w:p>
    <w:p>
      <w:pPr>
        <w:ind w:firstLine="1059" w:firstLineChars="353"/>
        <w:rPr>
          <w:rFonts w:eastAsia="方正大标宋简体"/>
          <w:color w:val="auto"/>
          <w:sz w:val="30"/>
          <w:szCs w:val="30"/>
        </w:rPr>
      </w:pPr>
      <w:r>
        <w:rPr>
          <w:rFonts w:eastAsia="方正大标宋简体"/>
          <w:bCs/>
          <w:color w:val="auto"/>
          <w:sz w:val="30"/>
          <w:szCs w:val="30"/>
        </w:rPr>
        <w:t>项目名称：</w:t>
      </w:r>
      <w:r>
        <w:rPr>
          <w:rFonts w:hint="eastAsia" w:eastAsia="方正大标宋简体"/>
          <w:bCs/>
          <w:color w:val="auto"/>
          <w:sz w:val="30"/>
          <w:szCs w:val="30"/>
          <w:u w:val="single"/>
        </w:rPr>
        <w:t>五期学生公寓楼组合公寓床采购</w:t>
      </w:r>
    </w:p>
    <w:p>
      <w:pPr>
        <w:ind w:firstLine="1059" w:firstLineChars="353"/>
        <w:rPr>
          <w:rFonts w:eastAsia="方正大标宋简体"/>
          <w:bCs/>
          <w:color w:val="auto"/>
          <w:sz w:val="30"/>
          <w:szCs w:val="30"/>
          <w:u w:val="single"/>
        </w:rPr>
      </w:pPr>
      <w:r>
        <w:rPr>
          <w:rFonts w:eastAsia="方正大标宋简体"/>
          <w:bCs/>
          <w:color w:val="auto"/>
          <w:sz w:val="30"/>
          <w:szCs w:val="30"/>
        </w:rPr>
        <w:t>项目编号：</w:t>
      </w:r>
      <w:r>
        <w:rPr>
          <w:rFonts w:hint="eastAsia" w:eastAsia="方正大标宋简体"/>
          <w:bCs/>
          <w:color w:val="auto"/>
          <w:sz w:val="30"/>
          <w:szCs w:val="30"/>
          <w:u w:val="single"/>
        </w:rPr>
        <w:t>GXZC2020-G1-001981-GLSZ</w:t>
      </w:r>
    </w:p>
    <w:p>
      <w:pPr>
        <w:ind w:firstLine="741" w:firstLineChars="353"/>
        <w:rPr>
          <w:color w:val="auto"/>
        </w:rPr>
      </w:pPr>
    </w:p>
    <w:p>
      <w:pPr>
        <w:snapToGrid w:val="0"/>
        <w:spacing w:beforeLines="50" w:after="50"/>
        <w:rPr>
          <w:rFonts w:eastAsia="方正大标宋简体"/>
          <w:bCs/>
          <w:color w:val="auto"/>
          <w:sz w:val="28"/>
          <w:szCs w:val="28"/>
        </w:rPr>
      </w:pPr>
    </w:p>
    <w:p>
      <w:pPr>
        <w:snapToGrid w:val="0"/>
        <w:spacing w:beforeLines="50" w:after="50"/>
        <w:ind w:firstLine="1260" w:firstLineChars="450"/>
        <w:rPr>
          <w:rFonts w:eastAsia="方正大标宋简体"/>
          <w:bCs/>
          <w:color w:val="auto"/>
          <w:sz w:val="28"/>
          <w:szCs w:val="28"/>
        </w:rPr>
      </w:pPr>
    </w:p>
    <w:p>
      <w:pPr>
        <w:snapToGrid w:val="0"/>
        <w:spacing w:beforeLines="50" w:after="50"/>
        <w:ind w:firstLine="1260" w:firstLineChars="450"/>
        <w:rPr>
          <w:rFonts w:eastAsia="方正大标宋简体"/>
          <w:bCs/>
          <w:color w:val="auto"/>
          <w:sz w:val="28"/>
          <w:szCs w:val="28"/>
        </w:rPr>
      </w:pPr>
    </w:p>
    <w:p>
      <w:pPr>
        <w:ind w:firstLine="964" w:firstLineChars="300"/>
        <w:jc w:val="left"/>
        <w:rPr>
          <w:b/>
          <w:color w:val="auto"/>
          <w:sz w:val="32"/>
          <w:szCs w:val="32"/>
        </w:rPr>
      </w:pPr>
    </w:p>
    <w:p>
      <w:pPr>
        <w:pStyle w:val="16"/>
        <w:ind w:left="980" w:hanging="560" w:hangingChars="200"/>
        <w:rPr>
          <w:rFonts w:ascii="Times New Roman" w:hAnsi="Times New Roman" w:eastAsia="方正宋黑简体"/>
          <w:bCs/>
          <w:color w:val="auto"/>
          <w:sz w:val="28"/>
          <w:szCs w:val="28"/>
          <w:u w:val="single"/>
        </w:rPr>
      </w:pPr>
      <w:r>
        <w:rPr>
          <w:rFonts w:ascii="Times New Roman" w:hAnsi="Times New Roman" w:eastAsia="方正宋黑简体"/>
          <w:bCs/>
          <w:color w:val="auto"/>
          <w:sz w:val="28"/>
          <w:szCs w:val="28"/>
        </w:rPr>
        <w:t>采购代理机构：</w:t>
      </w:r>
      <w:r>
        <w:rPr>
          <w:rFonts w:hint="eastAsia" w:ascii="Times New Roman" w:hAnsi="Times New Roman" w:eastAsia="方正宋黑简体"/>
          <w:bCs/>
          <w:color w:val="auto"/>
          <w:sz w:val="28"/>
          <w:szCs w:val="28"/>
          <w:u w:val="single"/>
        </w:rPr>
        <w:t>桂林市政府集中采购中心</w:t>
      </w:r>
    </w:p>
    <w:p>
      <w:pPr>
        <w:pStyle w:val="16"/>
        <w:ind w:left="980" w:hanging="560" w:hangingChars="200"/>
        <w:rPr>
          <w:rFonts w:ascii="Times New Roman" w:hAnsi="Times New Roman" w:eastAsia="方正宋黑简体"/>
          <w:bCs/>
          <w:color w:val="auto"/>
          <w:sz w:val="28"/>
          <w:szCs w:val="28"/>
        </w:rPr>
      </w:pPr>
      <w:bookmarkStart w:id="243" w:name="_Toc20319_WPSOffice_Level2"/>
      <w:bookmarkStart w:id="244" w:name="_Toc4932_WPSOffice_Level2"/>
      <w:r>
        <w:rPr>
          <w:rFonts w:ascii="Times New Roman" w:hAnsi="Times New Roman" w:eastAsia="方正宋黑简体"/>
          <w:bCs/>
          <w:color w:val="auto"/>
          <w:sz w:val="28"/>
          <w:szCs w:val="28"/>
        </w:rPr>
        <w:t>投标人（公章、自然人除外）：</w:t>
      </w:r>
      <w:bookmarkEnd w:id="243"/>
      <w:bookmarkEnd w:id="244"/>
    </w:p>
    <w:p>
      <w:pPr>
        <w:pStyle w:val="18"/>
        <w:spacing w:line="320" w:lineRule="exact"/>
        <w:ind w:firstLine="420"/>
        <w:rPr>
          <w:rFonts w:ascii="Times New Roman" w:hAnsi="Times New Roman" w:eastAsia="方正宋黑简体"/>
          <w:color w:val="auto"/>
          <w:sz w:val="28"/>
          <w:szCs w:val="28"/>
        </w:rPr>
      </w:pPr>
      <w:bookmarkStart w:id="245" w:name="_Toc11679_WPSOffice_Level2"/>
      <w:bookmarkStart w:id="246" w:name="_Toc4767_WPSOffice_Level2"/>
      <w:r>
        <w:rPr>
          <w:rFonts w:ascii="Times New Roman" w:hAnsi="Times New Roman" w:eastAsia="方正宋黑简体"/>
          <w:color w:val="auto"/>
          <w:sz w:val="28"/>
          <w:szCs w:val="28"/>
        </w:rPr>
        <w:t>法定代表人、负责人、自然人或相应的委托代理人签字（或盖章）</w:t>
      </w:r>
    </w:p>
    <w:p>
      <w:pPr>
        <w:pStyle w:val="16"/>
        <w:ind w:left="980" w:hanging="560" w:hangingChars="200"/>
        <w:rPr>
          <w:rFonts w:ascii="Times New Roman" w:hAnsi="Times New Roman" w:eastAsia="方正宋黑简体"/>
          <w:color w:val="auto"/>
          <w:sz w:val="28"/>
          <w:szCs w:val="28"/>
          <w:u w:val="single"/>
        </w:rPr>
      </w:pPr>
      <w:r>
        <w:rPr>
          <w:rFonts w:ascii="Times New Roman" w:hAnsi="Times New Roman" w:eastAsia="方正宋黑简体"/>
          <w:color w:val="auto"/>
          <w:sz w:val="28"/>
          <w:szCs w:val="28"/>
        </w:rPr>
        <w:t>（属自然人的应在签名处加盖大拇指指印）：</w:t>
      </w:r>
      <w:bookmarkEnd w:id="245"/>
      <w:bookmarkEnd w:id="246"/>
      <w:bookmarkStart w:id="247" w:name="_Toc9622_WPSOffice_Level2"/>
      <w:bookmarkStart w:id="248" w:name="_Toc32056_WPSOffice_Level2"/>
    </w:p>
    <w:p>
      <w:pPr>
        <w:pStyle w:val="16"/>
        <w:ind w:left="980" w:hanging="560" w:hangingChars="200"/>
        <w:rPr>
          <w:rFonts w:ascii="Times New Roman" w:hAnsi="Times New Roman" w:eastAsia="方正宋黑简体"/>
          <w:bCs/>
          <w:color w:val="auto"/>
          <w:sz w:val="28"/>
          <w:szCs w:val="28"/>
          <w:u w:val="single"/>
        </w:rPr>
      </w:pPr>
      <w:r>
        <w:rPr>
          <w:rFonts w:ascii="Times New Roman" w:hAnsi="Times New Roman" w:eastAsia="方正宋黑简体"/>
          <w:bCs/>
          <w:color w:val="auto"/>
          <w:sz w:val="28"/>
          <w:szCs w:val="28"/>
        </w:rPr>
        <w:t>联系电话：</w:t>
      </w:r>
      <w:bookmarkEnd w:id="247"/>
      <w:bookmarkEnd w:id="248"/>
    </w:p>
    <w:p>
      <w:pPr>
        <w:pStyle w:val="16"/>
        <w:ind w:left="980" w:hanging="560" w:hangingChars="200"/>
        <w:rPr>
          <w:rFonts w:ascii="Times New Roman" w:hAnsi="Times New Roman"/>
          <w:b/>
          <w:color w:val="auto"/>
          <w:sz w:val="32"/>
          <w:szCs w:val="32"/>
        </w:rPr>
      </w:pPr>
      <w:bookmarkStart w:id="249" w:name="_Toc26465_WPSOffice_Level2"/>
      <w:bookmarkStart w:id="250" w:name="_Toc15933_WPSOffice_Level2"/>
      <w:r>
        <w:rPr>
          <w:rFonts w:ascii="Times New Roman" w:hAnsi="Times New Roman" w:eastAsia="方正宋黑简体"/>
          <w:bCs/>
          <w:color w:val="auto"/>
          <w:sz w:val="28"/>
          <w:szCs w:val="28"/>
        </w:rPr>
        <w:t>日期：年月日</w:t>
      </w:r>
      <w:bookmarkEnd w:id="249"/>
      <w:bookmarkEnd w:id="250"/>
    </w:p>
    <w:p>
      <w:pPr>
        <w:spacing w:line="400" w:lineRule="exact"/>
        <w:jc w:val="center"/>
        <w:outlineLvl w:val="1"/>
        <w:rPr>
          <w:b/>
          <w:color w:val="auto"/>
          <w:sz w:val="32"/>
          <w:szCs w:val="32"/>
        </w:rPr>
      </w:pPr>
      <w:r>
        <w:rPr>
          <w:b/>
          <w:color w:val="auto"/>
          <w:sz w:val="32"/>
          <w:szCs w:val="32"/>
        </w:rPr>
        <w:br w:type="page"/>
      </w:r>
      <w:bookmarkStart w:id="251" w:name="_Toc495841785"/>
      <w:bookmarkStart w:id="252" w:name="_Toc28664"/>
      <w:bookmarkStart w:id="253" w:name="_Toc4531"/>
      <w:r>
        <w:rPr>
          <w:b/>
          <w:color w:val="auto"/>
          <w:sz w:val="32"/>
          <w:szCs w:val="32"/>
        </w:rPr>
        <w:t>投标文件目录</w:t>
      </w:r>
      <w:bookmarkEnd w:id="251"/>
      <w:bookmarkEnd w:id="252"/>
      <w:bookmarkEnd w:id="253"/>
    </w:p>
    <w:p>
      <w:pPr>
        <w:tabs>
          <w:tab w:val="left" w:pos="1305"/>
        </w:tabs>
        <w:spacing w:line="380" w:lineRule="exact"/>
        <w:ind w:firstLine="422" w:firstLineChars="150"/>
        <w:rPr>
          <w:b/>
          <w:color w:val="auto"/>
          <w:sz w:val="28"/>
          <w:szCs w:val="28"/>
        </w:rPr>
      </w:pPr>
      <w:r>
        <w:rPr>
          <w:b/>
          <w:color w:val="auto"/>
          <w:sz w:val="28"/>
          <w:szCs w:val="28"/>
        </w:rPr>
        <w:t>一、投标报价表</w:t>
      </w:r>
    </w:p>
    <w:p>
      <w:pPr>
        <w:tabs>
          <w:tab w:val="left" w:pos="1305"/>
        </w:tabs>
        <w:spacing w:line="380" w:lineRule="exact"/>
        <w:ind w:firstLine="422" w:firstLineChars="150"/>
        <w:rPr>
          <w:b/>
          <w:color w:val="auto"/>
          <w:sz w:val="28"/>
          <w:szCs w:val="28"/>
        </w:rPr>
      </w:pPr>
      <w:r>
        <w:rPr>
          <w:b/>
          <w:color w:val="auto"/>
          <w:sz w:val="28"/>
          <w:szCs w:val="28"/>
        </w:rPr>
        <w:t>二、资格性响应证明材料</w:t>
      </w:r>
    </w:p>
    <w:p>
      <w:pPr>
        <w:spacing w:line="400" w:lineRule="exact"/>
        <w:ind w:firstLine="411" w:firstLineChars="196"/>
        <w:rPr>
          <w:color w:val="auto"/>
          <w:szCs w:val="21"/>
        </w:rPr>
      </w:pPr>
      <w:r>
        <w:rPr>
          <w:rFonts w:hint="eastAsia"/>
          <w:color w:val="auto"/>
          <w:szCs w:val="21"/>
          <w:lang w:val="en-US" w:eastAsia="zh-CN"/>
        </w:rPr>
        <w:t>1.</w:t>
      </w:r>
      <w:r>
        <w:rPr>
          <w:color w:val="auto"/>
          <w:szCs w:val="21"/>
        </w:rPr>
        <w:t>投标人相应的法定代表人、负责人、自然人身份证正反面复印件</w:t>
      </w:r>
      <w:r>
        <w:rPr>
          <w:b/>
          <w:bCs/>
          <w:color w:val="auto"/>
          <w:szCs w:val="21"/>
        </w:rPr>
        <w:t>（必须提供）</w:t>
      </w:r>
      <w:r>
        <w:rPr>
          <w:color w:val="auto"/>
          <w:szCs w:val="21"/>
        </w:rPr>
        <w:t>；</w:t>
      </w:r>
    </w:p>
    <w:p>
      <w:pPr>
        <w:spacing w:line="400" w:lineRule="exact"/>
        <w:ind w:firstLine="411" w:firstLineChars="196"/>
        <w:rPr>
          <w:color w:val="auto"/>
          <w:szCs w:val="21"/>
          <w:u w:val="none"/>
        </w:rPr>
      </w:pPr>
      <w:r>
        <w:rPr>
          <w:rFonts w:hint="eastAsia"/>
          <w:color w:val="auto"/>
          <w:szCs w:val="21"/>
          <w:u w:val="none"/>
          <w:lang w:val="en-US" w:eastAsia="zh-CN"/>
        </w:rPr>
        <w:t>2.</w:t>
      </w:r>
      <w:r>
        <w:rPr>
          <w:rFonts w:hint="eastAsia"/>
          <w:color w:val="auto"/>
          <w:szCs w:val="21"/>
          <w:u w:val="none"/>
        </w:rPr>
        <w:t>投标人的授权委托书原件、委托代理人身份证正反面复印件以及由县级以上（含县级）社会养老保险经办机构出具的投标人为委托代理人交纳的开标截止时间前半年内任意连续三个月社保证明复印件（如投标人为截标时间前60日以内成立的公司，可以提供投标人与委托代理人签订的劳动合同复印件代替社保证明复印件；如投标人为事业单位，可以提供事业单位机构编制管理证复印件或事业单位机构为其发放工资的工资条复印件代替社保证明复印件；如委托代理人为免缴纳社保人员，提供免缴纳社保的证明材料复印件及投标人与委托代理人签订的劳动合同复印件代替社保证明复印件）【自然人投标的应提供由县级以上（含县级）社会养老保险经办机构出具的自然人本人及委托代理人所交纳的开标截止时间前半年内任意连续三个月社保证明复印件】</w:t>
      </w:r>
      <w:r>
        <w:rPr>
          <w:b/>
          <w:color w:val="auto"/>
          <w:szCs w:val="21"/>
          <w:u w:val="none"/>
        </w:rPr>
        <w:t>（委托代理时必须提供）；</w:t>
      </w:r>
    </w:p>
    <w:p>
      <w:pPr>
        <w:spacing w:line="400" w:lineRule="exact"/>
        <w:ind w:firstLine="411" w:firstLineChars="196"/>
        <w:rPr>
          <w:color w:val="auto"/>
          <w:szCs w:val="21"/>
          <w:u w:val="none"/>
        </w:rPr>
      </w:pPr>
      <w:r>
        <w:rPr>
          <w:rFonts w:hint="eastAsia"/>
          <w:color w:val="auto"/>
          <w:szCs w:val="21"/>
          <w:u w:val="none"/>
          <w:lang w:val="en-US" w:eastAsia="zh-CN"/>
        </w:rPr>
        <w:t>3.</w:t>
      </w:r>
      <w:r>
        <w:rPr>
          <w:color w:val="auto"/>
          <w:szCs w:val="21"/>
          <w:u w:val="none"/>
        </w:rPr>
        <w:t>投标人的法人或者其他组织营业执照等证明文件复印件</w:t>
      </w:r>
      <w:r>
        <w:rPr>
          <w:b/>
          <w:color w:val="auto"/>
          <w:szCs w:val="21"/>
          <w:u w:val="none"/>
        </w:rPr>
        <w:t>（必须提供，自然人除外）</w:t>
      </w:r>
      <w:r>
        <w:rPr>
          <w:color w:val="auto"/>
          <w:szCs w:val="21"/>
          <w:u w:val="none"/>
        </w:rPr>
        <w:t>；</w:t>
      </w:r>
    </w:p>
    <w:p>
      <w:pPr>
        <w:tabs>
          <w:tab w:val="left" w:pos="1305"/>
        </w:tabs>
        <w:spacing w:line="400" w:lineRule="exact"/>
        <w:ind w:firstLine="422" w:firstLineChars="200"/>
        <w:rPr>
          <w:color w:val="auto"/>
          <w:szCs w:val="21"/>
          <w:u w:val="none"/>
        </w:rPr>
      </w:pPr>
      <w:r>
        <w:rPr>
          <w:b/>
          <w:color w:val="auto"/>
          <w:szCs w:val="21"/>
          <w:u w:val="none"/>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r>
        <w:rPr>
          <w:rFonts w:hint="eastAsia"/>
          <w:b/>
          <w:color w:val="auto"/>
          <w:szCs w:val="21"/>
          <w:u w:val="none"/>
        </w:rPr>
        <w:t>（所需材料均为复印件）</w:t>
      </w:r>
    </w:p>
    <w:p>
      <w:pPr>
        <w:spacing w:line="400" w:lineRule="exact"/>
        <w:ind w:firstLine="411" w:firstLineChars="196"/>
        <w:rPr>
          <w:rFonts w:hint="eastAsia"/>
          <w:color w:val="auto"/>
          <w:szCs w:val="21"/>
          <w:u w:val="none"/>
          <w:lang w:val="en-US" w:eastAsia="zh-CN"/>
        </w:rPr>
      </w:pPr>
      <w:r>
        <w:rPr>
          <w:rFonts w:hint="eastAsia"/>
          <w:color w:val="auto"/>
          <w:szCs w:val="21"/>
          <w:u w:val="none"/>
          <w:lang w:val="en-US" w:eastAsia="zh-CN"/>
        </w:rPr>
        <w:t>4.供应商近三年中任一年度经第三方审计的财务状况报告复印件（或银行出具的资信证明或财政部门认可的政府采购专业担保机构出具的投标担保函）</w:t>
      </w:r>
      <w:r>
        <w:rPr>
          <w:rFonts w:hint="eastAsia"/>
          <w:b/>
          <w:bCs/>
          <w:color w:val="auto"/>
          <w:szCs w:val="21"/>
          <w:u w:val="none"/>
          <w:lang w:val="en-US" w:eastAsia="zh-CN"/>
        </w:rPr>
        <w:t>（必须提供）</w:t>
      </w:r>
      <w:r>
        <w:rPr>
          <w:rFonts w:hint="eastAsia"/>
          <w:color w:val="auto"/>
          <w:szCs w:val="21"/>
          <w:u w:val="none"/>
          <w:lang w:val="en-US" w:eastAsia="zh-CN"/>
        </w:rPr>
        <w:t>；</w:t>
      </w:r>
    </w:p>
    <w:p>
      <w:pPr>
        <w:spacing w:line="400" w:lineRule="exact"/>
        <w:ind w:firstLine="411" w:firstLineChars="196"/>
        <w:rPr>
          <w:rFonts w:hint="eastAsia"/>
          <w:color w:val="auto"/>
          <w:szCs w:val="21"/>
          <w:u w:val="none"/>
          <w:lang w:val="en-US" w:eastAsia="zh-CN"/>
        </w:rPr>
      </w:pPr>
      <w:r>
        <w:rPr>
          <w:rFonts w:hint="eastAsia"/>
          <w:color w:val="auto"/>
          <w:szCs w:val="21"/>
          <w:u w:val="none"/>
          <w:lang w:val="en-US" w:eastAsia="zh-CN"/>
        </w:rPr>
        <w:t>5.投标人参加政府采购活动前3年内在经营活动中没有重大违法记录及有关信用信息的书面声明</w:t>
      </w:r>
      <w:r>
        <w:rPr>
          <w:rFonts w:hint="eastAsia"/>
          <w:b/>
          <w:bCs/>
          <w:color w:val="auto"/>
          <w:szCs w:val="21"/>
          <w:u w:val="none"/>
          <w:lang w:val="en-US" w:eastAsia="zh-CN"/>
        </w:rPr>
        <w:t>（必须提供）</w:t>
      </w:r>
      <w:r>
        <w:rPr>
          <w:rFonts w:hint="eastAsia"/>
          <w:color w:val="auto"/>
          <w:szCs w:val="21"/>
          <w:u w:val="none"/>
          <w:lang w:val="en-US" w:eastAsia="zh-CN"/>
        </w:rPr>
        <w:t>；</w:t>
      </w:r>
    </w:p>
    <w:p>
      <w:pPr>
        <w:spacing w:line="400" w:lineRule="exact"/>
        <w:ind w:firstLine="411" w:firstLineChars="196"/>
        <w:rPr>
          <w:rFonts w:hint="eastAsia"/>
          <w:color w:val="auto"/>
          <w:szCs w:val="21"/>
          <w:u w:val="none"/>
          <w:lang w:val="en-US" w:eastAsia="zh-CN"/>
        </w:rPr>
      </w:pPr>
      <w:r>
        <w:rPr>
          <w:rFonts w:hint="eastAsia"/>
          <w:color w:val="auto"/>
          <w:szCs w:val="21"/>
          <w:u w:val="none"/>
          <w:lang w:val="en-US" w:eastAsia="zh-CN"/>
        </w:rPr>
        <w:t>6.供应商近半年内任意一个月或任一季度依法缴纳税收的证明材料（增值税发票或企业所得税完税证明或税务部门出具的免税证明）复印件</w:t>
      </w:r>
      <w:r>
        <w:rPr>
          <w:rFonts w:hint="eastAsia"/>
          <w:b/>
          <w:bCs/>
          <w:color w:val="auto"/>
          <w:szCs w:val="21"/>
          <w:u w:val="none"/>
          <w:lang w:val="en-US" w:eastAsia="zh-CN"/>
        </w:rPr>
        <w:t>（必须提供）</w:t>
      </w:r>
      <w:r>
        <w:rPr>
          <w:rFonts w:hint="eastAsia"/>
          <w:color w:val="auto"/>
          <w:szCs w:val="21"/>
          <w:u w:val="none"/>
          <w:lang w:val="en-US" w:eastAsia="zh-CN"/>
        </w:rPr>
        <w:t>；</w:t>
      </w:r>
    </w:p>
    <w:p>
      <w:pPr>
        <w:tabs>
          <w:tab w:val="left" w:pos="1305"/>
        </w:tabs>
        <w:spacing w:line="380" w:lineRule="exact"/>
        <w:ind w:firstLine="422" w:firstLineChars="150"/>
        <w:rPr>
          <w:b/>
          <w:color w:val="auto"/>
          <w:sz w:val="28"/>
          <w:szCs w:val="28"/>
        </w:rPr>
      </w:pPr>
      <w:r>
        <w:rPr>
          <w:b/>
          <w:color w:val="auto"/>
          <w:sz w:val="28"/>
          <w:szCs w:val="28"/>
        </w:rPr>
        <w:t>三、商务、技术性响应及其他证明材料：</w:t>
      </w:r>
    </w:p>
    <w:p>
      <w:pPr>
        <w:tabs>
          <w:tab w:val="left" w:pos="1305"/>
        </w:tabs>
        <w:spacing w:line="360" w:lineRule="exact"/>
        <w:ind w:firstLine="420" w:firstLineChars="200"/>
        <w:rPr>
          <w:color w:val="auto"/>
          <w:szCs w:val="21"/>
        </w:rPr>
      </w:pPr>
      <w:r>
        <w:rPr>
          <w:color w:val="auto"/>
          <w:szCs w:val="21"/>
        </w:rPr>
        <w:t>1.技术规格偏离表</w:t>
      </w:r>
      <w:r>
        <w:rPr>
          <w:rFonts w:hint="eastAsia"/>
          <w:b/>
          <w:bCs/>
          <w:color w:val="auto"/>
          <w:szCs w:val="21"/>
          <w:u w:val="none"/>
          <w:lang w:val="en-US" w:eastAsia="zh-CN"/>
        </w:rPr>
        <w:t>（必须提供）</w:t>
      </w:r>
    </w:p>
    <w:p>
      <w:pPr>
        <w:tabs>
          <w:tab w:val="left" w:pos="1305"/>
        </w:tabs>
        <w:spacing w:line="360" w:lineRule="exact"/>
        <w:ind w:firstLine="420" w:firstLineChars="200"/>
        <w:rPr>
          <w:color w:val="auto"/>
          <w:szCs w:val="21"/>
        </w:rPr>
      </w:pPr>
      <w:r>
        <w:rPr>
          <w:color w:val="auto"/>
          <w:szCs w:val="21"/>
        </w:rPr>
        <w:t>2.商务响应表</w:t>
      </w:r>
      <w:r>
        <w:rPr>
          <w:rFonts w:hint="eastAsia"/>
          <w:b/>
          <w:bCs/>
          <w:color w:val="auto"/>
          <w:szCs w:val="21"/>
          <w:u w:val="none"/>
          <w:lang w:val="en-US" w:eastAsia="zh-CN"/>
        </w:rPr>
        <w:t>（必须提供）</w:t>
      </w:r>
    </w:p>
    <w:p>
      <w:pPr>
        <w:tabs>
          <w:tab w:val="left" w:pos="1305"/>
        </w:tabs>
        <w:spacing w:line="360" w:lineRule="exact"/>
        <w:ind w:firstLine="420" w:firstLineChars="200"/>
        <w:rPr>
          <w:color w:val="auto"/>
        </w:rPr>
      </w:pPr>
      <w:r>
        <w:rPr>
          <w:color w:val="auto"/>
          <w:szCs w:val="21"/>
        </w:rPr>
        <w:t>3.“货物采购需求”需提供的有效证明文件</w:t>
      </w:r>
      <w:r>
        <w:rPr>
          <w:b/>
          <w:bCs/>
          <w:color w:val="auto"/>
          <w:szCs w:val="21"/>
        </w:rPr>
        <w:t>（按其要求提供）</w:t>
      </w:r>
    </w:p>
    <w:p>
      <w:pPr>
        <w:tabs>
          <w:tab w:val="left" w:pos="1305"/>
        </w:tabs>
        <w:spacing w:line="360" w:lineRule="exact"/>
        <w:ind w:firstLine="420" w:firstLineChars="200"/>
        <w:rPr>
          <w:b/>
          <w:color w:val="auto"/>
          <w:szCs w:val="21"/>
        </w:rPr>
      </w:pPr>
      <w:r>
        <w:rPr>
          <w:color w:val="auto"/>
          <w:szCs w:val="21"/>
        </w:rPr>
        <w:t>4.投标人的售后服务承诺书</w:t>
      </w:r>
      <w:r>
        <w:rPr>
          <w:rFonts w:hint="eastAsia"/>
          <w:b/>
          <w:bCs/>
          <w:color w:val="auto"/>
          <w:szCs w:val="21"/>
          <w:u w:val="none"/>
          <w:lang w:val="en-US" w:eastAsia="zh-CN"/>
        </w:rPr>
        <w:t>（必须提供）</w:t>
      </w:r>
    </w:p>
    <w:p>
      <w:pPr>
        <w:spacing w:line="360" w:lineRule="exact"/>
        <w:ind w:firstLine="420" w:firstLineChars="200"/>
        <w:rPr>
          <w:rFonts w:hint="eastAsia" w:eastAsia="宋体"/>
          <w:color w:val="auto"/>
          <w:szCs w:val="21"/>
          <w:lang w:eastAsia="zh-CN"/>
        </w:rPr>
      </w:pPr>
      <w:r>
        <w:rPr>
          <w:color w:val="auto"/>
          <w:szCs w:val="21"/>
        </w:rPr>
        <w:t>5.项目实施人员一览表</w:t>
      </w:r>
      <w:r>
        <w:rPr>
          <w:rFonts w:hint="eastAsia"/>
          <w:b/>
          <w:bCs/>
          <w:color w:val="auto"/>
          <w:szCs w:val="21"/>
          <w:lang w:eastAsia="zh-CN"/>
        </w:rPr>
        <w:t>（</w:t>
      </w:r>
      <w:r>
        <w:rPr>
          <w:rFonts w:hint="eastAsia"/>
          <w:b/>
          <w:bCs/>
          <w:color w:val="auto"/>
          <w:szCs w:val="21"/>
          <w:lang w:val="en-US" w:eastAsia="zh-CN"/>
        </w:rPr>
        <w:t>如有，请提供</w:t>
      </w:r>
      <w:r>
        <w:rPr>
          <w:rFonts w:hint="eastAsia"/>
          <w:b/>
          <w:bCs/>
          <w:color w:val="auto"/>
          <w:szCs w:val="21"/>
          <w:lang w:eastAsia="zh-CN"/>
        </w:rPr>
        <w:t>）</w:t>
      </w:r>
    </w:p>
    <w:p>
      <w:pPr>
        <w:snapToGrid w:val="0"/>
        <w:spacing w:line="360" w:lineRule="exact"/>
        <w:ind w:firstLine="420" w:firstLineChars="200"/>
        <w:rPr>
          <w:color w:val="auto"/>
          <w:szCs w:val="21"/>
        </w:rPr>
      </w:pPr>
      <w:r>
        <w:rPr>
          <w:color w:val="auto"/>
          <w:szCs w:val="20"/>
        </w:rPr>
        <w:t>6.</w:t>
      </w:r>
      <w:r>
        <w:rPr>
          <w:color w:val="auto"/>
          <w:szCs w:val="21"/>
        </w:rPr>
        <w:t>节能方面的证书复印件</w:t>
      </w:r>
      <w:r>
        <w:rPr>
          <w:rFonts w:hint="eastAsia"/>
          <w:b/>
          <w:bCs/>
          <w:color w:val="auto"/>
          <w:szCs w:val="21"/>
          <w:lang w:eastAsia="zh-CN"/>
        </w:rPr>
        <w:t>（</w:t>
      </w:r>
      <w:r>
        <w:rPr>
          <w:rFonts w:hint="eastAsia"/>
          <w:b/>
          <w:bCs/>
          <w:color w:val="auto"/>
          <w:szCs w:val="21"/>
          <w:lang w:val="en-US" w:eastAsia="zh-CN"/>
        </w:rPr>
        <w:t>如有，请提供</w:t>
      </w:r>
      <w:r>
        <w:rPr>
          <w:rFonts w:hint="eastAsia"/>
          <w:b/>
          <w:bCs/>
          <w:color w:val="auto"/>
          <w:szCs w:val="21"/>
          <w:lang w:eastAsia="zh-CN"/>
        </w:rPr>
        <w:t>）</w:t>
      </w:r>
    </w:p>
    <w:p>
      <w:pPr>
        <w:snapToGrid w:val="0"/>
        <w:spacing w:line="360" w:lineRule="exact"/>
        <w:ind w:firstLine="420" w:firstLineChars="200"/>
        <w:rPr>
          <w:color w:val="auto"/>
          <w:szCs w:val="20"/>
        </w:rPr>
      </w:pPr>
      <w:r>
        <w:rPr>
          <w:color w:val="auto"/>
          <w:szCs w:val="20"/>
        </w:rPr>
        <w:t>7.</w:t>
      </w:r>
      <w:r>
        <w:rPr>
          <w:rFonts w:hint="eastAsia"/>
          <w:color w:val="auto"/>
          <w:szCs w:val="21"/>
        </w:rPr>
        <w:t>环境</w:t>
      </w:r>
      <w:r>
        <w:rPr>
          <w:color w:val="auto"/>
          <w:szCs w:val="21"/>
        </w:rPr>
        <w:t>标志方面的证书复印件</w:t>
      </w:r>
      <w:r>
        <w:rPr>
          <w:rFonts w:hint="eastAsia"/>
          <w:b/>
          <w:bCs/>
          <w:color w:val="auto"/>
          <w:szCs w:val="21"/>
          <w:lang w:eastAsia="zh-CN"/>
        </w:rPr>
        <w:t>（</w:t>
      </w:r>
      <w:r>
        <w:rPr>
          <w:rFonts w:hint="eastAsia"/>
          <w:b/>
          <w:bCs/>
          <w:color w:val="auto"/>
          <w:szCs w:val="21"/>
          <w:lang w:val="en-US" w:eastAsia="zh-CN"/>
        </w:rPr>
        <w:t>如有，请提供</w:t>
      </w:r>
      <w:r>
        <w:rPr>
          <w:rFonts w:hint="eastAsia"/>
          <w:b/>
          <w:bCs/>
          <w:color w:val="auto"/>
          <w:szCs w:val="21"/>
          <w:lang w:eastAsia="zh-CN"/>
        </w:rPr>
        <w:t>）</w:t>
      </w:r>
    </w:p>
    <w:p>
      <w:pPr>
        <w:tabs>
          <w:tab w:val="left" w:pos="1305"/>
        </w:tabs>
        <w:spacing w:line="360" w:lineRule="exact"/>
        <w:ind w:firstLine="420" w:firstLineChars="200"/>
        <w:rPr>
          <w:rFonts w:hint="eastAsia"/>
          <w:color w:val="auto"/>
          <w:szCs w:val="21"/>
        </w:rPr>
      </w:pPr>
      <w:r>
        <w:rPr>
          <w:rFonts w:hint="eastAsia"/>
          <w:color w:val="auto"/>
          <w:szCs w:val="21"/>
        </w:rPr>
        <w:t>8</w:t>
      </w:r>
      <w:r>
        <w:rPr>
          <w:color w:val="auto"/>
          <w:szCs w:val="21"/>
        </w:rPr>
        <w:t>.</w:t>
      </w:r>
      <w:r>
        <w:rPr>
          <w:rFonts w:hint="eastAsia" w:hAnsi="宋体"/>
          <w:bCs/>
          <w:color w:val="auto"/>
        </w:rPr>
        <w:t>投标人自 201</w:t>
      </w:r>
      <w:r>
        <w:rPr>
          <w:rFonts w:hint="eastAsia" w:hAnsi="宋体"/>
          <w:bCs/>
          <w:color w:val="auto"/>
          <w:lang w:val="en-US" w:eastAsia="zh-CN"/>
        </w:rPr>
        <w:t>7</w:t>
      </w:r>
      <w:r>
        <w:rPr>
          <w:rFonts w:hint="eastAsia" w:hAnsi="宋体"/>
          <w:bCs/>
          <w:color w:val="auto"/>
        </w:rPr>
        <w:t>年1月1日以来具有同类产品（金属床、金属柜）的销售业绩</w:t>
      </w:r>
      <w:r>
        <w:rPr>
          <w:rFonts w:hint="eastAsia"/>
          <w:color w:val="auto"/>
        </w:rPr>
        <w:t>的相关证明材料</w:t>
      </w:r>
      <w:r>
        <w:rPr>
          <w:rFonts w:hint="eastAsia"/>
          <w:b/>
          <w:bCs/>
          <w:color w:val="auto"/>
          <w:szCs w:val="21"/>
          <w:lang w:eastAsia="zh-CN"/>
        </w:rPr>
        <w:t>（</w:t>
      </w:r>
      <w:r>
        <w:rPr>
          <w:rFonts w:hint="eastAsia"/>
          <w:b/>
          <w:bCs/>
          <w:color w:val="auto"/>
          <w:szCs w:val="21"/>
          <w:lang w:val="en-US" w:eastAsia="zh-CN"/>
        </w:rPr>
        <w:t>如有，请提供</w:t>
      </w:r>
      <w:r>
        <w:rPr>
          <w:rFonts w:hint="eastAsia"/>
          <w:b/>
          <w:bCs/>
          <w:color w:val="auto"/>
          <w:szCs w:val="21"/>
          <w:lang w:eastAsia="zh-CN"/>
        </w:rPr>
        <w:t>）</w:t>
      </w:r>
    </w:p>
    <w:p>
      <w:pPr>
        <w:tabs>
          <w:tab w:val="left" w:pos="1305"/>
        </w:tabs>
        <w:spacing w:line="360" w:lineRule="exact"/>
        <w:ind w:firstLine="420" w:firstLineChars="200"/>
        <w:rPr>
          <w:color w:val="auto"/>
          <w:szCs w:val="21"/>
        </w:rPr>
      </w:pPr>
      <w:r>
        <w:rPr>
          <w:rFonts w:hint="eastAsia"/>
          <w:color w:val="auto"/>
          <w:szCs w:val="21"/>
        </w:rPr>
        <w:t>9</w:t>
      </w:r>
      <w:r>
        <w:rPr>
          <w:color w:val="auto"/>
          <w:szCs w:val="21"/>
        </w:rPr>
        <w:t>.投标人为生产厂家的，投标人的生产制造设备清单及专业技术能力说明</w:t>
      </w:r>
      <w:r>
        <w:rPr>
          <w:rFonts w:hint="eastAsia"/>
          <w:b/>
          <w:bCs/>
          <w:color w:val="auto"/>
          <w:szCs w:val="21"/>
          <w:lang w:eastAsia="zh-CN"/>
        </w:rPr>
        <w:t>（</w:t>
      </w:r>
      <w:r>
        <w:rPr>
          <w:rFonts w:hint="eastAsia"/>
          <w:b/>
          <w:bCs/>
          <w:color w:val="auto"/>
          <w:szCs w:val="21"/>
          <w:lang w:val="en-US" w:eastAsia="zh-CN"/>
        </w:rPr>
        <w:t>如有，请提供</w:t>
      </w:r>
      <w:r>
        <w:rPr>
          <w:rFonts w:hint="eastAsia"/>
          <w:b/>
          <w:bCs/>
          <w:color w:val="auto"/>
          <w:szCs w:val="21"/>
          <w:lang w:eastAsia="zh-CN"/>
        </w:rPr>
        <w:t>）</w:t>
      </w:r>
    </w:p>
    <w:p>
      <w:pPr>
        <w:tabs>
          <w:tab w:val="left" w:pos="1305"/>
        </w:tabs>
        <w:spacing w:line="360" w:lineRule="exact"/>
        <w:ind w:firstLine="420" w:firstLineChars="200"/>
        <w:rPr>
          <w:color w:val="auto"/>
          <w:szCs w:val="21"/>
        </w:rPr>
      </w:pPr>
      <w:r>
        <w:rPr>
          <w:color w:val="auto"/>
        </w:rPr>
        <w:t>1</w:t>
      </w:r>
      <w:r>
        <w:rPr>
          <w:rFonts w:hint="eastAsia"/>
          <w:color w:val="auto"/>
        </w:rPr>
        <w:t>0</w:t>
      </w:r>
      <w:r>
        <w:rPr>
          <w:color w:val="auto"/>
        </w:rPr>
        <w:t>.</w:t>
      </w:r>
      <w:r>
        <w:rPr>
          <w:color w:val="auto"/>
          <w:szCs w:val="20"/>
        </w:rPr>
        <w:t>投标人相关获奖证书、认证证书等复印件</w:t>
      </w:r>
      <w:r>
        <w:rPr>
          <w:rFonts w:hint="eastAsia"/>
          <w:b/>
          <w:bCs/>
          <w:color w:val="auto"/>
          <w:szCs w:val="21"/>
          <w:lang w:eastAsia="zh-CN"/>
        </w:rPr>
        <w:t>（</w:t>
      </w:r>
      <w:r>
        <w:rPr>
          <w:rFonts w:hint="eastAsia"/>
          <w:b/>
          <w:bCs/>
          <w:color w:val="auto"/>
          <w:szCs w:val="21"/>
          <w:lang w:val="en-US" w:eastAsia="zh-CN"/>
        </w:rPr>
        <w:t>如有，请提供</w:t>
      </w:r>
      <w:r>
        <w:rPr>
          <w:rFonts w:hint="eastAsia"/>
          <w:b/>
          <w:bCs/>
          <w:color w:val="auto"/>
          <w:szCs w:val="21"/>
          <w:lang w:eastAsia="zh-CN"/>
        </w:rPr>
        <w:t>）</w:t>
      </w:r>
    </w:p>
    <w:p>
      <w:pPr>
        <w:tabs>
          <w:tab w:val="left" w:pos="1305"/>
        </w:tabs>
        <w:spacing w:line="360" w:lineRule="exact"/>
        <w:ind w:firstLine="420" w:firstLineChars="200"/>
        <w:rPr>
          <w:color w:val="auto"/>
        </w:rPr>
      </w:pPr>
      <w:r>
        <w:rPr>
          <w:color w:val="auto"/>
          <w:szCs w:val="21"/>
        </w:rPr>
        <w:t>1</w:t>
      </w:r>
      <w:r>
        <w:rPr>
          <w:rFonts w:hint="eastAsia"/>
          <w:color w:val="auto"/>
          <w:szCs w:val="21"/>
        </w:rPr>
        <w:t>1</w:t>
      </w:r>
      <w:r>
        <w:rPr>
          <w:color w:val="auto"/>
          <w:szCs w:val="21"/>
        </w:rPr>
        <w:t>.</w:t>
      </w:r>
      <w:r>
        <w:rPr>
          <w:color w:val="auto"/>
        </w:rPr>
        <w:t>投标人所投产品为广西工业产品的，如实提供《广西工业产品声明函》</w:t>
      </w:r>
      <w:r>
        <w:rPr>
          <w:rFonts w:hint="eastAsia"/>
          <w:b/>
          <w:bCs/>
          <w:color w:val="auto"/>
          <w:szCs w:val="21"/>
          <w:lang w:eastAsia="zh-CN"/>
        </w:rPr>
        <w:t>（</w:t>
      </w:r>
      <w:r>
        <w:rPr>
          <w:rFonts w:hint="eastAsia"/>
          <w:b/>
          <w:bCs/>
          <w:color w:val="auto"/>
          <w:szCs w:val="21"/>
          <w:lang w:val="en-US" w:eastAsia="zh-CN"/>
        </w:rPr>
        <w:t>如有，请提供</w:t>
      </w:r>
      <w:r>
        <w:rPr>
          <w:rFonts w:hint="eastAsia"/>
          <w:b/>
          <w:bCs/>
          <w:color w:val="auto"/>
          <w:szCs w:val="21"/>
          <w:lang w:eastAsia="zh-CN"/>
        </w:rPr>
        <w:t>）</w:t>
      </w:r>
    </w:p>
    <w:p>
      <w:pPr>
        <w:tabs>
          <w:tab w:val="left" w:pos="1305"/>
        </w:tabs>
        <w:spacing w:line="360" w:lineRule="exact"/>
        <w:ind w:firstLine="420" w:firstLineChars="200"/>
        <w:rPr>
          <w:rFonts w:hint="eastAsia"/>
          <w:color w:val="auto"/>
        </w:rPr>
      </w:pPr>
      <w:r>
        <w:rPr>
          <w:color w:val="auto"/>
        </w:rPr>
        <w:t>1</w:t>
      </w:r>
      <w:r>
        <w:rPr>
          <w:rFonts w:hint="eastAsia"/>
          <w:color w:val="auto"/>
        </w:rPr>
        <w:t>2</w:t>
      </w:r>
      <w:r>
        <w:rPr>
          <w:color w:val="auto"/>
        </w:rPr>
        <w:t>.如所提供服务企业属于小型、微型企业【中小微型企业划分标准按照《国家统计局关于印发《统计上大中小微型企业划分办法（2017）》的通知》（国统字[2017]213号）执行，具体划分标准见第四章评标办法中附表《统计上大中小微型企业划分标准》】，以提供的《中小企业声明函》（见附件）为准</w:t>
      </w:r>
      <w:r>
        <w:rPr>
          <w:b/>
          <w:bCs/>
          <w:color w:val="auto"/>
        </w:rPr>
        <w:t>（如有，请提供）</w:t>
      </w:r>
      <w:r>
        <w:rPr>
          <w:rFonts w:hint="eastAsia"/>
          <w:color w:val="auto"/>
        </w:rPr>
        <w:t>；</w:t>
      </w:r>
    </w:p>
    <w:p>
      <w:pPr>
        <w:tabs>
          <w:tab w:val="left" w:pos="1305"/>
        </w:tabs>
        <w:spacing w:line="360" w:lineRule="exact"/>
        <w:ind w:firstLine="420" w:firstLineChars="200"/>
        <w:rPr>
          <w:color w:val="auto"/>
        </w:rPr>
      </w:pPr>
      <w:r>
        <w:rPr>
          <w:color w:val="auto"/>
        </w:rPr>
        <w:t>1</w:t>
      </w:r>
      <w:r>
        <w:rPr>
          <w:rFonts w:hint="eastAsia"/>
          <w:color w:val="auto"/>
        </w:rPr>
        <w:t>3</w:t>
      </w:r>
      <w:r>
        <w:rPr>
          <w:color w:val="auto"/>
        </w:rPr>
        <w:t>.如产品属于监狱企业的，以提供由省级以上监狱管理局、戒毒管理局（含新疆生产建设兵团）出具的属于监狱企业的证明文件为准</w:t>
      </w:r>
      <w:r>
        <w:rPr>
          <w:b/>
          <w:bCs/>
          <w:color w:val="auto"/>
        </w:rPr>
        <w:t>（如有，请提供）</w:t>
      </w:r>
      <w:r>
        <w:rPr>
          <w:color w:val="auto"/>
        </w:rPr>
        <w:t>；</w:t>
      </w:r>
    </w:p>
    <w:p>
      <w:pPr>
        <w:tabs>
          <w:tab w:val="left" w:pos="1305"/>
        </w:tabs>
        <w:spacing w:line="360" w:lineRule="exact"/>
        <w:ind w:firstLine="420" w:firstLineChars="200"/>
        <w:rPr>
          <w:color w:val="auto"/>
          <w:szCs w:val="21"/>
        </w:rPr>
      </w:pPr>
      <w:r>
        <w:rPr>
          <w:bCs/>
          <w:color w:val="auto"/>
          <w:szCs w:val="21"/>
        </w:rPr>
        <w:t>1</w:t>
      </w:r>
      <w:r>
        <w:rPr>
          <w:rFonts w:hint="eastAsia"/>
          <w:bCs/>
          <w:color w:val="auto"/>
          <w:szCs w:val="21"/>
        </w:rPr>
        <w:t>4</w:t>
      </w:r>
      <w:r>
        <w:rPr>
          <w:bCs/>
          <w:color w:val="auto"/>
          <w:szCs w:val="21"/>
        </w:rPr>
        <w:t>.符合条件的残疾人福利性单位在参加政府采购活动时，应当提供《残疾人福利性单位声明函》（见附件），并对声明的真实性负责</w:t>
      </w:r>
      <w:r>
        <w:rPr>
          <w:rFonts w:hint="eastAsia"/>
          <w:b/>
          <w:bCs/>
          <w:color w:val="auto"/>
          <w:szCs w:val="21"/>
          <w:lang w:eastAsia="zh-CN"/>
        </w:rPr>
        <w:t>（</w:t>
      </w:r>
      <w:r>
        <w:rPr>
          <w:rFonts w:hint="eastAsia"/>
          <w:b/>
          <w:bCs/>
          <w:color w:val="auto"/>
          <w:szCs w:val="21"/>
          <w:lang w:val="en-US" w:eastAsia="zh-CN"/>
        </w:rPr>
        <w:t>如有，请提供</w:t>
      </w:r>
      <w:r>
        <w:rPr>
          <w:rFonts w:hint="eastAsia"/>
          <w:b/>
          <w:bCs/>
          <w:color w:val="auto"/>
          <w:szCs w:val="21"/>
          <w:lang w:eastAsia="zh-CN"/>
        </w:rPr>
        <w:t>）</w:t>
      </w:r>
    </w:p>
    <w:p>
      <w:pPr>
        <w:tabs>
          <w:tab w:val="left" w:pos="1305"/>
        </w:tabs>
        <w:spacing w:line="360" w:lineRule="exact"/>
        <w:ind w:firstLine="420" w:firstLineChars="200"/>
        <w:rPr>
          <w:rFonts w:hint="eastAsia"/>
          <w:color w:val="auto"/>
          <w:szCs w:val="21"/>
        </w:rPr>
      </w:pPr>
      <w:r>
        <w:rPr>
          <w:color w:val="auto"/>
          <w:szCs w:val="21"/>
        </w:rPr>
        <w:t>1</w:t>
      </w:r>
      <w:r>
        <w:rPr>
          <w:rFonts w:hint="eastAsia"/>
          <w:color w:val="auto"/>
          <w:szCs w:val="21"/>
        </w:rPr>
        <w:t>5</w:t>
      </w:r>
      <w:r>
        <w:rPr>
          <w:color w:val="auto"/>
          <w:szCs w:val="21"/>
        </w:rPr>
        <w:t>.投标人可结合本项目的评标办法视自身情况自行提交相关证明材料</w:t>
      </w:r>
      <w:r>
        <w:rPr>
          <w:rFonts w:hint="eastAsia"/>
          <w:b/>
          <w:bCs/>
          <w:color w:val="auto"/>
          <w:szCs w:val="21"/>
          <w:lang w:eastAsia="zh-CN"/>
        </w:rPr>
        <w:t>（</w:t>
      </w:r>
      <w:r>
        <w:rPr>
          <w:rFonts w:hint="eastAsia"/>
          <w:b/>
          <w:bCs/>
          <w:color w:val="auto"/>
          <w:szCs w:val="21"/>
          <w:lang w:val="en-US" w:eastAsia="zh-CN"/>
        </w:rPr>
        <w:t>如有，请提供</w:t>
      </w:r>
      <w:r>
        <w:rPr>
          <w:rFonts w:hint="eastAsia"/>
          <w:b/>
          <w:bCs/>
          <w:color w:val="auto"/>
          <w:szCs w:val="21"/>
          <w:lang w:eastAsia="zh-CN"/>
        </w:rPr>
        <w:t>）</w:t>
      </w:r>
    </w:p>
    <w:p>
      <w:pPr>
        <w:tabs>
          <w:tab w:val="left" w:pos="1305"/>
        </w:tabs>
        <w:spacing w:line="360" w:lineRule="exact"/>
        <w:ind w:firstLine="420" w:firstLineChars="200"/>
        <w:rPr>
          <w:color w:val="auto"/>
          <w:szCs w:val="21"/>
        </w:rPr>
      </w:pPr>
      <w:r>
        <w:rPr>
          <w:rFonts w:hint="eastAsia"/>
          <w:color w:val="auto"/>
          <w:szCs w:val="21"/>
        </w:rPr>
        <w:t>16.项目实施方案</w:t>
      </w:r>
      <w:r>
        <w:rPr>
          <w:rFonts w:hint="eastAsia"/>
          <w:b/>
          <w:bCs/>
          <w:color w:val="auto"/>
          <w:szCs w:val="21"/>
          <w:lang w:eastAsia="zh-CN"/>
        </w:rPr>
        <w:t>（</w:t>
      </w:r>
      <w:r>
        <w:rPr>
          <w:rFonts w:hint="eastAsia"/>
          <w:b/>
          <w:bCs/>
          <w:color w:val="auto"/>
          <w:szCs w:val="21"/>
          <w:lang w:val="en-US" w:eastAsia="zh-CN"/>
        </w:rPr>
        <w:t>如有，请提供</w:t>
      </w:r>
      <w:r>
        <w:rPr>
          <w:rFonts w:hint="eastAsia"/>
          <w:b/>
          <w:bCs/>
          <w:color w:val="auto"/>
          <w:szCs w:val="21"/>
          <w:lang w:eastAsia="zh-CN"/>
        </w:rPr>
        <w:t>）</w:t>
      </w:r>
    </w:p>
    <w:p>
      <w:pPr>
        <w:spacing w:line="400" w:lineRule="exact"/>
        <w:outlineLvl w:val="1"/>
        <w:rPr>
          <w:b/>
          <w:color w:val="auto"/>
          <w:sz w:val="32"/>
          <w:szCs w:val="32"/>
        </w:rPr>
      </w:pPr>
      <w:r>
        <w:rPr>
          <w:b/>
          <w:color w:val="auto"/>
          <w:sz w:val="32"/>
          <w:szCs w:val="32"/>
        </w:rPr>
        <w:br w:type="page"/>
      </w:r>
      <w:bookmarkStart w:id="254" w:name="_Toc495841786"/>
      <w:bookmarkStart w:id="255" w:name="_Toc20886"/>
      <w:bookmarkStart w:id="256" w:name="_Toc19671"/>
      <w:r>
        <w:rPr>
          <w:b/>
          <w:color w:val="auto"/>
          <w:sz w:val="32"/>
          <w:szCs w:val="32"/>
        </w:rPr>
        <w:t>一、投标报价表</w:t>
      </w:r>
      <w:bookmarkEnd w:id="254"/>
      <w:bookmarkEnd w:id="255"/>
      <w:bookmarkEnd w:id="256"/>
    </w:p>
    <w:p>
      <w:pPr>
        <w:spacing w:line="440" w:lineRule="atLeast"/>
        <w:jc w:val="center"/>
        <w:rPr>
          <w:b/>
          <w:color w:val="auto"/>
          <w:sz w:val="32"/>
          <w:szCs w:val="32"/>
        </w:rPr>
      </w:pPr>
      <w:r>
        <w:rPr>
          <w:b/>
          <w:color w:val="auto"/>
          <w:sz w:val="32"/>
          <w:szCs w:val="32"/>
        </w:rPr>
        <w:t>投标报价表（格式）</w:t>
      </w:r>
    </w:p>
    <w:p>
      <w:pPr>
        <w:spacing w:line="240" w:lineRule="exact"/>
        <w:jc w:val="center"/>
        <w:rPr>
          <w:color w:val="auto"/>
          <w:sz w:val="32"/>
        </w:rPr>
      </w:pPr>
    </w:p>
    <w:p>
      <w:pPr>
        <w:spacing w:line="400" w:lineRule="exact"/>
        <w:rPr>
          <w:rFonts w:hint="eastAsia"/>
          <w:color w:val="auto"/>
        </w:rPr>
      </w:pPr>
      <w:r>
        <w:rPr>
          <w:color w:val="auto"/>
          <w:szCs w:val="21"/>
        </w:rPr>
        <w:t>致：</w:t>
      </w:r>
      <w:r>
        <w:rPr>
          <w:rFonts w:hint="eastAsia"/>
          <w:color w:val="auto"/>
          <w:u w:val="single"/>
        </w:rPr>
        <w:t>桂林市政府集中采购中心</w:t>
      </w:r>
    </w:p>
    <w:p>
      <w:pPr>
        <w:spacing w:line="360" w:lineRule="exact"/>
        <w:ind w:firstLine="420"/>
        <w:rPr>
          <w:color w:val="auto"/>
        </w:rPr>
      </w:pPr>
      <w:r>
        <w:rPr>
          <w:color w:val="auto"/>
        </w:rPr>
        <w:t>根据贵方</w:t>
      </w:r>
      <w:r>
        <w:rPr>
          <w:color w:val="auto"/>
          <w:u w:val="single"/>
        </w:rPr>
        <w:t xml:space="preserve">           </w:t>
      </w:r>
      <w:r>
        <w:rPr>
          <w:color w:val="auto"/>
        </w:rPr>
        <w:t>项目招标文件，项目编号</w:t>
      </w:r>
      <w:r>
        <w:rPr>
          <w:color w:val="auto"/>
          <w:szCs w:val="21"/>
          <w:u w:val="single"/>
        </w:rPr>
        <w:t xml:space="preserve">            </w:t>
      </w:r>
      <w:r>
        <w:rPr>
          <w:color w:val="auto"/>
          <w:szCs w:val="21"/>
        </w:rPr>
        <w:t>，签字代表</w:t>
      </w:r>
      <w:r>
        <w:rPr>
          <w:color w:val="auto"/>
          <w:u w:val="single"/>
        </w:rPr>
        <w:t xml:space="preserve">         </w:t>
      </w:r>
      <w:r>
        <w:rPr>
          <w:color w:val="auto"/>
        </w:rPr>
        <w:t>（姓名）</w:t>
      </w:r>
      <w:r>
        <w:rPr>
          <w:rFonts w:hint="eastAsia"/>
          <w:color w:val="auto"/>
          <w:lang w:eastAsia="zh-CN"/>
        </w:rPr>
        <w:t>，</w:t>
      </w:r>
      <w:r>
        <w:rPr>
          <w:rFonts w:hint="eastAsia"/>
          <w:color w:val="auto"/>
          <w:lang w:val="en-US" w:eastAsia="zh-CN"/>
        </w:rPr>
        <w:t>身份证号码</w:t>
      </w:r>
      <w:r>
        <w:rPr>
          <w:rFonts w:hint="eastAsia"/>
          <w:color w:val="auto"/>
          <w:u w:val="single"/>
          <w:lang w:val="en-US" w:eastAsia="zh-CN"/>
        </w:rPr>
        <w:t xml:space="preserve">                    </w:t>
      </w:r>
      <w:r>
        <w:rPr>
          <w:color w:val="auto"/>
        </w:rPr>
        <w:t xml:space="preserve">经正式授权并代表投标人 </w:t>
      </w:r>
      <w:r>
        <w:rPr>
          <w:color w:val="auto"/>
          <w:u w:val="single"/>
        </w:rPr>
        <w:t xml:space="preserve">                                   （</w:t>
      </w:r>
      <w:r>
        <w:rPr>
          <w:color w:val="auto"/>
        </w:rPr>
        <w:t>投标单位名称），提交投标文件正本壹份，副本肆份，并做出如下报价：</w:t>
      </w:r>
    </w:p>
    <w:p>
      <w:pPr>
        <w:pStyle w:val="2"/>
        <w:rPr>
          <w:color w:val="auto"/>
        </w:rPr>
      </w:pPr>
    </w:p>
    <w:tbl>
      <w:tblPr>
        <w:tblStyle w:val="30"/>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2142"/>
        <w:gridCol w:w="1185"/>
        <w:gridCol w:w="2611"/>
        <w:gridCol w:w="988"/>
        <w:gridCol w:w="851"/>
        <w:gridCol w:w="14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709" w:type="dxa"/>
            <w:tcBorders>
              <w:top w:val="single" w:color="auto" w:sz="4" w:space="0"/>
              <w:left w:val="single" w:color="auto" w:sz="4" w:space="0"/>
              <w:bottom w:val="single" w:color="auto" w:sz="4" w:space="0"/>
              <w:right w:val="single" w:color="auto" w:sz="4" w:space="0"/>
            </w:tcBorders>
            <w:shd w:val="clear" w:color="auto" w:fill="8DB3E2"/>
            <w:noWrap w:val="0"/>
            <w:vAlign w:val="center"/>
          </w:tcPr>
          <w:p>
            <w:pPr>
              <w:spacing w:line="360" w:lineRule="exact"/>
              <w:jc w:val="center"/>
              <w:rPr>
                <w:b/>
                <w:color w:val="auto"/>
              </w:rPr>
            </w:pPr>
            <w:r>
              <w:rPr>
                <w:b/>
                <w:color w:val="auto"/>
              </w:rPr>
              <w:t>项号</w:t>
            </w:r>
          </w:p>
        </w:tc>
        <w:tc>
          <w:tcPr>
            <w:tcW w:w="2142" w:type="dxa"/>
            <w:tcBorders>
              <w:top w:val="single" w:color="auto" w:sz="4" w:space="0"/>
              <w:left w:val="single" w:color="auto" w:sz="4" w:space="0"/>
              <w:bottom w:val="single" w:color="auto" w:sz="4" w:space="0"/>
              <w:right w:val="single" w:color="auto" w:sz="4" w:space="0"/>
            </w:tcBorders>
            <w:shd w:val="clear" w:color="auto" w:fill="8DB3E2"/>
            <w:noWrap w:val="0"/>
            <w:vAlign w:val="center"/>
          </w:tcPr>
          <w:p>
            <w:pPr>
              <w:widowControl/>
              <w:jc w:val="center"/>
              <w:textAlignment w:val="center"/>
              <w:rPr>
                <w:b/>
                <w:color w:val="auto"/>
              </w:rPr>
            </w:pPr>
            <w:r>
              <w:rPr>
                <w:rFonts w:hint="eastAsia"/>
                <w:b/>
                <w:color w:val="auto"/>
              </w:rPr>
              <w:t>货物名称</w:t>
            </w:r>
          </w:p>
        </w:tc>
        <w:tc>
          <w:tcPr>
            <w:tcW w:w="1185" w:type="dxa"/>
            <w:tcBorders>
              <w:top w:val="single" w:color="auto" w:sz="4" w:space="0"/>
              <w:left w:val="single" w:color="auto" w:sz="4" w:space="0"/>
              <w:bottom w:val="single" w:color="auto" w:sz="4" w:space="0"/>
              <w:right w:val="single" w:color="auto" w:sz="4" w:space="0"/>
            </w:tcBorders>
            <w:shd w:val="clear" w:color="auto" w:fill="8DB3E2"/>
            <w:noWrap w:val="0"/>
            <w:vAlign w:val="center"/>
          </w:tcPr>
          <w:p>
            <w:pPr>
              <w:spacing w:line="360" w:lineRule="exact"/>
              <w:jc w:val="center"/>
              <w:rPr>
                <w:b/>
                <w:color w:val="auto"/>
              </w:rPr>
            </w:pPr>
            <w:r>
              <w:rPr>
                <w:b/>
                <w:color w:val="auto"/>
              </w:rPr>
              <w:t>生产厂家</w:t>
            </w:r>
          </w:p>
        </w:tc>
        <w:tc>
          <w:tcPr>
            <w:tcW w:w="2611" w:type="dxa"/>
            <w:tcBorders>
              <w:top w:val="single" w:color="auto" w:sz="4" w:space="0"/>
              <w:left w:val="single" w:color="auto" w:sz="4" w:space="0"/>
              <w:bottom w:val="single" w:color="auto" w:sz="4" w:space="0"/>
              <w:right w:val="single" w:color="auto" w:sz="4" w:space="0"/>
            </w:tcBorders>
            <w:shd w:val="clear" w:color="auto" w:fill="8DB3E2"/>
            <w:noWrap w:val="0"/>
            <w:vAlign w:val="center"/>
          </w:tcPr>
          <w:p>
            <w:pPr>
              <w:spacing w:line="360" w:lineRule="exact"/>
              <w:jc w:val="center"/>
              <w:rPr>
                <w:b/>
                <w:color w:val="auto"/>
              </w:rPr>
            </w:pPr>
            <w:r>
              <w:rPr>
                <w:b/>
                <w:color w:val="auto"/>
              </w:rPr>
              <w:t>品牌</w:t>
            </w:r>
            <w:r>
              <w:rPr>
                <w:rFonts w:hint="eastAsia"/>
                <w:b/>
                <w:color w:val="auto"/>
              </w:rPr>
              <w:t>、</w:t>
            </w:r>
            <w:r>
              <w:rPr>
                <w:b/>
                <w:color w:val="auto"/>
              </w:rPr>
              <w:t>规格型号</w:t>
            </w:r>
          </w:p>
        </w:tc>
        <w:tc>
          <w:tcPr>
            <w:tcW w:w="988" w:type="dxa"/>
            <w:tcBorders>
              <w:top w:val="single" w:color="auto" w:sz="4" w:space="0"/>
              <w:left w:val="single" w:color="auto" w:sz="4" w:space="0"/>
              <w:bottom w:val="single" w:color="auto" w:sz="4" w:space="0"/>
              <w:right w:val="single" w:color="auto" w:sz="4" w:space="0"/>
            </w:tcBorders>
            <w:shd w:val="clear" w:color="auto" w:fill="8DB3E2"/>
            <w:noWrap w:val="0"/>
            <w:vAlign w:val="center"/>
          </w:tcPr>
          <w:p>
            <w:pPr>
              <w:spacing w:line="360" w:lineRule="exact"/>
              <w:jc w:val="center"/>
              <w:rPr>
                <w:rFonts w:hint="eastAsia" w:ascii="宋体" w:hAnsi="宋体" w:cs="宋体"/>
                <w:b/>
                <w:color w:val="auto"/>
                <w:kern w:val="0"/>
                <w:szCs w:val="21"/>
                <w:lang w:bidi="ar"/>
              </w:rPr>
            </w:pPr>
            <w:r>
              <w:rPr>
                <w:rFonts w:hint="eastAsia" w:ascii="宋体" w:hAnsi="宋体" w:cs="宋体"/>
                <w:b/>
                <w:color w:val="auto"/>
                <w:kern w:val="0"/>
                <w:szCs w:val="21"/>
                <w:lang w:bidi="ar"/>
              </w:rPr>
              <w:t>数量</w:t>
            </w:r>
          </w:p>
          <w:p>
            <w:pPr>
              <w:spacing w:line="360" w:lineRule="exact"/>
              <w:jc w:val="center"/>
              <w:rPr>
                <w:b/>
                <w:color w:val="auto"/>
              </w:rPr>
            </w:pPr>
            <w:r>
              <w:rPr>
                <w:rFonts w:hint="eastAsia" w:ascii="宋体" w:hAnsi="宋体" w:cs="宋体"/>
                <w:b/>
                <w:color w:val="auto"/>
                <w:kern w:val="0"/>
                <w:szCs w:val="21"/>
                <w:lang w:bidi="ar"/>
              </w:rPr>
              <w:t>（单位）</w:t>
            </w:r>
            <w:r>
              <w:rPr>
                <w:b/>
                <w:color w:val="auto"/>
                <w:szCs w:val="21"/>
              </w:rPr>
              <w:t>①</w:t>
            </w:r>
          </w:p>
        </w:tc>
        <w:tc>
          <w:tcPr>
            <w:tcW w:w="851" w:type="dxa"/>
            <w:tcBorders>
              <w:top w:val="single" w:color="auto" w:sz="4" w:space="0"/>
              <w:left w:val="single" w:color="auto" w:sz="4" w:space="0"/>
              <w:bottom w:val="single" w:color="auto" w:sz="4" w:space="0"/>
              <w:right w:val="single" w:color="auto" w:sz="4" w:space="0"/>
            </w:tcBorders>
            <w:shd w:val="clear" w:color="auto" w:fill="8DB3E2"/>
            <w:noWrap w:val="0"/>
            <w:vAlign w:val="center"/>
          </w:tcPr>
          <w:p>
            <w:pPr>
              <w:spacing w:line="360" w:lineRule="exact"/>
              <w:jc w:val="center"/>
              <w:rPr>
                <w:b/>
                <w:color w:val="auto"/>
              </w:rPr>
            </w:pPr>
            <w:r>
              <w:rPr>
                <w:b/>
                <w:color w:val="auto"/>
              </w:rPr>
              <w:t>单价（元）</w:t>
            </w:r>
          </w:p>
          <w:p>
            <w:pPr>
              <w:spacing w:line="360" w:lineRule="exact"/>
              <w:jc w:val="center"/>
              <w:rPr>
                <w:b/>
                <w:color w:val="auto"/>
              </w:rPr>
            </w:pPr>
            <w:r>
              <w:rPr>
                <w:b/>
                <w:color w:val="auto"/>
                <w:szCs w:val="21"/>
              </w:rPr>
              <w:t>②</w:t>
            </w:r>
          </w:p>
        </w:tc>
        <w:tc>
          <w:tcPr>
            <w:tcW w:w="1403" w:type="dxa"/>
            <w:tcBorders>
              <w:top w:val="single" w:color="auto" w:sz="4" w:space="0"/>
              <w:left w:val="single" w:color="auto" w:sz="4" w:space="0"/>
              <w:bottom w:val="single" w:color="auto" w:sz="4" w:space="0"/>
            </w:tcBorders>
            <w:shd w:val="clear" w:color="auto" w:fill="8DB3E2"/>
            <w:noWrap w:val="0"/>
            <w:vAlign w:val="center"/>
          </w:tcPr>
          <w:p>
            <w:pPr>
              <w:spacing w:line="360" w:lineRule="exact"/>
              <w:jc w:val="center"/>
              <w:rPr>
                <w:b/>
                <w:color w:val="auto"/>
              </w:rPr>
            </w:pPr>
            <w:r>
              <w:rPr>
                <w:b/>
                <w:color w:val="auto"/>
              </w:rPr>
              <w:t>单项合计=数量×单价</w:t>
            </w:r>
          </w:p>
          <w:p>
            <w:pPr>
              <w:spacing w:line="360" w:lineRule="exact"/>
              <w:jc w:val="center"/>
              <w:rPr>
                <w:b/>
                <w:color w:val="auto"/>
              </w:rPr>
            </w:pPr>
            <w:r>
              <w:rPr>
                <w:b/>
                <w:color w:val="auto"/>
                <w:szCs w:val="21"/>
              </w:rPr>
              <w:t>③＝①×②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color w:val="auto"/>
                <w:szCs w:val="21"/>
              </w:rPr>
            </w:pPr>
            <w:r>
              <w:rPr>
                <w:rFonts w:hint="eastAsia"/>
                <w:color w:val="auto"/>
                <w:szCs w:val="21"/>
              </w:rPr>
              <w:t>1</w:t>
            </w:r>
          </w:p>
        </w:tc>
        <w:tc>
          <w:tcPr>
            <w:tcW w:w="2142" w:type="dxa"/>
            <w:tcBorders>
              <w:top w:val="single" w:color="auto" w:sz="4" w:space="0"/>
              <w:left w:val="single" w:color="auto" w:sz="4" w:space="0"/>
              <w:right w:val="single" w:color="auto" w:sz="4" w:space="0"/>
            </w:tcBorders>
            <w:noWrap w:val="0"/>
            <w:vAlign w:val="center"/>
          </w:tcPr>
          <w:p>
            <w:pPr>
              <w:spacing w:line="400" w:lineRule="exact"/>
              <w:rPr>
                <w:rFonts w:hint="eastAsia" w:ascii="宋体" w:hAnsi="宋体" w:cs="宋体"/>
                <w:color w:val="auto"/>
                <w:kern w:val="0"/>
                <w:szCs w:val="21"/>
              </w:rPr>
            </w:pPr>
          </w:p>
        </w:tc>
        <w:tc>
          <w:tcPr>
            <w:tcW w:w="1185" w:type="dxa"/>
            <w:tcBorders>
              <w:top w:val="single" w:color="auto" w:sz="4" w:space="0"/>
              <w:left w:val="single" w:color="auto" w:sz="4" w:space="0"/>
              <w:right w:val="single" w:color="auto" w:sz="4" w:space="0"/>
            </w:tcBorders>
            <w:noWrap w:val="0"/>
            <w:vAlign w:val="center"/>
          </w:tcPr>
          <w:p>
            <w:pPr>
              <w:spacing w:line="440" w:lineRule="exact"/>
              <w:jc w:val="center"/>
              <w:rPr>
                <w:color w:val="auto"/>
              </w:rPr>
            </w:pPr>
          </w:p>
        </w:tc>
        <w:tc>
          <w:tcPr>
            <w:tcW w:w="2611" w:type="dxa"/>
            <w:tcBorders>
              <w:top w:val="single" w:color="auto" w:sz="4" w:space="0"/>
              <w:left w:val="single" w:color="auto" w:sz="4" w:space="0"/>
              <w:right w:val="single" w:color="auto" w:sz="4" w:space="0"/>
            </w:tcBorders>
            <w:noWrap w:val="0"/>
            <w:vAlign w:val="center"/>
          </w:tcPr>
          <w:p>
            <w:pPr>
              <w:spacing w:line="440" w:lineRule="exact"/>
              <w:jc w:val="center"/>
              <w:rPr>
                <w:color w:val="auto"/>
              </w:rPr>
            </w:pPr>
          </w:p>
        </w:tc>
        <w:tc>
          <w:tcPr>
            <w:tcW w:w="988" w:type="dxa"/>
            <w:tcBorders>
              <w:top w:val="single" w:color="auto" w:sz="4" w:space="0"/>
              <w:left w:val="single" w:color="auto" w:sz="4" w:space="0"/>
              <w:right w:val="single" w:color="auto" w:sz="4" w:space="0"/>
            </w:tcBorders>
            <w:noWrap w:val="0"/>
            <w:vAlign w:val="center"/>
          </w:tcPr>
          <w:p>
            <w:pPr>
              <w:spacing w:line="360" w:lineRule="exact"/>
              <w:jc w:val="center"/>
              <w:rPr>
                <w:rFonts w:ascii="宋体" w:hAnsi="宋体" w:cs="宋体"/>
                <w:b/>
                <w:color w:val="auto"/>
                <w:kern w:val="0"/>
                <w:szCs w:val="21"/>
                <w:lang w:bidi="ar"/>
              </w:rPr>
            </w:pPr>
          </w:p>
        </w:tc>
        <w:tc>
          <w:tcPr>
            <w:tcW w:w="851" w:type="dxa"/>
            <w:tcBorders>
              <w:top w:val="single" w:color="auto" w:sz="4" w:space="0"/>
              <w:left w:val="single" w:color="auto" w:sz="4" w:space="0"/>
              <w:right w:val="single" w:color="auto" w:sz="4" w:space="0"/>
            </w:tcBorders>
            <w:noWrap w:val="0"/>
            <w:vAlign w:val="center"/>
          </w:tcPr>
          <w:p>
            <w:pPr>
              <w:spacing w:line="440" w:lineRule="exact"/>
              <w:jc w:val="center"/>
              <w:rPr>
                <w:b/>
                <w:bCs/>
                <w:color w:val="auto"/>
              </w:rPr>
            </w:pPr>
          </w:p>
        </w:tc>
        <w:tc>
          <w:tcPr>
            <w:tcW w:w="1403" w:type="dxa"/>
            <w:tcBorders>
              <w:top w:val="single" w:color="auto" w:sz="4" w:space="0"/>
              <w:left w:val="single" w:color="auto" w:sz="4" w:space="0"/>
            </w:tcBorders>
            <w:noWrap w:val="0"/>
            <w:vAlign w:val="center"/>
          </w:tcPr>
          <w:p>
            <w:pPr>
              <w:spacing w:line="440" w:lineRule="exact"/>
              <w:jc w:val="center"/>
              <w:rPr>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color w:val="auto"/>
                <w:szCs w:val="21"/>
              </w:rPr>
            </w:pPr>
            <w:r>
              <w:rPr>
                <w:rFonts w:hint="eastAsia"/>
                <w:color w:val="auto"/>
                <w:szCs w:val="21"/>
              </w:rPr>
              <w:t>2</w:t>
            </w:r>
          </w:p>
        </w:tc>
        <w:tc>
          <w:tcPr>
            <w:tcW w:w="214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color w:val="auto"/>
                <w:kern w:val="0"/>
                <w:szCs w:val="21"/>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rPr>
            </w:pPr>
          </w:p>
        </w:tc>
        <w:tc>
          <w:tcPr>
            <w:tcW w:w="261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rPr>
            </w:pPr>
          </w:p>
        </w:tc>
        <w:tc>
          <w:tcPr>
            <w:tcW w:w="98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宋体"/>
                <w:b/>
                <w:color w:val="auto"/>
                <w:kern w:val="0"/>
                <w:szCs w:val="21"/>
                <w:lang w:bidi="ar"/>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b/>
                <w:bCs/>
                <w:color w:val="auto"/>
              </w:rPr>
            </w:pPr>
          </w:p>
        </w:tc>
        <w:tc>
          <w:tcPr>
            <w:tcW w:w="1403" w:type="dxa"/>
            <w:tcBorders>
              <w:top w:val="single" w:color="auto" w:sz="4" w:space="0"/>
              <w:left w:val="single" w:color="auto" w:sz="4" w:space="0"/>
              <w:bottom w:val="single" w:color="auto" w:sz="4" w:space="0"/>
            </w:tcBorders>
            <w:noWrap w:val="0"/>
            <w:vAlign w:val="center"/>
          </w:tcPr>
          <w:p>
            <w:pPr>
              <w:spacing w:line="440" w:lineRule="exact"/>
              <w:jc w:val="center"/>
              <w:rPr>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szCs w:val="21"/>
              </w:rPr>
            </w:pPr>
            <w:r>
              <w:rPr>
                <w:rFonts w:hint="eastAsia"/>
                <w:color w:val="auto"/>
                <w:szCs w:val="21"/>
              </w:rPr>
              <w:t>3</w:t>
            </w:r>
          </w:p>
        </w:tc>
        <w:tc>
          <w:tcPr>
            <w:tcW w:w="214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color w:val="auto"/>
                <w:kern w:val="0"/>
                <w:szCs w:val="21"/>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rPr>
            </w:pPr>
          </w:p>
        </w:tc>
        <w:tc>
          <w:tcPr>
            <w:tcW w:w="261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rPr>
            </w:pPr>
          </w:p>
        </w:tc>
        <w:tc>
          <w:tcPr>
            <w:tcW w:w="98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宋体"/>
                <w:b/>
                <w:color w:val="auto"/>
                <w:kern w:val="0"/>
                <w:szCs w:val="21"/>
                <w:lang w:bidi="ar"/>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b/>
                <w:bCs/>
                <w:color w:val="auto"/>
              </w:rPr>
            </w:pPr>
          </w:p>
        </w:tc>
        <w:tc>
          <w:tcPr>
            <w:tcW w:w="1403" w:type="dxa"/>
            <w:tcBorders>
              <w:top w:val="single" w:color="auto" w:sz="4" w:space="0"/>
              <w:left w:val="single" w:color="auto" w:sz="4" w:space="0"/>
              <w:bottom w:val="single" w:color="auto" w:sz="4" w:space="0"/>
            </w:tcBorders>
            <w:noWrap w:val="0"/>
            <w:vAlign w:val="center"/>
          </w:tcPr>
          <w:p>
            <w:pPr>
              <w:spacing w:line="440" w:lineRule="exact"/>
              <w:jc w:val="center"/>
              <w:rPr>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color w:val="auto"/>
                <w:szCs w:val="21"/>
              </w:rPr>
            </w:pPr>
            <w:r>
              <w:rPr>
                <w:rFonts w:hint="eastAsia"/>
                <w:color w:val="auto"/>
                <w:szCs w:val="21"/>
              </w:rPr>
              <w:t>……</w:t>
            </w:r>
          </w:p>
        </w:tc>
        <w:tc>
          <w:tcPr>
            <w:tcW w:w="214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color w:val="auto"/>
                <w:kern w:val="0"/>
                <w:szCs w:val="21"/>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rPr>
            </w:pPr>
          </w:p>
        </w:tc>
        <w:tc>
          <w:tcPr>
            <w:tcW w:w="261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rPr>
            </w:pPr>
          </w:p>
        </w:tc>
        <w:tc>
          <w:tcPr>
            <w:tcW w:w="98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宋体"/>
                <w:b/>
                <w:color w:val="auto"/>
                <w:kern w:val="0"/>
                <w:szCs w:val="21"/>
                <w:lang w:bidi="ar"/>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b/>
                <w:bCs/>
                <w:color w:val="auto"/>
              </w:rPr>
            </w:pPr>
          </w:p>
        </w:tc>
        <w:tc>
          <w:tcPr>
            <w:tcW w:w="1403" w:type="dxa"/>
            <w:tcBorders>
              <w:top w:val="single" w:color="auto" w:sz="4" w:space="0"/>
              <w:left w:val="single" w:color="auto" w:sz="4" w:space="0"/>
              <w:bottom w:val="single" w:color="auto" w:sz="4" w:space="0"/>
            </w:tcBorders>
            <w:noWrap w:val="0"/>
            <w:vAlign w:val="center"/>
          </w:tcPr>
          <w:p>
            <w:pPr>
              <w:spacing w:line="440" w:lineRule="exact"/>
              <w:jc w:val="center"/>
              <w:rPr>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color w:val="auto"/>
                <w:szCs w:val="21"/>
              </w:rPr>
            </w:pPr>
            <w:r>
              <w:rPr>
                <w:rFonts w:hint="eastAsia"/>
                <w:color w:val="auto"/>
                <w:szCs w:val="21"/>
              </w:rPr>
              <w:t>5</w:t>
            </w:r>
          </w:p>
        </w:tc>
        <w:tc>
          <w:tcPr>
            <w:tcW w:w="214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color w:val="auto"/>
                <w:kern w:val="0"/>
                <w:szCs w:val="21"/>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rPr>
            </w:pPr>
          </w:p>
        </w:tc>
        <w:tc>
          <w:tcPr>
            <w:tcW w:w="261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rPr>
            </w:pPr>
          </w:p>
        </w:tc>
        <w:tc>
          <w:tcPr>
            <w:tcW w:w="98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宋体"/>
                <w:b/>
                <w:color w:val="auto"/>
                <w:kern w:val="0"/>
                <w:szCs w:val="21"/>
                <w:lang w:bidi="ar"/>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b/>
                <w:bCs/>
                <w:color w:val="auto"/>
              </w:rPr>
            </w:pPr>
          </w:p>
        </w:tc>
        <w:tc>
          <w:tcPr>
            <w:tcW w:w="1403" w:type="dxa"/>
            <w:tcBorders>
              <w:top w:val="single" w:color="auto" w:sz="4" w:space="0"/>
              <w:left w:val="single" w:color="auto" w:sz="4" w:space="0"/>
              <w:bottom w:val="single" w:color="auto" w:sz="4" w:space="0"/>
            </w:tcBorders>
            <w:noWrap w:val="0"/>
            <w:vAlign w:val="center"/>
          </w:tcPr>
          <w:p>
            <w:pPr>
              <w:spacing w:line="440" w:lineRule="exact"/>
              <w:jc w:val="center"/>
              <w:rPr>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889" w:type="dxa"/>
            <w:gridSpan w:val="7"/>
            <w:tcBorders>
              <w:top w:val="single" w:color="auto" w:sz="4" w:space="0"/>
              <w:left w:val="single" w:color="auto" w:sz="4" w:space="0"/>
              <w:bottom w:val="single" w:color="auto" w:sz="4" w:space="0"/>
            </w:tcBorders>
            <w:noWrap w:val="0"/>
            <w:vAlign w:val="center"/>
          </w:tcPr>
          <w:p>
            <w:pPr>
              <w:spacing w:line="440" w:lineRule="exact"/>
              <w:rPr>
                <w:b/>
                <w:bCs/>
                <w:color w:val="auto"/>
              </w:rPr>
            </w:pPr>
            <w:r>
              <w:rPr>
                <w:color w:val="auto"/>
                <w:spacing w:val="-6"/>
              </w:rPr>
              <w:t>投标总报价（大写）：                                            元（¥                      ）人民币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889" w:type="dxa"/>
            <w:gridSpan w:val="7"/>
            <w:tcBorders>
              <w:top w:val="single" w:color="auto" w:sz="4" w:space="0"/>
              <w:left w:val="single" w:color="auto" w:sz="4" w:space="0"/>
              <w:bottom w:val="single" w:color="auto" w:sz="4" w:space="0"/>
            </w:tcBorders>
            <w:noWrap w:val="0"/>
            <w:vAlign w:val="center"/>
          </w:tcPr>
          <w:p>
            <w:pPr>
              <w:spacing w:line="440" w:lineRule="exact"/>
              <w:rPr>
                <w:color w:val="auto"/>
                <w:spacing w:val="-6"/>
              </w:rPr>
            </w:pPr>
            <w:r>
              <w:rPr>
                <w:color w:val="auto"/>
                <w:spacing w:val="-6"/>
              </w:rPr>
              <w:t>本项目投标有效期为投标截止时间之日起90天。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889" w:type="dxa"/>
            <w:gridSpan w:val="7"/>
            <w:tcBorders>
              <w:top w:val="single" w:color="auto" w:sz="4" w:space="0"/>
              <w:left w:val="single" w:color="auto" w:sz="4" w:space="0"/>
              <w:bottom w:val="single" w:color="auto" w:sz="4" w:space="0"/>
            </w:tcBorders>
            <w:noWrap w:val="0"/>
            <w:vAlign w:val="center"/>
          </w:tcPr>
          <w:p>
            <w:pPr>
              <w:spacing w:line="440" w:lineRule="exact"/>
              <w:rPr>
                <w:color w:val="auto"/>
                <w:spacing w:val="-6"/>
              </w:rPr>
            </w:pPr>
            <w:r>
              <w:rPr>
                <w:color w:val="auto"/>
                <w:spacing w:val="-6"/>
              </w:rPr>
              <w:t>免费保修期:</w:t>
            </w:r>
          </w:p>
        </w:tc>
      </w:tr>
    </w:tbl>
    <w:p>
      <w:pPr>
        <w:spacing w:line="440" w:lineRule="exact"/>
        <w:ind w:firstLine="420"/>
        <w:rPr>
          <w:color w:val="auto"/>
        </w:rPr>
      </w:pPr>
      <w:r>
        <w:rPr>
          <w:color w:val="auto"/>
        </w:rPr>
        <w:t>与本投标有关的正式通讯地址为：</w:t>
      </w:r>
    </w:p>
    <w:p>
      <w:pPr>
        <w:spacing w:line="440" w:lineRule="exact"/>
        <w:ind w:firstLine="420"/>
        <w:rPr>
          <w:color w:val="auto"/>
          <w:u w:val="single"/>
        </w:rPr>
      </w:pPr>
      <w:r>
        <w:rPr>
          <w:color w:val="auto"/>
        </w:rPr>
        <w:t>地址：</w:t>
      </w:r>
      <w:r>
        <w:rPr>
          <w:color w:val="auto"/>
          <w:u w:val="single"/>
        </w:rPr>
        <w:t xml:space="preserve">                                   </w:t>
      </w:r>
      <w:r>
        <w:rPr>
          <w:color w:val="auto"/>
        </w:rPr>
        <w:t xml:space="preserve"> 邮编：</w:t>
      </w:r>
      <w:r>
        <w:rPr>
          <w:color w:val="auto"/>
          <w:u w:val="single"/>
        </w:rPr>
        <w:t xml:space="preserve">          </w:t>
      </w:r>
      <w:r>
        <w:rPr>
          <w:color w:val="auto"/>
        </w:rPr>
        <w:t xml:space="preserve">  电话、传真：</w:t>
      </w:r>
      <w:r>
        <w:rPr>
          <w:color w:val="auto"/>
          <w:u w:val="single"/>
        </w:rPr>
        <w:t xml:space="preserve">            </w:t>
      </w:r>
    </w:p>
    <w:p>
      <w:pPr>
        <w:spacing w:line="440" w:lineRule="exact"/>
        <w:ind w:firstLine="420"/>
        <w:rPr>
          <w:color w:val="auto"/>
        </w:rPr>
      </w:pPr>
      <w:r>
        <w:rPr>
          <w:color w:val="auto"/>
        </w:rPr>
        <w:t>开户名称：</w:t>
      </w:r>
      <w:r>
        <w:rPr>
          <w:color w:val="auto"/>
          <w:u w:val="single"/>
        </w:rPr>
        <w:t xml:space="preserve">                                        </w:t>
      </w:r>
    </w:p>
    <w:p>
      <w:pPr>
        <w:spacing w:line="440" w:lineRule="exact"/>
        <w:ind w:firstLine="420"/>
        <w:rPr>
          <w:color w:val="auto"/>
        </w:rPr>
      </w:pPr>
      <w:r>
        <w:rPr>
          <w:color w:val="auto"/>
        </w:rPr>
        <w:t>开户银行：</w:t>
      </w:r>
      <w:r>
        <w:rPr>
          <w:color w:val="auto"/>
          <w:u w:val="single"/>
        </w:rPr>
        <w:t xml:space="preserve">                                        </w:t>
      </w:r>
    </w:p>
    <w:p>
      <w:pPr>
        <w:spacing w:line="440" w:lineRule="exact"/>
        <w:ind w:firstLine="420"/>
        <w:rPr>
          <w:color w:val="auto"/>
        </w:rPr>
      </w:pPr>
      <w:r>
        <w:rPr>
          <w:color w:val="auto"/>
        </w:rPr>
        <w:t>账号：</w:t>
      </w:r>
      <w:r>
        <w:rPr>
          <w:color w:val="auto"/>
          <w:u w:val="single"/>
        </w:rPr>
        <w:t xml:space="preserve">                                            </w:t>
      </w:r>
    </w:p>
    <w:p>
      <w:pPr>
        <w:pStyle w:val="18"/>
        <w:spacing w:line="440" w:lineRule="exact"/>
        <w:ind w:firstLine="420"/>
        <w:rPr>
          <w:rFonts w:ascii="Times New Roman" w:hAnsi="Times New Roman"/>
          <w:color w:val="auto"/>
        </w:rPr>
      </w:pPr>
      <w:r>
        <w:rPr>
          <w:rFonts w:ascii="Times New Roman" w:hAnsi="Times New Roman"/>
          <w:color w:val="auto"/>
        </w:rPr>
        <w:t>投标人（公章，自然人除外）：</w:t>
      </w:r>
      <w:r>
        <w:rPr>
          <w:rFonts w:ascii="Times New Roman" w:hAnsi="Times New Roman"/>
          <w:color w:val="auto"/>
          <w:u w:val="single"/>
        </w:rPr>
        <w:t xml:space="preserve">                                              </w:t>
      </w:r>
    </w:p>
    <w:p>
      <w:pPr>
        <w:pStyle w:val="18"/>
        <w:spacing w:line="440" w:lineRule="exact"/>
        <w:ind w:firstLine="420"/>
        <w:rPr>
          <w:rFonts w:ascii="Times New Roman" w:hAnsi="Times New Roman"/>
          <w:color w:val="auto"/>
        </w:rPr>
      </w:pPr>
      <w:r>
        <w:rPr>
          <w:rFonts w:ascii="Times New Roman" w:hAnsi="Times New Roman"/>
          <w:color w:val="auto"/>
        </w:rPr>
        <w:t>法定代表人、负责人、自然人或相应的委托代理人签字（或盖章）</w:t>
      </w:r>
    </w:p>
    <w:p>
      <w:pPr>
        <w:spacing w:line="440" w:lineRule="exact"/>
        <w:ind w:firstLine="420"/>
        <w:rPr>
          <w:color w:val="auto"/>
        </w:rPr>
      </w:pPr>
      <w:r>
        <w:rPr>
          <w:color w:val="auto"/>
        </w:rPr>
        <w:t>（属自然人的应在签名处加盖大拇指指印）：</w:t>
      </w:r>
      <w:r>
        <w:rPr>
          <w:color w:val="auto"/>
          <w:u w:val="single"/>
        </w:rPr>
        <w:t xml:space="preserve">                       </w:t>
      </w:r>
    </w:p>
    <w:p>
      <w:pPr>
        <w:spacing w:line="440" w:lineRule="exact"/>
        <w:ind w:firstLine="420"/>
        <w:rPr>
          <w:color w:val="auto"/>
        </w:rPr>
      </w:pPr>
      <w:r>
        <w:rPr>
          <w:color w:val="auto"/>
        </w:rPr>
        <w:t>投标日期：</w:t>
      </w:r>
      <w:r>
        <w:rPr>
          <w:color w:val="auto"/>
          <w:u w:val="single"/>
        </w:rPr>
        <w:t xml:space="preserve">                               </w:t>
      </w:r>
    </w:p>
    <w:p>
      <w:pPr>
        <w:spacing w:line="400" w:lineRule="exact"/>
        <w:ind w:left="982" w:leftChars="200" w:hanging="562" w:hangingChars="200"/>
        <w:rPr>
          <w:b/>
          <w:bCs/>
          <w:color w:val="auto"/>
          <w:sz w:val="28"/>
          <w:szCs w:val="28"/>
        </w:rPr>
      </w:pPr>
    </w:p>
    <w:p>
      <w:pPr>
        <w:spacing w:line="400" w:lineRule="exact"/>
        <w:ind w:left="982" w:leftChars="200" w:hanging="562" w:hangingChars="200"/>
        <w:rPr>
          <w:b/>
          <w:bCs/>
          <w:color w:val="auto"/>
          <w:sz w:val="28"/>
          <w:szCs w:val="28"/>
        </w:rPr>
      </w:pPr>
    </w:p>
    <w:p>
      <w:pPr>
        <w:spacing w:line="400" w:lineRule="exact"/>
        <w:ind w:left="982" w:leftChars="200" w:hanging="562" w:hangingChars="200"/>
        <w:rPr>
          <w:b/>
          <w:color w:val="auto"/>
          <w:sz w:val="24"/>
        </w:rPr>
      </w:pPr>
      <w:r>
        <w:rPr>
          <w:b/>
          <w:bCs/>
          <w:color w:val="auto"/>
          <w:sz w:val="28"/>
          <w:szCs w:val="28"/>
        </w:rPr>
        <w:t>注：</w:t>
      </w:r>
      <w:r>
        <w:rPr>
          <w:b/>
          <w:color w:val="auto"/>
          <w:sz w:val="24"/>
        </w:rPr>
        <w:t>1.“投标报价表”各项内容必须如实填写。</w:t>
      </w:r>
    </w:p>
    <w:p>
      <w:pPr>
        <w:spacing w:line="400" w:lineRule="exact"/>
        <w:ind w:left="840" w:leftChars="400" w:firstLine="181" w:firstLineChars="75"/>
        <w:rPr>
          <w:b/>
          <w:color w:val="auto"/>
          <w:sz w:val="24"/>
        </w:rPr>
      </w:pPr>
      <w:r>
        <w:rPr>
          <w:b/>
          <w:color w:val="auto"/>
          <w:sz w:val="24"/>
        </w:rPr>
        <w:t>2.当本表由多页构成时，需逐页加盖投标人公章（属自然人的须逐页签字）。</w:t>
      </w:r>
    </w:p>
    <w:p>
      <w:pPr>
        <w:spacing w:line="400" w:lineRule="exact"/>
        <w:outlineLvl w:val="1"/>
        <w:rPr>
          <w:b/>
          <w:color w:val="auto"/>
          <w:sz w:val="32"/>
          <w:szCs w:val="32"/>
        </w:rPr>
      </w:pPr>
      <w:r>
        <w:rPr>
          <w:b/>
          <w:color w:val="auto"/>
          <w:sz w:val="32"/>
          <w:szCs w:val="32"/>
        </w:rPr>
        <w:br w:type="page"/>
      </w:r>
      <w:bookmarkStart w:id="257" w:name="_Toc495841787"/>
      <w:bookmarkStart w:id="258" w:name="_Toc27290"/>
      <w:bookmarkStart w:id="259" w:name="_Toc18369"/>
      <w:r>
        <w:rPr>
          <w:b/>
          <w:color w:val="auto"/>
          <w:sz w:val="32"/>
          <w:szCs w:val="32"/>
        </w:rPr>
        <w:t>二、资格性响应证明材料（格式）</w:t>
      </w:r>
      <w:bookmarkEnd w:id="257"/>
      <w:bookmarkEnd w:id="258"/>
      <w:bookmarkEnd w:id="259"/>
    </w:p>
    <w:p>
      <w:pPr>
        <w:pStyle w:val="4"/>
        <w:rPr>
          <w:color w:val="auto"/>
        </w:rPr>
      </w:pPr>
    </w:p>
    <w:p>
      <w:pPr>
        <w:tabs>
          <w:tab w:val="left" w:pos="1305"/>
        </w:tabs>
        <w:spacing w:line="400" w:lineRule="exact"/>
        <w:outlineLvl w:val="2"/>
        <w:rPr>
          <w:color w:val="auto"/>
          <w:szCs w:val="21"/>
        </w:rPr>
      </w:pPr>
      <w:bookmarkStart w:id="260" w:name="_Toc11828"/>
      <w:bookmarkStart w:id="261" w:name="_Toc495841788"/>
      <w:bookmarkStart w:id="262" w:name="_Toc30366"/>
      <w:r>
        <w:rPr>
          <w:b/>
          <w:color w:val="auto"/>
          <w:sz w:val="32"/>
          <w:szCs w:val="32"/>
        </w:rPr>
        <w:t>1.投标人相应的法定代表人、负责人、自然人身份证正反面复印件（必须提供）</w:t>
      </w:r>
      <w:bookmarkEnd w:id="260"/>
      <w:bookmarkEnd w:id="261"/>
      <w:bookmarkEnd w:id="262"/>
    </w:p>
    <w:p>
      <w:pPr>
        <w:tabs>
          <w:tab w:val="left" w:pos="1305"/>
        </w:tabs>
        <w:spacing w:line="400" w:lineRule="exact"/>
        <w:ind w:firstLine="643" w:firstLineChars="200"/>
        <w:rPr>
          <w:b/>
          <w:color w:val="auto"/>
          <w:sz w:val="32"/>
          <w:szCs w:val="32"/>
        </w:rPr>
      </w:pPr>
    </w:p>
    <w:p>
      <w:pPr>
        <w:tabs>
          <w:tab w:val="left" w:pos="1305"/>
        </w:tabs>
        <w:spacing w:line="400" w:lineRule="exact"/>
        <w:ind w:firstLine="643" w:firstLineChars="200"/>
        <w:rPr>
          <w:b/>
          <w:color w:val="auto"/>
          <w:sz w:val="32"/>
          <w:szCs w:val="32"/>
        </w:rPr>
      </w:pPr>
    </w:p>
    <w:p>
      <w:pPr>
        <w:numPr>
          <w:ilvl w:val="0"/>
          <w:numId w:val="13"/>
        </w:numPr>
        <w:tabs>
          <w:tab w:val="left" w:pos="1305"/>
          <w:tab w:val="clear" w:pos="312"/>
        </w:tabs>
        <w:spacing w:line="400" w:lineRule="exact"/>
        <w:outlineLvl w:val="2"/>
        <w:rPr>
          <w:b/>
          <w:color w:val="auto"/>
          <w:sz w:val="32"/>
          <w:szCs w:val="32"/>
        </w:rPr>
      </w:pPr>
      <w:bookmarkStart w:id="263" w:name="_Toc495841789"/>
      <w:bookmarkStart w:id="264" w:name="_Toc20136"/>
      <w:bookmarkStart w:id="265" w:name="_Toc11623"/>
      <w:r>
        <w:rPr>
          <w:rFonts w:hint="eastAsia"/>
          <w:b/>
          <w:color w:val="auto"/>
          <w:sz w:val="32"/>
          <w:szCs w:val="32"/>
        </w:rPr>
        <w:t>投标人的授权委托书原件、委托代理人身份证正反面复印件以及由县级以上（含县级）社会养老保险经办机构出具的投标人为委托代理人交纳的开标截止时间前半年内任意连续三个月社保证明复印件（如投标人为截标时间前60日以内成立的公司，可以提供投标人与委托代理人签订的劳动合同复印件代替社保证明复印件；如投标人为事业单位，可以提供事业单位机构编制管理证复印件或事业单位机构为其发放工资的工资条复印件代替社保证明复印件；如委托代理人为免缴纳社保人员，提供免缴纳社保的证明材料复印件及投标人与委托代理人签订的劳动合同复印件代替社保证明复印件）【自然人投标的应提供由县级以上（含县级）社会养老保险经办机构出具的自然人本人及委托代理人所交纳的开标截止时间前半年内任意连续三个月社保证明复印件】</w:t>
      </w:r>
      <w:r>
        <w:rPr>
          <w:b/>
          <w:color w:val="auto"/>
          <w:sz w:val="32"/>
          <w:szCs w:val="32"/>
        </w:rPr>
        <w:t>（委托代理时必须提供；）</w:t>
      </w:r>
      <w:bookmarkEnd w:id="263"/>
      <w:bookmarkEnd w:id="264"/>
      <w:bookmarkEnd w:id="265"/>
    </w:p>
    <w:p>
      <w:pPr>
        <w:pStyle w:val="4"/>
        <w:rPr>
          <w:color w:val="auto"/>
        </w:rPr>
      </w:pPr>
    </w:p>
    <w:p>
      <w:pPr>
        <w:jc w:val="center"/>
        <w:rPr>
          <w:b/>
          <w:color w:val="auto"/>
          <w:sz w:val="32"/>
        </w:rPr>
      </w:pPr>
    </w:p>
    <w:p>
      <w:pPr>
        <w:jc w:val="center"/>
        <w:rPr>
          <w:b/>
          <w:color w:val="auto"/>
          <w:sz w:val="32"/>
        </w:rPr>
      </w:pPr>
    </w:p>
    <w:p>
      <w:pPr>
        <w:jc w:val="center"/>
        <w:rPr>
          <w:b/>
          <w:color w:val="auto"/>
          <w:sz w:val="32"/>
        </w:rPr>
      </w:pPr>
    </w:p>
    <w:p>
      <w:pPr>
        <w:jc w:val="center"/>
        <w:rPr>
          <w:b/>
          <w:color w:val="auto"/>
          <w:sz w:val="32"/>
        </w:rPr>
      </w:pPr>
    </w:p>
    <w:p>
      <w:pPr>
        <w:jc w:val="center"/>
        <w:rPr>
          <w:b/>
          <w:color w:val="auto"/>
          <w:sz w:val="32"/>
        </w:rPr>
      </w:pPr>
    </w:p>
    <w:p>
      <w:pPr>
        <w:jc w:val="center"/>
        <w:rPr>
          <w:b/>
          <w:color w:val="auto"/>
          <w:sz w:val="32"/>
        </w:rPr>
      </w:pPr>
    </w:p>
    <w:p>
      <w:pPr>
        <w:jc w:val="center"/>
        <w:rPr>
          <w:b/>
          <w:color w:val="auto"/>
          <w:sz w:val="32"/>
        </w:rPr>
      </w:pPr>
    </w:p>
    <w:p>
      <w:pPr>
        <w:jc w:val="center"/>
        <w:rPr>
          <w:b/>
          <w:color w:val="auto"/>
          <w:sz w:val="32"/>
        </w:rPr>
      </w:pPr>
    </w:p>
    <w:p>
      <w:pPr>
        <w:jc w:val="center"/>
        <w:rPr>
          <w:b/>
          <w:color w:val="auto"/>
          <w:sz w:val="32"/>
        </w:rPr>
      </w:pPr>
    </w:p>
    <w:p>
      <w:pPr>
        <w:jc w:val="center"/>
        <w:rPr>
          <w:b/>
          <w:color w:val="auto"/>
          <w:sz w:val="32"/>
        </w:rPr>
      </w:pPr>
      <w:r>
        <w:rPr>
          <w:b/>
          <w:color w:val="auto"/>
          <w:sz w:val="32"/>
        </w:rPr>
        <w:t>授权委托书（格式一）</w:t>
      </w:r>
    </w:p>
    <w:p>
      <w:pPr>
        <w:snapToGrid w:val="0"/>
        <w:spacing w:line="400" w:lineRule="exact"/>
        <w:rPr>
          <w:rFonts w:hint="eastAsia"/>
          <w:color w:val="auto"/>
        </w:rPr>
      </w:pPr>
      <w:r>
        <w:rPr>
          <w:b/>
          <w:color w:val="auto"/>
          <w:szCs w:val="21"/>
        </w:rPr>
        <w:t>致</w:t>
      </w:r>
      <w:r>
        <w:rPr>
          <w:color w:val="auto"/>
          <w:szCs w:val="21"/>
        </w:rPr>
        <w:t>：</w:t>
      </w:r>
      <w:r>
        <w:rPr>
          <w:rFonts w:hint="eastAsia"/>
          <w:color w:val="auto"/>
          <w:u w:val="single"/>
        </w:rPr>
        <w:t>桂林市政府集中采购中心</w:t>
      </w:r>
    </w:p>
    <w:p>
      <w:pPr>
        <w:spacing w:line="400" w:lineRule="exact"/>
        <w:ind w:firstLine="525" w:firstLineChars="250"/>
        <w:rPr>
          <w:color w:val="auto"/>
        </w:rPr>
      </w:pPr>
      <w:r>
        <w:rPr>
          <w:color w:val="auto"/>
          <w:kern w:val="0"/>
        </w:rPr>
        <w:t>我</w:t>
      </w:r>
      <w:r>
        <w:rPr>
          <w:color w:val="auto"/>
          <w:kern w:val="0"/>
          <w:u w:val="single"/>
        </w:rPr>
        <w:t xml:space="preserve">              </w:t>
      </w:r>
      <w:r>
        <w:rPr>
          <w:color w:val="auto"/>
          <w:kern w:val="0"/>
        </w:rPr>
        <w:t>（姓名）系</w:t>
      </w:r>
      <w:r>
        <w:rPr>
          <w:color w:val="auto"/>
          <w:kern w:val="0"/>
          <w:u w:val="single"/>
        </w:rPr>
        <w:t xml:space="preserve">                           </w:t>
      </w:r>
      <w:r>
        <w:rPr>
          <w:color w:val="auto"/>
          <w:kern w:val="0"/>
        </w:rPr>
        <w:t>（投标人名称）的法定代表人（负责人），现授权委托本单位在职职工</w:t>
      </w:r>
      <w:r>
        <w:rPr>
          <w:color w:val="auto"/>
          <w:kern w:val="0"/>
          <w:u w:val="single"/>
        </w:rPr>
        <w:t xml:space="preserve">          </w:t>
      </w:r>
      <w:r>
        <w:rPr>
          <w:color w:val="auto"/>
          <w:kern w:val="0"/>
        </w:rPr>
        <w:t>（姓名）</w:t>
      </w:r>
      <w:r>
        <w:rPr>
          <w:rFonts w:hint="eastAsia"/>
          <w:color w:val="auto"/>
          <w:kern w:val="0"/>
          <w:lang w:eastAsia="zh-CN"/>
        </w:rPr>
        <w:t>，</w:t>
      </w:r>
      <w:r>
        <w:rPr>
          <w:rFonts w:hint="eastAsia"/>
          <w:color w:val="auto"/>
          <w:kern w:val="0"/>
          <w:lang w:val="en-US" w:eastAsia="zh-CN"/>
        </w:rPr>
        <w:t>身份证号码：</w:t>
      </w:r>
      <w:r>
        <w:rPr>
          <w:rFonts w:hint="eastAsia"/>
          <w:color w:val="auto"/>
          <w:kern w:val="0"/>
          <w:u w:val="single"/>
          <w:lang w:val="en-US" w:eastAsia="zh-CN"/>
        </w:rPr>
        <w:t xml:space="preserve">                      </w:t>
      </w:r>
      <w:r>
        <w:rPr>
          <w:color w:val="auto"/>
          <w:kern w:val="0"/>
        </w:rPr>
        <w:t>以我公司名义参加</w:t>
      </w:r>
      <w:r>
        <w:rPr>
          <w:color w:val="auto"/>
          <w:kern w:val="0"/>
          <w:u w:val="single"/>
        </w:rPr>
        <w:t xml:space="preserve">   </w:t>
      </w:r>
      <w:r>
        <w:rPr>
          <w:color w:val="auto"/>
          <w:u w:val="single"/>
        </w:rPr>
        <w:t xml:space="preserve">（项目名称及项目编号）    </w:t>
      </w:r>
      <w:r>
        <w:rPr>
          <w:color w:val="auto"/>
        </w:rPr>
        <w:t>项目的投标活动，并代表我方全权办理针对上述项目的投标、开标、评标、签约等具体事务和签署相关文件。</w:t>
      </w:r>
    </w:p>
    <w:p>
      <w:pPr>
        <w:spacing w:line="400" w:lineRule="exact"/>
        <w:ind w:firstLine="420" w:firstLineChars="200"/>
        <w:rPr>
          <w:color w:val="auto"/>
        </w:rPr>
      </w:pPr>
      <w:r>
        <w:rPr>
          <w:color w:val="auto"/>
        </w:rPr>
        <w:t>我方对被授权人的签字事项负全部责任。</w:t>
      </w:r>
    </w:p>
    <w:p>
      <w:pPr>
        <w:spacing w:line="400" w:lineRule="exact"/>
        <w:ind w:firstLine="420" w:firstLineChars="200"/>
        <w:rPr>
          <w:color w:val="auto"/>
          <w:u w:val="single"/>
        </w:rPr>
      </w:pPr>
      <w:r>
        <w:rPr>
          <w:color w:val="auto"/>
        </w:rPr>
        <w:t>授权委托代理期限：自即日起至该项目政府采购活动结束。</w:t>
      </w:r>
    </w:p>
    <w:p>
      <w:pPr>
        <w:spacing w:line="400" w:lineRule="exact"/>
        <w:rPr>
          <w:color w:val="auto"/>
          <w:u w:val="single"/>
        </w:rPr>
      </w:pPr>
      <w:r>
        <w:rPr>
          <w:color w:val="auto"/>
        </w:rPr>
        <w:t xml:space="preserve">                                                                                             </w:t>
      </w:r>
    </w:p>
    <w:p>
      <w:pPr>
        <w:spacing w:line="400" w:lineRule="exact"/>
        <w:ind w:firstLine="420" w:firstLineChars="200"/>
        <w:rPr>
          <w:color w:val="auto"/>
          <w:kern w:val="0"/>
        </w:rPr>
      </w:pPr>
      <w:r>
        <w:rPr>
          <w:color w:val="auto"/>
          <w:kern w:val="0"/>
        </w:rPr>
        <w:t xml:space="preserve">代理人无转委托权,特此委托。 </w:t>
      </w:r>
    </w:p>
    <w:p>
      <w:pPr>
        <w:snapToGrid w:val="0"/>
        <w:spacing w:line="400" w:lineRule="exact"/>
        <w:ind w:firstLine="525"/>
        <w:rPr>
          <w:color w:val="auto"/>
          <w:szCs w:val="21"/>
        </w:rPr>
      </w:pPr>
    </w:p>
    <w:p>
      <w:pPr>
        <w:snapToGrid w:val="0"/>
        <w:spacing w:line="400" w:lineRule="exact"/>
        <w:ind w:firstLine="420"/>
        <w:rPr>
          <w:color w:val="auto"/>
          <w:szCs w:val="21"/>
        </w:rPr>
      </w:pPr>
      <w:r>
        <w:rPr>
          <w:color w:val="auto"/>
          <w:szCs w:val="21"/>
        </w:rPr>
        <w:t>我已在下面签字，以资证明。</w:t>
      </w:r>
    </w:p>
    <w:p>
      <w:pPr>
        <w:snapToGrid w:val="0"/>
        <w:spacing w:line="400" w:lineRule="exact"/>
        <w:ind w:firstLine="420"/>
        <w:rPr>
          <w:color w:val="auto"/>
          <w:szCs w:val="21"/>
        </w:rPr>
      </w:pPr>
    </w:p>
    <w:p>
      <w:pPr>
        <w:snapToGrid w:val="0"/>
        <w:spacing w:line="400" w:lineRule="exact"/>
        <w:ind w:firstLine="420"/>
        <w:rPr>
          <w:color w:val="auto"/>
          <w:szCs w:val="21"/>
          <w:u w:val="single"/>
        </w:rPr>
      </w:pPr>
      <w:r>
        <w:rPr>
          <w:color w:val="auto"/>
          <w:szCs w:val="21"/>
        </w:rPr>
        <w:t>投标人（公章）：</w:t>
      </w:r>
      <w:r>
        <w:rPr>
          <w:color w:val="auto"/>
          <w:szCs w:val="21"/>
          <w:u w:val="single"/>
        </w:rPr>
        <w:t xml:space="preserve">                                   </w:t>
      </w:r>
    </w:p>
    <w:p>
      <w:pPr>
        <w:snapToGrid w:val="0"/>
        <w:spacing w:line="400" w:lineRule="exact"/>
        <w:ind w:firstLine="420"/>
        <w:rPr>
          <w:color w:val="auto"/>
          <w:szCs w:val="21"/>
        </w:rPr>
      </w:pPr>
    </w:p>
    <w:p>
      <w:pPr>
        <w:snapToGrid w:val="0"/>
        <w:spacing w:line="400" w:lineRule="exact"/>
        <w:ind w:firstLine="420"/>
        <w:rPr>
          <w:color w:val="auto"/>
          <w:szCs w:val="21"/>
        </w:rPr>
      </w:pPr>
      <w:r>
        <w:rPr>
          <w:color w:val="auto"/>
          <w:szCs w:val="21"/>
        </w:rPr>
        <w:t>法定代表人（负责人）签字（或盖章）：</w:t>
      </w:r>
      <w:r>
        <w:rPr>
          <w:color w:val="auto"/>
          <w:szCs w:val="21"/>
          <w:u w:val="single"/>
        </w:rPr>
        <w:t xml:space="preserve">              </w:t>
      </w:r>
      <w:r>
        <w:rPr>
          <w:color w:val="auto"/>
          <w:szCs w:val="21"/>
        </w:rPr>
        <w:t xml:space="preserve">     　　 </w:t>
      </w:r>
      <w:r>
        <w:rPr>
          <w:color w:val="auto"/>
          <w:szCs w:val="21"/>
          <w:u w:val="single"/>
        </w:rPr>
        <w:t xml:space="preserve">       </w:t>
      </w:r>
      <w:r>
        <w:rPr>
          <w:color w:val="auto"/>
          <w:szCs w:val="21"/>
        </w:rPr>
        <w:t>年</w:t>
      </w:r>
      <w:r>
        <w:rPr>
          <w:color w:val="auto"/>
          <w:szCs w:val="21"/>
          <w:u w:val="single"/>
        </w:rPr>
        <w:t xml:space="preserve">      </w:t>
      </w:r>
      <w:r>
        <w:rPr>
          <w:color w:val="auto"/>
          <w:szCs w:val="21"/>
        </w:rPr>
        <w:t>月</w:t>
      </w:r>
      <w:r>
        <w:rPr>
          <w:color w:val="auto"/>
          <w:szCs w:val="21"/>
          <w:u w:val="single"/>
        </w:rPr>
        <w:t xml:space="preserve">     </w:t>
      </w:r>
      <w:r>
        <w:rPr>
          <w:color w:val="auto"/>
          <w:szCs w:val="21"/>
        </w:rPr>
        <w:t>日</w:t>
      </w:r>
    </w:p>
    <w:p>
      <w:pPr>
        <w:snapToGrid w:val="0"/>
        <w:spacing w:line="400" w:lineRule="exact"/>
        <w:ind w:firstLine="420"/>
        <w:rPr>
          <w:color w:val="auto"/>
          <w:szCs w:val="21"/>
        </w:rPr>
      </w:pPr>
    </w:p>
    <w:p>
      <w:pPr>
        <w:spacing w:line="400" w:lineRule="exact"/>
        <w:ind w:firstLine="602" w:firstLineChars="250"/>
        <w:rPr>
          <w:b/>
          <w:color w:val="auto"/>
          <w:sz w:val="24"/>
        </w:rPr>
      </w:pPr>
      <w:r>
        <w:rPr>
          <w:b/>
          <w:color w:val="auto"/>
          <w:sz w:val="24"/>
        </w:rPr>
        <w:t>附：</w:t>
      </w:r>
      <w:r>
        <w:rPr>
          <w:rFonts w:hint="eastAsia"/>
          <w:b/>
          <w:color w:val="auto"/>
          <w:sz w:val="24"/>
        </w:rPr>
        <w:t>投标人的授权委托书原件、委托代理人身份证正反面复印件以及由县级以上（含县级）社会养老保险经办机构出具的投标人为委托代理人交纳的开标截止时间前半年内任意连续三个月社保证明复印件（如如投标人为截标时间前60日以内成立的公司，可以提供投标人与委托代理人签订的劳动合同复印件代替社保证明复印件；如投标人为事业单位，可以提供事业单位机构编制管理证复印件或事业单位机构为其发放工资的工资条复印件代替社保证明复印件；如委托代理人为免缴纳社保人员，提供免缴纳社保的证明材料复印件及投标人与委托代理人签订的劳动合同复印件代替社保证明复印件））</w:t>
      </w:r>
      <w:r>
        <w:rPr>
          <w:b/>
          <w:color w:val="auto"/>
          <w:sz w:val="24"/>
        </w:rPr>
        <w:t>（委托代理时必须提供）。</w:t>
      </w:r>
    </w:p>
    <w:p>
      <w:pPr>
        <w:pStyle w:val="18"/>
        <w:jc w:val="center"/>
        <w:rPr>
          <w:rFonts w:ascii="Times New Roman" w:hAnsi="Times New Roman"/>
          <w:b/>
          <w:color w:val="auto"/>
          <w:sz w:val="32"/>
        </w:rPr>
      </w:pPr>
      <w:r>
        <w:rPr>
          <w:rFonts w:ascii="Times New Roman" w:hAnsi="Times New Roman"/>
          <w:b/>
          <w:color w:val="auto"/>
          <w:sz w:val="32"/>
        </w:rPr>
        <w:br w:type="page"/>
      </w:r>
    </w:p>
    <w:p>
      <w:pPr>
        <w:pStyle w:val="18"/>
        <w:jc w:val="center"/>
        <w:rPr>
          <w:rFonts w:ascii="Times New Roman" w:hAnsi="Times New Roman"/>
          <w:b/>
          <w:color w:val="auto"/>
          <w:sz w:val="32"/>
        </w:rPr>
      </w:pPr>
      <w:r>
        <w:rPr>
          <w:rFonts w:ascii="Times New Roman" w:hAnsi="Times New Roman"/>
          <w:b/>
          <w:color w:val="auto"/>
          <w:sz w:val="32"/>
        </w:rPr>
        <w:t>授权委托书（格式二）</w:t>
      </w:r>
    </w:p>
    <w:p>
      <w:pPr>
        <w:snapToGrid w:val="0"/>
        <w:spacing w:line="400" w:lineRule="exact"/>
        <w:rPr>
          <w:rFonts w:hint="eastAsia"/>
          <w:color w:val="auto"/>
        </w:rPr>
      </w:pPr>
      <w:r>
        <w:rPr>
          <w:b/>
          <w:color w:val="auto"/>
          <w:szCs w:val="21"/>
        </w:rPr>
        <w:t>致</w:t>
      </w:r>
      <w:r>
        <w:rPr>
          <w:color w:val="auto"/>
          <w:szCs w:val="21"/>
        </w:rPr>
        <w:t>：</w:t>
      </w:r>
      <w:r>
        <w:rPr>
          <w:rFonts w:hint="eastAsia"/>
          <w:color w:val="auto"/>
          <w:u w:val="single"/>
        </w:rPr>
        <w:t>桂林市政府集中采购中心</w:t>
      </w:r>
    </w:p>
    <w:p>
      <w:pPr>
        <w:snapToGrid w:val="0"/>
        <w:spacing w:line="400" w:lineRule="exact"/>
        <w:rPr>
          <w:color w:val="auto"/>
          <w:szCs w:val="21"/>
          <w:u w:val="single"/>
        </w:rPr>
      </w:pPr>
    </w:p>
    <w:p>
      <w:pPr>
        <w:pStyle w:val="18"/>
        <w:spacing w:line="340" w:lineRule="exact"/>
        <w:ind w:firstLine="420" w:firstLineChars="200"/>
        <w:rPr>
          <w:rFonts w:ascii="Times New Roman" w:hAnsi="Times New Roman"/>
          <w:color w:val="auto"/>
        </w:rPr>
      </w:pPr>
      <w:r>
        <w:rPr>
          <w:rFonts w:ascii="Times New Roman" w:hAnsi="Times New Roman"/>
          <w:color w:val="auto"/>
          <w:kern w:val="0"/>
        </w:rPr>
        <w:t>我</w:t>
      </w:r>
      <w:r>
        <w:rPr>
          <w:rFonts w:ascii="Times New Roman" w:hAnsi="Times New Roman"/>
          <w:color w:val="auto"/>
          <w:kern w:val="0"/>
          <w:u w:val="single"/>
        </w:rPr>
        <w:t xml:space="preserve">              </w:t>
      </w:r>
      <w:r>
        <w:rPr>
          <w:rFonts w:ascii="Times New Roman" w:hAnsi="Times New Roman"/>
          <w:color w:val="auto"/>
          <w:kern w:val="0"/>
        </w:rPr>
        <w:t>（姓名）系自然人，现授权委托</w:t>
      </w:r>
      <w:r>
        <w:rPr>
          <w:rFonts w:ascii="Times New Roman" w:hAnsi="Times New Roman"/>
          <w:color w:val="auto"/>
          <w:kern w:val="0"/>
          <w:u w:val="single"/>
        </w:rPr>
        <w:t xml:space="preserve">            </w:t>
      </w:r>
      <w:r>
        <w:rPr>
          <w:rFonts w:ascii="Times New Roman" w:hAnsi="Times New Roman"/>
          <w:color w:val="auto"/>
          <w:kern w:val="0"/>
        </w:rPr>
        <w:t>（姓 名）</w:t>
      </w:r>
      <w:r>
        <w:rPr>
          <w:rFonts w:hint="eastAsia" w:ascii="Times New Roman" w:hAnsi="Times New Roman"/>
          <w:color w:val="auto"/>
          <w:kern w:val="0"/>
          <w:lang w:eastAsia="zh-CN"/>
        </w:rPr>
        <w:t>，</w:t>
      </w:r>
      <w:r>
        <w:rPr>
          <w:rFonts w:hint="eastAsia"/>
          <w:color w:val="auto"/>
          <w:kern w:val="0"/>
          <w:lang w:val="en-US" w:eastAsia="zh-CN"/>
        </w:rPr>
        <w:t>身份证号码：</w:t>
      </w:r>
      <w:r>
        <w:rPr>
          <w:rFonts w:hint="eastAsia"/>
          <w:color w:val="auto"/>
          <w:kern w:val="0"/>
          <w:u w:val="single"/>
          <w:lang w:val="en-US" w:eastAsia="zh-CN"/>
        </w:rPr>
        <w:t xml:space="preserve">              </w:t>
      </w:r>
      <w:r>
        <w:rPr>
          <w:rFonts w:ascii="Times New Roman" w:hAnsi="Times New Roman"/>
          <w:color w:val="auto"/>
          <w:kern w:val="0"/>
        </w:rPr>
        <w:t>以本人名义参加</w:t>
      </w:r>
      <w:r>
        <w:rPr>
          <w:rFonts w:ascii="Times New Roman" w:hAnsi="Times New Roman"/>
          <w:color w:val="auto"/>
          <w:kern w:val="0"/>
          <w:u w:val="single"/>
        </w:rPr>
        <w:t xml:space="preserve">      </w:t>
      </w:r>
      <w:r>
        <w:rPr>
          <w:rFonts w:ascii="Times New Roman" w:hAnsi="Times New Roman"/>
          <w:color w:val="auto"/>
          <w:u w:val="single"/>
        </w:rPr>
        <w:t xml:space="preserve">（项目名称及项目编号）        </w:t>
      </w:r>
      <w:r>
        <w:rPr>
          <w:rFonts w:ascii="Times New Roman" w:hAnsi="Times New Roman"/>
          <w:color w:val="auto"/>
        </w:rPr>
        <w:t>项目的投标活动，并代表本人全权办理针对上述项目的投标、开标、评标、签约等具体事务和签署相关文件。</w:t>
      </w:r>
    </w:p>
    <w:p>
      <w:pPr>
        <w:pStyle w:val="18"/>
        <w:spacing w:line="340" w:lineRule="exact"/>
        <w:ind w:firstLine="420" w:firstLineChars="200"/>
        <w:rPr>
          <w:rFonts w:ascii="Times New Roman" w:hAnsi="Times New Roman"/>
          <w:color w:val="auto"/>
        </w:rPr>
      </w:pPr>
      <w:r>
        <w:rPr>
          <w:rFonts w:ascii="Times New Roman" w:hAnsi="Times New Roman"/>
          <w:color w:val="auto"/>
        </w:rPr>
        <w:t>本人对被授权人的签字事项负全部责任。</w:t>
      </w:r>
    </w:p>
    <w:p>
      <w:pPr>
        <w:pStyle w:val="18"/>
        <w:spacing w:line="400" w:lineRule="exact"/>
        <w:ind w:firstLine="420" w:firstLineChars="200"/>
        <w:rPr>
          <w:rFonts w:ascii="Times New Roman" w:hAnsi="Times New Roman"/>
          <w:color w:val="auto"/>
          <w:u w:val="single"/>
        </w:rPr>
      </w:pPr>
      <w:r>
        <w:rPr>
          <w:rFonts w:ascii="Times New Roman" w:hAnsi="Times New Roman"/>
          <w:color w:val="auto"/>
        </w:rPr>
        <w:t>授权委托代理期限：自即日起至该项目政府采购活动结束。</w:t>
      </w:r>
    </w:p>
    <w:p>
      <w:pPr>
        <w:pStyle w:val="18"/>
        <w:spacing w:line="340" w:lineRule="exact"/>
        <w:ind w:firstLine="420" w:firstLineChars="200"/>
        <w:rPr>
          <w:rFonts w:ascii="Times New Roman" w:hAnsi="Times New Roman"/>
          <w:color w:val="auto"/>
          <w:u w:val="single"/>
        </w:rPr>
      </w:pPr>
    </w:p>
    <w:p>
      <w:pPr>
        <w:pStyle w:val="18"/>
        <w:spacing w:line="340" w:lineRule="exact"/>
        <w:rPr>
          <w:rFonts w:ascii="Times New Roman" w:hAnsi="Times New Roman"/>
          <w:color w:val="auto"/>
          <w:u w:val="single"/>
        </w:rPr>
      </w:pPr>
      <w:r>
        <w:rPr>
          <w:rFonts w:ascii="Times New Roman" w:hAnsi="Times New Roman"/>
          <w:color w:val="auto"/>
        </w:rPr>
        <w:t xml:space="preserve">                                                                                             </w:t>
      </w:r>
    </w:p>
    <w:p>
      <w:pPr>
        <w:spacing w:line="340" w:lineRule="exact"/>
        <w:ind w:firstLine="420" w:firstLineChars="200"/>
        <w:rPr>
          <w:color w:val="auto"/>
          <w:kern w:val="0"/>
        </w:rPr>
      </w:pPr>
      <w:r>
        <w:rPr>
          <w:color w:val="auto"/>
          <w:kern w:val="0"/>
        </w:rPr>
        <w:t xml:space="preserve">代理人无转委托权,特此委托。 </w:t>
      </w:r>
    </w:p>
    <w:p>
      <w:pPr>
        <w:snapToGrid w:val="0"/>
        <w:spacing w:line="340" w:lineRule="exact"/>
        <w:ind w:firstLine="525"/>
        <w:rPr>
          <w:color w:val="auto"/>
          <w:szCs w:val="21"/>
        </w:rPr>
      </w:pPr>
    </w:p>
    <w:p>
      <w:pPr>
        <w:snapToGrid w:val="0"/>
        <w:spacing w:line="340" w:lineRule="exact"/>
        <w:ind w:firstLine="420"/>
        <w:rPr>
          <w:color w:val="auto"/>
          <w:szCs w:val="21"/>
        </w:rPr>
      </w:pPr>
      <w:r>
        <w:rPr>
          <w:color w:val="auto"/>
          <w:szCs w:val="21"/>
        </w:rPr>
        <w:t>我已在下面签字，以资证明。</w:t>
      </w:r>
    </w:p>
    <w:p>
      <w:pPr>
        <w:snapToGrid w:val="0"/>
        <w:spacing w:line="340" w:lineRule="exact"/>
        <w:ind w:firstLine="420"/>
        <w:rPr>
          <w:color w:val="auto"/>
          <w:szCs w:val="21"/>
        </w:rPr>
      </w:pPr>
    </w:p>
    <w:p>
      <w:pPr>
        <w:snapToGrid w:val="0"/>
        <w:spacing w:line="340" w:lineRule="exact"/>
        <w:ind w:firstLine="420"/>
        <w:rPr>
          <w:color w:val="auto"/>
          <w:szCs w:val="21"/>
        </w:rPr>
      </w:pPr>
      <w:r>
        <w:rPr>
          <w:color w:val="auto"/>
          <w:szCs w:val="21"/>
        </w:rPr>
        <w:t>自然人签字并在签名处加盖大拇指指印：</w:t>
      </w:r>
      <w:r>
        <w:rPr>
          <w:color w:val="auto"/>
          <w:szCs w:val="21"/>
          <w:u w:val="single"/>
        </w:rPr>
        <w:t xml:space="preserve">             </w:t>
      </w:r>
      <w:r>
        <w:rPr>
          <w:color w:val="auto"/>
          <w:szCs w:val="21"/>
        </w:rPr>
        <w:t xml:space="preserve">     　 </w:t>
      </w:r>
      <w:r>
        <w:rPr>
          <w:color w:val="auto"/>
          <w:szCs w:val="21"/>
          <w:u w:val="single"/>
        </w:rPr>
        <w:t xml:space="preserve">       </w:t>
      </w:r>
      <w:r>
        <w:rPr>
          <w:color w:val="auto"/>
          <w:szCs w:val="21"/>
        </w:rPr>
        <w:t>年</w:t>
      </w:r>
      <w:r>
        <w:rPr>
          <w:color w:val="auto"/>
          <w:szCs w:val="21"/>
          <w:u w:val="single"/>
        </w:rPr>
        <w:t xml:space="preserve">      </w:t>
      </w:r>
      <w:r>
        <w:rPr>
          <w:color w:val="auto"/>
          <w:szCs w:val="21"/>
        </w:rPr>
        <w:t>月</w:t>
      </w:r>
      <w:r>
        <w:rPr>
          <w:color w:val="auto"/>
          <w:szCs w:val="21"/>
          <w:u w:val="single"/>
        </w:rPr>
        <w:t xml:space="preserve">     </w:t>
      </w:r>
      <w:r>
        <w:rPr>
          <w:color w:val="auto"/>
          <w:szCs w:val="21"/>
        </w:rPr>
        <w:t>日</w:t>
      </w:r>
    </w:p>
    <w:p>
      <w:pPr>
        <w:snapToGrid w:val="0"/>
        <w:spacing w:line="340" w:lineRule="exact"/>
        <w:ind w:firstLine="420"/>
        <w:rPr>
          <w:color w:val="auto"/>
          <w:szCs w:val="21"/>
        </w:rPr>
      </w:pPr>
    </w:p>
    <w:p>
      <w:pPr>
        <w:spacing w:line="400" w:lineRule="exact"/>
        <w:ind w:firstLine="602" w:firstLineChars="250"/>
        <w:rPr>
          <w:b/>
          <w:color w:val="auto"/>
          <w:sz w:val="24"/>
        </w:rPr>
      </w:pPr>
    </w:p>
    <w:p>
      <w:pPr>
        <w:spacing w:line="400" w:lineRule="exact"/>
        <w:ind w:firstLine="602" w:firstLineChars="250"/>
        <w:rPr>
          <w:b/>
          <w:color w:val="auto"/>
          <w:sz w:val="24"/>
        </w:rPr>
      </w:pPr>
    </w:p>
    <w:p>
      <w:pPr>
        <w:spacing w:line="400" w:lineRule="exact"/>
        <w:ind w:firstLine="602" w:firstLineChars="250"/>
        <w:rPr>
          <w:b/>
          <w:color w:val="auto"/>
          <w:sz w:val="24"/>
        </w:rPr>
      </w:pPr>
    </w:p>
    <w:p>
      <w:pPr>
        <w:tabs>
          <w:tab w:val="left" w:pos="1305"/>
        </w:tabs>
        <w:spacing w:line="400" w:lineRule="exact"/>
        <w:outlineLvl w:val="2"/>
        <w:rPr>
          <w:b/>
          <w:color w:val="auto"/>
          <w:sz w:val="32"/>
          <w:szCs w:val="32"/>
        </w:rPr>
      </w:pPr>
      <w:bookmarkStart w:id="266" w:name="_Toc3671"/>
      <w:bookmarkStart w:id="267" w:name="_Toc12280"/>
      <w:bookmarkStart w:id="268" w:name="_Toc495841790"/>
      <w:r>
        <w:rPr>
          <w:b/>
          <w:color w:val="auto"/>
          <w:sz w:val="32"/>
          <w:szCs w:val="32"/>
        </w:rPr>
        <w:t>3.投标人的法人或者其他组织营业执照等证明文件复印件（必须提供，自然人除外）</w:t>
      </w:r>
      <w:bookmarkEnd w:id="266"/>
      <w:bookmarkEnd w:id="267"/>
      <w:bookmarkEnd w:id="268"/>
    </w:p>
    <w:p>
      <w:pPr>
        <w:tabs>
          <w:tab w:val="left" w:pos="1305"/>
        </w:tabs>
        <w:spacing w:line="400" w:lineRule="exact"/>
        <w:rPr>
          <w:b/>
          <w:color w:val="auto"/>
          <w:szCs w:val="21"/>
        </w:rPr>
      </w:pPr>
      <w:r>
        <w:rPr>
          <w:b/>
          <w:color w:val="auto"/>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spacing w:line="400" w:lineRule="exact"/>
        <w:ind w:left="420" w:leftChars="200" w:firstLine="157" w:firstLineChars="49"/>
        <w:rPr>
          <w:b/>
          <w:color w:val="auto"/>
          <w:sz w:val="32"/>
          <w:szCs w:val="32"/>
        </w:rPr>
      </w:pPr>
    </w:p>
    <w:p>
      <w:pPr>
        <w:spacing w:line="400" w:lineRule="exact"/>
        <w:ind w:left="420" w:leftChars="200" w:firstLine="157" w:firstLineChars="49"/>
        <w:rPr>
          <w:rFonts w:hint="eastAsia"/>
          <w:b/>
          <w:color w:val="auto"/>
          <w:sz w:val="32"/>
          <w:szCs w:val="32"/>
        </w:rPr>
      </w:pPr>
    </w:p>
    <w:p>
      <w:pPr>
        <w:tabs>
          <w:tab w:val="left" w:pos="1305"/>
        </w:tabs>
        <w:spacing w:before="156" w:beforeLines="50" w:line="400" w:lineRule="exact"/>
        <w:outlineLvl w:val="2"/>
        <w:rPr>
          <w:b/>
          <w:color w:val="auto"/>
          <w:sz w:val="32"/>
          <w:szCs w:val="32"/>
        </w:rPr>
      </w:pPr>
      <w:bookmarkStart w:id="269" w:name="_Toc18037"/>
      <w:r>
        <w:rPr>
          <w:b/>
          <w:color w:val="auto"/>
          <w:sz w:val="32"/>
          <w:szCs w:val="32"/>
        </w:rPr>
        <w:t>4.</w:t>
      </w:r>
      <w:r>
        <w:rPr>
          <w:rFonts w:hint="eastAsia" w:hAnsi="Courier New"/>
          <w:b/>
          <w:color w:val="auto"/>
          <w:sz w:val="32"/>
          <w:szCs w:val="32"/>
          <w:lang w:val="en-US" w:eastAsia="zh-CN"/>
        </w:rPr>
        <w:t>投标人近三年中任一年度经第三方审计的财务状况报告复印件（或银行出具的资信证明或财政部门认可的政府采购专业担保机构出具的投标担保函）（必须提供）</w:t>
      </w:r>
      <w:r>
        <w:rPr>
          <w:b/>
          <w:color w:val="auto"/>
          <w:sz w:val="32"/>
          <w:szCs w:val="32"/>
        </w:rPr>
        <w:t>；</w:t>
      </w:r>
      <w:bookmarkEnd w:id="269"/>
    </w:p>
    <w:p>
      <w:pPr>
        <w:pStyle w:val="75"/>
        <w:rPr>
          <w:rFonts w:hint="default" w:eastAsia="宋体"/>
          <w:color w:val="auto"/>
          <w:lang w:val="en-US" w:eastAsia="zh-CN"/>
        </w:rPr>
      </w:pPr>
    </w:p>
    <w:p>
      <w:pPr>
        <w:rPr>
          <w:color w:val="auto"/>
        </w:rPr>
      </w:pPr>
    </w:p>
    <w:p>
      <w:pPr>
        <w:rPr>
          <w:color w:val="auto"/>
        </w:rPr>
      </w:pPr>
    </w:p>
    <w:p>
      <w:pPr>
        <w:rPr>
          <w:rFonts w:hint="eastAsia"/>
          <w:color w:val="auto"/>
        </w:rPr>
      </w:pPr>
      <w:bookmarkStart w:id="270" w:name="_Toc26950"/>
      <w:bookmarkStart w:id="271" w:name="_Toc495841793"/>
    </w:p>
    <w:p>
      <w:pPr>
        <w:rPr>
          <w:rFonts w:hint="eastAsia"/>
          <w:color w:val="auto"/>
        </w:rPr>
      </w:pPr>
    </w:p>
    <w:p>
      <w:pPr>
        <w:rPr>
          <w:rFonts w:hint="eastAsia"/>
          <w:color w:val="auto"/>
        </w:rPr>
      </w:pPr>
    </w:p>
    <w:p>
      <w:pPr>
        <w:tabs>
          <w:tab w:val="left" w:pos="1305"/>
        </w:tabs>
        <w:spacing w:line="400" w:lineRule="exact"/>
        <w:outlineLvl w:val="2"/>
        <w:rPr>
          <w:rFonts w:hint="eastAsia"/>
          <w:b/>
          <w:color w:val="auto"/>
          <w:sz w:val="32"/>
          <w:szCs w:val="32"/>
        </w:rPr>
      </w:pPr>
    </w:p>
    <w:p>
      <w:pPr>
        <w:tabs>
          <w:tab w:val="left" w:pos="1305"/>
        </w:tabs>
        <w:spacing w:line="400" w:lineRule="exact"/>
        <w:outlineLvl w:val="2"/>
        <w:rPr>
          <w:rFonts w:hint="eastAsia"/>
          <w:b/>
          <w:color w:val="auto"/>
          <w:sz w:val="32"/>
          <w:szCs w:val="32"/>
        </w:rPr>
      </w:pPr>
    </w:p>
    <w:p>
      <w:pPr>
        <w:tabs>
          <w:tab w:val="left" w:pos="1305"/>
        </w:tabs>
        <w:spacing w:line="400" w:lineRule="exact"/>
        <w:outlineLvl w:val="2"/>
        <w:rPr>
          <w:rFonts w:hint="eastAsia"/>
          <w:b/>
          <w:color w:val="auto"/>
          <w:sz w:val="32"/>
          <w:szCs w:val="32"/>
        </w:rPr>
      </w:pPr>
    </w:p>
    <w:p>
      <w:pPr>
        <w:tabs>
          <w:tab w:val="left" w:pos="1305"/>
        </w:tabs>
        <w:spacing w:line="400" w:lineRule="exact"/>
        <w:outlineLvl w:val="2"/>
        <w:rPr>
          <w:b/>
          <w:color w:val="auto"/>
          <w:sz w:val="32"/>
          <w:szCs w:val="32"/>
        </w:rPr>
      </w:pPr>
      <w:bookmarkStart w:id="272" w:name="_Toc22231"/>
      <w:r>
        <w:rPr>
          <w:rFonts w:hint="eastAsia"/>
          <w:b/>
          <w:color w:val="auto"/>
          <w:sz w:val="32"/>
          <w:szCs w:val="32"/>
          <w:lang w:val="en-US" w:eastAsia="zh-CN"/>
        </w:rPr>
        <w:t>5</w:t>
      </w:r>
      <w:r>
        <w:rPr>
          <w:b/>
          <w:color w:val="auto"/>
          <w:sz w:val="32"/>
          <w:szCs w:val="32"/>
        </w:rPr>
        <w:t>.投标人参加政府采购活动前3年内在经营活动中没有重大违法记录及有关信用信息的书面声明（必须提供）</w:t>
      </w:r>
      <w:bookmarkEnd w:id="270"/>
      <w:bookmarkEnd w:id="271"/>
      <w:bookmarkEnd w:id="272"/>
    </w:p>
    <w:p>
      <w:pPr>
        <w:spacing w:line="400" w:lineRule="exact"/>
        <w:jc w:val="center"/>
        <w:rPr>
          <w:b/>
          <w:color w:val="auto"/>
          <w:sz w:val="32"/>
          <w:szCs w:val="32"/>
        </w:rPr>
      </w:pPr>
      <w:r>
        <w:rPr>
          <w:b/>
          <w:color w:val="auto"/>
          <w:sz w:val="32"/>
          <w:szCs w:val="32"/>
        </w:rPr>
        <w:t>声   明</w:t>
      </w:r>
    </w:p>
    <w:p>
      <w:pPr>
        <w:snapToGrid w:val="0"/>
        <w:spacing w:line="400" w:lineRule="exact"/>
        <w:rPr>
          <w:rFonts w:hint="eastAsia"/>
          <w:color w:val="auto"/>
        </w:rPr>
      </w:pPr>
      <w:r>
        <w:rPr>
          <w:b/>
          <w:color w:val="auto"/>
          <w:szCs w:val="21"/>
        </w:rPr>
        <w:t>致</w:t>
      </w:r>
      <w:r>
        <w:rPr>
          <w:color w:val="auto"/>
          <w:szCs w:val="21"/>
        </w:rPr>
        <w:t>：</w:t>
      </w:r>
      <w:r>
        <w:rPr>
          <w:rFonts w:hint="eastAsia"/>
          <w:color w:val="auto"/>
          <w:u w:val="single"/>
        </w:rPr>
        <w:t>桂林市政府集中采购中心</w:t>
      </w:r>
    </w:p>
    <w:p>
      <w:pPr>
        <w:snapToGrid w:val="0"/>
        <w:spacing w:line="400" w:lineRule="exact"/>
        <w:rPr>
          <w:color w:val="auto"/>
          <w:szCs w:val="21"/>
          <w:u w:val="single"/>
        </w:rPr>
      </w:pPr>
    </w:p>
    <w:p>
      <w:pPr>
        <w:pStyle w:val="18"/>
        <w:spacing w:line="380" w:lineRule="exact"/>
        <w:ind w:firstLine="420" w:firstLineChars="200"/>
        <w:rPr>
          <w:rFonts w:ascii="Times New Roman" w:hAnsi="Times New Roman"/>
          <w:color w:val="auto"/>
        </w:rPr>
      </w:pPr>
      <w:r>
        <w:rPr>
          <w:rFonts w:ascii="Times New Roman" w:hAnsi="Times New Roman"/>
          <w:color w:val="auto"/>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napToGrid w:val="0"/>
        <w:spacing w:line="400" w:lineRule="exact"/>
        <w:ind w:firstLine="4515" w:firstLineChars="2150"/>
        <w:rPr>
          <w:color w:val="auto"/>
          <w:szCs w:val="21"/>
        </w:rPr>
      </w:pPr>
    </w:p>
    <w:p>
      <w:pPr>
        <w:snapToGrid w:val="0"/>
        <w:spacing w:line="400" w:lineRule="exact"/>
        <w:ind w:firstLine="1890" w:firstLineChars="900"/>
        <w:rPr>
          <w:color w:val="auto"/>
          <w:szCs w:val="21"/>
          <w:u w:val="single"/>
        </w:rPr>
      </w:pPr>
      <w:r>
        <w:rPr>
          <w:color w:val="auto"/>
          <w:szCs w:val="21"/>
        </w:rPr>
        <w:t>投标人（公章，自然人除外）：</w:t>
      </w:r>
      <w:r>
        <w:rPr>
          <w:color w:val="auto"/>
          <w:szCs w:val="21"/>
          <w:u w:val="single"/>
        </w:rPr>
        <w:t xml:space="preserve">                                         </w:t>
      </w:r>
    </w:p>
    <w:p>
      <w:pPr>
        <w:spacing w:line="340" w:lineRule="exact"/>
        <w:ind w:firstLine="1890" w:firstLineChars="900"/>
        <w:rPr>
          <w:color w:val="auto"/>
        </w:rPr>
      </w:pPr>
      <w:r>
        <w:rPr>
          <w:color w:val="auto"/>
        </w:rPr>
        <w:t>法定代表人、负责人、自然人或相应的委托代理人签字（或盖章）</w:t>
      </w:r>
    </w:p>
    <w:p>
      <w:pPr>
        <w:spacing w:line="340" w:lineRule="exact"/>
        <w:ind w:firstLine="1680" w:firstLineChars="800"/>
        <w:rPr>
          <w:color w:val="auto"/>
          <w:szCs w:val="21"/>
          <w:u w:val="single"/>
        </w:rPr>
      </w:pPr>
      <w:r>
        <w:rPr>
          <w:color w:val="auto"/>
        </w:rPr>
        <w:t>（属自然人的应在签名处加盖大拇指指印）：</w:t>
      </w:r>
      <w:r>
        <w:rPr>
          <w:color w:val="auto"/>
          <w:szCs w:val="21"/>
          <w:u w:val="single"/>
        </w:rPr>
        <w:t xml:space="preserve">                              </w:t>
      </w:r>
    </w:p>
    <w:p>
      <w:pPr>
        <w:snapToGrid w:val="0"/>
        <w:spacing w:line="400" w:lineRule="exact"/>
        <w:ind w:firstLine="1890" w:firstLineChars="900"/>
        <w:rPr>
          <w:color w:val="auto"/>
        </w:rPr>
      </w:pPr>
      <w:r>
        <w:rPr>
          <w:color w:val="auto"/>
        </w:rPr>
        <w:t xml:space="preserve"> </w:t>
      </w:r>
    </w:p>
    <w:p>
      <w:pPr>
        <w:snapToGrid w:val="0"/>
        <w:spacing w:line="400" w:lineRule="exact"/>
        <w:ind w:firstLine="1890" w:firstLineChars="900"/>
        <w:rPr>
          <w:color w:val="auto"/>
          <w:szCs w:val="21"/>
          <w:u w:val="single"/>
        </w:rPr>
      </w:pPr>
      <w:r>
        <w:rPr>
          <w:color w:val="auto"/>
        </w:rPr>
        <w:t>日          期：</w:t>
      </w:r>
      <w:r>
        <w:rPr>
          <w:color w:val="auto"/>
          <w:u w:val="single"/>
        </w:rPr>
        <w:t xml:space="preserve">                                                   </w:t>
      </w:r>
    </w:p>
    <w:p>
      <w:pPr>
        <w:spacing w:line="400" w:lineRule="exact"/>
        <w:rPr>
          <w:b/>
          <w:color w:val="auto"/>
          <w:sz w:val="32"/>
          <w:szCs w:val="32"/>
        </w:rPr>
      </w:pPr>
    </w:p>
    <w:p>
      <w:pPr>
        <w:spacing w:line="400" w:lineRule="exact"/>
        <w:rPr>
          <w:b/>
          <w:color w:val="auto"/>
          <w:sz w:val="32"/>
          <w:szCs w:val="32"/>
        </w:rPr>
      </w:pPr>
    </w:p>
    <w:p>
      <w:pPr>
        <w:spacing w:line="400" w:lineRule="exact"/>
        <w:rPr>
          <w:b/>
          <w:color w:val="auto"/>
          <w:sz w:val="32"/>
          <w:szCs w:val="32"/>
        </w:rPr>
      </w:pPr>
    </w:p>
    <w:p>
      <w:pPr>
        <w:spacing w:line="400" w:lineRule="exact"/>
        <w:jc w:val="center"/>
        <w:outlineLvl w:val="1"/>
        <w:rPr>
          <w:b/>
          <w:color w:val="auto"/>
          <w:sz w:val="32"/>
          <w:szCs w:val="32"/>
        </w:rPr>
      </w:pPr>
      <w:bookmarkStart w:id="273" w:name="_Toc495841794"/>
    </w:p>
    <w:p>
      <w:pPr>
        <w:spacing w:line="400" w:lineRule="exact"/>
        <w:jc w:val="center"/>
        <w:outlineLvl w:val="1"/>
        <w:rPr>
          <w:b/>
          <w:color w:val="auto"/>
          <w:sz w:val="32"/>
          <w:szCs w:val="32"/>
        </w:rPr>
      </w:pPr>
    </w:p>
    <w:p>
      <w:pPr>
        <w:spacing w:line="400" w:lineRule="exact"/>
        <w:jc w:val="center"/>
        <w:outlineLvl w:val="1"/>
        <w:rPr>
          <w:b/>
          <w:color w:val="auto"/>
          <w:sz w:val="32"/>
          <w:szCs w:val="32"/>
        </w:rPr>
      </w:pPr>
    </w:p>
    <w:p>
      <w:pPr>
        <w:spacing w:line="400" w:lineRule="exact"/>
        <w:jc w:val="left"/>
        <w:outlineLvl w:val="2"/>
        <w:rPr>
          <w:rFonts w:hint="default" w:eastAsia="宋体"/>
          <w:b/>
          <w:color w:val="auto"/>
          <w:sz w:val="32"/>
          <w:szCs w:val="32"/>
          <w:lang w:val="en-US" w:eastAsia="zh-CN"/>
        </w:rPr>
      </w:pPr>
      <w:bookmarkStart w:id="274" w:name="_Toc21194"/>
      <w:r>
        <w:rPr>
          <w:rFonts w:hint="eastAsia"/>
          <w:b/>
          <w:color w:val="auto"/>
          <w:sz w:val="32"/>
          <w:szCs w:val="32"/>
          <w:lang w:val="en-US" w:eastAsia="zh-CN"/>
        </w:rPr>
        <w:t>6.</w:t>
      </w:r>
      <w:r>
        <w:rPr>
          <w:rFonts w:hint="eastAsia" w:hAnsi="Courier New"/>
          <w:b/>
          <w:color w:val="auto"/>
          <w:sz w:val="32"/>
          <w:szCs w:val="32"/>
          <w:lang w:val="en-US" w:eastAsia="zh-CN"/>
        </w:rPr>
        <w:t>投标人近半年内任意一个月或任一季度依法缴纳税收的证明材料（增值税发票或企业所得税完税证明或税务部门出具的免税证明）复印件（必须提供）</w:t>
      </w:r>
      <w:bookmarkEnd w:id="274"/>
    </w:p>
    <w:p>
      <w:pPr>
        <w:spacing w:line="400" w:lineRule="exact"/>
        <w:jc w:val="left"/>
        <w:outlineLvl w:val="1"/>
        <w:rPr>
          <w:b/>
          <w:color w:val="auto"/>
          <w:sz w:val="32"/>
          <w:szCs w:val="32"/>
        </w:rPr>
      </w:pPr>
    </w:p>
    <w:p>
      <w:pPr>
        <w:spacing w:line="400" w:lineRule="exact"/>
        <w:jc w:val="left"/>
        <w:outlineLvl w:val="1"/>
        <w:rPr>
          <w:b/>
          <w:color w:val="auto"/>
          <w:sz w:val="32"/>
          <w:szCs w:val="32"/>
        </w:rPr>
      </w:pPr>
    </w:p>
    <w:p>
      <w:pPr>
        <w:spacing w:line="400" w:lineRule="exact"/>
        <w:jc w:val="left"/>
        <w:outlineLvl w:val="1"/>
        <w:rPr>
          <w:b/>
          <w:color w:val="auto"/>
          <w:sz w:val="32"/>
          <w:szCs w:val="32"/>
        </w:rPr>
      </w:pPr>
    </w:p>
    <w:p>
      <w:pPr>
        <w:spacing w:line="400" w:lineRule="exact"/>
        <w:jc w:val="left"/>
        <w:outlineLvl w:val="1"/>
        <w:rPr>
          <w:b/>
          <w:color w:val="auto"/>
          <w:sz w:val="32"/>
          <w:szCs w:val="32"/>
        </w:rPr>
      </w:pPr>
    </w:p>
    <w:p>
      <w:pPr>
        <w:spacing w:line="400" w:lineRule="exact"/>
        <w:jc w:val="left"/>
        <w:outlineLvl w:val="1"/>
        <w:rPr>
          <w:b/>
          <w:color w:val="auto"/>
          <w:sz w:val="32"/>
          <w:szCs w:val="32"/>
        </w:rPr>
      </w:pPr>
    </w:p>
    <w:p>
      <w:pPr>
        <w:spacing w:line="400" w:lineRule="exact"/>
        <w:jc w:val="left"/>
        <w:outlineLvl w:val="1"/>
        <w:rPr>
          <w:b/>
          <w:color w:val="auto"/>
          <w:sz w:val="32"/>
          <w:szCs w:val="32"/>
        </w:rPr>
      </w:pPr>
    </w:p>
    <w:p>
      <w:pPr>
        <w:spacing w:line="400" w:lineRule="exact"/>
        <w:jc w:val="left"/>
        <w:outlineLvl w:val="1"/>
        <w:rPr>
          <w:b/>
          <w:color w:val="auto"/>
          <w:sz w:val="32"/>
          <w:szCs w:val="32"/>
        </w:rPr>
      </w:pPr>
    </w:p>
    <w:p>
      <w:pPr>
        <w:spacing w:line="400" w:lineRule="exact"/>
        <w:jc w:val="left"/>
        <w:outlineLvl w:val="1"/>
        <w:rPr>
          <w:b/>
          <w:color w:val="auto"/>
          <w:sz w:val="32"/>
          <w:szCs w:val="32"/>
        </w:rPr>
      </w:pPr>
      <w:r>
        <w:rPr>
          <w:b/>
          <w:color w:val="auto"/>
          <w:sz w:val="32"/>
          <w:szCs w:val="32"/>
        </w:rPr>
        <w:br w:type="page"/>
      </w:r>
      <w:bookmarkStart w:id="275" w:name="_Toc26652"/>
      <w:bookmarkStart w:id="276" w:name="_Toc2522"/>
      <w:r>
        <w:rPr>
          <w:b/>
          <w:color w:val="auto"/>
          <w:sz w:val="32"/>
          <w:szCs w:val="32"/>
        </w:rPr>
        <w:t>三、商务、技术性响应及其他有效证明材料（格式）</w:t>
      </w:r>
      <w:bookmarkEnd w:id="273"/>
      <w:bookmarkEnd w:id="275"/>
      <w:bookmarkEnd w:id="276"/>
    </w:p>
    <w:p>
      <w:pPr>
        <w:tabs>
          <w:tab w:val="left" w:pos="1305"/>
        </w:tabs>
        <w:spacing w:before="156" w:beforeLines="50" w:line="400" w:lineRule="exact"/>
        <w:jc w:val="center"/>
        <w:outlineLvl w:val="2"/>
        <w:rPr>
          <w:b/>
          <w:color w:val="auto"/>
          <w:sz w:val="32"/>
          <w:szCs w:val="32"/>
        </w:rPr>
      </w:pPr>
      <w:bookmarkStart w:id="277" w:name="_Toc495841795"/>
      <w:bookmarkStart w:id="278" w:name="_Toc8634"/>
      <w:bookmarkStart w:id="279" w:name="_Toc2409"/>
      <w:r>
        <w:rPr>
          <w:b/>
          <w:color w:val="auto"/>
          <w:sz w:val="32"/>
          <w:szCs w:val="32"/>
        </w:rPr>
        <w:t>1.技术规格偏离表（必须提供）</w:t>
      </w:r>
      <w:bookmarkEnd w:id="277"/>
      <w:bookmarkEnd w:id="278"/>
      <w:bookmarkEnd w:id="279"/>
    </w:p>
    <w:p>
      <w:pPr>
        <w:rPr>
          <w:b/>
          <w:color w:val="auto"/>
          <w:sz w:val="24"/>
        </w:rPr>
      </w:pPr>
    </w:p>
    <w:p>
      <w:pPr>
        <w:jc w:val="center"/>
        <w:rPr>
          <w:b/>
          <w:bCs/>
          <w:color w:val="auto"/>
          <w:sz w:val="32"/>
        </w:rPr>
      </w:pPr>
      <w:r>
        <w:rPr>
          <w:b/>
          <w:color w:val="auto"/>
          <w:sz w:val="32"/>
          <w:szCs w:val="32"/>
        </w:rPr>
        <w:t>技术规格偏离表</w:t>
      </w:r>
      <w:r>
        <w:rPr>
          <w:b/>
          <w:bCs/>
          <w:color w:val="auto"/>
          <w:sz w:val="32"/>
        </w:rPr>
        <w:t>（格式）</w:t>
      </w:r>
    </w:p>
    <w:p>
      <w:pPr>
        <w:pStyle w:val="2"/>
        <w:rPr>
          <w:color w:val="auto"/>
        </w:rPr>
      </w:pP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2313"/>
        <w:gridCol w:w="2520"/>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709" w:type="dxa"/>
            <w:shd w:val="clear" w:color="auto" w:fill="8DB3E2"/>
            <w:noWrap w:val="0"/>
            <w:vAlign w:val="center"/>
          </w:tcPr>
          <w:p>
            <w:pPr>
              <w:spacing w:line="400" w:lineRule="exact"/>
              <w:jc w:val="center"/>
              <w:rPr>
                <w:b/>
                <w:color w:val="auto"/>
              </w:rPr>
            </w:pPr>
            <w:r>
              <w:rPr>
                <w:b/>
                <w:color w:val="auto"/>
              </w:rPr>
              <w:t>序号</w:t>
            </w:r>
          </w:p>
        </w:tc>
        <w:tc>
          <w:tcPr>
            <w:tcW w:w="2126" w:type="dxa"/>
            <w:shd w:val="clear" w:color="auto" w:fill="8DB3E2"/>
            <w:noWrap w:val="0"/>
            <w:vAlign w:val="center"/>
          </w:tcPr>
          <w:p>
            <w:pPr>
              <w:spacing w:line="400" w:lineRule="exact"/>
              <w:jc w:val="center"/>
              <w:rPr>
                <w:b/>
                <w:color w:val="auto"/>
              </w:rPr>
            </w:pPr>
            <w:r>
              <w:rPr>
                <w:b/>
                <w:color w:val="auto"/>
              </w:rPr>
              <w:t>货物名称</w:t>
            </w:r>
          </w:p>
        </w:tc>
        <w:tc>
          <w:tcPr>
            <w:tcW w:w="2313" w:type="dxa"/>
            <w:shd w:val="clear" w:color="auto" w:fill="8DB3E2"/>
            <w:noWrap w:val="0"/>
            <w:vAlign w:val="center"/>
          </w:tcPr>
          <w:p>
            <w:pPr>
              <w:spacing w:line="400" w:lineRule="exact"/>
              <w:jc w:val="center"/>
              <w:rPr>
                <w:b/>
                <w:color w:val="auto"/>
              </w:rPr>
            </w:pPr>
            <w:r>
              <w:rPr>
                <w:b/>
                <w:color w:val="auto"/>
                <w:szCs w:val="21"/>
              </w:rPr>
              <w:t>项目要求及技术需求</w:t>
            </w:r>
          </w:p>
        </w:tc>
        <w:tc>
          <w:tcPr>
            <w:tcW w:w="2520" w:type="dxa"/>
            <w:shd w:val="clear" w:color="auto" w:fill="8DB3E2"/>
            <w:noWrap w:val="0"/>
            <w:vAlign w:val="center"/>
          </w:tcPr>
          <w:p>
            <w:pPr>
              <w:spacing w:line="400" w:lineRule="exact"/>
              <w:jc w:val="center"/>
              <w:rPr>
                <w:b/>
                <w:color w:val="auto"/>
                <w:szCs w:val="21"/>
              </w:rPr>
            </w:pPr>
            <w:r>
              <w:rPr>
                <w:b/>
                <w:color w:val="auto"/>
                <w:szCs w:val="21"/>
              </w:rPr>
              <w:t>投标文件的响应情况</w:t>
            </w:r>
          </w:p>
        </w:tc>
        <w:tc>
          <w:tcPr>
            <w:tcW w:w="2113" w:type="dxa"/>
            <w:shd w:val="clear" w:color="auto" w:fill="8DB3E2"/>
            <w:noWrap w:val="0"/>
            <w:vAlign w:val="center"/>
          </w:tcPr>
          <w:p>
            <w:pPr>
              <w:spacing w:line="400" w:lineRule="exact"/>
              <w:jc w:val="center"/>
              <w:rPr>
                <w:b/>
                <w:color w:val="auto"/>
              </w:rPr>
            </w:pPr>
            <w:bookmarkStart w:id="280" w:name="_Toc254970701"/>
            <w:bookmarkStart w:id="281" w:name="_Toc254970560"/>
            <w:r>
              <w:rPr>
                <w:b/>
                <w:color w:val="auto"/>
              </w:rPr>
              <w:t>偏离情况</w:t>
            </w:r>
            <w:bookmarkEnd w:id="280"/>
            <w:bookmarkEnd w:id="281"/>
            <w:r>
              <w:rPr>
                <w:b/>
                <w:color w:val="auto"/>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spacing w:line="400" w:lineRule="exact"/>
              <w:jc w:val="center"/>
              <w:rPr>
                <w:color w:val="auto"/>
                <w:szCs w:val="21"/>
              </w:rPr>
            </w:pPr>
            <w:r>
              <w:rPr>
                <w:rFonts w:hint="eastAsia"/>
                <w:color w:val="auto"/>
                <w:szCs w:val="21"/>
              </w:rPr>
              <w:t>1</w:t>
            </w:r>
          </w:p>
        </w:tc>
        <w:tc>
          <w:tcPr>
            <w:tcW w:w="2126" w:type="dxa"/>
            <w:noWrap w:val="0"/>
            <w:vAlign w:val="center"/>
          </w:tcPr>
          <w:p>
            <w:pPr>
              <w:spacing w:line="400" w:lineRule="exact"/>
              <w:rPr>
                <w:rFonts w:hint="eastAsia" w:ascii="宋体" w:hAnsi="宋体" w:cs="宋体"/>
                <w:color w:val="auto"/>
                <w:kern w:val="0"/>
                <w:szCs w:val="21"/>
              </w:rPr>
            </w:pPr>
          </w:p>
        </w:tc>
        <w:tc>
          <w:tcPr>
            <w:tcW w:w="2313" w:type="dxa"/>
            <w:noWrap w:val="0"/>
            <w:vAlign w:val="center"/>
          </w:tcPr>
          <w:p>
            <w:pPr>
              <w:spacing w:line="400" w:lineRule="exact"/>
              <w:jc w:val="left"/>
              <w:rPr>
                <w:color w:val="auto"/>
              </w:rPr>
            </w:pPr>
          </w:p>
        </w:tc>
        <w:tc>
          <w:tcPr>
            <w:tcW w:w="2520" w:type="dxa"/>
            <w:noWrap w:val="0"/>
            <w:vAlign w:val="top"/>
          </w:tcPr>
          <w:p>
            <w:pPr>
              <w:spacing w:line="400" w:lineRule="exact"/>
              <w:jc w:val="left"/>
              <w:rPr>
                <w:color w:val="auto"/>
              </w:rPr>
            </w:pPr>
          </w:p>
        </w:tc>
        <w:tc>
          <w:tcPr>
            <w:tcW w:w="2113" w:type="dxa"/>
            <w:noWrap w:val="0"/>
            <w:vAlign w:val="center"/>
          </w:tcPr>
          <w:p>
            <w:pPr>
              <w:spacing w:line="400" w:lineRule="exact"/>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spacing w:line="400" w:lineRule="exact"/>
              <w:jc w:val="center"/>
              <w:rPr>
                <w:color w:val="auto"/>
                <w:szCs w:val="21"/>
              </w:rPr>
            </w:pPr>
            <w:r>
              <w:rPr>
                <w:rFonts w:hint="eastAsia"/>
                <w:color w:val="auto"/>
                <w:szCs w:val="21"/>
              </w:rPr>
              <w:t>2</w:t>
            </w:r>
          </w:p>
        </w:tc>
        <w:tc>
          <w:tcPr>
            <w:tcW w:w="2126" w:type="dxa"/>
            <w:noWrap w:val="0"/>
            <w:vAlign w:val="center"/>
          </w:tcPr>
          <w:p>
            <w:pPr>
              <w:spacing w:line="400" w:lineRule="exact"/>
              <w:rPr>
                <w:rFonts w:hint="eastAsia" w:ascii="宋体" w:hAnsi="宋体" w:cs="宋体"/>
                <w:color w:val="auto"/>
                <w:kern w:val="0"/>
                <w:szCs w:val="21"/>
              </w:rPr>
            </w:pPr>
          </w:p>
        </w:tc>
        <w:tc>
          <w:tcPr>
            <w:tcW w:w="2313" w:type="dxa"/>
            <w:noWrap w:val="0"/>
            <w:vAlign w:val="center"/>
          </w:tcPr>
          <w:p>
            <w:pPr>
              <w:spacing w:line="400" w:lineRule="exact"/>
              <w:jc w:val="left"/>
              <w:rPr>
                <w:color w:val="auto"/>
              </w:rPr>
            </w:pPr>
          </w:p>
        </w:tc>
        <w:tc>
          <w:tcPr>
            <w:tcW w:w="2520" w:type="dxa"/>
            <w:noWrap w:val="0"/>
            <w:vAlign w:val="top"/>
          </w:tcPr>
          <w:p>
            <w:pPr>
              <w:spacing w:line="400" w:lineRule="exact"/>
              <w:jc w:val="left"/>
              <w:rPr>
                <w:color w:val="auto"/>
              </w:rPr>
            </w:pPr>
          </w:p>
        </w:tc>
        <w:tc>
          <w:tcPr>
            <w:tcW w:w="2113" w:type="dxa"/>
            <w:noWrap w:val="0"/>
            <w:vAlign w:val="center"/>
          </w:tcPr>
          <w:p>
            <w:pPr>
              <w:spacing w:line="400" w:lineRule="exact"/>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spacing w:line="400" w:lineRule="exact"/>
              <w:jc w:val="center"/>
              <w:rPr>
                <w:color w:val="auto"/>
                <w:szCs w:val="21"/>
              </w:rPr>
            </w:pPr>
            <w:r>
              <w:rPr>
                <w:rFonts w:hint="eastAsia"/>
                <w:color w:val="auto"/>
                <w:szCs w:val="21"/>
              </w:rPr>
              <w:t>3</w:t>
            </w:r>
          </w:p>
        </w:tc>
        <w:tc>
          <w:tcPr>
            <w:tcW w:w="2126" w:type="dxa"/>
            <w:noWrap w:val="0"/>
            <w:vAlign w:val="center"/>
          </w:tcPr>
          <w:p>
            <w:pPr>
              <w:spacing w:line="400" w:lineRule="exact"/>
              <w:rPr>
                <w:rFonts w:hint="eastAsia" w:ascii="宋体" w:hAnsi="宋体" w:cs="宋体"/>
                <w:color w:val="auto"/>
                <w:kern w:val="0"/>
                <w:szCs w:val="21"/>
              </w:rPr>
            </w:pPr>
          </w:p>
        </w:tc>
        <w:tc>
          <w:tcPr>
            <w:tcW w:w="2313" w:type="dxa"/>
            <w:noWrap w:val="0"/>
            <w:vAlign w:val="top"/>
          </w:tcPr>
          <w:p>
            <w:pPr>
              <w:spacing w:line="400" w:lineRule="exact"/>
              <w:jc w:val="left"/>
              <w:rPr>
                <w:color w:val="auto"/>
              </w:rPr>
            </w:pPr>
          </w:p>
        </w:tc>
        <w:tc>
          <w:tcPr>
            <w:tcW w:w="2520" w:type="dxa"/>
            <w:noWrap w:val="0"/>
            <w:vAlign w:val="top"/>
          </w:tcPr>
          <w:p>
            <w:pPr>
              <w:spacing w:line="400" w:lineRule="exact"/>
              <w:jc w:val="left"/>
              <w:rPr>
                <w:color w:val="auto"/>
              </w:rPr>
            </w:pPr>
          </w:p>
        </w:tc>
        <w:tc>
          <w:tcPr>
            <w:tcW w:w="2113" w:type="dxa"/>
            <w:noWrap w:val="0"/>
            <w:vAlign w:val="top"/>
          </w:tcPr>
          <w:p>
            <w:pPr>
              <w:spacing w:line="400" w:lineRule="exact"/>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spacing w:line="400" w:lineRule="exact"/>
              <w:jc w:val="center"/>
              <w:rPr>
                <w:rFonts w:hint="eastAsia"/>
                <w:color w:val="auto"/>
                <w:szCs w:val="21"/>
              </w:rPr>
            </w:pPr>
            <w:r>
              <w:rPr>
                <w:rFonts w:hint="eastAsia"/>
                <w:color w:val="auto"/>
                <w:szCs w:val="21"/>
              </w:rPr>
              <w:t>4</w:t>
            </w:r>
          </w:p>
        </w:tc>
        <w:tc>
          <w:tcPr>
            <w:tcW w:w="2126" w:type="dxa"/>
            <w:noWrap w:val="0"/>
            <w:vAlign w:val="center"/>
          </w:tcPr>
          <w:p>
            <w:pPr>
              <w:spacing w:line="400" w:lineRule="exact"/>
              <w:rPr>
                <w:rFonts w:hint="eastAsia" w:ascii="宋体" w:hAnsi="宋体" w:cs="宋体"/>
                <w:color w:val="auto"/>
                <w:kern w:val="0"/>
                <w:szCs w:val="21"/>
              </w:rPr>
            </w:pPr>
          </w:p>
        </w:tc>
        <w:tc>
          <w:tcPr>
            <w:tcW w:w="2313" w:type="dxa"/>
            <w:noWrap w:val="0"/>
            <w:vAlign w:val="top"/>
          </w:tcPr>
          <w:p>
            <w:pPr>
              <w:spacing w:line="400" w:lineRule="exact"/>
              <w:jc w:val="left"/>
              <w:rPr>
                <w:color w:val="auto"/>
              </w:rPr>
            </w:pPr>
          </w:p>
        </w:tc>
        <w:tc>
          <w:tcPr>
            <w:tcW w:w="2520" w:type="dxa"/>
            <w:noWrap w:val="0"/>
            <w:vAlign w:val="top"/>
          </w:tcPr>
          <w:p>
            <w:pPr>
              <w:spacing w:line="400" w:lineRule="exact"/>
              <w:jc w:val="left"/>
              <w:rPr>
                <w:color w:val="auto"/>
              </w:rPr>
            </w:pPr>
          </w:p>
        </w:tc>
        <w:tc>
          <w:tcPr>
            <w:tcW w:w="2113" w:type="dxa"/>
            <w:noWrap w:val="0"/>
            <w:vAlign w:val="top"/>
          </w:tcPr>
          <w:p>
            <w:pPr>
              <w:spacing w:line="400" w:lineRule="exact"/>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spacing w:line="400" w:lineRule="exact"/>
              <w:jc w:val="center"/>
              <w:rPr>
                <w:rFonts w:hint="eastAsia"/>
                <w:color w:val="auto"/>
                <w:szCs w:val="21"/>
              </w:rPr>
            </w:pPr>
            <w:r>
              <w:rPr>
                <w:rFonts w:hint="eastAsia"/>
                <w:color w:val="auto"/>
                <w:szCs w:val="21"/>
              </w:rPr>
              <w:t>……</w:t>
            </w:r>
          </w:p>
        </w:tc>
        <w:tc>
          <w:tcPr>
            <w:tcW w:w="2126" w:type="dxa"/>
            <w:noWrap w:val="0"/>
            <w:vAlign w:val="center"/>
          </w:tcPr>
          <w:p>
            <w:pPr>
              <w:spacing w:line="400" w:lineRule="exact"/>
              <w:rPr>
                <w:rFonts w:hint="eastAsia" w:ascii="宋体" w:hAnsi="宋体" w:cs="宋体"/>
                <w:color w:val="auto"/>
                <w:kern w:val="0"/>
                <w:szCs w:val="21"/>
              </w:rPr>
            </w:pPr>
          </w:p>
        </w:tc>
        <w:tc>
          <w:tcPr>
            <w:tcW w:w="2313" w:type="dxa"/>
            <w:noWrap w:val="0"/>
            <w:vAlign w:val="top"/>
          </w:tcPr>
          <w:p>
            <w:pPr>
              <w:spacing w:line="400" w:lineRule="exact"/>
              <w:jc w:val="left"/>
              <w:rPr>
                <w:color w:val="auto"/>
              </w:rPr>
            </w:pPr>
          </w:p>
        </w:tc>
        <w:tc>
          <w:tcPr>
            <w:tcW w:w="2520" w:type="dxa"/>
            <w:noWrap w:val="0"/>
            <w:vAlign w:val="top"/>
          </w:tcPr>
          <w:p>
            <w:pPr>
              <w:spacing w:line="400" w:lineRule="exact"/>
              <w:jc w:val="left"/>
              <w:rPr>
                <w:color w:val="auto"/>
              </w:rPr>
            </w:pPr>
          </w:p>
        </w:tc>
        <w:tc>
          <w:tcPr>
            <w:tcW w:w="2113" w:type="dxa"/>
            <w:noWrap w:val="0"/>
            <w:vAlign w:val="top"/>
          </w:tcPr>
          <w:p>
            <w:pPr>
              <w:spacing w:line="400" w:lineRule="exact"/>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spacing w:line="400" w:lineRule="exact"/>
              <w:jc w:val="center"/>
              <w:rPr>
                <w:rFonts w:hint="eastAsia"/>
                <w:color w:val="auto"/>
                <w:szCs w:val="21"/>
              </w:rPr>
            </w:pPr>
            <w:r>
              <w:rPr>
                <w:rFonts w:hint="eastAsia"/>
                <w:color w:val="auto"/>
                <w:szCs w:val="21"/>
              </w:rPr>
              <w:t>N</w:t>
            </w:r>
          </w:p>
        </w:tc>
        <w:tc>
          <w:tcPr>
            <w:tcW w:w="2126" w:type="dxa"/>
            <w:noWrap w:val="0"/>
            <w:vAlign w:val="center"/>
          </w:tcPr>
          <w:p>
            <w:pPr>
              <w:spacing w:line="400" w:lineRule="exact"/>
              <w:rPr>
                <w:rFonts w:hint="eastAsia" w:ascii="宋体" w:hAnsi="宋体" w:cs="宋体"/>
                <w:b/>
                <w:bCs/>
                <w:color w:val="auto"/>
                <w:kern w:val="0"/>
                <w:szCs w:val="21"/>
              </w:rPr>
            </w:pPr>
          </w:p>
        </w:tc>
        <w:tc>
          <w:tcPr>
            <w:tcW w:w="2313" w:type="dxa"/>
            <w:noWrap w:val="0"/>
            <w:vAlign w:val="top"/>
          </w:tcPr>
          <w:p>
            <w:pPr>
              <w:spacing w:line="400" w:lineRule="exact"/>
              <w:jc w:val="left"/>
              <w:rPr>
                <w:color w:val="auto"/>
              </w:rPr>
            </w:pPr>
          </w:p>
        </w:tc>
        <w:tc>
          <w:tcPr>
            <w:tcW w:w="2520" w:type="dxa"/>
            <w:noWrap w:val="0"/>
            <w:vAlign w:val="top"/>
          </w:tcPr>
          <w:p>
            <w:pPr>
              <w:spacing w:line="400" w:lineRule="exact"/>
              <w:jc w:val="left"/>
              <w:rPr>
                <w:color w:val="auto"/>
              </w:rPr>
            </w:pPr>
          </w:p>
        </w:tc>
        <w:tc>
          <w:tcPr>
            <w:tcW w:w="2113" w:type="dxa"/>
            <w:noWrap w:val="0"/>
            <w:vAlign w:val="top"/>
          </w:tcPr>
          <w:p>
            <w:pPr>
              <w:spacing w:line="400" w:lineRule="exact"/>
              <w:jc w:val="left"/>
              <w:rPr>
                <w:color w:val="auto"/>
              </w:rPr>
            </w:pPr>
          </w:p>
        </w:tc>
      </w:tr>
    </w:tbl>
    <w:p>
      <w:pPr>
        <w:snapToGrid w:val="0"/>
        <w:spacing w:line="400" w:lineRule="exact"/>
        <w:rPr>
          <w:color w:val="auto"/>
          <w:szCs w:val="20"/>
          <w:u w:val="single"/>
        </w:rPr>
      </w:pPr>
      <w:r>
        <w:rPr>
          <w:color w:val="auto"/>
        </w:rPr>
        <w:t>注：供应商应对照招标文件中项目要求及技术需求的内容逐条响应，并在“偏离情况说明”栏注明“正偏离”、“负偏离”或“无偏离”。</w:t>
      </w:r>
    </w:p>
    <w:p>
      <w:pPr>
        <w:snapToGrid w:val="0"/>
        <w:spacing w:line="400" w:lineRule="exact"/>
        <w:ind w:firstLine="3780" w:firstLineChars="1800"/>
        <w:rPr>
          <w:color w:val="auto"/>
          <w:szCs w:val="20"/>
          <w:u w:val="single"/>
        </w:rPr>
      </w:pPr>
    </w:p>
    <w:p>
      <w:pPr>
        <w:snapToGrid w:val="0"/>
        <w:spacing w:line="400" w:lineRule="exact"/>
        <w:ind w:firstLine="1890" w:firstLineChars="900"/>
        <w:rPr>
          <w:color w:val="auto"/>
          <w:szCs w:val="21"/>
          <w:u w:val="single"/>
        </w:rPr>
      </w:pPr>
      <w:r>
        <w:rPr>
          <w:color w:val="auto"/>
          <w:szCs w:val="21"/>
        </w:rPr>
        <w:t>投标人（公章，自然人除外）：</w:t>
      </w:r>
      <w:r>
        <w:rPr>
          <w:color w:val="auto"/>
          <w:szCs w:val="21"/>
          <w:u w:val="single"/>
        </w:rPr>
        <w:t xml:space="preserve">                                         </w:t>
      </w:r>
    </w:p>
    <w:p>
      <w:pPr>
        <w:spacing w:line="340" w:lineRule="exact"/>
        <w:ind w:firstLine="1890" w:firstLineChars="900"/>
        <w:rPr>
          <w:color w:val="auto"/>
        </w:rPr>
      </w:pPr>
      <w:r>
        <w:rPr>
          <w:color w:val="auto"/>
        </w:rPr>
        <w:t>法定代表人、负责人、自然人或相应的委托代理人签字（或盖章）</w:t>
      </w:r>
    </w:p>
    <w:p>
      <w:pPr>
        <w:spacing w:line="340" w:lineRule="exact"/>
        <w:ind w:firstLine="1680" w:firstLineChars="800"/>
        <w:rPr>
          <w:color w:val="auto"/>
          <w:szCs w:val="21"/>
          <w:u w:val="single"/>
        </w:rPr>
      </w:pPr>
      <w:r>
        <w:rPr>
          <w:color w:val="auto"/>
        </w:rPr>
        <w:t>（属自然人的应在签名处加盖大拇指指印）：</w:t>
      </w:r>
      <w:r>
        <w:rPr>
          <w:color w:val="auto"/>
          <w:szCs w:val="21"/>
          <w:u w:val="single"/>
        </w:rPr>
        <w:t xml:space="preserve">                              </w:t>
      </w:r>
    </w:p>
    <w:p>
      <w:pPr>
        <w:spacing w:line="340" w:lineRule="exact"/>
        <w:ind w:firstLine="1680" w:firstLineChars="800"/>
        <w:rPr>
          <w:color w:val="auto"/>
          <w:szCs w:val="21"/>
          <w:u w:val="single"/>
        </w:rPr>
      </w:pPr>
    </w:p>
    <w:p>
      <w:pPr>
        <w:ind w:firstLine="1890" w:firstLineChars="900"/>
        <w:rPr>
          <w:color w:val="auto"/>
          <w:u w:val="single"/>
        </w:rPr>
      </w:pPr>
      <w:r>
        <w:rPr>
          <w:color w:val="auto"/>
        </w:rPr>
        <w:t xml:space="preserve"> 日          期：</w:t>
      </w:r>
      <w:r>
        <w:rPr>
          <w:color w:val="auto"/>
          <w:u w:val="single"/>
        </w:rPr>
        <w:t xml:space="preserve">                                                   </w:t>
      </w:r>
    </w:p>
    <w:p>
      <w:pPr>
        <w:spacing w:line="360" w:lineRule="exact"/>
        <w:rPr>
          <w:color w:val="auto"/>
        </w:rPr>
      </w:pPr>
    </w:p>
    <w:p>
      <w:pPr>
        <w:spacing w:line="400" w:lineRule="exact"/>
        <w:ind w:left="982" w:leftChars="200" w:hanging="562" w:hangingChars="200"/>
        <w:rPr>
          <w:b/>
          <w:color w:val="auto"/>
          <w:sz w:val="24"/>
        </w:rPr>
      </w:pPr>
      <w:r>
        <w:rPr>
          <w:b/>
          <w:bCs/>
          <w:color w:val="auto"/>
          <w:sz w:val="28"/>
          <w:szCs w:val="28"/>
        </w:rPr>
        <w:t>注：</w:t>
      </w:r>
      <w:r>
        <w:rPr>
          <w:b/>
          <w:color w:val="auto"/>
          <w:sz w:val="24"/>
        </w:rPr>
        <w:t>1.“技术规格偏离表”各项内容必须如实填写。</w:t>
      </w:r>
    </w:p>
    <w:p>
      <w:pPr>
        <w:spacing w:line="400" w:lineRule="exact"/>
        <w:ind w:left="840" w:leftChars="400" w:firstLine="181" w:firstLineChars="75"/>
        <w:rPr>
          <w:b/>
          <w:color w:val="auto"/>
          <w:sz w:val="24"/>
        </w:rPr>
      </w:pPr>
      <w:r>
        <w:rPr>
          <w:b/>
          <w:color w:val="auto"/>
          <w:sz w:val="24"/>
        </w:rPr>
        <w:t>2.当本表由多页构成时，需逐页加盖投标人公章（属自然人的须逐页签字）。</w:t>
      </w:r>
    </w:p>
    <w:p>
      <w:pPr>
        <w:spacing w:line="400" w:lineRule="exact"/>
        <w:ind w:left="982" w:leftChars="200" w:hanging="562" w:hangingChars="200"/>
        <w:rPr>
          <w:b/>
          <w:bCs/>
          <w:color w:val="auto"/>
          <w:sz w:val="28"/>
          <w:szCs w:val="28"/>
        </w:rPr>
      </w:pPr>
    </w:p>
    <w:p>
      <w:pPr>
        <w:spacing w:line="360" w:lineRule="exact"/>
        <w:rPr>
          <w:color w:val="auto"/>
        </w:rPr>
      </w:pPr>
    </w:p>
    <w:p>
      <w:pPr>
        <w:tabs>
          <w:tab w:val="left" w:pos="1305"/>
        </w:tabs>
        <w:spacing w:before="156" w:beforeLines="50" w:line="400" w:lineRule="exact"/>
        <w:outlineLvl w:val="2"/>
        <w:rPr>
          <w:b/>
          <w:color w:val="auto"/>
          <w:sz w:val="32"/>
          <w:szCs w:val="32"/>
        </w:rPr>
      </w:pPr>
      <w:r>
        <w:rPr>
          <w:color w:val="auto"/>
        </w:rPr>
        <w:br w:type="page"/>
      </w:r>
      <w:bookmarkStart w:id="282" w:name="_Toc15632"/>
      <w:bookmarkStart w:id="283" w:name="_Toc1043"/>
      <w:r>
        <w:rPr>
          <w:b/>
          <w:color w:val="auto"/>
          <w:sz w:val="32"/>
          <w:szCs w:val="32"/>
        </w:rPr>
        <w:t>2.商务响应表（必须提供）</w:t>
      </w:r>
      <w:bookmarkEnd w:id="282"/>
      <w:bookmarkEnd w:id="283"/>
    </w:p>
    <w:p>
      <w:pPr>
        <w:snapToGrid w:val="0"/>
        <w:spacing w:before="156" w:beforeLines="50" w:after="50"/>
        <w:jc w:val="center"/>
        <w:rPr>
          <w:b/>
          <w:bCs/>
          <w:color w:val="auto"/>
          <w:sz w:val="32"/>
          <w:szCs w:val="32"/>
        </w:rPr>
      </w:pPr>
      <w:r>
        <w:rPr>
          <w:b/>
          <w:bCs/>
          <w:color w:val="auto"/>
          <w:sz w:val="32"/>
          <w:szCs w:val="32"/>
        </w:rPr>
        <w:t>商务响应表（格式）</w:t>
      </w:r>
    </w:p>
    <w:p>
      <w:pPr>
        <w:pStyle w:val="2"/>
        <w:rPr>
          <w:color w:val="auto"/>
        </w:rPr>
      </w:pPr>
    </w:p>
    <w:tbl>
      <w:tblPr>
        <w:tblStyle w:val="30"/>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63"/>
        <w:gridCol w:w="1176"/>
        <w:gridCol w:w="2197"/>
        <w:gridCol w:w="2835"/>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63" w:type="dxa"/>
            <w:tcBorders>
              <w:top w:val="single" w:color="auto" w:sz="4" w:space="0"/>
              <w:left w:val="single" w:color="auto" w:sz="4" w:space="0"/>
              <w:bottom w:val="single" w:color="auto" w:sz="4" w:space="0"/>
              <w:right w:val="single" w:color="auto" w:sz="4" w:space="0"/>
            </w:tcBorders>
            <w:shd w:val="clear" w:color="auto" w:fill="8DB3E2"/>
            <w:noWrap w:val="0"/>
            <w:vAlign w:val="center"/>
          </w:tcPr>
          <w:p>
            <w:pPr>
              <w:snapToGrid w:val="0"/>
              <w:spacing w:line="360" w:lineRule="exact"/>
              <w:jc w:val="center"/>
              <w:rPr>
                <w:b/>
                <w:bCs/>
                <w:color w:val="auto"/>
                <w:szCs w:val="21"/>
              </w:rPr>
            </w:pPr>
            <w:r>
              <w:rPr>
                <w:rFonts w:hint="eastAsia"/>
                <w:b/>
                <w:bCs/>
                <w:color w:val="auto"/>
                <w:lang w:val="en-US" w:eastAsia="zh-CN"/>
              </w:rPr>
              <w:t xml:space="preserve"> </w:t>
            </w:r>
            <w:r>
              <w:rPr>
                <w:b/>
                <w:bCs/>
                <w:color w:val="auto"/>
                <w:szCs w:val="21"/>
              </w:rPr>
              <w:t>项号</w:t>
            </w:r>
          </w:p>
        </w:tc>
        <w:tc>
          <w:tcPr>
            <w:tcW w:w="3373" w:type="dxa"/>
            <w:gridSpan w:val="2"/>
            <w:tcBorders>
              <w:top w:val="single" w:color="auto" w:sz="4" w:space="0"/>
              <w:left w:val="single" w:color="auto" w:sz="4" w:space="0"/>
              <w:bottom w:val="single" w:color="auto" w:sz="4" w:space="0"/>
              <w:right w:val="single" w:color="auto" w:sz="4" w:space="0"/>
            </w:tcBorders>
            <w:shd w:val="clear" w:color="auto" w:fill="8DB3E2"/>
            <w:noWrap w:val="0"/>
            <w:vAlign w:val="center"/>
          </w:tcPr>
          <w:p>
            <w:pPr>
              <w:pStyle w:val="18"/>
              <w:spacing w:line="360" w:lineRule="exact"/>
              <w:jc w:val="center"/>
              <w:rPr>
                <w:rFonts w:ascii="Times New Roman" w:hAnsi="Times New Roman"/>
                <w:b/>
                <w:bCs/>
                <w:color w:val="auto"/>
              </w:rPr>
            </w:pPr>
            <w:r>
              <w:rPr>
                <w:rFonts w:ascii="Times New Roman" w:hAnsi="Times New Roman"/>
                <w:b/>
                <w:bCs/>
                <w:color w:val="auto"/>
                <w:szCs w:val="24"/>
              </w:rPr>
              <w:t>招标文件的商务条款</w:t>
            </w:r>
          </w:p>
        </w:tc>
        <w:tc>
          <w:tcPr>
            <w:tcW w:w="2835" w:type="dxa"/>
            <w:tcBorders>
              <w:top w:val="single" w:color="auto" w:sz="4" w:space="0"/>
              <w:left w:val="single" w:color="auto" w:sz="4" w:space="0"/>
              <w:bottom w:val="single" w:color="auto" w:sz="4" w:space="0"/>
              <w:right w:val="single" w:color="auto" w:sz="4" w:space="0"/>
            </w:tcBorders>
            <w:shd w:val="clear" w:color="auto" w:fill="8DB3E2"/>
            <w:noWrap w:val="0"/>
            <w:vAlign w:val="center"/>
          </w:tcPr>
          <w:p>
            <w:pPr>
              <w:pStyle w:val="18"/>
              <w:spacing w:line="360" w:lineRule="exact"/>
              <w:jc w:val="center"/>
              <w:rPr>
                <w:rFonts w:ascii="Times New Roman" w:hAnsi="Times New Roman"/>
                <w:b/>
                <w:bCs/>
                <w:color w:val="auto"/>
              </w:rPr>
            </w:pPr>
            <w:r>
              <w:rPr>
                <w:rFonts w:ascii="Times New Roman" w:hAnsi="Times New Roman"/>
                <w:b/>
                <w:bCs/>
                <w:color w:val="auto"/>
                <w:szCs w:val="24"/>
              </w:rPr>
              <w:t>投标文件承诺的商务条款</w:t>
            </w:r>
          </w:p>
        </w:tc>
        <w:tc>
          <w:tcPr>
            <w:tcW w:w="2410" w:type="dxa"/>
            <w:tcBorders>
              <w:top w:val="single" w:color="auto" w:sz="4" w:space="0"/>
              <w:left w:val="single" w:color="auto" w:sz="4" w:space="0"/>
              <w:bottom w:val="single" w:color="auto" w:sz="4" w:space="0"/>
              <w:right w:val="single" w:color="auto" w:sz="4" w:space="0"/>
            </w:tcBorders>
            <w:shd w:val="clear" w:color="auto" w:fill="8DB3E2"/>
            <w:noWrap w:val="0"/>
            <w:vAlign w:val="center"/>
          </w:tcPr>
          <w:p>
            <w:pPr>
              <w:pStyle w:val="18"/>
              <w:spacing w:line="360" w:lineRule="exact"/>
              <w:jc w:val="center"/>
              <w:rPr>
                <w:rFonts w:ascii="Times New Roman" w:hAnsi="Times New Roman"/>
                <w:b/>
                <w:bCs/>
                <w:color w:val="auto"/>
              </w:rPr>
            </w:pPr>
            <w:r>
              <w:rPr>
                <w:rFonts w:ascii="Times New Roman" w:hAnsi="Times New Roman"/>
                <w:b/>
                <w:bCs/>
                <w:color w:val="auto"/>
                <w:szCs w:val="24"/>
              </w:rPr>
              <w:t>偏离情况说明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ind w:left="43"/>
              <w:jc w:val="center"/>
              <w:rPr>
                <w:color w:val="auto"/>
                <w:szCs w:val="21"/>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ind w:left="43"/>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r>
              <w:rPr>
                <w:color w:val="auto"/>
                <w:szCs w:val="21"/>
              </w:rPr>
              <w:t>……</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jc w:val="center"/>
              <w:rPr>
                <w:color w:val="auto"/>
                <w:szCs w:val="21"/>
              </w:rPr>
            </w:pPr>
          </w:p>
        </w:tc>
      </w:tr>
    </w:tbl>
    <w:p>
      <w:pPr>
        <w:snapToGrid w:val="0"/>
        <w:spacing w:before="50" w:after="50"/>
        <w:rPr>
          <w:color w:val="auto"/>
        </w:rPr>
      </w:pPr>
      <w:r>
        <w:rPr>
          <w:color w:val="auto"/>
        </w:rPr>
        <w:t>注：供应商应对照招标文件中商务要求的内容逐条响应，并在“偏离情况说明”栏注明“正偏离”、“负偏离”或“无偏离”。</w:t>
      </w:r>
    </w:p>
    <w:p>
      <w:pPr>
        <w:snapToGrid w:val="0"/>
        <w:spacing w:before="50" w:after="50"/>
        <w:rPr>
          <w:color w:val="auto"/>
          <w:spacing w:val="20"/>
          <w:sz w:val="24"/>
        </w:rPr>
      </w:pPr>
    </w:p>
    <w:p>
      <w:pPr>
        <w:snapToGrid w:val="0"/>
        <w:spacing w:line="400" w:lineRule="exact"/>
        <w:ind w:firstLine="1890" w:firstLineChars="900"/>
        <w:rPr>
          <w:color w:val="auto"/>
          <w:szCs w:val="21"/>
          <w:u w:val="single"/>
        </w:rPr>
      </w:pPr>
      <w:r>
        <w:rPr>
          <w:color w:val="auto"/>
          <w:szCs w:val="21"/>
        </w:rPr>
        <w:t>投标人（公章，自然人除外）：</w:t>
      </w:r>
      <w:r>
        <w:rPr>
          <w:color w:val="auto"/>
          <w:szCs w:val="21"/>
          <w:u w:val="single"/>
        </w:rPr>
        <w:t xml:space="preserve">                                         </w:t>
      </w:r>
    </w:p>
    <w:p>
      <w:pPr>
        <w:spacing w:line="340" w:lineRule="exact"/>
        <w:ind w:firstLine="1890" w:firstLineChars="900"/>
        <w:rPr>
          <w:color w:val="auto"/>
        </w:rPr>
      </w:pPr>
      <w:r>
        <w:rPr>
          <w:color w:val="auto"/>
        </w:rPr>
        <w:t>法定代表人、负责人、自然人或相应的委托代理人签字（或盖章）</w:t>
      </w:r>
    </w:p>
    <w:p>
      <w:pPr>
        <w:spacing w:line="340" w:lineRule="exact"/>
        <w:ind w:firstLine="1680" w:firstLineChars="800"/>
        <w:rPr>
          <w:color w:val="auto"/>
          <w:szCs w:val="21"/>
          <w:u w:val="single"/>
        </w:rPr>
      </w:pPr>
      <w:r>
        <w:rPr>
          <w:color w:val="auto"/>
        </w:rPr>
        <w:t>（属自然人的应在签名处加盖大拇指指印）：</w:t>
      </w:r>
      <w:r>
        <w:rPr>
          <w:color w:val="auto"/>
          <w:szCs w:val="21"/>
          <w:u w:val="single"/>
        </w:rPr>
        <w:t xml:space="preserve">                              </w:t>
      </w:r>
    </w:p>
    <w:p>
      <w:pPr>
        <w:spacing w:line="340" w:lineRule="exact"/>
        <w:ind w:firstLine="1680" w:firstLineChars="800"/>
        <w:rPr>
          <w:color w:val="auto"/>
          <w:szCs w:val="21"/>
          <w:u w:val="single"/>
        </w:rPr>
      </w:pPr>
    </w:p>
    <w:p>
      <w:pPr>
        <w:ind w:firstLine="1890" w:firstLineChars="900"/>
        <w:rPr>
          <w:color w:val="auto"/>
          <w:u w:val="single"/>
        </w:rPr>
      </w:pPr>
      <w:r>
        <w:rPr>
          <w:color w:val="auto"/>
        </w:rPr>
        <w:t xml:space="preserve"> 日          期：</w:t>
      </w:r>
      <w:r>
        <w:rPr>
          <w:color w:val="auto"/>
          <w:u w:val="single"/>
        </w:rPr>
        <w:t xml:space="preserve">                                                   </w:t>
      </w:r>
    </w:p>
    <w:p>
      <w:pPr>
        <w:ind w:firstLine="1890" w:firstLineChars="900"/>
        <w:rPr>
          <w:color w:val="auto"/>
          <w:u w:val="single"/>
        </w:rPr>
      </w:pPr>
    </w:p>
    <w:p>
      <w:pPr>
        <w:ind w:firstLine="1890" w:firstLineChars="900"/>
        <w:rPr>
          <w:color w:val="auto"/>
          <w:u w:val="single"/>
        </w:rPr>
      </w:pPr>
    </w:p>
    <w:p>
      <w:pPr>
        <w:spacing w:line="400" w:lineRule="exact"/>
        <w:ind w:left="982" w:leftChars="200" w:hanging="562" w:hangingChars="200"/>
        <w:rPr>
          <w:b/>
          <w:bCs/>
          <w:color w:val="auto"/>
          <w:sz w:val="28"/>
          <w:szCs w:val="28"/>
        </w:rPr>
      </w:pPr>
      <w:r>
        <w:rPr>
          <w:b/>
          <w:bCs/>
          <w:color w:val="auto"/>
          <w:sz w:val="28"/>
          <w:szCs w:val="28"/>
        </w:rPr>
        <w:t>注：</w:t>
      </w:r>
      <w:r>
        <w:rPr>
          <w:b/>
          <w:color w:val="auto"/>
          <w:sz w:val="24"/>
        </w:rPr>
        <w:t>1.“商务响应表”各项内容必须如实填写。</w:t>
      </w:r>
    </w:p>
    <w:p>
      <w:pPr>
        <w:spacing w:line="400" w:lineRule="exact"/>
        <w:ind w:firstLine="964" w:firstLineChars="400"/>
        <w:rPr>
          <w:b/>
          <w:bCs/>
          <w:color w:val="auto"/>
          <w:sz w:val="28"/>
          <w:szCs w:val="28"/>
        </w:rPr>
      </w:pPr>
      <w:r>
        <w:rPr>
          <w:b/>
          <w:color w:val="auto"/>
          <w:sz w:val="24"/>
        </w:rPr>
        <w:t>2.当本表由多页构成时，需逐页加盖投标人公章（属自然人的须逐页签字）。</w:t>
      </w:r>
    </w:p>
    <w:p>
      <w:pPr>
        <w:ind w:firstLine="1890" w:firstLineChars="900"/>
        <w:rPr>
          <w:color w:val="auto"/>
        </w:rPr>
      </w:pPr>
    </w:p>
    <w:p>
      <w:pPr>
        <w:tabs>
          <w:tab w:val="left" w:pos="1305"/>
        </w:tabs>
        <w:spacing w:before="156" w:beforeLines="50" w:line="400" w:lineRule="exact"/>
        <w:outlineLvl w:val="2"/>
        <w:rPr>
          <w:b/>
          <w:bCs/>
          <w:color w:val="auto"/>
          <w:sz w:val="32"/>
          <w:szCs w:val="32"/>
        </w:rPr>
      </w:pPr>
      <w:r>
        <w:rPr>
          <w:color w:val="auto"/>
        </w:rPr>
        <w:br w:type="page"/>
      </w:r>
      <w:bookmarkStart w:id="284" w:name="_Toc26892"/>
      <w:bookmarkStart w:id="285" w:name="_Toc18341"/>
      <w:bookmarkStart w:id="286" w:name="_Toc495841796"/>
      <w:r>
        <w:rPr>
          <w:b/>
          <w:bCs/>
          <w:color w:val="auto"/>
          <w:sz w:val="32"/>
          <w:szCs w:val="32"/>
        </w:rPr>
        <w:t>3.</w:t>
      </w:r>
      <w:r>
        <w:rPr>
          <w:b/>
          <w:color w:val="auto"/>
          <w:sz w:val="32"/>
          <w:szCs w:val="32"/>
        </w:rPr>
        <w:t>“货物采购需求”需提供的有效证明文件（按其要求提供）</w:t>
      </w:r>
      <w:r>
        <w:rPr>
          <w:b/>
          <w:bCs/>
          <w:color w:val="auto"/>
          <w:sz w:val="32"/>
          <w:szCs w:val="32"/>
        </w:rPr>
        <w:t>：</w:t>
      </w:r>
      <w:bookmarkEnd w:id="284"/>
      <w:bookmarkEnd w:id="285"/>
      <w:bookmarkEnd w:id="286"/>
    </w:p>
    <w:p>
      <w:pPr>
        <w:rPr>
          <w:color w:val="auto"/>
        </w:rPr>
      </w:pPr>
    </w:p>
    <w:p>
      <w:pPr>
        <w:spacing w:line="400" w:lineRule="exact"/>
        <w:rPr>
          <w:b/>
          <w:bCs/>
          <w:color w:val="auto"/>
          <w:sz w:val="32"/>
          <w:szCs w:val="32"/>
        </w:rPr>
      </w:pPr>
    </w:p>
    <w:p>
      <w:pPr>
        <w:spacing w:line="400" w:lineRule="exact"/>
        <w:rPr>
          <w:b/>
          <w:bCs/>
          <w:color w:val="auto"/>
          <w:sz w:val="32"/>
          <w:szCs w:val="32"/>
        </w:rPr>
      </w:pPr>
    </w:p>
    <w:p>
      <w:pPr>
        <w:spacing w:line="400" w:lineRule="exact"/>
        <w:rPr>
          <w:b/>
          <w:bCs/>
          <w:color w:val="auto"/>
          <w:sz w:val="32"/>
          <w:szCs w:val="32"/>
        </w:rPr>
      </w:pPr>
    </w:p>
    <w:p>
      <w:pPr>
        <w:spacing w:line="400" w:lineRule="exact"/>
        <w:rPr>
          <w:b/>
          <w:bCs/>
          <w:color w:val="auto"/>
          <w:sz w:val="32"/>
          <w:szCs w:val="32"/>
        </w:rPr>
      </w:pPr>
    </w:p>
    <w:p>
      <w:pPr>
        <w:tabs>
          <w:tab w:val="left" w:pos="1305"/>
        </w:tabs>
        <w:spacing w:line="400" w:lineRule="exact"/>
        <w:outlineLvl w:val="2"/>
        <w:rPr>
          <w:b/>
          <w:color w:val="auto"/>
          <w:sz w:val="32"/>
          <w:szCs w:val="32"/>
        </w:rPr>
      </w:pPr>
      <w:bookmarkStart w:id="287" w:name="_Toc14409"/>
      <w:bookmarkStart w:id="288" w:name="_Toc12988"/>
      <w:bookmarkStart w:id="289" w:name="_Toc495841797"/>
      <w:r>
        <w:rPr>
          <w:b/>
          <w:bCs/>
          <w:color w:val="auto"/>
          <w:sz w:val="32"/>
          <w:szCs w:val="32"/>
        </w:rPr>
        <w:t>4.投标人的售后服务承诺书（含免费保修期、交付使用期、技术服务、技术培训、售后服务的内容和措施等）（</w:t>
      </w:r>
      <w:r>
        <w:rPr>
          <w:b/>
          <w:color w:val="auto"/>
          <w:sz w:val="32"/>
          <w:szCs w:val="32"/>
        </w:rPr>
        <w:t>必须提供）</w:t>
      </w:r>
      <w:bookmarkEnd w:id="287"/>
      <w:bookmarkEnd w:id="288"/>
      <w:bookmarkEnd w:id="289"/>
    </w:p>
    <w:p>
      <w:pPr>
        <w:ind w:firstLine="472" w:firstLineChars="147"/>
        <w:jc w:val="center"/>
        <w:rPr>
          <w:b/>
          <w:bCs/>
          <w:color w:val="auto"/>
          <w:sz w:val="32"/>
          <w:szCs w:val="32"/>
        </w:rPr>
      </w:pPr>
    </w:p>
    <w:p>
      <w:pPr>
        <w:ind w:firstLine="472" w:firstLineChars="147"/>
        <w:jc w:val="center"/>
        <w:rPr>
          <w:b/>
          <w:bCs/>
          <w:color w:val="auto"/>
          <w:sz w:val="32"/>
        </w:rPr>
      </w:pPr>
      <w:r>
        <w:rPr>
          <w:b/>
          <w:bCs/>
          <w:color w:val="auto"/>
          <w:sz w:val="32"/>
          <w:szCs w:val="32"/>
        </w:rPr>
        <w:t>售后服务承诺书</w:t>
      </w:r>
      <w:r>
        <w:rPr>
          <w:b/>
          <w:bCs/>
          <w:color w:val="auto"/>
          <w:sz w:val="32"/>
        </w:rPr>
        <w:t>（格式）</w:t>
      </w:r>
    </w:p>
    <w:p>
      <w:pPr>
        <w:spacing w:line="400" w:lineRule="exact"/>
        <w:rPr>
          <w:color w:val="auto"/>
          <w:sz w:val="32"/>
          <w:szCs w:val="32"/>
        </w:rPr>
      </w:pPr>
    </w:p>
    <w:p>
      <w:pPr>
        <w:pStyle w:val="2"/>
        <w:rPr>
          <w:color w:val="auto"/>
        </w:rPr>
      </w:pPr>
    </w:p>
    <w:p>
      <w:pPr>
        <w:spacing w:line="400" w:lineRule="exact"/>
        <w:rPr>
          <w:color w:val="auto"/>
          <w:sz w:val="32"/>
          <w:szCs w:val="32"/>
        </w:rPr>
      </w:pPr>
    </w:p>
    <w:p>
      <w:pPr>
        <w:spacing w:line="400" w:lineRule="exact"/>
        <w:rPr>
          <w:color w:val="auto"/>
          <w:sz w:val="32"/>
          <w:szCs w:val="32"/>
        </w:rPr>
      </w:pPr>
    </w:p>
    <w:p>
      <w:pPr>
        <w:spacing w:line="400" w:lineRule="exact"/>
        <w:rPr>
          <w:color w:val="auto"/>
          <w:sz w:val="32"/>
          <w:szCs w:val="32"/>
        </w:rPr>
      </w:pPr>
    </w:p>
    <w:p>
      <w:pPr>
        <w:snapToGrid w:val="0"/>
        <w:spacing w:line="400" w:lineRule="exact"/>
        <w:ind w:firstLine="1890" w:firstLineChars="900"/>
        <w:rPr>
          <w:color w:val="auto"/>
          <w:szCs w:val="21"/>
          <w:u w:val="single"/>
        </w:rPr>
      </w:pPr>
      <w:r>
        <w:rPr>
          <w:color w:val="auto"/>
          <w:szCs w:val="21"/>
        </w:rPr>
        <w:t>投投标人（公章，自然人除外）：</w:t>
      </w:r>
      <w:r>
        <w:rPr>
          <w:color w:val="auto"/>
          <w:szCs w:val="21"/>
          <w:u w:val="single"/>
        </w:rPr>
        <w:t xml:space="preserve">                                         </w:t>
      </w:r>
    </w:p>
    <w:p>
      <w:pPr>
        <w:spacing w:line="340" w:lineRule="exact"/>
        <w:ind w:firstLine="1890" w:firstLineChars="900"/>
        <w:rPr>
          <w:color w:val="auto"/>
        </w:rPr>
      </w:pPr>
      <w:r>
        <w:rPr>
          <w:color w:val="auto"/>
        </w:rPr>
        <w:t>法定代表人、负责人、自然人或相应的委托代理人签字（或盖章）</w:t>
      </w:r>
    </w:p>
    <w:p>
      <w:pPr>
        <w:spacing w:line="340" w:lineRule="exact"/>
        <w:ind w:firstLine="1680" w:firstLineChars="800"/>
        <w:rPr>
          <w:color w:val="auto"/>
          <w:szCs w:val="21"/>
          <w:u w:val="single"/>
        </w:rPr>
      </w:pPr>
      <w:r>
        <w:rPr>
          <w:color w:val="auto"/>
        </w:rPr>
        <w:t>（属自然人的应在签名处加盖大拇指指印）：</w:t>
      </w:r>
      <w:r>
        <w:rPr>
          <w:color w:val="auto"/>
          <w:szCs w:val="21"/>
          <w:u w:val="single"/>
        </w:rPr>
        <w:t xml:space="preserve">                              </w:t>
      </w:r>
    </w:p>
    <w:p>
      <w:pPr>
        <w:spacing w:line="340" w:lineRule="exact"/>
        <w:ind w:firstLine="1680" w:firstLineChars="800"/>
        <w:rPr>
          <w:color w:val="auto"/>
          <w:szCs w:val="21"/>
          <w:u w:val="single"/>
        </w:rPr>
      </w:pPr>
    </w:p>
    <w:p>
      <w:pPr>
        <w:snapToGrid w:val="0"/>
        <w:spacing w:line="400" w:lineRule="exact"/>
        <w:ind w:firstLine="1680" w:firstLineChars="800"/>
        <w:rPr>
          <w:color w:val="auto"/>
        </w:rPr>
      </w:pPr>
      <w:r>
        <w:rPr>
          <w:color w:val="auto"/>
        </w:rPr>
        <w:t xml:space="preserve"> 日          期：</w:t>
      </w:r>
      <w:r>
        <w:rPr>
          <w:color w:val="auto"/>
          <w:u w:val="single"/>
        </w:rPr>
        <w:t xml:space="preserve">                                                   </w:t>
      </w:r>
    </w:p>
    <w:p>
      <w:pPr>
        <w:rPr>
          <w:color w:val="auto"/>
        </w:rPr>
      </w:pPr>
    </w:p>
    <w:p>
      <w:pPr>
        <w:rPr>
          <w:color w:val="auto"/>
        </w:rPr>
      </w:pPr>
    </w:p>
    <w:p>
      <w:pPr>
        <w:rPr>
          <w:color w:val="auto"/>
        </w:rPr>
      </w:pPr>
    </w:p>
    <w:p>
      <w:pPr>
        <w:rPr>
          <w:color w:val="auto"/>
        </w:rPr>
      </w:pPr>
    </w:p>
    <w:p>
      <w:pPr>
        <w:rPr>
          <w:color w:val="auto"/>
        </w:rPr>
      </w:pPr>
    </w:p>
    <w:p>
      <w:pPr>
        <w:spacing w:line="380" w:lineRule="exact"/>
        <w:rPr>
          <w:b/>
          <w:color w:val="auto"/>
          <w:sz w:val="32"/>
          <w:szCs w:val="32"/>
        </w:rPr>
      </w:pPr>
    </w:p>
    <w:p>
      <w:pPr>
        <w:spacing w:line="380" w:lineRule="exact"/>
        <w:rPr>
          <w:b/>
          <w:color w:val="auto"/>
          <w:sz w:val="32"/>
          <w:szCs w:val="32"/>
        </w:rPr>
      </w:pPr>
    </w:p>
    <w:p>
      <w:pPr>
        <w:tabs>
          <w:tab w:val="left" w:pos="1305"/>
        </w:tabs>
        <w:spacing w:line="400" w:lineRule="exact"/>
        <w:outlineLvl w:val="2"/>
        <w:rPr>
          <w:b/>
          <w:bCs/>
          <w:color w:val="auto"/>
          <w:sz w:val="32"/>
          <w:szCs w:val="32"/>
        </w:rPr>
      </w:pPr>
      <w:bookmarkStart w:id="290" w:name="_Toc495841798"/>
      <w:r>
        <w:rPr>
          <w:b/>
          <w:color w:val="auto"/>
          <w:sz w:val="32"/>
          <w:szCs w:val="32"/>
        </w:rPr>
        <w:br w:type="page"/>
      </w:r>
      <w:bookmarkStart w:id="291" w:name="_Toc7840"/>
      <w:bookmarkStart w:id="292" w:name="_Toc10634"/>
      <w:r>
        <w:rPr>
          <w:b/>
          <w:color w:val="auto"/>
          <w:sz w:val="32"/>
          <w:szCs w:val="32"/>
        </w:rPr>
        <w:t>5.</w:t>
      </w:r>
      <w:bookmarkEnd w:id="290"/>
      <w:r>
        <w:rPr>
          <w:b/>
          <w:color w:val="auto"/>
          <w:sz w:val="32"/>
          <w:szCs w:val="32"/>
        </w:rPr>
        <w:t>项目实施人员一览表【如有，请提供，并一起提供</w:t>
      </w:r>
      <w:r>
        <w:rPr>
          <w:rFonts w:hint="eastAsia"/>
          <w:b/>
          <w:color w:val="auto"/>
          <w:sz w:val="32"/>
          <w:szCs w:val="32"/>
        </w:rPr>
        <w:t>由县级以上（含县级）社会养老保险经办机构出具的投标人为</w:t>
      </w:r>
      <w:r>
        <w:rPr>
          <w:b/>
          <w:color w:val="auto"/>
          <w:sz w:val="32"/>
          <w:szCs w:val="32"/>
        </w:rPr>
        <w:t>项目实施人员</w:t>
      </w:r>
      <w:r>
        <w:rPr>
          <w:rFonts w:hint="eastAsia"/>
          <w:b/>
          <w:color w:val="auto"/>
          <w:sz w:val="32"/>
          <w:szCs w:val="32"/>
        </w:rPr>
        <w:t>交纳的开标截止时间前半年内任意连续三个月社保证明复印件（如投标人为截标时间前60日以内成立的公司，可以提供投标人与</w:t>
      </w:r>
      <w:r>
        <w:rPr>
          <w:b/>
          <w:color w:val="auto"/>
          <w:sz w:val="32"/>
          <w:szCs w:val="32"/>
        </w:rPr>
        <w:t>项目实施人员</w:t>
      </w:r>
      <w:r>
        <w:rPr>
          <w:rFonts w:hint="eastAsia"/>
          <w:b/>
          <w:color w:val="auto"/>
          <w:sz w:val="32"/>
          <w:szCs w:val="32"/>
        </w:rPr>
        <w:t>签订的劳动合同复印件代替社保证明复印件；如投标人为事业单位，可以提供事业单位机构编制管理证复印件或事业单位机构为其发放工资的工资条复印件代替社保证明复印件；如</w:t>
      </w:r>
      <w:r>
        <w:rPr>
          <w:b/>
          <w:color w:val="auto"/>
          <w:sz w:val="32"/>
          <w:szCs w:val="32"/>
        </w:rPr>
        <w:t>项目实施人员</w:t>
      </w:r>
      <w:r>
        <w:rPr>
          <w:rFonts w:hint="eastAsia"/>
          <w:b/>
          <w:color w:val="auto"/>
          <w:sz w:val="32"/>
          <w:szCs w:val="32"/>
        </w:rPr>
        <w:t>为免缴纳社保人员，提供免缴纳社保的证明材料复印件及投标人与</w:t>
      </w:r>
      <w:r>
        <w:rPr>
          <w:b/>
          <w:color w:val="auto"/>
          <w:sz w:val="32"/>
          <w:szCs w:val="32"/>
        </w:rPr>
        <w:t>项目实施人员</w:t>
      </w:r>
      <w:r>
        <w:rPr>
          <w:rFonts w:hint="eastAsia"/>
          <w:b/>
          <w:color w:val="auto"/>
          <w:sz w:val="32"/>
          <w:szCs w:val="32"/>
        </w:rPr>
        <w:t>签订的劳动合同复印件代替社保证明复印件</w:t>
      </w:r>
      <w:r>
        <w:rPr>
          <w:b/>
          <w:color w:val="auto"/>
          <w:sz w:val="32"/>
          <w:szCs w:val="32"/>
        </w:rPr>
        <w:t>】</w:t>
      </w:r>
      <w:bookmarkEnd w:id="291"/>
      <w:bookmarkEnd w:id="292"/>
    </w:p>
    <w:p>
      <w:pPr>
        <w:ind w:firstLine="472" w:firstLineChars="147"/>
        <w:rPr>
          <w:b/>
          <w:color w:val="auto"/>
          <w:szCs w:val="21"/>
        </w:rPr>
      </w:pPr>
      <w:r>
        <w:rPr>
          <w:b/>
          <w:color w:val="auto"/>
          <w:sz w:val="32"/>
          <w:szCs w:val="32"/>
        </w:rPr>
        <w:t xml:space="preserve">    </w:t>
      </w:r>
      <w:r>
        <w:rPr>
          <w:b/>
          <w:color w:val="auto"/>
          <w:szCs w:val="21"/>
        </w:rPr>
        <w:t xml:space="preserve">                     </w:t>
      </w:r>
    </w:p>
    <w:p>
      <w:pPr>
        <w:ind w:firstLine="472" w:firstLineChars="147"/>
        <w:jc w:val="center"/>
        <w:rPr>
          <w:b/>
          <w:bCs/>
          <w:color w:val="auto"/>
          <w:sz w:val="32"/>
          <w:szCs w:val="32"/>
        </w:rPr>
      </w:pPr>
      <w:r>
        <w:rPr>
          <w:b/>
          <w:bCs/>
          <w:color w:val="auto"/>
          <w:sz w:val="32"/>
          <w:szCs w:val="32"/>
        </w:rPr>
        <w:t>项目实施人员一览表（格式）</w:t>
      </w:r>
    </w:p>
    <w:p>
      <w:pPr>
        <w:pStyle w:val="2"/>
        <w:rPr>
          <w:color w:val="auto"/>
        </w:rPr>
      </w:pP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993"/>
        <w:gridCol w:w="1888"/>
        <w:gridCol w:w="1559"/>
        <w:gridCol w:w="2163"/>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shd w:val="clear" w:color="auto" w:fill="8DB3E2"/>
            <w:noWrap w:val="0"/>
            <w:vAlign w:val="center"/>
          </w:tcPr>
          <w:p>
            <w:pPr>
              <w:spacing w:line="400" w:lineRule="exact"/>
              <w:jc w:val="center"/>
              <w:rPr>
                <w:b/>
                <w:bCs/>
                <w:color w:val="auto"/>
                <w:szCs w:val="21"/>
              </w:rPr>
            </w:pPr>
            <w:r>
              <w:rPr>
                <w:b/>
                <w:bCs/>
                <w:color w:val="auto"/>
                <w:szCs w:val="21"/>
              </w:rPr>
              <w:t>姓 名</w:t>
            </w:r>
          </w:p>
        </w:tc>
        <w:tc>
          <w:tcPr>
            <w:tcW w:w="993" w:type="dxa"/>
            <w:shd w:val="clear" w:color="auto" w:fill="8DB3E2"/>
            <w:noWrap w:val="0"/>
            <w:vAlign w:val="center"/>
          </w:tcPr>
          <w:p>
            <w:pPr>
              <w:spacing w:line="400" w:lineRule="exact"/>
              <w:jc w:val="center"/>
              <w:rPr>
                <w:b/>
                <w:bCs/>
                <w:color w:val="auto"/>
                <w:szCs w:val="21"/>
              </w:rPr>
            </w:pPr>
            <w:r>
              <w:rPr>
                <w:b/>
                <w:bCs/>
                <w:color w:val="auto"/>
                <w:szCs w:val="21"/>
              </w:rPr>
              <w:t>职务</w:t>
            </w:r>
          </w:p>
        </w:tc>
        <w:tc>
          <w:tcPr>
            <w:tcW w:w="1888" w:type="dxa"/>
            <w:shd w:val="clear" w:color="auto" w:fill="8DB3E2"/>
            <w:noWrap w:val="0"/>
            <w:vAlign w:val="center"/>
          </w:tcPr>
          <w:p>
            <w:pPr>
              <w:spacing w:line="400" w:lineRule="exact"/>
              <w:jc w:val="center"/>
              <w:rPr>
                <w:b/>
                <w:bCs/>
                <w:color w:val="auto"/>
                <w:szCs w:val="21"/>
              </w:rPr>
            </w:pPr>
            <w:r>
              <w:rPr>
                <w:b/>
                <w:bCs/>
                <w:color w:val="auto"/>
                <w:szCs w:val="21"/>
              </w:rPr>
              <w:t>专业技术资格</w:t>
            </w:r>
          </w:p>
        </w:tc>
        <w:tc>
          <w:tcPr>
            <w:tcW w:w="1559" w:type="dxa"/>
            <w:shd w:val="clear" w:color="auto" w:fill="8DB3E2"/>
            <w:noWrap w:val="0"/>
            <w:vAlign w:val="center"/>
          </w:tcPr>
          <w:p>
            <w:pPr>
              <w:spacing w:line="400" w:lineRule="exact"/>
              <w:jc w:val="center"/>
              <w:rPr>
                <w:b/>
                <w:bCs/>
                <w:color w:val="auto"/>
                <w:szCs w:val="21"/>
              </w:rPr>
            </w:pPr>
            <w:r>
              <w:rPr>
                <w:b/>
                <w:bCs/>
                <w:color w:val="auto"/>
                <w:szCs w:val="21"/>
              </w:rPr>
              <w:t>证书编号</w:t>
            </w:r>
          </w:p>
        </w:tc>
        <w:tc>
          <w:tcPr>
            <w:tcW w:w="2163" w:type="dxa"/>
            <w:shd w:val="clear" w:color="auto" w:fill="8DB3E2"/>
            <w:noWrap w:val="0"/>
            <w:vAlign w:val="center"/>
          </w:tcPr>
          <w:p>
            <w:pPr>
              <w:spacing w:line="400" w:lineRule="exact"/>
              <w:jc w:val="center"/>
              <w:rPr>
                <w:b/>
                <w:bCs/>
                <w:color w:val="auto"/>
                <w:szCs w:val="21"/>
              </w:rPr>
            </w:pPr>
            <w:r>
              <w:rPr>
                <w:b/>
                <w:bCs/>
                <w:color w:val="auto"/>
                <w:szCs w:val="21"/>
              </w:rPr>
              <w:t>参加工作时间</w:t>
            </w:r>
          </w:p>
        </w:tc>
        <w:tc>
          <w:tcPr>
            <w:tcW w:w="1477" w:type="dxa"/>
            <w:shd w:val="clear" w:color="auto" w:fill="8DB3E2"/>
            <w:noWrap w:val="0"/>
            <w:vAlign w:val="center"/>
          </w:tcPr>
          <w:p>
            <w:pPr>
              <w:spacing w:line="400" w:lineRule="exact"/>
              <w:jc w:val="center"/>
              <w:rPr>
                <w:b/>
                <w:bCs/>
                <w:color w:val="auto"/>
                <w:szCs w:val="21"/>
              </w:rPr>
            </w:pPr>
            <w:r>
              <w:rPr>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noWrap w:val="0"/>
            <w:vAlign w:val="top"/>
          </w:tcPr>
          <w:p>
            <w:pPr>
              <w:spacing w:line="400" w:lineRule="exact"/>
              <w:rPr>
                <w:color w:val="auto"/>
                <w:szCs w:val="21"/>
              </w:rPr>
            </w:pPr>
          </w:p>
        </w:tc>
        <w:tc>
          <w:tcPr>
            <w:tcW w:w="993" w:type="dxa"/>
            <w:noWrap w:val="0"/>
            <w:vAlign w:val="top"/>
          </w:tcPr>
          <w:p>
            <w:pPr>
              <w:spacing w:line="400" w:lineRule="exact"/>
              <w:rPr>
                <w:color w:val="auto"/>
                <w:szCs w:val="21"/>
              </w:rPr>
            </w:pPr>
          </w:p>
        </w:tc>
        <w:tc>
          <w:tcPr>
            <w:tcW w:w="1888" w:type="dxa"/>
            <w:noWrap w:val="0"/>
            <w:vAlign w:val="top"/>
          </w:tcPr>
          <w:p>
            <w:pPr>
              <w:spacing w:line="400" w:lineRule="exact"/>
              <w:rPr>
                <w:color w:val="auto"/>
                <w:szCs w:val="21"/>
              </w:rPr>
            </w:pPr>
          </w:p>
        </w:tc>
        <w:tc>
          <w:tcPr>
            <w:tcW w:w="1559" w:type="dxa"/>
            <w:noWrap w:val="0"/>
            <w:vAlign w:val="top"/>
          </w:tcPr>
          <w:p>
            <w:pPr>
              <w:spacing w:line="400" w:lineRule="exact"/>
              <w:rPr>
                <w:color w:val="auto"/>
                <w:szCs w:val="21"/>
              </w:rPr>
            </w:pPr>
          </w:p>
        </w:tc>
        <w:tc>
          <w:tcPr>
            <w:tcW w:w="2163" w:type="dxa"/>
            <w:noWrap w:val="0"/>
            <w:vAlign w:val="top"/>
          </w:tcPr>
          <w:p>
            <w:pPr>
              <w:spacing w:line="400" w:lineRule="exact"/>
              <w:rPr>
                <w:color w:val="auto"/>
                <w:szCs w:val="21"/>
              </w:rPr>
            </w:pPr>
          </w:p>
        </w:tc>
        <w:tc>
          <w:tcPr>
            <w:tcW w:w="1477" w:type="dxa"/>
            <w:noWrap w:val="0"/>
            <w:vAlign w:val="top"/>
          </w:tcPr>
          <w:p>
            <w:pPr>
              <w:spacing w:line="40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noWrap w:val="0"/>
            <w:vAlign w:val="top"/>
          </w:tcPr>
          <w:p>
            <w:pPr>
              <w:spacing w:line="400" w:lineRule="exact"/>
              <w:rPr>
                <w:color w:val="auto"/>
                <w:szCs w:val="21"/>
              </w:rPr>
            </w:pPr>
          </w:p>
        </w:tc>
        <w:tc>
          <w:tcPr>
            <w:tcW w:w="993" w:type="dxa"/>
            <w:noWrap w:val="0"/>
            <w:vAlign w:val="top"/>
          </w:tcPr>
          <w:p>
            <w:pPr>
              <w:spacing w:line="400" w:lineRule="exact"/>
              <w:rPr>
                <w:color w:val="auto"/>
                <w:szCs w:val="21"/>
              </w:rPr>
            </w:pPr>
          </w:p>
        </w:tc>
        <w:tc>
          <w:tcPr>
            <w:tcW w:w="1888" w:type="dxa"/>
            <w:noWrap w:val="0"/>
            <w:vAlign w:val="top"/>
          </w:tcPr>
          <w:p>
            <w:pPr>
              <w:spacing w:line="400" w:lineRule="exact"/>
              <w:rPr>
                <w:color w:val="auto"/>
                <w:szCs w:val="21"/>
              </w:rPr>
            </w:pPr>
          </w:p>
        </w:tc>
        <w:tc>
          <w:tcPr>
            <w:tcW w:w="1559" w:type="dxa"/>
            <w:noWrap w:val="0"/>
            <w:vAlign w:val="top"/>
          </w:tcPr>
          <w:p>
            <w:pPr>
              <w:spacing w:line="400" w:lineRule="exact"/>
              <w:rPr>
                <w:color w:val="auto"/>
                <w:szCs w:val="21"/>
              </w:rPr>
            </w:pPr>
          </w:p>
        </w:tc>
        <w:tc>
          <w:tcPr>
            <w:tcW w:w="2163" w:type="dxa"/>
            <w:noWrap w:val="0"/>
            <w:vAlign w:val="top"/>
          </w:tcPr>
          <w:p>
            <w:pPr>
              <w:spacing w:line="400" w:lineRule="exact"/>
              <w:rPr>
                <w:color w:val="auto"/>
                <w:szCs w:val="21"/>
              </w:rPr>
            </w:pPr>
          </w:p>
        </w:tc>
        <w:tc>
          <w:tcPr>
            <w:tcW w:w="1477" w:type="dxa"/>
            <w:noWrap w:val="0"/>
            <w:vAlign w:val="top"/>
          </w:tcPr>
          <w:p>
            <w:pPr>
              <w:spacing w:line="40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noWrap w:val="0"/>
            <w:vAlign w:val="top"/>
          </w:tcPr>
          <w:p>
            <w:pPr>
              <w:spacing w:line="400" w:lineRule="exact"/>
              <w:rPr>
                <w:color w:val="auto"/>
                <w:szCs w:val="21"/>
              </w:rPr>
            </w:pPr>
          </w:p>
        </w:tc>
        <w:tc>
          <w:tcPr>
            <w:tcW w:w="993" w:type="dxa"/>
            <w:noWrap w:val="0"/>
            <w:vAlign w:val="top"/>
          </w:tcPr>
          <w:p>
            <w:pPr>
              <w:spacing w:line="400" w:lineRule="exact"/>
              <w:rPr>
                <w:color w:val="auto"/>
                <w:szCs w:val="21"/>
              </w:rPr>
            </w:pPr>
          </w:p>
        </w:tc>
        <w:tc>
          <w:tcPr>
            <w:tcW w:w="1888" w:type="dxa"/>
            <w:noWrap w:val="0"/>
            <w:vAlign w:val="top"/>
          </w:tcPr>
          <w:p>
            <w:pPr>
              <w:spacing w:line="400" w:lineRule="exact"/>
              <w:rPr>
                <w:color w:val="auto"/>
                <w:szCs w:val="21"/>
              </w:rPr>
            </w:pPr>
          </w:p>
        </w:tc>
        <w:tc>
          <w:tcPr>
            <w:tcW w:w="1559" w:type="dxa"/>
            <w:noWrap w:val="0"/>
            <w:vAlign w:val="top"/>
          </w:tcPr>
          <w:p>
            <w:pPr>
              <w:spacing w:line="400" w:lineRule="exact"/>
              <w:rPr>
                <w:color w:val="auto"/>
                <w:szCs w:val="21"/>
              </w:rPr>
            </w:pPr>
          </w:p>
        </w:tc>
        <w:tc>
          <w:tcPr>
            <w:tcW w:w="2163" w:type="dxa"/>
            <w:noWrap w:val="0"/>
            <w:vAlign w:val="top"/>
          </w:tcPr>
          <w:p>
            <w:pPr>
              <w:spacing w:line="400" w:lineRule="exact"/>
              <w:rPr>
                <w:color w:val="auto"/>
                <w:szCs w:val="21"/>
              </w:rPr>
            </w:pPr>
          </w:p>
        </w:tc>
        <w:tc>
          <w:tcPr>
            <w:tcW w:w="1477" w:type="dxa"/>
            <w:noWrap w:val="0"/>
            <w:vAlign w:val="top"/>
          </w:tcPr>
          <w:p>
            <w:pPr>
              <w:spacing w:line="40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noWrap w:val="0"/>
            <w:vAlign w:val="top"/>
          </w:tcPr>
          <w:p>
            <w:pPr>
              <w:spacing w:line="400" w:lineRule="exact"/>
              <w:rPr>
                <w:color w:val="auto"/>
                <w:szCs w:val="21"/>
              </w:rPr>
            </w:pPr>
          </w:p>
        </w:tc>
        <w:tc>
          <w:tcPr>
            <w:tcW w:w="993" w:type="dxa"/>
            <w:noWrap w:val="0"/>
            <w:vAlign w:val="top"/>
          </w:tcPr>
          <w:p>
            <w:pPr>
              <w:spacing w:line="400" w:lineRule="exact"/>
              <w:rPr>
                <w:color w:val="auto"/>
                <w:szCs w:val="21"/>
              </w:rPr>
            </w:pPr>
          </w:p>
        </w:tc>
        <w:tc>
          <w:tcPr>
            <w:tcW w:w="1888" w:type="dxa"/>
            <w:noWrap w:val="0"/>
            <w:vAlign w:val="top"/>
          </w:tcPr>
          <w:p>
            <w:pPr>
              <w:spacing w:line="400" w:lineRule="exact"/>
              <w:rPr>
                <w:color w:val="auto"/>
                <w:szCs w:val="21"/>
              </w:rPr>
            </w:pPr>
          </w:p>
        </w:tc>
        <w:tc>
          <w:tcPr>
            <w:tcW w:w="1559" w:type="dxa"/>
            <w:noWrap w:val="0"/>
            <w:vAlign w:val="top"/>
          </w:tcPr>
          <w:p>
            <w:pPr>
              <w:spacing w:line="400" w:lineRule="exact"/>
              <w:rPr>
                <w:color w:val="auto"/>
                <w:szCs w:val="21"/>
              </w:rPr>
            </w:pPr>
          </w:p>
        </w:tc>
        <w:tc>
          <w:tcPr>
            <w:tcW w:w="2163" w:type="dxa"/>
            <w:noWrap w:val="0"/>
            <w:vAlign w:val="top"/>
          </w:tcPr>
          <w:p>
            <w:pPr>
              <w:spacing w:line="400" w:lineRule="exact"/>
              <w:rPr>
                <w:color w:val="auto"/>
                <w:szCs w:val="21"/>
              </w:rPr>
            </w:pPr>
          </w:p>
        </w:tc>
        <w:tc>
          <w:tcPr>
            <w:tcW w:w="1477" w:type="dxa"/>
            <w:noWrap w:val="0"/>
            <w:vAlign w:val="top"/>
          </w:tcPr>
          <w:p>
            <w:pPr>
              <w:spacing w:line="40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noWrap w:val="0"/>
            <w:vAlign w:val="top"/>
          </w:tcPr>
          <w:p>
            <w:pPr>
              <w:spacing w:line="400" w:lineRule="exact"/>
              <w:rPr>
                <w:color w:val="auto"/>
                <w:szCs w:val="21"/>
              </w:rPr>
            </w:pPr>
          </w:p>
        </w:tc>
        <w:tc>
          <w:tcPr>
            <w:tcW w:w="993" w:type="dxa"/>
            <w:noWrap w:val="0"/>
            <w:vAlign w:val="top"/>
          </w:tcPr>
          <w:p>
            <w:pPr>
              <w:spacing w:line="400" w:lineRule="exact"/>
              <w:rPr>
                <w:color w:val="auto"/>
                <w:szCs w:val="21"/>
              </w:rPr>
            </w:pPr>
          </w:p>
        </w:tc>
        <w:tc>
          <w:tcPr>
            <w:tcW w:w="1888" w:type="dxa"/>
            <w:noWrap w:val="0"/>
            <w:vAlign w:val="top"/>
          </w:tcPr>
          <w:p>
            <w:pPr>
              <w:spacing w:line="400" w:lineRule="exact"/>
              <w:rPr>
                <w:color w:val="auto"/>
                <w:szCs w:val="21"/>
              </w:rPr>
            </w:pPr>
          </w:p>
        </w:tc>
        <w:tc>
          <w:tcPr>
            <w:tcW w:w="1559" w:type="dxa"/>
            <w:noWrap w:val="0"/>
            <w:vAlign w:val="top"/>
          </w:tcPr>
          <w:p>
            <w:pPr>
              <w:spacing w:line="400" w:lineRule="exact"/>
              <w:rPr>
                <w:color w:val="auto"/>
                <w:szCs w:val="21"/>
              </w:rPr>
            </w:pPr>
          </w:p>
        </w:tc>
        <w:tc>
          <w:tcPr>
            <w:tcW w:w="2163" w:type="dxa"/>
            <w:noWrap w:val="0"/>
            <w:vAlign w:val="top"/>
          </w:tcPr>
          <w:p>
            <w:pPr>
              <w:spacing w:line="400" w:lineRule="exact"/>
              <w:rPr>
                <w:color w:val="auto"/>
                <w:szCs w:val="21"/>
              </w:rPr>
            </w:pPr>
          </w:p>
        </w:tc>
        <w:tc>
          <w:tcPr>
            <w:tcW w:w="1477" w:type="dxa"/>
            <w:noWrap w:val="0"/>
            <w:vAlign w:val="top"/>
          </w:tcPr>
          <w:p>
            <w:pPr>
              <w:spacing w:line="40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noWrap w:val="0"/>
            <w:vAlign w:val="top"/>
          </w:tcPr>
          <w:p>
            <w:pPr>
              <w:spacing w:line="400" w:lineRule="exact"/>
              <w:rPr>
                <w:color w:val="auto"/>
                <w:szCs w:val="21"/>
              </w:rPr>
            </w:pPr>
          </w:p>
        </w:tc>
        <w:tc>
          <w:tcPr>
            <w:tcW w:w="993" w:type="dxa"/>
            <w:noWrap w:val="0"/>
            <w:vAlign w:val="top"/>
          </w:tcPr>
          <w:p>
            <w:pPr>
              <w:spacing w:line="400" w:lineRule="exact"/>
              <w:rPr>
                <w:color w:val="auto"/>
                <w:szCs w:val="21"/>
              </w:rPr>
            </w:pPr>
          </w:p>
        </w:tc>
        <w:tc>
          <w:tcPr>
            <w:tcW w:w="1888" w:type="dxa"/>
            <w:noWrap w:val="0"/>
            <w:vAlign w:val="top"/>
          </w:tcPr>
          <w:p>
            <w:pPr>
              <w:spacing w:line="400" w:lineRule="exact"/>
              <w:rPr>
                <w:color w:val="auto"/>
                <w:szCs w:val="21"/>
              </w:rPr>
            </w:pPr>
          </w:p>
        </w:tc>
        <w:tc>
          <w:tcPr>
            <w:tcW w:w="1559" w:type="dxa"/>
            <w:noWrap w:val="0"/>
            <w:vAlign w:val="top"/>
          </w:tcPr>
          <w:p>
            <w:pPr>
              <w:spacing w:line="400" w:lineRule="exact"/>
              <w:rPr>
                <w:color w:val="auto"/>
                <w:szCs w:val="21"/>
              </w:rPr>
            </w:pPr>
          </w:p>
        </w:tc>
        <w:tc>
          <w:tcPr>
            <w:tcW w:w="2163" w:type="dxa"/>
            <w:noWrap w:val="0"/>
            <w:vAlign w:val="top"/>
          </w:tcPr>
          <w:p>
            <w:pPr>
              <w:spacing w:line="400" w:lineRule="exact"/>
              <w:rPr>
                <w:color w:val="auto"/>
                <w:szCs w:val="21"/>
              </w:rPr>
            </w:pPr>
          </w:p>
        </w:tc>
        <w:tc>
          <w:tcPr>
            <w:tcW w:w="1477" w:type="dxa"/>
            <w:noWrap w:val="0"/>
            <w:vAlign w:val="top"/>
          </w:tcPr>
          <w:p>
            <w:pPr>
              <w:spacing w:line="400" w:lineRule="exact"/>
              <w:rPr>
                <w:color w:val="auto"/>
                <w:szCs w:val="21"/>
              </w:rPr>
            </w:pPr>
          </w:p>
        </w:tc>
      </w:tr>
    </w:tbl>
    <w:p>
      <w:pPr>
        <w:spacing w:line="400" w:lineRule="exact"/>
        <w:rPr>
          <w:color w:val="auto"/>
          <w:szCs w:val="21"/>
        </w:rPr>
      </w:pPr>
    </w:p>
    <w:p>
      <w:pPr>
        <w:spacing w:line="400" w:lineRule="exact"/>
        <w:ind w:firstLine="422" w:firstLineChars="200"/>
        <w:rPr>
          <w:b/>
          <w:color w:val="auto"/>
          <w:szCs w:val="21"/>
        </w:rPr>
      </w:pPr>
      <w:r>
        <w:rPr>
          <w:b/>
          <w:color w:val="auto"/>
          <w:szCs w:val="21"/>
        </w:rPr>
        <w:t>注：1.在填写时，如本表格不适合投标单位的实际情况，可根据本表格式自行制表填写。</w:t>
      </w:r>
    </w:p>
    <w:p>
      <w:pPr>
        <w:spacing w:line="400" w:lineRule="exact"/>
        <w:ind w:firstLine="3255" w:firstLineChars="1550"/>
        <w:rPr>
          <w:color w:val="auto"/>
        </w:rPr>
      </w:pPr>
      <w:r>
        <w:rPr>
          <w:color w:val="auto"/>
        </w:rPr>
        <w:t xml:space="preserve">   </w:t>
      </w:r>
    </w:p>
    <w:p>
      <w:pPr>
        <w:spacing w:line="400" w:lineRule="exact"/>
        <w:ind w:firstLine="3255" w:firstLineChars="1550"/>
        <w:rPr>
          <w:color w:val="auto"/>
        </w:rPr>
      </w:pPr>
    </w:p>
    <w:p>
      <w:pPr>
        <w:snapToGrid w:val="0"/>
        <w:spacing w:line="400" w:lineRule="exact"/>
        <w:ind w:firstLine="1890" w:firstLineChars="900"/>
        <w:rPr>
          <w:color w:val="auto"/>
          <w:szCs w:val="21"/>
          <w:u w:val="single"/>
        </w:rPr>
      </w:pPr>
      <w:r>
        <w:rPr>
          <w:color w:val="auto"/>
          <w:szCs w:val="21"/>
        </w:rPr>
        <w:t>投标人（公章，自然人除外）：</w:t>
      </w:r>
      <w:r>
        <w:rPr>
          <w:color w:val="auto"/>
          <w:szCs w:val="21"/>
          <w:u w:val="single"/>
        </w:rPr>
        <w:t xml:space="preserve">                                         </w:t>
      </w:r>
    </w:p>
    <w:p>
      <w:pPr>
        <w:spacing w:line="340" w:lineRule="exact"/>
        <w:ind w:firstLine="1890" w:firstLineChars="900"/>
        <w:rPr>
          <w:color w:val="auto"/>
        </w:rPr>
      </w:pPr>
      <w:r>
        <w:rPr>
          <w:color w:val="auto"/>
        </w:rPr>
        <w:t>法定代表人、负责人、自然人或相应的委托代理人签字（或盖章）</w:t>
      </w:r>
    </w:p>
    <w:p>
      <w:pPr>
        <w:spacing w:line="340" w:lineRule="exact"/>
        <w:ind w:firstLine="1680" w:firstLineChars="800"/>
        <w:rPr>
          <w:color w:val="auto"/>
          <w:szCs w:val="21"/>
          <w:u w:val="single"/>
        </w:rPr>
      </w:pPr>
      <w:r>
        <w:rPr>
          <w:color w:val="auto"/>
        </w:rPr>
        <w:t>（属自然人的应在签名处加盖大拇指指印）：</w:t>
      </w:r>
      <w:r>
        <w:rPr>
          <w:color w:val="auto"/>
          <w:szCs w:val="21"/>
          <w:u w:val="single"/>
        </w:rPr>
        <w:t xml:space="preserve">                              </w:t>
      </w:r>
    </w:p>
    <w:p>
      <w:pPr>
        <w:spacing w:line="340" w:lineRule="exact"/>
        <w:ind w:firstLine="1680" w:firstLineChars="800"/>
        <w:rPr>
          <w:color w:val="auto"/>
          <w:szCs w:val="21"/>
          <w:u w:val="single"/>
        </w:rPr>
      </w:pPr>
    </w:p>
    <w:p>
      <w:pPr>
        <w:spacing w:line="340" w:lineRule="exact"/>
        <w:ind w:firstLine="1890" w:firstLineChars="900"/>
        <w:rPr>
          <w:b/>
          <w:color w:val="auto"/>
          <w:sz w:val="32"/>
          <w:szCs w:val="32"/>
        </w:rPr>
      </w:pPr>
      <w:r>
        <w:rPr>
          <w:color w:val="auto"/>
        </w:rPr>
        <w:t>日          期：</w:t>
      </w:r>
      <w:r>
        <w:rPr>
          <w:color w:val="auto"/>
          <w:u w:val="single"/>
        </w:rPr>
        <w:t xml:space="preserve">                                                   </w:t>
      </w:r>
    </w:p>
    <w:p>
      <w:pPr>
        <w:spacing w:line="500" w:lineRule="exact"/>
        <w:rPr>
          <w:b/>
          <w:bCs/>
          <w:color w:val="auto"/>
          <w:sz w:val="32"/>
          <w:szCs w:val="32"/>
        </w:rPr>
      </w:pPr>
    </w:p>
    <w:p>
      <w:pPr>
        <w:spacing w:line="400" w:lineRule="exact"/>
        <w:rPr>
          <w:b/>
          <w:bCs/>
          <w:color w:val="auto"/>
          <w:sz w:val="32"/>
          <w:szCs w:val="32"/>
        </w:rPr>
      </w:pPr>
    </w:p>
    <w:p>
      <w:pPr>
        <w:tabs>
          <w:tab w:val="left" w:pos="1305"/>
        </w:tabs>
        <w:spacing w:line="400" w:lineRule="exact"/>
        <w:outlineLvl w:val="2"/>
        <w:rPr>
          <w:b/>
          <w:bCs/>
          <w:color w:val="auto"/>
          <w:sz w:val="32"/>
          <w:szCs w:val="32"/>
        </w:rPr>
      </w:pPr>
      <w:bookmarkStart w:id="293" w:name="_Toc495841799"/>
      <w:r>
        <w:rPr>
          <w:b/>
          <w:bCs/>
          <w:color w:val="auto"/>
          <w:sz w:val="32"/>
          <w:szCs w:val="32"/>
        </w:rPr>
        <w:br w:type="page"/>
      </w:r>
      <w:bookmarkStart w:id="294" w:name="_Toc27786"/>
      <w:bookmarkStart w:id="295" w:name="_Toc10856"/>
      <w:r>
        <w:rPr>
          <w:b/>
          <w:bCs/>
          <w:color w:val="auto"/>
          <w:sz w:val="32"/>
          <w:szCs w:val="32"/>
        </w:rPr>
        <w:t>6.节能方面的证书复印件（如有，请提供）</w:t>
      </w:r>
      <w:bookmarkEnd w:id="293"/>
      <w:bookmarkEnd w:id="294"/>
      <w:bookmarkEnd w:id="295"/>
    </w:p>
    <w:p>
      <w:pPr>
        <w:spacing w:line="400" w:lineRule="exact"/>
        <w:rPr>
          <w:b/>
          <w:bCs/>
          <w:color w:val="auto"/>
          <w:sz w:val="32"/>
          <w:szCs w:val="32"/>
        </w:rPr>
      </w:pPr>
    </w:p>
    <w:p>
      <w:pPr>
        <w:rPr>
          <w:color w:val="auto"/>
        </w:rPr>
      </w:pPr>
    </w:p>
    <w:p>
      <w:pPr>
        <w:rPr>
          <w:color w:val="auto"/>
        </w:rPr>
      </w:pPr>
    </w:p>
    <w:p>
      <w:pPr>
        <w:tabs>
          <w:tab w:val="left" w:pos="1305"/>
        </w:tabs>
        <w:spacing w:line="400" w:lineRule="exact"/>
        <w:outlineLvl w:val="2"/>
        <w:rPr>
          <w:b/>
          <w:bCs/>
          <w:color w:val="auto"/>
          <w:sz w:val="32"/>
          <w:szCs w:val="32"/>
        </w:rPr>
      </w:pPr>
      <w:bookmarkStart w:id="296" w:name="_Toc495841800"/>
      <w:bookmarkStart w:id="297" w:name="_Toc21473"/>
      <w:bookmarkStart w:id="298" w:name="_Toc1069"/>
      <w:r>
        <w:rPr>
          <w:b/>
          <w:bCs/>
          <w:color w:val="auto"/>
          <w:sz w:val="32"/>
          <w:szCs w:val="32"/>
        </w:rPr>
        <w:t>7.</w:t>
      </w:r>
      <w:r>
        <w:rPr>
          <w:rFonts w:hint="eastAsia"/>
          <w:b/>
          <w:bCs/>
          <w:color w:val="auto"/>
          <w:sz w:val="32"/>
          <w:szCs w:val="32"/>
        </w:rPr>
        <w:t>环境</w:t>
      </w:r>
      <w:r>
        <w:rPr>
          <w:b/>
          <w:bCs/>
          <w:color w:val="auto"/>
          <w:sz w:val="32"/>
          <w:szCs w:val="32"/>
        </w:rPr>
        <w:t>标志方面的证书复印件（如有，请提供）</w:t>
      </w:r>
      <w:bookmarkEnd w:id="296"/>
      <w:bookmarkEnd w:id="297"/>
      <w:bookmarkEnd w:id="298"/>
    </w:p>
    <w:p>
      <w:pPr>
        <w:spacing w:line="400" w:lineRule="exact"/>
        <w:rPr>
          <w:b/>
          <w:bCs/>
          <w:color w:val="auto"/>
          <w:sz w:val="32"/>
          <w:szCs w:val="32"/>
        </w:rPr>
      </w:pPr>
    </w:p>
    <w:p>
      <w:pPr>
        <w:spacing w:line="500" w:lineRule="exact"/>
        <w:rPr>
          <w:b/>
          <w:bCs/>
          <w:color w:val="auto"/>
          <w:sz w:val="32"/>
          <w:szCs w:val="32"/>
        </w:rPr>
      </w:pPr>
    </w:p>
    <w:p>
      <w:pPr>
        <w:spacing w:line="500" w:lineRule="exact"/>
        <w:rPr>
          <w:b/>
          <w:bCs/>
          <w:color w:val="auto"/>
          <w:sz w:val="32"/>
          <w:szCs w:val="32"/>
        </w:rPr>
      </w:pPr>
    </w:p>
    <w:p>
      <w:pPr>
        <w:tabs>
          <w:tab w:val="left" w:pos="1305"/>
        </w:tabs>
        <w:spacing w:line="400" w:lineRule="exact"/>
        <w:outlineLvl w:val="2"/>
        <w:rPr>
          <w:b/>
          <w:bCs/>
          <w:color w:val="auto"/>
          <w:sz w:val="32"/>
          <w:szCs w:val="32"/>
        </w:rPr>
      </w:pPr>
      <w:bookmarkStart w:id="299" w:name="_Toc6517"/>
      <w:bookmarkStart w:id="300" w:name="_Toc495841802"/>
      <w:bookmarkStart w:id="301" w:name="_Toc27788"/>
      <w:r>
        <w:rPr>
          <w:rFonts w:hint="eastAsia"/>
          <w:b/>
          <w:bCs/>
          <w:color w:val="auto"/>
          <w:sz w:val="32"/>
          <w:szCs w:val="32"/>
        </w:rPr>
        <w:t>8</w:t>
      </w:r>
      <w:r>
        <w:rPr>
          <w:b/>
          <w:bCs/>
          <w:color w:val="auto"/>
          <w:sz w:val="32"/>
          <w:szCs w:val="32"/>
        </w:rPr>
        <w:t>.</w:t>
      </w:r>
      <w:r>
        <w:rPr>
          <w:rFonts w:hint="eastAsia"/>
          <w:b/>
          <w:bCs/>
          <w:color w:val="auto"/>
          <w:sz w:val="32"/>
          <w:szCs w:val="32"/>
        </w:rPr>
        <w:t>投标人201</w:t>
      </w:r>
      <w:r>
        <w:rPr>
          <w:rFonts w:hint="eastAsia"/>
          <w:b/>
          <w:bCs/>
          <w:color w:val="auto"/>
          <w:sz w:val="32"/>
          <w:szCs w:val="32"/>
          <w:lang w:val="en-US" w:eastAsia="zh-CN"/>
        </w:rPr>
        <w:t>7</w:t>
      </w:r>
      <w:r>
        <w:rPr>
          <w:rFonts w:hint="eastAsia"/>
          <w:b/>
          <w:bCs/>
          <w:color w:val="auto"/>
          <w:sz w:val="32"/>
          <w:szCs w:val="32"/>
        </w:rPr>
        <w:t>年</w:t>
      </w:r>
      <w:r>
        <w:rPr>
          <w:rFonts w:hint="eastAsia"/>
          <w:b/>
          <w:bCs/>
          <w:color w:val="auto"/>
          <w:sz w:val="32"/>
          <w:szCs w:val="32"/>
          <w:lang w:val="en-US" w:eastAsia="zh-CN"/>
        </w:rPr>
        <w:t>1月1日</w:t>
      </w:r>
      <w:r>
        <w:rPr>
          <w:rFonts w:hint="eastAsia"/>
          <w:b/>
          <w:bCs/>
          <w:color w:val="auto"/>
          <w:sz w:val="32"/>
          <w:szCs w:val="32"/>
        </w:rPr>
        <w:t>以来同类产品（金属床、金属柜类）销售业绩的相关证明材料</w:t>
      </w:r>
      <w:r>
        <w:rPr>
          <w:b/>
          <w:bCs/>
          <w:color w:val="auto"/>
          <w:sz w:val="32"/>
          <w:szCs w:val="32"/>
        </w:rPr>
        <w:t>（无不良记录，以中标、成交通知书或签订的销售合同为准，并能清晰反映所销售的货物名称、金额）（如有，请提供）</w:t>
      </w:r>
      <w:bookmarkEnd w:id="299"/>
      <w:bookmarkEnd w:id="300"/>
      <w:bookmarkEnd w:id="301"/>
    </w:p>
    <w:p>
      <w:pPr>
        <w:spacing w:line="500" w:lineRule="exact"/>
        <w:rPr>
          <w:b/>
          <w:bCs/>
          <w:color w:val="auto"/>
          <w:sz w:val="32"/>
          <w:szCs w:val="32"/>
        </w:rPr>
      </w:pPr>
    </w:p>
    <w:p>
      <w:pPr>
        <w:spacing w:line="500" w:lineRule="exact"/>
        <w:rPr>
          <w:b/>
          <w:bCs/>
          <w:color w:val="auto"/>
          <w:sz w:val="32"/>
          <w:szCs w:val="32"/>
        </w:rPr>
      </w:pPr>
    </w:p>
    <w:p>
      <w:pPr>
        <w:tabs>
          <w:tab w:val="left" w:pos="1305"/>
        </w:tabs>
        <w:spacing w:line="400" w:lineRule="exact"/>
        <w:outlineLvl w:val="2"/>
        <w:rPr>
          <w:b/>
          <w:bCs/>
          <w:color w:val="auto"/>
          <w:sz w:val="32"/>
          <w:szCs w:val="32"/>
        </w:rPr>
      </w:pPr>
      <w:bookmarkStart w:id="302" w:name="_Toc495841803"/>
      <w:bookmarkStart w:id="303" w:name="_Toc29190"/>
      <w:bookmarkStart w:id="304" w:name="_Toc30520"/>
      <w:r>
        <w:rPr>
          <w:rFonts w:hint="eastAsia"/>
          <w:b/>
          <w:bCs/>
          <w:color w:val="auto"/>
          <w:sz w:val="32"/>
          <w:szCs w:val="32"/>
        </w:rPr>
        <w:t>9</w:t>
      </w:r>
      <w:r>
        <w:rPr>
          <w:b/>
          <w:bCs/>
          <w:color w:val="auto"/>
          <w:sz w:val="32"/>
          <w:szCs w:val="32"/>
        </w:rPr>
        <w:t>.投标人为生产厂家的，投标人的生产制造设备清单及专业技术能力说明（如有，请提供）</w:t>
      </w:r>
      <w:bookmarkEnd w:id="302"/>
      <w:bookmarkEnd w:id="303"/>
      <w:bookmarkEnd w:id="304"/>
    </w:p>
    <w:p>
      <w:pPr>
        <w:spacing w:line="500" w:lineRule="exact"/>
        <w:rPr>
          <w:b/>
          <w:bCs/>
          <w:color w:val="auto"/>
          <w:sz w:val="32"/>
          <w:szCs w:val="32"/>
        </w:rPr>
      </w:pPr>
    </w:p>
    <w:p>
      <w:pPr>
        <w:spacing w:line="500" w:lineRule="exact"/>
        <w:rPr>
          <w:b/>
          <w:bCs/>
          <w:color w:val="auto"/>
          <w:sz w:val="32"/>
          <w:szCs w:val="32"/>
        </w:rPr>
      </w:pPr>
    </w:p>
    <w:p>
      <w:pPr>
        <w:spacing w:line="500" w:lineRule="exact"/>
        <w:rPr>
          <w:b/>
          <w:bCs/>
          <w:color w:val="auto"/>
          <w:sz w:val="32"/>
          <w:szCs w:val="32"/>
        </w:rPr>
      </w:pPr>
    </w:p>
    <w:p>
      <w:pPr>
        <w:spacing w:line="500" w:lineRule="exact"/>
        <w:rPr>
          <w:b/>
          <w:bCs/>
          <w:color w:val="auto"/>
          <w:sz w:val="32"/>
          <w:szCs w:val="32"/>
        </w:rPr>
      </w:pPr>
    </w:p>
    <w:p>
      <w:pPr>
        <w:tabs>
          <w:tab w:val="left" w:pos="1305"/>
        </w:tabs>
        <w:spacing w:line="400" w:lineRule="exact"/>
        <w:outlineLvl w:val="2"/>
        <w:rPr>
          <w:b/>
          <w:bCs/>
          <w:color w:val="auto"/>
          <w:sz w:val="32"/>
          <w:szCs w:val="32"/>
        </w:rPr>
      </w:pPr>
      <w:bookmarkStart w:id="305" w:name="_Toc132"/>
      <w:bookmarkStart w:id="306" w:name="_Toc5317"/>
      <w:bookmarkStart w:id="307" w:name="_Toc495841804"/>
      <w:r>
        <w:rPr>
          <w:b/>
          <w:bCs/>
          <w:color w:val="auto"/>
          <w:sz w:val="32"/>
          <w:szCs w:val="32"/>
        </w:rPr>
        <w:t>1</w:t>
      </w:r>
      <w:r>
        <w:rPr>
          <w:rFonts w:hint="eastAsia"/>
          <w:b/>
          <w:bCs/>
          <w:color w:val="auto"/>
          <w:sz w:val="32"/>
          <w:szCs w:val="32"/>
        </w:rPr>
        <w:t>0</w:t>
      </w:r>
      <w:r>
        <w:rPr>
          <w:b/>
          <w:bCs/>
          <w:color w:val="auto"/>
          <w:sz w:val="32"/>
          <w:szCs w:val="32"/>
        </w:rPr>
        <w:t>.</w:t>
      </w:r>
      <w:r>
        <w:rPr>
          <w:b/>
          <w:color w:val="auto"/>
          <w:sz w:val="32"/>
          <w:szCs w:val="32"/>
        </w:rPr>
        <w:t>投标人</w:t>
      </w:r>
      <w:r>
        <w:rPr>
          <w:b/>
          <w:bCs/>
          <w:color w:val="auto"/>
          <w:sz w:val="32"/>
          <w:szCs w:val="32"/>
        </w:rPr>
        <w:t>相关获奖证书、认证证书等复印件（如有，请提供）</w:t>
      </w:r>
      <w:bookmarkEnd w:id="305"/>
      <w:bookmarkEnd w:id="306"/>
      <w:bookmarkEnd w:id="307"/>
    </w:p>
    <w:p>
      <w:pPr>
        <w:spacing w:line="500" w:lineRule="exact"/>
        <w:rPr>
          <w:b/>
          <w:bCs/>
          <w:color w:val="auto"/>
          <w:sz w:val="32"/>
          <w:szCs w:val="32"/>
        </w:rPr>
      </w:pPr>
    </w:p>
    <w:p>
      <w:pPr>
        <w:tabs>
          <w:tab w:val="left" w:pos="1305"/>
        </w:tabs>
        <w:spacing w:line="400" w:lineRule="exact"/>
        <w:outlineLvl w:val="2"/>
        <w:rPr>
          <w:b/>
          <w:color w:val="auto"/>
          <w:sz w:val="32"/>
          <w:szCs w:val="32"/>
        </w:rPr>
      </w:pPr>
      <w:bookmarkStart w:id="308" w:name="_Toc495841805"/>
      <w:r>
        <w:rPr>
          <w:b/>
          <w:color w:val="auto"/>
          <w:sz w:val="32"/>
          <w:szCs w:val="32"/>
        </w:rPr>
        <w:br w:type="page"/>
      </w:r>
      <w:bookmarkStart w:id="309" w:name="_Toc10297"/>
      <w:bookmarkStart w:id="310" w:name="_Toc10511"/>
      <w:r>
        <w:rPr>
          <w:b/>
          <w:color w:val="auto"/>
          <w:sz w:val="32"/>
          <w:szCs w:val="32"/>
        </w:rPr>
        <w:t>1</w:t>
      </w:r>
      <w:r>
        <w:rPr>
          <w:rFonts w:hint="eastAsia"/>
          <w:b/>
          <w:color w:val="auto"/>
          <w:sz w:val="32"/>
          <w:szCs w:val="32"/>
        </w:rPr>
        <w:t>1</w:t>
      </w:r>
      <w:r>
        <w:rPr>
          <w:b/>
          <w:color w:val="auto"/>
          <w:sz w:val="32"/>
          <w:szCs w:val="32"/>
        </w:rPr>
        <w:t>.投标人所投产品为广西工业产品的，如实提供《广西工业产品声明函》（如有，请提供）</w:t>
      </w:r>
      <w:bookmarkEnd w:id="308"/>
      <w:bookmarkEnd w:id="309"/>
      <w:bookmarkEnd w:id="310"/>
    </w:p>
    <w:p>
      <w:pPr>
        <w:ind w:firstLine="472" w:firstLineChars="147"/>
        <w:rPr>
          <w:b/>
          <w:color w:val="auto"/>
          <w:sz w:val="32"/>
          <w:szCs w:val="32"/>
        </w:rPr>
      </w:pPr>
      <w:r>
        <w:rPr>
          <w:b/>
          <w:color w:val="auto"/>
          <w:sz w:val="32"/>
          <w:szCs w:val="32"/>
        </w:rPr>
        <w:t>附件：</w:t>
      </w:r>
    </w:p>
    <w:p>
      <w:pPr>
        <w:spacing w:line="360" w:lineRule="exact"/>
        <w:jc w:val="center"/>
        <w:rPr>
          <w:b/>
          <w:color w:val="auto"/>
          <w:sz w:val="32"/>
          <w:szCs w:val="32"/>
        </w:rPr>
      </w:pPr>
      <w:r>
        <w:rPr>
          <w:b/>
          <w:color w:val="auto"/>
          <w:sz w:val="32"/>
          <w:szCs w:val="32"/>
        </w:rPr>
        <w:t>广西工业产品声明函</w:t>
      </w:r>
    </w:p>
    <w:p>
      <w:pPr>
        <w:spacing w:line="460" w:lineRule="exact"/>
        <w:jc w:val="center"/>
        <w:rPr>
          <w:color w:val="auto"/>
          <w:sz w:val="24"/>
        </w:rPr>
      </w:pPr>
      <w:r>
        <w:rPr>
          <w:color w:val="auto"/>
          <w:sz w:val="24"/>
        </w:rPr>
        <w:t xml:space="preserve">      </w:t>
      </w:r>
    </w:p>
    <w:p>
      <w:pPr>
        <w:spacing w:line="460" w:lineRule="exact"/>
        <w:ind w:firstLine="480" w:firstLineChars="200"/>
        <w:jc w:val="left"/>
        <w:rPr>
          <w:color w:val="auto"/>
          <w:sz w:val="24"/>
        </w:rPr>
      </w:pPr>
      <w:r>
        <w:rPr>
          <w:color w:val="auto"/>
          <w:sz w:val="24"/>
        </w:rPr>
        <w:t>本公司郑重声明，根据《招标采购促进广西工业产品产销对接实施细则》的规定，本公司在本次投标/投标中或者工程项目中提供的下述产品为广西工业产品，详情如下：</w:t>
      </w:r>
    </w:p>
    <w:p>
      <w:pPr>
        <w:spacing w:line="360" w:lineRule="exact"/>
        <w:jc w:val="center"/>
        <w:rPr>
          <w:color w:val="auto"/>
          <w:sz w:val="24"/>
        </w:rPr>
      </w:pPr>
    </w:p>
    <w:tbl>
      <w:tblPr>
        <w:tblStyle w:val="30"/>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0"/>
        <w:gridCol w:w="1617"/>
        <w:gridCol w:w="903"/>
        <w:gridCol w:w="2160"/>
        <w:gridCol w:w="1087"/>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20" w:type="dxa"/>
            <w:shd w:val="clear" w:color="auto" w:fill="8DB3E2"/>
            <w:noWrap w:val="0"/>
            <w:vAlign w:val="center"/>
          </w:tcPr>
          <w:p>
            <w:pPr>
              <w:spacing w:line="360" w:lineRule="exact"/>
              <w:jc w:val="center"/>
              <w:rPr>
                <w:color w:val="auto"/>
                <w:szCs w:val="21"/>
              </w:rPr>
            </w:pPr>
            <w:r>
              <w:rPr>
                <w:color w:val="auto"/>
                <w:szCs w:val="21"/>
              </w:rPr>
              <w:t>序号</w:t>
            </w:r>
          </w:p>
        </w:tc>
        <w:tc>
          <w:tcPr>
            <w:tcW w:w="1620" w:type="dxa"/>
            <w:shd w:val="clear" w:color="auto" w:fill="8DB3E2"/>
            <w:noWrap w:val="0"/>
            <w:vAlign w:val="center"/>
          </w:tcPr>
          <w:p>
            <w:pPr>
              <w:spacing w:line="360" w:lineRule="exact"/>
              <w:jc w:val="center"/>
              <w:rPr>
                <w:color w:val="auto"/>
                <w:szCs w:val="21"/>
              </w:rPr>
            </w:pPr>
            <w:r>
              <w:rPr>
                <w:color w:val="auto"/>
                <w:szCs w:val="21"/>
              </w:rPr>
              <w:t>产品名称</w:t>
            </w:r>
          </w:p>
        </w:tc>
        <w:tc>
          <w:tcPr>
            <w:tcW w:w="1617" w:type="dxa"/>
            <w:shd w:val="clear" w:color="auto" w:fill="8DB3E2"/>
            <w:noWrap w:val="0"/>
            <w:vAlign w:val="center"/>
          </w:tcPr>
          <w:p>
            <w:pPr>
              <w:spacing w:line="360" w:lineRule="exact"/>
              <w:jc w:val="center"/>
              <w:rPr>
                <w:color w:val="auto"/>
                <w:szCs w:val="21"/>
              </w:rPr>
            </w:pPr>
            <w:r>
              <w:rPr>
                <w:color w:val="auto"/>
                <w:szCs w:val="21"/>
              </w:rPr>
              <w:t>型号和规格</w:t>
            </w:r>
          </w:p>
        </w:tc>
        <w:tc>
          <w:tcPr>
            <w:tcW w:w="903" w:type="dxa"/>
            <w:shd w:val="clear" w:color="auto" w:fill="8DB3E2"/>
            <w:noWrap w:val="0"/>
            <w:vAlign w:val="center"/>
          </w:tcPr>
          <w:p>
            <w:pPr>
              <w:spacing w:line="360" w:lineRule="exact"/>
              <w:jc w:val="center"/>
              <w:rPr>
                <w:color w:val="auto"/>
                <w:szCs w:val="21"/>
              </w:rPr>
            </w:pPr>
            <w:r>
              <w:rPr>
                <w:color w:val="auto"/>
                <w:szCs w:val="21"/>
              </w:rPr>
              <w:t>数量</w:t>
            </w:r>
          </w:p>
        </w:tc>
        <w:tc>
          <w:tcPr>
            <w:tcW w:w="2160" w:type="dxa"/>
            <w:shd w:val="clear" w:color="auto" w:fill="8DB3E2"/>
            <w:noWrap w:val="0"/>
            <w:vAlign w:val="center"/>
          </w:tcPr>
          <w:p>
            <w:pPr>
              <w:spacing w:line="360" w:lineRule="exact"/>
              <w:jc w:val="center"/>
              <w:rPr>
                <w:color w:val="auto"/>
                <w:szCs w:val="21"/>
              </w:rPr>
            </w:pPr>
            <w:r>
              <w:rPr>
                <w:color w:val="auto"/>
                <w:szCs w:val="21"/>
              </w:rPr>
              <w:t>制造厂商及原产地</w:t>
            </w:r>
          </w:p>
        </w:tc>
        <w:tc>
          <w:tcPr>
            <w:tcW w:w="1087" w:type="dxa"/>
            <w:shd w:val="clear" w:color="auto" w:fill="8DB3E2"/>
            <w:noWrap w:val="0"/>
            <w:vAlign w:val="center"/>
          </w:tcPr>
          <w:p>
            <w:pPr>
              <w:spacing w:line="360" w:lineRule="exact"/>
              <w:jc w:val="center"/>
              <w:rPr>
                <w:color w:val="auto"/>
                <w:szCs w:val="21"/>
              </w:rPr>
            </w:pPr>
            <w:r>
              <w:rPr>
                <w:color w:val="auto"/>
                <w:szCs w:val="21"/>
              </w:rPr>
              <w:t>投标价</w:t>
            </w:r>
          </w:p>
        </w:tc>
        <w:tc>
          <w:tcPr>
            <w:tcW w:w="1073" w:type="dxa"/>
            <w:shd w:val="clear" w:color="auto" w:fill="8DB3E2"/>
            <w:noWrap w:val="0"/>
            <w:vAlign w:val="center"/>
          </w:tcPr>
          <w:p>
            <w:pPr>
              <w:spacing w:line="360" w:lineRule="exact"/>
              <w:jc w:val="center"/>
              <w:rPr>
                <w:color w:val="auto"/>
                <w:szCs w:val="21"/>
              </w:rPr>
            </w:pPr>
            <w:r>
              <w:rPr>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20" w:type="dxa"/>
            <w:noWrap w:val="0"/>
            <w:vAlign w:val="center"/>
          </w:tcPr>
          <w:p>
            <w:pPr>
              <w:spacing w:line="360" w:lineRule="exact"/>
              <w:jc w:val="center"/>
              <w:rPr>
                <w:color w:val="auto"/>
                <w:szCs w:val="21"/>
              </w:rPr>
            </w:pPr>
            <w:r>
              <w:rPr>
                <w:color w:val="auto"/>
                <w:szCs w:val="21"/>
              </w:rPr>
              <w:t>1</w:t>
            </w:r>
          </w:p>
        </w:tc>
        <w:tc>
          <w:tcPr>
            <w:tcW w:w="1620" w:type="dxa"/>
            <w:noWrap w:val="0"/>
            <w:vAlign w:val="center"/>
          </w:tcPr>
          <w:p>
            <w:pPr>
              <w:spacing w:line="360" w:lineRule="exact"/>
              <w:jc w:val="center"/>
              <w:rPr>
                <w:color w:val="auto"/>
                <w:szCs w:val="21"/>
              </w:rPr>
            </w:pPr>
          </w:p>
        </w:tc>
        <w:tc>
          <w:tcPr>
            <w:tcW w:w="1617" w:type="dxa"/>
            <w:noWrap w:val="0"/>
            <w:vAlign w:val="center"/>
          </w:tcPr>
          <w:p>
            <w:pPr>
              <w:spacing w:line="360" w:lineRule="exact"/>
              <w:jc w:val="center"/>
              <w:rPr>
                <w:color w:val="auto"/>
                <w:szCs w:val="21"/>
              </w:rPr>
            </w:pPr>
          </w:p>
        </w:tc>
        <w:tc>
          <w:tcPr>
            <w:tcW w:w="903" w:type="dxa"/>
            <w:noWrap w:val="0"/>
            <w:vAlign w:val="center"/>
          </w:tcPr>
          <w:p>
            <w:pPr>
              <w:spacing w:line="360" w:lineRule="exact"/>
              <w:jc w:val="center"/>
              <w:rPr>
                <w:color w:val="auto"/>
                <w:szCs w:val="21"/>
              </w:rPr>
            </w:pPr>
          </w:p>
        </w:tc>
        <w:tc>
          <w:tcPr>
            <w:tcW w:w="2160" w:type="dxa"/>
            <w:noWrap w:val="0"/>
            <w:vAlign w:val="center"/>
          </w:tcPr>
          <w:p>
            <w:pPr>
              <w:spacing w:line="360" w:lineRule="exact"/>
              <w:jc w:val="center"/>
              <w:rPr>
                <w:color w:val="auto"/>
                <w:szCs w:val="21"/>
              </w:rPr>
            </w:pPr>
          </w:p>
        </w:tc>
        <w:tc>
          <w:tcPr>
            <w:tcW w:w="1087" w:type="dxa"/>
            <w:noWrap w:val="0"/>
            <w:vAlign w:val="center"/>
          </w:tcPr>
          <w:p>
            <w:pPr>
              <w:spacing w:line="360" w:lineRule="exact"/>
              <w:jc w:val="center"/>
              <w:rPr>
                <w:color w:val="auto"/>
                <w:szCs w:val="21"/>
              </w:rPr>
            </w:pPr>
          </w:p>
        </w:tc>
        <w:tc>
          <w:tcPr>
            <w:tcW w:w="1073" w:type="dxa"/>
            <w:noWrap w:val="0"/>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noWrap w:val="0"/>
            <w:vAlign w:val="center"/>
          </w:tcPr>
          <w:p>
            <w:pPr>
              <w:spacing w:line="360" w:lineRule="exact"/>
              <w:jc w:val="center"/>
              <w:rPr>
                <w:color w:val="auto"/>
                <w:szCs w:val="21"/>
              </w:rPr>
            </w:pPr>
            <w:r>
              <w:rPr>
                <w:color w:val="auto"/>
                <w:szCs w:val="21"/>
              </w:rPr>
              <w:t>2</w:t>
            </w:r>
          </w:p>
        </w:tc>
        <w:tc>
          <w:tcPr>
            <w:tcW w:w="1620" w:type="dxa"/>
            <w:noWrap w:val="0"/>
            <w:vAlign w:val="center"/>
          </w:tcPr>
          <w:p>
            <w:pPr>
              <w:spacing w:line="360" w:lineRule="exact"/>
              <w:jc w:val="center"/>
              <w:rPr>
                <w:color w:val="auto"/>
                <w:szCs w:val="21"/>
              </w:rPr>
            </w:pPr>
          </w:p>
        </w:tc>
        <w:tc>
          <w:tcPr>
            <w:tcW w:w="1617" w:type="dxa"/>
            <w:noWrap w:val="0"/>
            <w:vAlign w:val="center"/>
          </w:tcPr>
          <w:p>
            <w:pPr>
              <w:spacing w:line="360" w:lineRule="exact"/>
              <w:jc w:val="center"/>
              <w:rPr>
                <w:color w:val="auto"/>
                <w:szCs w:val="21"/>
              </w:rPr>
            </w:pPr>
          </w:p>
        </w:tc>
        <w:tc>
          <w:tcPr>
            <w:tcW w:w="903" w:type="dxa"/>
            <w:noWrap w:val="0"/>
            <w:vAlign w:val="center"/>
          </w:tcPr>
          <w:p>
            <w:pPr>
              <w:spacing w:line="360" w:lineRule="exact"/>
              <w:jc w:val="center"/>
              <w:rPr>
                <w:color w:val="auto"/>
                <w:szCs w:val="21"/>
              </w:rPr>
            </w:pPr>
          </w:p>
        </w:tc>
        <w:tc>
          <w:tcPr>
            <w:tcW w:w="2160" w:type="dxa"/>
            <w:noWrap w:val="0"/>
            <w:vAlign w:val="center"/>
          </w:tcPr>
          <w:p>
            <w:pPr>
              <w:spacing w:line="360" w:lineRule="exact"/>
              <w:jc w:val="center"/>
              <w:rPr>
                <w:color w:val="auto"/>
                <w:szCs w:val="21"/>
              </w:rPr>
            </w:pPr>
          </w:p>
        </w:tc>
        <w:tc>
          <w:tcPr>
            <w:tcW w:w="1087" w:type="dxa"/>
            <w:noWrap w:val="0"/>
            <w:vAlign w:val="center"/>
          </w:tcPr>
          <w:p>
            <w:pPr>
              <w:spacing w:line="360" w:lineRule="exact"/>
              <w:jc w:val="center"/>
              <w:rPr>
                <w:color w:val="auto"/>
                <w:szCs w:val="21"/>
              </w:rPr>
            </w:pPr>
          </w:p>
        </w:tc>
        <w:tc>
          <w:tcPr>
            <w:tcW w:w="1073" w:type="dxa"/>
            <w:noWrap w:val="0"/>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20" w:type="dxa"/>
            <w:noWrap w:val="0"/>
            <w:vAlign w:val="center"/>
          </w:tcPr>
          <w:p>
            <w:pPr>
              <w:spacing w:line="360" w:lineRule="exact"/>
              <w:jc w:val="center"/>
              <w:rPr>
                <w:color w:val="auto"/>
                <w:szCs w:val="21"/>
              </w:rPr>
            </w:pPr>
            <w:r>
              <w:rPr>
                <w:color w:val="auto"/>
                <w:szCs w:val="21"/>
              </w:rPr>
              <w:t>……</w:t>
            </w:r>
          </w:p>
        </w:tc>
        <w:tc>
          <w:tcPr>
            <w:tcW w:w="1620" w:type="dxa"/>
            <w:noWrap w:val="0"/>
            <w:vAlign w:val="center"/>
          </w:tcPr>
          <w:p>
            <w:pPr>
              <w:spacing w:line="360" w:lineRule="exact"/>
              <w:jc w:val="center"/>
              <w:rPr>
                <w:color w:val="auto"/>
                <w:szCs w:val="21"/>
              </w:rPr>
            </w:pPr>
          </w:p>
        </w:tc>
        <w:tc>
          <w:tcPr>
            <w:tcW w:w="1617" w:type="dxa"/>
            <w:noWrap w:val="0"/>
            <w:vAlign w:val="center"/>
          </w:tcPr>
          <w:p>
            <w:pPr>
              <w:spacing w:line="360" w:lineRule="exact"/>
              <w:jc w:val="center"/>
              <w:rPr>
                <w:color w:val="auto"/>
                <w:szCs w:val="21"/>
              </w:rPr>
            </w:pPr>
          </w:p>
        </w:tc>
        <w:tc>
          <w:tcPr>
            <w:tcW w:w="903" w:type="dxa"/>
            <w:noWrap w:val="0"/>
            <w:vAlign w:val="center"/>
          </w:tcPr>
          <w:p>
            <w:pPr>
              <w:spacing w:line="360" w:lineRule="exact"/>
              <w:jc w:val="center"/>
              <w:rPr>
                <w:color w:val="auto"/>
                <w:szCs w:val="21"/>
              </w:rPr>
            </w:pPr>
          </w:p>
        </w:tc>
        <w:tc>
          <w:tcPr>
            <w:tcW w:w="2160" w:type="dxa"/>
            <w:noWrap w:val="0"/>
            <w:vAlign w:val="center"/>
          </w:tcPr>
          <w:p>
            <w:pPr>
              <w:spacing w:line="360" w:lineRule="exact"/>
              <w:jc w:val="center"/>
              <w:rPr>
                <w:color w:val="auto"/>
                <w:szCs w:val="21"/>
              </w:rPr>
            </w:pPr>
          </w:p>
        </w:tc>
        <w:tc>
          <w:tcPr>
            <w:tcW w:w="1087" w:type="dxa"/>
            <w:noWrap w:val="0"/>
            <w:vAlign w:val="center"/>
          </w:tcPr>
          <w:p>
            <w:pPr>
              <w:spacing w:line="360" w:lineRule="exact"/>
              <w:jc w:val="center"/>
              <w:rPr>
                <w:color w:val="auto"/>
                <w:szCs w:val="21"/>
              </w:rPr>
            </w:pPr>
          </w:p>
        </w:tc>
        <w:tc>
          <w:tcPr>
            <w:tcW w:w="1073" w:type="dxa"/>
            <w:noWrap w:val="0"/>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20" w:type="dxa"/>
            <w:noWrap w:val="0"/>
            <w:vAlign w:val="center"/>
          </w:tcPr>
          <w:p>
            <w:pPr>
              <w:spacing w:line="360" w:lineRule="exact"/>
              <w:jc w:val="center"/>
              <w:rPr>
                <w:color w:val="auto"/>
                <w:szCs w:val="21"/>
              </w:rPr>
            </w:pPr>
          </w:p>
        </w:tc>
        <w:tc>
          <w:tcPr>
            <w:tcW w:w="1620" w:type="dxa"/>
            <w:noWrap w:val="0"/>
            <w:vAlign w:val="center"/>
          </w:tcPr>
          <w:p>
            <w:pPr>
              <w:spacing w:line="360" w:lineRule="exact"/>
              <w:jc w:val="center"/>
              <w:rPr>
                <w:color w:val="auto"/>
                <w:szCs w:val="21"/>
              </w:rPr>
            </w:pPr>
            <w:r>
              <w:rPr>
                <w:color w:val="auto"/>
                <w:szCs w:val="21"/>
              </w:rPr>
              <w:t>广西工业产品合计价格</w:t>
            </w:r>
          </w:p>
        </w:tc>
        <w:tc>
          <w:tcPr>
            <w:tcW w:w="2520" w:type="dxa"/>
            <w:gridSpan w:val="2"/>
            <w:noWrap w:val="0"/>
            <w:vAlign w:val="center"/>
          </w:tcPr>
          <w:p>
            <w:pPr>
              <w:spacing w:line="360" w:lineRule="exact"/>
              <w:jc w:val="center"/>
              <w:rPr>
                <w:color w:val="auto"/>
                <w:szCs w:val="21"/>
              </w:rPr>
            </w:pPr>
          </w:p>
        </w:tc>
        <w:tc>
          <w:tcPr>
            <w:tcW w:w="2160" w:type="dxa"/>
            <w:noWrap w:val="0"/>
            <w:vAlign w:val="center"/>
          </w:tcPr>
          <w:p>
            <w:pPr>
              <w:spacing w:line="360" w:lineRule="exact"/>
              <w:jc w:val="center"/>
              <w:rPr>
                <w:color w:val="auto"/>
                <w:szCs w:val="21"/>
              </w:rPr>
            </w:pPr>
            <w:r>
              <w:rPr>
                <w:color w:val="auto"/>
                <w:szCs w:val="21"/>
              </w:rPr>
              <w:t>占投标总价比例</w:t>
            </w:r>
          </w:p>
        </w:tc>
        <w:tc>
          <w:tcPr>
            <w:tcW w:w="2160" w:type="dxa"/>
            <w:gridSpan w:val="2"/>
            <w:noWrap w:val="0"/>
            <w:vAlign w:val="center"/>
          </w:tcPr>
          <w:p>
            <w:pPr>
              <w:spacing w:line="360" w:lineRule="exact"/>
              <w:jc w:val="center"/>
              <w:rPr>
                <w:color w:val="auto"/>
                <w:szCs w:val="21"/>
              </w:rPr>
            </w:pPr>
          </w:p>
        </w:tc>
      </w:tr>
    </w:tbl>
    <w:p>
      <w:pPr>
        <w:spacing w:line="460" w:lineRule="exact"/>
        <w:ind w:left="239" w:leftChars="114" w:firstLine="720" w:firstLineChars="300"/>
        <w:rPr>
          <w:color w:val="auto"/>
          <w:sz w:val="24"/>
        </w:rPr>
      </w:pPr>
      <w:r>
        <w:rPr>
          <w:color w:val="auto"/>
          <w:sz w:val="24"/>
        </w:rPr>
        <w:t>本公司对上述声明的真实性负责。如有虚假，将依法承担相应责任。</w:t>
      </w:r>
    </w:p>
    <w:p>
      <w:pPr>
        <w:spacing w:line="460" w:lineRule="exact"/>
        <w:ind w:left="239" w:leftChars="114" w:firstLine="240" w:firstLineChars="100"/>
        <w:rPr>
          <w:color w:val="auto"/>
          <w:sz w:val="24"/>
        </w:rPr>
      </w:pPr>
    </w:p>
    <w:p>
      <w:pPr>
        <w:spacing w:line="460" w:lineRule="exact"/>
        <w:ind w:left="239" w:leftChars="114" w:firstLine="240" w:firstLineChars="100"/>
        <w:rPr>
          <w:color w:val="auto"/>
          <w:sz w:val="24"/>
        </w:rPr>
      </w:pPr>
    </w:p>
    <w:p>
      <w:pPr>
        <w:spacing w:line="460" w:lineRule="exact"/>
        <w:ind w:left="239" w:leftChars="114" w:firstLine="6240" w:firstLineChars="2600"/>
        <w:rPr>
          <w:color w:val="auto"/>
          <w:sz w:val="24"/>
        </w:rPr>
      </w:pPr>
      <w:r>
        <w:rPr>
          <w:color w:val="auto"/>
          <w:sz w:val="24"/>
        </w:rPr>
        <w:t>企业名称（盖</w:t>
      </w:r>
      <w:r>
        <w:rPr>
          <w:color w:val="auto"/>
          <w:spacing w:val="6"/>
          <w:sz w:val="30"/>
          <w:szCs w:val="30"/>
        </w:rPr>
        <w:t>公</w:t>
      </w:r>
      <w:r>
        <w:rPr>
          <w:color w:val="auto"/>
          <w:sz w:val="24"/>
        </w:rPr>
        <w:t>章）：</w:t>
      </w:r>
    </w:p>
    <w:p>
      <w:pPr>
        <w:spacing w:line="460" w:lineRule="exact"/>
        <w:ind w:left="239" w:leftChars="114" w:firstLine="6600" w:firstLineChars="2750"/>
        <w:rPr>
          <w:color w:val="auto"/>
          <w:sz w:val="24"/>
        </w:rPr>
      </w:pPr>
      <w:r>
        <w:rPr>
          <w:color w:val="auto"/>
          <w:sz w:val="24"/>
        </w:rPr>
        <w:t>日 期：</w:t>
      </w:r>
    </w:p>
    <w:p>
      <w:pPr>
        <w:spacing w:line="500" w:lineRule="exact"/>
        <w:rPr>
          <w:b/>
          <w:bCs/>
          <w:color w:val="auto"/>
          <w:sz w:val="32"/>
          <w:szCs w:val="32"/>
        </w:rPr>
      </w:pPr>
    </w:p>
    <w:p>
      <w:pPr>
        <w:spacing w:line="500" w:lineRule="exact"/>
        <w:rPr>
          <w:b/>
          <w:bCs/>
          <w:color w:val="auto"/>
          <w:sz w:val="32"/>
          <w:szCs w:val="32"/>
        </w:rPr>
      </w:pPr>
    </w:p>
    <w:p>
      <w:pPr>
        <w:spacing w:line="500" w:lineRule="exact"/>
        <w:rPr>
          <w:b/>
          <w:bCs/>
          <w:color w:val="auto"/>
          <w:sz w:val="32"/>
          <w:szCs w:val="32"/>
        </w:rPr>
      </w:pPr>
    </w:p>
    <w:p>
      <w:pPr>
        <w:spacing w:line="500" w:lineRule="exact"/>
        <w:rPr>
          <w:b/>
          <w:bCs/>
          <w:color w:val="auto"/>
          <w:sz w:val="32"/>
          <w:szCs w:val="32"/>
        </w:rPr>
      </w:pPr>
    </w:p>
    <w:p>
      <w:pPr>
        <w:tabs>
          <w:tab w:val="left" w:pos="1305"/>
        </w:tabs>
        <w:spacing w:line="400" w:lineRule="exact"/>
        <w:outlineLvl w:val="2"/>
        <w:rPr>
          <w:rFonts w:hint="eastAsia"/>
          <w:b/>
          <w:color w:val="auto"/>
          <w:sz w:val="32"/>
          <w:szCs w:val="32"/>
        </w:rPr>
      </w:pPr>
      <w:bookmarkStart w:id="311" w:name="_Toc12562"/>
      <w:r>
        <w:rPr>
          <w:b/>
          <w:color w:val="auto"/>
          <w:sz w:val="32"/>
          <w:szCs w:val="32"/>
        </w:rPr>
        <w:br w:type="page"/>
      </w:r>
      <w:bookmarkStart w:id="312" w:name="_Toc26557"/>
      <w:r>
        <w:rPr>
          <w:b/>
          <w:color w:val="auto"/>
          <w:sz w:val="32"/>
          <w:szCs w:val="32"/>
        </w:rPr>
        <w:t>1</w:t>
      </w:r>
      <w:r>
        <w:rPr>
          <w:rFonts w:hint="eastAsia"/>
          <w:b/>
          <w:color w:val="auto"/>
          <w:sz w:val="32"/>
          <w:szCs w:val="32"/>
        </w:rPr>
        <w:t>2</w:t>
      </w:r>
      <w:r>
        <w:rPr>
          <w:b/>
          <w:color w:val="auto"/>
          <w:sz w:val="32"/>
          <w:szCs w:val="32"/>
        </w:rPr>
        <w:t>.如所提供服务企业属于小型、微型企业【中小微型企业划分标准按照《国家统计局关于印发《统计上大中小微型企业划分办法（2017）》的通知》（国统字[2017]213号）执行，具体划分标准见第四章评标办法中附表《统计上大中小微型企业划分标准》】，以提供的《中小企业声明函》（见附件）为准（如有，请提供）</w:t>
      </w:r>
      <w:bookmarkEnd w:id="311"/>
      <w:r>
        <w:rPr>
          <w:rFonts w:hint="eastAsia"/>
          <w:b/>
          <w:color w:val="auto"/>
          <w:sz w:val="32"/>
          <w:szCs w:val="32"/>
        </w:rPr>
        <w:t>；</w:t>
      </w:r>
      <w:bookmarkEnd w:id="312"/>
    </w:p>
    <w:p>
      <w:pPr>
        <w:ind w:firstLine="560" w:firstLineChars="200"/>
        <w:rPr>
          <w:color w:val="auto"/>
          <w:sz w:val="28"/>
          <w:szCs w:val="28"/>
        </w:rPr>
      </w:pPr>
      <w:bookmarkStart w:id="313" w:name="_Toc24169_WPSOffice_Level1"/>
      <w:r>
        <w:rPr>
          <w:color w:val="auto"/>
          <w:sz w:val="28"/>
          <w:szCs w:val="28"/>
        </w:rPr>
        <w:t>附件</w:t>
      </w:r>
      <w:bookmarkEnd w:id="313"/>
    </w:p>
    <w:p>
      <w:pPr>
        <w:pStyle w:val="18"/>
        <w:spacing w:line="440" w:lineRule="exact"/>
        <w:jc w:val="center"/>
        <w:rPr>
          <w:rFonts w:ascii="Times New Roman" w:hAnsi="Times New Roman"/>
          <w:b/>
          <w:bCs/>
          <w:color w:val="auto"/>
          <w:sz w:val="28"/>
          <w:szCs w:val="28"/>
        </w:rPr>
      </w:pPr>
      <w:r>
        <w:rPr>
          <w:rFonts w:ascii="Times New Roman" w:hAnsi="Times New Roman"/>
          <w:b/>
          <w:bCs/>
          <w:color w:val="auto"/>
          <w:sz w:val="28"/>
          <w:szCs w:val="28"/>
        </w:rPr>
        <w:t>中小企业声明函</w:t>
      </w:r>
    </w:p>
    <w:p>
      <w:pPr>
        <w:spacing w:line="400" w:lineRule="exact"/>
        <w:ind w:firstLine="444" w:firstLineChars="200"/>
        <w:rPr>
          <w:color w:val="auto"/>
          <w:spacing w:val="6"/>
          <w:szCs w:val="21"/>
        </w:rPr>
      </w:pPr>
      <w:r>
        <w:rPr>
          <w:color w:val="auto"/>
          <w:spacing w:val="6"/>
          <w:szCs w:val="21"/>
        </w:rPr>
        <w:t>本公司郑重声明，根据《政府采购促进中小企业发展暂行办法》（财库[2011]181号）的规定，本公司为</w:t>
      </w:r>
      <w:bookmarkStart w:id="314" w:name="OLE_LINK5"/>
      <w:r>
        <w:rPr>
          <w:color w:val="auto"/>
          <w:spacing w:val="6"/>
          <w:szCs w:val="21"/>
          <w:u w:val="single"/>
        </w:rPr>
        <w:t xml:space="preserve">                 </w:t>
      </w:r>
      <w:r>
        <w:rPr>
          <w:color w:val="auto"/>
          <w:spacing w:val="6"/>
          <w:szCs w:val="21"/>
        </w:rPr>
        <w:t>（请填写：中型、小型、微型）企业</w:t>
      </w:r>
      <w:bookmarkEnd w:id="314"/>
      <w:r>
        <w:rPr>
          <w:color w:val="auto"/>
          <w:spacing w:val="6"/>
          <w:szCs w:val="21"/>
        </w:rPr>
        <w:t>。即，本公司同时满足以下条件：</w:t>
      </w:r>
    </w:p>
    <w:p>
      <w:pPr>
        <w:spacing w:line="400" w:lineRule="exact"/>
        <w:ind w:firstLine="444" w:firstLineChars="200"/>
        <w:rPr>
          <w:color w:val="auto"/>
          <w:spacing w:val="6"/>
          <w:szCs w:val="21"/>
        </w:rPr>
      </w:pPr>
      <w:r>
        <w:rPr>
          <w:color w:val="auto"/>
          <w:spacing w:val="6"/>
          <w:szCs w:val="21"/>
        </w:rPr>
        <w:t>1.根据《工业和信息化部、国家统计局、国家发展和改革委员会、财政部关于印发中小企业划型标准规定的通知》（工信部联企业[2011]300号）规定的划分标准，本公司为</w:t>
      </w:r>
      <w:r>
        <w:rPr>
          <w:color w:val="auto"/>
          <w:spacing w:val="6"/>
          <w:szCs w:val="21"/>
          <w:u w:val="single"/>
        </w:rPr>
        <w:t xml:space="preserve">        </w:t>
      </w:r>
      <w:r>
        <w:rPr>
          <w:color w:val="auto"/>
          <w:spacing w:val="6"/>
          <w:szCs w:val="21"/>
        </w:rPr>
        <w:t>（请填写：中型、小型、微型）企业。</w:t>
      </w:r>
    </w:p>
    <w:p>
      <w:pPr>
        <w:spacing w:line="400" w:lineRule="exact"/>
        <w:ind w:firstLine="444" w:firstLineChars="200"/>
        <w:rPr>
          <w:color w:val="auto"/>
          <w:spacing w:val="6"/>
          <w:szCs w:val="21"/>
        </w:rPr>
      </w:pPr>
      <w:r>
        <w:rPr>
          <w:color w:val="auto"/>
          <w:spacing w:val="6"/>
          <w:szCs w:val="21"/>
        </w:rPr>
        <w:t>2.本公司参加</w:t>
      </w:r>
      <w:r>
        <w:rPr>
          <w:color w:val="auto"/>
          <w:spacing w:val="6"/>
          <w:szCs w:val="21"/>
          <w:u w:val="single"/>
        </w:rPr>
        <w:t xml:space="preserve">           </w:t>
      </w:r>
      <w:r>
        <w:rPr>
          <w:color w:val="auto"/>
          <w:spacing w:val="6"/>
          <w:szCs w:val="21"/>
        </w:rPr>
        <w:t>单位的</w:t>
      </w:r>
      <w:r>
        <w:rPr>
          <w:color w:val="auto"/>
          <w:spacing w:val="6"/>
          <w:szCs w:val="21"/>
          <w:u w:val="single"/>
        </w:rPr>
        <w:t xml:space="preserve">          </w:t>
      </w:r>
      <w:r>
        <w:rPr>
          <w:color w:val="auto"/>
          <w:spacing w:val="6"/>
          <w:szCs w:val="21"/>
        </w:rPr>
        <w:t>项目采购活动提供本企业制造的货物，由本企业承担工程、提供服务，或者提供其他</w:t>
      </w:r>
      <w:r>
        <w:rPr>
          <w:color w:val="auto"/>
          <w:spacing w:val="6"/>
          <w:szCs w:val="21"/>
          <w:u w:val="single"/>
        </w:rPr>
        <w:t xml:space="preserve">            </w:t>
      </w:r>
      <w:r>
        <w:rPr>
          <w:color w:val="auto"/>
          <w:spacing w:val="6"/>
          <w:szCs w:val="21"/>
        </w:rPr>
        <w:t>（请填写：中型、小型、微型）企业制造的货物。本条所称货物不包括使用大型企业注册商标的货物。</w:t>
      </w:r>
    </w:p>
    <w:p>
      <w:pPr>
        <w:pStyle w:val="18"/>
        <w:spacing w:line="400" w:lineRule="exact"/>
        <w:ind w:firstLine="444" w:firstLineChars="200"/>
        <w:rPr>
          <w:rFonts w:ascii="Times New Roman" w:hAnsi="Times New Roman"/>
          <w:color w:val="auto"/>
          <w:sz w:val="24"/>
          <w:szCs w:val="24"/>
        </w:rPr>
      </w:pPr>
      <w:r>
        <w:rPr>
          <w:rFonts w:ascii="Times New Roman" w:hAnsi="Times New Roman"/>
          <w:color w:val="auto"/>
          <w:spacing w:val="6"/>
          <w:szCs w:val="21"/>
        </w:rPr>
        <w:t>本公司对上述声明的真实性负责。如有虚假，将依法承担相应责任。</w:t>
      </w:r>
    </w:p>
    <w:p>
      <w:pPr>
        <w:pStyle w:val="18"/>
        <w:spacing w:line="440" w:lineRule="exact"/>
        <w:ind w:firstLine="480" w:firstLineChars="200"/>
        <w:rPr>
          <w:rFonts w:ascii="Times New Roman" w:hAnsi="Times New Roman"/>
          <w:color w:val="auto"/>
          <w:sz w:val="24"/>
          <w:szCs w:val="24"/>
        </w:rPr>
      </w:pPr>
    </w:p>
    <w:p>
      <w:pPr>
        <w:pStyle w:val="18"/>
        <w:spacing w:line="440" w:lineRule="exact"/>
        <w:ind w:firstLine="3614" w:firstLineChars="1500"/>
        <w:rPr>
          <w:rFonts w:ascii="Times New Roman" w:hAnsi="Times New Roman"/>
          <w:b/>
          <w:bCs/>
          <w:color w:val="auto"/>
          <w:sz w:val="24"/>
          <w:szCs w:val="24"/>
          <w:u w:val="single"/>
        </w:rPr>
      </w:pPr>
      <w:r>
        <w:rPr>
          <w:rFonts w:ascii="Times New Roman" w:hAnsi="Times New Roman"/>
          <w:b/>
          <w:bCs/>
          <w:color w:val="auto"/>
          <w:sz w:val="24"/>
          <w:szCs w:val="24"/>
        </w:rPr>
        <w:t>企业名称（加盖公章）：</w:t>
      </w:r>
      <w:r>
        <w:rPr>
          <w:rFonts w:ascii="Times New Roman" w:hAnsi="Times New Roman"/>
          <w:b/>
          <w:bCs/>
          <w:color w:val="auto"/>
          <w:sz w:val="24"/>
          <w:szCs w:val="24"/>
          <w:u w:val="single"/>
        </w:rPr>
        <w:t xml:space="preserve">                   </w:t>
      </w:r>
    </w:p>
    <w:p>
      <w:pPr>
        <w:pStyle w:val="18"/>
        <w:spacing w:line="440" w:lineRule="exact"/>
        <w:ind w:firstLine="4819" w:firstLineChars="2000"/>
        <w:rPr>
          <w:rFonts w:ascii="Times New Roman" w:hAnsi="Times New Roman"/>
          <w:b/>
          <w:bCs/>
          <w:color w:val="auto"/>
          <w:sz w:val="28"/>
          <w:szCs w:val="28"/>
        </w:rPr>
      </w:pPr>
      <w:r>
        <w:rPr>
          <w:rFonts w:ascii="Times New Roman" w:hAnsi="Times New Roman"/>
          <w:b/>
          <w:bCs/>
          <w:color w:val="auto"/>
          <w:sz w:val="24"/>
          <w:szCs w:val="24"/>
        </w:rPr>
        <w:t>日期：     年   月   日</w:t>
      </w:r>
    </w:p>
    <w:p>
      <w:pPr>
        <w:pStyle w:val="18"/>
        <w:spacing w:line="440" w:lineRule="exact"/>
        <w:rPr>
          <w:rFonts w:ascii="Times New Roman" w:hAnsi="Times New Roman" w:eastAsia="黑体"/>
          <w:b/>
          <w:bCs/>
          <w:color w:val="auto"/>
          <w:sz w:val="24"/>
          <w:szCs w:val="24"/>
        </w:rPr>
      </w:pPr>
    </w:p>
    <w:p>
      <w:pPr>
        <w:pStyle w:val="18"/>
        <w:spacing w:line="440" w:lineRule="exact"/>
        <w:rPr>
          <w:rFonts w:ascii="Times New Roman" w:hAnsi="Times New Roman" w:eastAsia="黑体"/>
          <w:b/>
          <w:bCs/>
          <w:color w:val="auto"/>
          <w:sz w:val="24"/>
          <w:szCs w:val="24"/>
        </w:rPr>
      </w:pPr>
      <w:r>
        <w:rPr>
          <w:rFonts w:ascii="Times New Roman" w:hAnsi="Times New Roman" w:eastAsia="黑体"/>
          <w:b/>
          <w:bCs/>
          <w:color w:val="auto"/>
          <w:sz w:val="24"/>
          <w:szCs w:val="24"/>
        </w:rPr>
        <w:t>注：</w:t>
      </w:r>
    </w:p>
    <w:p>
      <w:pPr>
        <w:pStyle w:val="18"/>
        <w:numPr>
          <w:ilvl w:val="0"/>
          <w:numId w:val="14"/>
        </w:numPr>
        <w:spacing w:line="440" w:lineRule="exact"/>
        <w:ind w:firstLine="480" w:firstLineChars="200"/>
        <w:rPr>
          <w:rFonts w:ascii="Times New Roman" w:hAnsi="Times New Roman" w:eastAsia="黑体"/>
          <w:color w:val="auto"/>
          <w:sz w:val="24"/>
          <w:szCs w:val="24"/>
        </w:rPr>
      </w:pPr>
      <w:r>
        <w:rPr>
          <w:rFonts w:ascii="Times New Roman" w:hAnsi="Times New Roman" w:eastAsia="黑体"/>
          <w:color w:val="auto"/>
          <w:sz w:val="24"/>
          <w:szCs w:val="24"/>
        </w:rPr>
        <w:t>如供应商属于中型、小型、微型企业的，请按此格式要求提供《中小企业声明函》享受相应优惠政策；同时又是提供其他中型、小型、微型企业制造的货物的，请按此格式要求提供其他中型、小型、微型企业的《中小企业声明函》享受相应优惠政策。</w:t>
      </w:r>
    </w:p>
    <w:p>
      <w:pPr>
        <w:pStyle w:val="18"/>
        <w:numPr>
          <w:ilvl w:val="0"/>
          <w:numId w:val="14"/>
        </w:numPr>
        <w:spacing w:line="440" w:lineRule="exact"/>
        <w:ind w:firstLine="480" w:firstLineChars="200"/>
        <w:rPr>
          <w:rFonts w:ascii="Times New Roman" w:hAnsi="Times New Roman"/>
          <w:b/>
          <w:color w:val="auto"/>
          <w:sz w:val="24"/>
          <w:szCs w:val="24"/>
        </w:rPr>
      </w:pPr>
      <w:r>
        <w:rPr>
          <w:rFonts w:ascii="Times New Roman" w:hAnsi="Times New Roman" w:eastAsia="黑体"/>
          <w:color w:val="auto"/>
          <w:sz w:val="24"/>
          <w:szCs w:val="24"/>
        </w:rPr>
        <w:t>采购代理机构在公告</w:t>
      </w:r>
      <w:r>
        <w:rPr>
          <w:rFonts w:hint="eastAsia" w:ascii="Times New Roman" w:hAnsi="Times New Roman" w:eastAsia="黑体"/>
          <w:color w:val="auto"/>
          <w:sz w:val="24"/>
          <w:szCs w:val="24"/>
        </w:rPr>
        <w:t>中标</w:t>
      </w:r>
      <w:r>
        <w:rPr>
          <w:rFonts w:ascii="Times New Roman" w:hAnsi="Times New Roman" w:eastAsia="黑体"/>
          <w:color w:val="auto"/>
          <w:sz w:val="24"/>
          <w:szCs w:val="24"/>
        </w:rPr>
        <w:t>结果时，将同时公告其《中小企业声明函》，接受社会监督，如有弄虚作假，</w:t>
      </w:r>
      <w:r>
        <w:rPr>
          <w:rFonts w:hint="eastAsia" w:ascii="Times New Roman" w:hAnsi="Times New Roman" w:eastAsia="黑体"/>
          <w:color w:val="auto"/>
          <w:sz w:val="24"/>
          <w:szCs w:val="24"/>
        </w:rPr>
        <w:t>中标供应商</w:t>
      </w:r>
      <w:r>
        <w:rPr>
          <w:rFonts w:ascii="Times New Roman" w:hAnsi="Times New Roman" w:eastAsia="黑体"/>
          <w:color w:val="auto"/>
          <w:sz w:val="24"/>
          <w:szCs w:val="24"/>
        </w:rPr>
        <w:t>将承担相应责任。</w:t>
      </w:r>
    </w:p>
    <w:p>
      <w:pPr>
        <w:spacing w:line="500" w:lineRule="exact"/>
        <w:rPr>
          <w:b/>
          <w:color w:val="auto"/>
          <w:sz w:val="32"/>
          <w:szCs w:val="32"/>
        </w:rPr>
      </w:pPr>
    </w:p>
    <w:p>
      <w:pPr>
        <w:spacing w:line="500" w:lineRule="exact"/>
        <w:rPr>
          <w:b/>
          <w:color w:val="auto"/>
          <w:sz w:val="32"/>
          <w:szCs w:val="32"/>
        </w:rPr>
      </w:pPr>
    </w:p>
    <w:p>
      <w:pPr>
        <w:spacing w:line="500" w:lineRule="exact"/>
        <w:rPr>
          <w:b/>
          <w:color w:val="auto"/>
          <w:sz w:val="32"/>
          <w:szCs w:val="32"/>
        </w:rPr>
      </w:pPr>
    </w:p>
    <w:p>
      <w:pPr>
        <w:tabs>
          <w:tab w:val="left" w:pos="1305"/>
        </w:tabs>
        <w:spacing w:line="400" w:lineRule="exact"/>
        <w:outlineLvl w:val="2"/>
        <w:rPr>
          <w:b/>
          <w:bCs/>
          <w:color w:val="auto"/>
          <w:sz w:val="32"/>
          <w:szCs w:val="32"/>
        </w:rPr>
      </w:pPr>
      <w:bookmarkStart w:id="315" w:name="_Toc26450"/>
      <w:bookmarkStart w:id="316" w:name="_Toc13491"/>
      <w:r>
        <w:rPr>
          <w:b/>
          <w:color w:val="auto"/>
          <w:sz w:val="32"/>
          <w:szCs w:val="32"/>
        </w:rPr>
        <w:t>1</w:t>
      </w:r>
      <w:r>
        <w:rPr>
          <w:rFonts w:hint="eastAsia"/>
          <w:b/>
          <w:color w:val="auto"/>
          <w:sz w:val="32"/>
          <w:szCs w:val="32"/>
        </w:rPr>
        <w:t>3</w:t>
      </w:r>
      <w:r>
        <w:rPr>
          <w:b/>
          <w:color w:val="auto"/>
          <w:sz w:val="32"/>
          <w:szCs w:val="32"/>
        </w:rPr>
        <w:t>.如产品属于监狱企业的，以提供由省级以上监狱管理局、戒毒管理局（含新疆生产建设兵团）出具的属于监狱企业的证明文件为准（如有，请提供）；</w:t>
      </w:r>
      <w:bookmarkEnd w:id="315"/>
      <w:bookmarkEnd w:id="316"/>
    </w:p>
    <w:p>
      <w:pPr>
        <w:tabs>
          <w:tab w:val="left" w:pos="1305"/>
        </w:tabs>
        <w:spacing w:line="400" w:lineRule="exact"/>
        <w:outlineLvl w:val="2"/>
        <w:rPr>
          <w:b/>
          <w:bCs/>
          <w:color w:val="auto"/>
          <w:sz w:val="32"/>
          <w:szCs w:val="32"/>
        </w:rPr>
      </w:pPr>
      <w:r>
        <w:rPr>
          <w:b/>
          <w:bCs/>
          <w:color w:val="auto"/>
          <w:sz w:val="32"/>
          <w:szCs w:val="32"/>
        </w:rPr>
        <w:br w:type="page"/>
      </w:r>
      <w:bookmarkStart w:id="317" w:name="_Toc17129"/>
      <w:bookmarkStart w:id="318" w:name="_Toc23808"/>
      <w:r>
        <w:rPr>
          <w:b/>
          <w:bCs/>
          <w:color w:val="auto"/>
          <w:sz w:val="32"/>
          <w:szCs w:val="32"/>
        </w:rPr>
        <w:t>1</w:t>
      </w:r>
      <w:r>
        <w:rPr>
          <w:rFonts w:hint="eastAsia"/>
          <w:b/>
          <w:bCs/>
          <w:color w:val="auto"/>
          <w:sz w:val="32"/>
          <w:szCs w:val="32"/>
        </w:rPr>
        <w:t>4</w:t>
      </w:r>
      <w:r>
        <w:rPr>
          <w:b/>
          <w:bCs/>
          <w:color w:val="auto"/>
          <w:sz w:val="32"/>
          <w:szCs w:val="32"/>
        </w:rPr>
        <w:t>.符合条件的残疾人福利性单位在参加政府采购活动时，应当提供《残疾人福利性单位声明函》（见附件），并对声明的真实性负责。</w:t>
      </w:r>
      <w:bookmarkEnd w:id="317"/>
      <w:bookmarkEnd w:id="318"/>
      <w:r>
        <w:rPr>
          <w:b/>
          <w:color w:val="auto"/>
          <w:sz w:val="32"/>
          <w:szCs w:val="32"/>
        </w:rPr>
        <w:t>（如有，请提供）</w:t>
      </w:r>
    </w:p>
    <w:p>
      <w:pPr>
        <w:spacing w:line="588" w:lineRule="exact"/>
        <w:jc w:val="center"/>
        <w:rPr>
          <w:b/>
          <w:color w:val="auto"/>
          <w:spacing w:val="6"/>
          <w:sz w:val="30"/>
          <w:szCs w:val="30"/>
        </w:rPr>
      </w:pPr>
      <w:r>
        <w:rPr>
          <w:b/>
          <w:color w:val="auto"/>
          <w:spacing w:val="6"/>
          <w:sz w:val="32"/>
          <w:szCs w:val="32"/>
        </w:rPr>
        <w:t>残疾人福利性单位声明函</w:t>
      </w:r>
    </w:p>
    <w:p>
      <w:pPr>
        <w:spacing w:line="588" w:lineRule="exact"/>
        <w:ind w:firstLine="624" w:firstLineChars="200"/>
        <w:rPr>
          <w:color w:val="auto"/>
          <w:spacing w:val="6"/>
          <w:sz w:val="30"/>
          <w:szCs w:val="30"/>
        </w:rPr>
      </w:pPr>
      <w:r>
        <w:rPr>
          <w:color w:val="auto"/>
          <w:spacing w:val="6"/>
          <w:sz w:val="30"/>
          <w:szCs w:val="30"/>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firstLineChars="200"/>
        <w:rPr>
          <w:color w:val="auto"/>
          <w:spacing w:val="6"/>
          <w:sz w:val="30"/>
          <w:szCs w:val="30"/>
        </w:rPr>
      </w:pPr>
      <w:r>
        <w:rPr>
          <w:color w:val="auto"/>
          <w:spacing w:val="6"/>
          <w:sz w:val="30"/>
          <w:szCs w:val="30"/>
        </w:rPr>
        <w:t>本单位对上述声明的真实性负责。如有虚假，将依法承担相应责任。</w:t>
      </w:r>
    </w:p>
    <w:p>
      <w:pPr>
        <w:spacing w:line="588" w:lineRule="exact"/>
        <w:ind w:firstLine="624" w:firstLineChars="200"/>
        <w:rPr>
          <w:color w:val="auto"/>
          <w:spacing w:val="6"/>
          <w:sz w:val="30"/>
          <w:szCs w:val="30"/>
        </w:rPr>
      </w:pPr>
    </w:p>
    <w:p>
      <w:pPr>
        <w:spacing w:line="588" w:lineRule="exact"/>
        <w:ind w:firstLine="624" w:firstLineChars="200"/>
        <w:rPr>
          <w:color w:val="auto"/>
          <w:spacing w:val="6"/>
          <w:sz w:val="30"/>
          <w:szCs w:val="30"/>
        </w:rPr>
      </w:pPr>
    </w:p>
    <w:p>
      <w:pPr>
        <w:spacing w:line="588" w:lineRule="exact"/>
        <w:ind w:firstLine="624" w:firstLineChars="200"/>
        <w:rPr>
          <w:color w:val="auto"/>
          <w:spacing w:val="6"/>
          <w:sz w:val="30"/>
          <w:szCs w:val="30"/>
        </w:rPr>
      </w:pPr>
    </w:p>
    <w:p>
      <w:pPr>
        <w:tabs>
          <w:tab w:val="left" w:pos="4860"/>
        </w:tabs>
        <w:spacing w:line="588" w:lineRule="exact"/>
        <w:ind w:right="1560" w:firstLine="624" w:firstLineChars="200"/>
        <w:jc w:val="center"/>
        <w:rPr>
          <w:color w:val="auto"/>
          <w:spacing w:val="6"/>
          <w:sz w:val="30"/>
          <w:szCs w:val="30"/>
        </w:rPr>
      </w:pPr>
      <w:r>
        <w:rPr>
          <w:color w:val="auto"/>
          <w:spacing w:val="6"/>
          <w:sz w:val="30"/>
          <w:szCs w:val="30"/>
        </w:rPr>
        <w:t>单位名称（盖公章）：</w:t>
      </w:r>
    </w:p>
    <w:p>
      <w:pPr>
        <w:tabs>
          <w:tab w:val="left" w:pos="4860"/>
        </w:tabs>
        <w:spacing w:line="588" w:lineRule="exact"/>
        <w:ind w:right="1560" w:firstLine="624" w:firstLineChars="200"/>
        <w:jc w:val="center"/>
        <w:rPr>
          <w:b/>
          <w:bCs/>
          <w:color w:val="auto"/>
          <w:sz w:val="32"/>
          <w:szCs w:val="32"/>
        </w:rPr>
      </w:pPr>
      <w:r>
        <w:rPr>
          <w:color w:val="auto"/>
          <w:spacing w:val="6"/>
          <w:sz w:val="30"/>
          <w:szCs w:val="30"/>
        </w:rPr>
        <w:t>日  期：</w:t>
      </w:r>
    </w:p>
    <w:p>
      <w:pPr>
        <w:spacing w:line="500" w:lineRule="exact"/>
        <w:rPr>
          <w:b/>
          <w:bCs/>
          <w:color w:val="auto"/>
          <w:sz w:val="32"/>
          <w:szCs w:val="32"/>
        </w:rPr>
      </w:pPr>
    </w:p>
    <w:p>
      <w:pPr>
        <w:spacing w:line="500" w:lineRule="exact"/>
        <w:rPr>
          <w:b/>
          <w:bCs/>
          <w:color w:val="auto"/>
          <w:sz w:val="32"/>
          <w:szCs w:val="32"/>
        </w:rPr>
      </w:pPr>
    </w:p>
    <w:p>
      <w:pPr>
        <w:spacing w:line="500" w:lineRule="exact"/>
        <w:rPr>
          <w:b/>
          <w:bCs/>
          <w:color w:val="auto"/>
          <w:sz w:val="32"/>
          <w:szCs w:val="32"/>
        </w:rPr>
      </w:pPr>
    </w:p>
    <w:p>
      <w:pPr>
        <w:tabs>
          <w:tab w:val="left" w:pos="1305"/>
        </w:tabs>
        <w:spacing w:line="400" w:lineRule="exact"/>
        <w:outlineLvl w:val="2"/>
        <w:rPr>
          <w:rFonts w:hint="eastAsia"/>
          <w:b/>
          <w:bCs/>
          <w:color w:val="auto"/>
          <w:sz w:val="32"/>
          <w:szCs w:val="32"/>
        </w:rPr>
      </w:pPr>
      <w:bookmarkStart w:id="319" w:name="_Toc14735"/>
      <w:bookmarkStart w:id="320" w:name="_Toc24959"/>
      <w:bookmarkStart w:id="321" w:name="_Toc495841807"/>
      <w:r>
        <w:rPr>
          <w:b/>
          <w:bCs/>
          <w:color w:val="auto"/>
          <w:sz w:val="32"/>
          <w:szCs w:val="32"/>
        </w:rPr>
        <w:t>1</w:t>
      </w:r>
      <w:r>
        <w:rPr>
          <w:rFonts w:hint="eastAsia"/>
          <w:b/>
          <w:bCs/>
          <w:color w:val="auto"/>
          <w:sz w:val="32"/>
          <w:szCs w:val="32"/>
        </w:rPr>
        <w:t>5</w:t>
      </w:r>
      <w:r>
        <w:rPr>
          <w:b/>
          <w:bCs/>
          <w:color w:val="auto"/>
          <w:sz w:val="32"/>
          <w:szCs w:val="32"/>
        </w:rPr>
        <w:t>.投标人可结合本项目的评标办法视自身情况自行提交相关证明材料（如有，请提供）</w:t>
      </w:r>
      <w:bookmarkEnd w:id="319"/>
      <w:bookmarkEnd w:id="320"/>
      <w:bookmarkEnd w:id="321"/>
    </w:p>
    <w:p>
      <w:pPr>
        <w:rPr>
          <w:rFonts w:hint="eastAsia"/>
          <w:color w:val="auto"/>
        </w:rPr>
      </w:pPr>
      <w:r>
        <w:rPr>
          <w:rFonts w:hint="eastAsia"/>
          <w:color w:val="auto"/>
        </w:rPr>
        <w:t xml:space="preserve">  </w:t>
      </w:r>
    </w:p>
    <w:p>
      <w:pPr>
        <w:rPr>
          <w:rFonts w:hint="eastAsia"/>
          <w:color w:val="auto"/>
        </w:rPr>
      </w:pPr>
      <w:r>
        <w:rPr>
          <w:rFonts w:hint="eastAsia"/>
          <w:color w:val="auto"/>
        </w:rPr>
        <w:t xml:space="preserve">  </w:t>
      </w:r>
    </w:p>
    <w:p>
      <w:pPr>
        <w:rPr>
          <w:rFonts w:hint="eastAsia"/>
          <w:color w:val="auto"/>
        </w:rPr>
      </w:pPr>
    </w:p>
    <w:p>
      <w:pPr>
        <w:rPr>
          <w:rFonts w:hint="eastAsia"/>
          <w:color w:val="auto"/>
        </w:rPr>
      </w:pPr>
    </w:p>
    <w:p>
      <w:pPr>
        <w:tabs>
          <w:tab w:val="left" w:pos="1305"/>
        </w:tabs>
        <w:spacing w:line="400" w:lineRule="exact"/>
        <w:outlineLvl w:val="2"/>
        <w:rPr>
          <w:rFonts w:hint="eastAsia"/>
          <w:b/>
          <w:bCs/>
          <w:color w:val="auto"/>
          <w:sz w:val="32"/>
          <w:szCs w:val="32"/>
        </w:rPr>
      </w:pPr>
      <w:bookmarkStart w:id="322" w:name="_Toc6913"/>
      <w:r>
        <w:rPr>
          <w:rFonts w:hint="eastAsia"/>
          <w:b/>
          <w:bCs/>
          <w:color w:val="auto"/>
          <w:sz w:val="32"/>
          <w:szCs w:val="32"/>
        </w:rPr>
        <w:t>16.项目实施方案（如有，请提供）</w:t>
      </w:r>
      <w:bookmarkEnd w:id="322"/>
    </w:p>
    <w:p>
      <w:pPr>
        <w:tabs>
          <w:tab w:val="left" w:pos="1305"/>
        </w:tabs>
        <w:spacing w:line="400" w:lineRule="exact"/>
        <w:outlineLvl w:val="2"/>
        <w:rPr>
          <w:b/>
          <w:bCs/>
          <w:color w:val="auto"/>
          <w:sz w:val="32"/>
          <w:szCs w:val="32"/>
        </w:rPr>
      </w:pPr>
    </w:p>
    <w:p>
      <w:pPr>
        <w:tabs>
          <w:tab w:val="left" w:pos="1305"/>
        </w:tabs>
        <w:spacing w:line="400" w:lineRule="exact"/>
        <w:outlineLvl w:val="2"/>
        <w:rPr>
          <w:b/>
          <w:bCs/>
          <w:color w:val="auto"/>
          <w:sz w:val="32"/>
          <w:szCs w:val="32"/>
        </w:rPr>
      </w:pPr>
    </w:p>
    <w:sectPr>
      <w:footerReference r:id="rId6" w:type="default"/>
      <w:pgSz w:w="11906" w:h="16838"/>
      <w:pgMar w:top="1440" w:right="1080" w:bottom="1440" w:left="108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Sim Sun">
    <w:altName w:val="宋体"/>
    <w:panose1 w:val="00000000000000000000"/>
    <w:charset w:val="86"/>
    <w:family w:val="decorative"/>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Ђ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华文新魏">
    <w:panose1 w:val="02010800040101010101"/>
    <w:charset w:val="86"/>
    <w:family w:val="auto"/>
    <w:pitch w:val="default"/>
    <w:sig w:usb0="00000001" w:usb1="080F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大标宋简体">
    <w:altName w:val="微软雅黑"/>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方正宋黑简体">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pict>
        <v:shape id="文本框 2" o:spid="_x0000_s4097" o:spt="202" type="#_x0000_t202" style="position:absolute;left:0pt;margin-top:0pt;height:144pt;width:144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DFZT5ytQEAAEsDAAAOAAAAAAAAAAAAAAAAAC4CAABkcnMvZTJvRG9jLnhtbFBL&#10;AQItABQABgAIAAAAIQAMSvDu1gAAAAUBAAAPAAAAAAAAAAAAAAAAAA8EAABkcnMvZG93bnJldi54&#10;bWxQSwUGAAAAAAQABADzAAAAEgUAAAAA&#1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III</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rPr>
        <w:rStyle w:val="123"/>
      </w:rPr>
      <w:instrText xml:space="preserve"> PAGE </w:instrText>
    </w:r>
    <w:r>
      <w:fldChar w:fldCharType="separate"/>
    </w:r>
    <w:r>
      <w:rPr>
        <w:rStyle w:val="123"/>
      </w:rPr>
      <w:t>17</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E5236C"/>
    <w:multiLevelType w:val="multilevel"/>
    <w:tmpl w:val="96E5236C"/>
    <w:lvl w:ilvl="0" w:tentative="0">
      <w:start w:val="1"/>
      <w:numFmt w:val="decimal"/>
      <w:lvlText w:val="（%1）"/>
      <w:lvlJc w:val="left"/>
      <w:pPr>
        <w:ind w:left="1162" w:hanging="527"/>
      </w:pPr>
      <w:rPr>
        <w:rFonts w:hint="default" w:ascii="宋体" w:hAnsi="宋体" w:eastAsia="宋体" w:cs="宋体"/>
        <w:spacing w:val="-1"/>
        <w:w w:val="99"/>
        <w:sz w:val="19"/>
        <w:szCs w:val="19"/>
        <w:lang w:val="en-US" w:eastAsia="zh-CN" w:bidi="ar-SA"/>
      </w:rPr>
    </w:lvl>
    <w:lvl w:ilvl="1" w:tentative="0">
      <w:start w:val="0"/>
      <w:numFmt w:val="bullet"/>
      <w:lvlText w:val="•"/>
      <w:lvlJc w:val="left"/>
      <w:pPr>
        <w:ind w:left="2048" w:hanging="527"/>
      </w:pPr>
      <w:rPr>
        <w:rFonts w:hint="default"/>
        <w:lang w:val="en-US" w:eastAsia="zh-CN" w:bidi="ar-SA"/>
      </w:rPr>
    </w:lvl>
    <w:lvl w:ilvl="2" w:tentative="0">
      <w:start w:val="0"/>
      <w:numFmt w:val="bullet"/>
      <w:lvlText w:val="•"/>
      <w:lvlJc w:val="left"/>
      <w:pPr>
        <w:ind w:left="2937" w:hanging="527"/>
      </w:pPr>
      <w:rPr>
        <w:rFonts w:hint="default"/>
        <w:lang w:val="en-US" w:eastAsia="zh-CN" w:bidi="ar-SA"/>
      </w:rPr>
    </w:lvl>
    <w:lvl w:ilvl="3" w:tentative="0">
      <w:start w:val="0"/>
      <w:numFmt w:val="bullet"/>
      <w:lvlText w:val="•"/>
      <w:lvlJc w:val="left"/>
      <w:pPr>
        <w:ind w:left="3825" w:hanging="527"/>
      </w:pPr>
      <w:rPr>
        <w:rFonts w:hint="default"/>
        <w:lang w:val="en-US" w:eastAsia="zh-CN" w:bidi="ar-SA"/>
      </w:rPr>
    </w:lvl>
    <w:lvl w:ilvl="4" w:tentative="0">
      <w:start w:val="0"/>
      <w:numFmt w:val="bullet"/>
      <w:lvlText w:val="•"/>
      <w:lvlJc w:val="left"/>
      <w:pPr>
        <w:ind w:left="4714" w:hanging="527"/>
      </w:pPr>
      <w:rPr>
        <w:rFonts w:hint="default"/>
        <w:lang w:val="en-US" w:eastAsia="zh-CN" w:bidi="ar-SA"/>
      </w:rPr>
    </w:lvl>
    <w:lvl w:ilvl="5" w:tentative="0">
      <w:start w:val="0"/>
      <w:numFmt w:val="bullet"/>
      <w:lvlText w:val="•"/>
      <w:lvlJc w:val="left"/>
      <w:pPr>
        <w:ind w:left="5603" w:hanging="527"/>
      </w:pPr>
      <w:rPr>
        <w:rFonts w:hint="default"/>
        <w:lang w:val="en-US" w:eastAsia="zh-CN" w:bidi="ar-SA"/>
      </w:rPr>
    </w:lvl>
    <w:lvl w:ilvl="6" w:tentative="0">
      <w:start w:val="0"/>
      <w:numFmt w:val="bullet"/>
      <w:lvlText w:val="•"/>
      <w:lvlJc w:val="left"/>
      <w:pPr>
        <w:ind w:left="6491" w:hanging="527"/>
      </w:pPr>
      <w:rPr>
        <w:rFonts w:hint="default"/>
        <w:lang w:val="en-US" w:eastAsia="zh-CN" w:bidi="ar-SA"/>
      </w:rPr>
    </w:lvl>
    <w:lvl w:ilvl="7" w:tentative="0">
      <w:start w:val="0"/>
      <w:numFmt w:val="bullet"/>
      <w:lvlText w:val="•"/>
      <w:lvlJc w:val="left"/>
      <w:pPr>
        <w:ind w:left="7380" w:hanging="527"/>
      </w:pPr>
      <w:rPr>
        <w:rFonts w:hint="default"/>
        <w:lang w:val="en-US" w:eastAsia="zh-CN" w:bidi="ar-SA"/>
      </w:rPr>
    </w:lvl>
    <w:lvl w:ilvl="8" w:tentative="0">
      <w:start w:val="0"/>
      <w:numFmt w:val="bullet"/>
      <w:lvlText w:val="•"/>
      <w:lvlJc w:val="left"/>
      <w:pPr>
        <w:ind w:left="8268" w:hanging="527"/>
      </w:pPr>
      <w:rPr>
        <w:rFonts w:hint="default"/>
        <w:lang w:val="en-US" w:eastAsia="zh-CN" w:bidi="ar-SA"/>
      </w:rPr>
    </w:lvl>
  </w:abstractNum>
  <w:abstractNum w:abstractNumId="1">
    <w:nsid w:val="AE8EBBE8"/>
    <w:multiLevelType w:val="singleLevel"/>
    <w:tmpl w:val="AE8EBBE8"/>
    <w:lvl w:ilvl="0" w:tentative="0">
      <w:start w:val="15"/>
      <w:numFmt w:val="decimal"/>
      <w:suff w:val="space"/>
      <w:lvlText w:val="%1."/>
      <w:lvlJc w:val="left"/>
    </w:lvl>
  </w:abstractNum>
  <w:abstractNum w:abstractNumId="2">
    <w:nsid w:val="C560BE57"/>
    <w:multiLevelType w:val="multilevel"/>
    <w:tmpl w:val="C560BE57"/>
    <w:lvl w:ilvl="0" w:tentative="0">
      <w:start w:val="1"/>
      <w:numFmt w:val="decimal"/>
      <w:lvlText w:val="（%1）"/>
      <w:lvlJc w:val="left"/>
      <w:pPr>
        <w:ind w:left="1162" w:hanging="527"/>
      </w:pPr>
      <w:rPr>
        <w:rFonts w:hint="default" w:ascii="宋体" w:hAnsi="宋体" w:eastAsia="宋体" w:cs="宋体"/>
        <w:spacing w:val="-1"/>
        <w:w w:val="99"/>
        <w:sz w:val="19"/>
        <w:szCs w:val="19"/>
        <w:lang w:val="en-US" w:eastAsia="zh-CN" w:bidi="ar-SA"/>
      </w:rPr>
    </w:lvl>
    <w:lvl w:ilvl="1" w:tentative="0">
      <w:start w:val="0"/>
      <w:numFmt w:val="bullet"/>
      <w:lvlText w:val="•"/>
      <w:lvlJc w:val="left"/>
      <w:pPr>
        <w:ind w:left="2048" w:hanging="527"/>
      </w:pPr>
      <w:rPr>
        <w:rFonts w:hint="default"/>
        <w:lang w:val="en-US" w:eastAsia="zh-CN" w:bidi="ar-SA"/>
      </w:rPr>
    </w:lvl>
    <w:lvl w:ilvl="2" w:tentative="0">
      <w:start w:val="0"/>
      <w:numFmt w:val="bullet"/>
      <w:lvlText w:val="•"/>
      <w:lvlJc w:val="left"/>
      <w:pPr>
        <w:ind w:left="2937" w:hanging="527"/>
      </w:pPr>
      <w:rPr>
        <w:rFonts w:hint="default"/>
        <w:lang w:val="en-US" w:eastAsia="zh-CN" w:bidi="ar-SA"/>
      </w:rPr>
    </w:lvl>
    <w:lvl w:ilvl="3" w:tentative="0">
      <w:start w:val="0"/>
      <w:numFmt w:val="bullet"/>
      <w:lvlText w:val="•"/>
      <w:lvlJc w:val="left"/>
      <w:pPr>
        <w:ind w:left="3825" w:hanging="527"/>
      </w:pPr>
      <w:rPr>
        <w:rFonts w:hint="default"/>
        <w:lang w:val="en-US" w:eastAsia="zh-CN" w:bidi="ar-SA"/>
      </w:rPr>
    </w:lvl>
    <w:lvl w:ilvl="4" w:tentative="0">
      <w:start w:val="0"/>
      <w:numFmt w:val="bullet"/>
      <w:lvlText w:val="•"/>
      <w:lvlJc w:val="left"/>
      <w:pPr>
        <w:ind w:left="4714" w:hanging="527"/>
      </w:pPr>
      <w:rPr>
        <w:rFonts w:hint="default"/>
        <w:lang w:val="en-US" w:eastAsia="zh-CN" w:bidi="ar-SA"/>
      </w:rPr>
    </w:lvl>
    <w:lvl w:ilvl="5" w:tentative="0">
      <w:start w:val="0"/>
      <w:numFmt w:val="bullet"/>
      <w:lvlText w:val="•"/>
      <w:lvlJc w:val="left"/>
      <w:pPr>
        <w:ind w:left="5603" w:hanging="527"/>
      </w:pPr>
      <w:rPr>
        <w:rFonts w:hint="default"/>
        <w:lang w:val="en-US" w:eastAsia="zh-CN" w:bidi="ar-SA"/>
      </w:rPr>
    </w:lvl>
    <w:lvl w:ilvl="6" w:tentative="0">
      <w:start w:val="0"/>
      <w:numFmt w:val="bullet"/>
      <w:lvlText w:val="•"/>
      <w:lvlJc w:val="left"/>
      <w:pPr>
        <w:ind w:left="6491" w:hanging="527"/>
      </w:pPr>
      <w:rPr>
        <w:rFonts w:hint="default"/>
        <w:lang w:val="en-US" w:eastAsia="zh-CN" w:bidi="ar-SA"/>
      </w:rPr>
    </w:lvl>
    <w:lvl w:ilvl="7" w:tentative="0">
      <w:start w:val="0"/>
      <w:numFmt w:val="bullet"/>
      <w:lvlText w:val="•"/>
      <w:lvlJc w:val="left"/>
      <w:pPr>
        <w:ind w:left="7380" w:hanging="527"/>
      </w:pPr>
      <w:rPr>
        <w:rFonts w:hint="default"/>
        <w:lang w:val="en-US" w:eastAsia="zh-CN" w:bidi="ar-SA"/>
      </w:rPr>
    </w:lvl>
    <w:lvl w:ilvl="8" w:tentative="0">
      <w:start w:val="0"/>
      <w:numFmt w:val="bullet"/>
      <w:lvlText w:val="•"/>
      <w:lvlJc w:val="left"/>
      <w:pPr>
        <w:ind w:left="8268" w:hanging="527"/>
      </w:pPr>
      <w:rPr>
        <w:rFonts w:hint="default"/>
        <w:lang w:val="en-US" w:eastAsia="zh-CN" w:bidi="ar-SA"/>
      </w:rPr>
    </w:lvl>
  </w:abstractNum>
  <w:abstractNum w:abstractNumId="3">
    <w:nsid w:val="EF4A7540"/>
    <w:multiLevelType w:val="singleLevel"/>
    <w:tmpl w:val="EF4A7540"/>
    <w:lvl w:ilvl="0" w:tentative="0">
      <w:start w:val="2"/>
      <w:numFmt w:val="decimal"/>
      <w:suff w:val="nothing"/>
      <w:lvlText w:val="（%1）"/>
      <w:lvlJc w:val="left"/>
    </w:lvl>
  </w:abstractNum>
  <w:abstractNum w:abstractNumId="4">
    <w:nsid w:val="F0B337B7"/>
    <w:multiLevelType w:val="singleLevel"/>
    <w:tmpl w:val="F0B337B7"/>
    <w:lvl w:ilvl="0" w:tentative="0">
      <w:start w:val="6"/>
      <w:numFmt w:val="chineseCounting"/>
      <w:suff w:val="nothing"/>
      <w:lvlText w:val="%1、"/>
      <w:lvlJc w:val="left"/>
      <w:rPr>
        <w:rFonts w:hint="eastAsia"/>
      </w:rPr>
    </w:lvl>
  </w:abstractNum>
  <w:abstractNum w:abstractNumId="5">
    <w:nsid w:val="0F3F0521"/>
    <w:multiLevelType w:val="singleLevel"/>
    <w:tmpl w:val="0F3F0521"/>
    <w:lvl w:ilvl="0" w:tentative="0">
      <w:start w:val="1"/>
      <w:numFmt w:val="decimal"/>
      <w:lvlText w:val="%1)"/>
      <w:lvlJc w:val="left"/>
      <w:pPr>
        <w:ind w:left="425" w:hanging="425"/>
      </w:pPr>
      <w:rPr>
        <w:rFonts w:hint="default"/>
      </w:rPr>
    </w:lvl>
  </w:abstractNum>
  <w:abstractNum w:abstractNumId="6">
    <w:nsid w:val="16073CB2"/>
    <w:multiLevelType w:val="singleLevel"/>
    <w:tmpl w:val="16073CB2"/>
    <w:lvl w:ilvl="0" w:tentative="0">
      <w:start w:val="2"/>
      <w:numFmt w:val="decimal"/>
      <w:lvlText w:val="%1."/>
      <w:lvlJc w:val="left"/>
      <w:pPr>
        <w:tabs>
          <w:tab w:val="left" w:pos="312"/>
        </w:tabs>
      </w:pPr>
    </w:lvl>
  </w:abstractNum>
  <w:abstractNum w:abstractNumId="7">
    <w:nsid w:val="179A9516"/>
    <w:multiLevelType w:val="singleLevel"/>
    <w:tmpl w:val="179A9516"/>
    <w:lvl w:ilvl="0" w:tentative="0">
      <w:start w:val="4"/>
      <w:numFmt w:val="decimal"/>
      <w:suff w:val="nothing"/>
      <w:lvlText w:val="（%1）"/>
      <w:lvlJc w:val="left"/>
    </w:lvl>
  </w:abstractNum>
  <w:abstractNum w:abstractNumId="8">
    <w:nsid w:val="262694A4"/>
    <w:multiLevelType w:val="singleLevel"/>
    <w:tmpl w:val="262694A4"/>
    <w:lvl w:ilvl="0" w:tentative="0">
      <w:start w:val="1"/>
      <w:numFmt w:val="chineseCounting"/>
      <w:suff w:val="space"/>
      <w:lvlText w:val="第%1章"/>
      <w:lvlJc w:val="left"/>
      <w:rPr>
        <w:rFonts w:hint="eastAsia"/>
      </w:rPr>
    </w:lvl>
  </w:abstractNum>
  <w:abstractNum w:abstractNumId="9">
    <w:nsid w:val="4603DC6E"/>
    <w:multiLevelType w:val="singleLevel"/>
    <w:tmpl w:val="4603DC6E"/>
    <w:lvl w:ilvl="0" w:tentative="0">
      <w:start w:val="2"/>
      <w:numFmt w:val="decimal"/>
      <w:suff w:val="nothing"/>
      <w:lvlText w:val="（%1）"/>
      <w:lvlJc w:val="left"/>
    </w:lvl>
  </w:abstractNum>
  <w:abstractNum w:abstractNumId="10">
    <w:nsid w:val="491EBDFD"/>
    <w:multiLevelType w:val="singleLevel"/>
    <w:tmpl w:val="491EBDFD"/>
    <w:lvl w:ilvl="0" w:tentative="0">
      <w:start w:val="1"/>
      <w:numFmt w:val="decimal"/>
      <w:lvlText w:val="%1."/>
      <w:lvlJc w:val="left"/>
      <w:pPr>
        <w:tabs>
          <w:tab w:val="left" w:pos="312"/>
        </w:tabs>
      </w:pPr>
    </w:lvl>
  </w:abstractNum>
  <w:abstractNum w:abstractNumId="11">
    <w:nsid w:val="49E0F4AC"/>
    <w:multiLevelType w:val="singleLevel"/>
    <w:tmpl w:val="49E0F4AC"/>
    <w:lvl w:ilvl="0" w:tentative="0">
      <w:start w:val="1"/>
      <w:numFmt w:val="decimal"/>
      <w:suff w:val="space"/>
      <w:lvlText w:val="（%1）"/>
      <w:lvlJc w:val="left"/>
    </w:lvl>
  </w:abstractNum>
  <w:abstractNum w:abstractNumId="12">
    <w:nsid w:val="524A5894"/>
    <w:multiLevelType w:val="singleLevel"/>
    <w:tmpl w:val="524A5894"/>
    <w:lvl w:ilvl="0" w:tentative="0">
      <w:start w:val="1"/>
      <w:numFmt w:val="decimal"/>
      <w:suff w:val="nothing"/>
      <w:lvlText w:val="%1、"/>
      <w:lvlJc w:val="left"/>
    </w:lvl>
  </w:abstractNum>
  <w:abstractNum w:abstractNumId="13">
    <w:nsid w:val="59DC546A"/>
    <w:multiLevelType w:val="singleLevel"/>
    <w:tmpl w:val="59DC546A"/>
    <w:lvl w:ilvl="0" w:tentative="0">
      <w:start w:val="1"/>
      <w:numFmt w:val="decimal"/>
      <w:suff w:val="nothing"/>
      <w:lvlText w:val="（%1）"/>
      <w:lvlJc w:val="left"/>
    </w:lvl>
  </w:abstractNum>
  <w:num w:numId="1">
    <w:abstractNumId w:val="8"/>
  </w:num>
  <w:num w:numId="2">
    <w:abstractNumId w:val="4"/>
  </w:num>
  <w:num w:numId="3">
    <w:abstractNumId w:val="10"/>
  </w:num>
  <w:num w:numId="4">
    <w:abstractNumId w:val="7"/>
  </w:num>
  <w:num w:numId="5">
    <w:abstractNumId w:val="13"/>
  </w:num>
  <w:num w:numId="6">
    <w:abstractNumId w:val="1"/>
  </w:num>
  <w:num w:numId="7">
    <w:abstractNumId w:val="5"/>
  </w:num>
  <w:num w:numId="8">
    <w:abstractNumId w:val="2"/>
  </w:num>
  <w:num w:numId="9">
    <w:abstractNumId w:val="9"/>
  </w:num>
  <w:num w:numId="10">
    <w:abstractNumId w:val="0"/>
  </w:num>
  <w:num w:numId="11">
    <w:abstractNumId w:val="11"/>
  </w:num>
  <w:num w:numId="12">
    <w:abstractNumId w:val="3"/>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F92138"/>
    <w:rsid w:val="0000012A"/>
    <w:rsid w:val="000004C3"/>
    <w:rsid w:val="000007B3"/>
    <w:rsid w:val="000012F4"/>
    <w:rsid w:val="000013C5"/>
    <w:rsid w:val="0000245C"/>
    <w:rsid w:val="00002511"/>
    <w:rsid w:val="00002604"/>
    <w:rsid w:val="00002682"/>
    <w:rsid w:val="00002789"/>
    <w:rsid w:val="00003EA2"/>
    <w:rsid w:val="00004D43"/>
    <w:rsid w:val="00004D70"/>
    <w:rsid w:val="000064D3"/>
    <w:rsid w:val="000066AE"/>
    <w:rsid w:val="0000694B"/>
    <w:rsid w:val="00007562"/>
    <w:rsid w:val="00007A12"/>
    <w:rsid w:val="00007F96"/>
    <w:rsid w:val="00010484"/>
    <w:rsid w:val="00010630"/>
    <w:rsid w:val="0001073E"/>
    <w:rsid w:val="00010A38"/>
    <w:rsid w:val="00010C20"/>
    <w:rsid w:val="00010EAD"/>
    <w:rsid w:val="00011006"/>
    <w:rsid w:val="00011968"/>
    <w:rsid w:val="00012CDC"/>
    <w:rsid w:val="0001389F"/>
    <w:rsid w:val="000139C8"/>
    <w:rsid w:val="000139E0"/>
    <w:rsid w:val="00013C53"/>
    <w:rsid w:val="00014897"/>
    <w:rsid w:val="000154C2"/>
    <w:rsid w:val="00015616"/>
    <w:rsid w:val="00016164"/>
    <w:rsid w:val="000161E6"/>
    <w:rsid w:val="000168D8"/>
    <w:rsid w:val="00016CCE"/>
    <w:rsid w:val="00016DFC"/>
    <w:rsid w:val="00016E25"/>
    <w:rsid w:val="00016F9A"/>
    <w:rsid w:val="000171D6"/>
    <w:rsid w:val="00020282"/>
    <w:rsid w:val="000204F7"/>
    <w:rsid w:val="00020654"/>
    <w:rsid w:val="000206E4"/>
    <w:rsid w:val="00020927"/>
    <w:rsid w:val="00020A3D"/>
    <w:rsid w:val="00020C2E"/>
    <w:rsid w:val="00020C93"/>
    <w:rsid w:val="00020DFC"/>
    <w:rsid w:val="00021802"/>
    <w:rsid w:val="00021DAE"/>
    <w:rsid w:val="0002236B"/>
    <w:rsid w:val="000226EF"/>
    <w:rsid w:val="00022A04"/>
    <w:rsid w:val="00022F6B"/>
    <w:rsid w:val="0002300B"/>
    <w:rsid w:val="00023496"/>
    <w:rsid w:val="00023CCC"/>
    <w:rsid w:val="00024D1C"/>
    <w:rsid w:val="000250DF"/>
    <w:rsid w:val="000253B5"/>
    <w:rsid w:val="000255CC"/>
    <w:rsid w:val="00025BFA"/>
    <w:rsid w:val="0002612D"/>
    <w:rsid w:val="00026265"/>
    <w:rsid w:val="00026487"/>
    <w:rsid w:val="00026761"/>
    <w:rsid w:val="00026815"/>
    <w:rsid w:val="00026A9C"/>
    <w:rsid w:val="00026BD0"/>
    <w:rsid w:val="00026E89"/>
    <w:rsid w:val="00026FAA"/>
    <w:rsid w:val="00027726"/>
    <w:rsid w:val="00027F50"/>
    <w:rsid w:val="00030259"/>
    <w:rsid w:val="00031CD3"/>
    <w:rsid w:val="00031D23"/>
    <w:rsid w:val="000320DB"/>
    <w:rsid w:val="00032419"/>
    <w:rsid w:val="0003258D"/>
    <w:rsid w:val="00033233"/>
    <w:rsid w:val="00033A28"/>
    <w:rsid w:val="00033C3A"/>
    <w:rsid w:val="00033C62"/>
    <w:rsid w:val="00034267"/>
    <w:rsid w:val="00034581"/>
    <w:rsid w:val="00034D30"/>
    <w:rsid w:val="00034E5F"/>
    <w:rsid w:val="000353B8"/>
    <w:rsid w:val="000357BE"/>
    <w:rsid w:val="00035820"/>
    <w:rsid w:val="00035C6F"/>
    <w:rsid w:val="00036348"/>
    <w:rsid w:val="00036425"/>
    <w:rsid w:val="00036594"/>
    <w:rsid w:val="00037242"/>
    <w:rsid w:val="000373A3"/>
    <w:rsid w:val="00037991"/>
    <w:rsid w:val="000404A8"/>
    <w:rsid w:val="00040678"/>
    <w:rsid w:val="00040706"/>
    <w:rsid w:val="00040C08"/>
    <w:rsid w:val="000425C4"/>
    <w:rsid w:val="00042F69"/>
    <w:rsid w:val="000433E9"/>
    <w:rsid w:val="00043717"/>
    <w:rsid w:val="00043BC9"/>
    <w:rsid w:val="00044162"/>
    <w:rsid w:val="00044210"/>
    <w:rsid w:val="0004422A"/>
    <w:rsid w:val="00044409"/>
    <w:rsid w:val="000447E7"/>
    <w:rsid w:val="00044C3F"/>
    <w:rsid w:val="00044E0C"/>
    <w:rsid w:val="00044E5F"/>
    <w:rsid w:val="000457ED"/>
    <w:rsid w:val="00045A4C"/>
    <w:rsid w:val="00045FA3"/>
    <w:rsid w:val="0004657B"/>
    <w:rsid w:val="00047190"/>
    <w:rsid w:val="000473C1"/>
    <w:rsid w:val="00047877"/>
    <w:rsid w:val="000479BB"/>
    <w:rsid w:val="000479E2"/>
    <w:rsid w:val="000500EE"/>
    <w:rsid w:val="0005043F"/>
    <w:rsid w:val="000517CE"/>
    <w:rsid w:val="00052295"/>
    <w:rsid w:val="00052409"/>
    <w:rsid w:val="00053E02"/>
    <w:rsid w:val="0005424F"/>
    <w:rsid w:val="00054CFF"/>
    <w:rsid w:val="00055A2B"/>
    <w:rsid w:val="000561BD"/>
    <w:rsid w:val="00056276"/>
    <w:rsid w:val="0005641F"/>
    <w:rsid w:val="0005650A"/>
    <w:rsid w:val="00056832"/>
    <w:rsid w:val="00057D96"/>
    <w:rsid w:val="00057FA8"/>
    <w:rsid w:val="000606D6"/>
    <w:rsid w:val="0006095D"/>
    <w:rsid w:val="00061342"/>
    <w:rsid w:val="000617D3"/>
    <w:rsid w:val="00061A7B"/>
    <w:rsid w:val="0006269C"/>
    <w:rsid w:val="000629C0"/>
    <w:rsid w:val="00062EB9"/>
    <w:rsid w:val="0006313B"/>
    <w:rsid w:val="00063580"/>
    <w:rsid w:val="00063621"/>
    <w:rsid w:val="0006377B"/>
    <w:rsid w:val="00063C67"/>
    <w:rsid w:val="000645BF"/>
    <w:rsid w:val="00064792"/>
    <w:rsid w:val="00064E88"/>
    <w:rsid w:val="00064E8B"/>
    <w:rsid w:val="00065C6C"/>
    <w:rsid w:val="0006602F"/>
    <w:rsid w:val="00066231"/>
    <w:rsid w:val="00066254"/>
    <w:rsid w:val="0006630F"/>
    <w:rsid w:val="000663F2"/>
    <w:rsid w:val="00066927"/>
    <w:rsid w:val="000675B5"/>
    <w:rsid w:val="00070648"/>
    <w:rsid w:val="0007072F"/>
    <w:rsid w:val="000707BA"/>
    <w:rsid w:val="00070B84"/>
    <w:rsid w:val="000712BA"/>
    <w:rsid w:val="00072AF3"/>
    <w:rsid w:val="000731E0"/>
    <w:rsid w:val="0007321D"/>
    <w:rsid w:val="00073EB9"/>
    <w:rsid w:val="00074060"/>
    <w:rsid w:val="000740EE"/>
    <w:rsid w:val="00074441"/>
    <w:rsid w:val="000746A6"/>
    <w:rsid w:val="000746D3"/>
    <w:rsid w:val="00074890"/>
    <w:rsid w:val="00074AAC"/>
    <w:rsid w:val="00075405"/>
    <w:rsid w:val="000759B4"/>
    <w:rsid w:val="00075AC6"/>
    <w:rsid w:val="000763B8"/>
    <w:rsid w:val="00080266"/>
    <w:rsid w:val="00080A97"/>
    <w:rsid w:val="00080C72"/>
    <w:rsid w:val="00080FD4"/>
    <w:rsid w:val="00081197"/>
    <w:rsid w:val="000815D9"/>
    <w:rsid w:val="0008283C"/>
    <w:rsid w:val="00082B33"/>
    <w:rsid w:val="00082F26"/>
    <w:rsid w:val="000834F3"/>
    <w:rsid w:val="00083AFC"/>
    <w:rsid w:val="000840AE"/>
    <w:rsid w:val="00084236"/>
    <w:rsid w:val="000844B3"/>
    <w:rsid w:val="00085194"/>
    <w:rsid w:val="000858A2"/>
    <w:rsid w:val="00085993"/>
    <w:rsid w:val="00085EE0"/>
    <w:rsid w:val="00086806"/>
    <w:rsid w:val="000870A4"/>
    <w:rsid w:val="00087492"/>
    <w:rsid w:val="00087C2E"/>
    <w:rsid w:val="00087C30"/>
    <w:rsid w:val="00087D46"/>
    <w:rsid w:val="000900BE"/>
    <w:rsid w:val="0009120F"/>
    <w:rsid w:val="0009192D"/>
    <w:rsid w:val="00091A92"/>
    <w:rsid w:val="00091ADC"/>
    <w:rsid w:val="00091F7B"/>
    <w:rsid w:val="000921D6"/>
    <w:rsid w:val="00093502"/>
    <w:rsid w:val="0009423E"/>
    <w:rsid w:val="0009439C"/>
    <w:rsid w:val="0009450E"/>
    <w:rsid w:val="0009583E"/>
    <w:rsid w:val="00095D3B"/>
    <w:rsid w:val="0009609B"/>
    <w:rsid w:val="00096254"/>
    <w:rsid w:val="0009629E"/>
    <w:rsid w:val="0009657E"/>
    <w:rsid w:val="00096B3D"/>
    <w:rsid w:val="0009733E"/>
    <w:rsid w:val="00097B00"/>
    <w:rsid w:val="000A1985"/>
    <w:rsid w:val="000A1B2D"/>
    <w:rsid w:val="000A1C5C"/>
    <w:rsid w:val="000A22E4"/>
    <w:rsid w:val="000A2348"/>
    <w:rsid w:val="000A482E"/>
    <w:rsid w:val="000A507F"/>
    <w:rsid w:val="000A5A63"/>
    <w:rsid w:val="000A5F1C"/>
    <w:rsid w:val="000A6BCA"/>
    <w:rsid w:val="000A6E55"/>
    <w:rsid w:val="000A7020"/>
    <w:rsid w:val="000A715A"/>
    <w:rsid w:val="000A7BC1"/>
    <w:rsid w:val="000B005F"/>
    <w:rsid w:val="000B0082"/>
    <w:rsid w:val="000B0948"/>
    <w:rsid w:val="000B147E"/>
    <w:rsid w:val="000B14E2"/>
    <w:rsid w:val="000B1865"/>
    <w:rsid w:val="000B25AB"/>
    <w:rsid w:val="000B27B0"/>
    <w:rsid w:val="000B2E07"/>
    <w:rsid w:val="000B3350"/>
    <w:rsid w:val="000B3403"/>
    <w:rsid w:val="000B3F43"/>
    <w:rsid w:val="000B414E"/>
    <w:rsid w:val="000B420E"/>
    <w:rsid w:val="000B517B"/>
    <w:rsid w:val="000B599B"/>
    <w:rsid w:val="000B6149"/>
    <w:rsid w:val="000B6464"/>
    <w:rsid w:val="000B6616"/>
    <w:rsid w:val="000B67FF"/>
    <w:rsid w:val="000B6D4B"/>
    <w:rsid w:val="000B7280"/>
    <w:rsid w:val="000B775D"/>
    <w:rsid w:val="000B7B41"/>
    <w:rsid w:val="000B7B6B"/>
    <w:rsid w:val="000C042D"/>
    <w:rsid w:val="000C16C7"/>
    <w:rsid w:val="000C17B3"/>
    <w:rsid w:val="000C18B9"/>
    <w:rsid w:val="000C1C14"/>
    <w:rsid w:val="000C1C47"/>
    <w:rsid w:val="000C1E87"/>
    <w:rsid w:val="000C1FFE"/>
    <w:rsid w:val="000C278F"/>
    <w:rsid w:val="000C3182"/>
    <w:rsid w:val="000C3627"/>
    <w:rsid w:val="000C3D7C"/>
    <w:rsid w:val="000C3EBF"/>
    <w:rsid w:val="000C3EF9"/>
    <w:rsid w:val="000C4226"/>
    <w:rsid w:val="000C46A7"/>
    <w:rsid w:val="000C4B4A"/>
    <w:rsid w:val="000C577C"/>
    <w:rsid w:val="000C5EBC"/>
    <w:rsid w:val="000C6007"/>
    <w:rsid w:val="000C63C1"/>
    <w:rsid w:val="000C6487"/>
    <w:rsid w:val="000C66D5"/>
    <w:rsid w:val="000C671D"/>
    <w:rsid w:val="000C6905"/>
    <w:rsid w:val="000C6993"/>
    <w:rsid w:val="000C726B"/>
    <w:rsid w:val="000C79D7"/>
    <w:rsid w:val="000C7DC0"/>
    <w:rsid w:val="000C7E03"/>
    <w:rsid w:val="000D04B5"/>
    <w:rsid w:val="000D07D7"/>
    <w:rsid w:val="000D0A2A"/>
    <w:rsid w:val="000D197F"/>
    <w:rsid w:val="000D1F8E"/>
    <w:rsid w:val="000D2C99"/>
    <w:rsid w:val="000D3131"/>
    <w:rsid w:val="000D317E"/>
    <w:rsid w:val="000D3499"/>
    <w:rsid w:val="000D35D0"/>
    <w:rsid w:val="000D3ADD"/>
    <w:rsid w:val="000D416D"/>
    <w:rsid w:val="000D4271"/>
    <w:rsid w:val="000D565B"/>
    <w:rsid w:val="000D5A69"/>
    <w:rsid w:val="000D5C45"/>
    <w:rsid w:val="000D6183"/>
    <w:rsid w:val="000D6249"/>
    <w:rsid w:val="000D663D"/>
    <w:rsid w:val="000D713C"/>
    <w:rsid w:val="000D7241"/>
    <w:rsid w:val="000D7491"/>
    <w:rsid w:val="000D761D"/>
    <w:rsid w:val="000D7811"/>
    <w:rsid w:val="000E0233"/>
    <w:rsid w:val="000E07EE"/>
    <w:rsid w:val="000E1051"/>
    <w:rsid w:val="000E125D"/>
    <w:rsid w:val="000E17A5"/>
    <w:rsid w:val="000E1EA9"/>
    <w:rsid w:val="000E20CC"/>
    <w:rsid w:val="000E221C"/>
    <w:rsid w:val="000E2C59"/>
    <w:rsid w:val="000E2D2A"/>
    <w:rsid w:val="000E2D3C"/>
    <w:rsid w:val="000E3086"/>
    <w:rsid w:val="000E3A00"/>
    <w:rsid w:val="000E4218"/>
    <w:rsid w:val="000E4714"/>
    <w:rsid w:val="000E477C"/>
    <w:rsid w:val="000E4A2E"/>
    <w:rsid w:val="000E4AA0"/>
    <w:rsid w:val="000E5032"/>
    <w:rsid w:val="000E551D"/>
    <w:rsid w:val="000E6BBF"/>
    <w:rsid w:val="000E7078"/>
    <w:rsid w:val="000E75B1"/>
    <w:rsid w:val="000F07E0"/>
    <w:rsid w:val="000F0927"/>
    <w:rsid w:val="000F09EA"/>
    <w:rsid w:val="000F0AEC"/>
    <w:rsid w:val="000F0DF2"/>
    <w:rsid w:val="000F1BF2"/>
    <w:rsid w:val="000F1C7B"/>
    <w:rsid w:val="000F2448"/>
    <w:rsid w:val="000F25B0"/>
    <w:rsid w:val="000F2B3A"/>
    <w:rsid w:val="000F3291"/>
    <w:rsid w:val="000F33D3"/>
    <w:rsid w:val="000F3E81"/>
    <w:rsid w:val="000F4D92"/>
    <w:rsid w:val="000F512C"/>
    <w:rsid w:val="000F54EC"/>
    <w:rsid w:val="000F5A14"/>
    <w:rsid w:val="000F6137"/>
    <w:rsid w:val="000F6477"/>
    <w:rsid w:val="000F660D"/>
    <w:rsid w:val="000F72C5"/>
    <w:rsid w:val="000F7404"/>
    <w:rsid w:val="000F7D5B"/>
    <w:rsid w:val="001002A5"/>
    <w:rsid w:val="0010101A"/>
    <w:rsid w:val="0010113E"/>
    <w:rsid w:val="00101C2F"/>
    <w:rsid w:val="0010220C"/>
    <w:rsid w:val="001023DA"/>
    <w:rsid w:val="00103B1E"/>
    <w:rsid w:val="00103D34"/>
    <w:rsid w:val="001043E8"/>
    <w:rsid w:val="001051FB"/>
    <w:rsid w:val="00105E7C"/>
    <w:rsid w:val="00106635"/>
    <w:rsid w:val="0010772D"/>
    <w:rsid w:val="00107AAB"/>
    <w:rsid w:val="00107DBE"/>
    <w:rsid w:val="001100AC"/>
    <w:rsid w:val="00110BD9"/>
    <w:rsid w:val="0011171E"/>
    <w:rsid w:val="00111A1E"/>
    <w:rsid w:val="00111A2D"/>
    <w:rsid w:val="00111CA9"/>
    <w:rsid w:val="00112548"/>
    <w:rsid w:val="00112720"/>
    <w:rsid w:val="00112F5B"/>
    <w:rsid w:val="00113A0E"/>
    <w:rsid w:val="00113A99"/>
    <w:rsid w:val="00113AF4"/>
    <w:rsid w:val="00114B86"/>
    <w:rsid w:val="00115442"/>
    <w:rsid w:val="00115FBC"/>
    <w:rsid w:val="0011635D"/>
    <w:rsid w:val="00116CBB"/>
    <w:rsid w:val="0011747F"/>
    <w:rsid w:val="001174AE"/>
    <w:rsid w:val="00117D20"/>
    <w:rsid w:val="00117DC0"/>
    <w:rsid w:val="00117E74"/>
    <w:rsid w:val="00120547"/>
    <w:rsid w:val="00120802"/>
    <w:rsid w:val="0012191A"/>
    <w:rsid w:val="001231A6"/>
    <w:rsid w:val="001234BD"/>
    <w:rsid w:val="001235F0"/>
    <w:rsid w:val="001236EF"/>
    <w:rsid w:val="001239B2"/>
    <w:rsid w:val="00123B65"/>
    <w:rsid w:val="001240C4"/>
    <w:rsid w:val="00124323"/>
    <w:rsid w:val="00124ACB"/>
    <w:rsid w:val="001255C6"/>
    <w:rsid w:val="00125C7E"/>
    <w:rsid w:val="0012638B"/>
    <w:rsid w:val="00130193"/>
    <w:rsid w:val="0013024C"/>
    <w:rsid w:val="001303EA"/>
    <w:rsid w:val="0013041D"/>
    <w:rsid w:val="00130436"/>
    <w:rsid w:val="00130EFA"/>
    <w:rsid w:val="00131BB7"/>
    <w:rsid w:val="00131C08"/>
    <w:rsid w:val="00131D21"/>
    <w:rsid w:val="0013248D"/>
    <w:rsid w:val="00132F97"/>
    <w:rsid w:val="00133180"/>
    <w:rsid w:val="00133205"/>
    <w:rsid w:val="001333DB"/>
    <w:rsid w:val="00133450"/>
    <w:rsid w:val="001335B1"/>
    <w:rsid w:val="001336DA"/>
    <w:rsid w:val="00133C3B"/>
    <w:rsid w:val="00133F22"/>
    <w:rsid w:val="0013449B"/>
    <w:rsid w:val="001344C7"/>
    <w:rsid w:val="001346D2"/>
    <w:rsid w:val="00134862"/>
    <w:rsid w:val="00134BD1"/>
    <w:rsid w:val="00134CC0"/>
    <w:rsid w:val="00135E46"/>
    <w:rsid w:val="00136517"/>
    <w:rsid w:val="00136EA4"/>
    <w:rsid w:val="00140213"/>
    <w:rsid w:val="0014047C"/>
    <w:rsid w:val="0014096C"/>
    <w:rsid w:val="0014115B"/>
    <w:rsid w:val="00141AE7"/>
    <w:rsid w:val="00141E3C"/>
    <w:rsid w:val="00142C09"/>
    <w:rsid w:val="00143102"/>
    <w:rsid w:val="0014329A"/>
    <w:rsid w:val="00143861"/>
    <w:rsid w:val="001440A4"/>
    <w:rsid w:val="00144815"/>
    <w:rsid w:val="00144F89"/>
    <w:rsid w:val="00145537"/>
    <w:rsid w:val="00145D1C"/>
    <w:rsid w:val="00146021"/>
    <w:rsid w:val="00150049"/>
    <w:rsid w:val="00150055"/>
    <w:rsid w:val="001502A2"/>
    <w:rsid w:val="00150373"/>
    <w:rsid w:val="00150AE6"/>
    <w:rsid w:val="00150C40"/>
    <w:rsid w:val="00150D03"/>
    <w:rsid w:val="00151F58"/>
    <w:rsid w:val="00151F67"/>
    <w:rsid w:val="0015285A"/>
    <w:rsid w:val="0015299C"/>
    <w:rsid w:val="0015313E"/>
    <w:rsid w:val="001531B4"/>
    <w:rsid w:val="001533BA"/>
    <w:rsid w:val="00153787"/>
    <w:rsid w:val="0015396D"/>
    <w:rsid w:val="00153BBF"/>
    <w:rsid w:val="001543DB"/>
    <w:rsid w:val="0015440E"/>
    <w:rsid w:val="001552FB"/>
    <w:rsid w:val="00155B83"/>
    <w:rsid w:val="00155E4D"/>
    <w:rsid w:val="00156262"/>
    <w:rsid w:val="001563CA"/>
    <w:rsid w:val="00156979"/>
    <w:rsid w:val="00156A19"/>
    <w:rsid w:val="00156D43"/>
    <w:rsid w:val="00157103"/>
    <w:rsid w:val="00157320"/>
    <w:rsid w:val="00157C06"/>
    <w:rsid w:val="00157CF4"/>
    <w:rsid w:val="001600D7"/>
    <w:rsid w:val="0016036D"/>
    <w:rsid w:val="001608AE"/>
    <w:rsid w:val="00160D3E"/>
    <w:rsid w:val="001610F5"/>
    <w:rsid w:val="00161375"/>
    <w:rsid w:val="001613B7"/>
    <w:rsid w:val="00162D4C"/>
    <w:rsid w:val="00163584"/>
    <w:rsid w:val="001635A4"/>
    <w:rsid w:val="001638BE"/>
    <w:rsid w:val="00163AF5"/>
    <w:rsid w:val="00163FCD"/>
    <w:rsid w:val="00164003"/>
    <w:rsid w:val="00164249"/>
    <w:rsid w:val="00164902"/>
    <w:rsid w:val="00164B0A"/>
    <w:rsid w:val="00164B7B"/>
    <w:rsid w:val="00165240"/>
    <w:rsid w:val="00165735"/>
    <w:rsid w:val="00166390"/>
    <w:rsid w:val="001666A4"/>
    <w:rsid w:val="00166B91"/>
    <w:rsid w:val="00166CED"/>
    <w:rsid w:val="00167F1C"/>
    <w:rsid w:val="00170706"/>
    <w:rsid w:val="00170B25"/>
    <w:rsid w:val="00170BD1"/>
    <w:rsid w:val="001718C5"/>
    <w:rsid w:val="00171A3B"/>
    <w:rsid w:val="00171CE9"/>
    <w:rsid w:val="00171F84"/>
    <w:rsid w:val="0017246C"/>
    <w:rsid w:val="00172954"/>
    <w:rsid w:val="00173282"/>
    <w:rsid w:val="001734B9"/>
    <w:rsid w:val="00173F97"/>
    <w:rsid w:val="00173FCF"/>
    <w:rsid w:val="00174754"/>
    <w:rsid w:val="00175739"/>
    <w:rsid w:val="00175FAB"/>
    <w:rsid w:val="001760DA"/>
    <w:rsid w:val="001769B1"/>
    <w:rsid w:val="00176A1B"/>
    <w:rsid w:val="00177096"/>
    <w:rsid w:val="001771F7"/>
    <w:rsid w:val="00180926"/>
    <w:rsid w:val="0018107F"/>
    <w:rsid w:val="00181CCB"/>
    <w:rsid w:val="00181D44"/>
    <w:rsid w:val="00181DE6"/>
    <w:rsid w:val="00181F65"/>
    <w:rsid w:val="001821F4"/>
    <w:rsid w:val="00183599"/>
    <w:rsid w:val="00183DF4"/>
    <w:rsid w:val="001841FA"/>
    <w:rsid w:val="00185480"/>
    <w:rsid w:val="001857E0"/>
    <w:rsid w:val="0018632C"/>
    <w:rsid w:val="001863AB"/>
    <w:rsid w:val="00186697"/>
    <w:rsid w:val="001866AB"/>
    <w:rsid w:val="001867C4"/>
    <w:rsid w:val="00186855"/>
    <w:rsid w:val="00186A0B"/>
    <w:rsid w:val="00186B2C"/>
    <w:rsid w:val="00186DB1"/>
    <w:rsid w:val="001870BC"/>
    <w:rsid w:val="001872B9"/>
    <w:rsid w:val="0018738A"/>
    <w:rsid w:val="00187BD2"/>
    <w:rsid w:val="00187CB1"/>
    <w:rsid w:val="00187CDD"/>
    <w:rsid w:val="00190215"/>
    <w:rsid w:val="001902E5"/>
    <w:rsid w:val="001904B0"/>
    <w:rsid w:val="00190ED8"/>
    <w:rsid w:val="001914DA"/>
    <w:rsid w:val="00191864"/>
    <w:rsid w:val="001919E8"/>
    <w:rsid w:val="00191DC4"/>
    <w:rsid w:val="0019308B"/>
    <w:rsid w:val="001934E3"/>
    <w:rsid w:val="001938D1"/>
    <w:rsid w:val="00194200"/>
    <w:rsid w:val="001942EB"/>
    <w:rsid w:val="00194589"/>
    <w:rsid w:val="00194761"/>
    <w:rsid w:val="001948C3"/>
    <w:rsid w:val="00194924"/>
    <w:rsid w:val="0019500A"/>
    <w:rsid w:val="0019565F"/>
    <w:rsid w:val="001958CA"/>
    <w:rsid w:val="00195D31"/>
    <w:rsid w:val="00195E63"/>
    <w:rsid w:val="00196835"/>
    <w:rsid w:val="00196FFE"/>
    <w:rsid w:val="00197957"/>
    <w:rsid w:val="00197DF4"/>
    <w:rsid w:val="001A0E8A"/>
    <w:rsid w:val="001A134C"/>
    <w:rsid w:val="001A16A9"/>
    <w:rsid w:val="001A1A33"/>
    <w:rsid w:val="001A1AEE"/>
    <w:rsid w:val="001A1C41"/>
    <w:rsid w:val="001A2E4E"/>
    <w:rsid w:val="001A301F"/>
    <w:rsid w:val="001A3D9F"/>
    <w:rsid w:val="001A415B"/>
    <w:rsid w:val="001A43DB"/>
    <w:rsid w:val="001A4BAE"/>
    <w:rsid w:val="001A5377"/>
    <w:rsid w:val="001A5641"/>
    <w:rsid w:val="001A58E7"/>
    <w:rsid w:val="001A5C92"/>
    <w:rsid w:val="001A5EEF"/>
    <w:rsid w:val="001A612C"/>
    <w:rsid w:val="001A62A0"/>
    <w:rsid w:val="001A62BA"/>
    <w:rsid w:val="001A68C1"/>
    <w:rsid w:val="001A6B02"/>
    <w:rsid w:val="001A6F5F"/>
    <w:rsid w:val="001A714B"/>
    <w:rsid w:val="001A71C3"/>
    <w:rsid w:val="001A74B6"/>
    <w:rsid w:val="001A7D50"/>
    <w:rsid w:val="001B02BF"/>
    <w:rsid w:val="001B0531"/>
    <w:rsid w:val="001B0DD6"/>
    <w:rsid w:val="001B0E49"/>
    <w:rsid w:val="001B16EB"/>
    <w:rsid w:val="001B1A2F"/>
    <w:rsid w:val="001B1ACB"/>
    <w:rsid w:val="001B213D"/>
    <w:rsid w:val="001B2294"/>
    <w:rsid w:val="001B3238"/>
    <w:rsid w:val="001B3D61"/>
    <w:rsid w:val="001B4946"/>
    <w:rsid w:val="001B4A8B"/>
    <w:rsid w:val="001B5976"/>
    <w:rsid w:val="001B5ACC"/>
    <w:rsid w:val="001B5C67"/>
    <w:rsid w:val="001B7730"/>
    <w:rsid w:val="001C0110"/>
    <w:rsid w:val="001C0AF7"/>
    <w:rsid w:val="001C0C1A"/>
    <w:rsid w:val="001C0C6B"/>
    <w:rsid w:val="001C0E3E"/>
    <w:rsid w:val="001C0E71"/>
    <w:rsid w:val="001C1D54"/>
    <w:rsid w:val="001C256D"/>
    <w:rsid w:val="001C27CF"/>
    <w:rsid w:val="001C27DF"/>
    <w:rsid w:val="001C34BA"/>
    <w:rsid w:val="001C3AF1"/>
    <w:rsid w:val="001C4E4F"/>
    <w:rsid w:val="001C51B8"/>
    <w:rsid w:val="001C58F2"/>
    <w:rsid w:val="001C6458"/>
    <w:rsid w:val="001C6B56"/>
    <w:rsid w:val="001C701F"/>
    <w:rsid w:val="001C71B5"/>
    <w:rsid w:val="001D0D38"/>
    <w:rsid w:val="001D0F2A"/>
    <w:rsid w:val="001D120F"/>
    <w:rsid w:val="001D1E46"/>
    <w:rsid w:val="001D20A4"/>
    <w:rsid w:val="001D23BC"/>
    <w:rsid w:val="001D23F2"/>
    <w:rsid w:val="001D2E28"/>
    <w:rsid w:val="001D355E"/>
    <w:rsid w:val="001D3AB6"/>
    <w:rsid w:val="001D3AC0"/>
    <w:rsid w:val="001D3CDE"/>
    <w:rsid w:val="001D3F44"/>
    <w:rsid w:val="001D4377"/>
    <w:rsid w:val="001D465D"/>
    <w:rsid w:val="001D4C8D"/>
    <w:rsid w:val="001D55BB"/>
    <w:rsid w:val="001D5D94"/>
    <w:rsid w:val="001D5E08"/>
    <w:rsid w:val="001D5E18"/>
    <w:rsid w:val="001D5FED"/>
    <w:rsid w:val="001D6030"/>
    <w:rsid w:val="001D60FE"/>
    <w:rsid w:val="001D684F"/>
    <w:rsid w:val="001D6BA3"/>
    <w:rsid w:val="001E02D1"/>
    <w:rsid w:val="001E0C63"/>
    <w:rsid w:val="001E10B5"/>
    <w:rsid w:val="001E12CD"/>
    <w:rsid w:val="001E148F"/>
    <w:rsid w:val="001E1CC1"/>
    <w:rsid w:val="001E2128"/>
    <w:rsid w:val="001E267B"/>
    <w:rsid w:val="001E2BF6"/>
    <w:rsid w:val="001E3014"/>
    <w:rsid w:val="001E355A"/>
    <w:rsid w:val="001E3645"/>
    <w:rsid w:val="001E3AEC"/>
    <w:rsid w:val="001E40F0"/>
    <w:rsid w:val="001E4584"/>
    <w:rsid w:val="001E539D"/>
    <w:rsid w:val="001E59FB"/>
    <w:rsid w:val="001E5A19"/>
    <w:rsid w:val="001E696A"/>
    <w:rsid w:val="001E6A68"/>
    <w:rsid w:val="001E6C10"/>
    <w:rsid w:val="001E6C70"/>
    <w:rsid w:val="001E75C5"/>
    <w:rsid w:val="001E784D"/>
    <w:rsid w:val="001F02D9"/>
    <w:rsid w:val="001F0617"/>
    <w:rsid w:val="001F0875"/>
    <w:rsid w:val="001F0D48"/>
    <w:rsid w:val="001F0D4F"/>
    <w:rsid w:val="001F0DB7"/>
    <w:rsid w:val="001F10E4"/>
    <w:rsid w:val="001F14D8"/>
    <w:rsid w:val="001F1853"/>
    <w:rsid w:val="001F1982"/>
    <w:rsid w:val="001F22E7"/>
    <w:rsid w:val="001F2B87"/>
    <w:rsid w:val="001F2FC9"/>
    <w:rsid w:val="001F32A9"/>
    <w:rsid w:val="001F352D"/>
    <w:rsid w:val="001F3734"/>
    <w:rsid w:val="001F388F"/>
    <w:rsid w:val="001F50A7"/>
    <w:rsid w:val="001F50E9"/>
    <w:rsid w:val="001F542B"/>
    <w:rsid w:val="001F562A"/>
    <w:rsid w:val="001F565A"/>
    <w:rsid w:val="001F56EE"/>
    <w:rsid w:val="001F5959"/>
    <w:rsid w:val="001F5CA6"/>
    <w:rsid w:val="001F606B"/>
    <w:rsid w:val="001F662E"/>
    <w:rsid w:val="001F6B44"/>
    <w:rsid w:val="001F732C"/>
    <w:rsid w:val="001F75C1"/>
    <w:rsid w:val="001F7977"/>
    <w:rsid w:val="001F7A84"/>
    <w:rsid w:val="001F7EC3"/>
    <w:rsid w:val="0020050E"/>
    <w:rsid w:val="00200830"/>
    <w:rsid w:val="0020115A"/>
    <w:rsid w:val="00201F52"/>
    <w:rsid w:val="0020234A"/>
    <w:rsid w:val="00202DFC"/>
    <w:rsid w:val="00204142"/>
    <w:rsid w:val="00205FBE"/>
    <w:rsid w:val="00206225"/>
    <w:rsid w:val="00206463"/>
    <w:rsid w:val="00206878"/>
    <w:rsid w:val="00206D6A"/>
    <w:rsid w:val="00206DF4"/>
    <w:rsid w:val="002103F2"/>
    <w:rsid w:val="002106DB"/>
    <w:rsid w:val="002109BF"/>
    <w:rsid w:val="00210B4E"/>
    <w:rsid w:val="00210F83"/>
    <w:rsid w:val="00210FA9"/>
    <w:rsid w:val="0021128A"/>
    <w:rsid w:val="00211891"/>
    <w:rsid w:val="00211CED"/>
    <w:rsid w:val="00212153"/>
    <w:rsid w:val="00212499"/>
    <w:rsid w:val="002125D6"/>
    <w:rsid w:val="00212626"/>
    <w:rsid w:val="0021325E"/>
    <w:rsid w:val="002133B5"/>
    <w:rsid w:val="002135A1"/>
    <w:rsid w:val="00214CC2"/>
    <w:rsid w:val="00216381"/>
    <w:rsid w:val="00216D6C"/>
    <w:rsid w:val="0021787D"/>
    <w:rsid w:val="00217EDD"/>
    <w:rsid w:val="002201F5"/>
    <w:rsid w:val="00220601"/>
    <w:rsid w:val="0022092C"/>
    <w:rsid w:val="00220BB9"/>
    <w:rsid w:val="002210A3"/>
    <w:rsid w:val="00221704"/>
    <w:rsid w:val="00221C61"/>
    <w:rsid w:val="0022348B"/>
    <w:rsid w:val="002239A4"/>
    <w:rsid w:val="002239EE"/>
    <w:rsid w:val="00223DBA"/>
    <w:rsid w:val="002248DF"/>
    <w:rsid w:val="00224E71"/>
    <w:rsid w:val="002253D1"/>
    <w:rsid w:val="00225858"/>
    <w:rsid w:val="00225AE7"/>
    <w:rsid w:val="00225E92"/>
    <w:rsid w:val="00226073"/>
    <w:rsid w:val="0022635C"/>
    <w:rsid w:val="00226B69"/>
    <w:rsid w:val="00226F25"/>
    <w:rsid w:val="002277F1"/>
    <w:rsid w:val="0023032D"/>
    <w:rsid w:val="00230D05"/>
    <w:rsid w:val="00230DF5"/>
    <w:rsid w:val="00230EDB"/>
    <w:rsid w:val="002312B3"/>
    <w:rsid w:val="00231C91"/>
    <w:rsid w:val="002323B1"/>
    <w:rsid w:val="00233414"/>
    <w:rsid w:val="002336EB"/>
    <w:rsid w:val="002339C1"/>
    <w:rsid w:val="00233BD9"/>
    <w:rsid w:val="0023410C"/>
    <w:rsid w:val="002346BF"/>
    <w:rsid w:val="00234B7A"/>
    <w:rsid w:val="00234C7A"/>
    <w:rsid w:val="00234DC8"/>
    <w:rsid w:val="00235085"/>
    <w:rsid w:val="0023591C"/>
    <w:rsid w:val="00235AD7"/>
    <w:rsid w:val="00235C84"/>
    <w:rsid w:val="00236898"/>
    <w:rsid w:val="00236F5D"/>
    <w:rsid w:val="00237617"/>
    <w:rsid w:val="00237D7B"/>
    <w:rsid w:val="00237DD4"/>
    <w:rsid w:val="002402FB"/>
    <w:rsid w:val="002403AB"/>
    <w:rsid w:val="0024086C"/>
    <w:rsid w:val="00240CCC"/>
    <w:rsid w:val="00241A5C"/>
    <w:rsid w:val="00241F12"/>
    <w:rsid w:val="00242092"/>
    <w:rsid w:val="00242709"/>
    <w:rsid w:val="0024302E"/>
    <w:rsid w:val="002433E8"/>
    <w:rsid w:val="0024369D"/>
    <w:rsid w:val="00243C1C"/>
    <w:rsid w:val="00243F0E"/>
    <w:rsid w:val="002441BE"/>
    <w:rsid w:val="002447C1"/>
    <w:rsid w:val="002451AA"/>
    <w:rsid w:val="002453BE"/>
    <w:rsid w:val="002458F3"/>
    <w:rsid w:val="00245F50"/>
    <w:rsid w:val="0024622C"/>
    <w:rsid w:val="00246238"/>
    <w:rsid w:val="0024656D"/>
    <w:rsid w:val="00246836"/>
    <w:rsid w:val="002468E5"/>
    <w:rsid w:val="00246B28"/>
    <w:rsid w:val="00246BC2"/>
    <w:rsid w:val="00246CF3"/>
    <w:rsid w:val="0024723E"/>
    <w:rsid w:val="002501A4"/>
    <w:rsid w:val="002502A8"/>
    <w:rsid w:val="0025120C"/>
    <w:rsid w:val="00251283"/>
    <w:rsid w:val="002513DE"/>
    <w:rsid w:val="00251C4A"/>
    <w:rsid w:val="00251E7B"/>
    <w:rsid w:val="002522E4"/>
    <w:rsid w:val="002527AC"/>
    <w:rsid w:val="002528CC"/>
    <w:rsid w:val="00252D16"/>
    <w:rsid w:val="00252F49"/>
    <w:rsid w:val="00253376"/>
    <w:rsid w:val="00253443"/>
    <w:rsid w:val="00253667"/>
    <w:rsid w:val="00253715"/>
    <w:rsid w:val="0025374C"/>
    <w:rsid w:val="00253ADA"/>
    <w:rsid w:val="00253C52"/>
    <w:rsid w:val="002544BE"/>
    <w:rsid w:val="00254BEC"/>
    <w:rsid w:val="0025555E"/>
    <w:rsid w:val="0025597E"/>
    <w:rsid w:val="00255BF6"/>
    <w:rsid w:val="00255DC5"/>
    <w:rsid w:val="00255E37"/>
    <w:rsid w:val="00256A19"/>
    <w:rsid w:val="00256D6E"/>
    <w:rsid w:val="00257100"/>
    <w:rsid w:val="00257272"/>
    <w:rsid w:val="00257557"/>
    <w:rsid w:val="00257747"/>
    <w:rsid w:val="002600ED"/>
    <w:rsid w:val="002601FF"/>
    <w:rsid w:val="0026041B"/>
    <w:rsid w:val="00260586"/>
    <w:rsid w:val="00260593"/>
    <w:rsid w:val="002609CA"/>
    <w:rsid w:val="002616F3"/>
    <w:rsid w:val="00261726"/>
    <w:rsid w:val="00261A24"/>
    <w:rsid w:val="00262050"/>
    <w:rsid w:val="00262145"/>
    <w:rsid w:val="00262313"/>
    <w:rsid w:val="00262804"/>
    <w:rsid w:val="00262F55"/>
    <w:rsid w:val="002630F3"/>
    <w:rsid w:val="0026318C"/>
    <w:rsid w:val="002634B7"/>
    <w:rsid w:val="002637C6"/>
    <w:rsid w:val="00263CDC"/>
    <w:rsid w:val="00263D17"/>
    <w:rsid w:val="002645AA"/>
    <w:rsid w:val="002647D1"/>
    <w:rsid w:val="00264E2B"/>
    <w:rsid w:val="00264FFE"/>
    <w:rsid w:val="0026598F"/>
    <w:rsid w:val="0026658D"/>
    <w:rsid w:val="002674B7"/>
    <w:rsid w:val="0026774F"/>
    <w:rsid w:val="0026776F"/>
    <w:rsid w:val="00267B04"/>
    <w:rsid w:val="00270115"/>
    <w:rsid w:val="002704A0"/>
    <w:rsid w:val="0027076D"/>
    <w:rsid w:val="002709A1"/>
    <w:rsid w:val="00270AFF"/>
    <w:rsid w:val="00270EEB"/>
    <w:rsid w:val="00271456"/>
    <w:rsid w:val="00272CD9"/>
    <w:rsid w:val="00273516"/>
    <w:rsid w:val="00273FCE"/>
    <w:rsid w:val="00274B4D"/>
    <w:rsid w:val="00275110"/>
    <w:rsid w:val="002755BC"/>
    <w:rsid w:val="00275B61"/>
    <w:rsid w:val="0027652D"/>
    <w:rsid w:val="00276D77"/>
    <w:rsid w:val="00276EBC"/>
    <w:rsid w:val="0027768C"/>
    <w:rsid w:val="002778E6"/>
    <w:rsid w:val="00277CA8"/>
    <w:rsid w:val="00277EC2"/>
    <w:rsid w:val="002804B6"/>
    <w:rsid w:val="0028059E"/>
    <w:rsid w:val="002808EF"/>
    <w:rsid w:val="00280E4B"/>
    <w:rsid w:val="00280E9D"/>
    <w:rsid w:val="00280EB0"/>
    <w:rsid w:val="00281541"/>
    <w:rsid w:val="00281F87"/>
    <w:rsid w:val="002820E1"/>
    <w:rsid w:val="002824CA"/>
    <w:rsid w:val="00282762"/>
    <w:rsid w:val="0028343A"/>
    <w:rsid w:val="00283845"/>
    <w:rsid w:val="002839D5"/>
    <w:rsid w:val="00283A86"/>
    <w:rsid w:val="002846FC"/>
    <w:rsid w:val="00284FD0"/>
    <w:rsid w:val="0028552C"/>
    <w:rsid w:val="002874EA"/>
    <w:rsid w:val="00287CD3"/>
    <w:rsid w:val="00287E74"/>
    <w:rsid w:val="00290204"/>
    <w:rsid w:val="002903D6"/>
    <w:rsid w:val="002906A6"/>
    <w:rsid w:val="00290D12"/>
    <w:rsid w:val="00291DB8"/>
    <w:rsid w:val="002922EE"/>
    <w:rsid w:val="002923E8"/>
    <w:rsid w:val="002926ED"/>
    <w:rsid w:val="00292897"/>
    <w:rsid w:val="002928D7"/>
    <w:rsid w:val="00293034"/>
    <w:rsid w:val="002938C6"/>
    <w:rsid w:val="00293F65"/>
    <w:rsid w:val="00293FD7"/>
    <w:rsid w:val="002940BC"/>
    <w:rsid w:val="00295200"/>
    <w:rsid w:val="00295925"/>
    <w:rsid w:val="00295B4E"/>
    <w:rsid w:val="00296A2C"/>
    <w:rsid w:val="00296A4D"/>
    <w:rsid w:val="00296F7D"/>
    <w:rsid w:val="002973ED"/>
    <w:rsid w:val="002A1849"/>
    <w:rsid w:val="002A1EF2"/>
    <w:rsid w:val="002A22AA"/>
    <w:rsid w:val="002A2715"/>
    <w:rsid w:val="002A3296"/>
    <w:rsid w:val="002A39A3"/>
    <w:rsid w:val="002A3A57"/>
    <w:rsid w:val="002A3BA3"/>
    <w:rsid w:val="002A3CB1"/>
    <w:rsid w:val="002A3FF4"/>
    <w:rsid w:val="002A425F"/>
    <w:rsid w:val="002A44C2"/>
    <w:rsid w:val="002A46B7"/>
    <w:rsid w:val="002A4A83"/>
    <w:rsid w:val="002A4ADF"/>
    <w:rsid w:val="002A503D"/>
    <w:rsid w:val="002A541A"/>
    <w:rsid w:val="002A6A6B"/>
    <w:rsid w:val="002A6EBA"/>
    <w:rsid w:val="002A72EE"/>
    <w:rsid w:val="002A79A9"/>
    <w:rsid w:val="002A7A32"/>
    <w:rsid w:val="002B0292"/>
    <w:rsid w:val="002B02BA"/>
    <w:rsid w:val="002B055D"/>
    <w:rsid w:val="002B0D7C"/>
    <w:rsid w:val="002B1057"/>
    <w:rsid w:val="002B1200"/>
    <w:rsid w:val="002B1B23"/>
    <w:rsid w:val="002B1B61"/>
    <w:rsid w:val="002B1C8D"/>
    <w:rsid w:val="002B1F6E"/>
    <w:rsid w:val="002B21EF"/>
    <w:rsid w:val="002B2466"/>
    <w:rsid w:val="002B270F"/>
    <w:rsid w:val="002B27BC"/>
    <w:rsid w:val="002B330D"/>
    <w:rsid w:val="002B3F99"/>
    <w:rsid w:val="002B40BA"/>
    <w:rsid w:val="002B41E2"/>
    <w:rsid w:val="002B42FF"/>
    <w:rsid w:val="002B45E2"/>
    <w:rsid w:val="002B4AD8"/>
    <w:rsid w:val="002B4AF1"/>
    <w:rsid w:val="002B4FA8"/>
    <w:rsid w:val="002B519B"/>
    <w:rsid w:val="002B59CC"/>
    <w:rsid w:val="002B5F9F"/>
    <w:rsid w:val="002B673E"/>
    <w:rsid w:val="002B6870"/>
    <w:rsid w:val="002B6B4B"/>
    <w:rsid w:val="002B7E97"/>
    <w:rsid w:val="002C0149"/>
    <w:rsid w:val="002C0295"/>
    <w:rsid w:val="002C0B4C"/>
    <w:rsid w:val="002C1004"/>
    <w:rsid w:val="002C1375"/>
    <w:rsid w:val="002C15D0"/>
    <w:rsid w:val="002C1E19"/>
    <w:rsid w:val="002C209E"/>
    <w:rsid w:val="002C2153"/>
    <w:rsid w:val="002C2224"/>
    <w:rsid w:val="002C2536"/>
    <w:rsid w:val="002C2B29"/>
    <w:rsid w:val="002C2B67"/>
    <w:rsid w:val="002C4099"/>
    <w:rsid w:val="002C424A"/>
    <w:rsid w:val="002C4580"/>
    <w:rsid w:val="002C4D0A"/>
    <w:rsid w:val="002C5383"/>
    <w:rsid w:val="002C612B"/>
    <w:rsid w:val="002C6B47"/>
    <w:rsid w:val="002C6D53"/>
    <w:rsid w:val="002C6E0E"/>
    <w:rsid w:val="002C6E3A"/>
    <w:rsid w:val="002C6F79"/>
    <w:rsid w:val="002C73F6"/>
    <w:rsid w:val="002C7C68"/>
    <w:rsid w:val="002D0323"/>
    <w:rsid w:val="002D063F"/>
    <w:rsid w:val="002D0CC4"/>
    <w:rsid w:val="002D12C2"/>
    <w:rsid w:val="002D15A4"/>
    <w:rsid w:val="002D1988"/>
    <w:rsid w:val="002D19C1"/>
    <w:rsid w:val="002D232A"/>
    <w:rsid w:val="002D27C9"/>
    <w:rsid w:val="002D2CAE"/>
    <w:rsid w:val="002D2E7E"/>
    <w:rsid w:val="002D35BD"/>
    <w:rsid w:val="002D36C7"/>
    <w:rsid w:val="002D370A"/>
    <w:rsid w:val="002D3821"/>
    <w:rsid w:val="002D3DCC"/>
    <w:rsid w:val="002D3F19"/>
    <w:rsid w:val="002D42A0"/>
    <w:rsid w:val="002D52F6"/>
    <w:rsid w:val="002D55DE"/>
    <w:rsid w:val="002D5F03"/>
    <w:rsid w:val="002D624B"/>
    <w:rsid w:val="002D695F"/>
    <w:rsid w:val="002D6981"/>
    <w:rsid w:val="002D6CAE"/>
    <w:rsid w:val="002D713F"/>
    <w:rsid w:val="002D73C9"/>
    <w:rsid w:val="002D78F5"/>
    <w:rsid w:val="002E0209"/>
    <w:rsid w:val="002E045E"/>
    <w:rsid w:val="002E0470"/>
    <w:rsid w:val="002E04F8"/>
    <w:rsid w:val="002E051A"/>
    <w:rsid w:val="002E0AA5"/>
    <w:rsid w:val="002E0DE0"/>
    <w:rsid w:val="002E120D"/>
    <w:rsid w:val="002E1416"/>
    <w:rsid w:val="002E1DDD"/>
    <w:rsid w:val="002E2C4C"/>
    <w:rsid w:val="002E32B8"/>
    <w:rsid w:val="002E3507"/>
    <w:rsid w:val="002E39C5"/>
    <w:rsid w:val="002E3FE4"/>
    <w:rsid w:val="002E430C"/>
    <w:rsid w:val="002E46BB"/>
    <w:rsid w:val="002E4723"/>
    <w:rsid w:val="002E4DFF"/>
    <w:rsid w:val="002E5870"/>
    <w:rsid w:val="002E5B4C"/>
    <w:rsid w:val="002E5BA0"/>
    <w:rsid w:val="002E5DE0"/>
    <w:rsid w:val="002E77B5"/>
    <w:rsid w:val="002E7F0A"/>
    <w:rsid w:val="002F066C"/>
    <w:rsid w:val="002F096F"/>
    <w:rsid w:val="002F0B8A"/>
    <w:rsid w:val="002F0E87"/>
    <w:rsid w:val="002F111C"/>
    <w:rsid w:val="002F13E6"/>
    <w:rsid w:val="002F148C"/>
    <w:rsid w:val="002F1590"/>
    <w:rsid w:val="002F1BB3"/>
    <w:rsid w:val="002F1E2E"/>
    <w:rsid w:val="002F1FB4"/>
    <w:rsid w:val="002F2042"/>
    <w:rsid w:val="002F25EC"/>
    <w:rsid w:val="002F2C27"/>
    <w:rsid w:val="002F375C"/>
    <w:rsid w:val="002F3C9C"/>
    <w:rsid w:val="002F3E7D"/>
    <w:rsid w:val="002F43A6"/>
    <w:rsid w:val="002F4F60"/>
    <w:rsid w:val="002F51D4"/>
    <w:rsid w:val="002F5420"/>
    <w:rsid w:val="002F5A67"/>
    <w:rsid w:val="002F5FBD"/>
    <w:rsid w:val="002F6488"/>
    <w:rsid w:val="002F6D0E"/>
    <w:rsid w:val="002F73A0"/>
    <w:rsid w:val="003000B4"/>
    <w:rsid w:val="0030097B"/>
    <w:rsid w:val="00300A97"/>
    <w:rsid w:val="00300F4A"/>
    <w:rsid w:val="00301C9A"/>
    <w:rsid w:val="00301F57"/>
    <w:rsid w:val="003026B8"/>
    <w:rsid w:val="003026EB"/>
    <w:rsid w:val="00302969"/>
    <w:rsid w:val="003039DF"/>
    <w:rsid w:val="0030413D"/>
    <w:rsid w:val="003049C0"/>
    <w:rsid w:val="00304DAD"/>
    <w:rsid w:val="00304DF1"/>
    <w:rsid w:val="0030566A"/>
    <w:rsid w:val="003056F9"/>
    <w:rsid w:val="00305979"/>
    <w:rsid w:val="00305B81"/>
    <w:rsid w:val="00305DE0"/>
    <w:rsid w:val="0030646F"/>
    <w:rsid w:val="00306CE9"/>
    <w:rsid w:val="00306FE1"/>
    <w:rsid w:val="003071FE"/>
    <w:rsid w:val="00307420"/>
    <w:rsid w:val="003074F7"/>
    <w:rsid w:val="003103CE"/>
    <w:rsid w:val="0031074F"/>
    <w:rsid w:val="00310792"/>
    <w:rsid w:val="00310AB1"/>
    <w:rsid w:val="00310F5E"/>
    <w:rsid w:val="00310FED"/>
    <w:rsid w:val="0031115B"/>
    <w:rsid w:val="00311566"/>
    <w:rsid w:val="00311611"/>
    <w:rsid w:val="00311690"/>
    <w:rsid w:val="00313FF8"/>
    <w:rsid w:val="003146F7"/>
    <w:rsid w:val="0031474F"/>
    <w:rsid w:val="00314B45"/>
    <w:rsid w:val="00315142"/>
    <w:rsid w:val="0031603C"/>
    <w:rsid w:val="0031651E"/>
    <w:rsid w:val="00316F1B"/>
    <w:rsid w:val="00317092"/>
    <w:rsid w:val="003177C2"/>
    <w:rsid w:val="00317C22"/>
    <w:rsid w:val="00320A25"/>
    <w:rsid w:val="00321001"/>
    <w:rsid w:val="00321248"/>
    <w:rsid w:val="00321946"/>
    <w:rsid w:val="00321A1F"/>
    <w:rsid w:val="00321D92"/>
    <w:rsid w:val="00321EF8"/>
    <w:rsid w:val="003224C5"/>
    <w:rsid w:val="00322660"/>
    <w:rsid w:val="003226FF"/>
    <w:rsid w:val="003233C4"/>
    <w:rsid w:val="00323436"/>
    <w:rsid w:val="00323A96"/>
    <w:rsid w:val="003241F6"/>
    <w:rsid w:val="003248ED"/>
    <w:rsid w:val="00325256"/>
    <w:rsid w:val="00325C7F"/>
    <w:rsid w:val="0032622F"/>
    <w:rsid w:val="0032654A"/>
    <w:rsid w:val="00326855"/>
    <w:rsid w:val="00326936"/>
    <w:rsid w:val="00326FA8"/>
    <w:rsid w:val="003301C6"/>
    <w:rsid w:val="00330263"/>
    <w:rsid w:val="00330618"/>
    <w:rsid w:val="00330821"/>
    <w:rsid w:val="00331A3D"/>
    <w:rsid w:val="0033238F"/>
    <w:rsid w:val="00333A93"/>
    <w:rsid w:val="00334507"/>
    <w:rsid w:val="00335404"/>
    <w:rsid w:val="00335C87"/>
    <w:rsid w:val="003360CD"/>
    <w:rsid w:val="0033692A"/>
    <w:rsid w:val="00336D41"/>
    <w:rsid w:val="0033701B"/>
    <w:rsid w:val="0033794F"/>
    <w:rsid w:val="00337F00"/>
    <w:rsid w:val="003405CA"/>
    <w:rsid w:val="003408D2"/>
    <w:rsid w:val="00340A08"/>
    <w:rsid w:val="00340AD0"/>
    <w:rsid w:val="00340B21"/>
    <w:rsid w:val="00340DAB"/>
    <w:rsid w:val="00341BF9"/>
    <w:rsid w:val="003421BD"/>
    <w:rsid w:val="00342429"/>
    <w:rsid w:val="00342823"/>
    <w:rsid w:val="00342F51"/>
    <w:rsid w:val="00343144"/>
    <w:rsid w:val="00343C25"/>
    <w:rsid w:val="00343D34"/>
    <w:rsid w:val="00344781"/>
    <w:rsid w:val="00344D1A"/>
    <w:rsid w:val="00344DD0"/>
    <w:rsid w:val="00344F5E"/>
    <w:rsid w:val="00344FAF"/>
    <w:rsid w:val="003452DA"/>
    <w:rsid w:val="00345F66"/>
    <w:rsid w:val="003467A1"/>
    <w:rsid w:val="00347096"/>
    <w:rsid w:val="0034752B"/>
    <w:rsid w:val="003476A1"/>
    <w:rsid w:val="003501E5"/>
    <w:rsid w:val="0035045F"/>
    <w:rsid w:val="00350EBD"/>
    <w:rsid w:val="00350FAD"/>
    <w:rsid w:val="003513E3"/>
    <w:rsid w:val="003514CF"/>
    <w:rsid w:val="00351506"/>
    <w:rsid w:val="003516E4"/>
    <w:rsid w:val="00351731"/>
    <w:rsid w:val="00351A7E"/>
    <w:rsid w:val="00351BD6"/>
    <w:rsid w:val="003524B0"/>
    <w:rsid w:val="003527E7"/>
    <w:rsid w:val="00352D65"/>
    <w:rsid w:val="00352D90"/>
    <w:rsid w:val="00352DC8"/>
    <w:rsid w:val="00353588"/>
    <w:rsid w:val="0035368D"/>
    <w:rsid w:val="003537F1"/>
    <w:rsid w:val="00353F78"/>
    <w:rsid w:val="003557B7"/>
    <w:rsid w:val="0035744C"/>
    <w:rsid w:val="00360EC2"/>
    <w:rsid w:val="00361164"/>
    <w:rsid w:val="00362045"/>
    <w:rsid w:val="003621AD"/>
    <w:rsid w:val="00362353"/>
    <w:rsid w:val="0036262E"/>
    <w:rsid w:val="00362EF5"/>
    <w:rsid w:val="0036300A"/>
    <w:rsid w:val="003633B0"/>
    <w:rsid w:val="00363A57"/>
    <w:rsid w:val="00363E53"/>
    <w:rsid w:val="00363F68"/>
    <w:rsid w:val="003649E9"/>
    <w:rsid w:val="00364F4C"/>
    <w:rsid w:val="00365079"/>
    <w:rsid w:val="00365530"/>
    <w:rsid w:val="00366A02"/>
    <w:rsid w:val="00366B46"/>
    <w:rsid w:val="0036768B"/>
    <w:rsid w:val="00367B1F"/>
    <w:rsid w:val="003705F2"/>
    <w:rsid w:val="0037078C"/>
    <w:rsid w:val="00370E22"/>
    <w:rsid w:val="0037132A"/>
    <w:rsid w:val="00371991"/>
    <w:rsid w:val="00371BB4"/>
    <w:rsid w:val="00371EBC"/>
    <w:rsid w:val="00372AE6"/>
    <w:rsid w:val="00373063"/>
    <w:rsid w:val="00373080"/>
    <w:rsid w:val="003736CA"/>
    <w:rsid w:val="00373911"/>
    <w:rsid w:val="00373A66"/>
    <w:rsid w:val="00373ABC"/>
    <w:rsid w:val="00373E25"/>
    <w:rsid w:val="00373FCA"/>
    <w:rsid w:val="0037418D"/>
    <w:rsid w:val="003746AC"/>
    <w:rsid w:val="003747C9"/>
    <w:rsid w:val="00375873"/>
    <w:rsid w:val="0037610F"/>
    <w:rsid w:val="003766FD"/>
    <w:rsid w:val="00376A71"/>
    <w:rsid w:val="003770CE"/>
    <w:rsid w:val="00380D09"/>
    <w:rsid w:val="00380F4E"/>
    <w:rsid w:val="00380F81"/>
    <w:rsid w:val="0038170D"/>
    <w:rsid w:val="00381D7C"/>
    <w:rsid w:val="0038203B"/>
    <w:rsid w:val="0038255D"/>
    <w:rsid w:val="003828BA"/>
    <w:rsid w:val="00384555"/>
    <w:rsid w:val="003845EF"/>
    <w:rsid w:val="00384BF3"/>
    <w:rsid w:val="00384D6A"/>
    <w:rsid w:val="0038519E"/>
    <w:rsid w:val="003853FB"/>
    <w:rsid w:val="0038615B"/>
    <w:rsid w:val="00386BDE"/>
    <w:rsid w:val="00386CBF"/>
    <w:rsid w:val="003870D7"/>
    <w:rsid w:val="00387253"/>
    <w:rsid w:val="003873DE"/>
    <w:rsid w:val="003906D3"/>
    <w:rsid w:val="00391BBA"/>
    <w:rsid w:val="0039272A"/>
    <w:rsid w:val="00392D7B"/>
    <w:rsid w:val="00392F64"/>
    <w:rsid w:val="00392FAA"/>
    <w:rsid w:val="003934E6"/>
    <w:rsid w:val="003936FE"/>
    <w:rsid w:val="0039391E"/>
    <w:rsid w:val="0039399B"/>
    <w:rsid w:val="00393A8D"/>
    <w:rsid w:val="00393D55"/>
    <w:rsid w:val="00393EA4"/>
    <w:rsid w:val="00394061"/>
    <w:rsid w:val="003940DF"/>
    <w:rsid w:val="0039450B"/>
    <w:rsid w:val="0039469E"/>
    <w:rsid w:val="00394CA6"/>
    <w:rsid w:val="00394F18"/>
    <w:rsid w:val="003956A2"/>
    <w:rsid w:val="00395754"/>
    <w:rsid w:val="00395C8D"/>
    <w:rsid w:val="00396890"/>
    <w:rsid w:val="00397264"/>
    <w:rsid w:val="0039736F"/>
    <w:rsid w:val="00397F46"/>
    <w:rsid w:val="003A0AA5"/>
    <w:rsid w:val="003A0D83"/>
    <w:rsid w:val="003A1464"/>
    <w:rsid w:val="003A1A07"/>
    <w:rsid w:val="003A1E87"/>
    <w:rsid w:val="003A20AA"/>
    <w:rsid w:val="003A2173"/>
    <w:rsid w:val="003A2EF8"/>
    <w:rsid w:val="003A3447"/>
    <w:rsid w:val="003A3513"/>
    <w:rsid w:val="003A3C7F"/>
    <w:rsid w:val="003A3D3F"/>
    <w:rsid w:val="003A3D9F"/>
    <w:rsid w:val="003A3DC3"/>
    <w:rsid w:val="003A440C"/>
    <w:rsid w:val="003A44F5"/>
    <w:rsid w:val="003A4B57"/>
    <w:rsid w:val="003A51C6"/>
    <w:rsid w:val="003A587E"/>
    <w:rsid w:val="003A6A55"/>
    <w:rsid w:val="003A75A9"/>
    <w:rsid w:val="003A75F5"/>
    <w:rsid w:val="003A78E6"/>
    <w:rsid w:val="003B00EA"/>
    <w:rsid w:val="003B0263"/>
    <w:rsid w:val="003B038F"/>
    <w:rsid w:val="003B0B27"/>
    <w:rsid w:val="003B126D"/>
    <w:rsid w:val="003B153B"/>
    <w:rsid w:val="003B1E6B"/>
    <w:rsid w:val="003B1FA4"/>
    <w:rsid w:val="003B22E9"/>
    <w:rsid w:val="003B243A"/>
    <w:rsid w:val="003B248C"/>
    <w:rsid w:val="003B2494"/>
    <w:rsid w:val="003B39F0"/>
    <w:rsid w:val="003B3A2A"/>
    <w:rsid w:val="003B3E70"/>
    <w:rsid w:val="003B4980"/>
    <w:rsid w:val="003B4F2D"/>
    <w:rsid w:val="003B558E"/>
    <w:rsid w:val="003B5799"/>
    <w:rsid w:val="003B7721"/>
    <w:rsid w:val="003B773D"/>
    <w:rsid w:val="003B77DA"/>
    <w:rsid w:val="003B78E1"/>
    <w:rsid w:val="003C09A2"/>
    <w:rsid w:val="003C1032"/>
    <w:rsid w:val="003C1C19"/>
    <w:rsid w:val="003C1CFC"/>
    <w:rsid w:val="003C234A"/>
    <w:rsid w:val="003C23CA"/>
    <w:rsid w:val="003C274D"/>
    <w:rsid w:val="003C27A2"/>
    <w:rsid w:val="003C2C05"/>
    <w:rsid w:val="003C35B8"/>
    <w:rsid w:val="003C380A"/>
    <w:rsid w:val="003C3850"/>
    <w:rsid w:val="003C3963"/>
    <w:rsid w:val="003C3B73"/>
    <w:rsid w:val="003C3E20"/>
    <w:rsid w:val="003C4323"/>
    <w:rsid w:val="003C4683"/>
    <w:rsid w:val="003C554A"/>
    <w:rsid w:val="003C5635"/>
    <w:rsid w:val="003C57F6"/>
    <w:rsid w:val="003C5C5B"/>
    <w:rsid w:val="003C6664"/>
    <w:rsid w:val="003C66C2"/>
    <w:rsid w:val="003C681E"/>
    <w:rsid w:val="003C7323"/>
    <w:rsid w:val="003C76A1"/>
    <w:rsid w:val="003C7BBC"/>
    <w:rsid w:val="003C7E0E"/>
    <w:rsid w:val="003D06F5"/>
    <w:rsid w:val="003D0EDD"/>
    <w:rsid w:val="003D173E"/>
    <w:rsid w:val="003D1882"/>
    <w:rsid w:val="003D1E17"/>
    <w:rsid w:val="003D22D5"/>
    <w:rsid w:val="003D24D7"/>
    <w:rsid w:val="003D2B4B"/>
    <w:rsid w:val="003D2BAD"/>
    <w:rsid w:val="003D2DA4"/>
    <w:rsid w:val="003D2E71"/>
    <w:rsid w:val="003D39BC"/>
    <w:rsid w:val="003D3D3A"/>
    <w:rsid w:val="003D3DF6"/>
    <w:rsid w:val="003D3E02"/>
    <w:rsid w:val="003D3F4C"/>
    <w:rsid w:val="003D3FE8"/>
    <w:rsid w:val="003D4218"/>
    <w:rsid w:val="003D42CA"/>
    <w:rsid w:val="003D43DA"/>
    <w:rsid w:val="003D43E0"/>
    <w:rsid w:val="003D47CC"/>
    <w:rsid w:val="003D5083"/>
    <w:rsid w:val="003D5264"/>
    <w:rsid w:val="003D6201"/>
    <w:rsid w:val="003D6DFF"/>
    <w:rsid w:val="003D7979"/>
    <w:rsid w:val="003D7BB8"/>
    <w:rsid w:val="003D7E78"/>
    <w:rsid w:val="003E03FF"/>
    <w:rsid w:val="003E0B58"/>
    <w:rsid w:val="003E15FC"/>
    <w:rsid w:val="003E1B37"/>
    <w:rsid w:val="003E1E28"/>
    <w:rsid w:val="003E2189"/>
    <w:rsid w:val="003E2231"/>
    <w:rsid w:val="003E2D16"/>
    <w:rsid w:val="003E3495"/>
    <w:rsid w:val="003E37ED"/>
    <w:rsid w:val="003E37F4"/>
    <w:rsid w:val="003E386F"/>
    <w:rsid w:val="003E465D"/>
    <w:rsid w:val="003E4D0E"/>
    <w:rsid w:val="003E4F71"/>
    <w:rsid w:val="003E522B"/>
    <w:rsid w:val="003E5530"/>
    <w:rsid w:val="003E55A9"/>
    <w:rsid w:val="003E5938"/>
    <w:rsid w:val="003E61DA"/>
    <w:rsid w:val="003E6558"/>
    <w:rsid w:val="003E6756"/>
    <w:rsid w:val="003E6F05"/>
    <w:rsid w:val="003E6F32"/>
    <w:rsid w:val="003E7809"/>
    <w:rsid w:val="003E7A46"/>
    <w:rsid w:val="003E7C5C"/>
    <w:rsid w:val="003E7ECA"/>
    <w:rsid w:val="003F0C9D"/>
    <w:rsid w:val="003F0D84"/>
    <w:rsid w:val="003F18E5"/>
    <w:rsid w:val="003F1A29"/>
    <w:rsid w:val="003F2356"/>
    <w:rsid w:val="003F2424"/>
    <w:rsid w:val="003F2A5C"/>
    <w:rsid w:val="003F33C6"/>
    <w:rsid w:val="003F3855"/>
    <w:rsid w:val="003F3900"/>
    <w:rsid w:val="003F3BD0"/>
    <w:rsid w:val="003F3C25"/>
    <w:rsid w:val="003F3DE2"/>
    <w:rsid w:val="003F4366"/>
    <w:rsid w:val="003F4884"/>
    <w:rsid w:val="003F4D9D"/>
    <w:rsid w:val="003F4DBF"/>
    <w:rsid w:val="003F52AD"/>
    <w:rsid w:val="003F62E3"/>
    <w:rsid w:val="003F6983"/>
    <w:rsid w:val="003F6DFE"/>
    <w:rsid w:val="003F7ABB"/>
    <w:rsid w:val="003F7AE7"/>
    <w:rsid w:val="003F7B0B"/>
    <w:rsid w:val="003F7D3A"/>
    <w:rsid w:val="0040015F"/>
    <w:rsid w:val="00400725"/>
    <w:rsid w:val="0040077A"/>
    <w:rsid w:val="00401210"/>
    <w:rsid w:val="00401ABB"/>
    <w:rsid w:val="00401EFC"/>
    <w:rsid w:val="004024B0"/>
    <w:rsid w:val="0040258E"/>
    <w:rsid w:val="00402723"/>
    <w:rsid w:val="00402DE3"/>
    <w:rsid w:val="00403474"/>
    <w:rsid w:val="004037D1"/>
    <w:rsid w:val="0040385D"/>
    <w:rsid w:val="00403F22"/>
    <w:rsid w:val="0040446F"/>
    <w:rsid w:val="004050A6"/>
    <w:rsid w:val="004050CC"/>
    <w:rsid w:val="00405529"/>
    <w:rsid w:val="00405958"/>
    <w:rsid w:val="004059E8"/>
    <w:rsid w:val="00405E9A"/>
    <w:rsid w:val="004062C0"/>
    <w:rsid w:val="004067A3"/>
    <w:rsid w:val="0040696A"/>
    <w:rsid w:val="00406EB0"/>
    <w:rsid w:val="0040790E"/>
    <w:rsid w:val="004103DB"/>
    <w:rsid w:val="00410F1F"/>
    <w:rsid w:val="00410F7D"/>
    <w:rsid w:val="00411200"/>
    <w:rsid w:val="004112AA"/>
    <w:rsid w:val="0041155F"/>
    <w:rsid w:val="0041191B"/>
    <w:rsid w:val="00411B47"/>
    <w:rsid w:val="00411B8A"/>
    <w:rsid w:val="00411C4A"/>
    <w:rsid w:val="0041220C"/>
    <w:rsid w:val="004124FE"/>
    <w:rsid w:val="00412D71"/>
    <w:rsid w:val="0041354D"/>
    <w:rsid w:val="00414152"/>
    <w:rsid w:val="004143A8"/>
    <w:rsid w:val="00414990"/>
    <w:rsid w:val="00414E56"/>
    <w:rsid w:val="004155C6"/>
    <w:rsid w:val="00416B07"/>
    <w:rsid w:val="00416C5B"/>
    <w:rsid w:val="00416E6C"/>
    <w:rsid w:val="00416F0A"/>
    <w:rsid w:val="004175EE"/>
    <w:rsid w:val="00417AFB"/>
    <w:rsid w:val="00417DA3"/>
    <w:rsid w:val="00417FF2"/>
    <w:rsid w:val="00420294"/>
    <w:rsid w:val="004205B3"/>
    <w:rsid w:val="004212E8"/>
    <w:rsid w:val="00421A4C"/>
    <w:rsid w:val="00421C9C"/>
    <w:rsid w:val="00421CEE"/>
    <w:rsid w:val="00422A2D"/>
    <w:rsid w:val="00422E10"/>
    <w:rsid w:val="00423387"/>
    <w:rsid w:val="004233B7"/>
    <w:rsid w:val="00423497"/>
    <w:rsid w:val="00423650"/>
    <w:rsid w:val="00423A79"/>
    <w:rsid w:val="0042472C"/>
    <w:rsid w:val="00424A37"/>
    <w:rsid w:val="00424FD0"/>
    <w:rsid w:val="00425056"/>
    <w:rsid w:val="0042506C"/>
    <w:rsid w:val="00425533"/>
    <w:rsid w:val="00425B44"/>
    <w:rsid w:val="00425B55"/>
    <w:rsid w:val="00425E95"/>
    <w:rsid w:val="00425F38"/>
    <w:rsid w:val="00425FCD"/>
    <w:rsid w:val="00426D48"/>
    <w:rsid w:val="004272E1"/>
    <w:rsid w:val="00427443"/>
    <w:rsid w:val="00427A97"/>
    <w:rsid w:val="00427B53"/>
    <w:rsid w:val="004302B8"/>
    <w:rsid w:val="0043080A"/>
    <w:rsid w:val="00431B0D"/>
    <w:rsid w:val="00431CEB"/>
    <w:rsid w:val="00432C69"/>
    <w:rsid w:val="00432DD6"/>
    <w:rsid w:val="0043340C"/>
    <w:rsid w:val="00433727"/>
    <w:rsid w:val="0043374C"/>
    <w:rsid w:val="00433D2C"/>
    <w:rsid w:val="00433ECD"/>
    <w:rsid w:val="0043411B"/>
    <w:rsid w:val="00434D61"/>
    <w:rsid w:val="00434F6A"/>
    <w:rsid w:val="00435054"/>
    <w:rsid w:val="004354D5"/>
    <w:rsid w:val="00435E77"/>
    <w:rsid w:val="00436B90"/>
    <w:rsid w:val="00436E4B"/>
    <w:rsid w:val="004374CD"/>
    <w:rsid w:val="004376E7"/>
    <w:rsid w:val="00437E34"/>
    <w:rsid w:val="00441527"/>
    <w:rsid w:val="004417ED"/>
    <w:rsid w:val="00441CC9"/>
    <w:rsid w:val="00442FC0"/>
    <w:rsid w:val="0044391B"/>
    <w:rsid w:val="00443C2C"/>
    <w:rsid w:val="00443F66"/>
    <w:rsid w:val="0044435C"/>
    <w:rsid w:val="004443F4"/>
    <w:rsid w:val="004448C6"/>
    <w:rsid w:val="00444917"/>
    <w:rsid w:val="0044491E"/>
    <w:rsid w:val="00444D0E"/>
    <w:rsid w:val="00445DFA"/>
    <w:rsid w:val="004466E0"/>
    <w:rsid w:val="00447F91"/>
    <w:rsid w:val="0045013F"/>
    <w:rsid w:val="00450651"/>
    <w:rsid w:val="0045158A"/>
    <w:rsid w:val="00452259"/>
    <w:rsid w:val="00452DCC"/>
    <w:rsid w:val="00453477"/>
    <w:rsid w:val="00453B89"/>
    <w:rsid w:val="00454507"/>
    <w:rsid w:val="00454640"/>
    <w:rsid w:val="00454F85"/>
    <w:rsid w:val="0045554E"/>
    <w:rsid w:val="004563B7"/>
    <w:rsid w:val="004575E6"/>
    <w:rsid w:val="004575F0"/>
    <w:rsid w:val="00457A30"/>
    <w:rsid w:val="00457E27"/>
    <w:rsid w:val="004601EB"/>
    <w:rsid w:val="00461079"/>
    <w:rsid w:val="004611DD"/>
    <w:rsid w:val="00462981"/>
    <w:rsid w:val="0046298E"/>
    <w:rsid w:val="004629AB"/>
    <w:rsid w:val="0046326D"/>
    <w:rsid w:val="004634A3"/>
    <w:rsid w:val="00463DD3"/>
    <w:rsid w:val="0046410B"/>
    <w:rsid w:val="00464D5E"/>
    <w:rsid w:val="00465395"/>
    <w:rsid w:val="004657C4"/>
    <w:rsid w:val="0046650C"/>
    <w:rsid w:val="00467115"/>
    <w:rsid w:val="00467468"/>
    <w:rsid w:val="0046760E"/>
    <w:rsid w:val="00467E36"/>
    <w:rsid w:val="0047031F"/>
    <w:rsid w:val="004705CD"/>
    <w:rsid w:val="00470AB7"/>
    <w:rsid w:val="004710B8"/>
    <w:rsid w:val="0047123D"/>
    <w:rsid w:val="004719E8"/>
    <w:rsid w:val="00472B8D"/>
    <w:rsid w:val="00473868"/>
    <w:rsid w:val="004740B1"/>
    <w:rsid w:val="004747D7"/>
    <w:rsid w:val="00474A04"/>
    <w:rsid w:val="00475897"/>
    <w:rsid w:val="0047610D"/>
    <w:rsid w:val="004767AE"/>
    <w:rsid w:val="00476940"/>
    <w:rsid w:val="00476A0C"/>
    <w:rsid w:val="00476B9B"/>
    <w:rsid w:val="00476EA1"/>
    <w:rsid w:val="00477661"/>
    <w:rsid w:val="00477A6A"/>
    <w:rsid w:val="0048054C"/>
    <w:rsid w:val="0048057C"/>
    <w:rsid w:val="00480FDF"/>
    <w:rsid w:val="00481171"/>
    <w:rsid w:val="004811E0"/>
    <w:rsid w:val="004819DB"/>
    <w:rsid w:val="00481A39"/>
    <w:rsid w:val="00481B41"/>
    <w:rsid w:val="00481D3F"/>
    <w:rsid w:val="00481E5B"/>
    <w:rsid w:val="00482561"/>
    <w:rsid w:val="00483199"/>
    <w:rsid w:val="004847DC"/>
    <w:rsid w:val="00484FB0"/>
    <w:rsid w:val="004855BF"/>
    <w:rsid w:val="00486272"/>
    <w:rsid w:val="00486433"/>
    <w:rsid w:val="00486DC2"/>
    <w:rsid w:val="004873D3"/>
    <w:rsid w:val="004876F8"/>
    <w:rsid w:val="0048793E"/>
    <w:rsid w:val="00487B07"/>
    <w:rsid w:val="00490807"/>
    <w:rsid w:val="004917DE"/>
    <w:rsid w:val="00491835"/>
    <w:rsid w:val="00491AD2"/>
    <w:rsid w:val="004928B0"/>
    <w:rsid w:val="00492F33"/>
    <w:rsid w:val="004930CC"/>
    <w:rsid w:val="00493C82"/>
    <w:rsid w:val="00493EEF"/>
    <w:rsid w:val="00493F3B"/>
    <w:rsid w:val="00494185"/>
    <w:rsid w:val="00494A95"/>
    <w:rsid w:val="00495870"/>
    <w:rsid w:val="00495A89"/>
    <w:rsid w:val="00496795"/>
    <w:rsid w:val="00496ACA"/>
    <w:rsid w:val="004970AD"/>
    <w:rsid w:val="004974CF"/>
    <w:rsid w:val="004974FF"/>
    <w:rsid w:val="004978C1"/>
    <w:rsid w:val="004A01CF"/>
    <w:rsid w:val="004A03AD"/>
    <w:rsid w:val="004A06D9"/>
    <w:rsid w:val="004A0BFD"/>
    <w:rsid w:val="004A146A"/>
    <w:rsid w:val="004A14E9"/>
    <w:rsid w:val="004A2B6E"/>
    <w:rsid w:val="004A312D"/>
    <w:rsid w:val="004A3329"/>
    <w:rsid w:val="004A3E75"/>
    <w:rsid w:val="004A4188"/>
    <w:rsid w:val="004A4D99"/>
    <w:rsid w:val="004A4E60"/>
    <w:rsid w:val="004A4EC7"/>
    <w:rsid w:val="004A51D4"/>
    <w:rsid w:val="004A5483"/>
    <w:rsid w:val="004A5C74"/>
    <w:rsid w:val="004A6327"/>
    <w:rsid w:val="004A681E"/>
    <w:rsid w:val="004A7053"/>
    <w:rsid w:val="004A73E3"/>
    <w:rsid w:val="004A7602"/>
    <w:rsid w:val="004A76DC"/>
    <w:rsid w:val="004B0396"/>
    <w:rsid w:val="004B058F"/>
    <w:rsid w:val="004B08B2"/>
    <w:rsid w:val="004B1166"/>
    <w:rsid w:val="004B1267"/>
    <w:rsid w:val="004B19B1"/>
    <w:rsid w:val="004B1E9E"/>
    <w:rsid w:val="004B2029"/>
    <w:rsid w:val="004B20D1"/>
    <w:rsid w:val="004B2145"/>
    <w:rsid w:val="004B2642"/>
    <w:rsid w:val="004B2CFD"/>
    <w:rsid w:val="004B3181"/>
    <w:rsid w:val="004B382E"/>
    <w:rsid w:val="004B38D5"/>
    <w:rsid w:val="004B459B"/>
    <w:rsid w:val="004B4DBB"/>
    <w:rsid w:val="004B56F9"/>
    <w:rsid w:val="004B5D69"/>
    <w:rsid w:val="004B5E42"/>
    <w:rsid w:val="004B5ED6"/>
    <w:rsid w:val="004B5F11"/>
    <w:rsid w:val="004B605A"/>
    <w:rsid w:val="004B618F"/>
    <w:rsid w:val="004B6742"/>
    <w:rsid w:val="004B67EA"/>
    <w:rsid w:val="004B69B2"/>
    <w:rsid w:val="004B7476"/>
    <w:rsid w:val="004B7849"/>
    <w:rsid w:val="004B7AD8"/>
    <w:rsid w:val="004B7BDF"/>
    <w:rsid w:val="004B7DDC"/>
    <w:rsid w:val="004C0BFB"/>
    <w:rsid w:val="004C1309"/>
    <w:rsid w:val="004C15DC"/>
    <w:rsid w:val="004C1985"/>
    <w:rsid w:val="004C287D"/>
    <w:rsid w:val="004C30F0"/>
    <w:rsid w:val="004C39E7"/>
    <w:rsid w:val="004C3F22"/>
    <w:rsid w:val="004C3FDD"/>
    <w:rsid w:val="004C42C7"/>
    <w:rsid w:val="004C4C13"/>
    <w:rsid w:val="004C50AB"/>
    <w:rsid w:val="004C518F"/>
    <w:rsid w:val="004C5C54"/>
    <w:rsid w:val="004C615B"/>
    <w:rsid w:val="004C6341"/>
    <w:rsid w:val="004C6857"/>
    <w:rsid w:val="004C6BA0"/>
    <w:rsid w:val="004C7106"/>
    <w:rsid w:val="004C7810"/>
    <w:rsid w:val="004C7AD9"/>
    <w:rsid w:val="004D0354"/>
    <w:rsid w:val="004D08AF"/>
    <w:rsid w:val="004D0E53"/>
    <w:rsid w:val="004D12E8"/>
    <w:rsid w:val="004D1770"/>
    <w:rsid w:val="004D1965"/>
    <w:rsid w:val="004D1A88"/>
    <w:rsid w:val="004D2182"/>
    <w:rsid w:val="004D26B2"/>
    <w:rsid w:val="004D2DED"/>
    <w:rsid w:val="004D2E45"/>
    <w:rsid w:val="004D37A1"/>
    <w:rsid w:val="004D3A05"/>
    <w:rsid w:val="004D4166"/>
    <w:rsid w:val="004D439C"/>
    <w:rsid w:val="004D497D"/>
    <w:rsid w:val="004D4C48"/>
    <w:rsid w:val="004D53AC"/>
    <w:rsid w:val="004D5C94"/>
    <w:rsid w:val="004D640C"/>
    <w:rsid w:val="004D67F9"/>
    <w:rsid w:val="004D699D"/>
    <w:rsid w:val="004D69B4"/>
    <w:rsid w:val="004D7989"/>
    <w:rsid w:val="004D7B8D"/>
    <w:rsid w:val="004D7C30"/>
    <w:rsid w:val="004D7CD2"/>
    <w:rsid w:val="004E00A3"/>
    <w:rsid w:val="004E04BE"/>
    <w:rsid w:val="004E0623"/>
    <w:rsid w:val="004E0896"/>
    <w:rsid w:val="004E1230"/>
    <w:rsid w:val="004E12FF"/>
    <w:rsid w:val="004E1DA8"/>
    <w:rsid w:val="004E2CF7"/>
    <w:rsid w:val="004E2F97"/>
    <w:rsid w:val="004E3A1A"/>
    <w:rsid w:val="004E4111"/>
    <w:rsid w:val="004E4285"/>
    <w:rsid w:val="004E4AFF"/>
    <w:rsid w:val="004E5069"/>
    <w:rsid w:val="004E5213"/>
    <w:rsid w:val="004E5735"/>
    <w:rsid w:val="004E57B0"/>
    <w:rsid w:val="004E5816"/>
    <w:rsid w:val="004E6542"/>
    <w:rsid w:val="004E66DE"/>
    <w:rsid w:val="004E678D"/>
    <w:rsid w:val="004E68CB"/>
    <w:rsid w:val="004E7556"/>
    <w:rsid w:val="004E7913"/>
    <w:rsid w:val="004E7F54"/>
    <w:rsid w:val="004F01B1"/>
    <w:rsid w:val="004F075B"/>
    <w:rsid w:val="004F0C0D"/>
    <w:rsid w:val="004F1BD4"/>
    <w:rsid w:val="004F1FA2"/>
    <w:rsid w:val="004F2886"/>
    <w:rsid w:val="004F31EC"/>
    <w:rsid w:val="004F3AFA"/>
    <w:rsid w:val="004F3EA0"/>
    <w:rsid w:val="004F419B"/>
    <w:rsid w:val="004F4518"/>
    <w:rsid w:val="004F4D91"/>
    <w:rsid w:val="004F4EA1"/>
    <w:rsid w:val="004F5297"/>
    <w:rsid w:val="004F5CA2"/>
    <w:rsid w:val="004F6397"/>
    <w:rsid w:val="004F69B7"/>
    <w:rsid w:val="004F6B45"/>
    <w:rsid w:val="004F6E93"/>
    <w:rsid w:val="004F760C"/>
    <w:rsid w:val="004F79BB"/>
    <w:rsid w:val="004F7D9D"/>
    <w:rsid w:val="00500568"/>
    <w:rsid w:val="005005C8"/>
    <w:rsid w:val="00501300"/>
    <w:rsid w:val="0050135C"/>
    <w:rsid w:val="00501383"/>
    <w:rsid w:val="00501897"/>
    <w:rsid w:val="00501DCF"/>
    <w:rsid w:val="00501E7B"/>
    <w:rsid w:val="00502228"/>
    <w:rsid w:val="005023DC"/>
    <w:rsid w:val="00502560"/>
    <w:rsid w:val="0050276C"/>
    <w:rsid w:val="00502A64"/>
    <w:rsid w:val="00502D82"/>
    <w:rsid w:val="005040F2"/>
    <w:rsid w:val="0050467C"/>
    <w:rsid w:val="005046F6"/>
    <w:rsid w:val="00504E44"/>
    <w:rsid w:val="00504F8D"/>
    <w:rsid w:val="0050585D"/>
    <w:rsid w:val="00505880"/>
    <w:rsid w:val="00505AED"/>
    <w:rsid w:val="005069FB"/>
    <w:rsid w:val="005070CD"/>
    <w:rsid w:val="0050727D"/>
    <w:rsid w:val="00507462"/>
    <w:rsid w:val="00507530"/>
    <w:rsid w:val="00507D4E"/>
    <w:rsid w:val="005107EB"/>
    <w:rsid w:val="00510ACD"/>
    <w:rsid w:val="00511852"/>
    <w:rsid w:val="005118AF"/>
    <w:rsid w:val="00511A37"/>
    <w:rsid w:val="00511C78"/>
    <w:rsid w:val="00512227"/>
    <w:rsid w:val="00512435"/>
    <w:rsid w:val="00512C8A"/>
    <w:rsid w:val="005130AB"/>
    <w:rsid w:val="005137F0"/>
    <w:rsid w:val="00513B89"/>
    <w:rsid w:val="00513D09"/>
    <w:rsid w:val="005140F2"/>
    <w:rsid w:val="00514815"/>
    <w:rsid w:val="0051481C"/>
    <w:rsid w:val="00514C92"/>
    <w:rsid w:val="0051574E"/>
    <w:rsid w:val="0051588A"/>
    <w:rsid w:val="00516056"/>
    <w:rsid w:val="00516680"/>
    <w:rsid w:val="0051694B"/>
    <w:rsid w:val="00517089"/>
    <w:rsid w:val="005178D5"/>
    <w:rsid w:val="00517A1E"/>
    <w:rsid w:val="00517AAB"/>
    <w:rsid w:val="005204F3"/>
    <w:rsid w:val="00520692"/>
    <w:rsid w:val="00520E32"/>
    <w:rsid w:val="00521117"/>
    <w:rsid w:val="00521419"/>
    <w:rsid w:val="005217C0"/>
    <w:rsid w:val="00521861"/>
    <w:rsid w:val="00521AC1"/>
    <w:rsid w:val="0052273E"/>
    <w:rsid w:val="005230C3"/>
    <w:rsid w:val="0052331B"/>
    <w:rsid w:val="0052340C"/>
    <w:rsid w:val="00523956"/>
    <w:rsid w:val="00523CAB"/>
    <w:rsid w:val="00523FAC"/>
    <w:rsid w:val="0052423E"/>
    <w:rsid w:val="005245A2"/>
    <w:rsid w:val="005246D4"/>
    <w:rsid w:val="005252CC"/>
    <w:rsid w:val="0052555D"/>
    <w:rsid w:val="005255F2"/>
    <w:rsid w:val="00525636"/>
    <w:rsid w:val="005256DD"/>
    <w:rsid w:val="00526021"/>
    <w:rsid w:val="00527A07"/>
    <w:rsid w:val="00527C6F"/>
    <w:rsid w:val="00527E60"/>
    <w:rsid w:val="0053000B"/>
    <w:rsid w:val="00530AC7"/>
    <w:rsid w:val="00530CE0"/>
    <w:rsid w:val="00530DE8"/>
    <w:rsid w:val="00530F9F"/>
    <w:rsid w:val="00531101"/>
    <w:rsid w:val="00531919"/>
    <w:rsid w:val="00532187"/>
    <w:rsid w:val="005331A5"/>
    <w:rsid w:val="005339B1"/>
    <w:rsid w:val="00533D16"/>
    <w:rsid w:val="0053435F"/>
    <w:rsid w:val="0053477E"/>
    <w:rsid w:val="0053509C"/>
    <w:rsid w:val="00535170"/>
    <w:rsid w:val="00535513"/>
    <w:rsid w:val="005358B2"/>
    <w:rsid w:val="00535A8C"/>
    <w:rsid w:val="00536365"/>
    <w:rsid w:val="0053649C"/>
    <w:rsid w:val="005369C1"/>
    <w:rsid w:val="00537015"/>
    <w:rsid w:val="00537138"/>
    <w:rsid w:val="005372C9"/>
    <w:rsid w:val="00537577"/>
    <w:rsid w:val="00537934"/>
    <w:rsid w:val="0053796A"/>
    <w:rsid w:val="00537FFB"/>
    <w:rsid w:val="0054046A"/>
    <w:rsid w:val="00540509"/>
    <w:rsid w:val="0054053A"/>
    <w:rsid w:val="00541674"/>
    <w:rsid w:val="00541894"/>
    <w:rsid w:val="005418EE"/>
    <w:rsid w:val="00541C50"/>
    <w:rsid w:val="00541E39"/>
    <w:rsid w:val="0054236F"/>
    <w:rsid w:val="00542C2C"/>
    <w:rsid w:val="00542E32"/>
    <w:rsid w:val="00542ECA"/>
    <w:rsid w:val="00542F5F"/>
    <w:rsid w:val="0054322B"/>
    <w:rsid w:val="00543651"/>
    <w:rsid w:val="00543A3F"/>
    <w:rsid w:val="00543BDB"/>
    <w:rsid w:val="0054450E"/>
    <w:rsid w:val="00544685"/>
    <w:rsid w:val="005447B3"/>
    <w:rsid w:val="0054495C"/>
    <w:rsid w:val="00544AC1"/>
    <w:rsid w:val="00544D90"/>
    <w:rsid w:val="00544F17"/>
    <w:rsid w:val="00544F86"/>
    <w:rsid w:val="00545A48"/>
    <w:rsid w:val="00546369"/>
    <w:rsid w:val="0054659E"/>
    <w:rsid w:val="005465F1"/>
    <w:rsid w:val="00546751"/>
    <w:rsid w:val="005467ED"/>
    <w:rsid w:val="00546813"/>
    <w:rsid w:val="005468BC"/>
    <w:rsid w:val="0054690F"/>
    <w:rsid w:val="00547B3C"/>
    <w:rsid w:val="00550E1C"/>
    <w:rsid w:val="00551CC8"/>
    <w:rsid w:val="00552075"/>
    <w:rsid w:val="00552F88"/>
    <w:rsid w:val="00553377"/>
    <w:rsid w:val="00553943"/>
    <w:rsid w:val="0055406E"/>
    <w:rsid w:val="00554341"/>
    <w:rsid w:val="00554617"/>
    <w:rsid w:val="00554C0C"/>
    <w:rsid w:val="00554C29"/>
    <w:rsid w:val="0055516F"/>
    <w:rsid w:val="00555A02"/>
    <w:rsid w:val="00555C37"/>
    <w:rsid w:val="00556140"/>
    <w:rsid w:val="00556555"/>
    <w:rsid w:val="0055672C"/>
    <w:rsid w:val="00556B24"/>
    <w:rsid w:val="005571C1"/>
    <w:rsid w:val="005571DC"/>
    <w:rsid w:val="0055733F"/>
    <w:rsid w:val="0055749F"/>
    <w:rsid w:val="005574F9"/>
    <w:rsid w:val="00557553"/>
    <w:rsid w:val="005575C1"/>
    <w:rsid w:val="00557718"/>
    <w:rsid w:val="005578A4"/>
    <w:rsid w:val="00557C91"/>
    <w:rsid w:val="00557EB5"/>
    <w:rsid w:val="00557FD7"/>
    <w:rsid w:val="00561067"/>
    <w:rsid w:val="00561140"/>
    <w:rsid w:val="00562131"/>
    <w:rsid w:val="005625D1"/>
    <w:rsid w:val="00562DAB"/>
    <w:rsid w:val="00562E2C"/>
    <w:rsid w:val="0056425D"/>
    <w:rsid w:val="0056478C"/>
    <w:rsid w:val="00564E7A"/>
    <w:rsid w:val="00565215"/>
    <w:rsid w:val="00565970"/>
    <w:rsid w:val="00565D2A"/>
    <w:rsid w:val="00566020"/>
    <w:rsid w:val="00566713"/>
    <w:rsid w:val="00566852"/>
    <w:rsid w:val="00566DE1"/>
    <w:rsid w:val="0056766B"/>
    <w:rsid w:val="00567C8C"/>
    <w:rsid w:val="00570365"/>
    <w:rsid w:val="0057112A"/>
    <w:rsid w:val="005712CD"/>
    <w:rsid w:val="00571ED7"/>
    <w:rsid w:val="0057215F"/>
    <w:rsid w:val="005725D7"/>
    <w:rsid w:val="0057268E"/>
    <w:rsid w:val="005728A9"/>
    <w:rsid w:val="005733B0"/>
    <w:rsid w:val="005735F4"/>
    <w:rsid w:val="0057372A"/>
    <w:rsid w:val="00573EE5"/>
    <w:rsid w:val="00574139"/>
    <w:rsid w:val="005743DE"/>
    <w:rsid w:val="00574524"/>
    <w:rsid w:val="00574930"/>
    <w:rsid w:val="0057566E"/>
    <w:rsid w:val="005758EA"/>
    <w:rsid w:val="00575F6E"/>
    <w:rsid w:val="005760F0"/>
    <w:rsid w:val="005761F8"/>
    <w:rsid w:val="005765F3"/>
    <w:rsid w:val="00576B47"/>
    <w:rsid w:val="00577202"/>
    <w:rsid w:val="005773A7"/>
    <w:rsid w:val="00577497"/>
    <w:rsid w:val="00577D54"/>
    <w:rsid w:val="00580971"/>
    <w:rsid w:val="0058099B"/>
    <w:rsid w:val="005809BA"/>
    <w:rsid w:val="00580E49"/>
    <w:rsid w:val="0058108C"/>
    <w:rsid w:val="005813A0"/>
    <w:rsid w:val="00581798"/>
    <w:rsid w:val="00581A18"/>
    <w:rsid w:val="0058236B"/>
    <w:rsid w:val="00582E32"/>
    <w:rsid w:val="005837C9"/>
    <w:rsid w:val="005837D7"/>
    <w:rsid w:val="0058404F"/>
    <w:rsid w:val="005844F5"/>
    <w:rsid w:val="00584D94"/>
    <w:rsid w:val="00584F6E"/>
    <w:rsid w:val="00585EFC"/>
    <w:rsid w:val="005861F5"/>
    <w:rsid w:val="00586448"/>
    <w:rsid w:val="00586936"/>
    <w:rsid w:val="00587590"/>
    <w:rsid w:val="0058760A"/>
    <w:rsid w:val="00587971"/>
    <w:rsid w:val="00587DB7"/>
    <w:rsid w:val="00590C13"/>
    <w:rsid w:val="00591771"/>
    <w:rsid w:val="005918CE"/>
    <w:rsid w:val="0059190C"/>
    <w:rsid w:val="00591C40"/>
    <w:rsid w:val="00591C8D"/>
    <w:rsid w:val="0059259D"/>
    <w:rsid w:val="0059296C"/>
    <w:rsid w:val="00593A00"/>
    <w:rsid w:val="005940EB"/>
    <w:rsid w:val="005949FF"/>
    <w:rsid w:val="00595308"/>
    <w:rsid w:val="005954A7"/>
    <w:rsid w:val="00595902"/>
    <w:rsid w:val="005959AF"/>
    <w:rsid w:val="00595B9C"/>
    <w:rsid w:val="00596858"/>
    <w:rsid w:val="00596D1C"/>
    <w:rsid w:val="00596D54"/>
    <w:rsid w:val="00597674"/>
    <w:rsid w:val="00597884"/>
    <w:rsid w:val="00597EC7"/>
    <w:rsid w:val="005A0212"/>
    <w:rsid w:val="005A0479"/>
    <w:rsid w:val="005A098A"/>
    <w:rsid w:val="005A0F7E"/>
    <w:rsid w:val="005A128F"/>
    <w:rsid w:val="005A229B"/>
    <w:rsid w:val="005A24D7"/>
    <w:rsid w:val="005A25DE"/>
    <w:rsid w:val="005A2B76"/>
    <w:rsid w:val="005A32DD"/>
    <w:rsid w:val="005A33CD"/>
    <w:rsid w:val="005A392A"/>
    <w:rsid w:val="005A3A50"/>
    <w:rsid w:val="005A3C44"/>
    <w:rsid w:val="005A3C83"/>
    <w:rsid w:val="005A3E4B"/>
    <w:rsid w:val="005A3FF5"/>
    <w:rsid w:val="005A45AB"/>
    <w:rsid w:val="005A4BEE"/>
    <w:rsid w:val="005A4DC0"/>
    <w:rsid w:val="005A5D6E"/>
    <w:rsid w:val="005A6226"/>
    <w:rsid w:val="005A6407"/>
    <w:rsid w:val="005A641F"/>
    <w:rsid w:val="005A6DA4"/>
    <w:rsid w:val="005A794E"/>
    <w:rsid w:val="005B04AD"/>
    <w:rsid w:val="005B0652"/>
    <w:rsid w:val="005B0A14"/>
    <w:rsid w:val="005B0FEE"/>
    <w:rsid w:val="005B1267"/>
    <w:rsid w:val="005B1379"/>
    <w:rsid w:val="005B160A"/>
    <w:rsid w:val="005B1935"/>
    <w:rsid w:val="005B1BB2"/>
    <w:rsid w:val="005B1C83"/>
    <w:rsid w:val="005B2238"/>
    <w:rsid w:val="005B2242"/>
    <w:rsid w:val="005B2569"/>
    <w:rsid w:val="005B2E8F"/>
    <w:rsid w:val="005B312A"/>
    <w:rsid w:val="005B398E"/>
    <w:rsid w:val="005B3E44"/>
    <w:rsid w:val="005B3F2A"/>
    <w:rsid w:val="005B3F3B"/>
    <w:rsid w:val="005B3F40"/>
    <w:rsid w:val="005B4128"/>
    <w:rsid w:val="005B4208"/>
    <w:rsid w:val="005B434C"/>
    <w:rsid w:val="005B46BC"/>
    <w:rsid w:val="005B5018"/>
    <w:rsid w:val="005B5808"/>
    <w:rsid w:val="005B5B6C"/>
    <w:rsid w:val="005B5E35"/>
    <w:rsid w:val="005B668C"/>
    <w:rsid w:val="005B68BA"/>
    <w:rsid w:val="005B6E9D"/>
    <w:rsid w:val="005B70C6"/>
    <w:rsid w:val="005B7314"/>
    <w:rsid w:val="005C01B7"/>
    <w:rsid w:val="005C123A"/>
    <w:rsid w:val="005C2CC2"/>
    <w:rsid w:val="005C33E6"/>
    <w:rsid w:val="005C424B"/>
    <w:rsid w:val="005C4558"/>
    <w:rsid w:val="005C46DF"/>
    <w:rsid w:val="005C46ED"/>
    <w:rsid w:val="005C4A36"/>
    <w:rsid w:val="005C4C15"/>
    <w:rsid w:val="005C4C84"/>
    <w:rsid w:val="005C5D23"/>
    <w:rsid w:val="005C5E4E"/>
    <w:rsid w:val="005C6579"/>
    <w:rsid w:val="005C6741"/>
    <w:rsid w:val="005C76DF"/>
    <w:rsid w:val="005C7843"/>
    <w:rsid w:val="005C7A73"/>
    <w:rsid w:val="005C7F8F"/>
    <w:rsid w:val="005D0F72"/>
    <w:rsid w:val="005D14EA"/>
    <w:rsid w:val="005D15CD"/>
    <w:rsid w:val="005D1830"/>
    <w:rsid w:val="005D1876"/>
    <w:rsid w:val="005D1B12"/>
    <w:rsid w:val="005D2653"/>
    <w:rsid w:val="005D29BD"/>
    <w:rsid w:val="005D2C7C"/>
    <w:rsid w:val="005D2E4B"/>
    <w:rsid w:val="005D2FFB"/>
    <w:rsid w:val="005D3056"/>
    <w:rsid w:val="005D32ED"/>
    <w:rsid w:val="005D3AC8"/>
    <w:rsid w:val="005D41D6"/>
    <w:rsid w:val="005D435C"/>
    <w:rsid w:val="005D4A70"/>
    <w:rsid w:val="005D4FBC"/>
    <w:rsid w:val="005D508A"/>
    <w:rsid w:val="005D551F"/>
    <w:rsid w:val="005D583D"/>
    <w:rsid w:val="005D589F"/>
    <w:rsid w:val="005D5E97"/>
    <w:rsid w:val="005D6D72"/>
    <w:rsid w:val="005D6EC0"/>
    <w:rsid w:val="005E00BF"/>
    <w:rsid w:val="005E04E8"/>
    <w:rsid w:val="005E0538"/>
    <w:rsid w:val="005E079D"/>
    <w:rsid w:val="005E0E31"/>
    <w:rsid w:val="005E0E84"/>
    <w:rsid w:val="005E13A7"/>
    <w:rsid w:val="005E17D9"/>
    <w:rsid w:val="005E1BD3"/>
    <w:rsid w:val="005E250F"/>
    <w:rsid w:val="005E3604"/>
    <w:rsid w:val="005E3AF0"/>
    <w:rsid w:val="005E43F2"/>
    <w:rsid w:val="005E4FBB"/>
    <w:rsid w:val="005E5412"/>
    <w:rsid w:val="005E595D"/>
    <w:rsid w:val="005E5A3A"/>
    <w:rsid w:val="005E5C20"/>
    <w:rsid w:val="005E5CC2"/>
    <w:rsid w:val="005E62B7"/>
    <w:rsid w:val="005E6630"/>
    <w:rsid w:val="005E6B1F"/>
    <w:rsid w:val="005E7BD0"/>
    <w:rsid w:val="005E7F3F"/>
    <w:rsid w:val="005F2018"/>
    <w:rsid w:val="005F2164"/>
    <w:rsid w:val="005F22FA"/>
    <w:rsid w:val="005F3150"/>
    <w:rsid w:val="005F4069"/>
    <w:rsid w:val="005F44A2"/>
    <w:rsid w:val="005F46FC"/>
    <w:rsid w:val="005F489D"/>
    <w:rsid w:val="005F49EC"/>
    <w:rsid w:val="005F4AD7"/>
    <w:rsid w:val="005F4C7B"/>
    <w:rsid w:val="005F504A"/>
    <w:rsid w:val="005F5AFE"/>
    <w:rsid w:val="005F5D65"/>
    <w:rsid w:val="005F5F8C"/>
    <w:rsid w:val="005F62EB"/>
    <w:rsid w:val="005F697D"/>
    <w:rsid w:val="005F6ED6"/>
    <w:rsid w:val="005F7102"/>
    <w:rsid w:val="005F757C"/>
    <w:rsid w:val="005F7952"/>
    <w:rsid w:val="005F7A25"/>
    <w:rsid w:val="005F7B74"/>
    <w:rsid w:val="006002E9"/>
    <w:rsid w:val="00600D04"/>
    <w:rsid w:val="006023B9"/>
    <w:rsid w:val="006023E9"/>
    <w:rsid w:val="00602441"/>
    <w:rsid w:val="00602864"/>
    <w:rsid w:val="00603BE1"/>
    <w:rsid w:val="00603CD7"/>
    <w:rsid w:val="00603CEE"/>
    <w:rsid w:val="006044D5"/>
    <w:rsid w:val="00604532"/>
    <w:rsid w:val="00604756"/>
    <w:rsid w:val="006047B7"/>
    <w:rsid w:val="00604AA1"/>
    <w:rsid w:val="00605D73"/>
    <w:rsid w:val="006063F1"/>
    <w:rsid w:val="00606724"/>
    <w:rsid w:val="00606896"/>
    <w:rsid w:val="00607018"/>
    <w:rsid w:val="006074A5"/>
    <w:rsid w:val="00607E6C"/>
    <w:rsid w:val="0061022E"/>
    <w:rsid w:val="0061027F"/>
    <w:rsid w:val="00610D73"/>
    <w:rsid w:val="0061134F"/>
    <w:rsid w:val="0061187E"/>
    <w:rsid w:val="00611E3B"/>
    <w:rsid w:val="006121FC"/>
    <w:rsid w:val="006122A8"/>
    <w:rsid w:val="0061230C"/>
    <w:rsid w:val="006125B8"/>
    <w:rsid w:val="006144AF"/>
    <w:rsid w:val="006145E8"/>
    <w:rsid w:val="006151A2"/>
    <w:rsid w:val="00615839"/>
    <w:rsid w:val="006159D1"/>
    <w:rsid w:val="0061740D"/>
    <w:rsid w:val="00617C09"/>
    <w:rsid w:val="00620181"/>
    <w:rsid w:val="006203C0"/>
    <w:rsid w:val="00620E0D"/>
    <w:rsid w:val="0062148A"/>
    <w:rsid w:val="00621628"/>
    <w:rsid w:val="00621AB5"/>
    <w:rsid w:val="00622769"/>
    <w:rsid w:val="00622AFF"/>
    <w:rsid w:val="00622D94"/>
    <w:rsid w:val="00622E50"/>
    <w:rsid w:val="006235AB"/>
    <w:rsid w:val="00623683"/>
    <w:rsid w:val="00623D92"/>
    <w:rsid w:val="0062461B"/>
    <w:rsid w:val="00624E95"/>
    <w:rsid w:val="0062516A"/>
    <w:rsid w:val="006255FD"/>
    <w:rsid w:val="00625F5B"/>
    <w:rsid w:val="006262FF"/>
    <w:rsid w:val="006263A1"/>
    <w:rsid w:val="0062658D"/>
    <w:rsid w:val="00626B4D"/>
    <w:rsid w:val="00626EF5"/>
    <w:rsid w:val="00627084"/>
    <w:rsid w:val="00627838"/>
    <w:rsid w:val="00627A52"/>
    <w:rsid w:val="00627F99"/>
    <w:rsid w:val="006308E3"/>
    <w:rsid w:val="006309FC"/>
    <w:rsid w:val="00631859"/>
    <w:rsid w:val="00631864"/>
    <w:rsid w:val="00631BC3"/>
    <w:rsid w:val="00632639"/>
    <w:rsid w:val="00632D60"/>
    <w:rsid w:val="00633057"/>
    <w:rsid w:val="0063374D"/>
    <w:rsid w:val="00635063"/>
    <w:rsid w:val="006356A1"/>
    <w:rsid w:val="006359FD"/>
    <w:rsid w:val="00635A8A"/>
    <w:rsid w:val="006362B8"/>
    <w:rsid w:val="00636579"/>
    <w:rsid w:val="006370CE"/>
    <w:rsid w:val="0063760A"/>
    <w:rsid w:val="006379B2"/>
    <w:rsid w:val="00637ED1"/>
    <w:rsid w:val="00637F05"/>
    <w:rsid w:val="00640460"/>
    <w:rsid w:val="0064060A"/>
    <w:rsid w:val="006409AE"/>
    <w:rsid w:val="00641228"/>
    <w:rsid w:val="00641694"/>
    <w:rsid w:val="00641999"/>
    <w:rsid w:val="00641C8B"/>
    <w:rsid w:val="00642817"/>
    <w:rsid w:val="00642F2D"/>
    <w:rsid w:val="0064311E"/>
    <w:rsid w:val="00643D31"/>
    <w:rsid w:val="00643DFF"/>
    <w:rsid w:val="00643E73"/>
    <w:rsid w:val="00644870"/>
    <w:rsid w:val="00644B86"/>
    <w:rsid w:val="00645087"/>
    <w:rsid w:val="0064534A"/>
    <w:rsid w:val="00645869"/>
    <w:rsid w:val="00646166"/>
    <w:rsid w:val="0064683D"/>
    <w:rsid w:val="00646AD0"/>
    <w:rsid w:val="00647317"/>
    <w:rsid w:val="00647539"/>
    <w:rsid w:val="00647A91"/>
    <w:rsid w:val="00650154"/>
    <w:rsid w:val="006502F5"/>
    <w:rsid w:val="006504BE"/>
    <w:rsid w:val="006508C5"/>
    <w:rsid w:val="00650AFF"/>
    <w:rsid w:val="00651095"/>
    <w:rsid w:val="006511B5"/>
    <w:rsid w:val="006513F2"/>
    <w:rsid w:val="006523D5"/>
    <w:rsid w:val="00652470"/>
    <w:rsid w:val="00652E0D"/>
    <w:rsid w:val="006530DA"/>
    <w:rsid w:val="00654B7B"/>
    <w:rsid w:val="00655138"/>
    <w:rsid w:val="0065539D"/>
    <w:rsid w:val="00655818"/>
    <w:rsid w:val="006558B6"/>
    <w:rsid w:val="00655DE1"/>
    <w:rsid w:val="00655E5D"/>
    <w:rsid w:val="006562E6"/>
    <w:rsid w:val="00656BFC"/>
    <w:rsid w:val="00656DFD"/>
    <w:rsid w:val="00656FD7"/>
    <w:rsid w:val="00656FD9"/>
    <w:rsid w:val="006572D9"/>
    <w:rsid w:val="006576CE"/>
    <w:rsid w:val="00657FBA"/>
    <w:rsid w:val="00661087"/>
    <w:rsid w:val="00661CD8"/>
    <w:rsid w:val="00663203"/>
    <w:rsid w:val="00663220"/>
    <w:rsid w:val="0066327F"/>
    <w:rsid w:val="006635F1"/>
    <w:rsid w:val="0066402C"/>
    <w:rsid w:val="0066410F"/>
    <w:rsid w:val="006641AF"/>
    <w:rsid w:val="006644DD"/>
    <w:rsid w:val="00664998"/>
    <w:rsid w:val="00664C26"/>
    <w:rsid w:val="00664C37"/>
    <w:rsid w:val="00665802"/>
    <w:rsid w:val="00665C41"/>
    <w:rsid w:val="00665CFD"/>
    <w:rsid w:val="00665DEB"/>
    <w:rsid w:val="00665E30"/>
    <w:rsid w:val="00666C39"/>
    <w:rsid w:val="00667A4B"/>
    <w:rsid w:val="006705BF"/>
    <w:rsid w:val="00670987"/>
    <w:rsid w:val="00670ACB"/>
    <w:rsid w:val="00671190"/>
    <w:rsid w:val="006716A2"/>
    <w:rsid w:val="0067176F"/>
    <w:rsid w:val="00671A3F"/>
    <w:rsid w:val="00671D00"/>
    <w:rsid w:val="006720F0"/>
    <w:rsid w:val="006722E8"/>
    <w:rsid w:val="00672918"/>
    <w:rsid w:val="00672A6F"/>
    <w:rsid w:val="00673030"/>
    <w:rsid w:val="0067394F"/>
    <w:rsid w:val="00673F46"/>
    <w:rsid w:val="006748B7"/>
    <w:rsid w:val="00674944"/>
    <w:rsid w:val="00674A91"/>
    <w:rsid w:val="00674F17"/>
    <w:rsid w:val="006753B7"/>
    <w:rsid w:val="006753C7"/>
    <w:rsid w:val="0067560C"/>
    <w:rsid w:val="00675964"/>
    <w:rsid w:val="00675EC1"/>
    <w:rsid w:val="00675FAE"/>
    <w:rsid w:val="00676862"/>
    <w:rsid w:val="00676ABE"/>
    <w:rsid w:val="006778DF"/>
    <w:rsid w:val="00677BD3"/>
    <w:rsid w:val="00680435"/>
    <w:rsid w:val="006804B0"/>
    <w:rsid w:val="006807EF"/>
    <w:rsid w:val="00680B69"/>
    <w:rsid w:val="00680C9D"/>
    <w:rsid w:val="006810DF"/>
    <w:rsid w:val="00681407"/>
    <w:rsid w:val="006818FD"/>
    <w:rsid w:val="00681DF3"/>
    <w:rsid w:val="0068211F"/>
    <w:rsid w:val="006822B4"/>
    <w:rsid w:val="006824F3"/>
    <w:rsid w:val="00682C98"/>
    <w:rsid w:val="00683A0A"/>
    <w:rsid w:val="00683BEE"/>
    <w:rsid w:val="00683C1B"/>
    <w:rsid w:val="00684689"/>
    <w:rsid w:val="006846C9"/>
    <w:rsid w:val="00684829"/>
    <w:rsid w:val="00684F89"/>
    <w:rsid w:val="00685218"/>
    <w:rsid w:val="00686142"/>
    <w:rsid w:val="00686573"/>
    <w:rsid w:val="006872CE"/>
    <w:rsid w:val="00687C63"/>
    <w:rsid w:val="00687FDD"/>
    <w:rsid w:val="0069015E"/>
    <w:rsid w:val="0069096E"/>
    <w:rsid w:val="00691709"/>
    <w:rsid w:val="00692362"/>
    <w:rsid w:val="00692AD5"/>
    <w:rsid w:val="00692D80"/>
    <w:rsid w:val="006931DF"/>
    <w:rsid w:val="006933AA"/>
    <w:rsid w:val="006936F8"/>
    <w:rsid w:val="0069393C"/>
    <w:rsid w:val="00693F24"/>
    <w:rsid w:val="006940BF"/>
    <w:rsid w:val="00694A83"/>
    <w:rsid w:val="00694AA9"/>
    <w:rsid w:val="00694BF3"/>
    <w:rsid w:val="00694F10"/>
    <w:rsid w:val="00694FFD"/>
    <w:rsid w:val="00695177"/>
    <w:rsid w:val="00695563"/>
    <w:rsid w:val="006956E6"/>
    <w:rsid w:val="00695FF9"/>
    <w:rsid w:val="00696977"/>
    <w:rsid w:val="00696B9B"/>
    <w:rsid w:val="00696C44"/>
    <w:rsid w:val="00696F55"/>
    <w:rsid w:val="00697721"/>
    <w:rsid w:val="00697754"/>
    <w:rsid w:val="00697832"/>
    <w:rsid w:val="006A09DF"/>
    <w:rsid w:val="006A0B64"/>
    <w:rsid w:val="006A11CB"/>
    <w:rsid w:val="006A1C6C"/>
    <w:rsid w:val="006A1DF3"/>
    <w:rsid w:val="006A1EC1"/>
    <w:rsid w:val="006A20A8"/>
    <w:rsid w:val="006A22A5"/>
    <w:rsid w:val="006A242B"/>
    <w:rsid w:val="006A260F"/>
    <w:rsid w:val="006A30F5"/>
    <w:rsid w:val="006A3C70"/>
    <w:rsid w:val="006A3FF8"/>
    <w:rsid w:val="006A50D7"/>
    <w:rsid w:val="006A538A"/>
    <w:rsid w:val="006A5B14"/>
    <w:rsid w:val="006A6C81"/>
    <w:rsid w:val="006A736C"/>
    <w:rsid w:val="006A7BB0"/>
    <w:rsid w:val="006B1255"/>
    <w:rsid w:val="006B3007"/>
    <w:rsid w:val="006B346D"/>
    <w:rsid w:val="006B37D0"/>
    <w:rsid w:val="006B3B7F"/>
    <w:rsid w:val="006B4328"/>
    <w:rsid w:val="006B4612"/>
    <w:rsid w:val="006B483E"/>
    <w:rsid w:val="006B4898"/>
    <w:rsid w:val="006B4E0D"/>
    <w:rsid w:val="006B4E91"/>
    <w:rsid w:val="006B5041"/>
    <w:rsid w:val="006B5720"/>
    <w:rsid w:val="006B5C3C"/>
    <w:rsid w:val="006B6027"/>
    <w:rsid w:val="006B6119"/>
    <w:rsid w:val="006B656A"/>
    <w:rsid w:val="006B7203"/>
    <w:rsid w:val="006B73AB"/>
    <w:rsid w:val="006B773E"/>
    <w:rsid w:val="006B7F1F"/>
    <w:rsid w:val="006C069D"/>
    <w:rsid w:val="006C06BB"/>
    <w:rsid w:val="006C098D"/>
    <w:rsid w:val="006C09B1"/>
    <w:rsid w:val="006C0BB6"/>
    <w:rsid w:val="006C0D1B"/>
    <w:rsid w:val="006C1A3C"/>
    <w:rsid w:val="006C1A99"/>
    <w:rsid w:val="006C2CA0"/>
    <w:rsid w:val="006C2D85"/>
    <w:rsid w:val="006C30F8"/>
    <w:rsid w:val="006C33AA"/>
    <w:rsid w:val="006C3563"/>
    <w:rsid w:val="006C3813"/>
    <w:rsid w:val="006C3862"/>
    <w:rsid w:val="006C3B01"/>
    <w:rsid w:val="006C3D0F"/>
    <w:rsid w:val="006C3F83"/>
    <w:rsid w:val="006C4893"/>
    <w:rsid w:val="006C4D46"/>
    <w:rsid w:val="006C5312"/>
    <w:rsid w:val="006C5E76"/>
    <w:rsid w:val="006C6D52"/>
    <w:rsid w:val="006C7184"/>
    <w:rsid w:val="006C77FD"/>
    <w:rsid w:val="006C7D8E"/>
    <w:rsid w:val="006D07D0"/>
    <w:rsid w:val="006D07FB"/>
    <w:rsid w:val="006D0EE7"/>
    <w:rsid w:val="006D1073"/>
    <w:rsid w:val="006D10F8"/>
    <w:rsid w:val="006D128B"/>
    <w:rsid w:val="006D14E7"/>
    <w:rsid w:val="006D150B"/>
    <w:rsid w:val="006D1641"/>
    <w:rsid w:val="006D18B7"/>
    <w:rsid w:val="006D1A62"/>
    <w:rsid w:val="006D2287"/>
    <w:rsid w:val="006D292A"/>
    <w:rsid w:val="006D29F5"/>
    <w:rsid w:val="006D3520"/>
    <w:rsid w:val="006D37BB"/>
    <w:rsid w:val="006D43AB"/>
    <w:rsid w:val="006D443F"/>
    <w:rsid w:val="006D52CB"/>
    <w:rsid w:val="006D614C"/>
    <w:rsid w:val="006D67EE"/>
    <w:rsid w:val="006D714F"/>
    <w:rsid w:val="006D71A1"/>
    <w:rsid w:val="006D7B45"/>
    <w:rsid w:val="006D7F2D"/>
    <w:rsid w:val="006D7F93"/>
    <w:rsid w:val="006E0298"/>
    <w:rsid w:val="006E15CD"/>
    <w:rsid w:val="006E1754"/>
    <w:rsid w:val="006E1767"/>
    <w:rsid w:val="006E1BE1"/>
    <w:rsid w:val="006E1E53"/>
    <w:rsid w:val="006E25B1"/>
    <w:rsid w:val="006E263E"/>
    <w:rsid w:val="006E284A"/>
    <w:rsid w:val="006E2BA8"/>
    <w:rsid w:val="006E30B7"/>
    <w:rsid w:val="006E36A7"/>
    <w:rsid w:val="006E36FB"/>
    <w:rsid w:val="006E37ED"/>
    <w:rsid w:val="006E3923"/>
    <w:rsid w:val="006E3C10"/>
    <w:rsid w:val="006E41F3"/>
    <w:rsid w:val="006E439C"/>
    <w:rsid w:val="006E45E5"/>
    <w:rsid w:val="006E4977"/>
    <w:rsid w:val="006E4C6A"/>
    <w:rsid w:val="006E4CA6"/>
    <w:rsid w:val="006E4EDC"/>
    <w:rsid w:val="006E50AB"/>
    <w:rsid w:val="006E5AC1"/>
    <w:rsid w:val="006E5EAB"/>
    <w:rsid w:val="006E66EE"/>
    <w:rsid w:val="006E6C62"/>
    <w:rsid w:val="006E72E4"/>
    <w:rsid w:val="006E738A"/>
    <w:rsid w:val="006E757B"/>
    <w:rsid w:val="006E790F"/>
    <w:rsid w:val="006F0153"/>
    <w:rsid w:val="006F039F"/>
    <w:rsid w:val="006F08F4"/>
    <w:rsid w:val="006F1804"/>
    <w:rsid w:val="006F1F90"/>
    <w:rsid w:val="006F2453"/>
    <w:rsid w:val="006F25F1"/>
    <w:rsid w:val="006F2891"/>
    <w:rsid w:val="006F2E8D"/>
    <w:rsid w:val="006F31EC"/>
    <w:rsid w:val="006F3B36"/>
    <w:rsid w:val="006F3D82"/>
    <w:rsid w:val="006F3E78"/>
    <w:rsid w:val="006F454C"/>
    <w:rsid w:val="006F49D8"/>
    <w:rsid w:val="006F4ED1"/>
    <w:rsid w:val="006F57A3"/>
    <w:rsid w:val="006F5A64"/>
    <w:rsid w:val="006F5E90"/>
    <w:rsid w:val="006F6209"/>
    <w:rsid w:val="006F646B"/>
    <w:rsid w:val="006F6472"/>
    <w:rsid w:val="006F69EC"/>
    <w:rsid w:val="006F705E"/>
    <w:rsid w:val="006F7301"/>
    <w:rsid w:val="006F7597"/>
    <w:rsid w:val="006F7F39"/>
    <w:rsid w:val="00700997"/>
    <w:rsid w:val="00700D85"/>
    <w:rsid w:val="007010EB"/>
    <w:rsid w:val="0070139F"/>
    <w:rsid w:val="00701A21"/>
    <w:rsid w:val="00701AFE"/>
    <w:rsid w:val="00701C5B"/>
    <w:rsid w:val="0070223D"/>
    <w:rsid w:val="0070260F"/>
    <w:rsid w:val="00702B67"/>
    <w:rsid w:val="00702C36"/>
    <w:rsid w:val="00702E9A"/>
    <w:rsid w:val="00703448"/>
    <w:rsid w:val="007036D4"/>
    <w:rsid w:val="00704603"/>
    <w:rsid w:val="00704BC1"/>
    <w:rsid w:val="00704E93"/>
    <w:rsid w:val="00705B67"/>
    <w:rsid w:val="00705DE6"/>
    <w:rsid w:val="00706119"/>
    <w:rsid w:val="00706623"/>
    <w:rsid w:val="00706C7B"/>
    <w:rsid w:val="007072DE"/>
    <w:rsid w:val="00707ADB"/>
    <w:rsid w:val="00707EB4"/>
    <w:rsid w:val="00710566"/>
    <w:rsid w:val="00710933"/>
    <w:rsid w:val="00710E5A"/>
    <w:rsid w:val="00710F4D"/>
    <w:rsid w:val="00711521"/>
    <w:rsid w:val="00711A3A"/>
    <w:rsid w:val="00711C7A"/>
    <w:rsid w:val="00711DB8"/>
    <w:rsid w:val="00711F37"/>
    <w:rsid w:val="0071272D"/>
    <w:rsid w:val="007130FC"/>
    <w:rsid w:val="0071325D"/>
    <w:rsid w:val="007135FD"/>
    <w:rsid w:val="00713E89"/>
    <w:rsid w:val="00714590"/>
    <w:rsid w:val="007147C3"/>
    <w:rsid w:val="0071540A"/>
    <w:rsid w:val="00715EDF"/>
    <w:rsid w:val="00716AA3"/>
    <w:rsid w:val="00716FE1"/>
    <w:rsid w:val="00717676"/>
    <w:rsid w:val="007177CC"/>
    <w:rsid w:val="00717F73"/>
    <w:rsid w:val="00720143"/>
    <w:rsid w:val="00720751"/>
    <w:rsid w:val="00720BDD"/>
    <w:rsid w:val="00720CB5"/>
    <w:rsid w:val="00720E00"/>
    <w:rsid w:val="00720E47"/>
    <w:rsid w:val="007214AD"/>
    <w:rsid w:val="007219A3"/>
    <w:rsid w:val="007219A6"/>
    <w:rsid w:val="00721DE0"/>
    <w:rsid w:val="00721E46"/>
    <w:rsid w:val="00722130"/>
    <w:rsid w:val="0072247E"/>
    <w:rsid w:val="0072278A"/>
    <w:rsid w:val="00722CA2"/>
    <w:rsid w:val="00722CE1"/>
    <w:rsid w:val="00723A2C"/>
    <w:rsid w:val="007241BB"/>
    <w:rsid w:val="00724A2F"/>
    <w:rsid w:val="00725001"/>
    <w:rsid w:val="00725B83"/>
    <w:rsid w:val="00725E63"/>
    <w:rsid w:val="0072656F"/>
    <w:rsid w:val="007267B8"/>
    <w:rsid w:val="00726B61"/>
    <w:rsid w:val="00726C1B"/>
    <w:rsid w:val="007270C9"/>
    <w:rsid w:val="007276E6"/>
    <w:rsid w:val="0073018B"/>
    <w:rsid w:val="0073055A"/>
    <w:rsid w:val="00730FC2"/>
    <w:rsid w:val="0073104F"/>
    <w:rsid w:val="007314DA"/>
    <w:rsid w:val="0073176A"/>
    <w:rsid w:val="00731D2F"/>
    <w:rsid w:val="0073220A"/>
    <w:rsid w:val="00732F5E"/>
    <w:rsid w:val="007332CA"/>
    <w:rsid w:val="007336B7"/>
    <w:rsid w:val="00733CC2"/>
    <w:rsid w:val="00733F5A"/>
    <w:rsid w:val="00734ACE"/>
    <w:rsid w:val="00734D59"/>
    <w:rsid w:val="007352D8"/>
    <w:rsid w:val="00735CBF"/>
    <w:rsid w:val="00736281"/>
    <w:rsid w:val="0073679E"/>
    <w:rsid w:val="007367B2"/>
    <w:rsid w:val="007368C6"/>
    <w:rsid w:val="007368FB"/>
    <w:rsid w:val="00736BD8"/>
    <w:rsid w:val="00736CC4"/>
    <w:rsid w:val="007379C2"/>
    <w:rsid w:val="007379C4"/>
    <w:rsid w:val="00741112"/>
    <w:rsid w:val="0074146D"/>
    <w:rsid w:val="00741887"/>
    <w:rsid w:val="00742098"/>
    <w:rsid w:val="0074296C"/>
    <w:rsid w:val="00742974"/>
    <w:rsid w:val="00742CA6"/>
    <w:rsid w:val="007431DC"/>
    <w:rsid w:val="007434B9"/>
    <w:rsid w:val="00743846"/>
    <w:rsid w:val="00743966"/>
    <w:rsid w:val="00743B89"/>
    <w:rsid w:val="00744423"/>
    <w:rsid w:val="0074457E"/>
    <w:rsid w:val="00744E8D"/>
    <w:rsid w:val="00745422"/>
    <w:rsid w:val="00745A50"/>
    <w:rsid w:val="00745E97"/>
    <w:rsid w:val="00746595"/>
    <w:rsid w:val="007469FF"/>
    <w:rsid w:val="00746D08"/>
    <w:rsid w:val="00746E8E"/>
    <w:rsid w:val="0074711F"/>
    <w:rsid w:val="0074741C"/>
    <w:rsid w:val="00747531"/>
    <w:rsid w:val="00747705"/>
    <w:rsid w:val="0074799E"/>
    <w:rsid w:val="00747DBC"/>
    <w:rsid w:val="00747E05"/>
    <w:rsid w:val="00750C86"/>
    <w:rsid w:val="00750F87"/>
    <w:rsid w:val="007510CA"/>
    <w:rsid w:val="00751111"/>
    <w:rsid w:val="007511CE"/>
    <w:rsid w:val="00751E3B"/>
    <w:rsid w:val="007521A1"/>
    <w:rsid w:val="00752361"/>
    <w:rsid w:val="007525CC"/>
    <w:rsid w:val="00752702"/>
    <w:rsid w:val="0075283F"/>
    <w:rsid w:val="0075291C"/>
    <w:rsid w:val="0075301F"/>
    <w:rsid w:val="0075362B"/>
    <w:rsid w:val="00753D75"/>
    <w:rsid w:val="00754354"/>
    <w:rsid w:val="00754F9B"/>
    <w:rsid w:val="007551C6"/>
    <w:rsid w:val="00755CA9"/>
    <w:rsid w:val="00756225"/>
    <w:rsid w:val="00756549"/>
    <w:rsid w:val="00756560"/>
    <w:rsid w:val="00756B64"/>
    <w:rsid w:val="00756CC6"/>
    <w:rsid w:val="00756F61"/>
    <w:rsid w:val="00756FDD"/>
    <w:rsid w:val="0075700F"/>
    <w:rsid w:val="007571FA"/>
    <w:rsid w:val="0075794B"/>
    <w:rsid w:val="00757CED"/>
    <w:rsid w:val="00757D41"/>
    <w:rsid w:val="0076060F"/>
    <w:rsid w:val="00760761"/>
    <w:rsid w:val="007609D0"/>
    <w:rsid w:val="00760F0D"/>
    <w:rsid w:val="00761651"/>
    <w:rsid w:val="0076186C"/>
    <w:rsid w:val="00761CF1"/>
    <w:rsid w:val="00762511"/>
    <w:rsid w:val="00762842"/>
    <w:rsid w:val="00762A25"/>
    <w:rsid w:val="00762C7F"/>
    <w:rsid w:val="00762F9F"/>
    <w:rsid w:val="0076325C"/>
    <w:rsid w:val="00763D08"/>
    <w:rsid w:val="00763DCB"/>
    <w:rsid w:val="0076469B"/>
    <w:rsid w:val="00764ADF"/>
    <w:rsid w:val="00764F42"/>
    <w:rsid w:val="00765074"/>
    <w:rsid w:val="00765A63"/>
    <w:rsid w:val="00765CCC"/>
    <w:rsid w:val="00765E44"/>
    <w:rsid w:val="00766737"/>
    <w:rsid w:val="0076691D"/>
    <w:rsid w:val="00766DA3"/>
    <w:rsid w:val="00767507"/>
    <w:rsid w:val="00767BF9"/>
    <w:rsid w:val="00770A5D"/>
    <w:rsid w:val="00770C3B"/>
    <w:rsid w:val="00770DFE"/>
    <w:rsid w:val="00770F75"/>
    <w:rsid w:val="0077130F"/>
    <w:rsid w:val="00771B30"/>
    <w:rsid w:val="00771F9B"/>
    <w:rsid w:val="00772248"/>
    <w:rsid w:val="0077260A"/>
    <w:rsid w:val="00772D3F"/>
    <w:rsid w:val="00772D64"/>
    <w:rsid w:val="00772D6D"/>
    <w:rsid w:val="007742FA"/>
    <w:rsid w:val="0077490F"/>
    <w:rsid w:val="0077502F"/>
    <w:rsid w:val="0077504B"/>
    <w:rsid w:val="00775546"/>
    <w:rsid w:val="00775620"/>
    <w:rsid w:val="00775F70"/>
    <w:rsid w:val="00776048"/>
    <w:rsid w:val="0077770F"/>
    <w:rsid w:val="00777B93"/>
    <w:rsid w:val="00777C40"/>
    <w:rsid w:val="007800DA"/>
    <w:rsid w:val="007801DD"/>
    <w:rsid w:val="00780437"/>
    <w:rsid w:val="007808B1"/>
    <w:rsid w:val="00780DBF"/>
    <w:rsid w:val="00780E46"/>
    <w:rsid w:val="00781095"/>
    <w:rsid w:val="00781CCB"/>
    <w:rsid w:val="00781FA8"/>
    <w:rsid w:val="007822BA"/>
    <w:rsid w:val="0078284E"/>
    <w:rsid w:val="00782EC7"/>
    <w:rsid w:val="0078334B"/>
    <w:rsid w:val="00783818"/>
    <w:rsid w:val="00783A40"/>
    <w:rsid w:val="0078418B"/>
    <w:rsid w:val="007846AF"/>
    <w:rsid w:val="007848C5"/>
    <w:rsid w:val="00784C1F"/>
    <w:rsid w:val="00784C39"/>
    <w:rsid w:val="00785A21"/>
    <w:rsid w:val="00785FBD"/>
    <w:rsid w:val="00786515"/>
    <w:rsid w:val="0078660B"/>
    <w:rsid w:val="0078684F"/>
    <w:rsid w:val="00786F5E"/>
    <w:rsid w:val="007874B0"/>
    <w:rsid w:val="007876AF"/>
    <w:rsid w:val="00787AC1"/>
    <w:rsid w:val="00787F9E"/>
    <w:rsid w:val="007910A5"/>
    <w:rsid w:val="00791CBB"/>
    <w:rsid w:val="00792046"/>
    <w:rsid w:val="00792302"/>
    <w:rsid w:val="007927D6"/>
    <w:rsid w:val="00792AEC"/>
    <w:rsid w:val="00792B27"/>
    <w:rsid w:val="00792FFC"/>
    <w:rsid w:val="007933F3"/>
    <w:rsid w:val="0079343F"/>
    <w:rsid w:val="00793E86"/>
    <w:rsid w:val="00794031"/>
    <w:rsid w:val="007941C7"/>
    <w:rsid w:val="0079515A"/>
    <w:rsid w:val="007953DE"/>
    <w:rsid w:val="007957A3"/>
    <w:rsid w:val="0079588F"/>
    <w:rsid w:val="00795AD0"/>
    <w:rsid w:val="00795D31"/>
    <w:rsid w:val="00795DC9"/>
    <w:rsid w:val="00795EA6"/>
    <w:rsid w:val="007963AE"/>
    <w:rsid w:val="00797013"/>
    <w:rsid w:val="00797096"/>
    <w:rsid w:val="0079718C"/>
    <w:rsid w:val="00797A00"/>
    <w:rsid w:val="007A0EAE"/>
    <w:rsid w:val="007A17C0"/>
    <w:rsid w:val="007A1AA8"/>
    <w:rsid w:val="007A25CB"/>
    <w:rsid w:val="007A28EA"/>
    <w:rsid w:val="007A2D0F"/>
    <w:rsid w:val="007A31A4"/>
    <w:rsid w:val="007A3529"/>
    <w:rsid w:val="007A3E11"/>
    <w:rsid w:val="007A4779"/>
    <w:rsid w:val="007A4BB4"/>
    <w:rsid w:val="007A5016"/>
    <w:rsid w:val="007A606B"/>
    <w:rsid w:val="007A66AA"/>
    <w:rsid w:val="007A6897"/>
    <w:rsid w:val="007A6B2B"/>
    <w:rsid w:val="007A6B6C"/>
    <w:rsid w:val="007A7262"/>
    <w:rsid w:val="007A7395"/>
    <w:rsid w:val="007A7AA0"/>
    <w:rsid w:val="007A7ACE"/>
    <w:rsid w:val="007A7FA7"/>
    <w:rsid w:val="007B0593"/>
    <w:rsid w:val="007B0B2F"/>
    <w:rsid w:val="007B0B46"/>
    <w:rsid w:val="007B0BF1"/>
    <w:rsid w:val="007B14F1"/>
    <w:rsid w:val="007B1F92"/>
    <w:rsid w:val="007B1FAC"/>
    <w:rsid w:val="007B1FAD"/>
    <w:rsid w:val="007B20F2"/>
    <w:rsid w:val="007B20FF"/>
    <w:rsid w:val="007B2321"/>
    <w:rsid w:val="007B2492"/>
    <w:rsid w:val="007B2B95"/>
    <w:rsid w:val="007B2CC5"/>
    <w:rsid w:val="007B31BE"/>
    <w:rsid w:val="007B516F"/>
    <w:rsid w:val="007B5B51"/>
    <w:rsid w:val="007B62BF"/>
    <w:rsid w:val="007B745D"/>
    <w:rsid w:val="007B7664"/>
    <w:rsid w:val="007B79EF"/>
    <w:rsid w:val="007B7CCC"/>
    <w:rsid w:val="007B7CE2"/>
    <w:rsid w:val="007B7F9C"/>
    <w:rsid w:val="007C00F9"/>
    <w:rsid w:val="007C0AA1"/>
    <w:rsid w:val="007C20C2"/>
    <w:rsid w:val="007C2288"/>
    <w:rsid w:val="007C2432"/>
    <w:rsid w:val="007C2A61"/>
    <w:rsid w:val="007C371C"/>
    <w:rsid w:val="007C3C43"/>
    <w:rsid w:val="007C3F58"/>
    <w:rsid w:val="007C440F"/>
    <w:rsid w:val="007C4577"/>
    <w:rsid w:val="007C4A58"/>
    <w:rsid w:val="007C541C"/>
    <w:rsid w:val="007C55E0"/>
    <w:rsid w:val="007C5635"/>
    <w:rsid w:val="007C5697"/>
    <w:rsid w:val="007C608B"/>
    <w:rsid w:val="007C6335"/>
    <w:rsid w:val="007C671A"/>
    <w:rsid w:val="007C6D8E"/>
    <w:rsid w:val="007C6E8A"/>
    <w:rsid w:val="007C6F8E"/>
    <w:rsid w:val="007C72CB"/>
    <w:rsid w:val="007C7787"/>
    <w:rsid w:val="007C785C"/>
    <w:rsid w:val="007C79A6"/>
    <w:rsid w:val="007C7F63"/>
    <w:rsid w:val="007C7FF9"/>
    <w:rsid w:val="007D0295"/>
    <w:rsid w:val="007D053C"/>
    <w:rsid w:val="007D0EBF"/>
    <w:rsid w:val="007D0F0E"/>
    <w:rsid w:val="007D129C"/>
    <w:rsid w:val="007D1728"/>
    <w:rsid w:val="007D228F"/>
    <w:rsid w:val="007D34EB"/>
    <w:rsid w:val="007D380E"/>
    <w:rsid w:val="007D3AC7"/>
    <w:rsid w:val="007D4FF3"/>
    <w:rsid w:val="007D50AD"/>
    <w:rsid w:val="007D5254"/>
    <w:rsid w:val="007D54C4"/>
    <w:rsid w:val="007D5772"/>
    <w:rsid w:val="007D6579"/>
    <w:rsid w:val="007D682F"/>
    <w:rsid w:val="007D688E"/>
    <w:rsid w:val="007D68E9"/>
    <w:rsid w:val="007D6E20"/>
    <w:rsid w:val="007D7557"/>
    <w:rsid w:val="007D77FD"/>
    <w:rsid w:val="007D79ED"/>
    <w:rsid w:val="007E17F4"/>
    <w:rsid w:val="007E1F10"/>
    <w:rsid w:val="007E24C5"/>
    <w:rsid w:val="007E2674"/>
    <w:rsid w:val="007E2859"/>
    <w:rsid w:val="007E2AFC"/>
    <w:rsid w:val="007E3E65"/>
    <w:rsid w:val="007E46E8"/>
    <w:rsid w:val="007E4A5B"/>
    <w:rsid w:val="007E4B91"/>
    <w:rsid w:val="007E4BDB"/>
    <w:rsid w:val="007E5796"/>
    <w:rsid w:val="007E5B71"/>
    <w:rsid w:val="007E621F"/>
    <w:rsid w:val="007E6444"/>
    <w:rsid w:val="007E676C"/>
    <w:rsid w:val="007E6FA4"/>
    <w:rsid w:val="007E7C24"/>
    <w:rsid w:val="007F0004"/>
    <w:rsid w:val="007F097E"/>
    <w:rsid w:val="007F107C"/>
    <w:rsid w:val="007F1363"/>
    <w:rsid w:val="007F1A76"/>
    <w:rsid w:val="007F275D"/>
    <w:rsid w:val="007F2A76"/>
    <w:rsid w:val="007F330E"/>
    <w:rsid w:val="007F34D4"/>
    <w:rsid w:val="007F355F"/>
    <w:rsid w:val="007F35EC"/>
    <w:rsid w:val="007F39FD"/>
    <w:rsid w:val="007F496A"/>
    <w:rsid w:val="007F49D8"/>
    <w:rsid w:val="007F5CE9"/>
    <w:rsid w:val="007F67E1"/>
    <w:rsid w:val="007F6A45"/>
    <w:rsid w:val="007F6A50"/>
    <w:rsid w:val="007F6F21"/>
    <w:rsid w:val="007F7655"/>
    <w:rsid w:val="007F7ED5"/>
    <w:rsid w:val="0080033E"/>
    <w:rsid w:val="0080072A"/>
    <w:rsid w:val="008009D0"/>
    <w:rsid w:val="00800AA6"/>
    <w:rsid w:val="008012A6"/>
    <w:rsid w:val="00802352"/>
    <w:rsid w:val="008023E1"/>
    <w:rsid w:val="00802513"/>
    <w:rsid w:val="008029E0"/>
    <w:rsid w:val="00802AEF"/>
    <w:rsid w:val="0080335D"/>
    <w:rsid w:val="0080381C"/>
    <w:rsid w:val="00803C64"/>
    <w:rsid w:val="008044BE"/>
    <w:rsid w:val="008048D4"/>
    <w:rsid w:val="008049CB"/>
    <w:rsid w:val="008049D5"/>
    <w:rsid w:val="00804B01"/>
    <w:rsid w:val="0080507A"/>
    <w:rsid w:val="00805E7E"/>
    <w:rsid w:val="0080624F"/>
    <w:rsid w:val="00806805"/>
    <w:rsid w:val="00806953"/>
    <w:rsid w:val="00806B2A"/>
    <w:rsid w:val="00806B77"/>
    <w:rsid w:val="0080742F"/>
    <w:rsid w:val="0080769F"/>
    <w:rsid w:val="00810012"/>
    <w:rsid w:val="00810E2C"/>
    <w:rsid w:val="008115A1"/>
    <w:rsid w:val="00811B37"/>
    <w:rsid w:val="00811C59"/>
    <w:rsid w:val="008137A7"/>
    <w:rsid w:val="0081411A"/>
    <w:rsid w:val="00814305"/>
    <w:rsid w:val="00814D15"/>
    <w:rsid w:val="0081510C"/>
    <w:rsid w:val="008159D3"/>
    <w:rsid w:val="00815F70"/>
    <w:rsid w:val="00816013"/>
    <w:rsid w:val="008167E6"/>
    <w:rsid w:val="00816A4E"/>
    <w:rsid w:val="008173A8"/>
    <w:rsid w:val="0081747E"/>
    <w:rsid w:val="0081769E"/>
    <w:rsid w:val="00817816"/>
    <w:rsid w:val="00817870"/>
    <w:rsid w:val="00817A97"/>
    <w:rsid w:val="00817CB6"/>
    <w:rsid w:val="00817FA3"/>
    <w:rsid w:val="00820138"/>
    <w:rsid w:val="00820522"/>
    <w:rsid w:val="008208E5"/>
    <w:rsid w:val="008208F6"/>
    <w:rsid w:val="0082095E"/>
    <w:rsid w:val="008209E6"/>
    <w:rsid w:val="00821402"/>
    <w:rsid w:val="00822A24"/>
    <w:rsid w:val="008233CE"/>
    <w:rsid w:val="00823635"/>
    <w:rsid w:val="008237A2"/>
    <w:rsid w:val="00824497"/>
    <w:rsid w:val="00825A65"/>
    <w:rsid w:val="00825CAA"/>
    <w:rsid w:val="0082644D"/>
    <w:rsid w:val="00827148"/>
    <w:rsid w:val="0082728A"/>
    <w:rsid w:val="0082745B"/>
    <w:rsid w:val="00827A5F"/>
    <w:rsid w:val="00830495"/>
    <w:rsid w:val="00830FAC"/>
    <w:rsid w:val="008314FE"/>
    <w:rsid w:val="00831695"/>
    <w:rsid w:val="0083201D"/>
    <w:rsid w:val="00832403"/>
    <w:rsid w:val="00832546"/>
    <w:rsid w:val="00832F24"/>
    <w:rsid w:val="00833083"/>
    <w:rsid w:val="00833CFD"/>
    <w:rsid w:val="00833DB2"/>
    <w:rsid w:val="008343B2"/>
    <w:rsid w:val="00836130"/>
    <w:rsid w:val="00836316"/>
    <w:rsid w:val="0083700E"/>
    <w:rsid w:val="0083711E"/>
    <w:rsid w:val="008371B9"/>
    <w:rsid w:val="00837442"/>
    <w:rsid w:val="008374EB"/>
    <w:rsid w:val="00837E15"/>
    <w:rsid w:val="008400F6"/>
    <w:rsid w:val="00840315"/>
    <w:rsid w:val="00840ED6"/>
    <w:rsid w:val="0084143F"/>
    <w:rsid w:val="00841DD8"/>
    <w:rsid w:val="00842317"/>
    <w:rsid w:val="00842FBE"/>
    <w:rsid w:val="00844B7E"/>
    <w:rsid w:val="00845035"/>
    <w:rsid w:val="00845221"/>
    <w:rsid w:val="008455D8"/>
    <w:rsid w:val="0084597C"/>
    <w:rsid w:val="008462BD"/>
    <w:rsid w:val="0084663B"/>
    <w:rsid w:val="00846B66"/>
    <w:rsid w:val="00846C07"/>
    <w:rsid w:val="00846C7F"/>
    <w:rsid w:val="008470ED"/>
    <w:rsid w:val="00847D1D"/>
    <w:rsid w:val="008500CB"/>
    <w:rsid w:val="00850154"/>
    <w:rsid w:val="00850155"/>
    <w:rsid w:val="00850A55"/>
    <w:rsid w:val="00851888"/>
    <w:rsid w:val="00851A9A"/>
    <w:rsid w:val="00852604"/>
    <w:rsid w:val="00852DC6"/>
    <w:rsid w:val="00853210"/>
    <w:rsid w:val="00854212"/>
    <w:rsid w:val="00854CFA"/>
    <w:rsid w:val="00854DE5"/>
    <w:rsid w:val="00854EBF"/>
    <w:rsid w:val="00855433"/>
    <w:rsid w:val="008558A5"/>
    <w:rsid w:val="008572B6"/>
    <w:rsid w:val="00857BB1"/>
    <w:rsid w:val="00860414"/>
    <w:rsid w:val="00860490"/>
    <w:rsid w:val="008606E5"/>
    <w:rsid w:val="00861575"/>
    <w:rsid w:val="008623ED"/>
    <w:rsid w:val="00862F26"/>
    <w:rsid w:val="008632DB"/>
    <w:rsid w:val="008634FC"/>
    <w:rsid w:val="008635AF"/>
    <w:rsid w:val="008638F1"/>
    <w:rsid w:val="008643DE"/>
    <w:rsid w:val="00864FF9"/>
    <w:rsid w:val="00865653"/>
    <w:rsid w:val="00865735"/>
    <w:rsid w:val="0086595F"/>
    <w:rsid w:val="00865F1B"/>
    <w:rsid w:val="00865FEB"/>
    <w:rsid w:val="008667DC"/>
    <w:rsid w:val="00866A88"/>
    <w:rsid w:val="0086702A"/>
    <w:rsid w:val="0086726B"/>
    <w:rsid w:val="008673E0"/>
    <w:rsid w:val="00867D97"/>
    <w:rsid w:val="008703FE"/>
    <w:rsid w:val="008706EE"/>
    <w:rsid w:val="008708A7"/>
    <w:rsid w:val="00871000"/>
    <w:rsid w:val="0087221D"/>
    <w:rsid w:val="008724DA"/>
    <w:rsid w:val="00872AD4"/>
    <w:rsid w:val="00872E7E"/>
    <w:rsid w:val="008742DD"/>
    <w:rsid w:val="008750C2"/>
    <w:rsid w:val="00876168"/>
    <w:rsid w:val="00876451"/>
    <w:rsid w:val="00876B2A"/>
    <w:rsid w:val="00877020"/>
    <w:rsid w:val="0087761B"/>
    <w:rsid w:val="00877AF4"/>
    <w:rsid w:val="00877D2D"/>
    <w:rsid w:val="00880B87"/>
    <w:rsid w:val="008816BA"/>
    <w:rsid w:val="00881D51"/>
    <w:rsid w:val="00882301"/>
    <w:rsid w:val="008827C0"/>
    <w:rsid w:val="00883328"/>
    <w:rsid w:val="00883AD3"/>
    <w:rsid w:val="00884A55"/>
    <w:rsid w:val="00884E7C"/>
    <w:rsid w:val="0088559D"/>
    <w:rsid w:val="0088562B"/>
    <w:rsid w:val="008856DB"/>
    <w:rsid w:val="008857EF"/>
    <w:rsid w:val="00885BA3"/>
    <w:rsid w:val="00885D8F"/>
    <w:rsid w:val="008861E0"/>
    <w:rsid w:val="00886762"/>
    <w:rsid w:val="00886CCF"/>
    <w:rsid w:val="00886E72"/>
    <w:rsid w:val="00886F2D"/>
    <w:rsid w:val="0088758A"/>
    <w:rsid w:val="00887B34"/>
    <w:rsid w:val="00887D59"/>
    <w:rsid w:val="008906EC"/>
    <w:rsid w:val="0089088B"/>
    <w:rsid w:val="00890F9F"/>
    <w:rsid w:val="008910B1"/>
    <w:rsid w:val="00891FBC"/>
    <w:rsid w:val="008922EE"/>
    <w:rsid w:val="00892561"/>
    <w:rsid w:val="00892A88"/>
    <w:rsid w:val="00893086"/>
    <w:rsid w:val="008937F2"/>
    <w:rsid w:val="008941B1"/>
    <w:rsid w:val="008941FD"/>
    <w:rsid w:val="0089472A"/>
    <w:rsid w:val="008947EA"/>
    <w:rsid w:val="00894DE7"/>
    <w:rsid w:val="00895C54"/>
    <w:rsid w:val="00895C99"/>
    <w:rsid w:val="0089606C"/>
    <w:rsid w:val="00896323"/>
    <w:rsid w:val="008963EB"/>
    <w:rsid w:val="00896590"/>
    <w:rsid w:val="0089665B"/>
    <w:rsid w:val="00896B83"/>
    <w:rsid w:val="00896C23"/>
    <w:rsid w:val="00896DC6"/>
    <w:rsid w:val="008975DD"/>
    <w:rsid w:val="0089761E"/>
    <w:rsid w:val="008976DB"/>
    <w:rsid w:val="00897F88"/>
    <w:rsid w:val="00897FEF"/>
    <w:rsid w:val="008A019A"/>
    <w:rsid w:val="008A0267"/>
    <w:rsid w:val="008A05F3"/>
    <w:rsid w:val="008A0C05"/>
    <w:rsid w:val="008A0C86"/>
    <w:rsid w:val="008A125F"/>
    <w:rsid w:val="008A12C9"/>
    <w:rsid w:val="008A209D"/>
    <w:rsid w:val="008A29D2"/>
    <w:rsid w:val="008A2AA7"/>
    <w:rsid w:val="008A33A0"/>
    <w:rsid w:val="008A3710"/>
    <w:rsid w:val="008A3C73"/>
    <w:rsid w:val="008A4368"/>
    <w:rsid w:val="008A4668"/>
    <w:rsid w:val="008A4759"/>
    <w:rsid w:val="008A5BE5"/>
    <w:rsid w:val="008A6085"/>
    <w:rsid w:val="008A60BE"/>
    <w:rsid w:val="008A6542"/>
    <w:rsid w:val="008A66C1"/>
    <w:rsid w:val="008A756A"/>
    <w:rsid w:val="008B07EB"/>
    <w:rsid w:val="008B0EC5"/>
    <w:rsid w:val="008B1176"/>
    <w:rsid w:val="008B12E9"/>
    <w:rsid w:val="008B17C8"/>
    <w:rsid w:val="008B210C"/>
    <w:rsid w:val="008B22B5"/>
    <w:rsid w:val="008B2400"/>
    <w:rsid w:val="008B304B"/>
    <w:rsid w:val="008B3317"/>
    <w:rsid w:val="008B3678"/>
    <w:rsid w:val="008B3A3C"/>
    <w:rsid w:val="008B453B"/>
    <w:rsid w:val="008B51D8"/>
    <w:rsid w:val="008B5674"/>
    <w:rsid w:val="008B621A"/>
    <w:rsid w:val="008B6568"/>
    <w:rsid w:val="008B6D1A"/>
    <w:rsid w:val="008B7023"/>
    <w:rsid w:val="008B713C"/>
    <w:rsid w:val="008B7890"/>
    <w:rsid w:val="008B7C67"/>
    <w:rsid w:val="008C0784"/>
    <w:rsid w:val="008C0BF8"/>
    <w:rsid w:val="008C0DAE"/>
    <w:rsid w:val="008C1B85"/>
    <w:rsid w:val="008C22D6"/>
    <w:rsid w:val="008C22E8"/>
    <w:rsid w:val="008C26CE"/>
    <w:rsid w:val="008C2827"/>
    <w:rsid w:val="008C31B1"/>
    <w:rsid w:val="008C37BB"/>
    <w:rsid w:val="008C3AC2"/>
    <w:rsid w:val="008C3B50"/>
    <w:rsid w:val="008C408F"/>
    <w:rsid w:val="008C4217"/>
    <w:rsid w:val="008C50AB"/>
    <w:rsid w:val="008C52E6"/>
    <w:rsid w:val="008C57D7"/>
    <w:rsid w:val="008C597D"/>
    <w:rsid w:val="008C626E"/>
    <w:rsid w:val="008C6476"/>
    <w:rsid w:val="008C671C"/>
    <w:rsid w:val="008C6BD1"/>
    <w:rsid w:val="008C729D"/>
    <w:rsid w:val="008C78E2"/>
    <w:rsid w:val="008C7AA2"/>
    <w:rsid w:val="008C7DEF"/>
    <w:rsid w:val="008C7E0E"/>
    <w:rsid w:val="008D1D42"/>
    <w:rsid w:val="008D1D87"/>
    <w:rsid w:val="008D2120"/>
    <w:rsid w:val="008D266F"/>
    <w:rsid w:val="008D26D7"/>
    <w:rsid w:val="008D275B"/>
    <w:rsid w:val="008D2BE3"/>
    <w:rsid w:val="008D2CE8"/>
    <w:rsid w:val="008D2E4D"/>
    <w:rsid w:val="008D497C"/>
    <w:rsid w:val="008D555A"/>
    <w:rsid w:val="008D5D70"/>
    <w:rsid w:val="008D6298"/>
    <w:rsid w:val="008D6DFA"/>
    <w:rsid w:val="008D70EE"/>
    <w:rsid w:val="008D71A2"/>
    <w:rsid w:val="008D7350"/>
    <w:rsid w:val="008E10AA"/>
    <w:rsid w:val="008E1388"/>
    <w:rsid w:val="008E1648"/>
    <w:rsid w:val="008E1704"/>
    <w:rsid w:val="008E1C76"/>
    <w:rsid w:val="008E1D39"/>
    <w:rsid w:val="008E1DAC"/>
    <w:rsid w:val="008E233E"/>
    <w:rsid w:val="008E233F"/>
    <w:rsid w:val="008E236F"/>
    <w:rsid w:val="008E23BD"/>
    <w:rsid w:val="008E26F5"/>
    <w:rsid w:val="008E28E3"/>
    <w:rsid w:val="008E3055"/>
    <w:rsid w:val="008E3210"/>
    <w:rsid w:val="008E392A"/>
    <w:rsid w:val="008E3F13"/>
    <w:rsid w:val="008E4176"/>
    <w:rsid w:val="008E4489"/>
    <w:rsid w:val="008E454D"/>
    <w:rsid w:val="008E4FE5"/>
    <w:rsid w:val="008E5728"/>
    <w:rsid w:val="008E6291"/>
    <w:rsid w:val="008E75E0"/>
    <w:rsid w:val="008E78E0"/>
    <w:rsid w:val="008F0BBF"/>
    <w:rsid w:val="008F0C29"/>
    <w:rsid w:val="008F0E41"/>
    <w:rsid w:val="008F0EC9"/>
    <w:rsid w:val="008F12C2"/>
    <w:rsid w:val="008F14F2"/>
    <w:rsid w:val="008F1870"/>
    <w:rsid w:val="008F1BB4"/>
    <w:rsid w:val="008F2409"/>
    <w:rsid w:val="008F2426"/>
    <w:rsid w:val="008F2754"/>
    <w:rsid w:val="008F30A8"/>
    <w:rsid w:val="008F38BC"/>
    <w:rsid w:val="008F3E0D"/>
    <w:rsid w:val="008F3F8D"/>
    <w:rsid w:val="008F4222"/>
    <w:rsid w:val="008F4406"/>
    <w:rsid w:val="008F4BC0"/>
    <w:rsid w:val="008F4EB9"/>
    <w:rsid w:val="008F4FEC"/>
    <w:rsid w:val="008F5A86"/>
    <w:rsid w:val="008F5B8C"/>
    <w:rsid w:val="008F6BA0"/>
    <w:rsid w:val="008F6CED"/>
    <w:rsid w:val="008F7027"/>
    <w:rsid w:val="008F762E"/>
    <w:rsid w:val="008F770B"/>
    <w:rsid w:val="008F7C1D"/>
    <w:rsid w:val="009007F0"/>
    <w:rsid w:val="00900CD8"/>
    <w:rsid w:val="0090102C"/>
    <w:rsid w:val="00901433"/>
    <w:rsid w:val="0090224A"/>
    <w:rsid w:val="009023F8"/>
    <w:rsid w:val="00902655"/>
    <w:rsid w:val="00903036"/>
    <w:rsid w:val="009030CD"/>
    <w:rsid w:val="00903798"/>
    <w:rsid w:val="00903CF7"/>
    <w:rsid w:val="00903DFE"/>
    <w:rsid w:val="009040F1"/>
    <w:rsid w:val="00904C10"/>
    <w:rsid w:val="00904EE1"/>
    <w:rsid w:val="00905012"/>
    <w:rsid w:val="009052E3"/>
    <w:rsid w:val="009068F7"/>
    <w:rsid w:val="009075C4"/>
    <w:rsid w:val="009079DE"/>
    <w:rsid w:val="00907BA0"/>
    <w:rsid w:val="009104A4"/>
    <w:rsid w:val="00910B09"/>
    <w:rsid w:val="00912AC1"/>
    <w:rsid w:val="0091300F"/>
    <w:rsid w:val="009130C6"/>
    <w:rsid w:val="0091355F"/>
    <w:rsid w:val="009142DA"/>
    <w:rsid w:val="00914F85"/>
    <w:rsid w:val="009150AC"/>
    <w:rsid w:val="009158CE"/>
    <w:rsid w:val="00915B45"/>
    <w:rsid w:val="009160D0"/>
    <w:rsid w:val="00916130"/>
    <w:rsid w:val="00916911"/>
    <w:rsid w:val="009170D0"/>
    <w:rsid w:val="00917371"/>
    <w:rsid w:val="009174F5"/>
    <w:rsid w:val="00920D3B"/>
    <w:rsid w:val="00921137"/>
    <w:rsid w:val="0092128E"/>
    <w:rsid w:val="0092133D"/>
    <w:rsid w:val="00921696"/>
    <w:rsid w:val="00921A86"/>
    <w:rsid w:val="00921DEE"/>
    <w:rsid w:val="00921F51"/>
    <w:rsid w:val="00922191"/>
    <w:rsid w:val="009226B3"/>
    <w:rsid w:val="00923B82"/>
    <w:rsid w:val="00923CFC"/>
    <w:rsid w:val="0092425A"/>
    <w:rsid w:val="009244E6"/>
    <w:rsid w:val="009249EA"/>
    <w:rsid w:val="00925422"/>
    <w:rsid w:val="00925711"/>
    <w:rsid w:val="00925918"/>
    <w:rsid w:val="00925C18"/>
    <w:rsid w:val="0092603B"/>
    <w:rsid w:val="009260F8"/>
    <w:rsid w:val="0092659B"/>
    <w:rsid w:val="00927BAC"/>
    <w:rsid w:val="0093032D"/>
    <w:rsid w:val="00930CB7"/>
    <w:rsid w:val="009312C6"/>
    <w:rsid w:val="009313A1"/>
    <w:rsid w:val="00931AA4"/>
    <w:rsid w:val="00931CA4"/>
    <w:rsid w:val="00931DCA"/>
    <w:rsid w:val="00931F56"/>
    <w:rsid w:val="00932649"/>
    <w:rsid w:val="0093285E"/>
    <w:rsid w:val="0093286F"/>
    <w:rsid w:val="00932CB0"/>
    <w:rsid w:val="009330F9"/>
    <w:rsid w:val="009336FA"/>
    <w:rsid w:val="00933A6F"/>
    <w:rsid w:val="00933BE3"/>
    <w:rsid w:val="009348D7"/>
    <w:rsid w:val="00934E07"/>
    <w:rsid w:val="00935912"/>
    <w:rsid w:val="0093660E"/>
    <w:rsid w:val="009366BF"/>
    <w:rsid w:val="00936838"/>
    <w:rsid w:val="00936A8A"/>
    <w:rsid w:val="00937482"/>
    <w:rsid w:val="009402DA"/>
    <w:rsid w:val="009411B9"/>
    <w:rsid w:val="0094122F"/>
    <w:rsid w:val="0094129C"/>
    <w:rsid w:val="00941B71"/>
    <w:rsid w:val="00941C8B"/>
    <w:rsid w:val="0094264B"/>
    <w:rsid w:val="009427E5"/>
    <w:rsid w:val="009432DD"/>
    <w:rsid w:val="009434F1"/>
    <w:rsid w:val="009439A2"/>
    <w:rsid w:val="00943A27"/>
    <w:rsid w:val="009445BB"/>
    <w:rsid w:val="009449ED"/>
    <w:rsid w:val="00945418"/>
    <w:rsid w:val="009456D4"/>
    <w:rsid w:val="009461DC"/>
    <w:rsid w:val="0094686C"/>
    <w:rsid w:val="009473FE"/>
    <w:rsid w:val="00947B90"/>
    <w:rsid w:val="00947EBC"/>
    <w:rsid w:val="00950063"/>
    <w:rsid w:val="00950379"/>
    <w:rsid w:val="00950551"/>
    <w:rsid w:val="00950A77"/>
    <w:rsid w:val="00951B39"/>
    <w:rsid w:val="0095374C"/>
    <w:rsid w:val="0095387D"/>
    <w:rsid w:val="00953B1D"/>
    <w:rsid w:val="009544BE"/>
    <w:rsid w:val="0095469E"/>
    <w:rsid w:val="009548CA"/>
    <w:rsid w:val="0095515C"/>
    <w:rsid w:val="009551A9"/>
    <w:rsid w:val="00955C70"/>
    <w:rsid w:val="009566C7"/>
    <w:rsid w:val="00956D6E"/>
    <w:rsid w:val="009578F2"/>
    <w:rsid w:val="00957999"/>
    <w:rsid w:val="00957AAC"/>
    <w:rsid w:val="00957E9B"/>
    <w:rsid w:val="00957FF7"/>
    <w:rsid w:val="00960165"/>
    <w:rsid w:val="009603AE"/>
    <w:rsid w:val="00961E59"/>
    <w:rsid w:val="00961FCA"/>
    <w:rsid w:val="0096274F"/>
    <w:rsid w:val="009627E1"/>
    <w:rsid w:val="0096283B"/>
    <w:rsid w:val="00962B1B"/>
    <w:rsid w:val="00962F22"/>
    <w:rsid w:val="0096308D"/>
    <w:rsid w:val="009644DE"/>
    <w:rsid w:val="009645C6"/>
    <w:rsid w:val="009645D8"/>
    <w:rsid w:val="00964802"/>
    <w:rsid w:val="00964BFE"/>
    <w:rsid w:val="00965C63"/>
    <w:rsid w:val="00965CED"/>
    <w:rsid w:val="0096610A"/>
    <w:rsid w:val="0096644E"/>
    <w:rsid w:val="00966645"/>
    <w:rsid w:val="009668EB"/>
    <w:rsid w:val="00966F47"/>
    <w:rsid w:val="0096754D"/>
    <w:rsid w:val="00970195"/>
    <w:rsid w:val="009702B3"/>
    <w:rsid w:val="009704BB"/>
    <w:rsid w:val="00970997"/>
    <w:rsid w:val="00970A2A"/>
    <w:rsid w:val="00970ADE"/>
    <w:rsid w:val="00970E76"/>
    <w:rsid w:val="00971024"/>
    <w:rsid w:val="00971A53"/>
    <w:rsid w:val="00971B5C"/>
    <w:rsid w:val="00971E4A"/>
    <w:rsid w:val="0097223A"/>
    <w:rsid w:val="00972395"/>
    <w:rsid w:val="0097268F"/>
    <w:rsid w:val="0097287C"/>
    <w:rsid w:val="00973164"/>
    <w:rsid w:val="0097378B"/>
    <w:rsid w:val="009745AE"/>
    <w:rsid w:val="009746ED"/>
    <w:rsid w:val="00974B1E"/>
    <w:rsid w:val="00974C73"/>
    <w:rsid w:val="00975926"/>
    <w:rsid w:val="00976376"/>
    <w:rsid w:val="009764A0"/>
    <w:rsid w:val="0097664A"/>
    <w:rsid w:val="00976669"/>
    <w:rsid w:val="00977579"/>
    <w:rsid w:val="00977875"/>
    <w:rsid w:val="00977C30"/>
    <w:rsid w:val="00977D01"/>
    <w:rsid w:val="00977DEB"/>
    <w:rsid w:val="0098002B"/>
    <w:rsid w:val="00980CC9"/>
    <w:rsid w:val="00980E62"/>
    <w:rsid w:val="00981897"/>
    <w:rsid w:val="009818B5"/>
    <w:rsid w:val="00982BDE"/>
    <w:rsid w:val="00982EBB"/>
    <w:rsid w:val="00982F44"/>
    <w:rsid w:val="00983903"/>
    <w:rsid w:val="00983956"/>
    <w:rsid w:val="009843C9"/>
    <w:rsid w:val="0098505F"/>
    <w:rsid w:val="00985485"/>
    <w:rsid w:val="00985554"/>
    <w:rsid w:val="009857EB"/>
    <w:rsid w:val="00985F9B"/>
    <w:rsid w:val="00986192"/>
    <w:rsid w:val="00986319"/>
    <w:rsid w:val="009867A3"/>
    <w:rsid w:val="0098698A"/>
    <w:rsid w:val="00986AAA"/>
    <w:rsid w:val="0098752F"/>
    <w:rsid w:val="00987933"/>
    <w:rsid w:val="00987987"/>
    <w:rsid w:val="00987995"/>
    <w:rsid w:val="009879D2"/>
    <w:rsid w:val="00987F1A"/>
    <w:rsid w:val="00987FC5"/>
    <w:rsid w:val="00987FDE"/>
    <w:rsid w:val="00990577"/>
    <w:rsid w:val="009905BC"/>
    <w:rsid w:val="00990B19"/>
    <w:rsid w:val="00990B38"/>
    <w:rsid w:val="00990B6B"/>
    <w:rsid w:val="00990FE4"/>
    <w:rsid w:val="00991777"/>
    <w:rsid w:val="009925C9"/>
    <w:rsid w:val="009928DB"/>
    <w:rsid w:val="00992A29"/>
    <w:rsid w:val="0099375D"/>
    <w:rsid w:val="009941F6"/>
    <w:rsid w:val="009942E0"/>
    <w:rsid w:val="00994832"/>
    <w:rsid w:val="0099496D"/>
    <w:rsid w:val="00994AB3"/>
    <w:rsid w:val="009951FC"/>
    <w:rsid w:val="009958CF"/>
    <w:rsid w:val="00995C7F"/>
    <w:rsid w:val="009961EC"/>
    <w:rsid w:val="0099625A"/>
    <w:rsid w:val="00996D1D"/>
    <w:rsid w:val="00996D6A"/>
    <w:rsid w:val="00996E07"/>
    <w:rsid w:val="009972B9"/>
    <w:rsid w:val="00997475"/>
    <w:rsid w:val="00997DB7"/>
    <w:rsid w:val="00997F99"/>
    <w:rsid w:val="009A01B9"/>
    <w:rsid w:val="009A0233"/>
    <w:rsid w:val="009A063D"/>
    <w:rsid w:val="009A0920"/>
    <w:rsid w:val="009A0BA4"/>
    <w:rsid w:val="009A1054"/>
    <w:rsid w:val="009A17EA"/>
    <w:rsid w:val="009A1821"/>
    <w:rsid w:val="009A25F5"/>
    <w:rsid w:val="009A2ADB"/>
    <w:rsid w:val="009A3D7C"/>
    <w:rsid w:val="009A3F33"/>
    <w:rsid w:val="009A3FE1"/>
    <w:rsid w:val="009A4923"/>
    <w:rsid w:val="009A4DDF"/>
    <w:rsid w:val="009A4EC6"/>
    <w:rsid w:val="009A54AB"/>
    <w:rsid w:val="009A5917"/>
    <w:rsid w:val="009A60AD"/>
    <w:rsid w:val="009A6958"/>
    <w:rsid w:val="009A6EDA"/>
    <w:rsid w:val="009A6F73"/>
    <w:rsid w:val="009A72B7"/>
    <w:rsid w:val="009A75DD"/>
    <w:rsid w:val="009A76F8"/>
    <w:rsid w:val="009A7FA3"/>
    <w:rsid w:val="009B0433"/>
    <w:rsid w:val="009B0665"/>
    <w:rsid w:val="009B0A5A"/>
    <w:rsid w:val="009B17E1"/>
    <w:rsid w:val="009B1CAB"/>
    <w:rsid w:val="009B1CCC"/>
    <w:rsid w:val="009B1E92"/>
    <w:rsid w:val="009B286D"/>
    <w:rsid w:val="009B2C2A"/>
    <w:rsid w:val="009B352A"/>
    <w:rsid w:val="009B35F1"/>
    <w:rsid w:val="009B3691"/>
    <w:rsid w:val="009B3917"/>
    <w:rsid w:val="009B3A05"/>
    <w:rsid w:val="009B46DE"/>
    <w:rsid w:val="009B49A9"/>
    <w:rsid w:val="009B5047"/>
    <w:rsid w:val="009B50C1"/>
    <w:rsid w:val="009B578F"/>
    <w:rsid w:val="009B6098"/>
    <w:rsid w:val="009B6287"/>
    <w:rsid w:val="009B6333"/>
    <w:rsid w:val="009B793A"/>
    <w:rsid w:val="009B7B18"/>
    <w:rsid w:val="009C1004"/>
    <w:rsid w:val="009C23D5"/>
    <w:rsid w:val="009C279E"/>
    <w:rsid w:val="009C3F0D"/>
    <w:rsid w:val="009C4015"/>
    <w:rsid w:val="009C4048"/>
    <w:rsid w:val="009C43FF"/>
    <w:rsid w:val="009C4AD0"/>
    <w:rsid w:val="009C5017"/>
    <w:rsid w:val="009C51B3"/>
    <w:rsid w:val="009C566D"/>
    <w:rsid w:val="009C59E6"/>
    <w:rsid w:val="009C5D62"/>
    <w:rsid w:val="009C652D"/>
    <w:rsid w:val="009C67AC"/>
    <w:rsid w:val="009C6C69"/>
    <w:rsid w:val="009C7B74"/>
    <w:rsid w:val="009C7DB9"/>
    <w:rsid w:val="009C7E15"/>
    <w:rsid w:val="009D0308"/>
    <w:rsid w:val="009D03C3"/>
    <w:rsid w:val="009D0414"/>
    <w:rsid w:val="009D079B"/>
    <w:rsid w:val="009D0A37"/>
    <w:rsid w:val="009D0C9C"/>
    <w:rsid w:val="009D0D14"/>
    <w:rsid w:val="009D10B0"/>
    <w:rsid w:val="009D2493"/>
    <w:rsid w:val="009D338F"/>
    <w:rsid w:val="009D33E7"/>
    <w:rsid w:val="009D44D1"/>
    <w:rsid w:val="009D4DD5"/>
    <w:rsid w:val="009D506C"/>
    <w:rsid w:val="009D6FA9"/>
    <w:rsid w:val="009E0024"/>
    <w:rsid w:val="009E037D"/>
    <w:rsid w:val="009E050C"/>
    <w:rsid w:val="009E1C60"/>
    <w:rsid w:val="009E2590"/>
    <w:rsid w:val="009E2D94"/>
    <w:rsid w:val="009E31DC"/>
    <w:rsid w:val="009E364A"/>
    <w:rsid w:val="009E3745"/>
    <w:rsid w:val="009E4360"/>
    <w:rsid w:val="009E493F"/>
    <w:rsid w:val="009E5184"/>
    <w:rsid w:val="009E547B"/>
    <w:rsid w:val="009E5F69"/>
    <w:rsid w:val="009E6070"/>
    <w:rsid w:val="009E6A4B"/>
    <w:rsid w:val="009E6D16"/>
    <w:rsid w:val="009E71E1"/>
    <w:rsid w:val="009F02B3"/>
    <w:rsid w:val="009F03DF"/>
    <w:rsid w:val="009F0967"/>
    <w:rsid w:val="009F0A2E"/>
    <w:rsid w:val="009F0BD2"/>
    <w:rsid w:val="009F1176"/>
    <w:rsid w:val="009F2EB3"/>
    <w:rsid w:val="009F2FDF"/>
    <w:rsid w:val="009F3440"/>
    <w:rsid w:val="009F3474"/>
    <w:rsid w:val="009F4BBA"/>
    <w:rsid w:val="009F4D49"/>
    <w:rsid w:val="009F4D6C"/>
    <w:rsid w:val="009F4D71"/>
    <w:rsid w:val="009F6027"/>
    <w:rsid w:val="009F6B6B"/>
    <w:rsid w:val="009F6EBE"/>
    <w:rsid w:val="009F75A2"/>
    <w:rsid w:val="00A0011C"/>
    <w:rsid w:val="00A0083D"/>
    <w:rsid w:val="00A00988"/>
    <w:rsid w:val="00A00E35"/>
    <w:rsid w:val="00A01528"/>
    <w:rsid w:val="00A01BBC"/>
    <w:rsid w:val="00A01C31"/>
    <w:rsid w:val="00A01F61"/>
    <w:rsid w:val="00A021F7"/>
    <w:rsid w:val="00A0243C"/>
    <w:rsid w:val="00A0248E"/>
    <w:rsid w:val="00A0269F"/>
    <w:rsid w:val="00A02837"/>
    <w:rsid w:val="00A049DB"/>
    <w:rsid w:val="00A04B65"/>
    <w:rsid w:val="00A04FAB"/>
    <w:rsid w:val="00A0503F"/>
    <w:rsid w:val="00A05089"/>
    <w:rsid w:val="00A05141"/>
    <w:rsid w:val="00A0542F"/>
    <w:rsid w:val="00A055B2"/>
    <w:rsid w:val="00A05E90"/>
    <w:rsid w:val="00A0631C"/>
    <w:rsid w:val="00A0635C"/>
    <w:rsid w:val="00A0637F"/>
    <w:rsid w:val="00A06509"/>
    <w:rsid w:val="00A06848"/>
    <w:rsid w:val="00A068CE"/>
    <w:rsid w:val="00A069B4"/>
    <w:rsid w:val="00A06BB8"/>
    <w:rsid w:val="00A07221"/>
    <w:rsid w:val="00A07A4E"/>
    <w:rsid w:val="00A07D41"/>
    <w:rsid w:val="00A07FBD"/>
    <w:rsid w:val="00A1040F"/>
    <w:rsid w:val="00A104AC"/>
    <w:rsid w:val="00A10AE0"/>
    <w:rsid w:val="00A114E3"/>
    <w:rsid w:val="00A114F1"/>
    <w:rsid w:val="00A11B60"/>
    <w:rsid w:val="00A11D0D"/>
    <w:rsid w:val="00A124EC"/>
    <w:rsid w:val="00A12694"/>
    <w:rsid w:val="00A128B0"/>
    <w:rsid w:val="00A12B60"/>
    <w:rsid w:val="00A12ED5"/>
    <w:rsid w:val="00A13083"/>
    <w:rsid w:val="00A136F6"/>
    <w:rsid w:val="00A13A77"/>
    <w:rsid w:val="00A13F04"/>
    <w:rsid w:val="00A14E6F"/>
    <w:rsid w:val="00A14F11"/>
    <w:rsid w:val="00A15543"/>
    <w:rsid w:val="00A16A5F"/>
    <w:rsid w:val="00A16C3E"/>
    <w:rsid w:val="00A17558"/>
    <w:rsid w:val="00A2000D"/>
    <w:rsid w:val="00A20926"/>
    <w:rsid w:val="00A21C0B"/>
    <w:rsid w:val="00A21CDB"/>
    <w:rsid w:val="00A21D9F"/>
    <w:rsid w:val="00A223A5"/>
    <w:rsid w:val="00A230C4"/>
    <w:rsid w:val="00A231CC"/>
    <w:rsid w:val="00A23698"/>
    <w:rsid w:val="00A238ED"/>
    <w:rsid w:val="00A244EE"/>
    <w:rsid w:val="00A24799"/>
    <w:rsid w:val="00A252B8"/>
    <w:rsid w:val="00A25C70"/>
    <w:rsid w:val="00A26556"/>
    <w:rsid w:val="00A275FA"/>
    <w:rsid w:val="00A30415"/>
    <w:rsid w:val="00A30FAE"/>
    <w:rsid w:val="00A31748"/>
    <w:rsid w:val="00A3206C"/>
    <w:rsid w:val="00A3257A"/>
    <w:rsid w:val="00A328B9"/>
    <w:rsid w:val="00A328CA"/>
    <w:rsid w:val="00A32AD3"/>
    <w:rsid w:val="00A32C54"/>
    <w:rsid w:val="00A32D66"/>
    <w:rsid w:val="00A32F32"/>
    <w:rsid w:val="00A33102"/>
    <w:rsid w:val="00A33D95"/>
    <w:rsid w:val="00A34013"/>
    <w:rsid w:val="00A340AF"/>
    <w:rsid w:val="00A340EB"/>
    <w:rsid w:val="00A34B8F"/>
    <w:rsid w:val="00A35133"/>
    <w:rsid w:val="00A3528E"/>
    <w:rsid w:val="00A353B0"/>
    <w:rsid w:val="00A354DA"/>
    <w:rsid w:val="00A35738"/>
    <w:rsid w:val="00A3575C"/>
    <w:rsid w:val="00A35824"/>
    <w:rsid w:val="00A366AA"/>
    <w:rsid w:val="00A37078"/>
    <w:rsid w:val="00A37375"/>
    <w:rsid w:val="00A37B2B"/>
    <w:rsid w:val="00A40098"/>
    <w:rsid w:val="00A4012C"/>
    <w:rsid w:val="00A422C0"/>
    <w:rsid w:val="00A42716"/>
    <w:rsid w:val="00A42A30"/>
    <w:rsid w:val="00A42CEC"/>
    <w:rsid w:val="00A42E1E"/>
    <w:rsid w:val="00A44042"/>
    <w:rsid w:val="00A4416D"/>
    <w:rsid w:val="00A4448F"/>
    <w:rsid w:val="00A4455F"/>
    <w:rsid w:val="00A44841"/>
    <w:rsid w:val="00A44F21"/>
    <w:rsid w:val="00A45399"/>
    <w:rsid w:val="00A4565F"/>
    <w:rsid w:val="00A45C55"/>
    <w:rsid w:val="00A45FB0"/>
    <w:rsid w:val="00A4632A"/>
    <w:rsid w:val="00A46611"/>
    <w:rsid w:val="00A46810"/>
    <w:rsid w:val="00A46E8F"/>
    <w:rsid w:val="00A4714A"/>
    <w:rsid w:val="00A474A1"/>
    <w:rsid w:val="00A47D13"/>
    <w:rsid w:val="00A50081"/>
    <w:rsid w:val="00A503A0"/>
    <w:rsid w:val="00A503F7"/>
    <w:rsid w:val="00A50CD3"/>
    <w:rsid w:val="00A5201D"/>
    <w:rsid w:val="00A52525"/>
    <w:rsid w:val="00A525B8"/>
    <w:rsid w:val="00A5293B"/>
    <w:rsid w:val="00A52C3C"/>
    <w:rsid w:val="00A5391C"/>
    <w:rsid w:val="00A54237"/>
    <w:rsid w:val="00A543B5"/>
    <w:rsid w:val="00A543D9"/>
    <w:rsid w:val="00A54912"/>
    <w:rsid w:val="00A5582F"/>
    <w:rsid w:val="00A559B9"/>
    <w:rsid w:val="00A55A71"/>
    <w:rsid w:val="00A55BE8"/>
    <w:rsid w:val="00A560AF"/>
    <w:rsid w:val="00A5696A"/>
    <w:rsid w:val="00A56C25"/>
    <w:rsid w:val="00A57157"/>
    <w:rsid w:val="00A573BA"/>
    <w:rsid w:val="00A57B80"/>
    <w:rsid w:val="00A60244"/>
    <w:rsid w:val="00A60CD0"/>
    <w:rsid w:val="00A60EED"/>
    <w:rsid w:val="00A610C5"/>
    <w:rsid w:val="00A61885"/>
    <w:rsid w:val="00A62724"/>
    <w:rsid w:val="00A62BA8"/>
    <w:rsid w:val="00A62CEB"/>
    <w:rsid w:val="00A63CDA"/>
    <w:rsid w:val="00A63EB2"/>
    <w:rsid w:val="00A641E3"/>
    <w:rsid w:val="00A64E3A"/>
    <w:rsid w:val="00A6515A"/>
    <w:rsid w:val="00A652E5"/>
    <w:rsid w:val="00A658AD"/>
    <w:rsid w:val="00A659EF"/>
    <w:rsid w:val="00A65DB0"/>
    <w:rsid w:val="00A66483"/>
    <w:rsid w:val="00A66721"/>
    <w:rsid w:val="00A7043A"/>
    <w:rsid w:val="00A70CAB"/>
    <w:rsid w:val="00A710F5"/>
    <w:rsid w:val="00A71199"/>
    <w:rsid w:val="00A714B2"/>
    <w:rsid w:val="00A71C01"/>
    <w:rsid w:val="00A72324"/>
    <w:rsid w:val="00A7254A"/>
    <w:rsid w:val="00A726ED"/>
    <w:rsid w:val="00A738B1"/>
    <w:rsid w:val="00A7435B"/>
    <w:rsid w:val="00A749FD"/>
    <w:rsid w:val="00A74B13"/>
    <w:rsid w:val="00A74B5C"/>
    <w:rsid w:val="00A74EB0"/>
    <w:rsid w:val="00A755AD"/>
    <w:rsid w:val="00A76292"/>
    <w:rsid w:val="00A7666B"/>
    <w:rsid w:val="00A766F2"/>
    <w:rsid w:val="00A770BB"/>
    <w:rsid w:val="00A778D7"/>
    <w:rsid w:val="00A801C4"/>
    <w:rsid w:val="00A80710"/>
    <w:rsid w:val="00A809C0"/>
    <w:rsid w:val="00A80F86"/>
    <w:rsid w:val="00A812E7"/>
    <w:rsid w:val="00A82378"/>
    <w:rsid w:val="00A825EE"/>
    <w:rsid w:val="00A829FF"/>
    <w:rsid w:val="00A83C4D"/>
    <w:rsid w:val="00A83F31"/>
    <w:rsid w:val="00A8422D"/>
    <w:rsid w:val="00A84644"/>
    <w:rsid w:val="00A846BB"/>
    <w:rsid w:val="00A84B77"/>
    <w:rsid w:val="00A854BF"/>
    <w:rsid w:val="00A85935"/>
    <w:rsid w:val="00A859CD"/>
    <w:rsid w:val="00A85D67"/>
    <w:rsid w:val="00A866BC"/>
    <w:rsid w:val="00A8739B"/>
    <w:rsid w:val="00A87B27"/>
    <w:rsid w:val="00A87FFA"/>
    <w:rsid w:val="00A90249"/>
    <w:rsid w:val="00A90409"/>
    <w:rsid w:val="00A9045D"/>
    <w:rsid w:val="00A904AD"/>
    <w:rsid w:val="00A90972"/>
    <w:rsid w:val="00A90F1E"/>
    <w:rsid w:val="00A90FE2"/>
    <w:rsid w:val="00A91038"/>
    <w:rsid w:val="00A91BAD"/>
    <w:rsid w:val="00A91D2D"/>
    <w:rsid w:val="00A9290F"/>
    <w:rsid w:val="00A9310F"/>
    <w:rsid w:val="00A93B61"/>
    <w:rsid w:val="00A93F15"/>
    <w:rsid w:val="00A941EF"/>
    <w:rsid w:val="00A94905"/>
    <w:rsid w:val="00A9492E"/>
    <w:rsid w:val="00A94E7A"/>
    <w:rsid w:val="00A94EBE"/>
    <w:rsid w:val="00A95A66"/>
    <w:rsid w:val="00A95BA1"/>
    <w:rsid w:val="00A95E4B"/>
    <w:rsid w:val="00A9616C"/>
    <w:rsid w:val="00A96508"/>
    <w:rsid w:val="00A96DF1"/>
    <w:rsid w:val="00A9748A"/>
    <w:rsid w:val="00A977AC"/>
    <w:rsid w:val="00AA0AF7"/>
    <w:rsid w:val="00AA0FBC"/>
    <w:rsid w:val="00AA1174"/>
    <w:rsid w:val="00AA124B"/>
    <w:rsid w:val="00AA17F8"/>
    <w:rsid w:val="00AA1D3E"/>
    <w:rsid w:val="00AA1F6B"/>
    <w:rsid w:val="00AA262C"/>
    <w:rsid w:val="00AA2D5A"/>
    <w:rsid w:val="00AA31C5"/>
    <w:rsid w:val="00AA397B"/>
    <w:rsid w:val="00AA39C8"/>
    <w:rsid w:val="00AA51B8"/>
    <w:rsid w:val="00AA58B8"/>
    <w:rsid w:val="00AA5D08"/>
    <w:rsid w:val="00AA6922"/>
    <w:rsid w:val="00AA71D3"/>
    <w:rsid w:val="00AA78B5"/>
    <w:rsid w:val="00AB05BD"/>
    <w:rsid w:val="00AB0724"/>
    <w:rsid w:val="00AB19C8"/>
    <w:rsid w:val="00AB1B6F"/>
    <w:rsid w:val="00AB22E6"/>
    <w:rsid w:val="00AB23D7"/>
    <w:rsid w:val="00AB2843"/>
    <w:rsid w:val="00AB351B"/>
    <w:rsid w:val="00AB39DA"/>
    <w:rsid w:val="00AB3AF5"/>
    <w:rsid w:val="00AB41D3"/>
    <w:rsid w:val="00AB467E"/>
    <w:rsid w:val="00AB4B6C"/>
    <w:rsid w:val="00AB50D0"/>
    <w:rsid w:val="00AB536C"/>
    <w:rsid w:val="00AB5D62"/>
    <w:rsid w:val="00AB5E5D"/>
    <w:rsid w:val="00AB6A3B"/>
    <w:rsid w:val="00AB6E33"/>
    <w:rsid w:val="00AB721D"/>
    <w:rsid w:val="00AB7587"/>
    <w:rsid w:val="00AC14A0"/>
    <w:rsid w:val="00AC1508"/>
    <w:rsid w:val="00AC165D"/>
    <w:rsid w:val="00AC23A8"/>
    <w:rsid w:val="00AC2440"/>
    <w:rsid w:val="00AC25F2"/>
    <w:rsid w:val="00AC2D98"/>
    <w:rsid w:val="00AC2DFC"/>
    <w:rsid w:val="00AC3009"/>
    <w:rsid w:val="00AC3035"/>
    <w:rsid w:val="00AC3401"/>
    <w:rsid w:val="00AC36A0"/>
    <w:rsid w:val="00AC3E40"/>
    <w:rsid w:val="00AC45DA"/>
    <w:rsid w:val="00AC53B7"/>
    <w:rsid w:val="00AC5CE9"/>
    <w:rsid w:val="00AC5D93"/>
    <w:rsid w:val="00AC61A2"/>
    <w:rsid w:val="00AC61AD"/>
    <w:rsid w:val="00AC6554"/>
    <w:rsid w:val="00AC65C3"/>
    <w:rsid w:val="00AC6BAB"/>
    <w:rsid w:val="00AC7190"/>
    <w:rsid w:val="00AC76A0"/>
    <w:rsid w:val="00AC784C"/>
    <w:rsid w:val="00AC7BB3"/>
    <w:rsid w:val="00AC7D5B"/>
    <w:rsid w:val="00AD0800"/>
    <w:rsid w:val="00AD0A1B"/>
    <w:rsid w:val="00AD12F8"/>
    <w:rsid w:val="00AD1BF6"/>
    <w:rsid w:val="00AD269E"/>
    <w:rsid w:val="00AD2DB6"/>
    <w:rsid w:val="00AD35EE"/>
    <w:rsid w:val="00AD5329"/>
    <w:rsid w:val="00AD632C"/>
    <w:rsid w:val="00AD632F"/>
    <w:rsid w:val="00AD6477"/>
    <w:rsid w:val="00AD6B94"/>
    <w:rsid w:val="00AD6D99"/>
    <w:rsid w:val="00AD6F66"/>
    <w:rsid w:val="00AD7438"/>
    <w:rsid w:val="00AE004A"/>
    <w:rsid w:val="00AE086E"/>
    <w:rsid w:val="00AE18FB"/>
    <w:rsid w:val="00AE1D6D"/>
    <w:rsid w:val="00AE1F65"/>
    <w:rsid w:val="00AE2812"/>
    <w:rsid w:val="00AE2DE0"/>
    <w:rsid w:val="00AE329C"/>
    <w:rsid w:val="00AE3E59"/>
    <w:rsid w:val="00AE3F8C"/>
    <w:rsid w:val="00AE46BC"/>
    <w:rsid w:val="00AE4838"/>
    <w:rsid w:val="00AE5179"/>
    <w:rsid w:val="00AE5CD8"/>
    <w:rsid w:val="00AE6F6A"/>
    <w:rsid w:val="00AE73B8"/>
    <w:rsid w:val="00AE73D2"/>
    <w:rsid w:val="00AE7455"/>
    <w:rsid w:val="00AE7CA1"/>
    <w:rsid w:val="00AF0EAA"/>
    <w:rsid w:val="00AF1113"/>
    <w:rsid w:val="00AF1303"/>
    <w:rsid w:val="00AF1733"/>
    <w:rsid w:val="00AF190F"/>
    <w:rsid w:val="00AF26FA"/>
    <w:rsid w:val="00AF2927"/>
    <w:rsid w:val="00AF2C5B"/>
    <w:rsid w:val="00AF316C"/>
    <w:rsid w:val="00AF3BE2"/>
    <w:rsid w:val="00AF41DA"/>
    <w:rsid w:val="00AF47BC"/>
    <w:rsid w:val="00AF4D8D"/>
    <w:rsid w:val="00AF52A9"/>
    <w:rsid w:val="00AF5599"/>
    <w:rsid w:val="00AF59AE"/>
    <w:rsid w:val="00AF5C3B"/>
    <w:rsid w:val="00AF625A"/>
    <w:rsid w:val="00AF6BE0"/>
    <w:rsid w:val="00B00AD6"/>
    <w:rsid w:val="00B019F6"/>
    <w:rsid w:val="00B01C4B"/>
    <w:rsid w:val="00B01CE3"/>
    <w:rsid w:val="00B020A8"/>
    <w:rsid w:val="00B02525"/>
    <w:rsid w:val="00B02F24"/>
    <w:rsid w:val="00B02FD2"/>
    <w:rsid w:val="00B030E2"/>
    <w:rsid w:val="00B032A5"/>
    <w:rsid w:val="00B03341"/>
    <w:rsid w:val="00B03C17"/>
    <w:rsid w:val="00B03F8F"/>
    <w:rsid w:val="00B03FAC"/>
    <w:rsid w:val="00B046D0"/>
    <w:rsid w:val="00B047DC"/>
    <w:rsid w:val="00B04ABA"/>
    <w:rsid w:val="00B04B6B"/>
    <w:rsid w:val="00B04BAF"/>
    <w:rsid w:val="00B04F1E"/>
    <w:rsid w:val="00B0506C"/>
    <w:rsid w:val="00B05994"/>
    <w:rsid w:val="00B062F6"/>
    <w:rsid w:val="00B0652F"/>
    <w:rsid w:val="00B067F5"/>
    <w:rsid w:val="00B06BFE"/>
    <w:rsid w:val="00B07556"/>
    <w:rsid w:val="00B076BD"/>
    <w:rsid w:val="00B104B0"/>
    <w:rsid w:val="00B106EB"/>
    <w:rsid w:val="00B10B2B"/>
    <w:rsid w:val="00B10B32"/>
    <w:rsid w:val="00B11221"/>
    <w:rsid w:val="00B12688"/>
    <w:rsid w:val="00B1277A"/>
    <w:rsid w:val="00B12B7F"/>
    <w:rsid w:val="00B12C4F"/>
    <w:rsid w:val="00B12F70"/>
    <w:rsid w:val="00B1399D"/>
    <w:rsid w:val="00B13CA3"/>
    <w:rsid w:val="00B13DCC"/>
    <w:rsid w:val="00B14402"/>
    <w:rsid w:val="00B15C30"/>
    <w:rsid w:val="00B16A34"/>
    <w:rsid w:val="00B16AAD"/>
    <w:rsid w:val="00B1736C"/>
    <w:rsid w:val="00B1778B"/>
    <w:rsid w:val="00B178F1"/>
    <w:rsid w:val="00B17BD2"/>
    <w:rsid w:val="00B20536"/>
    <w:rsid w:val="00B20A46"/>
    <w:rsid w:val="00B20A6E"/>
    <w:rsid w:val="00B218FC"/>
    <w:rsid w:val="00B21976"/>
    <w:rsid w:val="00B221E0"/>
    <w:rsid w:val="00B22473"/>
    <w:rsid w:val="00B22EBE"/>
    <w:rsid w:val="00B23062"/>
    <w:rsid w:val="00B238F8"/>
    <w:rsid w:val="00B23A13"/>
    <w:rsid w:val="00B23EB4"/>
    <w:rsid w:val="00B241D3"/>
    <w:rsid w:val="00B24F7B"/>
    <w:rsid w:val="00B254DE"/>
    <w:rsid w:val="00B2578A"/>
    <w:rsid w:val="00B25813"/>
    <w:rsid w:val="00B265CF"/>
    <w:rsid w:val="00B272C7"/>
    <w:rsid w:val="00B27711"/>
    <w:rsid w:val="00B30327"/>
    <w:rsid w:val="00B304BA"/>
    <w:rsid w:val="00B31932"/>
    <w:rsid w:val="00B31DAC"/>
    <w:rsid w:val="00B325BE"/>
    <w:rsid w:val="00B32E33"/>
    <w:rsid w:val="00B33018"/>
    <w:rsid w:val="00B34257"/>
    <w:rsid w:val="00B34925"/>
    <w:rsid w:val="00B34A76"/>
    <w:rsid w:val="00B34ADB"/>
    <w:rsid w:val="00B34B9B"/>
    <w:rsid w:val="00B34BA7"/>
    <w:rsid w:val="00B3544D"/>
    <w:rsid w:val="00B35A03"/>
    <w:rsid w:val="00B360F8"/>
    <w:rsid w:val="00B3680A"/>
    <w:rsid w:val="00B3683C"/>
    <w:rsid w:val="00B371B9"/>
    <w:rsid w:val="00B4024C"/>
    <w:rsid w:val="00B40E65"/>
    <w:rsid w:val="00B414A9"/>
    <w:rsid w:val="00B41C17"/>
    <w:rsid w:val="00B41D60"/>
    <w:rsid w:val="00B42585"/>
    <w:rsid w:val="00B431C7"/>
    <w:rsid w:val="00B4343C"/>
    <w:rsid w:val="00B44181"/>
    <w:rsid w:val="00B44DF0"/>
    <w:rsid w:val="00B461F3"/>
    <w:rsid w:val="00B46331"/>
    <w:rsid w:val="00B47005"/>
    <w:rsid w:val="00B4714D"/>
    <w:rsid w:val="00B47475"/>
    <w:rsid w:val="00B47A93"/>
    <w:rsid w:val="00B47D65"/>
    <w:rsid w:val="00B5024A"/>
    <w:rsid w:val="00B50397"/>
    <w:rsid w:val="00B50762"/>
    <w:rsid w:val="00B50FA7"/>
    <w:rsid w:val="00B510B0"/>
    <w:rsid w:val="00B517CC"/>
    <w:rsid w:val="00B51DAE"/>
    <w:rsid w:val="00B52561"/>
    <w:rsid w:val="00B5290D"/>
    <w:rsid w:val="00B530FD"/>
    <w:rsid w:val="00B5330C"/>
    <w:rsid w:val="00B53423"/>
    <w:rsid w:val="00B535F3"/>
    <w:rsid w:val="00B53927"/>
    <w:rsid w:val="00B539C5"/>
    <w:rsid w:val="00B55108"/>
    <w:rsid w:val="00B55C77"/>
    <w:rsid w:val="00B560A8"/>
    <w:rsid w:val="00B5643A"/>
    <w:rsid w:val="00B56515"/>
    <w:rsid w:val="00B5714C"/>
    <w:rsid w:val="00B5759C"/>
    <w:rsid w:val="00B60309"/>
    <w:rsid w:val="00B606AA"/>
    <w:rsid w:val="00B616B9"/>
    <w:rsid w:val="00B618F6"/>
    <w:rsid w:val="00B61B1E"/>
    <w:rsid w:val="00B61DC7"/>
    <w:rsid w:val="00B62106"/>
    <w:rsid w:val="00B62177"/>
    <w:rsid w:val="00B6323C"/>
    <w:rsid w:val="00B639DE"/>
    <w:rsid w:val="00B63DB3"/>
    <w:rsid w:val="00B641ED"/>
    <w:rsid w:val="00B6497C"/>
    <w:rsid w:val="00B64BD1"/>
    <w:rsid w:val="00B65517"/>
    <w:rsid w:val="00B65D15"/>
    <w:rsid w:val="00B65E18"/>
    <w:rsid w:val="00B6641D"/>
    <w:rsid w:val="00B6685A"/>
    <w:rsid w:val="00B66B54"/>
    <w:rsid w:val="00B66F0C"/>
    <w:rsid w:val="00B678B1"/>
    <w:rsid w:val="00B71039"/>
    <w:rsid w:val="00B71860"/>
    <w:rsid w:val="00B71892"/>
    <w:rsid w:val="00B71936"/>
    <w:rsid w:val="00B71B2B"/>
    <w:rsid w:val="00B722A4"/>
    <w:rsid w:val="00B7270E"/>
    <w:rsid w:val="00B73933"/>
    <w:rsid w:val="00B73C86"/>
    <w:rsid w:val="00B73EB7"/>
    <w:rsid w:val="00B75B5D"/>
    <w:rsid w:val="00B75C1C"/>
    <w:rsid w:val="00B75FBB"/>
    <w:rsid w:val="00B761B3"/>
    <w:rsid w:val="00B763D7"/>
    <w:rsid w:val="00B76CFD"/>
    <w:rsid w:val="00B7753A"/>
    <w:rsid w:val="00B77904"/>
    <w:rsid w:val="00B77F88"/>
    <w:rsid w:val="00B80144"/>
    <w:rsid w:val="00B805DF"/>
    <w:rsid w:val="00B80705"/>
    <w:rsid w:val="00B80803"/>
    <w:rsid w:val="00B80B25"/>
    <w:rsid w:val="00B80C80"/>
    <w:rsid w:val="00B80E32"/>
    <w:rsid w:val="00B80F19"/>
    <w:rsid w:val="00B81004"/>
    <w:rsid w:val="00B815F5"/>
    <w:rsid w:val="00B81D66"/>
    <w:rsid w:val="00B825FC"/>
    <w:rsid w:val="00B82BE7"/>
    <w:rsid w:val="00B82D6C"/>
    <w:rsid w:val="00B83011"/>
    <w:rsid w:val="00B8301C"/>
    <w:rsid w:val="00B840DC"/>
    <w:rsid w:val="00B84667"/>
    <w:rsid w:val="00B84980"/>
    <w:rsid w:val="00B8533F"/>
    <w:rsid w:val="00B853B4"/>
    <w:rsid w:val="00B877B3"/>
    <w:rsid w:val="00B878EA"/>
    <w:rsid w:val="00B900BD"/>
    <w:rsid w:val="00B90146"/>
    <w:rsid w:val="00B901F8"/>
    <w:rsid w:val="00B90998"/>
    <w:rsid w:val="00B9115B"/>
    <w:rsid w:val="00B911D4"/>
    <w:rsid w:val="00B9172E"/>
    <w:rsid w:val="00B91E87"/>
    <w:rsid w:val="00B920BE"/>
    <w:rsid w:val="00B923F2"/>
    <w:rsid w:val="00B92F3E"/>
    <w:rsid w:val="00B932E4"/>
    <w:rsid w:val="00B93F9A"/>
    <w:rsid w:val="00B95175"/>
    <w:rsid w:val="00B957D6"/>
    <w:rsid w:val="00B95BA7"/>
    <w:rsid w:val="00B95E3A"/>
    <w:rsid w:val="00B960DB"/>
    <w:rsid w:val="00B96381"/>
    <w:rsid w:val="00B96586"/>
    <w:rsid w:val="00B96744"/>
    <w:rsid w:val="00B97492"/>
    <w:rsid w:val="00B97693"/>
    <w:rsid w:val="00B97864"/>
    <w:rsid w:val="00B9786A"/>
    <w:rsid w:val="00B9790D"/>
    <w:rsid w:val="00B97B23"/>
    <w:rsid w:val="00BA0C41"/>
    <w:rsid w:val="00BA0FA6"/>
    <w:rsid w:val="00BA13CD"/>
    <w:rsid w:val="00BA1440"/>
    <w:rsid w:val="00BA2B8A"/>
    <w:rsid w:val="00BA3053"/>
    <w:rsid w:val="00BA3295"/>
    <w:rsid w:val="00BA3B53"/>
    <w:rsid w:val="00BA40BB"/>
    <w:rsid w:val="00BA4C9F"/>
    <w:rsid w:val="00BA4F82"/>
    <w:rsid w:val="00BA505D"/>
    <w:rsid w:val="00BA52FA"/>
    <w:rsid w:val="00BA5573"/>
    <w:rsid w:val="00BA5C2D"/>
    <w:rsid w:val="00BA61ED"/>
    <w:rsid w:val="00BA6556"/>
    <w:rsid w:val="00BA754A"/>
    <w:rsid w:val="00BA7790"/>
    <w:rsid w:val="00BA7A07"/>
    <w:rsid w:val="00BA7E73"/>
    <w:rsid w:val="00BA7F13"/>
    <w:rsid w:val="00BB00F5"/>
    <w:rsid w:val="00BB0126"/>
    <w:rsid w:val="00BB037C"/>
    <w:rsid w:val="00BB0523"/>
    <w:rsid w:val="00BB0891"/>
    <w:rsid w:val="00BB1D25"/>
    <w:rsid w:val="00BB1E8D"/>
    <w:rsid w:val="00BB1F86"/>
    <w:rsid w:val="00BB2257"/>
    <w:rsid w:val="00BB2C9B"/>
    <w:rsid w:val="00BB2CCA"/>
    <w:rsid w:val="00BB2E0D"/>
    <w:rsid w:val="00BB331E"/>
    <w:rsid w:val="00BB3706"/>
    <w:rsid w:val="00BB3723"/>
    <w:rsid w:val="00BB37BB"/>
    <w:rsid w:val="00BB38DF"/>
    <w:rsid w:val="00BB3A53"/>
    <w:rsid w:val="00BB3F38"/>
    <w:rsid w:val="00BB43F1"/>
    <w:rsid w:val="00BB4441"/>
    <w:rsid w:val="00BB4534"/>
    <w:rsid w:val="00BB4634"/>
    <w:rsid w:val="00BB4680"/>
    <w:rsid w:val="00BB490D"/>
    <w:rsid w:val="00BB4EB8"/>
    <w:rsid w:val="00BB4EC4"/>
    <w:rsid w:val="00BB527B"/>
    <w:rsid w:val="00BB5486"/>
    <w:rsid w:val="00BB551F"/>
    <w:rsid w:val="00BB5DB8"/>
    <w:rsid w:val="00BB61C8"/>
    <w:rsid w:val="00BB647C"/>
    <w:rsid w:val="00BB6BA3"/>
    <w:rsid w:val="00BB6EA6"/>
    <w:rsid w:val="00BB739E"/>
    <w:rsid w:val="00BB7FB9"/>
    <w:rsid w:val="00BC006C"/>
    <w:rsid w:val="00BC08F9"/>
    <w:rsid w:val="00BC097D"/>
    <w:rsid w:val="00BC0B4E"/>
    <w:rsid w:val="00BC0BDE"/>
    <w:rsid w:val="00BC103B"/>
    <w:rsid w:val="00BC154D"/>
    <w:rsid w:val="00BC1FB9"/>
    <w:rsid w:val="00BC210E"/>
    <w:rsid w:val="00BC23D1"/>
    <w:rsid w:val="00BC3107"/>
    <w:rsid w:val="00BC3948"/>
    <w:rsid w:val="00BC45AD"/>
    <w:rsid w:val="00BC4744"/>
    <w:rsid w:val="00BC549D"/>
    <w:rsid w:val="00BC567F"/>
    <w:rsid w:val="00BC570E"/>
    <w:rsid w:val="00BC64AB"/>
    <w:rsid w:val="00BC66CE"/>
    <w:rsid w:val="00BC6ADD"/>
    <w:rsid w:val="00BC6E15"/>
    <w:rsid w:val="00BC6FDD"/>
    <w:rsid w:val="00BC71F8"/>
    <w:rsid w:val="00BC796E"/>
    <w:rsid w:val="00BC79A4"/>
    <w:rsid w:val="00BC7DF5"/>
    <w:rsid w:val="00BC7E41"/>
    <w:rsid w:val="00BC7FED"/>
    <w:rsid w:val="00BD061B"/>
    <w:rsid w:val="00BD07D4"/>
    <w:rsid w:val="00BD0F61"/>
    <w:rsid w:val="00BD1B03"/>
    <w:rsid w:val="00BD1E78"/>
    <w:rsid w:val="00BD23DF"/>
    <w:rsid w:val="00BD291B"/>
    <w:rsid w:val="00BD2CBE"/>
    <w:rsid w:val="00BD4748"/>
    <w:rsid w:val="00BD4CCA"/>
    <w:rsid w:val="00BD4E00"/>
    <w:rsid w:val="00BD5A38"/>
    <w:rsid w:val="00BD5FA9"/>
    <w:rsid w:val="00BD6406"/>
    <w:rsid w:val="00BD7538"/>
    <w:rsid w:val="00BD76F4"/>
    <w:rsid w:val="00BD7C01"/>
    <w:rsid w:val="00BD7EAC"/>
    <w:rsid w:val="00BE0648"/>
    <w:rsid w:val="00BE0E42"/>
    <w:rsid w:val="00BE1513"/>
    <w:rsid w:val="00BE226A"/>
    <w:rsid w:val="00BE2BA6"/>
    <w:rsid w:val="00BE2FF6"/>
    <w:rsid w:val="00BE32BD"/>
    <w:rsid w:val="00BE3671"/>
    <w:rsid w:val="00BE56F4"/>
    <w:rsid w:val="00BE57A8"/>
    <w:rsid w:val="00BE5AF8"/>
    <w:rsid w:val="00BE5CFA"/>
    <w:rsid w:val="00BE60DF"/>
    <w:rsid w:val="00BE6123"/>
    <w:rsid w:val="00BE6202"/>
    <w:rsid w:val="00BE6F4C"/>
    <w:rsid w:val="00BE7A5E"/>
    <w:rsid w:val="00BF0756"/>
    <w:rsid w:val="00BF0E89"/>
    <w:rsid w:val="00BF1352"/>
    <w:rsid w:val="00BF18D0"/>
    <w:rsid w:val="00BF1B6D"/>
    <w:rsid w:val="00BF2731"/>
    <w:rsid w:val="00BF28F4"/>
    <w:rsid w:val="00BF3340"/>
    <w:rsid w:val="00BF359E"/>
    <w:rsid w:val="00BF3C66"/>
    <w:rsid w:val="00BF3FB4"/>
    <w:rsid w:val="00BF4E05"/>
    <w:rsid w:val="00BF63BF"/>
    <w:rsid w:val="00BF6705"/>
    <w:rsid w:val="00BF7186"/>
    <w:rsid w:val="00BF72E6"/>
    <w:rsid w:val="00BF74F9"/>
    <w:rsid w:val="00BF765A"/>
    <w:rsid w:val="00C005D3"/>
    <w:rsid w:val="00C00BEC"/>
    <w:rsid w:val="00C00FF7"/>
    <w:rsid w:val="00C0127C"/>
    <w:rsid w:val="00C01B4F"/>
    <w:rsid w:val="00C01F12"/>
    <w:rsid w:val="00C01F75"/>
    <w:rsid w:val="00C02BE6"/>
    <w:rsid w:val="00C02FC6"/>
    <w:rsid w:val="00C03733"/>
    <w:rsid w:val="00C03753"/>
    <w:rsid w:val="00C03869"/>
    <w:rsid w:val="00C04A1F"/>
    <w:rsid w:val="00C05032"/>
    <w:rsid w:val="00C0549D"/>
    <w:rsid w:val="00C06197"/>
    <w:rsid w:val="00C06738"/>
    <w:rsid w:val="00C07F97"/>
    <w:rsid w:val="00C101FB"/>
    <w:rsid w:val="00C1036A"/>
    <w:rsid w:val="00C103A4"/>
    <w:rsid w:val="00C1054F"/>
    <w:rsid w:val="00C1079D"/>
    <w:rsid w:val="00C10B9A"/>
    <w:rsid w:val="00C10DAC"/>
    <w:rsid w:val="00C10DE1"/>
    <w:rsid w:val="00C10F67"/>
    <w:rsid w:val="00C11712"/>
    <w:rsid w:val="00C11F21"/>
    <w:rsid w:val="00C1230B"/>
    <w:rsid w:val="00C12322"/>
    <w:rsid w:val="00C12391"/>
    <w:rsid w:val="00C12F25"/>
    <w:rsid w:val="00C13114"/>
    <w:rsid w:val="00C1339D"/>
    <w:rsid w:val="00C1371A"/>
    <w:rsid w:val="00C14007"/>
    <w:rsid w:val="00C151D3"/>
    <w:rsid w:val="00C1550F"/>
    <w:rsid w:val="00C158E4"/>
    <w:rsid w:val="00C15CF2"/>
    <w:rsid w:val="00C15FEB"/>
    <w:rsid w:val="00C16358"/>
    <w:rsid w:val="00C16550"/>
    <w:rsid w:val="00C174D3"/>
    <w:rsid w:val="00C179F5"/>
    <w:rsid w:val="00C17C0F"/>
    <w:rsid w:val="00C2024C"/>
    <w:rsid w:val="00C20E42"/>
    <w:rsid w:val="00C2121B"/>
    <w:rsid w:val="00C21605"/>
    <w:rsid w:val="00C2217B"/>
    <w:rsid w:val="00C223B7"/>
    <w:rsid w:val="00C23542"/>
    <w:rsid w:val="00C23A48"/>
    <w:rsid w:val="00C23A66"/>
    <w:rsid w:val="00C23B11"/>
    <w:rsid w:val="00C23B2F"/>
    <w:rsid w:val="00C23CAC"/>
    <w:rsid w:val="00C23FE5"/>
    <w:rsid w:val="00C2448C"/>
    <w:rsid w:val="00C248E1"/>
    <w:rsid w:val="00C24904"/>
    <w:rsid w:val="00C252FE"/>
    <w:rsid w:val="00C25DC2"/>
    <w:rsid w:val="00C25FB5"/>
    <w:rsid w:val="00C26206"/>
    <w:rsid w:val="00C2754F"/>
    <w:rsid w:val="00C27556"/>
    <w:rsid w:val="00C27D76"/>
    <w:rsid w:val="00C301C1"/>
    <w:rsid w:val="00C30D91"/>
    <w:rsid w:val="00C30FA2"/>
    <w:rsid w:val="00C318A9"/>
    <w:rsid w:val="00C31C89"/>
    <w:rsid w:val="00C3278E"/>
    <w:rsid w:val="00C32B32"/>
    <w:rsid w:val="00C32FFE"/>
    <w:rsid w:val="00C33167"/>
    <w:rsid w:val="00C33E2C"/>
    <w:rsid w:val="00C33E9F"/>
    <w:rsid w:val="00C33FF6"/>
    <w:rsid w:val="00C34119"/>
    <w:rsid w:val="00C342C7"/>
    <w:rsid w:val="00C345B2"/>
    <w:rsid w:val="00C34739"/>
    <w:rsid w:val="00C3473E"/>
    <w:rsid w:val="00C347B3"/>
    <w:rsid w:val="00C34D5D"/>
    <w:rsid w:val="00C355B0"/>
    <w:rsid w:val="00C355DD"/>
    <w:rsid w:val="00C35659"/>
    <w:rsid w:val="00C3628B"/>
    <w:rsid w:val="00C3693D"/>
    <w:rsid w:val="00C36B14"/>
    <w:rsid w:val="00C3766B"/>
    <w:rsid w:val="00C37A29"/>
    <w:rsid w:val="00C37CDE"/>
    <w:rsid w:val="00C37CF7"/>
    <w:rsid w:val="00C37D28"/>
    <w:rsid w:val="00C37D9E"/>
    <w:rsid w:val="00C40331"/>
    <w:rsid w:val="00C406E6"/>
    <w:rsid w:val="00C409FD"/>
    <w:rsid w:val="00C4220B"/>
    <w:rsid w:val="00C427A9"/>
    <w:rsid w:val="00C42B40"/>
    <w:rsid w:val="00C432AE"/>
    <w:rsid w:val="00C4379F"/>
    <w:rsid w:val="00C444F6"/>
    <w:rsid w:val="00C4478A"/>
    <w:rsid w:val="00C4485B"/>
    <w:rsid w:val="00C44C33"/>
    <w:rsid w:val="00C452CB"/>
    <w:rsid w:val="00C456AC"/>
    <w:rsid w:val="00C456C5"/>
    <w:rsid w:val="00C45B61"/>
    <w:rsid w:val="00C45BF3"/>
    <w:rsid w:val="00C45D76"/>
    <w:rsid w:val="00C45D8F"/>
    <w:rsid w:val="00C466C6"/>
    <w:rsid w:val="00C46879"/>
    <w:rsid w:val="00C47726"/>
    <w:rsid w:val="00C47C39"/>
    <w:rsid w:val="00C50570"/>
    <w:rsid w:val="00C50574"/>
    <w:rsid w:val="00C50D7F"/>
    <w:rsid w:val="00C50DDB"/>
    <w:rsid w:val="00C51471"/>
    <w:rsid w:val="00C51610"/>
    <w:rsid w:val="00C51BD2"/>
    <w:rsid w:val="00C52026"/>
    <w:rsid w:val="00C528CD"/>
    <w:rsid w:val="00C52C49"/>
    <w:rsid w:val="00C52F66"/>
    <w:rsid w:val="00C538F3"/>
    <w:rsid w:val="00C54366"/>
    <w:rsid w:val="00C547CA"/>
    <w:rsid w:val="00C549CE"/>
    <w:rsid w:val="00C54F38"/>
    <w:rsid w:val="00C55DD1"/>
    <w:rsid w:val="00C56736"/>
    <w:rsid w:val="00C56D72"/>
    <w:rsid w:val="00C57214"/>
    <w:rsid w:val="00C57B78"/>
    <w:rsid w:val="00C57E44"/>
    <w:rsid w:val="00C606E8"/>
    <w:rsid w:val="00C60709"/>
    <w:rsid w:val="00C613B6"/>
    <w:rsid w:val="00C614A2"/>
    <w:rsid w:val="00C61B18"/>
    <w:rsid w:val="00C61B67"/>
    <w:rsid w:val="00C61EEC"/>
    <w:rsid w:val="00C620A4"/>
    <w:rsid w:val="00C62287"/>
    <w:rsid w:val="00C626E5"/>
    <w:rsid w:val="00C627E0"/>
    <w:rsid w:val="00C62989"/>
    <w:rsid w:val="00C633E3"/>
    <w:rsid w:val="00C63443"/>
    <w:rsid w:val="00C634FE"/>
    <w:rsid w:val="00C63803"/>
    <w:rsid w:val="00C63E68"/>
    <w:rsid w:val="00C64240"/>
    <w:rsid w:val="00C6483B"/>
    <w:rsid w:val="00C64D3A"/>
    <w:rsid w:val="00C655C3"/>
    <w:rsid w:val="00C65C59"/>
    <w:rsid w:val="00C65CCB"/>
    <w:rsid w:val="00C65DFC"/>
    <w:rsid w:val="00C66763"/>
    <w:rsid w:val="00C66822"/>
    <w:rsid w:val="00C66C99"/>
    <w:rsid w:val="00C66EBF"/>
    <w:rsid w:val="00C6718D"/>
    <w:rsid w:val="00C677F5"/>
    <w:rsid w:val="00C70450"/>
    <w:rsid w:val="00C70A6A"/>
    <w:rsid w:val="00C70C4D"/>
    <w:rsid w:val="00C71239"/>
    <w:rsid w:val="00C712FD"/>
    <w:rsid w:val="00C71566"/>
    <w:rsid w:val="00C71EF4"/>
    <w:rsid w:val="00C73057"/>
    <w:rsid w:val="00C732ED"/>
    <w:rsid w:val="00C73370"/>
    <w:rsid w:val="00C7357C"/>
    <w:rsid w:val="00C73A49"/>
    <w:rsid w:val="00C7464F"/>
    <w:rsid w:val="00C748E3"/>
    <w:rsid w:val="00C74BA5"/>
    <w:rsid w:val="00C74BED"/>
    <w:rsid w:val="00C74C61"/>
    <w:rsid w:val="00C7554E"/>
    <w:rsid w:val="00C75683"/>
    <w:rsid w:val="00C75B36"/>
    <w:rsid w:val="00C7651D"/>
    <w:rsid w:val="00C767F8"/>
    <w:rsid w:val="00C76CA8"/>
    <w:rsid w:val="00C76E8D"/>
    <w:rsid w:val="00C771B0"/>
    <w:rsid w:val="00C772AE"/>
    <w:rsid w:val="00C77F3F"/>
    <w:rsid w:val="00C800B3"/>
    <w:rsid w:val="00C80165"/>
    <w:rsid w:val="00C80C46"/>
    <w:rsid w:val="00C813AC"/>
    <w:rsid w:val="00C81709"/>
    <w:rsid w:val="00C81730"/>
    <w:rsid w:val="00C81A8D"/>
    <w:rsid w:val="00C823E3"/>
    <w:rsid w:val="00C825B3"/>
    <w:rsid w:val="00C82A06"/>
    <w:rsid w:val="00C82DF4"/>
    <w:rsid w:val="00C8329C"/>
    <w:rsid w:val="00C84359"/>
    <w:rsid w:val="00C8453A"/>
    <w:rsid w:val="00C84716"/>
    <w:rsid w:val="00C85355"/>
    <w:rsid w:val="00C8558C"/>
    <w:rsid w:val="00C8592A"/>
    <w:rsid w:val="00C8603F"/>
    <w:rsid w:val="00C86281"/>
    <w:rsid w:val="00C866B2"/>
    <w:rsid w:val="00C869FA"/>
    <w:rsid w:val="00C90416"/>
    <w:rsid w:val="00C90CEA"/>
    <w:rsid w:val="00C9123D"/>
    <w:rsid w:val="00C9134C"/>
    <w:rsid w:val="00C9184E"/>
    <w:rsid w:val="00C91926"/>
    <w:rsid w:val="00C91A26"/>
    <w:rsid w:val="00C92125"/>
    <w:rsid w:val="00C9310F"/>
    <w:rsid w:val="00C93141"/>
    <w:rsid w:val="00C931BE"/>
    <w:rsid w:val="00C93A41"/>
    <w:rsid w:val="00C93C1A"/>
    <w:rsid w:val="00C93D32"/>
    <w:rsid w:val="00C95136"/>
    <w:rsid w:val="00C95324"/>
    <w:rsid w:val="00C95519"/>
    <w:rsid w:val="00C95610"/>
    <w:rsid w:val="00C9570A"/>
    <w:rsid w:val="00C95E23"/>
    <w:rsid w:val="00C96715"/>
    <w:rsid w:val="00C969E9"/>
    <w:rsid w:val="00C96FC2"/>
    <w:rsid w:val="00C97882"/>
    <w:rsid w:val="00C97A31"/>
    <w:rsid w:val="00CA059D"/>
    <w:rsid w:val="00CA07CE"/>
    <w:rsid w:val="00CA0CB0"/>
    <w:rsid w:val="00CA0DC5"/>
    <w:rsid w:val="00CA0EC8"/>
    <w:rsid w:val="00CA26D6"/>
    <w:rsid w:val="00CA28C7"/>
    <w:rsid w:val="00CA2E66"/>
    <w:rsid w:val="00CA363E"/>
    <w:rsid w:val="00CA3BAE"/>
    <w:rsid w:val="00CA49E1"/>
    <w:rsid w:val="00CA4CF1"/>
    <w:rsid w:val="00CA4CF2"/>
    <w:rsid w:val="00CA5043"/>
    <w:rsid w:val="00CA59BB"/>
    <w:rsid w:val="00CA6FE6"/>
    <w:rsid w:val="00CA745D"/>
    <w:rsid w:val="00CB054B"/>
    <w:rsid w:val="00CB0AEB"/>
    <w:rsid w:val="00CB0C30"/>
    <w:rsid w:val="00CB0D8F"/>
    <w:rsid w:val="00CB1571"/>
    <w:rsid w:val="00CB1A9F"/>
    <w:rsid w:val="00CB1DE9"/>
    <w:rsid w:val="00CB26DA"/>
    <w:rsid w:val="00CB3AF4"/>
    <w:rsid w:val="00CB42C0"/>
    <w:rsid w:val="00CB45B7"/>
    <w:rsid w:val="00CB49C5"/>
    <w:rsid w:val="00CB4B70"/>
    <w:rsid w:val="00CB5217"/>
    <w:rsid w:val="00CB56B7"/>
    <w:rsid w:val="00CB5DF7"/>
    <w:rsid w:val="00CB5F5D"/>
    <w:rsid w:val="00CB6122"/>
    <w:rsid w:val="00CB6385"/>
    <w:rsid w:val="00CB6DD8"/>
    <w:rsid w:val="00CB76B9"/>
    <w:rsid w:val="00CB77D0"/>
    <w:rsid w:val="00CB7B09"/>
    <w:rsid w:val="00CB7CCB"/>
    <w:rsid w:val="00CC008A"/>
    <w:rsid w:val="00CC12CD"/>
    <w:rsid w:val="00CC13A6"/>
    <w:rsid w:val="00CC1C10"/>
    <w:rsid w:val="00CC1D26"/>
    <w:rsid w:val="00CC22AD"/>
    <w:rsid w:val="00CC2598"/>
    <w:rsid w:val="00CC2CF3"/>
    <w:rsid w:val="00CC2D3A"/>
    <w:rsid w:val="00CC3001"/>
    <w:rsid w:val="00CC3032"/>
    <w:rsid w:val="00CC308F"/>
    <w:rsid w:val="00CC40AD"/>
    <w:rsid w:val="00CC47DD"/>
    <w:rsid w:val="00CC4EC2"/>
    <w:rsid w:val="00CC66C1"/>
    <w:rsid w:val="00CC73A7"/>
    <w:rsid w:val="00CC7972"/>
    <w:rsid w:val="00CC79A2"/>
    <w:rsid w:val="00CC7B22"/>
    <w:rsid w:val="00CC7D01"/>
    <w:rsid w:val="00CC7E01"/>
    <w:rsid w:val="00CD0029"/>
    <w:rsid w:val="00CD05F4"/>
    <w:rsid w:val="00CD0974"/>
    <w:rsid w:val="00CD0B23"/>
    <w:rsid w:val="00CD0E2B"/>
    <w:rsid w:val="00CD0ECA"/>
    <w:rsid w:val="00CD0F66"/>
    <w:rsid w:val="00CD1280"/>
    <w:rsid w:val="00CD18D6"/>
    <w:rsid w:val="00CD1B16"/>
    <w:rsid w:val="00CD1F50"/>
    <w:rsid w:val="00CD2506"/>
    <w:rsid w:val="00CD2698"/>
    <w:rsid w:val="00CD3850"/>
    <w:rsid w:val="00CD3C96"/>
    <w:rsid w:val="00CD5136"/>
    <w:rsid w:val="00CD5CA5"/>
    <w:rsid w:val="00CD5D68"/>
    <w:rsid w:val="00CD5F97"/>
    <w:rsid w:val="00CD6579"/>
    <w:rsid w:val="00CD6666"/>
    <w:rsid w:val="00CD6B62"/>
    <w:rsid w:val="00CD6BBB"/>
    <w:rsid w:val="00CD73B5"/>
    <w:rsid w:val="00CD7D7A"/>
    <w:rsid w:val="00CE0291"/>
    <w:rsid w:val="00CE0BE2"/>
    <w:rsid w:val="00CE151A"/>
    <w:rsid w:val="00CE1533"/>
    <w:rsid w:val="00CE1ECF"/>
    <w:rsid w:val="00CE1F19"/>
    <w:rsid w:val="00CE23A4"/>
    <w:rsid w:val="00CE3421"/>
    <w:rsid w:val="00CE3659"/>
    <w:rsid w:val="00CE3B93"/>
    <w:rsid w:val="00CE452F"/>
    <w:rsid w:val="00CE4BB8"/>
    <w:rsid w:val="00CE4D9A"/>
    <w:rsid w:val="00CE5171"/>
    <w:rsid w:val="00CE543D"/>
    <w:rsid w:val="00CE54FD"/>
    <w:rsid w:val="00CE6269"/>
    <w:rsid w:val="00CE640A"/>
    <w:rsid w:val="00CE7277"/>
    <w:rsid w:val="00CE7AF8"/>
    <w:rsid w:val="00CF0032"/>
    <w:rsid w:val="00CF00F1"/>
    <w:rsid w:val="00CF0141"/>
    <w:rsid w:val="00CF014F"/>
    <w:rsid w:val="00CF087E"/>
    <w:rsid w:val="00CF0AE4"/>
    <w:rsid w:val="00CF0C13"/>
    <w:rsid w:val="00CF14F3"/>
    <w:rsid w:val="00CF19F7"/>
    <w:rsid w:val="00CF2511"/>
    <w:rsid w:val="00CF2692"/>
    <w:rsid w:val="00CF31A5"/>
    <w:rsid w:val="00CF3CB2"/>
    <w:rsid w:val="00CF425A"/>
    <w:rsid w:val="00CF42DD"/>
    <w:rsid w:val="00CF43F4"/>
    <w:rsid w:val="00CF4FB5"/>
    <w:rsid w:val="00CF5B34"/>
    <w:rsid w:val="00CF6749"/>
    <w:rsid w:val="00CF739E"/>
    <w:rsid w:val="00CF7D8A"/>
    <w:rsid w:val="00CF7D94"/>
    <w:rsid w:val="00CF7EA2"/>
    <w:rsid w:val="00CF7F79"/>
    <w:rsid w:val="00D00BD9"/>
    <w:rsid w:val="00D00C88"/>
    <w:rsid w:val="00D00F33"/>
    <w:rsid w:val="00D01159"/>
    <w:rsid w:val="00D01248"/>
    <w:rsid w:val="00D01942"/>
    <w:rsid w:val="00D021F0"/>
    <w:rsid w:val="00D02686"/>
    <w:rsid w:val="00D027D9"/>
    <w:rsid w:val="00D02EA1"/>
    <w:rsid w:val="00D03332"/>
    <w:rsid w:val="00D034FE"/>
    <w:rsid w:val="00D0498A"/>
    <w:rsid w:val="00D05257"/>
    <w:rsid w:val="00D053F9"/>
    <w:rsid w:val="00D0561D"/>
    <w:rsid w:val="00D05AC6"/>
    <w:rsid w:val="00D06351"/>
    <w:rsid w:val="00D06C0D"/>
    <w:rsid w:val="00D0755B"/>
    <w:rsid w:val="00D07573"/>
    <w:rsid w:val="00D10113"/>
    <w:rsid w:val="00D101E9"/>
    <w:rsid w:val="00D1054C"/>
    <w:rsid w:val="00D122ED"/>
    <w:rsid w:val="00D127F2"/>
    <w:rsid w:val="00D1286E"/>
    <w:rsid w:val="00D12A92"/>
    <w:rsid w:val="00D12AA5"/>
    <w:rsid w:val="00D134CA"/>
    <w:rsid w:val="00D136B6"/>
    <w:rsid w:val="00D1406E"/>
    <w:rsid w:val="00D14759"/>
    <w:rsid w:val="00D14762"/>
    <w:rsid w:val="00D1550E"/>
    <w:rsid w:val="00D1563C"/>
    <w:rsid w:val="00D158D0"/>
    <w:rsid w:val="00D15B33"/>
    <w:rsid w:val="00D15C89"/>
    <w:rsid w:val="00D16B8F"/>
    <w:rsid w:val="00D17429"/>
    <w:rsid w:val="00D1796B"/>
    <w:rsid w:val="00D17C4D"/>
    <w:rsid w:val="00D20001"/>
    <w:rsid w:val="00D200F7"/>
    <w:rsid w:val="00D202BD"/>
    <w:rsid w:val="00D20342"/>
    <w:rsid w:val="00D20A32"/>
    <w:rsid w:val="00D212B6"/>
    <w:rsid w:val="00D219B6"/>
    <w:rsid w:val="00D22CFF"/>
    <w:rsid w:val="00D23921"/>
    <w:rsid w:val="00D23CA0"/>
    <w:rsid w:val="00D24372"/>
    <w:rsid w:val="00D244F0"/>
    <w:rsid w:val="00D24911"/>
    <w:rsid w:val="00D25BAA"/>
    <w:rsid w:val="00D26897"/>
    <w:rsid w:val="00D26C86"/>
    <w:rsid w:val="00D2725E"/>
    <w:rsid w:val="00D27CDB"/>
    <w:rsid w:val="00D27D7E"/>
    <w:rsid w:val="00D30678"/>
    <w:rsid w:val="00D30B00"/>
    <w:rsid w:val="00D315F4"/>
    <w:rsid w:val="00D316A3"/>
    <w:rsid w:val="00D31705"/>
    <w:rsid w:val="00D3183C"/>
    <w:rsid w:val="00D31AA0"/>
    <w:rsid w:val="00D32F92"/>
    <w:rsid w:val="00D33490"/>
    <w:rsid w:val="00D33916"/>
    <w:rsid w:val="00D33DFA"/>
    <w:rsid w:val="00D33EC3"/>
    <w:rsid w:val="00D33ED3"/>
    <w:rsid w:val="00D356BE"/>
    <w:rsid w:val="00D356DE"/>
    <w:rsid w:val="00D3617B"/>
    <w:rsid w:val="00D3628C"/>
    <w:rsid w:val="00D362C9"/>
    <w:rsid w:val="00D36364"/>
    <w:rsid w:val="00D36410"/>
    <w:rsid w:val="00D36518"/>
    <w:rsid w:val="00D3683E"/>
    <w:rsid w:val="00D369CB"/>
    <w:rsid w:val="00D374CA"/>
    <w:rsid w:val="00D407F3"/>
    <w:rsid w:val="00D408A3"/>
    <w:rsid w:val="00D40FB7"/>
    <w:rsid w:val="00D41086"/>
    <w:rsid w:val="00D41636"/>
    <w:rsid w:val="00D41BE7"/>
    <w:rsid w:val="00D420F1"/>
    <w:rsid w:val="00D429D7"/>
    <w:rsid w:val="00D42F55"/>
    <w:rsid w:val="00D42FCA"/>
    <w:rsid w:val="00D4353F"/>
    <w:rsid w:val="00D435E4"/>
    <w:rsid w:val="00D4372B"/>
    <w:rsid w:val="00D437AF"/>
    <w:rsid w:val="00D43B4D"/>
    <w:rsid w:val="00D43D58"/>
    <w:rsid w:val="00D441BC"/>
    <w:rsid w:val="00D441D8"/>
    <w:rsid w:val="00D44582"/>
    <w:rsid w:val="00D45715"/>
    <w:rsid w:val="00D45C81"/>
    <w:rsid w:val="00D46080"/>
    <w:rsid w:val="00D4622E"/>
    <w:rsid w:val="00D466B5"/>
    <w:rsid w:val="00D4731E"/>
    <w:rsid w:val="00D501AE"/>
    <w:rsid w:val="00D50AEC"/>
    <w:rsid w:val="00D50B7A"/>
    <w:rsid w:val="00D50BAB"/>
    <w:rsid w:val="00D5224A"/>
    <w:rsid w:val="00D524B0"/>
    <w:rsid w:val="00D527F0"/>
    <w:rsid w:val="00D52CC7"/>
    <w:rsid w:val="00D52D40"/>
    <w:rsid w:val="00D53571"/>
    <w:rsid w:val="00D5385E"/>
    <w:rsid w:val="00D53CC7"/>
    <w:rsid w:val="00D548EA"/>
    <w:rsid w:val="00D54928"/>
    <w:rsid w:val="00D556FE"/>
    <w:rsid w:val="00D5576D"/>
    <w:rsid w:val="00D56385"/>
    <w:rsid w:val="00D563E5"/>
    <w:rsid w:val="00D56529"/>
    <w:rsid w:val="00D56E50"/>
    <w:rsid w:val="00D571DB"/>
    <w:rsid w:val="00D603A4"/>
    <w:rsid w:val="00D60D6F"/>
    <w:rsid w:val="00D610E2"/>
    <w:rsid w:val="00D61240"/>
    <w:rsid w:val="00D617A6"/>
    <w:rsid w:val="00D61D52"/>
    <w:rsid w:val="00D625E7"/>
    <w:rsid w:val="00D62762"/>
    <w:rsid w:val="00D62D8D"/>
    <w:rsid w:val="00D631A3"/>
    <w:rsid w:val="00D63323"/>
    <w:rsid w:val="00D63848"/>
    <w:rsid w:val="00D63D21"/>
    <w:rsid w:val="00D64451"/>
    <w:rsid w:val="00D644A3"/>
    <w:rsid w:val="00D6461B"/>
    <w:rsid w:val="00D65C1A"/>
    <w:rsid w:val="00D65C61"/>
    <w:rsid w:val="00D65EF7"/>
    <w:rsid w:val="00D66088"/>
    <w:rsid w:val="00D676F4"/>
    <w:rsid w:val="00D679CC"/>
    <w:rsid w:val="00D703C1"/>
    <w:rsid w:val="00D70FAD"/>
    <w:rsid w:val="00D716E2"/>
    <w:rsid w:val="00D7266D"/>
    <w:rsid w:val="00D72FA1"/>
    <w:rsid w:val="00D7335C"/>
    <w:rsid w:val="00D73C43"/>
    <w:rsid w:val="00D740D8"/>
    <w:rsid w:val="00D742DB"/>
    <w:rsid w:val="00D748B7"/>
    <w:rsid w:val="00D77325"/>
    <w:rsid w:val="00D809FF"/>
    <w:rsid w:val="00D81E37"/>
    <w:rsid w:val="00D821A2"/>
    <w:rsid w:val="00D8261B"/>
    <w:rsid w:val="00D8272B"/>
    <w:rsid w:val="00D83B96"/>
    <w:rsid w:val="00D844D4"/>
    <w:rsid w:val="00D848A7"/>
    <w:rsid w:val="00D85511"/>
    <w:rsid w:val="00D86726"/>
    <w:rsid w:val="00D875B3"/>
    <w:rsid w:val="00D901A3"/>
    <w:rsid w:val="00D915A4"/>
    <w:rsid w:val="00D92701"/>
    <w:rsid w:val="00D92FE1"/>
    <w:rsid w:val="00D9316E"/>
    <w:rsid w:val="00D932BC"/>
    <w:rsid w:val="00D93BF5"/>
    <w:rsid w:val="00D9450C"/>
    <w:rsid w:val="00D94C7A"/>
    <w:rsid w:val="00D952F9"/>
    <w:rsid w:val="00D95424"/>
    <w:rsid w:val="00D9556A"/>
    <w:rsid w:val="00D95A34"/>
    <w:rsid w:val="00D95D96"/>
    <w:rsid w:val="00D96951"/>
    <w:rsid w:val="00D974DC"/>
    <w:rsid w:val="00D97FB7"/>
    <w:rsid w:val="00DA0113"/>
    <w:rsid w:val="00DA063D"/>
    <w:rsid w:val="00DA1180"/>
    <w:rsid w:val="00DA1B28"/>
    <w:rsid w:val="00DA1B5C"/>
    <w:rsid w:val="00DA1E9E"/>
    <w:rsid w:val="00DA24C0"/>
    <w:rsid w:val="00DA25F0"/>
    <w:rsid w:val="00DA28AB"/>
    <w:rsid w:val="00DA2CC4"/>
    <w:rsid w:val="00DA2E4A"/>
    <w:rsid w:val="00DA305F"/>
    <w:rsid w:val="00DA32FE"/>
    <w:rsid w:val="00DA3D47"/>
    <w:rsid w:val="00DA401D"/>
    <w:rsid w:val="00DA46D3"/>
    <w:rsid w:val="00DA4BDA"/>
    <w:rsid w:val="00DA4CAC"/>
    <w:rsid w:val="00DA4EE4"/>
    <w:rsid w:val="00DA530D"/>
    <w:rsid w:val="00DA5588"/>
    <w:rsid w:val="00DA5BDE"/>
    <w:rsid w:val="00DA6275"/>
    <w:rsid w:val="00DA68D2"/>
    <w:rsid w:val="00DA79A5"/>
    <w:rsid w:val="00DA7FB0"/>
    <w:rsid w:val="00DB078E"/>
    <w:rsid w:val="00DB13D7"/>
    <w:rsid w:val="00DB14FC"/>
    <w:rsid w:val="00DB30B8"/>
    <w:rsid w:val="00DB3102"/>
    <w:rsid w:val="00DB33F0"/>
    <w:rsid w:val="00DB3585"/>
    <w:rsid w:val="00DB3929"/>
    <w:rsid w:val="00DB3A58"/>
    <w:rsid w:val="00DB3A7F"/>
    <w:rsid w:val="00DB3F63"/>
    <w:rsid w:val="00DB4B0D"/>
    <w:rsid w:val="00DB4DA1"/>
    <w:rsid w:val="00DB5F07"/>
    <w:rsid w:val="00DB6ABE"/>
    <w:rsid w:val="00DB6E8F"/>
    <w:rsid w:val="00DB6F52"/>
    <w:rsid w:val="00DC07BF"/>
    <w:rsid w:val="00DC0AD3"/>
    <w:rsid w:val="00DC1083"/>
    <w:rsid w:val="00DC1118"/>
    <w:rsid w:val="00DC1272"/>
    <w:rsid w:val="00DC18DB"/>
    <w:rsid w:val="00DC1B1B"/>
    <w:rsid w:val="00DC249D"/>
    <w:rsid w:val="00DC24E5"/>
    <w:rsid w:val="00DC24FD"/>
    <w:rsid w:val="00DC28AF"/>
    <w:rsid w:val="00DC2961"/>
    <w:rsid w:val="00DC330F"/>
    <w:rsid w:val="00DC3485"/>
    <w:rsid w:val="00DC3716"/>
    <w:rsid w:val="00DC3E3A"/>
    <w:rsid w:val="00DC5198"/>
    <w:rsid w:val="00DC5AB1"/>
    <w:rsid w:val="00DC5F39"/>
    <w:rsid w:val="00DC62C7"/>
    <w:rsid w:val="00DC68EB"/>
    <w:rsid w:val="00DC7960"/>
    <w:rsid w:val="00DD07C1"/>
    <w:rsid w:val="00DD087F"/>
    <w:rsid w:val="00DD0914"/>
    <w:rsid w:val="00DD0B9F"/>
    <w:rsid w:val="00DD0D93"/>
    <w:rsid w:val="00DD15AE"/>
    <w:rsid w:val="00DD1CC2"/>
    <w:rsid w:val="00DD2245"/>
    <w:rsid w:val="00DD26C8"/>
    <w:rsid w:val="00DD28DE"/>
    <w:rsid w:val="00DD2918"/>
    <w:rsid w:val="00DD2985"/>
    <w:rsid w:val="00DD3139"/>
    <w:rsid w:val="00DD31C8"/>
    <w:rsid w:val="00DD3410"/>
    <w:rsid w:val="00DD3428"/>
    <w:rsid w:val="00DD4828"/>
    <w:rsid w:val="00DD4FBE"/>
    <w:rsid w:val="00DD536C"/>
    <w:rsid w:val="00DD555F"/>
    <w:rsid w:val="00DD5A67"/>
    <w:rsid w:val="00DD5BE3"/>
    <w:rsid w:val="00DD5E5E"/>
    <w:rsid w:val="00DD5ED0"/>
    <w:rsid w:val="00DD6254"/>
    <w:rsid w:val="00DD6782"/>
    <w:rsid w:val="00DD7573"/>
    <w:rsid w:val="00DD7EF8"/>
    <w:rsid w:val="00DE0113"/>
    <w:rsid w:val="00DE026E"/>
    <w:rsid w:val="00DE0475"/>
    <w:rsid w:val="00DE05AF"/>
    <w:rsid w:val="00DE0731"/>
    <w:rsid w:val="00DE0870"/>
    <w:rsid w:val="00DE09E2"/>
    <w:rsid w:val="00DE17FB"/>
    <w:rsid w:val="00DE1B72"/>
    <w:rsid w:val="00DE1C86"/>
    <w:rsid w:val="00DE1E75"/>
    <w:rsid w:val="00DE2849"/>
    <w:rsid w:val="00DE2C5A"/>
    <w:rsid w:val="00DE3B6C"/>
    <w:rsid w:val="00DE4A5C"/>
    <w:rsid w:val="00DE520E"/>
    <w:rsid w:val="00DE5872"/>
    <w:rsid w:val="00DE625D"/>
    <w:rsid w:val="00DE6D39"/>
    <w:rsid w:val="00DE6E8F"/>
    <w:rsid w:val="00DE77E9"/>
    <w:rsid w:val="00DF112A"/>
    <w:rsid w:val="00DF1167"/>
    <w:rsid w:val="00DF1B65"/>
    <w:rsid w:val="00DF1DF0"/>
    <w:rsid w:val="00DF248A"/>
    <w:rsid w:val="00DF2A17"/>
    <w:rsid w:val="00DF2C91"/>
    <w:rsid w:val="00DF3230"/>
    <w:rsid w:val="00DF37C8"/>
    <w:rsid w:val="00DF3871"/>
    <w:rsid w:val="00DF39D1"/>
    <w:rsid w:val="00DF3C7A"/>
    <w:rsid w:val="00DF402C"/>
    <w:rsid w:val="00DF412D"/>
    <w:rsid w:val="00DF4693"/>
    <w:rsid w:val="00DF4CAE"/>
    <w:rsid w:val="00DF5AB2"/>
    <w:rsid w:val="00DF65EC"/>
    <w:rsid w:val="00DF69EE"/>
    <w:rsid w:val="00DF6B7D"/>
    <w:rsid w:val="00DF73F3"/>
    <w:rsid w:val="00DF76BA"/>
    <w:rsid w:val="00DF77F0"/>
    <w:rsid w:val="00DF7E4E"/>
    <w:rsid w:val="00E007D4"/>
    <w:rsid w:val="00E00ADB"/>
    <w:rsid w:val="00E01050"/>
    <w:rsid w:val="00E016DC"/>
    <w:rsid w:val="00E01A54"/>
    <w:rsid w:val="00E022ED"/>
    <w:rsid w:val="00E024DB"/>
    <w:rsid w:val="00E026D1"/>
    <w:rsid w:val="00E03430"/>
    <w:rsid w:val="00E03497"/>
    <w:rsid w:val="00E03B77"/>
    <w:rsid w:val="00E048E7"/>
    <w:rsid w:val="00E050AB"/>
    <w:rsid w:val="00E05DAC"/>
    <w:rsid w:val="00E05E4E"/>
    <w:rsid w:val="00E05F7B"/>
    <w:rsid w:val="00E06B08"/>
    <w:rsid w:val="00E06B09"/>
    <w:rsid w:val="00E06C0A"/>
    <w:rsid w:val="00E07650"/>
    <w:rsid w:val="00E07664"/>
    <w:rsid w:val="00E0774C"/>
    <w:rsid w:val="00E07AB7"/>
    <w:rsid w:val="00E07BC0"/>
    <w:rsid w:val="00E07BFF"/>
    <w:rsid w:val="00E07DB6"/>
    <w:rsid w:val="00E10508"/>
    <w:rsid w:val="00E10B32"/>
    <w:rsid w:val="00E11103"/>
    <w:rsid w:val="00E112E4"/>
    <w:rsid w:val="00E116DF"/>
    <w:rsid w:val="00E11F47"/>
    <w:rsid w:val="00E12B81"/>
    <w:rsid w:val="00E13163"/>
    <w:rsid w:val="00E13BE2"/>
    <w:rsid w:val="00E13F7B"/>
    <w:rsid w:val="00E143D4"/>
    <w:rsid w:val="00E1463E"/>
    <w:rsid w:val="00E14991"/>
    <w:rsid w:val="00E14F73"/>
    <w:rsid w:val="00E1524E"/>
    <w:rsid w:val="00E1577A"/>
    <w:rsid w:val="00E15F21"/>
    <w:rsid w:val="00E168B3"/>
    <w:rsid w:val="00E16CEE"/>
    <w:rsid w:val="00E17666"/>
    <w:rsid w:val="00E17AF9"/>
    <w:rsid w:val="00E20986"/>
    <w:rsid w:val="00E20A8C"/>
    <w:rsid w:val="00E20C6A"/>
    <w:rsid w:val="00E20E4C"/>
    <w:rsid w:val="00E2133D"/>
    <w:rsid w:val="00E21489"/>
    <w:rsid w:val="00E214F0"/>
    <w:rsid w:val="00E2167E"/>
    <w:rsid w:val="00E21890"/>
    <w:rsid w:val="00E2196D"/>
    <w:rsid w:val="00E21E89"/>
    <w:rsid w:val="00E226D8"/>
    <w:rsid w:val="00E22A2E"/>
    <w:rsid w:val="00E22ADF"/>
    <w:rsid w:val="00E22C8F"/>
    <w:rsid w:val="00E23072"/>
    <w:rsid w:val="00E23ACD"/>
    <w:rsid w:val="00E24D18"/>
    <w:rsid w:val="00E25040"/>
    <w:rsid w:val="00E2542A"/>
    <w:rsid w:val="00E2549B"/>
    <w:rsid w:val="00E25973"/>
    <w:rsid w:val="00E26C3D"/>
    <w:rsid w:val="00E26E59"/>
    <w:rsid w:val="00E27241"/>
    <w:rsid w:val="00E27B7D"/>
    <w:rsid w:val="00E27C1A"/>
    <w:rsid w:val="00E27FE8"/>
    <w:rsid w:val="00E303A6"/>
    <w:rsid w:val="00E304F4"/>
    <w:rsid w:val="00E3052E"/>
    <w:rsid w:val="00E30B0D"/>
    <w:rsid w:val="00E3141B"/>
    <w:rsid w:val="00E31A80"/>
    <w:rsid w:val="00E31AF5"/>
    <w:rsid w:val="00E31D6D"/>
    <w:rsid w:val="00E31DA0"/>
    <w:rsid w:val="00E32394"/>
    <w:rsid w:val="00E33795"/>
    <w:rsid w:val="00E345C9"/>
    <w:rsid w:val="00E3495F"/>
    <w:rsid w:val="00E35F62"/>
    <w:rsid w:val="00E35FC5"/>
    <w:rsid w:val="00E36269"/>
    <w:rsid w:val="00E3642D"/>
    <w:rsid w:val="00E37370"/>
    <w:rsid w:val="00E373B3"/>
    <w:rsid w:val="00E37632"/>
    <w:rsid w:val="00E416E8"/>
    <w:rsid w:val="00E41BDA"/>
    <w:rsid w:val="00E42698"/>
    <w:rsid w:val="00E429B1"/>
    <w:rsid w:val="00E436FC"/>
    <w:rsid w:val="00E43CE9"/>
    <w:rsid w:val="00E43F39"/>
    <w:rsid w:val="00E43F76"/>
    <w:rsid w:val="00E45451"/>
    <w:rsid w:val="00E45472"/>
    <w:rsid w:val="00E4564F"/>
    <w:rsid w:val="00E4566E"/>
    <w:rsid w:val="00E45931"/>
    <w:rsid w:val="00E465C1"/>
    <w:rsid w:val="00E46B44"/>
    <w:rsid w:val="00E46E51"/>
    <w:rsid w:val="00E472E5"/>
    <w:rsid w:val="00E47D0A"/>
    <w:rsid w:val="00E50507"/>
    <w:rsid w:val="00E50DF7"/>
    <w:rsid w:val="00E51243"/>
    <w:rsid w:val="00E51263"/>
    <w:rsid w:val="00E51F16"/>
    <w:rsid w:val="00E521A6"/>
    <w:rsid w:val="00E52BBC"/>
    <w:rsid w:val="00E52D47"/>
    <w:rsid w:val="00E5383C"/>
    <w:rsid w:val="00E54178"/>
    <w:rsid w:val="00E54E09"/>
    <w:rsid w:val="00E55638"/>
    <w:rsid w:val="00E55B6B"/>
    <w:rsid w:val="00E55F2A"/>
    <w:rsid w:val="00E56792"/>
    <w:rsid w:val="00E57167"/>
    <w:rsid w:val="00E57602"/>
    <w:rsid w:val="00E5763F"/>
    <w:rsid w:val="00E60ECB"/>
    <w:rsid w:val="00E6138D"/>
    <w:rsid w:val="00E61A30"/>
    <w:rsid w:val="00E62436"/>
    <w:rsid w:val="00E63402"/>
    <w:rsid w:val="00E63684"/>
    <w:rsid w:val="00E63915"/>
    <w:rsid w:val="00E639FB"/>
    <w:rsid w:val="00E63BED"/>
    <w:rsid w:val="00E63CEF"/>
    <w:rsid w:val="00E63F50"/>
    <w:rsid w:val="00E647C9"/>
    <w:rsid w:val="00E64896"/>
    <w:rsid w:val="00E6585D"/>
    <w:rsid w:val="00E65BB8"/>
    <w:rsid w:val="00E660C9"/>
    <w:rsid w:val="00E66581"/>
    <w:rsid w:val="00E66908"/>
    <w:rsid w:val="00E673E1"/>
    <w:rsid w:val="00E67972"/>
    <w:rsid w:val="00E70499"/>
    <w:rsid w:val="00E704C4"/>
    <w:rsid w:val="00E70719"/>
    <w:rsid w:val="00E70914"/>
    <w:rsid w:val="00E713F5"/>
    <w:rsid w:val="00E71546"/>
    <w:rsid w:val="00E719C1"/>
    <w:rsid w:val="00E71A82"/>
    <w:rsid w:val="00E72E67"/>
    <w:rsid w:val="00E7314C"/>
    <w:rsid w:val="00E73377"/>
    <w:rsid w:val="00E73448"/>
    <w:rsid w:val="00E7358D"/>
    <w:rsid w:val="00E73A82"/>
    <w:rsid w:val="00E7443F"/>
    <w:rsid w:val="00E74541"/>
    <w:rsid w:val="00E749B6"/>
    <w:rsid w:val="00E74A01"/>
    <w:rsid w:val="00E753E2"/>
    <w:rsid w:val="00E75895"/>
    <w:rsid w:val="00E76A62"/>
    <w:rsid w:val="00E7710B"/>
    <w:rsid w:val="00E7739B"/>
    <w:rsid w:val="00E776BF"/>
    <w:rsid w:val="00E80201"/>
    <w:rsid w:val="00E80EA6"/>
    <w:rsid w:val="00E8105B"/>
    <w:rsid w:val="00E81206"/>
    <w:rsid w:val="00E81649"/>
    <w:rsid w:val="00E816F3"/>
    <w:rsid w:val="00E8180A"/>
    <w:rsid w:val="00E81AA8"/>
    <w:rsid w:val="00E81CC0"/>
    <w:rsid w:val="00E82595"/>
    <w:rsid w:val="00E82B13"/>
    <w:rsid w:val="00E8402D"/>
    <w:rsid w:val="00E84BDF"/>
    <w:rsid w:val="00E85E95"/>
    <w:rsid w:val="00E86927"/>
    <w:rsid w:val="00E86D38"/>
    <w:rsid w:val="00E876D3"/>
    <w:rsid w:val="00E87970"/>
    <w:rsid w:val="00E87E45"/>
    <w:rsid w:val="00E87EAF"/>
    <w:rsid w:val="00E901AC"/>
    <w:rsid w:val="00E90B62"/>
    <w:rsid w:val="00E90C0C"/>
    <w:rsid w:val="00E90CEA"/>
    <w:rsid w:val="00E914AB"/>
    <w:rsid w:val="00E9186A"/>
    <w:rsid w:val="00E919AB"/>
    <w:rsid w:val="00E91B0F"/>
    <w:rsid w:val="00E9291F"/>
    <w:rsid w:val="00E931EC"/>
    <w:rsid w:val="00E9367A"/>
    <w:rsid w:val="00E93A18"/>
    <w:rsid w:val="00E93C2B"/>
    <w:rsid w:val="00E944F1"/>
    <w:rsid w:val="00E94B0C"/>
    <w:rsid w:val="00E94F86"/>
    <w:rsid w:val="00E9517F"/>
    <w:rsid w:val="00E9548E"/>
    <w:rsid w:val="00E9599D"/>
    <w:rsid w:val="00E95A50"/>
    <w:rsid w:val="00E961A5"/>
    <w:rsid w:val="00E9628D"/>
    <w:rsid w:val="00E96567"/>
    <w:rsid w:val="00E969A7"/>
    <w:rsid w:val="00E97339"/>
    <w:rsid w:val="00EA01F5"/>
    <w:rsid w:val="00EA0324"/>
    <w:rsid w:val="00EA0BCB"/>
    <w:rsid w:val="00EA1152"/>
    <w:rsid w:val="00EA1173"/>
    <w:rsid w:val="00EA1829"/>
    <w:rsid w:val="00EA1A5B"/>
    <w:rsid w:val="00EA1C32"/>
    <w:rsid w:val="00EA1D34"/>
    <w:rsid w:val="00EA38FF"/>
    <w:rsid w:val="00EA3916"/>
    <w:rsid w:val="00EA3966"/>
    <w:rsid w:val="00EA3B34"/>
    <w:rsid w:val="00EA3C14"/>
    <w:rsid w:val="00EA44CA"/>
    <w:rsid w:val="00EA5B4A"/>
    <w:rsid w:val="00EA6074"/>
    <w:rsid w:val="00EA6AFD"/>
    <w:rsid w:val="00EA72C0"/>
    <w:rsid w:val="00EA790F"/>
    <w:rsid w:val="00EA7A36"/>
    <w:rsid w:val="00EA7C47"/>
    <w:rsid w:val="00EB0D83"/>
    <w:rsid w:val="00EB12C0"/>
    <w:rsid w:val="00EB14D2"/>
    <w:rsid w:val="00EB15BE"/>
    <w:rsid w:val="00EB1CCE"/>
    <w:rsid w:val="00EB1E2E"/>
    <w:rsid w:val="00EB289E"/>
    <w:rsid w:val="00EB2A50"/>
    <w:rsid w:val="00EB323E"/>
    <w:rsid w:val="00EB35F9"/>
    <w:rsid w:val="00EB3693"/>
    <w:rsid w:val="00EB3A37"/>
    <w:rsid w:val="00EB3CFE"/>
    <w:rsid w:val="00EB4C35"/>
    <w:rsid w:val="00EB50B3"/>
    <w:rsid w:val="00EB5A35"/>
    <w:rsid w:val="00EB5FAD"/>
    <w:rsid w:val="00EB5FFF"/>
    <w:rsid w:val="00EB619F"/>
    <w:rsid w:val="00EB6340"/>
    <w:rsid w:val="00EB64C1"/>
    <w:rsid w:val="00EB6708"/>
    <w:rsid w:val="00EB739B"/>
    <w:rsid w:val="00EB7C5C"/>
    <w:rsid w:val="00EB7E29"/>
    <w:rsid w:val="00EC02DA"/>
    <w:rsid w:val="00EC04F2"/>
    <w:rsid w:val="00EC0BDE"/>
    <w:rsid w:val="00EC0F40"/>
    <w:rsid w:val="00EC1845"/>
    <w:rsid w:val="00EC190A"/>
    <w:rsid w:val="00EC218C"/>
    <w:rsid w:val="00EC2415"/>
    <w:rsid w:val="00EC2D36"/>
    <w:rsid w:val="00EC3A04"/>
    <w:rsid w:val="00EC3A56"/>
    <w:rsid w:val="00EC3A98"/>
    <w:rsid w:val="00EC3DAB"/>
    <w:rsid w:val="00EC3DCE"/>
    <w:rsid w:val="00EC3EB2"/>
    <w:rsid w:val="00EC3FA4"/>
    <w:rsid w:val="00EC46D4"/>
    <w:rsid w:val="00EC4B6E"/>
    <w:rsid w:val="00EC53C8"/>
    <w:rsid w:val="00EC5404"/>
    <w:rsid w:val="00EC545B"/>
    <w:rsid w:val="00EC6228"/>
    <w:rsid w:val="00EC6BED"/>
    <w:rsid w:val="00EC6DB9"/>
    <w:rsid w:val="00EC6EFB"/>
    <w:rsid w:val="00EC71F1"/>
    <w:rsid w:val="00ED07FB"/>
    <w:rsid w:val="00ED08F7"/>
    <w:rsid w:val="00ED0E56"/>
    <w:rsid w:val="00ED1761"/>
    <w:rsid w:val="00ED18FE"/>
    <w:rsid w:val="00ED1946"/>
    <w:rsid w:val="00ED1C26"/>
    <w:rsid w:val="00ED1C96"/>
    <w:rsid w:val="00ED1E9C"/>
    <w:rsid w:val="00ED2874"/>
    <w:rsid w:val="00ED29C7"/>
    <w:rsid w:val="00ED2B36"/>
    <w:rsid w:val="00ED405A"/>
    <w:rsid w:val="00ED4146"/>
    <w:rsid w:val="00ED4A08"/>
    <w:rsid w:val="00ED5222"/>
    <w:rsid w:val="00ED55D0"/>
    <w:rsid w:val="00ED5961"/>
    <w:rsid w:val="00ED631C"/>
    <w:rsid w:val="00ED6F48"/>
    <w:rsid w:val="00ED70D4"/>
    <w:rsid w:val="00ED758E"/>
    <w:rsid w:val="00ED7B17"/>
    <w:rsid w:val="00EE01C5"/>
    <w:rsid w:val="00EE0266"/>
    <w:rsid w:val="00EE0747"/>
    <w:rsid w:val="00EE11F6"/>
    <w:rsid w:val="00EE13E9"/>
    <w:rsid w:val="00EE1421"/>
    <w:rsid w:val="00EE15F8"/>
    <w:rsid w:val="00EE172E"/>
    <w:rsid w:val="00EE1BD9"/>
    <w:rsid w:val="00EE1D3E"/>
    <w:rsid w:val="00EE1E6C"/>
    <w:rsid w:val="00EE1F38"/>
    <w:rsid w:val="00EE216B"/>
    <w:rsid w:val="00EE224E"/>
    <w:rsid w:val="00EE26D9"/>
    <w:rsid w:val="00EE276E"/>
    <w:rsid w:val="00EE2A03"/>
    <w:rsid w:val="00EE2BA8"/>
    <w:rsid w:val="00EE3098"/>
    <w:rsid w:val="00EE344E"/>
    <w:rsid w:val="00EE3466"/>
    <w:rsid w:val="00EE3525"/>
    <w:rsid w:val="00EE3D1D"/>
    <w:rsid w:val="00EE3DA3"/>
    <w:rsid w:val="00EE3EB1"/>
    <w:rsid w:val="00EE3EBF"/>
    <w:rsid w:val="00EE3FE7"/>
    <w:rsid w:val="00EE400D"/>
    <w:rsid w:val="00EE4162"/>
    <w:rsid w:val="00EE43CE"/>
    <w:rsid w:val="00EE464B"/>
    <w:rsid w:val="00EE480A"/>
    <w:rsid w:val="00EE4EA1"/>
    <w:rsid w:val="00EE6139"/>
    <w:rsid w:val="00EE62D9"/>
    <w:rsid w:val="00EE732F"/>
    <w:rsid w:val="00EE772E"/>
    <w:rsid w:val="00EF03EB"/>
    <w:rsid w:val="00EF08DB"/>
    <w:rsid w:val="00EF0F65"/>
    <w:rsid w:val="00EF10FF"/>
    <w:rsid w:val="00EF11D3"/>
    <w:rsid w:val="00EF29BE"/>
    <w:rsid w:val="00EF340A"/>
    <w:rsid w:val="00EF3558"/>
    <w:rsid w:val="00EF35EE"/>
    <w:rsid w:val="00EF40D1"/>
    <w:rsid w:val="00EF491D"/>
    <w:rsid w:val="00EF4C12"/>
    <w:rsid w:val="00EF52BD"/>
    <w:rsid w:val="00EF5D9B"/>
    <w:rsid w:val="00EF69EC"/>
    <w:rsid w:val="00EF6B7C"/>
    <w:rsid w:val="00EF6E6E"/>
    <w:rsid w:val="00EF6FF1"/>
    <w:rsid w:val="00EF7CC3"/>
    <w:rsid w:val="00EF7F66"/>
    <w:rsid w:val="00F00103"/>
    <w:rsid w:val="00F007BD"/>
    <w:rsid w:val="00F00A48"/>
    <w:rsid w:val="00F012A1"/>
    <w:rsid w:val="00F015E1"/>
    <w:rsid w:val="00F019B0"/>
    <w:rsid w:val="00F01F9C"/>
    <w:rsid w:val="00F02542"/>
    <w:rsid w:val="00F02CCE"/>
    <w:rsid w:val="00F02CFD"/>
    <w:rsid w:val="00F03056"/>
    <w:rsid w:val="00F037F5"/>
    <w:rsid w:val="00F03982"/>
    <w:rsid w:val="00F039AD"/>
    <w:rsid w:val="00F03A95"/>
    <w:rsid w:val="00F03DBE"/>
    <w:rsid w:val="00F0447D"/>
    <w:rsid w:val="00F04589"/>
    <w:rsid w:val="00F0463A"/>
    <w:rsid w:val="00F048E0"/>
    <w:rsid w:val="00F05311"/>
    <w:rsid w:val="00F053D5"/>
    <w:rsid w:val="00F05513"/>
    <w:rsid w:val="00F059C5"/>
    <w:rsid w:val="00F05BA6"/>
    <w:rsid w:val="00F065BF"/>
    <w:rsid w:val="00F06733"/>
    <w:rsid w:val="00F06826"/>
    <w:rsid w:val="00F07965"/>
    <w:rsid w:val="00F10989"/>
    <w:rsid w:val="00F10F9F"/>
    <w:rsid w:val="00F114D8"/>
    <w:rsid w:val="00F11B0D"/>
    <w:rsid w:val="00F11C22"/>
    <w:rsid w:val="00F120F3"/>
    <w:rsid w:val="00F12435"/>
    <w:rsid w:val="00F1284E"/>
    <w:rsid w:val="00F12DC1"/>
    <w:rsid w:val="00F13112"/>
    <w:rsid w:val="00F13145"/>
    <w:rsid w:val="00F13300"/>
    <w:rsid w:val="00F1332E"/>
    <w:rsid w:val="00F13523"/>
    <w:rsid w:val="00F138B2"/>
    <w:rsid w:val="00F14335"/>
    <w:rsid w:val="00F144C3"/>
    <w:rsid w:val="00F14F06"/>
    <w:rsid w:val="00F15412"/>
    <w:rsid w:val="00F159C6"/>
    <w:rsid w:val="00F15CA8"/>
    <w:rsid w:val="00F15DBF"/>
    <w:rsid w:val="00F16431"/>
    <w:rsid w:val="00F16576"/>
    <w:rsid w:val="00F16A94"/>
    <w:rsid w:val="00F17013"/>
    <w:rsid w:val="00F173EB"/>
    <w:rsid w:val="00F17595"/>
    <w:rsid w:val="00F1767D"/>
    <w:rsid w:val="00F17A85"/>
    <w:rsid w:val="00F20170"/>
    <w:rsid w:val="00F2096F"/>
    <w:rsid w:val="00F20D18"/>
    <w:rsid w:val="00F20F44"/>
    <w:rsid w:val="00F218DF"/>
    <w:rsid w:val="00F21A33"/>
    <w:rsid w:val="00F21A85"/>
    <w:rsid w:val="00F221B9"/>
    <w:rsid w:val="00F22577"/>
    <w:rsid w:val="00F2293D"/>
    <w:rsid w:val="00F22D00"/>
    <w:rsid w:val="00F23316"/>
    <w:rsid w:val="00F23700"/>
    <w:rsid w:val="00F23AB2"/>
    <w:rsid w:val="00F24121"/>
    <w:rsid w:val="00F24BC8"/>
    <w:rsid w:val="00F25718"/>
    <w:rsid w:val="00F25885"/>
    <w:rsid w:val="00F25E9D"/>
    <w:rsid w:val="00F26266"/>
    <w:rsid w:val="00F264DD"/>
    <w:rsid w:val="00F265DA"/>
    <w:rsid w:val="00F2669E"/>
    <w:rsid w:val="00F266AB"/>
    <w:rsid w:val="00F268C7"/>
    <w:rsid w:val="00F271BD"/>
    <w:rsid w:val="00F27410"/>
    <w:rsid w:val="00F2776B"/>
    <w:rsid w:val="00F27E27"/>
    <w:rsid w:val="00F30535"/>
    <w:rsid w:val="00F30EB3"/>
    <w:rsid w:val="00F31A0D"/>
    <w:rsid w:val="00F32148"/>
    <w:rsid w:val="00F324FD"/>
    <w:rsid w:val="00F33035"/>
    <w:rsid w:val="00F33218"/>
    <w:rsid w:val="00F33F2F"/>
    <w:rsid w:val="00F3507D"/>
    <w:rsid w:val="00F35498"/>
    <w:rsid w:val="00F35E9E"/>
    <w:rsid w:val="00F35FD8"/>
    <w:rsid w:val="00F36145"/>
    <w:rsid w:val="00F3624D"/>
    <w:rsid w:val="00F366AD"/>
    <w:rsid w:val="00F36914"/>
    <w:rsid w:val="00F36BBA"/>
    <w:rsid w:val="00F3765E"/>
    <w:rsid w:val="00F37902"/>
    <w:rsid w:val="00F37905"/>
    <w:rsid w:val="00F37947"/>
    <w:rsid w:val="00F37997"/>
    <w:rsid w:val="00F40989"/>
    <w:rsid w:val="00F40C39"/>
    <w:rsid w:val="00F4129D"/>
    <w:rsid w:val="00F414C5"/>
    <w:rsid w:val="00F41F40"/>
    <w:rsid w:val="00F420E5"/>
    <w:rsid w:val="00F42730"/>
    <w:rsid w:val="00F42A4E"/>
    <w:rsid w:val="00F43445"/>
    <w:rsid w:val="00F43DA5"/>
    <w:rsid w:val="00F43E5E"/>
    <w:rsid w:val="00F4474B"/>
    <w:rsid w:val="00F448D2"/>
    <w:rsid w:val="00F44BB6"/>
    <w:rsid w:val="00F45073"/>
    <w:rsid w:val="00F45DD1"/>
    <w:rsid w:val="00F46513"/>
    <w:rsid w:val="00F46662"/>
    <w:rsid w:val="00F47044"/>
    <w:rsid w:val="00F4720D"/>
    <w:rsid w:val="00F47216"/>
    <w:rsid w:val="00F47376"/>
    <w:rsid w:val="00F474E9"/>
    <w:rsid w:val="00F479DD"/>
    <w:rsid w:val="00F47CE3"/>
    <w:rsid w:val="00F5024E"/>
    <w:rsid w:val="00F50E6F"/>
    <w:rsid w:val="00F512C0"/>
    <w:rsid w:val="00F519DC"/>
    <w:rsid w:val="00F52232"/>
    <w:rsid w:val="00F527B4"/>
    <w:rsid w:val="00F52990"/>
    <w:rsid w:val="00F52A7D"/>
    <w:rsid w:val="00F52C56"/>
    <w:rsid w:val="00F53E5C"/>
    <w:rsid w:val="00F548D3"/>
    <w:rsid w:val="00F54A53"/>
    <w:rsid w:val="00F5518C"/>
    <w:rsid w:val="00F552FA"/>
    <w:rsid w:val="00F55F24"/>
    <w:rsid w:val="00F56196"/>
    <w:rsid w:val="00F56606"/>
    <w:rsid w:val="00F568F1"/>
    <w:rsid w:val="00F572A9"/>
    <w:rsid w:val="00F57615"/>
    <w:rsid w:val="00F57650"/>
    <w:rsid w:val="00F5791F"/>
    <w:rsid w:val="00F57CB4"/>
    <w:rsid w:val="00F6022E"/>
    <w:rsid w:val="00F602B0"/>
    <w:rsid w:val="00F6038A"/>
    <w:rsid w:val="00F6056B"/>
    <w:rsid w:val="00F6074F"/>
    <w:rsid w:val="00F60783"/>
    <w:rsid w:val="00F60ABD"/>
    <w:rsid w:val="00F60F1B"/>
    <w:rsid w:val="00F61A5D"/>
    <w:rsid w:val="00F61E0E"/>
    <w:rsid w:val="00F6201B"/>
    <w:rsid w:val="00F62374"/>
    <w:rsid w:val="00F6238D"/>
    <w:rsid w:val="00F62D78"/>
    <w:rsid w:val="00F63413"/>
    <w:rsid w:val="00F63C4D"/>
    <w:rsid w:val="00F63FC3"/>
    <w:rsid w:val="00F643AE"/>
    <w:rsid w:val="00F644F3"/>
    <w:rsid w:val="00F645A5"/>
    <w:rsid w:val="00F6461F"/>
    <w:rsid w:val="00F64E86"/>
    <w:rsid w:val="00F64F7B"/>
    <w:rsid w:val="00F6564B"/>
    <w:rsid w:val="00F6564D"/>
    <w:rsid w:val="00F66367"/>
    <w:rsid w:val="00F670C0"/>
    <w:rsid w:val="00F70252"/>
    <w:rsid w:val="00F709BA"/>
    <w:rsid w:val="00F70D8C"/>
    <w:rsid w:val="00F70DF1"/>
    <w:rsid w:val="00F71183"/>
    <w:rsid w:val="00F71B86"/>
    <w:rsid w:val="00F725F3"/>
    <w:rsid w:val="00F72F2A"/>
    <w:rsid w:val="00F73829"/>
    <w:rsid w:val="00F73A12"/>
    <w:rsid w:val="00F73F99"/>
    <w:rsid w:val="00F73FC6"/>
    <w:rsid w:val="00F74DE1"/>
    <w:rsid w:val="00F74DEB"/>
    <w:rsid w:val="00F75405"/>
    <w:rsid w:val="00F7548A"/>
    <w:rsid w:val="00F75B48"/>
    <w:rsid w:val="00F75E70"/>
    <w:rsid w:val="00F76012"/>
    <w:rsid w:val="00F76A13"/>
    <w:rsid w:val="00F76AD3"/>
    <w:rsid w:val="00F76D7C"/>
    <w:rsid w:val="00F7716E"/>
    <w:rsid w:val="00F7766C"/>
    <w:rsid w:val="00F77900"/>
    <w:rsid w:val="00F7795E"/>
    <w:rsid w:val="00F80532"/>
    <w:rsid w:val="00F806DA"/>
    <w:rsid w:val="00F80ED3"/>
    <w:rsid w:val="00F80FB8"/>
    <w:rsid w:val="00F818FE"/>
    <w:rsid w:val="00F819D1"/>
    <w:rsid w:val="00F82508"/>
    <w:rsid w:val="00F82A6B"/>
    <w:rsid w:val="00F835D4"/>
    <w:rsid w:val="00F83943"/>
    <w:rsid w:val="00F83EB2"/>
    <w:rsid w:val="00F84D0B"/>
    <w:rsid w:val="00F84DAD"/>
    <w:rsid w:val="00F84DFF"/>
    <w:rsid w:val="00F84FED"/>
    <w:rsid w:val="00F85AC2"/>
    <w:rsid w:val="00F86173"/>
    <w:rsid w:val="00F866B4"/>
    <w:rsid w:val="00F86726"/>
    <w:rsid w:val="00F86B22"/>
    <w:rsid w:val="00F87247"/>
    <w:rsid w:val="00F87AF6"/>
    <w:rsid w:val="00F9072C"/>
    <w:rsid w:val="00F907A1"/>
    <w:rsid w:val="00F90B14"/>
    <w:rsid w:val="00F92138"/>
    <w:rsid w:val="00F92596"/>
    <w:rsid w:val="00F92D8E"/>
    <w:rsid w:val="00F92F1D"/>
    <w:rsid w:val="00F935D9"/>
    <w:rsid w:val="00F935DA"/>
    <w:rsid w:val="00F93A6A"/>
    <w:rsid w:val="00F93B95"/>
    <w:rsid w:val="00F9439F"/>
    <w:rsid w:val="00F94805"/>
    <w:rsid w:val="00F9516F"/>
    <w:rsid w:val="00F9559D"/>
    <w:rsid w:val="00F95C4E"/>
    <w:rsid w:val="00F960B0"/>
    <w:rsid w:val="00F96871"/>
    <w:rsid w:val="00F96D5B"/>
    <w:rsid w:val="00F97278"/>
    <w:rsid w:val="00F975D7"/>
    <w:rsid w:val="00FA1458"/>
    <w:rsid w:val="00FA1A3E"/>
    <w:rsid w:val="00FA1AC9"/>
    <w:rsid w:val="00FA1B66"/>
    <w:rsid w:val="00FA1BCE"/>
    <w:rsid w:val="00FA2150"/>
    <w:rsid w:val="00FA21D2"/>
    <w:rsid w:val="00FA22B7"/>
    <w:rsid w:val="00FA2C2F"/>
    <w:rsid w:val="00FA2E13"/>
    <w:rsid w:val="00FA2E68"/>
    <w:rsid w:val="00FA3669"/>
    <w:rsid w:val="00FA3742"/>
    <w:rsid w:val="00FA3746"/>
    <w:rsid w:val="00FA37B7"/>
    <w:rsid w:val="00FA3C37"/>
    <w:rsid w:val="00FA3C6C"/>
    <w:rsid w:val="00FA485F"/>
    <w:rsid w:val="00FA4999"/>
    <w:rsid w:val="00FA49A7"/>
    <w:rsid w:val="00FA4AA0"/>
    <w:rsid w:val="00FA54DE"/>
    <w:rsid w:val="00FA587B"/>
    <w:rsid w:val="00FA6579"/>
    <w:rsid w:val="00FA6892"/>
    <w:rsid w:val="00FA7AB6"/>
    <w:rsid w:val="00FA7B69"/>
    <w:rsid w:val="00FA7C9B"/>
    <w:rsid w:val="00FA7DF2"/>
    <w:rsid w:val="00FB0199"/>
    <w:rsid w:val="00FB0708"/>
    <w:rsid w:val="00FB0731"/>
    <w:rsid w:val="00FB1624"/>
    <w:rsid w:val="00FB169D"/>
    <w:rsid w:val="00FB1B9F"/>
    <w:rsid w:val="00FB1E2C"/>
    <w:rsid w:val="00FB20E0"/>
    <w:rsid w:val="00FB2890"/>
    <w:rsid w:val="00FB2BA0"/>
    <w:rsid w:val="00FB2D3D"/>
    <w:rsid w:val="00FB3624"/>
    <w:rsid w:val="00FB36D8"/>
    <w:rsid w:val="00FB36FE"/>
    <w:rsid w:val="00FB37BE"/>
    <w:rsid w:val="00FB3B0C"/>
    <w:rsid w:val="00FB4443"/>
    <w:rsid w:val="00FB44AB"/>
    <w:rsid w:val="00FB4B5C"/>
    <w:rsid w:val="00FB503C"/>
    <w:rsid w:val="00FB5662"/>
    <w:rsid w:val="00FB5B54"/>
    <w:rsid w:val="00FB5E4B"/>
    <w:rsid w:val="00FB63CF"/>
    <w:rsid w:val="00FC093A"/>
    <w:rsid w:val="00FC17B1"/>
    <w:rsid w:val="00FC1EA1"/>
    <w:rsid w:val="00FC20DF"/>
    <w:rsid w:val="00FC21BC"/>
    <w:rsid w:val="00FC2469"/>
    <w:rsid w:val="00FC3079"/>
    <w:rsid w:val="00FC343C"/>
    <w:rsid w:val="00FC37D5"/>
    <w:rsid w:val="00FC3B70"/>
    <w:rsid w:val="00FC42A3"/>
    <w:rsid w:val="00FC5489"/>
    <w:rsid w:val="00FC66DA"/>
    <w:rsid w:val="00FC70D5"/>
    <w:rsid w:val="00FD0237"/>
    <w:rsid w:val="00FD0577"/>
    <w:rsid w:val="00FD0DDD"/>
    <w:rsid w:val="00FD0FE8"/>
    <w:rsid w:val="00FD14EA"/>
    <w:rsid w:val="00FD169E"/>
    <w:rsid w:val="00FD1828"/>
    <w:rsid w:val="00FD1B05"/>
    <w:rsid w:val="00FD234E"/>
    <w:rsid w:val="00FD2D65"/>
    <w:rsid w:val="00FD3038"/>
    <w:rsid w:val="00FD3587"/>
    <w:rsid w:val="00FD415E"/>
    <w:rsid w:val="00FD432F"/>
    <w:rsid w:val="00FD44EA"/>
    <w:rsid w:val="00FD4775"/>
    <w:rsid w:val="00FD477B"/>
    <w:rsid w:val="00FD4872"/>
    <w:rsid w:val="00FD496D"/>
    <w:rsid w:val="00FD4D32"/>
    <w:rsid w:val="00FD5128"/>
    <w:rsid w:val="00FD57D0"/>
    <w:rsid w:val="00FD5974"/>
    <w:rsid w:val="00FD5D0B"/>
    <w:rsid w:val="00FD5F79"/>
    <w:rsid w:val="00FD63F3"/>
    <w:rsid w:val="00FD675A"/>
    <w:rsid w:val="00FD694D"/>
    <w:rsid w:val="00FD719E"/>
    <w:rsid w:val="00FD71F9"/>
    <w:rsid w:val="00FD78B1"/>
    <w:rsid w:val="00FD7C18"/>
    <w:rsid w:val="00FD7E9C"/>
    <w:rsid w:val="00FD7F39"/>
    <w:rsid w:val="00FE0530"/>
    <w:rsid w:val="00FE054D"/>
    <w:rsid w:val="00FE0B8F"/>
    <w:rsid w:val="00FE0DB1"/>
    <w:rsid w:val="00FE123B"/>
    <w:rsid w:val="00FE1E66"/>
    <w:rsid w:val="00FE224C"/>
    <w:rsid w:val="00FE2D21"/>
    <w:rsid w:val="00FE3263"/>
    <w:rsid w:val="00FE406D"/>
    <w:rsid w:val="00FE465D"/>
    <w:rsid w:val="00FE48DE"/>
    <w:rsid w:val="00FE5112"/>
    <w:rsid w:val="00FE533E"/>
    <w:rsid w:val="00FE5516"/>
    <w:rsid w:val="00FE5C3D"/>
    <w:rsid w:val="00FE625F"/>
    <w:rsid w:val="00FE6566"/>
    <w:rsid w:val="00FE7163"/>
    <w:rsid w:val="00FE72BE"/>
    <w:rsid w:val="00FE7A44"/>
    <w:rsid w:val="00FE7DB4"/>
    <w:rsid w:val="00FF004B"/>
    <w:rsid w:val="00FF052D"/>
    <w:rsid w:val="00FF0A4D"/>
    <w:rsid w:val="00FF0B8D"/>
    <w:rsid w:val="00FF1B56"/>
    <w:rsid w:val="00FF2133"/>
    <w:rsid w:val="00FF25A4"/>
    <w:rsid w:val="00FF2625"/>
    <w:rsid w:val="00FF2960"/>
    <w:rsid w:val="00FF2DE3"/>
    <w:rsid w:val="00FF358A"/>
    <w:rsid w:val="00FF40F5"/>
    <w:rsid w:val="00FF43D8"/>
    <w:rsid w:val="00FF47CC"/>
    <w:rsid w:val="00FF4EEB"/>
    <w:rsid w:val="00FF546B"/>
    <w:rsid w:val="00FF54A0"/>
    <w:rsid w:val="00FF5B6A"/>
    <w:rsid w:val="00FF5F39"/>
    <w:rsid w:val="00FF5FEF"/>
    <w:rsid w:val="00FF6162"/>
    <w:rsid w:val="00FF6AD6"/>
    <w:rsid w:val="00FF6ADB"/>
    <w:rsid w:val="00FF6D13"/>
    <w:rsid w:val="00FF6F4B"/>
    <w:rsid w:val="00FF7F16"/>
    <w:rsid w:val="0125681A"/>
    <w:rsid w:val="01351DB7"/>
    <w:rsid w:val="0150059B"/>
    <w:rsid w:val="017658EE"/>
    <w:rsid w:val="018241E3"/>
    <w:rsid w:val="0187172A"/>
    <w:rsid w:val="018A1439"/>
    <w:rsid w:val="0196032D"/>
    <w:rsid w:val="01AC6FF2"/>
    <w:rsid w:val="01B41481"/>
    <w:rsid w:val="01B84694"/>
    <w:rsid w:val="01B97163"/>
    <w:rsid w:val="01CD5676"/>
    <w:rsid w:val="01E53944"/>
    <w:rsid w:val="01EA312A"/>
    <w:rsid w:val="01F068F2"/>
    <w:rsid w:val="02235224"/>
    <w:rsid w:val="02345E8B"/>
    <w:rsid w:val="02354F69"/>
    <w:rsid w:val="026B4332"/>
    <w:rsid w:val="02835EAC"/>
    <w:rsid w:val="02850BB3"/>
    <w:rsid w:val="02934CEF"/>
    <w:rsid w:val="02985EFC"/>
    <w:rsid w:val="02A75F90"/>
    <w:rsid w:val="02AA616C"/>
    <w:rsid w:val="02B53CBE"/>
    <w:rsid w:val="02C519A4"/>
    <w:rsid w:val="02C70C22"/>
    <w:rsid w:val="02C766DC"/>
    <w:rsid w:val="02CD15A9"/>
    <w:rsid w:val="02D012D4"/>
    <w:rsid w:val="02DA53CF"/>
    <w:rsid w:val="02E42A9C"/>
    <w:rsid w:val="02FC2C26"/>
    <w:rsid w:val="030B0178"/>
    <w:rsid w:val="033B2F48"/>
    <w:rsid w:val="034B7E0E"/>
    <w:rsid w:val="03576E5E"/>
    <w:rsid w:val="03746140"/>
    <w:rsid w:val="03783D1C"/>
    <w:rsid w:val="038F1B8A"/>
    <w:rsid w:val="03A12977"/>
    <w:rsid w:val="03C0711D"/>
    <w:rsid w:val="040A45ED"/>
    <w:rsid w:val="041F0240"/>
    <w:rsid w:val="042D5ACA"/>
    <w:rsid w:val="04687059"/>
    <w:rsid w:val="047111D4"/>
    <w:rsid w:val="047636B0"/>
    <w:rsid w:val="047776B3"/>
    <w:rsid w:val="04797C66"/>
    <w:rsid w:val="047D2864"/>
    <w:rsid w:val="04823210"/>
    <w:rsid w:val="04A32E9D"/>
    <w:rsid w:val="04A85A33"/>
    <w:rsid w:val="04CA4B7D"/>
    <w:rsid w:val="04DC5E9A"/>
    <w:rsid w:val="04EE3788"/>
    <w:rsid w:val="04EF33C9"/>
    <w:rsid w:val="04EF6E3D"/>
    <w:rsid w:val="04F95F5A"/>
    <w:rsid w:val="04FD6405"/>
    <w:rsid w:val="050429A0"/>
    <w:rsid w:val="051657B3"/>
    <w:rsid w:val="05365FA5"/>
    <w:rsid w:val="05377777"/>
    <w:rsid w:val="05465324"/>
    <w:rsid w:val="05473182"/>
    <w:rsid w:val="05551897"/>
    <w:rsid w:val="0559116C"/>
    <w:rsid w:val="05642459"/>
    <w:rsid w:val="057B32AF"/>
    <w:rsid w:val="057D3D11"/>
    <w:rsid w:val="0597302A"/>
    <w:rsid w:val="05A12F11"/>
    <w:rsid w:val="05A57D26"/>
    <w:rsid w:val="05A95E4F"/>
    <w:rsid w:val="05C134FC"/>
    <w:rsid w:val="06142543"/>
    <w:rsid w:val="061A594B"/>
    <w:rsid w:val="061B18C4"/>
    <w:rsid w:val="06212181"/>
    <w:rsid w:val="064A3B02"/>
    <w:rsid w:val="06606421"/>
    <w:rsid w:val="066B5016"/>
    <w:rsid w:val="066C6F4E"/>
    <w:rsid w:val="06721A40"/>
    <w:rsid w:val="067B7E89"/>
    <w:rsid w:val="068A7046"/>
    <w:rsid w:val="0693146B"/>
    <w:rsid w:val="069D4928"/>
    <w:rsid w:val="069F07B9"/>
    <w:rsid w:val="06A25401"/>
    <w:rsid w:val="06AE7CB8"/>
    <w:rsid w:val="06B12033"/>
    <w:rsid w:val="06BF04CB"/>
    <w:rsid w:val="06D23956"/>
    <w:rsid w:val="06D90323"/>
    <w:rsid w:val="06D949E3"/>
    <w:rsid w:val="06DD1AFD"/>
    <w:rsid w:val="06E445F8"/>
    <w:rsid w:val="06E87E13"/>
    <w:rsid w:val="06ED18D7"/>
    <w:rsid w:val="07075C9C"/>
    <w:rsid w:val="07590CF0"/>
    <w:rsid w:val="07797230"/>
    <w:rsid w:val="078B100F"/>
    <w:rsid w:val="079A3F2C"/>
    <w:rsid w:val="07A92473"/>
    <w:rsid w:val="07AB1CAC"/>
    <w:rsid w:val="07AC2A7C"/>
    <w:rsid w:val="07B465CB"/>
    <w:rsid w:val="07D40FD5"/>
    <w:rsid w:val="07D4316E"/>
    <w:rsid w:val="07D609B3"/>
    <w:rsid w:val="07E14ADB"/>
    <w:rsid w:val="07EE5EDD"/>
    <w:rsid w:val="07F15947"/>
    <w:rsid w:val="07F93805"/>
    <w:rsid w:val="07FA2903"/>
    <w:rsid w:val="08040837"/>
    <w:rsid w:val="08060E5B"/>
    <w:rsid w:val="081169D5"/>
    <w:rsid w:val="082A162C"/>
    <w:rsid w:val="082C5831"/>
    <w:rsid w:val="08364DDB"/>
    <w:rsid w:val="084F3B52"/>
    <w:rsid w:val="085E409F"/>
    <w:rsid w:val="08625F36"/>
    <w:rsid w:val="0868273B"/>
    <w:rsid w:val="0876656F"/>
    <w:rsid w:val="08782B49"/>
    <w:rsid w:val="087832DE"/>
    <w:rsid w:val="0893420B"/>
    <w:rsid w:val="08A47847"/>
    <w:rsid w:val="08BB0B7D"/>
    <w:rsid w:val="08D2725E"/>
    <w:rsid w:val="08D56BA9"/>
    <w:rsid w:val="08EE28CE"/>
    <w:rsid w:val="08FA460C"/>
    <w:rsid w:val="08FD1DB0"/>
    <w:rsid w:val="09135DEC"/>
    <w:rsid w:val="09245DBA"/>
    <w:rsid w:val="09311E5E"/>
    <w:rsid w:val="09364BFB"/>
    <w:rsid w:val="093B3D65"/>
    <w:rsid w:val="09924976"/>
    <w:rsid w:val="099B6A31"/>
    <w:rsid w:val="09A5375D"/>
    <w:rsid w:val="09C36367"/>
    <w:rsid w:val="09DC3A8A"/>
    <w:rsid w:val="09E426AA"/>
    <w:rsid w:val="09EE6F33"/>
    <w:rsid w:val="09EE6F5D"/>
    <w:rsid w:val="09F71391"/>
    <w:rsid w:val="0A150CA6"/>
    <w:rsid w:val="0A1F5988"/>
    <w:rsid w:val="0A313A0C"/>
    <w:rsid w:val="0A3570F5"/>
    <w:rsid w:val="0A4859BC"/>
    <w:rsid w:val="0A654C02"/>
    <w:rsid w:val="0A667B75"/>
    <w:rsid w:val="0A7107EE"/>
    <w:rsid w:val="0A736854"/>
    <w:rsid w:val="0A8053DE"/>
    <w:rsid w:val="0A8650D8"/>
    <w:rsid w:val="0A96040B"/>
    <w:rsid w:val="0A980FB2"/>
    <w:rsid w:val="0ABF201D"/>
    <w:rsid w:val="0ACB3934"/>
    <w:rsid w:val="0AE2367F"/>
    <w:rsid w:val="0AFA1FA1"/>
    <w:rsid w:val="0B073641"/>
    <w:rsid w:val="0B1622E9"/>
    <w:rsid w:val="0B1E2A0E"/>
    <w:rsid w:val="0B225152"/>
    <w:rsid w:val="0B303037"/>
    <w:rsid w:val="0B36269B"/>
    <w:rsid w:val="0B3E0F30"/>
    <w:rsid w:val="0B553B0A"/>
    <w:rsid w:val="0B6743F7"/>
    <w:rsid w:val="0B7D6096"/>
    <w:rsid w:val="0B801653"/>
    <w:rsid w:val="0B864B9E"/>
    <w:rsid w:val="0BAE10F3"/>
    <w:rsid w:val="0BC63B0D"/>
    <w:rsid w:val="0BCC4159"/>
    <w:rsid w:val="0BCF7BF4"/>
    <w:rsid w:val="0BD0264B"/>
    <w:rsid w:val="0BD50850"/>
    <w:rsid w:val="0C0C591E"/>
    <w:rsid w:val="0C0F576D"/>
    <w:rsid w:val="0C1601C6"/>
    <w:rsid w:val="0C262AD8"/>
    <w:rsid w:val="0C50067B"/>
    <w:rsid w:val="0C507879"/>
    <w:rsid w:val="0C5478BF"/>
    <w:rsid w:val="0C56615C"/>
    <w:rsid w:val="0C6915F2"/>
    <w:rsid w:val="0C6E0DF7"/>
    <w:rsid w:val="0C856E52"/>
    <w:rsid w:val="0C8672C2"/>
    <w:rsid w:val="0C8835F1"/>
    <w:rsid w:val="0CB41A9D"/>
    <w:rsid w:val="0CC40501"/>
    <w:rsid w:val="0CED74B3"/>
    <w:rsid w:val="0CEE0F81"/>
    <w:rsid w:val="0CFC12EA"/>
    <w:rsid w:val="0D0D7A7B"/>
    <w:rsid w:val="0D242C90"/>
    <w:rsid w:val="0D2D28E4"/>
    <w:rsid w:val="0D2E173F"/>
    <w:rsid w:val="0D3B7E88"/>
    <w:rsid w:val="0D3F4624"/>
    <w:rsid w:val="0D442E57"/>
    <w:rsid w:val="0D842B3F"/>
    <w:rsid w:val="0D8A6929"/>
    <w:rsid w:val="0DB62113"/>
    <w:rsid w:val="0DC84055"/>
    <w:rsid w:val="0DC935B6"/>
    <w:rsid w:val="0DD80086"/>
    <w:rsid w:val="0DD922BC"/>
    <w:rsid w:val="0DE60B36"/>
    <w:rsid w:val="0DEE5B60"/>
    <w:rsid w:val="0E172E1A"/>
    <w:rsid w:val="0E1B33D4"/>
    <w:rsid w:val="0E271D31"/>
    <w:rsid w:val="0E29293A"/>
    <w:rsid w:val="0E2D4088"/>
    <w:rsid w:val="0E3B5080"/>
    <w:rsid w:val="0E416F09"/>
    <w:rsid w:val="0E582D17"/>
    <w:rsid w:val="0E5A2693"/>
    <w:rsid w:val="0E5E33BD"/>
    <w:rsid w:val="0E6C24F0"/>
    <w:rsid w:val="0E774B4E"/>
    <w:rsid w:val="0E8577BA"/>
    <w:rsid w:val="0E90717B"/>
    <w:rsid w:val="0E913F3F"/>
    <w:rsid w:val="0E941D8D"/>
    <w:rsid w:val="0E97378D"/>
    <w:rsid w:val="0E9C77E0"/>
    <w:rsid w:val="0EA5406C"/>
    <w:rsid w:val="0EA639FA"/>
    <w:rsid w:val="0EAB56CC"/>
    <w:rsid w:val="0ED5743F"/>
    <w:rsid w:val="0EDD26E0"/>
    <w:rsid w:val="0EEF3F2E"/>
    <w:rsid w:val="0EEF5CCC"/>
    <w:rsid w:val="0F016FDB"/>
    <w:rsid w:val="0F086673"/>
    <w:rsid w:val="0F135F9C"/>
    <w:rsid w:val="0F154C5A"/>
    <w:rsid w:val="0F260122"/>
    <w:rsid w:val="0F423C8F"/>
    <w:rsid w:val="0F473883"/>
    <w:rsid w:val="0F486211"/>
    <w:rsid w:val="0F5A0205"/>
    <w:rsid w:val="0F5E7D64"/>
    <w:rsid w:val="0F6059F1"/>
    <w:rsid w:val="0F685D73"/>
    <w:rsid w:val="0FBB55A1"/>
    <w:rsid w:val="0FD97FF0"/>
    <w:rsid w:val="0FE30B63"/>
    <w:rsid w:val="0FEF2558"/>
    <w:rsid w:val="0FFB6D68"/>
    <w:rsid w:val="0FFD41FD"/>
    <w:rsid w:val="102A2746"/>
    <w:rsid w:val="10362B93"/>
    <w:rsid w:val="103C60BC"/>
    <w:rsid w:val="10405DD6"/>
    <w:rsid w:val="104C5928"/>
    <w:rsid w:val="10532DA0"/>
    <w:rsid w:val="106916D0"/>
    <w:rsid w:val="106B3C9C"/>
    <w:rsid w:val="106D2C14"/>
    <w:rsid w:val="1088161D"/>
    <w:rsid w:val="1092036D"/>
    <w:rsid w:val="10A613B8"/>
    <w:rsid w:val="10B45948"/>
    <w:rsid w:val="10ED16BE"/>
    <w:rsid w:val="10F94749"/>
    <w:rsid w:val="11050F3A"/>
    <w:rsid w:val="110B7C86"/>
    <w:rsid w:val="111D46B4"/>
    <w:rsid w:val="11266968"/>
    <w:rsid w:val="112A5FF0"/>
    <w:rsid w:val="113A2D97"/>
    <w:rsid w:val="113A7E7D"/>
    <w:rsid w:val="113F7B1C"/>
    <w:rsid w:val="114C38FF"/>
    <w:rsid w:val="115F44D6"/>
    <w:rsid w:val="117C494C"/>
    <w:rsid w:val="11865FD6"/>
    <w:rsid w:val="118C0A8E"/>
    <w:rsid w:val="119B6FB0"/>
    <w:rsid w:val="11A608E8"/>
    <w:rsid w:val="11A766E0"/>
    <w:rsid w:val="11AA4CE6"/>
    <w:rsid w:val="11B1249F"/>
    <w:rsid w:val="11BB3F75"/>
    <w:rsid w:val="11C27133"/>
    <w:rsid w:val="11C97AFC"/>
    <w:rsid w:val="11D76AC9"/>
    <w:rsid w:val="11D76B45"/>
    <w:rsid w:val="11E91A7A"/>
    <w:rsid w:val="120F4341"/>
    <w:rsid w:val="120F6A9E"/>
    <w:rsid w:val="121E178F"/>
    <w:rsid w:val="12325617"/>
    <w:rsid w:val="123E51A5"/>
    <w:rsid w:val="124A4CE1"/>
    <w:rsid w:val="124B09DE"/>
    <w:rsid w:val="124D1D73"/>
    <w:rsid w:val="12515293"/>
    <w:rsid w:val="12515E8B"/>
    <w:rsid w:val="125315ED"/>
    <w:rsid w:val="12565C90"/>
    <w:rsid w:val="125F485D"/>
    <w:rsid w:val="126F4204"/>
    <w:rsid w:val="127F4FF0"/>
    <w:rsid w:val="128A5526"/>
    <w:rsid w:val="129070A2"/>
    <w:rsid w:val="12A61E8B"/>
    <w:rsid w:val="12A714C9"/>
    <w:rsid w:val="12AF79E8"/>
    <w:rsid w:val="12BF17BC"/>
    <w:rsid w:val="12C01FED"/>
    <w:rsid w:val="12C51E41"/>
    <w:rsid w:val="12DB2936"/>
    <w:rsid w:val="12ED55F4"/>
    <w:rsid w:val="12F4621D"/>
    <w:rsid w:val="1301042B"/>
    <w:rsid w:val="131360CC"/>
    <w:rsid w:val="132023CD"/>
    <w:rsid w:val="1342238B"/>
    <w:rsid w:val="13485252"/>
    <w:rsid w:val="13497000"/>
    <w:rsid w:val="13535B48"/>
    <w:rsid w:val="135F0880"/>
    <w:rsid w:val="136D7CFE"/>
    <w:rsid w:val="136F362D"/>
    <w:rsid w:val="13767ADB"/>
    <w:rsid w:val="13891A0B"/>
    <w:rsid w:val="13927E1B"/>
    <w:rsid w:val="1393350B"/>
    <w:rsid w:val="139A46AA"/>
    <w:rsid w:val="139D287A"/>
    <w:rsid w:val="13B859C9"/>
    <w:rsid w:val="13D65416"/>
    <w:rsid w:val="13D8396B"/>
    <w:rsid w:val="13E52FB8"/>
    <w:rsid w:val="14010F13"/>
    <w:rsid w:val="141B70B6"/>
    <w:rsid w:val="1426603E"/>
    <w:rsid w:val="14404836"/>
    <w:rsid w:val="145950FC"/>
    <w:rsid w:val="147D3462"/>
    <w:rsid w:val="147D7658"/>
    <w:rsid w:val="147E798C"/>
    <w:rsid w:val="14801AD6"/>
    <w:rsid w:val="14950FCB"/>
    <w:rsid w:val="14A502E2"/>
    <w:rsid w:val="14B6588E"/>
    <w:rsid w:val="14B679A5"/>
    <w:rsid w:val="14B73C9B"/>
    <w:rsid w:val="14BD12D2"/>
    <w:rsid w:val="14CE758B"/>
    <w:rsid w:val="14CF50F8"/>
    <w:rsid w:val="14D86E56"/>
    <w:rsid w:val="14E0464C"/>
    <w:rsid w:val="14E52D12"/>
    <w:rsid w:val="14FA3215"/>
    <w:rsid w:val="151E19F2"/>
    <w:rsid w:val="152C1024"/>
    <w:rsid w:val="15321BAC"/>
    <w:rsid w:val="153F6159"/>
    <w:rsid w:val="15402152"/>
    <w:rsid w:val="154B25EC"/>
    <w:rsid w:val="15573978"/>
    <w:rsid w:val="155C56E0"/>
    <w:rsid w:val="1562240A"/>
    <w:rsid w:val="158F3DE0"/>
    <w:rsid w:val="1594158F"/>
    <w:rsid w:val="15A44760"/>
    <w:rsid w:val="15CE6085"/>
    <w:rsid w:val="15DC4999"/>
    <w:rsid w:val="160142CD"/>
    <w:rsid w:val="162A58DA"/>
    <w:rsid w:val="1634210F"/>
    <w:rsid w:val="16342542"/>
    <w:rsid w:val="163C2B13"/>
    <w:rsid w:val="1660277C"/>
    <w:rsid w:val="166139C2"/>
    <w:rsid w:val="168123F1"/>
    <w:rsid w:val="16845253"/>
    <w:rsid w:val="16855282"/>
    <w:rsid w:val="168C0184"/>
    <w:rsid w:val="16905BEC"/>
    <w:rsid w:val="16975F5F"/>
    <w:rsid w:val="169A5A8F"/>
    <w:rsid w:val="16A50B6A"/>
    <w:rsid w:val="16A57A69"/>
    <w:rsid w:val="16AA28FA"/>
    <w:rsid w:val="16B34D7B"/>
    <w:rsid w:val="16D77CBF"/>
    <w:rsid w:val="16DB0BFD"/>
    <w:rsid w:val="16FD5FCF"/>
    <w:rsid w:val="17033859"/>
    <w:rsid w:val="170C70B7"/>
    <w:rsid w:val="171E3822"/>
    <w:rsid w:val="173349C8"/>
    <w:rsid w:val="1739180B"/>
    <w:rsid w:val="173D2EE9"/>
    <w:rsid w:val="174C4AA0"/>
    <w:rsid w:val="176355F8"/>
    <w:rsid w:val="17666413"/>
    <w:rsid w:val="1768254B"/>
    <w:rsid w:val="176C6D00"/>
    <w:rsid w:val="177C149C"/>
    <w:rsid w:val="17800EC8"/>
    <w:rsid w:val="17915AC4"/>
    <w:rsid w:val="1791639B"/>
    <w:rsid w:val="179C70A9"/>
    <w:rsid w:val="17A72666"/>
    <w:rsid w:val="17AF6891"/>
    <w:rsid w:val="17B6028C"/>
    <w:rsid w:val="17BA5811"/>
    <w:rsid w:val="17BF757C"/>
    <w:rsid w:val="17C3509D"/>
    <w:rsid w:val="17D925B6"/>
    <w:rsid w:val="17E00F6E"/>
    <w:rsid w:val="17EF37F9"/>
    <w:rsid w:val="17F673B7"/>
    <w:rsid w:val="18047825"/>
    <w:rsid w:val="181A7AA6"/>
    <w:rsid w:val="182271D1"/>
    <w:rsid w:val="18327661"/>
    <w:rsid w:val="184B01F2"/>
    <w:rsid w:val="1850387F"/>
    <w:rsid w:val="185830D7"/>
    <w:rsid w:val="185C2EDF"/>
    <w:rsid w:val="18675385"/>
    <w:rsid w:val="186902BF"/>
    <w:rsid w:val="18701884"/>
    <w:rsid w:val="18704BAD"/>
    <w:rsid w:val="18902D39"/>
    <w:rsid w:val="18AC3BEE"/>
    <w:rsid w:val="18EC0606"/>
    <w:rsid w:val="18FD4F90"/>
    <w:rsid w:val="19087026"/>
    <w:rsid w:val="190A5ABE"/>
    <w:rsid w:val="190C2389"/>
    <w:rsid w:val="192D6B20"/>
    <w:rsid w:val="19387784"/>
    <w:rsid w:val="193F069B"/>
    <w:rsid w:val="194070BD"/>
    <w:rsid w:val="195A3441"/>
    <w:rsid w:val="1961286F"/>
    <w:rsid w:val="19665D28"/>
    <w:rsid w:val="1989144C"/>
    <w:rsid w:val="19A8303F"/>
    <w:rsid w:val="19AF5DD1"/>
    <w:rsid w:val="19BC46A1"/>
    <w:rsid w:val="19C42EF9"/>
    <w:rsid w:val="19C94053"/>
    <w:rsid w:val="19D6173B"/>
    <w:rsid w:val="19D9069F"/>
    <w:rsid w:val="19F0523F"/>
    <w:rsid w:val="19FE6B05"/>
    <w:rsid w:val="1A02498D"/>
    <w:rsid w:val="1A126CE5"/>
    <w:rsid w:val="1A2364FA"/>
    <w:rsid w:val="1A2D79BA"/>
    <w:rsid w:val="1A3A554B"/>
    <w:rsid w:val="1A4221B0"/>
    <w:rsid w:val="1A4325D3"/>
    <w:rsid w:val="1A4C24FB"/>
    <w:rsid w:val="1A4E6954"/>
    <w:rsid w:val="1A5D3CBD"/>
    <w:rsid w:val="1A6E5FB1"/>
    <w:rsid w:val="1A7B717D"/>
    <w:rsid w:val="1A7C1BE7"/>
    <w:rsid w:val="1A7C5A17"/>
    <w:rsid w:val="1A920847"/>
    <w:rsid w:val="1AA92FF4"/>
    <w:rsid w:val="1AB0573F"/>
    <w:rsid w:val="1AC53748"/>
    <w:rsid w:val="1AC64307"/>
    <w:rsid w:val="1AD37B8D"/>
    <w:rsid w:val="1AD47B96"/>
    <w:rsid w:val="1AD94DDF"/>
    <w:rsid w:val="1ADF6D58"/>
    <w:rsid w:val="1AF93557"/>
    <w:rsid w:val="1B1258BD"/>
    <w:rsid w:val="1B180311"/>
    <w:rsid w:val="1B183088"/>
    <w:rsid w:val="1B3B754B"/>
    <w:rsid w:val="1B563F9E"/>
    <w:rsid w:val="1B6C7155"/>
    <w:rsid w:val="1B72173B"/>
    <w:rsid w:val="1B744224"/>
    <w:rsid w:val="1B7A5099"/>
    <w:rsid w:val="1B7A6C0C"/>
    <w:rsid w:val="1B7E7D96"/>
    <w:rsid w:val="1B7F55A6"/>
    <w:rsid w:val="1B82686C"/>
    <w:rsid w:val="1B89508D"/>
    <w:rsid w:val="1BAE18A7"/>
    <w:rsid w:val="1BBA2DE0"/>
    <w:rsid w:val="1BC65E87"/>
    <w:rsid w:val="1BCE0F9D"/>
    <w:rsid w:val="1BE136C9"/>
    <w:rsid w:val="1BE83AC4"/>
    <w:rsid w:val="1BEE66EE"/>
    <w:rsid w:val="1BF12978"/>
    <w:rsid w:val="1C182E62"/>
    <w:rsid w:val="1C3138A1"/>
    <w:rsid w:val="1C340F0E"/>
    <w:rsid w:val="1C4A1A70"/>
    <w:rsid w:val="1C50373A"/>
    <w:rsid w:val="1C5A78FA"/>
    <w:rsid w:val="1C7B1C92"/>
    <w:rsid w:val="1C850846"/>
    <w:rsid w:val="1CBA4001"/>
    <w:rsid w:val="1CE03C2B"/>
    <w:rsid w:val="1CEA36E7"/>
    <w:rsid w:val="1CF1399F"/>
    <w:rsid w:val="1D11447C"/>
    <w:rsid w:val="1D1F4F82"/>
    <w:rsid w:val="1D397F01"/>
    <w:rsid w:val="1D3C35D7"/>
    <w:rsid w:val="1D581489"/>
    <w:rsid w:val="1D582060"/>
    <w:rsid w:val="1D5C2209"/>
    <w:rsid w:val="1D61678A"/>
    <w:rsid w:val="1D6864B5"/>
    <w:rsid w:val="1D8130A9"/>
    <w:rsid w:val="1D830B79"/>
    <w:rsid w:val="1D914288"/>
    <w:rsid w:val="1D9E300B"/>
    <w:rsid w:val="1DA75838"/>
    <w:rsid w:val="1DB65465"/>
    <w:rsid w:val="1DBC3A09"/>
    <w:rsid w:val="1DBE084B"/>
    <w:rsid w:val="1DDD1FE1"/>
    <w:rsid w:val="1DEC0EC6"/>
    <w:rsid w:val="1DF014A4"/>
    <w:rsid w:val="1E207EDA"/>
    <w:rsid w:val="1E261C6C"/>
    <w:rsid w:val="1E3E2693"/>
    <w:rsid w:val="1E40548E"/>
    <w:rsid w:val="1E4A19AF"/>
    <w:rsid w:val="1E5A579C"/>
    <w:rsid w:val="1E7223AB"/>
    <w:rsid w:val="1E7A3AEF"/>
    <w:rsid w:val="1E874C28"/>
    <w:rsid w:val="1E8F3078"/>
    <w:rsid w:val="1EAA236E"/>
    <w:rsid w:val="1EAE35C4"/>
    <w:rsid w:val="1EB3177A"/>
    <w:rsid w:val="1EB56858"/>
    <w:rsid w:val="1EC705C4"/>
    <w:rsid w:val="1EC83B25"/>
    <w:rsid w:val="1ED97BDC"/>
    <w:rsid w:val="1EE5351D"/>
    <w:rsid w:val="1EF8692C"/>
    <w:rsid w:val="1F02433E"/>
    <w:rsid w:val="1F2545A0"/>
    <w:rsid w:val="1F5B41C5"/>
    <w:rsid w:val="1F602B95"/>
    <w:rsid w:val="1F610464"/>
    <w:rsid w:val="1F6608F6"/>
    <w:rsid w:val="1F6B516B"/>
    <w:rsid w:val="1F737DA7"/>
    <w:rsid w:val="1F914072"/>
    <w:rsid w:val="1F974D47"/>
    <w:rsid w:val="1F9F7601"/>
    <w:rsid w:val="1FAA0518"/>
    <w:rsid w:val="1FAD7813"/>
    <w:rsid w:val="1FC97374"/>
    <w:rsid w:val="1FDF676A"/>
    <w:rsid w:val="1FF110DC"/>
    <w:rsid w:val="1FFE6231"/>
    <w:rsid w:val="200107D5"/>
    <w:rsid w:val="200F3C1D"/>
    <w:rsid w:val="201620B4"/>
    <w:rsid w:val="202F793E"/>
    <w:rsid w:val="203D3166"/>
    <w:rsid w:val="20404305"/>
    <w:rsid w:val="20481907"/>
    <w:rsid w:val="206036D4"/>
    <w:rsid w:val="2064115A"/>
    <w:rsid w:val="206870D0"/>
    <w:rsid w:val="206E103C"/>
    <w:rsid w:val="20824104"/>
    <w:rsid w:val="208B6F33"/>
    <w:rsid w:val="208C58FA"/>
    <w:rsid w:val="20904241"/>
    <w:rsid w:val="20923102"/>
    <w:rsid w:val="209A12F6"/>
    <w:rsid w:val="20A5542D"/>
    <w:rsid w:val="20AA40A0"/>
    <w:rsid w:val="20AF6A38"/>
    <w:rsid w:val="20BD1C65"/>
    <w:rsid w:val="20D61ED3"/>
    <w:rsid w:val="20D85477"/>
    <w:rsid w:val="210D463D"/>
    <w:rsid w:val="21483DCB"/>
    <w:rsid w:val="21520506"/>
    <w:rsid w:val="215971DB"/>
    <w:rsid w:val="216840B7"/>
    <w:rsid w:val="21707ABA"/>
    <w:rsid w:val="217C7FFF"/>
    <w:rsid w:val="217F7DE1"/>
    <w:rsid w:val="218C712D"/>
    <w:rsid w:val="219B42AE"/>
    <w:rsid w:val="21B8627A"/>
    <w:rsid w:val="21DC1077"/>
    <w:rsid w:val="21E500BF"/>
    <w:rsid w:val="21F46DD7"/>
    <w:rsid w:val="21FE34D3"/>
    <w:rsid w:val="22102FC3"/>
    <w:rsid w:val="22106435"/>
    <w:rsid w:val="2211058E"/>
    <w:rsid w:val="2212793C"/>
    <w:rsid w:val="222446A3"/>
    <w:rsid w:val="22263305"/>
    <w:rsid w:val="22267251"/>
    <w:rsid w:val="223F33AC"/>
    <w:rsid w:val="224A3888"/>
    <w:rsid w:val="2258018F"/>
    <w:rsid w:val="226C7BAC"/>
    <w:rsid w:val="22834CF1"/>
    <w:rsid w:val="228F4F8F"/>
    <w:rsid w:val="229A773C"/>
    <w:rsid w:val="229C6E40"/>
    <w:rsid w:val="229F0037"/>
    <w:rsid w:val="22A77209"/>
    <w:rsid w:val="22B26378"/>
    <w:rsid w:val="22B649DD"/>
    <w:rsid w:val="22B83BBC"/>
    <w:rsid w:val="22BC2542"/>
    <w:rsid w:val="22CC19AB"/>
    <w:rsid w:val="22DB1E07"/>
    <w:rsid w:val="22DF69C6"/>
    <w:rsid w:val="22F874E8"/>
    <w:rsid w:val="22FC4DA6"/>
    <w:rsid w:val="230F4FB3"/>
    <w:rsid w:val="232668D5"/>
    <w:rsid w:val="232A266D"/>
    <w:rsid w:val="232C327F"/>
    <w:rsid w:val="23384757"/>
    <w:rsid w:val="234E1D95"/>
    <w:rsid w:val="234E7067"/>
    <w:rsid w:val="23550AD0"/>
    <w:rsid w:val="23577E5C"/>
    <w:rsid w:val="235F6585"/>
    <w:rsid w:val="23761CCE"/>
    <w:rsid w:val="2394513F"/>
    <w:rsid w:val="23A412E3"/>
    <w:rsid w:val="23AE78E0"/>
    <w:rsid w:val="23B742F4"/>
    <w:rsid w:val="23B9450B"/>
    <w:rsid w:val="23BC0507"/>
    <w:rsid w:val="23DB5B4C"/>
    <w:rsid w:val="23DD1F6C"/>
    <w:rsid w:val="240437AA"/>
    <w:rsid w:val="240C2B3A"/>
    <w:rsid w:val="240D2A9C"/>
    <w:rsid w:val="241411E7"/>
    <w:rsid w:val="241C33B5"/>
    <w:rsid w:val="24210E4E"/>
    <w:rsid w:val="242C18C4"/>
    <w:rsid w:val="242C213A"/>
    <w:rsid w:val="24431D95"/>
    <w:rsid w:val="245F17EC"/>
    <w:rsid w:val="24624B37"/>
    <w:rsid w:val="246E68E8"/>
    <w:rsid w:val="2486197D"/>
    <w:rsid w:val="24895713"/>
    <w:rsid w:val="24A0399F"/>
    <w:rsid w:val="24B876B2"/>
    <w:rsid w:val="24CD287B"/>
    <w:rsid w:val="24E821FC"/>
    <w:rsid w:val="24F554E6"/>
    <w:rsid w:val="25090523"/>
    <w:rsid w:val="250A7D5C"/>
    <w:rsid w:val="251746F0"/>
    <w:rsid w:val="252216B6"/>
    <w:rsid w:val="253F2264"/>
    <w:rsid w:val="2541397E"/>
    <w:rsid w:val="254B40B2"/>
    <w:rsid w:val="254C3FD7"/>
    <w:rsid w:val="254D335F"/>
    <w:rsid w:val="255346CB"/>
    <w:rsid w:val="25712EAE"/>
    <w:rsid w:val="259A122B"/>
    <w:rsid w:val="25A179C3"/>
    <w:rsid w:val="25A23B72"/>
    <w:rsid w:val="25B33FA7"/>
    <w:rsid w:val="25BF3326"/>
    <w:rsid w:val="25C766C8"/>
    <w:rsid w:val="25D37304"/>
    <w:rsid w:val="25EE750F"/>
    <w:rsid w:val="25FA6A42"/>
    <w:rsid w:val="260179ED"/>
    <w:rsid w:val="26084AA7"/>
    <w:rsid w:val="260F58DC"/>
    <w:rsid w:val="2617264B"/>
    <w:rsid w:val="262420A3"/>
    <w:rsid w:val="26260F3D"/>
    <w:rsid w:val="26312934"/>
    <w:rsid w:val="264D2600"/>
    <w:rsid w:val="267847B5"/>
    <w:rsid w:val="26916F1C"/>
    <w:rsid w:val="26A1465B"/>
    <w:rsid w:val="26A717FF"/>
    <w:rsid w:val="26AE7FF0"/>
    <w:rsid w:val="26B86B93"/>
    <w:rsid w:val="270812F9"/>
    <w:rsid w:val="27120152"/>
    <w:rsid w:val="27410905"/>
    <w:rsid w:val="275F7EF3"/>
    <w:rsid w:val="2764097C"/>
    <w:rsid w:val="278542B4"/>
    <w:rsid w:val="279069C1"/>
    <w:rsid w:val="27A66474"/>
    <w:rsid w:val="27CC091C"/>
    <w:rsid w:val="27E67A43"/>
    <w:rsid w:val="27FA15F4"/>
    <w:rsid w:val="27FC19AB"/>
    <w:rsid w:val="28187989"/>
    <w:rsid w:val="282B5E5B"/>
    <w:rsid w:val="28441B85"/>
    <w:rsid w:val="28445BA3"/>
    <w:rsid w:val="28572FF4"/>
    <w:rsid w:val="2861534B"/>
    <w:rsid w:val="28940373"/>
    <w:rsid w:val="28AA045C"/>
    <w:rsid w:val="28BD5251"/>
    <w:rsid w:val="28D01274"/>
    <w:rsid w:val="28D90048"/>
    <w:rsid w:val="28D92391"/>
    <w:rsid w:val="28E901C4"/>
    <w:rsid w:val="29040AEF"/>
    <w:rsid w:val="291717A7"/>
    <w:rsid w:val="2917705B"/>
    <w:rsid w:val="291974D7"/>
    <w:rsid w:val="292D2B07"/>
    <w:rsid w:val="29357C71"/>
    <w:rsid w:val="293E43CA"/>
    <w:rsid w:val="29753B56"/>
    <w:rsid w:val="2979190F"/>
    <w:rsid w:val="2980065D"/>
    <w:rsid w:val="2982372F"/>
    <w:rsid w:val="29A2287A"/>
    <w:rsid w:val="29A95FD6"/>
    <w:rsid w:val="29B915F2"/>
    <w:rsid w:val="29BF65D9"/>
    <w:rsid w:val="29C60BDD"/>
    <w:rsid w:val="29F12008"/>
    <w:rsid w:val="29FD49E7"/>
    <w:rsid w:val="2A205C5E"/>
    <w:rsid w:val="2A331DF3"/>
    <w:rsid w:val="2A3335E3"/>
    <w:rsid w:val="2A334528"/>
    <w:rsid w:val="2A366446"/>
    <w:rsid w:val="2A492C82"/>
    <w:rsid w:val="2A4D00D1"/>
    <w:rsid w:val="2A6D366D"/>
    <w:rsid w:val="2A836E98"/>
    <w:rsid w:val="2A8B3817"/>
    <w:rsid w:val="2A8E23C8"/>
    <w:rsid w:val="2A8F385D"/>
    <w:rsid w:val="2A9034B4"/>
    <w:rsid w:val="2A9850E2"/>
    <w:rsid w:val="2AA605A4"/>
    <w:rsid w:val="2AB33F87"/>
    <w:rsid w:val="2ACD0B36"/>
    <w:rsid w:val="2AD111FD"/>
    <w:rsid w:val="2B034328"/>
    <w:rsid w:val="2B052E66"/>
    <w:rsid w:val="2B057B58"/>
    <w:rsid w:val="2B0C6254"/>
    <w:rsid w:val="2B2E3CA3"/>
    <w:rsid w:val="2B507EB6"/>
    <w:rsid w:val="2B5F6EA6"/>
    <w:rsid w:val="2B692A79"/>
    <w:rsid w:val="2B7208B0"/>
    <w:rsid w:val="2B723083"/>
    <w:rsid w:val="2B761F1B"/>
    <w:rsid w:val="2BC02C71"/>
    <w:rsid w:val="2BD6261E"/>
    <w:rsid w:val="2BE0479E"/>
    <w:rsid w:val="2BF60E02"/>
    <w:rsid w:val="2C0C40B6"/>
    <w:rsid w:val="2C221352"/>
    <w:rsid w:val="2C340552"/>
    <w:rsid w:val="2C3A3A18"/>
    <w:rsid w:val="2C406671"/>
    <w:rsid w:val="2C5F7ED0"/>
    <w:rsid w:val="2C701C82"/>
    <w:rsid w:val="2C770FA3"/>
    <w:rsid w:val="2C7929C9"/>
    <w:rsid w:val="2C7A2CDC"/>
    <w:rsid w:val="2C8C4DA7"/>
    <w:rsid w:val="2C940967"/>
    <w:rsid w:val="2CA3250F"/>
    <w:rsid w:val="2CA83BFD"/>
    <w:rsid w:val="2CB5245E"/>
    <w:rsid w:val="2CCC61DC"/>
    <w:rsid w:val="2CE30F22"/>
    <w:rsid w:val="2CFD1EAE"/>
    <w:rsid w:val="2CFF2CF1"/>
    <w:rsid w:val="2D004449"/>
    <w:rsid w:val="2D040A3A"/>
    <w:rsid w:val="2D1B6979"/>
    <w:rsid w:val="2D2D7622"/>
    <w:rsid w:val="2D3065F6"/>
    <w:rsid w:val="2D3E159C"/>
    <w:rsid w:val="2D454F76"/>
    <w:rsid w:val="2D5E5ACD"/>
    <w:rsid w:val="2D664E53"/>
    <w:rsid w:val="2D764C10"/>
    <w:rsid w:val="2D7A291E"/>
    <w:rsid w:val="2D7A5B83"/>
    <w:rsid w:val="2D7E6051"/>
    <w:rsid w:val="2D9D3CD6"/>
    <w:rsid w:val="2DAB070C"/>
    <w:rsid w:val="2DB81BCA"/>
    <w:rsid w:val="2DBA421D"/>
    <w:rsid w:val="2DCA68D8"/>
    <w:rsid w:val="2DD123D5"/>
    <w:rsid w:val="2DFF65A7"/>
    <w:rsid w:val="2E14172E"/>
    <w:rsid w:val="2E156C84"/>
    <w:rsid w:val="2E1F458A"/>
    <w:rsid w:val="2E344DAF"/>
    <w:rsid w:val="2E3933DD"/>
    <w:rsid w:val="2E542892"/>
    <w:rsid w:val="2E7C5CD1"/>
    <w:rsid w:val="2E827222"/>
    <w:rsid w:val="2E881839"/>
    <w:rsid w:val="2E936895"/>
    <w:rsid w:val="2E9C1619"/>
    <w:rsid w:val="2EA90574"/>
    <w:rsid w:val="2EB948EE"/>
    <w:rsid w:val="2EC767B9"/>
    <w:rsid w:val="2ECE30AA"/>
    <w:rsid w:val="2ED73FA3"/>
    <w:rsid w:val="2EDE7E92"/>
    <w:rsid w:val="2EDF2CF0"/>
    <w:rsid w:val="2EE32667"/>
    <w:rsid w:val="2EE70C2A"/>
    <w:rsid w:val="2EFE24FC"/>
    <w:rsid w:val="2F050AD2"/>
    <w:rsid w:val="2F0B230D"/>
    <w:rsid w:val="2F1831B2"/>
    <w:rsid w:val="2F1A5C61"/>
    <w:rsid w:val="2F1D1825"/>
    <w:rsid w:val="2F1F6148"/>
    <w:rsid w:val="2F397ECA"/>
    <w:rsid w:val="2F622F67"/>
    <w:rsid w:val="2F77336C"/>
    <w:rsid w:val="2F831B61"/>
    <w:rsid w:val="2F8C627E"/>
    <w:rsid w:val="2FA86799"/>
    <w:rsid w:val="2FBB3BF3"/>
    <w:rsid w:val="2FC26ED7"/>
    <w:rsid w:val="2FDB3DFA"/>
    <w:rsid w:val="2FDD1EC2"/>
    <w:rsid w:val="2FDF0645"/>
    <w:rsid w:val="2FED5A57"/>
    <w:rsid w:val="300A7C9C"/>
    <w:rsid w:val="300B61F3"/>
    <w:rsid w:val="301256DD"/>
    <w:rsid w:val="30166435"/>
    <w:rsid w:val="301F4F73"/>
    <w:rsid w:val="3020085D"/>
    <w:rsid w:val="3028126B"/>
    <w:rsid w:val="30325164"/>
    <w:rsid w:val="303B3444"/>
    <w:rsid w:val="304159E4"/>
    <w:rsid w:val="30461251"/>
    <w:rsid w:val="304F3F56"/>
    <w:rsid w:val="305E6FBC"/>
    <w:rsid w:val="30602CE0"/>
    <w:rsid w:val="30622D1F"/>
    <w:rsid w:val="3071398E"/>
    <w:rsid w:val="307D42E1"/>
    <w:rsid w:val="307D6BEE"/>
    <w:rsid w:val="30826F45"/>
    <w:rsid w:val="308512FF"/>
    <w:rsid w:val="30962223"/>
    <w:rsid w:val="309F66E8"/>
    <w:rsid w:val="30A208D6"/>
    <w:rsid w:val="30A820C2"/>
    <w:rsid w:val="30AD40B6"/>
    <w:rsid w:val="30B02ECD"/>
    <w:rsid w:val="30C97C89"/>
    <w:rsid w:val="30D0747B"/>
    <w:rsid w:val="31000E5F"/>
    <w:rsid w:val="310E2D17"/>
    <w:rsid w:val="311901A8"/>
    <w:rsid w:val="312C3581"/>
    <w:rsid w:val="3164256F"/>
    <w:rsid w:val="316C1AF9"/>
    <w:rsid w:val="316E5904"/>
    <w:rsid w:val="31890D85"/>
    <w:rsid w:val="31907510"/>
    <w:rsid w:val="31941E22"/>
    <w:rsid w:val="319B301B"/>
    <w:rsid w:val="31B0129A"/>
    <w:rsid w:val="31CD4724"/>
    <w:rsid w:val="31D04565"/>
    <w:rsid w:val="31D60522"/>
    <w:rsid w:val="31DC5E9C"/>
    <w:rsid w:val="31E06BCA"/>
    <w:rsid w:val="31E37F93"/>
    <w:rsid w:val="31F816AF"/>
    <w:rsid w:val="32083CCE"/>
    <w:rsid w:val="321472D9"/>
    <w:rsid w:val="322354C0"/>
    <w:rsid w:val="322B2CE8"/>
    <w:rsid w:val="323139FD"/>
    <w:rsid w:val="323B5551"/>
    <w:rsid w:val="32403CD5"/>
    <w:rsid w:val="32484430"/>
    <w:rsid w:val="326B0434"/>
    <w:rsid w:val="327E1E9E"/>
    <w:rsid w:val="328B180D"/>
    <w:rsid w:val="32A14C53"/>
    <w:rsid w:val="32BA27AC"/>
    <w:rsid w:val="32F24B3E"/>
    <w:rsid w:val="330934CD"/>
    <w:rsid w:val="33273C28"/>
    <w:rsid w:val="332C1869"/>
    <w:rsid w:val="33357C0F"/>
    <w:rsid w:val="334B2CD9"/>
    <w:rsid w:val="33503CCC"/>
    <w:rsid w:val="335C6117"/>
    <w:rsid w:val="336026F6"/>
    <w:rsid w:val="33721AC2"/>
    <w:rsid w:val="33760000"/>
    <w:rsid w:val="337D67F0"/>
    <w:rsid w:val="338E2C59"/>
    <w:rsid w:val="339031A2"/>
    <w:rsid w:val="339F1ED0"/>
    <w:rsid w:val="33B11F0A"/>
    <w:rsid w:val="33B212E1"/>
    <w:rsid w:val="33B5385B"/>
    <w:rsid w:val="33B817BD"/>
    <w:rsid w:val="33C95FB0"/>
    <w:rsid w:val="33DD6C96"/>
    <w:rsid w:val="33E71C0E"/>
    <w:rsid w:val="33EC63F3"/>
    <w:rsid w:val="33FB3502"/>
    <w:rsid w:val="33FC0C35"/>
    <w:rsid w:val="341C751F"/>
    <w:rsid w:val="342122F5"/>
    <w:rsid w:val="342343BE"/>
    <w:rsid w:val="3427000D"/>
    <w:rsid w:val="345536BE"/>
    <w:rsid w:val="346D289C"/>
    <w:rsid w:val="347A0697"/>
    <w:rsid w:val="34870FF3"/>
    <w:rsid w:val="349D1F68"/>
    <w:rsid w:val="34AA308A"/>
    <w:rsid w:val="34AE3021"/>
    <w:rsid w:val="34B5369D"/>
    <w:rsid w:val="34C23927"/>
    <w:rsid w:val="34D74524"/>
    <w:rsid w:val="34EB01CC"/>
    <w:rsid w:val="34FB21EC"/>
    <w:rsid w:val="352B6064"/>
    <w:rsid w:val="353266FE"/>
    <w:rsid w:val="355B39D5"/>
    <w:rsid w:val="35602D9D"/>
    <w:rsid w:val="358C2E02"/>
    <w:rsid w:val="359E49E9"/>
    <w:rsid w:val="35C41F10"/>
    <w:rsid w:val="35D25FBE"/>
    <w:rsid w:val="35E20F81"/>
    <w:rsid w:val="35EC451C"/>
    <w:rsid w:val="35F257DC"/>
    <w:rsid w:val="35F52853"/>
    <w:rsid w:val="36036E4C"/>
    <w:rsid w:val="360646D4"/>
    <w:rsid w:val="360F2A66"/>
    <w:rsid w:val="36131544"/>
    <w:rsid w:val="3615009B"/>
    <w:rsid w:val="36177C38"/>
    <w:rsid w:val="363A4100"/>
    <w:rsid w:val="36410A3A"/>
    <w:rsid w:val="364E7F63"/>
    <w:rsid w:val="36611E9F"/>
    <w:rsid w:val="366A4252"/>
    <w:rsid w:val="367754DE"/>
    <w:rsid w:val="36784AF0"/>
    <w:rsid w:val="36900D69"/>
    <w:rsid w:val="369236D1"/>
    <w:rsid w:val="36A121B3"/>
    <w:rsid w:val="36C64BF6"/>
    <w:rsid w:val="36D72FA9"/>
    <w:rsid w:val="36DD1115"/>
    <w:rsid w:val="36E53F7A"/>
    <w:rsid w:val="36E72644"/>
    <w:rsid w:val="37013427"/>
    <w:rsid w:val="370653E7"/>
    <w:rsid w:val="370E3984"/>
    <w:rsid w:val="373B505A"/>
    <w:rsid w:val="374F2F07"/>
    <w:rsid w:val="3750792F"/>
    <w:rsid w:val="375463DB"/>
    <w:rsid w:val="375F7232"/>
    <w:rsid w:val="3768699A"/>
    <w:rsid w:val="378E2E52"/>
    <w:rsid w:val="379B76DA"/>
    <w:rsid w:val="37C83999"/>
    <w:rsid w:val="37D72D05"/>
    <w:rsid w:val="37DF41BC"/>
    <w:rsid w:val="37E21686"/>
    <w:rsid w:val="37F42AB8"/>
    <w:rsid w:val="37FB6790"/>
    <w:rsid w:val="37FD4445"/>
    <w:rsid w:val="380517DC"/>
    <w:rsid w:val="381A4EA7"/>
    <w:rsid w:val="38252598"/>
    <w:rsid w:val="38350332"/>
    <w:rsid w:val="383970A7"/>
    <w:rsid w:val="384E3BBB"/>
    <w:rsid w:val="38650C1B"/>
    <w:rsid w:val="38A07B54"/>
    <w:rsid w:val="38AC37B6"/>
    <w:rsid w:val="38CC4BED"/>
    <w:rsid w:val="38DC2F57"/>
    <w:rsid w:val="38F95415"/>
    <w:rsid w:val="390412D8"/>
    <w:rsid w:val="390C505F"/>
    <w:rsid w:val="392017C0"/>
    <w:rsid w:val="39252B76"/>
    <w:rsid w:val="392C4D9D"/>
    <w:rsid w:val="392E6F43"/>
    <w:rsid w:val="39353294"/>
    <w:rsid w:val="394D69CA"/>
    <w:rsid w:val="394F3CCB"/>
    <w:rsid w:val="3952140A"/>
    <w:rsid w:val="397C3F5F"/>
    <w:rsid w:val="397F6E8D"/>
    <w:rsid w:val="39A209C1"/>
    <w:rsid w:val="39AD6790"/>
    <w:rsid w:val="39C84866"/>
    <w:rsid w:val="39C86214"/>
    <w:rsid w:val="39D252AE"/>
    <w:rsid w:val="39E276D4"/>
    <w:rsid w:val="39E57698"/>
    <w:rsid w:val="39E93BC2"/>
    <w:rsid w:val="39F8422A"/>
    <w:rsid w:val="39F91CCB"/>
    <w:rsid w:val="3A0E457E"/>
    <w:rsid w:val="3A3D6D40"/>
    <w:rsid w:val="3A4112DA"/>
    <w:rsid w:val="3A462802"/>
    <w:rsid w:val="3A485C20"/>
    <w:rsid w:val="3A4A4CC7"/>
    <w:rsid w:val="3A60703D"/>
    <w:rsid w:val="3A6C2289"/>
    <w:rsid w:val="3A6F6FB5"/>
    <w:rsid w:val="3A946DB2"/>
    <w:rsid w:val="3A9B2460"/>
    <w:rsid w:val="3AB61DD5"/>
    <w:rsid w:val="3AC60DC7"/>
    <w:rsid w:val="3AC97FAA"/>
    <w:rsid w:val="3ACB4EA8"/>
    <w:rsid w:val="3AEA2742"/>
    <w:rsid w:val="3AFD6137"/>
    <w:rsid w:val="3AFF52EB"/>
    <w:rsid w:val="3B0376FA"/>
    <w:rsid w:val="3B0D52B2"/>
    <w:rsid w:val="3B143A56"/>
    <w:rsid w:val="3B367657"/>
    <w:rsid w:val="3B411A26"/>
    <w:rsid w:val="3B54188B"/>
    <w:rsid w:val="3B8904A2"/>
    <w:rsid w:val="3B9A7293"/>
    <w:rsid w:val="3BD24ADD"/>
    <w:rsid w:val="3BDF38AF"/>
    <w:rsid w:val="3BE26F59"/>
    <w:rsid w:val="3C285D82"/>
    <w:rsid w:val="3C3E406C"/>
    <w:rsid w:val="3C53528B"/>
    <w:rsid w:val="3C536B06"/>
    <w:rsid w:val="3C58436E"/>
    <w:rsid w:val="3C672048"/>
    <w:rsid w:val="3CB74FF6"/>
    <w:rsid w:val="3CCE2A5E"/>
    <w:rsid w:val="3CD741BF"/>
    <w:rsid w:val="3CE865B0"/>
    <w:rsid w:val="3CED427C"/>
    <w:rsid w:val="3CF038D6"/>
    <w:rsid w:val="3D083788"/>
    <w:rsid w:val="3D0D7049"/>
    <w:rsid w:val="3D144F76"/>
    <w:rsid w:val="3D2008A3"/>
    <w:rsid w:val="3D2E2411"/>
    <w:rsid w:val="3D337B31"/>
    <w:rsid w:val="3D5005EB"/>
    <w:rsid w:val="3D7C0F45"/>
    <w:rsid w:val="3D9307B4"/>
    <w:rsid w:val="3D965579"/>
    <w:rsid w:val="3D9F4956"/>
    <w:rsid w:val="3DAA5311"/>
    <w:rsid w:val="3DBD041E"/>
    <w:rsid w:val="3E1A50E1"/>
    <w:rsid w:val="3E1C7725"/>
    <w:rsid w:val="3E1E065A"/>
    <w:rsid w:val="3E26098F"/>
    <w:rsid w:val="3E3804EE"/>
    <w:rsid w:val="3E3B04B0"/>
    <w:rsid w:val="3E3E7F7D"/>
    <w:rsid w:val="3E4D031B"/>
    <w:rsid w:val="3E4F3306"/>
    <w:rsid w:val="3E6B319E"/>
    <w:rsid w:val="3E796FBB"/>
    <w:rsid w:val="3E7D20AD"/>
    <w:rsid w:val="3E98343F"/>
    <w:rsid w:val="3EA12164"/>
    <w:rsid w:val="3EA22193"/>
    <w:rsid w:val="3EA77B3A"/>
    <w:rsid w:val="3EBD0BC4"/>
    <w:rsid w:val="3EBF0B79"/>
    <w:rsid w:val="3EC35584"/>
    <w:rsid w:val="3EC97CCB"/>
    <w:rsid w:val="3EE27E07"/>
    <w:rsid w:val="3F1C0B53"/>
    <w:rsid w:val="3F4802CD"/>
    <w:rsid w:val="3F822788"/>
    <w:rsid w:val="3F954106"/>
    <w:rsid w:val="3F9723FF"/>
    <w:rsid w:val="3FA24D04"/>
    <w:rsid w:val="3FA45CFF"/>
    <w:rsid w:val="3FB74B6A"/>
    <w:rsid w:val="3FC53F70"/>
    <w:rsid w:val="3FDA4009"/>
    <w:rsid w:val="401C76D3"/>
    <w:rsid w:val="402179A3"/>
    <w:rsid w:val="40330CA4"/>
    <w:rsid w:val="407F2EC9"/>
    <w:rsid w:val="4082095D"/>
    <w:rsid w:val="40890A0A"/>
    <w:rsid w:val="40963AA1"/>
    <w:rsid w:val="40AE1FF7"/>
    <w:rsid w:val="40B733A7"/>
    <w:rsid w:val="40BA68B9"/>
    <w:rsid w:val="40C16266"/>
    <w:rsid w:val="40C235CF"/>
    <w:rsid w:val="40CF00C1"/>
    <w:rsid w:val="40FD678B"/>
    <w:rsid w:val="410B5436"/>
    <w:rsid w:val="41176148"/>
    <w:rsid w:val="411D61AD"/>
    <w:rsid w:val="411E7E74"/>
    <w:rsid w:val="412344BF"/>
    <w:rsid w:val="412C5510"/>
    <w:rsid w:val="41356D45"/>
    <w:rsid w:val="41526274"/>
    <w:rsid w:val="415818BD"/>
    <w:rsid w:val="4173037E"/>
    <w:rsid w:val="41763898"/>
    <w:rsid w:val="4178619D"/>
    <w:rsid w:val="41997BF4"/>
    <w:rsid w:val="41A20915"/>
    <w:rsid w:val="41A25E23"/>
    <w:rsid w:val="41BA20AB"/>
    <w:rsid w:val="41D33240"/>
    <w:rsid w:val="41DB32FB"/>
    <w:rsid w:val="41DB562E"/>
    <w:rsid w:val="41E00282"/>
    <w:rsid w:val="41F769F8"/>
    <w:rsid w:val="41FA44D3"/>
    <w:rsid w:val="41FF317F"/>
    <w:rsid w:val="42092855"/>
    <w:rsid w:val="420F3AD9"/>
    <w:rsid w:val="42233080"/>
    <w:rsid w:val="4255659F"/>
    <w:rsid w:val="426A1BC5"/>
    <w:rsid w:val="426E763A"/>
    <w:rsid w:val="42970839"/>
    <w:rsid w:val="429C47B7"/>
    <w:rsid w:val="42AB449F"/>
    <w:rsid w:val="42AE439D"/>
    <w:rsid w:val="42B55856"/>
    <w:rsid w:val="42BB0C2D"/>
    <w:rsid w:val="42BF2999"/>
    <w:rsid w:val="42C21EAE"/>
    <w:rsid w:val="42C60F27"/>
    <w:rsid w:val="42D33507"/>
    <w:rsid w:val="42F45061"/>
    <w:rsid w:val="42F6637D"/>
    <w:rsid w:val="43275C4F"/>
    <w:rsid w:val="43370D46"/>
    <w:rsid w:val="43451141"/>
    <w:rsid w:val="434F746B"/>
    <w:rsid w:val="43515022"/>
    <w:rsid w:val="437273A2"/>
    <w:rsid w:val="4373390F"/>
    <w:rsid w:val="43737750"/>
    <w:rsid w:val="43754326"/>
    <w:rsid w:val="437B2F7D"/>
    <w:rsid w:val="437E1B05"/>
    <w:rsid w:val="438D1048"/>
    <w:rsid w:val="4396110D"/>
    <w:rsid w:val="439A257A"/>
    <w:rsid w:val="439B5FC3"/>
    <w:rsid w:val="439E7C5B"/>
    <w:rsid w:val="43A32635"/>
    <w:rsid w:val="43BC01A4"/>
    <w:rsid w:val="43C309A2"/>
    <w:rsid w:val="43C62AA3"/>
    <w:rsid w:val="43D77093"/>
    <w:rsid w:val="43D911A0"/>
    <w:rsid w:val="43D97147"/>
    <w:rsid w:val="43DE3D30"/>
    <w:rsid w:val="43E166FE"/>
    <w:rsid w:val="43E5401A"/>
    <w:rsid w:val="43E73CDC"/>
    <w:rsid w:val="43E87C7F"/>
    <w:rsid w:val="43FA758D"/>
    <w:rsid w:val="43FC5E92"/>
    <w:rsid w:val="44017F76"/>
    <w:rsid w:val="440F49AF"/>
    <w:rsid w:val="441000C1"/>
    <w:rsid w:val="4424251F"/>
    <w:rsid w:val="442828F8"/>
    <w:rsid w:val="442F79B9"/>
    <w:rsid w:val="443058AA"/>
    <w:rsid w:val="444136BD"/>
    <w:rsid w:val="4466476D"/>
    <w:rsid w:val="44674566"/>
    <w:rsid w:val="446C1472"/>
    <w:rsid w:val="446E0DE7"/>
    <w:rsid w:val="447A0A5A"/>
    <w:rsid w:val="44855B8D"/>
    <w:rsid w:val="44904522"/>
    <w:rsid w:val="44A01FB0"/>
    <w:rsid w:val="44E173B8"/>
    <w:rsid w:val="44E33D42"/>
    <w:rsid w:val="44E94B58"/>
    <w:rsid w:val="44FD08B9"/>
    <w:rsid w:val="44FD4C59"/>
    <w:rsid w:val="45010901"/>
    <w:rsid w:val="4523483B"/>
    <w:rsid w:val="45615A31"/>
    <w:rsid w:val="45631F71"/>
    <w:rsid w:val="45645083"/>
    <w:rsid w:val="45645939"/>
    <w:rsid w:val="45744428"/>
    <w:rsid w:val="457A431F"/>
    <w:rsid w:val="45873F2E"/>
    <w:rsid w:val="45903A89"/>
    <w:rsid w:val="459A2B4B"/>
    <w:rsid w:val="45AE56E5"/>
    <w:rsid w:val="45B03BFE"/>
    <w:rsid w:val="45B60586"/>
    <w:rsid w:val="45CE0436"/>
    <w:rsid w:val="45E74894"/>
    <w:rsid w:val="45F11718"/>
    <w:rsid w:val="461E34FB"/>
    <w:rsid w:val="462112DE"/>
    <w:rsid w:val="463B677F"/>
    <w:rsid w:val="46586BBB"/>
    <w:rsid w:val="465B2564"/>
    <w:rsid w:val="466361E0"/>
    <w:rsid w:val="46745329"/>
    <w:rsid w:val="46756101"/>
    <w:rsid w:val="46771FF6"/>
    <w:rsid w:val="467B665C"/>
    <w:rsid w:val="467F1B7C"/>
    <w:rsid w:val="46837434"/>
    <w:rsid w:val="46874FB5"/>
    <w:rsid w:val="46B52D8F"/>
    <w:rsid w:val="46C451FF"/>
    <w:rsid w:val="46D13F56"/>
    <w:rsid w:val="46D73768"/>
    <w:rsid w:val="46DB748E"/>
    <w:rsid w:val="46E00800"/>
    <w:rsid w:val="46EF4536"/>
    <w:rsid w:val="46F904F8"/>
    <w:rsid w:val="47036384"/>
    <w:rsid w:val="47195940"/>
    <w:rsid w:val="4735189F"/>
    <w:rsid w:val="47462CC4"/>
    <w:rsid w:val="47497311"/>
    <w:rsid w:val="47534AE8"/>
    <w:rsid w:val="47577175"/>
    <w:rsid w:val="47612048"/>
    <w:rsid w:val="476153EE"/>
    <w:rsid w:val="47624426"/>
    <w:rsid w:val="47A54520"/>
    <w:rsid w:val="47AD369A"/>
    <w:rsid w:val="47B71D4B"/>
    <w:rsid w:val="47BB0D42"/>
    <w:rsid w:val="47BD3358"/>
    <w:rsid w:val="47D7281A"/>
    <w:rsid w:val="47E5751E"/>
    <w:rsid w:val="482677D2"/>
    <w:rsid w:val="4832333D"/>
    <w:rsid w:val="48387293"/>
    <w:rsid w:val="483C1399"/>
    <w:rsid w:val="483C692C"/>
    <w:rsid w:val="484A137A"/>
    <w:rsid w:val="484E004A"/>
    <w:rsid w:val="485A7935"/>
    <w:rsid w:val="48680B85"/>
    <w:rsid w:val="486D3B4B"/>
    <w:rsid w:val="487F0AE0"/>
    <w:rsid w:val="48925F17"/>
    <w:rsid w:val="48974472"/>
    <w:rsid w:val="4898557D"/>
    <w:rsid w:val="489D0D0E"/>
    <w:rsid w:val="48A16470"/>
    <w:rsid w:val="48A27D40"/>
    <w:rsid w:val="48AA37A2"/>
    <w:rsid w:val="48B044FA"/>
    <w:rsid w:val="48BB5D35"/>
    <w:rsid w:val="48C470AA"/>
    <w:rsid w:val="48CB26CB"/>
    <w:rsid w:val="48DB204A"/>
    <w:rsid w:val="48F505DB"/>
    <w:rsid w:val="492B0536"/>
    <w:rsid w:val="493B1F48"/>
    <w:rsid w:val="4946107B"/>
    <w:rsid w:val="49694ABD"/>
    <w:rsid w:val="497D17F6"/>
    <w:rsid w:val="497D527C"/>
    <w:rsid w:val="49951847"/>
    <w:rsid w:val="49983A40"/>
    <w:rsid w:val="49AC3B0D"/>
    <w:rsid w:val="49AD35FC"/>
    <w:rsid w:val="49B5767C"/>
    <w:rsid w:val="49BB5692"/>
    <w:rsid w:val="49BF5FA2"/>
    <w:rsid w:val="49C248DD"/>
    <w:rsid w:val="49D41534"/>
    <w:rsid w:val="49D42828"/>
    <w:rsid w:val="49E1749A"/>
    <w:rsid w:val="49F90D4B"/>
    <w:rsid w:val="4A1D15AB"/>
    <w:rsid w:val="4A3E12AE"/>
    <w:rsid w:val="4A6F336A"/>
    <w:rsid w:val="4A6F3B59"/>
    <w:rsid w:val="4A700CF9"/>
    <w:rsid w:val="4A712133"/>
    <w:rsid w:val="4A782BCF"/>
    <w:rsid w:val="4A7850FA"/>
    <w:rsid w:val="4A85354F"/>
    <w:rsid w:val="4A8C29B4"/>
    <w:rsid w:val="4AA87225"/>
    <w:rsid w:val="4AB463CE"/>
    <w:rsid w:val="4AB96C56"/>
    <w:rsid w:val="4ABB00CA"/>
    <w:rsid w:val="4ABE5BFC"/>
    <w:rsid w:val="4AD31CEC"/>
    <w:rsid w:val="4AD745A3"/>
    <w:rsid w:val="4ADA101D"/>
    <w:rsid w:val="4AF26FD5"/>
    <w:rsid w:val="4AF615C1"/>
    <w:rsid w:val="4AF75E99"/>
    <w:rsid w:val="4AF81F9F"/>
    <w:rsid w:val="4AFD2B98"/>
    <w:rsid w:val="4AFE32CA"/>
    <w:rsid w:val="4B034BA4"/>
    <w:rsid w:val="4B036BAB"/>
    <w:rsid w:val="4B045962"/>
    <w:rsid w:val="4B0D625E"/>
    <w:rsid w:val="4B2135A7"/>
    <w:rsid w:val="4B297D57"/>
    <w:rsid w:val="4B2B17CB"/>
    <w:rsid w:val="4B3A0462"/>
    <w:rsid w:val="4B5A1582"/>
    <w:rsid w:val="4B5A5E4A"/>
    <w:rsid w:val="4B844162"/>
    <w:rsid w:val="4B854101"/>
    <w:rsid w:val="4B8D1E94"/>
    <w:rsid w:val="4BB25E6F"/>
    <w:rsid w:val="4BB62985"/>
    <w:rsid w:val="4BB71D22"/>
    <w:rsid w:val="4BB72DF0"/>
    <w:rsid w:val="4BC46E98"/>
    <w:rsid w:val="4C0A0E5C"/>
    <w:rsid w:val="4C2844A9"/>
    <w:rsid w:val="4C2A0254"/>
    <w:rsid w:val="4C387FEA"/>
    <w:rsid w:val="4C41408F"/>
    <w:rsid w:val="4C4C3BF7"/>
    <w:rsid w:val="4C6C058F"/>
    <w:rsid w:val="4C742C79"/>
    <w:rsid w:val="4C81376E"/>
    <w:rsid w:val="4C8D63BF"/>
    <w:rsid w:val="4C974F97"/>
    <w:rsid w:val="4CA24D1D"/>
    <w:rsid w:val="4CB93537"/>
    <w:rsid w:val="4CBB3511"/>
    <w:rsid w:val="4CCE340B"/>
    <w:rsid w:val="4CD170E8"/>
    <w:rsid w:val="4CDB2ED1"/>
    <w:rsid w:val="4CE40296"/>
    <w:rsid w:val="4CE83472"/>
    <w:rsid w:val="4CFD2DA9"/>
    <w:rsid w:val="4D010936"/>
    <w:rsid w:val="4D0D702D"/>
    <w:rsid w:val="4D146429"/>
    <w:rsid w:val="4D3B22CD"/>
    <w:rsid w:val="4D3F2287"/>
    <w:rsid w:val="4D496228"/>
    <w:rsid w:val="4D4A368A"/>
    <w:rsid w:val="4D521DFA"/>
    <w:rsid w:val="4D617E6D"/>
    <w:rsid w:val="4D661B93"/>
    <w:rsid w:val="4D6A463A"/>
    <w:rsid w:val="4D78531A"/>
    <w:rsid w:val="4D7F6329"/>
    <w:rsid w:val="4D8D71BC"/>
    <w:rsid w:val="4DA8587B"/>
    <w:rsid w:val="4DAE164D"/>
    <w:rsid w:val="4DAF7F7D"/>
    <w:rsid w:val="4DB972EA"/>
    <w:rsid w:val="4DDF7306"/>
    <w:rsid w:val="4DE70E15"/>
    <w:rsid w:val="4DE87C74"/>
    <w:rsid w:val="4DEB6BA2"/>
    <w:rsid w:val="4DF2189D"/>
    <w:rsid w:val="4DF56B12"/>
    <w:rsid w:val="4DFE6DA4"/>
    <w:rsid w:val="4E0447E4"/>
    <w:rsid w:val="4E054EF1"/>
    <w:rsid w:val="4E0B28BA"/>
    <w:rsid w:val="4E273DF2"/>
    <w:rsid w:val="4E275E1F"/>
    <w:rsid w:val="4E2D718E"/>
    <w:rsid w:val="4E324791"/>
    <w:rsid w:val="4E3A332D"/>
    <w:rsid w:val="4E3B0B12"/>
    <w:rsid w:val="4E3C47BF"/>
    <w:rsid w:val="4E457CFC"/>
    <w:rsid w:val="4E5035B9"/>
    <w:rsid w:val="4E5D6EB6"/>
    <w:rsid w:val="4E764269"/>
    <w:rsid w:val="4E796130"/>
    <w:rsid w:val="4E8619E7"/>
    <w:rsid w:val="4E894E7D"/>
    <w:rsid w:val="4E90645F"/>
    <w:rsid w:val="4ED07F80"/>
    <w:rsid w:val="4ED22AD6"/>
    <w:rsid w:val="4EDB7BE2"/>
    <w:rsid w:val="4EE143E2"/>
    <w:rsid w:val="4EEC5DC2"/>
    <w:rsid w:val="4EF96C36"/>
    <w:rsid w:val="4EFA1A63"/>
    <w:rsid w:val="4F053BD8"/>
    <w:rsid w:val="4F1064A1"/>
    <w:rsid w:val="4F524FE5"/>
    <w:rsid w:val="4F5A6B06"/>
    <w:rsid w:val="4F6C544F"/>
    <w:rsid w:val="4F730BAE"/>
    <w:rsid w:val="4F774221"/>
    <w:rsid w:val="4F7A017A"/>
    <w:rsid w:val="4F921F77"/>
    <w:rsid w:val="4FA249BB"/>
    <w:rsid w:val="4FA56D18"/>
    <w:rsid w:val="4FBF4191"/>
    <w:rsid w:val="4FCB2AB8"/>
    <w:rsid w:val="4FDD33DB"/>
    <w:rsid w:val="4FE54559"/>
    <w:rsid w:val="4FF10DC7"/>
    <w:rsid w:val="4FFE322B"/>
    <w:rsid w:val="500510D1"/>
    <w:rsid w:val="500E0FC3"/>
    <w:rsid w:val="502015CC"/>
    <w:rsid w:val="50322DEA"/>
    <w:rsid w:val="503F7E98"/>
    <w:rsid w:val="504F15D1"/>
    <w:rsid w:val="507B7075"/>
    <w:rsid w:val="50801A86"/>
    <w:rsid w:val="50843B54"/>
    <w:rsid w:val="5084607C"/>
    <w:rsid w:val="5087019C"/>
    <w:rsid w:val="509324F6"/>
    <w:rsid w:val="50AA4569"/>
    <w:rsid w:val="50AD363E"/>
    <w:rsid w:val="50C1453A"/>
    <w:rsid w:val="50CC7055"/>
    <w:rsid w:val="50D06BF1"/>
    <w:rsid w:val="50D35C50"/>
    <w:rsid w:val="50E0284F"/>
    <w:rsid w:val="50E047FE"/>
    <w:rsid w:val="50E06B31"/>
    <w:rsid w:val="50E536AE"/>
    <w:rsid w:val="50EA3832"/>
    <w:rsid w:val="50ED7405"/>
    <w:rsid w:val="50F0306A"/>
    <w:rsid w:val="50F52B7F"/>
    <w:rsid w:val="50FC79A0"/>
    <w:rsid w:val="510630D2"/>
    <w:rsid w:val="5108514E"/>
    <w:rsid w:val="512750E6"/>
    <w:rsid w:val="514D180D"/>
    <w:rsid w:val="51567810"/>
    <w:rsid w:val="51950E91"/>
    <w:rsid w:val="51CB2777"/>
    <w:rsid w:val="51CB522C"/>
    <w:rsid w:val="51DC5C72"/>
    <w:rsid w:val="52084C12"/>
    <w:rsid w:val="52131673"/>
    <w:rsid w:val="521A5044"/>
    <w:rsid w:val="522354C4"/>
    <w:rsid w:val="52285BEE"/>
    <w:rsid w:val="52365551"/>
    <w:rsid w:val="526859BB"/>
    <w:rsid w:val="5271423C"/>
    <w:rsid w:val="52762A2B"/>
    <w:rsid w:val="528270C2"/>
    <w:rsid w:val="529A6C72"/>
    <w:rsid w:val="52AB3F4D"/>
    <w:rsid w:val="52B33BDC"/>
    <w:rsid w:val="52B434C6"/>
    <w:rsid w:val="52CD4DEE"/>
    <w:rsid w:val="52CF3B94"/>
    <w:rsid w:val="52D007C3"/>
    <w:rsid w:val="52D34D35"/>
    <w:rsid w:val="52E9496A"/>
    <w:rsid w:val="52FE7E6C"/>
    <w:rsid w:val="53006293"/>
    <w:rsid w:val="5333696C"/>
    <w:rsid w:val="53385012"/>
    <w:rsid w:val="534E728A"/>
    <w:rsid w:val="536D174D"/>
    <w:rsid w:val="536E2857"/>
    <w:rsid w:val="537E2CA8"/>
    <w:rsid w:val="538357A7"/>
    <w:rsid w:val="53907BCB"/>
    <w:rsid w:val="539C47DB"/>
    <w:rsid w:val="53B603DC"/>
    <w:rsid w:val="53B67B60"/>
    <w:rsid w:val="53BE1C17"/>
    <w:rsid w:val="53D73191"/>
    <w:rsid w:val="53DF48D5"/>
    <w:rsid w:val="53ED6E6F"/>
    <w:rsid w:val="540253B3"/>
    <w:rsid w:val="5411464D"/>
    <w:rsid w:val="541E1948"/>
    <w:rsid w:val="54275A2A"/>
    <w:rsid w:val="54365916"/>
    <w:rsid w:val="544C2D66"/>
    <w:rsid w:val="54600756"/>
    <w:rsid w:val="546432CE"/>
    <w:rsid w:val="546557E5"/>
    <w:rsid w:val="54701901"/>
    <w:rsid w:val="54780A20"/>
    <w:rsid w:val="54C3175A"/>
    <w:rsid w:val="54DE0561"/>
    <w:rsid w:val="55044D0F"/>
    <w:rsid w:val="550B15A7"/>
    <w:rsid w:val="55144508"/>
    <w:rsid w:val="55153053"/>
    <w:rsid w:val="551848D1"/>
    <w:rsid w:val="55344AB0"/>
    <w:rsid w:val="5536730A"/>
    <w:rsid w:val="55377AD1"/>
    <w:rsid w:val="553E113E"/>
    <w:rsid w:val="5540237D"/>
    <w:rsid w:val="5542616D"/>
    <w:rsid w:val="555518AD"/>
    <w:rsid w:val="55761DEC"/>
    <w:rsid w:val="55776979"/>
    <w:rsid w:val="559D7A1C"/>
    <w:rsid w:val="55C36371"/>
    <w:rsid w:val="55DC3B94"/>
    <w:rsid w:val="56127BAF"/>
    <w:rsid w:val="56176400"/>
    <w:rsid w:val="561C280F"/>
    <w:rsid w:val="562C5CA2"/>
    <w:rsid w:val="56365852"/>
    <w:rsid w:val="563D1425"/>
    <w:rsid w:val="563F174E"/>
    <w:rsid w:val="56495CB7"/>
    <w:rsid w:val="564A0DC5"/>
    <w:rsid w:val="564A1FCE"/>
    <w:rsid w:val="564E3E87"/>
    <w:rsid w:val="56567E26"/>
    <w:rsid w:val="565A4801"/>
    <w:rsid w:val="56605189"/>
    <w:rsid w:val="5665180E"/>
    <w:rsid w:val="566C32B4"/>
    <w:rsid w:val="567337C7"/>
    <w:rsid w:val="567B79EB"/>
    <w:rsid w:val="569E221B"/>
    <w:rsid w:val="56B605A5"/>
    <w:rsid w:val="56CF0992"/>
    <w:rsid w:val="56D3618E"/>
    <w:rsid w:val="56E84067"/>
    <w:rsid w:val="570E2542"/>
    <w:rsid w:val="57105F22"/>
    <w:rsid w:val="571628AF"/>
    <w:rsid w:val="57190023"/>
    <w:rsid w:val="57286DAB"/>
    <w:rsid w:val="574F31E1"/>
    <w:rsid w:val="5763331E"/>
    <w:rsid w:val="576D542E"/>
    <w:rsid w:val="576F36AC"/>
    <w:rsid w:val="579B29DB"/>
    <w:rsid w:val="57B911B2"/>
    <w:rsid w:val="57C61FCE"/>
    <w:rsid w:val="57CD6EFE"/>
    <w:rsid w:val="57D207B6"/>
    <w:rsid w:val="57DC5B72"/>
    <w:rsid w:val="57EB1098"/>
    <w:rsid w:val="57ED7304"/>
    <w:rsid w:val="57FC04B2"/>
    <w:rsid w:val="580E5DA3"/>
    <w:rsid w:val="58167A35"/>
    <w:rsid w:val="581C39F0"/>
    <w:rsid w:val="58245DB2"/>
    <w:rsid w:val="58260813"/>
    <w:rsid w:val="5883673E"/>
    <w:rsid w:val="58866DB9"/>
    <w:rsid w:val="588C3FB5"/>
    <w:rsid w:val="589C20F4"/>
    <w:rsid w:val="58A0117C"/>
    <w:rsid w:val="58A02642"/>
    <w:rsid w:val="58AC4087"/>
    <w:rsid w:val="58AD7C1E"/>
    <w:rsid w:val="58AE77FC"/>
    <w:rsid w:val="58B53257"/>
    <w:rsid w:val="58C23DE8"/>
    <w:rsid w:val="58CD5DCD"/>
    <w:rsid w:val="58E25BB8"/>
    <w:rsid w:val="58E76EAA"/>
    <w:rsid w:val="58F4772C"/>
    <w:rsid w:val="5909230E"/>
    <w:rsid w:val="591D1ECE"/>
    <w:rsid w:val="594D4198"/>
    <w:rsid w:val="596E1E52"/>
    <w:rsid w:val="59770303"/>
    <w:rsid w:val="597B41FB"/>
    <w:rsid w:val="59811429"/>
    <w:rsid w:val="59D01A6D"/>
    <w:rsid w:val="59D0629F"/>
    <w:rsid w:val="59E60AE1"/>
    <w:rsid w:val="59E65B63"/>
    <w:rsid w:val="59FC225C"/>
    <w:rsid w:val="59FE4ABB"/>
    <w:rsid w:val="5A000835"/>
    <w:rsid w:val="5A007265"/>
    <w:rsid w:val="5A231AC2"/>
    <w:rsid w:val="5A310067"/>
    <w:rsid w:val="5A3B4856"/>
    <w:rsid w:val="5A534768"/>
    <w:rsid w:val="5A5930CA"/>
    <w:rsid w:val="5A5C0A1F"/>
    <w:rsid w:val="5A894FC9"/>
    <w:rsid w:val="5A8955AF"/>
    <w:rsid w:val="5AA251E6"/>
    <w:rsid w:val="5AAD3CEF"/>
    <w:rsid w:val="5AB16450"/>
    <w:rsid w:val="5ACD2AC8"/>
    <w:rsid w:val="5AD32754"/>
    <w:rsid w:val="5ADA04F0"/>
    <w:rsid w:val="5ADE17A9"/>
    <w:rsid w:val="5AEA58A1"/>
    <w:rsid w:val="5AF552C4"/>
    <w:rsid w:val="5AFB3680"/>
    <w:rsid w:val="5B0178A0"/>
    <w:rsid w:val="5B07173B"/>
    <w:rsid w:val="5B110B78"/>
    <w:rsid w:val="5B1374B1"/>
    <w:rsid w:val="5B381BF7"/>
    <w:rsid w:val="5B47501F"/>
    <w:rsid w:val="5B49268C"/>
    <w:rsid w:val="5B4E71BE"/>
    <w:rsid w:val="5B506F99"/>
    <w:rsid w:val="5B7230ED"/>
    <w:rsid w:val="5B771706"/>
    <w:rsid w:val="5B807034"/>
    <w:rsid w:val="5BA73EE2"/>
    <w:rsid w:val="5BA9593B"/>
    <w:rsid w:val="5BB7666F"/>
    <w:rsid w:val="5BBB0088"/>
    <w:rsid w:val="5BC333BC"/>
    <w:rsid w:val="5BC616E3"/>
    <w:rsid w:val="5BCA6C80"/>
    <w:rsid w:val="5BD73A7F"/>
    <w:rsid w:val="5BDB0289"/>
    <w:rsid w:val="5BED6F4A"/>
    <w:rsid w:val="5C045C36"/>
    <w:rsid w:val="5C354CB3"/>
    <w:rsid w:val="5C362E9D"/>
    <w:rsid w:val="5C457203"/>
    <w:rsid w:val="5C4A1567"/>
    <w:rsid w:val="5C533B03"/>
    <w:rsid w:val="5C78087D"/>
    <w:rsid w:val="5C7A1980"/>
    <w:rsid w:val="5CAF25EF"/>
    <w:rsid w:val="5CBF7D40"/>
    <w:rsid w:val="5CC14995"/>
    <w:rsid w:val="5CC43A65"/>
    <w:rsid w:val="5CCA507C"/>
    <w:rsid w:val="5CD3738E"/>
    <w:rsid w:val="5CDF4A83"/>
    <w:rsid w:val="5CE13344"/>
    <w:rsid w:val="5D185D4B"/>
    <w:rsid w:val="5D2423C9"/>
    <w:rsid w:val="5D2C3E5A"/>
    <w:rsid w:val="5D5A4CE6"/>
    <w:rsid w:val="5DB941F2"/>
    <w:rsid w:val="5DC47B64"/>
    <w:rsid w:val="5DDE50FB"/>
    <w:rsid w:val="5DE128B7"/>
    <w:rsid w:val="5DE73600"/>
    <w:rsid w:val="5DE81BB9"/>
    <w:rsid w:val="5DEA527B"/>
    <w:rsid w:val="5DF54A43"/>
    <w:rsid w:val="5DFB6705"/>
    <w:rsid w:val="5E052968"/>
    <w:rsid w:val="5E0D5F92"/>
    <w:rsid w:val="5E217268"/>
    <w:rsid w:val="5E3D5F7C"/>
    <w:rsid w:val="5E5A1110"/>
    <w:rsid w:val="5E616F2D"/>
    <w:rsid w:val="5E6E7A01"/>
    <w:rsid w:val="5E710639"/>
    <w:rsid w:val="5EA03A56"/>
    <w:rsid w:val="5EA17018"/>
    <w:rsid w:val="5EB71C9C"/>
    <w:rsid w:val="5EBD5A8C"/>
    <w:rsid w:val="5ED82EFF"/>
    <w:rsid w:val="5EDF277D"/>
    <w:rsid w:val="5EE04748"/>
    <w:rsid w:val="5F026C79"/>
    <w:rsid w:val="5F0A3DC3"/>
    <w:rsid w:val="5F10472F"/>
    <w:rsid w:val="5F132FD3"/>
    <w:rsid w:val="5F1753EF"/>
    <w:rsid w:val="5F2C5CBB"/>
    <w:rsid w:val="5F2E2C7D"/>
    <w:rsid w:val="5F3A7040"/>
    <w:rsid w:val="5F490292"/>
    <w:rsid w:val="5F563661"/>
    <w:rsid w:val="5F611483"/>
    <w:rsid w:val="5F750D0F"/>
    <w:rsid w:val="5F7A5459"/>
    <w:rsid w:val="5F855458"/>
    <w:rsid w:val="5F8930B2"/>
    <w:rsid w:val="5F9F5B1D"/>
    <w:rsid w:val="5FB764CF"/>
    <w:rsid w:val="5FBC3CFE"/>
    <w:rsid w:val="5FC55060"/>
    <w:rsid w:val="5FC81B85"/>
    <w:rsid w:val="5FCD6D01"/>
    <w:rsid w:val="5FE72417"/>
    <w:rsid w:val="5FE737C0"/>
    <w:rsid w:val="60131186"/>
    <w:rsid w:val="60273FDE"/>
    <w:rsid w:val="60376CFC"/>
    <w:rsid w:val="60472C3A"/>
    <w:rsid w:val="604934B6"/>
    <w:rsid w:val="607140D0"/>
    <w:rsid w:val="607D34DA"/>
    <w:rsid w:val="60852CCE"/>
    <w:rsid w:val="60866FC5"/>
    <w:rsid w:val="60880163"/>
    <w:rsid w:val="6088786F"/>
    <w:rsid w:val="608973B8"/>
    <w:rsid w:val="60A3490B"/>
    <w:rsid w:val="60A65036"/>
    <w:rsid w:val="60B361D0"/>
    <w:rsid w:val="60D3357A"/>
    <w:rsid w:val="60DE464C"/>
    <w:rsid w:val="60E03EFA"/>
    <w:rsid w:val="60ED7995"/>
    <w:rsid w:val="610142AB"/>
    <w:rsid w:val="610A00CE"/>
    <w:rsid w:val="61155851"/>
    <w:rsid w:val="61200D7E"/>
    <w:rsid w:val="61205B8C"/>
    <w:rsid w:val="61277E71"/>
    <w:rsid w:val="61550CC1"/>
    <w:rsid w:val="615922E4"/>
    <w:rsid w:val="61643FCD"/>
    <w:rsid w:val="617048F7"/>
    <w:rsid w:val="61707ED7"/>
    <w:rsid w:val="61724738"/>
    <w:rsid w:val="61814313"/>
    <w:rsid w:val="61821264"/>
    <w:rsid w:val="61926DB5"/>
    <w:rsid w:val="61A87651"/>
    <w:rsid w:val="61AC3F39"/>
    <w:rsid w:val="61BD5AE8"/>
    <w:rsid w:val="61C16458"/>
    <w:rsid w:val="61E84CBE"/>
    <w:rsid w:val="6237573F"/>
    <w:rsid w:val="62405210"/>
    <w:rsid w:val="62433335"/>
    <w:rsid w:val="624D1200"/>
    <w:rsid w:val="624F517C"/>
    <w:rsid w:val="62744221"/>
    <w:rsid w:val="62843B1F"/>
    <w:rsid w:val="629532C2"/>
    <w:rsid w:val="62A849E9"/>
    <w:rsid w:val="631708CE"/>
    <w:rsid w:val="632424C1"/>
    <w:rsid w:val="63374241"/>
    <w:rsid w:val="634C3F40"/>
    <w:rsid w:val="634F395F"/>
    <w:rsid w:val="635C1D50"/>
    <w:rsid w:val="63613007"/>
    <w:rsid w:val="6362619B"/>
    <w:rsid w:val="63703AED"/>
    <w:rsid w:val="637871DD"/>
    <w:rsid w:val="63862258"/>
    <w:rsid w:val="63A669C9"/>
    <w:rsid w:val="63CB179D"/>
    <w:rsid w:val="63D157DD"/>
    <w:rsid w:val="63F61AD4"/>
    <w:rsid w:val="63FF6C76"/>
    <w:rsid w:val="64004618"/>
    <w:rsid w:val="64073EDA"/>
    <w:rsid w:val="640D111D"/>
    <w:rsid w:val="64156BCB"/>
    <w:rsid w:val="641854A2"/>
    <w:rsid w:val="64284D06"/>
    <w:rsid w:val="64532BB0"/>
    <w:rsid w:val="646A467D"/>
    <w:rsid w:val="646D2223"/>
    <w:rsid w:val="647D193B"/>
    <w:rsid w:val="647F5CA1"/>
    <w:rsid w:val="6486038C"/>
    <w:rsid w:val="649271CB"/>
    <w:rsid w:val="649F0473"/>
    <w:rsid w:val="64A65BB3"/>
    <w:rsid w:val="64B13C32"/>
    <w:rsid w:val="64C62351"/>
    <w:rsid w:val="64D64573"/>
    <w:rsid w:val="64D947CF"/>
    <w:rsid w:val="64FC7B68"/>
    <w:rsid w:val="64FF2A0E"/>
    <w:rsid w:val="65130F31"/>
    <w:rsid w:val="65214347"/>
    <w:rsid w:val="653F637B"/>
    <w:rsid w:val="656150CA"/>
    <w:rsid w:val="65792C9B"/>
    <w:rsid w:val="658A0863"/>
    <w:rsid w:val="658E643A"/>
    <w:rsid w:val="6590782D"/>
    <w:rsid w:val="659E2325"/>
    <w:rsid w:val="65A03D06"/>
    <w:rsid w:val="65A229CA"/>
    <w:rsid w:val="65A46887"/>
    <w:rsid w:val="65B16B80"/>
    <w:rsid w:val="65B323F3"/>
    <w:rsid w:val="65B40A60"/>
    <w:rsid w:val="65CF78AC"/>
    <w:rsid w:val="65E01DC6"/>
    <w:rsid w:val="65E31996"/>
    <w:rsid w:val="65E6308E"/>
    <w:rsid w:val="65EE2CF5"/>
    <w:rsid w:val="660D6812"/>
    <w:rsid w:val="660F2269"/>
    <w:rsid w:val="66196C36"/>
    <w:rsid w:val="6628676F"/>
    <w:rsid w:val="662B6AC0"/>
    <w:rsid w:val="663C5483"/>
    <w:rsid w:val="66620FF1"/>
    <w:rsid w:val="66633582"/>
    <w:rsid w:val="66651BDC"/>
    <w:rsid w:val="666D0DF2"/>
    <w:rsid w:val="66744D9F"/>
    <w:rsid w:val="667D0668"/>
    <w:rsid w:val="66832E6F"/>
    <w:rsid w:val="669A088D"/>
    <w:rsid w:val="669C5E53"/>
    <w:rsid w:val="669E4A4E"/>
    <w:rsid w:val="66B05B18"/>
    <w:rsid w:val="66B708A6"/>
    <w:rsid w:val="66B76D85"/>
    <w:rsid w:val="66D570E2"/>
    <w:rsid w:val="66E02C5B"/>
    <w:rsid w:val="66F425CE"/>
    <w:rsid w:val="66FA7FAF"/>
    <w:rsid w:val="670A28A8"/>
    <w:rsid w:val="670A76B6"/>
    <w:rsid w:val="671110C2"/>
    <w:rsid w:val="671A3B7C"/>
    <w:rsid w:val="672A4F98"/>
    <w:rsid w:val="672B7CC7"/>
    <w:rsid w:val="67414388"/>
    <w:rsid w:val="675024EE"/>
    <w:rsid w:val="6758406F"/>
    <w:rsid w:val="67591A5A"/>
    <w:rsid w:val="676A667F"/>
    <w:rsid w:val="67766195"/>
    <w:rsid w:val="67970F39"/>
    <w:rsid w:val="67977CD1"/>
    <w:rsid w:val="67B93427"/>
    <w:rsid w:val="67CB3C15"/>
    <w:rsid w:val="67D806ED"/>
    <w:rsid w:val="67DA1E3B"/>
    <w:rsid w:val="67DD1918"/>
    <w:rsid w:val="67E91C4C"/>
    <w:rsid w:val="67F6367D"/>
    <w:rsid w:val="68344630"/>
    <w:rsid w:val="68671B7C"/>
    <w:rsid w:val="687703E8"/>
    <w:rsid w:val="689748C0"/>
    <w:rsid w:val="68975E67"/>
    <w:rsid w:val="689B3943"/>
    <w:rsid w:val="68A92BBB"/>
    <w:rsid w:val="68AA3189"/>
    <w:rsid w:val="68B87AA8"/>
    <w:rsid w:val="68CE79E9"/>
    <w:rsid w:val="68CF5FBA"/>
    <w:rsid w:val="68E032BE"/>
    <w:rsid w:val="68E21FD2"/>
    <w:rsid w:val="68EF4322"/>
    <w:rsid w:val="68F6064D"/>
    <w:rsid w:val="68FA155B"/>
    <w:rsid w:val="690B782E"/>
    <w:rsid w:val="69110ACB"/>
    <w:rsid w:val="69476849"/>
    <w:rsid w:val="694A6159"/>
    <w:rsid w:val="694C06A9"/>
    <w:rsid w:val="697D5A91"/>
    <w:rsid w:val="69917BE5"/>
    <w:rsid w:val="6999071C"/>
    <w:rsid w:val="69AE1E1C"/>
    <w:rsid w:val="69BF39B8"/>
    <w:rsid w:val="69C33F35"/>
    <w:rsid w:val="69C52D46"/>
    <w:rsid w:val="69C93673"/>
    <w:rsid w:val="69CD7DC8"/>
    <w:rsid w:val="69EF3AA6"/>
    <w:rsid w:val="69FD3BAD"/>
    <w:rsid w:val="6A030FCE"/>
    <w:rsid w:val="6A2B7A6E"/>
    <w:rsid w:val="6A2E39D0"/>
    <w:rsid w:val="6A4609B2"/>
    <w:rsid w:val="6A516637"/>
    <w:rsid w:val="6A534F45"/>
    <w:rsid w:val="6A6125E1"/>
    <w:rsid w:val="6A645A26"/>
    <w:rsid w:val="6A655D02"/>
    <w:rsid w:val="6A665D44"/>
    <w:rsid w:val="6A6F2A4D"/>
    <w:rsid w:val="6A910026"/>
    <w:rsid w:val="6A9A4C08"/>
    <w:rsid w:val="6AA1438C"/>
    <w:rsid w:val="6ACA4BD3"/>
    <w:rsid w:val="6ADA058D"/>
    <w:rsid w:val="6AF55F2D"/>
    <w:rsid w:val="6AF620F3"/>
    <w:rsid w:val="6B210699"/>
    <w:rsid w:val="6B5B3E77"/>
    <w:rsid w:val="6B7278F9"/>
    <w:rsid w:val="6B76781E"/>
    <w:rsid w:val="6B806B86"/>
    <w:rsid w:val="6B912284"/>
    <w:rsid w:val="6B9504F2"/>
    <w:rsid w:val="6BA023E9"/>
    <w:rsid w:val="6BA45F22"/>
    <w:rsid w:val="6BA46C89"/>
    <w:rsid w:val="6BAF11DE"/>
    <w:rsid w:val="6BB248AE"/>
    <w:rsid w:val="6BC03BE4"/>
    <w:rsid w:val="6BC479DD"/>
    <w:rsid w:val="6C0333AB"/>
    <w:rsid w:val="6C0F32DC"/>
    <w:rsid w:val="6C1848DF"/>
    <w:rsid w:val="6C1D2F9F"/>
    <w:rsid w:val="6C206F72"/>
    <w:rsid w:val="6C2C6A38"/>
    <w:rsid w:val="6C3810A1"/>
    <w:rsid w:val="6C3A5834"/>
    <w:rsid w:val="6C4E22D9"/>
    <w:rsid w:val="6C530186"/>
    <w:rsid w:val="6C545E29"/>
    <w:rsid w:val="6C5A228B"/>
    <w:rsid w:val="6C5D23B9"/>
    <w:rsid w:val="6C7A21B0"/>
    <w:rsid w:val="6C8576CF"/>
    <w:rsid w:val="6C906DBE"/>
    <w:rsid w:val="6C940191"/>
    <w:rsid w:val="6C945EC1"/>
    <w:rsid w:val="6C9B5343"/>
    <w:rsid w:val="6C9C771D"/>
    <w:rsid w:val="6CA80F7D"/>
    <w:rsid w:val="6CB665E8"/>
    <w:rsid w:val="6CB8006D"/>
    <w:rsid w:val="6CC97D25"/>
    <w:rsid w:val="6CDB120E"/>
    <w:rsid w:val="6CE056C8"/>
    <w:rsid w:val="6CF57915"/>
    <w:rsid w:val="6CFC4B92"/>
    <w:rsid w:val="6D0E445B"/>
    <w:rsid w:val="6D154B26"/>
    <w:rsid w:val="6D320AEC"/>
    <w:rsid w:val="6D4315B7"/>
    <w:rsid w:val="6D441015"/>
    <w:rsid w:val="6D476697"/>
    <w:rsid w:val="6D4F17DC"/>
    <w:rsid w:val="6D6171C7"/>
    <w:rsid w:val="6D64106F"/>
    <w:rsid w:val="6D663BF9"/>
    <w:rsid w:val="6D6C22C0"/>
    <w:rsid w:val="6D7E41EB"/>
    <w:rsid w:val="6DAC4AC0"/>
    <w:rsid w:val="6DBE2D94"/>
    <w:rsid w:val="6DCC42B3"/>
    <w:rsid w:val="6DEB30B5"/>
    <w:rsid w:val="6DF10620"/>
    <w:rsid w:val="6DFB2674"/>
    <w:rsid w:val="6E094A2E"/>
    <w:rsid w:val="6E1B1D04"/>
    <w:rsid w:val="6E4F65C4"/>
    <w:rsid w:val="6E753AFC"/>
    <w:rsid w:val="6E780D25"/>
    <w:rsid w:val="6E8C5284"/>
    <w:rsid w:val="6E8D5AE2"/>
    <w:rsid w:val="6E8D6F92"/>
    <w:rsid w:val="6EB4252C"/>
    <w:rsid w:val="6EB85FF9"/>
    <w:rsid w:val="6EC7506B"/>
    <w:rsid w:val="6ECC79E0"/>
    <w:rsid w:val="6ECD3F4B"/>
    <w:rsid w:val="6ECE65F6"/>
    <w:rsid w:val="6EE11FA9"/>
    <w:rsid w:val="6EFC3D84"/>
    <w:rsid w:val="6EFC62C8"/>
    <w:rsid w:val="6F085BF7"/>
    <w:rsid w:val="6F0C7F76"/>
    <w:rsid w:val="6F1A1DFE"/>
    <w:rsid w:val="6F2171A4"/>
    <w:rsid w:val="6F310E0C"/>
    <w:rsid w:val="6F5372B3"/>
    <w:rsid w:val="6F541627"/>
    <w:rsid w:val="6F547652"/>
    <w:rsid w:val="6F610BEC"/>
    <w:rsid w:val="6F6A6988"/>
    <w:rsid w:val="6F7117FC"/>
    <w:rsid w:val="6F79580D"/>
    <w:rsid w:val="6F7D12F4"/>
    <w:rsid w:val="6F943775"/>
    <w:rsid w:val="6FAE0351"/>
    <w:rsid w:val="6FB102E5"/>
    <w:rsid w:val="6FC54716"/>
    <w:rsid w:val="6FC55C8A"/>
    <w:rsid w:val="6FC707AD"/>
    <w:rsid w:val="6FCF6A53"/>
    <w:rsid w:val="6FD33F3E"/>
    <w:rsid w:val="6FD44871"/>
    <w:rsid w:val="6FDE0649"/>
    <w:rsid w:val="6FE517B6"/>
    <w:rsid w:val="6FFA1C6B"/>
    <w:rsid w:val="70201662"/>
    <w:rsid w:val="7024187D"/>
    <w:rsid w:val="70257AF8"/>
    <w:rsid w:val="70503F25"/>
    <w:rsid w:val="70513947"/>
    <w:rsid w:val="70526725"/>
    <w:rsid w:val="705A4DB3"/>
    <w:rsid w:val="705E7338"/>
    <w:rsid w:val="707E3635"/>
    <w:rsid w:val="70870E3F"/>
    <w:rsid w:val="70B54D0D"/>
    <w:rsid w:val="70BF19CA"/>
    <w:rsid w:val="70C81BA2"/>
    <w:rsid w:val="70CE1D3A"/>
    <w:rsid w:val="70D728AB"/>
    <w:rsid w:val="70DB456F"/>
    <w:rsid w:val="70E04AB7"/>
    <w:rsid w:val="70E752F8"/>
    <w:rsid w:val="70EE5669"/>
    <w:rsid w:val="70F00542"/>
    <w:rsid w:val="70FC3429"/>
    <w:rsid w:val="71054859"/>
    <w:rsid w:val="71084A5A"/>
    <w:rsid w:val="710B3E50"/>
    <w:rsid w:val="711D372F"/>
    <w:rsid w:val="711D51C2"/>
    <w:rsid w:val="71234CD4"/>
    <w:rsid w:val="712D5E72"/>
    <w:rsid w:val="71383FA3"/>
    <w:rsid w:val="71434BED"/>
    <w:rsid w:val="714D544E"/>
    <w:rsid w:val="71560B60"/>
    <w:rsid w:val="71641E43"/>
    <w:rsid w:val="716E5C58"/>
    <w:rsid w:val="71923A1E"/>
    <w:rsid w:val="71A70273"/>
    <w:rsid w:val="71C30463"/>
    <w:rsid w:val="71C84B93"/>
    <w:rsid w:val="71CE363D"/>
    <w:rsid w:val="71E527A0"/>
    <w:rsid w:val="71F42EB8"/>
    <w:rsid w:val="7200499A"/>
    <w:rsid w:val="720E0F7B"/>
    <w:rsid w:val="72143096"/>
    <w:rsid w:val="72214459"/>
    <w:rsid w:val="723B780F"/>
    <w:rsid w:val="724405BD"/>
    <w:rsid w:val="72474748"/>
    <w:rsid w:val="72606560"/>
    <w:rsid w:val="72746531"/>
    <w:rsid w:val="7279326C"/>
    <w:rsid w:val="727B0E73"/>
    <w:rsid w:val="729D67D7"/>
    <w:rsid w:val="72AE4D49"/>
    <w:rsid w:val="72B7269E"/>
    <w:rsid w:val="72BF3070"/>
    <w:rsid w:val="72C82FDE"/>
    <w:rsid w:val="72CE136A"/>
    <w:rsid w:val="72DD1671"/>
    <w:rsid w:val="72E56B49"/>
    <w:rsid w:val="72EB6154"/>
    <w:rsid w:val="7312119F"/>
    <w:rsid w:val="73176E8A"/>
    <w:rsid w:val="73266077"/>
    <w:rsid w:val="73310AF2"/>
    <w:rsid w:val="73524BC5"/>
    <w:rsid w:val="7365769A"/>
    <w:rsid w:val="73744DDF"/>
    <w:rsid w:val="739E4751"/>
    <w:rsid w:val="739F1096"/>
    <w:rsid w:val="73B115E6"/>
    <w:rsid w:val="73B41ED9"/>
    <w:rsid w:val="73B45B4B"/>
    <w:rsid w:val="73D420DC"/>
    <w:rsid w:val="73DB329B"/>
    <w:rsid w:val="73DF1BA8"/>
    <w:rsid w:val="740560C0"/>
    <w:rsid w:val="74101B27"/>
    <w:rsid w:val="74151F10"/>
    <w:rsid w:val="741833DC"/>
    <w:rsid w:val="743F3C36"/>
    <w:rsid w:val="74545344"/>
    <w:rsid w:val="745E364C"/>
    <w:rsid w:val="7480721E"/>
    <w:rsid w:val="74865FD3"/>
    <w:rsid w:val="74A1543A"/>
    <w:rsid w:val="74BD5F94"/>
    <w:rsid w:val="74D74DC6"/>
    <w:rsid w:val="74E00F35"/>
    <w:rsid w:val="74EC2BF2"/>
    <w:rsid w:val="74F206D6"/>
    <w:rsid w:val="74FA443D"/>
    <w:rsid w:val="74FB1E15"/>
    <w:rsid w:val="74FD30C9"/>
    <w:rsid w:val="7505127B"/>
    <w:rsid w:val="750C5109"/>
    <w:rsid w:val="752C3E7A"/>
    <w:rsid w:val="75475154"/>
    <w:rsid w:val="754B62A6"/>
    <w:rsid w:val="75647E61"/>
    <w:rsid w:val="75705734"/>
    <w:rsid w:val="75723327"/>
    <w:rsid w:val="75862DDB"/>
    <w:rsid w:val="758B3BCD"/>
    <w:rsid w:val="758C661B"/>
    <w:rsid w:val="75A36394"/>
    <w:rsid w:val="75A54A07"/>
    <w:rsid w:val="75B2513F"/>
    <w:rsid w:val="75C8628B"/>
    <w:rsid w:val="75E955E5"/>
    <w:rsid w:val="75EE4A87"/>
    <w:rsid w:val="76003899"/>
    <w:rsid w:val="760100FA"/>
    <w:rsid w:val="76044B04"/>
    <w:rsid w:val="76121576"/>
    <w:rsid w:val="76252589"/>
    <w:rsid w:val="762E4E2F"/>
    <w:rsid w:val="7630499B"/>
    <w:rsid w:val="763276C8"/>
    <w:rsid w:val="76366201"/>
    <w:rsid w:val="763B707E"/>
    <w:rsid w:val="76483C5A"/>
    <w:rsid w:val="765374A5"/>
    <w:rsid w:val="765F5436"/>
    <w:rsid w:val="76750E1C"/>
    <w:rsid w:val="7692155B"/>
    <w:rsid w:val="7698649F"/>
    <w:rsid w:val="76A00A68"/>
    <w:rsid w:val="76A1191A"/>
    <w:rsid w:val="76B471E7"/>
    <w:rsid w:val="76BE141B"/>
    <w:rsid w:val="76DD6660"/>
    <w:rsid w:val="76E617D5"/>
    <w:rsid w:val="77004BC5"/>
    <w:rsid w:val="77055A5F"/>
    <w:rsid w:val="77164E54"/>
    <w:rsid w:val="77175110"/>
    <w:rsid w:val="771918E8"/>
    <w:rsid w:val="77255BC6"/>
    <w:rsid w:val="7730549D"/>
    <w:rsid w:val="77332EB5"/>
    <w:rsid w:val="773859A6"/>
    <w:rsid w:val="773C557A"/>
    <w:rsid w:val="77422DE8"/>
    <w:rsid w:val="774232CD"/>
    <w:rsid w:val="77483056"/>
    <w:rsid w:val="77496A23"/>
    <w:rsid w:val="77647724"/>
    <w:rsid w:val="7775505E"/>
    <w:rsid w:val="7784630C"/>
    <w:rsid w:val="7788144F"/>
    <w:rsid w:val="779A60FD"/>
    <w:rsid w:val="77B5380B"/>
    <w:rsid w:val="77BD62BD"/>
    <w:rsid w:val="77C955DF"/>
    <w:rsid w:val="77F5079C"/>
    <w:rsid w:val="780F0E00"/>
    <w:rsid w:val="782379C5"/>
    <w:rsid w:val="782E0CD5"/>
    <w:rsid w:val="78315774"/>
    <w:rsid w:val="78484950"/>
    <w:rsid w:val="784A595B"/>
    <w:rsid w:val="78571C44"/>
    <w:rsid w:val="787D0BB5"/>
    <w:rsid w:val="787D7C16"/>
    <w:rsid w:val="788077FA"/>
    <w:rsid w:val="788C162B"/>
    <w:rsid w:val="78A556E9"/>
    <w:rsid w:val="78B77981"/>
    <w:rsid w:val="78C347BB"/>
    <w:rsid w:val="78C47752"/>
    <w:rsid w:val="78D005D7"/>
    <w:rsid w:val="78E101BC"/>
    <w:rsid w:val="78F07AFC"/>
    <w:rsid w:val="7904602B"/>
    <w:rsid w:val="791647D5"/>
    <w:rsid w:val="791C2D46"/>
    <w:rsid w:val="793769E2"/>
    <w:rsid w:val="79601FFF"/>
    <w:rsid w:val="79671272"/>
    <w:rsid w:val="79697C10"/>
    <w:rsid w:val="797377DF"/>
    <w:rsid w:val="79890C5D"/>
    <w:rsid w:val="79994FDB"/>
    <w:rsid w:val="799B49B2"/>
    <w:rsid w:val="79A023C6"/>
    <w:rsid w:val="79AF6CF7"/>
    <w:rsid w:val="79B83C71"/>
    <w:rsid w:val="79C71E03"/>
    <w:rsid w:val="79CA2953"/>
    <w:rsid w:val="79D05EA5"/>
    <w:rsid w:val="79D0613E"/>
    <w:rsid w:val="79D53D35"/>
    <w:rsid w:val="79DB3E6D"/>
    <w:rsid w:val="79DB7DBB"/>
    <w:rsid w:val="79E90504"/>
    <w:rsid w:val="79F10B67"/>
    <w:rsid w:val="7A0D78EC"/>
    <w:rsid w:val="7A171326"/>
    <w:rsid w:val="7A36742C"/>
    <w:rsid w:val="7A376FAD"/>
    <w:rsid w:val="7A3942D3"/>
    <w:rsid w:val="7A900056"/>
    <w:rsid w:val="7A9F0501"/>
    <w:rsid w:val="7AA95841"/>
    <w:rsid w:val="7AAD7780"/>
    <w:rsid w:val="7AC41352"/>
    <w:rsid w:val="7AC70AE9"/>
    <w:rsid w:val="7ACE6C6A"/>
    <w:rsid w:val="7ACF2A3C"/>
    <w:rsid w:val="7AD92855"/>
    <w:rsid w:val="7AE74A0C"/>
    <w:rsid w:val="7AE9630D"/>
    <w:rsid w:val="7AEA69B5"/>
    <w:rsid w:val="7B323B12"/>
    <w:rsid w:val="7B3D406D"/>
    <w:rsid w:val="7B595071"/>
    <w:rsid w:val="7B5B2270"/>
    <w:rsid w:val="7B6B0056"/>
    <w:rsid w:val="7B6D4CA5"/>
    <w:rsid w:val="7B8F5F44"/>
    <w:rsid w:val="7B96610F"/>
    <w:rsid w:val="7B990228"/>
    <w:rsid w:val="7B9E56F8"/>
    <w:rsid w:val="7BAA1965"/>
    <w:rsid w:val="7BC0698C"/>
    <w:rsid w:val="7BDE6AD2"/>
    <w:rsid w:val="7BF34248"/>
    <w:rsid w:val="7BF96DE5"/>
    <w:rsid w:val="7BFA3A3D"/>
    <w:rsid w:val="7C14022C"/>
    <w:rsid w:val="7C152D8B"/>
    <w:rsid w:val="7C16489D"/>
    <w:rsid w:val="7C21628A"/>
    <w:rsid w:val="7C222BB8"/>
    <w:rsid w:val="7C2358FF"/>
    <w:rsid w:val="7C2C7719"/>
    <w:rsid w:val="7C4A3E4B"/>
    <w:rsid w:val="7C636752"/>
    <w:rsid w:val="7C657B35"/>
    <w:rsid w:val="7C9D08C9"/>
    <w:rsid w:val="7CAF47B7"/>
    <w:rsid w:val="7CB86D53"/>
    <w:rsid w:val="7CBA32E5"/>
    <w:rsid w:val="7CC70CCE"/>
    <w:rsid w:val="7CCA0ED7"/>
    <w:rsid w:val="7CCE69FE"/>
    <w:rsid w:val="7CD072E2"/>
    <w:rsid w:val="7CE1380D"/>
    <w:rsid w:val="7CE60EAF"/>
    <w:rsid w:val="7CED5A0D"/>
    <w:rsid w:val="7CF53373"/>
    <w:rsid w:val="7D0E77C0"/>
    <w:rsid w:val="7D123CCA"/>
    <w:rsid w:val="7D2427B4"/>
    <w:rsid w:val="7D356E56"/>
    <w:rsid w:val="7D4F0510"/>
    <w:rsid w:val="7D803E8C"/>
    <w:rsid w:val="7DA85098"/>
    <w:rsid w:val="7DB514C6"/>
    <w:rsid w:val="7DB70A93"/>
    <w:rsid w:val="7DDB5C86"/>
    <w:rsid w:val="7DE20D2D"/>
    <w:rsid w:val="7DE340C8"/>
    <w:rsid w:val="7DE77096"/>
    <w:rsid w:val="7DEE545D"/>
    <w:rsid w:val="7DFA631C"/>
    <w:rsid w:val="7E20335F"/>
    <w:rsid w:val="7E321B56"/>
    <w:rsid w:val="7E380FED"/>
    <w:rsid w:val="7E3E7829"/>
    <w:rsid w:val="7E4F79AF"/>
    <w:rsid w:val="7E675045"/>
    <w:rsid w:val="7E684851"/>
    <w:rsid w:val="7E7B41D7"/>
    <w:rsid w:val="7E8C2EDF"/>
    <w:rsid w:val="7EAC4136"/>
    <w:rsid w:val="7EB11157"/>
    <w:rsid w:val="7EB53FFA"/>
    <w:rsid w:val="7EBE6507"/>
    <w:rsid w:val="7ECB2E11"/>
    <w:rsid w:val="7ECD1A2A"/>
    <w:rsid w:val="7ECE366D"/>
    <w:rsid w:val="7ED97EFB"/>
    <w:rsid w:val="7EDF2745"/>
    <w:rsid w:val="7EE15BB1"/>
    <w:rsid w:val="7EF33C03"/>
    <w:rsid w:val="7EF65A47"/>
    <w:rsid w:val="7EF9195B"/>
    <w:rsid w:val="7F137B09"/>
    <w:rsid w:val="7F201338"/>
    <w:rsid w:val="7F2809A6"/>
    <w:rsid w:val="7F2E3E36"/>
    <w:rsid w:val="7F7B0F72"/>
    <w:rsid w:val="7F9D015F"/>
    <w:rsid w:val="7FAE7F5E"/>
    <w:rsid w:val="7FB300BF"/>
    <w:rsid w:val="7FB70AB2"/>
    <w:rsid w:val="7FB7525C"/>
    <w:rsid w:val="7FC7186A"/>
    <w:rsid w:val="7FD94DD9"/>
    <w:rsid w:val="7FEB09EA"/>
    <w:rsid w:val="7FF40B6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qFormat="1" w:uiPriority="99"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92"/>
    <w:qFormat/>
    <w:uiPriority w:val="0"/>
    <w:pPr>
      <w:keepNext/>
      <w:keepLines/>
      <w:spacing w:before="340" w:after="330" w:line="578" w:lineRule="auto"/>
      <w:outlineLvl w:val="0"/>
    </w:pPr>
    <w:rPr>
      <w:rFonts w:ascii="Tahoma" w:hAnsi="Tahoma"/>
      <w:b/>
      <w:bCs/>
      <w:kern w:val="44"/>
      <w:sz w:val="44"/>
      <w:szCs w:val="44"/>
    </w:rPr>
  </w:style>
  <w:style w:type="paragraph" w:styleId="4">
    <w:name w:val="heading 2"/>
    <w:basedOn w:val="1"/>
    <w:next w:val="1"/>
    <w:link w:val="96"/>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spacing w:before="240" w:after="60"/>
      <w:outlineLvl w:val="3"/>
    </w:pPr>
    <w:rPr>
      <w:b/>
      <w:bCs/>
      <w:sz w:val="28"/>
      <w:szCs w:val="28"/>
    </w:rPr>
  </w:style>
  <w:style w:type="paragraph" w:styleId="7">
    <w:name w:val="heading 6"/>
    <w:basedOn w:val="1"/>
    <w:next w:val="1"/>
    <w:link w:val="122"/>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1"/>
    <w:pPr>
      <w:ind w:left="635"/>
      <w:outlineLvl w:val="6"/>
    </w:pPr>
    <w:rPr>
      <w:rFonts w:ascii="宋体" w:hAnsi="宋体" w:cs="宋体"/>
      <w:b/>
      <w:bCs/>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9">
    <w:name w:val="index 8"/>
    <w:basedOn w:val="1"/>
    <w:next w:val="1"/>
    <w:qFormat/>
    <w:uiPriority w:val="0"/>
    <w:pPr>
      <w:ind w:left="2940"/>
    </w:pPr>
  </w:style>
  <w:style w:type="paragraph" w:styleId="10">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1">
    <w:name w:val="Normal Indent"/>
    <w:basedOn w:val="1"/>
    <w:link w:val="104"/>
    <w:qFormat/>
    <w:uiPriority w:val="0"/>
    <w:pPr>
      <w:ind w:firstLine="420"/>
    </w:pPr>
    <w:rPr>
      <w:szCs w:val="20"/>
    </w:rPr>
  </w:style>
  <w:style w:type="paragraph" w:styleId="12">
    <w:name w:val="Document Map"/>
    <w:basedOn w:val="1"/>
    <w:link w:val="115"/>
    <w:qFormat/>
    <w:uiPriority w:val="0"/>
    <w:rPr>
      <w:rFonts w:ascii="宋体" w:hAnsi="Tahoma"/>
      <w:sz w:val="18"/>
      <w:szCs w:val="18"/>
    </w:rPr>
  </w:style>
  <w:style w:type="paragraph" w:styleId="13">
    <w:name w:val="annotation text"/>
    <w:basedOn w:val="1"/>
    <w:link w:val="112"/>
    <w:qFormat/>
    <w:uiPriority w:val="0"/>
    <w:pPr>
      <w:jc w:val="left"/>
    </w:pPr>
  </w:style>
  <w:style w:type="paragraph" w:styleId="14">
    <w:name w:val="Body Text 3"/>
    <w:basedOn w:val="1"/>
    <w:qFormat/>
    <w:uiPriority w:val="0"/>
    <w:pPr>
      <w:spacing w:line="240" w:lineRule="exact"/>
    </w:pPr>
    <w:rPr>
      <w:rFonts w:ascii="宋体" w:hAnsi="宋体"/>
      <w:color w:val="000000"/>
      <w:szCs w:val="21"/>
    </w:rPr>
  </w:style>
  <w:style w:type="paragraph" w:styleId="15">
    <w:name w:val="Body Text"/>
    <w:basedOn w:val="1"/>
    <w:qFormat/>
    <w:uiPriority w:val="0"/>
    <w:pPr>
      <w:spacing w:line="380" w:lineRule="exact"/>
    </w:pPr>
    <w:rPr>
      <w:sz w:val="24"/>
    </w:rPr>
  </w:style>
  <w:style w:type="paragraph" w:styleId="16">
    <w:name w:val="Body Text Indent"/>
    <w:basedOn w:val="1"/>
    <w:link w:val="120"/>
    <w:qFormat/>
    <w:uiPriority w:val="0"/>
    <w:pPr>
      <w:spacing w:after="120"/>
      <w:ind w:left="420" w:leftChars="200"/>
    </w:pPr>
    <w:rPr>
      <w:rFonts w:ascii="Tahoma" w:hAnsi="Tahoma"/>
    </w:rPr>
  </w:style>
  <w:style w:type="paragraph" w:styleId="17">
    <w:name w:val="toc 3"/>
    <w:basedOn w:val="1"/>
    <w:next w:val="1"/>
    <w:qFormat/>
    <w:uiPriority w:val="39"/>
    <w:pPr>
      <w:ind w:left="840" w:leftChars="400"/>
    </w:pPr>
  </w:style>
  <w:style w:type="paragraph" w:styleId="18">
    <w:name w:val="Plain Text"/>
    <w:basedOn w:val="1"/>
    <w:next w:val="1"/>
    <w:link w:val="119"/>
    <w:qFormat/>
    <w:uiPriority w:val="0"/>
    <w:rPr>
      <w:rFonts w:ascii="宋体" w:hAnsi="Courier New"/>
      <w:szCs w:val="20"/>
    </w:rPr>
  </w:style>
  <w:style w:type="paragraph" w:styleId="19">
    <w:name w:val="Date"/>
    <w:basedOn w:val="1"/>
    <w:next w:val="1"/>
    <w:qFormat/>
    <w:uiPriority w:val="0"/>
    <w:pPr>
      <w:ind w:left="100" w:leftChars="2500"/>
    </w:pPr>
  </w:style>
  <w:style w:type="paragraph" w:styleId="20">
    <w:name w:val="Balloon Text"/>
    <w:basedOn w:val="1"/>
    <w:semiHidden/>
    <w:qFormat/>
    <w:uiPriority w:val="0"/>
    <w:rPr>
      <w:sz w:val="18"/>
      <w:szCs w:val="18"/>
    </w:rPr>
  </w:style>
  <w:style w:type="paragraph" w:styleId="21">
    <w:name w:val="footer"/>
    <w:basedOn w:val="1"/>
    <w:link w:val="110"/>
    <w:qFormat/>
    <w:uiPriority w:val="99"/>
    <w:pPr>
      <w:tabs>
        <w:tab w:val="center" w:pos="4153"/>
        <w:tab w:val="right" w:pos="8306"/>
      </w:tabs>
      <w:snapToGrid w:val="0"/>
      <w:jc w:val="left"/>
    </w:pPr>
    <w:rPr>
      <w:rFonts w:ascii="Tahoma" w:hAnsi="Tahoma"/>
      <w:sz w:val="18"/>
      <w:szCs w:val="18"/>
    </w:rPr>
  </w:style>
  <w:style w:type="paragraph" w:styleId="22">
    <w:name w:val="header"/>
    <w:basedOn w:val="1"/>
    <w:link w:val="97"/>
    <w:qFormat/>
    <w:uiPriority w:val="99"/>
    <w:pPr>
      <w:pBdr>
        <w:bottom w:val="single" w:color="auto" w:sz="6" w:space="1"/>
      </w:pBdr>
      <w:tabs>
        <w:tab w:val="center" w:pos="4153"/>
        <w:tab w:val="right" w:pos="8306"/>
      </w:tabs>
      <w:snapToGrid w:val="0"/>
      <w:jc w:val="center"/>
    </w:pPr>
    <w:rPr>
      <w:rFonts w:ascii="Tahoma" w:hAnsi="Tahoma"/>
      <w:sz w:val="18"/>
      <w:szCs w:val="18"/>
    </w:rPr>
  </w:style>
  <w:style w:type="paragraph" w:styleId="23">
    <w:name w:val="toc 1"/>
    <w:basedOn w:val="1"/>
    <w:next w:val="1"/>
    <w:qFormat/>
    <w:uiPriority w:val="39"/>
  </w:style>
  <w:style w:type="paragraph" w:styleId="24">
    <w:name w:val="footnote text"/>
    <w:basedOn w:val="1"/>
    <w:link w:val="124"/>
    <w:qFormat/>
    <w:uiPriority w:val="0"/>
    <w:pPr>
      <w:snapToGrid w:val="0"/>
      <w:jc w:val="left"/>
    </w:pPr>
    <w:rPr>
      <w:sz w:val="18"/>
      <w:szCs w:val="18"/>
    </w:rPr>
  </w:style>
  <w:style w:type="paragraph" w:styleId="25">
    <w:name w:val="toc 2"/>
    <w:basedOn w:val="1"/>
    <w:next w:val="1"/>
    <w:qFormat/>
    <w:uiPriority w:val="39"/>
    <w:pPr>
      <w:ind w:left="420" w:leftChars="200"/>
    </w:pPr>
  </w:style>
  <w:style w:type="paragraph" w:styleId="26">
    <w:name w:val="toc 9"/>
    <w:basedOn w:val="1"/>
    <w:next w:val="1"/>
    <w:qFormat/>
    <w:uiPriority w:val="39"/>
    <w:pPr>
      <w:ind w:left="1680"/>
      <w:jc w:val="left"/>
    </w:pPr>
    <w:rPr>
      <w:sz w:val="18"/>
      <w:szCs w:val="18"/>
    </w:rPr>
  </w:style>
  <w:style w:type="paragraph" w:styleId="27">
    <w:name w:val="List 4"/>
    <w:basedOn w:val="1"/>
    <w:unhideWhenUsed/>
    <w:qFormat/>
    <w:uiPriority w:val="99"/>
    <w:pPr>
      <w:ind w:left="100" w:leftChars="600" w:hanging="200" w:hangingChars="200"/>
      <w:contextualSpacing/>
    </w:pPr>
  </w:style>
  <w:style w:type="paragraph" w:styleId="2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9">
    <w:name w:val="annotation subject"/>
    <w:basedOn w:val="13"/>
    <w:next w:val="13"/>
    <w:semiHidden/>
    <w:qFormat/>
    <w:uiPriority w:val="0"/>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0"/>
    <w:rPr>
      <w:rFonts w:ascii="Tahoma" w:hAnsi="Tahoma"/>
      <w:b/>
      <w:bCs/>
      <w:sz w:val="24"/>
      <w:szCs w:val="20"/>
    </w:rPr>
  </w:style>
  <w:style w:type="character" w:styleId="34">
    <w:name w:val="page number"/>
    <w:basedOn w:val="32"/>
    <w:qFormat/>
    <w:uiPriority w:val="0"/>
  </w:style>
  <w:style w:type="character" w:styleId="35">
    <w:name w:val="FollowedHyperlink"/>
    <w:unhideWhenUsed/>
    <w:qFormat/>
    <w:uiPriority w:val="99"/>
    <w:rPr>
      <w:color w:val="954F72"/>
      <w:u w:val="single"/>
    </w:rPr>
  </w:style>
  <w:style w:type="character" w:styleId="36">
    <w:name w:val="Emphasis"/>
    <w:qFormat/>
    <w:uiPriority w:val="0"/>
  </w:style>
  <w:style w:type="character" w:styleId="37">
    <w:name w:val="HTML Definition"/>
    <w:qFormat/>
    <w:uiPriority w:val="0"/>
  </w:style>
  <w:style w:type="character" w:styleId="38">
    <w:name w:val="HTML Typewriter"/>
    <w:qFormat/>
    <w:uiPriority w:val="0"/>
    <w:rPr>
      <w:rFonts w:hint="default" w:ascii="monospace" w:hAnsi="monospace" w:eastAsia="monospace" w:cs="monospace"/>
      <w:sz w:val="20"/>
    </w:rPr>
  </w:style>
  <w:style w:type="character" w:styleId="39">
    <w:name w:val="HTML Acronym"/>
    <w:basedOn w:val="32"/>
    <w:qFormat/>
    <w:uiPriority w:val="0"/>
  </w:style>
  <w:style w:type="character" w:styleId="40">
    <w:name w:val="HTML Variable"/>
    <w:qFormat/>
    <w:uiPriority w:val="0"/>
    <w:rPr>
      <w:rFonts w:ascii="Tahoma" w:hAnsi="Tahoma"/>
      <w:sz w:val="24"/>
      <w:szCs w:val="20"/>
    </w:rPr>
  </w:style>
  <w:style w:type="character" w:styleId="41">
    <w:name w:val="Hyperlink"/>
    <w:qFormat/>
    <w:uiPriority w:val="99"/>
    <w:rPr>
      <w:rFonts w:ascii="Tahoma" w:hAnsi="Tahoma"/>
      <w:color w:val="0000FF"/>
      <w:sz w:val="24"/>
      <w:szCs w:val="20"/>
      <w:u w:val="single"/>
    </w:rPr>
  </w:style>
  <w:style w:type="character" w:styleId="42">
    <w:name w:val="HTML Code"/>
    <w:qFormat/>
    <w:uiPriority w:val="0"/>
    <w:rPr>
      <w:rFonts w:ascii="monospace" w:hAnsi="monospace" w:eastAsia="monospace" w:cs="monospace"/>
      <w:sz w:val="20"/>
    </w:rPr>
  </w:style>
  <w:style w:type="character" w:styleId="43">
    <w:name w:val="annotation reference"/>
    <w:semiHidden/>
    <w:qFormat/>
    <w:uiPriority w:val="0"/>
    <w:rPr>
      <w:rFonts w:ascii="Tahoma" w:hAnsi="Tahoma"/>
      <w:sz w:val="21"/>
      <w:szCs w:val="21"/>
    </w:rPr>
  </w:style>
  <w:style w:type="character" w:styleId="44">
    <w:name w:val="HTML Cite"/>
    <w:qFormat/>
    <w:uiPriority w:val="0"/>
  </w:style>
  <w:style w:type="character" w:styleId="45">
    <w:name w:val="footnote reference"/>
    <w:basedOn w:val="32"/>
    <w:qFormat/>
    <w:uiPriority w:val="0"/>
    <w:rPr>
      <w:vertAlign w:val="superscript"/>
    </w:rPr>
  </w:style>
  <w:style w:type="character" w:styleId="46">
    <w:name w:val="HTML Keyboard"/>
    <w:qFormat/>
    <w:uiPriority w:val="0"/>
    <w:rPr>
      <w:rFonts w:hint="default" w:ascii="monospace" w:hAnsi="monospace" w:eastAsia="monospace" w:cs="monospace"/>
      <w:sz w:val="20"/>
    </w:rPr>
  </w:style>
  <w:style w:type="character" w:styleId="47">
    <w:name w:val="HTML Sample"/>
    <w:qFormat/>
    <w:uiPriority w:val="0"/>
    <w:rPr>
      <w:rFonts w:hint="default" w:ascii="monospace" w:hAnsi="monospace" w:eastAsia="monospace" w:cs="monospace"/>
    </w:rPr>
  </w:style>
  <w:style w:type="paragraph" w:customStyle="1" w:styleId="4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49">
    <w:name w:val="p0"/>
    <w:basedOn w:val="1"/>
    <w:qFormat/>
    <w:uiPriority w:val="0"/>
    <w:pPr>
      <w:widowControl/>
    </w:pPr>
    <w:rPr>
      <w:kern w:val="0"/>
      <w:szCs w:val="20"/>
    </w:rPr>
  </w:style>
  <w:style w:type="paragraph" w:customStyle="1" w:styleId="50">
    <w:name w:val="xl8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51">
    <w:name w:val="样式1"/>
    <w:basedOn w:val="1"/>
    <w:qFormat/>
    <w:uiPriority w:val="0"/>
    <w:pPr>
      <w:widowControl/>
      <w:jc w:val="left"/>
    </w:pPr>
    <w:rPr>
      <w:rFonts w:ascii="宋体" w:hAnsi="宋体"/>
      <w:kern w:val="0"/>
      <w:szCs w:val="21"/>
    </w:rPr>
  </w:style>
  <w:style w:type="paragraph" w:customStyle="1" w:styleId="52">
    <w:name w:val="普通(网站)1"/>
    <w:basedOn w:val="1"/>
    <w:qFormat/>
    <w:uiPriority w:val="0"/>
    <w:pPr>
      <w:jc w:val="left"/>
    </w:pPr>
    <w:rPr>
      <w:kern w:val="0"/>
      <w:sz w:val="24"/>
    </w:rPr>
  </w:style>
  <w:style w:type="paragraph" w:customStyle="1" w:styleId="53">
    <w:name w:val="1"/>
    <w:basedOn w:val="1"/>
    <w:next w:val="18"/>
    <w:qFormat/>
    <w:uiPriority w:val="0"/>
    <w:rPr>
      <w:rFonts w:ascii="宋体" w:hAnsi="Courier New"/>
      <w:szCs w:val="20"/>
    </w:rPr>
  </w:style>
  <w:style w:type="paragraph" w:customStyle="1" w:styleId="54">
    <w:name w:val="xl85"/>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55">
    <w:name w:val="CM14"/>
    <w:basedOn w:val="2"/>
    <w:next w:val="2"/>
    <w:qFormat/>
    <w:uiPriority w:val="0"/>
    <w:pPr>
      <w:spacing w:line="468" w:lineRule="atLeast"/>
    </w:pPr>
    <w:rPr>
      <w:rFonts w:ascii="Sim Sun" w:eastAsia="Sim Sun" w:cs="Times New Roman"/>
      <w:color w:val="auto"/>
    </w:rPr>
  </w:style>
  <w:style w:type="paragraph" w:customStyle="1" w:styleId="56">
    <w:name w:val="CM15"/>
    <w:basedOn w:val="2"/>
    <w:next w:val="2"/>
    <w:qFormat/>
    <w:uiPriority w:val="0"/>
    <w:pPr>
      <w:spacing w:line="468" w:lineRule="atLeast"/>
    </w:pPr>
    <w:rPr>
      <w:rFonts w:ascii="Sim Sun" w:eastAsia="Sim Sun" w:cs="Times New Roman"/>
      <w:color w:val="auto"/>
    </w:rPr>
  </w:style>
  <w:style w:type="paragraph" w:customStyle="1" w:styleId="57">
    <w:name w:val="xl89"/>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58">
    <w:name w:val="font6"/>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59">
    <w:name w:val="xl8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60">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61">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62">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63">
    <w:name w:val="正文_0_0"/>
    <w:qFormat/>
    <w:uiPriority w:val="0"/>
    <w:pPr>
      <w:widowControl w:val="0"/>
      <w:spacing w:line="360" w:lineRule="auto"/>
      <w:ind w:firstLine="480" w:firstLineChars="200"/>
      <w:jc w:val="both"/>
    </w:pPr>
    <w:rPr>
      <w:rFonts w:ascii="宋体" w:hAnsi="宋体" w:eastAsia="宋体" w:cs="Times New Roman"/>
      <w:color w:val="000000"/>
      <w:kern w:val="2"/>
      <w:sz w:val="24"/>
      <w:szCs w:val="24"/>
      <w:lang w:val="en-US" w:eastAsia="zh-CN" w:bidi="ar-SA"/>
    </w:rPr>
  </w:style>
  <w:style w:type="paragraph" w:customStyle="1" w:styleId="64">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65">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66">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67">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68">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69">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styleId="70">
    <w:name w:val="List Paragraph"/>
    <w:basedOn w:val="1"/>
    <w:link w:val="114"/>
    <w:qFormat/>
    <w:uiPriority w:val="0"/>
    <w:pPr>
      <w:ind w:firstLine="420" w:firstLineChars="200"/>
    </w:pPr>
  </w:style>
  <w:style w:type="paragraph" w:customStyle="1" w:styleId="71">
    <w:name w:val="Table Paragraph"/>
    <w:basedOn w:val="1"/>
    <w:qFormat/>
    <w:uiPriority w:val="1"/>
  </w:style>
  <w:style w:type="paragraph" w:customStyle="1" w:styleId="72">
    <w:name w:val="正文格式"/>
    <w:basedOn w:val="1"/>
    <w:qFormat/>
    <w:uiPriority w:val="0"/>
    <w:pPr>
      <w:widowControl/>
      <w:adjustRightInd w:val="0"/>
      <w:snapToGrid w:val="0"/>
      <w:spacing w:line="400" w:lineRule="atLeast"/>
      <w:ind w:firstLine="482"/>
      <w:textAlignment w:val="baseline"/>
    </w:pPr>
    <w:rPr>
      <w:kern w:val="0"/>
      <w:sz w:val="24"/>
    </w:rPr>
  </w:style>
  <w:style w:type="paragraph" w:customStyle="1" w:styleId="73">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74">
    <w:name w:val="xl78"/>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75">
    <w:name w:val="正文_0"/>
    <w:qFormat/>
    <w:uiPriority w:val="0"/>
    <w:pPr>
      <w:widowControl w:val="0"/>
      <w:tabs>
        <w:tab w:val="left" w:pos="480"/>
      </w:tabs>
      <w:spacing w:line="360" w:lineRule="auto"/>
      <w:jc w:val="both"/>
    </w:pPr>
    <w:rPr>
      <w:rFonts w:ascii="Times New Roman" w:hAnsi="Times New Roman" w:eastAsia="宋体" w:cs="Times New Roman"/>
      <w:kern w:val="2"/>
      <w:sz w:val="24"/>
      <w:szCs w:val="22"/>
      <w:lang w:val="en-US" w:eastAsia="zh-CN" w:bidi="ar-SA"/>
    </w:rPr>
  </w:style>
  <w:style w:type="paragraph" w:customStyle="1" w:styleId="76">
    <w:name w:val="TOC 标题1"/>
    <w:basedOn w:val="3"/>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77">
    <w:name w:val="Char Char8"/>
    <w:basedOn w:val="1"/>
    <w:qFormat/>
    <w:uiPriority w:val="0"/>
    <w:rPr>
      <w:rFonts w:ascii="Tahoma" w:hAnsi="Tahoma" w:eastAsia="Times New Roman"/>
      <w:kern w:val="0"/>
      <w:sz w:val="24"/>
      <w:szCs w:val="20"/>
    </w:rPr>
  </w:style>
  <w:style w:type="paragraph" w:customStyle="1" w:styleId="78">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79">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列出段落1"/>
    <w:basedOn w:val="1"/>
    <w:qFormat/>
    <w:uiPriority w:val="0"/>
    <w:pPr>
      <w:ind w:firstLine="420" w:firstLineChars="200"/>
    </w:pPr>
    <w:rPr>
      <w:rFonts w:ascii="仿宋_GB2312" w:eastAsia="仿宋_GB2312"/>
      <w:sz w:val="32"/>
    </w:rPr>
  </w:style>
  <w:style w:type="paragraph" w:customStyle="1" w:styleId="81">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82">
    <w:name w:val="_Style 36"/>
    <w:basedOn w:val="1"/>
    <w:qFormat/>
    <w:uiPriority w:val="0"/>
    <w:rPr>
      <w:rFonts w:ascii="Tahoma" w:hAnsi="Tahoma"/>
      <w:sz w:val="24"/>
      <w:szCs w:val="20"/>
    </w:rPr>
  </w:style>
  <w:style w:type="paragraph" w:customStyle="1" w:styleId="83">
    <w:name w:val="Char Char2 Char Char"/>
    <w:basedOn w:val="1"/>
    <w:qFormat/>
    <w:uiPriority w:val="0"/>
    <w:rPr>
      <w:rFonts w:ascii="Tahoma" w:hAnsi="Tahoma"/>
      <w:sz w:val="24"/>
      <w:szCs w:val="20"/>
    </w:rPr>
  </w:style>
  <w:style w:type="paragraph" w:customStyle="1" w:styleId="84">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85">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86">
    <w:name w:val="p17"/>
    <w:basedOn w:val="1"/>
    <w:qFormat/>
    <w:uiPriority w:val="0"/>
    <w:pPr>
      <w:widowControl/>
    </w:pPr>
    <w:rPr>
      <w:rFonts w:ascii="宋体" w:hAnsi="宋体" w:cs="宋体"/>
      <w:kern w:val="0"/>
      <w:szCs w:val="21"/>
    </w:rPr>
  </w:style>
  <w:style w:type="paragraph" w:customStyle="1" w:styleId="87">
    <w:name w:val="xl88"/>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88">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9">
    <w:name w:val="xl72"/>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90">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91">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character" w:customStyle="1" w:styleId="92">
    <w:name w:val="标题 1 Char"/>
    <w:link w:val="3"/>
    <w:qFormat/>
    <w:uiPriority w:val="0"/>
    <w:rPr>
      <w:rFonts w:ascii="Tahoma" w:hAnsi="Tahoma"/>
      <w:b/>
      <w:bCs/>
      <w:kern w:val="44"/>
      <w:sz w:val="44"/>
      <w:szCs w:val="44"/>
    </w:rPr>
  </w:style>
  <w:style w:type="character" w:customStyle="1" w:styleId="93">
    <w:name w:val="main12"/>
    <w:qFormat/>
    <w:uiPriority w:val="0"/>
    <w:rPr>
      <w:rFonts w:ascii="Arial" w:hAnsi="Arial" w:cs="Arial"/>
      <w:color w:val="000000"/>
      <w:sz w:val="18"/>
      <w:szCs w:val="18"/>
    </w:rPr>
  </w:style>
  <w:style w:type="character" w:customStyle="1" w:styleId="94">
    <w:name w:val="纯文本 字符"/>
    <w:qFormat/>
    <w:uiPriority w:val="0"/>
    <w:rPr>
      <w:rFonts w:ascii="宋体" w:hAnsi="Courier New" w:eastAsia="宋体" w:cs="Courier New"/>
      <w:szCs w:val="21"/>
    </w:rPr>
  </w:style>
  <w:style w:type="character" w:customStyle="1" w:styleId="95">
    <w:name w:val="纯文本 字符2"/>
    <w:qFormat/>
    <w:uiPriority w:val="0"/>
    <w:rPr>
      <w:rFonts w:ascii="宋体" w:hAnsi="Courier New" w:eastAsia="宋体"/>
      <w:kern w:val="2"/>
      <w:sz w:val="21"/>
      <w:lang w:val="en-US" w:eastAsia="zh-CN" w:bidi="ar-SA"/>
    </w:rPr>
  </w:style>
  <w:style w:type="character" w:customStyle="1" w:styleId="96">
    <w:name w:val="标题 2 Char"/>
    <w:link w:val="4"/>
    <w:semiHidden/>
    <w:qFormat/>
    <w:uiPriority w:val="0"/>
    <w:rPr>
      <w:rFonts w:ascii="Cambria" w:hAnsi="Cambria" w:eastAsia="宋体" w:cs="Times New Roman"/>
      <w:b/>
      <w:bCs/>
      <w:kern w:val="2"/>
      <w:sz w:val="32"/>
      <w:szCs w:val="32"/>
    </w:rPr>
  </w:style>
  <w:style w:type="character" w:customStyle="1" w:styleId="97">
    <w:name w:val="页眉 Char"/>
    <w:link w:val="22"/>
    <w:qFormat/>
    <w:uiPriority w:val="99"/>
    <w:rPr>
      <w:rFonts w:ascii="Tahoma" w:hAnsi="Tahoma"/>
      <w:kern w:val="2"/>
      <w:sz w:val="18"/>
      <w:szCs w:val="18"/>
    </w:rPr>
  </w:style>
  <w:style w:type="character" w:customStyle="1" w:styleId="98">
    <w:name w:val="Char Char10"/>
    <w:qFormat/>
    <w:locked/>
    <w:uiPriority w:val="0"/>
    <w:rPr>
      <w:rFonts w:ascii="宋体" w:hAnsi="宋体" w:eastAsia="宋体"/>
      <w:kern w:val="2"/>
      <w:sz w:val="21"/>
      <w:szCs w:val="24"/>
      <w:lang w:val="en-US" w:eastAsia="zh-CN" w:bidi="ar-SA"/>
    </w:rPr>
  </w:style>
  <w:style w:type="character" w:customStyle="1" w:styleId="99">
    <w:name w:val="cfdate"/>
    <w:qFormat/>
    <w:uiPriority w:val="0"/>
    <w:rPr>
      <w:color w:val="333333"/>
      <w:sz w:val="18"/>
      <w:szCs w:val="18"/>
    </w:rPr>
  </w:style>
  <w:style w:type="character" w:customStyle="1" w:styleId="100">
    <w:name w:val="纯文本 字符1"/>
    <w:qFormat/>
    <w:uiPriority w:val="0"/>
    <w:rPr>
      <w:rFonts w:ascii="Ђˎ̥" w:hAnsi="Verdana" w:eastAsia="Ђˎ̥" w:cs="Verdana"/>
      <w:szCs w:val="21"/>
    </w:rPr>
  </w:style>
  <w:style w:type="character" w:customStyle="1" w:styleId="101">
    <w:name w:val="gjfg"/>
    <w:basedOn w:val="32"/>
    <w:qFormat/>
    <w:uiPriority w:val="0"/>
  </w:style>
  <w:style w:type="character" w:customStyle="1" w:styleId="102">
    <w:name w:val="正文文本缩进 Char"/>
    <w:qFormat/>
    <w:uiPriority w:val="0"/>
    <w:rPr>
      <w:rFonts w:ascii="Times New Roman" w:hAnsi="Times New Roman" w:eastAsia="宋体" w:cs="Times New Roman"/>
      <w:kern w:val="2"/>
      <w:sz w:val="21"/>
      <w:szCs w:val="24"/>
    </w:rPr>
  </w:style>
  <w:style w:type="character" w:customStyle="1" w:styleId="103">
    <w:name w:val="未处理的提及1"/>
    <w:unhideWhenUsed/>
    <w:qFormat/>
    <w:uiPriority w:val="99"/>
    <w:rPr>
      <w:rFonts w:ascii="Tahoma" w:hAnsi="Tahoma"/>
      <w:color w:val="808080"/>
      <w:sz w:val="24"/>
      <w:szCs w:val="20"/>
      <w:shd w:val="clear" w:color="auto" w:fill="E6E6E6"/>
    </w:rPr>
  </w:style>
  <w:style w:type="character" w:customStyle="1" w:styleId="104">
    <w:name w:val="正文缩进 Char"/>
    <w:link w:val="11"/>
    <w:qFormat/>
    <w:locked/>
    <w:uiPriority w:val="0"/>
    <w:rPr>
      <w:rFonts w:eastAsia="宋体"/>
      <w:kern w:val="2"/>
      <w:sz w:val="21"/>
      <w:lang w:val="en-US" w:eastAsia="zh-CN" w:bidi="ar-SA"/>
    </w:rPr>
  </w:style>
  <w:style w:type="character" w:customStyle="1" w:styleId="105">
    <w:name w:val="页脚 字符"/>
    <w:qFormat/>
    <w:uiPriority w:val="99"/>
  </w:style>
  <w:style w:type="character" w:customStyle="1" w:styleId="106">
    <w:name w:val="Char Char1"/>
    <w:qFormat/>
    <w:uiPriority w:val="0"/>
    <w:rPr>
      <w:rFonts w:eastAsia="宋体"/>
      <w:kern w:val="2"/>
      <w:sz w:val="21"/>
      <w:szCs w:val="24"/>
      <w:lang w:val="en-US" w:eastAsia="zh-CN" w:bidi="ar-SA"/>
    </w:rPr>
  </w:style>
  <w:style w:type="character" w:customStyle="1" w:styleId="107">
    <w:name w:val="qxdate"/>
    <w:qFormat/>
    <w:uiPriority w:val="0"/>
    <w:rPr>
      <w:color w:val="333333"/>
      <w:sz w:val="18"/>
      <w:szCs w:val="18"/>
    </w:rPr>
  </w:style>
  <w:style w:type="character" w:customStyle="1" w:styleId="108">
    <w:name w:val="fontstyle01"/>
    <w:qFormat/>
    <w:uiPriority w:val="0"/>
    <w:rPr>
      <w:rFonts w:hint="eastAsia" w:ascii="宋体" w:hAnsi="宋体" w:eastAsia="宋体"/>
      <w:color w:val="000000"/>
      <w:sz w:val="22"/>
      <w:szCs w:val="22"/>
    </w:rPr>
  </w:style>
  <w:style w:type="character" w:customStyle="1" w:styleId="109">
    <w:name w:val="redfilenumber"/>
    <w:qFormat/>
    <w:uiPriority w:val="0"/>
    <w:rPr>
      <w:color w:val="BA2636"/>
      <w:sz w:val="18"/>
      <w:szCs w:val="18"/>
    </w:rPr>
  </w:style>
  <w:style w:type="character" w:customStyle="1" w:styleId="110">
    <w:name w:val="页脚 Char"/>
    <w:link w:val="21"/>
    <w:qFormat/>
    <w:uiPriority w:val="99"/>
    <w:rPr>
      <w:rFonts w:ascii="Tahoma" w:hAnsi="Tahoma"/>
      <w:kern w:val="2"/>
      <w:sz w:val="18"/>
      <w:szCs w:val="18"/>
    </w:rPr>
  </w:style>
  <w:style w:type="character" w:customStyle="1" w:styleId="111">
    <w:name w:val="纯文本 Char"/>
    <w:qFormat/>
    <w:uiPriority w:val="0"/>
    <w:rPr>
      <w:rFonts w:ascii="宋体" w:hAnsi="Courier New" w:eastAsia="宋体"/>
    </w:rPr>
  </w:style>
  <w:style w:type="character" w:customStyle="1" w:styleId="112">
    <w:name w:val="批注文字 Char"/>
    <w:link w:val="13"/>
    <w:qFormat/>
    <w:uiPriority w:val="0"/>
    <w:rPr>
      <w:rFonts w:eastAsia="宋体"/>
      <w:kern w:val="2"/>
      <w:sz w:val="21"/>
      <w:szCs w:val="24"/>
      <w:lang w:val="en-US" w:eastAsia="zh-CN" w:bidi="ar-SA"/>
    </w:rPr>
  </w:style>
  <w:style w:type="character" w:customStyle="1" w:styleId="113">
    <w:name w:val="displayarti"/>
    <w:qFormat/>
    <w:uiPriority w:val="0"/>
    <w:rPr>
      <w:color w:val="FFFFFF"/>
      <w:shd w:val="clear" w:color="auto" w:fill="A00000"/>
    </w:rPr>
  </w:style>
  <w:style w:type="character" w:customStyle="1" w:styleId="114">
    <w:name w:val="列出段落 Char1"/>
    <w:link w:val="70"/>
    <w:qFormat/>
    <w:locked/>
    <w:uiPriority w:val="0"/>
    <w:rPr>
      <w:kern w:val="2"/>
      <w:sz w:val="21"/>
      <w:szCs w:val="24"/>
    </w:rPr>
  </w:style>
  <w:style w:type="character" w:customStyle="1" w:styleId="115">
    <w:name w:val="文档结构图 Char"/>
    <w:link w:val="12"/>
    <w:qFormat/>
    <w:uiPriority w:val="0"/>
    <w:rPr>
      <w:rFonts w:ascii="宋体" w:hAnsi="Tahoma"/>
      <w:kern w:val="2"/>
      <w:sz w:val="18"/>
      <w:szCs w:val="18"/>
    </w:rPr>
  </w:style>
  <w:style w:type="character" w:customStyle="1" w:styleId="116">
    <w:name w:val="正文缩进 Char1"/>
    <w:qFormat/>
    <w:locked/>
    <w:uiPriority w:val="0"/>
    <w:rPr>
      <w:rFonts w:eastAsia="宋体"/>
      <w:kern w:val="2"/>
      <w:sz w:val="21"/>
      <w:lang w:val="en-US" w:eastAsia="zh-CN" w:bidi="ar-SA"/>
    </w:rPr>
  </w:style>
  <w:style w:type="character" w:customStyle="1" w:styleId="117">
    <w:name w:val="普通文字 Char Char5"/>
    <w:qFormat/>
    <w:uiPriority w:val="0"/>
    <w:rPr>
      <w:rFonts w:ascii="宋体" w:hAnsi="Courier New" w:eastAsia="宋体"/>
      <w:szCs w:val="21"/>
      <w:lang w:bidi="ar-SA"/>
    </w:rPr>
  </w:style>
  <w:style w:type="character" w:customStyle="1" w:styleId="118">
    <w:name w:val="redfilefwwh"/>
    <w:qFormat/>
    <w:uiPriority w:val="0"/>
    <w:rPr>
      <w:color w:val="BA2636"/>
      <w:sz w:val="18"/>
      <w:szCs w:val="18"/>
    </w:rPr>
  </w:style>
  <w:style w:type="character" w:customStyle="1" w:styleId="119">
    <w:name w:val="纯文本 Char1"/>
    <w:link w:val="18"/>
    <w:qFormat/>
    <w:uiPriority w:val="0"/>
    <w:rPr>
      <w:rFonts w:ascii="宋体" w:hAnsi="Courier New" w:eastAsia="宋体"/>
      <w:kern w:val="2"/>
      <w:sz w:val="21"/>
      <w:szCs w:val="20"/>
      <w:lang w:val="en-US" w:eastAsia="zh-CN" w:bidi="ar-SA"/>
    </w:rPr>
  </w:style>
  <w:style w:type="character" w:customStyle="1" w:styleId="120">
    <w:name w:val="正文文本缩进 Char1"/>
    <w:link w:val="16"/>
    <w:qFormat/>
    <w:uiPriority w:val="0"/>
    <w:rPr>
      <w:rFonts w:ascii="Tahoma" w:hAnsi="Tahoma"/>
      <w:kern w:val="2"/>
      <w:sz w:val="21"/>
      <w:szCs w:val="24"/>
    </w:rPr>
  </w:style>
  <w:style w:type="character" w:customStyle="1" w:styleId="121">
    <w:name w:val="列出段落 Char"/>
    <w:qFormat/>
    <w:locked/>
    <w:uiPriority w:val="34"/>
    <w:rPr>
      <w:rFonts w:ascii="Times New Roman" w:hAnsi="Times New Roman" w:eastAsia="宋体" w:cs="Times New Roman"/>
      <w:kern w:val="0"/>
      <w:sz w:val="24"/>
      <w:szCs w:val="20"/>
    </w:rPr>
  </w:style>
  <w:style w:type="character" w:customStyle="1" w:styleId="122">
    <w:name w:val="标题 6 Char"/>
    <w:link w:val="7"/>
    <w:qFormat/>
    <w:uiPriority w:val="0"/>
    <w:rPr>
      <w:rFonts w:ascii="Arial" w:hAnsi="Arial" w:eastAsia="黑体"/>
      <w:b/>
      <w:bCs/>
      <w:kern w:val="2"/>
      <w:sz w:val="24"/>
      <w:szCs w:val="24"/>
      <w:lang w:val="en-US" w:eastAsia="zh-CN" w:bidi="ar-SA"/>
    </w:rPr>
  </w:style>
  <w:style w:type="character" w:customStyle="1" w:styleId="123">
    <w:name w:val="apple-converted-space"/>
    <w:basedOn w:val="32"/>
    <w:qFormat/>
    <w:uiPriority w:val="0"/>
  </w:style>
  <w:style w:type="character" w:customStyle="1" w:styleId="124">
    <w:name w:val="脚注文本 Char"/>
    <w:basedOn w:val="32"/>
    <w:link w:val="2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32A998-33E6-4A8D-8158-58479D2C8087}">
  <ds:schemaRefs/>
</ds:datastoreItem>
</file>

<file path=docProps/app.xml><?xml version="1.0" encoding="utf-8"?>
<Properties xmlns="http://schemas.openxmlformats.org/officeDocument/2006/extended-properties" xmlns:vt="http://schemas.openxmlformats.org/officeDocument/2006/docPropsVTypes">
  <Template>Normal.dotm</Template>
  <Company>QBPC</Company>
  <Pages>72</Pages>
  <Words>8214</Words>
  <Characters>46821</Characters>
  <Lines>390</Lines>
  <Paragraphs>109</Paragraphs>
  <TotalTime>0</TotalTime>
  <ScaleCrop>false</ScaleCrop>
  <LinksUpToDate>false</LinksUpToDate>
  <CharactersWithSpaces>54926</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2020-07-01T14:04:00Z</dcterms:created>
  <dc:creator>微软用户</dc:creator>
  <cp:lastModifiedBy>kk</cp:lastModifiedBy>
  <cp:lastPrinted>2020-06-02T06:38:00Z</cp:lastPrinted>
  <dcterms:modified xsi:type="dcterms:W3CDTF">2020-07-03T07:03:15Z</dcterms:modified>
  <dc:title>医疗设备采购</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