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left"/>
        <w:rPr>
          <w:rFonts w:hint="eastAsia" w:ascii="宋体" w:hAnsi="宋体" w:eastAsia="宋体" w:cs="宋体"/>
          <w:b/>
          <w:bCs/>
          <w:color w:val="000000"/>
          <w:spacing w:val="80"/>
          <w:sz w:val="64"/>
        </w:rPr>
      </w:pPr>
    </w:p>
    <w:p>
      <w:pPr>
        <w:pStyle w:val="15"/>
        <w:jc w:val="center"/>
        <w:rPr>
          <w:rFonts w:hint="eastAsia" w:ascii="宋体" w:hAnsi="宋体" w:eastAsia="宋体" w:cs="宋体"/>
          <w:b/>
          <w:bCs/>
          <w:color w:val="auto"/>
          <w:spacing w:val="80"/>
          <w:sz w:val="60"/>
          <w:szCs w:val="60"/>
        </w:rPr>
      </w:pPr>
      <w:bookmarkStart w:id="288" w:name="_GoBack"/>
      <w:r>
        <w:rPr>
          <w:rFonts w:hint="eastAsia" w:ascii="宋体" w:hAnsi="宋体" w:eastAsia="宋体" w:cs="宋体"/>
          <w:b/>
          <w:bCs/>
          <w:color w:val="auto"/>
          <w:spacing w:val="80"/>
          <w:sz w:val="60"/>
          <w:szCs w:val="60"/>
        </w:rPr>
        <w:t>桂林市政府集中采购中心</w:t>
      </w:r>
    </w:p>
    <w:p>
      <w:pPr>
        <w:pStyle w:val="15"/>
        <w:jc w:val="center"/>
        <w:rPr>
          <w:rFonts w:hint="eastAsia" w:ascii="宋体" w:hAnsi="宋体" w:eastAsia="宋体" w:cs="宋体"/>
          <w:b/>
          <w:bCs/>
          <w:color w:val="auto"/>
          <w:spacing w:val="80"/>
          <w:sz w:val="72"/>
        </w:rPr>
      </w:pPr>
    </w:p>
    <w:p>
      <w:pPr>
        <w:pStyle w:val="15"/>
        <w:jc w:val="center"/>
        <w:rPr>
          <w:rFonts w:hint="eastAsia" w:ascii="宋体" w:hAnsi="宋体" w:eastAsia="宋体" w:cs="宋体"/>
          <w:b/>
          <w:bCs/>
          <w:color w:val="auto"/>
          <w:sz w:val="72"/>
        </w:rPr>
      </w:pPr>
    </w:p>
    <w:p>
      <w:pPr>
        <w:pStyle w:val="15"/>
        <w:jc w:val="center"/>
        <w:rPr>
          <w:rFonts w:hint="eastAsia" w:ascii="宋体" w:hAnsi="宋体" w:eastAsia="宋体" w:cs="宋体"/>
          <w:color w:val="auto"/>
        </w:rPr>
      </w:pPr>
    </w:p>
    <w:p>
      <w:pPr>
        <w:spacing w:line="1400" w:lineRule="exact"/>
        <w:jc w:val="center"/>
        <w:rPr>
          <w:rFonts w:hint="eastAsia" w:ascii="宋体" w:hAnsi="宋体" w:eastAsia="宋体" w:cs="宋体"/>
          <w:b/>
          <w:color w:val="auto"/>
          <w:spacing w:val="60"/>
          <w:sz w:val="132"/>
          <w:szCs w:val="132"/>
        </w:rPr>
      </w:pPr>
      <w:r>
        <w:rPr>
          <w:rFonts w:hint="eastAsia" w:ascii="宋体" w:hAnsi="宋体" w:eastAsia="宋体" w:cs="宋体"/>
          <w:b/>
          <w:color w:val="auto"/>
          <w:spacing w:val="60"/>
          <w:sz w:val="132"/>
          <w:szCs w:val="132"/>
        </w:rPr>
        <w:t>招标文件</w:t>
      </w:r>
    </w:p>
    <w:p>
      <w:pPr>
        <w:pStyle w:val="15"/>
        <w:rPr>
          <w:rFonts w:hint="eastAsia" w:ascii="宋体" w:hAnsi="宋体" w:eastAsia="宋体" w:cs="宋体"/>
          <w:color w:val="auto"/>
        </w:rPr>
      </w:pPr>
    </w:p>
    <w:p>
      <w:pPr>
        <w:pStyle w:val="15"/>
        <w:ind w:firstLine="3885" w:firstLineChars="1850"/>
        <w:rPr>
          <w:rFonts w:hint="eastAsia" w:ascii="宋体" w:hAnsi="宋体" w:eastAsia="宋体" w:cs="宋体"/>
          <w:color w:val="auto"/>
        </w:rPr>
      </w:pPr>
    </w:p>
    <w:p>
      <w:pPr>
        <w:pStyle w:val="15"/>
        <w:rPr>
          <w:rFonts w:hint="eastAsia" w:ascii="宋体" w:hAnsi="宋体" w:eastAsia="宋体" w:cs="宋体"/>
          <w:color w:val="auto"/>
        </w:rPr>
      </w:pPr>
    </w:p>
    <w:p>
      <w:pPr>
        <w:pStyle w:val="15"/>
        <w:rPr>
          <w:rFonts w:hint="eastAsia" w:ascii="宋体" w:hAnsi="宋体" w:eastAsia="宋体" w:cs="宋体"/>
          <w:color w:val="auto"/>
        </w:rPr>
      </w:pPr>
    </w:p>
    <w:p>
      <w:pPr>
        <w:pStyle w:val="15"/>
        <w:rPr>
          <w:rFonts w:hint="eastAsia" w:ascii="宋体" w:hAnsi="宋体" w:eastAsia="宋体" w:cs="宋体"/>
          <w:color w:val="auto"/>
        </w:rPr>
      </w:pPr>
    </w:p>
    <w:p>
      <w:pPr>
        <w:ind w:left="3602" w:leftChars="760" w:hanging="2006" w:hangingChars="500"/>
        <w:rPr>
          <w:rFonts w:hint="eastAsia" w:ascii="宋体" w:hAnsi="宋体" w:eastAsia="宋体" w:cs="宋体"/>
          <w:b/>
          <w:bCs/>
          <w:color w:val="auto"/>
          <w:spacing w:val="-36"/>
          <w:sz w:val="32"/>
        </w:rPr>
      </w:pPr>
      <w:r>
        <w:rPr>
          <w:rFonts w:hint="eastAsia" w:ascii="宋体" w:hAnsi="宋体" w:eastAsia="宋体" w:cs="宋体"/>
          <w:b/>
          <w:bCs/>
          <w:color w:val="auto"/>
          <w:spacing w:val="40"/>
          <w:sz w:val="32"/>
        </w:rPr>
        <w:t>项目名称：</w:t>
      </w:r>
      <w:r>
        <w:rPr>
          <w:rFonts w:hint="eastAsia" w:ascii="宋体" w:hAnsi="宋体" w:cs="宋体"/>
          <w:b/>
          <w:bCs/>
          <w:color w:val="auto"/>
          <w:spacing w:val="40"/>
          <w:sz w:val="32"/>
          <w:szCs w:val="32"/>
          <w:lang w:val="en-US" w:eastAsia="zh-CN"/>
        </w:rPr>
        <w:t>花江校区新建F栋学生宿舍组团家具采购</w:t>
      </w:r>
      <w:r>
        <w:rPr>
          <w:rFonts w:hint="eastAsia" w:ascii="宋体" w:hAnsi="宋体" w:eastAsia="宋体" w:cs="宋体"/>
          <w:b/>
          <w:color w:val="auto"/>
          <w:szCs w:val="21"/>
        </w:rPr>
        <w:t xml:space="preserve"> </w:t>
      </w:r>
    </w:p>
    <w:p>
      <w:pPr>
        <w:ind w:left="-2" w:leftChars="-1" w:firstLine="1605" w:firstLineChars="400"/>
        <w:rPr>
          <w:rFonts w:hint="eastAsia" w:ascii="宋体" w:hAnsi="宋体" w:eastAsia="宋体" w:cs="宋体"/>
          <w:b/>
          <w:bCs/>
          <w:color w:val="auto"/>
          <w:sz w:val="32"/>
        </w:rPr>
      </w:pPr>
      <w:r>
        <w:rPr>
          <w:rFonts w:hint="eastAsia" w:ascii="宋体" w:hAnsi="宋体" w:eastAsia="宋体" w:cs="宋体"/>
          <w:b/>
          <w:bCs/>
          <w:color w:val="auto"/>
          <w:spacing w:val="40"/>
          <w:sz w:val="32"/>
        </w:rPr>
        <w:t>项目编号：</w:t>
      </w:r>
      <w:r>
        <w:rPr>
          <w:rFonts w:hint="eastAsia" w:ascii="宋体" w:hAnsi="宋体" w:cs="宋体"/>
          <w:b/>
          <w:bCs/>
          <w:color w:val="auto"/>
          <w:sz w:val="30"/>
          <w:szCs w:val="30"/>
          <w:lang w:eastAsia="zh-CN"/>
        </w:rPr>
        <w:t>GXZC2020-G1-002818-JCZX</w:t>
      </w:r>
      <w:r>
        <w:rPr>
          <w:rFonts w:hint="eastAsia" w:ascii="宋体" w:hAnsi="宋体" w:eastAsia="宋体" w:cs="宋体"/>
          <w:b/>
          <w:bCs/>
          <w:color w:val="auto"/>
          <w:spacing w:val="40"/>
          <w:sz w:val="32"/>
        </w:rPr>
        <w:t xml:space="preserve"> </w:t>
      </w:r>
      <w:r>
        <w:rPr>
          <w:rFonts w:hint="eastAsia" w:ascii="宋体" w:hAnsi="宋体" w:eastAsia="宋体" w:cs="宋体"/>
          <w:b/>
          <w:bCs/>
          <w:color w:val="auto"/>
          <w:sz w:val="32"/>
        </w:rPr>
        <w:t xml:space="preserve">         </w:t>
      </w:r>
    </w:p>
    <w:p>
      <w:pPr>
        <w:ind w:left="-2" w:leftChars="-1" w:firstLine="1446" w:firstLineChars="400"/>
        <w:rPr>
          <w:rFonts w:hint="eastAsia" w:ascii="宋体" w:hAnsi="宋体" w:eastAsia="宋体" w:cs="宋体"/>
          <w:color w:val="auto"/>
        </w:rPr>
      </w:pPr>
      <w:r>
        <w:rPr>
          <w:rFonts w:hint="eastAsia" w:ascii="宋体" w:hAnsi="宋体" w:eastAsia="宋体" w:cs="宋体"/>
          <w:b/>
          <w:bCs/>
          <w:color w:val="auto"/>
          <w:sz w:val="36"/>
        </w:rPr>
        <w:t xml:space="preserve">        </w:t>
      </w:r>
      <w:r>
        <w:rPr>
          <w:rFonts w:hint="eastAsia" w:ascii="宋体" w:hAnsi="宋体" w:eastAsia="宋体" w:cs="宋体"/>
          <w:color w:val="auto"/>
        </w:rPr>
        <w:cr/>
      </w:r>
    </w:p>
    <w:p>
      <w:pPr>
        <w:ind w:left="-2" w:leftChars="-1" w:firstLine="840" w:firstLineChars="400"/>
        <w:rPr>
          <w:rFonts w:hint="eastAsia" w:ascii="宋体" w:hAnsi="宋体" w:eastAsia="宋体" w:cs="宋体"/>
          <w:color w:val="auto"/>
        </w:rPr>
      </w:pPr>
    </w:p>
    <w:p>
      <w:pPr>
        <w:ind w:left="-2" w:leftChars="-1" w:firstLine="630" w:firstLineChars="300"/>
        <w:rPr>
          <w:rFonts w:hint="eastAsia" w:ascii="宋体" w:hAnsi="宋体" w:eastAsia="宋体" w:cs="宋体"/>
          <w:color w:val="auto"/>
        </w:rPr>
      </w:pPr>
      <w:r>
        <w:rPr>
          <w:rFonts w:hint="eastAsia" w:ascii="宋体" w:hAnsi="宋体" w:eastAsia="宋体" w:cs="宋体"/>
          <w:color w:val="auto"/>
        </w:rPr>
        <w:t>　</w:t>
      </w:r>
      <w:r>
        <w:rPr>
          <w:rFonts w:hint="eastAsia" w:ascii="宋体" w:hAnsi="宋体" w:eastAsia="宋体" w:cs="宋体"/>
          <w:color w:val="auto"/>
        </w:rPr>
        <w:tab/>
      </w:r>
    </w:p>
    <w:p>
      <w:pPr>
        <w:ind w:left="103" w:leftChars="49" w:firstLine="1470" w:firstLineChars="700"/>
        <w:jc w:val="center"/>
        <w:rPr>
          <w:rFonts w:hint="eastAsia" w:ascii="宋体" w:hAnsi="宋体" w:eastAsia="宋体" w:cs="宋体"/>
          <w:b/>
          <w:bCs/>
          <w:color w:val="auto"/>
          <w:spacing w:val="40"/>
          <w:sz w:val="32"/>
          <w:szCs w:val="32"/>
        </w:rPr>
      </w:pPr>
      <w:r>
        <w:rPr>
          <w:rFonts w:hint="eastAsia" w:ascii="宋体" w:hAnsi="宋体" w:eastAsia="宋体" w:cs="宋体"/>
          <w:color w:val="auto"/>
        </w:rPr>
        <w:cr/>
      </w:r>
      <w:r>
        <w:rPr>
          <w:rFonts w:hint="eastAsia" w:ascii="宋体" w:hAnsi="宋体" w:eastAsia="宋体" w:cs="宋体"/>
          <w:b/>
          <w:bCs/>
          <w:color w:val="auto"/>
          <w:spacing w:val="40"/>
          <w:sz w:val="32"/>
          <w:szCs w:val="32"/>
        </w:rPr>
        <w:t>采购代理机构：桂林市政府集中采购中心</w:t>
      </w:r>
    </w:p>
    <w:p>
      <w:pPr>
        <w:jc w:val="center"/>
        <w:rPr>
          <w:rFonts w:hint="eastAsia" w:ascii="宋体" w:hAnsi="宋体" w:eastAsia="宋体" w:cs="宋体"/>
          <w:b/>
          <w:bCs/>
          <w:color w:val="auto"/>
          <w:sz w:val="32"/>
        </w:rPr>
      </w:pPr>
      <w:r>
        <w:rPr>
          <w:rFonts w:hint="eastAsia" w:ascii="宋体" w:hAnsi="宋体" w:eastAsia="宋体" w:cs="宋体"/>
          <w:b/>
          <w:bCs/>
          <w:color w:val="auto"/>
          <w:sz w:val="32"/>
        </w:rPr>
        <w:t>2020年</w:t>
      </w:r>
      <w:r>
        <w:rPr>
          <w:rFonts w:hint="eastAsia" w:ascii="宋体" w:hAnsi="宋体" w:cs="宋体"/>
          <w:b/>
          <w:color w:val="auto"/>
          <w:sz w:val="32"/>
          <w:szCs w:val="32"/>
          <w:lang w:val="en-US" w:eastAsia="zh-CN"/>
        </w:rPr>
        <w:t>7</w:t>
      </w:r>
      <w:r>
        <w:rPr>
          <w:rFonts w:hint="eastAsia" w:ascii="宋体" w:hAnsi="宋体" w:eastAsia="宋体" w:cs="宋体"/>
          <w:b/>
          <w:bCs/>
          <w:color w:val="auto"/>
          <w:sz w:val="32"/>
        </w:rPr>
        <w:t>月</w:t>
      </w:r>
      <w:r>
        <w:rPr>
          <w:rFonts w:hint="eastAsia" w:ascii="宋体" w:hAnsi="宋体" w:cs="宋体"/>
          <w:b/>
          <w:bCs/>
          <w:color w:val="auto"/>
          <w:sz w:val="32"/>
          <w:lang w:val="en-US" w:eastAsia="zh-CN"/>
        </w:rPr>
        <w:t>31</w:t>
      </w:r>
      <w:r>
        <w:rPr>
          <w:rFonts w:hint="eastAsia" w:ascii="宋体" w:hAnsi="宋体" w:eastAsia="宋体" w:cs="宋体"/>
          <w:b/>
          <w:bCs/>
          <w:color w:val="auto"/>
          <w:sz w:val="32"/>
        </w:rPr>
        <w:t>日</w:t>
      </w:r>
    </w:p>
    <w:p>
      <w:pPr>
        <w:jc w:val="center"/>
        <w:rPr>
          <w:rFonts w:hint="eastAsia" w:ascii="宋体" w:hAnsi="宋体" w:eastAsia="宋体" w:cs="宋体"/>
          <w:bCs/>
          <w:color w:val="auto"/>
          <w:sz w:val="30"/>
          <w:szCs w:val="30"/>
        </w:rPr>
      </w:pPr>
    </w:p>
    <w:p>
      <w:pPr>
        <w:pStyle w:val="72"/>
        <w:jc w:val="center"/>
        <w:rPr>
          <w:rFonts w:hint="eastAsia" w:ascii="宋体" w:hAnsi="宋体" w:eastAsia="宋体" w:cs="宋体"/>
          <w:color w:val="auto"/>
          <w:lang w:val="zh-CN"/>
        </w:rPr>
        <w:sectPr>
          <w:headerReference r:id="rId3" w:type="default"/>
          <w:footerReference r:id="rId4" w:type="default"/>
          <w:pgSz w:w="11906" w:h="16838"/>
          <w:pgMar w:top="1440" w:right="1080" w:bottom="1440" w:left="1080" w:header="851" w:footer="992" w:gutter="0"/>
          <w:pgNumType w:fmt="upperRoman"/>
          <w:cols w:space="720" w:num="1"/>
          <w:docGrid w:type="lines" w:linePitch="312" w:charSpace="0"/>
        </w:sect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sz w:val="21"/>
        </w:rPr>
        <w:t>目录</w:t>
      </w:r>
    </w:p>
    <w:p>
      <w:pPr>
        <w:pStyle w:val="20"/>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TOC \o "1-3" \h \u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_Toc27727 </w:instrText>
      </w:r>
      <w:r>
        <w:rPr>
          <w:rFonts w:hint="eastAsia" w:ascii="宋体" w:hAnsi="宋体" w:eastAsia="宋体" w:cs="宋体"/>
          <w:color w:val="auto"/>
          <w:szCs w:val="21"/>
        </w:rPr>
        <w:fldChar w:fldCharType="separate"/>
      </w:r>
      <w:r>
        <w:rPr>
          <w:rFonts w:hint="eastAsia" w:ascii="宋体" w:hAnsi="宋体" w:eastAsia="宋体" w:cs="宋体"/>
          <w:color w:val="auto"/>
          <w:szCs w:val="32"/>
        </w:rPr>
        <w:t>第一章 公开招标公告</w:t>
      </w:r>
      <w:r>
        <w:rPr>
          <w:color w:val="auto"/>
        </w:rPr>
        <w:tab/>
      </w:r>
      <w:r>
        <w:rPr>
          <w:color w:val="auto"/>
        </w:rPr>
        <w:fldChar w:fldCharType="begin"/>
      </w:r>
      <w:r>
        <w:rPr>
          <w:color w:val="auto"/>
        </w:rPr>
        <w:instrText xml:space="preserve"> PAGEREF _Toc27727 </w:instrText>
      </w:r>
      <w:r>
        <w:rPr>
          <w:color w:val="auto"/>
        </w:rPr>
        <w:fldChar w:fldCharType="separate"/>
      </w:r>
      <w:r>
        <w:rPr>
          <w:color w:val="auto"/>
        </w:rPr>
        <w:t>1</w:t>
      </w:r>
      <w:r>
        <w:rPr>
          <w:color w:val="auto"/>
        </w:rPr>
        <w:fldChar w:fldCharType="end"/>
      </w:r>
      <w:r>
        <w:rPr>
          <w:rFonts w:hint="eastAsia" w:ascii="宋体" w:hAnsi="宋体" w:eastAsia="宋体" w:cs="宋体"/>
          <w:color w:val="auto"/>
          <w:szCs w:val="21"/>
        </w:rPr>
        <w:fldChar w:fldCharType="end"/>
      </w:r>
    </w:p>
    <w:p>
      <w:pPr>
        <w:pStyle w:val="20"/>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_Toc23854 </w:instrText>
      </w:r>
      <w:r>
        <w:rPr>
          <w:rFonts w:hint="eastAsia" w:ascii="宋体" w:hAnsi="宋体" w:eastAsia="宋体" w:cs="宋体"/>
          <w:color w:val="auto"/>
          <w:szCs w:val="21"/>
        </w:rPr>
        <w:fldChar w:fldCharType="separate"/>
      </w:r>
      <w:r>
        <w:rPr>
          <w:rFonts w:hint="eastAsia" w:ascii="宋体" w:hAnsi="宋体" w:eastAsia="宋体" w:cs="宋体"/>
          <w:bCs/>
          <w:color w:val="auto"/>
          <w:kern w:val="44"/>
          <w:szCs w:val="32"/>
          <w:lang w:val="en-US" w:eastAsia="zh-CN" w:bidi="ar-SA"/>
        </w:rPr>
        <w:t>第二章 投标人须知</w:t>
      </w:r>
      <w:r>
        <w:rPr>
          <w:color w:val="auto"/>
        </w:rPr>
        <w:tab/>
      </w:r>
      <w:r>
        <w:rPr>
          <w:color w:val="auto"/>
        </w:rPr>
        <w:fldChar w:fldCharType="begin"/>
      </w:r>
      <w:r>
        <w:rPr>
          <w:color w:val="auto"/>
        </w:rPr>
        <w:instrText xml:space="preserve"> PAGEREF _Toc23854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_Toc16973 </w:instrText>
      </w:r>
      <w:r>
        <w:rPr>
          <w:rFonts w:hint="eastAsia" w:ascii="宋体" w:hAnsi="宋体" w:eastAsia="宋体" w:cs="宋体"/>
          <w:color w:val="auto"/>
          <w:szCs w:val="21"/>
        </w:rPr>
        <w:fldChar w:fldCharType="separate"/>
      </w:r>
      <w:r>
        <w:rPr>
          <w:rFonts w:hint="eastAsia" w:ascii="宋体" w:hAnsi="宋体" w:eastAsia="宋体" w:cs="宋体"/>
          <w:color w:val="auto"/>
        </w:rPr>
        <w:t>投标人须知前附表</w:t>
      </w:r>
      <w:r>
        <w:rPr>
          <w:color w:val="auto"/>
        </w:rPr>
        <w:tab/>
      </w:r>
      <w:r>
        <w:rPr>
          <w:color w:val="auto"/>
        </w:rPr>
        <w:fldChar w:fldCharType="begin"/>
      </w:r>
      <w:r>
        <w:rPr>
          <w:color w:val="auto"/>
        </w:rPr>
        <w:instrText xml:space="preserve"> PAGEREF _Toc16973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_Toc20840 </w:instrText>
      </w:r>
      <w:r>
        <w:rPr>
          <w:rFonts w:hint="eastAsia" w:ascii="宋体" w:hAnsi="宋体" w:eastAsia="宋体" w:cs="宋体"/>
          <w:color w:val="auto"/>
          <w:szCs w:val="21"/>
        </w:rPr>
        <w:fldChar w:fldCharType="separate"/>
      </w:r>
      <w:r>
        <w:rPr>
          <w:rFonts w:hint="eastAsia" w:ascii="宋体" w:hAnsi="宋体" w:eastAsia="宋体" w:cs="宋体"/>
          <w:color w:val="auto"/>
          <w:szCs w:val="28"/>
        </w:rPr>
        <w:t>一、总则</w:t>
      </w:r>
      <w:r>
        <w:rPr>
          <w:color w:val="auto"/>
        </w:rPr>
        <w:tab/>
      </w:r>
      <w:r>
        <w:rPr>
          <w:color w:val="auto"/>
        </w:rPr>
        <w:fldChar w:fldCharType="begin"/>
      </w:r>
      <w:r>
        <w:rPr>
          <w:color w:val="auto"/>
        </w:rPr>
        <w:instrText xml:space="preserve"> PAGEREF _Toc20840 </w:instrText>
      </w:r>
      <w:r>
        <w:rPr>
          <w:color w:val="auto"/>
        </w:rPr>
        <w:fldChar w:fldCharType="separate"/>
      </w:r>
      <w:r>
        <w:rPr>
          <w:color w:val="auto"/>
        </w:rPr>
        <w:t>8</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_Toc30627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 项目名称及项目编号</w:t>
      </w:r>
      <w:r>
        <w:rPr>
          <w:color w:val="auto"/>
        </w:rPr>
        <w:tab/>
      </w:r>
      <w:r>
        <w:rPr>
          <w:color w:val="auto"/>
        </w:rPr>
        <w:fldChar w:fldCharType="begin"/>
      </w:r>
      <w:r>
        <w:rPr>
          <w:color w:val="auto"/>
        </w:rPr>
        <w:instrText xml:space="preserve"> PAGEREF _Toc30627 </w:instrText>
      </w:r>
      <w:r>
        <w:rPr>
          <w:color w:val="auto"/>
        </w:rPr>
        <w:fldChar w:fldCharType="separate"/>
      </w:r>
      <w:r>
        <w:rPr>
          <w:color w:val="auto"/>
        </w:rPr>
        <w:t>8</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_Toc7551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 适应范围</w:t>
      </w:r>
      <w:r>
        <w:rPr>
          <w:color w:val="auto"/>
        </w:rPr>
        <w:tab/>
      </w:r>
      <w:r>
        <w:rPr>
          <w:color w:val="auto"/>
        </w:rPr>
        <w:fldChar w:fldCharType="begin"/>
      </w:r>
      <w:r>
        <w:rPr>
          <w:color w:val="auto"/>
        </w:rPr>
        <w:instrText xml:space="preserve"> PAGEREF _Toc7551 </w:instrText>
      </w:r>
      <w:r>
        <w:rPr>
          <w:color w:val="auto"/>
        </w:rPr>
        <w:fldChar w:fldCharType="separate"/>
      </w:r>
      <w:r>
        <w:rPr>
          <w:color w:val="auto"/>
        </w:rPr>
        <w:t>8</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_Toc26799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 定义</w:t>
      </w:r>
      <w:r>
        <w:rPr>
          <w:color w:val="auto"/>
        </w:rPr>
        <w:tab/>
      </w:r>
      <w:r>
        <w:rPr>
          <w:color w:val="auto"/>
        </w:rPr>
        <w:fldChar w:fldCharType="begin"/>
      </w:r>
      <w:r>
        <w:rPr>
          <w:color w:val="auto"/>
        </w:rPr>
        <w:instrText xml:space="preserve"> PAGEREF _Toc26799 </w:instrText>
      </w:r>
      <w:r>
        <w:rPr>
          <w:color w:val="auto"/>
        </w:rPr>
        <w:fldChar w:fldCharType="separate"/>
      </w:r>
      <w:r>
        <w:rPr>
          <w:color w:val="auto"/>
        </w:rPr>
        <w:t>8</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_Toc32132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4. 招标方式、评分办法</w:t>
      </w:r>
      <w:r>
        <w:rPr>
          <w:color w:val="auto"/>
        </w:rPr>
        <w:tab/>
      </w:r>
      <w:r>
        <w:rPr>
          <w:color w:val="auto"/>
        </w:rPr>
        <w:fldChar w:fldCharType="begin"/>
      </w:r>
      <w:r>
        <w:rPr>
          <w:color w:val="auto"/>
        </w:rPr>
        <w:instrText xml:space="preserve"> PAGEREF _Toc32132 </w:instrText>
      </w:r>
      <w:r>
        <w:rPr>
          <w:color w:val="auto"/>
        </w:rPr>
        <w:fldChar w:fldCharType="separate"/>
      </w:r>
      <w:r>
        <w:rPr>
          <w:color w:val="auto"/>
        </w:rPr>
        <w:t>8</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_Toc5574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5. 投标人资格</w:t>
      </w:r>
      <w:r>
        <w:rPr>
          <w:color w:val="auto"/>
        </w:rPr>
        <w:tab/>
      </w:r>
      <w:r>
        <w:rPr>
          <w:color w:val="auto"/>
        </w:rPr>
        <w:fldChar w:fldCharType="begin"/>
      </w:r>
      <w:r>
        <w:rPr>
          <w:color w:val="auto"/>
        </w:rPr>
        <w:instrText xml:space="preserve"> PAGEREF _Toc5574 </w:instrText>
      </w:r>
      <w:r>
        <w:rPr>
          <w:color w:val="auto"/>
        </w:rPr>
        <w:fldChar w:fldCharType="separate"/>
      </w:r>
      <w:r>
        <w:rPr>
          <w:color w:val="auto"/>
        </w:rPr>
        <w:t>8</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_Toc23283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6. 投标费用</w:t>
      </w:r>
      <w:r>
        <w:rPr>
          <w:color w:val="auto"/>
        </w:rPr>
        <w:tab/>
      </w:r>
      <w:r>
        <w:rPr>
          <w:color w:val="auto"/>
        </w:rPr>
        <w:fldChar w:fldCharType="begin"/>
      </w:r>
      <w:r>
        <w:rPr>
          <w:color w:val="auto"/>
        </w:rPr>
        <w:instrText xml:space="preserve"> PAGEREF _Toc23283 </w:instrText>
      </w:r>
      <w:r>
        <w:rPr>
          <w:color w:val="auto"/>
        </w:rPr>
        <w:fldChar w:fldCharType="separate"/>
      </w:r>
      <w:r>
        <w:rPr>
          <w:color w:val="auto"/>
        </w:rPr>
        <w:t>8</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_Toc27394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7. 联合体投标要求</w:t>
      </w:r>
      <w:r>
        <w:rPr>
          <w:color w:val="auto"/>
        </w:rPr>
        <w:tab/>
      </w:r>
      <w:r>
        <w:rPr>
          <w:color w:val="auto"/>
        </w:rPr>
        <w:fldChar w:fldCharType="begin"/>
      </w:r>
      <w:r>
        <w:rPr>
          <w:color w:val="auto"/>
        </w:rPr>
        <w:instrText xml:space="preserve"> PAGEREF _Toc27394 </w:instrText>
      </w:r>
      <w:r>
        <w:rPr>
          <w:color w:val="auto"/>
        </w:rPr>
        <w:fldChar w:fldCharType="separate"/>
      </w:r>
      <w:r>
        <w:rPr>
          <w:color w:val="auto"/>
        </w:rPr>
        <w:t>8</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_Toc16325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8. 转包与分包</w:t>
      </w:r>
      <w:r>
        <w:rPr>
          <w:color w:val="auto"/>
        </w:rPr>
        <w:tab/>
      </w:r>
      <w:r>
        <w:rPr>
          <w:color w:val="auto"/>
        </w:rPr>
        <w:fldChar w:fldCharType="begin"/>
      </w:r>
      <w:r>
        <w:rPr>
          <w:color w:val="auto"/>
        </w:rPr>
        <w:instrText xml:space="preserve"> PAGEREF _Toc16325 </w:instrText>
      </w:r>
      <w:r>
        <w:rPr>
          <w:color w:val="auto"/>
        </w:rPr>
        <w:fldChar w:fldCharType="separate"/>
      </w:r>
      <w:r>
        <w:rPr>
          <w:color w:val="auto"/>
        </w:rPr>
        <w:t>8</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_Toc1946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9. 特别说明</w:t>
      </w:r>
      <w:r>
        <w:rPr>
          <w:color w:val="auto"/>
        </w:rPr>
        <w:tab/>
      </w:r>
      <w:r>
        <w:rPr>
          <w:color w:val="auto"/>
        </w:rPr>
        <w:fldChar w:fldCharType="begin"/>
      </w:r>
      <w:r>
        <w:rPr>
          <w:color w:val="auto"/>
        </w:rPr>
        <w:instrText xml:space="preserve"> PAGEREF _Toc1946 </w:instrText>
      </w:r>
      <w:r>
        <w:rPr>
          <w:color w:val="auto"/>
        </w:rPr>
        <w:fldChar w:fldCharType="separate"/>
      </w:r>
      <w:r>
        <w:rPr>
          <w:color w:val="auto"/>
        </w:rPr>
        <w:t>8</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_Toc7918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10. 质疑和投诉</w:t>
      </w:r>
      <w:r>
        <w:rPr>
          <w:color w:val="auto"/>
        </w:rPr>
        <w:tab/>
      </w:r>
      <w:r>
        <w:rPr>
          <w:color w:val="auto"/>
        </w:rPr>
        <w:fldChar w:fldCharType="begin"/>
      </w:r>
      <w:r>
        <w:rPr>
          <w:color w:val="auto"/>
        </w:rPr>
        <w:instrText xml:space="preserve"> PAGEREF _Toc7918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_Toc2278 </w:instrText>
      </w:r>
      <w:r>
        <w:rPr>
          <w:rFonts w:hint="eastAsia" w:ascii="宋体" w:hAnsi="宋体" w:eastAsia="宋体" w:cs="宋体"/>
          <w:color w:val="auto"/>
          <w:szCs w:val="21"/>
        </w:rPr>
        <w:fldChar w:fldCharType="separate"/>
      </w:r>
      <w:r>
        <w:rPr>
          <w:rFonts w:hint="eastAsia" w:ascii="宋体" w:hAnsi="宋体" w:eastAsia="宋体" w:cs="宋体"/>
          <w:color w:val="auto"/>
          <w:szCs w:val="28"/>
        </w:rPr>
        <w:t>二、招标文件</w:t>
      </w:r>
      <w:r>
        <w:rPr>
          <w:color w:val="auto"/>
        </w:rPr>
        <w:tab/>
      </w:r>
      <w:r>
        <w:rPr>
          <w:color w:val="auto"/>
        </w:rPr>
        <w:fldChar w:fldCharType="begin"/>
      </w:r>
      <w:r>
        <w:rPr>
          <w:color w:val="auto"/>
        </w:rPr>
        <w:instrText xml:space="preserve"> PAGEREF _Toc2278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_Toc1493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11. 招标文件的构成</w:t>
      </w:r>
      <w:r>
        <w:rPr>
          <w:color w:val="auto"/>
        </w:rPr>
        <w:tab/>
      </w:r>
      <w:r>
        <w:rPr>
          <w:color w:val="auto"/>
        </w:rPr>
        <w:fldChar w:fldCharType="begin"/>
      </w:r>
      <w:r>
        <w:rPr>
          <w:color w:val="auto"/>
        </w:rPr>
        <w:instrText xml:space="preserve"> PAGEREF _Toc1493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_Toc15986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12. 招标文件的澄清与修改</w:t>
      </w:r>
      <w:r>
        <w:rPr>
          <w:color w:val="auto"/>
        </w:rPr>
        <w:tab/>
      </w:r>
      <w:r>
        <w:rPr>
          <w:color w:val="auto"/>
        </w:rPr>
        <w:fldChar w:fldCharType="begin"/>
      </w:r>
      <w:r>
        <w:rPr>
          <w:color w:val="auto"/>
        </w:rPr>
        <w:instrText xml:space="preserve"> PAGEREF _Toc15986 </w:instrText>
      </w:r>
      <w:r>
        <w:rPr>
          <w:color w:val="auto"/>
        </w:rPr>
        <w:fldChar w:fldCharType="separate"/>
      </w:r>
      <w:r>
        <w:rPr>
          <w:color w:val="auto"/>
        </w:rPr>
        <w:t>10</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_Toc9870 </w:instrText>
      </w:r>
      <w:r>
        <w:rPr>
          <w:rFonts w:hint="eastAsia" w:ascii="宋体" w:hAnsi="宋体" w:eastAsia="宋体" w:cs="宋体"/>
          <w:color w:val="auto"/>
          <w:szCs w:val="21"/>
        </w:rPr>
        <w:fldChar w:fldCharType="separate"/>
      </w:r>
      <w:r>
        <w:rPr>
          <w:rFonts w:hint="eastAsia" w:ascii="宋体" w:hAnsi="宋体" w:eastAsia="宋体" w:cs="宋体"/>
          <w:color w:val="auto"/>
          <w:szCs w:val="28"/>
        </w:rPr>
        <w:t>三、投标文件的编制</w:t>
      </w:r>
      <w:r>
        <w:rPr>
          <w:color w:val="auto"/>
        </w:rPr>
        <w:tab/>
      </w:r>
      <w:r>
        <w:rPr>
          <w:color w:val="auto"/>
        </w:rPr>
        <w:fldChar w:fldCharType="begin"/>
      </w:r>
      <w:r>
        <w:rPr>
          <w:color w:val="auto"/>
        </w:rPr>
        <w:instrText xml:space="preserve"> PAGEREF _Toc9870 </w:instrText>
      </w:r>
      <w:r>
        <w:rPr>
          <w:color w:val="auto"/>
        </w:rPr>
        <w:fldChar w:fldCharType="separate"/>
      </w:r>
      <w:r>
        <w:rPr>
          <w:color w:val="auto"/>
        </w:rPr>
        <w:t>10</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_Toc6101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13. 投标文件的组成及要求</w:t>
      </w:r>
      <w:r>
        <w:rPr>
          <w:color w:val="auto"/>
        </w:rPr>
        <w:tab/>
      </w:r>
      <w:r>
        <w:rPr>
          <w:color w:val="auto"/>
        </w:rPr>
        <w:fldChar w:fldCharType="begin"/>
      </w:r>
      <w:r>
        <w:rPr>
          <w:color w:val="auto"/>
        </w:rPr>
        <w:instrText xml:space="preserve"> PAGEREF _Toc6101 </w:instrText>
      </w:r>
      <w:r>
        <w:rPr>
          <w:color w:val="auto"/>
        </w:rPr>
        <w:fldChar w:fldCharType="separate"/>
      </w:r>
      <w:r>
        <w:rPr>
          <w:color w:val="auto"/>
        </w:rPr>
        <w:t>10</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_Toc26842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14. 投标文件的语言及计量</w:t>
      </w:r>
      <w:r>
        <w:rPr>
          <w:color w:val="auto"/>
        </w:rPr>
        <w:tab/>
      </w:r>
      <w:r>
        <w:rPr>
          <w:color w:val="auto"/>
        </w:rPr>
        <w:fldChar w:fldCharType="begin"/>
      </w:r>
      <w:r>
        <w:rPr>
          <w:color w:val="auto"/>
        </w:rPr>
        <w:instrText xml:space="preserve"> PAGEREF _Toc26842 </w:instrText>
      </w:r>
      <w:r>
        <w:rPr>
          <w:color w:val="auto"/>
        </w:rPr>
        <w:fldChar w:fldCharType="separate"/>
      </w:r>
      <w:r>
        <w:rPr>
          <w:color w:val="auto"/>
        </w:rPr>
        <w:t>12</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_Toc25134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15. 投标报价</w:t>
      </w:r>
      <w:r>
        <w:rPr>
          <w:color w:val="auto"/>
        </w:rPr>
        <w:tab/>
      </w:r>
      <w:r>
        <w:rPr>
          <w:color w:val="auto"/>
        </w:rPr>
        <w:fldChar w:fldCharType="begin"/>
      </w:r>
      <w:r>
        <w:rPr>
          <w:color w:val="auto"/>
        </w:rPr>
        <w:instrText xml:space="preserve"> PAGEREF _Toc25134 </w:instrText>
      </w:r>
      <w:r>
        <w:rPr>
          <w:color w:val="auto"/>
        </w:rPr>
        <w:fldChar w:fldCharType="separate"/>
      </w:r>
      <w:r>
        <w:rPr>
          <w:color w:val="auto"/>
        </w:rPr>
        <w:t>12</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_Toc24636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16. 投标有效期</w:t>
      </w:r>
      <w:r>
        <w:rPr>
          <w:color w:val="auto"/>
        </w:rPr>
        <w:tab/>
      </w:r>
      <w:r>
        <w:rPr>
          <w:color w:val="auto"/>
        </w:rPr>
        <w:fldChar w:fldCharType="begin"/>
      </w:r>
      <w:r>
        <w:rPr>
          <w:color w:val="auto"/>
        </w:rPr>
        <w:instrText xml:space="preserve"> PAGEREF _Toc24636 </w:instrText>
      </w:r>
      <w:r>
        <w:rPr>
          <w:color w:val="auto"/>
        </w:rPr>
        <w:fldChar w:fldCharType="separate"/>
      </w:r>
      <w:r>
        <w:rPr>
          <w:color w:val="auto"/>
        </w:rPr>
        <w:t>12</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_Toc23140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17. 投标保证金</w:t>
      </w:r>
      <w:r>
        <w:rPr>
          <w:color w:val="auto"/>
        </w:rPr>
        <w:tab/>
      </w:r>
      <w:r>
        <w:rPr>
          <w:color w:val="auto"/>
        </w:rPr>
        <w:fldChar w:fldCharType="begin"/>
      </w:r>
      <w:r>
        <w:rPr>
          <w:color w:val="auto"/>
        </w:rPr>
        <w:instrText xml:space="preserve"> PAGEREF _Toc23140 </w:instrText>
      </w:r>
      <w:r>
        <w:rPr>
          <w:color w:val="auto"/>
        </w:rPr>
        <w:fldChar w:fldCharType="separate"/>
      </w:r>
      <w:r>
        <w:rPr>
          <w:color w:val="auto"/>
        </w:rPr>
        <w:t>12</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_Toc14245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18. 投标文件的份数、装订、签署和包装、密封</w:t>
      </w:r>
      <w:r>
        <w:rPr>
          <w:color w:val="auto"/>
        </w:rPr>
        <w:tab/>
      </w:r>
      <w:r>
        <w:rPr>
          <w:color w:val="auto"/>
        </w:rPr>
        <w:fldChar w:fldCharType="begin"/>
      </w:r>
      <w:r>
        <w:rPr>
          <w:color w:val="auto"/>
        </w:rPr>
        <w:instrText xml:space="preserve"> PAGEREF _Toc14245 </w:instrText>
      </w:r>
      <w:r>
        <w:rPr>
          <w:color w:val="auto"/>
        </w:rPr>
        <w:fldChar w:fldCharType="separate"/>
      </w:r>
      <w:r>
        <w:rPr>
          <w:color w:val="auto"/>
        </w:rPr>
        <w:t>12</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_Toc679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19. 投标文件的补充、修改和撤回</w:t>
      </w:r>
      <w:r>
        <w:rPr>
          <w:color w:val="auto"/>
        </w:rPr>
        <w:tab/>
      </w:r>
      <w:r>
        <w:rPr>
          <w:color w:val="auto"/>
        </w:rPr>
        <w:fldChar w:fldCharType="begin"/>
      </w:r>
      <w:r>
        <w:rPr>
          <w:color w:val="auto"/>
        </w:rPr>
        <w:instrText xml:space="preserve"> PAGEREF _Toc679 </w:instrText>
      </w:r>
      <w:r>
        <w:rPr>
          <w:color w:val="auto"/>
        </w:rPr>
        <w:fldChar w:fldCharType="separate"/>
      </w:r>
      <w:r>
        <w:rPr>
          <w:color w:val="auto"/>
        </w:rPr>
        <w:t>13</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_Toc26497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20. 投标文件的递交</w:t>
      </w:r>
      <w:r>
        <w:rPr>
          <w:color w:val="auto"/>
        </w:rPr>
        <w:tab/>
      </w:r>
      <w:r>
        <w:rPr>
          <w:color w:val="auto"/>
        </w:rPr>
        <w:fldChar w:fldCharType="begin"/>
      </w:r>
      <w:r>
        <w:rPr>
          <w:color w:val="auto"/>
        </w:rPr>
        <w:instrText xml:space="preserve"> PAGEREF _Toc26497 </w:instrText>
      </w:r>
      <w:r>
        <w:rPr>
          <w:color w:val="auto"/>
        </w:rPr>
        <w:fldChar w:fldCharType="separate"/>
      </w:r>
      <w:r>
        <w:rPr>
          <w:color w:val="auto"/>
        </w:rPr>
        <w:t>13</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_Toc23749 </w:instrText>
      </w:r>
      <w:r>
        <w:rPr>
          <w:rFonts w:hint="eastAsia" w:ascii="宋体" w:hAnsi="宋体" w:eastAsia="宋体" w:cs="宋体"/>
          <w:color w:val="auto"/>
          <w:szCs w:val="21"/>
        </w:rPr>
        <w:fldChar w:fldCharType="separate"/>
      </w:r>
      <w:r>
        <w:rPr>
          <w:rFonts w:hint="eastAsia" w:ascii="宋体" w:hAnsi="宋体" w:eastAsia="宋体" w:cs="宋体"/>
          <w:color w:val="auto"/>
          <w:szCs w:val="28"/>
        </w:rPr>
        <w:t>四、开标</w:t>
      </w:r>
      <w:r>
        <w:rPr>
          <w:color w:val="auto"/>
        </w:rPr>
        <w:tab/>
      </w:r>
      <w:r>
        <w:rPr>
          <w:color w:val="auto"/>
        </w:rPr>
        <w:fldChar w:fldCharType="begin"/>
      </w:r>
      <w:r>
        <w:rPr>
          <w:color w:val="auto"/>
        </w:rPr>
        <w:instrText xml:space="preserve"> PAGEREF _Toc23749 </w:instrText>
      </w:r>
      <w:r>
        <w:rPr>
          <w:color w:val="auto"/>
        </w:rPr>
        <w:fldChar w:fldCharType="separate"/>
      </w:r>
      <w:r>
        <w:rPr>
          <w:color w:val="auto"/>
        </w:rPr>
        <w:t>13</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_Toc28972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21. 开标时间及地点</w:t>
      </w:r>
      <w:r>
        <w:rPr>
          <w:color w:val="auto"/>
        </w:rPr>
        <w:tab/>
      </w:r>
      <w:r>
        <w:rPr>
          <w:color w:val="auto"/>
        </w:rPr>
        <w:fldChar w:fldCharType="begin"/>
      </w:r>
      <w:r>
        <w:rPr>
          <w:color w:val="auto"/>
        </w:rPr>
        <w:instrText xml:space="preserve"> PAGEREF _Toc28972 </w:instrText>
      </w:r>
      <w:r>
        <w:rPr>
          <w:color w:val="auto"/>
        </w:rPr>
        <w:fldChar w:fldCharType="separate"/>
      </w:r>
      <w:r>
        <w:rPr>
          <w:color w:val="auto"/>
        </w:rPr>
        <w:t>13</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_Toc30797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22. 开标程序</w:t>
      </w:r>
      <w:r>
        <w:rPr>
          <w:color w:val="auto"/>
        </w:rPr>
        <w:tab/>
      </w:r>
      <w:r>
        <w:rPr>
          <w:color w:val="auto"/>
        </w:rPr>
        <w:fldChar w:fldCharType="begin"/>
      </w:r>
      <w:r>
        <w:rPr>
          <w:color w:val="auto"/>
        </w:rPr>
        <w:instrText xml:space="preserve"> PAGEREF _Toc30797 </w:instrText>
      </w:r>
      <w:r>
        <w:rPr>
          <w:color w:val="auto"/>
        </w:rPr>
        <w:fldChar w:fldCharType="separate"/>
      </w:r>
      <w:r>
        <w:rPr>
          <w:color w:val="auto"/>
        </w:rPr>
        <w:t>14</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_Toc29467 </w:instrText>
      </w:r>
      <w:r>
        <w:rPr>
          <w:rFonts w:hint="eastAsia" w:ascii="宋体" w:hAnsi="宋体" w:eastAsia="宋体" w:cs="宋体"/>
          <w:color w:val="auto"/>
          <w:szCs w:val="21"/>
        </w:rPr>
        <w:fldChar w:fldCharType="separate"/>
      </w:r>
      <w:r>
        <w:rPr>
          <w:rFonts w:hint="eastAsia" w:ascii="宋体" w:hAnsi="宋体" w:eastAsia="宋体" w:cs="宋体"/>
          <w:color w:val="auto"/>
          <w:szCs w:val="28"/>
        </w:rPr>
        <w:t>五、资格性审查</w:t>
      </w:r>
      <w:r>
        <w:rPr>
          <w:color w:val="auto"/>
        </w:rPr>
        <w:tab/>
      </w:r>
      <w:r>
        <w:rPr>
          <w:color w:val="auto"/>
        </w:rPr>
        <w:fldChar w:fldCharType="begin"/>
      </w:r>
      <w:r>
        <w:rPr>
          <w:color w:val="auto"/>
        </w:rPr>
        <w:instrText xml:space="preserve"> PAGEREF _Toc29467 </w:instrText>
      </w:r>
      <w:r>
        <w:rPr>
          <w:color w:val="auto"/>
        </w:rPr>
        <w:fldChar w:fldCharType="separate"/>
      </w:r>
      <w:r>
        <w:rPr>
          <w:color w:val="auto"/>
        </w:rPr>
        <w:t>14</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_Toc31377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23. 资格性审查</w:t>
      </w:r>
      <w:r>
        <w:rPr>
          <w:color w:val="auto"/>
        </w:rPr>
        <w:tab/>
      </w:r>
      <w:r>
        <w:rPr>
          <w:color w:val="auto"/>
        </w:rPr>
        <w:fldChar w:fldCharType="begin"/>
      </w:r>
      <w:r>
        <w:rPr>
          <w:color w:val="auto"/>
        </w:rPr>
        <w:instrText xml:space="preserve"> PAGEREF _Toc31377 </w:instrText>
      </w:r>
      <w:r>
        <w:rPr>
          <w:color w:val="auto"/>
        </w:rPr>
        <w:fldChar w:fldCharType="separate"/>
      </w:r>
      <w:r>
        <w:rPr>
          <w:color w:val="auto"/>
        </w:rPr>
        <w:t>14</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_Toc17211 </w:instrText>
      </w:r>
      <w:r>
        <w:rPr>
          <w:rFonts w:hint="eastAsia" w:ascii="宋体" w:hAnsi="宋体" w:eastAsia="宋体" w:cs="宋体"/>
          <w:color w:val="auto"/>
          <w:szCs w:val="21"/>
        </w:rPr>
        <w:fldChar w:fldCharType="separate"/>
      </w:r>
      <w:r>
        <w:rPr>
          <w:rFonts w:hint="eastAsia" w:ascii="宋体" w:hAnsi="宋体" w:eastAsia="宋体" w:cs="宋体"/>
          <w:color w:val="auto"/>
          <w:szCs w:val="28"/>
        </w:rPr>
        <w:t>六、评标</w:t>
      </w:r>
      <w:r>
        <w:rPr>
          <w:color w:val="auto"/>
        </w:rPr>
        <w:tab/>
      </w:r>
      <w:r>
        <w:rPr>
          <w:color w:val="auto"/>
        </w:rPr>
        <w:fldChar w:fldCharType="begin"/>
      </w:r>
      <w:r>
        <w:rPr>
          <w:color w:val="auto"/>
        </w:rPr>
        <w:instrText xml:space="preserve"> PAGEREF _Toc17211 </w:instrText>
      </w:r>
      <w:r>
        <w:rPr>
          <w:color w:val="auto"/>
        </w:rPr>
        <w:fldChar w:fldCharType="separate"/>
      </w:r>
      <w:r>
        <w:rPr>
          <w:color w:val="auto"/>
        </w:rPr>
        <w:t>15</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_Toc14350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24. 评标委员会组成</w:t>
      </w:r>
      <w:r>
        <w:rPr>
          <w:color w:val="auto"/>
        </w:rPr>
        <w:tab/>
      </w:r>
      <w:r>
        <w:rPr>
          <w:color w:val="auto"/>
        </w:rPr>
        <w:fldChar w:fldCharType="begin"/>
      </w:r>
      <w:r>
        <w:rPr>
          <w:color w:val="auto"/>
        </w:rPr>
        <w:instrText xml:space="preserve"> PAGEREF _Toc14350 </w:instrText>
      </w:r>
      <w:r>
        <w:rPr>
          <w:color w:val="auto"/>
        </w:rPr>
        <w:fldChar w:fldCharType="separate"/>
      </w:r>
      <w:r>
        <w:rPr>
          <w:color w:val="auto"/>
        </w:rPr>
        <w:t>15</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_Toc26961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25. 评标办法</w:t>
      </w:r>
      <w:r>
        <w:rPr>
          <w:color w:val="auto"/>
        </w:rPr>
        <w:tab/>
      </w:r>
      <w:r>
        <w:rPr>
          <w:color w:val="auto"/>
        </w:rPr>
        <w:fldChar w:fldCharType="begin"/>
      </w:r>
      <w:r>
        <w:rPr>
          <w:color w:val="auto"/>
        </w:rPr>
        <w:instrText xml:space="preserve"> PAGEREF _Toc26961 </w:instrText>
      </w:r>
      <w:r>
        <w:rPr>
          <w:color w:val="auto"/>
        </w:rPr>
        <w:fldChar w:fldCharType="separate"/>
      </w:r>
      <w:r>
        <w:rPr>
          <w:color w:val="auto"/>
        </w:rPr>
        <w:t>15</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_Toc29124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26. 评标</w:t>
      </w:r>
      <w:r>
        <w:rPr>
          <w:color w:val="auto"/>
        </w:rPr>
        <w:tab/>
      </w:r>
      <w:r>
        <w:rPr>
          <w:color w:val="auto"/>
        </w:rPr>
        <w:fldChar w:fldCharType="begin"/>
      </w:r>
      <w:r>
        <w:rPr>
          <w:color w:val="auto"/>
        </w:rPr>
        <w:instrText xml:space="preserve"> PAGEREF _Toc29124 </w:instrText>
      </w:r>
      <w:r>
        <w:rPr>
          <w:color w:val="auto"/>
        </w:rPr>
        <w:fldChar w:fldCharType="separate"/>
      </w:r>
      <w:r>
        <w:rPr>
          <w:color w:val="auto"/>
        </w:rPr>
        <w:t>15</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_Toc24934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27. 推荐及确定中标候选供应商原则</w:t>
      </w:r>
      <w:r>
        <w:rPr>
          <w:color w:val="auto"/>
        </w:rPr>
        <w:tab/>
      </w:r>
      <w:r>
        <w:rPr>
          <w:color w:val="auto"/>
        </w:rPr>
        <w:fldChar w:fldCharType="begin"/>
      </w:r>
      <w:r>
        <w:rPr>
          <w:color w:val="auto"/>
        </w:rPr>
        <w:instrText xml:space="preserve"> PAGEREF _Toc24934 </w:instrText>
      </w:r>
      <w:r>
        <w:rPr>
          <w:color w:val="auto"/>
        </w:rPr>
        <w:fldChar w:fldCharType="separate"/>
      </w:r>
      <w:r>
        <w:rPr>
          <w:color w:val="auto"/>
        </w:rPr>
        <w:t>16</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_Toc7802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28. 属于下列情况之一者，投标无效：</w:t>
      </w:r>
      <w:r>
        <w:rPr>
          <w:color w:val="auto"/>
        </w:rPr>
        <w:tab/>
      </w:r>
      <w:r>
        <w:rPr>
          <w:color w:val="auto"/>
        </w:rPr>
        <w:fldChar w:fldCharType="begin"/>
      </w:r>
      <w:r>
        <w:rPr>
          <w:color w:val="auto"/>
        </w:rPr>
        <w:instrText xml:space="preserve"> PAGEREF _Toc7802 </w:instrText>
      </w:r>
      <w:r>
        <w:rPr>
          <w:color w:val="auto"/>
        </w:rPr>
        <w:fldChar w:fldCharType="separate"/>
      </w:r>
      <w:r>
        <w:rPr>
          <w:color w:val="auto"/>
        </w:rPr>
        <w:t>16</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_Toc3715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29. 投标人有下列情形之一的，视为串通投标，投标文件将被视为无效：</w:t>
      </w:r>
      <w:r>
        <w:rPr>
          <w:color w:val="auto"/>
        </w:rPr>
        <w:tab/>
      </w:r>
      <w:r>
        <w:rPr>
          <w:color w:val="auto"/>
        </w:rPr>
        <w:fldChar w:fldCharType="begin"/>
      </w:r>
      <w:r>
        <w:rPr>
          <w:color w:val="auto"/>
        </w:rPr>
        <w:instrText xml:space="preserve"> PAGEREF _Toc3715 </w:instrText>
      </w:r>
      <w:r>
        <w:rPr>
          <w:color w:val="auto"/>
        </w:rPr>
        <w:fldChar w:fldCharType="separate"/>
      </w:r>
      <w:r>
        <w:rPr>
          <w:color w:val="auto"/>
        </w:rPr>
        <w:t>16</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_Toc9994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30. 属于下列情形之一的，应予废标：</w:t>
      </w:r>
      <w:r>
        <w:rPr>
          <w:color w:val="auto"/>
        </w:rPr>
        <w:tab/>
      </w:r>
      <w:r>
        <w:rPr>
          <w:color w:val="auto"/>
        </w:rPr>
        <w:fldChar w:fldCharType="begin"/>
      </w:r>
      <w:r>
        <w:rPr>
          <w:color w:val="auto"/>
        </w:rPr>
        <w:instrText xml:space="preserve"> PAGEREF _Toc9994 </w:instrText>
      </w:r>
      <w:r>
        <w:rPr>
          <w:color w:val="auto"/>
        </w:rPr>
        <w:fldChar w:fldCharType="separate"/>
      </w:r>
      <w:r>
        <w:rPr>
          <w:color w:val="auto"/>
        </w:rPr>
        <w:t>17</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_Toc18498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31. 开标、评标过程的监控</w:t>
      </w:r>
      <w:r>
        <w:rPr>
          <w:color w:val="auto"/>
        </w:rPr>
        <w:tab/>
      </w:r>
      <w:r>
        <w:rPr>
          <w:color w:val="auto"/>
        </w:rPr>
        <w:fldChar w:fldCharType="begin"/>
      </w:r>
      <w:r>
        <w:rPr>
          <w:color w:val="auto"/>
        </w:rPr>
        <w:instrText xml:space="preserve"> PAGEREF _Toc18498 </w:instrText>
      </w:r>
      <w:r>
        <w:rPr>
          <w:color w:val="auto"/>
        </w:rPr>
        <w:fldChar w:fldCharType="separate"/>
      </w:r>
      <w:r>
        <w:rPr>
          <w:color w:val="auto"/>
        </w:rPr>
        <w:t>17</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_Toc30245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32. 信用查询</w:t>
      </w:r>
      <w:r>
        <w:rPr>
          <w:color w:val="auto"/>
        </w:rPr>
        <w:tab/>
      </w:r>
      <w:r>
        <w:rPr>
          <w:color w:val="auto"/>
        </w:rPr>
        <w:fldChar w:fldCharType="begin"/>
      </w:r>
      <w:r>
        <w:rPr>
          <w:color w:val="auto"/>
        </w:rPr>
        <w:instrText xml:space="preserve"> PAGEREF _Toc30245 </w:instrText>
      </w:r>
      <w:r>
        <w:rPr>
          <w:color w:val="auto"/>
        </w:rPr>
        <w:fldChar w:fldCharType="separate"/>
      </w:r>
      <w:r>
        <w:rPr>
          <w:color w:val="auto"/>
        </w:rPr>
        <w:t>17</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_Toc517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33. 中标公告及中标通知书</w:t>
      </w:r>
      <w:r>
        <w:rPr>
          <w:color w:val="auto"/>
        </w:rPr>
        <w:tab/>
      </w:r>
      <w:r>
        <w:rPr>
          <w:color w:val="auto"/>
        </w:rPr>
        <w:fldChar w:fldCharType="begin"/>
      </w:r>
      <w:r>
        <w:rPr>
          <w:color w:val="auto"/>
        </w:rPr>
        <w:instrText xml:space="preserve"> PAGEREF _Toc517 </w:instrText>
      </w:r>
      <w:r>
        <w:rPr>
          <w:color w:val="auto"/>
        </w:rPr>
        <w:fldChar w:fldCharType="separate"/>
      </w:r>
      <w:r>
        <w:rPr>
          <w:color w:val="auto"/>
        </w:rPr>
        <w:t>17</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_Toc32569 </w:instrText>
      </w:r>
      <w:r>
        <w:rPr>
          <w:rFonts w:hint="eastAsia" w:ascii="宋体" w:hAnsi="宋体" w:eastAsia="宋体" w:cs="宋体"/>
          <w:color w:val="auto"/>
          <w:szCs w:val="21"/>
        </w:rPr>
        <w:fldChar w:fldCharType="separate"/>
      </w:r>
      <w:r>
        <w:rPr>
          <w:rFonts w:hint="eastAsia" w:ascii="宋体" w:hAnsi="宋体" w:eastAsia="宋体" w:cs="宋体"/>
          <w:color w:val="auto"/>
          <w:szCs w:val="28"/>
        </w:rPr>
        <w:t>七、履约保证金及签订合同</w:t>
      </w:r>
      <w:r>
        <w:rPr>
          <w:color w:val="auto"/>
        </w:rPr>
        <w:tab/>
      </w:r>
      <w:r>
        <w:rPr>
          <w:color w:val="auto"/>
        </w:rPr>
        <w:fldChar w:fldCharType="begin"/>
      </w:r>
      <w:r>
        <w:rPr>
          <w:color w:val="auto"/>
        </w:rPr>
        <w:instrText xml:space="preserve"> PAGEREF _Toc32569 </w:instrText>
      </w:r>
      <w:r>
        <w:rPr>
          <w:color w:val="auto"/>
        </w:rPr>
        <w:fldChar w:fldCharType="separate"/>
      </w:r>
      <w:r>
        <w:rPr>
          <w:color w:val="auto"/>
        </w:rPr>
        <w:t>18</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_Toc16597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34. 履约保证金</w:t>
      </w:r>
      <w:r>
        <w:rPr>
          <w:color w:val="auto"/>
        </w:rPr>
        <w:tab/>
      </w:r>
      <w:r>
        <w:rPr>
          <w:color w:val="auto"/>
        </w:rPr>
        <w:fldChar w:fldCharType="begin"/>
      </w:r>
      <w:r>
        <w:rPr>
          <w:color w:val="auto"/>
        </w:rPr>
        <w:instrText xml:space="preserve"> PAGEREF _Toc16597 </w:instrText>
      </w:r>
      <w:r>
        <w:rPr>
          <w:color w:val="auto"/>
        </w:rPr>
        <w:fldChar w:fldCharType="separate"/>
      </w:r>
      <w:r>
        <w:rPr>
          <w:color w:val="auto"/>
        </w:rPr>
        <w:t>18</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_Toc15693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35. 签订合同</w:t>
      </w:r>
      <w:r>
        <w:rPr>
          <w:color w:val="auto"/>
        </w:rPr>
        <w:tab/>
      </w:r>
      <w:r>
        <w:rPr>
          <w:color w:val="auto"/>
        </w:rPr>
        <w:fldChar w:fldCharType="begin"/>
      </w:r>
      <w:r>
        <w:rPr>
          <w:color w:val="auto"/>
        </w:rPr>
        <w:instrText xml:space="preserve"> PAGEREF _Toc15693 </w:instrText>
      </w:r>
      <w:r>
        <w:rPr>
          <w:color w:val="auto"/>
        </w:rPr>
        <w:fldChar w:fldCharType="separate"/>
      </w:r>
      <w:r>
        <w:rPr>
          <w:color w:val="auto"/>
        </w:rPr>
        <w:t>18</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_Toc32046 </w:instrText>
      </w:r>
      <w:r>
        <w:rPr>
          <w:rFonts w:hint="eastAsia" w:ascii="宋体" w:hAnsi="宋体" w:eastAsia="宋体" w:cs="宋体"/>
          <w:color w:val="auto"/>
          <w:szCs w:val="21"/>
        </w:rPr>
        <w:fldChar w:fldCharType="separate"/>
      </w:r>
      <w:r>
        <w:rPr>
          <w:rFonts w:hint="eastAsia" w:ascii="宋体" w:hAnsi="宋体" w:eastAsia="宋体" w:cs="宋体"/>
          <w:color w:val="auto"/>
          <w:szCs w:val="28"/>
        </w:rPr>
        <w:t>八、其他事项</w:t>
      </w:r>
      <w:r>
        <w:rPr>
          <w:color w:val="auto"/>
        </w:rPr>
        <w:tab/>
      </w:r>
      <w:r>
        <w:rPr>
          <w:color w:val="auto"/>
        </w:rPr>
        <w:fldChar w:fldCharType="begin"/>
      </w:r>
      <w:r>
        <w:rPr>
          <w:color w:val="auto"/>
        </w:rPr>
        <w:instrText xml:space="preserve"> PAGEREF _Toc32046 </w:instrText>
      </w:r>
      <w:r>
        <w:rPr>
          <w:color w:val="auto"/>
        </w:rPr>
        <w:fldChar w:fldCharType="separate"/>
      </w:r>
      <w:r>
        <w:rPr>
          <w:color w:val="auto"/>
        </w:rPr>
        <w:t>19</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_Toc29214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36. 招标代理服务费</w:t>
      </w:r>
      <w:r>
        <w:rPr>
          <w:color w:val="auto"/>
        </w:rPr>
        <w:tab/>
      </w:r>
      <w:r>
        <w:rPr>
          <w:color w:val="auto"/>
        </w:rPr>
        <w:fldChar w:fldCharType="begin"/>
      </w:r>
      <w:r>
        <w:rPr>
          <w:color w:val="auto"/>
        </w:rPr>
        <w:instrText xml:space="preserve"> PAGEREF _Toc29214 </w:instrText>
      </w:r>
      <w:r>
        <w:rPr>
          <w:color w:val="auto"/>
        </w:rPr>
        <w:fldChar w:fldCharType="separate"/>
      </w:r>
      <w:r>
        <w:rPr>
          <w:color w:val="auto"/>
        </w:rPr>
        <w:t>19</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_Toc14410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w:t>
      </w:r>
      <w:r>
        <w:rPr>
          <w:rFonts w:hint="eastAsia" w:ascii="宋体" w:hAnsi="宋体" w:eastAsia="宋体" w:cs="宋体"/>
          <w:color w:val="auto"/>
          <w:szCs w:val="21"/>
          <w:lang w:val="en-US" w:eastAsia="zh-CN"/>
        </w:rPr>
        <w:t>7</w:t>
      </w:r>
      <w:r>
        <w:rPr>
          <w:rFonts w:hint="eastAsia" w:ascii="宋体" w:hAnsi="宋体" w:eastAsia="宋体" w:cs="宋体"/>
          <w:color w:val="auto"/>
          <w:szCs w:val="21"/>
        </w:rPr>
        <w:t>. 解释权</w:t>
      </w:r>
      <w:r>
        <w:rPr>
          <w:color w:val="auto"/>
        </w:rPr>
        <w:tab/>
      </w:r>
      <w:r>
        <w:rPr>
          <w:color w:val="auto"/>
        </w:rPr>
        <w:fldChar w:fldCharType="begin"/>
      </w:r>
      <w:r>
        <w:rPr>
          <w:color w:val="auto"/>
        </w:rPr>
        <w:instrText xml:space="preserve"> PAGEREF _Toc14410 </w:instrText>
      </w:r>
      <w:r>
        <w:rPr>
          <w:color w:val="auto"/>
        </w:rPr>
        <w:fldChar w:fldCharType="separate"/>
      </w:r>
      <w:r>
        <w:rPr>
          <w:color w:val="auto"/>
        </w:rPr>
        <w:t>19</w:t>
      </w:r>
      <w:r>
        <w:rPr>
          <w:color w:val="auto"/>
        </w:rPr>
        <w:fldChar w:fldCharType="end"/>
      </w:r>
      <w:r>
        <w:rPr>
          <w:rFonts w:hint="eastAsia" w:ascii="宋体" w:hAnsi="宋体" w:eastAsia="宋体" w:cs="宋体"/>
          <w:color w:val="auto"/>
          <w:szCs w:val="21"/>
        </w:rPr>
        <w:fldChar w:fldCharType="end"/>
      </w:r>
    </w:p>
    <w:p>
      <w:pPr>
        <w:pStyle w:val="14"/>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_Toc28349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3</w:t>
      </w:r>
      <w:r>
        <w:rPr>
          <w:rFonts w:hint="eastAsia" w:ascii="宋体" w:hAnsi="宋体" w:eastAsia="宋体" w:cs="宋体"/>
          <w:color w:val="auto"/>
          <w:szCs w:val="21"/>
          <w:lang w:val="en-US" w:eastAsia="zh-CN"/>
        </w:rPr>
        <w:t>8</w:t>
      </w:r>
      <w:r>
        <w:rPr>
          <w:rFonts w:hint="eastAsia" w:ascii="宋体" w:hAnsi="宋体" w:eastAsia="宋体" w:cs="宋体"/>
          <w:color w:val="auto"/>
          <w:szCs w:val="21"/>
        </w:rPr>
        <w:t>. 监督管理机构</w:t>
      </w:r>
      <w:r>
        <w:rPr>
          <w:color w:val="auto"/>
        </w:rPr>
        <w:tab/>
      </w:r>
      <w:r>
        <w:rPr>
          <w:color w:val="auto"/>
        </w:rPr>
        <w:fldChar w:fldCharType="begin"/>
      </w:r>
      <w:r>
        <w:rPr>
          <w:color w:val="auto"/>
        </w:rPr>
        <w:instrText xml:space="preserve"> PAGEREF _Toc28349 </w:instrText>
      </w:r>
      <w:r>
        <w:rPr>
          <w:color w:val="auto"/>
        </w:rPr>
        <w:fldChar w:fldCharType="separate"/>
      </w:r>
      <w:r>
        <w:rPr>
          <w:color w:val="auto"/>
        </w:rPr>
        <w:t>19</w:t>
      </w:r>
      <w:r>
        <w:rPr>
          <w:color w:val="auto"/>
        </w:rPr>
        <w:fldChar w:fldCharType="end"/>
      </w:r>
      <w:r>
        <w:rPr>
          <w:rFonts w:hint="eastAsia" w:ascii="宋体" w:hAnsi="宋体" w:eastAsia="宋体" w:cs="宋体"/>
          <w:color w:val="auto"/>
          <w:szCs w:val="21"/>
        </w:rPr>
        <w:fldChar w:fldCharType="end"/>
      </w:r>
    </w:p>
    <w:p>
      <w:pPr>
        <w:pStyle w:val="20"/>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_Toc2219 </w:instrText>
      </w:r>
      <w:r>
        <w:rPr>
          <w:rFonts w:hint="eastAsia" w:ascii="宋体" w:hAnsi="宋体" w:eastAsia="宋体" w:cs="宋体"/>
          <w:color w:val="auto"/>
          <w:szCs w:val="21"/>
        </w:rPr>
        <w:fldChar w:fldCharType="separate"/>
      </w:r>
      <w:r>
        <w:rPr>
          <w:rFonts w:hint="eastAsia" w:ascii="宋体" w:hAnsi="宋体" w:eastAsia="宋体" w:cs="宋体"/>
          <w:bCs/>
          <w:color w:val="auto"/>
          <w:kern w:val="44"/>
          <w:szCs w:val="32"/>
          <w:lang w:val="en-US" w:eastAsia="zh-CN" w:bidi="ar-SA"/>
        </w:rPr>
        <w:t>第三章  货物采购需求</w:t>
      </w:r>
      <w:r>
        <w:rPr>
          <w:color w:val="auto"/>
        </w:rPr>
        <w:tab/>
      </w:r>
      <w:r>
        <w:rPr>
          <w:color w:val="auto"/>
        </w:rPr>
        <w:fldChar w:fldCharType="begin"/>
      </w:r>
      <w:r>
        <w:rPr>
          <w:color w:val="auto"/>
        </w:rPr>
        <w:instrText xml:space="preserve"> PAGEREF _Toc2219 </w:instrText>
      </w:r>
      <w:r>
        <w:rPr>
          <w:color w:val="auto"/>
        </w:rPr>
        <w:fldChar w:fldCharType="separate"/>
      </w:r>
      <w:r>
        <w:rPr>
          <w:color w:val="auto"/>
        </w:rPr>
        <w:t>20</w:t>
      </w:r>
      <w:r>
        <w:rPr>
          <w:color w:val="auto"/>
        </w:rPr>
        <w:fldChar w:fldCharType="end"/>
      </w:r>
      <w:r>
        <w:rPr>
          <w:rFonts w:hint="eastAsia" w:ascii="宋体" w:hAnsi="宋体" w:eastAsia="宋体" w:cs="宋体"/>
          <w:color w:val="auto"/>
          <w:szCs w:val="21"/>
        </w:rPr>
        <w:fldChar w:fldCharType="end"/>
      </w:r>
    </w:p>
    <w:p>
      <w:pPr>
        <w:pStyle w:val="20"/>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_Toc14972 </w:instrText>
      </w:r>
      <w:r>
        <w:rPr>
          <w:rFonts w:hint="eastAsia" w:ascii="宋体" w:hAnsi="宋体" w:eastAsia="宋体" w:cs="宋体"/>
          <w:color w:val="auto"/>
          <w:szCs w:val="21"/>
        </w:rPr>
        <w:fldChar w:fldCharType="separate"/>
      </w:r>
      <w:r>
        <w:rPr>
          <w:rFonts w:hint="eastAsia" w:ascii="宋体" w:hAnsi="宋体" w:eastAsia="宋体" w:cs="宋体"/>
          <w:bCs/>
          <w:color w:val="auto"/>
          <w:kern w:val="44"/>
          <w:szCs w:val="32"/>
          <w:lang w:val="en-US" w:eastAsia="zh-CN" w:bidi="ar-SA"/>
        </w:rPr>
        <w:t>第四章  评标办法</w:t>
      </w:r>
      <w:r>
        <w:rPr>
          <w:color w:val="auto"/>
        </w:rPr>
        <w:tab/>
      </w:r>
      <w:r>
        <w:rPr>
          <w:color w:val="auto"/>
        </w:rPr>
        <w:fldChar w:fldCharType="begin"/>
      </w:r>
      <w:r>
        <w:rPr>
          <w:color w:val="auto"/>
        </w:rPr>
        <w:instrText xml:space="preserve"> PAGEREF _Toc14972 </w:instrText>
      </w:r>
      <w:r>
        <w:rPr>
          <w:color w:val="auto"/>
        </w:rPr>
        <w:fldChar w:fldCharType="separate"/>
      </w:r>
      <w:r>
        <w:rPr>
          <w:color w:val="auto"/>
        </w:rPr>
        <w:t>37</w:t>
      </w:r>
      <w:r>
        <w:rPr>
          <w:color w:val="auto"/>
        </w:rPr>
        <w:fldChar w:fldCharType="end"/>
      </w:r>
      <w:r>
        <w:rPr>
          <w:rFonts w:hint="eastAsia" w:ascii="宋体" w:hAnsi="宋体" w:eastAsia="宋体" w:cs="宋体"/>
          <w:color w:val="auto"/>
          <w:szCs w:val="21"/>
        </w:rPr>
        <w:fldChar w:fldCharType="end"/>
      </w:r>
    </w:p>
    <w:p>
      <w:pPr>
        <w:pStyle w:val="20"/>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_Toc16361 </w:instrText>
      </w:r>
      <w:r>
        <w:rPr>
          <w:rFonts w:hint="eastAsia" w:ascii="宋体" w:hAnsi="宋体" w:eastAsia="宋体" w:cs="宋体"/>
          <w:color w:val="auto"/>
          <w:szCs w:val="21"/>
        </w:rPr>
        <w:fldChar w:fldCharType="separate"/>
      </w:r>
      <w:r>
        <w:rPr>
          <w:rFonts w:hint="eastAsia" w:ascii="宋体" w:hAnsi="宋体" w:eastAsia="宋体" w:cs="宋体"/>
          <w:bCs/>
          <w:color w:val="auto"/>
          <w:kern w:val="44"/>
          <w:szCs w:val="32"/>
          <w:lang w:val="en-US" w:eastAsia="zh-CN" w:bidi="ar-SA"/>
        </w:rPr>
        <w:t>第五章  采购合同（合同主要条款及格式）</w:t>
      </w:r>
      <w:r>
        <w:rPr>
          <w:color w:val="auto"/>
        </w:rPr>
        <w:tab/>
      </w:r>
      <w:r>
        <w:rPr>
          <w:color w:val="auto"/>
        </w:rPr>
        <w:fldChar w:fldCharType="begin"/>
      </w:r>
      <w:r>
        <w:rPr>
          <w:color w:val="auto"/>
        </w:rPr>
        <w:instrText xml:space="preserve"> PAGEREF _Toc16361 </w:instrText>
      </w:r>
      <w:r>
        <w:rPr>
          <w:color w:val="auto"/>
        </w:rPr>
        <w:fldChar w:fldCharType="separate"/>
      </w:r>
      <w:r>
        <w:rPr>
          <w:color w:val="auto"/>
        </w:rPr>
        <w:t>43</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_Toc20977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第一条  合同标的及合同金额</w:t>
      </w:r>
      <w:r>
        <w:rPr>
          <w:color w:val="auto"/>
        </w:rPr>
        <w:tab/>
      </w:r>
      <w:r>
        <w:rPr>
          <w:color w:val="auto"/>
        </w:rPr>
        <w:fldChar w:fldCharType="begin"/>
      </w:r>
      <w:r>
        <w:rPr>
          <w:color w:val="auto"/>
        </w:rPr>
        <w:instrText xml:space="preserve"> PAGEREF _Toc20977 </w:instrText>
      </w:r>
      <w:r>
        <w:rPr>
          <w:color w:val="auto"/>
        </w:rPr>
        <w:fldChar w:fldCharType="separate"/>
      </w:r>
      <w:r>
        <w:rPr>
          <w:color w:val="auto"/>
        </w:rPr>
        <w:t>43</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_Toc7193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第二条  质量保证</w:t>
      </w:r>
      <w:r>
        <w:rPr>
          <w:color w:val="auto"/>
        </w:rPr>
        <w:tab/>
      </w:r>
      <w:r>
        <w:rPr>
          <w:color w:val="auto"/>
        </w:rPr>
        <w:fldChar w:fldCharType="begin"/>
      </w:r>
      <w:r>
        <w:rPr>
          <w:color w:val="auto"/>
        </w:rPr>
        <w:instrText xml:space="preserve"> PAGEREF _Toc7193 </w:instrText>
      </w:r>
      <w:r>
        <w:rPr>
          <w:color w:val="auto"/>
        </w:rPr>
        <w:fldChar w:fldCharType="separate"/>
      </w:r>
      <w:r>
        <w:rPr>
          <w:color w:val="auto"/>
        </w:rPr>
        <w:t>43</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_Toc18258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第三条  权力保证</w:t>
      </w:r>
      <w:r>
        <w:rPr>
          <w:color w:val="auto"/>
        </w:rPr>
        <w:tab/>
      </w:r>
      <w:r>
        <w:rPr>
          <w:color w:val="auto"/>
        </w:rPr>
        <w:fldChar w:fldCharType="begin"/>
      </w:r>
      <w:r>
        <w:rPr>
          <w:color w:val="auto"/>
        </w:rPr>
        <w:instrText xml:space="preserve"> PAGEREF _Toc18258 </w:instrText>
      </w:r>
      <w:r>
        <w:rPr>
          <w:color w:val="auto"/>
        </w:rPr>
        <w:fldChar w:fldCharType="separate"/>
      </w:r>
      <w:r>
        <w:rPr>
          <w:color w:val="auto"/>
        </w:rPr>
        <w:t>43</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_Toc18759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第四条  货物包装、运输</w:t>
      </w:r>
      <w:r>
        <w:rPr>
          <w:color w:val="auto"/>
        </w:rPr>
        <w:tab/>
      </w:r>
      <w:r>
        <w:rPr>
          <w:color w:val="auto"/>
        </w:rPr>
        <w:fldChar w:fldCharType="begin"/>
      </w:r>
      <w:r>
        <w:rPr>
          <w:color w:val="auto"/>
        </w:rPr>
        <w:instrText xml:space="preserve"> PAGEREF _Toc18759 </w:instrText>
      </w:r>
      <w:r>
        <w:rPr>
          <w:color w:val="auto"/>
        </w:rPr>
        <w:fldChar w:fldCharType="separate"/>
      </w:r>
      <w:r>
        <w:rPr>
          <w:color w:val="auto"/>
        </w:rPr>
        <w:t>44</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_Toc5755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第五条  交付</w:t>
      </w:r>
      <w:r>
        <w:rPr>
          <w:color w:val="auto"/>
        </w:rPr>
        <w:tab/>
      </w:r>
      <w:r>
        <w:rPr>
          <w:color w:val="auto"/>
        </w:rPr>
        <w:fldChar w:fldCharType="begin"/>
      </w:r>
      <w:r>
        <w:rPr>
          <w:color w:val="auto"/>
        </w:rPr>
        <w:instrText xml:space="preserve"> PAGEREF _Toc5755 </w:instrText>
      </w:r>
      <w:r>
        <w:rPr>
          <w:color w:val="auto"/>
        </w:rPr>
        <w:fldChar w:fldCharType="separate"/>
      </w:r>
      <w:r>
        <w:rPr>
          <w:color w:val="auto"/>
        </w:rPr>
        <w:t>44</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_Toc23508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第六条  调试和验收</w:t>
      </w:r>
      <w:r>
        <w:rPr>
          <w:color w:val="auto"/>
        </w:rPr>
        <w:tab/>
      </w:r>
      <w:r>
        <w:rPr>
          <w:color w:val="auto"/>
        </w:rPr>
        <w:fldChar w:fldCharType="begin"/>
      </w:r>
      <w:r>
        <w:rPr>
          <w:color w:val="auto"/>
        </w:rPr>
        <w:instrText xml:space="preserve"> PAGEREF _Toc23508 </w:instrText>
      </w:r>
      <w:r>
        <w:rPr>
          <w:color w:val="auto"/>
        </w:rPr>
        <w:fldChar w:fldCharType="separate"/>
      </w:r>
      <w:r>
        <w:rPr>
          <w:color w:val="auto"/>
        </w:rPr>
        <w:t>44</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_Toc21085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第七条  安装和培训</w:t>
      </w:r>
      <w:r>
        <w:rPr>
          <w:color w:val="auto"/>
        </w:rPr>
        <w:tab/>
      </w:r>
      <w:r>
        <w:rPr>
          <w:color w:val="auto"/>
        </w:rPr>
        <w:fldChar w:fldCharType="begin"/>
      </w:r>
      <w:r>
        <w:rPr>
          <w:color w:val="auto"/>
        </w:rPr>
        <w:instrText xml:space="preserve"> PAGEREF _Toc21085 </w:instrText>
      </w:r>
      <w:r>
        <w:rPr>
          <w:color w:val="auto"/>
        </w:rPr>
        <w:fldChar w:fldCharType="separate"/>
      </w:r>
      <w:r>
        <w:rPr>
          <w:color w:val="auto"/>
        </w:rPr>
        <w:t>45</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_Toc29370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第八条  售后服务、保修期</w:t>
      </w:r>
      <w:r>
        <w:rPr>
          <w:color w:val="auto"/>
        </w:rPr>
        <w:tab/>
      </w:r>
      <w:r>
        <w:rPr>
          <w:color w:val="auto"/>
        </w:rPr>
        <w:fldChar w:fldCharType="begin"/>
      </w:r>
      <w:r>
        <w:rPr>
          <w:color w:val="auto"/>
        </w:rPr>
        <w:instrText xml:space="preserve"> PAGEREF _Toc29370 </w:instrText>
      </w:r>
      <w:r>
        <w:rPr>
          <w:color w:val="auto"/>
        </w:rPr>
        <w:fldChar w:fldCharType="separate"/>
      </w:r>
      <w:r>
        <w:rPr>
          <w:color w:val="auto"/>
        </w:rPr>
        <w:t>45</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_Toc16038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第九条  税费</w:t>
      </w:r>
      <w:r>
        <w:rPr>
          <w:color w:val="auto"/>
        </w:rPr>
        <w:tab/>
      </w:r>
      <w:r>
        <w:rPr>
          <w:color w:val="auto"/>
        </w:rPr>
        <w:fldChar w:fldCharType="begin"/>
      </w:r>
      <w:r>
        <w:rPr>
          <w:color w:val="auto"/>
        </w:rPr>
        <w:instrText xml:space="preserve"> PAGEREF _Toc16038 </w:instrText>
      </w:r>
      <w:r>
        <w:rPr>
          <w:color w:val="auto"/>
        </w:rPr>
        <w:fldChar w:fldCharType="separate"/>
      </w:r>
      <w:r>
        <w:rPr>
          <w:color w:val="auto"/>
        </w:rPr>
        <w:t>45</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_Toc26889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第十条  付款方式</w:t>
      </w:r>
      <w:r>
        <w:rPr>
          <w:color w:val="auto"/>
        </w:rPr>
        <w:tab/>
      </w:r>
      <w:r>
        <w:rPr>
          <w:color w:val="auto"/>
        </w:rPr>
        <w:fldChar w:fldCharType="begin"/>
      </w:r>
      <w:r>
        <w:rPr>
          <w:color w:val="auto"/>
        </w:rPr>
        <w:instrText xml:space="preserve"> PAGEREF _Toc26889 </w:instrText>
      </w:r>
      <w:r>
        <w:rPr>
          <w:color w:val="auto"/>
        </w:rPr>
        <w:fldChar w:fldCharType="separate"/>
      </w:r>
      <w:r>
        <w:rPr>
          <w:color w:val="auto"/>
        </w:rPr>
        <w:t>46</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_Toc16350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第十一条  违约责任</w:t>
      </w:r>
      <w:r>
        <w:rPr>
          <w:color w:val="auto"/>
        </w:rPr>
        <w:tab/>
      </w:r>
      <w:r>
        <w:rPr>
          <w:color w:val="auto"/>
        </w:rPr>
        <w:fldChar w:fldCharType="begin"/>
      </w:r>
      <w:r>
        <w:rPr>
          <w:color w:val="auto"/>
        </w:rPr>
        <w:instrText xml:space="preserve"> PAGEREF _Toc16350 </w:instrText>
      </w:r>
      <w:r>
        <w:rPr>
          <w:color w:val="auto"/>
        </w:rPr>
        <w:fldChar w:fldCharType="separate"/>
      </w:r>
      <w:r>
        <w:rPr>
          <w:color w:val="auto"/>
        </w:rPr>
        <w:t>46</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_Toc30736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第十二条  不可抗力事件处理</w:t>
      </w:r>
      <w:r>
        <w:rPr>
          <w:color w:val="auto"/>
        </w:rPr>
        <w:tab/>
      </w:r>
      <w:r>
        <w:rPr>
          <w:color w:val="auto"/>
        </w:rPr>
        <w:fldChar w:fldCharType="begin"/>
      </w:r>
      <w:r>
        <w:rPr>
          <w:color w:val="auto"/>
        </w:rPr>
        <w:instrText xml:space="preserve"> PAGEREF _Toc30736 </w:instrText>
      </w:r>
      <w:r>
        <w:rPr>
          <w:color w:val="auto"/>
        </w:rPr>
        <w:fldChar w:fldCharType="separate"/>
      </w:r>
      <w:r>
        <w:rPr>
          <w:color w:val="auto"/>
        </w:rPr>
        <w:t>47</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_Toc7512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第十三条  合同争议解决</w:t>
      </w:r>
      <w:r>
        <w:rPr>
          <w:color w:val="auto"/>
        </w:rPr>
        <w:tab/>
      </w:r>
      <w:r>
        <w:rPr>
          <w:color w:val="auto"/>
        </w:rPr>
        <w:fldChar w:fldCharType="begin"/>
      </w:r>
      <w:r>
        <w:rPr>
          <w:color w:val="auto"/>
        </w:rPr>
        <w:instrText xml:space="preserve"> PAGEREF _Toc7512 </w:instrText>
      </w:r>
      <w:r>
        <w:rPr>
          <w:color w:val="auto"/>
        </w:rPr>
        <w:fldChar w:fldCharType="separate"/>
      </w:r>
      <w:r>
        <w:rPr>
          <w:color w:val="auto"/>
        </w:rPr>
        <w:t>47</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_Toc30739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第十四条  合同生效及其它</w:t>
      </w:r>
      <w:r>
        <w:rPr>
          <w:color w:val="auto"/>
        </w:rPr>
        <w:tab/>
      </w:r>
      <w:r>
        <w:rPr>
          <w:color w:val="auto"/>
        </w:rPr>
        <w:fldChar w:fldCharType="begin"/>
      </w:r>
      <w:r>
        <w:rPr>
          <w:color w:val="auto"/>
        </w:rPr>
        <w:instrText xml:space="preserve"> PAGEREF _Toc30739 </w:instrText>
      </w:r>
      <w:r>
        <w:rPr>
          <w:color w:val="auto"/>
        </w:rPr>
        <w:fldChar w:fldCharType="separate"/>
      </w:r>
      <w:r>
        <w:rPr>
          <w:color w:val="auto"/>
        </w:rPr>
        <w:t>47</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_Toc11165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第十五条  合同的变更、终止与转让</w:t>
      </w:r>
      <w:r>
        <w:rPr>
          <w:color w:val="auto"/>
        </w:rPr>
        <w:tab/>
      </w:r>
      <w:r>
        <w:rPr>
          <w:color w:val="auto"/>
        </w:rPr>
        <w:fldChar w:fldCharType="begin"/>
      </w:r>
      <w:r>
        <w:rPr>
          <w:color w:val="auto"/>
        </w:rPr>
        <w:instrText xml:space="preserve"> PAGEREF _Toc11165 </w:instrText>
      </w:r>
      <w:r>
        <w:rPr>
          <w:color w:val="auto"/>
        </w:rPr>
        <w:fldChar w:fldCharType="separate"/>
      </w:r>
      <w:r>
        <w:rPr>
          <w:color w:val="auto"/>
        </w:rPr>
        <w:t>47</w:t>
      </w:r>
      <w:r>
        <w:rPr>
          <w:color w:val="auto"/>
        </w:rPr>
        <w:fldChar w:fldCharType="end"/>
      </w:r>
      <w:r>
        <w:rPr>
          <w:rFonts w:hint="eastAsia" w:ascii="宋体" w:hAnsi="宋体" w:eastAsia="宋体" w:cs="宋体"/>
          <w:color w:val="auto"/>
          <w:szCs w:val="21"/>
        </w:rPr>
        <w:fldChar w:fldCharType="end"/>
      </w:r>
    </w:p>
    <w:p>
      <w:pPr>
        <w:pStyle w:val="21"/>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_Toc7041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第十六条  签订本合同依据</w:t>
      </w:r>
      <w:r>
        <w:rPr>
          <w:color w:val="auto"/>
        </w:rPr>
        <w:tab/>
      </w:r>
      <w:r>
        <w:rPr>
          <w:color w:val="auto"/>
        </w:rPr>
        <w:fldChar w:fldCharType="begin"/>
      </w:r>
      <w:r>
        <w:rPr>
          <w:color w:val="auto"/>
        </w:rPr>
        <w:instrText xml:space="preserve"> PAGEREF _Toc7041 </w:instrText>
      </w:r>
      <w:r>
        <w:rPr>
          <w:color w:val="auto"/>
        </w:rPr>
        <w:fldChar w:fldCharType="separate"/>
      </w:r>
      <w:r>
        <w:rPr>
          <w:color w:val="auto"/>
        </w:rPr>
        <w:t>47</w:t>
      </w:r>
      <w:r>
        <w:rPr>
          <w:color w:val="auto"/>
        </w:rPr>
        <w:fldChar w:fldCharType="end"/>
      </w:r>
      <w:r>
        <w:rPr>
          <w:rFonts w:hint="eastAsia" w:ascii="宋体" w:hAnsi="宋体" w:eastAsia="宋体" w:cs="宋体"/>
          <w:color w:val="auto"/>
          <w:szCs w:val="21"/>
        </w:rPr>
        <w:fldChar w:fldCharType="end"/>
      </w:r>
    </w:p>
    <w:p>
      <w:pPr>
        <w:pStyle w:val="20"/>
        <w:tabs>
          <w:tab w:val="right" w:leader="dot" w:pos="9746"/>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_Toc27453 </w:instrText>
      </w:r>
      <w:r>
        <w:rPr>
          <w:rFonts w:hint="eastAsia" w:ascii="宋体" w:hAnsi="宋体" w:eastAsia="宋体" w:cs="宋体"/>
          <w:color w:val="auto"/>
          <w:szCs w:val="21"/>
        </w:rPr>
        <w:fldChar w:fldCharType="separate"/>
      </w:r>
      <w:r>
        <w:rPr>
          <w:rFonts w:hint="eastAsia" w:ascii="宋体" w:hAnsi="宋体" w:eastAsia="宋体" w:cs="宋体"/>
          <w:bCs/>
          <w:color w:val="auto"/>
          <w:kern w:val="44"/>
          <w:szCs w:val="32"/>
          <w:lang w:val="en-US" w:eastAsia="zh-CN" w:bidi="ar-SA"/>
        </w:rPr>
        <w:t>第六章  投标文件（格式）</w:t>
      </w:r>
      <w:r>
        <w:rPr>
          <w:color w:val="auto"/>
        </w:rPr>
        <w:tab/>
      </w:r>
      <w:r>
        <w:rPr>
          <w:color w:val="auto"/>
        </w:rPr>
        <w:fldChar w:fldCharType="begin"/>
      </w:r>
      <w:r>
        <w:rPr>
          <w:color w:val="auto"/>
        </w:rPr>
        <w:instrText xml:space="preserve"> PAGEREF _Toc27453 </w:instrText>
      </w:r>
      <w:r>
        <w:rPr>
          <w:color w:val="auto"/>
        </w:rPr>
        <w:fldChar w:fldCharType="separate"/>
      </w:r>
      <w:r>
        <w:rPr>
          <w:color w:val="auto"/>
        </w:rPr>
        <w:t>49</w:t>
      </w:r>
      <w:r>
        <w:rPr>
          <w:color w:val="auto"/>
        </w:rPr>
        <w:fldChar w:fldCharType="end"/>
      </w:r>
      <w:r>
        <w:rPr>
          <w:rFonts w:hint="eastAsia" w:ascii="宋体" w:hAnsi="宋体" w:eastAsia="宋体" w:cs="宋体"/>
          <w:color w:val="auto"/>
          <w:szCs w:val="21"/>
        </w:rPr>
        <w:fldChar w:fldCharType="end"/>
      </w:r>
    </w:p>
    <w:p>
      <w:pPr>
        <w:rPr>
          <w:rFonts w:hint="eastAsia" w:ascii="宋体" w:hAnsi="宋体" w:eastAsia="宋体" w:cs="宋体"/>
          <w:color w:val="auto"/>
          <w:szCs w:val="21"/>
        </w:rPr>
      </w:pPr>
      <w:r>
        <w:rPr>
          <w:rFonts w:hint="eastAsia" w:ascii="宋体" w:hAnsi="宋体" w:eastAsia="宋体" w:cs="宋体"/>
          <w:color w:val="auto"/>
          <w:szCs w:val="21"/>
        </w:rPr>
        <w:fldChar w:fldCharType="end"/>
      </w:r>
    </w:p>
    <w:p>
      <w:pPr>
        <w:jc w:val="center"/>
        <w:outlineLvl w:val="0"/>
        <w:rPr>
          <w:rFonts w:hint="eastAsia" w:ascii="宋体" w:hAnsi="宋体" w:eastAsia="宋体" w:cs="宋体"/>
          <w:color w:val="auto"/>
          <w:sz w:val="32"/>
          <w:szCs w:val="32"/>
        </w:rPr>
        <w:sectPr>
          <w:footerReference r:id="rId5" w:type="default"/>
          <w:pgSz w:w="11906" w:h="16838"/>
          <w:pgMar w:top="1440" w:right="1080" w:bottom="1440" w:left="1080" w:header="851" w:footer="992" w:gutter="0"/>
          <w:pgNumType w:fmt="upperRoman" w:start="1"/>
          <w:cols w:space="720" w:num="1"/>
          <w:docGrid w:type="lines" w:linePitch="312" w:charSpace="0"/>
        </w:sectPr>
      </w:pPr>
    </w:p>
    <w:p>
      <w:pPr>
        <w:pStyle w:val="3"/>
        <w:keepNext/>
        <w:keepLines/>
        <w:pageBreakBefore w:val="0"/>
        <w:widowControl w:val="0"/>
        <w:numPr>
          <w:ilvl w:val="0"/>
          <w:numId w:val="1"/>
        </w:numPr>
        <w:tabs>
          <w:tab w:val="left" w:pos="0"/>
          <w:tab w:val="left" w:pos="3165"/>
          <w:tab w:val="center" w:pos="4153"/>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rPr>
      </w:pPr>
      <w:bookmarkStart w:id="0" w:name="_Toc35393789"/>
      <w:bookmarkStart w:id="1" w:name="_Toc28359001"/>
      <w:bookmarkStart w:id="2" w:name="_Toc27727"/>
      <w:r>
        <w:rPr>
          <w:rFonts w:hint="eastAsia" w:ascii="宋体" w:hAnsi="宋体" w:eastAsia="宋体" w:cs="宋体"/>
          <w:color w:val="auto"/>
          <w:sz w:val="32"/>
          <w:szCs w:val="32"/>
        </w:rPr>
        <w:t>公开招标公告</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项目概况</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桂林市政府集中采购中心</w:t>
      </w:r>
      <w:r>
        <w:rPr>
          <w:rFonts w:hint="eastAsia" w:ascii="宋体" w:hAnsi="宋体" w:eastAsia="宋体" w:cs="宋体"/>
          <w:color w:val="auto"/>
          <w:sz w:val="28"/>
          <w:szCs w:val="28"/>
        </w:rPr>
        <w:t>受</w:t>
      </w:r>
      <w:r>
        <w:rPr>
          <w:rFonts w:hint="eastAsia" w:ascii="宋体" w:hAnsi="宋体" w:cs="宋体"/>
          <w:color w:val="auto"/>
          <w:sz w:val="28"/>
          <w:szCs w:val="28"/>
          <w:u w:val="single"/>
          <w:lang w:val="en-US" w:eastAsia="zh-CN"/>
        </w:rPr>
        <w:t>桂林电子科技大学</w:t>
      </w:r>
      <w:r>
        <w:rPr>
          <w:rFonts w:hint="eastAsia" w:ascii="宋体" w:hAnsi="宋体" w:eastAsia="宋体" w:cs="宋体"/>
          <w:color w:val="auto"/>
          <w:sz w:val="28"/>
          <w:szCs w:val="28"/>
        </w:rPr>
        <w:t>委托，根据《中华人民共和国政府采购法》、《中华人民共和国政府采购法实施条例》及财政部令第87号《政府采购货物和服务招标投标管理办法》等规定，现就</w:t>
      </w:r>
      <w:r>
        <w:rPr>
          <w:rFonts w:hint="eastAsia" w:ascii="宋体" w:hAnsi="宋体" w:cs="宋体"/>
          <w:color w:val="auto"/>
          <w:sz w:val="28"/>
          <w:szCs w:val="28"/>
          <w:u w:val="single"/>
          <w:lang w:val="en-US" w:eastAsia="zh-CN"/>
        </w:rPr>
        <w:t>花江校区新建F栋学生宿舍组团家具采购</w:t>
      </w:r>
      <w:r>
        <w:rPr>
          <w:rFonts w:hint="eastAsia" w:ascii="宋体" w:hAnsi="宋体" w:eastAsia="宋体" w:cs="宋体"/>
          <w:color w:val="auto"/>
          <w:sz w:val="28"/>
          <w:szCs w:val="28"/>
        </w:rPr>
        <w:t>项目进行公开招标，欢迎符合条件的供应商前来投标，</w:t>
      </w:r>
      <w:r>
        <w:rPr>
          <w:rFonts w:hint="eastAsia" w:ascii="宋体" w:hAnsi="宋体" w:eastAsia="宋体" w:cs="宋体"/>
          <w:color w:val="auto"/>
          <w:sz w:val="28"/>
          <w:szCs w:val="28"/>
          <w:lang w:val="en-US" w:eastAsia="zh-CN"/>
        </w:rPr>
        <w:t>并于2020年</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21</w:t>
      </w:r>
      <w:r>
        <w:rPr>
          <w:rFonts w:hint="eastAsia" w:ascii="宋体" w:hAnsi="宋体" w:eastAsia="宋体" w:cs="宋体"/>
          <w:color w:val="auto"/>
          <w:sz w:val="28"/>
          <w:szCs w:val="28"/>
          <w:lang w:val="en-US" w:eastAsia="zh-CN"/>
        </w:rPr>
        <w:t>日上午9点30分前递交投标文件。</w:t>
      </w:r>
      <w:r>
        <w:rPr>
          <w:rFonts w:hint="eastAsia" w:ascii="宋体" w:hAnsi="宋体" w:eastAsia="宋体" w:cs="宋体"/>
          <w:color w:val="auto"/>
          <w:sz w:val="28"/>
          <w:szCs w:val="28"/>
        </w:rPr>
        <w:t>现将本次公开招标的有关事项公告如下：</w:t>
      </w:r>
    </w:p>
    <w:p>
      <w:pPr>
        <w:numPr>
          <w:ilvl w:val="0"/>
          <w:numId w:val="0"/>
        </w:numPr>
        <w:rPr>
          <w:rFonts w:hint="eastAsia" w:ascii="宋体" w:hAnsi="宋体" w:eastAsia="宋体" w:cs="宋体"/>
          <w:color w:val="auto"/>
        </w:rPr>
      </w:pPr>
    </w:p>
    <w:p>
      <w:pPr>
        <w:rPr>
          <w:rFonts w:hint="eastAsia" w:ascii="宋体" w:hAnsi="宋体" w:eastAsia="宋体" w:cs="宋体"/>
          <w:color w:val="auto"/>
          <w:sz w:val="28"/>
          <w:szCs w:val="28"/>
        </w:rPr>
      </w:pPr>
      <w:bookmarkStart w:id="3" w:name="_Toc28359002"/>
      <w:bookmarkStart w:id="4" w:name="_Toc35393621"/>
      <w:bookmarkStart w:id="5" w:name="_Toc35393790"/>
      <w:bookmarkStart w:id="6" w:name="_Toc28359079"/>
      <w:bookmarkStart w:id="7" w:name="_Hlk24379207"/>
      <w:r>
        <w:rPr>
          <w:rFonts w:hint="eastAsia" w:ascii="宋体" w:hAnsi="宋体" w:eastAsia="宋体" w:cs="宋体"/>
          <w:color w:val="auto"/>
          <w:sz w:val="28"/>
          <w:szCs w:val="28"/>
        </w:rPr>
        <w:t>一、项目基本情况</w:t>
      </w:r>
      <w:bookmarkEnd w:id="3"/>
      <w:bookmarkEnd w:id="4"/>
      <w:bookmarkEnd w:id="5"/>
      <w:bookmarkEnd w:id="6"/>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项目编号：</w:t>
      </w:r>
      <w:r>
        <w:rPr>
          <w:rFonts w:hint="eastAsia" w:ascii="宋体" w:hAnsi="宋体" w:cs="宋体"/>
          <w:color w:val="auto"/>
          <w:sz w:val="28"/>
          <w:szCs w:val="28"/>
          <w:lang w:eastAsia="zh-CN"/>
        </w:rPr>
        <w:t>GXZC2020-G1-002818-JCZX</w:t>
      </w:r>
    </w:p>
    <w:p>
      <w:pPr>
        <w:pageBreakBefore w:val="0"/>
        <w:kinsoku/>
        <w:wordWrap/>
        <w:overflowPunct/>
        <w:topLinePunct w:val="0"/>
        <w:bidi w:val="0"/>
        <w:spacing w:line="38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项目名称：</w:t>
      </w:r>
      <w:r>
        <w:rPr>
          <w:rFonts w:hint="eastAsia" w:ascii="宋体" w:hAnsi="宋体" w:cs="宋体"/>
          <w:color w:val="auto"/>
          <w:sz w:val="28"/>
          <w:szCs w:val="28"/>
          <w:lang w:val="en-US" w:eastAsia="zh-CN"/>
        </w:rPr>
        <w:t>花江校区新建F栋学生宿舍组团家具采购</w:t>
      </w:r>
    </w:p>
    <w:bookmarkEnd w:id="7"/>
    <w:p>
      <w:pPr>
        <w:keepNext w:val="0"/>
        <w:keepLines w:val="0"/>
        <w:pageBreakBefore w:val="0"/>
        <w:widowControl w:val="0"/>
        <w:kinsoku/>
        <w:wordWrap/>
        <w:overflowPunct/>
        <w:topLinePunct w:val="0"/>
        <w:autoSpaceDE/>
        <w:autoSpaceDN/>
        <w:bidi w:val="0"/>
        <w:adjustRightInd/>
        <w:snapToGrid/>
        <w:spacing w:line="380" w:lineRule="exact"/>
        <w:ind w:left="559" w:leftChars="266"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预算金额：人民币壹仟叁佰贰拾叁万贰仟元整（¥</w:t>
      </w:r>
      <w:r>
        <w:rPr>
          <w:rFonts w:hint="eastAsia" w:ascii="宋体" w:hAnsi="宋体" w:eastAsia="宋体" w:cs="宋体"/>
          <w:color w:val="auto"/>
          <w:sz w:val="28"/>
          <w:szCs w:val="28"/>
          <w:lang w:val="en-US"/>
        </w:rPr>
        <w:t>13232000.00</w:t>
      </w:r>
      <w:r>
        <w:rPr>
          <w:rFonts w:hint="eastAsia" w:ascii="宋体" w:hAnsi="宋体" w:eastAsia="宋体" w:cs="宋体"/>
          <w:color w:val="auto"/>
          <w:sz w:val="28"/>
          <w:szCs w:val="28"/>
        </w:rPr>
        <w:t>），其中</w:t>
      </w:r>
      <w:r>
        <w:rPr>
          <w:rFonts w:hint="eastAsia" w:ascii="宋体" w:hAnsi="宋体" w:eastAsia="宋体" w:cs="宋体"/>
          <w:color w:val="auto"/>
          <w:sz w:val="28"/>
          <w:szCs w:val="28"/>
          <w:lang w:val="en-US"/>
        </w:rPr>
        <w:t>A分标</w:t>
      </w:r>
      <w:r>
        <w:rPr>
          <w:rFonts w:hint="eastAsia" w:ascii="宋体" w:hAnsi="宋体" w:eastAsia="宋体" w:cs="宋体"/>
          <w:color w:val="auto"/>
          <w:sz w:val="28"/>
          <w:szCs w:val="28"/>
        </w:rPr>
        <w:t>预算金额：人民币肆佰柒拾柒万贰仟伍佰元整（¥</w:t>
      </w:r>
      <w:r>
        <w:rPr>
          <w:rFonts w:hint="eastAsia" w:ascii="宋体" w:hAnsi="宋体" w:eastAsia="宋体" w:cs="宋体"/>
          <w:color w:val="auto"/>
          <w:sz w:val="28"/>
          <w:szCs w:val="28"/>
          <w:lang w:val="en-US"/>
        </w:rPr>
        <w:t>4772500.00</w:t>
      </w:r>
      <w:r>
        <w:rPr>
          <w:rFonts w:hint="eastAsia" w:ascii="宋体" w:hAnsi="宋体" w:eastAsia="宋体" w:cs="宋体"/>
          <w:color w:val="auto"/>
          <w:sz w:val="28"/>
          <w:szCs w:val="28"/>
        </w:rPr>
        <w:t>）</w:t>
      </w:r>
      <w:r>
        <w:rPr>
          <w:rFonts w:hint="eastAsia" w:ascii="宋体" w:hAnsi="宋体" w:eastAsia="宋体" w:cs="宋体"/>
          <w:color w:val="auto"/>
          <w:sz w:val="28"/>
          <w:szCs w:val="28"/>
          <w:lang w:val="en-US"/>
        </w:rPr>
        <w:t>；B分标</w:t>
      </w:r>
      <w:r>
        <w:rPr>
          <w:rFonts w:hint="eastAsia" w:ascii="宋体" w:hAnsi="宋体" w:eastAsia="宋体" w:cs="宋体"/>
          <w:color w:val="auto"/>
          <w:sz w:val="28"/>
          <w:szCs w:val="28"/>
        </w:rPr>
        <w:t>预算金额：人民币肆佰柒拾柒万贰仟伍佰元整（¥</w:t>
      </w:r>
      <w:r>
        <w:rPr>
          <w:rFonts w:hint="eastAsia" w:ascii="宋体" w:hAnsi="宋体" w:eastAsia="宋体" w:cs="宋体"/>
          <w:color w:val="auto"/>
          <w:sz w:val="28"/>
          <w:szCs w:val="28"/>
          <w:lang w:val="en-US"/>
        </w:rPr>
        <w:t>4772500.00</w:t>
      </w:r>
      <w:r>
        <w:rPr>
          <w:rFonts w:hint="eastAsia" w:ascii="宋体" w:hAnsi="宋体" w:eastAsia="宋体" w:cs="宋体"/>
          <w:color w:val="auto"/>
          <w:sz w:val="28"/>
          <w:szCs w:val="28"/>
        </w:rPr>
        <w:t>）；</w:t>
      </w:r>
      <w:r>
        <w:rPr>
          <w:rFonts w:hint="eastAsia" w:ascii="宋体" w:hAnsi="宋体" w:eastAsia="宋体" w:cs="宋体"/>
          <w:color w:val="auto"/>
          <w:sz w:val="28"/>
          <w:szCs w:val="28"/>
          <w:lang w:val="en-US"/>
        </w:rPr>
        <w:t>C分标</w:t>
      </w:r>
      <w:r>
        <w:rPr>
          <w:rFonts w:hint="eastAsia" w:ascii="宋体" w:hAnsi="宋体" w:eastAsia="宋体" w:cs="宋体"/>
          <w:color w:val="auto"/>
          <w:sz w:val="28"/>
          <w:szCs w:val="28"/>
        </w:rPr>
        <w:t>预算金额：人民币叁佰陆拾捌万柒仟元整（¥</w:t>
      </w:r>
      <w:r>
        <w:rPr>
          <w:rFonts w:hint="eastAsia" w:ascii="宋体" w:hAnsi="宋体" w:eastAsia="宋体" w:cs="宋体"/>
          <w:color w:val="auto"/>
          <w:sz w:val="28"/>
          <w:szCs w:val="28"/>
          <w:lang w:val="en-US"/>
        </w:rPr>
        <w:t>3687000.00</w:t>
      </w:r>
      <w:r>
        <w:rPr>
          <w:rFonts w:hint="eastAsia" w:ascii="宋体" w:hAnsi="宋体" w:eastAsia="宋体" w:cs="宋体"/>
          <w:color w:val="auto"/>
          <w:sz w:val="28"/>
          <w:szCs w:val="28"/>
        </w:rPr>
        <w:t>）。</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采购需求：</w:t>
      </w:r>
    </w:p>
    <w:tbl>
      <w:tblPr>
        <w:tblStyle w:val="26"/>
        <w:tblW w:w="9000" w:type="dxa"/>
        <w:tblInd w:w="7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2683"/>
        <w:gridCol w:w="1097"/>
        <w:gridCol w:w="1002"/>
        <w:gridCol w:w="3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097" w:type="dxa"/>
          </w:tcPr>
          <w:p>
            <w:pPr>
              <w:pStyle w:val="67"/>
              <w:spacing w:before="111"/>
              <w:ind w:left="248" w:right="239"/>
              <w:jc w:val="center"/>
              <w:rPr>
                <w:rFonts w:ascii="仿宋" w:eastAsia="仿宋"/>
                <w:color w:val="auto"/>
                <w:sz w:val="28"/>
              </w:rPr>
            </w:pPr>
            <w:r>
              <w:rPr>
                <w:rFonts w:hint="eastAsia" w:ascii="仿宋" w:eastAsia="仿宋"/>
                <w:color w:val="auto"/>
                <w:sz w:val="28"/>
              </w:rPr>
              <w:t>项号</w:t>
            </w:r>
          </w:p>
        </w:tc>
        <w:tc>
          <w:tcPr>
            <w:tcW w:w="2683" w:type="dxa"/>
          </w:tcPr>
          <w:p>
            <w:pPr>
              <w:pStyle w:val="67"/>
              <w:spacing w:before="111"/>
              <w:ind w:left="123" w:right="114"/>
              <w:jc w:val="center"/>
              <w:rPr>
                <w:rFonts w:ascii="仿宋" w:eastAsia="仿宋"/>
                <w:color w:val="auto"/>
                <w:sz w:val="28"/>
              </w:rPr>
            </w:pPr>
            <w:r>
              <w:rPr>
                <w:rFonts w:hint="eastAsia" w:ascii="仿宋" w:eastAsia="仿宋"/>
                <w:color w:val="auto"/>
                <w:sz w:val="28"/>
              </w:rPr>
              <w:t>货物名称</w:t>
            </w:r>
          </w:p>
        </w:tc>
        <w:tc>
          <w:tcPr>
            <w:tcW w:w="1097" w:type="dxa"/>
          </w:tcPr>
          <w:p>
            <w:pPr>
              <w:pStyle w:val="67"/>
              <w:spacing w:before="84"/>
              <w:ind w:left="229" w:right="220"/>
              <w:jc w:val="center"/>
              <w:rPr>
                <w:rFonts w:ascii="仿宋" w:eastAsia="仿宋"/>
                <w:color w:val="auto"/>
                <w:sz w:val="28"/>
              </w:rPr>
            </w:pPr>
            <w:r>
              <w:rPr>
                <w:rFonts w:hint="eastAsia" w:ascii="仿宋" w:eastAsia="仿宋"/>
                <w:color w:val="auto"/>
                <w:sz w:val="28"/>
              </w:rPr>
              <w:t>单位</w:t>
            </w:r>
          </w:p>
        </w:tc>
        <w:tc>
          <w:tcPr>
            <w:tcW w:w="1002" w:type="dxa"/>
          </w:tcPr>
          <w:p>
            <w:pPr>
              <w:pStyle w:val="67"/>
              <w:spacing w:before="84"/>
              <w:ind w:left="221" w:right="209"/>
              <w:jc w:val="center"/>
              <w:rPr>
                <w:rFonts w:ascii="仿宋" w:eastAsia="仿宋"/>
                <w:color w:val="auto"/>
                <w:sz w:val="28"/>
              </w:rPr>
            </w:pPr>
            <w:r>
              <w:rPr>
                <w:rFonts w:hint="eastAsia" w:ascii="仿宋" w:eastAsia="仿宋"/>
                <w:color w:val="auto"/>
                <w:sz w:val="28"/>
              </w:rPr>
              <w:t>数量</w:t>
            </w:r>
          </w:p>
        </w:tc>
        <w:tc>
          <w:tcPr>
            <w:tcW w:w="3121" w:type="dxa"/>
          </w:tcPr>
          <w:p>
            <w:pPr>
              <w:pStyle w:val="67"/>
              <w:spacing w:before="111"/>
              <w:ind w:left="138" w:right="130"/>
              <w:jc w:val="center"/>
              <w:rPr>
                <w:rFonts w:ascii="仿宋" w:eastAsia="仿宋"/>
                <w:color w:val="auto"/>
                <w:sz w:val="28"/>
              </w:rPr>
            </w:pPr>
            <w:r>
              <w:rPr>
                <w:rFonts w:hint="eastAsia" w:ascii="仿宋" w:eastAsia="仿宋"/>
                <w:color w:val="auto"/>
                <w:sz w:val="28"/>
              </w:rPr>
              <w:t>简要规格描述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7" w:type="dxa"/>
          </w:tcPr>
          <w:p>
            <w:pPr>
              <w:pStyle w:val="67"/>
              <w:spacing w:before="215"/>
              <w:ind w:left="11"/>
              <w:jc w:val="center"/>
              <w:rPr>
                <w:rFonts w:ascii="仿宋"/>
                <w:color w:val="auto"/>
                <w:sz w:val="28"/>
              </w:rPr>
            </w:pPr>
            <w:r>
              <w:rPr>
                <w:rFonts w:ascii="仿宋"/>
                <w:color w:val="auto"/>
                <w:sz w:val="28"/>
              </w:rPr>
              <w:t>1</w:t>
            </w:r>
          </w:p>
        </w:tc>
        <w:tc>
          <w:tcPr>
            <w:tcW w:w="2683" w:type="dxa"/>
          </w:tcPr>
          <w:p>
            <w:pPr>
              <w:pStyle w:val="67"/>
              <w:spacing w:before="62"/>
              <w:ind w:left="9"/>
              <w:jc w:val="center"/>
              <w:rPr>
                <w:rFonts w:ascii="仿宋" w:eastAsia="仿宋"/>
                <w:color w:val="auto"/>
                <w:sz w:val="28"/>
              </w:rPr>
            </w:pPr>
            <w:r>
              <w:rPr>
                <w:rFonts w:hint="eastAsia" w:ascii="仿宋" w:eastAsia="仿宋"/>
                <w:color w:val="auto"/>
                <w:sz w:val="28"/>
              </w:rPr>
              <w:t>三连体学生双层铁架床</w:t>
            </w:r>
          </w:p>
        </w:tc>
        <w:tc>
          <w:tcPr>
            <w:tcW w:w="1097" w:type="dxa"/>
          </w:tcPr>
          <w:p>
            <w:pPr>
              <w:pStyle w:val="67"/>
              <w:spacing w:before="242"/>
              <w:ind w:left="7"/>
              <w:jc w:val="center"/>
              <w:rPr>
                <w:rFonts w:ascii="仿宋" w:eastAsia="仿宋"/>
                <w:color w:val="auto"/>
                <w:sz w:val="28"/>
              </w:rPr>
            </w:pPr>
            <w:r>
              <w:rPr>
                <w:rFonts w:hint="eastAsia" w:ascii="仿宋" w:eastAsia="仿宋"/>
                <w:color w:val="auto"/>
                <w:sz w:val="28"/>
              </w:rPr>
              <w:t>套</w:t>
            </w:r>
          </w:p>
        </w:tc>
        <w:tc>
          <w:tcPr>
            <w:tcW w:w="1002" w:type="dxa"/>
          </w:tcPr>
          <w:p>
            <w:pPr>
              <w:pStyle w:val="67"/>
              <w:spacing w:before="242"/>
              <w:ind w:left="220" w:right="209"/>
              <w:jc w:val="center"/>
              <w:rPr>
                <w:rFonts w:ascii="仿宋"/>
                <w:color w:val="auto"/>
                <w:sz w:val="28"/>
              </w:rPr>
            </w:pPr>
            <w:r>
              <w:rPr>
                <w:rFonts w:hint="eastAsia" w:ascii="仿宋"/>
                <w:color w:val="auto"/>
                <w:sz w:val="28"/>
              </w:rPr>
              <w:t>1060</w:t>
            </w:r>
          </w:p>
        </w:tc>
        <w:tc>
          <w:tcPr>
            <w:tcW w:w="3121" w:type="dxa"/>
          </w:tcPr>
          <w:p>
            <w:pPr>
              <w:pStyle w:val="67"/>
              <w:spacing w:before="242"/>
              <w:ind w:left="141" w:right="130"/>
              <w:jc w:val="center"/>
              <w:rPr>
                <w:rFonts w:ascii="仿宋" w:eastAsia="仿宋"/>
                <w:color w:val="auto"/>
                <w:sz w:val="28"/>
              </w:rPr>
            </w:pPr>
            <w:r>
              <w:rPr>
                <w:rFonts w:hint="eastAsia" w:ascii="仿宋" w:eastAsia="仿宋"/>
                <w:color w:val="auto"/>
                <w:sz w:val="28"/>
              </w:rPr>
              <w:t>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7" w:type="dxa"/>
          </w:tcPr>
          <w:p>
            <w:pPr>
              <w:pStyle w:val="67"/>
              <w:spacing w:before="215"/>
              <w:ind w:left="11"/>
              <w:jc w:val="center"/>
              <w:rPr>
                <w:rFonts w:ascii="仿宋"/>
                <w:color w:val="auto"/>
                <w:sz w:val="28"/>
              </w:rPr>
            </w:pPr>
            <w:r>
              <w:rPr>
                <w:rFonts w:ascii="仿宋"/>
                <w:color w:val="auto"/>
                <w:sz w:val="28"/>
              </w:rPr>
              <w:t>2</w:t>
            </w:r>
          </w:p>
        </w:tc>
        <w:tc>
          <w:tcPr>
            <w:tcW w:w="2683" w:type="dxa"/>
          </w:tcPr>
          <w:p>
            <w:pPr>
              <w:pStyle w:val="67"/>
              <w:spacing w:before="61"/>
              <w:ind w:left="9"/>
              <w:jc w:val="center"/>
              <w:rPr>
                <w:rFonts w:ascii="仿宋" w:eastAsia="仿宋"/>
                <w:color w:val="auto"/>
                <w:sz w:val="28"/>
              </w:rPr>
            </w:pPr>
            <w:r>
              <w:rPr>
                <w:rFonts w:hint="eastAsia" w:ascii="仿宋" w:eastAsia="仿宋"/>
                <w:color w:val="auto"/>
                <w:sz w:val="28"/>
              </w:rPr>
              <w:t>双连体学生双层铁架床</w:t>
            </w:r>
          </w:p>
        </w:tc>
        <w:tc>
          <w:tcPr>
            <w:tcW w:w="1097" w:type="dxa"/>
          </w:tcPr>
          <w:p>
            <w:pPr>
              <w:pStyle w:val="67"/>
              <w:spacing w:before="241"/>
              <w:ind w:left="7"/>
              <w:jc w:val="center"/>
              <w:rPr>
                <w:rFonts w:ascii="仿宋" w:eastAsia="仿宋"/>
                <w:color w:val="auto"/>
                <w:sz w:val="28"/>
              </w:rPr>
            </w:pPr>
            <w:r>
              <w:rPr>
                <w:rFonts w:ascii="仿宋" w:eastAsia="仿宋"/>
                <w:color w:val="auto"/>
                <w:sz w:val="28"/>
              </w:rPr>
              <w:t>套</w:t>
            </w:r>
          </w:p>
        </w:tc>
        <w:tc>
          <w:tcPr>
            <w:tcW w:w="1002" w:type="dxa"/>
          </w:tcPr>
          <w:p>
            <w:pPr>
              <w:pStyle w:val="67"/>
              <w:spacing w:before="241"/>
              <w:ind w:left="220" w:right="209"/>
              <w:jc w:val="center"/>
              <w:rPr>
                <w:rFonts w:ascii="仿宋"/>
                <w:color w:val="auto"/>
                <w:sz w:val="28"/>
              </w:rPr>
            </w:pPr>
            <w:r>
              <w:rPr>
                <w:rFonts w:ascii="仿宋"/>
                <w:color w:val="auto"/>
                <w:sz w:val="28"/>
              </w:rPr>
              <w:t>120</w:t>
            </w:r>
          </w:p>
        </w:tc>
        <w:tc>
          <w:tcPr>
            <w:tcW w:w="3121" w:type="dxa"/>
          </w:tcPr>
          <w:p>
            <w:pPr>
              <w:pStyle w:val="67"/>
              <w:spacing w:before="241"/>
              <w:ind w:left="141" w:right="130"/>
              <w:jc w:val="center"/>
              <w:rPr>
                <w:rFonts w:ascii="仿宋" w:eastAsia="仿宋"/>
                <w:color w:val="auto"/>
                <w:sz w:val="28"/>
              </w:rPr>
            </w:pPr>
            <w:r>
              <w:rPr>
                <w:rFonts w:hint="eastAsia" w:ascii="仿宋" w:eastAsia="仿宋"/>
                <w:color w:val="auto"/>
                <w:sz w:val="28"/>
              </w:rPr>
              <w:t>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7" w:type="dxa"/>
          </w:tcPr>
          <w:p>
            <w:pPr>
              <w:pStyle w:val="67"/>
              <w:spacing w:before="215"/>
              <w:ind w:left="11"/>
              <w:jc w:val="center"/>
              <w:rPr>
                <w:rFonts w:ascii="仿宋"/>
                <w:color w:val="auto"/>
                <w:sz w:val="28"/>
              </w:rPr>
            </w:pPr>
            <w:r>
              <w:rPr>
                <w:rFonts w:hint="eastAsia" w:ascii="仿宋"/>
                <w:color w:val="auto"/>
                <w:sz w:val="28"/>
              </w:rPr>
              <w:t>3</w:t>
            </w:r>
          </w:p>
        </w:tc>
        <w:tc>
          <w:tcPr>
            <w:tcW w:w="2683" w:type="dxa"/>
          </w:tcPr>
          <w:p>
            <w:pPr>
              <w:pStyle w:val="67"/>
              <w:spacing w:before="61"/>
              <w:ind w:left="9"/>
              <w:jc w:val="center"/>
              <w:rPr>
                <w:rFonts w:ascii="仿宋" w:eastAsia="仿宋"/>
                <w:color w:val="auto"/>
                <w:sz w:val="28"/>
              </w:rPr>
            </w:pPr>
            <w:r>
              <w:rPr>
                <w:rFonts w:hint="eastAsia" w:ascii="仿宋" w:eastAsia="仿宋"/>
                <w:color w:val="auto"/>
                <w:sz w:val="28"/>
              </w:rPr>
              <w:t>单连体学生双层铁架床</w:t>
            </w:r>
          </w:p>
        </w:tc>
        <w:tc>
          <w:tcPr>
            <w:tcW w:w="1097" w:type="dxa"/>
          </w:tcPr>
          <w:p>
            <w:pPr>
              <w:pStyle w:val="67"/>
              <w:spacing w:before="241"/>
              <w:ind w:left="7"/>
              <w:jc w:val="center"/>
              <w:rPr>
                <w:rFonts w:ascii="仿宋" w:eastAsia="仿宋"/>
                <w:color w:val="auto"/>
                <w:sz w:val="28"/>
              </w:rPr>
            </w:pPr>
            <w:r>
              <w:rPr>
                <w:rFonts w:ascii="仿宋" w:eastAsia="仿宋"/>
                <w:color w:val="auto"/>
                <w:sz w:val="28"/>
              </w:rPr>
              <w:t>套</w:t>
            </w:r>
          </w:p>
        </w:tc>
        <w:tc>
          <w:tcPr>
            <w:tcW w:w="1002" w:type="dxa"/>
          </w:tcPr>
          <w:p>
            <w:pPr>
              <w:pStyle w:val="67"/>
              <w:spacing w:before="241"/>
              <w:ind w:left="220" w:right="209"/>
              <w:jc w:val="center"/>
              <w:rPr>
                <w:rFonts w:ascii="仿宋"/>
                <w:color w:val="auto"/>
                <w:sz w:val="28"/>
              </w:rPr>
            </w:pPr>
            <w:r>
              <w:rPr>
                <w:rFonts w:ascii="仿宋"/>
                <w:color w:val="auto"/>
                <w:sz w:val="28"/>
              </w:rPr>
              <w:t>12</w:t>
            </w:r>
          </w:p>
        </w:tc>
        <w:tc>
          <w:tcPr>
            <w:tcW w:w="3121" w:type="dxa"/>
          </w:tcPr>
          <w:p>
            <w:pPr>
              <w:pStyle w:val="67"/>
              <w:spacing w:before="241"/>
              <w:ind w:left="141" w:right="130"/>
              <w:jc w:val="center"/>
              <w:rPr>
                <w:rFonts w:ascii="仿宋" w:eastAsia="仿宋"/>
                <w:color w:val="auto"/>
                <w:sz w:val="28"/>
              </w:rPr>
            </w:pPr>
            <w:r>
              <w:rPr>
                <w:rFonts w:hint="eastAsia" w:ascii="仿宋" w:eastAsia="仿宋"/>
                <w:color w:val="auto"/>
                <w:sz w:val="28"/>
              </w:rPr>
              <w:t>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7" w:type="dxa"/>
          </w:tcPr>
          <w:p>
            <w:pPr>
              <w:pStyle w:val="67"/>
              <w:spacing w:before="215"/>
              <w:ind w:left="11"/>
              <w:jc w:val="center"/>
              <w:rPr>
                <w:rFonts w:ascii="仿宋"/>
                <w:color w:val="auto"/>
                <w:sz w:val="28"/>
                <w:lang w:val="en-US"/>
              </w:rPr>
            </w:pPr>
            <w:r>
              <w:rPr>
                <w:rFonts w:hint="eastAsia" w:ascii="仿宋"/>
                <w:color w:val="auto"/>
                <w:sz w:val="28"/>
                <w:lang w:val="en-US"/>
              </w:rPr>
              <w:t>4</w:t>
            </w:r>
          </w:p>
        </w:tc>
        <w:tc>
          <w:tcPr>
            <w:tcW w:w="2683" w:type="dxa"/>
            <w:vAlign w:val="center"/>
          </w:tcPr>
          <w:p>
            <w:pPr>
              <w:pStyle w:val="67"/>
              <w:spacing w:before="61"/>
              <w:ind w:left="9"/>
              <w:jc w:val="center"/>
              <w:rPr>
                <w:rFonts w:ascii="仿宋" w:eastAsia="仿宋"/>
                <w:color w:val="auto"/>
                <w:sz w:val="28"/>
              </w:rPr>
            </w:pPr>
            <w:r>
              <w:rPr>
                <w:rFonts w:hint="eastAsia" w:ascii="仿宋" w:eastAsia="仿宋"/>
                <w:color w:val="auto"/>
                <w:sz w:val="28"/>
              </w:rPr>
              <w:t>二连组合柜</w:t>
            </w:r>
          </w:p>
        </w:tc>
        <w:tc>
          <w:tcPr>
            <w:tcW w:w="1097" w:type="dxa"/>
          </w:tcPr>
          <w:p>
            <w:pPr>
              <w:pStyle w:val="67"/>
              <w:spacing w:before="241"/>
              <w:ind w:left="7"/>
              <w:jc w:val="center"/>
              <w:rPr>
                <w:rFonts w:ascii="仿宋" w:eastAsia="仿宋"/>
                <w:color w:val="auto"/>
                <w:sz w:val="28"/>
              </w:rPr>
            </w:pPr>
            <w:r>
              <w:rPr>
                <w:rFonts w:ascii="仿宋" w:eastAsia="仿宋"/>
                <w:color w:val="auto"/>
                <w:sz w:val="28"/>
              </w:rPr>
              <w:t>组</w:t>
            </w:r>
          </w:p>
        </w:tc>
        <w:tc>
          <w:tcPr>
            <w:tcW w:w="1002" w:type="dxa"/>
          </w:tcPr>
          <w:p>
            <w:pPr>
              <w:pStyle w:val="67"/>
              <w:spacing w:before="241"/>
              <w:ind w:left="220" w:right="209"/>
              <w:jc w:val="center"/>
              <w:rPr>
                <w:rFonts w:ascii="仿宋"/>
                <w:color w:val="auto"/>
                <w:sz w:val="28"/>
              </w:rPr>
            </w:pPr>
            <w:r>
              <w:rPr>
                <w:rFonts w:hint="eastAsia" w:ascii="仿宋"/>
                <w:color w:val="auto"/>
                <w:sz w:val="28"/>
              </w:rPr>
              <w:t>3432</w:t>
            </w:r>
          </w:p>
        </w:tc>
        <w:tc>
          <w:tcPr>
            <w:tcW w:w="3121" w:type="dxa"/>
          </w:tcPr>
          <w:p>
            <w:pPr>
              <w:pStyle w:val="67"/>
              <w:spacing w:before="241"/>
              <w:ind w:left="141" w:right="130"/>
              <w:jc w:val="center"/>
              <w:rPr>
                <w:rFonts w:ascii="仿宋" w:eastAsia="仿宋"/>
                <w:color w:val="auto"/>
                <w:sz w:val="28"/>
              </w:rPr>
            </w:pPr>
            <w:r>
              <w:rPr>
                <w:rFonts w:hint="eastAsia" w:ascii="仿宋" w:eastAsia="仿宋"/>
                <w:color w:val="auto"/>
                <w:sz w:val="28"/>
              </w:rPr>
              <w:t>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97" w:type="dxa"/>
          </w:tcPr>
          <w:p>
            <w:pPr>
              <w:pStyle w:val="67"/>
              <w:spacing w:before="215"/>
              <w:ind w:left="11"/>
              <w:jc w:val="center"/>
              <w:rPr>
                <w:rFonts w:ascii="仿宋"/>
                <w:color w:val="auto"/>
                <w:sz w:val="28"/>
                <w:lang w:val="en-US"/>
              </w:rPr>
            </w:pPr>
            <w:r>
              <w:rPr>
                <w:rFonts w:hint="eastAsia" w:ascii="仿宋"/>
                <w:color w:val="auto"/>
                <w:sz w:val="28"/>
                <w:lang w:val="en-US"/>
              </w:rPr>
              <w:t>5</w:t>
            </w:r>
          </w:p>
        </w:tc>
        <w:tc>
          <w:tcPr>
            <w:tcW w:w="2683" w:type="dxa"/>
            <w:vAlign w:val="center"/>
          </w:tcPr>
          <w:p>
            <w:pPr>
              <w:pStyle w:val="67"/>
              <w:spacing w:before="61"/>
              <w:ind w:left="9"/>
              <w:jc w:val="center"/>
              <w:rPr>
                <w:rFonts w:ascii="仿宋" w:eastAsia="仿宋"/>
                <w:color w:val="auto"/>
                <w:sz w:val="28"/>
              </w:rPr>
            </w:pPr>
            <w:r>
              <w:rPr>
                <w:rFonts w:hint="eastAsia" w:ascii="仿宋" w:eastAsia="仿宋"/>
                <w:color w:val="auto"/>
                <w:sz w:val="28"/>
              </w:rPr>
              <w:t>六门储物柜</w:t>
            </w:r>
          </w:p>
        </w:tc>
        <w:tc>
          <w:tcPr>
            <w:tcW w:w="1097" w:type="dxa"/>
          </w:tcPr>
          <w:p>
            <w:pPr>
              <w:pStyle w:val="67"/>
              <w:spacing w:before="241"/>
              <w:ind w:left="7"/>
              <w:jc w:val="center"/>
              <w:rPr>
                <w:rFonts w:ascii="仿宋" w:eastAsia="仿宋"/>
                <w:color w:val="auto"/>
                <w:sz w:val="28"/>
              </w:rPr>
            </w:pPr>
            <w:r>
              <w:rPr>
                <w:rFonts w:ascii="仿宋" w:eastAsia="仿宋"/>
                <w:color w:val="auto"/>
                <w:sz w:val="28"/>
              </w:rPr>
              <w:t>个</w:t>
            </w:r>
          </w:p>
        </w:tc>
        <w:tc>
          <w:tcPr>
            <w:tcW w:w="1002" w:type="dxa"/>
          </w:tcPr>
          <w:p>
            <w:pPr>
              <w:pStyle w:val="67"/>
              <w:spacing w:before="241"/>
              <w:ind w:left="220" w:right="209"/>
              <w:jc w:val="center"/>
              <w:rPr>
                <w:rFonts w:ascii="仿宋"/>
                <w:color w:val="auto"/>
                <w:sz w:val="28"/>
              </w:rPr>
            </w:pPr>
            <w:r>
              <w:rPr>
                <w:rFonts w:hint="eastAsia" w:ascii="仿宋"/>
                <w:color w:val="auto"/>
                <w:sz w:val="28"/>
              </w:rPr>
              <w:t>1192</w:t>
            </w:r>
          </w:p>
        </w:tc>
        <w:tc>
          <w:tcPr>
            <w:tcW w:w="3121" w:type="dxa"/>
          </w:tcPr>
          <w:p>
            <w:pPr>
              <w:pStyle w:val="67"/>
              <w:spacing w:before="241"/>
              <w:ind w:left="141" w:right="130"/>
              <w:jc w:val="center"/>
              <w:rPr>
                <w:rFonts w:ascii="仿宋" w:eastAsia="仿宋"/>
                <w:color w:val="auto"/>
                <w:sz w:val="28"/>
              </w:rPr>
            </w:pPr>
            <w:r>
              <w:rPr>
                <w:rFonts w:hint="eastAsia" w:ascii="仿宋" w:eastAsia="仿宋"/>
                <w:color w:val="auto"/>
                <w:sz w:val="28"/>
              </w:rPr>
              <w:t>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097" w:type="dxa"/>
          </w:tcPr>
          <w:p>
            <w:pPr>
              <w:pStyle w:val="67"/>
              <w:spacing w:before="224"/>
              <w:ind w:left="11"/>
              <w:jc w:val="center"/>
              <w:rPr>
                <w:rFonts w:ascii="仿宋"/>
                <w:color w:val="auto"/>
                <w:sz w:val="28"/>
              </w:rPr>
            </w:pPr>
            <w:r>
              <w:rPr>
                <w:rFonts w:hint="eastAsia" w:ascii="仿宋"/>
                <w:color w:val="auto"/>
                <w:sz w:val="28"/>
                <w:lang w:val="en-US"/>
              </w:rPr>
              <w:t>6</w:t>
            </w:r>
          </w:p>
        </w:tc>
        <w:tc>
          <w:tcPr>
            <w:tcW w:w="2683" w:type="dxa"/>
          </w:tcPr>
          <w:p>
            <w:pPr>
              <w:pStyle w:val="67"/>
              <w:spacing w:before="250"/>
              <w:ind w:left="123" w:right="111"/>
              <w:jc w:val="center"/>
              <w:rPr>
                <w:rFonts w:ascii="仿宋" w:eastAsia="仿宋"/>
                <w:color w:val="auto"/>
                <w:sz w:val="28"/>
              </w:rPr>
            </w:pPr>
            <w:r>
              <w:rPr>
                <w:rFonts w:hint="eastAsia" w:ascii="仿宋" w:eastAsia="仿宋"/>
                <w:color w:val="auto"/>
                <w:sz w:val="28"/>
              </w:rPr>
              <w:t>椅子</w:t>
            </w:r>
          </w:p>
        </w:tc>
        <w:tc>
          <w:tcPr>
            <w:tcW w:w="1097" w:type="dxa"/>
          </w:tcPr>
          <w:p>
            <w:pPr>
              <w:pStyle w:val="67"/>
              <w:spacing w:before="250"/>
              <w:ind w:left="7"/>
              <w:jc w:val="center"/>
              <w:rPr>
                <w:rFonts w:ascii="仿宋" w:eastAsia="仿宋"/>
                <w:color w:val="auto"/>
                <w:sz w:val="28"/>
              </w:rPr>
            </w:pPr>
            <w:r>
              <w:rPr>
                <w:rFonts w:ascii="仿宋" w:eastAsia="仿宋"/>
                <w:color w:val="auto"/>
                <w:sz w:val="28"/>
              </w:rPr>
              <w:t>张</w:t>
            </w:r>
          </w:p>
        </w:tc>
        <w:tc>
          <w:tcPr>
            <w:tcW w:w="1002" w:type="dxa"/>
          </w:tcPr>
          <w:p>
            <w:pPr>
              <w:pStyle w:val="67"/>
              <w:spacing w:before="250"/>
              <w:ind w:left="220" w:right="209"/>
              <w:jc w:val="center"/>
              <w:rPr>
                <w:rFonts w:ascii="仿宋"/>
                <w:color w:val="auto"/>
                <w:sz w:val="28"/>
              </w:rPr>
            </w:pPr>
            <w:r>
              <w:rPr>
                <w:rFonts w:ascii="仿宋"/>
                <w:color w:val="auto"/>
                <w:sz w:val="28"/>
              </w:rPr>
              <w:t>7000</w:t>
            </w:r>
          </w:p>
        </w:tc>
        <w:tc>
          <w:tcPr>
            <w:tcW w:w="3121" w:type="dxa"/>
          </w:tcPr>
          <w:p>
            <w:pPr>
              <w:pStyle w:val="67"/>
              <w:spacing w:before="250"/>
              <w:ind w:left="141" w:right="130"/>
              <w:jc w:val="center"/>
              <w:rPr>
                <w:rFonts w:ascii="仿宋" w:eastAsia="仿宋"/>
                <w:color w:val="auto"/>
                <w:sz w:val="28"/>
              </w:rPr>
            </w:pPr>
            <w:r>
              <w:rPr>
                <w:rFonts w:hint="eastAsia" w:ascii="仿宋" w:eastAsia="仿宋"/>
                <w:color w:val="auto"/>
                <w:sz w:val="28"/>
              </w:rPr>
              <w:t>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097" w:type="dxa"/>
          </w:tcPr>
          <w:p>
            <w:pPr>
              <w:pStyle w:val="67"/>
              <w:spacing w:before="224"/>
              <w:ind w:left="11"/>
              <w:jc w:val="center"/>
              <w:rPr>
                <w:rFonts w:ascii="仿宋"/>
                <w:color w:val="auto"/>
                <w:sz w:val="28"/>
                <w:lang w:val="en-US"/>
              </w:rPr>
            </w:pPr>
            <w:r>
              <w:rPr>
                <w:rFonts w:hint="eastAsia" w:ascii="仿宋"/>
                <w:color w:val="auto"/>
                <w:sz w:val="28"/>
                <w:lang w:val="en-US"/>
              </w:rPr>
              <w:t>7</w:t>
            </w:r>
          </w:p>
        </w:tc>
        <w:tc>
          <w:tcPr>
            <w:tcW w:w="2683" w:type="dxa"/>
          </w:tcPr>
          <w:p>
            <w:pPr>
              <w:pStyle w:val="67"/>
              <w:spacing w:before="250"/>
              <w:ind w:left="123" w:right="111"/>
              <w:jc w:val="center"/>
              <w:rPr>
                <w:rFonts w:ascii="仿宋" w:eastAsia="仿宋"/>
                <w:color w:val="auto"/>
                <w:sz w:val="28"/>
              </w:rPr>
            </w:pPr>
            <w:r>
              <w:rPr>
                <w:rFonts w:hint="eastAsia" w:ascii="仿宋" w:eastAsia="仿宋"/>
                <w:color w:val="auto"/>
                <w:sz w:val="28"/>
              </w:rPr>
              <w:t>实木茶几</w:t>
            </w:r>
          </w:p>
        </w:tc>
        <w:tc>
          <w:tcPr>
            <w:tcW w:w="1097" w:type="dxa"/>
          </w:tcPr>
          <w:p>
            <w:pPr>
              <w:pStyle w:val="67"/>
              <w:spacing w:before="250"/>
              <w:ind w:left="7"/>
              <w:jc w:val="center"/>
              <w:rPr>
                <w:rFonts w:ascii="仿宋" w:eastAsia="仿宋"/>
                <w:color w:val="auto"/>
                <w:sz w:val="28"/>
              </w:rPr>
            </w:pPr>
            <w:r>
              <w:rPr>
                <w:rFonts w:hint="eastAsia" w:ascii="仿宋" w:eastAsia="仿宋"/>
                <w:color w:val="auto"/>
                <w:sz w:val="28"/>
              </w:rPr>
              <w:t>张</w:t>
            </w:r>
          </w:p>
        </w:tc>
        <w:tc>
          <w:tcPr>
            <w:tcW w:w="1002" w:type="dxa"/>
          </w:tcPr>
          <w:p>
            <w:pPr>
              <w:pStyle w:val="67"/>
              <w:spacing w:before="250"/>
              <w:ind w:left="220" w:right="209"/>
              <w:jc w:val="center"/>
              <w:rPr>
                <w:rFonts w:ascii="仿宋"/>
                <w:color w:val="auto"/>
                <w:sz w:val="28"/>
              </w:rPr>
            </w:pPr>
            <w:r>
              <w:rPr>
                <w:rFonts w:hint="eastAsia" w:ascii="仿宋"/>
                <w:color w:val="auto"/>
                <w:sz w:val="28"/>
              </w:rPr>
              <w:t>1192</w:t>
            </w:r>
          </w:p>
        </w:tc>
        <w:tc>
          <w:tcPr>
            <w:tcW w:w="3121" w:type="dxa"/>
          </w:tcPr>
          <w:p>
            <w:pPr>
              <w:pStyle w:val="67"/>
              <w:spacing w:before="250"/>
              <w:ind w:left="141" w:right="130"/>
              <w:jc w:val="center"/>
              <w:rPr>
                <w:rFonts w:ascii="仿宋" w:eastAsia="仿宋"/>
                <w:color w:val="auto"/>
                <w:sz w:val="28"/>
              </w:rPr>
            </w:pPr>
            <w:r>
              <w:rPr>
                <w:rFonts w:hint="eastAsia" w:ascii="仿宋" w:eastAsia="仿宋"/>
                <w:color w:val="auto"/>
                <w:sz w:val="28"/>
              </w:rPr>
              <w:t>详见招标文件</w:t>
            </w:r>
          </w:p>
        </w:tc>
      </w:tr>
    </w:tbl>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合同履行期限：</w:t>
      </w:r>
      <w:r>
        <w:rPr>
          <w:rFonts w:hint="eastAsia" w:ascii="宋体" w:hAnsi="宋体" w:eastAsia="宋体" w:cs="宋体"/>
          <w:color w:val="auto"/>
          <w:sz w:val="28"/>
          <w:szCs w:val="28"/>
          <w:lang w:eastAsia="zh-CN"/>
        </w:rPr>
        <w:t>自合同签订之日起至中标人承诺免费保修期满。</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本项目不接受联合体投标。</w:t>
      </w:r>
    </w:p>
    <w:p>
      <w:pPr>
        <w:rPr>
          <w:rFonts w:hint="eastAsia" w:ascii="宋体" w:hAnsi="宋体" w:eastAsia="宋体" w:cs="宋体"/>
          <w:color w:val="auto"/>
          <w:sz w:val="28"/>
          <w:szCs w:val="28"/>
        </w:rPr>
      </w:pPr>
      <w:bookmarkStart w:id="8" w:name="_Toc28359003"/>
      <w:bookmarkStart w:id="9" w:name="_Toc35393791"/>
      <w:bookmarkStart w:id="10" w:name="_Toc35393622"/>
      <w:bookmarkStart w:id="11" w:name="_Toc28359080"/>
      <w:r>
        <w:rPr>
          <w:rFonts w:hint="eastAsia" w:ascii="宋体" w:hAnsi="宋体" w:eastAsia="宋体" w:cs="宋体"/>
          <w:color w:val="auto"/>
          <w:sz w:val="28"/>
          <w:szCs w:val="28"/>
        </w:rPr>
        <w:t>二、申请人的资格要求：</w:t>
      </w:r>
      <w:bookmarkEnd w:id="8"/>
      <w:bookmarkEnd w:id="9"/>
      <w:bookmarkEnd w:id="10"/>
      <w:bookmarkEnd w:id="11"/>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1.满足《中华人民共和国政府采购法》第二十二条规定；</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bookmarkStart w:id="12" w:name="_Toc28359004"/>
      <w:bookmarkStart w:id="13" w:name="_Toc28359081"/>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.落实政府采购</w:t>
      </w:r>
      <w:r>
        <w:rPr>
          <w:rFonts w:hint="eastAsia" w:ascii="宋体" w:hAnsi="宋体" w:eastAsia="宋体" w:cs="宋体"/>
          <w:color w:val="auto"/>
          <w:sz w:val="28"/>
          <w:szCs w:val="28"/>
        </w:rPr>
        <w:t>政策需满足的资格要求：</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①《政府采购促进中小企业发展暂行办法》（财库[2011]181号）。</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②《关于政府采购支持监狱企业发展有关问题的通知》（财库[2014]68号）。 </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③《关于促进残疾人就业政府采购政策的通知》（财库[2017]141号）。</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④《广西壮族自治区人民政府办公厅关于印发招标采购促进广西工业产品产销对接实施细则的通知》(桂政办发〔2015〕78号) 。</w:t>
      </w:r>
    </w:p>
    <w:p>
      <w:pPr>
        <w:pageBreakBefore w:val="0"/>
        <w:kinsoku/>
        <w:wordWrap/>
        <w:overflowPunct/>
        <w:topLinePunct w:val="0"/>
        <w:autoSpaceDE/>
        <w:autoSpaceDN/>
        <w:bidi w:val="0"/>
        <w:adjustRightInd/>
        <w:spacing w:line="380" w:lineRule="exact"/>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⑤《节能产品政府采购品目清单》</w:t>
      </w:r>
      <w:r>
        <w:rPr>
          <w:rFonts w:hint="eastAsia" w:ascii="宋体" w:hAnsi="宋体" w:eastAsia="宋体" w:cs="宋体"/>
          <w:color w:val="auto"/>
          <w:sz w:val="28"/>
          <w:szCs w:val="28"/>
          <w:lang w:eastAsia="zh-CN"/>
        </w:rPr>
        <w:t>。</w:t>
      </w:r>
    </w:p>
    <w:p>
      <w:pPr>
        <w:pageBreakBefore w:val="0"/>
        <w:kinsoku/>
        <w:wordWrap/>
        <w:overflowPunct/>
        <w:topLinePunct w:val="0"/>
        <w:autoSpaceDE/>
        <w:autoSpaceDN/>
        <w:bidi w:val="0"/>
        <w:adjustRightInd/>
        <w:spacing w:line="380" w:lineRule="exact"/>
        <w:ind w:right="0" w:rightChars="0" w:firstLine="560" w:firstLineChars="200"/>
        <w:textAlignment w:val="auto"/>
        <w:rPr>
          <w:rFonts w:hint="eastAsia" w:ascii="宋体" w:hAnsi="宋体" w:eastAsia="宋体" w:cs="宋体"/>
          <w:color w:val="auto"/>
        </w:rPr>
      </w:pPr>
      <w:r>
        <w:rPr>
          <w:rFonts w:hint="eastAsia" w:ascii="宋体" w:hAnsi="宋体" w:eastAsia="宋体" w:cs="宋体"/>
          <w:color w:val="auto"/>
          <w:sz w:val="28"/>
          <w:szCs w:val="28"/>
        </w:rPr>
        <w:t>⑥《关于调整优化节能产品、环境标志产品政府采购执行机制的通知》（财库〔2019〕9号）。</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rPr>
      </w:pPr>
      <w:r>
        <w:rPr>
          <w:rFonts w:hint="eastAsia" w:ascii="宋体" w:hAnsi="宋体" w:eastAsia="宋体" w:cs="宋体"/>
          <w:b w:val="0"/>
          <w:bCs/>
          <w:color w:val="auto"/>
          <w:sz w:val="28"/>
          <w:szCs w:val="28"/>
        </w:rPr>
        <w:t>⑦</w:t>
      </w:r>
      <w:r>
        <w:rPr>
          <w:rFonts w:hint="eastAsia" w:ascii="宋体" w:hAnsi="宋体" w:eastAsia="宋体" w:cs="宋体"/>
          <w:b/>
          <w:color w:val="auto"/>
          <w:sz w:val="28"/>
          <w:szCs w:val="28"/>
        </w:rPr>
        <w:t>本项目非专门面向中小微企业采购。</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i/>
          <w:iCs/>
          <w:color w:val="auto"/>
          <w:sz w:val="28"/>
          <w:szCs w:val="28"/>
          <w:u w:val="single"/>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.本项目的特定资格要求：无</w:t>
      </w:r>
    </w:p>
    <w:p>
      <w:pPr>
        <w:rPr>
          <w:rFonts w:hint="eastAsia" w:ascii="宋体" w:hAnsi="宋体" w:eastAsia="宋体" w:cs="宋体"/>
          <w:color w:val="auto"/>
          <w:sz w:val="28"/>
          <w:szCs w:val="28"/>
        </w:rPr>
      </w:pPr>
      <w:bookmarkStart w:id="14" w:name="_Toc35393623"/>
      <w:bookmarkStart w:id="15" w:name="_Toc35393792"/>
      <w:r>
        <w:rPr>
          <w:rFonts w:hint="eastAsia" w:ascii="宋体" w:hAnsi="宋体" w:eastAsia="宋体" w:cs="宋体"/>
          <w:color w:val="auto"/>
          <w:sz w:val="28"/>
          <w:szCs w:val="28"/>
        </w:rPr>
        <w:t>三、获取招标文件</w:t>
      </w:r>
      <w:bookmarkEnd w:id="12"/>
      <w:bookmarkEnd w:id="13"/>
      <w:bookmarkEnd w:id="14"/>
      <w:bookmarkEnd w:id="15"/>
    </w:p>
    <w:p>
      <w:pPr>
        <w:pageBreakBefore w:val="0"/>
        <w:kinsoku/>
        <w:wordWrap/>
        <w:overflowPunct/>
        <w:topLinePunct w:val="0"/>
        <w:bidi w:val="0"/>
        <w:spacing w:line="380" w:lineRule="exact"/>
        <w:ind w:firstLine="540"/>
        <w:textAlignment w:val="auto"/>
        <w:rPr>
          <w:rFonts w:hint="eastAsia" w:ascii="宋体" w:hAnsi="宋体" w:eastAsia="宋体" w:cs="宋体"/>
          <w:color w:val="auto"/>
        </w:rPr>
      </w:pPr>
      <w:r>
        <w:rPr>
          <w:rFonts w:hint="eastAsia" w:ascii="宋体" w:hAnsi="宋体" w:eastAsia="宋体" w:cs="宋体"/>
          <w:color w:val="auto"/>
          <w:sz w:val="28"/>
          <w:szCs w:val="28"/>
          <w:lang w:val="en-US" w:eastAsia="zh-CN"/>
        </w:rPr>
        <w:t>1.招标文件获取时间：2020年</w:t>
      </w: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31</w:t>
      </w:r>
      <w:r>
        <w:rPr>
          <w:rFonts w:hint="eastAsia" w:ascii="宋体" w:hAnsi="宋体" w:eastAsia="宋体" w:cs="宋体"/>
          <w:color w:val="auto"/>
          <w:sz w:val="28"/>
          <w:szCs w:val="28"/>
          <w:lang w:val="en-US" w:eastAsia="zh-CN"/>
        </w:rPr>
        <w:t>日至2020年</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21</w:t>
      </w:r>
      <w:r>
        <w:rPr>
          <w:rFonts w:hint="eastAsia" w:ascii="宋体" w:hAnsi="宋体" w:eastAsia="宋体" w:cs="宋体"/>
          <w:color w:val="auto"/>
          <w:sz w:val="28"/>
          <w:szCs w:val="28"/>
          <w:lang w:val="en-US" w:eastAsia="zh-CN"/>
        </w:rPr>
        <w:t>日</w:t>
      </w:r>
      <w:r>
        <w:rPr>
          <w:rFonts w:hint="eastAsia" w:ascii="宋体" w:hAnsi="宋体" w:cs="宋体"/>
          <w:color w:val="auto"/>
          <w:sz w:val="28"/>
          <w:szCs w:val="28"/>
          <w:lang w:val="en-US" w:eastAsia="zh-CN"/>
        </w:rPr>
        <w:t>上午9点30分</w:t>
      </w:r>
      <w:r>
        <w:rPr>
          <w:rFonts w:hint="eastAsia" w:ascii="宋体" w:hAnsi="宋体" w:eastAsia="宋体" w:cs="宋体"/>
          <w:color w:val="auto"/>
          <w:sz w:val="28"/>
          <w:szCs w:val="28"/>
          <w:lang w:val="en-US" w:eastAsia="zh-CN"/>
        </w:rPr>
        <w:t>。</w:t>
      </w:r>
    </w:p>
    <w:p>
      <w:pPr>
        <w:pageBreakBefore w:val="0"/>
        <w:kinsoku/>
        <w:wordWrap/>
        <w:overflowPunct/>
        <w:topLinePunct w:val="0"/>
        <w:bidi w:val="0"/>
        <w:spacing w:line="380" w:lineRule="exact"/>
        <w:ind w:firstLine="54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地点及方式：潜在供应商请自行</w:t>
      </w:r>
      <w:r>
        <w:rPr>
          <w:rFonts w:hint="eastAsia" w:ascii="宋体" w:hAnsi="宋体" w:eastAsia="宋体" w:cs="宋体"/>
          <w:color w:val="auto"/>
          <w:sz w:val="28"/>
          <w:szCs w:val="28"/>
          <w:lang w:val="en-US" w:eastAsia="zh-CN"/>
        </w:rPr>
        <w:t>选择以下网站，在本公告附件处</w:t>
      </w:r>
      <w:r>
        <w:rPr>
          <w:rFonts w:hint="eastAsia" w:ascii="宋体" w:hAnsi="宋体" w:eastAsia="宋体" w:cs="宋体"/>
          <w:color w:val="auto"/>
          <w:sz w:val="28"/>
          <w:szCs w:val="28"/>
        </w:rPr>
        <w:t>下载招标文件电子版</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桂林市公共资源交易中心网（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"http://glggzy.org.cn/gxglzbw/"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glggzy.org.cn/gxglzbw/</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广西壮族自治区政府采购网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"http://www.ccgp-guangxi.gov.cn/"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www.ccgp-guangxi.gov.cn/</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eastAsia="zh-CN"/>
        </w:rPr>
        <w:t>）</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"http://www.ccgp.gov.cn（中国政府采购网）"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中国政府采购网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www.ccgp.gov.cn</w:t>
      </w:r>
      <w:r>
        <w:rPr>
          <w:rFonts w:hint="eastAsia" w:ascii="宋体" w:hAnsi="宋体" w:eastAsia="宋体" w:cs="宋体"/>
          <w:color w:val="auto"/>
          <w:sz w:val="28"/>
          <w:szCs w:val="28"/>
          <w:lang w:eastAsia="zh-CN"/>
        </w:rPr>
        <w:t>）</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3.招标文件售价：本项目招标文件不收取费用。</w:t>
      </w:r>
    </w:p>
    <w:p>
      <w:pPr>
        <w:rPr>
          <w:rFonts w:hint="eastAsia" w:ascii="宋体" w:hAnsi="宋体" w:eastAsia="宋体" w:cs="宋体"/>
          <w:color w:val="auto"/>
          <w:sz w:val="28"/>
          <w:szCs w:val="28"/>
        </w:rPr>
      </w:pPr>
      <w:bookmarkStart w:id="16" w:name="_Toc28359082"/>
      <w:bookmarkStart w:id="17" w:name="_Toc28359005"/>
      <w:bookmarkStart w:id="18" w:name="_Toc35393624"/>
      <w:bookmarkStart w:id="19" w:name="_Toc35393793"/>
    </w:p>
    <w:p>
      <w:pPr>
        <w:rPr>
          <w:rFonts w:hint="eastAsia" w:ascii="宋体" w:hAnsi="宋体" w:eastAsia="宋体" w:cs="宋体"/>
          <w:color w:val="auto"/>
          <w:sz w:val="28"/>
          <w:szCs w:val="28"/>
        </w:rPr>
      </w:pPr>
      <w:r>
        <w:rPr>
          <w:rFonts w:hint="eastAsia" w:ascii="宋体" w:hAnsi="宋体" w:eastAsia="宋体" w:cs="宋体"/>
          <w:color w:val="auto"/>
          <w:sz w:val="28"/>
          <w:szCs w:val="28"/>
        </w:rPr>
        <w:t>四、提交投标文件</w:t>
      </w:r>
      <w:bookmarkEnd w:id="16"/>
      <w:bookmarkEnd w:id="17"/>
      <w:r>
        <w:rPr>
          <w:rFonts w:hint="eastAsia" w:ascii="宋体" w:hAnsi="宋体" w:eastAsia="宋体" w:cs="宋体"/>
          <w:color w:val="auto"/>
          <w:sz w:val="28"/>
          <w:szCs w:val="28"/>
        </w:rPr>
        <w:t>截止时间、开标时间和地点</w:t>
      </w:r>
      <w:bookmarkEnd w:id="18"/>
      <w:bookmarkEnd w:id="19"/>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u w:val="none"/>
          <w:lang w:val="en-US" w:eastAsia="zh-CN"/>
        </w:rPr>
        <w:t>提交投标文件起止时间：</w:t>
      </w:r>
      <w:bookmarkStart w:id="20" w:name="OLE_LINK1"/>
      <w:r>
        <w:rPr>
          <w:rFonts w:hint="eastAsia" w:ascii="宋体" w:hAnsi="宋体" w:cs="宋体"/>
          <w:bCs/>
          <w:color w:val="auto"/>
          <w:sz w:val="28"/>
          <w:szCs w:val="28"/>
          <w:u w:val="single"/>
          <w:lang w:val="en-US" w:eastAsia="zh-CN"/>
        </w:rPr>
        <w:t>2020</w:t>
      </w:r>
      <w:r>
        <w:rPr>
          <w:rFonts w:hint="eastAsia" w:ascii="宋体" w:hAnsi="宋体" w:eastAsia="宋体" w:cs="宋体"/>
          <w:bCs/>
          <w:color w:val="auto"/>
          <w:sz w:val="28"/>
          <w:szCs w:val="28"/>
          <w:u w:val="single"/>
        </w:rPr>
        <w:t>年</w:t>
      </w:r>
      <w:r>
        <w:rPr>
          <w:rFonts w:hint="eastAsia" w:ascii="宋体" w:hAnsi="宋体" w:cs="宋体"/>
          <w:bCs/>
          <w:color w:val="auto"/>
          <w:sz w:val="28"/>
          <w:szCs w:val="28"/>
          <w:u w:val="single"/>
          <w:lang w:val="en-US" w:eastAsia="zh-CN"/>
        </w:rPr>
        <w:t>8</w:t>
      </w:r>
      <w:r>
        <w:rPr>
          <w:rFonts w:hint="eastAsia" w:ascii="宋体" w:hAnsi="宋体" w:eastAsia="宋体" w:cs="宋体"/>
          <w:bCs/>
          <w:color w:val="auto"/>
          <w:sz w:val="28"/>
          <w:szCs w:val="28"/>
          <w:u w:val="single"/>
        </w:rPr>
        <w:t>月</w:t>
      </w:r>
      <w:r>
        <w:rPr>
          <w:rFonts w:hint="eastAsia" w:ascii="宋体" w:hAnsi="宋体" w:cs="宋体"/>
          <w:bCs/>
          <w:color w:val="auto"/>
          <w:sz w:val="28"/>
          <w:szCs w:val="28"/>
          <w:u w:val="single"/>
          <w:lang w:val="en-US" w:eastAsia="zh-CN"/>
        </w:rPr>
        <w:t>21</w:t>
      </w:r>
      <w:r>
        <w:rPr>
          <w:rFonts w:hint="eastAsia" w:ascii="宋体" w:hAnsi="宋体" w:eastAsia="宋体" w:cs="宋体"/>
          <w:bCs/>
          <w:color w:val="auto"/>
          <w:sz w:val="28"/>
          <w:szCs w:val="28"/>
          <w:u w:val="single"/>
        </w:rPr>
        <w:t>日</w:t>
      </w:r>
      <w:r>
        <w:rPr>
          <w:rFonts w:hint="eastAsia" w:ascii="宋体" w:hAnsi="宋体" w:cs="宋体"/>
          <w:bCs/>
          <w:color w:val="auto"/>
          <w:sz w:val="28"/>
          <w:szCs w:val="28"/>
          <w:u w:val="single"/>
          <w:lang w:val="en-US" w:eastAsia="zh-CN"/>
        </w:rPr>
        <w:t>9</w:t>
      </w:r>
      <w:r>
        <w:rPr>
          <w:rFonts w:hint="eastAsia" w:ascii="宋体" w:hAnsi="宋体" w:eastAsia="宋体" w:cs="宋体"/>
          <w:bCs/>
          <w:color w:val="auto"/>
          <w:sz w:val="28"/>
          <w:szCs w:val="28"/>
          <w:u w:val="single"/>
        </w:rPr>
        <w:t>点</w:t>
      </w:r>
      <w:r>
        <w:rPr>
          <w:rFonts w:hint="eastAsia" w:ascii="宋体" w:hAnsi="宋体" w:cs="宋体"/>
          <w:bCs/>
          <w:color w:val="auto"/>
          <w:sz w:val="28"/>
          <w:szCs w:val="28"/>
          <w:u w:val="single"/>
          <w:lang w:val="en-US" w:eastAsia="zh-CN"/>
        </w:rPr>
        <w:t>00</w:t>
      </w:r>
      <w:r>
        <w:rPr>
          <w:rFonts w:hint="eastAsia" w:ascii="宋体" w:hAnsi="宋体" w:eastAsia="宋体" w:cs="宋体"/>
          <w:bCs/>
          <w:color w:val="auto"/>
          <w:sz w:val="28"/>
          <w:szCs w:val="28"/>
          <w:u w:val="single"/>
        </w:rPr>
        <w:t>分</w:t>
      </w:r>
      <w:bookmarkEnd w:id="20"/>
      <w:r>
        <w:rPr>
          <w:rFonts w:hint="eastAsia" w:ascii="宋体" w:hAnsi="宋体" w:eastAsia="宋体" w:cs="宋体"/>
          <w:bCs/>
          <w:color w:val="auto"/>
          <w:sz w:val="28"/>
          <w:szCs w:val="28"/>
        </w:rPr>
        <w:t>（北京时间）</w:t>
      </w:r>
      <w:r>
        <w:rPr>
          <w:rFonts w:hint="eastAsia" w:ascii="宋体" w:hAnsi="宋体" w:eastAsia="宋体" w:cs="宋体"/>
          <w:bCs/>
          <w:color w:val="auto"/>
          <w:sz w:val="28"/>
          <w:szCs w:val="28"/>
          <w:lang w:val="en-US" w:eastAsia="zh-CN"/>
        </w:rPr>
        <w:t>至</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auto"/>
          <w:sz w:val="28"/>
          <w:szCs w:val="28"/>
          <w:lang w:val="en-US" w:eastAsia="zh-CN"/>
        </w:rPr>
      </w:pPr>
      <w:r>
        <w:rPr>
          <w:rFonts w:hint="eastAsia" w:ascii="宋体" w:hAnsi="宋体" w:cs="宋体"/>
          <w:bCs/>
          <w:color w:val="auto"/>
          <w:sz w:val="28"/>
          <w:szCs w:val="28"/>
          <w:u w:val="single"/>
          <w:lang w:val="en-US" w:eastAsia="zh-CN"/>
        </w:rPr>
        <w:t>2020</w:t>
      </w:r>
      <w:r>
        <w:rPr>
          <w:rFonts w:hint="eastAsia" w:ascii="宋体" w:hAnsi="宋体" w:eastAsia="宋体" w:cs="宋体"/>
          <w:bCs/>
          <w:color w:val="auto"/>
          <w:sz w:val="28"/>
          <w:szCs w:val="28"/>
          <w:u w:val="single"/>
        </w:rPr>
        <w:t>年</w:t>
      </w:r>
      <w:r>
        <w:rPr>
          <w:rFonts w:hint="eastAsia" w:ascii="宋体" w:hAnsi="宋体" w:cs="宋体"/>
          <w:bCs/>
          <w:color w:val="auto"/>
          <w:sz w:val="28"/>
          <w:szCs w:val="28"/>
          <w:u w:val="single"/>
          <w:lang w:val="en-US" w:eastAsia="zh-CN"/>
        </w:rPr>
        <w:t>8</w:t>
      </w:r>
      <w:r>
        <w:rPr>
          <w:rFonts w:hint="eastAsia" w:ascii="宋体" w:hAnsi="宋体" w:eastAsia="宋体" w:cs="宋体"/>
          <w:bCs/>
          <w:color w:val="auto"/>
          <w:sz w:val="28"/>
          <w:szCs w:val="28"/>
          <w:u w:val="single"/>
        </w:rPr>
        <w:t>月</w:t>
      </w:r>
      <w:r>
        <w:rPr>
          <w:rFonts w:hint="eastAsia" w:ascii="宋体" w:hAnsi="宋体" w:cs="宋体"/>
          <w:bCs/>
          <w:color w:val="auto"/>
          <w:sz w:val="28"/>
          <w:szCs w:val="28"/>
          <w:u w:val="single"/>
          <w:lang w:val="en-US" w:eastAsia="zh-CN"/>
        </w:rPr>
        <w:t>21</w:t>
      </w:r>
      <w:r>
        <w:rPr>
          <w:rFonts w:hint="eastAsia" w:ascii="宋体" w:hAnsi="宋体" w:eastAsia="宋体" w:cs="宋体"/>
          <w:bCs/>
          <w:color w:val="auto"/>
          <w:sz w:val="28"/>
          <w:szCs w:val="28"/>
          <w:u w:val="single"/>
        </w:rPr>
        <w:t>日</w:t>
      </w:r>
      <w:r>
        <w:rPr>
          <w:rFonts w:hint="eastAsia" w:ascii="宋体" w:hAnsi="宋体" w:cs="宋体"/>
          <w:bCs/>
          <w:color w:val="auto"/>
          <w:sz w:val="28"/>
          <w:szCs w:val="28"/>
          <w:u w:val="single"/>
          <w:lang w:val="en-US" w:eastAsia="zh-CN"/>
        </w:rPr>
        <w:t>9</w:t>
      </w:r>
      <w:r>
        <w:rPr>
          <w:rFonts w:hint="eastAsia" w:ascii="宋体" w:hAnsi="宋体" w:eastAsia="宋体" w:cs="宋体"/>
          <w:bCs/>
          <w:color w:val="auto"/>
          <w:sz w:val="28"/>
          <w:szCs w:val="28"/>
          <w:u w:val="single"/>
        </w:rPr>
        <w:t>点</w:t>
      </w:r>
      <w:r>
        <w:rPr>
          <w:rFonts w:hint="eastAsia" w:ascii="宋体" w:hAnsi="宋体" w:cs="宋体"/>
          <w:bCs/>
          <w:color w:val="auto"/>
          <w:sz w:val="28"/>
          <w:szCs w:val="28"/>
          <w:u w:val="single"/>
          <w:lang w:val="en-US" w:eastAsia="zh-CN"/>
        </w:rPr>
        <w:t>30</w:t>
      </w:r>
      <w:r>
        <w:rPr>
          <w:rFonts w:hint="eastAsia" w:ascii="宋体" w:hAnsi="宋体" w:eastAsia="宋体" w:cs="宋体"/>
          <w:bCs/>
          <w:color w:val="auto"/>
          <w:sz w:val="28"/>
          <w:szCs w:val="28"/>
          <w:u w:val="single"/>
        </w:rPr>
        <w:t>分</w:t>
      </w:r>
      <w:r>
        <w:rPr>
          <w:rFonts w:hint="eastAsia" w:ascii="宋体" w:hAnsi="宋体" w:eastAsia="宋体" w:cs="宋体"/>
          <w:bCs/>
          <w:color w:val="auto"/>
          <w:sz w:val="28"/>
          <w:szCs w:val="28"/>
        </w:rPr>
        <w:t>（北京时间）</w:t>
      </w:r>
      <w:r>
        <w:rPr>
          <w:rFonts w:hint="eastAsia" w:ascii="宋体" w:hAnsi="宋体" w:eastAsia="宋体" w:cs="宋体"/>
          <w:bCs/>
          <w:color w:val="auto"/>
          <w:sz w:val="28"/>
          <w:szCs w:val="28"/>
          <w:lang w:val="en-US" w:eastAsia="zh-CN"/>
        </w:rPr>
        <w:t>止</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rPr>
      </w:pPr>
      <w:r>
        <w:rPr>
          <w:rFonts w:hint="eastAsia" w:ascii="宋体" w:hAnsi="宋体" w:eastAsia="宋体" w:cs="宋体"/>
          <w:color w:val="auto"/>
          <w:sz w:val="28"/>
          <w:szCs w:val="28"/>
        </w:rPr>
        <w:t>地点：桂林市公共资源交易中心</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号开标室（广西桂林市临桂区西城中路69号创业大厦西辅楼4楼）。</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auto"/>
          <w:sz w:val="28"/>
          <w:szCs w:val="28"/>
          <w:u w:val="single"/>
          <w:lang w:val="en-US" w:eastAsia="zh-CN"/>
        </w:rPr>
      </w:pPr>
      <w:r>
        <w:rPr>
          <w:rFonts w:hint="eastAsia" w:ascii="宋体" w:hAnsi="宋体" w:eastAsia="宋体" w:cs="宋体"/>
          <w:bCs/>
          <w:color w:val="auto"/>
          <w:sz w:val="28"/>
          <w:szCs w:val="28"/>
          <w:u w:val="none"/>
          <w:lang w:val="en-US" w:eastAsia="zh-CN"/>
        </w:rPr>
        <w:t>开标时间：</w:t>
      </w:r>
      <w:r>
        <w:rPr>
          <w:rFonts w:hint="eastAsia" w:ascii="宋体" w:hAnsi="宋体" w:cs="宋体"/>
          <w:bCs/>
          <w:color w:val="auto"/>
          <w:sz w:val="28"/>
          <w:szCs w:val="28"/>
          <w:u w:val="single"/>
          <w:lang w:val="en-US" w:eastAsia="zh-CN"/>
        </w:rPr>
        <w:t>2020</w:t>
      </w:r>
      <w:r>
        <w:rPr>
          <w:rFonts w:hint="eastAsia" w:ascii="宋体" w:hAnsi="宋体" w:eastAsia="宋体" w:cs="宋体"/>
          <w:bCs/>
          <w:color w:val="auto"/>
          <w:sz w:val="28"/>
          <w:szCs w:val="28"/>
          <w:u w:val="single"/>
        </w:rPr>
        <w:t>年</w:t>
      </w:r>
      <w:r>
        <w:rPr>
          <w:rFonts w:hint="eastAsia" w:ascii="宋体" w:hAnsi="宋体" w:cs="宋体"/>
          <w:bCs/>
          <w:color w:val="auto"/>
          <w:sz w:val="28"/>
          <w:szCs w:val="28"/>
          <w:u w:val="single"/>
          <w:lang w:val="en-US" w:eastAsia="zh-CN"/>
        </w:rPr>
        <w:t>8</w:t>
      </w:r>
      <w:r>
        <w:rPr>
          <w:rFonts w:hint="eastAsia" w:ascii="宋体" w:hAnsi="宋体" w:eastAsia="宋体" w:cs="宋体"/>
          <w:bCs/>
          <w:color w:val="auto"/>
          <w:sz w:val="28"/>
          <w:szCs w:val="28"/>
          <w:u w:val="single"/>
        </w:rPr>
        <w:t>月</w:t>
      </w:r>
      <w:r>
        <w:rPr>
          <w:rFonts w:hint="eastAsia" w:ascii="宋体" w:hAnsi="宋体" w:cs="宋体"/>
          <w:bCs/>
          <w:color w:val="auto"/>
          <w:sz w:val="28"/>
          <w:szCs w:val="28"/>
          <w:u w:val="single"/>
          <w:lang w:val="en-US" w:eastAsia="zh-CN"/>
        </w:rPr>
        <w:t>21</w:t>
      </w:r>
      <w:r>
        <w:rPr>
          <w:rFonts w:hint="eastAsia" w:ascii="宋体" w:hAnsi="宋体" w:eastAsia="宋体" w:cs="宋体"/>
          <w:bCs/>
          <w:color w:val="auto"/>
          <w:sz w:val="28"/>
          <w:szCs w:val="28"/>
          <w:u w:val="single"/>
        </w:rPr>
        <w:t>日</w:t>
      </w:r>
      <w:r>
        <w:rPr>
          <w:rFonts w:hint="eastAsia" w:ascii="宋体" w:hAnsi="宋体" w:cs="宋体"/>
          <w:bCs/>
          <w:color w:val="auto"/>
          <w:sz w:val="28"/>
          <w:szCs w:val="28"/>
          <w:u w:val="single"/>
          <w:lang w:val="en-US" w:eastAsia="zh-CN"/>
        </w:rPr>
        <w:t>9</w:t>
      </w:r>
      <w:r>
        <w:rPr>
          <w:rFonts w:hint="eastAsia" w:ascii="宋体" w:hAnsi="宋体" w:eastAsia="宋体" w:cs="宋体"/>
          <w:bCs/>
          <w:color w:val="auto"/>
          <w:sz w:val="28"/>
          <w:szCs w:val="28"/>
          <w:u w:val="single"/>
        </w:rPr>
        <w:t>点</w:t>
      </w:r>
      <w:r>
        <w:rPr>
          <w:rFonts w:hint="eastAsia" w:ascii="宋体" w:hAnsi="宋体" w:cs="宋体"/>
          <w:bCs/>
          <w:color w:val="auto"/>
          <w:sz w:val="28"/>
          <w:szCs w:val="28"/>
          <w:u w:val="single"/>
          <w:lang w:val="en-US" w:eastAsia="zh-CN"/>
        </w:rPr>
        <w:t>30</w:t>
      </w:r>
      <w:r>
        <w:rPr>
          <w:rFonts w:hint="eastAsia" w:ascii="宋体" w:hAnsi="宋体" w:eastAsia="宋体" w:cs="宋体"/>
          <w:bCs/>
          <w:color w:val="auto"/>
          <w:sz w:val="28"/>
          <w:szCs w:val="28"/>
          <w:u w:val="single"/>
        </w:rPr>
        <w:t>分</w:t>
      </w:r>
      <w:r>
        <w:rPr>
          <w:rFonts w:hint="eastAsia" w:ascii="宋体" w:hAnsi="宋体" w:eastAsia="宋体" w:cs="宋体"/>
          <w:bCs/>
          <w:color w:val="auto"/>
          <w:sz w:val="28"/>
          <w:szCs w:val="28"/>
        </w:rPr>
        <w:t>（北京时间）</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auto"/>
          <w:sz w:val="28"/>
          <w:szCs w:val="28"/>
          <w:u w:val="single"/>
        </w:rPr>
      </w:pPr>
      <w:r>
        <w:rPr>
          <w:rFonts w:hint="eastAsia" w:ascii="宋体" w:hAnsi="宋体" w:eastAsia="宋体" w:cs="宋体"/>
          <w:color w:val="auto"/>
          <w:sz w:val="28"/>
          <w:szCs w:val="28"/>
        </w:rPr>
        <w:t>地点：桂林市公共资源交易中心</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号开标室（广西桂林市临桂区西城中路69号创业大厦西辅楼4楼）。</w:t>
      </w:r>
    </w:p>
    <w:p>
      <w:pPr>
        <w:rPr>
          <w:rFonts w:hint="eastAsia" w:ascii="宋体" w:hAnsi="宋体" w:eastAsia="宋体" w:cs="宋体"/>
          <w:color w:val="auto"/>
          <w:sz w:val="28"/>
          <w:szCs w:val="28"/>
        </w:rPr>
      </w:pPr>
      <w:bookmarkStart w:id="21" w:name="_Toc28359084"/>
      <w:bookmarkStart w:id="22" w:name="_Toc35393794"/>
      <w:bookmarkStart w:id="23" w:name="_Toc28359007"/>
      <w:bookmarkStart w:id="24" w:name="_Toc35393625"/>
      <w:r>
        <w:rPr>
          <w:rFonts w:hint="eastAsia" w:ascii="宋体" w:hAnsi="宋体" w:eastAsia="宋体" w:cs="宋体"/>
          <w:color w:val="auto"/>
          <w:sz w:val="28"/>
          <w:szCs w:val="28"/>
        </w:rPr>
        <w:t>五、公告期限</w:t>
      </w:r>
      <w:bookmarkEnd w:id="21"/>
      <w:bookmarkEnd w:id="22"/>
      <w:bookmarkEnd w:id="23"/>
      <w:bookmarkEnd w:id="24"/>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自本公告发布之日起5个工作日。</w:t>
      </w:r>
    </w:p>
    <w:p>
      <w:pPr>
        <w:rPr>
          <w:rFonts w:hint="eastAsia" w:ascii="宋体" w:hAnsi="宋体" w:eastAsia="宋体" w:cs="宋体"/>
          <w:color w:val="auto"/>
          <w:sz w:val="28"/>
          <w:szCs w:val="28"/>
        </w:rPr>
      </w:pPr>
      <w:bookmarkStart w:id="25" w:name="_Toc35393626"/>
      <w:bookmarkStart w:id="26" w:name="_Toc35393795"/>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、其他补充事宜</w:t>
      </w:r>
      <w:bookmarkEnd w:id="25"/>
      <w:bookmarkEnd w:id="26"/>
    </w:p>
    <w:p>
      <w:pPr>
        <w:pageBreakBefore w:val="0"/>
        <w:numPr>
          <w:ilvl w:val="0"/>
          <w:numId w:val="2"/>
        </w:numPr>
        <w:kinsoku/>
        <w:wordWrap/>
        <w:overflowPunct/>
        <w:topLinePunct w:val="0"/>
        <w:bidi w:val="0"/>
        <w:spacing w:line="38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本项目无需缴纳投标保证金。</w:t>
      </w:r>
    </w:p>
    <w:p>
      <w:pPr>
        <w:pageBreakBefore w:val="0"/>
        <w:numPr>
          <w:ilvl w:val="0"/>
          <w:numId w:val="2"/>
        </w:numPr>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投标人可以由法定代表人、负责人、自然人或其委托代理人出席开标</w:t>
      </w:r>
    </w:p>
    <w:p>
      <w:pPr>
        <w:pageBreakBefore w:val="0"/>
        <w:kinsoku/>
        <w:wordWrap/>
        <w:overflowPunct/>
        <w:topLinePunct w:val="0"/>
        <w:bidi w:val="0"/>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会议（携带本人身份证原件）。</w:t>
      </w:r>
    </w:p>
    <w:p>
      <w:pPr>
        <w:pageBreakBefore w:val="0"/>
        <w:numPr>
          <w:ilvl w:val="0"/>
          <w:numId w:val="2"/>
        </w:numPr>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本项目信息发布媒体：</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rPr>
      </w:pPr>
      <w:bookmarkStart w:id="27" w:name="_Toc28359085"/>
      <w:bookmarkStart w:id="28" w:name="_Toc35393627"/>
      <w:bookmarkStart w:id="29" w:name="_Toc28359008"/>
      <w:bookmarkStart w:id="30" w:name="_Toc35393796"/>
      <w:r>
        <w:rPr>
          <w:rFonts w:hint="eastAsia" w:ascii="宋体" w:hAnsi="宋体" w:eastAsia="宋体" w:cs="宋体"/>
          <w:color w:val="auto"/>
          <w:sz w:val="28"/>
          <w:szCs w:val="28"/>
        </w:rPr>
        <w:t>桂林市公共资源交易中心网（</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"http://glggzy.org.cn/gxglzbw/"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glggzy.org.cn/gxglzbw/</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广西壮族自治区政府采购网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"http://www.ccgp-guangxi.gov.cn/"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www.ccgp-guangxi.gov.cn/</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eastAsia="zh-CN"/>
        </w:rPr>
        <w:t>）</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"http://www.ccgp.gov.cn（中国政府采购网）"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中国政府采购网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www.ccgp.gov.cn</w:t>
      </w:r>
      <w:r>
        <w:rPr>
          <w:rFonts w:hint="eastAsia" w:ascii="宋体" w:hAnsi="宋体" w:eastAsia="宋体" w:cs="宋体"/>
          <w:color w:val="auto"/>
          <w:sz w:val="28"/>
          <w:szCs w:val="28"/>
          <w:lang w:eastAsia="zh-CN"/>
        </w:rPr>
        <w:t>）</w:t>
      </w:r>
    </w:p>
    <w:p>
      <w:pPr>
        <w:rPr>
          <w:rFonts w:hint="eastAsia" w:ascii="宋体" w:hAnsi="宋体" w:eastAsia="宋体" w:cs="宋体"/>
          <w:color w:val="auto"/>
          <w:sz w:val="28"/>
          <w:szCs w:val="28"/>
        </w:rPr>
      </w:pPr>
      <w:r>
        <w:rPr>
          <w:rFonts w:hint="eastAsia" w:ascii="宋体" w:hAnsi="宋体" w:eastAsia="宋体" w:cs="宋体"/>
          <w:color w:val="auto"/>
          <w:sz w:val="28"/>
          <w:szCs w:val="28"/>
        </w:rPr>
        <w:t>七、对本次招标提出询问，请按以下方式联系。</w:t>
      </w:r>
      <w:bookmarkEnd w:id="27"/>
      <w:bookmarkEnd w:id="28"/>
      <w:bookmarkEnd w:id="29"/>
      <w:bookmarkEnd w:id="30"/>
    </w:p>
    <w:p>
      <w:pPr>
        <w:pageBreakBefore w:val="0"/>
        <w:widowControl/>
        <w:kinsoku/>
        <w:wordWrap/>
        <w:overflowPunct/>
        <w:topLinePunct w:val="0"/>
        <w:bidi w:val="0"/>
        <w:spacing w:line="38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1.采购人信息</w:t>
      </w:r>
    </w:p>
    <w:p>
      <w:pPr>
        <w:pageBreakBefore w:val="0"/>
        <w:kinsoku/>
        <w:wordWrap/>
        <w:overflowPunct/>
        <w:topLinePunct w:val="0"/>
        <w:bidi w:val="0"/>
        <w:spacing w:line="380" w:lineRule="exact"/>
        <w:ind w:left="1129" w:leftChars="371" w:hanging="350" w:hangingChars="125"/>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名 称：</w:t>
      </w:r>
      <w:r>
        <w:rPr>
          <w:rFonts w:hint="eastAsia" w:ascii="宋体" w:hAnsi="宋体" w:eastAsia="宋体" w:cs="宋体"/>
          <w:color w:val="auto"/>
          <w:sz w:val="28"/>
          <w:szCs w:val="28"/>
          <w:u w:val="single"/>
        </w:rPr>
        <w:t>　</w:t>
      </w:r>
      <w:r>
        <w:rPr>
          <w:rFonts w:hint="eastAsia" w:ascii="宋体" w:hAnsi="宋体" w:cs="宋体"/>
          <w:color w:val="auto"/>
          <w:sz w:val="28"/>
          <w:szCs w:val="28"/>
          <w:u w:val="single"/>
          <w:lang w:val="en-US" w:eastAsia="zh-CN"/>
        </w:rPr>
        <w:t>桂林电子科技大学</w:t>
      </w:r>
      <w:r>
        <w:rPr>
          <w:rFonts w:hint="eastAsia" w:ascii="宋体" w:hAnsi="宋体" w:eastAsia="宋体" w:cs="宋体"/>
          <w:color w:val="auto"/>
          <w:sz w:val="28"/>
          <w:szCs w:val="28"/>
          <w:u w:val="single"/>
        </w:rPr>
        <w:t>　</w:t>
      </w:r>
    </w:p>
    <w:p>
      <w:pPr>
        <w:pageBreakBefore w:val="0"/>
        <w:kinsoku/>
        <w:wordWrap/>
        <w:overflowPunct/>
        <w:topLinePunct w:val="0"/>
        <w:bidi w:val="0"/>
        <w:spacing w:line="380" w:lineRule="exact"/>
        <w:ind w:left="1129" w:leftChars="371" w:hanging="350" w:hangingChars="125"/>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地址：</w:t>
      </w:r>
      <w:r>
        <w:rPr>
          <w:rFonts w:hint="eastAsia" w:ascii="宋体" w:hAnsi="宋体" w:eastAsia="宋体" w:cs="宋体"/>
          <w:color w:val="auto"/>
          <w:sz w:val="28"/>
          <w:szCs w:val="28"/>
          <w:u w:val="single"/>
        </w:rPr>
        <w:t>　</w:t>
      </w:r>
      <w:r>
        <w:rPr>
          <w:rFonts w:hint="eastAsia" w:ascii="宋体" w:hAnsi="宋体" w:cs="宋体"/>
          <w:color w:val="auto"/>
          <w:sz w:val="28"/>
          <w:szCs w:val="28"/>
          <w:u w:val="single"/>
          <w:lang w:val="en-US" w:eastAsia="zh-CN"/>
        </w:rPr>
        <w:t>桂林市金鸡路1号</w:t>
      </w:r>
    </w:p>
    <w:p>
      <w:pPr>
        <w:pageBreakBefore w:val="0"/>
        <w:kinsoku/>
        <w:wordWrap/>
        <w:overflowPunct/>
        <w:topLinePunct w:val="0"/>
        <w:bidi w:val="0"/>
        <w:spacing w:line="380" w:lineRule="exact"/>
        <w:ind w:left="1129" w:leftChars="371" w:hanging="350" w:hangingChars="125"/>
        <w:jc w:val="lef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联系方式：</w:t>
      </w:r>
      <w:r>
        <w:rPr>
          <w:rFonts w:hint="eastAsia" w:ascii="宋体" w:hAnsi="宋体" w:eastAsia="宋体" w:cs="宋体"/>
          <w:color w:val="auto"/>
          <w:sz w:val="28"/>
          <w:szCs w:val="28"/>
          <w:u w:val="single"/>
        </w:rPr>
        <w:t>　0773-</w:t>
      </w:r>
      <w:r>
        <w:rPr>
          <w:rFonts w:hint="eastAsia" w:ascii="宋体" w:hAnsi="宋体" w:cs="宋体"/>
          <w:color w:val="auto"/>
          <w:sz w:val="28"/>
          <w:szCs w:val="28"/>
          <w:u w:val="single"/>
          <w:lang w:val="en-US" w:eastAsia="zh-CN"/>
        </w:rPr>
        <w:t>2290675</w:t>
      </w:r>
      <w:r>
        <w:rPr>
          <w:rFonts w:hint="eastAsia" w:ascii="宋体" w:hAnsi="宋体" w:eastAsia="宋体" w:cs="宋体"/>
          <w:color w:val="auto"/>
          <w:sz w:val="28"/>
          <w:szCs w:val="28"/>
          <w:u w:val="single"/>
        </w:rPr>
        <w:t>　</w:t>
      </w:r>
      <w:bookmarkStart w:id="31" w:name="_Toc28359009"/>
      <w:bookmarkStart w:id="32" w:name="_Toc28359086"/>
    </w:p>
    <w:p>
      <w:pPr>
        <w:pageBreakBefore w:val="0"/>
        <w:kinsoku/>
        <w:wordWrap/>
        <w:overflowPunct/>
        <w:topLinePunct w:val="0"/>
        <w:bidi w:val="0"/>
        <w:spacing w:line="380" w:lineRule="exact"/>
        <w:ind w:left="1129" w:leftChars="371" w:hanging="350" w:hangingChars="125"/>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2.采购代理机构信息</w:t>
      </w:r>
      <w:bookmarkEnd w:id="31"/>
      <w:bookmarkEnd w:id="32"/>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名 称：</w:t>
      </w:r>
      <w:r>
        <w:rPr>
          <w:rFonts w:hint="eastAsia" w:ascii="宋体" w:hAnsi="宋体" w:eastAsia="宋体" w:cs="宋体"/>
          <w:color w:val="auto"/>
          <w:sz w:val="28"/>
          <w:szCs w:val="28"/>
          <w:u w:val="single"/>
        </w:rPr>
        <w:t>　桂林市政府集中采购中心　</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桂林市临桂区西城中路69号创业大厦西辅楼5楼</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联系方式：</w:t>
      </w:r>
      <w:bookmarkStart w:id="33" w:name="_Toc28359010"/>
      <w:bookmarkStart w:id="34" w:name="_Toc28359087"/>
      <w:r>
        <w:rPr>
          <w:rFonts w:hint="eastAsia" w:ascii="宋体" w:hAnsi="宋体" w:eastAsia="宋体" w:cs="宋体"/>
          <w:color w:val="auto"/>
          <w:sz w:val="28"/>
          <w:szCs w:val="28"/>
          <w:u w:val="single"/>
        </w:rPr>
        <w:t>　0773-</w:t>
      </w:r>
      <w:r>
        <w:rPr>
          <w:rFonts w:hint="eastAsia" w:ascii="宋体" w:hAnsi="宋体" w:eastAsia="宋体" w:cs="宋体"/>
          <w:color w:val="auto"/>
          <w:sz w:val="28"/>
          <w:szCs w:val="28"/>
          <w:u w:val="single"/>
          <w:lang w:eastAsia="zh-CN"/>
        </w:rPr>
        <w:t>5625175</w:t>
      </w:r>
      <w:r>
        <w:rPr>
          <w:rFonts w:hint="eastAsia" w:ascii="宋体" w:hAnsi="宋体" w:eastAsia="宋体" w:cs="宋体"/>
          <w:color w:val="auto"/>
          <w:sz w:val="28"/>
          <w:szCs w:val="28"/>
          <w:u w:val="single"/>
        </w:rPr>
        <w:t>　</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3.项目联系方式</w:t>
      </w:r>
      <w:bookmarkEnd w:id="33"/>
      <w:bookmarkEnd w:id="34"/>
    </w:p>
    <w:p>
      <w:pPr>
        <w:pStyle w:val="15"/>
        <w:pageBreakBefore w:val="0"/>
        <w:kinsoku/>
        <w:wordWrap/>
        <w:overflowPunct/>
        <w:topLinePunct w:val="0"/>
        <w:bidi w:val="0"/>
        <w:spacing w:line="380" w:lineRule="exact"/>
        <w:ind w:firstLine="840" w:firstLineChars="3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项目联系人：</w:t>
      </w:r>
      <w:r>
        <w:rPr>
          <w:rFonts w:hint="eastAsia" w:hAnsi="宋体" w:cs="宋体"/>
          <w:color w:val="auto"/>
          <w:sz w:val="28"/>
          <w:szCs w:val="28"/>
          <w:u w:val="single"/>
          <w:lang w:val="en-US" w:eastAsia="zh-CN"/>
        </w:rPr>
        <w:t>蒋老师</w:t>
      </w:r>
    </w:p>
    <w:p>
      <w:pPr>
        <w:pageBreakBefore w:val="0"/>
        <w:kinsoku/>
        <w:wordWrap/>
        <w:overflowPunct/>
        <w:topLinePunct w:val="0"/>
        <w:bidi w:val="0"/>
        <w:spacing w:line="380" w:lineRule="exact"/>
        <w:ind w:firstLine="840" w:firstLineChars="300"/>
        <w:textAlignment w:val="auto"/>
        <w:rPr>
          <w:rFonts w:hint="default" w:ascii="宋体" w:hAnsi="宋体" w:eastAsia="宋体" w:cs="宋体"/>
          <w:color w:val="auto"/>
          <w:sz w:val="28"/>
          <w:szCs w:val="28"/>
          <w:u w:val="single"/>
          <w:lang w:val="en-US" w:eastAsia="zh-CN"/>
        </w:rPr>
      </w:pPr>
      <w:r>
        <w:rPr>
          <w:rFonts w:hint="eastAsia" w:ascii="宋体" w:hAnsi="宋体" w:eastAsia="宋体" w:cs="宋体"/>
          <w:color w:val="auto"/>
          <w:sz w:val="28"/>
          <w:szCs w:val="28"/>
        </w:rPr>
        <w:t>电　话：</w:t>
      </w:r>
      <w:r>
        <w:rPr>
          <w:rFonts w:hint="eastAsia" w:ascii="宋体" w:hAnsi="宋体" w:eastAsia="宋体" w:cs="宋体"/>
          <w:color w:val="auto"/>
          <w:sz w:val="28"/>
          <w:szCs w:val="28"/>
          <w:u w:val="single"/>
        </w:rPr>
        <w:t>0773-</w:t>
      </w:r>
      <w:r>
        <w:rPr>
          <w:rFonts w:hint="eastAsia" w:ascii="宋体" w:hAnsi="宋体" w:cs="宋体"/>
          <w:color w:val="auto"/>
          <w:sz w:val="28"/>
          <w:szCs w:val="28"/>
          <w:u w:val="single"/>
          <w:lang w:val="en-US" w:eastAsia="zh-CN"/>
        </w:rPr>
        <w:t>2290675</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4.政府采购监督管理机构</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名 称：</w:t>
      </w:r>
      <w:r>
        <w:rPr>
          <w:rFonts w:hint="eastAsia" w:ascii="宋体" w:hAnsi="宋体" w:eastAsia="宋体" w:cs="宋体"/>
          <w:color w:val="auto"/>
          <w:sz w:val="28"/>
          <w:szCs w:val="28"/>
          <w:u w:val="single"/>
          <w:lang w:val="en-US" w:eastAsia="zh-CN"/>
        </w:rPr>
        <w:t>广西壮族自治区财政厅政府采购监督管理处</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联系方式：</w:t>
      </w:r>
      <w:r>
        <w:rPr>
          <w:rFonts w:hint="eastAsia" w:ascii="宋体" w:hAnsi="宋体" w:cs="宋体"/>
          <w:color w:val="auto"/>
          <w:sz w:val="28"/>
          <w:szCs w:val="28"/>
          <w:u w:val="single"/>
          <w:lang w:val="en-US" w:eastAsia="zh-CN"/>
        </w:rPr>
        <w:t>0771-5331544</w:t>
      </w:r>
    </w:p>
    <w:p>
      <w:pPr>
        <w:spacing w:line="360" w:lineRule="exact"/>
        <w:ind w:firstLine="10280" w:firstLineChars="3200"/>
        <w:jc w:val="left"/>
        <w:rPr>
          <w:rFonts w:hint="eastAsia" w:ascii="宋体" w:hAnsi="宋体" w:eastAsia="宋体" w:cs="宋体"/>
          <w:b/>
          <w:color w:val="auto"/>
          <w:sz w:val="32"/>
          <w:szCs w:val="32"/>
        </w:rPr>
      </w:pPr>
    </w:p>
    <w:p>
      <w:pPr>
        <w:jc w:val="center"/>
        <w:outlineLvl w:val="0"/>
        <w:rPr>
          <w:rFonts w:hint="eastAsia" w:ascii="宋体" w:hAnsi="宋体" w:eastAsia="宋体" w:cs="宋体"/>
          <w:color w:val="auto"/>
          <w:sz w:val="32"/>
          <w:szCs w:val="32"/>
        </w:rPr>
      </w:pPr>
      <w:r>
        <w:rPr>
          <w:rFonts w:hint="eastAsia" w:ascii="宋体" w:hAnsi="宋体" w:eastAsia="宋体" w:cs="宋体"/>
          <w:color w:val="auto"/>
          <w:sz w:val="32"/>
          <w:szCs w:val="32"/>
        </w:rPr>
        <w:br w:type="page"/>
      </w:r>
      <w:bookmarkStart w:id="35" w:name="_Toc23854"/>
      <w:bookmarkStart w:id="36" w:name="_Toc12553"/>
      <w:r>
        <w:rPr>
          <w:rFonts w:hint="eastAsia" w:ascii="宋体" w:hAnsi="宋体" w:eastAsia="宋体" w:cs="宋体"/>
          <w:b/>
          <w:bCs/>
          <w:color w:val="auto"/>
          <w:kern w:val="44"/>
          <w:sz w:val="32"/>
          <w:szCs w:val="32"/>
          <w:lang w:val="en-US" w:eastAsia="zh-CN" w:bidi="ar-SA"/>
        </w:rPr>
        <w:t>第二章  投标人须知</w:t>
      </w:r>
      <w:bookmarkEnd w:id="35"/>
      <w:bookmarkEnd w:id="36"/>
    </w:p>
    <w:p>
      <w:pPr>
        <w:tabs>
          <w:tab w:val="left" w:pos="1065"/>
          <w:tab w:val="center" w:pos="4411"/>
        </w:tabs>
        <w:spacing w:line="440" w:lineRule="exact"/>
        <w:jc w:val="center"/>
        <w:outlineLvl w:val="1"/>
        <w:rPr>
          <w:rFonts w:hint="eastAsia" w:ascii="宋体" w:hAnsi="宋体" w:eastAsia="宋体" w:cs="宋体"/>
          <w:b/>
          <w:color w:val="auto"/>
          <w:sz w:val="24"/>
        </w:rPr>
      </w:pPr>
      <w:bookmarkStart w:id="37" w:name="_Toc16973"/>
      <w:bookmarkStart w:id="38" w:name="_Toc495841753"/>
      <w:bookmarkStart w:id="39" w:name="_Toc14222"/>
      <w:r>
        <w:rPr>
          <w:rFonts w:hint="eastAsia" w:ascii="宋体" w:hAnsi="宋体" w:eastAsia="宋体" w:cs="宋体"/>
          <w:b/>
          <w:color w:val="auto"/>
          <w:sz w:val="24"/>
        </w:rPr>
        <w:t>投标人须知前附表</w:t>
      </w:r>
      <w:bookmarkEnd w:id="37"/>
      <w:bookmarkEnd w:id="38"/>
      <w:bookmarkEnd w:id="39"/>
    </w:p>
    <w:tbl>
      <w:tblPr>
        <w:tblStyle w:val="26"/>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65"/>
        <w:gridCol w:w="1735"/>
        <w:gridCol w:w="6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714" w:type="dxa"/>
            <w:shd w:val="clear" w:color="auto" w:fill="8DB3E2"/>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065" w:type="dxa"/>
            <w:shd w:val="clear" w:color="auto" w:fill="8DB3E2"/>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1735" w:type="dxa"/>
            <w:shd w:val="clear" w:color="auto" w:fill="8DB3E2"/>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6229" w:type="dxa"/>
            <w:shd w:val="clear" w:color="auto" w:fill="8DB3E2"/>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06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73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项目名称及项目编号</w:t>
            </w:r>
          </w:p>
        </w:tc>
        <w:tc>
          <w:tcPr>
            <w:tcW w:w="6229" w:type="dxa"/>
            <w:vAlign w:val="center"/>
          </w:tcPr>
          <w:p>
            <w:pPr>
              <w:spacing w:line="340" w:lineRule="exact"/>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cs="宋体"/>
                <w:color w:val="auto"/>
                <w:szCs w:val="21"/>
                <w:lang w:eastAsia="zh-CN"/>
              </w:rPr>
              <w:t>花江校区新建F栋学生宿舍组团家具采购</w:t>
            </w:r>
          </w:p>
          <w:p>
            <w:pPr>
              <w:spacing w:line="340" w:lineRule="exact"/>
              <w:rPr>
                <w:rFonts w:hint="eastAsia" w:ascii="宋体" w:hAnsi="宋体" w:eastAsia="宋体" w:cs="宋体"/>
                <w:color w:val="auto"/>
                <w:szCs w:val="21"/>
                <w:lang w:eastAsia="zh-CN"/>
              </w:rPr>
            </w:pPr>
            <w:r>
              <w:rPr>
                <w:rFonts w:hint="eastAsia" w:ascii="宋体" w:hAnsi="宋体" w:eastAsia="宋体" w:cs="宋体"/>
                <w:color w:val="auto"/>
                <w:szCs w:val="21"/>
              </w:rPr>
              <w:t>项目编号：</w:t>
            </w:r>
            <w:r>
              <w:rPr>
                <w:rFonts w:hint="eastAsia" w:ascii="宋体" w:hAnsi="宋体" w:cs="宋体"/>
                <w:color w:val="auto"/>
                <w:szCs w:val="21"/>
                <w:lang w:eastAsia="zh-CN"/>
              </w:rPr>
              <w:t>GXZC2020-G1-002818-JCZX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4"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06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73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投标人资格</w:t>
            </w:r>
          </w:p>
        </w:tc>
        <w:tc>
          <w:tcPr>
            <w:tcW w:w="6229" w:type="dxa"/>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5.1符合《中华人民共和国政府采购法》第二十二条规定的供应商资格条件，并且国内注册或登记、具备合法资格，提供本次采购货物或服务的供应商。</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5.2 本项目不接受联合体投标。</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4"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06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735" w:type="dxa"/>
            <w:vAlign w:val="center"/>
          </w:tcPr>
          <w:p>
            <w:pPr>
              <w:spacing w:line="40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投标费用</w:t>
            </w:r>
          </w:p>
        </w:tc>
        <w:tc>
          <w:tcPr>
            <w:tcW w:w="6229" w:type="dxa"/>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065" w:type="dxa"/>
            <w:vAlign w:val="center"/>
          </w:tcPr>
          <w:p>
            <w:pPr>
              <w:spacing w:line="36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15</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采购预算金额及投标报价</w:t>
            </w:r>
          </w:p>
        </w:tc>
        <w:tc>
          <w:tcPr>
            <w:tcW w:w="6229" w:type="dxa"/>
            <w:vAlign w:val="center"/>
          </w:tcPr>
          <w:p>
            <w:pPr>
              <w:spacing w:line="360" w:lineRule="exact"/>
              <w:rPr>
                <w:rFonts w:hint="eastAsia"/>
                <w:color w:val="auto"/>
              </w:rPr>
            </w:pPr>
            <w:r>
              <w:rPr>
                <w:rFonts w:hint="eastAsia"/>
                <w:color w:val="auto"/>
              </w:rPr>
              <w:t>15.1本项目采购总预算金额：人民币壹仟叁佰贰拾叁万贰仟元整（¥</w:t>
            </w:r>
            <w:r>
              <w:rPr>
                <w:rFonts w:hint="eastAsia"/>
                <w:color w:val="auto"/>
                <w:lang w:val="en-US"/>
              </w:rPr>
              <w:t>13232000.00</w:t>
            </w:r>
            <w:r>
              <w:rPr>
                <w:rFonts w:hint="eastAsia"/>
                <w:color w:val="auto"/>
              </w:rPr>
              <w:t>），其中</w:t>
            </w:r>
            <w:r>
              <w:rPr>
                <w:rFonts w:hint="eastAsia"/>
                <w:color w:val="auto"/>
                <w:lang w:val="en-US"/>
              </w:rPr>
              <w:t>A分标</w:t>
            </w:r>
            <w:r>
              <w:rPr>
                <w:rFonts w:hint="eastAsia"/>
                <w:color w:val="auto"/>
              </w:rPr>
              <w:t>预算金额：人民币肆佰柒拾柒万贰仟伍佰元整（¥</w:t>
            </w:r>
            <w:r>
              <w:rPr>
                <w:rFonts w:hint="eastAsia"/>
                <w:color w:val="auto"/>
                <w:lang w:val="en-US"/>
              </w:rPr>
              <w:t>4772500.00</w:t>
            </w:r>
            <w:r>
              <w:rPr>
                <w:rFonts w:hint="eastAsia"/>
                <w:color w:val="auto"/>
              </w:rPr>
              <w:t>）</w:t>
            </w:r>
            <w:r>
              <w:rPr>
                <w:rFonts w:hint="eastAsia"/>
                <w:color w:val="auto"/>
                <w:lang w:val="en-US"/>
              </w:rPr>
              <w:t>；B分标</w:t>
            </w:r>
            <w:r>
              <w:rPr>
                <w:rFonts w:hint="eastAsia"/>
                <w:color w:val="auto"/>
              </w:rPr>
              <w:t>预算金额：人民币肆佰柒拾柒万贰仟伍佰元整（¥</w:t>
            </w:r>
            <w:r>
              <w:rPr>
                <w:rFonts w:hint="eastAsia"/>
                <w:color w:val="auto"/>
                <w:lang w:val="en-US"/>
              </w:rPr>
              <w:t>4772500.00</w:t>
            </w:r>
            <w:r>
              <w:rPr>
                <w:rFonts w:hint="eastAsia"/>
                <w:color w:val="auto"/>
              </w:rPr>
              <w:t>）；</w:t>
            </w:r>
            <w:r>
              <w:rPr>
                <w:rFonts w:hint="eastAsia"/>
                <w:color w:val="auto"/>
                <w:lang w:val="en-US"/>
              </w:rPr>
              <w:t>C分标</w:t>
            </w:r>
            <w:r>
              <w:rPr>
                <w:rFonts w:hint="eastAsia"/>
                <w:color w:val="auto"/>
              </w:rPr>
              <w:t>预算金额：人民币叁佰陆拾捌万柒仟元整（¥</w:t>
            </w:r>
            <w:r>
              <w:rPr>
                <w:rFonts w:hint="eastAsia"/>
                <w:color w:val="auto"/>
                <w:lang w:val="en-US"/>
              </w:rPr>
              <w:t>3687000.00</w:t>
            </w:r>
            <w:r>
              <w:rPr>
                <w:rFonts w:hint="eastAsia"/>
                <w:color w:val="auto"/>
              </w:rPr>
              <w:t>）。投标报价超过采购预算金额的，投标文件按无效处理。</w:t>
            </w:r>
          </w:p>
          <w:p>
            <w:pPr>
              <w:spacing w:line="360" w:lineRule="exact"/>
              <w:rPr>
                <w:rFonts w:hint="eastAsia"/>
                <w:color w:val="auto"/>
              </w:rPr>
            </w:pPr>
            <w:r>
              <w:rPr>
                <w:rFonts w:hint="eastAsia"/>
                <w:color w:val="auto"/>
              </w:rPr>
              <w:t>15.2投标人必须就“货物采购需求”中所投分标内容作完整唯一报价，否则，其投标将被拒绝；投标文件只允许有一个报价，有选择的或有条件的报价将不予接受。</w:t>
            </w:r>
          </w:p>
          <w:p>
            <w:pPr>
              <w:pStyle w:val="2"/>
              <w:rPr>
                <w:rFonts w:hint="eastAsia"/>
                <w:color w:val="auto"/>
              </w:rPr>
            </w:pPr>
            <w:r>
              <w:rPr>
                <w:rFonts w:hint="eastAsia" w:ascii="Times New Roman" w:hAnsi="Times New Roman" w:eastAsia="宋体" w:cs="Times New Roman"/>
                <w:color w:val="auto"/>
                <w:kern w:val="2"/>
                <w:sz w:val="21"/>
                <w:szCs w:val="24"/>
                <w:lang w:val="en-US" w:eastAsia="zh-CN" w:bidi="ar-SA"/>
              </w:rPr>
              <w:t>15.</w:t>
            </w:r>
            <w:r>
              <w:rPr>
                <w:rFonts w:hint="eastAsia" w:cs="Times New Roman"/>
                <w:color w:val="auto"/>
                <w:kern w:val="2"/>
                <w:sz w:val="21"/>
                <w:szCs w:val="24"/>
                <w:lang w:val="en-US" w:eastAsia="zh-CN" w:bidi="ar-SA"/>
              </w:rPr>
              <w:t>4</w:t>
            </w:r>
            <w:r>
              <w:rPr>
                <w:rFonts w:hint="eastAsia" w:ascii="Times New Roman" w:hAnsi="Times New Roman" w:eastAsia="宋体" w:cs="Times New Roman"/>
                <w:color w:val="auto"/>
                <w:kern w:val="2"/>
                <w:sz w:val="21"/>
                <w:szCs w:val="24"/>
                <w:lang w:val="en-US" w:eastAsia="zh-CN" w:bidi="ar-SA"/>
              </w:rPr>
              <w:t>投标人可自行选择参与本项目A、B、C分标中的</w:t>
            </w:r>
            <w:r>
              <w:rPr>
                <w:rFonts w:hint="eastAsia" w:cs="Times New Roman"/>
                <w:color w:val="auto"/>
                <w:kern w:val="2"/>
                <w:sz w:val="21"/>
                <w:szCs w:val="24"/>
                <w:lang w:val="en-US" w:eastAsia="zh-CN" w:bidi="ar-SA"/>
              </w:rPr>
              <w:t>一</w:t>
            </w:r>
            <w:r>
              <w:rPr>
                <w:rFonts w:hint="eastAsia" w:ascii="Times New Roman" w:hAnsi="Times New Roman" w:eastAsia="宋体" w:cs="Times New Roman"/>
                <w:color w:val="auto"/>
                <w:kern w:val="2"/>
                <w:sz w:val="21"/>
                <w:szCs w:val="24"/>
                <w:lang w:val="en-US" w:eastAsia="zh-CN" w:bidi="ar-SA"/>
              </w:rPr>
              <w:t>个或多个标段的投标，但A、B、C分标中只能中其中一个分标。如果某一投标人在A、B、C分标中评标结果出现两个或三个排名第一，则将该投标人确定为分标号靠前的分标的第一中标候选人，而其他第二成交候选人上升为第一成交候选人，第三成交候选人上升为第二成交候选人，以此类推。本项目分为</w:t>
            </w:r>
            <w:r>
              <w:rPr>
                <w:rFonts w:hint="eastAsia" w:cs="Times New Roman"/>
                <w:color w:val="auto"/>
                <w:kern w:val="2"/>
                <w:sz w:val="21"/>
                <w:szCs w:val="24"/>
                <w:lang w:val="en-US" w:eastAsia="zh-CN" w:bidi="ar-SA"/>
              </w:rPr>
              <w:t>三</w:t>
            </w:r>
            <w:r>
              <w:rPr>
                <w:rFonts w:hint="eastAsia" w:ascii="Times New Roman" w:hAnsi="Times New Roman" w:eastAsia="宋体" w:cs="Times New Roman"/>
                <w:color w:val="auto"/>
                <w:kern w:val="2"/>
                <w:sz w:val="21"/>
                <w:szCs w:val="24"/>
                <w:lang w:val="en-US" w:eastAsia="zh-CN" w:bidi="ar-SA"/>
              </w:rPr>
              <w:t>个分标，评标时按A、B、C分标的顺序进行评审。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14"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06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16.1</w:t>
            </w:r>
          </w:p>
        </w:tc>
        <w:tc>
          <w:tcPr>
            <w:tcW w:w="173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投标有效期</w:t>
            </w:r>
          </w:p>
        </w:tc>
        <w:tc>
          <w:tcPr>
            <w:tcW w:w="6229" w:type="dxa"/>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06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173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投标保证金</w:t>
            </w:r>
          </w:p>
        </w:tc>
        <w:tc>
          <w:tcPr>
            <w:tcW w:w="6229" w:type="dxa"/>
            <w:vAlign w:val="top"/>
          </w:tcPr>
          <w:p>
            <w:pPr>
              <w:spacing w:line="400" w:lineRule="exact"/>
              <w:rPr>
                <w:rFonts w:hint="eastAsia" w:ascii="宋体" w:hAnsi="宋体" w:eastAsia="宋体" w:cs="宋体"/>
                <w:color w:val="auto"/>
                <w:szCs w:val="21"/>
              </w:rPr>
            </w:pPr>
            <w:r>
              <w:rPr>
                <w:rFonts w:hint="eastAsia" w:ascii="宋体" w:hAnsi="宋体" w:eastAsia="宋体" w:cs="宋体"/>
                <w:b/>
                <w:bCs/>
                <w:color w:val="auto"/>
                <w:szCs w:val="21"/>
              </w:rPr>
              <w:t>本项目无需缴纳投标保证金</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06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18.1</w:t>
            </w:r>
          </w:p>
        </w:tc>
        <w:tc>
          <w:tcPr>
            <w:tcW w:w="1735"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投标文件份数</w:t>
            </w:r>
          </w:p>
        </w:tc>
        <w:tc>
          <w:tcPr>
            <w:tcW w:w="6229" w:type="dxa"/>
            <w:vAlign w:val="center"/>
          </w:tcPr>
          <w:p>
            <w:pPr>
              <w:spacing w:line="400" w:lineRule="exact"/>
              <w:rPr>
                <w:rFonts w:hint="eastAsia" w:ascii="宋体" w:hAnsi="宋体" w:eastAsia="宋体" w:cs="宋体"/>
                <w:color w:val="auto"/>
                <w:szCs w:val="21"/>
                <w:u w:val="single"/>
              </w:rPr>
            </w:pPr>
            <w:r>
              <w:rPr>
                <w:rFonts w:hint="eastAsia" w:ascii="宋体" w:hAnsi="宋体" w:eastAsia="宋体" w:cs="宋体"/>
                <w:b/>
                <w:bCs/>
                <w:color w:val="auto"/>
                <w:szCs w:val="21"/>
                <w:u w:val="single"/>
              </w:rPr>
              <w:t>正本壹册，副本</w:t>
            </w:r>
            <w:r>
              <w:rPr>
                <w:rFonts w:hint="eastAsia" w:ascii="宋体" w:hAnsi="宋体" w:cs="宋体"/>
                <w:b/>
                <w:bCs/>
                <w:color w:val="auto"/>
                <w:szCs w:val="21"/>
                <w:u w:val="single"/>
                <w:lang w:val="en-US" w:eastAsia="zh-CN"/>
              </w:rPr>
              <w:t>陆</w:t>
            </w:r>
            <w:r>
              <w:rPr>
                <w:rFonts w:hint="eastAsia" w:ascii="宋体" w:hAnsi="宋体" w:eastAsia="宋体" w:cs="宋体"/>
                <w:b/>
                <w:bCs/>
                <w:color w:val="auto"/>
                <w:szCs w:val="21"/>
                <w:u w:val="single"/>
              </w:rPr>
              <w:t>册，须完整提交</w:t>
            </w:r>
            <w:r>
              <w:rPr>
                <w:rFonts w:hint="eastAsia" w:ascii="宋体" w:hAnsi="宋体" w:eastAsia="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1065" w:type="dxa"/>
            <w:vAlign w:val="center"/>
          </w:tcPr>
          <w:p>
            <w:pPr>
              <w:spacing w:line="360" w:lineRule="exact"/>
              <w:jc w:val="center"/>
              <w:rPr>
                <w:rFonts w:hint="eastAsia" w:ascii="宋体" w:hAnsi="宋体" w:eastAsia="宋体" w:cs="宋体"/>
                <w:color w:val="auto"/>
                <w:position w:val="10"/>
                <w:szCs w:val="21"/>
              </w:rPr>
            </w:pPr>
            <w:r>
              <w:rPr>
                <w:rFonts w:hint="eastAsia" w:ascii="宋体" w:hAnsi="宋体" w:eastAsia="宋体" w:cs="宋体"/>
                <w:color w:val="auto"/>
                <w:szCs w:val="21"/>
              </w:rPr>
              <w:t>18.2</w:t>
            </w:r>
          </w:p>
        </w:tc>
        <w:tc>
          <w:tcPr>
            <w:tcW w:w="1735" w:type="dxa"/>
            <w:vAlign w:val="center"/>
          </w:tcPr>
          <w:p>
            <w:pPr>
              <w:spacing w:line="360" w:lineRule="exact"/>
              <w:jc w:val="center"/>
              <w:rPr>
                <w:rFonts w:hint="eastAsia" w:ascii="宋体" w:hAnsi="宋体" w:eastAsia="宋体" w:cs="宋体"/>
                <w:color w:val="auto"/>
                <w:position w:val="10"/>
                <w:szCs w:val="21"/>
              </w:rPr>
            </w:pPr>
            <w:r>
              <w:rPr>
                <w:rFonts w:hint="eastAsia" w:ascii="宋体" w:hAnsi="宋体" w:eastAsia="宋体" w:cs="宋体"/>
                <w:color w:val="auto"/>
                <w:szCs w:val="21"/>
              </w:rPr>
              <w:t>投标文件装订</w:t>
            </w:r>
          </w:p>
        </w:tc>
        <w:tc>
          <w:tcPr>
            <w:tcW w:w="6229" w:type="dxa"/>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18.6</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投标人公章</w:t>
            </w:r>
          </w:p>
        </w:tc>
        <w:tc>
          <w:tcPr>
            <w:tcW w:w="6229" w:type="dxa"/>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18.7</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投标文件包装、密封</w:t>
            </w:r>
          </w:p>
        </w:tc>
        <w:tc>
          <w:tcPr>
            <w:tcW w:w="6229" w:type="dxa"/>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将投标文件“正本”、“副本”一并装入并密封在一个投标文件袋（盒、箱）中，并在密封处密封签章【公章、密封章、法定代表人、负责人或相应的授权委托代理人签字均可】。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18.8</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投标文件袋（盒、箱）标记</w:t>
            </w:r>
          </w:p>
        </w:tc>
        <w:tc>
          <w:tcPr>
            <w:tcW w:w="6229" w:type="dxa"/>
            <w:vAlign w:val="center"/>
          </w:tcPr>
          <w:p>
            <w:pPr>
              <w:spacing w:line="360" w:lineRule="exact"/>
              <w:rPr>
                <w:rFonts w:hint="eastAsia" w:ascii="宋体" w:hAnsi="宋体" w:eastAsia="宋体" w:cs="宋体"/>
                <w:color w:val="auto"/>
                <w:spacing w:val="-6"/>
                <w:kern w:val="0"/>
                <w:szCs w:val="21"/>
                <w:lang w:eastAsia="zh-CN"/>
              </w:rPr>
            </w:pPr>
            <w:r>
              <w:rPr>
                <w:rFonts w:hint="eastAsia" w:ascii="宋体" w:hAnsi="宋体" w:eastAsia="宋体" w:cs="宋体"/>
                <w:color w:val="auto"/>
                <w:szCs w:val="21"/>
              </w:rPr>
              <w:t>项目名称：</w:t>
            </w:r>
            <w:r>
              <w:rPr>
                <w:rFonts w:hint="eastAsia" w:ascii="宋体" w:hAnsi="宋体" w:cs="宋体"/>
                <w:color w:val="auto"/>
                <w:szCs w:val="21"/>
                <w:u w:val="single"/>
                <w:lang w:eastAsia="zh-CN"/>
              </w:rPr>
              <w:t>花江校区新建F栋学生宿舍组团家具采购</w:t>
            </w:r>
          </w:p>
          <w:p>
            <w:pPr>
              <w:spacing w:line="360" w:lineRule="exact"/>
              <w:rPr>
                <w:rFonts w:hint="eastAsia" w:ascii="宋体" w:hAnsi="宋体" w:eastAsia="宋体" w:cs="宋体"/>
                <w:color w:val="auto"/>
                <w:szCs w:val="21"/>
                <w:lang w:eastAsia="zh-CN"/>
              </w:rPr>
            </w:pPr>
            <w:r>
              <w:rPr>
                <w:rFonts w:hint="eastAsia" w:ascii="宋体" w:hAnsi="宋体" w:eastAsia="宋体" w:cs="宋体"/>
                <w:color w:val="auto"/>
                <w:szCs w:val="21"/>
              </w:rPr>
              <w:t>项目编号：</w:t>
            </w:r>
            <w:r>
              <w:rPr>
                <w:rFonts w:hint="eastAsia" w:ascii="宋体" w:hAnsi="宋体" w:cs="宋体"/>
                <w:color w:val="auto"/>
                <w:szCs w:val="21"/>
                <w:u w:val="single"/>
                <w:lang w:eastAsia="zh-CN"/>
              </w:rPr>
              <w:t>GXZC2020-G1-002818-JCZX</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采购代理机构：</w:t>
            </w:r>
            <w:r>
              <w:rPr>
                <w:rFonts w:hint="eastAsia" w:ascii="宋体" w:hAnsi="宋体" w:eastAsia="宋体" w:cs="宋体"/>
                <w:color w:val="auto"/>
                <w:szCs w:val="21"/>
                <w:u w:val="single"/>
              </w:rPr>
              <w:t>桂林市政府集中采购中心</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投标单位名称：</w:t>
            </w:r>
            <w:r>
              <w:rPr>
                <w:rFonts w:hint="eastAsia" w:ascii="宋体" w:hAnsi="宋体" w:eastAsia="宋体" w:cs="宋体"/>
                <w:color w:val="auto"/>
                <w:szCs w:val="21"/>
                <w:u w:val="single"/>
              </w:rPr>
              <w:t xml:space="preserve">                       </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在2020年</w:t>
            </w:r>
            <w:r>
              <w:rPr>
                <w:rFonts w:hint="eastAsia" w:ascii="宋体" w:hAnsi="宋体" w:cs="宋体"/>
                <w:color w:val="auto"/>
                <w:szCs w:val="21"/>
                <w:lang w:val="en-US" w:eastAsia="zh-CN"/>
              </w:rPr>
              <w:t>8</w:t>
            </w:r>
            <w:r>
              <w:rPr>
                <w:rFonts w:hint="eastAsia" w:ascii="宋体" w:hAnsi="宋体" w:eastAsia="宋体" w:cs="宋体"/>
                <w:color w:val="auto"/>
                <w:szCs w:val="21"/>
              </w:rPr>
              <w:t>月</w:t>
            </w:r>
            <w:r>
              <w:rPr>
                <w:rFonts w:hint="eastAsia" w:ascii="宋体" w:hAnsi="宋体" w:cs="宋体"/>
                <w:color w:val="auto"/>
                <w:szCs w:val="21"/>
                <w:lang w:val="en-US" w:eastAsia="zh-CN"/>
              </w:rPr>
              <w:t>21</w:t>
            </w:r>
            <w:r>
              <w:rPr>
                <w:rFonts w:hint="eastAsia" w:ascii="宋体" w:hAnsi="宋体" w:eastAsia="宋体" w:cs="宋体"/>
                <w:color w:val="auto"/>
                <w:szCs w:val="21"/>
              </w:rPr>
              <w:t>日上午</w:t>
            </w:r>
            <w:r>
              <w:rPr>
                <w:rFonts w:hint="eastAsia" w:ascii="宋体" w:hAnsi="宋体" w:cs="宋体"/>
                <w:color w:val="auto"/>
                <w:szCs w:val="21"/>
                <w:lang w:val="en-US" w:eastAsia="zh-CN"/>
              </w:rPr>
              <w:t>9</w:t>
            </w:r>
            <w:r>
              <w:rPr>
                <w:rFonts w:hint="eastAsia" w:ascii="宋体" w:hAnsi="宋体" w:eastAsia="宋体" w:cs="宋体"/>
                <w:color w:val="auto"/>
                <w:szCs w:val="21"/>
              </w:rPr>
              <w:t>时</w:t>
            </w:r>
            <w:r>
              <w:rPr>
                <w:rFonts w:hint="eastAsia" w:ascii="宋体" w:hAnsi="宋体" w:cs="宋体"/>
                <w:color w:val="auto"/>
                <w:szCs w:val="21"/>
                <w:lang w:val="en-US" w:eastAsia="zh-CN"/>
              </w:rPr>
              <w:t>30</w:t>
            </w:r>
            <w:r>
              <w:rPr>
                <w:rFonts w:hint="eastAsia" w:ascii="宋体" w:hAnsi="宋体" w:eastAsia="宋体" w:cs="宋体"/>
                <w:color w:val="auto"/>
                <w:szCs w:val="21"/>
              </w:rPr>
              <w:t xml:space="preserve">分前不得开启（此处填写截标时间）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1065" w:type="dxa"/>
            <w:vAlign w:val="center"/>
          </w:tcPr>
          <w:p>
            <w:pPr>
              <w:spacing w:line="360" w:lineRule="exact"/>
              <w:jc w:val="center"/>
              <w:rPr>
                <w:rFonts w:hint="eastAsia" w:ascii="宋体" w:hAnsi="宋体" w:eastAsia="宋体" w:cs="宋体"/>
                <w:color w:val="auto"/>
                <w:position w:val="-2"/>
                <w:szCs w:val="21"/>
                <w:lang w:eastAsia="zh-CN"/>
              </w:rPr>
            </w:pPr>
            <w:r>
              <w:rPr>
                <w:rFonts w:hint="eastAsia" w:ascii="宋体" w:hAnsi="宋体" w:eastAsia="宋体" w:cs="宋体"/>
                <w:color w:val="auto"/>
                <w:szCs w:val="21"/>
              </w:rPr>
              <w:t>20.</w:t>
            </w:r>
            <w:r>
              <w:rPr>
                <w:rFonts w:hint="eastAsia" w:ascii="宋体" w:hAnsi="宋体" w:eastAsia="宋体" w:cs="宋体"/>
                <w:color w:val="auto"/>
                <w:szCs w:val="21"/>
                <w:lang w:val="en-US" w:eastAsia="zh-CN"/>
              </w:rPr>
              <w:t>2</w:t>
            </w:r>
          </w:p>
        </w:tc>
        <w:tc>
          <w:tcPr>
            <w:tcW w:w="1735" w:type="dxa"/>
            <w:vAlign w:val="center"/>
          </w:tcPr>
          <w:p>
            <w:pPr>
              <w:spacing w:line="36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投标文件递交</w:t>
            </w:r>
          </w:p>
        </w:tc>
        <w:tc>
          <w:tcPr>
            <w:tcW w:w="6229" w:type="dxa"/>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投标人应于2020年</w:t>
            </w:r>
            <w:r>
              <w:rPr>
                <w:rFonts w:hint="eastAsia" w:ascii="宋体" w:hAnsi="宋体" w:cs="宋体"/>
                <w:color w:val="auto"/>
                <w:szCs w:val="21"/>
                <w:lang w:val="en-US" w:eastAsia="zh-CN"/>
              </w:rPr>
              <w:t>8</w:t>
            </w:r>
            <w:r>
              <w:rPr>
                <w:rFonts w:hint="eastAsia" w:ascii="宋体" w:hAnsi="宋体" w:eastAsia="宋体" w:cs="宋体"/>
                <w:color w:val="auto"/>
                <w:szCs w:val="21"/>
              </w:rPr>
              <w:t>月</w:t>
            </w:r>
            <w:r>
              <w:rPr>
                <w:rFonts w:hint="eastAsia" w:ascii="宋体" w:hAnsi="宋体" w:cs="宋体"/>
                <w:color w:val="auto"/>
                <w:szCs w:val="21"/>
                <w:lang w:val="en-US" w:eastAsia="zh-CN"/>
              </w:rPr>
              <w:t>21</w:t>
            </w:r>
            <w:r>
              <w:rPr>
                <w:rFonts w:hint="eastAsia" w:ascii="宋体" w:hAnsi="宋体" w:eastAsia="宋体" w:cs="宋体"/>
                <w:color w:val="auto"/>
                <w:szCs w:val="21"/>
              </w:rPr>
              <w:t>日上午</w:t>
            </w:r>
            <w:r>
              <w:rPr>
                <w:rFonts w:hint="eastAsia" w:ascii="宋体" w:hAnsi="宋体" w:cs="宋体"/>
                <w:color w:val="auto"/>
                <w:szCs w:val="21"/>
                <w:lang w:val="en-US" w:eastAsia="zh-CN"/>
              </w:rPr>
              <w:t>9</w:t>
            </w:r>
            <w:r>
              <w:rPr>
                <w:rFonts w:hint="eastAsia" w:ascii="宋体" w:hAnsi="宋体" w:eastAsia="宋体" w:cs="宋体"/>
                <w:color w:val="auto"/>
                <w:szCs w:val="21"/>
              </w:rPr>
              <w:t>时</w:t>
            </w:r>
            <w:r>
              <w:rPr>
                <w:rFonts w:hint="eastAsia" w:ascii="宋体" w:hAnsi="宋体" w:cs="宋体"/>
                <w:color w:val="auto"/>
                <w:szCs w:val="21"/>
                <w:lang w:val="en-US" w:eastAsia="zh-CN"/>
              </w:rPr>
              <w:t>0</w:t>
            </w:r>
            <w:r>
              <w:rPr>
                <w:rFonts w:hint="eastAsia" w:ascii="宋体" w:hAnsi="宋体" w:eastAsia="宋体" w:cs="宋体"/>
                <w:color w:val="auto"/>
                <w:szCs w:val="21"/>
              </w:rPr>
              <w:t>0分</w:t>
            </w:r>
            <w:r>
              <w:rPr>
                <w:rFonts w:hint="eastAsia" w:ascii="宋体" w:hAnsi="宋体" w:cs="宋体"/>
                <w:color w:val="auto"/>
                <w:szCs w:val="21"/>
                <w:lang w:val="en-US" w:eastAsia="zh-CN"/>
              </w:rPr>
              <w:t>至</w:t>
            </w:r>
            <w:r>
              <w:rPr>
                <w:rFonts w:hint="eastAsia" w:ascii="宋体" w:hAnsi="宋体" w:eastAsia="宋体" w:cs="宋体"/>
                <w:color w:val="auto"/>
                <w:szCs w:val="21"/>
              </w:rPr>
              <w:t>2020年</w:t>
            </w:r>
            <w:r>
              <w:rPr>
                <w:rFonts w:hint="eastAsia" w:ascii="宋体" w:hAnsi="宋体" w:cs="宋体"/>
                <w:color w:val="auto"/>
                <w:szCs w:val="21"/>
                <w:lang w:val="en-US" w:eastAsia="zh-CN"/>
              </w:rPr>
              <w:t>8</w:t>
            </w:r>
            <w:r>
              <w:rPr>
                <w:rFonts w:hint="eastAsia" w:ascii="宋体" w:hAnsi="宋体" w:eastAsia="宋体" w:cs="宋体"/>
                <w:color w:val="auto"/>
                <w:szCs w:val="21"/>
              </w:rPr>
              <w:t>月</w:t>
            </w:r>
            <w:r>
              <w:rPr>
                <w:rFonts w:hint="eastAsia" w:ascii="宋体" w:hAnsi="宋体" w:cs="宋体"/>
                <w:color w:val="auto"/>
                <w:szCs w:val="21"/>
                <w:lang w:val="en-US" w:eastAsia="zh-CN"/>
              </w:rPr>
              <w:t>21</w:t>
            </w:r>
            <w:r>
              <w:rPr>
                <w:rFonts w:hint="eastAsia" w:ascii="宋体" w:hAnsi="宋体" w:eastAsia="宋体" w:cs="宋体"/>
                <w:color w:val="auto"/>
                <w:szCs w:val="21"/>
              </w:rPr>
              <w:t>日上午</w:t>
            </w:r>
            <w:r>
              <w:rPr>
                <w:rFonts w:hint="eastAsia" w:ascii="宋体" w:hAnsi="宋体" w:cs="宋体"/>
                <w:color w:val="auto"/>
                <w:szCs w:val="21"/>
                <w:lang w:val="en-US" w:eastAsia="zh-CN"/>
              </w:rPr>
              <w:t>9</w:t>
            </w:r>
            <w:r>
              <w:rPr>
                <w:rFonts w:hint="eastAsia" w:ascii="宋体" w:hAnsi="宋体" w:eastAsia="宋体" w:cs="宋体"/>
                <w:color w:val="auto"/>
                <w:szCs w:val="21"/>
              </w:rPr>
              <w:t>时</w:t>
            </w:r>
            <w:r>
              <w:rPr>
                <w:rFonts w:hint="eastAsia" w:ascii="宋体" w:hAnsi="宋体" w:cs="宋体"/>
                <w:color w:val="auto"/>
                <w:szCs w:val="21"/>
                <w:lang w:val="en-US" w:eastAsia="zh-CN"/>
              </w:rPr>
              <w:t>30</w:t>
            </w:r>
            <w:r>
              <w:rPr>
                <w:rFonts w:hint="eastAsia" w:ascii="宋体" w:hAnsi="宋体" w:eastAsia="宋体" w:cs="宋体"/>
                <w:color w:val="auto"/>
                <w:szCs w:val="21"/>
              </w:rPr>
              <w:t>分止，将投标文件密封提交至</w:t>
            </w:r>
            <w:r>
              <w:rPr>
                <w:rFonts w:hint="eastAsia" w:ascii="宋体" w:hAnsi="宋体" w:eastAsia="宋体" w:cs="宋体"/>
                <w:color w:val="auto"/>
                <w:szCs w:val="21"/>
                <w:u w:val="single"/>
              </w:rPr>
              <w:t>桂林市公共资源交易中心（临桂新区西城中路69号西辅楼四楼）</w:t>
            </w:r>
            <w:r>
              <w:rPr>
                <w:rFonts w:hint="eastAsia" w:ascii="宋体" w:hAnsi="宋体" w:cs="宋体"/>
                <w:color w:val="auto"/>
                <w:szCs w:val="21"/>
                <w:u w:val="single"/>
                <w:lang w:val="en-US" w:eastAsia="zh-CN"/>
              </w:rPr>
              <w:t>12</w:t>
            </w:r>
            <w:r>
              <w:rPr>
                <w:rFonts w:hint="eastAsia" w:ascii="宋体" w:hAnsi="宋体" w:eastAsia="宋体" w:cs="宋体"/>
                <w:color w:val="auto"/>
                <w:szCs w:val="21"/>
                <w:u w:val="single"/>
              </w:rPr>
              <w:t>号开标室</w:t>
            </w:r>
            <w:r>
              <w:rPr>
                <w:rFonts w:hint="eastAsia" w:ascii="宋体" w:hAnsi="宋体" w:eastAsia="宋体" w:cs="宋体"/>
                <w:color w:val="auto"/>
                <w:szCs w:val="21"/>
              </w:rPr>
              <w:t>，逾期送达的或未送达指定地点的投标文件将予以拒收。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21.1</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开标时间及地点</w:t>
            </w:r>
          </w:p>
        </w:tc>
        <w:tc>
          <w:tcPr>
            <w:tcW w:w="6229" w:type="dxa"/>
            <w:vAlign w:val="top"/>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开标时间：</w:t>
            </w:r>
            <w:r>
              <w:rPr>
                <w:rFonts w:hint="eastAsia" w:ascii="宋体" w:hAnsi="宋体" w:eastAsia="宋体" w:cs="宋体"/>
                <w:color w:val="auto"/>
                <w:szCs w:val="21"/>
                <w:u w:val="single"/>
              </w:rPr>
              <w:t>2020年</w:t>
            </w:r>
            <w:r>
              <w:rPr>
                <w:rFonts w:hint="eastAsia" w:ascii="宋体" w:hAnsi="宋体" w:cs="宋体"/>
                <w:color w:val="auto"/>
                <w:szCs w:val="21"/>
                <w:u w:val="single"/>
                <w:lang w:val="en-US" w:eastAsia="zh-CN"/>
              </w:rPr>
              <w:t>8</w:t>
            </w:r>
            <w:r>
              <w:rPr>
                <w:rFonts w:hint="eastAsia" w:ascii="宋体" w:hAnsi="宋体" w:eastAsia="宋体" w:cs="宋体"/>
                <w:color w:val="auto"/>
                <w:szCs w:val="21"/>
                <w:u w:val="single"/>
              </w:rPr>
              <w:t>月</w:t>
            </w:r>
            <w:r>
              <w:rPr>
                <w:rFonts w:hint="eastAsia" w:ascii="宋体" w:hAnsi="宋体" w:cs="宋体"/>
                <w:color w:val="auto"/>
                <w:szCs w:val="21"/>
                <w:u w:val="single"/>
                <w:lang w:val="en-US" w:eastAsia="zh-CN"/>
              </w:rPr>
              <w:t>21</w:t>
            </w:r>
            <w:r>
              <w:rPr>
                <w:rFonts w:hint="eastAsia" w:ascii="宋体" w:hAnsi="宋体" w:eastAsia="宋体" w:cs="宋体"/>
                <w:color w:val="auto"/>
                <w:szCs w:val="21"/>
                <w:u w:val="single"/>
              </w:rPr>
              <w:t>日上午</w:t>
            </w:r>
            <w:r>
              <w:rPr>
                <w:rFonts w:hint="eastAsia" w:ascii="宋体" w:hAnsi="宋体" w:cs="宋体"/>
                <w:color w:val="auto"/>
                <w:szCs w:val="21"/>
                <w:u w:val="single"/>
                <w:lang w:val="en-US" w:eastAsia="zh-CN"/>
              </w:rPr>
              <w:t>9</w:t>
            </w:r>
            <w:r>
              <w:rPr>
                <w:rFonts w:hint="eastAsia" w:ascii="宋体" w:hAnsi="宋体" w:eastAsia="宋体" w:cs="宋体"/>
                <w:color w:val="auto"/>
                <w:szCs w:val="21"/>
                <w:u w:val="single"/>
              </w:rPr>
              <w:t>时30分；</w:t>
            </w:r>
            <w:r>
              <w:rPr>
                <w:rFonts w:hint="eastAsia" w:ascii="宋体" w:hAnsi="宋体" w:eastAsia="宋体" w:cs="宋体"/>
                <w:color w:val="auto"/>
                <w:szCs w:val="21"/>
              </w:rPr>
              <w:t>开标地点：</w:t>
            </w:r>
            <w:r>
              <w:rPr>
                <w:rFonts w:hint="eastAsia" w:ascii="宋体" w:hAnsi="宋体" w:eastAsia="宋体" w:cs="宋体"/>
                <w:color w:val="auto"/>
                <w:szCs w:val="21"/>
                <w:u w:val="single"/>
              </w:rPr>
              <w:t>桂林市公共资源交易中心（临桂新区西城中路69号西辅楼四楼）</w:t>
            </w:r>
            <w:r>
              <w:rPr>
                <w:rFonts w:hint="eastAsia" w:ascii="宋体" w:hAnsi="宋体" w:cs="宋体"/>
                <w:color w:val="auto"/>
                <w:szCs w:val="21"/>
                <w:u w:val="single"/>
                <w:lang w:val="en-US" w:eastAsia="zh-CN"/>
              </w:rPr>
              <w:t>12</w:t>
            </w:r>
            <w:r>
              <w:rPr>
                <w:rFonts w:hint="eastAsia" w:ascii="宋体" w:hAnsi="宋体" w:eastAsia="宋体" w:cs="宋体"/>
                <w:color w:val="auto"/>
                <w:szCs w:val="21"/>
                <w:u w:val="single"/>
              </w:rPr>
              <w:t>号开标室</w:t>
            </w:r>
            <w:r>
              <w:rPr>
                <w:rFonts w:hint="eastAsia" w:ascii="宋体" w:hAnsi="宋体" w:eastAsia="宋体" w:cs="宋体"/>
                <w:color w:val="auto"/>
                <w:szCs w:val="21"/>
              </w:rPr>
              <w:t>；采购代理机构按以上规定的开标时间和地点进行公开开标，投标人准时参加开标会并签字，如未按时签字的，视同放弃开标监督权利，认可开标结果。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24</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评标委员会组成</w:t>
            </w:r>
          </w:p>
        </w:tc>
        <w:tc>
          <w:tcPr>
            <w:tcW w:w="6229" w:type="dxa"/>
            <w:vAlign w:val="center"/>
          </w:tcPr>
          <w:p>
            <w:pPr>
              <w:spacing w:line="360" w:lineRule="exact"/>
              <w:rPr>
                <w:rFonts w:hint="eastAsia" w:ascii="宋体" w:hAnsi="宋体" w:eastAsia="宋体" w:cs="宋体"/>
                <w:color w:val="auto"/>
                <w:szCs w:val="21"/>
              </w:rPr>
            </w:pPr>
            <w:r>
              <w:rPr>
                <w:color w:val="auto"/>
                <w:szCs w:val="21"/>
              </w:rPr>
              <w:t>评标委员会由采购人代表和有关技术、经济等方面的专家组成，成员人</w:t>
            </w:r>
            <w:r>
              <w:rPr>
                <w:color w:val="auto"/>
                <w:szCs w:val="21"/>
                <w:u w:val="none"/>
              </w:rPr>
              <w:t>数共</w:t>
            </w:r>
            <w:r>
              <w:rPr>
                <w:rFonts w:hint="eastAsia"/>
                <w:color w:val="auto"/>
                <w:szCs w:val="21"/>
                <w:u w:val="none"/>
                <w:lang w:val="en-US" w:eastAsia="zh-CN"/>
              </w:rPr>
              <w:t>7</w:t>
            </w:r>
            <w:r>
              <w:rPr>
                <w:color w:val="auto"/>
                <w:szCs w:val="21"/>
                <w:u w:val="none"/>
              </w:rPr>
              <w:t xml:space="preserve">人，其中采购人代表1人，技术、经济等专家 </w:t>
            </w:r>
            <w:r>
              <w:rPr>
                <w:rFonts w:hint="eastAsia"/>
                <w:color w:val="auto"/>
                <w:szCs w:val="21"/>
                <w:u w:val="none"/>
                <w:lang w:val="en-US" w:eastAsia="zh-CN"/>
              </w:rPr>
              <w:t>6</w:t>
            </w:r>
            <w:r>
              <w:rPr>
                <w:color w:val="auto"/>
                <w:szCs w:val="21"/>
                <w:u w:val="none"/>
              </w:rPr>
              <w:t>人</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25.1</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评标办法</w:t>
            </w:r>
          </w:p>
        </w:tc>
        <w:tc>
          <w:tcPr>
            <w:tcW w:w="6229" w:type="dxa"/>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32</w:t>
            </w:r>
          </w:p>
        </w:tc>
        <w:tc>
          <w:tcPr>
            <w:tcW w:w="1735" w:type="dxa"/>
            <w:vAlign w:val="center"/>
          </w:tcPr>
          <w:p>
            <w:pPr>
              <w:tabs>
                <w:tab w:val="left" w:pos="1140"/>
              </w:tabs>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信用查询</w:t>
            </w:r>
          </w:p>
        </w:tc>
        <w:tc>
          <w:tcPr>
            <w:tcW w:w="6229" w:type="dxa"/>
            <w:vAlign w:val="center"/>
          </w:tcPr>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auto"/>
                <w:szCs w:val="21"/>
              </w:rPr>
            </w:pPr>
            <w:r>
              <w:rPr>
                <w:rFonts w:hint="eastAsia" w:ascii="宋体" w:hAnsi="宋体" w:eastAsia="宋体" w:cs="宋体"/>
                <w:color w:val="auto"/>
                <w:szCs w:val="21"/>
              </w:rPr>
              <w:t>根据《关于做好政府采购有关信用主体标识码登记及在政府采购活动中查询使用信用记录有关问题的通知》桂财采〔2016〕37号的通知，由采购代理机构对第一中标候选供应商进行信用查询：</w:t>
            </w:r>
          </w:p>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auto"/>
                <w:szCs w:val="21"/>
              </w:rPr>
            </w:pPr>
            <w:r>
              <w:rPr>
                <w:rFonts w:hint="eastAsia" w:ascii="宋体" w:hAnsi="宋体" w:eastAsia="宋体" w:cs="宋体"/>
                <w:color w:val="auto"/>
                <w:szCs w:val="21"/>
              </w:rPr>
              <w:t>⑴查询渠道：“信用中国”网站(www.creditchina.gov.cn)、中国政府采购网(www.ccgp.gov.cn)等；</w:t>
            </w:r>
          </w:p>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auto"/>
                <w:szCs w:val="21"/>
              </w:rPr>
            </w:pPr>
            <w:r>
              <w:rPr>
                <w:rFonts w:hint="eastAsia" w:ascii="宋体" w:hAnsi="宋体" w:eastAsia="宋体" w:cs="宋体"/>
                <w:color w:val="auto"/>
                <w:szCs w:val="21"/>
              </w:rPr>
              <w:t>⑵查询截止时间：中标通知书发出前；</w:t>
            </w:r>
          </w:p>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auto"/>
                <w:szCs w:val="21"/>
              </w:rPr>
            </w:pPr>
            <w:r>
              <w:rPr>
                <w:rFonts w:hint="eastAsia" w:ascii="宋体" w:hAnsi="宋体" w:eastAsia="宋体" w:cs="宋体"/>
                <w:color w:val="auto"/>
                <w:szCs w:val="21"/>
              </w:rPr>
              <w:t>⑶信用信息查询记录和证据留存方式：在查询网站中直接打印查询记录，打印材料作为采购活动资料保存；</w:t>
            </w:r>
          </w:p>
          <w:p>
            <w:pPr>
              <w:keepNext w:val="0"/>
              <w:keepLines w:val="0"/>
              <w:pageBreakBefore w:val="0"/>
              <w:widowControl w:val="0"/>
              <w:kinsoku/>
              <w:wordWrap/>
              <w:overflowPunct/>
              <w:topLinePunct w:val="0"/>
              <w:bidi w:val="0"/>
              <w:adjustRightInd/>
              <w:spacing w:line="340" w:lineRule="exact"/>
              <w:rPr>
                <w:rFonts w:hint="eastAsia" w:ascii="宋体" w:hAnsi="宋体" w:eastAsia="宋体" w:cs="宋体"/>
                <w:color w:val="auto"/>
                <w:szCs w:val="21"/>
              </w:rPr>
            </w:pPr>
            <w:r>
              <w:rPr>
                <w:rFonts w:hint="eastAsia" w:ascii="宋体" w:hAnsi="宋体" w:eastAsia="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keepNext w:val="0"/>
              <w:keepLines w:val="0"/>
              <w:pageBreakBefore w:val="0"/>
              <w:widowControl w:val="0"/>
              <w:kinsoku/>
              <w:wordWrap/>
              <w:overflowPunct/>
              <w:topLinePunct w:val="0"/>
              <w:bidi w:val="0"/>
              <w:adjustRightInd/>
              <w:spacing w:line="340" w:lineRule="exact"/>
              <w:rPr>
                <w:rFonts w:hint="eastAsia" w:ascii="宋体" w:hAnsi="宋体" w:eastAsia="宋体" w:cs="宋体"/>
                <w:color w:val="auto"/>
                <w:szCs w:val="21"/>
              </w:rPr>
            </w:pPr>
            <w:r>
              <w:rPr>
                <w:rFonts w:hint="eastAsia" w:ascii="宋体" w:hAnsi="宋体" w:eastAsia="宋体" w:cs="宋体"/>
                <w:color w:val="auto"/>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33</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中标公告及中标通知书</w:t>
            </w:r>
          </w:p>
        </w:tc>
        <w:tc>
          <w:tcPr>
            <w:tcW w:w="6229" w:type="dxa"/>
            <w:vAlign w:val="center"/>
          </w:tcPr>
          <w:p>
            <w:pPr>
              <w:tabs>
                <w:tab w:val="left" w:pos="455"/>
              </w:tabs>
              <w:spacing w:line="360" w:lineRule="exac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3</w:t>
            </w:r>
            <w:r>
              <w:rPr>
                <w:rFonts w:hint="eastAsia" w:ascii="宋体" w:hAnsi="宋体" w:eastAsia="宋体" w:cs="宋体"/>
                <w:color w:val="auto"/>
                <w:szCs w:val="21"/>
              </w:rPr>
              <w:t>.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3</w:t>
            </w:r>
            <w:r>
              <w:rPr>
                <w:rFonts w:hint="eastAsia" w:ascii="宋体" w:hAnsi="宋体" w:eastAsia="宋体" w:cs="宋体"/>
                <w:color w:val="auto"/>
                <w:szCs w:val="21"/>
              </w:rPr>
              <w:t>.2中标公告</w:t>
            </w:r>
            <w:r>
              <w:rPr>
                <w:rFonts w:hint="eastAsia" w:ascii="宋体" w:hAnsi="宋体" w:eastAsia="宋体" w:cs="宋体"/>
                <w:color w:val="auto"/>
                <w:szCs w:val="21"/>
                <w:lang w:val="en-US" w:eastAsia="zh-CN"/>
              </w:rPr>
              <w:t>发布的</w:t>
            </w:r>
            <w:r>
              <w:rPr>
                <w:rFonts w:hint="eastAsia" w:ascii="宋体" w:hAnsi="宋体" w:eastAsia="宋体" w:cs="宋体"/>
                <w:color w:val="auto"/>
                <w:szCs w:val="21"/>
              </w:rPr>
              <w:t>同时</w:t>
            </w:r>
            <w:r>
              <w:rPr>
                <w:rFonts w:hint="eastAsia" w:ascii="宋体" w:hAnsi="宋体" w:eastAsia="宋体" w:cs="宋体"/>
                <w:color w:val="auto"/>
                <w:szCs w:val="21"/>
                <w:lang w:eastAsia="zh-CN"/>
              </w:rPr>
              <w:t>，</w:t>
            </w:r>
            <w:r>
              <w:rPr>
                <w:rFonts w:hint="eastAsia" w:ascii="宋体" w:hAnsi="宋体" w:eastAsia="宋体" w:cs="宋体"/>
                <w:color w:val="auto"/>
                <w:szCs w:val="21"/>
              </w:rPr>
              <w:t>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34.1</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履约保证金</w:t>
            </w:r>
          </w:p>
        </w:tc>
        <w:tc>
          <w:tcPr>
            <w:tcW w:w="6229" w:type="dxa"/>
            <w:vAlign w:val="center"/>
          </w:tcPr>
          <w:p>
            <w:pPr>
              <w:pStyle w:val="15"/>
              <w:spacing w:line="360" w:lineRule="exact"/>
              <w:rPr>
                <w:rFonts w:hint="eastAsia" w:ascii="宋体" w:hAnsi="宋体" w:eastAsia="宋体" w:cs="宋体"/>
                <w:color w:val="auto"/>
                <w:szCs w:val="21"/>
              </w:rPr>
            </w:pPr>
            <w:r>
              <w:rPr>
                <w:rFonts w:hint="eastAsia" w:ascii="Times New Roman"/>
                <w:color w:val="auto"/>
                <w:sz w:val="21"/>
                <w:szCs w:val="21"/>
                <w:lang w:val="en-US" w:eastAsia="zh-CN"/>
              </w:rPr>
              <w:t>成交</w:t>
            </w:r>
            <w:r>
              <w:rPr>
                <w:rFonts w:hint="eastAsia" w:ascii="Times New Roman" w:eastAsia="Times New Roman"/>
                <w:color w:val="auto"/>
                <w:sz w:val="21"/>
                <w:szCs w:val="21"/>
              </w:rPr>
              <w:t>供应商在签订合同</w:t>
            </w:r>
            <w:r>
              <w:rPr>
                <w:rFonts w:hint="eastAsia" w:ascii="Times New Roman" w:eastAsia="Times New Roman"/>
                <w:color w:val="auto"/>
                <w:sz w:val="21"/>
                <w:szCs w:val="21"/>
                <w:lang w:val="en-US" w:eastAsia="zh-CN"/>
              </w:rPr>
              <w:t>时</w:t>
            </w:r>
            <w:r>
              <w:rPr>
                <w:rFonts w:hint="eastAsia" w:ascii="Times New Roman" w:eastAsia="Times New Roman"/>
                <w:color w:val="auto"/>
                <w:sz w:val="21"/>
                <w:szCs w:val="21"/>
              </w:rPr>
              <w:t>向</w:t>
            </w:r>
            <w:r>
              <w:rPr>
                <w:rFonts w:hint="eastAsia" w:ascii="Times New Roman" w:eastAsia="Times New Roman"/>
                <w:color w:val="auto"/>
                <w:sz w:val="21"/>
                <w:szCs w:val="21"/>
                <w:lang w:val="en-US" w:eastAsia="zh-CN"/>
              </w:rPr>
              <w:t>桂林电子科技大学</w:t>
            </w:r>
            <w:r>
              <w:rPr>
                <w:rFonts w:hint="eastAsia" w:ascii="Times New Roman" w:eastAsia="Times New Roman"/>
                <w:color w:val="auto"/>
                <w:sz w:val="21"/>
                <w:szCs w:val="21"/>
              </w:rPr>
              <w:t>缴纳履约保证金（具体银行账号</w:t>
            </w:r>
            <w:r>
              <w:rPr>
                <w:rFonts w:hint="eastAsia" w:ascii="Times New Roman" w:eastAsia="Times New Roman"/>
                <w:color w:val="auto"/>
                <w:sz w:val="21"/>
                <w:szCs w:val="21"/>
                <w:lang w:val="en-US" w:eastAsia="zh-CN"/>
              </w:rPr>
              <w:t>由采购人提供</w:t>
            </w:r>
            <w:r>
              <w:rPr>
                <w:rFonts w:hint="eastAsia" w:ascii="Times New Roman" w:eastAsia="Times New Roman"/>
                <w:color w:val="auto"/>
                <w:sz w:val="21"/>
                <w:szCs w:val="21"/>
              </w:rPr>
              <w:t>），履约保证金金额按中标价的5%（人民币，四舍五入到元）缴纳（不计息），</w:t>
            </w:r>
            <w:r>
              <w:rPr>
                <w:rFonts w:hint="eastAsia" w:ascii="Times New Roman"/>
                <w:color w:val="auto"/>
                <w:sz w:val="21"/>
                <w:szCs w:val="21"/>
                <w:lang w:val="en-US" w:eastAsia="zh-CN"/>
              </w:rPr>
              <w:t>成交</w:t>
            </w:r>
            <w:r>
              <w:rPr>
                <w:rFonts w:hint="eastAsia" w:ascii="Times New Roman" w:eastAsia="Times New Roman"/>
                <w:color w:val="auto"/>
                <w:sz w:val="21"/>
                <w:szCs w:val="21"/>
              </w:rPr>
              <w:t>供应商提交履约保证金应当以转账、电汇等</w:t>
            </w:r>
            <w:r>
              <w:rPr>
                <w:rFonts w:hint="eastAsia" w:ascii="Times New Roman" w:eastAsia="Times New Roman"/>
                <w:color w:val="auto"/>
                <w:sz w:val="21"/>
                <w:szCs w:val="21"/>
                <w:lang w:val="en-US" w:eastAsia="zh-CN"/>
              </w:rPr>
              <w:t>非现金</w:t>
            </w:r>
            <w:r>
              <w:rPr>
                <w:rFonts w:hint="eastAsia" w:ascii="Times New Roman" w:eastAsia="Times New Roman"/>
                <w:color w:val="auto"/>
                <w:sz w:val="21"/>
                <w:szCs w:val="21"/>
              </w:rPr>
              <w:t>形式缴入采购人指定账户。</w:t>
            </w:r>
            <w:r>
              <w:rPr>
                <w:rFonts w:hint="eastAsia" w:ascii="Times New Roman"/>
                <w:color w:val="auto"/>
                <w:sz w:val="21"/>
                <w:szCs w:val="21"/>
                <w:lang w:val="en-US" w:eastAsia="zh-CN"/>
              </w:rPr>
              <w:t>成交</w:t>
            </w:r>
            <w:r>
              <w:rPr>
                <w:rFonts w:hint="eastAsia" w:ascii="Times New Roman" w:eastAsia="Times New Roman"/>
                <w:color w:val="auto"/>
                <w:sz w:val="21"/>
                <w:szCs w:val="21"/>
              </w:rPr>
              <w:t>供应商履行完合同约定权利义务事项且货物免费保修期满后，若货物无质量问题，</w:t>
            </w:r>
            <w:r>
              <w:rPr>
                <w:rFonts w:hint="eastAsia" w:ascii="Times New Roman"/>
                <w:color w:val="auto"/>
                <w:sz w:val="21"/>
                <w:szCs w:val="21"/>
                <w:lang w:val="en-US" w:eastAsia="zh-CN"/>
              </w:rPr>
              <w:t>成交</w:t>
            </w:r>
            <w:r>
              <w:rPr>
                <w:rFonts w:hint="eastAsia" w:ascii="Times New Roman" w:eastAsia="Times New Roman"/>
                <w:color w:val="auto"/>
                <w:sz w:val="21"/>
                <w:szCs w:val="21"/>
              </w:rPr>
              <w:t>供应商凭《政府采购项目验收单》和履约保证金缴纳凭证</w:t>
            </w:r>
            <w:r>
              <w:rPr>
                <w:rFonts w:hint="eastAsia" w:ascii="Times New Roman" w:eastAsia="Times New Roman"/>
                <w:color w:val="auto"/>
                <w:sz w:val="21"/>
                <w:szCs w:val="21"/>
                <w:lang w:val="en-US" w:eastAsia="zh-CN"/>
              </w:rPr>
              <w:t>原件</w:t>
            </w:r>
            <w:r>
              <w:rPr>
                <w:rFonts w:hint="eastAsia" w:ascii="Times New Roman" w:eastAsia="Times New Roman"/>
                <w:color w:val="auto"/>
                <w:sz w:val="21"/>
                <w:szCs w:val="21"/>
              </w:rPr>
              <w:t>向</w:t>
            </w:r>
            <w:r>
              <w:rPr>
                <w:rFonts w:hint="eastAsia" w:ascii="Times New Roman" w:eastAsia="Times New Roman"/>
                <w:color w:val="auto"/>
                <w:sz w:val="21"/>
                <w:szCs w:val="21"/>
                <w:lang w:val="en-US" w:eastAsia="zh-CN"/>
              </w:rPr>
              <w:t>桂林电子科技大学</w:t>
            </w:r>
            <w:r>
              <w:rPr>
                <w:rFonts w:hint="eastAsia" w:ascii="Times New Roman" w:eastAsia="Times New Roman"/>
                <w:color w:val="auto"/>
                <w:sz w:val="21"/>
                <w:szCs w:val="21"/>
              </w:rPr>
              <w:t>申请办理退还手续</w:t>
            </w:r>
            <w:r>
              <w:rPr>
                <w:rFonts w:hint="eastAsia" w:ascii="Times New Roman" w:eastAsia="Times New Roman"/>
                <w:color w:val="auto"/>
                <w:sz w:val="21"/>
                <w:szCs w:val="21"/>
                <w:lang w:eastAsia="zh-CN"/>
              </w:rPr>
              <w:t>，</w:t>
            </w:r>
            <w:r>
              <w:rPr>
                <w:rFonts w:hint="eastAsia" w:ascii="Times New Roman" w:eastAsia="Times New Roman"/>
                <w:color w:val="auto"/>
                <w:sz w:val="21"/>
                <w:szCs w:val="21"/>
                <w:lang w:val="en-US" w:eastAsia="zh-CN"/>
              </w:rPr>
              <w:t>桂林电子科技大学</w:t>
            </w:r>
            <w:r>
              <w:rPr>
                <w:rFonts w:hint="eastAsia" w:ascii="Times New Roman" w:eastAsia="Times New Roman"/>
                <w:color w:val="auto"/>
                <w:sz w:val="21"/>
                <w:szCs w:val="21"/>
                <w:lang w:eastAsia="zh-CN"/>
              </w:rPr>
              <w:t>在</w:t>
            </w:r>
            <w:r>
              <w:rPr>
                <w:rFonts w:hint="eastAsia" w:ascii="Times New Roman" w:eastAsia="Times New Roman"/>
                <w:color w:val="auto"/>
                <w:sz w:val="21"/>
                <w:szCs w:val="21"/>
              </w:rPr>
              <w:t>5个工作日内无息退还。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35.1</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签订合同时间</w:t>
            </w:r>
          </w:p>
        </w:tc>
        <w:tc>
          <w:tcPr>
            <w:tcW w:w="6229" w:type="dxa"/>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u w:val="none"/>
              </w:rPr>
              <w:t>中标通知书发出之日起</w:t>
            </w:r>
            <w:r>
              <w:rPr>
                <w:rFonts w:hint="eastAsia" w:ascii="宋体" w:hAnsi="宋体" w:cs="宋体"/>
                <w:color w:val="auto"/>
                <w:szCs w:val="21"/>
                <w:u w:val="none"/>
                <w:lang w:val="en-US" w:eastAsia="zh-CN"/>
              </w:rPr>
              <w:t>三个工作日</w:t>
            </w:r>
            <w:r>
              <w:rPr>
                <w:rFonts w:hint="eastAsia" w:ascii="宋体" w:hAnsi="宋体" w:eastAsia="宋体" w:cs="宋体"/>
                <w:color w:val="auto"/>
                <w:szCs w:val="21"/>
                <w:u w:val="none"/>
              </w:rPr>
              <w:t>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35.4</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合同备案存档</w:t>
            </w:r>
          </w:p>
        </w:tc>
        <w:tc>
          <w:tcPr>
            <w:tcW w:w="6229" w:type="dxa"/>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政府采购合同双方自签订之日起</w:t>
            </w:r>
            <w:r>
              <w:rPr>
                <w:rFonts w:hint="eastAsia" w:ascii="宋体" w:hAnsi="宋体" w:eastAsia="宋体" w:cs="宋体"/>
                <w:color w:val="auto"/>
                <w:szCs w:val="21"/>
                <w:lang w:val="en-US" w:eastAsia="zh-CN"/>
              </w:rPr>
              <w:t>一</w:t>
            </w:r>
            <w:r>
              <w:rPr>
                <w:rFonts w:hint="eastAsia" w:ascii="宋体" w:hAnsi="宋体" w:eastAsia="宋体" w:cs="宋体"/>
                <w:color w:val="auto"/>
                <w:szCs w:val="21"/>
              </w:rPr>
              <w:t>个工作日内将合同原件</w:t>
            </w:r>
            <w:r>
              <w:rPr>
                <w:rFonts w:hint="eastAsia" w:ascii="宋体" w:hAnsi="宋体" w:eastAsia="宋体" w:cs="宋体"/>
                <w:color w:val="auto"/>
                <w:szCs w:val="21"/>
                <w:lang w:val="en-US" w:eastAsia="zh-CN"/>
              </w:rPr>
              <w:t>一</w:t>
            </w:r>
            <w:r>
              <w:rPr>
                <w:rFonts w:hint="eastAsia" w:ascii="宋体" w:hAnsi="宋体" w:eastAsia="宋体" w:cs="宋体"/>
                <w:color w:val="auto"/>
                <w:szCs w:val="21"/>
              </w:rPr>
              <w:t>份交采购代理机构</w:t>
            </w:r>
            <w:r>
              <w:rPr>
                <w:rFonts w:hint="eastAsia" w:ascii="宋体" w:hAnsi="宋体" w:eastAsia="宋体" w:cs="宋体"/>
                <w:color w:val="auto"/>
                <w:szCs w:val="21"/>
                <w:lang w:eastAsia="zh-CN"/>
              </w:rPr>
              <w:t>，</w:t>
            </w:r>
            <w:r>
              <w:rPr>
                <w:rFonts w:hint="eastAsia" w:ascii="宋体" w:hAnsi="宋体" w:eastAsia="宋体" w:cs="宋体"/>
                <w:color w:val="auto"/>
                <w:szCs w:val="21"/>
              </w:rPr>
              <w:t>并于合同签订之日起</w:t>
            </w:r>
            <w:r>
              <w:rPr>
                <w:rFonts w:hint="eastAsia" w:ascii="宋体" w:hAnsi="宋体" w:eastAsia="宋体" w:cs="宋体"/>
                <w:color w:val="auto"/>
                <w:szCs w:val="21"/>
                <w:lang w:val="en-US" w:eastAsia="zh-CN"/>
              </w:rPr>
              <w:t>七</w:t>
            </w:r>
            <w:r>
              <w:rPr>
                <w:rFonts w:hint="eastAsia" w:ascii="宋体" w:hAnsi="宋体" w:eastAsia="宋体" w:cs="宋体"/>
                <w:color w:val="auto"/>
                <w:szCs w:val="21"/>
              </w:rPr>
              <w:t>个工作日内将一份合同原件送广西壮族自治区财政厅政府采购监督管理处。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4"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106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36</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招标代理服务费</w:t>
            </w:r>
          </w:p>
        </w:tc>
        <w:tc>
          <w:tcPr>
            <w:tcW w:w="6229" w:type="dxa"/>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lang w:eastAsia="zh-CN"/>
              </w:rPr>
              <w:t>项目</w:t>
            </w:r>
            <w:r>
              <w:rPr>
                <w:rFonts w:hint="eastAsia" w:ascii="宋体" w:hAnsi="宋体" w:eastAsia="宋体" w:cs="宋体"/>
                <w:color w:val="auto"/>
                <w:szCs w:val="21"/>
              </w:rPr>
              <w:t>免收代理服务费。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14" w:type="dxa"/>
            <w:vAlign w:val="center"/>
          </w:tcPr>
          <w:p>
            <w:pPr>
              <w:spacing w:line="36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2</w:t>
            </w:r>
          </w:p>
        </w:tc>
        <w:tc>
          <w:tcPr>
            <w:tcW w:w="1065" w:type="dxa"/>
            <w:vAlign w:val="center"/>
          </w:tcPr>
          <w:p>
            <w:pPr>
              <w:spacing w:line="36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7</w:t>
            </w:r>
          </w:p>
        </w:tc>
        <w:tc>
          <w:tcPr>
            <w:tcW w:w="1735"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解释权</w:t>
            </w:r>
          </w:p>
        </w:tc>
        <w:tc>
          <w:tcPr>
            <w:tcW w:w="6229" w:type="dxa"/>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本招标文件是根据《中华人民共和国政府采购法》、《中华人民共和国政府采购法实施条例》及</w:t>
            </w:r>
            <w:r>
              <w:rPr>
                <w:rStyle w:val="108"/>
                <w:rFonts w:hint="eastAsia" w:ascii="宋体" w:hAnsi="宋体" w:eastAsia="宋体" w:cs="宋体"/>
                <w:color w:val="auto"/>
                <w:szCs w:val="21"/>
              </w:rPr>
              <w:t>财政部令第87号</w:t>
            </w:r>
            <w:r>
              <w:rPr>
                <w:rFonts w:hint="eastAsia" w:ascii="宋体" w:hAnsi="宋体" w:eastAsia="宋体" w:cs="宋体"/>
                <w:color w:val="auto"/>
                <w:szCs w:val="21"/>
              </w:rPr>
              <w:t>《政府采购货物和服务招标投标管理办法》等相关规定编制，本招标文件的解释权属于桂林市政府集中采购中心。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4" w:type="dxa"/>
            <w:vAlign w:val="center"/>
          </w:tcPr>
          <w:p>
            <w:pPr>
              <w:spacing w:line="36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3</w:t>
            </w:r>
          </w:p>
        </w:tc>
        <w:tc>
          <w:tcPr>
            <w:tcW w:w="1065" w:type="dxa"/>
            <w:vAlign w:val="center"/>
          </w:tcPr>
          <w:p>
            <w:pPr>
              <w:spacing w:line="36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8</w:t>
            </w:r>
          </w:p>
        </w:tc>
        <w:tc>
          <w:tcPr>
            <w:tcW w:w="1735" w:type="dxa"/>
            <w:vAlign w:val="center"/>
          </w:tcPr>
          <w:p>
            <w:pPr>
              <w:spacing w:line="360" w:lineRule="exact"/>
              <w:jc w:val="center"/>
              <w:rPr>
                <w:rFonts w:hint="eastAsia" w:ascii="宋体" w:hAnsi="宋体" w:eastAsia="宋体" w:cs="宋体"/>
                <w:color w:val="auto"/>
                <w:position w:val="10"/>
                <w:szCs w:val="21"/>
              </w:rPr>
            </w:pPr>
            <w:r>
              <w:rPr>
                <w:rFonts w:hint="eastAsia" w:ascii="宋体" w:hAnsi="宋体" w:eastAsia="宋体" w:cs="宋体"/>
                <w:color w:val="auto"/>
                <w:szCs w:val="21"/>
              </w:rPr>
              <w:t>监督管理机构</w:t>
            </w:r>
          </w:p>
        </w:tc>
        <w:tc>
          <w:tcPr>
            <w:tcW w:w="6229" w:type="dxa"/>
            <w:vAlign w:val="center"/>
          </w:tcPr>
          <w:p>
            <w:pPr>
              <w:spacing w:line="360" w:lineRule="exact"/>
              <w:rPr>
                <w:rFonts w:hint="eastAsia" w:ascii="宋体" w:hAnsi="宋体" w:eastAsia="宋体" w:cs="宋体"/>
                <w:color w:val="auto"/>
                <w:szCs w:val="21"/>
                <w:lang w:eastAsia="zh-CN"/>
              </w:rPr>
            </w:pPr>
            <w:r>
              <w:rPr>
                <w:rFonts w:hint="eastAsia" w:ascii="宋体" w:hAnsi="宋体" w:eastAsia="宋体" w:cs="宋体"/>
                <w:color w:val="auto"/>
                <w:szCs w:val="21"/>
              </w:rPr>
              <w:t>广西壮族自治区财政厅政府采购监督管理处       电话：</w:t>
            </w:r>
            <w:r>
              <w:rPr>
                <w:rFonts w:hint="eastAsia" w:ascii="宋体" w:hAnsi="宋体" w:cs="宋体"/>
                <w:color w:val="auto"/>
                <w:szCs w:val="21"/>
                <w:lang w:eastAsia="zh-CN"/>
              </w:rPr>
              <w:t>0771-5331544</w:t>
            </w:r>
          </w:p>
        </w:tc>
      </w:tr>
    </w:tbl>
    <w:p>
      <w:pPr>
        <w:spacing w:line="360" w:lineRule="auto"/>
        <w:jc w:val="center"/>
        <w:outlineLvl w:val="1"/>
        <w:rPr>
          <w:rFonts w:hint="eastAsia" w:ascii="宋体" w:hAnsi="宋体" w:eastAsia="宋体" w:cs="宋体"/>
          <w:b/>
          <w:color w:val="auto"/>
          <w:sz w:val="28"/>
          <w:szCs w:val="28"/>
        </w:rPr>
      </w:pPr>
      <w:bookmarkStart w:id="40" w:name="_Toc3679"/>
      <w:bookmarkStart w:id="41" w:name="_Toc495841754"/>
      <w:r>
        <w:rPr>
          <w:rFonts w:hint="eastAsia" w:ascii="宋体" w:hAnsi="宋体" w:eastAsia="宋体" w:cs="宋体"/>
          <w:b/>
          <w:color w:val="auto"/>
          <w:sz w:val="28"/>
          <w:szCs w:val="28"/>
        </w:rPr>
        <w:br w:type="page"/>
      </w:r>
      <w:bookmarkStart w:id="42" w:name="_Toc20840"/>
      <w:r>
        <w:rPr>
          <w:rFonts w:hint="eastAsia" w:ascii="宋体" w:hAnsi="宋体" w:eastAsia="宋体" w:cs="宋体"/>
          <w:b/>
          <w:color w:val="auto"/>
          <w:sz w:val="28"/>
          <w:szCs w:val="28"/>
        </w:rPr>
        <w:t>一、总则</w:t>
      </w:r>
      <w:bookmarkEnd w:id="40"/>
      <w:bookmarkEnd w:id="41"/>
      <w:bookmarkEnd w:id="42"/>
    </w:p>
    <w:p>
      <w:pPr>
        <w:spacing w:line="400" w:lineRule="exact"/>
        <w:ind w:firstLine="413" w:firstLineChars="196"/>
        <w:outlineLvl w:val="2"/>
        <w:rPr>
          <w:rFonts w:hint="eastAsia" w:ascii="宋体" w:hAnsi="宋体" w:eastAsia="宋体" w:cs="宋体"/>
          <w:b/>
          <w:color w:val="auto"/>
          <w:szCs w:val="21"/>
        </w:rPr>
      </w:pPr>
      <w:bookmarkStart w:id="43" w:name="_Toc30627"/>
      <w:bookmarkStart w:id="44" w:name="_Toc23807"/>
      <w:r>
        <w:rPr>
          <w:rFonts w:hint="eastAsia" w:ascii="宋体" w:hAnsi="宋体" w:eastAsia="宋体" w:cs="宋体"/>
          <w:b/>
          <w:color w:val="auto"/>
          <w:szCs w:val="21"/>
        </w:rPr>
        <w:t>1. 项目名称及项目编号</w:t>
      </w:r>
      <w:bookmarkEnd w:id="43"/>
      <w:bookmarkEnd w:id="44"/>
    </w:p>
    <w:p>
      <w:pPr>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cs="宋体"/>
          <w:color w:val="auto"/>
          <w:szCs w:val="21"/>
          <w:lang w:eastAsia="zh-CN"/>
        </w:rPr>
        <w:t>花江校区新建F栋学生宿舍组团家具采购</w:t>
      </w:r>
    </w:p>
    <w:p>
      <w:pPr>
        <w:spacing w:line="400" w:lineRule="exact"/>
        <w:ind w:firstLine="420" w:firstLineChars="200"/>
        <w:rPr>
          <w:rFonts w:hint="eastAsia" w:ascii="宋体" w:hAnsi="宋体" w:eastAsia="宋体" w:cs="宋体"/>
          <w:color w:val="auto"/>
          <w:spacing w:val="-6"/>
          <w:kern w:val="0"/>
          <w:szCs w:val="21"/>
          <w:lang w:eastAsia="zh-CN"/>
        </w:rPr>
      </w:pPr>
      <w:r>
        <w:rPr>
          <w:rFonts w:hint="eastAsia" w:ascii="宋体" w:hAnsi="宋体" w:eastAsia="宋体" w:cs="宋体"/>
          <w:color w:val="auto"/>
          <w:szCs w:val="21"/>
        </w:rPr>
        <w:t>项目编号：</w:t>
      </w:r>
      <w:r>
        <w:rPr>
          <w:rFonts w:hint="eastAsia" w:ascii="宋体" w:hAnsi="宋体" w:cs="宋体"/>
          <w:color w:val="auto"/>
          <w:szCs w:val="21"/>
          <w:lang w:eastAsia="zh-CN"/>
        </w:rPr>
        <w:t>GXZC2020-G1-002818-JCZX</w:t>
      </w:r>
    </w:p>
    <w:p>
      <w:pPr>
        <w:spacing w:line="400" w:lineRule="exact"/>
        <w:ind w:firstLine="413" w:firstLineChars="196"/>
        <w:outlineLvl w:val="2"/>
        <w:rPr>
          <w:rFonts w:hint="eastAsia" w:ascii="宋体" w:hAnsi="宋体" w:eastAsia="宋体" w:cs="宋体"/>
          <w:b/>
          <w:color w:val="auto"/>
          <w:szCs w:val="21"/>
        </w:rPr>
      </w:pPr>
      <w:bookmarkStart w:id="45" w:name="_Toc340"/>
      <w:bookmarkStart w:id="46" w:name="_Toc7551"/>
      <w:r>
        <w:rPr>
          <w:rFonts w:hint="eastAsia" w:ascii="宋体" w:hAnsi="宋体" w:eastAsia="宋体" w:cs="宋体"/>
          <w:b/>
          <w:color w:val="auto"/>
          <w:szCs w:val="21"/>
        </w:rPr>
        <w:t>2. 适应范围</w:t>
      </w:r>
      <w:bookmarkEnd w:id="45"/>
      <w:bookmarkEnd w:id="46"/>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本招标文件适用本招标采购项目的招标、投标、评标、合同履约、验收、付款等行为（法律、法规另有规定的，从其规定）。</w:t>
      </w:r>
    </w:p>
    <w:p>
      <w:pPr>
        <w:spacing w:line="400" w:lineRule="exact"/>
        <w:ind w:firstLine="413" w:firstLineChars="196"/>
        <w:outlineLvl w:val="2"/>
        <w:rPr>
          <w:rFonts w:hint="eastAsia" w:ascii="宋体" w:hAnsi="宋体" w:eastAsia="宋体" w:cs="宋体"/>
          <w:b/>
          <w:color w:val="auto"/>
          <w:szCs w:val="21"/>
        </w:rPr>
      </w:pPr>
      <w:bookmarkStart w:id="47" w:name="_Toc1895"/>
      <w:bookmarkStart w:id="48" w:name="_Toc26799"/>
      <w:r>
        <w:rPr>
          <w:rFonts w:hint="eastAsia" w:ascii="宋体" w:hAnsi="宋体" w:eastAsia="宋体" w:cs="宋体"/>
          <w:b/>
          <w:color w:val="auto"/>
          <w:szCs w:val="21"/>
        </w:rPr>
        <w:t>3. 定义</w:t>
      </w:r>
      <w:bookmarkEnd w:id="47"/>
      <w:bookmarkEnd w:id="48"/>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3.1“投标人”</w:t>
      </w:r>
      <w:r>
        <w:rPr>
          <w:rFonts w:hint="eastAsia" w:ascii="宋体" w:hAnsi="宋体" w:eastAsia="宋体" w:cs="宋体"/>
          <w:color w:val="auto"/>
          <w:szCs w:val="21"/>
          <w:lang w:val="en-US" w:eastAsia="zh-CN"/>
        </w:rPr>
        <w:t>系</w:t>
      </w:r>
      <w:r>
        <w:rPr>
          <w:rFonts w:hint="eastAsia" w:ascii="宋体" w:hAnsi="宋体" w:eastAsia="宋体" w:cs="宋体"/>
          <w:color w:val="auto"/>
          <w:szCs w:val="21"/>
        </w:rPr>
        <w:t>指响应招标、参加投标竞争的法人、其他组织或者自然人。</w:t>
      </w:r>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3.2“货物”系指按招标文件规定，投标人须向采购人提供的一切设备、保险、税金、备品备件、工具、手册及其它有关技术资料和材料。</w:t>
      </w:r>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3.3“服务”系指按招标文件规定，投标人须承担的安装、调试、技术协助、校准、培训、技术指导以及其他类似的义务。</w:t>
      </w:r>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3.4“项目”系指投标人按招标文件规定向采购人提供的货物和服务。</w:t>
      </w:r>
    </w:p>
    <w:p>
      <w:pPr>
        <w:spacing w:line="400" w:lineRule="exact"/>
        <w:ind w:firstLine="435"/>
        <w:rPr>
          <w:rFonts w:hint="eastAsia" w:ascii="宋体" w:hAnsi="宋体" w:eastAsia="宋体" w:cs="宋体"/>
          <w:b/>
          <w:color w:val="auto"/>
          <w:sz w:val="21"/>
          <w:szCs w:val="21"/>
        </w:rPr>
      </w:pPr>
      <w:r>
        <w:rPr>
          <w:rFonts w:hint="eastAsia" w:ascii="宋体" w:hAnsi="宋体" w:eastAsia="宋体" w:cs="宋体"/>
          <w:color w:val="auto"/>
          <w:szCs w:val="21"/>
        </w:rPr>
        <w:t>3.5“书面形式”包括信函、传真、电报。</w:t>
      </w:r>
    </w:p>
    <w:p>
      <w:pPr>
        <w:spacing w:line="400" w:lineRule="exact"/>
        <w:ind w:firstLine="413" w:firstLineChars="196"/>
        <w:outlineLvl w:val="2"/>
        <w:rPr>
          <w:rFonts w:hint="eastAsia" w:ascii="宋体" w:hAnsi="宋体" w:eastAsia="宋体" w:cs="宋体"/>
          <w:b/>
          <w:color w:val="auto"/>
          <w:szCs w:val="21"/>
        </w:rPr>
      </w:pPr>
      <w:bookmarkStart w:id="49" w:name="_Toc32132"/>
      <w:bookmarkStart w:id="50" w:name="_Toc28906"/>
      <w:r>
        <w:rPr>
          <w:rFonts w:hint="eastAsia" w:ascii="宋体" w:hAnsi="宋体" w:eastAsia="宋体" w:cs="宋体"/>
          <w:b/>
          <w:color w:val="auto"/>
          <w:szCs w:val="21"/>
        </w:rPr>
        <w:t>4. 招标方式、评分办法</w:t>
      </w:r>
      <w:bookmarkEnd w:id="49"/>
      <w:bookmarkEnd w:id="50"/>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公开招标、综合评分法</w:t>
      </w:r>
    </w:p>
    <w:p>
      <w:pPr>
        <w:spacing w:line="400" w:lineRule="exact"/>
        <w:ind w:firstLine="413" w:firstLineChars="196"/>
        <w:outlineLvl w:val="2"/>
        <w:rPr>
          <w:rFonts w:hint="eastAsia" w:ascii="宋体" w:hAnsi="宋体" w:eastAsia="宋体" w:cs="宋体"/>
          <w:b/>
          <w:color w:val="auto"/>
          <w:szCs w:val="21"/>
        </w:rPr>
      </w:pPr>
      <w:bookmarkStart w:id="51" w:name="_Toc5574"/>
      <w:bookmarkStart w:id="52" w:name="_Toc598"/>
      <w:r>
        <w:rPr>
          <w:rFonts w:hint="eastAsia" w:ascii="宋体" w:hAnsi="宋体" w:eastAsia="宋体" w:cs="宋体"/>
          <w:b/>
          <w:color w:val="auto"/>
          <w:szCs w:val="21"/>
        </w:rPr>
        <w:t>5. 投标人资格</w:t>
      </w:r>
      <w:bookmarkEnd w:id="51"/>
      <w:bookmarkEnd w:id="52"/>
    </w:p>
    <w:p>
      <w:pPr>
        <w:spacing w:line="400" w:lineRule="exact"/>
        <w:ind w:firstLine="435"/>
        <w:rPr>
          <w:rFonts w:hint="eastAsia" w:ascii="宋体" w:hAnsi="宋体" w:eastAsia="宋体" w:cs="宋体"/>
          <w:color w:val="auto"/>
          <w:szCs w:val="21"/>
          <w:lang w:eastAsia="zh-CN"/>
        </w:rPr>
      </w:pPr>
      <w:r>
        <w:rPr>
          <w:rFonts w:hint="eastAsia" w:ascii="宋体" w:hAnsi="宋体" w:eastAsia="宋体" w:cs="宋体"/>
          <w:color w:val="auto"/>
          <w:szCs w:val="21"/>
        </w:rPr>
        <w:t>5.1符合《中华人民共和国政府采购法》第二十二条和《政府采购法实施条例》第十八条规定，并且</w:t>
      </w:r>
      <w:r>
        <w:rPr>
          <w:rFonts w:hint="eastAsia" w:ascii="宋体" w:hAnsi="宋体" w:eastAsia="宋体" w:cs="宋体"/>
          <w:color w:val="auto"/>
          <w:szCs w:val="21"/>
          <w:lang w:val="en-US" w:eastAsia="zh-CN"/>
        </w:rPr>
        <w:t>在</w:t>
      </w:r>
      <w:r>
        <w:rPr>
          <w:rFonts w:hint="eastAsia" w:ascii="宋体" w:hAnsi="宋体" w:eastAsia="宋体" w:cs="宋体"/>
          <w:color w:val="auto"/>
          <w:szCs w:val="21"/>
        </w:rPr>
        <w:t>国内注册或登记、具备合法资格，提供本次采购货物或服务的供应商</w:t>
      </w:r>
      <w:r>
        <w:rPr>
          <w:rFonts w:hint="eastAsia" w:ascii="宋体" w:hAnsi="宋体" w:eastAsia="宋体" w:cs="宋体"/>
          <w:color w:val="auto"/>
          <w:szCs w:val="21"/>
          <w:lang w:eastAsia="zh-CN"/>
        </w:rPr>
        <w:t>。</w:t>
      </w:r>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5.2 本项目不接受联合体投标。</w:t>
      </w:r>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13" w:firstLineChars="196"/>
        <w:outlineLvl w:val="2"/>
        <w:rPr>
          <w:rFonts w:hint="eastAsia" w:ascii="宋体" w:hAnsi="宋体" w:eastAsia="宋体" w:cs="宋体"/>
          <w:b/>
          <w:color w:val="auto"/>
          <w:szCs w:val="21"/>
        </w:rPr>
      </w:pPr>
      <w:bookmarkStart w:id="53" w:name="_Toc24742"/>
      <w:bookmarkStart w:id="54" w:name="_Toc23283"/>
      <w:r>
        <w:rPr>
          <w:rFonts w:hint="eastAsia" w:ascii="宋体" w:hAnsi="宋体" w:eastAsia="宋体" w:cs="宋体"/>
          <w:b/>
          <w:color w:val="auto"/>
          <w:szCs w:val="21"/>
        </w:rPr>
        <w:t>6. 投标费用</w:t>
      </w:r>
      <w:bookmarkEnd w:id="53"/>
      <w:bookmarkEnd w:id="54"/>
    </w:p>
    <w:p>
      <w:pPr>
        <w:spacing w:line="400" w:lineRule="exact"/>
        <w:ind w:firstLine="435"/>
        <w:rPr>
          <w:rFonts w:hint="eastAsia" w:ascii="宋体" w:hAnsi="宋体" w:eastAsia="宋体" w:cs="宋体"/>
          <w:b/>
          <w:color w:val="auto"/>
          <w:szCs w:val="21"/>
        </w:rPr>
      </w:pPr>
      <w:r>
        <w:rPr>
          <w:rFonts w:hint="eastAsia" w:ascii="宋体" w:hAnsi="宋体" w:eastAsia="宋体" w:cs="宋体"/>
          <w:color w:val="auto"/>
          <w:szCs w:val="21"/>
        </w:rPr>
        <w:t>不论投标结果如何，投标人均应自行承担所有与投标有关的全部费用。</w:t>
      </w:r>
    </w:p>
    <w:p>
      <w:pPr>
        <w:spacing w:line="400" w:lineRule="exact"/>
        <w:ind w:firstLine="413" w:firstLineChars="196"/>
        <w:outlineLvl w:val="2"/>
        <w:rPr>
          <w:rFonts w:hint="eastAsia" w:ascii="宋体" w:hAnsi="宋体" w:eastAsia="宋体" w:cs="宋体"/>
          <w:b/>
          <w:color w:val="auto"/>
          <w:szCs w:val="21"/>
        </w:rPr>
      </w:pPr>
      <w:bookmarkStart w:id="55" w:name="_Toc27394"/>
      <w:bookmarkStart w:id="56" w:name="_Toc22702"/>
      <w:r>
        <w:rPr>
          <w:rFonts w:hint="eastAsia" w:ascii="宋体" w:hAnsi="宋体" w:eastAsia="宋体" w:cs="宋体"/>
          <w:b/>
          <w:color w:val="auto"/>
          <w:szCs w:val="21"/>
        </w:rPr>
        <w:t>7. 联合体投标要求</w:t>
      </w:r>
      <w:bookmarkEnd w:id="55"/>
      <w:bookmarkEnd w:id="56"/>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本项目不接受联合体投标。</w:t>
      </w:r>
    </w:p>
    <w:p>
      <w:pPr>
        <w:spacing w:line="400" w:lineRule="exact"/>
        <w:ind w:firstLine="413" w:firstLineChars="196"/>
        <w:outlineLvl w:val="2"/>
        <w:rPr>
          <w:rFonts w:hint="eastAsia" w:ascii="宋体" w:hAnsi="宋体" w:eastAsia="宋体" w:cs="宋体"/>
          <w:b/>
          <w:color w:val="auto"/>
          <w:szCs w:val="21"/>
        </w:rPr>
      </w:pPr>
      <w:bookmarkStart w:id="57" w:name="_Toc6046"/>
      <w:bookmarkStart w:id="58" w:name="_Toc16325"/>
      <w:r>
        <w:rPr>
          <w:rFonts w:hint="eastAsia" w:ascii="宋体" w:hAnsi="宋体" w:eastAsia="宋体" w:cs="宋体"/>
          <w:b/>
          <w:color w:val="auto"/>
          <w:szCs w:val="21"/>
        </w:rPr>
        <w:t>8. 转包与分包</w:t>
      </w:r>
      <w:bookmarkEnd w:id="57"/>
      <w:bookmarkEnd w:id="58"/>
    </w:p>
    <w:p>
      <w:pPr>
        <w:tabs>
          <w:tab w:val="left" w:pos="163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8.1本项目不允许转包。</w:t>
      </w:r>
    </w:p>
    <w:p>
      <w:pPr>
        <w:tabs>
          <w:tab w:val="left" w:pos="1635"/>
        </w:tabs>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8.2本项目不可以分包。</w:t>
      </w:r>
    </w:p>
    <w:p>
      <w:pPr>
        <w:spacing w:line="400" w:lineRule="exact"/>
        <w:ind w:firstLine="413" w:firstLineChars="196"/>
        <w:outlineLvl w:val="2"/>
        <w:rPr>
          <w:rFonts w:hint="eastAsia" w:ascii="宋体" w:hAnsi="宋体" w:eastAsia="宋体" w:cs="宋体"/>
          <w:b/>
          <w:color w:val="auto"/>
          <w:szCs w:val="21"/>
        </w:rPr>
      </w:pPr>
      <w:bookmarkStart w:id="59" w:name="_Toc1946"/>
      <w:bookmarkStart w:id="60" w:name="_Toc1504"/>
      <w:r>
        <w:rPr>
          <w:rFonts w:hint="eastAsia" w:ascii="宋体" w:hAnsi="宋体" w:eastAsia="宋体" w:cs="宋体"/>
          <w:b/>
          <w:color w:val="auto"/>
          <w:szCs w:val="21"/>
        </w:rPr>
        <w:t>9. 特别说明</w:t>
      </w:r>
      <w:bookmarkEnd w:id="59"/>
      <w:bookmarkEnd w:id="60"/>
    </w:p>
    <w:p>
      <w:pPr>
        <w:tabs>
          <w:tab w:val="left" w:pos="163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w:t>
      </w:r>
      <w:r>
        <w:rPr>
          <w:rFonts w:hint="eastAsia" w:ascii="宋体" w:hAnsi="宋体" w:eastAsia="宋体" w:cs="宋体"/>
          <w:color w:val="auto"/>
          <w:szCs w:val="21"/>
          <w:lang w:eastAsia="zh-CN"/>
        </w:rPr>
        <w:t>；</w:t>
      </w:r>
      <w:r>
        <w:rPr>
          <w:rFonts w:hint="eastAsia" w:ascii="宋体" w:hAnsi="宋体" w:eastAsia="宋体" w:cs="宋体"/>
          <w:color w:val="auto"/>
          <w:szCs w:val="21"/>
        </w:rPr>
        <w:t>评标价也相同的，由评标委员会以抽签方式确定中标候选供应商</w:t>
      </w:r>
      <w:r>
        <w:rPr>
          <w:rFonts w:hint="eastAsia" w:ascii="宋体" w:hAnsi="宋体" w:eastAsia="宋体" w:cs="宋体"/>
          <w:color w:val="auto"/>
          <w:szCs w:val="21"/>
          <w:lang w:eastAsia="zh-CN"/>
        </w:rPr>
        <w:t>。</w:t>
      </w:r>
      <w:r>
        <w:rPr>
          <w:rFonts w:hint="eastAsia" w:ascii="宋体" w:hAnsi="宋体" w:eastAsia="宋体" w:cs="宋体"/>
          <w:color w:val="auto"/>
          <w:szCs w:val="21"/>
        </w:rPr>
        <w:t>其他同品牌投标人不作为中标候选供应商。</w:t>
      </w:r>
    </w:p>
    <w:p>
      <w:pPr>
        <w:tabs>
          <w:tab w:val="left" w:pos="1635"/>
        </w:tabs>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多家投标人提供的核心产品品牌相同的，按前款规定处理。</w:t>
      </w:r>
    </w:p>
    <w:p>
      <w:pPr>
        <w:tabs>
          <w:tab w:val="left" w:pos="1635"/>
        </w:tabs>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9.2关联供应商不得参加同一合同项下政府采购活动，否则投标文件将被视为无效：</w:t>
      </w:r>
    </w:p>
    <w:p>
      <w:pPr>
        <w:tabs>
          <w:tab w:val="left" w:pos="163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（1）单位负责人为同一人或者存在直接控股、管理关系的不同供应商，不得参加同一合同项下的政府采购活动。</w:t>
      </w:r>
    </w:p>
    <w:p>
      <w:pPr>
        <w:tabs>
          <w:tab w:val="left" w:pos="1635"/>
        </w:tabs>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（2）为本采购项目提供整体设计、规范编制或者项目管理、监理、检测等服务的供应商，不得再参加本次采购活动。</w:t>
      </w:r>
    </w:p>
    <w:p>
      <w:pPr>
        <w:tabs>
          <w:tab w:val="left" w:pos="1635"/>
        </w:tabs>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9.3投标人应仔细阅读招标文件的所有内容，按照招标文件的要求提交投标文件，并对所提供的全部资料的真实性承担法律责任。</w:t>
      </w:r>
    </w:p>
    <w:p>
      <w:pPr>
        <w:tabs>
          <w:tab w:val="left" w:pos="1635"/>
        </w:tabs>
        <w:spacing w:line="400" w:lineRule="exact"/>
        <w:ind w:firstLine="435"/>
        <w:rPr>
          <w:rFonts w:hint="eastAsia" w:ascii="宋体" w:hAnsi="宋体" w:eastAsia="宋体" w:cs="宋体"/>
          <w:b/>
          <w:color w:val="auto"/>
          <w:szCs w:val="21"/>
        </w:rPr>
      </w:pPr>
      <w:r>
        <w:rPr>
          <w:rFonts w:hint="eastAsia" w:ascii="宋体" w:hAnsi="宋体" w:eastAsia="宋体" w:cs="宋体"/>
          <w:color w:val="auto"/>
          <w:szCs w:val="21"/>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pPr>
        <w:spacing w:line="400" w:lineRule="exact"/>
        <w:ind w:firstLine="413" w:firstLineChars="196"/>
        <w:outlineLvl w:val="2"/>
        <w:rPr>
          <w:rFonts w:hint="eastAsia" w:ascii="宋体" w:hAnsi="宋体" w:eastAsia="宋体" w:cs="宋体"/>
          <w:b/>
          <w:color w:val="auto"/>
          <w:szCs w:val="21"/>
        </w:rPr>
      </w:pPr>
      <w:bookmarkStart w:id="61" w:name="_Toc6489"/>
      <w:bookmarkStart w:id="62" w:name="_Toc7918"/>
      <w:r>
        <w:rPr>
          <w:rFonts w:hint="eastAsia" w:ascii="宋体" w:hAnsi="宋体" w:eastAsia="宋体" w:cs="宋体"/>
          <w:b/>
          <w:color w:val="auto"/>
          <w:szCs w:val="21"/>
        </w:rPr>
        <w:t>10. 质疑和投诉</w:t>
      </w:r>
      <w:bookmarkEnd w:id="61"/>
      <w:bookmarkEnd w:id="62"/>
    </w:p>
    <w:p>
      <w:pPr>
        <w:tabs>
          <w:tab w:val="left" w:pos="1635"/>
        </w:tabs>
        <w:spacing w:line="400" w:lineRule="exact"/>
        <w:ind w:firstLine="435"/>
        <w:rPr>
          <w:rFonts w:hint="eastAsia" w:ascii="宋体" w:hAnsi="宋体" w:eastAsia="宋体" w:cs="宋体"/>
          <w:color w:val="auto"/>
          <w:szCs w:val="21"/>
        </w:rPr>
      </w:pPr>
      <w:bookmarkStart w:id="63" w:name="_Toc26087"/>
      <w:bookmarkStart w:id="64" w:name="_Toc8195"/>
      <w:r>
        <w:rPr>
          <w:rFonts w:hint="eastAsia" w:ascii="宋体" w:hAnsi="宋体" w:eastAsia="宋体" w:cs="宋体"/>
          <w:color w:val="auto"/>
          <w:szCs w:val="21"/>
        </w:rPr>
        <w:t>10.1投标人认为招标文件使自己的合法权益受到损害的，应当在本项目招标公告期限届满之日起</w:t>
      </w:r>
      <w:r>
        <w:rPr>
          <w:rFonts w:hint="eastAsia" w:ascii="宋体" w:hAnsi="宋体" w:eastAsia="宋体" w:cs="宋体"/>
          <w:color w:val="auto"/>
          <w:szCs w:val="21"/>
          <w:lang w:val="en-US" w:eastAsia="zh-CN"/>
        </w:rPr>
        <w:t>七</w:t>
      </w:r>
      <w:r>
        <w:rPr>
          <w:rFonts w:hint="eastAsia" w:ascii="宋体" w:hAnsi="宋体" w:eastAsia="宋体" w:cs="宋体"/>
          <w:color w:val="auto"/>
          <w:szCs w:val="21"/>
        </w:rPr>
        <w:t>个工作日内以书面形式向桂林市政府集中采购中心提出质疑。投标人认为招标过程或中标结果使自己的合法权益受到损害的，应当在采购程序环节结束之日或中标公告期限届满之日起七个工作日内，以书面形式向桂林市政府集中采购中心提出质疑。桂林市政府集中采购中心应认真做好质疑处理工作。</w:t>
      </w:r>
      <w:bookmarkEnd w:id="63"/>
      <w:bookmarkEnd w:id="64"/>
    </w:p>
    <w:p>
      <w:pPr>
        <w:snapToGrid w:val="0"/>
        <w:spacing w:line="440" w:lineRule="exact"/>
        <w:ind w:firstLine="420" w:firstLineChars="200"/>
        <w:rPr>
          <w:rFonts w:hint="eastAsia" w:ascii="宋体" w:hAnsi="宋体" w:eastAsia="宋体" w:cs="宋体"/>
          <w:color w:val="auto"/>
          <w:szCs w:val="20"/>
        </w:rPr>
      </w:pPr>
      <w:r>
        <w:rPr>
          <w:rFonts w:hint="eastAsia" w:ascii="宋体" w:hAnsi="宋体" w:eastAsia="宋体" w:cs="宋体"/>
          <w:color w:val="auto"/>
          <w:szCs w:val="20"/>
        </w:rPr>
        <w:t>接收质疑函方式：以书面形式（原件）提交</w:t>
      </w:r>
    </w:p>
    <w:p>
      <w:pPr>
        <w:snapToGrid w:val="0"/>
        <w:spacing w:line="440" w:lineRule="exact"/>
        <w:ind w:firstLine="420" w:firstLineChars="200"/>
        <w:rPr>
          <w:rFonts w:hint="eastAsia" w:ascii="宋体" w:hAnsi="宋体" w:eastAsia="宋体" w:cs="宋体"/>
          <w:color w:val="auto"/>
          <w:szCs w:val="20"/>
          <w:lang w:eastAsia="zh-CN"/>
        </w:rPr>
      </w:pPr>
      <w:r>
        <w:rPr>
          <w:rFonts w:hint="eastAsia" w:ascii="宋体" w:hAnsi="宋体" w:eastAsia="宋体" w:cs="宋体"/>
          <w:color w:val="auto"/>
          <w:szCs w:val="20"/>
        </w:rPr>
        <w:t>质疑联系人：秦</w:t>
      </w:r>
      <w:r>
        <w:rPr>
          <w:rFonts w:hint="eastAsia" w:ascii="宋体" w:hAnsi="宋体" w:cs="宋体"/>
          <w:color w:val="auto"/>
          <w:szCs w:val="20"/>
          <w:lang w:val="en-US" w:eastAsia="zh-CN"/>
        </w:rPr>
        <w:t>工</w:t>
      </w:r>
      <w:r>
        <w:rPr>
          <w:rFonts w:hint="eastAsia" w:ascii="宋体" w:hAnsi="宋体" w:eastAsia="宋体" w:cs="宋体"/>
          <w:color w:val="auto"/>
          <w:szCs w:val="20"/>
        </w:rPr>
        <w:t>，联系电话：0773-</w:t>
      </w:r>
      <w:r>
        <w:rPr>
          <w:rFonts w:hint="eastAsia" w:ascii="宋体" w:hAnsi="宋体" w:eastAsia="宋体" w:cs="宋体"/>
          <w:color w:val="auto"/>
          <w:szCs w:val="20"/>
          <w:lang w:eastAsia="zh-CN"/>
        </w:rPr>
        <w:t>5625175</w:t>
      </w:r>
    </w:p>
    <w:p>
      <w:pPr>
        <w:tabs>
          <w:tab w:val="left" w:pos="2190"/>
        </w:tabs>
        <w:spacing w:line="420" w:lineRule="exact"/>
        <w:ind w:firstLine="435"/>
        <w:rPr>
          <w:rFonts w:hint="eastAsia" w:ascii="宋体" w:hAnsi="宋体" w:eastAsia="宋体" w:cs="宋体"/>
          <w:color w:val="auto"/>
        </w:rPr>
      </w:pPr>
      <w:r>
        <w:rPr>
          <w:rFonts w:hint="eastAsia" w:ascii="宋体" w:hAnsi="宋体" w:eastAsia="宋体" w:cs="宋体"/>
          <w:color w:val="auto"/>
          <w:szCs w:val="20"/>
        </w:rPr>
        <w:t>通讯地址：</w:t>
      </w:r>
      <w:r>
        <w:rPr>
          <w:rFonts w:hint="eastAsia" w:ascii="宋体" w:hAnsi="宋体" w:eastAsia="宋体" w:cs="宋体"/>
          <w:color w:val="auto"/>
        </w:rPr>
        <w:t>桂林市临桂区西城中路69号创业大厦西辅楼5楼577室</w:t>
      </w:r>
    </w:p>
    <w:p>
      <w:pPr>
        <w:tabs>
          <w:tab w:val="left" w:pos="1635"/>
        </w:tabs>
        <w:spacing w:line="400" w:lineRule="exact"/>
        <w:ind w:firstLine="435"/>
        <w:rPr>
          <w:rFonts w:hint="eastAsia" w:ascii="宋体" w:hAnsi="宋体" w:eastAsia="宋体" w:cs="宋体"/>
          <w:color w:val="auto"/>
          <w:szCs w:val="21"/>
        </w:rPr>
      </w:pPr>
      <w:bookmarkStart w:id="65" w:name="_Toc5874"/>
      <w:bookmarkStart w:id="66" w:name="_Toc17981"/>
      <w:r>
        <w:rPr>
          <w:rFonts w:hint="eastAsia" w:ascii="宋体" w:hAnsi="宋体" w:eastAsia="宋体" w:cs="宋体"/>
          <w:color w:val="auto"/>
          <w:szCs w:val="21"/>
        </w:rPr>
        <w:t>10.2投标人对采购代理机构的答复不满意或者采购代理机构未在规定的时间内作出答复的，可以在答复期满后十五个工作日内向广西壮族自治区财政厅监督管理机构投诉。</w:t>
      </w:r>
      <w:bookmarkEnd w:id="65"/>
      <w:bookmarkEnd w:id="66"/>
    </w:p>
    <w:p>
      <w:pPr>
        <w:tabs>
          <w:tab w:val="left" w:pos="1635"/>
        </w:tabs>
        <w:spacing w:line="400" w:lineRule="exact"/>
        <w:ind w:firstLine="435"/>
        <w:rPr>
          <w:rFonts w:hint="eastAsia" w:ascii="宋体" w:hAnsi="宋体" w:eastAsia="宋体" w:cs="宋体"/>
          <w:color w:val="auto"/>
          <w:szCs w:val="21"/>
        </w:rPr>
      </w:pPr>
      <w:bookmarkStart w:id="67" w:name="_Toc613"/>
      <w:bookmarkStart w:id="68" w:name="_Toc23108"/>
      <w:r>
        <w:rPr>
          <w:rFonts w:hint="eastAsia" w:ascii="宋体" w:hAnsi="宋体" w:eastAsia="宋体" w:cs="宋体"/>
          <w:color w:val="auto"/>
          <w:szCs w:val="21"/>
        </w:rPr>
        <w:t>10.3质疑、投诉应当采用书面形式，质疑书、投诉书实行实名制，均应明确阐述招标文件、招标过程或中标结果中使自己合法权益受到损害的实质性内容，并提供必要的证明材料。</w:t>
      </w:r>
      <w:bookmarkEnd w:id="67"/>
      <w:bookmarkEnd w:id="68"/>
    </w:p>
    <w:p>
      <w:pPr>
        <w:tabs>
          <w:tab w:val="left" w:pos="2190"/>
        </w:tabs>
        <w:spacing w:line="400" w:lineRule="exact"/>
        <w:ind w:firstLine="435"/>
        <w:rPr>
          <w:rFonts w:hint="eastAsia" w:ascii="宋体" w:hAnsi="宋体" w:eastAsia="宋体" w:cs="宋体"/>
          <w:b/>
          <w:color w:val="auto"/>
          <w:sz w:val="28"/>
          <w:szCs w:val="28"/>
        </w:rPr>
      </w:pPr>
    </w:p>
    <w:p>
      <w:pPr>
        <w:spacing w:line="360" w:lineRule="auto"/>
        <w:jc w:val="center"/>
        <w:outlineLvl w:val="1"/>
        <w:rPr>
          <w:rFonts w:hint="eastAsia" w:ascii="宋体" w:hAnsi="宋体" w:eastAsia="宋体" w:cs="宋体"/>
          <w:b/>
          <w:color w:val="auto"/>
          <w:sz w:val="28"/>
          <w:szCs w:val="28"/>
        </w:rPr>
      </w:pPr>
      <w:bookmarkStart w:id="69" w:name="_Toc26849"/>
      <w:bookmarkStart w:id="70" w:name="_Toc2278"/>
      <w:bookmarkStart w:id="71" w:name="_Toc495841755"/>
      <w:r>
        <w:rPr>
          <w:rFonts w:hint="eastAsia" w:ascii="宋体" w:hAnsi="宋体" w:eastAsia="宋体" w:cs="宋体"/>
          <w:b/>
          <w:color w:val="auto"/>
          <w:sz w:val="28"/>
          <w:szCs w:val="28"/>
        </w:rPr>
        <w:t>二、招标文件</w:t>
      </w:r>
      <w:bookmarkEnd w:id="69"/>
      <w:bookmarkEnd w:id="70"/>
      <w:bookmarkEnd w:id="71"/>
    </w:p>
    <w:p>
      <w:pPr>
        <w:spacing w:line="400" w:lineRule="exact"/>
        <w:ind w:firstLine="413" w:firstLineChars="196"/>
        <w:outlineLvl w:val="2"/>
        <w:rPr>
          <w:rFonts w:hint="eastAsia" w:ascii="宋体" w:hAnsi="宋体" w:eastAsia="宋体" w:cs="宋体"/>
          <w:b/>
          <w:color w:val="auto"/>
          <w:szCs w:val="21"/>
        </w:rPr>
      </w:pPr>
      <w:bookmarkStart w:id="72" w:name="_Toc3397"/>
      <w:bookmarkStart w:id="73" w:name="_Toc1493"/>
      <w:r>
        <w:rPr>
          <w:rFonts w:hint="eastAsia" w:ascii="宋体" w:hAnsi="宋体" w:eastAsia="宋体" w:cs="宋体"/>
          <w:b/>
          <w:color w:val="auto"/>
          <w:szCs w:val="21"/>
        </w:rPr>
        <w:t>11. 招标文件的构成</w:t>
      </w:r>
      <w:bookmarkEnd w:id="72"/>
      <w:bookmarkEnd w:id="73"/>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（1）招标公告；</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（2）总则；</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（3）货物采购需求；</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（4）评标办法；</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（5）采购合同（合同主要条款及格式）；</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（6）投标文件（格式）。</w:t>
      </w:r>
    </w:p>
    <w:p>
      <w:pPr>
        <w:spacing w:line="400" w:lineRule="exact"/>
        <w:ind w:firstLine="413" w:firstLineChars="196"/>
        <w:outlineLvl w:val="2"/>
        <w:rPr>
          <w:rFonts w:hint="eastAsia" w:ascii="宋体" w:hAnsi="宋体" w:eastAsia="宋体" w:cs="宋体"/>
          <w:b/>
          <w:color w:val="auto"/>
          <w:szCs w:val="21"/>
        </w:rPr>
      </w:pPr>
      <w:bookmarkStart w:id="74" w:name="_Toc15986"/>
      <w:bookmarkStart w:id="75" w:name="_Toc24191"/>
      <w:r>
        <w:rPr>
          <w:rFonts w:hint="eastAsia" w:ascii="宋体" w:hAnsi="宋体" w:eastAsia="宋体" w:cs="宋体"/>
          <w:b/>
          <w:color w:val="auto"/>
          <w:szCs w:val="21"/>
        </w:rPr>
        <w:t>12. 招标文件的澄清与修改</w:t>
      </w:r>
      <w:bookmarkEnd w:id="74"/>
      <w:bookmarkEnd w:id="75"/>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12.1投标人应认真阅读招标文件，发现其中有误或有不合理要求的，投标人必须在招标公告期限届满之日起</w:t>
      </w:r>
      <w:r>
        <w:rPr>
          <w:rFonts w:hint="eastAsia" w:ascii="宋体" w:hAnsi="宋体" w:eastAsia="宋体" w:cs="宋体"/>
          <w:color w:val="auto"/>
          <w:szCs w:val="21"/>
          <w:lang w:val="en-US" w:eastAsia="zh-CN"/>
        </w:rPr>
        <w:t>七</w:t>
      </w:r>
      <w:r>
        <w:rPr>
          <w:rFonts w:hint="eastAsia" w:ascii="宋体" w:hAnsi="宋体" w:eastAsia="宋体" w:cs="宋体"/>
          <w:color w:val="auto"/>
          <w:szCs w:val="21"/>
        </w:rPr>
        <w:t>个工作日内以书面形式要求采购代理机构澄清。</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12.3</w:t>
      </w:r>
      <w:r>
        <w:rPr>
          <w:rFonts w:hint="eastAsia" w:ascii="宋体" w:hAnsi="宋体" w:eastAsia="宋体" w:cs="宋体"/>
          <w:b/>
          <w:color w:val="auto"/>
          <w:szCs w:val="21"/>
        </w:rPr>
        <w:t>投标人下载招标文件后应实时关注相关网站了解澄清、修改等与项目有关的内容，如因投标人未及时登录相关网站了解澄清、修改等与项目有关的内容，从而导致投标无效的，由投标人自行承担责任。</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12.4必要的澄清、修改的内容为招标文件的组成部分。当澄清、修改通知就同一内容的表述不一致时，以最后发出的书面文件为准。</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12.5招标文件的澄清、修改都应该通过采购代理机构以法定形式发布，采购人非通过本机构，不得擅自澄清、修改招标文件。</w:t>
      </w:r>
    </w:p>
    <w:p>
      <w:pPr>
        <w:tabs>
          <w:tab w:val="left" w:pos="2190"/>
        </w:tabs>
        <w:spacing w:line="400" w:lineRule="exact"/>
        <w:ind w:firstLine="435"/>
        <w:rPr>
          <w:rFonts w:hint="eastAsia" w:ascii="宋体" w:hAnsi="宋体" w:eastAsia="宋体" w:cs="宋体"/>
          <w:color w:val="auto"/>
          <w:szCs w:val="21"/>
        </w:rPr>
      </w:pPr>
    </w:p>
    <w:p>
      <w:pPr>
        <w:spacing w:line="360" w:lineRule="auto"/>
        <w:jc w:val="center"/>
        <w:outlineLvl w:val="1"/>
        <w:rPr>
          <w:rFonts w:hint="eastAsia" w:ascii="宋体" w:hAnsi="宋体" w:eastAsia="宋体" w:cs="宋体"/>
          <w:b/>
          <w:color w:val="auto"/>
          <w:sz w:val="28"/>
          <w:szCs w:val="28"/>
        </w:rPr>
      </w:pPr>
      <w:bookmarkStart w:id="76" w:name="_Toc9870"/>
      <w:bookmarkStart w:id="77" w:name="_Toc495841756"/>
      <w:bookmarkStart w:id="78" w:name="_Toc7631"/>
      <w:r>
        <w:rPr>
          <w:rFonts w:hint="eastAsia" w:ascii="宋体" w:hAnsi="宋体" w:eastAsia="宋体" w:cs="宋体"/>
          <w:b/>
          <w:color w:val="auto"/>
          <w:sz w:val="28"/>
          <w:szCs w:val="28"/>
        </w:rPr>
        <w:t>三、投标文件的编制</w:t>
      </w:r>
      <w:bookmarkEnd w:id="76"/>
      <w:bookmarkEnd w:id="77"/>
      <w:bookmarkEnd w:id="78"/>
    </w:p>
    <w:p>
      <w:pPr>
        <w:spacing w:line="400" w:lineRule="exact"/>
        <w:ind w:firstLine="413" w:firstLineChars="196"/>
        <w:outlineLvl w:val="2"/>
        <w:rPr>
          <w:rFonts w:hint="eastAsia" w:ascii="宋体" w:hAnsi="宋体" w:eastAsia="宋体" w:cs="宋体"/>
          <w:b/>
          <w:color w:val="auto"/>
          <w:szCs w:val="21"/>
        </w:rPr>
      </w:pPr>
      <w:bookmarkStart w:id="79" w:name="_Toc15443"/>
      <w:bookmarkStart w:id="80" w:name="_Toc6101"/>
      <w:r>
        <w:rPr>
          <w:rFonts w:hint="eastAsia" w:ascii="宋体" w:hAnsi="宋体" w:eastAsia="宋体" w:cs="宋体"/>
          <w:b/>
          <w:color w:val="auto"/>
          <w:szCs w:val="21"/>
        </w:rPr>
        <w:t>13. 投标文件的组成及要求</w:t>
      </w:r>
      <w:bookmarkEnd w:id="79"/>
      <w:bookmarkEnd w:id="80"/>
    </w:p>
    <w:p>
      <w:pPr>
        <w:tabs>
          <w:tab w:val="left" w:pos="2190"/>
        </w:tabs>
        <w:spacing w:line="400" w:lineRule="exact"/>
        <w:ind w:firstLine="435"/>
        <w:rPr>
          <w:rFonts w:hint="eastAsia" w:ascii="宋体" w:hAnsi="宋体" w:eastAsia="宋体" w:cs="宋体"/>
          <w:b/>
          <w:color w:val="auto"/>
          <w:szCs w:val="21"/>
        </w:rPr>
      </w:pPr>
      <w:r>
        <w:rPr>
          <w:rFonts w:hint="eastAsia" w:ascii="宋体" w:hAnsi="宋体" w:eastAsia="宋体" w:cs="宋体"/>
          <w:color w:val="auto"/>
          <w:szCs w:val="21"/>
        </w:rPr>
        <w:t>13.1</w:t>
      </w:r>
      <w:r>
        <w:rPr>
          <w:rFonts w:hint="eastAsia" w:ascii="宋体" w:hAnsi="宋体" w:eastAsia="宋体" w:cs="宋体"/>
          <w:b/>
          <w:color w:val="auto"/>
          <w:szCs w:val="21"/>
        </w:rPr>
        <w:t>投标文件组成【格式见第六章“投标文件（格式）”】</w:t>
      </w:r>
    </w:p>
    <w:p>
      <w:pPr>
        <w:tabs>
          <w:tab w:val="left" w:pos="1305"/>
        </w:tabs>
        <w:spacing w:line="400" w:lineRule="exact"/>
        <w:ind w:firstLine="422" w:firstLineChars="200"/>
        <w:rPr>
          <w:rFonts w:hint="eastAsia" w:ascii="宋体" w:hAnsi="宋体" w:eastAsia="宋体" w:cs="宋体"/>
          <w:b/>
          <w:color w:val="auto"/>
          <w:szCs w:val="21"/>
          <w:u w:val="single"/>
          <w:lang w:eastAsia="zh-CN"/>
        </w:rPr>
      </w:pPr>
      <w:r>
        <w:rPr>
          <w:rFonts w:hint="eastAsia" w:ascii="宋体" w:hAnsi="宋体" w:eastAsia="宋体" w:cs="宋体"/>
          <w:b/>
          <w:color w:val="auto"/>
          <w:szCs w:val="21"/>
        </w:rPr>
        <w:t>13.1.1</w:t>
      </w:r>
      <w:r>
        <w:rPr>
          <w:rFonts w:hint="eastAsia" w:ascii="宋体" w:hAnsi="宋体" w:eastAsia="宋体" w:cs="宋体"/>
          <w:b/>
          <w:color w:val="auto"/>
          <w:szCs w:val="21"/>
          <w:u w:val="single"/>
        </w:rPr>
        <w:t>投标报价表（格式见附件）</w:t>
      </w:r>
    </w:p>
    <w:p>
      <w:pPr>
        <w:tabs>
          <w:tab w:val="left" w:pos="1305"/>
        </w:tabs>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13.1.2资格性响应证明材料：</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（1）投标人相应的法定代表人、负责人、自然人身份证正反面复印件</w:t>
      </w:r>
      <w:r>
        <w:rPr>
          <w:rFonts w:hint="eastAsia" w:ascii="宋体" w:hAnsi="宋体" w:eastAsia="宋体" w:cs="宋体"/>
          <w:b/>
          <w:bCs/>
          <w:color w:val="auto"/>
          <w:szCs w:val="21"/>
        </w:rPr>
        <w:t>（必须提供）</w:t>
      </w:r>
      <w:r>
        <w:rPr>
          <w:rFonts w:hint="eastAsia" w:ascii="宋体" w:hAnsi="宋体" w:eastAsia="宋体" w:cs="宋体"/>
          <w:color w:val="auto"/>
          <w:szCs w:val="21"/>
        </w:rPr>
        <w:t>；</w:t>
      </w:r>
    </w:p>
    <w:p>
      <w:pPr>
        <w:spacing w:line="400" w:lineRule="exact"/>
        <w:ind w:firstLine="411" w:firstLineChars="196"/>
        <w:rPr>
          <w:rFonts w:hint="eastAsia" w:ascii="宋体" w:hAnsi="宋体" w:eastAsia="宋体" w:cs="宋体"/>
          <w:color w:val="auto"/>
          <w:szCs w:val="21"/>
          <w:u w:val="none"/>
        </w:rPr>
      </w:pPr>
      <w:r>
        <w:rPr>
          <w:rFonts w:hint="eastAsia" w:ascii="宋体" w:hAnsi="宋体" w:eastAsia="宋体" w:cs="宋体"/>
          <w:color w:val="auto"/>
          <w:szCs w:val="21"/>
          <w:u w:val="none"/>
        </w:rPr>
        <w:t>（2）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w:t>
      </w:r>
      <w:r>
        <w:rPr>
          <w:rFonts w:hint="eastAsia" w:ascii="宋体" w:hAnsi="宋体" w:eastAsia="宋体" w:cs="宋体"/>
          <w:b/>
          <w:color w:val="auto"/>
          <w:szCs w:val="21"/>
          <w:u w:val="none"/>
        </w:rPr>
        <w:t>（委托代理时必须提供）；</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（3）投标人的法人或者其他组织营业执照等证明文件复印件</w:t>
      </w:r>
      <w:r>
        <w:rPr>
          <w:rFonts w:hint="eastAsia" w:ascii="宋体" w:hAnsi="宋体" w:eastAsia="宋体" w:cs="宋体"/>
          <w:b/>
          <w:color w:val="auto"/>
          <w:szCs w:val="21"/>
        </w:rPr>
        <w:t>（必须提供，自然人除外）</w:t>
      </w:r>
      <w:r>
        <w:rPr>
          <w:rFonts w:hint="eastAsia" w:ascii="宋体" w:hAnsi="宋体" w:eastAsia="宋体" w:cs="宋体"/>
          <w:color w:val="auto"/>
          <w:szCs w:val="21"/>
        </w:rPr>
        <w:t>；</w:t>
      </w:r>
    </w:p>
    <w:p>
      <w:pPr>
        <w:tabs>
          <w:tab w:val="left" w:pos="1305"/>
        </w:tabs>
        <w:spacing w:line="400" w:lineRule="exact"/>
        <w:ind w:firstLine="422" w:firstLineChars="200"/>
        <w:rPr>
          <w:rFonts w:hint="eastAsia" w:ascii="宋体" w:hAnsi="宋体" w:eastAsia="宋体" w:cs="宋体"/>
          <w:color w:val="auto"/>
          <w:szCs w:val="21"/>
          <w:u w:val="single"/>
        </w:rPr>
      </w:pPr>
      <w:r>
        <w:rPr>
          <w:rFonts w:hint="eastAsia" w:ascii="宋体" w:hAnsi="宋体" w:eastAsia="宋体" w:cs="宋体"/>
          <w:b/>
          <w:color w:val="auto"/>
          <w:szCs w:val="21"/>
          <w:u w:val="singl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numPr>
          <w:ilvl w:val="0"/>
          <w:numId w:val="3"/>
        </w:num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lang w:val="en-US" w:eastAsia="zh-CN"/>
        </w:rPr>
        <w:t>供应商近三年中任一年度经第三方审计的财务状况报告复印件（或银行出具的资信证明或财政部门认可的政府采购专业担保机构出具的投标担保函）</w:t>
      </w:r>
      <w:r>
        <w:rPr>
          <w:rFonts w:hint="eastAsia" w:ascii="宋体" w:hAnsi="宋体" w:eastAsia="宋体" w:cs="宋体"/>
          <w:b/>
          <w:bCs/>
          <w:color w:val="auto"/>
          <w:szCs w:val="21"/>
        </w:rPr>
        <w:t>（必须提供）</w:t>
      </w:r>
      <w:r>
        <w:rPr>
          <w:rFonts w:hint="eastAsia" w:ascii="宋体" w:hAnsi="宋体" w:eastAsia="宋体" w:cs="宋体"/>
          <w:color w:val="auto"/>
          <w:szCs w:val="21"/>
        </w:rPr>
        <w:t>；</w:t>
      </w:r>
    </w:p>
    <w:p>
      <w:pPr>
        <w:numPr>
          <w:ilvl w:val="0"/>
          <w:numId w:val="3"/>
        </w:num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投标人参加政府采购活动前3年内在经营活动中没有重大违法记录及有关信用信息的书面声明</w:t>
      </w:r>
      <w:r>
        <w:rPr>
          <w:rFonts w:hint="eastAsia" w:ascii="宋体" w:hAnsi="宋体" w:eastAsia="宋体" w:cs="宋体"/>
          <w:b/>
          <w:color w:val="auto"/>
          <w:szCs w:val="21"/>
        </w:rPr>
        <w:t>（必须提供）</w:t>
      </w:r>
      <w:r>
        <w:rPr>
          <w:rFonts w:hint="eastAsia" w:ascii="宋体" w:hAnsi="宋体" w:eastAsia="宋体" w:cs="宋体"/>
          <w:color w:val="auto"/>
          <w:szCs w:val="21"/>
        </w:rPr>
        <w:t>；</w:t>
      </w:r>
    </w:p>
    <w:p>
      <w:pPr>
        <w:numPr>
          <w:ilvl w:val="0"/>
          <w:numId w:val="3"/>
        </w:numPr>
        <w:spacing w:line="400" w:lineRule="exact"/>
        <w:ind w:left="0" w:leftChars="0" w:firstLine="411" w:firstLineChars="196"/>
        <w:rPr>
          <w:rFonts w:hint="eastAsia" w:ascii="宋体" w:hAnsi="宋体" w:eastAsia="宋体" w:cs="宋体"/>
          <w:color w:val="auto"/>
          <w:szCs w:val="21"/>
        </w:rPr>
      </w:pPr>
      <w:r>
        <w:rPr>
          <w:rFonts w:hint="eastAsia" w:ascii="宋体" w:hAnsi="宋体" w:eastAsia="宋体" w:cs="宋体"/>
          <w:color w:val="auto"/>
          <w:szCs w:val="21"/>
          <w:lang w:val="en-US" w:eastAsia="zh-CN"/>
        </w:rPr>
        <w:t>供应商近半年内任意一个月或任一季度依法缴纳税收的证明材料（增值税发票或企业所得税完税证明或税务部门出具的免税证明）复印件</w:t>
      </w:r>
      <w:r>
        <w:rPr>
          <w:rFonts w:hint="eastAsia" w:ascii="宋体" w:hAnsi="宋体" w:eastAsia="宋体" w:cs="宋体"/>
          <w:b/>
          <w:bCs/>
          <w:color w:val="auto"/>
          <w:szCs w:val="21"/>
          <w:lang w:val="en-US" w:eastAsia="zh-CN"/>
        </w:rPr>
        <w:t>（必须提供）；</w:t>
      </w:r>
    </w:p>
    <w:p>
      <w:pPr>
        <w:tabs>
          <w:tab w:val="left" w:pos="1305"/>
        </w:tabs>
        <w:spacing w:line="4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13.1.3商务、技术性响应及其他证明材料：</w:t>
      </w:r>
    </w:p>
    <w:p>
      <w:pPr>
        <w:numPr>
          <w:ilvl w:val="0"/>
          <w:numId w:val="4"/>
        </w:num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技术规格偏离表</w:t>
      </w:r>
      <w:r>
        <w:rPr>
          <w:rFonts w:hint="eastAsia" w:ascii="宋体" w:hAnsi="宋体" w:eastAsia="宋体" w:cs="宋体"/>
          <w:b/>
          <w:color w:val="auto"/>
          <w:szCs w:val="21"/>
        </w:rPr>
        <w:t>（必须提供）</w:t>
      </w:r>
      <w:r>
        <w:rPr>
          <w:rFonts w:hint="eastAsia" w:ascii="宋体" w:hAnsi="宋体" w:eastAsia="宋体" w:cs="宋体"/>
          <w:color w:val="auto"/>
          <w:szCs w:val="21"/>
        </w:rPr>
        <w:t>；</w:t>
      </w:r>
    </w:p>
    <w:p>
      <w:pPr>
        <w:numPr>
          <w:ilvl w:val="0"/>
          <w:numId w:val="4"/>
        </w:num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商务响应表</w:t>
      </w:r>
      <w:r>
        <w:rPr>
          <w:rFonts w:hint="eastAsia" w:ascii="宋体" w:hAnsi="宋体" w:eastAsia="宋体" w:cs="宋体"/>
          <w:b/>
          <w:color w:val="auto"/>
          <w:szCs w:val="21"/>
        </w:rPr>
        <w:t>（必须提供）；</w:t>
      </w:r>
    </w:p>
    <w:p>
      <w:pPr>
        <w:numPr>
          <w:ilvl w:val="0"/>
          <w:numId w:val="4"/>
        </w:num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“货物采购需求”需提供的有效证明文件</w:t>
      </w:r>
      <w:r>
        <w:rPr>
          <w:rFonts w:hint="eastAsia" w:ascii="宋体" w:hAnsi="宋体" w:eastAsia="宋体" w:cs="宋体"/>
          <w:b/>
          <w:color w:val="auto"/>
          <w:szCs w:val="21"/>
        </w:rPr>
        <w:t>（按其要求提供）</w:t>
      </w:r>
      <w:r>
        <w:rPr>
          <w:rFonts w:hint="eastAsia" w:ascii="宋体" w:hAnsi="宋体" w:eastAsia="宋体" w:cs="宋体"/>
          <w:color w:val="auto"/>
          <w:szCs w:val="21"/>
        </w:rPr>
        <w:t>；</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（4）投标人的售后服务承诺书（含免费保修期、交付使用期、技术服务、技术培训、售后服务的内容和措施等）</w:t>
      </w:r>
      <w:r>
        <w:rPr>
          <w:rFonts w:hint="eastAsia" w:ascii="宋体" w:hAnsi="宋体" w:eastAsia="宋体" w:cs="宋体"/>
          <w:b/>
          <w:color w:val="auto"/>
          <w:szCs w:val="21"/>
        </w:rPr>
        <w:t>（必须提供）</w:t>
      </w:r>
      <w:r>
        <w:rPr>
          <w:rFonts w:hint="eastAsia" w:ascii="宋体" w:hAnsi="宋体" w:eastAsia="宋体" w:cs="宋体"/>
          <w:color w:val="auto"/>
          <w:szCs w:val="21"/>
        </w:rPr>
        <w:t>；</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（5）项目实施人员一览表</w:t>
      </w:r>
      <w:r>
        <w:rPr>
          <w:rFonts w:hint="eastAsia" w:ascii="宋体" w:hAnsi="宋体" w:eastAsia="宋体" w:cs="宋体"/>
          <w:b/>
          <w:bCs/>
          <w:color w:val="auto"/>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snapToGrid w:val="0"/>
        <w:spacing w:line="400" w:lineRule="exact"/>
        <w:ind w:firstLine="420" w:firstLineChars="200"/>
        <w:rPr>
          <w:rFonts w:hint="eastAsia" w:ascii="宋体" w:hAnsi="宋体" w:eastAsia="宋体" w:cs="宋体"/>
          <w:color w:val="auto"/>
          <w:szCs w:val="20"/>
        </w:rPr>
      </w:pPr>
      <w:r>
        <w:rPr>
          <w:rFonts w:hint="eastAsia" w:ascii="宋体" w:hAnsi="宋体" w:eastAsia="宋体" w:cs="宋体"/>
          <w:color w:val="auto"/>
          <w:szCs w:val="20"/>
        </w:rPr>
        <w:t>（6）</w:t>
      </w:r>
      <w:r>
        <w:rPr>
          <w:rFonts w:hint="eastAsia" w:ascii="宋体" w:hAnsi="宋体" w:eastAsia="宋体" w:cs="宋体"/>
          <w:color w:val="auto"/>
          <w:szCs w:val="21"/>
        </w:rPr>
        <w:t>节能方面的证书复印件</w:t>
      </w:r>
      <w:r>
        <w:rPr>
          <w:rFonts w:hint="eastAsia" w:ascii="宋体" w:hAnsi="宋体" w:eastAsia="宋体" w:cs="宋体"/>
          <w:b/>
          <w:color w:val="auto"/>
          <w:szCs w:val="21"/>
        </w:rPr>
        <w:t>（如有，请提供）；</w:t>
      </w:r>
    </w:p>
    <w:p>
      <w:pPr>
        <w:snapToGrid w:val="0"/>
        <w:spacing w:line="400" w:lineRule="exact"/>
        <w:ind w:firstLine="420" w:firstLineChars="200"/>
        <w:rPr>
          <w:rFonts w:hint="eastAsia" w:ascii="宋体" w:hAnsi="宋体" w:eastAsia="宋体" w:cs="宋体"/>
          <w:color w:val="auto"/>
          <w:szCs w:val="20"/>
        </w:rPr>
      </w:pPr>
      <w:r>
        <w:rPr>
          <w:rFonts w:hint="eastAsia" w:ascii="宋体" w:hAnsi="宋体" w:eastAsia="宋体" w:cs="宋体"/>
          <w:color w:val="auto"/>
          <w:szCs w:val="20"/>
        </w:rPr>
        <w:t>（7）</w:t>
      </w:r>
      <w:r>
        <w:rPr>
          <w:rFonts w:hint="eastAsia" w:ascii="宋体" w:hAnsi="宋体" w:eastAsia="宋体" w:cs="宋体"/>
          <w:color w:val="auto"/>
          <w:szCs w:val="21"/>
        </w:rPr>
        <w:t>环境标志方面的证书复印件</w:t>
      </w:r>
      <w:r>
        <w:rPr>
          <w:rFonts w:hint="eastAsia" w:ascii="宋体" w:hAnsi="宋体" w:eastAsia="宋体" w:cs="宋体"/>
          <w:b/>
          <w:color w:val="auto"/>
          <w:szCs w:val="21"/>
        </w:rPr>
        <w:t>（如有，请提供）；</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w:t>
      </w:r>
      <w:r>
        <w:rPr>
          <w:rFonts w:hint="eastAsia" w:ascii="宋体" w:hAnsi="宋体" w:eastAsia="宋体" w:cs="宋体"/>
          <w:color w:val="auto"/>
        </w:rPr>
        <w:t>投标人201</w:t>
      </w:r>
      <w:r>
        <w:rPr>
          <w:rFonts w:hint="eastAsia" w:ascii="宋体" w:hAnsi="宋体" w:cs="宋体"/>
          <w:color w:val="auto"/>
          <w:lang w:val="en-US" w:eastAsia="zh-CN"/>
        </w:rPr>
        <w:t>7</w:t>
      </w:r>
      <w:r>
        <w:rPr>
          <w:rFonts w:hint="eastAsia" w:ascii="宋体" w:hAnsi="宋体" w:eastAsia="宋体" w:cs="宋体"/>
          <w:color w:val="auto"/>
        </w:rPr>
        <w:t>年</w:t>
      </w:r>
      <w:r>
        <w:rPr>
          <w:rFonts w:hint="eastAsia" w:ascii="宋体" w:hAnsi="宋体" w:cs="宋体"/>
          <w:color w:val="auto"/>
          <w:lang w:val="en-US" w:eastAsia="zh-CN"/>
        </w:rPr>
        <w:t>1月1日</w:t>
      </w:r>
      <w:r>
        <w:rPr>
          <w:rFonts w:hint="eastAsia" w:ascii="宋体" w:hAnsi="宋体" w:eastAsia="宋体" w:cs="宋体"/>
          <w:color w:val="auto"/>
        </w:rPr>
        <w:t>以来</w:t>
      </w:r>
      <w:r>
        <w:rPr>
          <w:rFonts w:hint="eastAsia" w:ascii="宋体" w:hAnsi="宋体" w:cs="宋体"/>
          <w:color w:val="auto"/>
          <w:lang w:val="en-US" w:eastAsia="zh-CN"/>
        </w:rPr>
        <w:t>同类产品（金属床、金属柜、木质家具）</w:t>
      </w:r>
      <w:r>
        <w:rPr>
          <w:rFonts w:hint="eastAsia" w:ascii="宋体" w:hAnsi="宋体" w:eastAsia="宋体" w:cs="宋体"/>
          <w:color w:val="auto"/>
        </w:rPr>
        <w:t>销售业绩的相关证明材料</w:t>
      </w:r>
      <w:r>
        <w:rPr>
          <w:rFonts w:hint="eastAsia" w:ascii="宋体" w:hAnsi="宋体" w:eastAsia="宋体" w:cs="宋体"/>
          <w:color w:val="auto"/>
          <w:szCs w:val="21"/>
        </w:rPr>
        <w:t>（无不良记录，以中标、成交通知书或签订的销售合同为准，并能清晰反映所销售的货物名称、金额</w:t>
      </w:r>
      <w:r>
        <w:rPr>
          <w:rFonts w:hint="eastAsia" w:ascii="宋体" w:hAnsi="宋体" w:eastAsia="宋体" w:cs="宋体"/>
          <w:color w:val="auto"/>
        </w:rPr>
        <w:t>）</w:t>
      </w:r>
      <w:r>
        <w:rPr>
          <w:rFonts w:hint="eastAsia" w:ascii="宋体" w:hAnsi="宋体" w:eastAsia="宋体" w:cs="宋体"/>
          <w:b/>
          <w:color w:val="auto"/>
        </w:rPr>
        <w:t>（如有，请提供）；</w:t>
      </w:r>
    </w:p>
    <w:p>
      <w:pPr>
        <w:tabs>
          <w:tab w:val="left" w:pos="1305"/>
        </w:tabs>
        <w:spacing w:line="400" w:lineRule="exact"/>
        <w:ind w:firstLine="420" w:firstLineChars="200"/>
        <w:rPr>
          <w:rFonts w:hint="eastAsia" w:ascii="宋体" w:hAnsi="宋体" w:eastAsia="宋体" w:cs="宋体"/>
          <w:color w:val="auto"/>
        </w:rPr>
      </w:pPr>
      <w:r>
        <w:rPr>
          <w:rFonts w:hint="eastAsia" w:ascii="宋体" w:hAnsi="宋体" w:eastAsia="宋体" w:cs="宋体"/>
          <w:color w:val="auto"/>
          <w:szCs w:val="21"/>
        </w:rPr>
        <w:t>（9）投标人为生产厂家的，投标人的生产制造设备清单及专业技术能力说明</w:t>
      </w:r>
      <w:r>
        <w:rPr>
          <w:rFonts w:hint="eastAsia" w:ascii="宋体" w:hAnsi="宋体" w:eastAsia="宋体" w:cs="宋体"/>
          <w:b/>
          <w:color w:val="auto"/>
        </w:rPr>
        <w:t>（如有，请提供）</w:t>
      </w:r>
      <w:r>
        <w:rPr>
          <w:rFonts w:hint="eastAsia" w:ascii="宋体" w:hAnsi="宋体" w:eastAsia="宋体" w:cs="宋体"/>
          <w:color w:val="auto"/>
        </w:rPr>
        <w:t>；</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（10）</w:t>
      </w:r>
      <w:r>
        <w:rPr>
          <w:rFonts w:hint="eastAsia" w:ascii="宋体" w:hAnsi="宋体" w:eastAsia="宋体" w:cs="宋体"/>
          <w:color w:val="auto"/>
          <w:szCs w:val="20"/>
        </w:rPr>
        <w:t>投标人相关获奖证书、认证证书等复印件</w:t>
      </w:r>
      <w:r>
        <w:rPr>
          <w:rFonts w:hint="eastAsia" w:ascii="宋体" w:hAnsi="宋体" w:eastAsia="宋体" w:cs="宋体"/>
          <w:b/>
          <w:color w:val="auto"/>
        </w:rPr>
        <w:t>（如有，请提供）</w:t>
      </w:r>
      <w:r>
        <w:rPr>
          <w:rFonts w:hint="eastAsia" w:ascii="宋体" w:hAnsi="宋体" w:eastAsia="宋体" w:cs="宋体"/>
          <w:color w:val="auto"/>
          <w:szCs w:val="20"/>
        </w:rPr>
        <w:t>；</w:t>
      </w:r>
    </w:p>
    <w:p>
      <w:pPr>
        <w:tabs>
          <w:tab w:val="left" w:pos="1305"/>
        </w:tabs>
        <w:spacing w:line="400" w:lineRule="exact"/>
        <w:ind w:firstLine="420" w:firstLineChars="200"/>
        <w:rPr>
          <w:rFonts w:hint="eastAsia" w:ascii="宋体" w:hAnsi="宋体" w:eastAsia="宋体" w:cs="宋体"/>
          <w:b/>
          <w:color w:val="auto"/>
        </w:rPr>
      </w:pPr>
      <w:r>
        <w:rPr>
          <w:rFonts w:hint="eastAsia" w:ascii="宋体" w:hAnsi="宋体" w:eastAsia="宋体" w:cs="宋体"/>
          <w:color w:val="auto"/>
          <w:szCs w:val="21"/>
        </w:rPr>
        <w:t>（11）</w:t>
      </w:r>
      <w:r>
        <w:rPr>
          <w:rFonts w:hint="eastAsia" w:ascii="宋体" w:hAnsi="宋体" w:eastAsia="宋体" w:cs="宋体"/>
          <w:color w:val="auto"/>
        </w:rPr>
        <w:t>投标人所投产品为广西工业产品的，如实提供《广西工业产品声明函》</w:t>
      </w:r>
      <w:r>
        <w:rPr>
          <w:rFonts w:hint="eastAsia" w:ascii="宋体" w:hAnsi="宋体" w:eastAsia="宋体" w:cs="宋体"/>
          <w:b/>
          <w:color w:val="auto"/>
        </w:rPr>
        <w:t>（如有，请提供）</w:t>
      </w:r>
      <w:r>
        <w:rPr>
          <w:rFonts w:hint="eastAsia" w:ascii="宋体" w:hAnsi="宋体" w:eastAsia="宋体" w:cs="宋体"/>
          <w:color w:val="auto"/>
        </w:rPr>
        <w:t>；</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12）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eastAsia="宋体" w:cs="宋体"/>
          <w:b/>
          <w:bCs/>
          <w:color w:val="auto"/>
        </w:rPr>
        <w:t>（如有，请提供）</w:t>
      </w:r>
      <w:r>
        <w:rPr>
          <w:rFonts w:hint="eastAsia" w:ascii="宋体" w:hAnsi="宋体" w:eastAsia="宋体" w:cs="宋体"/>
          <w:color w:val="auto"/>
        </w:rPr>
        <w:t>；</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（13）如产品属于监狱企业的，以提供由省级以上监狱管理局、戒毒管理局（含新疆生产建设兵团）出具的属于监狱企业的证明文件为准</w:t>
      </w:r>
      <w:r>
        <w:rPr>
          <w:rFonts w:hint="eastAsia" w:ascii="宋体" w:hAnsi="宋体" w:eastAsia="宋体" w:cs="宋体"/>
          <w:color w:val="auto"/>
          <w:kern w:val="0"/>
          <w:sz w:val="24"/>
        </w:rPr>
        <w:t>（</w:t>
      </w:r>
      <w:r>
        <w:rPr>
          <w:rFonts w:hint="eastAsia" w:ascii="宋体" w:hAnsi="宋体" w:eastAsia="宋体" w:cs="宋体"/>
          <w:b/>
          <w:color w:val="auto"/>
        </w:rPr>
        <w:t>如有，请提供</w:t>
      </w:r>
      <w:r>
        <w:rPr>
          <w:rFonts w:hint="eastAsia" w:ascii="宋体" w:hAnsi="宋体" w:eastAsia="宋体" w:cs="宋体"/>
          <w:color w:val="auto"/>
          <w:kern w:val="0"/>
          <w:sz w:val="24"/>
        </w:rPr>
        <w:t>）；</w:t>
      </w:r>
    </w:p>
    <w:p>
      <w:pPr>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rPr>
        <w:t>（14）符合条件的残疾人福利性单位在参加政府采购活动时，应当提供《残疾人福利性单位声明函》（见附件），并对声明的真实性负责。</w:t>
      </w:r>
      <w:r>
        <w:rPr>
          <w:rFonts w:hint="eastAsia" w:ascii="宋体" w:hAnsi="宋体" w:cs="宋体"/>
          <w:b/>
          <w:bCs/>
          <w:color w:val="auto"/>
          <w:lang w:eastAsia="zh-CN"/>
        </w:rPr>
        <w:t>（</w:t>
      </w:r>
      <w:r>
        <w:rPr>
          <w:rFonts w:hint="eastAsia" w:ascii="宋体" w:hAnsi="宋体" w:cs="宋体"/>
          <w:b/>
          <w:bCs/>
          <w:color w:val="auto"/>
          <w:lang w:val="en-US" w:eastAsia="zh-CN"/>
        </w:rPr>
        <w:t>如有，请提供</w:t>
      </w:r>
      <w:r>
        <w:rPr>
          <w:rFonts w:hint="eastAsia" w:ascii="宋体" w:hAnsi="宋体" w:cs="宋体"/>
          <w:b/>
          <w:bCs/>
          <w:color w:val="auto"/>
          <w:lang w:eastAsia="zh-CN"/>
        </w:rPr>
        <w:t>）</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rPr>
        <w:t>（15）</w:t>
      </w:r>
      <w:r>
        <w:rPr>
          <w:rFonts w:hint="eastAsia" w:ascii="宋体" w:hAnsi="宋体" w:eastAsia="宋体" w:cs="宋体"/>
          <w:color w:val="auto"/>
          <w:szCs w:val="21"/>
        </w:rPr>
        <w:t>投标人可结合本项目的评标办法视自身情况自行提交相关证明材料</w:t>
      </w:r>
      <w:r>
        <w:rPr>
          <w:rFonts w:hint="eastAsia" w:ascii="宋体" w:hAnsi="宋体" w:eastAsia="宋体" w:cs="宋体"/>
          <w:b/>
          <w:color w:val="auto"/>
        </w:rPr>
        <w:t>（如有，请提供）</w:t>
      </w:r>
      <w:r>
        <w:rPr>
          <w:rFonts w:hint="eastAsia" w:ascii="宋体" w:hAnsi="宋体" w:eastAsia="宋体" w:cs="宋体"/>
          <w:color w:val="auto"/>
          <w:szCs w:val="21"/>
        </w:rPr>
        <w:t>。</w:t>
      </w:r>
    </w:p>
    <w:p>
      <w:pPr>
        <w:ind w:firstLine="420" w:firstLineChars="200"/>
        <w:rPr>
          <w:rFonts w:hint="eastAsia" w:ascii="宋体" w:hAnsi="宋体" w:eastAsia="宋体" w:cs="宋体"/>
          <w:color w:val="auto"/>
        </w:rPr>
      </w:pPr>
      <w:r>
        <w:rPr>
          <w:rFonts w:hint="eastAsia" w:ascii="宋体" w:hAnsi="宋体" w:eastAsia="宋体" w:cs="宋体"/>
          <w:color w:val="auto"/>
        </w:rPr>
        <w:t>（16）项目</w:t>
      </w:r>
      <w:r>
        <w:rPr>
          <w:rFonts w:hint="eastAsia" w:ascii="宋体" w:hAnsi="宋体" w:cs="宋体"/>
          <w:color w:val="auto"/>
          <w:lang w:val="en-US" w:eastAsia="zh-CN"/>
        </w:rPr>
        <w:t>配送、安装方案</w:t>
      </w:r>
      <w:r>
        <w:rPr>
          <w:rFonts w:hint="eastAsia" w:ascii="宋体" w:hAnsi="宋体" w:eastAsia="宋体" w:cs="宋体"/>
          <w:b/>
          <w:color w:val="auto"/>
        </w:rPr>
        <w:t>（如有，请提供）</w:t>
      </w:r>
      <w:r>
        <w:rPr>
          <w:rFonts w:hint="eastAsia" w:ascii="宋体" w:hAnsi="宋体" w:eastAsia="宋体" w:cs="宋体"/>
          <w:color w:val="auto"/>
          <w:szCs w:val="21"/>
        </w:rPr>
        <w:t>。</w:t>
      </w:r>
    </w:p>
    <w:p>
      <w:pPr>
        <w:spacing w:line="400" w:lineRule="exact"/>
        <w:ind w:firstLine="420"/>
        <w:rPr>
          <w:rFonts w:hint="eastAsia" w:ascii="宋体" w:hAnsi="宋体" w:eastAsia="宋体" w:cs="宋体"/>
          <w:color w:val="auto"/>
          <w:szCs w:val="21"/>
        </w:rPr>
      </w:pPr>
      <w:r>
        <w:rPr>
          <w:rFonts w:hint="eastAsia" w:ascii="宋体" w:hAnsi="宋体" w:eastAsia="宋体" w:cs="宋体"/>
          <w:b/>
          <w:color w:val="auto"/>
          <w:szCs w:val="21"/>
        </w:rPr>
        <w:t>投标人提供的以上相关证明材料应真实有效，属于“必须提供”的文件应加盖投标人公章（扫描公章无效，自然人除外），否则投标无效。</w:t>
      </w:r>
    </w:p>
    <w:p>
      <w:pPr>
        <w:spacing w:line="400" w:lineRule="exact"/>
        <w:ind w:firstLine="420"/>
        <w:rPr>
          <w:rFonts w:hint="eastAsia" w:ascii="宋体" w:hAnsi="宋体" w:eastAsia="宋体" w:cs="宋体"/>
          <w:color w:val="auto"/>
        </w:rPr>
      </w:pPr>
      <w:r>
        <w:rPr>
          <w:rFonts w:hint="eastAsia" w:ascii="宋体" w:hAnsi="宋体" w:eastAsia="宋体" w:cs="宋体"/>
          <w:color w:val="auto"/>
          <w:szCs w:val="21"/>
        </w:rPr>
        <w:t>13.2</w:t>
      </w:r>
      <w:r>
        <w:rPr>
          <w:rFonts w:hint="eastAsia" w:ascii="宋体" w:hAnsi="宋体" w:eastAsia="宋体" w:cs="宋体"/>
          <w:color w:val="auto"/>
        </w:rPr>
        <w:t>投标人应按招标文件第六章“投标文件（格式）”编制投标文件。</w:t>
      </w:r>
    </w:p>
    <w:p>
      <w:pPr>
        <w:spacing w:line="400" w:lineRule="exact"/>
        <w:ind w:firstLine="420"/>
        <w:rPr>
          <w:rFonts w:hint="eastAsia" w:ascii="宋体" w:hAnsi="宋体" w:eastAsia="宋体" w:cs="宋体"/>
          <w:color w:val="auto"/>
        </w:rPr>
      </w:pPr>
      <w:r>
        <w:rPr>
          <w:rFonts w:hint="eastAsia" w:ascii="宋体" w:hAnsi="宋体" w:eastAsia="宋体" w:cs="宋体"/>
          <w:color w:val="auto"/>
        </w:rPr>
        <w:t>13.3投标文件应当对招标文件提出的要求和条件作出明确响应。</w:t>
      </w:r>
    </w:p>
    <w:p>
      <w:pPr>
        <w:spacing w:line="400" w:lineRule="exact"/>
        <w:ind w:firstLine="413" w:firstLineChars="196"/>
        <w:outlineLvl w:val="2"/>
        <w:rPr>
          <w:rFonts w:hint="eastAsia" w:ascii="宋体" w:hAnsi="宋体" w:eastAsia="宋体" w:cs="宋体"/>
          <w:b/>
          <w:color w:val="auto"/>
          <w:szCs w:val="21"/>
        </w:rPr>
      </w:pPr>
      <w:bookmarkStart w:id="81" w:name="_Toc26842"/>
      <w:bookmarkStart w:id="82" w:name="_Toc11037"/>
      <w:r>
        <w:rPr>
          <w:rFonts w:hint="eastAsia" w:ascii="宋体" w:hAnsi="宋体" w:eastAsia="宋体" w:cs="宋体"/>
          <w:b/>
          <w:color w:val="auto"/>
          <w:szCs w:val="21"/>
        </w:rPr>
        <w:t>14. 投标文件的语言及计量</w:t>
      </w:r>
      <w:bookmarkEnd w:id="81"/>
      <w:bookmarkEnd w:id="82"/>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14.2投标计量单位，招标文件已有明确规定的，使用招标文件规定的计量单位；招标文件没有规定的，应采用中华人民共和国法定计量单位（货币单位：元人民币），否则视同未响应。</w:t>
      </w:r>
    </w:p>
    <w:p>
      <w:pPr>
        <w:numPr>
          <w:ilvl w:val="0"/>
          <w:numId w:val="5"/>
        </w:numPr>
        <w:spacing w:line="400" w:lineRule="exact"/>
        <w:ind w:firstLine="413" w:firstLineChars="196"/>
        <w:outlineLvl w:val="2"/>
        <w:rPr>
          <w:rFonts w:hint="eastAsia" w:ascii="宋体" w:hAnsi="宋体" w:eastAsia="宋体" w:cs="宋体"/>
          <w:b/>
          <w:color w:val="auto"/>
          <w:szCs w:val="21"/>
        </w:rPr>
      </w:pPr>
      <w:bookmarkStart w:id="83" w:name="_Toc8372"/>
      <w:bookmarkStart w:id="84" w:name="_Toc25134"/>
      <w:r>
        <w:rPr>
          <w:rFonts w:hint="eastAsia" w:ascii="宋体" w:hAnsi="宋体" w:eastAsia="宋体" w:cs="宋体"/>
          <w:b/>
          <w:color w:val="auto"/>
          <w:szCs w:val="21"/>
        </w:rPr>
        <w:t>投标报价</w:t>
      </w:r>
      <w:bookmarkEnd w:id="83"/>
      <w:bookmarkEnd w:id="84"/>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15.1投标报价应按招标文件中第六章“投标文件（格式）”填写，投标报价超过采购预算金额的，投标文件按无效处理。</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15.2投标人必须就“货物采购需求”中所投分标内容作完整唯一报价，否则，其投标将被拒绝；投标文件只允许有一个报价，有选择的或有条件的报价将不予接受。</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szCs w:val="21"/>
        </w:rPr>
        <w:t>15.3投标报价应包括本次招标采购范围内货物价款、货物随配标准附件、包装、运输、装卸、保险、税金、货到位以及安装、安装所需辅材、调试、检验、售后服务、培训、保修及其他所有成本费用的总和</w:t>
      </w:r>
      <w:r>
        <w:rPr>
          <w:rFonts w:hint="eastAsia" w:ascii="宋体" w:hAnsi="宋体" w:eastAsia="宋体" w:cs="宋体"/>
          <w:color w:val="auto"/>
          <w:szCs w:val="21"/>
          <w:lang w:eastAsia="zh-CN"/>
        </w:rPr>
        <w:t>，</w:t>
      </w:r>
      <w:r>
        <w:rPr>
          <w:rFonts w:hint="eastAsia" w:ascii="宋体" w:hAnsi="宋体" w:eastAsia="宋体" w:cs="宋体"/>
          <w:color w:val="auto"/>
        </w:rPr>
        <w:t>投标人</w:t>
      </w:r>
      <w:r>
        <w:rPr>
          <w:rFonts w:hint="eastAsia" w:ascii="宋体" w:hAnsi="宋体" w:eastAsia="宋体" w:cs="宋体"/>
          <w:color w:val="auto"/>
          <w:lang w:val="en-US" w:eastAsia="zh-CN"/>
        </w:rPr>
        <w:t>应</w:t>
      </w:r>
      <w:r>
        <w:rPr>
          <w:rFonts w:hint="eastAsia" w:ascii="宋体" w:hAnsi="宋体" w:eastAsia="宋体" w:cs="宋体"/>
          <w:color w:val="auto"/>
        </w:rPr>
        <w:t>综合考虑在报价中。</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rPr>
        <w:t>15.</w:t>
      </w:r>
      <w:r>
        <w:rPr>
          <w:rFonts w:hint="eastAsia" w:ascii="宋体" w:hAnsi="宋体" w:cs="宋体"/>
          <w:color w:val="auto"/>
          <w:szCs w:val="21"/>
          <w:lang w:val="en-US" w:eastAsia="zh-CN"/>
        </w:rPr>
        <w:t>4</w:t>
      </w:r>
      <w:r>
        <w:rPr>
          <w:rFonts w:hint="eastAsia" w:ascii="宋体" w:hAnsi="宋体" w:eastAsia="宋体" w:cs="宋体"/>
          <w:color w:val="auto"/>
          <w:szCs w:val="21"/>
          <w:lang w:val="en-US"/>
        </w:rPr>
        <w:t>投标人可自行选择参与本项目A、B、C分标中的</w:t>
      </w:r>
      <w:r>
        <w:rPr>
          <w:rFonts w:hint="eastAsia" w:ascii="宋体" w:hAnsi="宋体" w:cs="宋体"/>
          <w:color w:val="auto"/>
          <w:szCs w:val="21"/>
          <w:lang w:val="en-US" w:eastAsia="zh-CN"/>
        </w:rPr>
        <w:t>一</w:t>
      </w:r>
      <w:r>
        <w:rPr>
          <w:rFonts w:hint="eastAsia" w:ascii="宋体" w:hAnsi="宋体" w:eastAsia="宋体" w:cs="宋体"/>
          <w:color w:val="auto"/>
          <w:szCs w:val="21"/>
          <w:lang w:val="en-US"/>
        </w:rPr>
        <w:t>个或多个标段的投标，但A、B、C分标中只能中其中一个分标。如果某一投标人在A、B、C分标中评标结果出现两个或三个排名第一，则将该投标人确定为分标号靠前的分标的第一中标候选人，而其他第二成交候选人上升为第一成交候选人，第三成交候选人上升为第二成交候选人，以此类推。本项目分为</w:t>
      </w:r>
      <w:r>
        <w:rPr>
          <w:rFonts w:hint="eastAsia" w:ascii="宋体" w:hAnsi="宋体" w:cs="宋体"/>
          <w:color w:val="auto"/>
          <w:szCs w:val="21"/>
          <w:lang w:val="en-US" w:eastAsia="zh-CN"/>
        </w:rPr>
        <w:t>三</w:t>
      </w:r>
      <w:r>
        <w:rPr>
          <w:rFonts w:hint="eastAsia" w:ascii="宋体" w:hAnsi="宋体" w:eastAsia="宋体" w:cs="宋体"/>
          <w:color w:val="auto"/>
          <w:szCs w:val="21"/>
          <w:lang w:val="en-US"/>
        </w:rPr>
        <w:t>个分标，评标时按A、B、C分标的顺序进行评审。</w:t>
      </w:r>
    </w:p>
    <w:p>
      <w:pPr>
        <w:spacing w:line="400" w:lineRule="exact"/>
        <w:ind w:firstLine="413" w:firstLineChars="196"/>
        <w:outlineLvl w:val="2"/>
        <w:rPr>
          <w:rFonts w:hint="eastAsia" w:ascii="宋体" w:hAnsi="宋体" w:eastAsia="宋体" w:cs="宋体"/>
          <w:b/>
          <w:color w:val="auto"/>
          <w:szCs w:val="21"/>
        </w:rPr>
      </w:pPr>
      <w:bookmarkStart w:id="85" w:name="_Toc24636"/>
      <w:bookmarkStart w:id="86" w:name="_Toc22333"/>
      <w:r>
        <w:rPr>
          <w:rFonts w:hint="eastAsia" w:ascii="宋体" w:hAnsi="宋体" w:eastAsia="宋体" w:cs="宋体"/>
          <w:b/>
          <w:color w:val="auto"/>
          <w:szCs w:val="21"/>
        </w:rPr>
        <w:t>16. 投标有效期</w:t>
      </w:r>
      <w:bookmarkEnd w:id="85"/>
      <w:bookmarkEnd w:id="86"/>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16.1投标有效期：</w:t>
      </w:r>
      <w:r>
        <w:rPr>
          <w:rFonts w:hint="eastAsia" w:ascii="宋体" w:hAnsi="宋体" w:eastAsia="宋体" w:cs="宋体"/>
          <w:color w:val="auto"/>
        </w:rPr>
        <w:t>投标截止时间之日起90天</w:t>
      </w:r>
      <w:r>
        <w:rPr>
          <w:rFonts w:hint="eastAsia" w:ascii="宋体" w:hAnsi="宋体" w:eastAsia="宋体" w:cs="宋体"/>
          <w:color w:val="auto"/>
          <w:sz w:val="22"/>
          <w:szCs w:val="22"/>
        </w:rPr>
        <w:t>。</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16.2出现特殊情况下，需要延长投标有效期的，采购代理机构以书面形式通知投标人延长投标有效期。投标人同意延长的，原投标文件继续有效。投标人拒绝延长的，其投标无效。</w:t>
      </w:r>
    </w:p>
    <w:p>
      <w:pPr>
        <w:spacing w:line="400" w:lineRule="exact"/>
        <w:ind w:firstLine="413" w:firstLineChars="196"/>
        <w:outlineLvl w:val="2"/>
        <w:rPr>
          <w:rFonts w:hint="eastAsia" w:ascii="宋体" w:hAnsi="宋体" w:eastAsia="宋体" w:cs="宋体"/>
          <w:b/>
          <w:color w:val="auto"/>
          <w:szCs w:val="21"/>
        </w:rPr>
      </w:pPr>
      <w:bookmarkStart w:id="87" w:name="_Toc23140"/>
      <w:bookmarkStart w:id="88" w:name="_Toc5668"/>
      <w:r>
        <w:rPr>
          <w:rFonts w:hint="eastAsia" w:ascii="宋体" w:hAnsi="宋体" w:eastAsia="宋体" w:cs="宋体"/>
          <w:b/>
          <w:color w:val="auto"/>
          <w:szCs w:val="21"/>
        </w:rPr>
        <w:t>17. 投标保证金</w:t>
      </w:r>
      <w:bookmarkEnd w:id="87"/>
      <w:bookmarkEnd w:id="88"/>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本项目无需缴纳投标保证金。</w:t>
      </w:r>
    </w:p>
    <w:p>
      <w:pPr>
        <w:spacing w:line="400" w:lineRule="exact"/>
        <w:ind w:firstLine="413" w:firstLineChars="196"/>
        <w:outlineLvl w:val="2"/>
        <w:rPr>
          <w:rFonts w:hint="eastAsia" w:ascii="宋体" w:hAnsi="宋体" w:eastAsia="宋体" w:cs="宋体"/>
          <w:b/>
          <w:color w:val="auto"/>
          <w:szCs w:val="21"/>
        </w:rPr>
      </w:pPr>
      <w:bookmarkStart w:id="89" w:name="_Toc14245"/>
      <w:bookmarkStart w:id="90" w:name="_Toc30873"/>
      <w:r>
        <w:rPr>
          <w:rFonts w:hint="eastAsia" w:ascii="宋体" w:hAnsi="宋体" w:eastAsia="宋体" w:cs="宋体"/>
          <w:b/>
          <w:color w:val="auto"/>
          <w:szCs w:val="21"/>
        </w:rPr>
        <w:t>18. 投标文件的份数、装订、签署和包装、密封</w:t>
      </w:r>
      <w:bookmarkEnd w:id="89"/>
      <w:bookmarkEnd w:id="90"/>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18.1</w:t>
      </w:r>
      <w:r>
        <w:rPr>
          <w:rFonts w:hint="eastAsia" w:ascii="宋体" w:hAnsi="宋体" w:eastAsia="宋体" w:cs="宋体"/>
          <w:b/>
          <w:color w:val="auto"/>
          <w:szCs w:val="21"/>
        </w:rPr>
        <w:t>投标文件份数：</w:t>
      </w:r>
      <w:r>
        <w:rPr>
          <w:rFonts w:hint="eastAsia" w:ascii="宋体" w:hAnsi="宋体" w:eastAsia="宋体" w:cs="宋体"/>
          <w:color w:val="auto"/>
          <w:szCs w:val="21"/>
        </w:rPr>
        <w:t>正本壹册，副本</w:t>
      </w:r>
      <w:r>
        <w:rPr>
          <w:rFonts w:hint="eastAsia" w:ascii="宋体" w:hAnsi="宋体" w:cs="宋体"/>
          <w:color w:val="auto"/>
          <w:szCs w:val="21"/>
          <w:lang w:val="en-US" w:eastAsia="zh-CN"/>
        </w:rPr>
        <w:t>陆</w:t>
      </w:r>
      <w:r>
        <w:rPr>
          <w:rFonts w:hint="eastAsia" w:ascii="宋体" w:hAnsi="宋体" w:eastAsia="宋体" w:cs="宋体"/>
          <w:color w:val="auto"/>
          <w:szCs w:val="21"/>
        </w:rPr>
        <w:t>册，须完整提交。</w:t>
      </w:r>
    </w:p>
    <w:p>
      <w:pPr>
        <w:tabs>
          <w:tab w:val="left" w:pos="1305"/>
          <w:tab w:val="center" w:pos="5029"/>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18.2</w:t>
      </w:r>
      <w:r>
        <w:rPr>
          <w:rFonts w:hint="eastAsia" w:ascii="宋体" w:hAnsi="宋体" w:eastAsia="宋体" w:cs="宋体"/>
          <w:b/>
          <w:color w:val="auto"/>
          <w:szCs w:val="21"/>
        </w:rPr>
        <w:t>投标文件装订：</w:t>
      </w:r>
      <w:r>
        <w:rPr>
          <w:rFonts w:hint="eastAsia" w:ascii="宋体" w:hAnsi="宋体" w:eastAsia="宋体" w:cs="宋体"/>
          <w:color w:val="auto"/>
          <w:szCs w:val="21"/>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分标号、采购代理机构、投标单位名称。</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18.3投标文件的正本需打印或用不褪色的墨水填写，投标文件正本除本招标文件中规定的可提供复印件外均须</w:t>
      </w:r>
      <w:r>
        <w:rPr>
          <w:rFonts w:hint="eastAsia" w:ascii="宋体" w:hAnsi="宋体" w:eastAsia="宋体" w:cs="宋体"/>
          <w:color w:val="auto"/>
          <w:szCs w:val="21"/>
          <w:u w:val="none"/>
        </w:rPr>
        <w:t>提供原件</w:t>
      </w:r>
      <w:r>
        <w:rPr>
          <w:rFonts w:hint="eastAsia" w:ascii="宋体" w:hAnsi="宋体" w:eastAsia="宋体" w:cs="宋体"/>
          <w:color w:val="auto"/>
          <w:szCs w:val="21"/>
        </w:rPr>
        <w:t>。</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18.4投标文件须由投标人在规定位置盖投标人公章</w:t>
      </w:r>
      <w:r>
        <w:rPr>
          <w:rFonts w:hint="eastAsia" w:ascii="宋体" w:hAnsi="宋体" w:eastAsia="宋体" w:cs="宋体"/>
          <w:bCs/>
          <w:color w:val="auto"/>
          <w:szCs w:val="21"/>
        </w:rPr>
        <w:t>（扫描公章无效）</w:t>
      </w:r>
      <w:r>
        <w:rPr>
          <w:rFonts w:hint="eastAsia" w:ascii="宋体" w:hAnsi="宋体" w:eastAsia="宋体" w:cs="宋体"/>
          <w:color w:val="auto"/>
          <w:szCs w:val="21"/>
        </w:rPr>
        <w:t>并由法定代表人、负责人或相应的授权委托代理人签字，投标人应写全称，投标文件副本可以是加盖公章的正本的复印件，当正本与副本不一致时，以正本为准。</w:t>
      </w:r>
    </w:p>
    <w:p>
      <w:pPr>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18.5投标文件不得涂改，若有修改错漏处，须加盖投标人公章及法定代表人、负责人或相应的授权委托代理人签字。投标文件因字迹潦草或表达不清所引起的后果由投标人负责。</w:t>
      </w:r>
    </w:p>
    <w:p>
      <w:pPr>
        <w:tabs>
          <w:tab w:val="left" w:pos="1305"/>
        </w:tabs>
        <w:spacing w:line="40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18.6</w:t>
      </w:r>
      <w:r>
        <w:rPr>
          <w:rFonts w:hint="eastAsia" w:ascii="宋体" w:hAnsi="宋体" w:eastAsia="宋体" w:cs="宋体"/>
          <w:b/>
          <w:color w:val="auto"/>
          <w:szCs w:val="21"/>
        </w:rPr>
        <w:t>投标人公章：</w:t>
      </w:r>
      <w:r>
        <w:rPr>
          <w:rFonts w:hint="eastAsia" w:ascii="宋体" w:hAnsi="宋体" w:eastAsia="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hint="eastAsia" w:ascii="宋体" w:hAnsi="宋体" w:eastAsia="宋体" w:cs="宋体"/>
          <w:color w:val="auto"/>
        </w:rPr>
      </w:pPr>
      <w:r>
        <w:rPr>
          <w:rFonts w:hint="eastAsia" w:ascii="宋体" w:hAnsi="宋体" w:eastAsia="宋体" w:cs="宋体"/>
          <w:color w:val="auto"/>
          <w:szCs w:val="21"/>
        </w:rPr>
        <w:t>18.7</w:t>
      </w:r>
      <w:r>
        <w:rPr>
          <w:rFonts w:hint="eastAsia" w:ascii="宋体" w:hAnsi="宋体" w:eastAsia="宋体" w:cs="宋体"/>
          <w:b/>
          <w:color w:val="auto"/>
          <w:szCs w:val="21"/>
        </w:rPr>
        <w:t>投标文件包装、密封：</w:t>
      </w:r>
      <w:r>
        <w:rPr>
          <w:rFonts w:hint="eastAsia" w:ascii="宋体" w:hAnsi="宋体" w:eastAsia="宋体" w:cs="宋体"/>
          <w:color w:val="auto"/>
          <w:szCs w:val="21"/>
        </w:rPr>
        <w:t>将投标文件“正本”、“副本”一并装入并密封在一个投标文件袋（盒、箱）中，并在密封处密封签章</w:t>
      </w:r>
      <w:r>
        <w:rPr>
          <w:rFonts w:hint="eastAsia" w:ascii="宋体" w:hAnsi="宋体" w:eastAsia="宋体" w:cs="宋体"/>
          <w:color w:val="auto"/>
          <w:sz w:val="18"/>
          <w:szCs w:val="18"/>
        </w:rPr>
        <w:t>【</w:t>
      </w:r>
      <w:r>
        <w:rPr>
          <w:rFonts w:hint="eastAsia" w:ascii="宋体" w:hAnsi="宋体" w:eastAsia="宋体" w:cs="宋体"/>
          <w:b/>
          <w:color w:val="auto"/>
          <w:szCs w:val="21"/>
        </w:rPr>
        <w:t>公章、密封章、法定代表人、负责人或相应的授权委托代理人签字均可</w:t>
      </w:r>
      <w:r>
        <w:rPr>
          <w:rFonts w:hint="eastAsia" w:ascii="宋体" w:hAnsi="宋体" w:eastAsia="宋体" w:cs="宋体"/>
          <w:color w:val="auto"/>
          <w:sz w:val="18"/>
          <w:szCs w:val="18"/>
        </w:rPr>
        <w:t>】</w:t>
      </w:r>
      <w:r>
        <w:rPr>
          <w:rFonts w:hint="eastAsia" w:ascii="宋体" w:hAnsi="宋体" w:eastAsia="宋体" w:cs="宋体"/>
          <w:color w:val="auto"/>
        </w:rPr>
        <w:t>。</w:t>
      </w:r>
    </w:p>
    <w:p>
      <w:pPr>
        <w:spacing w:line="400" w:lineRule="exact"/>
        <w:ind w:firstLine="420" w:firstLineChars="200"/>
        <w:rPr>
          <w:rFonts w:hint="eastAsia" w:ascii="宋体" w:hAnsi="宋体" w:eastAsia="宋体" w:cs="宋体"/>
          <w:b/>
          <w:color w:val="auto"/>
          <w:szCs w:val="21"/>
        </w:rPr>
      </w:pPr>
      <w:r>
        <w:rPr>
          <w:rFonts w:hint="eastAsia" w:ascii="宋体" w:hAnsi="宋体" w:eastAsia="宋体" w:cs="宋体"/>
          <w:color w:val="auto"/>
        </w:rPr>
        <w:t>18.8</w:t>
      </w:r>
      <w:r>
        <w:rPr>
          <w:rFonts w:hint="eastAsia" w:ascii="宋体" w:hAnsi="宋体" w:eastAsia="宋体" w:cs="宋体"/>
          <w:b/>
          <w:color w:val="auto"/>
          <w:szCs w:val="21"/>
        </w:rPr>
        <w:t>投标文件袋（盒、箱）标记：</w:t>
      </w:r>
    </w:p>
    <w:p>
      <w:pPr>
        <w:spacing w:line="400" w:lineRule="exact"/>
        <w:ind w:firstLine="630" w:firstLineChars="300"/>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cs="宋体"/>
          <w:color w:val="auto"/>
          <w:szCs w:val="21"/>
          <w:lang w:eastAsia="zh-CN"/>
        </w:rPr>
        <w:t>花江校区新建F栋学生宿舍组团家具采购</w:t>
      </w:r>
    </w:p>
    <w:p>
      <w:pPr>
        <w:spacing w:line="400" w:lineRule="exact"/>
        <w:ind w:firstLine="630" w:firstLineChars="300"/>
        <w:rPr>
          <w:rFonts w:hint="eastAsia" w:ascii="宋体" w:hAnsi="宋体" w:eastAsia="宋体" w:cs="宋体"/>
          <w:color w:val="auto"/>
          <w:szCs w:val="21"/>
          <w:lang w:eastAsia="zh-CN"/>
        </w:rPr>
      </w:pPr>
      <w:r>
        <w:rPr>
          <w:rFonts w:hint="eastAsia" w:ascii="宋体" w:hAnsi="宋体" w:eastAsia="宋体" w:cs="宋体"/>
          <w:color w:val="auto"/>
          <w:szCs w:val="21"/>
        </w:rPr>
        <w:t>项目编号：</w:t>
      </w:r>
      <w:r>
        <w:rPr>
          <w:rFonts w:hint="eastAsia" w:ascii="宋体" w:hAnsi="宋体" w:cs="宋体"/>
          <w:color w:val="auto"/>
          <w:szCs w:val="21"/>
          <w:lang w:eastAsia="zh-CN"/>
        </w:rPr>
        <w:t>GXZC2020-G1-002818-JCZX</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采购代理机构：桂林市政府集中采购中心</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投标单位名称：</w:t>
      </w:r>
      <w:r>
        <w:rPr>
          <w:rFonts w:hint="eastAsia" w:ascii="宋体" w:hAnsi="宋体" w:eastAsia="宋体" w:cs="宋体"/>
          <w:color w:val="auto"/>
          <w:szCs w:val="21"/>
          <w:u w:val="single"/>
        </w:rPr>
        <w:t xml:space="preserve">                          </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 xml:space="preserve">在2020年 </w:t>
      </w:r>
      <w:r>
        <w:rPr>
          <w:rFonts w:hint="eastAsia" w:ascii="宋体" w:hAnsi="宋体" w:cs="宋体"/>
          <w:color w:val="auto"/>
          <w:szCs w:val="21"/>
          <w:lang w:val="en-US" w:eastAsia="zh-CN"/>
        </w:rPr>
        <w:t>8</w:t>
      </w:r>
      <w:r>
        <w:rPr>
          <w:rFonts w:hint="eastAsia" w:ascii="宋体" w:hAnsi="宋体" w:eastAsia="宋体" w:cs="宋体"/>
          <w:color w:val="auto"/>
          <w:szCs w:val="21"/>
        </w:rPr>
        <w:t xml:space="preserve"> 月</w:t>
      </w:r>
      <w:r>
        <w:rPr>
          <w:rFonts w:hint="eastAsia" w:ascii="宋体" w:hAnsi="宋体" w:cs="宋体"/>
          <w:color w:val="auto"/>
          <w:szCs w:val="21"/>
          <w:lang w:val="en-US" w:eastAsia="zh-CN"/>
        </w:rPr>
        <w:t>21</w:t>
      </w:r>
      <w:r>
        <w:rPr>
          <w:rFonts w:hint="eastAsia" w:ascii="宋体" w:hAnsi="宋体" w:eastAsia="宋体" w:cs="宋体"/>
          <w:color w:val="auto"/>
          <w:szCs w:val="21"/>
        </w:rPr>
        <w:t xml:space="preserve">日上午 </w:t>
      </w:r>
      <w:r>
        <w:rPr>
          <w:rFonts w:hint="eastAsia" w:ascii="宋体" w:hAnsi="宋体" w:cs="宋体"/>
          <w:color w:val="auto"/>
          <w:szCs w:val="21"/>
          <w:lang w:val="en-US" w:eastAsia="zh-CN"/>
        </w:rPr>
        <w:t>9</w:t>
      </w:r>
      <w:r>
        <w:rPr>
          <w:rFonts w:hint="eastAsia" w:ascii="宋体" w:hAnsi="宋体" w:eastAsia="宋体" w:cs="宋体"/>
          <w:color w:val="auto"/>
          <w:szCs w:val="21"/>
        </w:rPr>
        <w:t xml:space="preserve"> 时 </w:t>
      </w:r>
      <w:r>
        <w:rPr>
          <w:rFonts w:hint="eastAsia" w:ascii="宋体" w:hAnsi="宋体" w:cs="宋体"/>
          <w:color w:val="auto"/>
          <w:szCs w:val="21"/>
          <w:lang w:val="en-US" w:eastAsia="zh-CN"/>
        </w:rPr>
        <w:t>30</w:t>
      </w:r>
      <w:r>
        <w:rPr>
          <w:rFonts w:hint="eastAsia" w:ascii="宋体" w:hAnsi="宋体" w:eastAsia="宋体" w:cs="宋体"/>
          <w:color w:val="auto"/>
          <w:szCs w:val="21"/>
        </w:rPr>
        <w:t xml:space="preserve"> 分前不得开启（此处填写截标时间）</w:t>
      </w:r>
    </w:p>
    <w:p>
      <w:pPr>
        <w:spacing w:line="400" w:lineRule="exact"/>
        <w:ind w:firstLine="413" w:firstLineChars="196"/>
        <w:outlineLvl w:val="2"/>
        <w:rPr>
          <w:rFonts w:hint="eastAsia" w:ascii="宋体" w:hAnsi="宋体" w:eastAsia="宋体" w:cs="宋体"/>
          <w:b/>
          <w:color w:val="auto"/>
          <w:szCs w:val="21"/>
        </w:rPr>
      </w:pPr>
      <w:bookmarkStart w:id="91" w:name="_Toc24490"/>
      <w:bookmarkStart w:id="92" w:name="_Toc679"/>
      <w:r>
        <w:rPr>
          <w:rFonts w:hint="eastAsia" w:ascii="宋体" w:hAnsi="宋体" w:eastAsia="宋体" w:cs="宋体"/>
          <w:b/>
          <w:color w:val="auto"/>
          <w:szCs w:val="21"/>
        </w:rPr>
        <w:t>19. 投标文件的补充、修改和撤回</w:t>
      </w:r>
      <w:bookmarkEnd w:id="91"/>
      <w:bookmarkEnd w:id="92"/>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rPr>
        <w:t>投标人在投标截止时间前，可以对所递交的投标文件进行补充、修改或者撤回，并书面通知采购代理机构。补充、修改的内容应当按照招标文件要求签署、盖章、密封后，作为投标文件的组成部分。</w:t>
      </w:r>
    </w:p>
    <w:p>
      <w:pPr>
        <w:spacing w:line="400" w:lineRule="exact"/>
        <w:ind w:firstLine="413" w:firstLineChars="196"/>
        <w:outlineLvl w:val="2"/>
        <w:rPr>
          <w:rFonts w:hint="eastAsia" w:ascii="宋体" w:hAnsi="宋体" w:eastAsia="宋体" w:cs="宋体"/>
          <w:b/>
          <w:color w:val="auto"/>
          <w:szCs w:val="21"/>
        </w:rPr>
      </w:pPr>
      <w:bookmarkStart w:id="93" w:name="_Toc31572"/>
      <w:bookmarkStart w:id="94" w:name="_Toc26497"/>
      <w:r>
        <w:rPr>
          <w:rFonts w:hint="eastAsia" w:ascii="宋体" w:hAnsi="宋体" w:eastAsia="宋体" w:cs="宋体"/>
          <w:b/>
          <w:color w:val="auto"/>
          <w:szCs w:val="21"/>
        </w:rPr>
        <w:t>20. 投标文件的递交</w:t>
      </w:r>
      <w:bookmarkEnd w:id="93"/>
      <w:bookmarkEnd w:id="94"/>
    </w:p>
    <w:p>
      <w:pPr>
        <w:tabs>
          <w:tab w:val="left" w:pos="7200"/>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20.1</w:t>
      </w:r>
      <w:r>
        <w:rPr>
          <w:rFonts w:hint="eastAsia" w:ascii="宋体" w:hAnsi="宋体" w:eastAsia="宋体" w:cs="宋体"/>
          <w:color w:val="auto"/>
          <w:szCs w:val="21"/>
        </w:rPr>
        <w:t>投标截止时间：2020年</w:t>
      </w:r>
      <w:r>
        <w:rPr>
          <w:rFonts w:hint="eastAsia" w:ascii="宋体" w:hAnsi="宋体" w:cs="宋体"/>
          <w:color w:val="auto"/>
          <w:szCs w:val="21"/>
          <w:lang w:val="en-US" w:eastAsia="zh-CN"/>
        </w:rPr>
        <w:t>8</w:t>
      </w:r>
      <w:r>
        <w:rPr>
          <w:rFonts w:hint="eastAsia" w:ascii="宋体" w:hAnsi="宋体" w:eastAsia="宋体" w:cs="宋体"/>
          <w:color w:val="auto"/>
          <w:szCs w:val="21"/>
        </w:rPr>
        <w:t>月</w:t>
      </w:r>
      <w:r>
        <w:rPr>
          <w:rFonts w:hint="eastAsia" w:ascii="宋体" w:hAnsi="宋体" w:cs="宋体"/>
          <w:color w:val="auto"/>
          <w:szCs w:val="21"/>
          <w:lang w:val="en-US" w:eastAsia="zh-CN"/>
        </w:rPr>
        <w:t>21</w:t>
      </w:r>
      <w:r>
        <w:rPr>
          <w:rFonts w:hint="eastAsia" w:ascii="宋体" w:hAnsi="宋体" w:eastAsia="宋体" w:cs="宋体"/>
          <w:color w:val="auto"/>
          <w:szCs w:val="21"/>
        </w:rPr>
        <w:t>日</w:t>
      </w:r>
      <w:r>
        <w:rPr>
          <w:rFonts w:hint="eastAsia" w:ascii="宋体" w:hAnsi="宋体" w:cs="宋体"/>
          <w:color w:val="auto"/>
          <w:szCs w:val="21"/>
          <w:lang w:val="en-US" w:eastAsia="zh-CN"/>
        </w:rPr>
        <w:t>9</w:t>
      </w:r>
      <w:r>
        <w:rPr>
          <w:rFonts w:hint="eastAsia" w:ascii="宋体" w:hAnsi="宋体" w:eastAsia="宋体" w:cs="宋体"/>
          <w:color w:val="auto"/>
          <w:szCs w:val="21"/>
        </w:rPr>
        <w:t>时30分。</w:t>
      </w:r>
    </w:p>
    <w:p>
      <w:pPr>
        <w:tabs>
          <w:tab w:val="left" w:pos="7200"/>
        </w:tabs>
        <w:spacing w:line="400" w:lineRule="exact"/>
        <w:ind w:firstLine="420" w:firstLineChars="200"/>
        <w:rPr>
          <w:rFonts w:hint="eastAsia" w:ascii="宋体" w:hAnsi="宋体" w:eastAsia="宋体" w:cs="宋体"/>
          <w:color w:val="auto"/>
        </w:rPr>
      </w:pPr>
      <w:r>
        <w:rPr>
          <w:rFonts w:hint="eastAsia" w:ascii="宋体" w:hAnsi="宋体" w:eastAsia="宋体" w:cs="宋体"/>
          <w:color w:val="auto"/>
          <w:szCs w:val="21"/>
          <w:lang w:val="en-US" w:eastAsia="zh-CN"/>
        </w:rPr>
        <w:t>20.2</w:t>
      </w:r>
      <w:r>
        <w:rPr>
          <w:rFonts w:hint="eastAsia" w:ascii="宋体" w:hAnsi="宋体" w:eastAsia="宋体" w:cs="宋体"/>
          <w:color w:val="auto"/>
          <w:szCs w:val="21"/>
        </w:rPr>
        <w:t>投标文件递交：投标人应于2020年</w:t>
      </w:r>
      <w:r>
        <w:rPr>
          <w:rFonts w:hint="eastAsia" w:ascii="宋体" w:hAnsi="宋体" w:cs="宋体"/>
          <w:color w:val="auto"/>
          <w:szCs w:val="21"/>
          <w:lang w:val="en-US" w:eastAsia="zh-CN"/>
        </w:rPr>
        <w:t>8</w:t>
      </w:r>
      <w:r>
        <w:rPr>
          <w:rFonts w:hint="eastAsia" w:ascii="宋体" w:hAnsi="宋体" w:eastAsia="宋体" w:cs="宋体"/>
          <w:color w:val="auto"/>
          <w:szCs w:val="21"/>
        </w:rPr>
        <w:t>月</w:t>
      </w:r>
      <w:r>
        <w:rPr>
          <w:rFonts w:hint="eastAsia" w:ascii="宋体" w:hAnsi="宋体" w:cs="宋体"/>
          <w:color w:val="auto"/>
          <w:szCs w:val="21"/>
          <w:lang w:val="en-US" w:eastAsia="zh-CN"/>
        </w:rPr>
        <w:t>21</w:t>
      </w:r>
      <w:r>
        <w:rPr>
          <w:rFonts w:hint="eastAsia" w:ascii="宋体" w:hAnsi="宋体" w:eastAsia="宋体" w:cs="宋体"/>
          <w:color w:val="auto"/>
          <w:szCs w:val="21"/>
        </w:rPr>
        <w:t>日上午</w:t>
      </w:r>
      <w:r>
        <w:rPr>
          <w:rFonts w:hint="eastAsia" w:ascii="宋体" w:hAnsi="宋体" w:cs="宋体"/>
          <w:color w:val="auto"/>
          <w:szCs w:val="21"/>
          <w:lang w:val="en-US" w:eastAsia="zh-CN"/>
        </w:rPr>
        <w:t>9</w:t>
      </w:r>
      <w:r>
        <w:rPr>
          <w:rFonts w:hint="eastAsia" w:ascii="宋体" w:hAnsi="宋体" w:eastAsia="宋体" w:cs="宋体"/>
          <w:color w:val="auto"/>
          <w:szCs w:val="21"/>
        </w:rPr>
        <w:t>时00分至2020年</w:t>
      </w:r>
      <w:r>
        <w:rPr>
          <w:rFonts w:hint="eastAsia" w:ascii="宋体" w:hAnsi="宋体" w:cs="宋体"/>
          <w:color w:val="auto"/>
          <w:szCs w:val="21"/>
          <w:lang w:val="en-US" w:eastAsia="zh-CN"/>
        </w:rPr>
        <w:t>8</w:t>
      </w:r>
      <w:r>
        <w:rPr>
          <w:rFonts w:hint="eastAsia" w:ascii="宋体" w:hAnsi="宋体" w:eastAsia="宋体" w:cs="宋体"/>
          <w:color w:val="auto"/>
          <w:szCs w:val="21"/>
        </w:rPr>
        <w:t>月</w:t>
      </w:r>
      <w:r>
        <w:rPr>
          <w:rFonts w:hint="eastAsia" w:ascii="宋体" w:hAnsi="宋体" w:cs="宋体"/>
          <w:color w:val="auto"/>
          <w:szCs w:val="21"/>
          <w:lang w:val="en-US" w:eastAsia="zh-CN"/>
        </w:rPr>
        <w:t>21</w:t>
      </w:r>
      <w:r>
        <w:rPr>
          <w:rFonts w:hint="eastAsia" w:ascii="宋体" w:hAnsi="宋体" w:eastAsia="宋体" w:cs="宋体"/>
          <w:color w:val="auto"/>
          <w:szCs w:val="21"/>
        </w:rPr>
        <w:t>日上午</w:t>
      </w:r>
      <w:r>
        <w:rPr>
          <w:rFonts w:hint="eastAsia" w:ascii="宋体" w:hAnsi="宋体" w:cs="宋体"/>
          <w:color w:val="auto"/>
          <w:szCs w:val="21"/>
          <w:lang w:val="en-US" w:eastAsia="zh-CN"/>
        </w:rPr>
        <w:t>9</w:t>
      </w:r>
      <w:r>
        <w:rPr>
          <w:rFonts w:hint="eastAsia" w:ascii="宋体" w:hAnsi="宋体" w:eastAsia="宋体" w:cs="宋体"/>
          <w:color w:val="auto"/>
          <w:szCs w:val="21"/>
        </w:rPr>
        <w:t>时</w:t>
      </w:r>
      <w:r>
        <w:rPr>
          <w:rFonts w:hint="eastAsia" w:ascii="宋体" w:hAnsi="宋体" w:cs="宋体"/>
          <w:color w:val="auto"/>
          <w:szCs w:val="21"/>
          <w:lang w:val="en-US" w:eastAsia="zh-CN"/>
        </w:rPr>
        <w:t>30</w:t>
      </w:r>
      <w:r>
        <w:rPr>
          <w:rFonts w:hint="eastAsia" w:ascii="宋体" w:hAnsi="宋体" w:eastAsia="宋体" w:cs="宋体"/>
          <w:color w:val="auto"/>
          <w:szCs w:val="21"/>
        </w:rPr>
        <w:t>分</w:t>
      </w:r>
      <w:r>
        <w:rPr>
          <w:rFonts w:hint="eastAsia" w:ascii="宋体" w:hAnsi="宋体" w:cs="宋体"/>
          <w:color w:val="auto"/>
          <w:szCs w:val="21"/>
          <w:lang w:val="en-US" w:eastAsia="zh-CN"/>
        </w:rPr>
        <w:t>止</w:t>
      </w:r>
      <w:r>
        <w:rPr>
          <w:rFonts w:hint="eastAsia" w:ascii="宋体" w:hAnsi="宋体" w:eastAsia="宋体" w:cs="宋体"/>
          <w:b/>
          <w:color w:val="auto"/>
        </w:rPr>
        <w:t>，</w:t>
      </w:r>
      <w:r>
        <w:rPr>
          <w:rFonts w:hint="eastAsia" w:ascii="宋体" w:hAnsi="宋体" w:eastAsia="宋体" w:cs="宋体"/>
          <w:color w:val="auto"/>
          <w:szCs w:val="21"/>
        </w:rPr>
        <w:t>将投标文件密封提交至</w:t>
      </w:r>
      <w:r>
        <w:rPr>
          <w:rFonts w:hint="eastAsia" w:ascii="宋体" w:hAnsi="宋体" w:eastAsia="宋体" w:cs="宋体"/>
          <w:color w:val="auto"/>
          <w:szCs w:val="21"/>
          <w:u w:val="none"/>
        </w:rPr>
        <w:t>桂林市公共资源交易中心（广西桂林市临桂区西城中路69号创业大厦西辅楼4楼）</w:t>
      </w:r>
      <w:r>
        <w:rPr>
          <w:rFonts w:hint="eastAsia" w:ascii="宋体" w:hAnsi="宋体" w:cs="宋体"/>
          <w:color w:val="auto"/>
          <w:szCs w:val="21"/>
          <w:u w:val="none"/>
          <w:lang w:val="en-US" w:eastAsia="zh-CN"/>
        </w:rPr>
        <w:t>12</w:t>
      </w:r>
      <w:r>
        <w:rPr>
          <w:rFonts w:hint="eastAsia" w:ascii="宋体" w:hAnsi="宋体" w:eastAsia="宋体" w:cs="宋体"/>
          <w:color w:val="auto"/>
          <w:szCs w:val="21"/>
          <w:u w:val="none"/>
        </w:rPr>
        <w:t>号开标室</w:t>
      </w:r>
      <w:r>
        <w:rPr>
          <w:rFonts w:hint="eastAsia" w:ascii="宋体" w:hAnsi="宋体" w:eastAsia="宋体" w:cs="宋体"/>
          <w:color w:val="auto"/>
        </w:rPr>
        <w:t>，逾期送达的或未送达指定地点的投标文件将予以拒收。</w:t>
      </w:r>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20.</w:t>
      </w:r>
      <w:r>
        <w:rPr>
          <w:rFonts w:hint="eastAsia" w:ascii="宋体" w:hAnsi="宋体" w:eastAsia="宋体" w:cs="宋体"/>
          <w:color w:val="auto"/>
          <w:szCs w:val="21"/>
          <w:lang w:val="en-US" w:eastAsia="zh-CN"/>
        </w:rPr>
        <w:t>3</w:t>
      </w:r>
      <w:r>
        <w:rPr>
          <w:rFonts w:hint="eastAsia" w:ascii="宋体" w:hAnsi="宋体" w:eastAsia="宋体" w:cs="宋体"/>
          <w:color w:val="auto"/>
          <w:szCs w:val="21"/>
        </w:rPr>
        <w:t>除招标文件另有规定外，投标人所递交的投标文件</w:t>
      </w:r>
      <w:r>
        <w:rPr>
          <w:rFonts w:hint="eastAsia" w:ascii="宋体" w:hAnsi="宋体" w:eastAsia="宋体" w:cs="宋体"/>
          <w:color w:val="auto"/>
          <w:szCs w:val="21"/>
          <w:lang w:val="en-US" w:eastAsia="zh-CN"/>
        </w:rPr>
        <w:t>在投标截止时间后</w:t>
      </w:r>
      <w:r>
        <w:rPr>
          <w:rFonts w:hint="eastAsia" w:ascii="宋体" w:hAnsi="宋体" w:eastAsia="宋体" w:cs="宋体"/>
          <w:color w:val="auto"/>
          <w:szCs w:val="21"/>
        </w:rPr>
        <w:t>不予退还。</w:t>
      </w:r>
    </w:p>
    <w:p>
      <w:pPr>
        <w:spacing w:line="400" w:lineRule="exact"/>
        <w:ind w:firstLine="435"/>
        <w:rPr>
          <w:rFonts w:hint="eastAsia" w:ascii="宋体" w:hAnsi="宋体" w:eastAsia="宋体" w:cs="宋体"/>
          <w:color w:val="auto"/>
        </w:rPr>
      </w:pPr>
      <w:r>
        <w:rPr>
          <w:rFonts w:hint="eastAsia" w:ascii="宋体" w:hAnsi="宋体" w:eastAsia="宋体" w:cs="宋体"/>
          <w:color w:val="auto"/>
        </w:rPr>
        <w:t>20.</w:t>
      </w:r>
      <w:r>
        <w:rPr>
          <w:rFonts w:hint="eastAsia" w:ascii="宋体" w:hAnsi="宋体" w:eastAsia="宋体" w:cs="宋体"/>
          <w:color w:val="auto"/>
          <w:lang w:val="en-US" w:eastAsia="zh-CN"/>
        </w:rPr>
        <w:t>4</w:t>
      </w:r>
      <w:r>
        <w:rPr>
          <w:rFonts w:hint="eastAsia" w:ascii="宋体" w:hAnsi="宋体" w:eastAsia="宋体" w:cs="宋体"/>
          <w:color w:val="auto"/>
        </w:rPr>
        <w:t>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spacing w:line="400" w:lineRule="exact"/>
        <w:ind w:firstLine="435"/>
        <w:rPr>
          <w:rFonts w:hint="eastAsia" w:ascii="宋体" w:hAnsi="宋体" w:eastAsia="宋体" w:cs="宋体"/>
          <w:color w:val="auto"/>
        </w:rPr>
      </w:pPr>
    </w:p>
    <w:p>
      <w:pPr>
        <w:spacing w:line="360" w:lineRule="auto"/>
        <w:jc w:val="center"/>
        <w:outlineLvl w:val="1"/>
        <w:rPr>
          <w:rFonts w:hint="eastAsia" w:ascii="宋体" w:hAnsi="宋体" w:eastAsia="宋体" w:cs="宋体"/>
          <w:b/>
          <w:color w:val="auto"/>
          <w:sz w:val="28"/>
          <w:szCs w:val="28"/>
        </w:rPr>
      </w:pPr>
      <w:bookmarkStart w:id="95" w:name="_Toc307"/>
      <w:bookmarkStart w:id="96" w:name="_Toc495841757"/>
      <w:bookmarkStart w:id="97" w:name="_Toc23749"/>
      <w:r>
        <w:rPr>
          <w:rFonts w:hint="eastAsia" w:ascii="宋体" w:hAnsi="宋体" w:eastAsia="宋体" w:cs="宋体"/>
          <w:b/>
          <w:color w:val="auto"/>
          <w:sz w:val="28"/>
          <w:szCs w:val="28"/>
        </w:rPr>
        <w:t>四、开标</w:t>
      </w:r>
      <w:bookmarkEnd w:id="95"/>
      <w:bookmarkEnd w:id="96"/>
      <w:bookmarkEnd w:id="97"/>
    </w:p>
    <w:p>
      <w:pPr>
        <w:spacing w:line="400" w:lineRule="exact"/>
        <w:ind w:firstLine="413" w:firstLineChars="196"/>
        <w:outlineLvl w:val="2"/>
        <w:rPr>
          <w:rFonts w:hint="eastAsia" w:ascii="宋体" w:hAnsi="宋体" w:eastAsia="宋体" w:cs="宋体"/>
          <w:b/>
          <w:color w:val="auto"/>
          <w:szCs w:val="21"/>
        </w:rPr>
      </w:pPr>
      <w:bookmarkStart w:id="98" w:name="_Toc28972"/>
      <w:bookmarkStart w:id="99" w:name="_Toc17073"/>
      <w:r>
        <w:rPr>
          <w:rFonts w:hint="eastAsia" w:ascii="宋体" w:hAnsi="宋体" w:eastAsia="宋体" w:cs="宋体"/>
          <w:b/>
          <w:color w:val="auto"/>
          <w:szCs w:val="21"/>
        </w:rPr>
        <w:t>21. 开标时间及地点</w:t>
      </w:r>
      <w:bookmarkEnd w:id="98"/>
      <w:bookmarkEnd w:id="99"/>
    </w:p>
    <w:p>
      <w:pPr>
        <w:spacing w:line="40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21.1开标时间及地点：开标时间：</w:t>
      </w:r>
      <w:r>
        <w:rPr>
          <w:rFonts w:hint="eastAsia" w:ascii="宋体" w:hAnsi="宋体" w:eastAsia="宋体" w:cs="宋体"/>
          <w:color w:val="auto"/>
          <w:szCs w:val="21"/>
          <w:u w:val="none"/>
        </w:rPr>
        <w:t>2020年</w:t>
      </w:r>
      <w:r>
        <w:rPr>
          <w:rFonts w:hint="eastAsia" w:ascii="宋体" w:hAnsi="宋体" w:cs="宋体"/>
          <w:color w:val="auto"/>
          <w:szCs w:val="21"/>
          <w:u w:val="none"/>
          <w:lang w:val="en-US" w:eastAsia="zh-CN"/>
        </w:rPr>
        <w:t>8</w:t>
      </w:r>
      <w:r>
        <w:rPr>
          <w:rFonts w:hint="eastAsia" w:ascii="宋体" w:hAnsi="宋体" w:eastAsia="宋体" w:cs="宋体"/>
          <w:color w:val="auto"/>
          <w:szCs w:val="21"/>
          <w:u w:val="none"/>
        </w:rPr>
        <w:t>月</w:t>
      </w:r>
      <w:r>
        <w:rPr>
          <w:rFonts w:hint="eastAsia" w:ascii="宋体" w:hAnsi="宋体" w:cs="宋体"/>
          <w:color w:val="auto"/>
          <w:szCs w:val="21"/>
          <w:u w:val="none"/>
          <w:lang w:val="en-US" w:eastAsia="zh-CN"/>
        </w:rPr>
        <w:t>21</w:t>
      </w:r>
      <w:r>
        <w:rPr>
          <w:rFonts w:hint="eastAsia" w:ascii="宋体" w:hAnsi="宋体" w:eastAsia="宋体" w:cs="宋体"/>
          <w:color w:val="auto"/>
          <w:szCs w:val="21"/>
          <w:u w:val="none"/>
        </w:rPr>
        <w:t>日</w:t>
      </w:r>
      <w:r>
        <w:rPr>
          <w:rFonts w:hint="eastAsia" w:ascii="宋体" w:hAnsi="宋体" w:cs="宋体"/>
          <w:color w:val="auto"/>
          <w:szCs w:val="21"/>
          <w:u w:val="none"/>
          <w:lang w:val="en-US" w:eastAsia="zh-CN"/>
        </w:rPr>
        <w:t>9</w:t>
      </w:r>
      <w:r>
        <w:rPr>
          <w:rFonts w:hint="eastAsia" w:ascii="宋体" w:hAnsi="宋体" w:eastAsia="宋体" w:cs="宋体"/>
          <w:color w:val="auto"/>
          <w:szCs w:val="21"/>
          <w:u w:val="none"/>
        </w:rPr>
        <w:t>时30分；开标地点：桂林市公共资源交易中心（广西桂林市临桂区西城中路69号创业大厦西辅楼4楼）</w:t>
      </w:r>
      <w:r>
        <w:rPr>
          <w:rFonts w:hint="eastAsia" w:ascii="宋体" w:hAnsi="宋体" w:cs="宋体"/>
          <w:color w:val="auto"/>
          <w:szCs w:val="21"/>
          <w:u w:val="none"/>
          <w:lang w:val="en-US" w:eastAsia="zh-CN"/>
        </w:rPr>
        <w:t>12</w:t>
      </w:r>
      <w:r>
        <w:rPr>
          <w:rFonts w:hint="eastAsia" w:ascii="宋体" w:hAnsi="宋体" w:eastAsia="宋体" w:cs="宋体"/>
          <w:color w:val="auto"/>
          <w:szCs w:val="21"/>
          <w:u w:val="none"/>
        </w:rPr>
        <w:t>号开标室</w:t>
      </w:r>
      <w:r>
        <w:rPr>
          <w:rFonts w:hint="eastAsia" w:ascii="宋体" w:hAnsi="宋体" w:eastAsia="宋体" w:cs="宋体"/>
          <w:color w:val="auto"/>
          <w:szCs w:val="21"/>
        </w:rPr>
        <w:t>开标。</w:t>
      </w:r>
      <w:r>
        <w:rPr>
          <w:rFonts w:hint="eastAsia" w:ascii="宋体" w:hAnsi="宋体" w:eastAsia="宋体" w:cs="宋体"/>
          <w:color w:val="auto"/>
        </w:rPr>
        <w:t>投标人可以由法定代表人、负责人、自然人或其委托代理人出席开标会议</w:t>
      </w:r>
      <w:r>
        <w:rPr>
          <w:rFonts w:hint="eastAsia" w:ascii="宋体" w:hAnsi="宋体" w:eastAsia="宋体" w:cs="宋体"/>
          <w:color w:val="auto"/>
          <w:szCs w:val="21"/>
        </w:rPr>
        <w:t>；投标人准时参加开标会并签字，如未按时签字的，视同放弃开标监督权利，认可开标结果。</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21.2投标人不足3家的，不得开标，采购人或者采购代理机构应当重新组织采购。</w:t>
      </w:r>
    </w:p>
    <w:p>
      <w:pPr>
        <w:spacing w:line="400" w:lineRule="exact"/>
        <w:ind w:firstLine="413" w:firstLineChars="196"/>
        <w:outlineLvl w:val="2"/>
        <w:rPr>
          <w:rFonts w:hint="eastAsia" w:ascii="宋体" w:hAnsi="宋体" w:eastAsia="宋体" w:cs="宋体"/>
          <w:b/>
          <w:color w:val="auto"/>
          <w:szCs w:val="21"/>
        </w:rPr>
      </w:pPr>
      <w:bookmarkStart w:id="100" w:name="_Toc11217"/>
      <w:bookmarkStart w:id="101" w:name="_Toc30797"/>
      <w:r>
        <w:rPr>
          <w:rFonts w:hint="eastAsia" w:ascii="宋体" w:hAnsi="宋体" w:eastAsia="宋体" w:cs="宋体"/>
          <w:b/>
          <w:color w:val="auto"/>
          <w:szCs w:val="21"/>
        </w:rPr>
        <w:t>22. 开标程序</w:t>
      </w:r>
      <w:bookmarkEnd w:id="100"/>
      <w:bookmarkEnd w:id="101"/>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（1）主持人宣布开标会正式开始，宣布开标程序、开标纪律，介绍项目情况和到会人员；</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（2）投标人对其投标文件的密封情况进行检查并确认签字；</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（3）按各投标人提交投标文件时间的先后顺序打开投标文件外包装；</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（4）唱标，宣读投标截止时间前接收的所有投标文件的投标人名称，投标报价表的投标报价、折扣；</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（5）采购代理机构做开标记录，投标人代表对开标记录进行当场校核及勘误并签字确认；同时由记录人、监督人（如有）当场签字确认；</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rPr>
        <w:t>（6）</w:t>
      </w:r>
      <w:r>
        <w:rPr>
          <w:rFonts w:hint="eastAsia" w:ascii="宋体" w:hAnsi="宋体" w:eastAsia="宋体" w:cs="宋体"/>
          <w:color w:val="auto"/>
          <w:szCs w:val="21"/>
        </w:rPr>
        <w:t>投标人代表对开标过程和开标记录有</w:t>
      </w:r>
      <w:r>
        <w:rPr>
          <w:rFonts w:hint="eastAsia" w:ascii="宋体" w:hAnsi="宋体" w:eastAsia="宋体" w:cs="宋体"/>
          <w:color w:val="auto"/>
          <w:szCs w:val="21"/>
          <w:lang w:val="en-US" w:eastAsia="zh-CN"/>
        </w:rPr>
        <w:t>疑义</w:t>
      </w:r>
      <w:r>
        <w:rPr>
          <w:rFonts w:hint="eastAsia" w:ascii="宋体" w:hAnsi="宋体" w:eastAsia="宋体" w:cs="宋体"/>
          <w:color w:val="auto"/>
          <w:szCs w:val="21"/>
        </w:rPr>
        <w:t>，以及认为采购人、采购代理机构相关工作人员有需要回避的情形的，应当场提出询问或者回避申请。采购人、采购代理机构对投标人代表提出的询问或者回避申请应当及时处理。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（7）宣布开标结束，采购人、投标人和有关方面代表退场，由工作人员将投标文件等材料移交评标室。</w:t>
      </w:r>
    </w:p>
    <w:p>
      <w:pPr>
        <w:tabs>
          <w:tab w:val="left" w:pos="1305"/>
        </w:tabs>
        <w:spacing w:line="400" w:lineRule="exact"/>
        <w:ind w:firstLine="420" w:firstLineChars="200"/>
        <w:rPr>
          <w:rFonts w:hint="eastAsia" w:ascii="宋体" w:hAnsi="宋体" w:eastAsia="宋体" w:cs="宋体"/>
          <w:color w:val="auto"/>
          <w:szCs w:val="21"/>
        </w:rPr>
      </w:pPr>
    </w:p>
    <w:p>
      <w:pPr>
        <w:spacing w:line="360" w:lineRule="auto"/>
        <w:jc w:val="center"/>
        <w:outlineLvl w:val="1"/>
        <w:rPr>
          <w:rFonts w:hint="eastAsia" w:ascii="宋体" w:hAnsi="宋体" w:eastAsia="宋体" w:cs="宋体"/>
          <w:b/>
          <w:color w:val="auto"/>
          <w:sz w:val="28"/>
          <w:szCs w:val="28"/>
        </w:rPr>
      </w:pPr>
      <w:bookmarkStart w:id="102" w:name="_Toc13013"/>
      <w:bookmarkStart w:id="103" w:name="_Toc29467"/>
      <w:bookmarkStart w:id="104" w:name="_Toc495841758"/>
      <w:r>
        <w:rPr>
          <w:rFonts w:hint="eastAsia" w:ascii="宋体" w:hAnsi="宋体" w:eastAsia="宋体" w:cs="宋体"/>
          <w:b/>
          <w:color w:val="auto"/>
          <w:sz w:val="28"/>
          <w:szCs w:val="28"/>
        </w:rPr>
        <w:t>五、资格性审查</w:t>
      </w:r>
      <w:bookmarkEnd w:id="102"/>
      <w:bookmarkEnd w:id="103"/>
      <w:bookmarkEnd w:id="104"/>
    </w:p>
    <w:p>
      <w:pPr>
        <w:spacing w:line="400" w:lineRule="exact"/>
        <w:ind w:firstLine="413" w:firstLineChars="196"/>
        <w:outlineLvl w:val="2"/>
        <w:rPr>
          <w:rFonts w:hint="eastAsia" w:ascii="宋体" w:hAnsi="宋体" w:eastAsia="宋体" w:cs="宋体"/>
          <w:b/>
          <w:color w:val="auto"/>
          <w:szCs w:val="21"/>
        </w:rPr>
      </w:pPr>
      <w:bookmarkStart w:id="105" w:name="_Toc13578"/>
      <w:bookmarkStart w:id="106" w:name="_Toc31377"/>
      <w:r>
        <w:rPr>
          <w:rFonts w:hint="eastAsia" w:ascii="宋体" w:hAnsi="宋体" w:eastAsia="宋体" w:cs="宋体"/>
          <w:b/>
          <w:color w:val="auto"/>
          <w:szCs w:val="21"/>
        </w:rPr>
        <w:t>23. 资格性审查</w:t>
      </w:r>
      <w:bookmarkEnd w:id="105"/>
      <w:bookmarkEnd w:id="106"/>
    </w:p>
    <w:p>
      <w:pPr>
        <w:tabs>
          <w:tab w:val="left" w:pos="130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23.1公开招标采购项目开标结束后，采购人应当依法对投标人的资格进行审查。合格投标人不足3家的，不得评标。</w:t>
      </w:r>
    </w:p>
    <w:p>
      <w:pPr>
        <w:spacing w:line="40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23.2</w:t>
      </w:r>
      <w:r>
        <w:rPr>
          <w:rFonts w:hint="eastAsia" w:ascii="宋体" w:hAnsi="宋体" w:eastAsia="宋体" w:cs="宋体"/>
          <w:b/>
          <w:bCs/>
          <w:color w:val="auto"/>
          <w:szCs w:val="21"/>
        </w:rPr>
        <w:t>采购人或者采购代理机构</w:t>
      </w:r>
      <w:r>
        <w:rPr>
          <w:rFonts w:hint="eastAsia" w:ascii="宋体" w:hAnsi="宋体" w:eastAsia="宋体" w:cs="宋体"/>
          <w:b/>
          <w:color w:val="auto"/>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查询渠道：《国家企业信用信息公示系统》（网址：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"http://www.gsxt.gov.cn/index.html" </w:instrText>
      </w:r>
      <w:r>
        <w:rPr>
          <w:rFonts w:hint="eastAsia" w:ascii="宋体" w:hAnsi="宋体" w:eastAsia="宋体" w:cs="宋体"/>
          <w:color w:val="auto"/>
        </w:rPr>
        <w:fldChar w:fldCharType="separate"/>
      </w:r>
      <w:r>
        <w:rPr>
          <w:rFonts w:hint="eastAsia" w:ascii="宋体" w:hAnsi="宋体" w:eastAsia="宋体" w:cs="宋体"/>
          <w:color w:val="auto"/>
          <w:szCs w:val="21"/>
        </w:rPr>
        <w:t>http://www.gsxt.gov.cn/index.html</w:t>
      </w:r>
      <w:r>
        <w:rPr>
          <w:rFonts w:hint="eastAsia" w:ascii="宋体" w:hAnsi="宋体" w:eastAsia="宋体" w:cs="宋体"/>
          <w:color w:val="auto"/>
          <w:szCs w:val="21"/>
        </w:rPr>
        <w:fldChar w:fldCharType="end"/>
      </w:r>
      <w:r>
        <w:rPr>
          <w:rFonts w:hint="eastAsia" w:ascii="宋体" w:hAnsi="宋体" w:eastAsia="宋体" w:cs="宋体"/>
          <w:color w:val="auto"/>
          <w:szCs w:val="21"/>
        </w:rPr>
        <w:t>）</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审查流程：</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（1）进入《国家企业信用信息公示系统》（网址：http://www.gsxt.gov.cn/index.html），输入企业名称，进入企业信息主页面；</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（2）查看主页“股东及出资信息”栏，或年报中的“股东及出资信息”栏信息；</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（3）将各投标人的股东及出资信息进行比对，得出审查结论；</w:t>
      </w:r>
    </w:p>
    <w:p>
      <w:pPr>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（4）将相关资料作为评审资料打印存档。</w:t>
      </w:r>
    </w:p>
    <w:p>
      <w:pPr>
        <w:snapToGrid w:val="0"/>
        <w:spacing w:line="400" w:lineRule="exact"/>
        <w:ind w:firstLine="420" w:firstLineChars="200"/>
        <w:rPr>
          <w:rFonts w:hint="eastAsia" w:ascii="宋体" w:hAnsi="宋体" w:eastAsia="宋体" w:cs="宋体"/>
          <w:color w:val="auto"/>
          <w:szCs w:val="21"/>
        </w:rPr>
      </w:pPr>
    </w:p>
    <w:p>
      <w:pPr>
        <w:spacing w:line="360" w:lineRule="auto"/>
        <w:jc w:val="center"/>
        <w:outlineLvl w:val="1"/>
        <w:rPr>
          <w:rFonts w:hint="eastAsia" w:ascii="宋体" w:hAnsi="宋体" w:eastAsia="宋体" w:cs="宋体"/>
          <w:b/>
          <w:color w:val="auto"/>
          <w:sz w:val="28"/>
          <w:szCs w:val="28"/>
        </w:rPr>
      </w:pPr>
      <w:bookmarkStart w:id="107" w:name="_Toc3415"/>
      <w:bookmarkStart w:id="108" w:name="_Toc495841759"/>
      <w:bookmarkStart w:id="109" w:name="_Toc17211"/>
    </w:p>
    <w:p>
      <w:pPr>
        <w:spacing w:line="360" w:lineRule="auto"/>
        <w:jc w:val="center"/>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六、评标</w:t>
      </w:r>
      <w:bookmarkEnd w:id="107"/>
      <w:bookmarkEnd w:id="108"/>
      <w:bookmarkEnd w:id="109"/>
    </w:p>
    <w:p>
      <w:pPr>
        <w:spacing w:line="360" w:lineRule="exact"/>
        <w:ind w:firstLine="413" w:firstLineChars="196"/>
        <w:outlineLvl w:val="2"/>
        <w:rPr>
          <w:rFonts w:hint="eastAsia" w:ascii="宋体" w:hAnsi="宋体" w:eastAsia="宋体" w:cs="宋体"/>
          <w:b/>
          <w:color w:val="auto"/>
          <w:szCs w:val="21"/>
        </w:rPr>
      </w:pPr>
      <w:bookmarkStart w:id="110" w:name="_Toc14350"/>
      <w:bookmarkStart w:id="111" w:name="_Toc14749"/>
      <w:r>
        <w:rPr>
          <w:rFonts w:hint="eastAsia" w:ascii="宋体" w:hAnsi="宋体" w:eastAsia="宋体" w:cs="宋体"/>
          <w:b/>
          <w:color w:val="auto"/>
          <w:szCs w:val="21"/>
        </w:rPr>
        <w:t>24. 评标委员会组成</w:t>
      </w:r>
      <w:bookmarkEnd w:id="110"/>
      <w:bookmarkEnd w:id="111"/>
    </w:p>
    <w:p>
      <w:pPr>
        <w:spacing w:line="360" w:lineRule="exact"/>
        <w:ind w:firstLine="420" w:firstLineChars="200"/>
        <w:rPr>
          <w:rFonts w:hint="eastAsia" w:ascii="宋体" w:hAnsi="宋体" w:eastAsia="宋体" w:cs="宋体"/>
          <w:color w:val="auto"/>
          <w:szCs w:val="21"/>
        </w:rPr>
      </w:pPr>
      <w:r>
        <w:rPr>
          <w:color w:val="auto"/>
          <w:szCs w:val="21"/>
        </w:rPr>
        <w:t>评标委员会由采购人代表和有关技术、经济等方面的专家组成，成员人</w:t>
      </w:r>
      <w:r>
        <w:rPr>
          <w:color w:val="auto"/>
          <w:szCs w:val="21"/>
          <w:u w:val="none"/>
        </w:rPr>
        <w:t>数共</w:t>
      </w:r>
      <w:r>
        <w:rPr>
          <w:rFonts w:hint="eastAsia"/>
          <w:color w:val="auto"/>
          <w:szCs w:val="21"/>
          <w:u w:val="none"/>
          <w:lang w:val="en-US" w:eastAsia="zh-CN"/>
        </w:rPr>
        <w:t>7</w:t>
      </w:r>
      <w:r>
        <w:rPr>
          <w:color w:val="auto"/>
          <w:szCs w:val="21"/>
          <w:u w:val="none"/>
        </w:rPr>
        <w:t>人，其中采购人代表1人，技术、经济等专家</w:t>
      </w:r>
      <w:r>
        <w:rPr>
          <w:rFonts w:hint="eastAsia"/>
          <w:color w:val="auto"/>
          <w:szCs w:val="21"/>
          <w:u w:val="none"/>
          <w:lang w:val="en-US" w:eastAsia="zh-CN"/>
        </w:rPr>
        <w:t>6</w:t>
      </w:r>
      <w:r>
        <w:rPr>
          <w:color w:val="auto"/>
          <w:szCs w:val="21"/>
          <w:u w:val="none"/>
        </w:rPr>
        <w:t>人</w:t>
      </w:r>
      <w:r>
        <w:rPr>
          <w:color w:val="auto"/>
          <w:szCs w:val="21"/>
        </w:rPr>
        <w:t>。</w:t>
      </w:r>
    </w:p>
    <w:p>
      <w:pPr>
        <w:spacing w:line="360" w:lineRule="exact"/>
        <w:ind w:firstLine="413" w:firstLineChars="196"/>
        <w:outlineLvl w:val="2"/>
        <w:rPr>
          <w:rFonts w:hint="eastAsia" w:ascii="宋体" w:hAnsi="宋体" w:eastAsia="宋体" w:cs="宋体"/>
          <w:b/>
          <w:color w:val="auto"/>
          <w:szCs w:val="21"/>
        </w:rPr>
      </w:pPr>
      <w:bookmarkStart w:id="112" w:name="_Toc24437"/>
      <w:bookmarkStart w:id="113" w:name="_Toc26961"/>
      <w:r>
        <w:rPr>
          <w:rFonts w:hint="eastAsia" w:ascii="宋体" w:hAnsi="宋体" w:eastAsia="宋体" w:cs="宋体"/>
          <w:b/>
          <w:color w:val="auto"/>
          <w:szCs w:val="21"/>
        </w:rPr>
        <w:t>25. 评标办法</w:t>
      </w:r>
      <w:bookmarkEnd w:id="112"/>
      <w:bookmarkEnd w:id="113"/>
    </w:p>
    <w:p>
      <w:pPr>
        <w:tabs>
          <w:tab w:val="left" w:pos="1140"/>
        </w:tabs>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25.1评标办法：综合评分法，具体评标内容及标准详见第四章。</w:t>
      </w:r>
    </w:p>
    <w:p>
      <w:pPr>
        <w:tabs>
          <w:tab w:val="left" w:pos="1140"/>
        </w:tabs>
        <w:spacing w:line="360" w:lineRule="exact"/>
        <w:ind w:firstLine="420" w:firstLineChars="200"/>
        <w:rPr>
          <w:rFonts w:hint="eastAsia" w:ascii="宋体" w:hAnsi="宋体" w:eastAsia="宋体" w:cs="宋体"/>
          <w:color w:val="auto"/>
        </w:rPr>
      </w:pPr>
      <w:r>
        <w:rPr>
          <w:rFonts w:hint="eastAsia" w:ascii="宋体" w:hAnsi="宋体" w:eastAsia="宋体" w:cs="宋体"/>
          <w:color w:val="auto"/>
          <w:szCs w:val="21"/>
        </w:rPr>
        <w:t>25.2评标委员会应按招标文件进行评标，不得擅自更改评标办法。</w:t>
      </w:r>
    </w:p>
    <w:p>
      <w:pPr>
        <w:spacing w:line="360" w:lineRule="exact"/>
        <w:ind w:firstLine="413" w:firstLineChars="196"/>
        <w:outlineLvl w:val="2"/>
        <w:rPr>
          <w:rFonts w:hint="eastAsia" w:ascii="宋体" w:hAnsi="宋体" w:eastAsia="宋体" w:cs="宋体"/>
          <w:b/>
          <w:color w:val="auto"/>
          <w:szCs w:val="21"/>
        </w:rPr>
      </w:pPr>
      <w:bookmarkStart w:id="114" w:name="_Toc29124"/>
      <w:bookmarkStart w:id="115" w:name="_Toc20321"/>
      <w:r>
        <w:rPr>
          <w:rFonts w:hint="eastAsia" w:ascii="宋体" w:hAnsi="宋体" w:eastAsia="宋体" w:cs="宋体"/>
          <w:b/>
          <w:color w:val="auto"/>
          <w:szCs w:val="21"/>
        </w:rPr>
        <w:t>26. 评标</w:t>
      </w:r>
      <w:bookmarkEnd w:id="114"/>
      <w:bookmarkEnd w:id="115"/>
    </w:p>
    <w:p>
      <w:pPr>
        <w:spacing w:line="36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26.1采购代理机构负责评标组织工作</w:t>
      </w:r>
      <w:r>
        <w:rPr>
          <w:rFonts w:hint="eastAsia" w:ascii="宋体" w:hAnsi="宋体" w:eastAsia="宋体" w:cs="宋体"/>
          <w:color w:val="auto"/>
          <w:szCs w:val="21"/>
          <w:lang w:eastAsia="zh-CN"/>
        </w:rPr>
        <w:t>，</w:t>
      </w:r>
      <w:r>
        <w:rPr>
          <w:rFonts w:hint="eastAsia" w:ascii="宋体" w:hAnsi="宋体" w:eastAsia="宋体" w:cs="宋体"/>
          <w:color w:val="auto"/>
          <w:szCs w:val="21"/>
        </w:rPr>
        <w:t>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r>
        <w:rPr>
          <w:rFonts w:hint="eastAsia" w:ascii="宋体" w:hAnsi="宋体" w:eastAsia="宋体" w:cs="宋体"/>
          <w:color w:val="auto"/>
          <w:szCs w:val="21"/>
          <w:lang w:eastAsia="zh-CN"/>
        </w:rPr>
        <w:t>。</w:t>
      </w: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26.3在评标过程中，评标委员会任何人不得对某个投标人发表任何倾向性意见，不得向其他专家评委明示或者暗示自己的评审意见。</w:t>
      </w: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26.4评标委员会应当对符合资格的投标人的投标文件进行符合性审查，以确定其是否满足招标文件的实质性要求。</w:t>
      </w: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26.5对于投标文件中含义不明确、同类问题表述不一致</w:t>
      </w:r>
      <w:r>
        <w:rPr>
          <w:rFonts w:hint="eastAsia" w:ascii="宋体" w:hAnsi="宋体" w:cs="宋体"/>
          <w:color w:val="auto"/>
          <w:szCs w:val="21"/>
          <w:lang w:eastAsia="zh-CN"/>
        </w:rPr>
        <w:t>、</w:t>
      </w:r>
      <w:r>
        <w:rPr>
          <w:rFonts w:hint="eastAsia" w:ascii="宋体" w:hAnsi="宋体" w:eastAsia="宋体" w:cs="宋体"/>
          <w:color w:val="auto"/>
          <w:szCs w:val="21"/>
        </w:rPr>
        <w:t>有明显文字和计算错误</w:t>
      </w:r>
      <w:r>
        <w:rPr>
          <w:rFonts w:hint="eastAsia" w:ascii="宋体" w:hAnsi="宋体" w:cs="宋体"/>
          <w:color w:val="auto"/>
          <w:szCs w:val="21"/>
          <w:lang w:val="en-US" w:eastAsia="zh-CN"/>
        </w:rPr>
        <w:t>或属于投标人疏忽、笔误所造成差错</w:t>
      </w:r>
      <w:r>
        <w:rPr>
          <w:rFonts w:hint="eastAsia" w:ascii="宋体" w:hAnsi="宋体" w:eastAsia="宋体" w:cs="宋体"/>
          <w:color w:val="auto"/>
          <w:szCs w:val="21"/>
        </w:rPr>
        <w:t>的内容，评标委员会应当以书面形式要求投标人作出必要的澄清、说明或者补正。</w:t>
      </w:r>
    </w:p>
    <w:p>
      <w:pPr>
        <w:tabs>
          <w:tab w:val="left" w:pos="1140"/>
        </w:tabs>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26.6评标委员会应当按照招标文件中规定的评标方法和标准，对符合性审查合格的投标文件进行商务和技术评估，综合比较与评价。</w:t>
      </w:r>
    </w:p>
    <w:p>
      <w:pPr>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26.7投标文件报价出现前后不一致的，除招标文件另有规定外，按照下列规定修正：</w:t>
      </w:r>
    </w:p>
    <w:p>
      <w:pPr>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（1）投标文件中投标报价表内容与投标文件中相应内容不一致的，以投标报价表为准；</w:t>
      </w:r>
    </w:p>
    <w:p>
      <w:pPr>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（2）大写金额和小写金额不一致的，以大写金额为准；</w:t>
      </w:r>
    </w:p>
    <w:p>
      <w:pPr>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（3）单价金额小数点或者百分比有明显错位的，以报价表的总价为准，并修改单价；</w:t>
      </w:r>
    </w:p>
    <w:p>
      <w:pPr>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（4）总价金额与按单价汇总金额不一致的，以单价金额计算结果为准。</w:t>
      </w:r>
    </w:p>
    <w:p>
      <w:pPr>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同时出现两种以上不一致的，按照前款规定的顺序修正。修正后的报价（不得超出投标文件的范围或者改变投标文件的实质性内容）经投标人确认后产生约束力，投标人不确认的，其投标无效。</w:t>
      </w:r>
    </w:p>
    <w:p>
      <w:pPr>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26.9评标委员会成员对需要共同认定的事项存在争议的，应当按照少数服从多数的原则作出结论。持不同意见的评标委员会成员应当在评标报告上签署不同意见及理由，否则视为同意评标报告。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26.10评标结果汇总完成后，除下列情形外，任何人不得修改评标结果：</w:t>
      </w:r>
    </w:p>
    <w:p>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（一）分值汇总计算错误的；</w:t>
      </w:r>
    </w:p>
    <w:p>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（二）分项评分超出评分标准范围的；</w:t>
      </w:r>
    </w:p>
    <w:p>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（三）评标委员会成员对客观评审因素评分不一致的；</w:t>
      </w:r>
    </w:p>
    <w:p>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（四）经评标委员会认定评分畸高、畸低的。</w:t>
      </w:r>
    </w:p>
    <w:p>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投标人对本条第一款情形提出质疑的，采购人或者采购代理机构可以组织原评标委员会进行重新评审，重新评审改变评标结果的，应当书面报告本级财政部门。</w:t>
      </w:r>
    </w:p>
    <w:p>
      <w:pPr>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26.11采购代理机构发现评标委员会有明显的违规倾向或歧视现象，或不按评标办法进行，或其他不正常行为的，应当及时制止。如制止无效，应及时向</w:t>
      </w:r>
      <w:r>
        <w:rPr>
          <w:rFonts w:hint="eastAsia" w:ascii="宋体" w:hAnsi="宋体" w:cs="宋体"/>
          <w:color w:val="auto"/>
          <w:szCs w:val="21"/>
          <w:lang w:val="en-US" w:eastAsia="zh-CN"/>
        </w:rPr>
        <w:t>自治区</w:t>
      </w:r>
      <w:r>
        <w:rPr>
          <w:rFonts w:hint="eastAsia" w:ascii="宋体" w:hAnsi="宋体" w:eastAsia="宋体" w:cs="宋体"/>
          <w:color w:val="auto"/>
          <w:szCs w:val="21"/>
        </w:rPr>
        <w:t>政府采购监督管理机构报告。</w:t>
      </w:r>
    </w:p>
    <w:p>
      <w:pPr>
        <w:spacing w:line="360" w:lineRule="exact"/>
        <w:ind w:firstLine="413" w:firstLineChars="196"/>
        <w:outlineLvl w:val="2"/>
        <w:rPr>
          <w:rFonts w:hint="eastAsia" w:ascii="宋体" w:hAnsi="宋体" w:eastAsia="宋体" w:cs="宋体"/>
          <w:b/>
          <w:color w:val="auto"/>
          <w:szCs w:val="21"/>
        </w:rPr>
      </w:pPr>
      <w:bookmarkStart w:id="116" w:name="_Toc24934"/>
      <w:bookmarkStart w:id="117" w:name="_Toc30450"/>
      <w:r>
        <w:rPr>
          <w:rFonts w:hint="eastAsia" w:ascii="宋体" w:hAnsi="宋体" w:eastAsia="宋体" w:cs="宋体"/>
          <w:b/>
          <w:color w:val="auto"/>
          <w:szCs w:val="21"/>
        </w:rPr>
        <w:t>27. 推荐及确定中标候选供应商原则</w:t>
      </w:r>
      <w:bookmarkEnd w:id="116"/>
      <w:bookmarkEnd w:id="117"/>
    </w:p>
    <w:p>
      <w:pPr>
        <w:tabs>
          <w:tab w:val="left" w:pos="4214"/>
        </w:tabs>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（1）评标委员会根据综合得分由高到低排列次序，若得分相同时，按评标价由低到高顺序排列；得分相同且评标价也相同的由评标委员会按照抽签的方式决定排次次序</w:t>
      </w:r>
      <w:r>
        <w:rPr>
          <w:rFonts w:hint="eastAsia" w:ascii="宋体" w:hAnsi="宋体" w:eastAsia="宋体" w:cs="宋体"/>
          <w:color w:val="auto"/>
          <w:sz w:val="22"/>
          <w:szCs w:val="22"/>
        </w:rPr>
        <w:t>。</w:t>
      </w:r>
    </w:p>
    <w:p>
      <w:pPr>
        <w:tabs>
          <w:tab w:val="left" w:pos="4214"/>
        </w:tabs>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（2）评标委员会可推荐前三名为中标候选供应商，采购人应当确定评标委员会推荐排名第一的中标候选供应商为中标供应商。</w:t>
      </w:r>
    </w:p>
    <w:p>
      <w:pPr>
        <w:spacing w:line="360" w:lineRule="exact"/>
        <w:ind w:firstLine="447" w:firstLineChars="213"/>
        <w:rPr>
          <w:rFonts w:hint="eastAsia" w:ascii="宋体" w:hAnsi="宋体" w:eastAsia="宋体" w:cs="宋体"/>
          <w:color w:val="auto"/>
          <w:szCs w:val="21"/>
        </w:rPr>
      </w:pPr>
      <w:r>
        <w:rPr>
          <w:rFonts w:hint="eastAsia" w:ascii="宋体" w:hAnsi="宋体" w:eastAsia="宋体" w:cs="宋体"/>
          <w:color w:val="auto"/>
          <w:szCs w:val="21"/>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投标人可自行选择参与本项目A、B、C分标中的</w:t>
      </w:r>
      <w:r>
        <w:rPr>
          <w:rFonts w:hint="eastAsia" w:ascii="宋体" w:hAnsi="宋体" w:cs="宋体"/>
          <w:color w:val="auto"/>
          <w:kern w:val="2"/>
          <w:sz w:val="21"/>
          <w:szCs w:val="21"/>
          <w:lang w:val="en-US" w:eastAsia="zh-CN" w:bidi="ar-SA"/>
        </w:rPr>
        <w:t>一</w:t>
      </w:r>
      <w:r>
        <w:rPr>
          <w:rFonts w:hint="eastAsia" w:ascii="宋体" w:hAnsi="宋体" w:eastAsia="宋体" w:cs="宋体"/>
          <w:color w:val="auto"/>
          <w:kern w:val="2"/>
          <w:sz w:val="21"/>
          <w:szCs w:val="21"/>
          <w:lang w:val="en-US" w:eastAsia="zh-CN" w:bidi="ar-SA"/>
        </w:rPr>
        <w:t>个或多个标段的投标，但A、B、C分标中只能中其中一个分标。如果某一投标人在A、B、C分标中评标结果出现两个或三个排名第一，则将该投标人确定为分标号靠前的分标的第一中标候选人，而其他第二成交候选人上升为第一成交候选人，第三成交候选人上升为第二成交候选人，以此类推。本项目分为</w:t>
      </w:r>
      <w:r>
        <w:rPr>
          <w:rFonts w:hint="eastAsia" w:ascii="宋体" w:hAnsi="宋体" w:cs="宋体"/>
          <w:color w:val="auto"/>
          <w:kern w:val="2"/>
          <w:sz w:val="21"/>
          <w:szCs w:val="21"/>
          <w:lang w:val="en-US" w:eastAsia="zh-CN" w:bidi="ar-SA"/>
        </w:rPr>
        <w:t>三</w:t>
      </w:r>
      <w:r>
        <w:rPr>
          <w:rFonts w:hint="eastAsia" w:ascii="宋体" w:hAnsi="宋体" w:eastAsia="宋体" w:cs="宋体"/>
          <w:color w:val="auto"/>
          <w:kern w:val="2"/>
          <w:sz w:val="21"/>
          <w:szCs w:val="21"/>
          <w:lang w:val="en-US" w:eastAsia="zh-CN" w:bidi="ar-SA"/>
        </w:rPr>
        <w:t>个分标，评标时按A、B、C分标的顺序进行评审。</w:t>
      </w:r>
    </w:p>
    <w:p>
      <w:pPr>
        <w:spacing w:line="360" w:lineRule="exact"/>
        <w:ind w:firstLine="413" w:firstLineChars="196"/>
        <w:outlineLvl w:val="2"/>
        <w:rPr>
          <w:rFonts w:hint="eastAsia" w:ascii="宋体" w:hAnsi="宋体" w:eastAsia="宋体" w:cs="宋体"/>
          <w:b/>
          <w:color w:val="auto"/>
          <w:szCs w:val="21"/>
        </w:rPr>
      </w:pPr>
      <w:bookmarkStart w:id="118" w:name="_Toc7802"/>
      <w:bookmarkStart w:id="119" w:name="_Toc1836"/>
      <w:r>
        <w:rPr>
          <w:rFonts w:hint="eastAsia" w:ascii="宋体" w:hAnsi="宋体" w:eastAsia="宋体" w:cs="宋体"/>
          <w:b/>
          <w:color w:val="auto"/>
          <w:szCs w:val="21"/>
        </w:rPr>
        <w:t>28. 属于下列情况之一者，投标无效：</w:t>
      </w:r>
      <w:bookmarkEnd w:id="118"/>
      <w:bookmarkEnd w:id="119"/>
    </w:p>
    <w:p>
      <w:pPr>
        <w:snapToGrid w:val="0"/>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（1）未按照招标文件规定要求签字、盖章的；</w:t>
      </w:r>
    </w:p>
    <w:p>
      <w:pPr>
        <w:snapToGrid w:val="0"/>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（2）报价超过招标文件中规定的预算金额的；</w:t>
      </w:r>
    </w:p>
    <w:p>
      <w:pPr>
        <w:snapToGrid w:val="0"/>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（3）不具备招标文件中规定的资格要求的</w:t>
      </w:r>
      <w:r>
        <w:rPr>
          <w:rFonts w:hint="eastAsia" w:ascii="宋体" w:hAnsi="宋体" w:eastAsia="宋体" w:cs="宋体"/>
          <w:color w:val="auto"/>
        </w:rPr>
        <w:t>；</w:t>
      </w:r>
    </w:p>
    <w:p>
      <w:pPr>
        <w:snapToGrid w:val="0"/>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（4）投标文件含有采购人不能接受的附加条件的；</w:t>
      </w:r>
    </w:p>
    <w:p>
      <w:pPr>
        <w:snapToGrid w:val="0"/>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（5）投标文件未按招标文件的内容和要求编制，或提供虚假或无效材料的；</w:t>
      </w:r>
    </w:p>
    <w:p>
      <w:pPr>
        <w:snapToGrid w:val="0"/>
        <w:spacing w:line="360" w:lineRule="exact"/>
        <w:ind w:firstLine="411" w:firstLineChars="196"/>
        <w:rPr>
          <w:rFonts w:hint="eastAsia" w:ascii="宋体" w:hAnsi="宋体" w:eastAsia="宋体" w:cs="宋体"/>
          <w:color w:val="auto"/>
        </w:rPr>
      </w:pPr>
      <w:r>
        <w:rPr>
          <w:rFonts w:hint="eastAsia" w:ascii="宋体" w:hAnsi="宋体" w:eastAsia="宋体" w:cs="宋体"/>
          <w:color w:val="auto"/>
          <w:szCs w:val="21"/>
        </w:rPr>
        <w:t>（6）</w:t>
      </w:r>
      <w:r>
        <w:rPr>
          <w:rFonts w:hint="eastAsia" w:ascii="宋体" w:hAnsi="宋体" w:eastAsia="宋体" w:cs="宋体"/>
          <w:color w:val="auto"/>
        </w:rPr>
        <w:t>投标</w:t>
      </w:r>
      <w:r>
        <w:rPr>
          <w:rFonts w:hint="eastAsia" w:ascii="宋体" w:hAnsi="宋体" w:eastAsia="宋体" w:cs="宋体"/>
          <w:color w:val="auto"/>
          <w:szCs w:val="21"/>
        </w:rPr>
        <w:t>人未就“货物采购需求”中的所有内容作完整唯一报价的</w:t>
      </w:r>
      <w:r>
        <w:rPr>
          <w:rFonts w:hint="eastAsia" w:ascii="宋体" w:hAnsi="宋体" w:eastAsia="宋体" w:cs="宋体"/>
          <w:color w:val="auto"/>
        </w:rPr>
        <w:t>；</w:t>
      </w:r>
    </w:p>
    <w:p>
      <w:pPr>
        <w:snapToGrid w:val="0"/>
        <w:spacing w:line="36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（7）未完全响应招标文件实质性要求的；</w:t>
      </w:r>
    </w:p>
    <w:p>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（8）法律、法规和招标文件规定的其他无效情形。</w:t>
      </w:r>
    </w:p>
    <w:p>
      <w:pPr>
        <w:spacing w:line="360" w:lineRule="exact"/>
        <w:ind w:firstLine="413" w:firstLineChars="196"/>
        <w:outlineLvl w:val="2"/>
        <w:rPr>
          <w:rFonts w:hint="eastAsia" w:ascii="宋体" w:hAnsi="宋体" w:eastAsia="宋体" w:cs="宋体"/>
          <w:b/>
          <w:color w:val="auto"/>
          <w:szCs w:val="21"/>
        </w:rPr>
      </w:pPr>
      <w:bookmarkStart w:id="120" w:name="_Toc15081"/>
      <w:bookmarkStart w:id="121" w:name="_Toc3715"/>
      <w:r>
        <w:rPr>
          <w:rFonts w:hint="eastAsia" w:ascii="宋体" w:hAnsi="宋体" w:eastAsia="宋体" w:cs="宋体"/>
          <w:b/>
          <w:color w:val="auto"/>
          <w:szCs w:val="21"/>
        </w:rPr>
        <w:t>29. 投标人有下列情形之一的，视为串通投标，投标文件将被视为无效：</w:t>
      </w:r>
      <w:bookmarkEnd w:id="120"/>
      <w:bookmarkEnd w:id="121"/>
    </w:p>
    <w:p>
      <w:pPr>
        <w:snapToGrid w:val="0"/>
        <w:spacing w:line="360" w:lineRule="exact"/>
        <w:ind w:left="355" w:leftChars="169" w:firstLine="102" w:firstLineChars="49"/>
        <w:rPr>
          <w:rFonts w:hint="eastAsia" w:ascii="宋体" w:hAnsi="宋体" w:eastAsia="宋体" w:cs="宋体"/>
          <w:color w:val="auto"/>
        </w:rPr>
      </w:pPr>
      <w:r>
        <w:rPr>
          <w:rFonts w:hint="eastAsia" w:ascii="宋体" w:hAnsi="宋体" w:eastAsia="宋体" w:cs="宋体"/>
          <w:color w:val="auto"/>
        </w:rPr>
        <w:t>（1）不同投标人的投标文件由同一单位或者个人编制；</w:t>
      </w:r>
    </w:p>
    <w:p>
      <w:pPr>
        <w:snapToGrid w:val="0"/>
        <w:spacing w:line="360" w:lineRule="exact"/>
        <w:ind w:left="355" w:leftChars="169" w:firstLine="102" w:firstLineChars="49"/>
        <w:rPr>
          <w:rFonts w:hint="eastAsia" w:ascii="宋体" w:hAnsi="宋体" w:eastAsia="宋体" w:cs="宋体"/>
          <w:color w:val="auto"/>
        </w:rPr>
      </w:pPr>
      <w:r>
        <w:rPr>
          <w:rFonts w:hint="eastAsia" w:ascii="宋体" w:hAnsi="宋体" w:eastAsia="宋体" w:cs="宋体"/>
          <w:color w:val="auto"/>
        </w:rPr>
        <w:t>（2）不同投标人委托同一单位或者个人办理投标事宜；</w:t>
      </w:r>
    </w:p>
    <w:p>
      <w:pPr>
        <w:snapToGrid w:val="0"/>
        <w:spacing w:line="360" w:lineRule="exact"/>
        <w:ind w:left="355" w:leftChars="169" w:firstLine="102" w:firstLineChars="49"/>
        <w:rPr>
          <w:rFonts w:hint="eastAsia" w:ascii="宋体" w:hAnsi="宋体" w:eastAsia="宋体" w:cs="宋体"/>
          <w:color w:val="auto"/>
        </w:rPr>
      </w:pPr>
      <w:r>
        <w:rPr>
          <w:rFonts w:hint="eastAsia" w:ascii="宋体" w:hAnsi="宋体" w:eastAsia="宋体" w:cs="宋体"/>
          <w:color w:val="auto"/>
        </w:rPr>
        <w:t>（3）不同的投标人的投标文件载明的项目管理员或者联系人员为同一个人；</w:t>
      </w:r>
    </w:p>
    <w:p>
      <w:pPr>
        <w:snapToGrid w:val="0"/>
        <w:spacing w:line="360" w:lineRule="exact"/>
        <w:ind w:left="355" w:leftChars="169" w:firstLine="102" w:firstLineChars="49"/>
        <w:rPr>
          <w:rFonts w:hint="eastAsia" w:ascii="宋体" w:hAnsi="宋体" w:eastAsia="宋体" w:cs="宋体"/>
          <w:color w:val="auto"/>
        </w:rPr>
      </w:pPr>
      <w:r>
        <w:rPr>
          <w:rFonts w:hint="eastAsia" w:ascii="宋体" w:hAnsi="宋体" w:eastAsia="宋体" w:cs="宋体"/>
          <w:color w:val="auto"/>
        </w:rPr>
        <w:t xml:space="preserve">（4）不同投标人的投标文件异常一致或投标报价呈规律性差异； </w:t>
      </w:r>
    </w:p>
    <w:p>
      <w:pPr>
        <w:snapToGrid w:val="0"/>
        <w:spacing w:line="360" w:lineRule="exact"/>
        <w:ind w:left="355" w:leftChars="169" w:firstLine="102" w:firstLineChars="49"/>
        <w:rPr>
          <w:rFonts w:hint="eastAsia" w:ascii="宋体" w:hAnsi="宋体" w:eastAsia="宋体" w:cs="宋体"/>
          <w:color w:val="auto"/>
        </w:rPr>
      </w:pPr>
      <w:r>
        <w:rPr>
          <w:rFonts w:hint="eastAsia" w:ascii="宋体" w:hAnsi="宋体" w:eastAsia="宋体" w:cs="宋体"/>
          <w:color w:val="auto"/>
        </w:rPr>
        <w:t>（5）不同投标人的投标文件相互混装；</w:t>
      </w:r>
    </w:p>
    <w:p>
      <w:pPr>
        <w:snapToGrid w:val="0"/>
        <w:spacing w:line="360" w:lineRule="exact"/>
        <w:ind w:left="355" w:leftChars="169" w:firstLine="102" w:firstLineChars="49"/>
        <w:rPr>
          <w:rFonts w:hint="eastAsia" w:ascii="宋体" w:hAnsi="宋体" w:eastAsia="宋体" w:cs="宋体"/>
          <w:color w:val="auto"/>
        </w:rPr>
      </w:pPr>
      <w:r>
        <w:rPr>
          <w:rFonts w:hint="eastAsia" w:ascii="宋体" w:hAnsi="宋体" w:eastAsia="宋体" w:cs="宋体"/>
          <w:color w:val="auto"/>
        </w:rPr>
        <w:t>（6）不同投标人的投标保证金从同一单位或者个人账户转出。</w:t>
      </w:r>
    </w:p>
    <w:p>
      <w:pPr>
        <w:spacing w:line="360" w:lineRule="exact"/>
        <w:ind w:firstLine="413" w:firstLineChars="196"/>
        <w:outlineLvl w:val="2"/>
        <w:rPr>
          <w:rFonts w:hint="eastAsia" w:ascii="宋体" w:hAnsi="宋体" w:eastAsia="宋体" w:cs="宋体"/>
          <w:b/>
          <w:color w:val="auto"/>
          <w:szCs w:val="21"/>
        </w:rPr>
      </w:pPr>
      <w:bookmarkStart w:id="122" w:name="_Toc9994"/>
      <w:bookmarkStart w:id="123" w:name="_Toc18148"/>
      <w:r>
        <w:rPr>
          <w:rFonts w:hint="eastAsia" w:ascii="宋体" w:hAnsi="宋体" w:eastAsia="宋体" w:cs="宋体"/>
          <w:b/>
          <w:color w:val="auto"/>
          <w:szCs w:val="21"/>
        </w:rPr>
        <w:t>30. 属于下列情形之一的，应予废标：</w:t>
      </w:r>
      <w:bookmarkEnd w:id="122"/>
      <w:bookmarkEnd w:id="123"/>
    </w:p>
    <w:p>
      <w:pPr>
        <w:tabs>
          <w:tab w:val="left" w:pos="840"/>
        </w:tabs>
        <w:snapToGrid w:val="0"/>
        <w:spacing w:line="360" w:lineRule="exact"/>
        <w:ind w:left="330" w:leftChars="157" w:firstLine="102" w:firstLineChars="49"/>
        <w:rPr>
          <w:rFonts w:hint="eastAsia" w:ascii="宋体" w:hAnsi="宋体" w:eastAsia="宋体" w:cs="宋体"/>
          <w:color w:val="auto"/>
          <w:szCs w:val="21"/>
        </w:rPr>
      </w:pPr>
      <w:r>
        <w:rPr>
          <w:rFonts w:hint="eastAsia" w:ascii="宋体" w:hAnsi="宋体" w:eastAsia="宋体" w:cs="宋体"/>
          <w:color w:val="auto"/>
          <w:szCs w:val="21"/>
        </w:rPr>
        <w:t>（1）符合专业条件的供应商或者对招标文件作实质响应的供应商不足3家的；</w:t>
      </w:r>
    </w:p>
    <w:p>
      <w:pPr>
        <w:tabs>
          <w:tab w:val="left" w:pos="840"/>
        </w:tabs>
        <w:snapToGrid w:val="0"/>
        <w:spacing w:line="360" w:lineRule="exact"/>
        <w:ind w:left="330" w:leftChars="157" w:firstLine="105" w:firstLineChars="50"/>
        <w:rPr>
          <w:rFonts w:hint="eastAsia" w:ascii="宋体" w:hAnsi="宋体" w:eastAsia="宋体" w:cs="宋体"/>
          <w:color w:val="auto"/>
          <w:szCs w:val="21"/>
        </w:rPr>
      </w:pPr>
      <w:r>
        <w:rPr>
          <w:rFonts w:hint="eastAsia" w:ascii="宋体" w:hAnsi="宋体" w:eastAsia="宋体" w:cs="宋体"/>
          <w:color w:val="auto"/>
          <w:szCs w:val="21"/>
        </w:rPr>
        <w:t>（2）出现影响采购公正的违法、违规行为的；</w:t>
      </w:r>
    </w:p>
    <w:p>
      <w:pPr>
        <w:tabs>
          <w:tab w:val="left" w:pos="840"/>
        </w:tabs>
        <w:snapToGrid w:val="0"/>
        <w:spacing w:line="360" w:lineRule="exact"/>
        <w:ind w:left="330" w:leftChars="157" w:firstLine="105" w:firstLineChars="50"/>
        <w:rPr>
          <w:rFonts w:hint="eastAsia" w:ascii="宋体" w:hAnsi="宋体" w:eastAsia="宋体" w:cs="宋体"/>
          <w:color w:val="auto"/>
        </w:rPr>
      </w:pPr>
      <w:r>
        <w:rPr>
          <w:rFonts w:hint="eastAsia" w:ascii="宋体" w:hAnsi="宋体" w:eastAsia="宋体" w:cs="宋体"/>
          <w:color w:val="auto"/>
        </w:rPr>
        <w:t>（3）采购文件内容违反国家有关强制性规定的；</w:t>
      </w:r>
    </w:p>
    <w:p>
      <w:pPr>
        <w:tabs>
          <w:tab w:val="left" w:pos="840"/>
        </w:tabs>
        <w:snapToGrid w:val="0"/>
        <w:spacing w:line="360" w:lineRule="exact"/>
        <w:ind w:left="330" w:leftChars="157" w:firstLine="105" w:firstLineChars="50"/>
        <w:rPr>
          <w:rFonts w:hint="eastAsia" w:ascii="宋体" w:hAnsi="宋体" w:eastAsia="宋体" w:cs="宋体"/>
          <w:color w:val="auto"/>
        </w:rPr>
      </w:pPr>
      <w:r>
        <w:rPr>
          <w:rFonts w:hint="eastAsia" w:ascii="宋体" w:hAnsi="宋体" w:eastAsia="宋体" w:cs="宋体"/>
          <w:color w:val="auto"/>
        </w:rPr>
        <w:t>（4）因重大变故，采购任务取消的。</w:t>
      </w:r>
    </w:p>
    <w:p>
      <w:pPr>
        <w:spacing w:line="360" w:lineRule="exact"/>
        <w:ind w:firstLine="413" w:firstLineChars="196"/>
        <w:outlineLvl w:val="2"/>
        <w:rPr>
          <w:rFonts w:hint="eastAsia" w:ascii="宋体" w:hAnsi="宋体" w:eastAsia="宋体" w:cs="宋体"/>
          <w:b/>
          <w:color w:val="auto"/>
          <w:szCs w:val="21"/>
        </w:rPr>
      </w:pPr>
      <w:bookmarkStart w:id="124" w:name="_Toc18498"/>
      <w:bookmarkStart w:id="125" w:name="_Toc28686"/>
      <w:r>
        <w:rPr>
          <w:rFonts w:hint="eastAsia" w:ascii="宋体" w:hAnsi="宋体" w:eastAsia="宋体" w:cs="宋体"/>
          <w:b/>
          <w:color w:val="auto"/>
          <w:szCs w:val="21"/>
        </w:rPr>
        <w:t>31. 开标、评标过程的监控</w:t>
      </w:r>
      <w:bookmarkEnd w:id="124"/>
      <w:bookmarkEnd w:id="125"/>
    </w:p>
    <w:p>
      <w:pPr>
        <w:spacing w:line="360" w:lineRule="exact"/>
        <w:ind w:firstLine="411" w:firstLineChars="196"/>
        <w:rPr>
          <w:rFonts w:hint="eastAsia" w:ascii="宋体" w:hAnsi="宋体" w:eastAsia="宋体" w:cs="宋体"/>
          <w:color w:val="auto"/>
        </w:rPr>
      </w:pPr>
      <w:r>
        <w:rPr>
          <w:rFonts w:hint="eastAsia" w:ascii="宋体" w:hAnsi="宋体" w:eastAsia="宋体" w:cs="宋体"/>
          <w:color w:val="auto"/>
        </w:rPr>
        <w:t>本项目开标、评标过程实行全程录音、录像监控，投标人在评标过程中所进行的试图影响评标结果的不公正活动，可能导致其投标被拒绝。</w:t>
      </w:r>
    </w:p>
    <w:p>
      <w:pPr>
        <w:spacing w:line="360" w:lineRule="exact"/>
        <w:ind w:firstLine="413" w:firstLineChars="196"/>
        <w:outlineLvl w:val="2"/>
        <w:rPr>
          <w:rFonts w:hint="eastAsia" w:ascii="宋体" w:hAnsi="宋体" w:eastAsia="宋体" w:cs="宋体"/>
          <w:b/>
          <w:color w:val="auto"/>
          <w:szCs w:val="21"/>
        </w:rPr>
      </w:pPr>
      <w:bookmarkStart w:id="126" w:name="_Toc30245"/>
      <w:bookmarkStart w:id="127" w:name="_Toc1321"/>
      <w:r>
        <w:rPr>
          <w:rFonts w:hint="eastAsia" w:ascii="宋体" w:hAnsi="宋体" w:eastAsia="宋体" w:cs="宋体"/>
          <w:b/>
          <w:color w:val="auto"/>
          <w:szCs w:val="21"/>
        </w:rPr>
        <w:t>32. 信用查询</w:t>
      </w:r>
      <w:bookmarkEnd w:id="126"/>
      <w:bookmarkEnd w:id="127"/>
    </w:p>
    <w:p>
      <w:pPr>
        <w:spacing w:line="360" w:lineRule="exact"/>
        <w:ind w:firstLine="411" w:firstLineChars="196"/>
        <w:rPr>
          <w:rFonts w:hint="eastAsia" w:ascii="宋体" w:hAnsi="宋体" w:eastAsia="宋体" w:cs="宋体"/>
          <w:color w:val="auto"/>
        </w:rPr>
      </w:pPr>
      <w:r>
        <w:rPr>
          <w:rFonts w:hint="eastAsia" w:ascii="宋体" w:hAnsi="宋体" w:eastAsia="宋体" w:cs="宋体"/>
          <w:color w:val="auto"/>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spacing w:line="360" w:lineRule="exact"/>
        <w:ind w:firstLine="411" w:firstLineChars="196"/>
        <w:rPr>
          <w:rFonts w:hint="eastAsia" w:ascii="宋体" w:hAnsi="宋体" w:eastAsia="宋体" w:cs="宋体"/>
          <w:color w:val="auto"/>
        </w:rPr>
      </w:pPr>
      <w:r>
        <w:rPr>
          <w:rFonts w:hint="eastAsia" w:ascii="宋体" w:hAnsi="宋体" w:eastAsia="宋体" w:cs="宋体"/>
          <w:color w:val="auto"/>
        </w:rPr>
        <w:t>⑴查询渠道：“信用中国”网站(www.creditchina.gov.cn)、中国政府采购网(www.ccgp.gov.cn)等；</w:t>
      </w:r>
    </w:p>
    <w:p>
      <w:pPr>
        <w:spacing w:line="360" w:lineRule="exact"/>
        <w:ind w:firstLine="411" w:firstLineChars="196"/>
        <w:rPr>
          <w:rFonts w:hint="eastAsia" w:ascii="宋体" w:hAnsi="宋体" w:eastAsia="宋体" w:cs="宋体"/>
          <w:color w:val="auto"/>
        </w:rPr>
      </w:pPr>
      <w:r>
        <w:rPr>
          <w:rFonts w:hint="eastAsia" w:ascii="宋体" w:hAnsi="宋体" w:eastAsia="宋体" w:cs="宋体"/>
          <w:color w:val="auto"/>
        </w:rPr>
        <w:t>⑵查询截止时间：中标通知书发出前；</w:t>
      </w:r>
    </w:p>
    <w:p>
      <w:pPr>
        <w:spacing w:line="360" w:lineRule="exact"/>
        <w:ind w:firstLine="411" w:firstLineChars="196"/>
        <w:rPr>
          <w:rFonts w:hint="eastAsia" w:ascii="宋体" w:hAnsi="宋体" w:eastAsia="宋体" w:cs="宋体"/>
          <w:color w:val="auto"/>
        </w:rPr>
      </w:pPr>
      <w:r>
        <w:rPr>
          <w:rFonts w:hint="eastAsia" w:ascii="宋体" w:hAnsi="宋体" w:eastAsia="宋体" w:cs="宋体"/>
          <w:color w:val="auto"/>
        </w:rPr>
        <w:t>⑶信用信息查询记录和证据留存方式：在查询网站中直接打印查询记录，打印材料作为采购活动资料保存；</w:t>
      </w:r>
    </w:p>
    <w:p>
      <w:pPr>
        <w:spacing w:line="360" w:lineRule="exact"/>
        <w:ind w:firstLine="411" w:firstLineChars="196"/>
        <w:rPr>
          <w:rFonts w:hint="eastAsia" w:ascii="宋体" w:hAnsi="宋体" w:eastAsia="宋体" w:cs="宋体"/>
          <w:color w:val="auto"/>
        </w:rPr>
      </w:pPr>
      <w:r>
        <w:rPr>
          <w:rFonts w:hint="eastAsia" w:ascii="宋体" w:hAnsi="宋体" w:eastAsia="宋体" w:cs="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60" w:lineRule="exact"/>
        <w:ind w:firstLine="411" w:firstLineChars="196"/>
        <w:rPr>
          <w:rFonts w:hint="eastAsia" w:ascii="宋体" w:hAnsi="宋体" w:eastAsia="宋体" w:cs="宋体"/>
          <w:color w:val="auto"/>
        </w:rPr>
      </w:pPr>
      <w:r>
        <w:rPr>
          <w:rFonts w:hint="eastAsia" w:ascii="宋体" w:hAnsi="宋体" w:eastAsia="宋体" w:cs="宋体"/>
          <w:color w:val="auto"/>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spacing w:line="360" w:lineRule="exact"/>
        <w:ind w:firstLine="413" w:firstLineChars="196"/>
        <w:outlineLvl w:val="2"/>
        <w:rPr>
          <w:rFonts w:hint="eastAsia" w:ascii="宋体" w:hAnsi="宋体" w:eastAsia="宋体" w:cs="宋体"/>
          <w:b/>
          <w:color w:val="auto"/>
          <w:szCs w:val="21"/>
        </w:rPr>
      </w:pPr>
      <w:bookmarkStart w:id="128" w:name="_Toc517"/>
      <w:bookmarkStart w:id="129" w:name="_Toc27712"/>
      <w:r>
        <w:rPr>
          <w:rFonts w:hint="eastAsia" w:ascii="宋体" w:hAnsi="宋体" w:eastAsia="宋体" w:cs="宋体"/>
          <w:b/>
          <w:color w:val="auto"/>
          <w:szCs w:val="21"/>
        </w:rPr>
        <w:t>33. 中标公告及中标通知书</w:t>
      </w:r>
      <w:bookmarkEnd w:id="128"/>
      <w:bookmarkEnd w:id="129"/>
    </w:p>
    <w:p>
      <w:pPr>
        <w:tabs>
          <w:tab w:val="left" w:pos="455"/>
        </w:tabs>
        <w:spacing w:line="360" w:lineRule="exact"/>
        <w:ind w:firstLine="420" w:firstLineChars="200"/>
        <w:rPr>
          <w:rFonts w:hint="eastAsia" w:ascii="宋体" w:hAnsi="宋体" w:eastAsia="宋体" w:cs="宋体"/>
          <w:color w:val="auto"/>
        </w:rPr>
      </w:pPr>
      <w:r>
        <w:rPr>
          <w:rFonts w:hint="eastAsia" w:ascii="宋体" w:hAnsi="宋体" w:eastAsia="宋体" w:cs="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w:t>
      </w:r>
      <w:r>
        <w:rPr>
          <w:rFonts w:hint="eastAsia" w:ascii="宋体" w:hAnsi="宋体" w:eastAsia="宋体" w:cs="宋体"/>
          <w:color w:val="auto"/>
          <w:szCs w:val="21"/>
          <w:lang w:val="en-US" w:eastAsia="zh-CN"/>
        </w:rPr>
        <w:t>一</w:t>
      </w:r>
      <w:r>
        <w:rPr>
          <w:rFonts w:hint="eastAsia" w:ascii="宋体" w:hAnsi="宋体" w:eastAsia="宋体" w:cs="宋体"/>
          <w:color w:val="auto"/>
          <w:szCs w:val="21"/>
        </w:rPr>
        <w:t>个工作日。</w:t>
      </w:r>
    </w:p>
    <w:p>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szCs w:val="21"/>
        </w:rPr>
        <w:t>33.2中标公告</w:t>
      </w:r>
      <w:r>
        <w:rPr>
          <w:rFonts w:hint="eastAsia" w:ascii="宋体" w:hAnsi="宋体" w:eastAsia="宋体" w:cs="宋体"/>
          <w:color w:val="auto"/>
          <w:szCs w:val="21"/>
          <w:lang w:val="en-US" w:eastAsia="zh-CN"/>
        </w:rPr>
        <w:t>发布的</w:t>
      </w:r>
      <w:r>
        <w:rPr>
          <w:rFonts w:hint="eastAsia" w:ascii="宋体" w:hAnsi="宋体" w:eastAsia="宋体" w:cs="宋体"/>
          <w:color w:val="auto"/>
          <w:szCs w:val="21"/>
        </w:rPr>
        <w:t>同时</w:t>
      </w:r>
      <w:r>
        <w:rPr>
          <w:rFonts w:hint="eastAsia" w:ascii="宋体" w:hAnsi="宋体" w:eastAsia="宋体" w:cs="宋体"/>
          <w:color w:val="auto"/>
          <w:szCs w:val="21"/>
          <w:lang w:eastAsia="zh-CN"/>
        </w:rPr>
        <w:t>，</w:t>
      </w:r>
      <w:r>
        <w:rPr>
          <w:rFonts w:hint="eastAsia" w:ascii="宋体" w:hAnsi="宋体" w:eastAsia="宋体" w:cs="宋体"/>
          <w:color w:val="auto"/>
          <w:szCs w:val="21"/>
        </w:rPr>
        <w:t>采购代理机构向中标供应商发出中标通知书，中标供应商应自接到通知之日起七个工作日内，办理中标通知书领取手续。</w:t>
      </w:r>
    </w:p>
    <w:p>
      <w:pPr>
        <w:tabs>
          <w:tab w:val="left" w:pos="1140"/>
        </w:tabs>
        <w:spacing w:line="400" w:lineRule="exact"/>
        <w:ind w:left="420" w:leftChars="200"/>
        <w:rPr>
          <w:rFonts w:hint="eastAsia" w:ascii="宋体" w:hAnsi="宋体" w:eastAsia="宋体" w:cs="宋体"/>
          <w:b/>
          <w:color w:val="auto"/>
          <w:sz w:val="28"/>
          <w:szCs w:val="28"/>
        </w:rPr>
      </w:pPr>
    </w:p>
    <w:p>
      <w:pPr>
        <w:spacing w:line="360" w:lineRule="auto"/>
        <w:jc w:val="center"/>
        <w:outlineLvl w:val="1"/>
        <w:rPr>
          <w:rFonts w:hint="eastAsia" w:ascii="宋体" w:hAnsi="宋体" w:eastAsia="宋体" w:cs="宋体"/>
          <w:b/>
          <w:color w:val="auto"/>
          <w:sz w:val="28"/>
          <w:szCs w:val="28"/>
        </w:rPr>
      </w:pPr>
      <w:bookmarkStart w:id="130" w:name="_Toc32569"/>
      <w:bookmarkStart w:id="131" w:name="_Toc31543"/>
      <w:bookmarkStart w:id="132" w:name="_Toc495841760"/>
    </w:p>
    <w:p>
      <w:pPr>
        <w:spacing w:line="360" w:lineRule="auto"/>
        <w:jc w:val="center"/>
        <w:outlineLvl w:val="1"/>
        <w:rPr>
          <w:rFonts w:hint="eastAsia" w:ascii="宋体" w:hAnsi="宋体" w:eastAsia="宋体" w:cs="宋体"/>
          <w:b/>
          <w:color w:val="auto"/>
          <w:sz w:val="28"/>
          <w:szCs w:val="28"/>
        </w:rPr>
      </w:pPr>
    </w:p>
    <w:p>
      <w:pPr>
        <w:spacing w:line="360" w:lineRule="auto"/>
        <w:jc w:val="center"/>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七、履约保证金及签订合同</w:t>
      </w:r>
      <w:bookmarkEnd w:id="130"/>
      <w:bookmarkEnd w:id="131"/>
      <w:bookmarkEnd w:id="132"/>
    </w:p>
    <w:p>
      <w:pPr>
        <w:spacing w:line="360" w:lineRule="exact"/>
        <w:ind w:firstLine="413" w:firstLineChars="196"/>
        <w:outlineLvl w:val="2"/>
        <w:rPr>
          <w:rFonts w:hint="eastAsia" w:ascii="宋体" w:hAnsi="宋体" w:eastAsia="宋体" w:cs="宋体"/>
          <w:b/>
          <w:color w:val="auto"/>
          <w:szCs w:val="21"/>
        </w:rPr>
      </w:pPr>
      <w:bookmarkStart w:id="133" w:name="_Toc6994"/>
      <w:bookmarkStart w:id="134" w:name="_Toc16597"/>
      <w:r>
        <w:rPr>
          <w:rFonts w:hint="eastAsia" w:ascii="宋体" w:hAnsi="宋体" w:eastAsia="宋体" w:cs="宋体"/>
          <w:b/>
          <w:color w:val="auto"/>
          <w:szCs w:val="21"/>
        </w:rPr>
        <w:t>34. 履约保证金</w:t>
      </w:r>
      <w:bookmarkEnd w:id="133"/>
      <w:bookmarkEnd w:id="134"/>
    </w:p>
    <w:p>
      <w:pPr>
        <w:pStyle w:val="15"/>
        <w:spacing w:line="360" w:lineRule="exact"/>
        <w:ind w:left="2" w:leftChars="1" w:firstLine="420" w:firstLineChars="200"/>
        <w:rPr>
          <w:rFonts w:hint="eastAsia" w:ascii="宋体" w:hAnsi="宋体" w:eastAsia="宋体" w:cs="宋体"/>
          <w:color w:val="auto"/>
          <w:szCs w:val="21"/>
        </w:rPr>
      </w:pPr>
      <w:r>
        <w:rPr>
          <w:rFonts w:hint="eastAsia" w:ascii="宋体" w:hAnsi="宋体" w:eastAsia="宋体" w:cs="宋体"/>
          <w:color w:val="auto"/>
          <w:szCs w:val="21"/>
        </w:rPr>
        <w:t>34.1</w:t>
      </w:r>
      <w:r>
        <w:rPr>
          <w:rFonts w:hint="eastAsia" w:ascii="Times New Roman"/>
          <w:color w:val="auto"/>
          <w:sz w:val="21"/>
          <w:szCs w:val="21"/>
          <w:lang w:val="en-US" w:eastAsia="zh-CN"/>
        </w:rPr>
        <w:t>成交</w:t>
      </w:r>
      <w:r>
        <w:rPr>
          <w:rFonts w:hint="eastAsia" w:ascii="Times New Roman" w:eastAsia="Times New Roman"/>
          <w:color w:val="auto"/>
          <w:sz w:val="21"/>
          <w:szCs w:val="21"/>
        </w:rPr>
        <w:t>供应商在签订合同</w:t>
      </w:r>
      <w:r>
        <w:rPr>
          <w:rFonts w:hint="eastAsia" w:ascii="Times New Roman" w:eastAsia="Times New Roman"/>
          <w:color w:val="auto"/>
          <w:sz w:val="21"/>
          <w:szCs w:val="21"/>
          <w:lang w:val="en-US" w:eastAsia="zh-CN"/>
        </w:rPr>
        <w:t>时</w:t>
      </w:r>
      <w:r>
        <w:rPr>
          <w:rFonts w:hint="eastAsia" w:ascii="Times New Roman" w:eastAsia="Times New Roman"/>
          <w:color w:val="auto"/>
          <w:sz w:val="21"/>
          <w:szCs w:val="21"/>
        </w:rPr>
        <w:t>向</w:t>
      </w:r>
      <w:r>
        <w:rPr>
          <w:rFonts w:hint="eastAsia" w:ascii="Times New Roman" w:eastAsia="Times New Roman"/>
          <w:color w:val="auto"/>
          <w:sz w:val="21"/>
          <w:szCs w:val="21"/>
          <w:lang w:val="en-US" w:eastAsia="zh-CN"/>
        </w:rPr>
        <w:t>桂林电子科技大学</w:t>
      </w:r>
      <w:r>
        <w:rPr>
          <w:rFonts w:hint="eastAsia" w:ascii="Times New Roman" w:eastAsia="Times New Roman"/>
          <w:color w:val="auto"/>
          <w:sz w:val="21"/>
          <w:szCs w:val="21"/>
        </w:rPr>
        <w:t>缴纳履约保证金（具体银行账号</w:t>
      </w:r>
      <w:r>
        <w:rPr>
          <w:rFonts w:hint="eastAsia" w:ascii="Times New Roman" w:eastAsia="Times New Roman"/>
          <w:color w:val="auto"/>
          <w:sz w:val="21"/>
          <w:szCs w:val="21"/>
          <w:lang w:val="en-US" w:eastAsia="zh-CN"/>
        </w:rPr>
        <w:t>由采购人提供</w:t>
      </w:r>
      <w:r>
        <w:rPr>
          <w:rFonts w:hint="eastAsia" w:ascii="Times New Roman" w:eastAsia="Times New Roman"/>
          <w:color w:val="auto"/>
          <w:sz w:val="21"/>
          <w:szCs w:val="21"/>
        </w:rPr>
        <w:t>），履约保证金金额按中标价的5%（人民币，四舍五入到元）缴纳（不计息），</w:t>
      </w:r>
      <w:r>
        <w:rPr>
          <w:rFonts w:hint="eastAsia" w:ascii="Times New Roman"/>
          <w:color w:val="auto"/>
          <w:sz w:val="21"/>
          <w:szCs w:val="21"/>
          <w:lang w:val="en-US" w:eastAsia="zh-CN"/>
        </w:rPr>
        <w:t>成交</w:t>
      </w:r>
      <w:r>
        <w:rPr>
          <w:rFonts w:hint="eastAsia" w:ascii="Times New Roman" w:eastAsia="Times New Roman"/>
          <w:color w:val="auto"/>
          <w:sz w:val="21"/>
          <w:szCs w:val="21"/>
        </w:rPr>
        <w:t>供应商提交履约保证金应当以转账、电汇等</w:t>
      </w:r>
      <w:r>
        <w:rPr>
          <w:rFonts w:hint="eastAsia" w:ascii="Times New Roman" w:eastAsia="Times New Roman"/>
          <w:color w:val="auto"/>
          <w:sz w:val="21"/>
          <w:szCs w:val="21"/>
          <w:lang w:val="en-US" w:eastAsia="zh-CN"/>
        </w:rPr>
        <w:t>非现金</w:t>
      </w:r>
      <w:r>
        <w:rPr>
          <w:rFonts w:hint="eastAsia" w:ascii="Times New Roman" w:eastAsia="Times New Roman"/>
          <w:color w:val="auto"/>
          <w:sz w:val="21"/>
          <w:szCs w:val="21"/>
        </w:rPr>
        <w:t>形式缴入采购人指定账户。</w:t>
      </w:r>
      <w:r>
        <w:rPr>
          <w:rFonts w:hint="eastAsia" w:ascii="Times New Roman"/>
          <w:color w:val="auto"/>
          <w:sz w:val="21"/>
          <w:szCs w:val="21"/>
          <w:lang w:val="en-US" w:eastAsia="zh-CN"/>
        </w:rPr>
        <w:t>成交</w:t>
      </w:r>
      <w:r>
        <w:rPr>
          <w:rFonts w:hint="eastAsia" w:ascii="Times New Roman" w:eastAsia="Times New Roman"/>
          <w:color w:val="auto"/>
          <w:sz w:val="21"/>
          <w:szCs w:val="21"/>
        </w:rPr>
        <w:t>供应商履行完合同约定权利义务事项且货物免费保修期满后，若货物无质量问题，</w:t>
      </w:r>
      <w:r>
        <w:rPr>
          <w:rFonts w:hint="eastAsia" w:ascii="Times New Roman"/>
          <w:color w:val="auto"/>
          <w:sz w:val="21"/>
          <w:szCs w:val="21"/>
          <w:lang w:val="en-US" w:eastAsia="zh-CN"/>
        </w:rPr>
        <w:t>成交</w:t>
      </w:r>
      <w:r>
        <w:rPr>
          <w:rFonts w:hint="eastAsia" w:ascii="Times New Roman" w:eastAsia="Times New Roman"/>
          <w:color w:val="auto"/>
          <w:sz w:val="21"/>
          <w:szCs w:val="21"/>
        </w:rPr>
        <w:t>供应商凭《政府采购项目验收单》和履约保证金缴纳凭证</w:t>
      </w:r>
      <w:r>
        <w:rPr>
          <w:rFonts w:hint="eastAsia" w:ascii="Times New Roman" w:eastAsia="Times New Roman"/>
          <w:color w:val="auto"/>
          <w:sz w:val="21"/>
          <w:szCs w:val="21"/>
          <w:lang w:val="en-US" w:eastAsia="zh-CN"/>
        </w:rPr>
        <w:t>原件</w:t>
      </w:r>
      <w:r>
        <w:rPr>
          <w:rFonts w:hint="eastAsia" w:ascii="Times New Roman" w:eastAsia="Times New Roman"/>
          <w:color w:val="auto"/>
          <w:sz w:val="21"/>
          <w:szCs w:val="21"/>
        </w:rPr>
        <w:t>向</w:t>
      </w:r>
      <w:r>
        <w:rPr>
          <w:rFonts w:hint="eastAsia" w:ascii="Times New Roman" w:eastAsia="Times New Roman"/>
          <w:color w:val="auto"/>
          <w:sz w:val="21"/>
          <w:szCs w:val="21"/>
          <w:lang w:val="en-US" w:eastAsia="zh-CN"/>
        </w:rPr>
        <w:t>桂林电子科技大学</w:t>
      </w:r>
      <w:r>
        <w:rPr>
          <w:rFonts w:hint="eastAsia" w:ascii="Times New Roman" w:eastAsia="Times New Roman"/>
          <w:color w:val="auto"/>
          <w:sz w:val="21"/>
          <w:szCs w:val="21"/>
        </w:rPr>
        <w:t>申请办理退还手续</w:t>
      </w:r>
      <w:r>
        <w:rPr>
          <w:rFonts w:hint="eastAsia" w:ascii="Times New Roman" w:eastAsia="Times New Roman"/>
          <w:color w:val="auto"/>
          <w:sz w:val="21"/>
          <w:szCs w:val="21"/>
          <w:lang w:eastAsia="zh-CN"/>
        </w:rPr>
        <w:t>，</w:t>
      </w:r>
      <w:r>
        <w:rPr>
          <w:rFonts w:hint="eastAsia" w:ascii="Times New Roman" w:eastAsia="Times New Roman"/>
          <w:color w:val="auto"/>
          <w:sz w:val="21"/>
          <w:szCs w:val="21"/>
          <w:lang w:val="en-US" w:eastAsia="zh-CN"/>
        </w:rPr>
        <w:t>桂林电子科技大学</w:t>
      </w:r>
      <w:r>
        <w:rPr>
          <w:rFonts w:hint="eastAsia" w:ascii="Times New Roman" w:eastAsia="Times New Roman"/>
          <w:color w:val="auto"/>
          <w:sz w:val="21"/>
          <w:szCs w:val="21"/>
          <w:lang w:eastAsia="zh-CN"/>
        </w:rPr>
        <w:t>在</w:t>
      </w:r>
      <w:r>
        <w:rPr>
          <w:rFonts w:hint="eastAsia" w:ascii="Times New Roman" w:eastAsia="Times New Roman"/>
          <w:color w:val="auto"/>
          <w:sz w:val="21"/>
          <w:szCs w:val="21"/>
        </w:rPr>
        <w:t>5个工作日内无息退还。</w:t>
      </w:r>
    </w:p>
    <w:p>
      <w:pPr>
        <w:spacing w:line="460" w:lineRule="exact"/>
        <w:ind w:firstLine="422" w:firstLineChars="200"/>
        <w:rPr>
          <w:rFonts w:hint="eastAsia" w:ascii="宋体" w:hAnsi="宋体" w:eastAsia="宋体" w:cs="宋体"/>
          <w:b/>
          <w:bCs/>
          <w:color w:val="auto"/>
        </w:rPr>
      </w:pPr>
      <w:r>
        <w:rPr>
          <w:rFonts w:hint="eastAsia" w:ascii="宋体" w:hAnsi="宋体" w:eastAsia="宋体" w:cs="宋体"/>
          <w:b/>
          <w:bCs/>
          <w:color w:val="auto"/>
        </w:rPr>
        <w:t xml:space="preserve">账户名称： 桂林电子科技大学 </w:t>
      </w:r>
    </w:p>
    <w:p>
      <w:pPr>
        <w:spacing w:line="460" w:lineRule="exact"/>
        <w:ind w:firstLine="422" w:firstLineChars="200"/>
        <w:rPr>
          <w:rFonts w:hint="eastAsia" w:ascii="宋体" w:hAnsi="宋体" w:eastAsia="宋体" w:cs="宋体"/>
          <w:b/>
          <w:bCs/>
          <w:color w:val="auto"/>
        </w:rPr>
      </w:pPr>
      <w:r>
        <w:rPr>
          <w:rFonts w:hint="eastAsia" w:ascii="宋体" w:hAnsi="宋体" w:eastAsia="宋体" w:cs="宋体"/>
          <w:b/>
          <w:bCs/>
          <w:color w:val="auto"/>
        </w:rPr>
        <w:t xml:space="preserve">开户银行：桂林市工行屏风支行  </w:t>
      </w:r>
    </w:p>
    <w:p>
      <w:pPr>
        <w:spacing w:line="460" w:lineRule="exact"/>
        <w:ind w:firstLine="422" w:firstLineChars="200"/>
        <w:rPr>
          <w:rFonts w:hint="default" w:ascii="宋体" w:hAnsi="宋体" w:eastAsia="宋体" w:cs="宋体"/>
          <w:b/>
          <w:bCs/>
          <w:color w:val="auto"/>
          <w:lang w:val="en-US" w:eastAsia="zh-CN"/>
        </w:rPr>
      </w:pPr>
      <w:r>
        <w:rPr>
          <w:rFonts w:hint="eastAsia" w:ascii="宋体" w:hAnsi="宋体" w:eastAsia="宋体" w:cs="宋体"/>
          <w:b/>
          <w:bCs/>
          <w:color w:val="auto"/>
        </w:rPr>
        <w:t>银行账号： 2103 2152 0924 9017 694</w:t>
      </w:r>
    </w:p>
    <w:p>
      <w:pPr>
        <w:spacing w:line="360" w:lineRule="exact"/>
        <w:ind w:left="2" w:leftChars="1" w:firstLine="420" w:firstLineChars="200"/>
        <w:rPr>
          <w:rFonts w:hint="eastAsia" w:ascii="宋体" w:hAnsi="宋体" w:eastAsia="宋体" w:cs="宋体"/>
          <w:color w:val="auto"/>
        </w:rPr>
      </w:pPr>
      <w:r>
        <w:rPr>
          <w:rFonts w:hint="eastAsia" w:ascii="宋体" w:hAnsi="宋体" w:eastAsia="宋体" w:cs="宋体"/>
          <w:color w:val="auto"/>
          <w:szCs w:val="21"/>
        </w:rPr>
        <w:t>34.2如果中标供应商没能按上述第34.1款规定执行，采购人将上报</w:t>
      </w:r>
      <w:r>
        <w:rPr>
          <w:color w:val="auto"/>
          <w:sz w:val="21"/>
        </w:rPr>
        <w:t>广西壮族自治区财政厅政府采购监督管理处</w:t>
      </w:r>
      <w:r>
        <w:rPr>
          <w:rFonts w:hint="eastAsia" w:ascii="宋体" w:hAnsi="宋体" w:eastAsia="宋体" w:cs="宋体"/>
          <w:color w:val="auto"/>
          <w:szCs w:val="21"/>
        </w:rPr>
        <w:t>，取消中标资格</w:t>
      </w:r>
      <w:r>
        <w:rPr>
          <w:rFonts w:hint="eastAsia" w:ascii="宋体" w:hAnsi="宋体" w:eastAsia="宋体" w:cs="宋体"/>
          <w:color w:val="auto"/>
        </w:rPr>
        <w:t>，</w:t>
      </w:r>
      <w:r>
        <w:rPr>
          <w:rFonts w:hint="eastAsia" w:ascii="宋体" w:hAnsi="宋体" w:eastAsia="宋体" w:cs="宋体"/>
          <w:color w:val="auto"/>
          <w:szCs w:val="21"/>
        </w:rPr>
        <w:t>并有权授予第二中标候选供应商为中标供应商资格或重新组织招标。</w:t>
      </w:r>
    </w:p>
    <w:p>
      <w:pPr>
        <w:spacing w:line="360" w:lineRule="exact"/>
        <w:ind w:left="2" w:leftChars="1" w:firstLine="420" w:firstLineChars="200"/>
        <w:rPr>
          <w:rFonts w:hint="eastAsia" w:ascii="宋体" w:hAnsi="宋体" w:eastAsia="宋体" w:cs="宋体"/>
          <w:color w:val="auto"/>
          <w:szCs w:val="21"/>
        </w:rPr>
      </w:pPr>
      <w:r>
        <w:rPr>
          <w:rFonts w:hint="eastAsia" w:ascii="宋体" w:hAnsi="宋体" w:eastAsia="宋体" w:cs="宋体"/>
          <w:color w:val="auto"/>
          <w:szCs w:val="21"/>
        </w:rPr>
        <w:t>34.3如中标供应商不按双方签订的合同规定履约，则没收其全部履约保证金，履约保证金不足以赔偿损失的，按实际损失赔偿。</w:t>
      </w:r>
    </w:p>
    <w:p>
      <w:pPr>
        <w:spacing w:line="360" w:lineRule="exact"/>
        <w:ind w:left="2" w:leftChars="1" w:firstLine="420" w:firstLineChars="200"/>
        <w:rPr>
          <w:rFonts w:hint="eastAsia" w:ascii="宋体" w:hAnsi="宋体" w:eastAsia="宋体" w:cs="宋体"/>
          <w:color w:val="auto"/>
          <w:szCs w:val="21"/>
        </w:rPr>
      </w:pPr>
      <w:r>
        <w:rPr>
          <w:rFonts w:hint="eastAsia" w:ascii="宋体" w:hAnsi="宋体" w:eastAsia="宋体" w:cs="宋体"/>
          <w:color w:val="auto"/>
          <w:szCs w:val="21"/>
        </w:rPr>
        <w:t>34.4在履约保证金到期退还前，若中标供应商的开户名称、开户银行、账号有变动的，以书面形式通知采购人，否则由此产生的后果由中标供应商自负。</w:t>
      </w:r>
    </w:p>
    <w:p>
      <w:pPr>
        <w:spacing w:line="360" w:lineRule="exact"/>
        <w:ind w:firstLine="413" w:firstLineChars="196"/>
        <w:outlineLvl w:val="2"/>
        <w:rPr>
          <w:rFonts w:hint="eastAsia" w:ascii="宋体" w:hAnsi="宋体" w:eastAsia="宋体" w:cs="宋体"/>
          <w:b/>
          <w:color w:val="auto"/>
          <w:szCs w:val="21"/>
        </w:rPr>
      </w:pPr>
      <w:bookmarkStart w:id="135" w:name="_Toc18160"/>
      <w:bookmarkStart w:id="136" w:name="_Toc15693"/>
      <w:r>
        <w:rPr>
          <w:rFonts w:hint="eastAsia" w:ascii="宋体" w:hAnsi="宋体" w:eastAsia="宋体" w:cs="宋体"/>
          <w:b/>
          <w:color w:val="auto"/>
          <w:szCs w:val="21"/>
        </w:rPr>
        <w:t>35. 签订合同</w:t>
      </w:r>
      <w:bookmarkEnd w:id="135"/>
      <w:bookmarkEnd w:id="136"/>
    </w:p>
    <w:p>
      <w:pPr>
        <w:spacing w:line="360" w:lineRule="exact"/>
        <w:ind w:left="2" w:leftChars="1" w:firstLine="420" w:firstLineChars="200"/>
        <w:rPr>
          <w:rFonts w:hint="eastAsia" w:ascii="宋体" w:hAnsi="宋体" w:eastAsia="宋体" w:cs="宋体"/>
          <w:color w:val="auto"/>
          <w:szCs w:val="21"/>
        </w:rPr>
      </w:pPr>
      <w:r>
        <w:rPr>
          <w:rFonts w:hint="eastAsia" w:ascii="宋体" w:hAnsi="宋体" w:eastAsia="宋体" w:cs="宋体"/>
          <w:color w:val="auto"/>
          <w:szCs w:val="21"/>
        </w:rPr>
        <w:t>35.1签订合同时间：</w:t>
      </w:r>
      <w:r>
        <w:rPr>
          <w:rFonts w:hint="eastAsia" w:ascii="宋体" w:hAnsi="宋体" w:eastAsia="宋体" w:cs="宋体"/>
          <w:b/>
          <w:bCs/>
          <w:color w:val="auto"/>
          <w:szCs w:val="21"/>
          <w:u w:val="none"/>
        </w:rPr>
        <w:t>中标通知书发出之日起</w:t>
      </w:r>
      <w:r>
        <w:rPr>
          <w:rFonts w:hint="eastAsia" w:ascii="宋体" w:hAnsi="宋体" w:cs="宋体"/>
          <w:b/>
          <w:bCs/>
          <w:color w:val="auto"/>
          <w:szCs w:val="21"/>
          <w:u w:val="none"/>
          <w:lang w:val="en-US" w:eastAsia="zh-CN"/>
        </w:rPr>
        <w:t>三个工作</w:t>
      </w:r>
      <w:r>
        <w:rPr>
          <w:rFonts w:hint="eastAsia" w:ascii="宋体" w:hAnsi="宋体" w:eastAsia="宋体" w:cs="宋体"/>
          <w:b/>
          <w:bCs/>
          <w:color w:val="auto"/>
          <w:szCs w:val="21"/>
          <w:u w:val="none"/>
        </w:rPr>
        <w:t>日内</w:t>
      </w:r>
      <w:r>
        <w:rPr>
          <w:rFonts w:hint="eastAsia" w:ascii="宋体" w:hAnsi="宋体" w:eastAsia="宋体" w:cs="宋体"/>
          <w:color w:val="auto"/>
          <w:szCs w:val="21"/>
        </w:rPr>
        <w:t>。中标供应商领取中标通知书后，应按规定与采购人签订合同。</w:t>
      </w:r>
    </w:p>
    <w:p>
      <w:pPr>
        <w:spacing w:line="360" w:lineRule="exact"/>
        <w:ind w:left="2" w:leftChars="1" w:firstLine="420" w:firstLineChars="200"/>
        <w:rPr>
          <w:rFonts w:hint="eastAsia" w:ascii="宋体" w:hAnsi="宋体" w:eastAsia="宋体" w:cs="宋体"/>
          <w:color w:val="auto"/>
          <w:szCs w:val="21"/>
          <w:lang w:eastAsia="zh-CN"/>
        </w:rPr>
      </w:pPr>
      <w:r>
        <w:rPr>
          <w:rFonts w:hint="eastAsia" w:ascii="宋体" w:hAnsi="宋体" w:eastAsia="宋体" w:cs="宋体"/>
          <w:color w:val="auto"/>
        </w:rPr>
        <w:t>35.2中标供应商为联合体的，联合体各方均应与采购人签订合同，并承担连带责任。</w:t>
      </w:r>
      <w:r>
        <w:rPr>
          <w:rFonts w:hint="eastAsia" w:ascii="宋体" w:hAnsi="宋体" w:eastAsia="宋体" w:cs="宋体"/>
          <w:color w:val="auto"/>
          <w:lang w:eastAsia="zh-CN"/>
        </w:rPr>
        <w:t>（</w:t>
      </w:r>
      <w:r>
        <w:rPr>
          <w:rFonts w:hint="eastAsia" w:ascii="宋体" w:hAnsi="宋体" w:eastAsia="宋体" w:cs="宋体"/>
          <w:color w:val="auto"/>
        </w:rPr>
        <w:t>本项目不接受联合体投标</w:t>
      </w:r>
      <w:r>
        <w:rPr>
          <w:rFonts w:hint="eastAsia" w:ascii="宋体" w:hAnsi="宋体" w:eastAsia="宋体" w:cs="宋体"/>
          <w:color w:val="auto"/>
          <w:lang w:eastAsia="zh-CN"/>
        </w:rPr>
        <w:t>）</w:t>
      </w:r>
    </w:p>
    <w:p>
      <w:pPr>
        <w:spacing w:line="360" w:lineRule="exact"/>
        <w:ind w:left="2" w:leftChars="1" w:firstLine="420" w:firstLineChars="200"/>
        <w:rPr>
          <w:rFonts w:hint="eastAsia" w:ascii="宋体" w:hAnsi="宋体" w:eastAsia="宋体" w:cs="宋体"/>
          <w:color w:val="auto"/>
          <w:szCs w:val="21"/>
        </w:rPr>
      </w:pPr>
      <w:r>
        <w:rPr>
          <w:rFonts w:hint="eastAsia" w:ascii="宋体" w:hAnsi="宋体" w:eastAsia="宋体" w:cs="宋体"/>
          <w:color w:val="auto"/>
          <w:szCs w:val="21"/>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spacing w:line="360" w:lineRule="exact"/>
        <w:ind w:firstLine="315" w:firstLineChars="150"/>
        <w:rPr>
          <w:rFonts w:hint="eastAsia" w:ascii="宋体" w:hAnsi="宋体" w:eastAsia="宋体" w:cs="宋体"/>
          <w:color w:val="auto"/>
          <w:szCs w:val="21"/>
        </w:rPr>
      </w:pPr>
      <w:r>
        <w:rPr>
          <w:rFonts w:hint="eastAsia" w:ascii="宋体" w:hAnsi="宋体" w:eastAsia="宋体" w:cs="宋体"/>
          <w:color w:val="auto"/>
          <w:szCs w:val="21"/>
        </w:rPr>
        <w:t>（1）中标后不与采购人签订合同的（不可抗力除外）；</w:t>
      </w:r>
    </w:p>
    <w:p>
      <w:pPr>
        <w:spacing w:line="360" w:lineRule="exact"/>
        <w:ind w:left="2" w:leftChars="1" w:firstLine="315" w:firstLineChars="150"/>
        <w:rPr>
          <w:rFonts w:hint="eastAsia" w:ascii="宋体" w:hAnsi="宋体" w:eastAsia="宋体" w:cs="宋体"/>
          <w:color w:val="auto"/>
          <w:szCs w:val="21"/>
        </w:rPr>
      </w:pPr>
      <w:r>
        <w:rPr>
          <w:rFonts w:hint="eastAsia" w:ascii="宋体" w:hAnsi="宋体" w:eastAsia="宋体" w:cs="宋体"/>
          <w:color w:val="auto"/>
          <w:szCs w:val="21"/>
        </w:rPr>
        <w:t>（2）将中标项目转让给他人，或者在投标文件中未说明，且未经采购人同意，将中标项目分包给他人的；</w:t>
      </w:r>
    </w:p>
    <w:p>
      <w:pPr>
        <w:spacing w:line="360" w:lineRule="exact"/>
        <w:ind w:firstLine="315" w:firstLineChars="150"/>
        <w:rPr>
          <w:rFonts w:hint="eastAsia" w:ascii="宋体" w:hAnsi="宋体" w:eastAsia="宋体" w:cs="宋体"/>
          <w:color w:val="auto"/>
          <w:szCs w:val="21"/>
        </w:rPr>
      </w:pPr>
      <w:r>
        <w:rPr>
          <w:rFonts w:hint="eastAsia" w:ascii="宋体" w:hAnsi="宋体" w:eastAsia="宋体" w:cs="宋体"/>
          <w:color w:val="auto"/>
          <w:szCs w:val="21"/>
        </w:rPr>
        <w:t>（3）拒绝履行合同义务的。</w:t>
      </w:r>
    </w:p>
    <w:p>
      <w:pPr>
        <w:spacing w:line="360" w:lineRule="exact"/>
        <w:ind w:left="2" w:leftChars="1" w:firstLine="420" w:firstLineChars="200"/>
        <w:rPr>
          <w:rFonts w:hint="eastAsia" w:ascii="宋体" w:hAnsi="宋体" w:eastAsia="宋体" w:cs="宋体"/>
          <w:color w:val="auto"/>
          <w:szCs w:val="21"/>
        </w:rPr>
      </w:pPr>
      <w:r>
        <w:rPr>
          <w:rFonts w:hint="eastAsia" w:ascii="宋体" w:hAnsi="宋体" w:eastAsia="宋体" w:cs="宋体"/>
          <w:color w:val="auto"/>
          <w:szCs w:val="21"/>
        </w:rPr>
        <w:t>35.4合同备案存档：政府采购合同双方自签订之日起</w:t>
      </w:r>
      <w:r>
        <w:rPr>
          <w:rFonts w:hint="eastAsia" w:ascii="宋体" w:hAnsi="宋体" w:eastAsia="宋体" w:cs="宋体"/>
          <w:color w:val="auto"/>
          <w:szCs w:val="21"/>
          <w:lang w:val="en-US" w:eastAsia="zh-CN"/>
        </w:rPr>
        <w:t>一</w:t>
      </w:r>
      <w:r>
        <w:rPr>
          <w:rFonts w:hint="eastAsia" w:ascii="宋体" w:hAnsi="宋体" w:eastAsia="宋体" w:cs="宋体"/>
          <w:color w:val="auto"/>
          <w:szCs w:val="21"/>
        </w:rPr>
        <w:t>个工作日内将合同原件</w:t>
      </w:r>
      <w:r>
        <w:rPr>
          <w:rFonts w:hint="eastAsia" w:ascii="宋体" w:hAnsi="宋体" w:eastAsia="宋体" w:cs="宋体"/>
          <w:color w:val="auto"/>
          <w:szCs w:val="21"/>
          <w:lang w:val="en-US" w:eastAsia="zh-CN"/>
        </w:rPr>
        <w:t>一</w:t>
      </w:r>
      <w:r>
        <w:rPr>
          <w:rFonts w:hint="eastAsia" w:ascii="宋体" w:hAnsi="宋体" w:eastAsia="宋体" w:cs="宋体"/>
          <w:color w:val="auto"/>
          <w:szCs w:val="21"/>
        </w:rPr>
        <w:t>份交采购代理机构</w:t>
      </w:r>
      <w:r>
        <w:rPr>
          <w:rFonts w:hint="eastAsia" w:ascii="宋体" w:hAnsi="宋体" w:eastAsia="宋体" w:cs="宋体"/>
          <w:color w:val="auto"/>
          <w:szCs w:val="21"/>
          <w:lang w:eastAsia="zh-CN"/>
        </w:rPr>
        <w:t>，</w:t>
      </w:r>
      <w:r>
        <w:rPr>
          <w:rFonts w:hint="eastAsia" w:ascii="宋体" w:hAnsi="宋体" w:eastAsia="宋体" w:cs="宋体"/>
          <w:color w:val="auto"/>
          <w:szCs w:val="21"/>
        </w:rPr>
        <w:t>并于合同签订之日起</w:t>
      </w:r>
      <w:r>
        <w:rPr>
          <w:rFonts w:hint="eastAsia" w:ascii="宋体" w:hAnsi="宋体" w:eastAsia="宋体" w:cs="宋体"/>
          <w:color w:val="auto"/>
          <w:szCs w:val="21"/>
          <w:lang w:val="en-US" w:eastAsia="zh-CN"/>
        </w:rPr>
        <w:t>七</w:t>
      </w:r>
      <w:r>
        <w:rPr>
          <w:rFonts w:hint="eastAsia" w:ascii="宋体" w:hAnsi="宋体" w:eastAsia="宋体" w:cs="宋体"/>
          <w:color w:val="auto"/>
          <w:szCs w:val="21"/>
        </w:rPr>
        <w:t>个工作日内将一份合同原件送广西壮族自治区财政厅政府采购监督管理处备案。</w:t>
      </w:r>
    </w:p>
    <w:p>
      <w:pPr>
        <w:spacing w:line="400" w:lineRule="exact"/>
        <w:ind w:left="2" w:leftChars="1" w:firstLine="420" w:firstLineChars="200"/>
        <w:rPr>
          <w:rFonts w:hint="eastAsia" w:ascii="宋体" w:hAnsi="宋体" w:eastAsia="宋体" w:cs="宋体"/>
          <w:color w:val="auto"/>
          <w:szCs w:val="21"/>
        </w:rPr>
      </w:pPr>
    </w:p>
    <w:p>
      <w:pPr>
        <w:spacing w:line="360" w:lineRule="auto"/>
        <w:jc w:val="center"/>
        <w:outlineLvl w:val="1"/>
        <w:rPr>
          <w:rFonts w:hint="eastAsia" w:ascii="宋体" w:hAnsi="宋体" w:eastAsia="宋体" w:cs="宋体"/>
          <w:b/>
          <w:color w:val="auto"/>
          <w:sz w:val="28"/>
          <w:szCs w:val="28"/>
        </w:rPr>
      </w:pPr>
      <w:bookmarkStart w:id="137" w:name="_Toc32046"/>
      <w:bookmarkStart w:id="138" w:name="_Toc495841761"/>
      <w:bookmarkStart w:id="139" w:name="_Toc1909"/>
    </w:p>
    <w:p>
      <w:pPr>
        <w:spacing w:line="360" w:lineRule="auto"/>
        <w:jc w:val="center"/>
        <w:outlineLvl w:val="1"/>
        <w:rPr>
          <w:rFonts w:hint="eastAsia" w:ascii="宋体" w:hAnsi="宋体" w:eastAsia="宋体" w:cs="宋体"/>
          <w:b/>
          <w:color w:val="auto"/>
          <w:sz w:val="28"/>
          <w:szCs w:val="28"/>
        </w:rPr>
      </w:pPr>
    </w:p>
    <w:p>
      <w:pPr>
        <w:spacing w:line="360" w:lineRule="auto"/>
        <w:jc w:val="center"/>
        <w:outlineLvl w:val="1"/>
        <w:rPr>
          <w:rFonts w:hint="eastAsia" w:ascii="宋体" w:hAnsi="宋体" w:eastAsia="宋体" w:cs="宋体"/>
          <w:b/>
          <w:color w:val="auto"/>
          <w:sz w:val="28"/>
          <w:szCs w:val="28"/>
        </w:rPr>
      </w:pPr>
    </w:p>
    <w:p>
      <w:pPr>
        <w:spacing w:line="360" w:lineRule="auto"/>
        <w:jc w:val="center"/>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八、其他事项</w:t>
      </w:r>
      <w:bookmarkEnd w:id="137"/>
      <w:bookmarkEnd w:id="138"/>
      <w:bookmarkEnd w:id="139"/>
    </w:p>
    <w:p>
      <w:pPr>
        <w:spacing w:line="380" w:lineRule="exact"/>
        <w:ind w:firstLine="413" w:firstLineChars="196"/>
        <w:outlineLvl w:val="2"/>
        <w:rPr>
          <w:rFonts w:hint="eastAsia" w:ascii="宋体" w:hAnsi="宋体" w:eastAsia="宋体" w:cs="宋体"/>
          <w:b/>
          <w:color w:val="auto"/>
          <w:szCs w:val="21"/>
        </w:rPr>
      </w:pPr>
      <w:bookmarkStart w:id="140" w:name="_Toc5655"/>
      <w:bookmarkStart w:id="141" w:name="_Toc19503"/>
      <w:bookmarkStart w:id="142" w:name="_Toc4309"/>
      <w:bookmarkStart w:id="143" w:name="_Toc2437"/>
      <w:bookmarkStart w:id="144" w:name="_Toc29214"/>
      <w:bookmarkStart w:id="145" w:name="_Toc32243"/>
      <w:r>
        <w:rPr>
          <w:rFonts w:hint="eastAsia" w:ascii="宋体" w:hAnsi="宋体" w:eastAsia="宋体" w:cs="宋体"/>
          <w:b/>
          <w:color w:val="auto"/>
          <w:szCs w:val="21"/>
        </w:rPr>
        <w:t>36. 招标代理服务费</w:t>
      </w:r>
      <w:bookmarkEnd w:id="140"/>
      <w:bookmarkEnd w:id="141"/>
      <w:bookmarkEnd w:id="142"/>
      <w:bookmarkEnd w:id="143"/>
      <w:bookmarkEnd w:id="144"/>
    </w:p>
    <w:p>
      <w:pPr>
        <w:spacing w:line="38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本</w:t>
      </w:r>
      <w:r>
        <w:rPr>
          <w:rFonts w:hint="eastAsia" w:ascii="宋体" w:hAnsi="宋体" w:eastAsia="宋体" w:cs="宋体"/>
          <w:color w:val="auto"/>
          <w:szCs w:val="21"/>
          <w:lang w:eastAsia="zh-CN"/>
        </w:rPr>
        <w:t>项目</w:t>
      </w:r>
      <w:r>
        <w:rPr>
          <w:rFonts w:hint="eastAsia" w:ascii="宋体" w:hAnsi="宋体" w:eastAsia="宋体" w:cs="宋体"/>
          <w:color w:val="auto"/>
          <w:szCs w:val="21"/>
        </w:rPr>
        <w:t>免收代理服务费。</w:t>
      </w:r>
    </w:p>
    <w:p>
      <w:pPr>
        <w:spacing w:line="400" w:lineRule="exact"/>
        <w:ind w:firstLine="413" w:firstLineChars="196"/>
        <w:outlineLvl w:val="2"/>
        <w:rPr>
          <w:rFonts w:hint="eastAsia" w:ascii="宋体" w:hAnsi="宋体" w:eastAsia="宋体" w:cs="宋体"/>
          <w:b/>
          <w:color w:val="auto"/>
          <w:szCs w:val="21"/>
        </w:rPr>
      </w:pPr>
      <w:bookmarkStart w:id="146" w:name="_Toc14410"/>
      <w:r>
        <w:rPr>
          <w:rFonts w:hint="eastAsia" w:ascii="宋体" w:hAnsi="宋体" w:eastAsia="宋体" w:cs="宋体"/>
          <w:b/>
          <w:color w:val="auto"/>
          <w:szCs w:val="21"/>
        </w:rPr>
        <w:t>3</w:t>
      </w:r>
      <w:r>
        <w:rPr>
          <w:rFonts w:hint="eastAsia" w:ascii="宋体" w:hAnsi="宋体" w:eastAsia="宋体" w:cs="宋体"/>
          <w:b/>
          <w:color w:val="auto"/>
          <w:szCs w:val="21"/>
          <w:lang w:val="en-US" w:eastAsia="zh-CN"/>
        </w:rPr>
        <w:t>7</w:t>
      </w:r>
      <w:r>
        <w:rPr>
          <w:rFonts w:hint="eastAsia" w:ascii="宋体" w:hAnsi="宋体" w:eastAsia="宋体" w:cs="宋体"/>
          <w:b/>
          <w:color w:val="auto"/>
          <w:szCs w:val="21"/>
        </w:rPr>
        <w:t>. 解释权</w:t>
      </w:r>
      <w:bookmarkEnd w:id="146"/>
    </w:p>
    <w:p>
      <w:pPr>
        <w:snapToGrid w:val="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本招标文件是根据《中华人民共和国政府采购法》、《中华人民共和国政府采购法实施条例》及财政部令第87号《政府采购货物和服务招标投标管理办法》和政府采购管理有关规定编制，本招标文件的解释权属于桂林市政府集中采购中心。</w:t>
      </w:r>
      <w:bookmarkEnd w:id="145"/>
    </w:p>
    <w:p>
      <w:pPr>
        <w:spacing w:line="400" w:lineRule="exact"/>
        <w:ind w:firstLine="413" w:firstLineChars="196"/>
        <w:outlineLvl w:val="2"/>
        <w:rPr>
          <w:rFonts w:hint="eastAsia" w:ascii="宋体" w:hAnsi="宋体" w:eastAsia="宋体" w:cs="宋体"/>
          <w:b/>
          <w:color w:val="auto"/>
          <w:szCs w:val="21"/>
        </w:rPr>
      </w:pPr>
      <w:bookmarkStart w:id="147" w:name="_Toc28349"/>
      <w:bookmarkStart w:id="148" w:name="_Toc11077"/>
      <w:r>
        <w:rPr>
          <w:rFonts w:hint="eastAsia" w:ascii="宋体" w:hAnsi="宋体" w:eastAsia="宋体" w:cs="宋体"/>
          <w:b/>
          <w:color w:val="auto"/>
          <w:szCs w:val="21"/>
        </w:rPr>
        <w:t>3</w:t>
      </w:r>
      <w:r>
        <w:rPr>
          <w:rFonts w:hint="eastAsia" w:ascii="宋体" w:hAnsi="宋体" w:eastAsia="宋体" w:cs="宋体"/>
          <w:b/>
          <w:color w:val="auto"/>
          <w:szCs w:val="21"/>
          <w:lang w:val="en-US" w:eastAsia="zh-CN"/>
        </w:rPr>
        <w:t>8</w:t>
      </w:r>
      <w:r>
        <w:rPr>
          <w:rFonts w:hint="eastAsia" w:ascii="宋体" w:hAnsi="宋体" w:eastAsia="宋体" w:cs="宋体"/>
          <w:b/>
          <w:color w:val="auto"/>
          <w:szCs w:val="21"/>
        </w:rPr>
        <w:t>. 监督管理机构</w:t>
      </w:r>
      <w:bookmarkEnd w:id="147"/>
    </w:p>
    <w:p>
      <w:pPr>
        <w:snapToGrid w:val="0"/>
        <w:spacing w:line="400" w:lineRule="exact"/>
        <w:ind w:firstLine="420" w:firstLineChars="200"/>
        <w:rPr>
          <w:rFonts w:hint="eastAsia" w:ascii="宋体" w:hAnsi="宋体" w:eastAsia="宋体" w:cs="宋体"/>
          <w:color w:val="auto"/>
          <w:szCs w:val="21"/>
          <w:lang w:eastAsia="zh-CN"/>
        </w:rPr>
      </w:pPr>
      <w:r>
        <w:rPr>
          <w:color w:val="auto"/>
        </w:rPr>
        <w:t>广西壮族自治区财政厅政府采购监督管理处</w:t>
      </w:r>
      <w:r>
        <w:rPr>
          <w:rFonts w:hint="eastAsia" w:ascii="宋体" w:hAnsi="宋体" w:eastAsia="宋体" w:cs="宋体"/>
          <w:color w:val="auto"/>
          <w:szCs w:val="21"/>
        </w:rPr>
        <w:t xml:space="preserve">    电话：</w:t>
      </w:r>
      <w:r>
        <w:rPr>
          <w:rFonts w:hint="eastAsia" w:ascii="宋体" w:hAnsi="宋体" w:cs="宋体"/>
          <w:color w:val="auto"/>
          <w:szCs w:val="21"/>
          <w:lang w:eastAsia="zh-CN"/>
        </w:rPr>
        <w:t>0771-5331544</w:t>
      </w:r>
    </w:p>
    <w:bookmarkEnd w:id="148"/>
    <w:p>
      <w:pPr>
        <w:jc w:val="center"/>
        <w:outlineLvl w:val="0"/>
        <w:rPr>
          <w:rFonts w:hint="eastAsia" w:ascii="宋体" w:hAnsi="宋体" w:eastAsia="宋体" w:cs="宋体"/>
          <w:color w:val="auto"/>
          <w:sz w:val="32"/>
          <w:szCs w:val="32"/>
        </w:rPr>
      </w:pPr>
      <w:r>
        <w:rPr>
          <w:rFonts w:hint="eastAsia" w:ascii="宋体" w:hAnsi="宋体" w:eastAsia="宋体" w:cs="宋体"/>
          <w:color w:val="auto"/>
          <w:sz w:val="32"/>
          <w:szCs w:val="32"/>
        </w:rPr>
        <w:br w:type="page"/>
      </w:r>
      <w:bookmarkStart w:id="149" w:name="_Toc2219"/>
      <w:bookmarkStart w:id="150" w:name="_Toc12929"/>
      <w:r>
        <w:rPr>
          <w:rFonts w:hint="eastAsia" w:ascii="宋体" w:hAnsi="宋体" w:eastAsia="宋体" w:cs="宋体"/>
          <w:b/>
          <w:bCs/>
          <w:color w:val="auto"/>
          <w:kern w:val="44"/>
          <w:sz w:val="32"/>
          <w:szCs w:val="32"/>
          <w:lang w:val="en-US" w:eastAsia="zh-CN" w:bidi="ar-SA"/>
        </w:rPr>
        <w:t>第三章  货物采购需求</w:t>
      </w:r>
      <w:bookmarkEnd w:id="149"/>
      <w:bookmarkEnd w:id="150"/>
    </w:p>
    <w:p>
      <w:pPr>
        <w:adjustRightInd w:val="0"/>
        <w:spacing w:line="400" w:lineRule="exact"/>
        <w:rPr>
          <w:rFonts w:hint="eastAsia" w:ascii="宋体" w:hAnsi="宋体" w:eastAsia="宋体" w:cs="宋体"/>
          <w:b/>
          <w:color w:val="auto"/>
        </w:rPr>
      </w:pPr>
      <w:r>
        <w:rPr>
          <w:rFonts w:hint="eastAsia" w:ascii="宋体" w:hAnsi="宋体" w:eastAsia="宋体" w:cs="宋体"/>
          <w:b/>
          <w:color w:val="auto"/>
        </w:rPr>
        <w:t>说明：</w:t>
      </w:r>
    </w:p>
    <w:p>
      <w:pPr>
        <w:adjustRightInd w:val="0"/>
        <w:spacing w:line="400" w:lineRule="exact"/>
        <w:ind w:firstLine="431"/>
        <w:rPr>
          <w:rFonts w:hint="eastAsia" w:ascii="宋体" w:hAnsi="宋体" w:eastAsia="宋体" w:cs="宋体"/>
          <w:b/>
          <w:color w:val="auto"/>
        </w:rPr>
      </w:pPr>
      <w:r>
        <w:rPr>
          <w:rFonts w:hint="eastAsia" w:ascii="宋体" w:hAnsi="宋体" w:eastAsia="宋体" w:cs="宋体"/>
          <w:b/>
          <w:color w:val="auto"/>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投标时须提供投标产品的相关证明材料。</w:t>
      </w:r>
    </w:p>
    <w:p>
      <w:pPr>
        <w:adjustRightInd w:val="0"/>
        <w:spacing w:line="400" w:lineRule="exact"/>
        <w:ind w:firstLine="431"/>
        <w:rPr>
          <w:rFonts w:hint="eastAsia" w:ascii="宋体" w:hAnsi="宋体" w:eastAsia="宋体" w:cs="宋体"/>
          <w:b/>
          <w:color w:val="auto"/>
        </w:rPr>
      </w:pPr>
      <w:r>
        <w:rPr>
          <w:rFonts w:hint="eastAsia" w:ascii="宋体" w:hAnsi="宋体" w:eastAsia="宋体" w:cs="宋体"/>
          <w:b/>
          <w:color w:val="auto"/>
        </w:rPr>
        <w:t>《节能产品政府采购品目清单》中：</w:t>
      </w:r>
    </w:p>
    <w:p>
      <w:pPr>
        <w:numPr>
          <w:ilvl w:val="0"/>
          <w:numId w:val="6"/>
        </w:numPr>
        <w:adjustRightInd w:val="0"/>
        <w:spacing w:line="400" w:lineRule="exact"/>
        <w:ind w:left="845"/>
        <w:rPr>
          <w:rFonts w:hint="eastAsia" w:ascii="宋体" w:hAnsi="宋体" w:eastAsia="宋体" w:cs="宋体"/>
          <w:b/>
          <w:color w:val="auto"/>
        </w:rPr>
      </w:pPr>
      <w:r>
        <w:rPr>
          <w:rFonts w:hint="eastAsia" w:ascii="宋体" w:hAnsi="宋体" w:eastAsia="宋体" w:cs="宋体"/>
          <w:b/>
          <w:color w:val="auto"/>
        </w:rPr>
        <w:t>计算机设备（台式计算机、便携式计算机、平板式微型计算机）；</w:t>
      </w:r>
    </w:p>
    <w:p>
      <w:pPr>
        <w:numPr>
          <w:ilvl w:val="0"/>
          <w:numId w:val="6"/>
        </w:numPr>
        <w:adjustRightInd w:val="0"/>
        <w:spacing w:line="400" w:lineRule="exact"/>
        <w:ind w:left="845"/>
        <w:rPr>
          <w:rFonts w:hint="eastAsia" w:ascii="宋体" w:hAnsi="宋体" w:eastAsia="宋体" w:cs="宋体"/>
          <w:b/>
          <w:color w:val="auto"/>
        </w:rPr>
      </w:pPr>
      <w:r>
        <w:rPr>
          <w:rFonts w:hint="eastAsia" w:ascii="宋体" w:hAnsi="宋体" w:eastAsia="宋体" w:cs="宋体"/>
          <w:b/>
          <w:color w:val="auto"/>
        </w:rPr>
        <w:t>输入输出设备【打印设备（喷墨打印机、激光打印机、针式打印机）、显示设备（液晶显示器）】；</w:t>
      </w:r>
    </w:p>
    <w:p>
      <w:pPr>
        <w:numPr>
          <w:ilvl w:val="0"/>
          <w:numId w:val="6"/>
        </w:numPr>
        <w:adjustRightInd w:val="0"/>
        <w:spacing w:line="400" w:lineRule="exact"/>
        <w:ind w:left="845"/>
        <w:rPr>
          <w:rFonts w:hint="eastAsia" w:ascii="宋体" w:hAnsi="宋体" w:eastAsia="宋体" w:cs="宋体"/>
          <w:b/>
          <w:color w:val="auto"/>
        </w:rPr>
      </w:pPr>
      <w:r>
        <w:rPr>
          <w:rFonts w:hint="eastAsia" w:ascii="宋体" w:hAnsi="宋体" w:eastAsia="宋体" w:cs="宋体"/>
          <w:b/>
          <w:color w:val="auto"/>
        </w:rPr>
        <w:t>制冷空调设备【制冷压缩机（冷水机组、水源热泵机组、溴化锂吸收式冷水机组）、空调机组（多联式空调（热泵）机组（制冷量＞14000W）、单元式空气调节机（制冷量＞14000W））、专用制冷、空调设备（机房空调）】；</w:t>
      </w:r>
    </w:p>
    <w:p>
      <w:pPr>
        <w:numPr>
          <w:ilvl w:val="0"/>
          <w:numId w:val="6"/>
        </w:numPr>
        <w:adjustRightInd w:val="0"/>
        <w:spacing w:line="400" w:lineRule="exact"/>
        <w:ind w:left="845"/>
        <w:rPr>
          <w:rFonts w:hint="eastAsia" w:ascii="宋体" w:hAnsi="宋体" w:eastAsia="宋体" w:cs="宋体"/>
          <w:b/>
          <w:color w:val="auto"/>
        </w:rPr>
      </w:pPr>
      <w:r>
        <w:rPr>
          <w:rFonts w:hint="eastAsia" w:ascii="宋体" w:hAnsi="宋体" w:eastAsia="宋体" w:cs="宋体"/>
          <w:b/>
          <w:color w:val="auto"/>
        </w:rPr>
        <w:t>镇流器（管型荧光灯镇流器）；</w:t>
      </w:r>
    </w:p>
    <w:p>
      <w:pPr>
        <w:numPr>
          <w:ilvl w:val="0"/>
          <w:numId w:val="6"/>
        </w:numPr>
        <w:adjustRightInd w:val="0"/>
        <w:spacing w:line="400" w:lineRule="exact"/>
        <w:ind w:left="845"/>
        <w:rPr>
          <w:rFonts w:hint="eastAsia" w:ascii="宋体" w:hAnsi="宋体" w:eastAsia="宋体" w:cs="宋体"/>
          <w:b/>
          <w:color w:val="auto"/>
        </w:rPr>
      </w:pPr>
      <w:r>
        <w:rPr>
          <w:rFonts w:hint="eastAsia" w:ascii="宋体" w:hAnsi="宋体" w:eastAsia="宋体" w:cs="宋体"/>
          <w:b/>
          <w:color w:val="auto"/>
        </w:rPr>
        <w:t>生活用电器｛空调机【房间空气调节器、多联式空调（热泵）机组（制冷量≤14000W）、单元式空气调节机（制冷量≤14000W）】、热水器（电热水器）｝；</w:t>
      </w:r>
    </w:p>
    <w:p>
      <w:pPr>
        <w:numPr>
          <w:ilvl w:val="0"/>
          <w:numId w:val="6"/>
        </w:numPr>
        <w:adjustRightInd w:val="0"/>
        <w:spacing w:line="400" w:lineRule="exact"/>
        <w:ind w:left="845"/>
        <w:rPr>
          <w:rFonts w:hint="eastAsia" w:ascii="宋体" w:hAnsi="宋体" w:eastAsia="宋体" w:cs="宋体"/>
          <w:b/>
          <w:color w:val="auto"/>
        </w:rPr>
      </w:pPr>
      <w:r>
        <w:rPr>
          <w:rFonts w:hint="eastAsia" w:ascii="宋体" w:hAnsi="宋体" w:eastAsia="宋体" w:cs="宋体"/>
          <w:b/>
          <w:color w:val="auto"/>
        </w:rPr>
        <w:t>照明设备（普通照明用双端荧光灯）；</w:t>
      </w:r>
    </w:p>
    <w:p>
      <w:pPr>
        <w:numPr>
          <w:ilvl w:val="0"/>
          <w:numId w:val="6"/>
        </w:numPr>
        <w:adjustRightInd w:val="0"/>
        <w:spacing w:line="400" w:lineRule="exact"/>
        <w:ind w:left="845"/>
        <w:rPr>
          <w:rFonts w:hint="eastAsia" w:ascii="宋体" w:hAnsi="宋体" w:eastAsia="宋体" w:cs="宋体"/>
          <w:b/>
          <w:color w:val="auto"/>
        </w:rPr>
      </w:pPr>
      <w:r>
        <w:rPr>
          <w:rFonts w:hint="eastAsia" w:ascii="宋体" w:hAnsi="宋体" w:eastAsia="宋体" w:cs="宋体"/>
          <w:b/>
          <w:color w:val="auto"/>
        </w:rPr>
        <w:t>电视设备【普通电视设备（电视机）】；</w:t>
      </w:r>
    </w:p>
    <w:p>
      <w:pPr>
        <w:numPr>
          <w:ilvl w:val="0"/>
          <w:numId w:val="6"/>
        </w:numPr>
        <w:adjustRightInd w:val="0"/>
        <w:spacing w:line="400" w:lineRule="exact"/>
        <w:ind w:left="845"/>
        <w:rPr>
          <w:rFonts w:hint="eastAsia" w:ascii="宋体" w:hAnsi="宋体" w:eastAsia="宋体" w:cs="宋体"/>
          <w:b/>
          <w:color w:val="auto"/>
        </w:rPr>
      </w:pPr>
      <w:r>
        <w:rPr>
          <w:rFonts w:hint="eastAsia" w:ascii="宋体" w:hAnsi="宋体" w:eastAsia="宋体" w:cs="宋体"/>
          <w:b/>
          <w:color w:val="auto"/>
        </w:rPr>
        <w:t>视频设备【视频监控设备（监视器）】；</w:t>
      </w:r>
    </w:p>
    <w:p>
      <w:pPr>
        <w:numPr>
          <w:ilvl w:val="0"/>
          <w:numId w:val="6"/>
        </w:numPr>
        <w:adjustRightInd w:val="0"/>
        <w:spacing w:line="400" w:lineRule="exact"/>
        <w:ind w:left="845"/>
        <w:rPr>
          <w:rFonts w:hint="eastAsia" w:ascii="宋体" w:hAnsi="宋体" w:eastAsia="宋体" w:cs="宋体"/>
          <w:b/>
          <w:color w:val="auto"/>
        </w:rPr>
      </w:pPr>
      <w:r>
        <w:rPr>
          <w:rFonts w:hint="eastAsia" w:ascii="宋体" w:hAnsi="宋体" w:eastAsia="宋体" w:cs="宋体"/>
          <w:b/>
          <w:color w:val="auto"/>
        </w:rPr>
        <w:t>便器（坐便器、蹲便器、小便器）；</w:t>
      </w:r>
    </w:p>
    <w:p>
      <w:pPr>
        <w:numPr>
          <w:ilvl w:val="0"/>
          <w:numId w:val="6"/>
        </w:numPr>
        <w:adjustRightInd w:val="0"/>
        <w:spacing w:line="400" w:lineRule="exact"/>
        <w:ind w:left="845"/>
        <w:rPr>
          <w:rFonts w:hint="eastAsia" w:ascii="宋体" w:hAnsi="宋体" w:eastAsia="宋体" w:cs="宋体"/>
          <w:b/>
          <w:color w:val="auto"/>
        </w:rPr>
      </w:pPr>
      <w:r>
        <w:rPr>
          <w:rFonts w:hint="eastAsia" w:ascii="宋体" w:hAnsi="宋体" w:eastAsia="宋体" w:cs="宋体"/>
          <w:b/>
          <w:color w:val="auto"/>
        </w:rPr>
        <w:t>水嘴。</w:t>
      </w:r>
    </w:p>
    <w:p>
      <w:pPr>
        <w:adjustRightInd w:val="0"/>
        <w:spacing w:line="400" w:lineRule="exact"/>
        <w:ind w:firstLine="431"/>
        <w:rPr>
          <w:rFonts w:hint="eastAsia" w:ascii="宋体" w:hAnsi="宋体" w:eastAsia="宋体" w:cs="宋体"/>
          <w:color w:val="auto"/>
        </w:rPr>
      </w:pPr>
      <w:r>
        <w:rPr>
          <w:rFonts w:hint="eastAsia" w:ascii="宋体" w:hAnsi="宋体" w:eastAsia="宋体" w:cs="宋体"/>
          <w:b/>
          <w:color w:val="auto"/>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复印件，并加盖投标人公章，否则投标无效。</w:t>
      </w:r>
    </w:p>
    <w:p>
      <w:pPr>
        <w:adjustRightInd w:val="0"/>
        <w:spacing w:line="400" w:lineRule="exact"/>
        <w:ind w:firstLine="431"/>
        <w:rPr>
          <w:rFonts w:hint="eastAsia" w:ascii="宋体" w:hAnsi="宋体" w:eastAsia="宋体" w:cs="宋体"/>
          <w:b/>
          <w:color w:val="auto"/>
        </w:rPr>
      </w:pPr>
      <w:r>
        <w:rPr>
          <w:rFonts w:hint="eastAsia" w:ascii="宋体" w:hAnsi="宋体" w:eastAsia="宋体" w:cs="宋体"/>
          <w:b/>
          <w:color w:val="auto"/>
        </w:rPr>
        <w:t>2、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adjustRightInd w:val="0"/>
        <w:spacing w:line="400" w:lineRule="exact"/>
        <w:ind w:firstLine="431"/>
        <w:rPr>
          <w:rFonts w:hint="eastAsia" w:ascii="宋体" w:hAnsi="宋体" w:eastAsia="宋体" w:cs="宋体"/>
          <w:b/>
          <w:color w:val="auto"/>
        </w:rPr>
      </w:pPr>
      <w:r>
        <w:rPr>
          <w:rFonts w:hint="eastAsia" w:ascii="宋体" w:hAnsi="宋体" w:eastAsia="宋体" w:cs="宋体"/>
          <w:b/>
          <w:color w:val="auto"/>
        </w:rPr>
        <w:t>3、根据《关于信息安全产品实施政府采购的通知》（财库[2010]48号）的规定，如采购需求中有涉及信息安全产品的设备，必须提供由中国信息安全认证中心按国家标准认证颁发的有效认证证书复印件。</w:t>
      </w:r>
    </w:p>
    <w:p>
      <w:pPr>
        <w:adjustRightInd w:val="0"/>
        <w:spacing w:line="400" w:lineRule="exact"/>
        <w:ind w:firstLine="431"/>
        <w:rPr>
          <w:rFonts w:hint="eastAsia" w:ascii="宋体" w:hAnsi="宋体" w:eastAsia="宋体" w:cs="宋体"/>
          <w:b/>
          <w:color w:val="auto"/>
        </w:rPr>
      </w:pPr>
      <w:r>
        <w:rPr>
          <w:rFonts w:hint="eastAsia" w:ascii="宋体" w:hAnsi="宋体" w:eastAsia="宋体" w:cs="宋体"/>
          <w:b/>
          <w:color w:val="auto"/>
        </w:rPr>
        <w:t>4、投标人应注意下列内容：</w:t>
      </w:r>
    </w:p>
    <w:p>
      <w:pPr>
        <w:adjustRightInd w:val="0"/>
        <w:spacing w:line="400" w:lineRule="exact"/>
        <w:ind w:firstLine="431"/>
        <w:rPr>
          <w:rFonts w:hint="eastAsia" w:ascii="宋体" w:hAnsi="宋体" w:eastAsia="宋体" w:cs="宋体"/>
          <w:b/>
          <w:color w:val="auto"/>
        </w:rPr>
      </w:pPr>
      <w:r>
        <w:rPr>
          <w:rFonts w:hint="eastAsia" w:ascii="宋体" w:hAnsi="宋体" w:cs="宋体"/>
          <w:b/>
          <w:color w:val="auto"/>
          <w:lang w:val="en-US" w:eastAsia="zh-CN"/>
        </w:rPr>
        <w:t>1</w:t>
      </w:r>
      <w:r>
        <w:rPr>
          <w:rFonts w:hint="eastAsia" w:ascii="宋体" w:hAnsi="宋体" w:eastAsia="宋体" w:cs="宋体"/>
          <w:b/>
          <w:color w:val="auto"/>
        </w:rPr>
        <w:t>）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tbl>
      <w:tblPr>
        <w:tblStyle w:val="26"/>
        <w:tblW w:w="7357" w:type="dxa"/>
        <w:tblInd w:w="7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2"/>
        <w:gridCol w:w="1092"/>
        <w:gridCol w:w="3135"/>
        <w:gridCol w:w="1066"/>
        <w:gridCol w:w="1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Align w:val="center"/>
          </w:tcPr>
          <w:p>
            <w:pPr>
              <w:pStyle w:val="67"/>
              <w:spacing w:before="111"/>
              <w:ind w:left="248" w:right="239"/>
              <w:jc w:val="center"/>
              <w:rPr>
                <w:color w:val="auto"/>
                <w:sz w:val="21"/>
                <w:szCs w:val="21"/>
              </w:rPr>
            </w:pPr>
          </w:p>
        </w:tc>
        <w:tc>
          <w:tcPr>
            <w:tcW w:w="1092" w:type="dxa"/>
            <w:vAlign w:val="center"/>
          </w:tcPr>
          <w:p>
            <w:pPr>
              <w:pStyle w:val="67"/>
              <w:spacing w:before="111"/>
              <w:ind w:left="248" w:right="239"/>
              <w:jc w:val="center"/>
              <w:rPr>
                <w:color w:val="auto"/>
                <w:sz w:val="21"/>
                <w:szCs w:val="21"/>
              </w:rPr>
            </w:pPr>
            <w:r>
              <w:rPr>
                <w:rFonts w:hint="eastAsia"/>
                <w:color w:val="auto"/>
                <w:sz w:val="21"/>
                <w:szCs w:val="21"/>
              </w:rPr>
              <w:t>项号</w:t>
            </w:r>
          </w:p>
        </w:tc>
        <w:tc>
          <w:tcPr>
            <w:tcW w:w="3135" w:type="dxa"/>
            <w:vAlign w:val="center"/>
          </w:tcPr>
          <w:p>
            <w:pPr>
              <w:pStyle w:val="67"/>
              <w:spacing w:before="111"/>
              <w:ind w:left="123" w:right="114"/>
              <w:jc w:val="center"/>
              <w:rPr>
                <w:color w:val="auto"/>
                <w:sz w:val="21"/>
                <w:szCs w:val="21"/>
              </w:rPr>
            </w:pPr>
            <w:r>
              <w:rPr>
                <w:rFonts w:hint="eastAsia"/>
                <w:color w:val="auto"/>
                <w:sz w:val="21"/>
                <w:szCs w:val="21"/>
              </w:rPr>
              <w:t>货物名称</w:t>
            </w:r>
          </w:p>
        </w:tc>
        <w:tc>
          <w:tcPr>
            <w:tcW w:w="1066" w:type="dxa"/>
            <w:vAlign w:val="center"/>
          </w:tcPr>
          <w:p>
            <w:pPr>
              <w:pStyle w:val="67"/>
              <w:spacing w:before="84"/>
              <w:ind w:left="229" w:right="220"/>
              <w:jc w:val="center"/>
              <w:rPr>
                <w:color w:val="auto"/>
                <w:sz w:val="21"/>
                <w:szCs w:val="21"/>
              </w:rPr>
            </w:pPr>
            <w:r>
              <w:rPr>
                <w:rFonts w:hint="eastAsia"/>
                <w:color w:val="auto"/>
                <w:sz w:val="21"/>
                <w:szCs w:val="21"/>
              </w:rPr>
              <w:t>单位</w:t>
            </w:r>
          </w:p>
        </w:tc>
        <w:tc>
          <w:tcPr>
            <w:tcW w:w="1202" w:type="dxa"/>
            <w:vAlign w:val="center"/>
          </w:tcPr>
          <w:p>
            <w:pPr>
              <w:pStyle w:val="67"/>
              <w:spacing w:before="84"/>
              <w:ind w:left="221" w:right="209"/>
              <w:jc w:val="center"/>
              <w:rPr>
                <w:color w:val="auto"/>
                <w:sz w:val="21"/>
                <w:szCs w:val="21"/>
              </w:rPr>
            </w:pPr>
            <w:r>
              <w:rPr>
                <w:rFonts w:hint="eastAsia"/>
                <w:color w:val="auto"/>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restart"/>
            <w:vAlign w:val="center"/>
          </w:tcPr>
          <w:p>
            <w:pPr>
              <w:pStyle w:val="67"/>
              <w:spacing w:before="215"/>
              <w:ind w:left="11"/>
              <w:jc w:val="center"/>
              <w:rPr>
                <w:color w:val="auto"/>
                <w:sz w:val="21"/>
                <w:szCs w:val="21"/>
                <w:lang w:val="en-US"/>
              </w:rPr>
            </w:pPr>
            <w:r>
              <w:rPr>
                <w:rFonts w:hint="eastAsia"/>
                <w:color w:val="auto"/>
                <w:sz w:val="21"/>
                <w:szCs w:val="21"/>
                <w:lang w:val="en-US"/>
              </w:rPr>
              <w:t>A分标</w:t>
            </w:r>
          </w:p>
        </w:tc>
        <w:tc>
          <w:tcPr>
            <w:tcW w:w="1092" w:type="dxa"/>
            <w:vAlign w:val="center"/>
          </w:tcPr>
          <w:p>
            <w:pPr>
              <w:pStyle w:val="67"/>
              <w:spacing w:before="215"/>
              <w:ind w:left="11"/>
              <w:jc w:val="center"/>
              <w:rPr>
                <w:color w:val="auto"/>
                <w:sz w:val="21"/>
                <w:szCs w:val="21"/>
              </w:rPr>
            </w:pPr>
            <w:r>
              <w:rPr>
                <w:rFonts w:hint="eastAsia"/>
                <w:color w:val="auto"/>
                <w:sz w:val="21"/>
                <w:szCs w:val="21"/>
              </w:rPr>
              <w:t>1</w:t>
            </w:r>
          </w:p>
        </w:tc>
        <w:tc>
          <w:tcPr>
            <w:tcW w:w="3135" w:type="dxa"/>
            <w:vAlign w:val="center"/>
          </w:tcPr>
          <w:p>
            <w:pPr>
              <w:pStyle w:val="67"/>
              <w:spacing w:before="62"/>
              <w:ind w:left="9"/>
              <w:jc w:val="center"/>
              <w:rPr>
                <w:color w:val="auto"/>
                <w:sz w:val="21"/>
                <w:szCs w:val="21"/>
              </w:rPr>
            </w:pPr>
            <w:r>
              <w:rPr>
                <w:rFonts w:hint="eastAsia"/>
                <w:color w:val="auto"/>
                <w:sz w:val="21"/>
                <w:szCs w:val="21"/>
              </w:rPr>
              <w:t>三连体学生双层铁架床</w:t>
            </w:r>
          </w:p>
        </w:tc>
        <w:tc>
          <w:tcPr>
            <w:tcW w:w="1066" w:type="dxa"/>
            <w:vAlign w:val="center"/>
          </w:tcPr>
          <w:p>
            <w:pPr>
              <w:pStyle w:val="67"/>
              <w:spacing w:before="242"/>
              <w:ind w:left="7"/>
              <w:jc w:val="center"/>
              <w:rPr>
                <w:color w:val="auto"/>
                <w:sz w:val="21"/>
                <w:szCs w:val="21"/>
              </w:rPr>
            </w:pPr>
            <w:r>
              <w:rPr>
                <w:rFonts w:hint="eastAsia"/>
                <w:color w:val="auto"/>
                <w:sz w:val="21"/>
                <w:szCs w:val="21"/>
              </w:rPr>
              <w:t>套</w:t>
            </w:r>
          </w:p>
        </w:tc>
        <w:tc>
          <w:tcPr>
            <w:tcW w:w="1202" w:type="dxa"/>
            <w:vAlign w:val="center"/>
          </w:tcPr>
          <w:p>
            <w:pPr>
              <w:widowControl/>
              <w:jc w:val="center"/>
              <w:textAlignment w:val="center"/>
              <w:rPr>
                <w:color w:val="auto"/>
              </w:rPr>
            </w:pPr>
            <w:r>
              <w:rPr>
                <w:rFonts w:hint="eastAsia"/>
                <w:color w:val="auto"/>
                <w:lang w:val="en-US"/>
              </w:rPr>
              <w:t>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continue"/>
            <w:vAlign w:val="center"/>
          </w:tcPr>
          <w:p>
            <w:pPr>
              <w:pStyle w:val="67"/>
              <w:spacing w:before="215"/>
              <w:ind w:left="11"/>
              <w:jc w:val="center"/>
              <w:rPr>
                <w:color w:val="auto"/>
                <w:sz w:val="21"/>
                <w:szCs w:val="21"/>
              </w:rPr>
            </w:pPr>
          </w:p>
        </w:tc>
        <w:tc>
          <w:tcPr>
            <w:tcW w:w="1092" w:type="dxa"/>
            <w:vAlign w:val="center"/>
          </w:tcPr>
          <w:p>
            <w:pPr>
              <w:pStyle w:val="67"/>
              <w:spacing w:before="215"/>
              <w:ind w:left="11"/>
              <w:jc w:val="center"/>
              <w:rPr>
                <w:color w:val="auto"/>
                <w:sz w:val="21"/>
                <w:szCs w:val="21"/>
              </w:rPr>
            </w:pPr>
            <w:r>
              <w:rPr>
                <w:rFonts w:hint="eastAsia"/>
                <w:color w:val="auto"/>
                <w:sz w:val="21"/>
                <w:szCs w:val="21"/>
              </w:rPr>
              <w:t>2</w:t>
            </w:r>
          </w:p>
        </w:tc>
        <w:tc>
          <w:tcPr>
            <w:tcW w:w="3135" w:type="dxa"/>
            <w:vAlign w:val="center"/>
          </w:tcPr>
          <w:p>
            <w:pPr>
              <w:pStyle w:val="67"/>
              <w:spacing w:before="61"/>
              <w:ind w:left="9"/>
              <w:jc w:val="center"/>
              <w:rPr>
                <w:color w:val="auto"/>
                <w:sz w:val="21"/>
                <w:szCs w:val="21"/>
              </w:rPr>
            </w:pPr>
            <w:r>
              <w:rPr>
                <w:rFonts w:hint="eastAsia"/>
                <w:color w:val="auto"/>
                <w:sz w:val="21"/>
                <w:szCs w:val="21"/>
              </w:rPr>
              <w:t>双连体学生双层铁架床</w:t>
            </w:r>
          </w:p>
        </w:tc>
        <w:tc>
          <w:tcPr>
            <w:tcW w:w="1066" w:type="dxa"/>
            <w:vAlign w:val="center"/>
          </w:tcPr>
          <w:p>
            <w:pPr>
              <w:pStyle w:val="67"/>
              <w:spacing w:before="241"/>
              <w:ind w:left="7"/>
              <w:jc w:val="center"/>
              <w:rPr>
                <w:color w:val="auto"/>
                <w:sz w:val="21"/>
                <w:szCs w:val="21"/>
              </w:rPr>
            </w:pPr>
            <w:r>
              <w:rPr>
                <w:rFonts w:hint="eastAsia"/>
                <w:color w:val="auto"/>
                <w:sz w:val="21"/>
                <w:szCs w:val="21"/>
              </w:rPr>
              <w:t>套</w:t>
            </w:r>
          </w:p>
        </w:tc>
        <w:tc>
          <w:tcPr>
            <w:tcW w:w="1202" w:type="dxa"/>
            <w:vAlign w:val="center"/>
          </w:tcPr>
          <w:p>
            <w:pPr>
              <w:widowControl/>
              <w:jc w:val="center"/>
              <w:textAlignment w:val="center"/>
              <w:rPr>
                <w:color w:val="auto"/>
                <w:sz w:val="21"/>
                <w:szCs w:val="21"/>
              </w:rPr>
            </w:pPr>
            <w:r>
              <w:rPr>
                <w:rFonts w:hint="eastAsia"/>
                <w:color w:val="auto"/>
                <w:sz w:val="21"/>
                <w:szCs w:val="21"/>
                <w:lang w:val="en-US"/>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continue"/>
            <w:vAlign w:val="center"/>
          </w:tcPr>
          <w:p>
            <w:pPr>
              <w:pStyle w:val="67"/>
              <w:spacing w:before="215"/>
              <w:ind w:left="11"/>
              <w:jc w:val="center"/>
              <w:rPr>
                <w:color w:val="auto"/>
                <w:sz w:val="21"/>
                <w:szCs w:val="21"/>
              </w:rPr>
            </w:pPr>
          </w:p>
        </w:tc>
        <w:tc>
          <w:tcPr>
            <w:tcW w:w="1092" w:type="dxa"/>
            <w:vAlign w:val="center"/>
          </w:tcPr>
          <w:p>
            <w:pPr>
              <w:pStyle w:val="67"/>
              <w:spacing w:before="215"/>
              <w:ind w:left="11"/>
              <w:jc w:val="center"/>
              <w:rPr>
                <w:color w:val="auto"/>
                <w:sz w:val="21"/>
                <w:szCs w:val="21"/>
              </w:rPr>
            </w:pPr>
            <w:r>
              <w:rPr>
                <w:rFonts w:hint="eastAsia"/>
                <w:color w:val="auto"/>
                <w:sz w:val="21"/>
                <w:szCs w:val="21"/>
              </w:rPr>
              <w:t>3</w:t>
            </w:r>
          </w:p>
        </w:tc>
        <w:tc>
          <w:tcPr>
            <w:tcW w:w="3135" w:type="dxa"/>
            <w:vAlign w:val="center"/>
          </w:tcPr>
          <w:p>
            <w:pPr>
              <w:pStyle w:val="67"/>
              <w:spacing w:before="61"/>
              <w:ind w:left="9"/>
              <w:jc w:val="center"/>
              <w:rPr>
                <w:color w:val="auto"/>
                <w:sz w:val="21"/>
                <w:szCs w:val="21"/>
              </w:rPr>
            </w:pPr>
            <w:r>
              <w:rPr>
                <w:rFonts w:hint="eastAsia"/>
                <w:color w:val="auto"/>
                <w:sz w:val="21"/>
                <w:szCs w:val="21"/>
              </w:rPr>
              <w:t>单连体学生双层铁架床</w:t>
            </w:r>
          </w:p>
        </w:tc>
        <w:tc>
          <w:tcPr>
            <w:tcW w:w="1066" w:type="dxa"/>
            <w:vAlign w:val="center"/>
          </w:tcPr>
          <w:p>
            <w:pPr>
              <w:pStyle w:val="67"/>
              <w:spacing w:before="241"/>
              <w:ind w:left="7"/>
              <w:jc w:val="center"/>
              <w:rPr>
                <w:color w:val="auto"/>
                <w:sz w:val="21"/>
                <w:szCs w:val="21"/>
              </w:rPr>
            </w:pPr>
            <w:r>
              <w:rPr>
                <w:rFonts w:hint="eastAsia"/>
                <w:color w:val="auto"/>
                <w:sz w:val="21"/>
                <w:szCs w:val="21"/>
              </w:rPr>
              <w:t>套</w:t>
            </w:r>
          </w:p>
        </w:tc>
        <w:tc>
          <w:tcPr>
            <w:tcW w:w="1202" w:type="dxa"/>
            <w:vAlign w:val="center"/>
          </w:tcPr>
          <w:p>
            <w:pPr>
              <w:widowControl/>
              <w:jc w:val="center"/>
              <w:textAlignment w:val="center"/>
              <w:rPr>
                <w:color w:val="auto"/>
                <w:sz w:val="21"/>
                <w:szCs w:val="21"/>
              </w:rPr>
            </w:pPr>
            <w:r>
              <w:rPr>
                <w:rFonts w:hint="eastAsia"/>
                <w:color w:val="auto"/>
                <w:sz w:val="21"/>
                <w:szCs w:val="21"/>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continue"/>
            <w:vAlign w:val="center"/>
          </w:tcPr>
          <w:p>
            <w:pPr>
              <w:pStyle w:val="67"/>
              <w:spacing w:before="215"/>
              <w:ind w:left="11"/>
              <w:jc w:val="center"/>
              <w:rPr>
                <w:color w:val="auto"/>
                <w:sz w:val="21"/>
                <w:szCs w:val="21"/>
                <w:lang w:val="en-US"/>
              </w:rPr>
            </w:pPr>
          </w:p>
        </w:tc>
        <w:tc>
          <w:tcPr>
            <w:tcW w:w="1092" w:type="dxa"/>
            <w:vAlign w:val="center"/>
          </w:tcPr>
          <w:p>
            <w:pPr>
              <w:pStyle w:val="67"/>
              <w:spacing w:before="215"/>
              <w:ind w:left="11"/>
              <w:jc w:val="center"/>
              <w:rPr>
                <w:color w:val="auto"/>
                <w:sz w:val="21"/>
                <w:szCs w:val="21"/>
                <w:lang w:val="en-US"/>
              </w:rPr>
            </w:pPr>
            <w:r>
              <w:rPr>
                <w:rFonts w:hint="eastAsia"/>
                <w:color w:val="auto"/>
                <w:sz w:val="21"/>
                <w:szCs w:val="21"/>
                <w:lang w:val="en-US"/>
              </w:rPr>
              <w:t>4</w:t>
            </w:r>
          </w:p>
        </w:tc>
        <w:tc>
          <w:tcPr>
            <w:tcW w:w="3135" w:type="dxa"/>
            <w:vAlign w:val="center"/>
          </w:tcPr>
          <w:p>
            <w:pPr>
              <w:pStyle w:val="67"/>
              <w:spacing w:before="61"/>
              <w:ind w:left="9"/>
              <w:jc w:val="center"/>
              <w:rPr>
                <w:color w:val="auto"/>
                <w:sz w:val="21"/>
                <w:szCs w:val="21"/>
              </w:rPr>
            </w:pPr>
            <w:r>
              <w:rPr>
                <w:rFonts w:hint="eastAsia"/>
                <w:color w:val="auto"/>
                <w:sz w:val="21"/>
                <w:szCs w:val="21"/>
              </w:rPr>
              <w:t>二连组合柜</w:t>
            </w:r>
          </w:p>
        </w:tc>
        <w:tc>
          <w:tcPr>
            <w:tcW w:w="1066" w:type="dxa"/>
            <w:vAlign w:val="center"/>
          </w:tcPr>
          <w:p>
            <w:pPr>
              <w:pStyle w:val="67"/>
              <w:spacing w:before="241"/>
              <w:ind w:left="7"/>
              <w:jc w:val="center"/>
              <w:rPr>
                <w:color w:val="auto"/>
                <w:sz w:val="21"/>
                <w:szCs w:val="21"/>
              </w:rPr>
            </w:pPr>
            <w:r>
              <w:rPr>
                <w:rFonts w:hint="eastAsia"/>
                <w:color w:val="auto"/>
                <w:sz w:val="21"/>
                <w:szCs w:val="21"/>
              </w:rPr>
              <w:t>组</w:t>
            </w:r>
          </w:p>
        </w:tc>
        <w:tc>
          <w:tcPr>
            <w:tcW w:w="1202" w:type="dxa"/>
            <w:vAlign w:val="center"/>
          </w:tcPr>
          <w:p>
            <w:pPr>
              <w:widowControl/>
              <w:jc w:val="center"/>
              <w:textAlignment w:val="center"/>
              <w:rPr>
                <w:color w:val="auto"/>
                <w:sz w:val="21"/>
                <w:szCs w:val="21"/>
              </w:rPr>
            </w:pPr>
            <w:r>
              <w:rPr>
                <w:rFonts w:hint="eastAsia"/>
                <w:color w:val="auto"/>
                <w:sz w:val="21"/>
                <w:szCs w:val="21"/>
                <w:lang w:val="en-US"/>
              </w:rPr>
              <w:t>1239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continue"/>
            <w:vAlign w:val="center"/>
          </w:tcPr>
          <w:p>
            <w:pPr>
              <w:pStyle w:val="67"/>
              <w:spacing w:before="215"/>
              <w:ind w:left="11"/>
              <w:jc w:val="center"/>
              <w:rPr>
                <w:color w:val="auto"/>
                <w:sz w:val="21"/>
                <w:szCs w:val="21"/>
                <w:lang w:val="en-US"/>
              </w:rPr>
            </w:pPr>
          </w:p>
        </w:tc>
        <w:tc>
          <w:tcPr>
            <w:tcW w:w="1092" w:type="dxa"/>
            <w:vAlign w:val="center"/>
          </w:tcPr>
          <w:p>
            <w:pPr>
              <w:pStyle w:val="67"/>
              <w:spacing w:before="215"/>
              <w:ind w:left="11"/>
              <w:jc w:val="center"/>
              <w:rPr>
                <w:color w:val="auto"/>
                <w:sz w:val="21"/>
                <w:szCs w:val="21"/>
                <w:lang w:val="en-US"/>
              </w:rPr>
            </w:pPr>
            <w:r>
              <w:rPr>
                <w:rFonts w:hint="eastAsia"/>
                <w:color w:val="auto"/>
                <w:sz w:val="21"/>
                <w:szCs w:val="21"/>
                <w:lang w:val="en-US"/>
              </w:rPr>
              <w:t>5</w:t>
            </w:r>
          </w:p>
        </w:tc>
        <w:tc>
          <w:tcPr>
            <w:tcW w:w="3135" w:type="dxa"/>
            <w:vAlign w:val="center"/>
          </w:tcPr>
          <w:p>
            <w:pPr>
              <w:pStyle w:val="67"/>
              <w:spacing w:before="61"/>
              <w:ind w:left="9"/>
              <w:jc w:val="center"/>
              <w:rPr>
                <w:color w:val="auto"/>
                <w:sz w:val="21"/>
                <w:szCs w:val="21"/>
              </w:rPr>
            </w:pPr>
            <w:r>
              <w:rPr>
                <w:rFonts w:hint="eastAsia"/>
                <w:color w:val="auto"/>
                <w:sz w:val="21"/>
                <w:szCs w:val="21"/>
              </w:rPr>
              <w:t>六门储物柜</w:t>
            </w:r>
          </w:p>
        </w:tc>
        <w:tc>
          <w:tcPr>
            <w:tcW w:w="1066" w:type="dxa"/>
            <w:vAlign w:val="center"/>
          </w:tcPr>
          <w:p>
            <w:pPr>
              <w:pStyle w:val="67"/>
              <w:spacing w:before="241"/>
              <w:ind w:left="7"/>
              <w:jc w:val="center"/>
              <w:rPr>
                <w:color w:val="auto"/>
                <w:sz w:val="21"/>
                <w:szCs w:val="21"/>
              </w:rPr>
            </w:pPr>
            <w:r>
              <w:rPr>
                <w:rFonts w:hint="eastAsia"/>
                <w:color w:val="auto"/>
                <w:sz w:val="21"/>
                <w:szCs w:val="21"/>
              </w:rPr>
              <w:t>个</w:t>
            </w:r>
          </w:p>
        </w:tc>
        <w:tc>
          <w:tcPr>
            <w:tcW w:w="1202" w:type="dxa"/>
            <w:vAlign w:val="center"/>
          </w:tcPr>
          <w:p>
            <w:pPr>
              <w:widowControl/>
              <w:jc w:val="center"/>
              <w:textAlignment w:val="center"/>
              <w:rPr>
                <w:color w:val="auto"/>
                <w:sz w:val="21"/>
                <w:szCs w:val="21"/>
              </w:rPr>
            </w:pPr>
            <w:r>
              <w:rPr>
                <w:rFonts w:hint="eastAsia"/>
                <w:color w:val="auto"/>
                <w:sz w:val="21"/>
                <w:szCs w:val="21"/>
                <w:lang w:val="en-US"/>
              </w:rPr>
              <w:t>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continue"/>
            <w:vAlign w:val="center"/>
          </w:tcPr>
          <w:p>
            <w:pPr>
              <w:pStyle w:val="67"/>
              <w:spacing w:before="224"/>
              <w:ind w:left="11"/>
              <w:jc w:val="center"/>
              <w:rPr>
                <w:color w:val="auto"/>
                <w:sz w:val="21"/>
                <w:szCs w:val="21"/>
              </w:rPr>
            </w:pPr>
          </w:p>
        </w:tc>
        <w:tc>
          <w:tcPr>
            <w:tcW w:w="1092" w:type="dxa"/>
            <w:vAlign w:val="center"/>
          </w:tcPr>
          <w:p>
            <w:pPr>
              <w:pStyle w:val="67"/>
              <w:spacing w:before="224"/>
              <w:ind w:left="11"/>
              <w:jc w:val="center"/>
              <w:rPr>
                <w:color w:val="auto"/>
                <w:sz w:val="21"/>
                <w:szCs w:val="21"/>
              </w:rPr>
            </w:pPr>
            <w:r>
              <w:rPr>
                <w:rFonts w:hint="eastAsia"/>
                <w:color w:val="auto"/>
                <w:sz w:val="21"/>
                <w:szCs w:val="21"/>
                <w:lang w:val="en-US"/>
              </w:rPr>
              <w:t>6</w:t>
            </w:r>
          </w:p>
        </w:tc>
        <w:tc>
          <w:tcPr>
            <w:tcW w:w="3135" w:type="dxa"/>
            <w:vAlign w:val="center"/>
          </w:tcPr>
          <w:p>
            <w:pPr>
              <w:pStyle w:val="67"/>
              <w:spacing w:before="250"/>
              <w:ind w:left="123" w:right="111"/>
              <w:jc w:val="center"/>
              <w:rPr>
                <w:color w:val="auto"/>
                <w:sz w:val="21"/>
                <w:szCs w:val="21"/>
              </w:rPr>
            </w:pPr>
            <w:r>
              <w:rPr>
                <w:rFonts w:hint="eastAsia"/>
                <w:color w:val="auto"/>
                <w:sz w:val="21"/>
                <w:szCs w:val="21"/>
              </w:rPr>
              <w:t>椅子</w:t>
            </w:r>
          </w:p>
        </w:tc>
        <w:tc>
          <w:tcPr>
            <w:tcW w:w="1066" w:type="dxa"/>
            <w:vAlign w:val="center"/>
          </w:tcPr>
          <w:p>
            <w:pPr>
              <w:pStyle w:val="67"/>
              <w:spacing w:before="250"/>
              <w:ind w:left="7"/>
              <w:jc w:val="center"/>
              <w:rPr>
                <w:color w:val="auto"/>
                <w:sz w:val="21"/>
                <w:szCs w:val="21"/>
              </w:rPr>
            </w:pPr>
            <w:r>
              <w:rPr>
                <w:rFonts w:hint="eastAsia"/>
                <w:color w:val="auto"/>
                <w:sz w:val="21"/>
                <w:szCs w:val="21"/>
              </w:rPr>
              <w:t>张</w:t>
            </w:r>
          </w:p>
        </w:tc>
        <w:tc>
          <w:tcPr>
            <w:tcW w:w="1202" w:type="dxa"/>
            <w:vAlign w:val="center"/>
          </w:tcPr>
          <w:p>
            <w:pPr>
              <w:widowControl/>
              <w:jc w:val="center"/>
              <w:textAlignment w:val="center"/>
              <w:rPr>
                <w:color w:val="auto"/>
                <w:sz w:val="21"/>
                <w:szCs w:val="21"/>
              </w:rPr>
            </w:pPr>
            <w:r>
              <w:rPr>
                <w:rFonts w:hint="eastAsia"/>
                <w:color w:val="auto"/>
                <w:sz w:val="21"/>
                <w:szCs w:val="21"/>
                <w:lang w:val="en-US"/>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continue"/>
            <w:vAlign w:val="center"/>
          </w:tcPr>
          <w:p>
            <w:pPr>
              <w:pStyle w:val="67"/>
              <w:spacing w:before="224"/>
              <w:ind w:left="11"/>
              <w:jc w:val="center"/>
              <w:rPr>
                <w:color w:val="auto"/>
                <w:sz w:val="21"/>
                <w:szCs w:val="21"/>
                <w:lang w:val="en-US"/>
              </w:rPr>
            </w:pPr>
          </w:p>
        </w:tc>
        <w:tc>
          <w:tcPr>
            <w:tcW w:w="1092" w:type="dxa"/>
            <w:vAlign w:val="center"/>
          </w:tcPr>
          <w:p>
            <w:pPr>
              <w:pStyle w:val="67"/>
              <w:spacing w:before="224"/>
              <w:ind w:left="11"/>
              <w:jc w:val="center"/>
              <w:rPr>
                <w:color w:val="auto"/>
                <w:sz w:val="21"/>
                <w:szCs w:val="21"/>
                <w:lang w:val="en-US"/>
              </w:rPr>
            </w:pPr>
            <w:r>
              <w:rPr>
                <w:rFonts w:hint="eastAsia"/>
                <w:color w:val="auto"/>
                <w:sz w:val="21"/>
                <w:szCs w:val="21"/>
                <w:lang w:val="en-US"/>
              </w:rPr>
              <w:t>7</w:t>
            </w:r>
          </w:p>
        </w:tc>
        <w:tc>
          <w:tcPr>
            <w:tcW w:w="3135" w:type="dxa"/>
            <w:vAlign w:val="center"/>
          </w:tcPr>
          <w:p>
            <w:pPr>
              <w:pStyle w:val="67"/>
              <w:spacing w:before="250"/>
              <w:ind w:left="123" w:right="111"/>
              <w:jc w:val="center"/>
              <w:rPr>
                <w:color w:val="auto"/>
                <w:sz w:val="21"/>
                <w:szCs w:val="21"/>
              </w:rPr>
            </w:pPr>
            <w:r>
              <w:rPr>
                <w:rFonts w:hint="eastAsia"/>
                <w:color w:val="auto"/>
                <w:sz w:val="21"/>
                <w:szCs w:val="21"/>
              </w:rPr>
              <w:t>实木茶几</w:t>
            </w:r>
          </w:p>
        </w:tc>
        <w:tc>
          <w:tcPr>
            <w:tcW w:w="1066" w:type="dxa"/>
            <w:vAlign w:val="center"/>
          </w:tcPr>
          <w:p>
            <w:pPr>
              <w:pStyle w:val="67"/>
              <w:spacing w:before="250"/>
              <w:ind w:left="7"/>
              <w:jc w:val="center"/>
              <w:rPr>
                <w:color w:val="auto"/>
                <w:sz w:val="21"/>
                <w:szCs w:val="21"/>
              </w:rPr>
            </w:pPr>
            <w:r>
              <w:rPr>
                <w:rFonts w:hint="eastAsia"/>
                <w:color w:val="auto"/>
                <w:sz w:val="21"/>
                <w:szCs w:val="21"/>
              </w:rPr>
              <w:t>张</w:t>
            </w:r>
          </w:p>
        </w:tc>
        <w:tc>
          <w:tcPr>
            <w:tcW w:w="1202" w:type="dxa"/>
            <w:vAlign w:val="center"/>
          </w:tcPr>
          <w:p>
            <w:pPr>
              <w:widowControl/>
              <w:jc w:val="center"/>
              <w:textAlignment w:val="center"/>
              <w:rPr>
                <w:color w:val="auto"/>
                <w:sz w:val="21"/>
                <w:szCs w:val="21"/>
              </w:rPr>
            </w:pPr>
            <w:r>
              <w:rPr>
                <w:rFonts w:hint="eastAsia"/>
                <w:color w:val="auto"/>
                <w:sz w:val="21"/>
                <w:szCs w:val="21"/>
                <w:lang w:val="en-US"/>
              </w:rPr>
              <w:t>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restart"/>
            <w:vAlign w:val="center"/>
          </w:tcPr>
          <w:p>
            <w:pPr>
              <w:pStyle w:val="67"/>
              <w:spacing w:before="224"/>
              <w:ind w:left="11"/>
              <w:jc w:val="center"/>
              <w:rPr>
                <w:color w:val="auto"/>
                <w:sz w:val="21"/>
                <w:szCs w:val="21"/>
                <w:lang w:val="en-US"/>
              </w:rPr>
            </w:pPr>
            <w:r>
              <w:rPr>
                <w:rFonts w:hint="eastAsia"/>
                <w:color w:val="auto"/>
                <w:sz w:val="21"/>
                <w:szCs w:val="21"/>
                <w:lang w:val="en-US"/>
              </w:rPr>
              <w:t>B分标</w:t>
            </w:r>
          </w:p>
        </w:tc>
        <w:tc>
          <w:tcPr>
            <w:tcW w:w="1092" w:type="dxa"/>
            <w:vAlign w:val="center"/>
          </w:tcPr>
          <w:p>
            <w:pPr>
              <w:pStyle w:val="67"/>
              <w:spacing w:before="215"/>
              <w:ind w:left="11"/>
              <w:jc w:val="center"/>
              <w:rPr>
                <w:color w:val="auto"/>
                <w:sz w:val="21"/>
                <w:szCs w:val="21"/>
              </w:rPr>
            </w:pPr>
            <w:r>
              <w:rPr>
                <w:rFonts w:hint="eastAsia"/>
                <w:color w:val="auto"/>
                <w:sz w:val="21"/>
                <w:szCs w:val="21"/>
              </w:rPr>
              <w:t>1</w:t>
            </w:r>
          </w:p>
        </w:tc>
        <w:tc>
          <w:tcPr>
            <w:tcW w:w="3135" w:type="dxa"/>
            <w:vAlign w:val="center"/>
          </w:tcPr>
          <w:p>
            <w:pPr>
              <w:pStyle w:val="67"/>
              <w:spacing w:before="62"/>
              <w:ind w:left="9"/>
              <w:jc w:val="center"/>
              <w:rPr>
                <w:color w:val="auto"/>
                <w:sz w:val="21"/>
                <w:szCs w:val="21"/>
              </w:rPr>
            </w:pPr>
            <w:r>
              <w:rPr>
                <w:rFonts w:hint="eastAsia"/>
                <w:color w:val="auto"/>
                <w:sz w:val="21"/>
                <w:szCs w:val="21"/>
              </w:rPr>
              <w:t>三连体学生双层铁架床</w:t>
            </w:r>
          </w:p>
        </w:tc>
        <w:tc>
          <w:tcPr>
            <w:tcW w:w="1066" w:type="dxa"/>
            <w:vAlign w:val="center"/>
          </w:tcPr>
          <w:p>
            <w:pPr>
              <w:pStyle w:val="67"/>
              <w:spacing w:before="242"/>
              <w:ind w:left="7"/>
              <w:jc w:val="center"/>
              <w:rPr>
                <w:color w:val="auto"/>
                <w:sz w:val="21"/>
                <w:szCs w:val="21"/>
              </w:rPr>
            </w:pPr>
            <w:r>
              <w:rPr>
                <w:rFonts w:hint="eastAsia"/>
                <w:color w:val="auto"/>
                <w:sz w:val="21"/>
                <w:szCs w:val="21"/>
              </w:rPr>
              <w:t>套</w:t>
            </w:r>
          </w:p>
        </w:tc>
        <w:tc>
          <w:tcPr>
            <w:tcW w:w="1202" w:type="dxa"/>
            <w:vAlign w:val="center"/>
          </w:tcPr>
          <w:p>
            <w:pPr>
              <w:widowControl/>
              <w:jc w:val="center"/>
              <w:textAlignment w:val="center"/>
              <w:rPr>
                <w:color w:val="auto"/>
              </w:rPr>
            </w:pPr>
            <w:r>
              <w:rPr>
                <w:rFonts w:hint="eastAsia"/>
                <w:color w:val="auto"/>
                <w:lang w:val="en-US"/>
              </w:rPr>
              <w:t>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continue"/>
            <w:vAlign w:val="center"/>
          </w:tcPr>
          <w:p>
            <w:pPr>
              <w:pStyle w:val="67"/>
              <w:spacing w:before="224"/>
              <w:ind w:left="11"/>
              <w:jc w:val="center"/>
              <w:rPr>
                <w:color w:val="auto"/>
                <w:sz w:val="21"/>
                <w:szCs w:val="21"/>
                <w:lang w:val="en-US"/>
              </w:rPr>
            </w:pPr>
          </w:p>
        </w:tc>
        <w:tc>
          <w:tcPr>
            <w:tcW w:w="1092" w:type="dxa"/>
            <w:vAlign w:val="center"/>
          </w:tcPr>
          <w:p>
            <w:pPr>
              <w:pStyle w:val="67"/>
              <w:spacing w:before="215"/>
              <w:ind w:left="11"/>
              <w:jc w:val="center"/>
              <w:rPr>
                <w:color w:val="auto"/>
                <w:sz w:val="21"/>
                <w:szCs w:val="21"/>
              </w:rPr>
            </w:pPr>
            <w:r>
              <w:rPr>
                <w:rFonts w:hint="eastAsia"/>
                <w:color w:val="auto"/>
                <w:sz w:val="21"/>
                <w:szCs w:val="21"/>
              </w:rPr>
              <w:t>2</w:t>
            </w:r>
          </w:p>
        </w:tc>
        <w:tc>
          <w:tcPr>
            <w:tcW w:w="3135" w:type="dxa"/>
            <w:vAlign w:val="center"/>
          </w:tcPr>
          <w:p>
            <w:pPr>
              <w:pStyle w:val="67"/>
              <w:spacing w:before="61"/>
              <w:ind w:left="9"/>
              <w:jc w:val="center"/>
              <w:rPr>
                <w:color w:val="auto"/>
                <w:sz w:val="21"/>
                <w:szCs w:val="21"/>
              </w:rPr>
            </w:pPr>
            <w:r>
              <w:rPr>
                <w:rFonts w:hint="eastAsia"/>
                <w:color w:val="auto"/>
                <w:sz w:val="21"/>
                <w:szCs w:val="21"/>
              </w:rPr>
              <w:t>双连体学生双层铁架床</w:t>
            </w:r>
          </w:p>
        </w:tc>
        <w:tc>
          <w:tcPr>
            <w:tcW w:w="1066" w:type="dxa"/>
            <w:vAlign w:val="center"/>
          </w:tcPr>
          <w:p>
            <w:pPr>
              <w:pStyle w:val="67"/>
              <w:spacing w:before="241"/>
              <w:ind w:left="7"/>
              <w:jc w:val="center"/>
              <w:rPr>
                <w:color w:val="auto"/>
                <w:sz w:val="21"/>
                <w:szCs w:val="21"/>
              </w:rPr>
            </w:pPr>
            <w:r>
              <w:rPr>
                <w:rFonts w:hint="eastAsia"/>
                <w:color w:val="auto"/>
                <w:sz w:val="21"/>
                <w:szCs w:val="21"/>
              </w:rPr>
              <w:t>套</w:t>
            </w:r>
          </w:p>
        </w:tc>
        <w:tc>
          <w:tcPr>
            <w:tcW w:w="1202" w:type="dxa"/>
            <w:vAlign w:val="center"/>
          </w:tcPr>
          <w:p>
            <w:pPr>
              <w:widowControl/>
              <w:jc w:val="center"/>
              <w:textAlignment w:val="center"/>
              <w:rPr>
                <w:color w:val="auto"/>
                <w:sz w:val="21"/>
                <w:szCs w:val="21"/>
              </w:rPr>
            </w:pPr>
            <w:r>
              <w:rPr>
                <w:rFonts w:hint="eastAsia"/>
                <w:color w:val="auto"/>
                <w:sz w:val="21"/>
                <w:szCs w:val="21"/>
                <w:lang w:val="en-US"/>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continue"/>
            <w:vAlign w:val="center"/>
          </w:tcPr>
          <w:p>
            <w:pPr>
              <w:pStyle w:val="67"/>
              <w:spacing w:before="224"/>
              <w:ind w:left="11"/>
              <w:jc w:val="center"/>
              <w:rPr>
                <w:color w:val="auto"/>
                <w:sz w:val="21"/>
                <w:szCs w:val="21"/>
                <w:lang w:val="en-US"/>
              </w:rPr>
            </w:pPr>
          </w:p>
        </w:tc>
        <w:tc>
          <w:tcPr>
            <w:tcW w:w="1092" w:type="dxa"/>
            <w:vAlign w:val="center"/>
          </w:tcPr>
          <w:p>
            <w:pPr>
              <w:pStyle w:val="67"/>
              <w:spacing w:before="215"/>
              <w:ind w:left="11"/>
              <w:jc w:val="center"/>
              <w:rPr>
                <w:color w:val="auto"/>
                <w:sz w:val="21"/>
                <w:szCs w:val="21"/>
              </w:rPr>
            </w:pPr>
            <w:r>
              <w:rPr>
                <w:rFonts w:hint="eastAsia"/>
                <w:color w:val="auto"/>
                <w:sz w:val="21"/>
                <w:szCs w:val="21"/>
              </w:rPr>
              <w:t>3</w:t>
            </w:r>
          </w:p>
        </w:tc>
        <w:tc>
          <w:tcPr>
            <w:tcW w:w="3135" w:type="dxa"/>
            <w:vAlign w:val="center"/>
          </w:tcPr>
          <w:p>
            <w:pPr>
              <w:pStyle w:val="67"/>
              <w:spacing w:before="61"/>
              <w:ind w:left="9"/>
              <w:jc w:val="center"/>
              <w:rPr>
                <w:color w:val="auto"/>
                <w:sz w:val="21"/>
                <w:szCs w:val="21"/>
              </w:rPr>
            </w:pPr>
            <w:r>
              <w:rPr>
                <w:rFonts w:hint="eastAsia"/>
                <w:color w:val="auto"/>
                <w:sz w:val="21"/>
                <w:szCs w:val="21"/>
              </w:rPr>
              <w:t>单连体学生双层铁架床</w:t>
            </w:r>
          </w:p>
        </w:tc>
        <w:tc>
          <w:tcPr>
            <w:tcW w:w="1066" w:type="dxa"/>
            <w:vAlign w:val="center"/>
          </w:tcPr>
          <w:p>
            <w:pPr>
              <w:pStyle w:val="67"/>
              <w:spacing w:before="241"/>
              <w:ind w:left="7"/>
              <w:jc w:val="center"/>
              <w:rPr>
                <w:color w:val="auto"/>
                <w:sz w:val="21"/>
                <w:szCs w:val="21"/>
              </w:rPr>
            </w:pPr>
            <w:r>
              <w:rPr>
                <w:rFonts w:hint="eastAsia"/>
                <w:color w:val="auto"/>
                <w:sz w:val="21"/>
                <w:szCs w:val="21"/>
              </w:rPr>
              <w:t>套</w:t>
            </w:r>
          </w:p>
        </w:tc>
        <w:tc>
          <w:tcPr>
            <w:tcW w:w="1202" w:type="dxa"/>
            <w:vAlign w:val="center"/>
          </w:tcPr>
          <w:p>
            <w:pPr>
              <w:widowControl/>
              <w:jc w:val="center"/>
              <w:textAlignment w:val="center"/>
              <w:rPr>
                <w:color w:val="auto"/>
                <w:sz w:val="21"/>
                <w:szCs w:val="21"/>
              </w:rPr>
            </w:pPr>
            <w:r>
              <w:rPr>
                <w:rFonts w:hint="eastAsia"/>
                <w:color w:val="auto"/>
                <w:sz w:val="21"/>
                <w:szCs w:val="21"/>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continue"/>
            <w:vAlign w:val="center"/>
          </w:tcPr>
          <w:p>
            <w:pPr>
              <w:pStyle w:val="67"/>
              <w:spacing w:before="224"/>
              <w:ind w:left="11"/>
              <w:jc w:val="center"/>
              <w:rPr>
                <w:color w:val="auto"/>
                <w:sz w:val="21"/>
                <w:szCs w:val="21"/>
                <w:lang w:val="en-US"/>
              </w:rPr>
            </w:pPr>
          </w:p>
        </w:tc>
        <w:tc>
          <w:tcPr>
            <w:tcW w:w="1092" w:type="dxa"/>
            <w:vAlign w:val="center"/>
          </w:tcPr>
          <w:p>
            <w:pPr>
              <w:pStyle w:val="67"/>
              <w:spacing w:before="215"/>
              <w:ind w:left="11"/>
              <w:jc w:val="center"/>
              <w:rPr>
                <w:color w:val="auto"/>
                <w:sz w:val="21"/>
                <w:szCs w:val="21"/>
                <w:lang w:val="en-US"/>
              </w:rPr>
            </w:pPr>
            <w:r>
              <w:rPr>
                <w:rFonts w:hint="eastAsia"/>
                <w:color w:val="auto"/>
                <w:sz w:val="21"/>
                <w:szCs w:val="21"/>
                <w:lang w:val="en-US"/>
              </w:rPr>
              <w:t>4</w:t>
            </w:r>
          </w:p>
        </w:tc>
        <w:tc>
          <w:tcPr>
            <w:tcW w:w="3135" w:type="dxa"/>
            <w:vAlign w:val="center"/>
          </w:tcPr>
          <w:p>
            <w:pPr>
              <w:pStyle w:val="67"/>
              <w:spacing w:before="61"/>
              <w:ind w:left="9"/>
              <w:jc w:val="center"/>
              <w:rPr>
                <w:color w:val="auto"/>
                <w:sz w:val="21"/>
                <w:szCs w:val="21"/>
              </w:rPr>
            </w:pPr>
            <w:r>
              <w:rPr>
                <w:rFonts w:hint="eastAsia"/>
                <w:color w:val="auto"/>
                <w:sz w:val="21"/>
                <w:szCs w:val="21"/>
              </w:rPr>
              <w:t>二连组合柜</w:t>
            </w:r>
          </w:p>
        </w:tc>
        <w:tc>
          <w:tcPr>
            <w:tcW w:w="1066" w:type="dxa"/>
            <w:vAlign w:val="center"/>
          </w:tcPr>
          <w:p>
            <w:pPr>
              <w:pStyle w:val="67"/>
              <w:spacing w:before="241"/>
              <w:ind w:left="7"/>
              <w:jc w:val="center"/>
              <w:rPr>
                <w:color w:val="auto"/>
                <w:sz w:val="21"/>
                <w:szCs w:val="21"/>
              </w:rPr>
            </w:pPr>
            <w:r>
              <w:rPr>
                <w:rFonts w:hint="eastAsia"/>
                <w:color w:val="auto"/>
                <w:sz w:val="21"/>
                <w:szCs w:val="21"/>
              </w:rPr>
              <w:t>组</w:t>
            </w:r>
          </w:p>
        </w:tc>
        <w:tc>
          <w:tcPr>
            <w:tcW w:w="1202" w:type="dxa"/>
            <w:vAlign w:val="center"/>
          </w:tcPr>
          <w:p>
            <w:pPr>
              <w:widowControl/>
              <w:jc w:val="center"/>
              <w:textAlignment w:val="center"/>
              <w:rPr>
                <w:color w:val="auto"/>
                <w:sz w:val="21"/>
                <w:szCs w:val="21"/>
              </w:rPr>
            </w:pPr>
            <w:r>
              <w:rPr>
                <w:rFonts w:hint="eastAsia"/>
                <w:color w:val="auto"/>
                <w:sz w:val="21"/>
                <w:szCs w:val="21"/>
                <w:lang w:val="en-US"/>
              </w:rPr>
              <w:t>1239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continue"/>
            <w:vAlign w:val="center"/>
          </w:tcPr>
          <w:p>
            <w:pPr>
              <w:pStyle w:val="67"/>
              <w:spacing w:before="224"/>
              <w:ind w:left="11"/>
              <w:jc w:val="center"/>
              <w:rPr>
                <w:color w:val="auto"/>
                <w:sz w:val="21"/>
                <w:szCs w:val="21"/>
                <w:lang w:val="en-US"/>
              </w:rPr>
            </w:pPr>
          </w:p>
        </w:tc>
        <w:tc>
          <w:tcPr>
            <w:tcW w:w="1092" w:type="dxa"/>
            <w:vAlign w:val="center"/>
          </w:tcPr>
          <w:p>
            <w:pPr>
              <w:pStyle w:val="67"/>
              <w:spacing w:before="215"/>
              <w:ind w:left="11"/>
              <w:jc w:val="center"/>
              <w:rPr>
                <w:color w:val="auto"/>
                <w:sz w:val="21"/>
                <w:szCs w:val="21"/>
                <w:lang w:val="en-US"/>
              </w:rPr>
            </w:pPr>
            <w:r>
              <w:rPr>
                <w:rFonts w:hint="eastAsia"/>
                <w:color w:val="auto"/>
                <w:sz w:val="21"/>
                <w:szCs w:val="21"/>
                <w:lang w:val="en-US"/>
              </w:rPr>
              <w:t>5</w:t>
            </w:r>
          </w:p>
        </w:tc>
        <w:tc>
          <w:tcPr>
            <w:tcW w:w="3135" w:type="dxa"/>
            <w:vAlign w:val="center"/>
          </w:tcPr>
          <w:p>
            <w:pPr>
              <w:pStyle w:val="67"/>
              <w:spacing w:before="61"/>
              <w:ind w:left="9"/>
              <w:jc w:val="center"/>
              <w:rPr>
                <w:color w:val="auto"/>
                <w:sz w:val="21"/>
                <w:szCs w:val="21"/>
              </w:rPr>
            </w:pPr>
            <w:r>
              <w:rPr>
                <w:rFonts w:hint="eastAsia"/>
                <w:color w:val="auto"/>
                <w:sz w:val="21"/>
                <w:szCs w:val="21"/>
              </w:rPr>
              <w:t>六门储物柜</w:t>
            </w:r>
          </w:p>
        </w:tc>
        <w:tc>
          <w:tcPr>
            <w:tcW w:w="1066" w:type="dxa"/>
            <w:vAlign w:val="center"/>
          </w:tcPr>
          <w:p>
            <w:pPr>
              <w:pStyle w:val="67"/>
              <w:spacing w:before="241"/>
              <w:ind w:left="7"/>
              <w:jc w:val="center"/>
              <w:rPr>
                <w:color w:val="auto"/>
                <w:sz w:val="21"/>
                <w:szCs w:val="21"/>
              </w:rPr>
            </w:pPr>
            <w:r>
              <w:rPr>
                <w:rFonts w:hint="eastAsia"/>
                <w:color w:val="auto"/>
                <w:sz w:val="21"/>
                <w:szCs w:val="21"/>
              </w:rPr>
              <w:t>个</w:t>
            </w:r>
          </w:p>
        </w:tc>
        <w:tc>
          <w:tcPr>
            <w:tcW w:w="1202" w:type="dxa"/>
            <w:vAlign w:val="center"/>
          </w:tcPr>
          <w:p>
            <w:pPr>
              <w:widowControl/>
              <w:jc w:val="center"/>
              <w:textAlignment w:val="center"/>
              <w:rPr>
                <w:color w:val="auto"/>
                <w:sz w:val="21"/>
                <w:szCs w:val="21"/>
              </w:rPr>
            </w:pPr>
            <w:r>
              <w:rPr>
                <w:rFonts w:hint="eastAsia"/>
                <w:color w:val="auto"/>
                <w:sz w:val="21"/>
                <w:szCs w:val="21"/>
                <w:lang w:val="en-US"/>
              </w:rPr>
              <w:t>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continue"/>
            <w:vAlign w:val="center"/>
          </w:tcPr>
          <w:p>
            <w:pPr>
              <w:pStyle w:val="67"/>
              <w:spacing w:before="224"/>
              <w:ind w:left="11"/>
              <w:jc w:val="center"/>
              <w:rPr>
                <w:color w:val="auto"/>
                <w:sz w:val="21"/>
                <w:szCs w:val="21"/>
                <w:lang w:val="en-US"/>
              </w:rPr>
            </w:pPr>
          </w:p>
        </w:tc>
        <w:tc>
          <w:tcPr>
            <w:tcW w:w="1092" w:type="dxa"/>
            <w:vAlign w:val="center"/>
          </w:tcPr>
          <w:p>
            <w:pPr>
              <w:pStyle w:val="67"/>
              <w:spacing w:before="224"/>
              <w:ind w:left="11"/>
              <w:jc w:val="center"/>
              <w:rPr>
                <w:color w:val="auto"/>
                <w:sz w:val="21"/>
                <w:szCs w:val="21"/>
              </w:rPr>
            </w:pPr>
            <w:r>
              <w:rPr>
                <w:rFonts w:hint="eastAsia"/>
                <w:color w:val="auto"/>
                <w:sz w:val="21"/>
                <w:szCs w:val="21"/>
                <w:lang w:val="en-US"/>
              </w:rPr>
              <w:t>6</w:t>
            </w:r>
          </w:p>
        </w:tc>
        <w:tc>
          <w:tcPr>
            <w:tcW w:w="3135" w:type="dxa"/>
            <w:vAlign w:val="center"/>
          </w:tcPr>
          <w:p>
            <w:pPr>
              <w:pStyle w:val="67"/>
              <w:spacing w:before="250"/>
              <w:ind w:left="123" w:right="111"/>
              <w:jc w:val="center"/>
              <w:rPr>
                <w:color w:val="auto"/>
                <w:sz w:val="21"/>
                <w:szCs w:val="21"/>
              </w:rPr>
            </w:pPr>
            <w:r>
              <w:rPr>
                <w:rFonts w:hint="eastAsia"/>
                <w:color w:val="auto"/>
                <w:sz w:val="21"/>
                <w:szCs w:val="21"/>
              </w:rPr>
              <w:t>椅子</w:t>
            </w:r>
          </w:p>
        </w:tc>
        <w:tc>
          <w:tcPr>
            <w:tcW w:w="1066" w:type="dxa"/>
            <w:vAlign w:val="center"/>
          </w:tcPr>
          <w:p>
            <w:pPr>
              <w:pStyle w:val="67"/>
              <w:spacing w:before="250"/>
              <w:ind w:left="7"/>
              <w:jc w:val="center"/>
              <w:rPr>
                <w:color w:val="auto"/>
                <w:sz w:val="21"/>
                <w:szCs w:val="21"/>
              </w:rPr>
            </w:pPr>
            <w:r>
              <w:rPr>
                <w:rFonts w:hint="eastAsia"/>
                <w:color w:val="auto"/>
                <w:sz w:val="21"/>
                <w:szCs w:val="21"/>
              </w:rPr>
              <w:t>张</w:t>
            </w:r>
          </w:p>
        </w:tc>
        <w:tc>
          <w:tcPr>
            <w:tcW w:w="1202" w:type="dxa"/>
            <w:vAlign w:val="center"/>
          </w:tcPr>
          <w:p>
            <w:pPr>
              <w:widowControl/>
              <w:jc w:val="center"/>
              <w:textAlignment w:val="center"/>
              <w:rPr>
                <w:color w:val="auto"/>
                <w:sz w:val="21"/>
                <w:szCs w:val="21"/>
              </w:rPr>
            </w:pPr>
            <w:r>
              <w:rPr>
                <w:rFonts w:hint="eastAsia"/>
                <w:color w:val="auto"/>
                <w:sz w:val="21"/>
                <w:szCs w:val="21"/>
                <w:lang w:val="en-US"/>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continue"/>
            <w:vAlign w:val="center"/>
          </w:tcPr>
          <w:p>
            <w:pPr>
              <w:pStyle w:val="67"/>
              <w:spacing w:before="224"/>
              <w:ind w:left="11"/>
              <w:jc w:val="center"/>
              <w:rPr>
                <w:color w:val="auto"/>
                <w:sz w:val="21"/>
                <w:szCs w:val="21"/>
                <w:lang w:val="en-US"/>
              </w:rPr>
            </w:pPr>
          </w:p>
        </w:tc>
        <w:tc>
          <w:tcPr>
            <w:tcW w:w="1092" w:type="dxa"/>
            <w:vAlign w:val="center"/>
          </w:tcPr>
          <w:p>
            <w:pPr>
              <w:pStyle w:val="67"/>
              <w:spacing w:before="224"/>
              <w:ind w:left="11"/>
              <w:jc w:val="center"/>
              <w:rPr>
                <w:color w:val="auto"/>
                <w:sz w:val="21"/>
                <w:szCs w:val="21"/>
                <w:lang w:val="en-US"/>
              </w:rPr>
            </w:pPr>
            <w:r>
              <w:rPr>
                <w:rFonts w:hint="eastAsia"/>
                <w:color w:val="auto"/>
                <w:sz w:val="21"/>
                <w:szCs w:val="21"/>
                <w:lang w:val="en-US"/>
              </w:rPr>
              <w:t>7</w:t>
            </w:r>
          </w:p>
        </w:tc>
        <w:tc>
          <w:tcPr>
            <w:tcW w:w="3135" w:type="dxa"/>
            <w:vAlign w:val="center"/>
          </w:tcPr>
          <w:p>
            <w:pPr>
              <w:pStyle w:val="67"/>
              <w:spacing w:before="250"/>
              <w:ind w:left="123" w:right="111"/>
              <w:jc w:val="center"/>
              <w:rPr>
                <w:color w:val="auto"/>
                <w:sz w:val="21"/>
                <w:szCs w:val="21"/>
              </w:rPr>
            </w:pPr>
            <w:r>
              <w:rPr>
                <w:rFonts w:hint="eastAsia"/>
                <w:color w:val="auto"/>
                <w:sz w:val="21"/>
                <w:szCs w:val="21"/>
              </w:rPr>
              <w:t>实木茶几</w:t>
            </w:r>
          </w:p>
        </w:tc>
        <w:tc>
          <w:tcPr>
            <w:tcW w:w="1066" w:type="dxa"/>
            <w:vAlign w:val="center"/>
          </w:tcPr>
          <w:p>
            <w:pPr>
              <w:pStyle w:val="67"/>
              <w:spacing w:before="250"/>
              <w:ind w:left="7"/>
              <w:jc w:val="center"/>
              <w:rPr>
                <w:color w:val="auto"/>
                <w:sz w:val="21"/>
                <w:szCs w:val="21"/>
              </w:rPr>
            </w:pPr>
            <w:r>
              <w:rPr>
                <w:rFonts w:hint="eastAsia"/>
                <w:color w:val="auto"/>
                <w:sz w:val="21"/>
                <w:szCs w:val="21"/>
              </w:rPr>
              <w:t>张</w:t>
            </w:r>
          </w:p>
        </w:tc>
        <w:tc>
          <w:tcPr>
            <w:tcW w:w="1202" w:type="dxa"/>
            <w:vAlign w:val="center"/>
          </w:tcPr>
          <w:p>
            <w:pPr>
              <w:widowControl/>
              <w:jc w:val="center"/>
              <w:textAlignment w:val="center"/>
              <w:rPr>
                <w:color w:val="auto"/>
                <w:sz w:val="21"/>
                <w:szCs w:val="21"/>
              </w:rPr>
            </w:pPr>
            <w:r>
              <w:rPr>
                <w:rFonts w:hint="eastAsia"/>
                <w:color w:val="auto"/>
                <w:sz w:val="21"/>
                <w:szCs w:val="21"/>
                <w:lang w:val="en-US"/>
              </w:rPr>
              <w:t>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restart"/>
            <w:vAlign w:val="center"/>
          </w:tcPr>
          <w:p>
            <w:pPr>
              <w:pStyle w:val="67"/>
              <w:spacing w:before="224"/>
              <w:ind w:left="11"/>
              <w:jc w:val="center"/>
              <w:rPr>
                <w:color w:val="auto"/>
                <w:sz w:val="21"/>
                <w:szCs w:val="21"/>
                <w:lang w:val="en-US"/>
              </w:rPr>
            </w:pPr>
            <w:r>
              <w:rPr>
                <w:rFonts w:hint="eastAsia"/>
                <w:color w:val="auto"/>
                <w:sz w:val="21"/>
                <w:szCs w:val="21"/>
                <w:lang w:val="en-US"/>
              </w:rPr>
              <w:t>C分标</w:t>
            </w:r>
          </w:p>
        </w:tc>
        <w:tc>
          <w:tcPr>
            <w:tcW w:w="1092" w:type="dxa"/>
            <w:vAlign w:val="center"/>
          </w:tcPr>
          <w:p>
            <w:pPr>
              <w:pStyle w:val="67"/>
              <w:spacing w:before="215"/>
              <w:ind w:left="11"/>
              <w:jc w:val="center"/>
              <w:rPr>
                <w:color w:val="auto"/>
                <w:sz w:val="21"/>
                <w:szCs w:val="21"/>
              </w:rPr>
            </w:pPr>
            <w:r>
              <w:rPr>
                <w:rFonts w:hint="eastAsia"/>
                <w:color w:val="auto"/>
                <w:sz w:val="21"/>
                <w:szCs w:val="21"/>
              </w:rPr>
              <w:t>1</w:t>
            </w:r>
          </w:p>
        </w:tc>
        <w:tc>
          <w:tcPr>
            <w:tcW w:w="3135" w:type="dxa"/>
            <w:vAlign w:val="center"/>
          </w:tcPr>
          <w:p>
            <w:pPr>
              <w:pStyle w:val="67"/>
              <w:spacing w:before="62"/>
              <w:ind w:left="9"/>
              <w:jc w:val="center"/>
              <w:rPr>
                <w:color w:val="auto"/>
                <w:sz w:val="21"/>
                <w:szCs w:val="21"/>
              </w:rPr>
            </w:pPr>
            <w:r>
              <w:rPr>
                <w:rFonts w:hint="eastAsia"/>
                <w:color w:val="auto"/>
                <w:sz w:val="21"/>
                <w:szCs w:val="21"/>
              </w:rPr>
              <w:t>三连体学生双层铁架床</w:t>
            </w:r>
          </w:p>
        </w:tc>
        <w:tc>
          <w:tcPr>
            <w:tcW w:w="1066" w:type="dxa"/>
            <w:vAlign w:val="center"/>
          </w:tcPr>
          <w:p>
            <w:pPr>
              <w:pStyle w:val="67"/>
              <w:spacing w:before="242"/>
              <w:ind w:left="7"/>
              <w:jc w:val="center"/>
              <w:rPr>
                <w:color w:val="auto"/>
                <w:sz w:val="21"/>
                <w:szCs w:val="21"/>
              </w:rPr>
            </w:pPr>
            <w:r>
              <w:rPr>
                <w:rFonts w:hint="eastAsia"/>
                <w:color w:val="auto"/>
                <w:sz w:val="21"/>
                <w:szCs w:val="21"/>
              </w:rPr>
              <w:t>套</w:t>
            </w:r>
          </w:p>
        </w:tc>
        <w:tc>
          <w:tcPr>
            <w:tcW w:w="1202" w:type="dxa"/>
            <w:vAlign w:val="center"/>
          </w:tcPr>
          <w:p>
            <w:pPr>
              <w:widowControl/>
              <w:jc w:val="center"/>
              <w:textAlignment w:val="center"/>
              <w:rPr>
                <w:color w:val="auto"/>
              </w:rPr>
            </w:pPr>
            <w:r>
              <w:rPr>
                <w:rFonts w:hint="eastAsia"/>
                <w:color w:val="auto"/>
                <w:lang w:val="en-US"/>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continue"/>
            <w:vAlign w:val="center"/>
          </w:tcPr>
          <w:p>
            <w:pPr>
              <w:pStyle w:val="67"/>
              <w:spacing w:before="224"/>
              <w:ind w:left="11"/>
              <w:jc w:val="center"/>
              <w:rPr>
                <w:color w:val="auto"/>
                <w:sz w:val="21"/>
                <w:szCs w:val="21"/>
                <w:lang w:val="en-US"/>
              </w:rPr>
            </w:pPr>
          </w:p>
        </w:tc>
        <w:tc>
          <w:tcPr>
            <w:tcW w:w="1092" w:type="dxa"/>
            <w:vAlign w:val="center"/>
          </w:tcPr>
          <w:p>
            <w:pPr>
              <w:pStyle w:val="67"/>
              <w:spacing w:before="215"/>
              <w:ind w:left="11"/>
              <w:jc w:val="center"/>
              <w:rPr>
                <w:color w:val="auto"/>
                <w:sz w:val="21"/>
                <w:szCs w:val="21"/>
              </w:rPr>
            </w:pPr>
            <w:r>
              <w:rPr>
                <w:rFonts w:hint="eastAsia"/>
                <w:color w:val="auto"/>
                <w:sz w:val="21"/>
                <w:szCs w:val="21"/>
              </w:rPr>
              <w:t>2</w:t>
            </w:r>
          </w:p>
        </w:tc>
        <w:tc>
          <w:tcPr>
            <w:tcW w:w="3135" w:type="dxa"/>
            <w:vAlign w:val="center"/>
          </w:tcPr>
          <w:p>
            <w:pPr>
              <w:pStyle w:val="67"/>
              <w:spacing w:before="61"/>
              <w:ind w:left="9"/>
              <w:jc w:val="center"/>
              <w:rPr>
                <w:color w:val="auto"/>
                <w:sz w:val="21"/>
                <w:szCs w:val="21"/>
              </w:rPr>
            </w:pPr>
            <w:r>
              <w:rPr>
                <w:rFonts w:hint="eastAsia"/>
                <w:color w:val="auto"/>
                <w:sz w:val="21"/>
                <w:szCs w:val="21"/>
              </w:rPr>
              <w:t>双连体学生双层铁架床</w:t>
            </w:r>
          </w:p>
        </w:tc>
        <w:tc>
          <w:tcPr>
            <w:tcW w:w="1066" w:type="dxa"/>
            <w:vAlign w:val="center"/>
          </w:tcPr>
          <w:p>
            <w:pPr>
              <w:pStyle w:val="67"/>
              <w:spacing w:before="241"/>
              <w:ind w:left="7"/>
              <w:jc w:val="center"/>
              <w:rPr>
                <w:color w:val="auto"/>
                <w:sz w:val="21"/>
                <w:szCs w:val="21"/>
              </w:rPr>
            </w:pPr>
            <w:r>
              <w:rPr>
                <w:rFonts w:hint="eastAsia"/>
                <w:color w:val="auto"/>
                <w:sz w:val="21"/>
                <w:szCs w:val="21"/>
              </w:rPr>
              <w:t>套</w:t>
            </w:r>
          </w:p>
        </w:tc>
        <w:tc>
          <w:tcPr>
            <w:tcW w:w="1202" w:type="dxa"/>
            <w:vAlign w:val="center"/>
          </w:tcPr>
          <w:p>
            <w:pPr>
              <w:widowControl/>
              <w:jc w:val="center"/>
              <w:textAlignment w:val="center"/>
              <w:rPr>
                <w:color w:val="auto"/>
                <w:sz w:val="21"/>
                <w:szCs w:val="21"/>
              </w:rPr>
            </w:pPr>
            <w:r>
              <w:rPr>
                <w:rFonts w:hint="eastAsia"/>
                <w:color w:val="auto"/>
                <w:sz w:val="21"/>
                <w:szCs w:val="21"/>
                <w:lang w:val="en-US"/>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continue"/>
            <w:vAlign w:val="center"/>
          </w:tcPr>
          <w:p>
            <w:pPr>
              <w:pStyle w:val="67"/>
              <w:spacing w:before="224"/>
              <w:ind w:left="11"/>
              <w:jc w:val="center"/>
              <w:rPr>
                <w:color w:val="auto"/>
                <w:sz w:val="21"/>
                <w:szCs w:val="21"/>
                <w:lang w:val="en-US"/>
              </w:rPr>
            </w:pPr>
          </w:p>
        </w:tc>
        <w:tc>
          <w:tcPr>
            <w:tcW w:w="1092" w:type="dxa"/>
            <w:vAlign w:val="center"/>
          </w:tcPr>
          <w:p>
            <w:pPr>
              <w:pStyle w:val="67"/>
              <w:spacing w:before="215"/>
              <w:ind w:left="11"/>
              <w:jc w:val="center"/>
              <w:rPr>
                <w:color w:val="auto"/>
                <w:sz w:val="21"/>
                <w:szCs w:val="21"/>
              </w:rPr>
            </w:pPr>
            <w:r>
              <w:rPr>
                <w:rFonts w:hint="eastAsia"/>
                <w:color w:val="auto"/>
                <w:sz w:val="21"/>
                <w:szCs w:val="21"/>
              </w:rPr>
              <w:t>3</w:t>
            </w:r>
          </w:p>
        </w:tc>
        <w:tc>
          <w:tcPr>
            <w:tcW w:w="3135" w:type="dxa"/>
            <w:vAlign w:val="center"/>
          </w:tcPr>
          <w:p>
            <w:pPr>
              <w:pStyle w:val="67"/>
              <w:spacing w:before="61"/>
              <w:ind w:left="9"/>
              <w:jc w:val="center"/>
              <w:rPr>
                <w:color w:val="auto"/>
                <w:sz w:val="21"/>
                <w:szCs w:val="21"/>
              </w:rPr>
            </w:pPr>
            <w:r>
              <w:rPr>
                <w:rFonts w:hint="eastAsia"/>
                <w:color w:val="auto"/>
                <w:sz w:val="21"/>
                <w:szCs w:val="21"/>
              </w:rPr>
              <w:t>单连体学生双层铁架床</w:t>
            </w:r>
          </w:p>
        </w:tc>
        <w:tc>
          <w:tcPr>
            <w:tcW w:w="1066" w:type="dxa"/>
            <w:vAlign w:val="center"/>
          </w:tcPr>
          <w:p>
            <w:pPr>
              <w:pStyle w:val="67"/>
              <w:spacing w:before="241"/>
              <w:ind w:left="7"/>
              <w:jc w:val="center"/>
              <w:rPr>
                <w:color w:val="auto"/>
                <w:sz w:val="21"/>
                <w:szCs w:val="21"/>
              </w:rPr>
            </w:pPr>
            <w:r>
              <w:rPr>
                <w:rFonts w:hint="eastAsia"/>
                <w:color w:val="auto"/>
                <w:sz w:val="21"/>
                <w:szCs w:val="21"/>
              </w:rPr>
              <w:t>套</w:t>
            </w:r>
          </w:p>
        </w:tc>
        <w:tc>
          <w:tcPr>
            <w:tcW w:w="1202" w:type="dxa"/>
            <w:vAlign w:val="center"/>
          </w:tcPr>
          <w:p>
            <w:pPr>
              <w:widowControl/>
              <w:jc w:val="center"/>
              <w:textAlignment w:val="center"/>
              <w:rPr>
                <w:color w:val="auto"/>
                <w:sz w:val="21"/>
                <w:szCs w:val="21"/>
              </w:rPr>
            </w:pPr>
            <w:r>
              <w:rPr>
                <w:rFonts w:hint="eastAsia"/>
                <w:color w:val="auto"/>
                <w:sz w:val="21"/>
                <w:szCs w:val="21"/>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continue"/>
            <w:vAlign w:val="center"/>
          </w:tcPr>
          <w:p>
            <w:pPr>
              <w:pStyle w:val="67"/>
              <w:spacing w:before="224"/>
              <w:ind w:left="11"/>
              <w:jc w:val="center"/>
              <w:rPr>
                <w:color w:val="auto"/>
                <w:sz w:val="21"/>
                <w:szCs w:val="21"/>
                <w:lang w:val="en-US"/>
              </w:rPr>
            </w:pPr>
          </w:p>
        </w:tc>
        <w:tc>
          <w:tcPr>
            <w:tcW w:w="1092" w:type="dxa"/>
            <w:vAlign w:val="center"/>
          </w:tcPr>
          <w:p>
            <w:pPr>
              <w:pStyle w:val="67"/>
              <w:spacing w:before="215"/>
              <w:ind w:left="11"/>
              <w:jc w:val="center"/>
              <w:rPr>
                <w:color w:val="auto"/>
                <w:sz w:val="21"/>
                <w:szCs w:val="21"/>
                <w:lang w:val="en-US"/>
              </w:rPr>
            </w:pPr>
            <w:r>
              <w:rPr>
                <w:rFonts w:hint="eastAsia"/>
                <w:color w:val="auto"/>
                <w:sz w:val="21"/>
                <w:szCs w:val="21"/>
                <w:lang w:val="en-US"/>
              </w:rPr>
              <w:t>4</w:t>
            </w:r>
          </w:p>
        </w:tc>
        <w:tc>
          <w:tcPr>
            <w:tcW w:w="3135" w:type="dxa"/>
            <w:vAlign w:val="center"/>
          </w:tcPr>
          <w:p>
            <w:pPr>
              <w:pStyle w:val="67"/>
              <w:spacing w:before="61"/>
              <w:ind w:left="9"/>
              <w:jc w:val="center"/>
              <w:rPr>
                <w:color w:val="auto"/>
                <w:sz w:val="21"/>
                <w:szCs w:val="21"/>
              </w:rPr>
            </w:pPr>
            <w:r>
              <w:rPr>
                <w:rFonts w:hint="eastAsia"/>
                <w:color w:val="auto"/>
                <w:sz w:val="21"/>
                <w:szCs w:val="21"/>
              </w:rPr>
              <w:t>二连组合柜</w:t>
            </w:r>
          </w:p>
        </w:tc>
        <w:tc>
          <w:tcPr>
            <w:tcW w:w="1066" w:type="dxa"/>
            <w:vAlign w:val="center"/>
          </w:tcPr>
          <w:p>
            <w:pPr>
              <w:pStyle w:val="67"/>
              <w:spacing w:before="241"/>
              <w:ind w:left="7"/>
              <w:jc w:val="center"/>
              <w:rPr>
                <w:color w:val="auto"/>
                <w:sz w:val="21"/>
                <w:szCs w:val="21"/>
              </w:rPr>
            </w:pPr>
            <w:r>
              <w:rPr>
                <w:rFonts w:hint="eastAsia"/>
                <w:color w:val="auto"/>
                <w:sz w:val="21"/>
                <w:szCs w:val="21"/>
              </w:rPr>
              <w:t>组</w:t>
            </w:r>
          </w:p>
        </w:tc>
        <w:tc>
          <w:tcPr>
            <w:tcW w:w="1202" w:type="dxa"/>
            <w:vAlign w:val="center"/>
          </w:tcPr>
          <w:p>
            <w:pPr>
              <w:widowControl/>
              <w:jc w:val="center"/>
              <w:textAlignment w:val="center"/>
              <w:rPr>
                <w:color w:val="auto"/>
                <w:sz w:val="21"/>
                <w:szCs w:val="21"/>
              </w:rPr>
            </w:pPr>
            <w:r>
              <w:rPr>
                <w:rFonts w:hint="eastAsia"/>
                <w:color w:val="auto"/>
                <w:sz w:val="21"/>
                <w:szCs w:val="21"/>
                <w:lang w:val="en-US"/>
              </w:rPr>
              <w:t>954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continue"/>
            <w:vAlign w:val="center"/>
          </w:tcPr>
          <w:p>
            <w:pPr>
              <w:pStyle w:val="67"/>
              <w:spacing w:before="224"/>
              <w:ind w:left="11"/>
              <w:jc w:val="center"/>
              <w:rPr>
                <w:color w:val="auto"/>
                <w:sz w:val="21"/>
                <w:szCs w:val="21"/>
                <w:lang w:val="en-US"/>
              </w:rPr>
            </w:pPr>
          </w:p>
        </w:tc>
        <w:tc>
          <w:tcPr>
            <w:tcW w:w="1092" w:type="dxa"/>
            <w:vAlign w:val="center"/>
          </w:tcPr>
          <w:p>
            <w:pPr>
              <w:pStyle w:val="67"/>
              <w:spacing w:before="215"/>
              <w:ind w:left="11"/>
              <w:jc w:val="center"/>
              <w:rPr>
                <w:color w:val="auto"/>
                <w:sz w:val="21"/>
                <w:szCs w:val="21"/>
                <w:lang w:val="en-US"/>
              </w:rPr>
            </w:pPr>
            <w:r>
              <w:rPr>
                <w:rFonts w:hint="eastAsia"/>
                <w:color w:val="auto"/>
                <w:sz w:val="21"/>
                <w:szCs w:val="21"/>
                <w:lang w:val="en-US"/>
              </w:rPr>
              <w:t>5</w:t>
            </w:r>
          </w:p>
        </w:tc>
        <w:tc>
          <w:tcPr>
            <w:tcW w:w="3135" w:type="dxa"/>
            <w:vAlign w:val="center"/>
          </w:tcPr>
          <w:p>
            <w:pPr>
              <w:pStyle w:val="67"/>
              <w:spacing w:before="61"/>
              <w:ind w:left="9"/>
              <w:jc w:val="center"/>
              <w:rPr>
                <w:color w:val="auto"/>
                <w:sz w:val="21"/>
                <w:szCs w:val="21"/>
              </w:rPr>
            </w:pPr>
            <w:r>
              <w:rPr>
                <w:rFonts w:hint="eastAsia"/>
                <w:color w:val="auto"/>
                <w:sz w:val="21"/>
                <w:szCs w:val="21"/>
              </w:rPr>
              <w:t>六门储物柜</w:t>
            </w:r>
          </w:p>
        </w:tc>
        <w:tc>
          <w:tcPr>
            <w:tcW w:w="1066" w:type="dxa"/>
            <w:vAlign w:val="center"/>
          </w:tcPr>
          <w:p>
            <w:pPr>
              <w:pStyle w:val="67"/>
              <w:spacing w:before="241"/>
              <w:ind w:left="7"/>
              <w:jc w:val="center"/>
              <w:rPr>
                <w:color w:val="auto"/>
                <w:sz w:val="21"/>
                <w:szCs w:val="21"/>
              </w:rPr>
            </w:pPr>
            <w:r>
              <w:rPr>
                <w:rFonts w:hint="eastAsia"/>
                <w:color w:val="auto"/>
                <w:sz w:val="21"/>
                <w:szCs w:val="21"/>
              </w:rPr>
              <w:t>个</w:t>
            </w:r>
          </w:p>
        </w:tc>
        <w:tc>
          <w:tcPr>
            <w:tcW w:w="1202" w:type="dxa"/>
            <w:vAlign w:val="center"/>
          </w:tcPr>
          <w:p>
            <w:pPr>
              <w:widowControl/>
              <w:jc w:val="center"/>
              <w:textAlignment w:val="center"/>
              <w:rPr>
                <w:color w:val="auto"/>
                <w:sz w:val="21"/>
                <w:szCs w:val="21"/>
              </w:rPr>
            </w:pPr>
            <w:r>
              <w:rPr>
                <w:rFonts w:hint="eastAsia"/>
                <w:color w:val="auto"/>
                <w:sz w:val="21"/>
                <w:szCs w:val="21"/>
                <w:lang w:val="en-US"/>
              </w:rPr>
              <w:t>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continue"/>
            <w:vAlign w:val="center"/>
          </w:tcPr>
          <w:p>
            <w:pPr>
              <w:pStyle w:val="67"/>
              <w:spacing w:before="224"/>
              <w:ind w:left="11"/>
              <w:jc w:val="center"/>
              <w:rPr>
                <w:color w:val="auto"/>
                <w:sz w:val="21"/>
                <w:szCs w:val="21"/>
                <w:lang w:val="en-US"/>
              </w:rPr>
            </w:pPr>
          </w:p>
        </w:tc>
        <w:tc>
          <w:tcPr>
            <w:tcW w:w="1092" w:type="dxa"/>
            <w:vAlign w:val="center"/>
          </w:tcPr>
          <w:p>
            <w:pPr>
              <w:pStyle w:val="67"/>
              <w:spacing w:before="224"/>
              <w:ind w:left="11"/>
              <w:jc w:val="center"/>
              <w:rPr>
                <w:color w:val="auto"/>
                <w:sz w:val="21"/>
                <w:szCs w:val="21"/>
              </w:rPr>
            </w:pPr>
            <w:r>
              <w:rPr>
                <w:rFonts w:hint="eastAsia"/>
                <w:color w:val="auto"/>
                <w:sz w:val="21"/>
                <w:szCs w:val="21"/>
                <w:lang w:val="en-US"/>
              </w:rPr>
              <w:t>6</w:t>
            </w:r>
          </w:p>
        </w:tc>
        <w:tc>
          <w:tcPr>
            <w:tcW w:w="3135" w:type="dxa"/>
            <w:vAlign w:val="center"/>
          </w:tcPr>
          <w:p>
            <w:pPr>
              <w:pStyle w:val="67"/>
              <w:spacing w:before="250"/>
              <w:ind w:left="123" w:right="111"/>
              <w:jc w:val="center"/>
              <w:rPr>
                <w:color w:val="auto"/>
                <w:sz w:val="21"/>
                <w:szCs w:val="21"/>
              </w:rPr>
            </w:pPr>
            <w:r>
              <w:rPr>
                <w:rFonts w:hint="eastAsia"/>
                <w:color w:val="auto"/>
                <w:sz w:val="21"/>
                <w:szCs w:val="21"/>
              </w:rPr>
              <w:t>椅子</w:t>
            </w:r>
          </w:p>
        </w:tc>
        <w:tc>
          <w:tcPr>
            <w:tcW w:w="1066" w:type="dxa"/>
            <w:vAlign w:val="center"/>
          </w:tcPr>
          <w:p>
            <w:pPr>
              <w:pStyle w:val="67"/>
              <w:spacing w:before="250"/>
              <w:ind w:left="7"/>
              <w:jc w:val="center"/>
              <w:rPr>
                <w:color w:val="auto"/>
                <w:sz w:val="21"/>
                <w:szCs w:val="21"/>
              </w:rPr>
            </w:pPr>
            <w:r>
              <w:rPr>
                <w:rFonts w:hint="eastAsia"/>
                <w:color w:val="auto"/>
                <w:sz w:val="21"/>
                <w:szCs w:val="21"/>
              </w:rPr>
              <w:t>张</w:t>
            </w:r>
          </w:p>
        </w:tc>
        <w:tc>
          <w:tcPr>
            <w:tcW w:w="1202" w:type="dxa"/>
            <w:vAlign w:val="center"/>
          </w:tcPr>
          <w:p>
            <w:pPr>
              <w:widowControl/>
              <w:jc w:val="center"/>
              <w:textAlignment w:val="center"/>
              <w:rPr>
                <w:color w:val="auto"/>
                <w:sz w:val="21"/>
                <w:szCs w:val="21"/>
              </w:rPr>
            </w:pPr>
            <w:r>
              <w:rPr>
                <w:rFonts w:hint="eastAsia"/>
                <w:color w:val="auto"/>
                <w:sz w:val="21"/>
                <w:szCs w:val="21"/>
                <w:lang w:val="en-US"/>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2" w:type="dxa"/>
            <w:vMerge w:val="continue"/>
          </w:tcPr>
          <w:p>
            <w:pPr>
              <w:pStyle w:val="67"/>
              <w:spacing w:before="224"/>
              <w:ind w:left="11"/>
              <w:jc w:val="center"/>
              <w:rPr>
                <w:color w:val="auto"/>
                <w:sz w:val="21"/>
                <w:szCs w:val="21"/>
                <w:lang w:val="en-US"/>
              </w:rPr>
            </w:pPr>
          </w:p>
        </w:tc>
        <w:tc>
          <w:tcPr>
            <w:tcW w:w="1092" w:type="dxa"/>
            <w:vAlign w:val="center"/>
          </w:tcPr>
          <w:p>
            <w:pPr>
              <w:pStyle w:val="67"/>
              <w:spacing w:before="224"/>
              <w:ind w:left="11"/>
              <w:jc w:val="center"/>
              <w:rPr>
                <w:color w:val="auto"/>
                <w:sz w:val="21"/>
                <w:szCs w:val="21"/>
                <w:lang w:val="en-US"/>
              </w:rPr>
            </w:pPr>
            <w:r>
              <w:rPr>
                <w:rFonts w:hint="eastAsia"/>
                <w:color w:val="auto"/>
                <w:sz w:val="21"/>
                <w:szCs w:val="21"/>
                <w:lang w:val="en-US"/>
              </w:rPr>
              <w:t>7</w:t>
            </w:r>
          </w:p>
        </w:tc>
        <w:tc>
          <w:tcPr>
            <w:tcW w:w="3135" w:type="dxa"/>
            <w:vAlign w:val="center"/>
          </w:tcPr>
          <w:p>
            <w:pPr>
              <w:pStyle w:val="67"/>
              <w:spacing w:before="250"/>
              <w:ind w:left="123" w:right="111"/>
              <w:jc w:val="center"/>
              <w:rPr>
                <w:color w:val="auto"/>
                <w:sz w:val="21"/>
                <w:szCs w:val="21"/>
              </w:rPr>
            </w:pPr>
            <w:r>
              <w:rPr>
                <w:rFonts w:hint="eastAsia"/>
                <w:color w:val="auto"/>
                <w:sz w:val="21"/>
                <w:szCs w:val="21"/>
              </w:rPr>
              <w:t>实木茶几</w:t>
            </w:r>
          </w:p>
        </w:tc>
        <w:tc>
          <w:tcPr>
            <w:tcW w:w="1066" w:type="dxa"/>
            <w:vAlign w:val="center"/>
          </w:tcPr>
          <w:p>
            <w:pPr>
              <w:pStyle w:val="67"/>
              <w:spacing w:before="250"/>
              <w:ind w:left="7"/>
              <w:jc w:val="center"/>
              <w:rPr>
                <w:color w:val="auto"/>
                <w:sz w:val="21"/>
                <w:szCs w:val="21"/>
              </w:rPr>
            </w:pPr>
            <w:r>
              <w:rPr>
                <w:rFonts w:hint="eastAsia"/>
                <w:color w:val="auto"/>
                <w:sz w:val="21"/>
                <w:szCs w:val="21"/>
              </w:rPr>
              <w:t>张</w:t>
            </w:r>
          </w:p>
        </w:tc>
        <w:tc>
          <w:tcPr>
            <w:tcW w:w="1202" w:type="dxa"/>
            <w:vAlign w:val="center"/>
          </w:tcPr>
          <w:p>
            <w:pPr>
              <w:widowControl/>
              <w:jc w:val="center"/>
              <w:textAlignment w:val="center"/>
              <w:rPr>
                <w:color w:val="auto"/>
                <w:sz w:val="21"/>
                <w:szCs w:val="21"/>
              </w:rPr>
            </w:pPr>
            <w:r>
              <w:rPr>
                <w:rFonts w:hint="eastAsia"/>
                <w:color w:val="auto"/>
                <w:sz w:val="21"/>
                <w:szCs w:val="21"/>
                <w:lang w:val="en-US"/>
              </w:rPr>
              <w:t>334</w:t>
            </w:r>
          </w:p>
        </w:tc>
      </w:tr>
    </w:tbl>
    <w:p>
      <w:pPr>
        <w:pStyle w:val="2"/>
        <w:rPr>
          <w:rFonts w:hint="eastAsia"/>
          <w:color w:val="auto"/>
        </w:rPr>
      </w:pPr>
    </w:p>
    <w:p>
      <w:pPr>
        <w:pStyle w:val="2"/>
        <w:rPr>
          <w:rFonts w:hint="eastAsia"/>
          <w:color w:val="auto"/>
        </w:rPr>
      </w:pPr>
    </w:p>
    <w:tbl>
      <w:tblPr>
        <w:tblStyle w:val="26"/>
        <w:tblW w:w="11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315"/>
        <w:gridCol w:w="7087"/>
        <w:gridCol w:w="1036"/>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Align w:val="center"/>
          </w:tcPr>
          <w:p>
            <w:pPr>
              <w:spacing w:line="340" w:lineRule="exact"/>
              <w:jc w:val="center"/>
              <w:rPr>
                <w:rFonts w:ascii="Times New Roman" w:eastAsia="Times New Roman"/>
                <w:color w:val="auto"/>
                <w:szCs w:val="21"/>
                <w:lang w:eastAsia="en-US"/>
              </w:rPr>
            </w:pPr>
            <w:r>
              <w:rPr>
                <w:rFonts w:hint="eastAsia"/>
                <w:color w:val="auto"/>
                <w:szCs w:val="21"/>
              </w:rPr>
              <w:t>项号</w:t>
            </w:r>
          </w:p>
        </w:tc>
        <w:tc>
          <w:tcPr>
            <w:tcW w:w="1315" w:type="dxa"/>
            <w:vAlign w:val="center"/>
          </w:tcPr>
          <w:p>
            <w:pPr>
              <w:spacing w:line="340" w:lineRule="exact"/>
              <w:jc w:val="center"/>
              <w:rPr>
                <w:rFonts w:ascii="Times New Roman" w:eastAsia="Times New Roman"/>
                <w:color w:val="auto"/>
                <w:szCs w:val="21"/>
                <w:lang w:eastAsia="en-US"/>
              </w:rPr>
            </w:pPr>
            <w:r>
              <w:rPr>
                <w:rFonts w:hint="eastAsia"/>
                <w:color w:val="auto"/>
                <w:szCs w:val="21"/>
              </w:rPr>
              <w:t>货物名称</w:t>
            </w:r>
          </w:p>
        </w:tc>
        <w:tc>
          <w:tcPr>
            <w:tcW w:w="7087" w:type="dxa"/>
            <w:vAlign w:val="center"/>
          </w:tcPr>
          <w:p>
            <w:pPr>
              <w:spacing w:line="340" w:lineRule="exact"/>
              <w:jc w:val="center"/>
              <w:rPr>
                <w:rFonts w:ascii="Times New Roman" w:eastAsia="Times New Roman"/>
                <w:color w:val="auto"/>
                <w:szCs w:val="21"/>
                <w:lang w:eastAsia="en-US"/>
              </w:rPr>
            </w:pPr>
            <w:r>
              <w:rPr>
                <w:rFonts w:hint="eastAsia"/>
                <w:color w:val="auto"/>
                <w:szCs w:val="21"/>
              </w:rPr>
              <w:t>技术参数、性能、配置</w:t>
            </w:r>
          </w:p>
        </w:tc>
        <w:tc>
          <w:tcPr>
            <w:tcW w:w="1036" w:type="dxa"/>
            <w:vAlign w:val="center"/>
          </w:tcPr>
          <w:p>
            <w:pPr>
              <w:spacing w:line="340" w:lineRule="exact"/>
              <w:jc w:val="center"/>
              <w:rPr>
                <w:rFonts w:hint="default" w:eastAsia="宋体"/>
                <w:color w:val="auto"/>
                <w:szCs w:val="21"/>
                <w:lang w:val="en-US" w:eastAsia="zh-CN"/>
              </w:rPr>
            </w:pPr>
            <w:r>
              <w:rPr>
                <w:rFonts w:hint="eastAsia"/>
                <w:color w:val="auto"/>
                <w:szCs w:val="21"/>
                <w:lang w:val="en-US" w:eastAsia="zh-CN"/>
              </w:rPr>
              <w:t>数量及单位</w:t>
            </w:r>
          </w:p>
        </w:tc>
        <w:tc>
          <w:tcPr>
            <w:tcW w:w="1239" w:type="dxa"/>
            <w:vAlign w:val="center"/>
          </w:tcPr>
          <w:p>
            <w:pPr>
              <w:spacing w:line="340" w:lineRule="exact"/>
              <w:jc w:val="center"/>
              <w:rPr>
                <w:rFonts w:hint="default" w:eastAsia="宋体"/>
                <w:color w:val="auto"/>
                <w:szCs w:val="21"/>
                <w:lang w:val="en-US" w:eastAsia="zh-CN"/>
              </w:rPr>
            </w:pPr>
            <w:r>
              <w:rPr>
                <w:rFonts w:hint="eastAsia"/>
                <w:color w:val="auto"/>
                <w:szCs w:val="21"/>
                <w:lang w:val="en-US" w:eastAsia="zh-CN"/>
              </w:rPr>
              <w:t>参考单价（元）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Align w:val="center"/>
          </w:tcPr>
          <w:p>
            <w:pPr>
              <w:spacing w:line="340" w:lineRule="exact"/>
              <w:jc w:val="center"/>
              <w:rPr>
                <w:color w:val="auto"/>
                <w:szCs w:val="21"/>
                <w:lang w:val="en-US"/>
              </w:rPr>
            </w:pPr>
            <w:r>
              <w:rPr>
                <w:rFonts w:hint="eastAsia"/>
                <w:color w:val="auto"/>
                <w:szCs w:val="21"/>
                <w:lang w:val="en-US"/>
              </w:rPr>
              <w:t>1</w:t>
            </w:r>
          </w:p>
        </w:tc>
        <w:tc>
          <w:tcPr>
            <w:tcW w:w="1315" w:type="dxa"/>
            <w:vAlign w:val="center"/>
          </w:tcPr>
          <w:p>
            <w:pPr>
              <w:spacing w:line="340" w:lineRule="exact"/>
              <w:jc w:val="center"/>
              <w:rPr>
                <w:color w:val="auto"/>
                <w:szCs w:val="21"/>
              </w:rPr>
            </w:pPr>
            <w:r>
              <w:rPr>
                <w:rFonts w:hint="eastAsia"/>
                <w:color w:val="auto"/>
                <w:sz w:val="21"/>
                <w:szCs w:val="21"/>
              </w:rPr>
              <w:t>三连体学生双层铁架床</w:t>
            </w:r>
          </w:p>
        </w:tc>
        <w:tc>
          <w:tcPr>
            <w:tcW w:w="7087" w:type="dxa"/>
            <w:vAlign w:val="center"/>
          </w:tcPr>
          <w:p>
            <w:pPr>
              <w:spacing w:line="340" w:lineRule="exact"/>
              <w:jc w:val="both"/>
              <w:rPr>
                <w:color w:val="auto"/>
                <w:sz w:val="21"/>
                <w:szCs w:val="21"/>
              </w:rPr>
            </w:pPr>
            <w:r>
              <w:rPr>
                <w:rFonts w:hint="eastAsia"/>
                <w:color w:val="auto"/>
                <w:sz w:val="21"/>
                <w:szCs w:val="21"/>
              </w:rPr>
              <w:t>一、外观规格尺寸：（长×宽×高）：</w:t>
            </w:r>
            <w:r>
              <w:rPr>
                <w:rFonts w:hint="eastAsia"/>
                <w:color w:val="auto"/>
                <w:sz w:val="21"/>
                <w:szCs w:val="21"/>
                <w:lang w:val="en-US"/>
              </w:rPr>
              <w:t>60</w:t>
            </w:r>
            <w:r>
              <w:rPr>
                <w:rFonts w:hint="eastAsia"/>
                <w:color w:val="auto"/>
                <w:sz w:val="21"/>
                <w:szCs w:val="21"/>
              </w:rPr>
              <w:t>00mm×900mm×1900mm（以上尺寸允许</w:t>
            </w:r>
            <w:r>
              <w:rPr>
                <w:rFonts w:hint="eastAsia"/>
                <w:color w:val="auto"/>
                <w:sz w:val="21"/>
                <w:szCs w:val="21"/>
                <w:lang w:val="en-US"/>
              </w:rPr>
              <w:t>偏差±</w:t>
            </w:r>
            <w:r>
              <w:rPr>
                <w:rFonts w:hint="eastAsia"/>
                <w:color w:val="auto"/>
                <w:sz w:val="21"/>
                <w:szCs w:val="21"/>
              </w:rPr>
              <w:t>5mm）；</w:t>
            </w:r>
          </w:p>
          <w:p>
            <w:pPr>
              <w:spacing w:line="340" w:lineRule="exact"/>
              <w:jc w:val="both"/>
              <w:rPr>
                <w:color w:val="auto"/>
                <w:sz w:val="21"/>
                <w:szCs w:val="21"/>
              </w:rPr>
            </w:pPr>
            <w:r>
              <w:rPr>
                <w:rFonts w:hint="eastAsia"/>
                <w:color w:val="auto"/>
                <w:sz w:val="21"/>
                <w:szCs w:val="21"/>
              </w:rPr>
              <w:t>二、材质要求：</w:t>
            </w:r>
          </w:p>
          <w:p>
            <w:pPr>
              <w:spacing w:line="340" w:lineRule="exact"/>
              <w:jc w:val="both"/>
              <w:rPr>
                <w:color w:val="auto"/>
                <w:sz w:val="21"/>
                <w:szCs w:val="21"/>
              </w:rPr>
            </w:pPr>
            <w:r>
              <w:rPr>
                <w:rFonts w:hint="eastAsia"/>
                <w:color w:val="auto"/>
                <w:sz w:val="21"/>
                <w:szCs w:val="21"/>
              </w:rPr>
              <w:t>1、钢架床材质要求为冷轧钢材，所用冷轧钢材性能应符合相应国家标准；钢架床的质量应符合相应国家金属家具技术条件标准和学生公寓家具标准。各钢件经除油、除锈、酸洗、陶化等工序,经防锈处理，外层采用聚脂环氧粉末静电喷塑处理，防止生锈、腐蚀。颜色可选。焊接表面光滑无毛刺，焊接处无夹渣、气孔、焊瘤、焊丝头咬边飞溅，并保证无脱焊、虚焊及焊穿等现象。</w:t>
            </w:r>
          </w:p>
          <w:p>
            <w:pPr>
              <w:spacing w:line="340" w:lineRule="exact"/>
              <w:jc w:val="both"/>
              <w:rPr>
                <w:color w:val="auto"/>
                <w:sz w:val="21"/>
                <w:szCs w:val="21"/>
              </w:rPr>
            </w:pPr>
            <w:r>
              <w:rPr>
                <w:rFonts w:hint="eastAsia"/>
                <w:color w:val="auto"/>
                <w:sz w:val="21"/>
                <w:szCs w:val="21"/>
              </w:rPr>
              <w:t>2、塑粉要求：铅：≤90mg/kg，镉：≤75mg/kg，铬≤60mg/kg，汞≤60mg/kg。</w:t>
            </w:r>
          </w:p>
          <w:p>
            <w:pPr>
              <w:spacing w:line="340" w:lineRule="exact"/>
              <w:jc w:val="both"/>
              <w:rPr>
                <w:color w:val="auto"/>
                <w:sz w:val="21"/>
                <w:szCs w:val="21"/>
                <w:lang w:val="en-US"/>
              </w:rPr>
            </w:pPr>
            <w:r>
              <w:rPr>
                <w:rFonts w:hint="eastAsia"/>
                <w:color w:val="auto"/>
                <w:sz w:val="21"/>
                <w:szCs w:val="21"/>
              </w:rPr>
              <w:t>三、部件要求：（</w:t>
            </w:r>
            <w:r>
              <w:rPr>
                <w:rFonts w:hint="eastAsia"/>
                <w:color w:val="auto"/>
                <w:sz w:val="21"/>
                <w:szCs w:val="21"/>
                <w:lang w:val="en-US"/>
              </w:rPr>
              <w:t>所有金属部件厚度要求均为裸材尺寸</w:t>
            </w:r>
            <w:r>
              <w:rPr>
                <w:rFonts w:hint="eastAsia"/>
                <w:color w:val="auto"/>
                <w:sz w:val="21"/>
                <w:szCs w:val="21"/>
              </w:rPr>
              <w:t>）</w:t>
            </w:r>
          </w:p>
          <w:p>
            <w:pPr>
              <w:spacing w:line="340" w:lineRule="exact"/>
              <w:jc w:val="both"/>
              <w:rPr>
                <w:color w:val="auto"/>
                <w:sz w:val="21"/>
                <w:szCs w:val="21"/>
              </w:rPr>
            </w:pPr>
            <w:r>
              <w:rPr>
                <w:rFonts w:hint="eastAsia"/>
                <w:color w:val="auto"/>
                <w:sz w:val="21"/>
                <w:szCs w:val="21"/>
              </w:rPr>
              <w:t>1、床立柱：</w:t>
            </w:r>
          </w:p>
          <w:p>
            <w:pPr>
              <w:numPr>
                <w:ilvl w:val="0"/>
                <w:numId w:val="7"/>
              </w:numPr>
              <w:spacing w:line="340" w:lineRule="exact"/>
              <w:jc w:val="both"/>
              <w:rPr>
                <w:color w:val="auto"/>
                <w:sz w:val="21"/>
                <w:szCs w:val="21"/>
              </w:rPr>
            </w:pPr>
            <w:r>
              <w:rPr>
                <w:rFonts w:hint="eastAsia"/>
                <w:color w:val="auto"/>
                <w:sz w:val="21"/>
                <w:szCs w:val="21"/>
              </w:rPr>
              <w:t>采用型材（冷轧钢板）边立柱</w:t>
            </w:r>
            <w:r>
              <w:rPr>
                <w:rFonts w:hint="eastAsia"/>
                <w:color w:val="auto"/>
                <w:szCs w:val="21"/>
              </w:rPr>
              <w:t>≥</w:t>
            </w:r>
            <w:r>
              <w:rPr>
                <w:rFonts w:hint="eastAsia"/>
                <w:color w:val="auto"/>
                <w:sz w:val="21"/>
                <w:szCs w:val="21"/>
              </w:rPr>
              <w:t>7</w:t>
            </w:r>
            <w:r>
              <w:rPr>
                <w:rFonts w:hint="eastAsia"/>
                <w:color w:val="auto"/>
                <w:sz w:val="21"/>
                <w:szCs w:val="21"/>
                <w:lang w:val="en-US" w:eastAsia="zh-CN"/>
              </w:rPr>
              <w:t>0</w:t>
            </w:r>
            <w:r>
              <w:rPr>
                <w:rFonts w:hint="eastAsia"/>
                <w:color w:val="auto"/>
                <w:sz w:val="21"/>
                <w:szCs w:val="21"/>
                <w:lang w:val="en-US"/>
              </w:rPr>
              <w:t>mm</w:t>
            </w:r>
            <w:r>
              <w:rPr>
                <w:rFonts w:hint="eastAsia"/>
                <w:color w:val="auto"/>
                <w:sz w:val="21"/>
                <w:szCs w:val="21"/>
              </w:rPr>
              <w:t>×7</w:t>
            </w:r>
            <w:r>
              <w:rPr>
                <w:rFonts w:hint="eastAsia"/>
                <w:color w:val="auto"/>
                <w:sz w:val="21"/>
                <w:szCs w:val="21"/>
                <w:lang w:val="en-US" w:eastAsia="zh-CN"/>
              </w:rPr>
              <w:t>0</w:t>
            </w:r>
            <w:r>
              <w:rPr>
                <w:rFonts w:hint="eastAsia"/>
                <w:color w:val="auto"/>
                <w:sz w:val="21"/>
                <w:szCs w:val="21"/>
              </w:rPr>
              <w:t>mm，</w:t>
            </w:r>
            <w:r>
              <w:rPr>
                <w:rFonts w:hint="eastAsia"/>
                <w:color w:val="auto"/>
                <w:sz w:val="21"/>
                <w:szCs w:val="21"/>
                <w:lang w:val="en-US"/>
              </w:rPr>
              <w:t>管壁</w:t>
            </w:r>
            <w:r>
              <w:rPr>
                <w:rFonts w:hint="eastAsia"/>
                <w:color w:val="auto"/>
                <w:sz w:val="21"/>
                <w:szCs w:val="21"/>
              </w:rPr>
              <w:t>厚度≥1.2mm高频焊接封口型管材(立柱上有两条宽加强筋，加强筋越大，刚性越强，防止生锈、腐蚀）；中立柱：≥</w:t>
            </w:r>
            <w:r>
              <w:rPr>
                <w:rFonts w:hint="eastAsia"/>
                <w:color w:val="auto"/>
                <w:sz w:val="21"/>
                <w:szCs w:val="21"/>
                <w:lang w:val="en-US"/>
              </w:rPr>
              <w:t>40mm</w:t>
            </w:r>
            <w:r>
              <w:rPr>
                <w:rFonts w:hint="eastAsia"/>
                <w:color w:val="auto"/>
                <w:sz w:val="21"/>
                <w:szCs w:val="21"/>
              </w:rPr>
              <w:t>×</w:t>
            </w:r>
            <w:r>
              <w:rPr>
                <w:rFonts w:hint="eastAsia"/>
                <w:color w:val="auto"/>
                <w:sz w:val="21"/>
                <w:szCs w:val="21"/>
                <w:lang w:val="en-US"/>
              </w:rPr>
              <w:t>80</w:t>
            </w:r>
            <w:r>
              <w:rPr>
                <w:rFonts w:hint="eastAsia"/>
                <w:color w:val="auto"/>
                <w:sz w:val="21"/>
                <w:szCs w:val="21"/>
              </w:rPr>
              <w:t>mm，</w:t>
            </w:r>
            <w:r>
              <w:rPr>
                <w:rFonts w:hint="eastAsia"/>
                <w:color w:val="auto"/>
                <w:sz w:val="21"/>
                <w:szCs w:val="21"/>
                <w:lang w:val="en-US"/>
              </w:rPr>
              <w:t>管壁</w:t>
            </w:r>
            <w:r>
              <w:rPr>
                <w:rFonts w:hint="eastAsia"/>
                <w:color w:val="auto"/>
                <w:sz w:val="21"/>
                <w:szCs w:val="21"/>
              </w:rPr>
              <w:t>厚度≥1.2mm。</w:t>
            </w:r>
          </w:p>
          <w:p>
            <w:pPr>
              <w:numPr>
                <w:ilvl w:val="0"/>
                <w:numId w:val="7"/>
              </w:numPr>
              <w:spacing w:line="340" w:lineRule="exact"/>
              <w:jc w:val="both"/>
              <w:rPr>
                <w:color w:val="auto"/>
                <w:sz w:val="21"/>
                <w:szCs w:val="21"/>
              </w:rPr>
            </w:pPr>
            <w:r>
              <w:rPr>
                <w:rFonts w:hint="eastAsia"/>
                <w:color w:val="auto"/>
                <w:sz w:val="21"/>
                <w:szCs w:val="21"/>
              </w:rPr>
              <w:t>金属件外观要求：①喷涂层：涂层应无漏喷、锈蚀，应光滑均匀，色泽一致，应无流挂、疙瘩、皱皮、飞漆等缺陷。</w:t>
            </w:r>
          </w:p>
          <w:p>
            <w:pPr>
              <w:spacing w:line="340" w:lineRule="exact"/>
              <w:jc w:val="both"/>
              <w:rPr>
                <w:color w:val="auto"/>
                <w:sz w:val="21"/>
                <w:szCs w:val="21"/>
              </w:rPr>
            </w:pPr>
            <w:r>
              <w:rPr>
                <w:rFonts w:hint="eastAsia"/>
                <w:color w:val="auto"/>
                <w:sz w:val="21"/>
                <w:szCs w:val="21"/>
              </w:rPr>
              <w:t>②金属喷漆（塑）涂层理化性能：a。硬度≥H；b。冲击强度：应无剥落、裂纹、皱纹；c.耐腐蚀测试：在溶剂样板上划道两侧3mm以外，应无气泡产生；检查划道两侧3mm以外，应无锈蚀、剥落、起皱、变色和失光等现象；d.附着力：不低于2级，或者通过乙酸</w:t>
            </w:r>
            <w:r>
              <w:rPr>
                <w:rFonts w:hint="eastAsia"/>
                <w:color w:val="auto"/>
                <w:sz w:val="21"/>
                <w:szCs w:val="21"/>
                <w:lang w:val="en-US"/>
              </w:rPr>
              <w:t>盐雾试验：</w:t>
            </w:r>
            <w:r>
              <w:rPr>
                <w:rFonts w:hint="eastAsia"/>
                <w:color w:val="auto"/>
                <w:sz w:val="21"/>
                <w:szCs w:val="21"/>
              </w:rPr>
              <w:t>表面未出现生锈，气泡，斑点，颜色变化等其他现象。</w:t>
            </w:r>
          </w:p>
          <w:p>
            <w:pPr>
              <w:spacing w:line="340" w:lineRule="exact"/>
              <w:jc w:val="both"/>
              <w:rPr>
                <w:color w:val="auto"/>
                <w:sz w:val="21"/>
                <w:szCs w:val="21"/>
              </w:rPr>
            </w:pPr>
            <w:r>
              <w:rPr>
                <w:rFonts w:hint="eastAsia"/>
                <w:color w:val="auto"/>
                <w:sz w:val="21"/>
                <w:szCs w:val="21"/>
              </w:rPr>
              <w:t>（3）抗拉强度 Rm（MPa）：315～430 或下屈服强度 ReL(MPa)≥235 ，断后伸长率 A（%）≥33 ，公称厚度≥1.2mm。</w:t>
            </w:r>
          </w:p>
          <w:p>
            <w:pPr>
              <w:spacing w:line="340" w:lineRule="exact"/>
              <w:jc w:val="both"/>
              <w:rPr>
                <w:color w:val="auto"/>
                <w:sz w:val="21"/>
                <w:szCs w:val="21"/>
              </w:rPr>
            </w:pPr>
            <w:r>
              <w:rPr>
                <w:rFonts w:hint="eastAsia"/>
                <w:color w:val="auto"/>
                <w:sz w:val="21"/>
                <w:szCs w:val="21"/>
              </w:rPr>
              <w:t>2、床横梁：</w:t>
            </w:r>
          </w:p>
          <w:p>
            <w:pPr>
              <w:spacing w:line="340" w:lineRule="exact"/>
              <w:jc w:val="both"/>
              <w:rPr>
                <w:color w:val="auto"/>
                <w:sz w:val="21"/>
                <w:szCs w:val="21"/>
              </w:rPr>
            </w:pPr>
            <w:r>
              <w:rPr>
                <w:rFonts w:hint="eastAsia"/>
                <w:color w:val="auto"/>
                <w:sz w:val="21"/>
                <w:szCs w:val="21"/>
              </w:rPr>
              <w:t>（1）</w:t>
            </w:r>
            <w:r>
              <w:rPr>
                <w:rFonts w:hint="eastAsia"/>
                <w:color w:val="auto"/>
                <w:sz w:val="21"/>
                <w:szCs w:val="21"/>
                <w:lang w:val="en-US" w:eastAsia="zh-CN"/>
              </w:rPr>
              <w:t>采用</w:t>
            </w:r>
            <w:r>
              <w:rPr>
                <w:rFonts w:hint="eastAsia"/>
                <w:color w:val="auto"/>
                <w:sz w:val="21"/>
                <w:szCs w:val="21"/>
              </w:rPr>
              <w:t>型材（冷轧钢板）≥</w:t>
            </w:r>
            <w:r>
              <w:rPr>
                <w:rFonts w:hint="eastAsia"/>
                <w:color w:val="auto"/>
                <w:sz w:val="21"/>
                <w:szCs w:val="21"/>
                <w:lang w:val="en-US" w:eastAsia="zh-CN"/>
              </w:rPr>
              <w:t>75</w:t>
            </w:r>
            <w:r>
              <w:rPr>
                <w:rFonts w:hint="eastAsia"/>
                <w:color w:val="auto"/>
                <w:sz w:val="21"/>
                <w:szCs w:val="21"/>
                <w:lang w:val="en-US"/>
              </w:rPr>
              <w:t>mm</w:t>
            </w:r>
            <w:r>
              <w:rPr>
                <w:rFonts w:hint="eastAsia"/>
                <w:color w:val="auto"/>
                <w:sz w:val="21"/>
                <w:szCs w:val="21"/>
              </w:rPr>
              <w:t>×3</w:t>
            </w:r>
            <w:r>
              <w:rPr>
                <w:rFonts w:hint="eastAsia"/>
                <w:color w:val="auto"/>
                <w:sz w:val="21"/>
                <w:szCs w:val="21"/>
                <w:lang w:val="en-US" w:eastAsia="zh-CN"/>
              </w:rPr>
              <w:t>0</w:t>
            </w:r>
            <w:r>
              <w:rPr>
                <w:rFonts w:hint="eastAsia"/>
                <w:color w:val="auto"/>
                <w:sz w:val="21"/>
                <w:szCs w:val="21"/>
                <w:lang w:val="en-US"/>
              </w:rPr>
              <w:t>mm</w:t>
            </w:r>
            <w:r>
              <w:rPr>
                <w:rFonts w:hint="eastAsia"/>
                <w:color w:val="auto"/>
                <w:sz w:val="21"/>
                <w:szCs w:val="21"/>
              </w:rPr>
              <w:t>，</w:t>
            </w:r>
            <w:r>
              <w:rPr>
                <w:rFonts w:hint="eastAsia"/>
                <w:color w:val="auto"/>
                <w:sz w:val="21"/>
                <w:szCs w:val="21"/>
                <w:lang w:val="en-US"/>
              </w:rPr>
              <w:t>管壁</w:t>
            </w:r>
            <w:r>
              <w:rPr>
                <w:rFonts w:hint="eastAsia"/>
                <w:color w:val="auto"/>
                <w:sz w:val="21"/>
                <w:szCs w:val="21"/>
              </w:rPr>
              <w:t>厚度≥1.2mm高频焊接封口型管材；</w:t>
            </w:r>
          </w:p>
          <w:p>
            <w:pPr>
              <w:spacing w:line="340" w:lineRule="exact"/>
              <w:jc w:val="both"/>
              <w:rPr>
                <w:color w:val="auto"/>
                <w:sz w:val="21"/>
                <w:szCs w:val="21"/>
              </w:rPr>
            </w:pPr>
            <w:r>
              <w:rPr>
                <w:rFonts w:hint="eastAsia"/>
                <w:color w:val="auto"/>
                <w:sz w:val="21"/>
                <w:szCs w:val="21"/>
              </w:rPr>
              <w:t>（2）金属件外观要求：①喷涂层：涂层应无漏喷、锈蚀，应光滑均匀，色泽一致，应无流挂、疙瘩、皱皮、飞漆等缺陷。</w:t>
            </w:r>
          </w:p>
          <w:p>
            <w:pPr>
              <w:spacing w:line="340" w:lineRule="exact"/>
              <w:jc w:val="both"/>
              <w:rPr>
                <w:color w:val="auto"/>
                <w:sz w:val="21"/>
                <w:szCs w:val="21"/>
              </w:rPr>
            </w:pPr>
            <w:r>
              <w:rPr>
                <w:rFonts w:hint="eastAsia"/>
                <w:color w:val="auto"/>
                <w:sz w:val="21"/>
                <w:szCs w:val="21"/>
                <w:lang w:val="en-US"/>
              </w:rPr>
              <w:t>②</w:t>
            </w:r>
            <w:r>
              <w:rPr>
                <w:rFonts w:hint="eastAsia"/>
                <w:color w:val="auto"/>
                <w:sz w:val="21"/>
                <w:szCs w:val="21"/>
              </w:rPr>
              <w:t>金属喷漆（塑）涂层理化性能：a.硬度≥H；b.冲击强度：应无剥落、裂纹、皱纹；c.耐腐蚀测试：在溶剂样板上划道两侧3mm以外，应无气泡产生；检查划道两侧3mm以外，应无锈蚀、剥落、起皱、变色和失光等现象；d.附着力：不低于2级，或者通过乙酸</w:t>
            </w:r>
            <w:r>
              <w:rPr>
                <w:rFonts w:hint="eastAsia"/>
                <w:color w:val="auto"/>
                <w:sz w:val="21"/>
                <w:szCs w:val="21"/>
                <w:lang w:val="en-US"/>
              </w:rPr>
              <w:t>盐雾试验：</w:t>
            </w:r>
            <w:r>
              <w:rPr>
                <w:rFonts w:hint="eastAsia"/>
                <w:color w:val="auto"/>
                <w:sz w:val="21"/>
                <w:szCs w:val="21"/>
              </w:rPr>
              <w:t>表面未出现生锈，气泡，斑点，颜色变化等其他现象。</w:t>
            </w:r>
          </w:p>
          <w:p>
            <w:pPr>
              <w:pStyle w:val="2"/>
              <w:spacing w:line="340" w:lineRule="exact"/>
              <w:jc w:val="both"/>
              <w:rPr>
                <w:color w:val="auto"/>
                <w:sz w:val="21"/>
                <w:szCs w:val="21"/>
                <w:lang w:val="en-US"/>
              </w:rPr>
            </w:pPr>
            <w:r>
              <w:rPr>
                <w:rFonts w:hint="eastAsia"/>
                <w:color w:val="auto"/>
                <w:sz w:val="21"/>
                <w:szCs w:val="21"/>
                <w:lang w:val="en-US"/>
              </w:rPr>
              <w:t>（3）抗拉强度 Rm（MPa）：315～430 或下屈服强度 ReL(MPa)≥235 ，断后伸长率 A（%）≥33 ，公称厚度≥1.2mm。</w:t>
            </w:r>
          </w:p>
          <w:p>
            <w:pPr>
              <w:spacing w:line="340" w:lineRule="exact"/>
              <w:jc w:val="both"/>
              <w:rPr>
                <w:color w:val="auto"/>
                <w:sz w:val="21"/>
                <w:szCs w:val="21"/>
              </w:rPr>
            </w:pPr>
            <w:r>
              <w:rPr>
                <w:rFonts w:hint="eastAsia"/>
                <w:color w:val="auto"/>
                <w:sz w:val="21"/>
                <w:szCs w:val="21"/>
              </w:rPr>
              <w:t>3、床</w:t>
            </w:r>
            <w:r>
              <w:rPr>
                <w:rFonts w:hint="eastAsia"/>
                <w:color w:val="auto"/>
                <w:sz w:val="21"/>
                <w:szCs w:val="21"/>
                <w:lang w:val="en-US"/>
              </w:rPr>
              <w:t>连接</w:t>
            </w:r>
            <w:r>
              <w:rPr>
                <w:rFonts w:hint="eastAsia"/>
                <w:color w:val="auto"/>
                <w:sz w:val="21"/>
                <w:szCs w:val="21"/>
              </w:rPr>
              <w:t>挂件：</w:t>
            </w:r>
          </w:p>
          <w:p>
            <w:pPr>
              <w:spacing w:line="340" w:lineRule="exact"/>
              <w:jc w:val="both"/>
              <w:rPr>
                <w:color w:val="auto"/>
                <w:sz w:val="21"/>
                <w:szCs w:val="21"/>
              </w:rPr>
            </w:pPr>
            <w:r>
              <w:rPr>
                <w:rFonts w:hint="eastAsia"/>
                <w:color w:val="auto"/>
                <w:sz w:val="21"/>
                <w:szCs w:val="21"/>
              </w:rPr>
              <w:t>（1）冷轧钢板≥26</w:t>
            </w:r>
            <w:r>
              <w:rPr>
                <w:rFonts w:hint="eastAsia"/>
                <w:color w:val="auto"/>
                <w:sz w:val="21"/>
                <w:szCs w:val="21"/>
                <w:lang w:val="en-US"/>
              </w:rPr>
              <w:t>mm</w:t>
            </w:r>
            <w:r>
              <w:rPr>
                <w:rFonts w:hint="eastAsia"/>
                <w:color w:val="auto"/>
                <w:sz w:val="21"/>
                <w:szCs w:val="21"/>
              </w:rPr>
              <w:t>×26</w:t>
            </w:r>
            <w:r>
              <w:rPr>
                <w:rFonts w:hint="eastAsia"/>
                <w:color w:val="auto"/>
                <w:sz w:val="21"/>
                <w:szCs w:val="21"/>
                <w:lang w:val="en-US"/>
              </w:rPr>
              <w:t>mm</w:t>
            </w:r>
            <w:r>
              <w:rPr>
                <w:rFonts w:hint="eastAsia"/>
                <w:color w:val="auto"/>
                <w:sz w:val="21"/>
                <w:szCs w:val="21"/>
              </w:rPr>
              <w:t>×195</w:t>
            </w:r>
            <w:r>
              <w:rPr>
                <w:rFonts w:hint="eastAsia"/>
                <w:color w:val="auto"/>
                <w:sz w:val="21"/>
                <w:szCs w:val="21"/>
                <w:lang w:val="en-US"/>
              </w:rPr>
              <w:t>mm</w:t>
            </w:r>
            <w:r>
              <w:rPr>
                <w:rFonts w:hint="eastAsia"/>
                <w:color w:val="auto"/>
                <w:sz w:val="21"/>
                <w:szCs w:val="21"/>
              </w:rPr>
              <w:t>，</w:t>
            </w:r>
            <w:r>
              <w:rPr>
                <w:rFonts w:hint="eastAsia"/>
                <w:color w:val="auto"/>
                <w:sz w:val="21"/>
                <w:szCs w:val="21"/>
                <w:lang w:val="en-US"/>
              </w:rPr>
              <w:t>钢板</w:t>
            </w:r>
            <w:r>
              <w:rPr>
                <w:rFonts w:hint="eastAsia"/>
                <w:color w:val="auto"/>
                <w:sz w:val="21"/>
                <w:szCs w:val="21"/>
              </w:rPr>
              <w:t>厚度≥2.0mm；</w:t>
            </w:r>
          </w:p>
          <w:p>
            <w:pPr>
              <w:spacing w:line="340" w:lineRule="exact"/>
              <w:jc w:val="both"/>
              <w:rPr>
                <w:color w:val="auto"/>
                <w:sz w:val="21"/>
                <w:szCs w:val="21"/>
              </w:rPr>
            </w:pPr>
            <w:r>
              <w:rPr>
                <w:rFonts w:hint="eastAsia"/>
                <w:color w:val="auto"/>
                <w:sz w:val="21"/>
                <w:szCs w:val="21"/>
              </w:rPr>
              <w:t>（2）金属件外观要求：①喷涂层：涂层应无漏喷、锈蚀，应光滑均匀，色泽一致，应无流挂、疙瘩、皱皮、飞漆等缺陷。</w:t>
            </w:r>
          </w:p>
          <w:p>
            <w:pPr>
              <w:spacing w:line="340" w:lineRule="exact"/>
              <w:jc w:val="both"/>
              <w:rPr>
                <w:color w:val="auto"/>
                <w:sz w:val="21"/>
                <w:szCs w:val="21"/>
              </w:rPr>
            </w:pPr>
            <w:r>
              <w:rPr>
                <w:rFonts w:hint="eastAsia"/>
                <w:color w:val="auto"/>
                <w:sz w:val="21"/>
                <w:szCs w:val="21"/>
              </w:rPr>
              <w:t>②金属喷漆（塑）涂层理化性能：a。硬度≥H；b。冲击强度：应无剥落、裂纹、皱纹；c.耐腐蚀测试：在溶剂样板上划道两侧3mm以外，应无气泡产生；检查划道两侧3mm以外，应无锈蚀、剥落、起皱、变色和失光等现象；d.附着力：不低于2级，或者通过乙酸</w:t>
            </w:r>
            <w:r>
              <w:rPr>
                <w:rFonts w:hint="eastAsia"/>
                <w:color w:val="auto"/>
                <w:sz w:val="21"/>
                <w:szCs w:val="21"/>
                <w:lang w:val="en-US"/>
              </w:rPr>
              <w:t>盐雾试验：</w:t>
            </w:r>
            <w:r>
              <w:rPr>
                <w:rFonts w:hint="eastAsia"/>
                <w:color w:val="auto"/>
                <w:sz w:val="21"/>
                <w:szCs w:val="21"/>
              </w:rPr>
              <w:t>表面未出现生锈，气泡，斑点，颜色变化等其他现象。</w:t>
            </w:r>
          </w:p>
          <w:p>
            <w:pPr>
              <w:spacing w:line="340" w:lineRule="exact"/>
              <w:jc w:val="both"/>
              <w:rPr>
                <w:color w:val="auto"/>
                <w:sz w:val="21"/>
                <w:szCs w:val="21"/>
              </w:rPr>
            </w:pPr>
            <w:r>
              <w:rPr>
                <w:rFonts w:hint="eastAsia"/>
                <w:color w:val="auto"/>
                <w:sz w:val="21"/>
                <w:szCs w:val="21"/>
              </w:rPr>
              <w:t>（3）抗拉强度 Rm（MPa）：315～430 或下屈服强度 ReL(MPa)≥235 ，断后伸长率 A（%）≥33 ，公称厚度≥2.0mm。</w:t>
            </w:r>
          </w:p>
          <w:p>
            <w:pPr>
              <w:spacing w:line="340" w:lineRule="exact"/>
              <w:jc w:val="both"/>
              <w:rPr>
                <w:color w:val="auto"/>
                <w:sz w:val="21"/>
                <w:szCs w:val="21"/>
              </w:rPr>
            </w:pPr>
            <w:r>
              <w:rPr>
                <w:rFonts w:hint="eastAsia"/>
                <w:color w:val="auto"/>
                <w:sz w:val="21"/>
                <w:szCs w:val="21"/>
              </w:rPr>
              <w:t>4、床桓：方管≥30</w:t>
            </w:r>
            <w:r>
              <w:rPr>
                <w:rFonts w:hint="eastAsia"/>
                <w:color w:val="auto"/>
                <w:sz w:val="21"/>
                <w:szCs w:val="21"/>
                <w:lang w:val="en-US"/>
              </w:rPr>
              <w:t>mm</w:t>
            </w:r>
            <w:r>
              <w:rPr>
                <w:rFonts w:hint="eastAsia"/>
                <w:color w:val="auto"/>
                <w:sz w:val="21"/>
                <w:szCs w:val="21"/>
              </w:rPr>
              <w:t>×20</w:t>
            </w:r>
            <w:r>
              <w:rPr>
                <w:rFonts w:hint="eastAsia"/>
                <w:color w:val="auto"/>
                <w:sz w:val="21"/>
                <w:szCs w:val="21"/>
                <w:lang w:val="en-US"/>
              </w:rPr>
              <w:t>mm，管壁厚度≥</w:t>
            </w:r>
            <w:r>
              <w:rPr>
                <w:rFonts w:hint="eastAsia"/>
                <w:color w:val="auto"/>
                <w:sz w:val="21"/>
                <w:szCs w:val="21"/>
              </w:rPr>
              <w:t>1.0mm。</w:t>
            </w:r>
          </w:p>
          <w:p>
            <w:pPr>
              <w:spacing w:line="340" w:lineRule="exact"/>
              <w:jc w:val="both"/>
              <w:rPr>
                <w:color w:val="auto"/>
                <w:sz w:val="21"/>
                <w:szCs w:val="21"/>
              </w:rPr>
            </w:pPr>
            <w:r>
              <w:rPr>
                <w:rFonts w:hint="eastAsia"/>
                <w:color w:val="auto"/>
                <w:sz w:val="21"/>
                <w:szCs w:val="21"/>
              </w:rPr>
              <w:t>5、床护栏</w:t>
            </w:r>
          </w:p>
          <w:p>
            <w:pPr>
              <w:spacing w:line="340" w:lineRule="exact"/>
              <w:jc w:val="both"/>
              <w:rPr>
                <w:color w:val="auto"/>
                <w:sz w:val="21"/>
                <w:szCs w:val="21"/>
              </w:rPr>
            </w:pPr>
            <w:r>
              <w:rPr>
                <w:rFonts w:hint="eastAsia"/>
                <w:color w:val="auto"/>
                <w:sz w:val="21"/>
                <w:szCs w:val="21"/>
              </w:rPr>
              <w:t>前护栏：</w:t>
            </w:r>
            <w:r>
              <w:rPr>
                <w:rFonts w:hint="eastAsia"/>
                <w:color w:val="auto"/>
                <w:sz w:val="21"/>
                <w:szCs w:val="21"/>
                <w:lang w:val="en-US"/>
              </w:rPr>
              <w:t>横管采用D型管</w:t>
            </w:r>
            <w:r>
              <w:rPr>
                <w:rFonts w:hint="eastAsia"/>
                <w:color w:val="auto"/>
                <w:sz w:val="21"/>
                <w:szCs w:val="21"/>
              </w:rPr>
              <w:t>≥20</w:t>
            </w:r>
            <w:r>
              <w:rPr>
                <w:rFonts w:hint="eastAsia"/>
                <w:color w:val="auto"/>
                <w:sz w:val="21"/>
                <w:szCs w:val="21"/>
                <w:lang w:val="en-US"/>
              </w:rPr>
              <w:t>mm</w:t>
            </w:r>
            <w:r>
              <w:rPr>
                <w:rFonts w:ascii="Arial" w:hAnsi="Arial" w:cs="Arial"/>
                <w:color w:val="auto"/>
                <w:sz w:val="21"/>
                <w:szCs w:val="21"/>
              </w:rPr>
              <w:t>×</w:t>
            </w:r>
            <w:r>
              <w:rPr>
                <w:rFonts w:hint="eastAsia"/>
                <w:color w:val="auto"/>
                <w:sz w:val="21"/>
                <w:szCs w:val="21"/>
              </w:rPr>
              <w:t>32</w:t>
            </w:r>
            <w:r>
              <w:rPr>
                <w:rFonts w:hint="eastAsia"/>
                <w:color w:val="auto"/>
                <w:sz w:val="21"/>
                <w:szCs w:val="21"/>
                <w:lang w:val="en-US"/>
              </w:rPr>
              <w:t>mm</w:t>
            </w:r>
            <w:r>
              <w:rPr>
                <w:rFonts w:hint="eastAsia"/>
                <w:color w:val="auto"/>
                <w:sz w:val="21"/>
                <w:szCs w:val="21"/>
                <w:lang w:val="en-US" w:eastAsia="zh-CN"/>
              </w:rPr>
              <w:t>，</w:t>
            </w:r>
            <w:r>
              <w:rPr>
                <w:rFonts w:hint="eastAsia"/>
                <w:color w:val="auto"/>
                <w:sz w:val="21"/>
                <w:szCs w:val="21"/>
                <w:lang w:val="en-US"/>
              </w:rPr>
              <w:t>管壁厚度≥</w:t>
            </w:r>
            <w:r>
              <w:rPr>
                <w:rFonts w:hint="eastAsia"/>
                <w:color w:val="auto"/>
                <w:sz w:val="21"/>
                <w:szCs w:val="21"/>
              </w:rPr>
              <w:t>1.2mm</w:t>
            </w:r>
            <w:r>
              <w:rPr>
                <w:rFonts w:hint="eastAsia"/>
                <w:color w:val="auto"/>
                <w:sz w:val="21"/>
                <w:szCs w:val="21"/>
                <w:lang w:val="en-US"/>
              </w:rPr>
              <w:t>，经数控弯曲成曲型。竖管采用方管</w:t>
            </w:r>
            <w:r>
              <w:rPr>
                <w:rFonts w:hint="eastAsia"/>
                <w:color w:val="auto"/>
                <w:sz w:val="21"/>
                <w:szCs w:val="21"/>
              </w:rPr>
              <w:t>≥</w:t>
            </w:r>
            <w:r>
              <w:rPr>
                <w:rFonts w:hint="eastAsia"/>
                <w:color w:val="auto"/>
                <w:sz w:val="21"/>
                <w:szCs w:val="21"/>
                <w:lang w:val="en-US"/>
              </w:rPr>
              <w:t>20mm</w:t>
            </w:r>
            <w:r>
              <w:rPr>
                <w:rFonts w:ascii="Arial" w:hAnsi="Arial" w:cs="Arial"/>
                <w:color w:val="auto"/>
                <w:sz w:val="21"/>
                <w:szCs w:val="21"/>
                <w:lang w:val="en-US"/>
              </w:rPr>
              <w:t>×</w:t>
            </w:r>
            <w:r>
              <w:rPr>
                <w:rFonts w:hint="eastAsia"/>
                <w:color w:val="auto"/>
                <w:sz w:val="21"/>
                <w:szCs w:val="21"/>
                <w:lang w:val="en-US"/>
              </w:rPr>
              <w:t>20mm，管壁厚度≥1.0mm。前护栏与长横梁整体焊接成型。</w:t>
            </w:r>
          </w:p>
          <w:p>
            <w:pPr>
              <w:tabs>
                <w:tab w:val="left" w:pos="2355"/>
              </w:tabs>
              <w:spacing w:line="340" w:lineRule="exact"/>
              <w:jc w:val="both"/>
              <w:rPr>
                <w:color w:val="auto"/>
                <w:sz w:val="21"/>
                <w:szCs w:val="21"/>
                <w:lang w:val="en-US"/>
              </w:rPr>
            </w:pPr>
            <w:r>
              <w:rPr>
                <w:rFonts w:hint="eastAsia"/>
                <w:color w:val="auto"/>
                <w:sz w:val="21"/>
                <w:szCs w:val="21"/>
                <w:lang w:val="en-US"/>
              </w:rPr>
              <w:t>侧</w:t>
            </w:r>
            <w:r>
              <w:rPr>
                <w:rFonts w:hint="eastAsia"/>
                <w:color w:val="auto"/>
                <w:sz w:val="21"/>
                <w:szCs w:val="21"/>
              </w:rPr>
              <w:t>床头护栏：</w:t>
            </w:r>
            <w:r>
              <w:rPr>
                <w:rFonts w:hint="eastAsia"/>
                <w:color w:val="auto"/>
                <w:sz w:val="21"/>
                <w:szCs w:val="21"/>
                <w:lang w:val="en-US"/>
              </w:rPr>
              <w:t>侧床头护栏横管采用D型管</w:t>
            </w:r>
            <w:r>
              <w:rPr>
                <w:rFonts w:hint="eastAsia"/>
                <w:color w:val="auto"/>
                <w:sz w:val="21"/>
                <w:szCs w:val="21"/>
              </w:rPr>
              <w:t>≥</w:t>
            </w:r>
            <w:r>
              <w:rPr>
                <w:rFonts w:hint="eastAsia"/>
                <w:color w:val="auto"/>
                <w:sz w:val="21"/>
                <w:szCs w:val="21"/>
                <w:lang w:val="en-US"/>
              </w:rPr>
              <w:t>28mm</w:t>
            </w:r>
            <w:r>
              <w:rPr>
                <w:rFonts w:ascii="Arial" w:hAnsi="Arial" w:cs="Arial"/>
                <w:color w:val="auto"/>
                <w:sz w:val="21"/>
                <w:szCs w:val="21"/>
                <w:lang w:val="en-US"/>
              </w:rPr>
              <w:t>×</w:t>
            </w:r>
            <w:r>
              <w:rPr>
                <w:rFonts w:hint="eastAsia"/>
                <w:color w:val="auto"/>
                <w:sz w:val="21"/>
                <w:szCs w:val="21"/>
                <w:lang w:val="en-US"/>
              </w:rPr>
              <w:t>34mm，管壁厚度≥1.2mm，竖管采用方管</w:t>
            </w:r>
            <w:r>
              <w:rPr>
                <w:rFonts w:hint="eastAsia"/>
                <w:color w:val="auto"/>
                <w:sz w:val="21"/>
                <w:szCs w:val="21"/>
              </w:rPr>
              <w:t>≥</w:t>
            </w:r>
            <w:r>
              <w:rPr>
                <w:rFonts w:hint="eastAsia"/>
                <w:color w:val="auto"/>
                <w:sz w:val="21"/>
                <w:szCs w:val="21"/>
                <w:lang w:val="en-US"/>
              </w:rPr>
              <w:t>20mm</w:t>
            </w:r>
            <w:r>
              <w:rPr>
                <w:rFonts w:ascii="Arial" w:hAnsi="Arial" w:cs="Arial"/>
                <w:color w:val="auto"/>
                <w:sz w:val="21"/>
                <w:szCs w:val="21"/>
                <w:lang w:val="en-US"/>
              </w:rPr>
              <w:t>×</w:t>
            </w:r>
            <w:r>
              <w:rPr>
                <w:rFonts w:hint="eastAsia"/>
                <w:color w:val="auto"/>
                <w:sz w:val="21"/>
                <w:szCs w:val="21"/>
                <w:lang w:val="en-US"/>
              </w:rPr>
              <w:t>20mm，管壁厚度≥1.0mm。</w:t>
            </w:r>
          </w:p>
          <w:p>
            <w:pPr>
              <w:spacing w:line="340" w:lineRule="exact"/>
              <w:jc w:val="both"/>
              <w:rPr>
                <w:color w:val="auto"/>
                <w:sz w:val="21"/>
                <w:szCs w:val="21"/>
              </w:rPr>
            </w:pPr>
            <w:r>
              <w:rPr>
                <w:rFonts w:hint="eastAsia"/>
                <w:color w:val="auto"/>
                <w:sz w:val="21"/>
                <w:szCs w:val="21"/>
              </w:rPr>
              <w:t>中床头护栏：≥Ф19 mm，</w:t>
            </w:r>
            <w:r>
              <w:rPr>
                <w:rFonts w:hint="eastAsia"/>
                <w:color w:val="auto"/>
                <w:sz w:val="21"/>
                <w:szCs w:val="21"/>
                <w:lang w:val="en-US"/>
              </w:rPr>
              <w:t>管壁</w:t>
            </w:r>
            <w:r>
              <w:rPr>
                <w:rFonts w:hint="eastAsia"/>
                <w:color w:val="auto"/>
                <w:sz w:val="21"/>
                <w:szCs w:val="21"/>
              </w:rPr>
              <w:t xml:space="preserve">厚度≥1.0mm圆管。                                                                                                        </w:t>
            </w:r>
          </w:p>
          <w:p>
            <w:pPr>
              <w:spacing w:line="340" w:lineRule="exact"/>
              <w:jc w:val="both"/>
              <w:rPr>
                <w:color w:val="auto"/>
                <w:sz w:val="21"/>
                <w:szCs w:val="21"/>
              </w:rPr>
            </w:pPr>
            <w:r>
              <w:rPr>
                <w:rFonts w:hint="eastAsia"/>
                <w:color w:val="auto"/>
                <w:sz w:val="21"/>
                <w:szCs w:val="21"/>
                <w:lang w:val="en-US"/>
              </w:rPr>
              <w:t>6</w:t>
            </w:r>
            <w:r>
              <w:rPr>
                <w:rFonts w:hint="eastAsia"/>
                <w:color w:val="auto"/>
                <w:sz w:val="21"/>
                <w:szCs w:val="21"/>
              </w:rPr>
              <w:t>、蚊帐架：圆管Ф≥12</w:t>
            </w:r>
            <w:r>
              <w:rPr>
                <w:rFonts w:hint="eastAsia"/>
                <w:color w:val="auto"/>
                <w:sz w:val="21"/>
                <w:szCs w:val="21"/>
                <w:lang w:val="en-US"/>
              </w:rPr>
              <w:t>mm，管壁厚度≥</w:t>
            </w:r>
            <w:r>
              <w:rPr>
                <w:rFonts w:hint="eastAsia"/>
                <w:color w:val="auto"/>
                <w:sz w:val="21"/>
                <w:szCs w:val="21"/>
              </w:rPr>
              <w:t>1.0mm。</w:t>
            </w:r>
          </w:p>
          <w:p>
            <w:pPr>
              <w:spacing w:line="340" w:lineRule="exact"/>
              <w:jc w:val="both"/>
              <w:rPr>
                <w:color w:val="auto"/>
                <w:sz w:val="21"/>
                <w:szCs w:val="21"/>
              </w:rPr>
            </w:pPr>
            <w:r>
              <w:rPr>
                <w:rFonts w:hint="eastAsia"/>
                <w:color w:val="auto"/>
                <w:sz w:val="21"/>
                <w:szCs w:val="21"/>
                <w:lang w:val="en-US"/>
              </w:rPr>
              <w:t>7</w:t>
            </w:r>
            <w:r>
              <w:rPr>
                <w:rFonts w:hint="eastAsia"/>
                <w:color w:val="auto"/>
                <w:sz w:val="21"/>
                <w:szCs w:val="21"/>
              </w:rPr>
              <w:t>、</w:t>
            </w:r>
            <w:r>
              <w:rPr>
                <w:rFonts w:hint="eastAsia"/>
                <w:color w:val="auto"/>
                <w:sz w:val="21"/>
                <w:szCs w:val="21"/>
                <w:lang w:val="en-US"/>
              </w:rPr>
              <w:t>铁床床</w:t>
            </w:r>
            <w:r>
              <w:rPr>
                <w:rFonts w:hint="eastAsia"/>
                <w:color w:val="auto"/>
                <w:sz w:val="21"/>
                <w:szCs w:val="21"/>
              </w:rPr>
              <w:t>爬梯（主管）要求：</w:t>
            </w:r>
            <w:r>
              <w:rPr>
                <w:color w:val="auto"/>
                <w:sz w:val="21"/>
                <w:szCs w:val="21"/>
              </w:rPr>
              <w:t>采用</w:t>
            </w:r>
            <w:r>
              <w:rPr>
                <w:rFonts w:hint="eastAsia"/>
                <w:color w:val="auto"/>
                <w:sz w:val="21"/>
                <w:szCs w:val="21"/>
              </w:rPr>
              <w:t>≥</w:t>
            </w:r>
            <w:r>
              <w:rPr>
                <w:color w:val="auto"/>
                <w:sz w:val="21"/>
                <w:szCs w:val="21"/>
              </w:rPr>
              <w:t>6</w:t>
            </w:r>
            <w:r>
              <w:rPr>
                <w:rFonts w:hint="eastAsia"/>
                <w:color w:val="auto"/>
                <w:sz w:val="21"/>
                <w:szCs w:val="21"/>
                <w:lang w:val="en-US" w:eastAsia="zh-CN"/>
              </w:rPr>
              <w:t>0</w:t>
            </w:r>
            <w:r>
              <w:rPr>
                <w:rFonts w:hint="eastAsia"/>
                <w:color w:val="auto"/>
                <w:sz w:val="21"/>
                <w:szCs w:val="21"/>
                <w:lang w:val="en-US"/>
              </w:rPr>
              <w:t>mm</w:t>
            </w:r>
            <w:r>
              <w:rPr>
                <w:rFonts w:ascii="Arial" w:hAnsi="Arial" w:cs="Arial"/>
                <w:color w:val="auto"/>
                <w:sz w:val="21"/>
                <w:szCs w:val="21"/>
                <w:lang w:val="en-US"/>
              </w:rPr>
              <w:t>×</w:t>
            </w:r>
            <w:r>
              <w:rPr>
                <w:color w:val="auto"/>
                <w:sz w:val="21"/>
                <w:szCs w:val="21"/>
              </w:rPr>
              <w:t>3</w:t>
            </w:r>
            <w:r>
              <w:rPr>
                <w:rFonts w:hint="eastAsia"/>
                <w:color w:val="auto"/>
                <w:sz w:val="21"/>
                <w:szCs w:val="21"/>
                <w:lang w:val="en-US" w:eastAsia="zh-CN"/>
              </w:rPr>
              <w:t>0</w:t>
            </w:r>
            <w:r>
              <w:rPr>
                <w:rFonts w:hint="eastAsia"/>
                <w:color w:val="auto"/>
                <w:sz w:val="21"/>
                <w:szCs w:val="21"/>
                <w:lang w:val="en-US"/>
              </w:rPr>
              <w:t>mm</w:t>
            </w:r>
            <w:r>
              <w:rPr>
                <w:rFonts w:ascii="Arial" w:hAnsi="Arial" w:cs="Arial"/>
                <w:color w:val="auto"/>
                <w:sz w:val="21"/>
                <w:szCs w:val="21"/>
                <w:lang w:val="en-US"/>
              </w:rPr>
              <w:t>×</w:t>
            </w:r>
            <w:r>
              <w:rPr>
                <w:color w:val="auto"/>
                <w:sz w:val="21"/>
                <w:szCs w:val="21"/>
              </w:rPr>
              <w:t>40</w:t>
            </w:r>
            <w:r>
              <w:rPr>
                <w:rFonts w:hint="eastAsia"/>
                <w:color w:val="auto"/>
                <w:sz w:val="21"/>
                <w:szCs w:val="21"/>
                <w:lang w:val="en-US"/>
              </w:rPr>
              <w:t>mm，管壁厚度≥</w:t>
            </w:r>
            <w:r>
              <w:rPr>
                <w:color w:val="auto"/>
                <w:sz w:val="21"/>
                <w:szCs w:val="21"/>
              </w:rPr>
              <w:t>1.2mm优质冷轧钢带经模压一次成形，并采用高频焊接成中空封闭管，管材外圆内方。</w:t>
            </w:r>
          </w:p>
          <w:p>
            <w:pPr>
              <w:spacing w:line="340" w:lineRule="exact"/>
              <w:jc w:val="both"/>
              <w:rPr>
                <w:color w:val="auto"/>
                <w:sz w:val="21"/>
                <w:szCs w:val="21"/>
              </w:rPr>
            </w:pPr>
            <w:r>
              <w:rPr>
                <w:rFonts w:hint="eastAsia"/>
                <w:color w:val="auto"/>
                <w:sz w:val="21"/>
                <w:szCs w:val="21"/>
              </w:rPr>
              <w:t>（1）采用型材；</w:t>
            </w:r>
          </w:p>
          <w:p>
            <w:pPr>
              <w:spacing w:line="340" w:lineRule="exact"/>
              <w:jc w:val="both"/>
              <w:rPr>
                <w:color w:val="auto"/>
                <w:sz w:val="21"/>
                <w:szCs w:val="21"/>
              </w:rPr>
            </w:pPr>
            <w:r>
              <w:rPr>
                <w:rFonts w:hint="eastAsia"/>
                <w:color w:val="auto"/>
                <w:sz w:val="21"/>
                <w:szCs w:val="21"/>
              </w:rPr>
              <w:t>（2）金属件外观要求：</w:t>
            </w:r>
          </w:p>
          <w:p>
            <w:pPr>
              <w:spacing w:line="340" w:lineRule="exact"/>
              <w:jc w:val="both"/>
              <w:rPr>
                <w:color w:val="auto"/>
                <w:sz w:val="21"/>
                <w:szCs w:val="21"/>
              </w:rPr>
            </w:pPr>
            <w:r>
              <w:rPr>
                <w:rFonts w:hint="eastAsia"/>
                <w:color w:val="auto"/>
                <w:sz w:val="21"/>
                <w:szCs w:val="21"/>
              </w:rPr>
              <w:t>①喷涂层：涂层应无漏喷、锈蚀，应光滑均匀，色泽一致，应无流挂、疙瘩、皱皮、飞漆等缺陷。</w:t>
            </w:r>
          </w:p>
          <w:p>
            <w:pPr>
              <w:spacing w:line="340" w:lineRule="exact"/>
              <w:jc w:val="both"/>
              <w:rPr>
                <w:color w:val="auto"/>
                <w:sz w:val="21"/>
                <w:szCs w:val="21"/>
              </w:rPr>
            </w:pPr>
            <w:r>
              <w:rPr>
                <w:rFonts w:hint="eastAsia"/>
                <w:color w:val="auto"/>
                <w:sz w:val="21"/>
                <w:szCs w:val="21"/>
              </w:rPr>
              <w:t>②焊接：焊接表面光滑无毛刺，焊接处无接处无夹渣，气孔、焊瘤、焊丝头咬边飞溅，并保证无脱焊、错位、虚焊及焊穿等现象。</w:t>
            </w:r>
          </w:p>
          <w:p>
            <w:pPr>
              <w:spacing w:line="340" w:lineRule="exact"/>
              <w:jc w:val="both"/>
              <w:rPr>
                <w:color w:val="auto"/>
                <w:sz w:val="21"/>
                <w:szCs w:val="21"/>
              </w:rPr>
            </w:pPr>
            <w:r>
              <w:rPr>
                <w:rFonts w:hint="eastAsia"/>
                <w:color w:val="auto"/>
                <w:sz w:val="21"/>
                <w:szCs w:val="21"/>
              </w:rPr>
              <w:t>（3）抗拉强度 Rm（MPa）≥</w:t>
            </w:r>
            <w:r>
              <w:rPr>
                <w:rFonts w:hint="eastAsia"/>
                <w:color w:val="auto"/>
                <w:sz w:val="21"/>
                <w:szCs w:val="21"/>
                <w:lang w:val="en-US"/>
              </w:rPr>
              <w:t>360,</w:t>
            </w:r>
            <w:r>
              <w:rPr>
                <w:rFonts w:hint="eastAsia"/>
                <w:color w:val="auto"/>
                <w:sz w:val="21"/>
                <w:szCs w:val="21"/>
              </w:rPr>
              <w:t>下屈服强度 ReL(MPa)≥</w:t>
            </w:r>
            <w:r>
              <w:rPr>
                <w:rFonts w:hint="eastAsia"/>
                <w:color w:val="auto"/>
                <w:sz w:val="21"/>
                <w:szCs w:val="21"/>
                <w:lang w:val="en-US"/>
              </w:rPr>
              <w:t>370</w:t>
            </w:r>
            <w:r>
              <w:rPr>
                <w:rFonts w:hint="eastAsia"/>
                <w:color w:val="auto"/>
                <w:sz w:val="21"/>
                <w:szCs w:val="21"/>
              </w:rPr>
              <w:t xml:space="preserve"> ，断后伸长率 A（%）≥33 。</w:t>
            </w:r>
          </w:p>
          <w:p>
            <w:pPr>
              <w:spacing w:line="340" w:lineRule="exact"/>
              <w:jc w:val="both"/>
              <w:rPr>
                <w:color w:val="auto"/>
                <w:sz w:val="21"/>
                <w:szCs w:val="21"/>
              </w:rPr>
            </w:pPr>
            <w:r>
              <w:rPr>
                <w:rFonts w:hint="eastAsia"/>
                <w:color w:val="auto"/>
                <w:sz w:val="21"/>
                <w:szCs w:val="21"/>
                <w:lang w:val="en-US"/>
              </w:rPr>
              <w:t>8、铁床床爬梯</w:t>
            </w:r>
            <w:r>
              <w:rPr>
                <w:rFonts w:hint="eastAsia"/>
                <w:color w:val="auto"/>
                <w:sz w:val="21"/>
                <w:szCs w:val="21"/>
              </w:rPr>
              <w:t>踏板要求：</w:t>
            </w:r>
          </w:p>
          <w:p>
            <w:pPr>
              <w:spacing w:line="340" w:lineRule="exact"/>
              <w:jc w:val="both"/>
              <w:rPr>
                <w:color w:val="auto"/>
                <w:sz w:val="21"/>
                <w:szCs w:val="21"/>
              </w:rPr>
            </w:pPr>
            <w:r>
              <w:rPr>
                <w:rFonts w:hint="eastAsia"/>
                <w:color w:val="auto"/>
                <w:sz w:val="21"/>
                <w:szCs w:val="21"/>
                <w:lang w:val="en-US"/>
              </w:rPr>
              <w:t>铁床床爬梯</w:t>
            </w:r>
            <w:r>
              <w:rPr>
                <w:rFonts w:hint="eastAsia"/>
                <w:color w:val="auto"/>
                <w:sz w:val="21"/>
                <w:szCs w:val="21"/>
              </w:rPr>
              <w:t>踏板成型尺寸≥</w:t>
            </w:r>
            <w:r>
              <w:rPr>
                <w:rFonts w:hint="eastAsia"/>
                <w:color w:val="auto"/>
                <w:sz w:val="21"/>
                <w:szCs w:val="21"/>
                <w:lang w:val="en-US"/>
              </w:rPr>
              <w:t>350</w:t>
            </w:r>
            <w:r>
              <w:rPr>
                <w:rFonts w:hint="eastAsia"/>
                <w:color w:val="auto"/>
                <w:sz w:val="21"/>
                <w:szCs w:val="21"/>
              </w:rPr>
              <w:t>mm</w:t>
            </w:r>
            <w:r>
              <w:rPr>
                <w:rFonts w:ascii="Arial" w:hAnsi="Arial" w:cs="Arial"/>
                <w:color w:val="auto"/>
                <w:sz w:val="21"/>
                <w:szCs w:val="21"/>
                <w:lang w:val="en-US"/>
              </w:rPr>
              <w:t>×</w:t>
            </w:r>
            <w:r>
              <w:rPr>
                <w:rFonts w:hint="eastAsia"/>
                <w:color w:val="auto"/>
                <w:sz w:val="21"/>
                <w:szCs w:val="21"/>
                <w:lang w:val="en-US"/>
              </w:rPr>
              <w:t>70</w:t>
            </w:r>
            <w:r>
              <w:rPr>
                <w:rFonts w:hint="eastAsia"/>
                <w:color w:val="auto"/>
                <w:sz w:val="21"/>
                <w:szCs w:val="21"/>
              </w:rPr>
              <w:t>mm</w:t>
            </w:r>
            <w:r>
              <w:rPr>
                <w:rFonts w:ascii="Arial" w:hAnsi="Arial" w:cs="Arial"/>
                <w:color w:val="auto"/>
                <w:sz w:val="21"/>
                <w:szCs w:val="21"/>
                <w:lang w:val="en-US"/>
              </w:rPr>
              <w:t>×</w:t>
            </w:r>
            <w:r>
              <w:rPr>
                <w:rFonts w:hint="eastAsia"/>
                <w:color w:val="auto"/>
                <w:sz w:val="21"/>
                <w:szCs w:val="21"/>
                <w:lang w:val="en-US"/>
              </w:rPr>
              <w:t>20mm，钢板</w:t>
            </w:r>
            <w:r>
              <w:rPr>
                <w:rFonts w:hint="eastAsia"/>
                <w:color w:val="auto"/>
                <w:sz w:val="21"/>
                <w:szCs w:val="21"/>
              </w:rPr>
              <w:t>厚度≥</w:t>
            </w:r>
            <w:r>
              <w:rPr>
                <w:rFonts w:hint="eastAsia"/>
                <w:color w:val="auto"/>
                <w:sz w:val="21"/>
                <w:szCs w:val="21"/>
                <w:lang w:val="en-US"/>
              </w:rPr>
              <w:t>1.</w:t>
            </w:r>
            <w:r>
              <w:rPr>
                <w:rFonts w:hint="eastAsia"/>
                <w:color w:val="auto"/>
                <w:sz w:val="21"/>
                <w:szCs w:val="21"/>
                <w:lang w:val="en-US" w:eastAsia="zh-CN"/>
              </w:rPr>
              <w:t>2</w:t>
            </w:r>
            <w:r>
              <w:rPr>
                <w:rFonts w:hint="eastAsia"/>
                <w:color w:val="auto"/>
                <w:sz w:val="21"/>
                <w:szCs w:val="21"/>
              </w:rPr>
              <w:t>mm。</w:t>
            </w:r>
          </w:p>
          <w:p>
            <w:pPr>
              <w:spacing w:line="340" w:lineRule="exact"/>
              <w:jc w:val="both"/>
              <w:rPr>
                <w:color w:val="auto"/>
                <w:sz w:val="21"/>
                <w:szCs w:val="21"/>
              </w:rPr>
            </w:pPr>
            <w:r>
              <w:rPr>
                <w:rFonts w:hint="eastAsia"/>
                <w:color w:val="auto"/>
                <w:sz w:val="21"/>
                <w:szCs w:val="21"/>
              </w:rPr>
              <w:t>（1）采用优质冷轧钢板一次冲压成型，踩板前后折边，折边不得焊接。</w:t>
            </w:r>
          </w:p>
          <w:p>
            <w:pPr>
              <w:spacing w:line="340" w:lineRule="exact"/>
              <w:jc w:val="both"/>
              <w:rPr>
                <w:color w:val="auto"/>
                <w:sz w:val="21"/>
                <w:szCs w:val="21"/>
              </w:rPr>
            </w:pPr>
            <w:r>
              <w:rPr>
                <w:rFonts w:hint="eastAsia"/>
                <w:color w:val="auto"/>
                <w:sz w:val="21"/>
                <w:szCs w:val="21"/>
              </w:rPr>
              <w:t>（2）金属件外观要求：</w:t>
            </w:r>
          </w:p>
          <w:p>
            <w:pPr>
              <w:spacing w:line="340" w:lineRule="exact"/>
              <w:jc w:val="both"/>
              <w:rPr>
                <w:color w:val="auto"/>
                <w:sz w:val="21"/>
                <w:szCs w:val="21"/>
              </w:rPr>
            </w:pPr>
            <w:r>
              <w:rPr>
                <w:rFonts w:hint="eastAsia"/>
                <w:color w:val="auto"/>
                <w:sz w:val="21"/>
                <w:szCs w:val="21"/>
              </w:rPr>
              <w:t>①喷涂层：涂层应无漏喷、锈蚀，应光滑均匀，色泽一致，应无流挂、疙瘩、皱皮、飞漆等缺陷。</w:t>
            </w:r>
          </w:p>
          <w:p>
            <w:pPr>
              <w:spacing w:line="340" w:lineRule="exact"/>
              <w:jc w:val="both"/>
              <w:rPr>
                <w:color w:val="auto"/>
                <w:sz w:val="21"/>
                <w:szCs w:val="21"/>
              </w:rPr>
            </w:pPr>
            <w:r>
              <w:rPr>
                <w:rFonts w:hint="eastAsia"/>
                <w:color w:val="auto"/>
                <w:sz w:val="21"/>
                <w:szCs w:val="21"/>
              </w:rPr>
              <w:t>②焊接：焊接表面光滑无毛刺，焊接处无接处无夹渣，气孔、焊瘤、焊丝头咬边飞溅，并保证无脱焊、错位、虚焊及焊穿等现象。</w:t>
            </w:r>
          </w:p>
          <w:p>
            <w:pPr>
              <w:spacing w:line="340" w:lineRule="exact"/>
              <w:jc w:val="both"/>
              <w:rPr>
                <w:color w:val="auto"/>
                <w:sz w:val="21"/>
                <w:szCs w:val="21"/>
              </w:rPr>
            </w:pPr>
            <w:r>
              <w:rPr>
                <w:rFonts w:hint="eastAsia"/>
                <w:color w:val="auto"/>
                <w:sz w:val="21"/>
                <w:szCs w:val="21"/>
              </w:rPr>
              <w:t>（3）抗拉强度 Rm（MPa）≥</w:t>
            </w:r>
            <w:r>
              <w:rPr>
                <w:rFonts w:hint="eastAsia"/>
                <w:color w:val="auto"/>
                <w:sz w:val="21"/>
                <w:szCs w:val="21"/>
                <w:lang w:val="en-US"/>
              </w:rPr>
              <w:t>410,</w:t>
            </w:r>
            <w:r>
              <w:rPr>
                <w:rFonts w:hint="eastAsia"/>
                <w:color w:val="auto"/>
                <w:sz w:val="21"/>
                <w:szCs w:val="21"/>
              </w:rPr>
              <w:t>下屈服强度 ReL(MPa)≥</w:t>
            </w:r>
            <w:r>
              <w:rPr>
                <w:rFonts w:hint="eastAsia"/>
                <w:color w:val="auto"/>
                <w:sz w:val="21"/>
                <w:szCs w:val="21"/>
                <w:lang w:val="en-US"/>
              </w:rPr>
              <w:t>370</w:t>
            </w:r>
            <w:r>
              <w:rPr>
                <w:rFonts w:hint="eastAsia"/>
                <w:color w:val="auto"/>
                <w:sz w:val="21"/>
                <w:szCs w:val="21"/>
              </w:rPr>
              <w:t xml:space="preserve"> ，断后伸长率 A（%）≥33 。</w:t>
            </w:r>
          </w:p>
          <w:p>
            <w:pPr>
              <w:spacing w:line="340" w:lineRule="exact"/>
              <w:jc w:val="both"/>
              <w:rPr>
                <w:color w:val="auto"/>
                <w:sz w:val="21"/>
                <w:szCs w:val="21"/>
              </w:rPr>
            </w:pPr>
            <w:r>
              <w:rPr>
                <w:rFonts w:hint="eastAsia"/>
                <w:color w:val="auto"/>
                <w:sz w:val="21"/>
                <w:szCs w:val="21"/>
              </w:rPr>
              <w:t>（</w:t>
            </w:r>
            <w:r>
              <w:rPr>
                <w:rFonts w:hint="eastAsia"/>
                <w:color w:val="auto"/>
                <w:sz w:val="21"/>
                <w:szCs w:val="21"/>
                <w:lang w:val="en-US"/>
              </w:rPr>
              <w:t>4</w:t>
            </w:r>
            <w:r>
              <w:rPr>
                <w:rFonts w:hint="eastAsia"/>
                <w:color w:val="auto"/>
                <w:sz w:val="21"/>
                <w:szCs w:val="21"/>
              </w:rPr>
              <w:t>）脚踏板上面安装有 ABS 工程塑料所制的带夜光防滑塑料板。</w:t>
            </w:r>
          </w:p>
          <w:p>
            <w:pPr>
              <w:spacing w:line="340" w:lineRule="exact"/>
              <w:jc w:val="both"/>
              <w:rPr>
                <w:color w:val="auto"/>
                <w:sz w:val="21"/>
                <w:szCs w:val="21"/>
              </w:rPr>
            </w:pPr>
            <w:r>
              <w:rPr>
                <w:rFonts w:hint="eastAsia"/>
                <w:color w:val="auto"/>
                <w:sz w:val="21"/>
                <w:szCs w:val="21"/>
                <w:lang w:val="en-US"/>
              </w:rPr>
              <w:t>9</w:t>
            </w:r>
            <w:r>
              <w:rPr>
                <w:rFonts w:hint="eastAsia"/>
                <w:color w:val="auto"/>
                <w:sz w:val="21"/>
                <w:szCs w:val="21"/>
              </w:rPr>
              <w:t>、床架与地接部位保护套软塑胶垫，上端加保护套，保证床架结实，安全；胶垫塑料件外观要求：应无裂纹，无明显变形；应无明显缩孔、气泡、杂质、伤痕；外表用塑料件表面应光洁，无划痕，无污渍，无明显色差。塑胶垫应符合GB28481-2012《塑料家具中有害物质限量》标准，有害物质限量：铅（Pb）≤90mg/kg,镉（Cd）≤75 mg/kg，铬（Cr）≤60 mg/kg，汞（Hg）≤60 mg/kg。</w:t>
            </w:r>
          </w:p>
          <w:p>
            <w:pPr>
              <w:spacing w:line="340" w:lineRule="exact"/>
              <w:jc w:val="both"/>
              <w:rPr>
                <w:color w:val="auto"/>
                <w:sz w:val="21"/>
                <w:szCs w:val="21"/>
              </w:rPr>
            </w:pPr>
            <w:r>
              <w:rPr>
                <w:rFonts w:hint="eastAsia"/>
                <w:color w:val="auto"/>
                <w:sz w:val="21"/>
                <w:szCs w:val="21"/>
              </w:rPr>
              <w:t>1</w:t>
            </w:r>
            <w:r>
              <w:rPr>
                <w:rFonts w:hint="eastAsia"/>
                <w:color w:val="auto"/>
                <w:sz w:val="21"/>
                <w:szCs w:val="21"/>
                <w:lang w:val="en-US"/>
              </w:rPr>
              <w:t>0</w:t>
            </w:r>
            <w:r>
              <w:rPr>
                <w:rFonts w:hint="eastAsia"/>
                <w:color w:val="auto"/>
                <w:sz w:val="21"/>
                <w:szCs w:val="21"/>
              </w:rPr>
              <w:t>、鞋架：采用≥20</w:t>
            </w:r>
            <w:r>
              <w:rPr>
                <w:rFonts w:hint="eastAsia"/>
                <w:color w:val="auto"/>
                <w:sz w:val="21"/>
                <w:szCs w:val="21"/>
                <w:lang w:val="en-US"/>
              </w:rPr>
              <w:t>mm</w:t>
            </w:r>
            <w:r>
              <w:rPr>
                <w:rFonts w:hint="eastAsia"/>
                <w:color w:val="auto"/>
                <w:sz w:val="21"/>
                <w:szCs w:val="21"/>
              </w:rPr>
              <w:t>×20</w:t>
            </w:r>
            <w:r>
              <w:rPr>
                <w:rFonts w:hint="eastAsia"/>
                <w:color w:val="auto"/>
                <w:sz w:val="21"/>
                <w:szCs w:val="21"/>
                <w:lang w:val="en-US"/>
              </w:rPr>
              <w:t>mm方管，管壁厚度≥</w:t>
            </w:r>
            <w:r>
              <w:rPr>
                <w:rFonts w:hint="eastAsia"/>
                <w:color w:val="auto"/>
                <w:sz w:val="21"/>
                <w:szCs w:val="21"/>
              </w:rPr>
              <w:t>1.0mm，要求深度</w:t>
            </w:r>
            <w:r>
              <w:rPr>
                <w:rFonts w:hint="eastAsia"/>
                <w:color w:val="auto"/>
                <w:sz w:val="21"/>
                <w:szCs w:val="21"/>
                <w:lang w:val="en-US" w:eastAsia="zh-CN"/>
              </w:rPr>
              <w:t>6</w:t>
            </w:r>
            <w:r>
              <w:rPr>
                <w:rFonts w:hint="eastAsia"/>
                <w:color w:val="auto"/>
                <w:sz w:val="21"/>
                <w:szCs w:val="21"/>
              </w:rPr>
              <w:t>00mm，长度1940mm，高度离地面</w:t>
            </w:r>
            <w:r>
              <w:rPr>
                <w:rFonts w:hint="eastAsia"/>
                <w:color w:val="auto"/>
                <w:sz w:val="21"/>
                <w:szCs w:val="21"/>
                <w:lang w:val="en-US" w:eastAsia="zh-CN"/>
              </w:rPr>
              <w:t>8</w:t>
            </w:r>
            <w:r>
              <w:rPr>
                <w:rFonts w:hint="eastAsia"/>
                <w:color w:val="auto"/>
                <w:sz w:val="21"/>
                <w:szCs w:val="21"/>
              </w:rPr>
              <w:t>0mm</w:t>
            </w:r>
          </w:p>
          <w:p>
            <w:pPr>
              <w:spacing w:line="340" w:lineRule="exact"/>
              <w:jc w:val="both"/>
              <w:rPr>
                <w:color w:val="auto"/>
                <w:sz w:val="21"/>
                <w:szCs w:val="21"/>
              </w:rPr>
            </w:pPr>
            <w:r>
              <w:rPr>
                <w:rFonts w:hint="eastAsia"/>
                <w:color w:val="auto"/>
                <w:sz w:val="21"/>
                <w:szCs w:val="21"/>
              </w:rPr>
              <w:t>1</w:t>
            </w:r>
            <w:r>
              <w:rPr>
                <w:rFonts w:hint="eastAsia"/>
                <w:color w:val="auto"/>
                <w:sz w:val="21"/>
                <w:szCs w:val="21"/>
                <w:lang w:val="en-US"/>
              </w:rPr>
              <w:t>1</w:t>
            </w:r>
            <w:r>
              <w:rPr>
                <w:rFonts w:hint="eastAsia"/>
                <w:color w:val="auto"/>
                <w:sz w:val="21"/>
                <w:szCs w:val="21"/>
              </w:rPr>
              <w:t>、床板规格：采用</w:t>
            </w:r>
            <w:r>
              <w:rPr>
                <w:rFonts w:hint="eastAsia"/>
                <w:color w:val="auto"/>
                <w:sz w:val="21"/>
                <w:szCs w:val="21"/>
                <w:lang w:val="en-US"/>
              </w:rPr>
              <w:t>厚度≥15mm</w:t>
            </w:r>
            <w:r>
              <w:rPr>
                <w:rFonts w:hint="eastAsia"/>
                <w:color w:val="auto"/>
                <w:sz w:val="21"/>
                <w:szCs w:val="21"/>
              </w:rPr>
              <w:t>全新杉木</w:t>
            </w:r>
            <w:r>
              <w:rPr>
                <w:rFonts w:hint="eastAsia"/>
                <w:color w:val="auto"/>
                <w:sz w:val="21"/>
                <w:szCs w:val="21"/>
                <w:lang w:val="en-US"/>
              </w:rPr>
              <w:t>制作</w:t>
            </w:r>
            <w:r>
              <w:rPr>
                <w:rFonts w:hint="eastAsia"/>
                <w:color w:val="auto"/>
                <w:sz w:val="21"/>
                <w:szCs w:val="21"/>
              </w:rPr>
              <w:t>，</w:t>
            </w:r>
            <w:r>
              <w:rPr>
                <w:rFonts w:hint="eastAsia"/>
                <w:color w:val="auto"/>
                <w:sz w:val="21"/>
                <w:szCs w:val="21"/>
                <w:lang w:val="en-US"/>
              </w:rPr>
              <w:t>每幅床板≤</w:t>
            </w:r>
            <w:r>
              <w:rPr>
                <w:rFonts w:hint="eastAsia"/>
                <w:color w:val="auto"/>
                <w:sz w:val="21"/>
                <w:szCs w:val="21"/>
              </w:rPr>
              <w:t>8块</w:t>
            </w:r>
            <w:r>
              <w:rPr>
                <w:rFonts w:hint="eastAsia"/>
                <w:color w:val="auto"/>
                <w:sz w:val="21"/>
                <w:szCs w:val="21"/>
                <w:lang w:val="en-US"/>
              </w:rPr>
              <w:t>组成</w:t>
            </w:r>
            <w:r>
              <w:rPr>
                <w:rFonts w:hint="eastAsia"/>
                <w:color w:val="auto"/>
                <w:sz w:val="21"/>
                <w:szCs w:val="21"/>
              </w:rPr>
              <w:t>，</w:t>
            </w:r>
            <w:r>
              <w:rPr>
                <w:rFonts w:hint="eastAsia"/>
                <w:color w:val="auto"/>
                <w:sz w:val="21"/>
                <w:szCs w:val="21"/>
                <w:lang w:val="en-US"/>
              </w:rPr>
              <w:t>并由</w:t>
            </w:r>
            <w:r>
              <w:rPr>
                <w:rFonts w:hint="eastAsia"/>
                <w:color w:val="auto"/>
                <w:sz w:val="21"/>
                <w:szCs w:val="21"/>
              </w:rPr>
              <w:t>4根30</w:t>
            </w:r>
            <w:r>
              <w:rPr>
                <w:rFonts w:hint="eastAsia"/>
                <w:color w:val="auto"/>
                <w:sz w:val="21"/>
                <w:szCs w:val="21"/>
                <w:lang w:val="en-US"/>
              </w:rPr>
              <w:t>mm</w:t>
            </w:r>
            <w:r>
              <w:rPr>
                <w:rFonts w:ascii="Arial" w:hAnsi="Arial" w:cs="Arial"/>
                <w:color w:val="auto"/>
                <w:sz w:val="21"/>
                <w:szCs w:val="21"/>
                <w:lang w:val="en-US"/>
              </w:rPr>
              <w:t>×</w:t>
            </w:r>
            <w:r>
              <w:rPr>
                <w:rFonts w:hint="eastAsia"/>
                <w:color w:val="auto"/>
                <w:sz w:val="21"/>
                <w:szCs w:val="21"/>
              </w:rPr>
              <w:t>40</w:t>
            </w:r>
            <w:r>
              <w:rPr>
                <w:rFonts w:hint="eastAsia"/>
                <w:color w:val="auto"/>
                <w:sz w:val="21"/>
                <w:szCs w:val="21"/>
                <w:lang w:val="en-US"/>
              </w:rPr>
              <w:t>mm</w:t>
            </w:r>
            <w:r>
              <w:rPr>
                <w:rFonts w:hint="eastAsia"/>
                <w:color w:val="auto"/>
                <w:sz w:val="21"/>
                <w:szCs w:val="21"/>
              </w:rPr>
              <w:t>木方</w:t>
            </w:r>
            <w:r>
              <w:rPr>
                <w:rFonts w:hint="eastAsia"/>
                <w:color w:val="auto"/>
                <w:sz w:val="21"/>
                <w:szCs w:val="21"/>
                <w:lang w:val="en-US"/>
              </w:rPr>
              <w:t>做背销</w:t>
            </w:r>
            <w:r>
              <w:rPr>
                <w:rFonts w:hint="eastAsia"/>
                <w:color w:val="auto"/>
                <w:sz w:val="21"/>
                <w:szCs w:val="21"/>
              </w:rPr>
              <w:t>固定</w:t>
            </w:r>
            <w:r>
              <w:rPr>
                <w:rFonts w:hint="eastAsia"/>
                <w:color w:val="auto"/>
                <w:sz w:val="21"/>
                <w:szCs w:val="21"/>
                <w:lang w:val="en-US"/>
              </w:rPr>
              <w:t>,床板</w:t>
            </w:r>
            <w:r>
              <w:rPr>
                <w:rFonts w:hint="eastAsia"/>
                <w:color w:val="auto"/>
                <w:sz w:val="21"/>
                <w:szCs w:val="21"/>
              </w:rPr>
              <w:t>要求干燥，双面刨光。</w:t>
            </w:r>
          </w:p>
          <w:p>
            <w:pPr>
              <w:spacing w:line="340" w:lineRule="exact"/>
              <w:jc w:val="both"/>
              <w:rPr>
                <w:color w:val="auto"/>
                <w:sz w:val="21"/>
                <w:szCs w:val="21"/>
                <w:lang w:eastAsia="en-US"/>
              </w:rPr>
            </w:pPr>
            <w:r>
              <w:rPr>
                <w:rFonts w:hint="eastAsia"/>
                <w:color w:val="auto"/>
                <w:sz w:val="21"/>
                <w:szCs w:val="21"/>
              </w:rPr>
              <w:t>四、参考图详见附件。</w:t>
            </w:r>
          </w:p>
        </w:tc>
        <w:tc>
          <w:tcPr>
            <w:tcW w:w="1036" w:type="dxa"/>
            <w:vAlign w:val="center"/>
          </w:tcPr>
          <w:p>
            <w:pPr>
              <w:pStyle w:val="6"/>
              <w:jc w:val="center"/>
              <w:rPr>
                <w:rFonts w:hint="default" w:eastAsia="宋体"/>
                <w:color w:val="auto"/>
                <w:sz w:val="21"/>
                <w:szCs w:val="21"/>
                <w:lang w:val="en-US" w:eastAsia="zh-CN"/>
              </w:rPr>
            </w:pPr>
            <w:r>
              <w:rPr>
                <w:rFonts w:hint="eastAsia"/>
                <w:b w:val="0"/>
                <w:bCs w:val="0"/>
                <w:color w:val="auto"/>
                <w:sz w:val="21"/>
                <w:szCs w:val="21"/>
                <w:lang w:val="en-US" w:eastAsia="zh-CN"/>
              </w:rPr>
              <w:t>1060套</w:t>
            </w:r>
          </w:p>
        </w:tc>
        <w:tc>
          <w:tcPr>
            <w:tcW w:w="1239" w:type="dxa"/>
            <w:vAlign w:val="center"/>
          </w:tcPr>
          <w:p>
            <w:pPr>
              <w:pStyle w:val="6"/>
              <w:jc w:val="center"/>
              <w:rPr>
                <w:rFonts w:hint="default" w:eastAsia="宋体"/>
                <w:b w:val="0"/>
                <w:bCs w:val="0"/>
                <w:color w:val="auto"/>
                <w:sz w:val="21"/>
                <w:szCs w:val="21"/>
                <w:lang w:val="en-US" w:eastAsia="zh-CN"/>
              </w:rPr>
            </w:pPr>
            <w:r>
              <w:rPr>
                <w:rFonts w:hint="eastAsia"/>
                <w:b w:val="0"/>
                <w:bCs w:val="0"/>
                <w:color w:val="auto"/>
                <w:sz w:val="21"/>
                <w:szCs w:val="21"/>
                <w:lang w:val="en-US" w:eastAsia="zh-CN"/>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Align w:val="center"/>
          </w:tcPr>
          <w:p>
            <w:pPr>
              <w:spacing w:line="340" w:lineRule="exact"/>
              <w:jc w:val="center"/>
              <w:rPr>
                <w:color w:val="auto"/>
                <w:szCs w:val="21"/>
                <w:lang w:val="en-US"/>
              </w:rPr>
            </w:pPr>
            <w:r>
              <w:rPr>
                <w:rFonts w:hint="eastAsia"/>
                <w:color w:val="auto"/>
                <w:szCs w:val="21"/>
                <w:lang w:val="en-US"/>
              </w:rPr>
              <w:t>2</w:t>
            </w:r>
          </w:p>
        </w:tc>
        <w:tc>
          <w:tcPr>
            <w:tcW w:w="1315" w:type="dxa"/>
            <w:vAlign w:val="center"/>
          </w:tcPr>
          <w:p>
            <w:pPr>
              <w:adjustRightInd w:val="0"/>
              <w:snapToGrid w:val="0"/>
              <w:spacing w:line="340" w:lineRule="exact"/>
              <w:jc w:val="center"/>
              <w:rPr>
                <w:rFonts w:ascii="Times New Roman" w:eastAsia="Times New Roman"/>
                <w:color w:val="auto"/>
                <w:sz w:val="21"/>
                <w:szCs w:val="21"/>
                <w:lang w:eastAsia="en-US"/>
              </w:rPr>
            </w:pPr>
            <w:r>
              <w:rPr>
                <w:rFonts w:hint="eastAsia"/>
                <w:color w:val="auto"/>
                <w:sz w:val="21"/>
                <w:szCs w:val="21"/>
              </w:rPr>
              <w:t>双连体学生双层铁架床</w:t>
            </w:r>
          </w:p>
        </w:tc>
        <w:tc>
          <w:tcPr>
            <w:tcW w:w="7087" w:type="dxa"/>
            <w:vAlign w:val="center"/>
          </w:tcPr>
          <w:p>
            <w:pPr>
              <w:spacing w:line="340" w:lineRule="exact"/>
              <w:rPr>
                <w:color w:val="auto"/>
                <w:sz w:val="21"/>
                <w:szCs w:val="21"/>
              </w:rPr>
            </w:pPr>
            <w:r>
              <w:rPr>
                <w:rFonts w:hint="eastAsia"/>
                <w:color w:val="auto"/>
                <w:sz w:val="21"/>
                <w:szCs w:val="21"/>
              </w:rPr>
              <w:t>一、外观规格尺寸：（长×宽×高）：4000mm×900mm×1900mm（允许</w:t>
            </w:r>
            <w:r>
              <w:rPr>
                <w:rFonts w:hint="eastAsia"/>
                <w:color w:val="auto"/>
                <w:sz w:val="21"/>
                <w:szCs w:val="21"/>
                <w:lang w:val="en-US"/>
              </w:rPr>
              <w:t>偏差±</w:t>
            </w:r>
            <w:r>
              <w:rPr>
                <w:rFonts w:hint="eastAsia"/>
                <w:color w:val="auto"/>
                <w:sz w:val="21"/>
                <w:szCs w:val="21"/>
              </w:rPr>
              <w:t>5mm）。</w:t>
            </w:r>
          </w:p>
          <w:p>
            <w:pPr>
              <w:spacing w:line="340" w:lineRule="exact"/>
              <w:rPr>
                <w:color w:val="auto"/>
                <w:sz w:val="21"/>
                <w:szCs w:val="21"/>
              </w:rPr>
            </w:pPr>
            <w:r>
              <w:rPr>
                <w:rFonts w:hint="eastAsia"/>
                <w:color w:val="auto"/>
                <w:sz w:val="21"/>
                <w:szCs w:val="21"/>
              </w:rPr>
              <w:t>二、材质要求：</w:t>
            </w:r>
          </w:p>
          <w:p>
            <w:pPr>
              <w:spacing w:line="340" w:lineRule="exact"/>
              <w:jc w:val="both"/>
              <w:rPr>
                <w:color w:val="auto"/>
                <w:sz w:val="21"/>
                <w:szCs w:val="21"/>
              </w:rPr>
            </w:pPr>
            <w:r>
              <w:rPr>
                <w:rFonts w:hint="eastAsia"/>
                <w:color w:val="auto"/>
                <w:sz w:val="21"/>
                <w:szCs w:val="21"/>
              </w:rPr>
              <w:t>1、钢架床材质要求为冷轧钢材，所用冷轧钢材性能应符合相应国家标准；钢架床的质量应符合相应国家金属家具技术条件标准和学生公寓家具标准。各钢件经除油、除锈、酸洗、陶化等工序,经防锈处理，外层采用聚脂环氧粉末静电喷塑处理，防止生锈、腐蚀。颜色可选。焊接表面光滑无毛刺，焊接处无夹渣、气孔、焊瘤、焊丝头咬边飞溅，并保证无脱焊、虚焊及焊穿等现象。</w:t>
            </w:r>
          </w:p>
          <w:p>
            <w:pPr>
              <w:spacing w:line="340" w:lineRule="exact"/>
              <w:jc w:val="both"/>
              <w:rPr>
                <w:color w:val="auto"/>
                <w:sz w:val="21"/>
                <w:szCs w:val="21"/>
              </w:rPr>
            </w:pPr>
            <w:r>
              <w:rPr>
                <w:rFonts w:hint="eastAsia"/>
                <w:color w:val="auto"/>
                <w:sz w:val="21"/>
                <w:szCs w:val="21"/>
              </w:rPr>
              <w:t>2、塑粉要求：铅：≤90mg/kg，镉：≤75mg/kg，铬≤60mg/kg，汞≤60mg/kg。</w:t>
            </w:r>
          </w:p>
          <w:p>
            <w:pPr>
              <w:spacing w:line="340" w:lineRule="exact"/>
              <w:jc w:val="both"/>
              <w:rPr>
                <w:color w:val="auto"/>
                <w:sz w:val="21"/>
                <w:szCs w:val="21"/>
                <w:lang w:val="en-US"/>
              </w:rPr>
            </w:pPr>
            <w:r>
              <w:rPr>
                <w:rFonts w:hint="eastAsia"/>
                <w:color w:val="auto"/>
                <w:sz w:val="21"/>
                <w:szCs w:val="21"/>
              </w:rPr>
              <w:t>三、部件要求：（</w:t>
            </w:r>
            <w:r>
              <w:rPr>
                <w:rFonts w:hint="eastAsia"/>
                <w:color w:val="auto"/>
                <w:sz w:val="21"/>
                <w:szCs w:val="21"/>
                <w:lang w:val="en-US"/>
              </w:rPr>
              <w:t>所有金属部件厚度要求均为裸材尺寸</w:t>
            </w:r>
            <w:r>
              <w:rPr>
                <w:rFonts w:hint="eastAsia"/>
                <w:color w:val="auto"/>
                <w:sz w:val="21"/>
                <w:szCs w:val="21"/>
              </w:rPr>
              <w:t>）</w:t>
            </w:r>
          </w:p>
          <w:p>
            <w:pPr>
              <w:spacing w:line="340" w:lineRule="exact"/>
              <w:jc w:val="both"/>
              <w:rPr>
                <w:color w:val="auto"/>
                <w:sz w:val="21"/>
                <w:szCs w:val="21"/>
              </w:rPr>
            </w:pPr>
            <w:r>
              <w:rPr>
                <w:rFonts w:hint="eastAsia"/>
                <w:color w:val="auto"/>
                <w:sz w:val="21"/>
                <w:szCs w:val="21"/>
              </w:rPr>
              <w:t>1、床立柱：</w:t>
            </w:r>
          </w:p>
          <w:p>
            <w:pPr>
              <w:numPr>
                <w:ilvl w:val="0"/>
                <w:numId w:val="7"/>
              </w:numPr>
              <w:spacing w:line="340" w:lineRule="exact"/>
              <w:jc w:val="both"/>
              <w:rPr>
                <w:color w:val="auto"/>
                <w:sz w:val="21"/>
                <w:szCs w:val="21"/>
              </w:rPr>
            </w:pPr>
            <w:r>
              <w:rPr>
                <w:rFonts w:hint="eastAsia"/>
                <w:color w:val="auto"/>
                <w:sz w:val="21"/>
                <w:szCs w:val="21"/>
              </w:rPr>
              <w:t>采用型材（冷轧钢板）边立柱</w:t>
            </w:r>
            <w:r>
              <w:rPr>
                <w:rFonts w:hint="eastAsia"/>
                <w:color w:val="auto"/>
                <w:szCs w:val="21"/>
              </w:rPr>
              <w:t>≥</w:t>
            </w:r>
            <w:r>
              <w:rPr>
                <w:rFonts w:hint="eastAsia"/>
                <w:color w:val="auto"/>
                <w:sz w:val="21"/>
                <w:szCs w:val="21"/>
              </w:rPr>
              <w:t>7</w:t>
            </w:r>
            <w:r>
              <w:rPr>
                <w:rFonts w:hint="eastAsia"/>
                <w:color w:val="auto"/>
                <w:sz w:val="21"/>
                <w:szCs w:val="21"/>
                <w:lang w:val="en-US" w:eastAsia="zh-CN"/>
              </w:rPr>
              <w:t>0</w:t>
            </w:r>
            <w:r>
              <w:rPr>
                <w:rFonts w:hint="eastAsia"/>
                <w:color w:val="auto"/>
                <w:sz w:val="21"/>
                <w:szCs w:val="21"/>
                <w:lang w:val="en-US"/>
              </w:rPr>
              <w:t>mm</w:t>
            </w:r>
            <w:r>
              <w:rPr>
                <w:rFonts w:hint="eastAsia"/>
                <w:color w:val="auto"/>
                <w:sz w:val="21"/>
                <w:szCs w:val="21"/>
              </w:rPr>
              <w:t>×7</w:t>
            </w:r>
            <w:r>
              <w:rPr>
                <w:rFonts w:hint="eastAsia"/>
                <w:color w:val="auto"/>
                <w:sz w:val="21"/>
                <w:szCs w:val="21"/>
                <w:lang w:val="en-US" w:eastAsia="zh-CN"/>
              </w:rPr>
              <w:t>0</w:t>
            </w:r>
            <w:r>
              <w:rPr>
                <w:rFonts w:hint="eastAsia"/>
                <w:color w:val="auto"/>
                <w:sz w:val="21"/>
                <w:szCs w:val="21"/>
              </w:rPr>
              <w:t>mm，</w:t>
            </w:r>
            <w:r>
              <w:rPr>
                <w:rFonts w:hint="eastAsia"/>
                <w:color w:val="auto"/>
                <w:sz w:val="21"/>
                <w:szCs w:val="21"/>
                <w:lang w:val="en-US"/>
              </w:rPr>
              <w:t>管壁</w:t>
            </w:r>
            <w:r>
              <w:rPr>
                <w:rFonts w:hint="eastAsia"/>
                <w:color w:val="auto"/>
                <w:sz w:val="21"/>
                <w:szCs w:val="21"/>
              </w:rPr>
              <w:t>厚度≥1.2mm高频焊接封口型管材(立柱上有两条宽加强筋，加强筋越大，刚性越强，防止生锈、腐蚀）；中立柱：≥</w:t>
            </w:r>
            <w:r>
              <w:rPr>
                <w:rFonts w:hint="eastAsia"/>
                <w:color w:val="auto"/>
                <w:sz w:val="21"/>
                <w:szCs w:val="21"/>
                <w:lang w:val="en-US"/>
              </w:rPr>
              <w:t>40mm</w:t>
            </w:r>
            <w:r>
              <w:rPr>
                <w:rFonts w:hint="eastAsia"/>
                <w:color w:val="auto"/>
                <w:sz w:val="21"/>
                <w:szCs w:val="21"/>
              </w:rPr>
              <w:t>×</w:t>
            </w:r>
            <w:r>
              <w:rPr>
                <w:rFonts w:hint="eastAsia"/>
                <w:color w:val="auto"/>
                <w:sz w:val="21"/>
                <w:szCs w:val="21"/>
                <w:lang w:val="en-US"/>
              </w:rPr>
              <w:t>80</w:t>
            </w:r>
            <w:r>
              <w:rPr>
                <w:rFonts w:hint="eastAsia"/>
                <w:color w:val="auto"/>
                <w:sz w:val="21"/>
                <w:szCs w:val="21"/>
              </w:rPr>
              <w:t>mm，</w:t>
            </w:r>
            <w:r>
              <w:rPr>
                <w:rFonts w:hint="eastAsia"/>
                <w:color w:val="auto"/>
                <w:sz w:val="21"/>
                <w:szCs w:val="21"/>
                <w:lang w:val="en-US"/>
              </w:rPr>
              <w:t>管壁</w:t>
            </w:r>
            <w:r>
              <w:rPr>
                <w:rFonts w:hint="eastAsia"/>
                <w:color w:val="auto"/>
                <w:sz w:val="21"/>
                <w:szCs w:val="21"/>
              </w:rPr>
              <w:t>厚度≥1.2mm。</w:t>
            </w:r>
          </w:p>
          <w:p>
            <w:pPr>
              <w:numPr>
                <w:ilvl w:val="0"/>
                <w:numId w:val="7"/>
              </w:numPr>
              <w:spacing w:line="340" w:lineRule="exact"/>
              <w:jc w:val="both"/>
              <w:rPr>
                <w:color w:val="auto"/>
                <w:sz w:val="21"/>
                <w:szCs w:val="21"/>
              </w:rPr>
            </w:pPr>
            <w:r>
              <w:rPr>
                <w:rFonts w:hint="eastAsia"/>
                <w:color w:val="auto"/>
                <w:sz w:val="21"/>
                <w:szCs w:val="21"/>
              </w:rPr>
              <w:t>金属件外观要求：①喷涂层：涂层应无漏喷、锈蚀，应光滑均匀，色泽一致，应无流挂、疙瘩、皱皮、飞漆等缺陷。</w:t>
            </w:r>
          </w:p>
          <w:p>
            <w:pPr>
              <w:spacing w:line="340" w:lineRule="exact"/>
              <w:jc w:val="both"/>
              <w:rPr>
                <w:color w:val="auto"/>
                <w:sz w:val="21"/>
                <w:szCs w:val="21"/>
              </w:rPr>
            </w:pPr>
            <w:r>
              <w:rPr>
                <w:rFonts w:hint="eastAsia"/>
                <w:color w:val="auto"/>
                <w:sz w:val="21"/>
                <w:szCs w:val="21"/>
              </w:rPr>
              <w:t>②金属喷漆（塑）涂层理化性能：a。硬度≥H；b。冲击强度：应无剥落、裂纹、皱纹；c.耐腐蚀测试：在溶剂样板上划道两侧3mm以外，应无气泡产生；检查划道两侧3mm以外，应无锈蚀、剥落、起皱、变色和失光等现象；d.附着力：不低于2级，或者通过乙酸</w:t>
            </w:r>
            <w:r>
              <w:rPr>
                <w:rFonts w:hint="eastAsia"/>
                <w:color w:val="auto"/>
                <w:sz w:val="21"/>
                <w:szCs w:val="21"/>
                <w:lang w:val="en-US"/>
              </w:rPr>
              <w:t>盐雾试验：</w:t>
            </w:r>
            <w:r>
              <w:rPr>
                <w:rFonts w:hint="eastAsia"/>
                <w:color w:val="auto"/>
                <w:sz w:val="21"/>
                <w:szCs w:val="21"/>
              </w:rPr>
              <w:t>表面未出现生锈，气泡，斑点，颜色变化等其他现象。</w:t>
            </w:r>
          </w:p>
          <w:p>
            <w:pPr>
              <w:spacing w:line="340" w:lineRule="exact"/>
              <w:jc w:val="both"/>
              <w:rPr>
                <w:color w:val="auto"/>
                <w:sz w:val="21"/>
                <w:szCs w:val="21"/>
              </w:rPr>
            </w:pPr>
            <w:r>
              <w:rPr>
                <w:rFonts w:hint="eastAsia"/>
                <w:color w:val="auto"/>
                <w:sz w:val="21"/>
                <w:szCs w:val="21"/>
              </w:rPr>
              <w:t>（3）抗拉强度 Rm（MPa）：315～430 或下屈服强度 ReL(MPa)≥235 ，断后伸长率 A（%）≥33 ，公称厚度≥1.2mm。</w:t>
            </w:r>
          </w:p>
          <w:p>
            <w:pPr>
              <w:spacing w:line="340" w:lineRule="exact"/>
              <w:jc w:val="both"/>
              <w:rPr>
                <w:color w:val="auto"/>
                <w:sz w:val="21"/>
                <w:szCs w:val="21"/>
              </w:rPr>
            </w:pPr>
            <w:r>
              <w:rPr>
                <w:rFonts w:hint="eastAsia"/>
                <w:color w:val="auto"/>
                <w:sz w:val="21"/>
                <w:szCs w:val="21"/>
              </w:rPr>
              <w:t>2、床横梁：</w:t>
            </w:r>
          </w:p>
          <w:p>
            <w:pPr>
              <w:spacing w:line="340" w:lineRule="exact"/>
              <w:jc w:val="both"/>
              <w:rPr>
                <w:color w:val="auto"/>
                <w:sz w:val="21"/>
                <w:szCs w:val="21"/>
              </w:rPr>
            </w:pPr>
            <w:r>
              <w:rPr>
                <w:rFonts w:hint="eastAsia"/>
                <w:color w:val="auto"/>
                <w:sz w:val="21"/>
                <w:szCs w:val="21"/>
              </w:rPr>
              <w:t>（1）</w:t>
            </w:r>
            <w:r>
              <w:rPr>
                <w:rFonts w:hint="eastAsia"/>
                <w:color w:val="auto"/>
                <w:sz w:val="21"/>
                <w:szCs w:val="21"/>
                <w:lang w:val="en-US" w:eastAsia="zh-CN"/>
              </w:rPr>
              <w:t>采用</w:t>
            </w:r>
            <w:r>
              <w:rPr>
                <w:rFonts w:hint="eastAsia"/>
                <w:color w:val="auto"/>
                <w:sz w:val="21"/>
                <w:szCs w:val="21"/>
              </w:rPr>
              <w:t>型材（冷轧钢板）≥</w:t>
            </w:r>
            <w:r>
              <w:rPr>
                <w:rFonts w:hint="eastAsia"/>
                <w:color w:val="auto"/>
                <w:sz w:val="21"/>
                <w:szCs w:val="21"/>
                <w:lang w:val="en-US" w:eastAsia="zh-CN"/>
              </w:rPr>
              <w:t>75</w:t>
            </w:r>
            <w:r>
              <w:rPr>
                <w:rFonts w:hint="eastAsia"/>
                <w:color w:val="auto"/>
                <w:sz w:val="21"/>
                <w:szCs w:val="21"/>
                <w:lang w:val="en-US"/>
              </w:rPr>
              <w:t>mm</w:t>
            </w:r>
            <w:r>
              <w:rPr>
                <w:rFonts w:hint="eastAsia"/>
                <w:color w:val="auto"/>
                <w:sz w:val="21"/>
                <w:szCs w:val="21"/>
              </w:rPr>
              <w:t>×3</w:t>
            </w:r>
            <w:r>
              <w:rPr>
                <w:rFonts w:hint="eastAsia"/>
                <w:color w:val="auto"/>
                <w:sz w:val="21"/>
                <w:szCs w:val="21"/>
                <w:lang w:val="en-US" w:eastAsia="zh-CN"/>
              </w:rPr>
              <w:t>0</w:t>
            </w:r>
            <w:r>
              <w:rPr>
                <w:rFonts w:hint="eastAsia"/>
                <w:color w:val="auto"/>
                <w:sz w:val="21"/>
                <w:szCs w:val="21"/>
                <w:lang w:val="en-US"/>
              </w:rPr>
              <w:t>mm</w:t>
            </w:r>
            <w:r>
              <w:rPr>
                <w:rFonts w:hint="eastAsia"/>
                <w:color w:val="auto"/>
                <w:sz w:val="21"/>
                <w:szCs w:val="21"/>
              </w:rPr>
              <w:t>，</w:t>
            </w:r>
            <w:r>
              <w:rPr>
                <w:rFonts w:hint="eastAsia"/>
                <w:color w:val="auto"/>
                <w:sz w:val="21"/>
                <w:szCs w:val="21"/>
                <w:lang w:val="en-US"/>
              </w:rPr>
              <w:t>管壁</w:t>
            </w:r>
            <w:r>
              <w:rPr>
                <w:rFonts w:hint="eastAsia"/>
                <w:color w:val="auto"/>
                <w:sz w:val="21"/>
                <w:szCs w:val="21"/>
              </w:rPr>
              <w:t>厚度≥1.2mm高频焊接封口型管材；</w:t>
            </w:r>
          </w:p>
          <w:p>
            <w:pPr>
              <w:spacing w:line="340" w:lineRule="exact"/>
              <w:jc w:val="both"/>
              <w:rPr>
                <w:color w:val="auto"/>
                <w:sz w:val="21"/>
                <w:szCs w:val="21"/>
              </w:rPr>
            </w:pPr>
            <w:r>
              <w:rPr>
                <w:rFonts w:hint="eastAsia"/>
                <w:color w:val="auto"/>
                <w:sz w:val="21"/>
                <w:szCs w:val="21"/>
              </w:rPr>
              <w:t>（2）金属件外观要求：①喷涂层：涂层应无漏喷、锈蚀，应光滑均匀，色泽一致，应无流挂、疙瘩、皱皮、飞漆等缺陷。</w:t>
            </w:r>
          </w:p>
          <w:p>
            <w:pPr>
              <w:spacing w:line="340" w:lineRule="exact"/>
              <w:jc w:val="both"/>
              <w:rPr>
                <w:color w:val="auto"/>
                <w:sz w:val="21"/>
                <w:szCs w:val="21"/>
              </w:rPr>
            </w:pPr>
            <w:r>
              <w:rPr>
                <w:rFonts w:hint="eastAsia"/>
                <w:color w:val="auto"/>
                <w:sz w:val="21"/>
                <w:szCs w:val="21"/>
                <w:lang w:val="en-US"/>
              </w:rPr>
              <w:t>②</w:t>
            </w:r>
            <w:r>
              <w:rPr>
                <w:rFonts w:hint="eastAsia"/>
                <w:color w:val="auto"/>
                <w:sz w:val="21"/>
                <w:szCs w:val="21"/>
              </w:rPr>
              <w:t>金属喷漆（塑）涂层理化性能：a.硬度≥H；b.冲击强度：应无剥落、裂纹、皱纹；c.耐腐蚀测试：在溶剂样板上划道两侧3mm以外，应无气泡产生；检查划道两侧3mm以外，应无锈蚀、剥落、起皱、变色和失光等现象；d.附着力：不低于2级，或者通过乙酸</w:t>
            </w:r>
            <w:r>
              <w:rPr>
                <w:rFonts w:hint="eastAsia"/>
                <w:color w:val="auto"/>
                <w:sz w:val="21"/>
                <w:szCs w:val="21"/>
                <w:lang w:val="en-US"/>
              </w:rPr>
              <w:t>盐雾试验：</w:t>
            </w:r>
            <w:r>
              <w:rPr>
                <w:rFonts w:hint="eastAsia"/>
                <w:color w:val="auto"/>
                <w:sz w:val="21"/>
                <w:szCs w:val="21"/>
              </w:rPr>
              <w:t>表面未出现生锈，气泡，斑点，颜色变化等其他现象。</w:t>
            </w:r>
          </w:p>
          <w:p>
            <w:pPr>
              <w:pStyle w:val="2"/>
              <w:spacing w:line="340" w:lineRule="exact"/>
              <w:jc w:val="both"/>
              <w:rPr>
                <w:color w:val="auto"/>
                <w:sz w:val="21"/>
                <w:szCs w:val="21"/>
                <w:lang w:val="en-US"/>
              </w:rPr>
            </w:pPr>
            <w:r>
              <w:rPr>
                <w:rFonts w:hint="eastAsia"/>
                <w:color w:val="auto"/>
                <w:sz w:val="21"/>
                <w:szCs w:val="21"/>
                <w:lang w:val="en-US"/>
              </w:rPr>
              <w:t>（3）抗拉强度 Rm（MPa）：315～430 或下屈服强度 ReL(MPa)≥235 ，断后伸长率 A（%）≥33 ，公称厚度≥1.2mm。</w:t>
            </w:r>
          </w:p>
          <w:p>
            <w:pPr>
              <w:spacing w:line="340" w:lineRule="exact"/>
              <w:jc w:val="both"/>
              <w:rPr>
                <w:color w:val="auto"/>
                <w:sz w:val="21"/>
                <w:szCs w:val="21"/>
              </w:rPr>
            </w:pPr>
            <w:r>
              <w:rPr>
                <w:rFonts w:hint="eastAsia"/>
                <w:color w:val="auto"/>
                <w:sz w:val="21"/>
                <w:szCs w:val="21"/>
              </w:rPr>
              <w:t>3、床</w:t>
            </w:r>
            <w:r>
              <w:rPr>
                <w:rFonts w:hint="eastAsia"/>
                <w:color w:val="auto"/>
                <w:sz w:val="21"/>
                <w:szCs w:val="21"/>
                <w:lang w:val="en-US"/>
              </w:rPr>
              <w:t>连接</w:t>
            </w:r>
            <w:r>
              <w:rPr>
                <w:rFonts w:hint="eastAsia"/>
                <w:color w:val="auto"/>
                <w:sz w:val="21"/>
                <w:szCs w:val="21"/>
              </w:rPr>
              <w:t>挂件：</w:t>
            </w:r>
          </w:p>
          <w:p>
            <w:pPr>
              <w:spacing w:line="340" w:lineRule="exact"/>
              <w:jc w:val="both"/>
              <w:rPr>
                <w:color w:val="auto"/>
                <w:sz w:val="21"/>
                <w:szCs w:val="21"/>
              </w:rPr>
            </w:pPr>
            <w:r>
              <w:rPr>
                <w:rFonts w:hint="eastAsia"/>
                <w:color w:val="auto"/>
                <w:sz w:val="21"/>
                <w:szCs w:val="21"/>
              </w:rPr>
              <w:t>（1）冷轧钢板≥26</w:t>
            </w:r>
            <w:r>
              <w:rPr>
                <w:rFonts w:hint="eastAsia"/>
                <w:color w:val="auto"/>
                <w:sz w:val="21"/>
                <w:szCs w:val="21"/>
                <w:lang w:val="en-US"/>
              </w:rPr>
              <w:t>mm</w:t>
            </w:r>
            <w:r>
              <w:rPr>
                <w:rFonts w:hint="eastAsia"/>
                <w:color w:val="auto"/>
                <w:sz w:val="21"/>
                <w:szCs w:val="21"/>
              </w:rPr>
              <w:t>×26</w:t>
            </w:r>
            <w:r>
              <w:rPr>
                <w:rFonts w:hint="eastAsia"/>
                <w:color w:val="auto"/>
                <w:sz w:val="21"/>
                <w:szCs w:val="21"/>
                <w:lang w:val="en-US"/>
              </w:rPr>
              <w:t>mm</w:t>
            </w:r>
            <w:r>
              <w:rPr>
                <w:rFonts w:hint="eastAsia"/>
                <w:color w:val="auto"/>
                <w:sz w:val="21"/>
                <w:szCs w:val="21"/>
              </w:rPr>
              <w:t>×195</w:t>
            </w:r>
            <w:r>
              <w:rPr>
                <w:rFonts w:hint="eastAsia"/>
                <w:color w:val="auto"/>
                <w:sz w:val="21"/>
                <w:szCs w:val="21"/>
                <w:lang w:val="en-US"/>
              </w:rPr>
              <w:t>mm</w:t>
            </w:r>
            <w:r>
              <w:rPr>
                <w:rFonts w:hint="eastAsia"/>
                <w:color w:val="auto"/>
                <w:sz w:val="21"/>
                <w:szCs w:val="21"/>
              </w:rPr>
              <w:t>，</w:t>
            </w:r>
            <w:r>
              <w:rPr>
                <w:rFonts w:hint="eastAsia"/>
                <w:color w:val="auto"/>
                <w:sz w:val="21"/>
                <w:szCs w:val="21"/>
                <w:lang w:val="en-US"/>
              </w:rPr>
              <w:t>钢板</w:t>
            </w:r>
            <w:r>
              <w:rPr>
                <w:rFonts w:hint="eastAsia"/>
                <w:color w:val="auto"/>
                <w:sz w:val="21"/>
                <w:szCs w:val="21"/>
              </w:rPr>
              <w:t>厚度≥2.0mm；</w:t>
            </w:r>
          </w:p>
          <w:p>
            <w:pPr>
              <w:spacing w:line="340" w:lineRule="exact"/>
              <w:jc w:val="both"/>
              <w:rPr>
                <w:color w:val="auto"/>
                <w:sz w:val="21"/>
                <w:szCs w:val="21"/>
              </w:rPr>
            </w:pPr>
            <w:r>
              <w:rPr>
                <w:rFonts w:hint="eastAsia"/>
                <w:color w:val="auto"/>
                <w:sz w:val="21"/>
                <w:szCs w:val="21"/>
              </w:rPr>
              <w:t>（2）金属件外观要求：①喷涂层：涂层应无漏喷、锈蚀，应光滑均匀，色泽一致，应无流挂、疙瘩、皱皮、飞漆等缺陷。</w:t>
            </w:r>
          </w:p>
          <w:p>
            <w:pPr>
              <w:spacing w:line="340" w:lineRule="exact"/>
              <w:jc w:val="both"/>
              <w:rPr>
                <w:color w:val="auto"/>
                <w:sz w:val="21"/>
                <w:szCs w:val="21"/>
              </w:rPr>
            </w:pPr>
            <w:r>
              <w:rPr>
                <w:rFonts w:hint="eastAsia"/>
                <w:color w:val="auto"/>
                <w:sz w:val="21"/>
                <w:szCs w:val="21"/>
              </w:rPr>
              <w:t>②金属喷漆（塑）涂层理化性能：a。硬度≥H；b。冲击强度：应无剥落、裂纹、皱纹；c.耐腐蚀测试：在溶剂样板上划道两侧3mm以外，应无气泡产生；检查划道两侧3mm以外，应无锈蚀、剥落、起皱、变色和失光等现象；d.附着力：不低于2级，或者通过乙酸</w:t>
            </w:r>
            <w:r>
              <w:rPr>
                <w:rFonts w:hint="eastAsia"/>
                <w:color w:val="auto"/>
                <w:sz w:val="21"/>
                <w:szCs w:val="21"/>
                <w:lang w:val="en-US"/>
              </w:rPr>
              <w:t>盐雾试验：</w:t>
            </w:r>
            <w:r>
              <w:rPr>
                <w:rFonts w:hint="eastAsia"/>
                <w:color w:val="auto"/>
                <w:sz w:val="21"/>
                <w:szCs w:val="21"/>
              </w:rPr>
              <w:t>表面未出现生锈，气泡，斑点，颜色变化等其他现象。</w:t>
            </w:r>
          </w:p>
          <w:p>
            <w:pPr>
              <w:spacing w:line="340" w:lineRule="exact"/>
              <w:jc w:val="both"/>
              <w:rPr>
                <w:color w:val="auto"/>
                <w:sz w:val="21"/>
                <w:szCs w:val="21"/>
              </w:rPr>
            </w:pPr>
            <w:r>
              <w:rPr>
                <w:rFonts w:hint="eastAsia"/>
                <w:color w:val="auto"/>
                <w:sz w:val="21"/>
                <w:szCs w:val="21"/>
              </w:rPr>
              <w:t>（3）抗拉强度 Rm（MPa）：315～430 或下屈服强度 ReL(MPa)≥235 ，断后伸长率 A（%）≥33 ，公称厚度≥2.0mm。</w:t>
            </w:r>
          </w:p>
          <w:p>
            <w:pPr>
              <w:spacing w:line="340" w:lineRule="exact"/>
              <w:jc w:val="both"/>
              <w:rPr>
                <w:color w:val="auto"/>
                <w:sz w:val="21"/>
                <w:szCs w:val="21"/>
              </w:rPr>
            </w:pPr>
            <w:r>
              <w:rPr>
                <w:rFonts w:hint="eastAsia"/>
                <w:color w:val="auto"/>
                <w:sz w:val="21"/>
                <w:szCs w:val="21"/>
              </w:rPr>
              <w:t>4、床桓：方管≥30</w:t>
            </w:r>
            <w:r>
              <w:rPr>
                <w:rFonts w:hint="eastAsia"/>
                <w:color w:val="auto"/>
                <w:sz w:val="21"/>
                <w:szCs w:val="21"/>
                <w:lang w:val="en-US"/>
              </w:rPr>
              <w:t>mm</w:t>
            </w:r>
            <w:r>
              <w:rPr>
                <w:rFonts w:hint="eastAsia"/>
                <w:color w:val="auto"/>
                <w:sz w:val="21"/>
                <w:szCs w:val="21"/>
              </w:rPr>
              <w:t>×20</w:t>
            </w:r>
            <w:r>
              <w:rPr>
                <w:rFonts w:hint="eastAsia"/>
                <w:color w:val="auto"/>
                <w:sz w:val="21"/>
                <w:szCs w:val="21"/>
                <w:lang w:val="en-US"/>
              </w:rPr>
              <w:t>mm，管壁厚度≥</w:t>
            </w:r>
            <w:r>
              <w:rPr>
                <w:rFonts w:hint="eastAsia"/>
                <w:color w:val="auto"/>
                <w:sz w:val="21"/>
                <w:szCs w:val="21"/>
              </w:rPr>
              <w:t>1.0mm。</w:t>
            </w:r>
          </w:p>
          <w:p>
            <w:pPr>
              <w:spacing w:line="340" w:lineRule="exact"/>
              <w:jc w:val="both"/>
              <w:rPr>
                <w:color w:val="auto"/>
                <w:sz w:val="21"/>
                <w:szCs w:val="21"/>
              </w:rPr>
            </w:pPr>
            <w:r>
              <w:rPr>
                <w:rFonts w:hint="eastAsia"/>
                <w:color w:val="auto"/>
                <w:sz w:val="21"/>
                <w:szCs w:val="21"/>
              </w:rPr>
              <w:t>5、床护栏</w:t>
            </w:r>
          </w:p>
          <w:p>
            <w:pPr>
              <w:spacing w:line="340" w:lineRule="exact"/>
              <w:jc w:val="both"/>
              <w:rPr>
                <w:color w:val="auto"/>
                <w:sz w:val="21"/>
                <w:szCs w:val="21"/>
              </w:rPr>
            </w:pPr>
            <w:r>
              <w:rPr>
                <w:rFonts w:hint="eastAsia"/>
                <w:color w:val="auto"/>
                <w:sz w:val="21"/>
                <w:szCs w:val="21"/>
              </w:rPr>
              <w:t>前护栏：</w:t>
            </w:r>
            <w:r>
              <w:rPr>
                <w:rFonts w:hint="eastAsia"/>
                <w:color w:val="auto"/>
                <w:sz w:val="21"/>
                <w:szCs w:val="21"/>
                <w:lang w:val="en-US"/>
              </w:rPr>
              <w:t>横管采用D型管</w:t>
            </w:r>
            <w:r>
              <w:rPr>
                <w:rFonts w:hint="eastAsia"/>
                <w:color w:val="auto"/>
                <w:sz w:val="21"/>
                <w:szCs w:val="21"/>
              </w:rPr>
              <w:t>≥20</w:t>
            </w:r>
            <w:r>
              <w:rPr>
                <w:rFonts w:hint="eastAsia"/>
                <w:color w:val="auto"/>
                <w:sz w:val="21"/>
                <w:szCs w:val="21"/>
                <w:lang w:val="en-US"/>
              </w:rPr>
              <w:t>mm</w:t>
            </w:r>
            <w:r>
              <w:rPr>
                <w:rFonts w:ascii="Arial" w:hAnsi="Arial" w:cs="Arial"/>
                <w:color w:val="auto"/>
                <w:sz w:val="21"/>
                <w:szCs w:val="21"/>
              </w:rPr>
              <w:t>×</w:t>
            </w:r>
            <w:r>
              <w:rPr>
                <w:rFonts w:hint="eastAsia"/>
                <w:color w:val="auto"/>
                <w:sz w:val="21"/>
                <w:szCs w:val="21"/>
              </w:rPr>
              <w:t>32</w:t>
            </w:r>
            <w:r>
              <w:rPr>
                <w:rFonts w:hint="eastAsia"/>
                <w:color w:val="auto"/>
                <w:sz w:val="21"/>
                <w:szCs w:val="21"/>
                <w:lang w:val="en-US"/>
              </w:rPr>
              <w:t>mm</w:t>
            </w:r>
            <w:r>
              <w:rPr>
                <w:rFonts w:hint="eastAsia"/>
                <w:color w:val="auto"/>
                <w:sz w:val="21"/>
                <w:szCs w:val="21"/>
                <w:lang w:val="en-US" w:eastAsia="zh-CN"/>
              </w:rPr>
              <w:t>，</w:t>
            </w:r>
            <w:r>
              <w:rPr>
                <w:rFonts w:hint="eastAsia"/>
                <w:color w:val="auto"/>
                <w:sz w:val="21"/>
                <w:szCs w:val="21"/>
                <w:lang w:val="en-US"/>
              </w:rPr>
              <w:t>管壁厚度≥</w:t>
            </w:r>
            <w:r>
              <w:rPr>
                <w:rFonts w:hint="eastAsia"/>
                <w:color w:val="auto"/>
                <w:sz w:val="21"/>
                <w:szCs w:val="21"/>
              </w:rPr>
              <w:t>1.2mm</w:t>
            </w:r>
            <w:r>
              <w:rPr>
                <w:rFonts w:hint="eastAsia"/>
                <w:color w:val="auto"/>
                <w:sz w:val="21"/>
                <w:szCs w:val="21"/>
                <w:lang w:val="en-US"/>
              </w:rPr>
              <w:t>，经数控弯曲成曲型。竖管采用方管</w:t>
            </w:r>
            <w:r>
              <w:rPr>
                <w:rFonts w:hint="eastAsia"/>
                <w:color w:val="auto"/>
                <w:sz w:val="21"/>
                <w:szCs w:val="21"/>
              </w:rPr>
              <w:t>≥</w:t>
            </w:r>
            <w:r>
              <w:rPr>
                <w:rFonts w:hint="eastAsia"/>
                <w:color w:val="auto"/>
                <w:sz w:val="21"/>
                <w:szCs w:val="21"/>
                <w:lang w:val="en-US"/>
              </w:rPr>
              <w:t>20mm</w:t>
            </w:r>
            <w:r>
              <w:rPr>
                <w:rFonts w:ascii="Arial" w:hAnsi="Arial" w:cs="Arial"/>
                <w:color w:val="auto"/>
                <w:sz w:val="21"/>
                <w:szCs w:val="21"/>
                <w:lang w:val="en-US"/>
              </w:rPr>
              <w:t>×</w:t>
            </w:r>
            <w:r>
              <w:rPr>
                <w:rFonts w:hint="eastAsia"/>
                <w:color w:val="auto"/>
                <w:sz w:val="21"/>
                <w:szCs w:val="21"/>
                <w:lang w:val="en-US"/>
              </w:rPr>
              <w:t>20mm，管壁厚度≥1.0mm。前护栏与长横梁整体焊接成型。</w:t>
            </w:r>
          </w:p>
          <w:p>
            <w:pPr>
              <w:tabs>
                <w:tab w:val="left" w:pos="2355"/>
              </w:tabs>
              <w:spacing w:line="340" w:lineRule="exact"/>
              <w:jc w:val="both"/>
              <w:rPr>
                <w:color w:val="auto"/>
                <w:sz w:val="21"/>
                <w:szCs w:val="21"/>
                <w:lang w:val="en-US"/>
              </w:rPr>
            </w:pPr>
            <w:r>
              <w:rPr>
                <w:rFonts w:hint="eastAsia"/>
                <w:color w:val="auto"/>
                <w:sz w:val="21"/>
                <w:szCs w:val="21"/>
                <w:lang w:val="en-US"/>
              </w:rPr>
              <w:t>侧</w:t>
            </w:r>
            <w:r>
              <w:rPr>
                <w:rFonts w:hint="eastAsia"/>
                <w:color w:val="auto"/>
                <w:sz w:val="21"/>
                <w:szCs w:val="21"/>
              </w:rPr>
              <w:t>床头护栏：</w:t>
            </w:r>
            <w:r>
              <w:rPr>
                <w:rFonts w:hint="eastAsia"/>
                <w:color w:val="auto"/>
                <w:sz w:val="21"/>
                <w:szCs w:val="21"/>
                <w:lang w:val="en-US"/>
              </w:rPr>
              <w:t>侧床头护栏横管采用D型管</w:t>
            </w:r>
            <w:r>
              <w:rPr>
                <w:rFonts w:hint="eastAsia"/>
                <w:color w:val="auto"/>
                <w:sz w:val="21"/>
                <w:szCs w:val="21"/>
              </w:rPr>
              <w:t>≥</w:t>
            </w:r>
            <w:r>
              <w:rPr>
                <w:rFonts w:hint="eastAsia"/>
                <w:color w:val="auto"/>
                <w:sz w:val="21"/>
                <w:szCs w:val="21"/>
                <w:lang w:val="en-US"/>
              </w:rPr>
              <w:t>28mm</w:t>
            </w:r>
            <w:r>
              <w:rPr>
                <w:rFonts w:ascii="Arial" w:hAnsi="Arial" w:cs="Arial"/>
                <w:color w:val="auto"/>
                <w:sz w:val="21"/>
                <w:szCs w:val="21"/>
                <w:lang w:val="en-US"/>
              </w:rPr>
              <w:t>×</w:t>
            </w:r>
            <w:r>
              <w:rPr>
                <w:rFonts w:hint="eastAsia"/>
                <w:color w:val="auto"/>
                <w:sz w:val="21"/>
                <w:szCs w:val="21"/>
                <w:lang w:val="en-US"/>
              </w:rPr>
              <w:t>34mm，管壁厚度≥1.2mm，竖管采用方管</w:t>
            </w:r>
            <w:r>
              <w:rPr>
                <w:rFonts w:hint="eastAsia"/>
                <w:color w:val="auto"/>
                <w:sz w:val="21"/>
                <w:szCs w:val="21"/>
              </w:rPr>
              <w:t>≥</w:t>
            </w:r>
            <w:r>
              <w:rPr>
                <w:rFonts w:hint="eastAsia"/>
                <w:color w:val="auto"/>
                <w:sz w:val="21"/>
                <w:szCs w:val="21"/>
                <w:lang w:val="en-US"/>
              </w:rPr>
              <w:t>20mm</w:t>
            </w:r>
            <w:r>
              <w:rPr>
                <w:rFonts w:ascii="Arial" w:hAnsi="Arial" w:cs="Arial"/>
                <w:color w:val="auto"/>
                <w:sz w:val="21"/>
                <w:szCs w:val="21"/>
                <w:lang w:val="en-US"/>
              </w:rPr>
              <w:t>×</w:t>
            </w:r>
            <w:r>
              <w:rPr>
                <w:rFonts w:hint="eastAsia"/>
                <w:color w:val="auto"/>
                <w:sz w:val="21"/>
                <w:szCs w:val="21"/>
                <w:lang w:val="en-US"/>
              </w:rPr>
              <w:t>20mm，管壁厚度≥1.0mm。</w:t>
            </w:r>
          </w:p>
          <w:p>
            <w:pPr>
              <w:spacing w:line="340" w:lineRule="exact"/>
              <w:jc w:val="both"/>
              <w:rPr>
                <w:color w:val="auto"/>
                <w:sz w:val="21"/>
                <w:szCs w:val="21"/>
              </w:rPr>
            </w:pPr>
            <w:r>
              <w:rPr>
                <w:rFonts w:hint="eastAsia"/>
                <w:color w:val="auto"/>
                <w:sz w:val="21"/>
                <w:szCs w:val="21"/>
              </w:rPr>
              <w:t>中床头护栏：≥Ф19 mm，</w:t>
            </w:r>
            <w:r>
              <w:rPr>
                <w:rFonts w:hint="eastAsia"/>
                <w:color w:val="auto"/>
                <w:sz w:val="21"/>
                <w:szCs w:val="21"/>
                <w:lang w:val="en-US"/>
              </w:rPr>
              <w:t>管壁</w:t>
            </w:r>
            <w:r>
              <w:rPr>
                <w:rFonts w:hint="eastAsia"/>
                <w:color w:val="auto"/>
                <w:sz w:val="21"/>
                <w:szCs w:val="21"/>
              </w:rPr>
              <w:t xml:space="preserve">厚度≥1.0mm圆管。                                                                                                        </w:t>
            </w:r>
          </w:p>
          <w:p>
            <w:pPr>
              <w:spacing w:line="340" w:lineRule="exact"/>
              <w:jc w:val="both"/>
              <w:rPr>
                <w:color w:val="auto"/>
                <w:sz w:val="21"/>
                <w:szCs w:val="21"/>
              </w:rPr>
            </w:pPr>
            <w:r>
              <w:rPr>
                <w:rFonts w:hint="eastAsia"/>
                <w:color w:val="auto"/>
                <w:sz w:val="21"/>
                <w:szCs w:val="21"/>
                <w:lang w:val="en-US"/>
              </w:rPr>
              <w:t>6</w:t>
            </w:r>
            <w:r>
              <w:rPr>
                <w:rFonts w:hint="eastAsia"/>
                <w:color w:val="auto"/>
                <w:sz w:val="21"/>
                <w:szCs w:val="21"/>
              </w:rPr>
              <w:t>、蚊帐架：圆管Ф≥12</w:t>
            </w:r>
            <w:r>
              <w:rPr>
                <w:rFonts w:hint="eastAsia"/>
                <w:color w:val="auto"/>
                <w:sz w:val="21"/>
                <w:szCs w:val="21"/>
                <w:lang w:val="en-US"/>
              </w:rPr>
              <w:t>mm，管壁厚度≥</w:t>
            </w:r>
            <w:r>
              <w:rPr>
                <w:rFonts w:hint="eastAsia"/>
                <w:color w:val="auto"/>
                <w:sz w:val="21"/>
                <w:szCs w:val="21"/>
              </w:rPr>
              <w:t>1.0mm。</w:t>
            </w:r>
          </w:p>
          <w:p>
            <w:pPr>
              <w:spacing w:line="340" w:lineRule="exact"/>
              <w:jc w:val="both"/>
              <w:rPr>
                <w:color w:val="auto"/>
                <w:sz w:val="21"/>
                <w:szCs w:val="21"/>
              </w:rPr>
            </w:pPr>
            <w:r>
              <w:rPr>
                <w:rFonts w:hint="eastAsia"/>
                <w:color w:val="auto"/>
                <w:sz w:val="21"/>
                <w:szCs w:val="21"/>
                <w:lang w:val="en-US"/>
              </w:rPr>
              <w:t>7</w:t>
            </w:r>
            <w:r>
              <w:rPr>
                <w:rFonts w:hint="eastAsia"/>
                <w:color w:val="auto"/>
                <w:sz w:val="21"/>
                <w:szCs w:val="21"/>
              </w:rPr>
              <w:t>、</w:t>
            </w:r>
            <w:r>
              <w:rPr>
                <w:rFonts w:hint="eastAsia"/>
                <w:color w:val="auto"/>
                <w:sz w:val="21"/>
                <w:szCs w:val="21"/>
                <w:lang w:val="en-US"/>
              </w:rPr>
              <w:t>铁床床</w:t>
            </w:r>
            <w:r>
              <w:rPr>
                <w:rFonts w:hint="eastAsia"/>
                <w:color w:val="auto"/>
                <w:sz w:val="21"/>
                <w:szCs w:val="21"/>
              </w:rPr>
              <w:t>爬梯（主管）要求：</w:t>
            </w:r>
            <w:r>
              <w:rPr>
                <w:color w:val="auto"/>
                <w:sz w:val="21"/>
                <w:szCs w:val="21"/>
              </w:rPr>
              <w:t>采用</w:t>
            </w:r>
            <w:r>
              <w:rPr>
                <w:rFonts w:hint="eastAsia"/>
                <w:color w:val="auto"/>
                <w:sz w:val="21"/>
                <w:szCs w:val="21"/>
              </w:rPr>
              <w:t>≥</w:t>
            </w:r>
            <w:r>
              <w:rPr>
                <w:color w:val="auto"/>
                <w:sz w:val="21"/>
                <w:szCs w:val="21"/>
              </w:rPr>
              <w:t>6</w:t>
            </w:r>
            <w:r>
              <w:rPr>
                <w:rFonts w:hint="eastAsia"/>
                <w:color w:val="auto"/>
                <w:sz w:val="21"/>
                <w:szCs w:val="21"/>
                <w:lang w:val="en-US" w:eastAsia="zh-CN"/>
              </w:rPr>
              <w:t>0</w:t>
            </w:r>
            <w:r>
              <w:rPr>
                <w:rFonts w:hint="eastAsia"/>
                <w:color w:val="auto"/>
                <w:sz w:val="21"/>
                <w:szCs w:val="21"/>
                <w:lang w:val="en-US"/>
              </w:rPr>
              <w:t>mm</w:t>
            </w:r>
            <w:r>
              <w:rPr>
                <w:rFonts w:ascii="Arial" w:hAnsi="Arial" w:cs="Arial"/>
                <w:color w:val="auto"/>
                <w:sz w:val="21"/>
                <w:szCs w:val="21"/>
                <w:lang w:val="en-US"/>
              </w:rPr>
              <w:t>×</w:t>
            </w:r>
            <w:r>
              <w:rPr>
                <w:color w:val="auto"/>
                <w:sz w:val="21"/>
                <w:szCs w:val="21"/>
              </w:rPr>
              <w:t>3</w:t>
            </w:r>
            <w:r>
              <w:rPr>
                <w:rFonts w:hint="eastAsia"/>
                <w:color w:val="auto"/>
                <w:sz w:val="21"/>
                <w:szCs w:val="21"/>
                <w:lang w:val="en-US" w:eastAsia="zh-CN"/>
              </w:rPr>
              <w:t>0</w:t>
            </w:r>
            <w:r>
              <w:rPr>
                <w:rFonts w:hint="eastAsia"/>
                <w:color w:val="auto"/>
                <w:sz w:val="21"/>
                <w:szCs w:val="21"/>
                <w:lang w:val="en-US"/>
              </w:rPr>
              <w:t>mm</w:t>
            </w:r>
            <w:r>
              <w:rPr>
                <w:rFonts w:ascii="Arial" w:hAnsi="Arial" w:cs="Arial"/>
                <w:color w:val="auto"/>
                <w:sz w:val="21"/>
                <w:szCs w:val="21"/>
                <w:lang w:val="en-US"/>
              </w:rPr>
              <w:t>×</w:t>
            </w:r>
            <w:r>
              <w:rPr>
                <w:color w:val="auto"/>
                <w:sz w:val="21"/>
                <w:szCs w:val="21"/>
              </w:rPr>
              <w:t>40</w:t>
            </w:r>
            <w:r>
              <w:rPr>
                <w:rFonts w:hint="eastAsia"/>
                <w:color w:val="auto"/>
                <w:sz w:val="21"/>
                <w:szCs w:val="21"/>
                <w:lang w:val="en-US"/>
              </w:rPr>
              <w:t>mm，管壁厚度≥</w:t>
            </w:r>
            <w:r>
              <w:rPr>
                <w:color w:val="auto"/>
                <w:sz w:val="21"/>
                <w:szCs w:val="21"/>
              </w:rPr>
              <w:t>1.2mm优质冷轧钢带经模压一次成形，并采用高频焊接成中空封闭管，管材外圆内方。</w:t>
            </w:r>
          </w:p>
          <w:p>
            <w:pPr>
              <w:spacing w:line="340" w:lineRule="exact"/>
              <w:jc w:val="both"/>
              <w:rPr>
                <w:color w:val="auto"/>
                <w:sz w:val="21"/>
                <w:szCs w:val="21"/>
              </w:rPr>
            </w:pPr>
            <w:r>
              <w:rPr>
                <w:rFonts w:hint="eastAsia"/>
                <w:color w:val="auto"/>
                <w:sz w:val="21"/>
                <w:szCs w:val="21"/>
              </w:rPr>
              <w:t>（1）采用型材；</w:t>
            </w:r>
          </w:p>
          <w:p>
            <w:pPr>
              <w:spacing w:line="340" w:lineRule="exact"/>
              <w:jc w:val="both"/>
              <w:rPr>
                <w:color w:val="auto"/>
                <w:sz w:val="21"/>
                <w:szCs w:val="21"/>
              </w:rPr>
            </w:pPr>
            <w:r>
              <w:rPr>
                <w:rFonts w:hint="eastAsia"/>
                <w:color w:val="auto"/>
                <w:sz w:val="21"/>
                <w:szCs w:val="21"/>
              </w:rPr>
              <w:t>（2）金属件外观要求：</w:t>
            </w:r>
          </w:p>
          <w:p>
            <w:pPr>
              <w:spacing w:line="340" w:lineRule="exact"/>
              <w:jc w:val="both"/>
              <w:rPr>
                <w:color w:val="auto"/>
                <w:sz w:val="21"/>
                <w:szCs w:val="21"/>
              </w:rPr>
            </w:pPr>
            <w:r>
              <w:rPr>
                <w:rFonts w:hint="eastAsia"/>
                <w:color w:val="auto"/>
                <w:sz w:val="21"/>
                <w:szCs w:val="21"/>
              </w:rPr>
              <w:t>①喷涂层：涂层应无漏喷、锈蚀，应光滑均匀，色泽一致，应无流挂、疙瘩、皱皮、飞漆等缺陷。</w:t>
            </w:r>
          </w:p>
          <w:p>
            <w:pPr>
              <w:spacing w:line="340" w:lineRule="exact"/>
              <w:jc w:val="both"/>
              <w:rPr>
                <w:color w:val="auto"/>
                <w:sz w:val="21"/>
                <w:szCs w:val="21"/>
              </w:rPr>
            </w:pPr>
            <w:r>
              <w:rPr>
                <w:rFonts w:hint="eastAsia"/>
                <w:color w:val="auto"/>
                <w:sz w:val="21"/>
                <w:szCs w:val="21"/>
              </w:rPr>
              <w:t>②焊接：焊接表面光滑无毛刺，焊接处无接处无夹渣，气孔、焊瘤、焊丝头咬边飞溅，并保证无脱焊、错位、虚焊及焊穿等现象。</w:t>
            </w:r>
          </w:p>
          <w:p>
            <w:pPr>
              <w:spacing w:line="340" w:lineRule="exact"/>
              <w:jc w:val="both"/>
              <w:rPr>
                <w:color w:val="auto"/>
                <w:sz w:val="21"/>
                <w:szCs w:val="21"/>
              </w:rPr>
            </w:pPr>
            <w:r>
              <w:rPr>
                <w:rFonts w:hint="eastAsia"/>
                <w:color w:val="auto"/>
                <w:sz w:val="21"/>
                <w:szCs w:val="21"/>
              </w:rPr>
              <w:t>（3）抗拉强度 Rm（MPa）≥</w:t>
            </w:r>
            <w:r>
              <w:rPr>
                <w:rFonts w:hint="eastAsia"/>
                <w:color w:val="auto"/>
                <w:sz w:val="21"/>
                <w:szCs w:val="21"/>
                <w:lang w:val="en-US"/>
              </w:rPr>
              <w:t>360,</w:t>
            </w:r>
            <w:r>
              <w:rPr>
                <w:rFonts w:hint="eastAsia"/>
                <w:color w:val="auto"/>
                <w:sz w:val="21"/>
                <w:szCs w:val="21"/>
              </w:rPr>
              <w:t>下屈服强度 ReL(MPa)≥</w:t>
            </w:r>
            <w:r>
              <w:rPr>
                <w:rFonts w:hint="eastAsia"/>
                <w:color w:val="auto"/>
                <w:sz w:val="21"/>
                <w:szCs w:val="21"/>
                <w:lang w:val="en-US"/>
              </w:rPr>
              <w:t>370</w:t>
            </w:r>
            <w:r>
              <w:rPr>
                <w:rFonts w:hint="eastAsia"/>
                <w:color w:val="auto"/>
                <w:sz w:val="21"/>
                <w:szCs w:val="21"/>
              </w:rPr>
              <w:t xml:space="preserve"> ，断后伸长率 A（%）≥33 。</w:t>
            </w:r>
          </w:p>
          <w:p>
            <w:pPr>
              <w:spacing w:line="340" w:lineRule="exact"/>
              <w:jc w:val="both"/>
              <w:rPr>
                <w:color w:val="auto"/>
                <w:sz w:val="21"/>
                <w:szCs w:val="21"/>
              </w:rPr>
            </w:pPr>
            <w:r>
              <w:rPr>
                <w:rFonts w:hint="eastAsia"/>
                <w:color w:val="auto"/>
                <w:sz w:val="21"/>
                <w:szCs w:val="21"/>
                <w:lang w:val="en-US"/>
              </w:rPr>
              <w:t>8、铁床床爬梯</w:t>
            </w:r>
            <w:r>
              <w:rPr>
                <w:rFonts w:hint="eastAsia"/>
                <w:color w:val="auto"/>
                <w:sz w:val="21"/>
                <w:szCs w:val="21"/>
              </w:rPr>
              <w:t>踏板要求：</w:t>
            </w:r>
          </w:p>
          <w:p>
            <w:pPr>
              <w:spacing w:line="340" w:lineRule="exact"/>
              <w:jc w:val="both"/>
              <w:rPr>
                <w:color w:val="auto"/>
                <w:sz w:val="21"/>
                <w:szCs w:val="21"/>
              </w:rPr>
            </w:pPr>
            <w:r>
              <w:rPr>
                <w:rFonts w:hint="eastAsia"/>
                <w:color w:val="auto"/>
                <w:sz w:val="21"/>
                <w:szCs w:val="21"/>
                <w:lang w:val="en-US"/>
              </w:rPr>
              <w:t>铁床床爬梯</w:t>
            </w:r>
            <w:r>
              <w:rPr>
                <w:rFonts w:hint="eastAsia"/>
                <w:color w:val="auto"/>
                <w:sz w:val="21"/>
                <w:szCs w:val="21"/>
              </w:rPr>
              <w:t>踏板成型尺寸≥</w:t>
            </w:r>
            <w:r>
              <w:rPr>
                <w:rFonts w:hint="eastAsia"/>
                <w:color w:val="auto"/>
                <w:sz w:val="21"/>
                <w:szCs w:val="21"/>
                <w:lang w:val="en-US"/>
              </w:rPr>
              <w:t>350</w:t>
            </w:r>
            <w:r>
              <w:rPr>
                <w:rFonts w:hint="eastAsia"/>
                <w:color w:val="auto"/>
                <w:sz w:val="21"/>
                <w:szCs w:val="21"/>
              </w:rPr>
              <w:t>mm</w:t>
            </w:r>
            <w:r>
              <w:rPr>
                <w:rFonts w:ascii="Arial" w:hAnsi="Arial" w:cs="Arial"/>
                <w:color w:val="auto"/>
                <w:sz w:val="21"/>
                <w:szCs w:val="21"/>
                <w:lang w:val="en-US"/>
              </w:rPr>
              <w:t>×</w:t>
            </w:r>
            <w:r>
              <w:rPr>
                <w:rFonts w:hint="eastAsia"/>
                <w:color w:val="auto"/>
                <w:sz w:val="21"/>
                <w:szCs w:val="21"/>
                <w:lang w:val="en-US"/>
              </w:rPr>
              <w:t>70</w:t>
            </w:r>
            <w:r>
              <w:rPr>
                <w:rFonts w:hint="eastAsia"/>
                <w:color w:val="auto"/>
                <w:sz w:val="21"/>
                <w:szCs w:val="21"/>
              </w:rPr>
              <w:t>mm</w:t>
            </w:r>
            <w:r>
              <w:rPr>
                <w:rFonts w:ascii="Arial" w:hAnsi="Arial" w:cs="Arial"/>
                <w:color w:val="auto"/>
                <w:sz w:val="21"/>
                <w:szCs w:val="21"/>
                <w:lang w:val="en-US"/>
              </w:rPr>
              <w:t>×</w:t>
            </w:r>
            <w:r>
              <w:rPr>
                <w:rFonts w:hint="eastAsia"/>
                <w:color w:val="auto"/>
                <w:sz w:val="21"/>
                <w:szCs w:val="21"/>
                <w:lang w:val="en-US"/>
              </w:rPr>
              <w:t>20mm，钢板</w:t>
            </w:r>
            <w:r>
              <w:rPr>
                <w:rFonts w:hint="eastAsia"/>
                <w:color w:val="auto"/>
                <w:sz w:val="21"/>
                <w:szCs w:val="21"/>
              </w:rPr>
              <w:t>厚度≥</w:t>
            </w:r>
            <w:r>
              <w:rPr>
                <w:rFonts w:hint="eastAsia"/>
                <w:color w:val="auto"/>
                <w:sz w:val="21"/>
                <w:szCs w:val="21"/>
                <w:lang w:val="en-US"/>
              </w:rPr>
              <w:t>1.</w:t>
            </w:r>
            <w:r>
              <w:rPr>
                <w:rFonts w:hint="eastAsia"/>
                <w:color w:val="auto"/>
                <w:sz w:val="21"/>
                <w:szCs w:val="21"/>
                <w:lang w:val="en-US" w:eastAsia="zh-CN"/>
              </w:rPr>
              <w:t>2</w:t>
            </w:r>
            <w:r>
              <w:rPr>
                <w:rFonts w:hint="eastAsia"/>
                <w:color w:val="auto"/>
                <w:sz w:val="21"/>
                <w:szCs w:val="21"/>
              </w:rPr>
              <w:t>mm。</w:t>
            </w:r>
          </w:p>
          <w:p>
            <w:pPr>
              <w:spacing w:line="340" w:lineRule="exact"/>
              <w:jc w:val="both"/>
              <w:rPr>
                <w:color w:val="auto"/>
                <w:sz w:val="21"/>
                <w:szCs w:val="21"/>
              </w:rPr>
            </w:pPr>
            <w:r>
              <w:rPr>
                <w:rFonts w:hint="eastAsia"/>
                <w:color w:val="auto"/>
                <w:sz w:val="21"/>
                <w:szCs w:val="21"/>
              </w:rPr>
              <w:t>（1）采用优质冷轧钢板一次冲压成型，踩板前后折边，折边不得焊接。</w:t>
            </w:r>
          </w:p>
          <w:p>
            <w:pPr>
              <w:spacing w:line="340" w:lineRule="exact"/>
              <w:jc w:val="both"/>
              <w:rPr>
                <w:color w:val="auto"/>
                <w:sz w:val="21"/>
                <w:szCs w:val="21"/>
              </w:rPr>
            </w:pPr>
            <w:r>
              <w:rPr>
                <w:rFonts w:hint="eastAsia"/>
                <w:color w:val="auto"/>
                <w:sz w:val="21"/>
                <w:szCs w:val="21"/>
              </w:rPr>
              <w:t>（2）金属件外观要求：</w:t>
            </w:r>
          </w:p>
          <w:p>
            <w:pPr>
              <w:spacing w:line="340" w:lineRule="exact"/>
              <w:jc w:val="both"/>
              <w:rPr>
                <w:color w:val="auto"/>
                <w:sz w:val="21"/>
                <w:szCs w:val="21"/>
              </w:rPr>
            </w:pPr>
            <w:r>
              <w:rPr>
                <w:rFonts w:hint="eastAsia"/>
                <w:color w:val="auto"/>
                <w:sz w:val="21"/>
                <w:szCs w:val="21"/>
              </w:rPr>
              <w:t>①喷涂层：涂层应无漏喷、锈蚀，应光滑均匀，色泽一致，应无流挂、疙瘩、皱皮、飞漆等缺陷。</w:t>
            </w:r>
          </w:p>
          <w:p>
            <w:pPr>
              <w:spacing w:line="340" w:lineRule="exact"/>
              <w:jc w:val="both"/>
              <w:rPr>
                <w:color w:val="auto"/>
                <w:sz w:val="21"/>
                <w:szCs w:val="21"/>
              </w:rPr>
            </w:pPr>
            <w:r>
              <w:rPr>
                <w:rFonts w:hint="eastAsia"/>
                <w:color w:val="auto"/>
                <w:sz w:val="21"/>
                <w:szCs w:val="21"/>
              </w:rPr>
              <w:t>②焊接：焊接表面光滑无毛刺，焊接处无接处无夹渣，气孔、焊瘤、焊丝头咬边飞溅，并保证无脱焊、错位、虚焊及焊穿等现象。</w:t>
            </w:r>
          </w:p>
          <w:p>
            <w:pPr>
              <w:spacing w:line="340" w:lineRule="exact"/>
              <w:jc w:val="both"/>
              <w:rPr>
                <w:color w:val="auto"/>
                <w:sz w:val="21"/>
                <w:szCs w:val="21"/>
              </w:rPr>
            </w:pPr>
            <w:r>
              <w:rPr>
                <w:rFonts w:hint="eastAsia"/>
                <w:color w:val="auto"/>
                <w:sz w:val="21"/>
                <w:szCs w:val="21"/>
              </w:rPr>
              <w:t>（3）抗拉强度 Rm（MPa）≥</w:t>
            </w:r>
            <w:r>
              <w:rPr>
                <w:rFonts w:hint="eastAsia"/>
                <w:color w:val="auto"/>
                <w:sz w:val="21"/>
                <w:szCs w:val="21"/>
                <w:lang w:val="en-US"/>
              </w:rPr>
              <w:t>410,</w:t>
            </w:r>
            <w:r>
              <w:rPr>
                <w:rFonts w:hint="eastAsia"/>
                <w:color w:val="auto"/>
                <w:sz w:val="21"/>
                <w:szCs w:val="21"/>
              </w:rPr>
              <w:t>下屈服强度 ReL(MPa)≥</w:t>
            </w:r>
            <w:r>
              <w:rPr>
                <w:rFonts w:hint="eastAsia"/>
                <w:color w:val="auto"/>
                <w:sz w:val="21"/>
                <w:szCs w:val="21"/>
                <w:lang w:val="en-US"/>
              </w:rPr>
              <w:t>370</w:t>
            </w:r>
            <w:r>
              <w:rPr>
                <w:rFonts w:hint="eastAsia"/>
                <w:color w:val="auto"/>
                <w:sz w:val="21"/>
                <w:szCs w:val="21"/>
              </w:rPr>
              <w:t xml:space="preserve"> ，断后伸长率 A（%）≥33 。</w:t>
            </w:r>
          </w:p>
          <w:p>
            <w:pPr>
              <w:spacing w:line="340" w:lineRule="exact"/>
              <w:jc w:val="both"/>
              <w:rPr>
                <w:color w:val="auto"/>
                <w:sz w:val="21"/>
                <w:szCs w:val="21"/>
              </w:rPr>
            </w:pPr>
            <w:r>
              <w:rPr>
                <w:rFonts w:hint="eastAsia"/>
                <w:color w:val="auto"/>
                <w:sz w:val="21"/>
                <w:szCs w:val="21"/>
              </w:rPr>
              <w:t>（</w:t>
            </w:r>
            <w:r>
              <w:rPr>
                <w:rFonts w:hint="eastAsia"/>
                <w:color w:val="auto"/>
                <w:sz w:val="21"/>
                <w:szCs w:val="21"/>
                <w:lang w:val="en-US"/>
              </w:rPr>
              <w:t>4</w:t>
            </w:r>
            <w:r>
              <w:rPr>
                <w:rFonts w:hint="eastAsia"/>
                <w:color w:val="auto"/>
                <w:sz w:val="21"/>
                <w:szCs w:val="21"/>
              </w:rPr>
              <w:t>）脚踏板上面安装有 ABS 工程塑料所制的带夜光防滑塑料板。</w:t>
            </w:r>
          </w:p>
          <w:p>
            <w:pPr>
              <w:spacing w:line="340" w:lineRule="exact"/>
              <w:jc w:val="both"/>
              <w:rPr>
                <w:color w:val="auto"/>
                <w:sz w:val="21"/>
                <w:szCs w:val="21"/>
              </w:rPr>
            </w:pPr>
            <w:r>
              <w:rPr>
                <w:rFonts w:hint="eastAsia"/>
                <w:color w:val="auto"/>
                <w:sz w:val="21"/>
                <w:szCs w:val="21"/>
                <w:lang w:val="en-US"/>
              </w:rPr>
              <w:t>9</w:t>
            </w:r>
            <w:r>
              <w:rPr>
                <w:rFonts w:hint="eastAsia"/>
                <w:color w:val="auto"/>
                <w:sz w:val="21"/>
                <w:szCs w:val="21"/>
              </w:rPr>
              <w:t>、床架与地接部位保护套软塑胶垫，上端加保护套，保证床架结实，安全；胶垫塑料件外观要求：应无裂纹，无明显变形；应无明显缩孔、气泡、杂质、伤痕；外表用塑料件表面应光洁，无划痕，无污渍，无明显色差。塑胶垫应符合GB28481-2012《塑料家具中有害物质限量》标准，有害物质限量：铅（Pb）≤90mg/kg,镉（Cd）≤75 mg/kg，铬（Cr）≤60 mg/kg，汞（Hg）≤60 mg/kg。</w:t>
            </w:r>
          </w:p>
          <w:p>
            <w:pPr>
              <w:spacing w:line="340" w:lineRule="exact"/>
              <w:jc w:val="both"/>
              <w:rPr>
                <w:color w:val="auto"/>
                <w:sz w:val="21"/>
                <w:szCs w:val="21"/>
              </w:rPr>
            </w:pPr>
            <w:r>
              <w:rPr>
                <w:rFonts w:hint="eastAsia"/>
                <w:color w:val="auto"/>
                <w:sz w:val="21"/>
                <w:szCs w:val="21"/>
              </w:rPr>
              <w:t>1</w:t>
            </w:r>
            <w:r>
              <w:rPr>
                <w:rFonts w:hint="eastAsia"/>
                <w:color w:val="auto"/>
                <w:sz w:val="21"/>
                <w:szCs w:val="21"/>
                <w:lang w:val="en-US"/>
              </w:rPr>
              <w:t>0</w:t>
            </w:r>
            <w:r>
              <w:rPr>
                <w:rFonts w:hint="eastAsia"/>
                <w:color w:val="auto"/>
                <w:sz w:val="21"/>
                <w:szCs w:val="21"/>
              </w:rPr>
              <w:t>、鞋架：采用≥20</w:t>
            </w:r>
            <w:r>
              <w:rPr>
                <w:rFonts w:hint="eastAsia"/>
                <w:color w:val="auto"/>
                <w:sz w:val="21"/>
                <w:szCs w:val="21"/>
                <w:lang w:val="en-US"/>
              </w:rPr>
              <w:t>mm</w:t>
            </w:r>
            <w:r>
              <w:rPr>
                <w:rFonts w:hint="eastAsia"/>
                <w:color w:val="auto"/>
                <w:sz w:val="21"/>
                <w:szCs w:val="21"/>
              </w:rPr>
              <w:t>×20</w:t>
            </w:r>
            <w:r>
              <w:rPr>
                <w:rFonts w:hint="eastAsia"/>
                <w:color w:val="auto"/>
                <w:sz w:val="21"/>
                <w:szCs w:val="21"/>
                <w:lang w:val="en-US"/>
              </w:rPr>
              <w:t>mm方管，管壁厚度≥</w:t>
            </w:r>
            <w:r>
              <w:rPr>
                <w:rFonts w:hint="eastAsia"/>
                <w:color w:val="auto"/>
                <w:sz w:val="21"/>
                <w:szCs w:val="21"/>
              </w:rPr>
              <w:t>1.0mm，要求深度</w:t>
            </w:r>
            <w:r>
              <w:rPr>
                <w:rFonts w:hint="eastAsia"/>
                <w:color w:val="auto"/>
                <w:sz w:val="21"/>
                <w:szCs w:val="21"/>
                <w:lang w:val="en-US" w:eastAsia="zh-CN"/>
              </w:rPr>
              <w:t>6</w:t>
            </w:r>
            <w:r>
              <w:rPr>
                <w:rFonts w:hint="eastAsia"/>
                <w:color w:val="auto"/>
                <w:sz w:val="21"/>
                <w:szCs w:val="21"/>
              </w:rPr>
              <w:t>00mm，长度1940mm，高度离地面</w:t>
            </w:r>
            <w:r>
              <w:rPr>
                <w:rFonts w:hint="eastAsia"/>
                <w:color w:val="auto"/>
                <w:sz w:val="21"/>
                <w:szCs w:val="21"/>
                <w:lang w:val="en-US" w:eastAsia="zh-CN"/>
              </w:rPr>
              <w:t>8</w:t>
            </w:r>
            <w:r>
              <w:rPr>
                <w:rFonts w:hint="eastAsia"/>
                <w:color w:val="auto"/>
                <w:sz w:val="21"/>
                <w:szCs w:val="21"/>
              </w:rPr>
              <w:t>0mm</w:t>
            </w:r>
          </w:p>
          <w:p>
            <w:pPr>
              <w:spacing w:line="340" w:lineRule="exact"/>
              <w:jc w:val="both"/>
              <w:rPr>
                <w:color w:val="auto"/>
                <w:sz w:val="21"/>
                <w:szCs w:val="21"/>
              </w:rPr>
            </w:pPr>
            <w:r>
              <w:rPr>
                <w:rFonts w:hint="eastAsia"/>
                <w:color w:val="auto"/>
                <w:sz w:val="21"/>
                <w:szCs w:val="21"/>
              </w:rPr>
              <w:t>1</w:t>
            </w:r>
            <w:r>
              <w:rPr>
                <w:rFonts w:hint="eastAsia"/>
                <w:color w:val="auto"/>
                <w:sz w:val="21"/>
                <w:szCs w:val="21"/>
                <w:lang w:val="en-US"/>
              </w:rPr>
              <w:t>1</w:t>
            </w:r>
            <w:r>
              <w:rPr>
                <w:rFonts w:hint="eastAsia"/>
                <w:color w:val="auto"/>
                <w:sz w:val="21"/>
                <w:szCs w:val="21"/>
              </w:rPr>
              <w:t>、床板规格：采用</w:t>
            </w:r>
            <w:r>
              <w:rPr>
                <w:rFonts w:hint="eastAsia"/>
                <w:color w:val="auto"/>
                <w:sz w:val="21"/>
                <w:szCs w:val="21"/>
                <w:lang w:val="en-US"/>
              </w:rPr>
              <w:t>厚度≥15mm</w:t>
            </w:r>
            <w:r>
              <w:rPr>
                <w:rFonts w:hint="eastAsia"/>
                <w:color w:val="auto"/>
                <w:sz w:val="21"/>
                <w:szCs w:val="21"/>
              </w:rPr>
              <w:t>全新杉木</w:t>
            </w:r>
            <w:r>
              <w:rPr>
                <w:rFonts w:hint="eastAsia"/>
                <w:color w:val="auto"/>
                <w:sz w:val="21"/>
                <w:szCs w:val="21"/>
                <w:lang w:val="en-US"/>
              </w:rPr>
              <w:t>制作</w:t>
            </w:r>
            <w:r>
              <w:rPr>
                <w:rFonts w:hint="eastAsia"/>
                <w:color w:val="auto"/>
                <w:sz w:val="21"/>
                <w:szCs w:val="21"/>
              </w:rPr>
              <w:t>，</w:t>
            </w:r>
            <w:r>
              <w:rPr>
                <w:rFonts w:hint="eastAsia"/>
                <w:color w:val="auto"/>
                <w:sz w:val="21"/>
                <w:szCs w:val="21"/>
                <w:lang w:val="en-US"/>
              </w:rPr>
              <w:t>每幅床板≤</w:t>
            </w:r>
            <w:r>
              <w:rPr>
                <w:rFonts w:hint="eastAsia"/>
                <w:color w:val="auto"/>
                <w:sz w:val="21"/>
                <w:szCs w:val="21"/>
              </w:rPr>
              <w:t>8块</w:t>
            </w:r>
            <w:r>
              <w:rPr>
                <w:rFonts w:hint="eastAsia"/>
                <w:color w:val="auto"/>
                <w:sz w:val="21"/>
                <w:szCs w:val="21"/>
                <w:lang w:val="en-US"/>
              </w:rPr>
              <w:t>组成</w:t>
            </w:r>
            <w:r>
              <w:rPr>
                <w:rFonts w:hint="eastAsia"/>
                <w:color w:val="auto"/>
                <w:sz w:val="21"/>
                <w:szCs w:val="21"/>
              </w:rPr>
              <w:t>，</w:t>
            </w:r>
            <w:r>
              <w:rPr>
                <w:rFonts w:hint="eastAsia"/>
                <w:color w:val="auto"/>
                <w:sz w:val="21"/>
                <w:szCs w:val="21"/>
                <w:lang w:val="en-US"/>
              </w:rPr>
              <w:t>并由</w:t>
            </w:r>
            <w:r>
              <w:rPr>
                <w:rFonts w:hint="eastAsia"/>
                <w:color w:val="auto"/>
                <w:sz w:val="21"/>
                <w:szCs w:val="21"/>
              </w:rPr>
              <w:t>4根30</w:t>
            </w:r>
            <w:r>
              <w:rPr>
                <w:rFonts w:hint="eastAsia"/>
                <w:color w:val="auto"/>
                <w:sz w:val="21"/>
                <w:szCs w:val="21"/>
                <w:lang w:val="en-US"/>
              </w:rPr>
              <w:t>mm</w:t>
            </w:r>
            <w:r>
              <w:rPr>
                <w:rFonts w:ascii="Arial" w:hAnsi="Arial" w:cs="Arial"/>
                <w:color w:val="auto"/>
                <w:sz w:val="21"/>
                <w:szCs w:val="21"/>
                <w:lang w:val="en-US"/>
              </w:rPr>
              <w:t>×</w:t>
            </w:r>
            <w:r>
              <w:rPr>
                <w:rFonts w:hint="eastAsia"/>
                <w:color w:val="auto"/>
                <w:sz w:val="21"/>
                <w:szCs w:val="21"/>
              </w:rPr>
              <w:t>40</w:t>
            </w:r>
            <w:r>
              <w:rPr>
                <w:rFonts w:hint="eastAsia"/>
                <w:color w:val="auto"/>
                <w:sz w:val="21"/>
                <w:szCs w:val="21"/>
                <w:lang w:val="en-US"/>
              </w:rPr>
              <w:t>mm</w:t>
            </w:r>
            <w:r>
              <w:rPr>
                <w:rFonts w:hint="eastAsia"/>
                <w:color w:val="auto"/>
                <w:sz w:val="21"/>
                <w:szCs w:val="21"/>
              </w:rPr>
              <w:t>木方</w:t>
            </w:r>
            <w:r>
              <w:rPr>
                <w:rFonts w:hint="eastAsia"/>
                <w:color w:val="auto"/>
                <w:sz w:val="21"/>
                <w:szCs w:val="21"/>
                <w:lang w:val="en-US"/>
              </w:rPr>
              <w:t>做背销</w:t>
            </w:r>
            <w:r>
              <w:rPr>
                <w:rFonts w:hint="eastAsia"/>
                <w:color w:val="auto"/>
                <w:sz w:val="21"/>
                <w:szCs w:val="21"/>
              </w:rPr>
              <w:t>固定</w:t>
            </w:r>
            <w:r>
              <w:rPr>
                <w:rFonts w:hint="eastAsia"/>
                <w:color w:val="auto"/>
                <w:sz w:val="21"/>
                <w:szCs w:val="21"/>
                <w:lang w:val="en-US"/>
              </w:rPr>
              <w:t>,床板</w:t>
            </w:r>
            <w:r>
              <w:rPr>
                <w:rFonts w:hint="eastAsia"/>
                <w:color w:val="auto"/>
                <w:sz w:val="21"/>
                <w:szCs w:val="21"/>
              </w:rPr>
              <w:t>要求干燥，双面刨光。</w:t>
            </w:r>
          </w:p>
          <w:p>
            <w:pPr>
              <w:pStyle w:val="6"/>
              <w:ind w:left="0"/>
              <w:rPr>
                <w:color w:val="auto"/>
                <w:sz w:val="21"/>
                <w:szCs w:val="21"/>
              </w:rPr>
            </w:pPr>
            <w:r>
              <w:rPr>
                <w:rFonts w:hint="eastAsia"/>
                <w:color w:val="auto"/>
                <w:sz w:val="21"/>
                <w:szCs w:val="21"/>
              </w:rPr>
              <w:t>四、参考图详见附件。</w:t>
            </w:r>
          </w:p>
        </w:tc>
        <w:tc>
          <w:tcPr>
            <w:tcW w:w="1036" w:type="dxa"/>
            <w:vAlign w:val="center"/>
          </w:tcPr>
          <w:p>
            <w:pPr>
              <w:pStyle w:val="6"/>
              <w:ind w:left="0"/>
              <w:jc w:val="center"/>
              <w:rPr>
                <w:rFonts w:hint="default" w:eastAsia="宋体"/>
                <w:color w:val="auto"/>
                <w:sz w:val="21"/>
                <w:szCs w:val="21"/>
                <w:lang w:val="en-US" w:eastAsia="zh-CN"/>
              </w:rPr>
            </w:pPr>
            <w:r>
              <w:rPr>
                <w:rFonts w:hint="eastAsia"/>
                <w:b w:val="0"/>
                <w:bCs w:val="0"/>
                <w:color w:val="auto"/>
                <w:sz w:val="21"/>
                <w:szCs w:val="21"/>
                <w:lang w:val="en-US" w:eastAsia="zh-CN"/>
              </w:rPr>
              <w:t>120套</w:t>
            </w:r>
          </w:p>
        </w:tc>
        <w:tc>
          <w:tcPr>
            <w:tcW w:w="1239" w:type="dxa"/>
            <w:vAlign w:val="center"/>
          </w:tcPr>
          <w:p>
            <w:pPr>
              <w:pStyle w:val="6"/>
              <w:ind w:left="0"/>
              <w:jc w:val="center"/>
              <w:rPr>
                <w:rFonts w:hint="default" w:eastAsia="宋体"/>
                <w:b w:val="0"/>
                <w:bCs w:val="0"/>
                <w:color w:val="auto"/>
                <w:sz w:val="21"/>
                <w:szCs w:val="21"/>
                <w:lang w:val="en-US" w:eastAsia="zh-CN"/>
              </w:rPr>
            </w:pPr>
            <w:r>
              <w:rPr>
                <w:rFonts w:hint="eastAsia"/>
                <w:b w:val="0"/>
                <w:bCs w:val="0"/>
                <w:color w:val="auto"/>
                <w:sz w:val="21"/>
                <w:szCs w:val="21"/>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Align w:val="center"/>
          </w:tcPr>
          <w:p>
            <w:pPr>
              <w:spacing w:line="340" w:lineRule="exact"/>
              <w:jc w:val="center"/>
              <w:rPr>
                <w:color w:val="auto"/>
                <w:szCs w:val="21"/>
                <w:lang w:val="en-US"/>
              </w:rPr>
            </w:pPr>
            <w:r>
              <w:rPr>
                <w:rFonts w:hint="eastAsia"/>
                <w:color w:val="auto"/>
                <w:szCs w:val="21"/>
                <w:lang w:val="en-US"/>
              </w:rPr>
              <w:t>3</w:t>
            </w:r>
          </w:p>
        </w:tc>
        <w:tc>
          <w:tcPr>
            <w:tcW w:w="1315" w:type="dxa"/>
            <w:vAlign w:val="center"/>
          </w:tcPr>
          <w:p>
            <w:pPr>
              <w:spacing w:line="340" w:lineRule="exact"/>
              <w:jc w:val="center"/>
              <w:rPr>
                <w:color w:val="auto"/>
                <w:sz w:val="21"/>
                <w:szCs w:val="21"/>
              </w:rPr>
            </w:pPr>
            <w:r>
              <w:rPr>
                <w:rFonts w:hint="eastAsia"/>
                <w:color w:val="auto"/>
                <w:sz w:val="21"/>
                <w:szCs w:val="21"/>
              </w:rPr>
              <w:t>单连体学生双层铁架床</w:t>
            </w:r>
          </w:p>
        </w:tc>
        <w:tc>
          <w:tcPr>
            <w:tcW w:w="7087" w:type="dxa"/>
            <w:vAlign w:val="center"/>
          </w:tcPr>
          <w:p>
            <w:pPr>
              <w:spacing w:line="340" w:lineRule="exact"/>
              <w:rPr>
                <w:color w:val="auto"/>
                <w:sz w:val="21"/>
                <w:szCs w:val="21"/>
              </w:rPr>
            </w:pPr>
            <w:r>
              <w:rPr>
                <w:rFonts w:hint="eastAsia"/>
                <w:color w:val="auto"/>
                <w:sz w:val="21"/>
                <w:szCs w:val="21"/>
              </w:rPr>
              <w:t>一、</w:t>
            </w:r>
            <w:r>
              <w:rPr>
                <w:rFonts w:hint="eastAsia"/>
                <w:color w:val="auto"/>
                <w:sz w:val="21"/>
                <w:szCs w:val="21"/>
                <w:lang w:val="en-US"/>
              </w:rPr>
              <w:t>外观</w:t>
            </w:r>
            <w:r>
              <w:rPr>
                <w:rFonts w:hint="eastAsia"/>
                <w:color w:val="auto"/>
                <w:sz w:val="21"/>
                <w:szCs w:val="21"/>
              </w:rPr>
              <w:t>规格</w:t>
            </w:r>
            <w:r>
              <w:rPr>
                <w:rFonts w:hint="eastAsia"/>
                <w:color w:val="auto"/>
                <w:sz w:val="21"/>
                <w:szCs w:val="21"/>
                <w:lang w:val="en-US"/>
              </w:rPr>
              <w:t>尺寸</w:t>
            </w:r>
            <w:r>
              <w:rPr>
                <w:rFonts w:hint="eastAsia"/>
                <w:color w:val="auto"/>
                <w:sz w:val="21"/>
                <w:szCs w:val="21"/>
              </w:rPr>
              <w:t>：（长×宽×高）：</w:t>
            </w:r>
            <w:r>
              <w:rPr>
                <w:rFonts w:hint="eastAsia"/>
                <w:color w:val="auto"/>
                <w:sz w:val="21"/>
                <w:szCs w:val="21"/>
                <w:lang w:val="en-US"/>
              </w:rPr>
              <w:t>2</w:t>
            </w:r>
            <w:r>
              <w:rPr>
                <w:rFonts w:hint="eastAsia"/>
                <w:color w:val="auto"/>
                <w:sz w:val="21"/>
                <w:szCs w:val="21"/>
              </w:rPr>
              <w:t>000mm×900mm×1900mm（允许</w:t>
            </w:r>
            <w:r>
              <w:rPr>
                <w:rFonts w:hint="eastAsia"/>
                <w:color w:val="auto"/>
                <w:sz w:val="21"/>
                <w:szCs w:val="21"/>
                <w:lang w:val="en-US"/>
              </w:rPr>
              <w:t>偏差±</w:t>
            </w:r>
            <w:r>
              <w:rPr>
                <w:rFonts w:hint="eastAsia"/>
                <w:color w:val="auto"/>
                <w:sz w:val="21"/>
                <w:szCs w:val="21"/>
              </w:rPr>
              <w:t>5mm）。</w:t>
            </w:r>
          </w:p>
          <w:p>
            <w:pPr>
              <w:spacing w:line="340" w:lineRule="exact"/>
              <w:rPr>
                <w:color w:val="auto"/>
                <w:sz w:val="21"/>
                <w:szCs w:val="21"/>
              </w:rPr>
            </w:pPr>
            <w:r>
              <w:rPr>
                <w:rFonts w:hint="eastAsia"/>
                <w:color w:val="auto"/>
                <w:sz w:val="21"/>
                <w:szCs w:val="21"/>
              </w:rPr>
              <w:t>二、材质要求：</w:t>
            </w:r>
          </w:p>
          <w:p>
            <w:pPr>
              <w:spacing w:line="340" w:lineRule="exact"/>
              <w:jc w:val="both"/>
              <w:rPr>
                <w:color w:val="auto"/>
                <w:sz w:val="21"/>
                <w:szCs w:val="21"/>
              </w:rPr>
            </w:pPr>
            <w:r>
              <w:rPr>
                <w:rFonts w:hint="eastAsia"/>
                <w:color w:val="auto"/>
                <w:sz w:val="21"/>
                <w:szCs w:val="21"/>
              </w:rPr>
              <w:t>1、钢架床材质要求为冷轧钢材，所用冷轧钢材性能应符合相应国家标准；钢架床的质量应符合相应国家金属家具技术条件标准和学生公寓家具标准。各钢件经除油、除锈、酸洗、陶化等工序,经防锈处理，外层采用聚脂环氧粉末静电喷塑处理，防止生锈、腐蚀。颜色可选。焊接表面光滑无毛刺，焊接处无夹渣、气孔、焊瘤、焊丝头咬边飞溅，并保证无脱焊、虚焊及焊穿等现象。</w:t>
            </w:r>
          </w:p>
          <w:p>
            <w:pPr>
              <w:spacing w:line="340" w:lineRule="exact"/>
              <w:jc w:val="both"/>
              <w:rPr>
                <w:color w:val="auto"/>
                <w:sz w:val="21"/>
                <w:szCs w:val="21"/>
              </w:rPr>
            </w:pPr>
            <w:r>
              <w:rPr>
                <w:rFonts w:hint="eastAsia"/>
                <w:color w:val="auto"/>
                <w:sz w:val="21"/>
                <w:szCs w:val="21"/>
              </w:rPr>
              <w:t>2、塑粉要求：铅：≤90mg/kg，镉：≤75mg/kg，铬≤60mg/kg，汞≤60mg/kg。</w:t>
            </w:r>
          </w:p>
          <w:p>
            <w:pPr>
              <w:spacing w:line="340" w:lineRule="exact"/>
              <w:jc w:val="both"/>
              <w:rPr>
                <w:color w:val="auto"/>
                <w:sz w:val="21"/>
                <w:szCs w:val="21"/>
                <w:lang w:val="en-US"/>
              </w:rPr>
            </w:pPr>
            <w:r>
              <w:rPr>
                <w:rFonts w:hint="eastAsia"/>
                <w:color w:val="auto"/>
                <w:sz w:val="21"/>
                <w:szCs w:val="21"/>
              </w:rPr>
              <w:t>三、部件要求：（</w:t>
            </w:r>
            <w:r>
              <w:rPr>
                <w:rFonts w:hint="eastAsia"/>
                <w:color w:val="auto"/>
                <w:sz w:val="21"/>
                <w:szCs w:val="21"/>
                <w:lang w:val="en-US"/>
              </w:rPr>
              <w:t>所有金属部件厚度要求均为裸材尺寸</w:t>
            </w:r>
            <w:r>
              <w:rPr>
                <w:rFonts w:hint="eastAsia"/>
                <w:color w:val="auto"/>
                <w:sz w:val="21"/>
                <w:szCs w:val="21"/>
              </w:rPr>
              <w:t>）</w:t>
            </w:r>
          </w:p>
          <w:p>
            <w:pPr>
              <w:spacing w:line="340" w:lineRule="exact"/>
              <w:jc w:val="both"/>
              <w:rPr>
                <w:color w:val="auto"/>
                <w:sz w:val="21"/>
                <w:szCs w:val="21"/>
              </w:rPr>
            </w:pPr>
            <w:r>
              <w:rPr>
                <w:rFonts w:hint="eastAsia"/>
                <w:color w:val="auto"/>
                <w:sz w:val="21"/>
                <w:szCs w:val="21"/>
              </w:rPr>
              <w:t>1、床立柱：</w:t>
            </w:r>
          </w:p>
          <w:p>
            <w:pPr>
              <w:numPr>
                <w:ilvl w:val="0"/>
                <w:numId w:val="7"/>
              </w:numPr>
              <w:spacing w:line="340" w:lineRule="exact"/>
              <w:jc w:val="both"/>
              <w:rPr>
                <w:color w:val="auto"/>
                <w:sz w:val="21"/>
                <w:szCs w:val="21"/>
              </w:rPr>
            </w:pPr>
            <w:r>
              <w:rPr>
                <w:rFonts w:hint="eastAsia"/>
                <w:color w:val="auto"/>
                <w:sz w:val="21"/>
                <w:szCs w:val="21"/>
              </w:rPr>
              <w:t>采用型材（冷轧钢板）边立柱</w:t>
            </w:r>
            <w:r>
              <w:rPr>
                <w:rFonts w:hint="eastAsia"/>
                <w:color w:val="auto"/>
                <w:szCs w:val="21"/>
              </w:rPr>
              <w:t>≥</w:t>
            </w:r>
            <w:r>
              <w:rPr>
                <w:rFonts w:hint="eastAsia"/>
                <w:color w:val="auto"/>
                <w:sz w:val="21"/>
                <w:szCs w:val="21"/>
              </w:rPr>
              <w:t>7</w:t>
            </w:r>
            <w:r>
              <w:rPr>
                <w:rFonts w:hint="eastAsia"/>
                <w:color w:val="auto"/>
                <w:sz w:val="21"/>
                <w:szCs w:val="21"/>
                <w:lang w:val="en-US" w:eastAsia="zh-CN"/>
              </w:rPr>
              <w:t>0</w:t>
            </w:r>
            <w:r>
              <w:rPr>
                <w:rFonts w:hint="eastAsia"/>
                <w:color w:val="auto"/>
                <w:sz w:val="21"/>
                <w:szCs w:val="21"/>
                <w:lang w:val="en-US"/>
              </w:rPr>
              <w:t>mm</w:t>
            </w:r>
            <w:r>
              <w:rPr>
                <w:rFonts w:hint="eastAsia"/>
                <w:color w:val="auto"/>
                <w:sz w:val="21"/>
                <w:szCs w:val="21"/>
              </w:rPr>
              <w:t>×7</w:t>
            </w:r>
            <w:r>
              <w:rPr>
                <w:rFonts w:hint="eastAsia"/>
                <w:color w:val="auto"/>
                <w:sz w:val="21"/>
                <w:szCs w:val="21"/>
                <w:lang w:val="en-US" w:eastAsia="zh-CN"/>
              </w:rPr>
              <w:t>0</w:t>
            </w:r>
            <w:r>
              <w:rPr>
                <w:rFonts w:hint="eastAsia"/>
                <w:color w:val="auto"/>
                <w:sz w:val="21"/>
                <w:szCs w:val="21"/>
              </w:rPr>
              <w:t>mm，</w:t>
            </w:r>
            <w:r>
              <w:rPr>
                <w:rFonts w:hint="eastAsia"/>
                <w:color w:val="auto"/>
                <w:sz w:val="21"/>
                <w:szCs w:val="21"/>
                <w:lang w:val="en-US"/>
              </w:rPr>
              <w:t>管壁</w:t>
            </w:r>
            <w:r>
              <w:rPr>
                <w:rFonts w:hint="eastAsia"/>
                <w:color w:val="auto"/>
                <w:sz w:val="21"/>
                <w:szCs w:val="21"/>
              </w:rPr>
              <w:t>厚度≥1.2mm高频焊接封口型管材(立柱上有两条宽加强筋，加强筋越大，刚性越强，防止生锈、腐蚀）；中立柱：≥</w:t>
            </w:r>
            <w:r>
              <w:rPr>
                <w:rFonts w:hint="eastAsia"/>
                <w:color w:val="auto"/>
                <w:sz w:val="21"/>
                <w:szCs w:val="21"/>
                <w:lang w:val="en-US"/>
              </w:rPr>
              <w:t>40mm</w:t>
            </w:r>
            <w:r>
              <w:rPr>
                <w:rFonts w:hint="eastAsia"/>
                <w:color w:val="auto"/>
                <w:sz w:val="21"/>
                <w:szCs w:val="21"/>
              </w:rPr>
              <w:t>×</w:t>
            </w:r>
            <w:r>
              <w:rPr>
                <w:rFonts w:hint="eastAsia"/>
                <w:color w:val="auto"/>
                <w:sz w:val="21"/>
                <w:szCs w:val="21"/>
                <w:lang w:val="en-US"/>
              </w:rPr>
              <w:t>80</w:t>
            </w:r>
            <w:r>
              <w:rPr>
                <w:rFonts w:hint="eastAsia"/>
                <w:color w:val="auto"/>
                <w:sz w:val="21"/>
                <w:szCs w:val="21"/>
              </w:rPr>
              <w:t>mm，</w:t>
            </w:r>
            <w:r>
              <w:rPr>
                <w:rFonts w:hint="eastAsia"/>
                <w:color w:val="auto"/>
                <w:sz w:val="21"/>
                <w:szCs w:val="21"/>
                <w:lang w:val="en-US"/>
              </w:rPr>
              <w:t>管壁</w:t>
            </w:r>
            <w:r>
              <w:rPr>
                <w:rFonts w:hint="eastAsia"/>
                <w:color w:val="auto"/>
                <w:sz w:val="21"/>
                <w:szCs w:val="21"/>
              </w:rPr>
              <w:t>厚度≥1.2mm。</w:t>
            </w:r>
          </w:p>
          <w:p>
            <w:pPr>
              <w:numPr>
                <w:ilvl w:val="0"/>
                <w:numId w:val="7"/>
              </w:numPr>
              <w:spacing w:line="340" w:lineRule="exact"/>
              <w:jc w:val="both"/>
              <w:rPr>
                <w:color w:val="auto"/>
                <w:sz w:val="21"/>
                <w:szCs w:val="21"/>
              </w:rPr>
            </w:pPr>
            <w:r>
              <w:rPr>
                <w:rFonts w:hint="eastAsia"/>
                <w:color w:val="auto"/>
                <w:sz w:val="21"/>
                <w:szCs w:val="21"/>
              </w:rPr>
              <w:t>金属件外观要求：①喷涂层：涂层应无漏喷、锈蚀，应光滑均匀，色泽一致，应无流挂、疙瘩、皱皮、飞漆等缺陷。</w:t>
            </w:r>
          </w:p>
          <w:p>
            <w:pPr>
              <w:spacing w:line="340" w:lineRule="exact"/>
              <w:jc w:val="both"/>
              <w:rPr>
                <w:color w:val="auto"/>
                <w:sz w:val="21"/>
                <w:szCs w:val="21"/>
              </w:rPr>
            </w:pPr>
            <w:r>
              <w:rPr>
                <w:rFonts w:hint="eastAsia"/>
                <w:color w:val="auto"/>
                <w:sz w:val="21"/>
                <w:szCs w:val="21"/>
              </w:rPr>
              <w:t>②金属喷漆（塑）涂层理化性能：a。硬度≥H；b。冲击强度：应无剥落、裂纹、皱纹；c.耐腐蚀测试：在溶剂样板上划道两侧3mm以外，应无气泡产生；检查划道两侧3mm以外，应无锈蚀、剥落、起皱、变色和失光等现象；d.附着力：不低于2级，或者通过乙酸</w:t>
            </w:r>
            <w:r>
              <w:rPr>
                <w:rFonts w:hint="eastAsia"/>
                <w:color w:val="auto"/>
                <w:sz w:val="21"/>
                <w:szCs w:val="21"/>
                <w:lang w:val="en-US"/>
              </w:rPr>
              <w:t>盐雾试验：</w:t>
            </w:r>
            <w:r>
              <w:rPr>
                <w:rFonts w:hint="eastAsia"/>
                <w:color w:val="auto"/>
                <w:sz w:val="21"/>
                <w:szCs w:val="21"/>
              </w:rPr>
              <w:t>表面未出现生锈，气泡，斑点，颜色变化等其他现象。</w:t>
            </w:r>
          </w:p>
          <w:p>
            <w:pPr>
              <w:spacing w:line="340" w:lineRule="exact"/>
              <w:jc w:val="both"/>
              <w:rPr>
                <w:color w:val="auto"/>
                <w:sz w:val="21"/>
                <w:szCs w:val="21"/>
              </w:rPr>
            </w:pPr>
            <w:r>
              <w:rPr>
                <w:rFonts w:hint="eastAsia"/>
                <w:color w:val="auto"/>
                <w:sz w:val="21"/>
                <w:szCs w:val="21"/>
              </w:rPr>
              <w:t>（3）抗拉强度 Rm（MPa）：315～430 或下屈服强度 ReL(MPa)≥235 ，断后伸长率 A（%）≥33 ，公称厚度≥1.2mm。</w:t>
            </w:r>
          </w:p>
          <w:p>
            <w:pPr>
              <w:spacing w:line="340" w:lineRule="exact"/>
              <w:jc w:val="both"/>
              <w:rPr>
                <w:color w:val="auto"/>
                <w:sz w:val="21"/>
                <w:szCs w:val="21"/>
              </w:rPr>
            </w:pPr>
            <w:r>
              <w:rPr>
                <w:rFonts w:hint="eastAsia"/>
                <w:color w:val="auto"/>
                <w:sz w:val="21"/>
                <w:szCs w:val="21"/>
              </w:rPr>
              <w:t>2、床横梁：</w:t>
            </w:r>
          </w:p>
          <w:p>
            <w:pPr>
              <w:spacing w:line="340" w:lineRule="exact"/>
              <w:jc w:val="both"/>
              <w:rPr>
                <w:color w:val="auto"/>
                <w:sz w:val="21"/>
                <w:szCs w:val="21"/>
              </w:rPr>
            </w:pPr>
            <w:r>
              <w:rPr>
                <w:rFonts w:hint="eastAsia"/>
                <w:color w:val="auto"/>
                <w:sz w:val="21"/>
                <w:szCs w:val="21"/>
              </w:rPr>
              <w:t>（1）</w:t>
            </w:r>
            <w:r>
              <w:rPr>
                <w:rFonts w:hint="eastAsia"/>
                <w:color w:val="auto"/>
                <w:sz w:val="21"/>
                <w:szCs w:val="21"/>
                <w:lang w:val="en-US" w:eastAsia="zh-CN"/>
              </w:rPr>
              <w:t>采用</w:t>
            </w:r>
            <w:r>
              <w:rPr>
                <w:rFonts w:hint="eastAsia"/>
                <w:color w:val="auto"/>
                <w:sz w:val="21"/>
                <w:szCs w:val="21"/>
              </w:rPr>
              <w:t>型材（冷轧钢板）≥</w:t>
            </w:r>
            <w:r>
              <w:rPr>
                <w:rFonts w:hint="eastAsia"/>
                <w:color w:val="auto"/>
                <w:sz w:val="21"/>
                <w:szCs w:val="21"/>
                <w:lang w:val="en-US" w:eastAsia="zh-CN"/>
              </w:rPr>
              <w:t>75</w:t>
            </w:r>
            <w:r>
              <w:rPr>
                <w:rFonts w:hint="eastAsia"/>
                <w:color w:val="auto"/>
                <w:sz w:val="21"/>
                <w:szCs w:val="21"/>
                <w:lang w:val="en-US"/>
              </w:rPr>
              <w:t>mm</w:t>
            </w:r>
            <w:r>
              <w:rPr>
                <w:rFonts w:hint="eastAsia"/>
                <w:color w:val="auto"/>
                <w:sz w:val="21"/>
                <w:szCs w:val="21"/>
              </w:rPr>
              <w:t>×3</w:t>
            </w:r>
            <w:r>
              <w:rPr>
                <w:rFonts w:hint="eastAsia"/>
                <w:color w:val="auto"/>
                <w:sz w:val="21"/>
                <w:szCs w:val="21"/>
                <w:lang w:val="en-US" w:eastAsia="zh-CN"/>
              </w:rPr>
              <w:t>0</w:t>
            </w:r>
            <w:r>
              <w:rPr>
                <w:rFonts w:hint="eastAsia"/>
                <w:color w:val="auto"/>
                <w:sz w:val="21"/>
                <w:szCs w:val="21"/>
                <w:lang w:val="en-US"/>
              </w:rPr>
              <w:t>mm</w:t>
            </w:r>
            <w:r>
              <w:rPr>
                <w:rFonts w:hint="eastAsia"/>
                <w:color w:val="auto"/>
                <w:sz w:val="21"/>
                <w:szCs w:val="21"/>
              </w:rPr>
              <w:t>，</w:t>
            </w:r>
            <w:r>
              <w:rPr>
                <w:rFonts w:hint="eastAsia"/>
                <w:color w:val="auto"/>
                <w:sz w:val="21"/>
                <w:szCs w:val="21"/>
                <w:lang w:val="en-US"/>
              </w:rPr>
              <w:t>管壁</w:t>
            </w:r>
            <w:r>
              <w:rPr>
                <w:rFonts w:hint="eastAsia"/>
                <w:color w:val="auto"/>
                <w:sz w:val="21"/>
                <w:szCs w:val="21"/>
              </w:rPr>
              <w:t>厚度≥1.2mm高频焊接封口型管材；</w:t>
            </w:r>
          </w:p>
          <w:p>
            <w:pPr>
              <w:spacing w:line="340" w:lineRule="exact"/>
              <w:jc w:val="both"/>
              <w:rPr>
                <w:color w:val="auto"/>
                <w:sz w:val="21"/>
                <w:szCs w:val="21"/>
              </w:rPr>
            </w:pPr>
            <w:r>
              <w:rPr>
                <w:rFonts w:hint="eastAsia"/>
                <w:color w:val="auto"/>
                <w:sz w:val="21"/>
                <w:szCs w:val="21"/>
              </w:rPr>
              <w:t>（2）金属件外观要求：①喷涂层：涂层应无漏喷、锈蚀，应光滑均匀，色泽一致，应无流挂、疙瘩、皱皮、飞漆等缺陷。</w:t>
            </w:r>
          </w:p>
          <w:p>
            <w:pPr>
              <w:spacing w:line="340" w:lineRule="exact"/>
              <w:jc w:val="both"/>
              <w:rPr>
                <w:color w:val="auto"/>
                <w:sz w:val="21"/>
                <w:szCs w:val="21"/>
              </w:rPr>
            </w:pPr>
            <w:r>
              <w:rPr>
                <w:rFonts w:hint="eastAsia"/>
                <w:color w:val="auto"/>
                <w:sz w:val="21"/>
                <w:szCs w:val="21"/>
                <w:lang w:val="en-US"/>
              </w:rPr>
              <w:t>②</w:t>
            </w:r>
            <w:r>
              <w:rPr>
                <w:rFonts w:hint="eastAsia"/>
                <w:color w:val="auto"/>
                <w:sz w:val="21"/>
                <w:szCs w:val="21"/>
              </w:rPr>
              <w:t>金属喷漆（塑）涂层理化性能：a.硬度≥H；b.冲击强度：应无剥落、裂纹、皱纹；c.耐腐蚀测试：在溶剂样板上划道两侧3mm以外，应无气泡产生；检查划道两侧3mm以外，应无锈蚀、剥落、起皱、变色和失光等现象；d.附着力：不低于2级，或者通过乙酸</w:t>
            </w:r>
            <w:r>
              <w:rPr>
                <w:rFonts w:hint="eastAsia"/>
                <w:color w:val="auto"/>
                <w:sz w:val="21"/>
                <w:szCs w:val="21"/>
                <w:lang w:val="en-US"/>
              </w:rPr>
              <w:t>盐雾试验：</w:t>
            </w:r>
            <w:r>
              <w:rPr>
                <w:rFonts w:hint="eastAsia"/>
                <w:color w:val="auto"/>
                <w:sz w:val="21"/>
                <w:szCs w:val="21"/>
              </w:rPr>
              <w:t>表面未出现生锈，气泡，斑点，颜色变化等其他现象。</w:t>
            </w:r>
          </w:p>
          <w:p>
            <w:pPr>
              <w:pStyle w:val="2"/>
              <w:spacing w:line="340" w:lineRule="exact"/>
              <w:jc w:val="both"/>
              <w:rPr>
                <w:color w:val="auto"/>
                <w:sz w:val="21"/>
                <w:szCs w:val="21"/>
                <w:lang w:val="en-US"/>
              </w:rPr>
            </w:pPr>
            <w:r>
              <w:rPr>
                <w:rFonts w:hint="eastAsia"/>
                <w:color w:val="auto"/>
                <w:sz w:val="21"/>
                <w:szCs w:val="21"/>
                <w:lang w:val="en-US"/>
              </w:rPr>
              <w:t>（3）抗拉强度 Rm（MPa）：315～430 或下屈服强度 ReL(MPa)≥235 ，断后伸长率 A（%）≥33 ，公称厚度≥1.2mm。</w:t>
            </w:r>
          </w:p>
          <w:p>
            <w:pPr>
              <w:spacing w:line="340" w:lineRule="exact"/>
              <w:jc w:val="both"/>
              <w:rPr>
                <w:color w:val="auto"/>
                <w:sz w:val="21"/>
                <w:szCs w:val="21"/>
              </w:rPr>
            </w:pPr>
            <w:r>
              <w:rPr>
                <w:rFonts w:hint="eastAsia"/>
                <w:color w:val="auto"/>
                <w:sz w:val="21"/>
                <w:szCs w:val="21"/>
              </w:rPr>
              <w:t>3、床</w:t>
            </w:r>
            <w:r>
              <w:rPr>
                <w:rFonts w:hint="eastAsia"/>
                <w:color w:val="auto"/>
                <w:sz w:val="21"/>
                <w:szCs w:val="21"/>
                <w:lang w:val="en-US"/>
              </w:rPr>
              <w:t>连接</w:t>
            </w:r>
            <w:r>
              <w:rPr>
                <w:rFonts w:hint="eastAsia"/>
                <w:color w:val="auto"/>
                <w:sz w:val="21"/>
                <w:szCs w:val="21"/>
              </w:rPr>
              <w:t>挂件：</w:t>
            </w:r>
          </w:p>
          <w:p>
            <w:pPr>
              <w:spacing w:line="340" w:lineRule="exact"/>
              <w:jc w:val="both"/>
              <w:rPr>
                <w:color w:val="auto"/>
                <w:sz w:val="21"/>
                <w:szCs w:val="21"/>
              </w:rPr>
            </w:pPr>
            <w:r>
              <w:rPr>
                <w:rFonts w:hint="eastAsia"/>
                <w:color w:val="auto"/>
                <w:sz w:val="21"/>
                <w:szCs w:val="21"/>
              </w:rPr>
              <w:t>（1）冷轧钢板≥26</w:t>
            </w:r>
            <w:r>
              <w:rPr>
                <w:rFonts w:hint="eastAsia"/>
                <w:color w:val="auto"/>
                <w:sz w:val="21"/>
                <w:szCs w:val="21"/>
                <w:lang w:val="en-US"/>
              </w:rPr>
              <w:t>mm</w:t>
            </w:r>
            <w:r>
              <w:rPr>
                <w:rFonts w:hint="eastAsia"/>
                <w:color w:val="auto"/>
                <w:sz w:val="21"/>
                <w:szCs w:val="21"/>
              </w:rPr>
              <w:t>×26</w:t>
            </w:r>
            <w:r>
              <w:rPr>
                <w:rFonts w:hint="eastAsia"/>
                <w:color w:val="auto"/>
                <w:sz w:val="21"/>
                <w:szCs w:val="21"/>
                <w:lang w:val="en-US"/>
              </w:rPr>
              <w:t>mm</w:t>
            </w:r>
            <w:r>
              <w:rPr>
                <w:rFonts w:hint="eastAsia"/>
                <w:color w:val="auto"/>
                <w:sz w:val="21"/>
                <w:szCs w:val="21"/>
              </w:rPr>
              <w:t>×195</w:t>
            </w:r>
            <w:r>
              <w:rPr>
                <w:rFonts w:hint="eastAsia"/>
                <w:color w:val="auto"/>
                <w:sz w:val="21"/>
                <w:szCs w:val="21"/>
                <w:lang w:val="en-US"/>
              </w:rPr>
              <w:t>mm</w:t>
            </w:r>
            <w:r>
              <w:rPr>
                <w:rFonts w:hint="eastAsia"/>
                <w:color w:val="auto"/>
                <w:sz w:val="21"/>
                <w:szCs w:val="21"/>
              </w:rPr>
              <w:t>，</w:t>
            </w:r>
            <w:r>
              <w:rPr>
                <w:rFonts w:hint="eastAsia"/>
                <w:color w:val="auto"/>
                <w:sz w:val="21"/>
                <w:szCs w:val="21"/>
                <w:lang w:val="en-US"/>
              </w:rPr>
              <w:t>钢板</w:t>
            </w:r>
            <w:r>
              <w:rPr>
                <w:rFonts w:hint="eastAsia"/>
                <w:color w:val="auto"/>
                <w:sz w:val="21"/>
                <w:szCs w:val="21"/>
              </w:rPr>
              <w:t>厚度≥2.0mm；</w:t>
            </w:r>
          </w:p>
          <w:p>
            <w:pPr>
              <w:spacing w:line="340" w:lineRule="exact"/>
              <w:jc w:val="both"/>
              <w:rPr>
                <w:color w:val="auto"/>
                <w:sz w:val="21"/>
                <w:szCs w:val="21"/>
              </w:rPr>
            </w:pPr>
            <w:r>
              <w:rPr>
                <w:rFonts w:hint="eastAsia"/>
                <w:color w:val="auto"/>
                <w:sz w:val="21"/>
                <w:szCs w:val="21"/>
              </w:rPr>
              <w:t>（2）金属件外观要求：①喷涂层：涂层应无漏喷、锈蚀，应光滑均匀，色泽一致，应无流挂、疙瘩、皱皮、飞漆等缺陷。</w:t>
            </w:r>
          </w:p>
          <w:p>
            <w:pPr>
              <w:spacing w:line="340" w:lineRule="exact"/>
              <w:jc w:val="both"/>
              <w:rPr>
                <w:color w:val="auto"/>
                <w:sz w:val="21"/>
                <w:szCs w:val="21"/>
              </w:rPr>
            </w:pPr>
            <w:r>
              <w:rPr>
                <w:rFonts w:hint="eastAsia"/>
                <w:color w:val="auto"/>
                <w:sz w:val="21"/>
                <w:szCs w:val="21"/>
              </w:rPr>
              <w:t>②金属喷漆（塑）涂层理化性能：a。硬度≥H；b。冲击强度：应无剥落、裂纹、皱纹；c.耐腐蚀测试：在溶剂样板上划道两侧3mm以外，应无气泡产生；检查划道两侧3mm以外，应无锈蚀、剥落、起皱、变色和失光等现象；d.附着力：不低于2级，或者通过乙酸</w:t>
            </w:r>
            <w:r>
              <w:rPr>
                <w:rFonts w:hint="eastAsia"/>
                <w:color w:val="auto"/>
                <w:sz w:val="21"/>
                <w:szCs w:val="21"/>
                <w:lang w:val="en-US"/>
              </w:rPr>
              <w:t>盐雾试验：</w:t>
            </w:r>
            <w:r>
              <w:rPr>
                <w:rFonts w:hint="eastAsia"/>
                <w:color w:val="auto"/>
                <w:sz w:val="21"/>
                <w:szCs w:val="21"/>
              </w:rPr>
              <w:t>表面未出现生锈，气泡，斑点，颜色变化等其他现象。</w:t>
            </w:r>
          </w:p>
          <w:p>
            <w:pPr>
              <w:spacing w:line="340" w:lineRule="exact"/>
              <w:jc w:val="both"/>
              <w:rPr>
                <w:color w:val="auto"/>
                <w:sz w:val="21"/>
                <w:szCs w:val="21"/>
              </w:rPr>
            </w:pPr>
            <w:r>
              <w:rPr>
                <w:rFonts w:hint="eastAsia"/>
                <w:color w:val="auto"/>
                <w:sz w:val="21"/>
                <w:szCs w:val="21"/>
              </w:rPr>
              <w:t>（3）抗拉强度 Rm（MPa）：315～430 或下屈服强度 ReL(MPa)≥235 ，断后伸长率 A（%）≥33 ，公称厚度≥2.0mm。</w:t>
            </w:r>
          </w:p>
          <w:p>
            <w:pPr>
              <w:spacing w:line="340" w:lineRule="exact"/>
              <w:jc w:val="both"/>
              <w:rPr>
                <w:color w:val="auto"/>
                <w:sz w:val="21"/>
                <w:szCs w:val="21"/>
              </w:rPr>
            </w:pPr>
            <w:r>
              <w:rPr>
                <w:rFonts w:hint="eastAsia"/>
                <w:color w:val="auto"/>
                <w:sz w:val="21"/>
                <w:szCs w:val="21"/>
              </w:rPr>
              <w:t>4、床桓：方管≥30</w:t>
            </w:r>
            <w:r>
              <w:rPr>
                <w:rFonts w:hint="eastAsia"/>
                <w:color w:val="auto"/>
                <w:sz w:val="21"/>
                <w:szCs w:val="21"/>
                <w:lang w:val="en-US"/>
              </w:rPr>
              <w:t>mm</w:t>
            </w:r>
            <w:r>
              <w:rPr>
                <w:rFonts w:hint="eastAsia"/>
                <w:color w:val="auto"/>
                <w:sz w:val="21"/>
                <w:szCs w:val="21"/>
              </w:rPr>
              <w:t>×20</w:t>
            </w:r>
            <w:r>
              <w:rPr>
                <w:rFonts w:hint="eastAsia"/>
                <w:color w:val="auto"/>
                <w:sz w:val="21"/>
                <w:szCs w:val="21"/>
                <w:lang w:val="en-US"/>
              </w:rPr>
              <w:t>mm，管壁厚度≥</w:t>
            </w:r>
            <w:r>
              <w:rPr>
                <w:rFonts w:hint="eastAsia"/>
                <w:color w:val="auto"/>
                <w:sz w:val="21"/>
                <w:szCs w:val="21"/>
              </w:rPr>
              <w:t>1.0mm。</w:t>
            </w:r>
          </w:p>
          <w:p>
            <w:pPr>
              <w:spacing w:line="340" w:lineRule="exact"/>
              <w:jc w:val="both"/>
              <w:rPr>
                <w:color w:val="auto"/>
                <w:sz w:val="21"/>
                <w:szCs w:val="21"/>
              </w:rPr>
            </w:pPr>
            <w:r>
              <w:rPr>
                <w:rFonts w:hint="eastAsia"/>
                <w:color w:val="auto"/>
                <w:sz w:val="21"/>
                <w:szCs w:val="21"/>
              </w:rPr>
              <w:t>5、床护栏</w:t>
            </w:r>
          </w:p>
          <w:p>
            <w:pPr>
              <w:spacing w:line="340" w:lineRule="exact"/>
              <w:jc w:val="both"/>
              <w:rPr>
                <w:color w:val="auto"/>
                <w:sz w:val="21"/>
                <w:szCs w:val="21"/>
              </w:rPr>
            </w:pPr>
            <w:r>
              <w:rPr>
                <w:rFonts w:hint="eastAsia"/>
                <w:color w:val="auto"/>
                <w:sz w:val="21"/>
                <w:szCs w:val="21"/>
              </w:rPr>
              <w:t>前护栏：</w:t>
            </w:r>
            <w:r>
              <w:rPr>
                <w:rFonts w:hint="eastAsia"/>
                <w:color w:val="auto"/>
                <w:sz w:val="21"/>
                <w:szCs w:val="21"/>
                <w:lang w:val="en-US"/>
              </w:rPr>
              <w:t>横管采用D型管</w:t>
            </w:r>
            <w:r>
              <w:rPr>
                <w:rFonts w:hint="eastAsia"/>
                <w:color w:val="auto"/>
                <w:sz w:val="21"/>
                <w:szCs w:val="21"/>
              </w:rPr>
              <w:t>≥20</w:t>
            </w:r>
            <w:r>
              <w:rPr>
                <w:rFonts w:hint="eastAsia"/>
                <w:color w:val="auto"/>
                <w:sz w:val="21"/>
                <w:szCs w:val="21"/>
                <w:lang w:val="en-US"/>
              </w:rPr>
              <w:t>mm</w:t>
            </w:r>
            <w:r>
              <w:rPr>
                <w:rFonts w:ascii="Arial" w:hAnsi="Arial" w:cs="Arial"/>
                <w:color w:val="auto"/>
                <w:sz w:val="21"/>
                <w:szCs w:val="21"/>
              </w:rPr>
              <w:t>×</w:t>
            </w:r>
            <w:r>
              <w:rPr>
                <w:rFonts w:hint="eastAsia"/>
                <w:color w:val="auto"/>
                <w:sz w:val="21"/>
                <w:szCs w:val="21"/>
              </w:rPr>
              <w:t>32</w:t>
            </w:r>
            <w:r>
              <w:rPr>
                <w:rFonts w:hint="eastAsia"/>
                <w:color w:val="auto"/>
                <w:sz w:val="21"/>
                <w:szCs w:val="21"/>
                <w:lang w:val="en-US"/>
              </w:rPr>
              <w:t>mm</w:t>
            </w:r>
            <w:r>
              <w:rPr>
                <w:rFonts w:hint="eastAsia"/>
                <w:color w:val="auto"/>
                <w:sz w:val="21"/>
                <w:szCs w:val="21"/>
                <w:lang w:val="en-US" w:eastAsia="zh-CN"/>
              </w:rPr>
              <w:t>，</w:t>
            </w:r>
            <w:r>
              <w:rPr>
                <w:rFonts w:hint="eastAsia"/>
                <w:color w:val="auto"/>
                <w:sz w:val="21"/>
                <w:szCs w:val="21"/>
                <w:lang w:val="en-US"/>
              </w:rPr>
              <w:t>管壁厚度≥</w:t>
            </w:r>
            <w:r>
              <w:rPr>
                <w:rFonts w:hint="eastAsia"/>
                <w:color w:val="auto"/>
                <w:sz w:val="21"/>
                <w:szCs w:val="21"/>
              </w:rPr>
              <w:t>1.2mm</w:t>
            </w:r>
            <w:r>
              <w:rPr>
                <w:rFonts w:hint="eastAsia"/>
                <w:color w:val="auto"/>
                <w:sz w:val="21"/>
                <w:szCs w:val="21"/>
                <w:lang w:val="en-US"/>
              </w:rPr>
              <w:t>，经数控弯曲成曲型。竖管采用方管</w:t>
            </w:r>
            <w:r>
              <w:rPr>
                <w:rFonts w:hint="eastAsia"/>
                <w:color w:val="auto"/>
                <w:sz w:val="21"/>
                <w:szCs w:val="21"/>
              </w:rPr>
              <w:t>≥</w:t>
            </w:r>
            <w:r>
              <w:rPr>
                <w:rFonts w:hint="eastAsia"/>
                <w:color w:val="auto"/>
                <w:sz w:val="21"/>
                <w:szCs w:val="21"/>
                <w:lang w:val="en-US"/>
              </w:rPr>
              <w:t>20mm</w:t>
            </w:r>
            <w:r>
              <w:rPr>
                <w:rFonts w:ascii="Arial" w:hAnsi="Arial" w:cs="Arial"/>
                <w:color w:val="auto"/>
                <w:sz w:val="21"/>
                <w:szCs w:val="21"/>
                <w:lang w:val="en-US"/>
              </w:rPr>
              <w:t>×</w:t>
            </w:r>
            <w:r>
              <w:rPr>
                <w:rFonts w:hint="eastAsia"/>
                <w:color w:val="auto"/>
                <w:sz w:val="21"/>
                <w:szCs w:val="21"/>
                <w:lang w:val="en-US"/>
              </w:rPr>
              <w:t>20mm，管壁厚度≥1.0mm。前护栏与长横梁整体焊接成型。</w:t>
            </w:r>
          </w:p>
          <w:p>
            <w:pPr>
              <w:tabs>
                <w:tab w:val="left" w:pos="2355"/>
              </w:tabs>
              <w:spacing w:line="340" w:lineRule="exact"/>
              <w:jc w:val="both"/>
              <w:rPr>
                <w:color w:val="auto"/>
                <w:sz w:val="21"/>
                <w:szCs w:val="21"/>
                <w:lang w:val="en-US"/>
              </w:rPr>
            </w:pPr>
            <w:r>
              <w:rPr>
                <w:rFonts w:hint="eastAsia"/>
                <w:color w:val="auto"/>
                <w:sz w:val="21"/>
                <w:szCs w:val="21"/>
                <w:lang w:val="en-US"/>
              </w:rPr>
              <w:t>侧</w:t>
            </w:r>
            <w:r>
              <w:rPr>
                <w:rFonts w:hint="eastAsia"/>
                <w:color w:val="auto"/>
                <w:sz w:val="21"/>
                <w:szCs w:val="21"/>
              </w:rPr>
              <w:t>床头护栏：</w:t>
            </w:r>
            <w:r>
              <w:rPr>
                <w:rFonts w:hint="eastAsia"/>
                <w:color w:val="auto"/>
                <w:sz w:val="21"/>
                <w:szCs w:val="21"/>
                <w:lang w:val="en-US"/>
              </w:rPr>
              <w:t>侧床头护栏横管采用D型管</w:t>
            </w:r>
            <w:r>
              <w:rPr>
                <w:rFonts w:hint="eastAsia"/>
                <w:color w:val="auto"/>
                <w:sz w:val="21"/>
                <w:szCs w:val="21"/>
              </w:rPr>
              <w:t>≥</w:t>
            </w:r>
            <w:r>
              <w:rPr>
                <w:rFonts w:hint="eastAsia"/>
                <w:color w:val="auto"/>
                <w:sz w:val="21"/>
                <w:szCs w:val="21"/>
                <w:lang w:val="en-US"/>
              </w:rPr>
              <w:t>28mm</w:t>
            </w:r>
            <w:r>
              <w:rPr>
                <w:rFonts w:ascii="Arial" w:hAnsi="Arial" w:cs="Arial"/>
                <w:color w:val="auto"/>
                <w:sz w:val="21"/>
                <w:szCs w:val="21"/>
                <w:lang w:val="en-US"/>
              </w:rPr>
              <w:t>×</w:t>
            </w:r>
            <w:r>
              <w:rPr>
                <w:rFonts w:hint="eastAsia"/>
                <w:color w:val="auto"/>
                <w:sz w:val="21"/>
                <w:szCs w:val="21"/>
                <w:lang w:val="en-US"/>
              </w:rPr>
              <w:t>34mm，管壁厚度≥1.2mm，竖管采用方管</w:t>
            </w:r>
            <w:r>
              <w:rPr>
                <w:rFonts w:hint="eastAsia"/>
                <w:color w:val="auto"/>
                <w:sz w:val="21"/>
                <w:szCs w:val="21"/>
              </w:rPr>
              <w:t>≥</w:t>
            </w:r>
            <w:r>
              <w:rPr>
                <w:rFonts w:hint="eastAsia"/>
                <w:color w:val="auto"/>
                <w:sz w:val="21"/>
                <w:szCs w:val="21"/>
                <w:lang w:val="en-US"/>
              </w:rPr>
              <w:t>20mm</w:t>
            </w:r>
            <w:r>
              <w:rPr>
                <w:rFonts w:ascii="Arial" w:hAnsi="Arial" w:cs="Arial"/>
                <w:color w:val="auto"/>
                <w:sz w:val="21"/>
                <w:szCs w:val="21"/>
                <w:lang w:val="en-US"/>
              </w:rPr>
              <w:t>×</w:t>
            </w:r>
            <w:r>
              <w:rPr>
                <w:rFonts w:hint="eastAsia"/>
                <w:color w:val="auto"/>
                <w:sz w:val="21"/>
                <w:szCs w:val="21"/>
                <w:lang w:val="en-US"/>
              </w:rPr>
              <w:t>20mm，管壁厚度≥1.0mm。</w:t>
            </w:r>
          </w:p>
          <w:p>
            <w:pPr>
              <w:spacing w:line="340" w:lineRule="exact"/>
              <w:jc w:val="both"/>
              <w:rPr>
                <w:color w:val="auto"/>
                <w:sz w:val="21"/>
                <w:szCs w:val="21"/>
              </w:rPr>
            </w:pPr>
            <w:r>
              <w:rPr>
                <w:rFonts w:hint="eastAsia"/>
                <w:color w:val="auto"/>
                <w:sz w:val="21"/>
                <w:szCs w:val="21"/>
              </w:rPr>
              <w:t>中床头护栏：≥Ф19 mm，</w:t>
            </w:r>
            <w:r>
              <w:rPr>
                <w:rFonts w:hint="eastAsia"/>
                <w:color w:val="auto"/>
                <w:sz w:val="21"/>
                <w:szCs w:val="21"/>
                <w:lang w:val="en-US"/>
              </w:rPr>
              <w:t>管壁</w:t>
            </w:r>
            <w:r>
              <w:rPr>
                <w:rFonts w:hint="eastAsia"/>
                <w:color w:val="auto"/>
                <w:sz w:val="21"/>
                <w:szCs w:val="21"/>
              </w:rPr>
              <w:t xml:space="preserve">厚度≥1.0mm圆管。                                                                                                        </w:t>
            </w:r>
          </w:p>
          <w:p>
            <w:pPr>
              <w:spacing w:line="340" w:lineRule="exact"/>
              <w:jc w:val="both"/>
              <w:rPr>
                <w:color w:val="auto"/>
                <w:sz w:val="21"/>
                <w:szCs w:val="21"/>
              </w:rPr>
            </w:pPr>
            <w:r>
              <w:rPr>
                <w:rFonts w:hint="eastAsia"/>
                <w:color w:val="auto"/>
                <w:sz w:val="21"/>
                <w:szCs w:val="21"/>
                <w:lang w:val="en-US"/>
              </w:rPr>
              <w:t>6</w:t>
            </w:r>
            <w:r>
              <w:rPr>
                <w:rFonts w:hint="eastAsia"/>
                <w:color w:val="auto"/>
                <w:sz w:val="21"/>
                <w:szCs w:val="21"/>
              </w:rPr>
              <w:t>、蚊帐架：圆管Ф≥12</w:t>
            </w:r>
            <w:r>
              <w:rPr>
                <w:rFonts w:hint="eastAsia"/>
                <w:color w:val="auto"/>
                <w:sz w:val="21"/>
                <w:szCs w:val="21"/>
                <w:lang w:val="en-US"/>
              </w:rPr>
              <w:t>mm，管壁厚度≥</w:t>
            </w:r>
            <w:r>
              <w:rPr>
                <w:rFonts w:hint="eastAsia"/>
                <w:color w:val="auto"/>
                <w:sz w:val="21"/>
                <w:szCs w:val="21"/>
              </w:rPr>
              <w:t>1.0mm。</w:t>
            </w:r>
          </w:p>
          <w:p>
            <w:pPr>
              <w:spacing w:line="340" w:lineRule="exact"/>
              <w:jc w:val="both"/>
              <w:rPr>
                <w:color w:val="auto"/>
                <w:sz w:val="21"/>
                <w:szCs w:val="21"/>
              </w:rPr>
            </w:pPr>
            <w:r>
              <w:rPr>
                <w:rFonts w:hint="eastAsia"/>
                <w:color w:val="auto"/>
                <w:sz w:val="21"/>
                <w:szCs w:val="21"/>
                <w:lang w:val="en-US"/>
              </w:rPr>
              <w:t>7</w:t>
            </w:r>
            <w:r>
              <w:rPr>
                <w:rFonts w:hint="eastAsia"/>
                <w:color w:val="auto"/>
                <w:sz w:val="21"/>
                <w:szCs w:val="21"/>
              </w:rPr>
              <w:t>、</w:t>
            </w:r>
            <w:r>
              <w:rPr>
                <w:rFonts w:hint="eastAsia"/>
                <w:color w:val="auto"/>
                <w:sz w:val="21"/>
                <w:szCs w:val="21"/>
                <w:lang w:val="en-US"/>
              </w:rPr>
              <w:t>铁床床</w:t>
            </w:r>
            <w:r>
              <w:rPr>
                <w:rFonts w:hint="eastAsia"/>
                <w:color w:val="auto"/>
                <w:sz w:val="21"/>
                <w:szCs w:val="21"/>
              </w:rPr>
              <w:t>爬梯（主管）要求：</w:t>
            </w:r>
            <w:r>
              <w:rPr>
                <w:color w:val="auto"/>
                <w:sz w:val="21"/>
                <w:szCs w:val="21"/>
              </w:rPr>
              <w:t>采用</w:t>
            </w:r>
            <w:r>
              <w:rPr>
                <w:rFonts w:hint="eastAsia"/>
                <w:color w:val="auto"/>
                <w:sz w:val="21"/>
                <w:szCs w:val="21"/>
              </w:rPr>
              <w:t>≥</w:t>
            </w:r>
            <w:r>
              <w:rPr>
                <w:color w:val="auto"/>
                <w:sz w:val="21"/>
                <w:szCs w:val="21"/>
              </w:rPr>
              <w:t>6</w:t>
            </w:r>
            <w:r>
              <w:rPr>
                <w:rFonts w:hint="eastAsia"/>
                <w:color w:val="auto"/>
                <w:sz w:val="21"/>
                <w:szCs w:val="21"/>
                <w:lang w:val="en-US" w:eastAsia="zh-CN"/>
              </w:rPr>
              <w:t>0</w:t>
            </w:r>
            <w:r>
              <w:rPr>
                <w:rFonts w:hint="eastAsia"/>
                <w:color w:val="auto"/>
                <w:sz w:val="21"/>
                <w:szCs w:val="21"/>
                <w:lang w:val="en-US"/>
              </w:rPr>
              <w:t>mm</w:t>
            </w:r>
            <w:r>
              <w:rPr>
                <w:rFonts w:ascii="Arial" w:hAnsi="Arial" w:cs="Arial"/>
                <w:color w:val="auto"/>
                <w:sz w:val="21"/>
                <w:szCs w:val="21"/>
                <w:lang w:val="en-US"/>
              </w:rPr>
              <w:t>×</w:t>
            </w:r>
            <w:r>
              <w:rPr>
                <w:color w:val="auto"/>
                <w:sz w:val="21"/>
                <w:szCs w:val="21"/>
              </w:rPr>
              <w:t>3</w:t>
            </w:r>
            <w:r>
              <w:rPr>
                <w:rFonts w:hint="eastAsia"/>
                <w:color w:val="auto"/>
                <w:sz w:val="21"/>
                <w:szCs w:val="21"/>
                <w:lang w:val="en-US" w:eastAsia="zh-CN"/>
              </w:rPr>
              <w:t>0</w:t>
            </w:r>
            <w:r>
              <w:rPr>
                <w:rFonts w:hint="eastAsia"/>
                <w:color w:val="auto"/>
                <w:sz w:val="21"/>
                <w:szCs w:val="21"/>
                <w:lang w:val="en-US"/>
              </w:rPr>
              <w:t>mm</w:t>
            </w:r>
            <w:r>
              <w:rPr>
                <w:rFonts w:ascii="Arial" w:hAnsi="Arial" w:cs="Arial"/>
                <w:color w:val="auto"/>
                <w:sz w:val="21"/>
                <w:szCs w:val="21"/>
                <w:lang w:val="en-US"/>
              </w:rPr>
              <w:t>×</w:t>
            </w:r>
            <w:r>
              <w:rPr>
                <w:color w:val="auto"/>
                <w:sz w:val="21"/>
                <w:szCs w:val="21"/>
              </w:rPr>
              <w:t>40</w:t>
            </w:r>
            <w:r>
              <w:rPr>
                <w:rFonts w:hint="eastAsia"/>
                <w:color w:val="auto"/>
                <w:sz w:val="21"/>
                <w:szCs w:val="21"/>
                <w:lang w:val="en-US"/>
              </w:rPr>
              <w:t>mm，管壁厚度≥</w:t>
            </w:r>
            <w:r>
              <w:rPr>
                <w:color w:val="auto"/>
                <w:sz w:val="21"/>
                <w:szCs w:val="21"/>
              </w:rPr>
              <w:t>1.2mm优质冷轧钢带经模压一次成形，并采用高频焊接成中空封闭管，管材外圆内方。</w:t>
            </w:r>
          </w:p>
          <w:p>
            <w:pPr>
              <w:spacing w:line="340" w:lineRule="exact"/>
              <w:jc w:val="both"/>
              <w:rPr>
                <w:color w:val="auto"/>
                <w:sz w:val="21"/>
                <w:szCs w:val="21"/>
              </w:rPr>
            </w:pPr>
            <w:r>
              <w:rPr>
                <w:rFonts w:hint="eastAsia"/>
                <w:color w:val="auto"/>
                <w:sz w:val="21"/>
                <w:szCs w:val="21"/>
              </w:rPr>
              <w:t>（1）采用型材；</w:t>
            </w:r>
          </w:p>
          <w:p>
            <w:pPr>
              <w:spacing w:line="340" w:lineRule="exact"/>
              <w:jc w:val="both"/>
              <w:rPr>
                <w:color w:val="auto"/>
                <w:sz w:val="21"/>
                <w:szCs w:val="21"/>
              </w:rPr>
            </w:pPr>
            <w:r>
              <w:rPr>
                <w:rFonts w:hint="eastAsia"/>
                <w:color w:val="auto"/>
                <w:sz w:val="21"/>
                <w:szCs w:val="21"/>
              </w:rPr>
              <w:t>（2）金属件外观要求：</w:t>
            </w:r>
          </w:p>
          <w:p>
            <w:pPr>
              <w:spacing w:line="340" w:lineRule="exact"/>
              <w:jc w:val="both"/>
              <w:rPr>
                <w:color w:val="auto"/>
                <w:sz w:val="21"/>
                <w:szCs w:val="21"/>
              </w:rPr>
            </w:pPr>
            <w:r>
              <w:rPr>
                <w:rFonts w:hint="eastAsia"/>
                <w:color w:val="auto"/>
                <w:sz w:val="21"/>
                <w:szCs w:val="21"/>
              </w:rPr>
              <w:t>①喷涂层：涂层应无漏喷、锈蚀，应光滑均匀，色泽一致，应无流挂、疙瘩、皱皮、飞漆等缺陷。</w:t>
            </w:r>
          </w:p>
          <w:p>
            <w:pPr>
              <w:spacing w:line="340" w:lineRule="exact"/>
              <w:jc w:val="both"/>
              <w:rPr>
                <w:color w:val="auto"/>
                <w:sz w:val="21"/>
                <w:szCs w:val="21"/>
              </w:rPr>
            </w:pPr>
            <w:r>
              <w:rPr>
                <w:rFonts w:hint="eastAsia"/>
                <w:color w:val="auto"/>
                <w:sz w:val="21"/>
                <w:szCs w:val="21"/>
              </w:rPr>
              <w:t>②焊接：焊接表面光滑无毛刺，焊接处无接处无夹渣，气孔、焊瘤、焊丝头咬边飞溅，并保证无脱焊、错位、虚焊及焊穿等现象。</w:t>
            </w:r>
          </w:p>
          <w:p>
            <w:pPr>
              <w:spacing w:line="340" w:lineRule="exact"/>
              <w:jc w:val="both"/>
              <w:rPr>
                <w:color w:val="auto"/>
                <w:sz w:val="21"/>
                <w:szCs w:val="21"/>
              </w:rPr>
            </w:pPr>
            <w:r>
              <w:rPr>
                <w:rFonts w:hint="eastAsia"/>
                <w:color w:val="auto"/>
                <w:sz w:val="21"/>
                <w:szCs w:val="21"/>
              </w:rPr>
              <w:t>（3）抗拉强度 Rm（MPa）≥</w:t>
            </w:r>
            <w:r>
              <w:rPr>
                <w:rFonts w:hint="eastAsia"/>
                <w:color w:val="auto"/>
                <w:sz w:val="21"/>
                <w:szCs w:val="21"/>
                <w:lang w:val="en-US"/>
              </w:rPr>
              <w:t>360,</w:t>
            </w:r>
            <w:r>
              <w:rPr>
                <w:rFonts w:hint="eastAsia"/>
                <w:color w:val="auto"/>
                <w:sz w:val="21"/>
                <w:szCs w:val="21"/>
              </w:rPr>
              <w:t>下屈服强度 ReL(MPa)≥</w:t>
            </w:r>
            <w:r>
              <w:rPr>
                <w:rFonts w:hint="eastAsia"/>
                <w:color w:val="auto"/>
                <w:sz w:val="21"/>
                <w:szCs w:val="21"/>
                <w:lang w:val="en-US"/>
              </w:rPr>
              <w:t>370</w:t>
            </w:r>
            <w:r>
              <w:rPr>
                <w:rFonts w:hint="eastAsia"/>
                <w:color w:val="auto"/>
                <w:sz w:val="21"/>
                <w:szCs w:val="21"/>
              </w:rPr>
              <w:t xml:space="preserve"> ，断后伸长率 A（%）≥33 。</w:t>
            </w:r>
          </w:p>
          <w:p>
            <w:pPr>
              <w:spacing w:line="340" w:lineRule="exact"/>
              <w:jc w:val="both"/>
              <w:rPr>
                <w:color w:val="auto"/>
                <w:sz w:val="21"/>
                <w:szCs w:val="21"/>
              </w:rPr>
            </w:pPr>
            <w:r>
              <w:rPr>
                <w:rFonts w:hint="eastAsia"/>
                <w:color w:val="auto"/>
                <w:sz w:val="21"/>
                <w:szCs w:val="21"/>
                <w:lang w:val="en-US"/>
              </w:rPr>
              <w:t>8、铁床床爬梯</w:t>
            </w:r>
            <w:r>
              <w:rPr>
                <w:rFonts w:hint="eastAsia"/>
                <w:color w:val="auto"/>
                <w:sz w:val="21"/>
                <w:szCs w:val="21"/>
              </w:rPr>
              <w:t>踏板要求：</w:t>
            </w:r>
          </w:p>
          <w:p>
            <w:pPr>
              <w:spacing w:line="340" w:lineRule="exact"/>
              <w:jc w:val="both"/>
              <w:rPr>
                <w:color w:val="auto"/>
                <w:sz w:val="21"/>
                <w:szCs w:val="21"/>
              </w:rPr>
            </w:pPr>
            <w:r>
              <w:rPr>
                <w:rFonts w:hint="eastAsia"/>
                <w:color w:val="auto"/>
                <w:sz w:val="21"/>
                <w:szCs w:val="21"/>
                <w:lang w:val="en-US"/>
              </w:rPr>
              <w:t>铁床床爬梯</w:t>
            </w:r>
            <w:r>
              <w:rPr>
                <w:rFonts w:hint="eastAsia"/>
                <w:color w:val="auto"/>
                <w:sz w:val="21"/>
                <w:szCs w:val="21"/>
              </w:rPr>
              <w:t>踏板成型尺寸≥</w:t>
            </w:r>
            <w:r>
              <w:rPr>
                <w:rFonts w:hint="eastAsia"/>
                <w:color w:val="auto"/>
                <w:sz w:val="21"/>
                <w:szCs w:val="21"/>
                <w:lang w:val="en-US"/>
              </w:rPr>
              <w:t>350</w:t>
            </w:r>
            <w:r>
              <w:rPr>
                <w:rFonts w:hint="eastAsia"/>
                <w:color w:val="auto"/>
                <w:sz w:val="21"/>
                <w:szCs w:val="21"/>
              </w:rPr>
              <w:t>mm</w:t>
            </w:r>
            <w:r>
              <w:rPr>
                <w:rFonts w:ascii="Arial" w:hAnsi="Arial" w:cs="Arial"/>
                <w:color w:val="auto"/>
                <w:sz w:val="21"/>
                <w:szCs w:val="21"/>
                <w:lang w:val="en-US"/>
              </w:rPr>
              <w:t>×</w:t>
            </w:r>
            <w:r>
              <w:rPr>
                <w:rFonts w:hint="eastAsia"/>
                <w:color w:val="auto"/>
                <w:sz w:val="21"/>
                <w:szCs w:val="21"/>
                <w:lang w:val="en-US"/>
              </w:rPr>
              <w:t>70</w:t>
            </w:r>
            <w:r>
              <w:rPr>
                <w:rFonts w:hint="eastAsia"/>
                <w:color w:val="auto"/>
                <w:sz w:val="21"/>
                <w:szCs w:val="21"/>
              </w:rPr>
              <w:t>mm</w:t>
            </w:r>
            <w:r>
              <w:rPr>
                <w:rFonts w:ascii="Arial" w:hAnsi="Arial" w:cs="Arial"/>
                <w:color w:val="auto"/>
                <w:sz w:val="21"/>
                <w:szCs w:val="21"/>
                <w:lang w:val="en-US"/>
              </w:rPr>
              <w:t>×</w:t>
            </w:r>
            <w:r>
              <w:rPr>
                <w:rFonts w:hint="eastAsia"/>
                <w:color w:val="auto"/>
                <w:sz w:val="21"/>
                <w:szCs w:val="21"/>
                <w:lang w:val="en-US"/>
              </w:rPr>
              <w:t>20mm，钢板</w:t>
            </w:r>
            <w:r>
              <w:rPr>
                <w:rFonts w:hint="eastAsia"/>
                <w:color w:val="auto"/>
                <w:sz w:val="21"/>
                <w:szCs w:val="21"/>
              </w:rPr>
              <w:t>厚度≥</w:t>
            </w:r>
            <w:r>
              <w:rPr>
                <w:rFonts w:hint="eastAsia"/>
                <w:color w:val="auto"/>
                <w:sz w:val="21"/>
                <w:szCs w:val="21"/>
                <w:lang w:val="en-US"/>
              </w:rPr>
              <w:t>1.</w:t>
            </w:r>
            <w:r>
              <w:rPr>
                <w:rFonts w:hint="eastAsia"/>
                <w:color w:val="auto"/>
                <w:sz w:val="21"/>
                <w:szCs w:val="21"/>
                <w:lang w:val="en-US" w:eastAsia="zh-CN"/>
              </w:rPr>
              <w:t>2</w:t>
            </w:r>
            <w:r>
              <w:rPr>
                <w:rFonts w:hint="eastAsia"/>
                <w:color w:val="auto"/>
                <w:sz w:val="21"/>
                <w:szCs w:val="21"/>
              </w:rPr>
              <w:t>mm。</w:t>
            </w:r>
          </w:p>
          <w:p>
            <w:pPr>
              <w:spacing w:line="340" w:lineRule="exact"/>
              <w:jc w:val="both"/>
              <w:rPr>
                <w:color w:val="auto"/>
                <w:sz w:val="21"/>
                <w:szCs w:val="21"/>
              </w:rPr>
            </w:pPr>
            <w:r>
              <w:rPr>
                <w:rFonts w:hint="eastAsia"/>
                <w:color w:val="auto"/>
                <w:sz w:val="21"/>
                <w:szCs w:val="21"/>
              </w:rPr>
              <w:t>（1）采用优质冷轧钢板一次冲压成型，踩板前后折边，折边不得焊接。</w:t>
            </w:r>
          </w:p>
          <w:p>
            <w:pPr>
              <w:spacing w:line="340" w:lineRule="exact"/>
              <w:jc w:val="both"/>
              <w:rPr>
                <w:color w:val="auto"/>
                <w:sz w:val="21"/>
                <w:szCs w:val="21"/>
              </w:rPr>
            </w:pPr>
            <w:r>
              <w:rPr>
                <w:rFonts w:hint="eastAsia"/>
                <w:color w:val="auto"/>
                <w:sz w:val="21"/>
                <w:szCs w:val="21"/>
              </w:rPr>
              <w:t>（2）金属件外观要求：</w:t>
            </w:r>
          </w:p>
          <w:p>
            <w:pPr>
              <w:spacing w:line="340" w:lineRule="exact"/>
              <w:jc w:val="both"/>
              <w:rPr>
                <w:color w:val="auto"/>
                <w:sz w:val="21"/>
                <w:szCs w:val="21"/>
              </w:rPr>
            </w:pPr>
            <w:r>
              <w:rPr>
                <w:rFonts w:hint="eastAsia"/>
                <w:color w:val="auto"/>
                <w:sz w:val="21"/>
                <w:szCs w:val="21"/>
              </w:rPr>
              <w:t>①喷涂层：涂层应无漏喷、锈蚀，应光滑均匀，色泽一致，应无流挂、疙瘩、皱皮、飞漆等缺陷。</w:t>
            </w:r>
          </w:p>
          <w:p>
            <w:pPr>
              <w:spacing w:line="340" w:lineRule="exact"/>
              <w:jc w:val="both"/>
              <w:rPr>
                <w:color w:val="auto"/>
                <w:sz w:val="21"/>
                <w:szCs w:val="21"/>
              </w:rPr>
            </w:pPr>
            <w:r>
              <w:rPr>
                <w:rFonts w:hint="eastAsia"/>
                <w:color w:val="auto"/>
                <w:sz w:val="21"/>
                <w:szCs w:val="21"/>
              </w:rPr>
              <w:t>②焊接：焊接表面光滑无毛刺，焊接处无接处无夹渣，气孔、焊瘤、焊丝头咬边飞溅，并保证无脱焊、错位、虚焊及焊穿等现象。</w:t>
            </w:r>
          </w:p>
          <w:p>
            <w:pPr>
              <w:spacing w:line="340" w:lineRule="exact"/>
              <w:jc w:val="both"/>
              <w:rPr>
                <w:color w:val="auto"/>
                <w:sz w:val="21"/>
                <w:szCs w:val="21"/>
              </w:rPr>
            </w:pPr>
            <w:r>
              <w:rPr>
                <w:rFonts w:hint="eastAsia"/>
                <w:color w:val="auto"/>
                <w:sz w:val="21"/>
                <w:szCs w:val="21"/>
              </w:rPr>
              <w:t>（3）抗拉强度 Rm（MPa）≥</w:t>
            </w:r>
            <w:r>
              <w:rPr>
                <w:rFonts w:hint="eastAsia"/>
                <w:color w:val="auto"/>
                <w:sz w:val="21"/>
                <w:szCs w:val="21"/>
                <w:lang w:val="en-US"/>
              </w:rPr>
              <w:t>410,</w:t>
            </w:r>
            <w:r>
              <w:rPr>
                <w:rFonts w:hint="eastAsia"/>
                <w:color w:val="auto"/>
                <w:sz w:val="21"/>
                <w:szCs w:val="21"/>
              </w:rPr>
              <w:t>下屈服强度 ReL(MPa)≥</w:t>
            </w:r>
            <w:r>
              <w:rPr>
                <w:rFonts w:hint="eastAsia"/>
                <w:color w:val="auto"/>
                <w:sz w:val="21"/>
                <w:szCs w:val="21"/>
                <w:lang w:val="en-US"/>
              </w:rPr>
              <w:t>370</w:t>
            </w:r>
            <w:r>
              <w:rPr>
                <w:rFonts w:hint="eastAsia"/>
                <w:color w:val="auto"/>
                <w:sz w:val="21"/>
                <w:szCs w:val="21"/>
              </w:rPr>
              <w:t xml:space="preserve"> ，断后伸长率 A（%）≥33 。</w:t>
            </w:r>
          </w:p>
          <w:p>
            <w:pPr>
              <w:spacing w:line="340" w:lineRule="exact"/>
              <w:jc w:val="both"/>
              <w:rPr>
                <w:color w:val="auto"/>
                <w:sz w:val="21"/>
                <w:szCs w:val="21"/>
              </w:rPr>
            </w:pPr>
            <w:r>
              <w:rPr>
                <w:rFonts w:hint="eastAsia"/>
                <w:color w:val="auto"/>
                <w:sz w:val="21"/>
                <w:szCs w:val="21"/>
              </w:rPr>
              <w:t>（</w:t>
            </w:r>
            <w:r>
              <w:rPr>
                <w:rFonts w:hint="eastAsia"/>
                <w:color w:val="auto"/>
                <w:sz w:val="21"/>
                <w:szCs w:val="21"/>
                <w:lang w:val="en-US"/>
              </w:rPr>
              <w:t>4</w:t>
            </w:r>
            <w:r>
              <w:rPr>
                <w:rFonts w:hint="eastAsia"/>
                <w:color w:val="auto"/>
                <w:sz w:val="21"/>
                <w:szCs w:val="21"/>
              </w:rPr>
              <w:t>）脚踏板上面安装有 ABS 工程塑料所制的带夜光防滑塑料板。</w:t>
            </w:r>
          </w:p>
          <w:p>
            <w:pPr>
              <w:spacing w:line="340" w:lineRule="exact"/>
              <w:jc w:val="both"/>
              <w:rPr>
                <w:color w:val="auto"/>
                <w:sz w:val="21"/>
                <w:szCs w:val="21"/>
              </w:rPr>
            </w:pPr>
            <w:r>
              <w:rPr>
                <w:rFonts w:hint="eastAsia"/>
                <w:color w:val="auto"/>
                <w:sz w:val="21"/>
                <w:szCs w:val="21"/>
                <w:lang w:val="en-US"/>
              </w:rPr>
              <w:t>9</w:t>
            </w:r>
            <w:r>
              <w:rPr>
                <w:rFonts w:hint="eastAsia"/>
                <w:color w:val="auto"/>
                <w:sz w:val="21"/>
                <w:szCs w:val="21"/>
              </w:rPr>
              <w:t>、床架与地接部位保护套软塑胶垫，上端加保护套，保证床架结实，安全；胶垫塑料件外观要求：应无裂纹，无明显变形；应无明显缩孔、气泡、杂质、伤痕；外表用塑料件表面应光洁，无划痕，无污渍，无明显色差。塑胶垫应符合GB28481-2012《塑料家具中有害物质限量》标准，有害物质限量：铅（Pb）≤90mg/kg,镉（Cd）≤75 mg/kg，铬（Cr）≤60 mg/kg，汞（Hg）≤60 mg/kg。</w:t>
            </w:r>
          </w:p>
          <w:p>
            <w:pPr>
              <w:spacing w:line="340" w:lineRule="exact"/>
              <w:jc w:val="both"/>
              <w:rPr>
                <w:color w:val="auto"/>
                <w:sz w:val="21"/>
                <w:szCs w:val="21"/>
              </w:rPr>
            </w:pPr>
            <w:r>
              <w:rPr>
                <w:rFonts w:hint="eastAsia"/>
                <w:color w:val="auto"/>
                <w:sz w:val="21"/>
                <w:szCs w:val="21"/>
              </w:rPr>
              <w:t>1</w:t>
            </w:r>
            <w:r>
              <w:rPr>
                <w:rFonts w:hint="eastAsia"/>
                <w:color w:val="auto"/>
                <w:sz w:val="21"/>
                <w:szCs w:val="21"/>
                <w:lang w:val="en-US"/>
              </w:rPr>
              <w:t>0</w:t>
            </w:r>
            <w:r>
              <w:rPr>
                <w:rFonts w:hint="eastAsia"/>
                <w:color w:val="auto"/>
                <w:sz w:val="21"/>
                <w:szCs w:val="21"/>
              </w:rPr>
              <w:t>、鞋架：采用≥20</w:t>
            </w:r>
            <w:r>
              <w:rPr>
                <w:rFonts w:hint="eastAsia"/>
                <w:color w:val="auto"/>
                <w:sz w:val="21"/>
                <w:szCs w:val="21"/>
                <w:lang w:val="en-US"/>
              </w:rPr>
              <w:t>mm</w:t>
            </w:r>
            <w:r>
              <w:rPr>
                <w:rFonts w:hint="eastAsia"/>
                <w:color w:val="auto"/>
                <w:sz w:val="21"/>
                <w:szCs w:val="21"/>
              </w:rPr>
              <w:t>×20</w:t>
            </w:r>
            <w:r>
              <w:rPr>
                <w:rFonts w:hint="eastAsia"/>
                <w:color w:val="auto"/>
                <w:sz w:val="21"/>
                <w:szCs w:val="21"/>
                <w:lang w:val="en-US"/>
              </w:rPr>
              <w:t>mm方管，管壁厚度≥</w:t>
            </w:r>
            <w:r>
              <w:rPr>
                <w:rFonts w:hint="eastAsia"/>
                <w:color w:val="auto"/>
                <w:sz w:val="21"/>
                <w:szCs w:val="21"/>
              </w:rPr>
              <w:t>1.0mm，要求深度</w:t>
            </w:r>
            <w:r>
              <w:rPr>
                <w:rFonts w:hint="eastAsia"/>
                <w:color w:val="auto"/>
                <w:sz w:val="21"/>
                <w:szCs w:val="21"/>
                <w:lang w:val="en-US" w:eastAsia="zh-CN"/>
              </w:rPr>
              <w:t>6</w:t>
            </w:r>
            <w:r>
              <w:rPr>
                <w:rFonts w:hint="eastAsia"/>
                <w:color w:val="auto"/>
                <w:sz w:val="21"/>
                <w:szCs w:val="21"/>
              </w:rPr>
              <w:t>00mm，长度1940mm，高度离地面</w:t>
            </w:r>
            <w:r>
              <w:rPr>
                <w:rFonts w:hint="eastAsia"/>
                <w:color w:val="auto"/>
                <w:sz w:val="21"/>
                <w:szCs w:val="21"/>
                <w:lang w:val="en-US" w:eastAsia="zh-CN"/>
              </w:rPr>
              <w:t>8</w:t>
            </w:r>
            <w:r>
              <w:rPr>
                <w:rFonts w:hint="eastAsia"/>
                <w:color w:val="auto"/>
                <w:sz w:val="21"/>
                <w:szCs w:val="21"/>
              </w:rPr>
              <w:t>0mm</w:t>
            </w:r>
          </w:p>
          <w:p>
            <w:pPr>
              <w:spacing w:line="340" w:lineRule="exact"/>
              <w:jc w:val="both"/>
              <w:rPr>
                <w:color w:val="auto"/>
                <w:sz w:val="21"/>
                <w:szCs w:val="21"/>
              </w:rPr>
            </w:pPr>
            <w:r>
              <w:rPr>
                <w:rFonts w:hint="eastAsia"/>
                <w:color w:val="auto"/>
                <w:sz w:val="21"/>
                <w:szCs w:val="21"/>
              </w:rPr>
              <w:t>1</w:t>
            </w:r>
            <w:r>
              <w:rPr>
                <w:rFonts w:hint="eastAsia"/>
                <w:color w:val="auto"/>
                <w:sz w:val="21"/>
                <w:szCs w:val="21"/>
                <w:lang w:val="en-US"/>
              </w:rPr>
              <w:t>1</w:t>
            </w:r>
            <w:r>
              <w:rPr>
                <w:rFonts w:hint="eastAsia"/>
                <w:color w:val="auto"/>
                <w:sz w:val="21"/>
                <w:szCs w:val="21"/>
              </w:rPr>
              <w:t>、床板规格：采用</w:t>
            </w:r>
            <w:r>
              <w:rPr>
                <w:rFonts w:hint="eastAsia"/>
                <w:color w:val="auto"/>
                <w:sz w:val="21"/>
                <w:szCs w:val="21"/>
                <w:lang w:val="en-US"/>
              </w:rPr>
              <w:t>厚度≥15mm</w:t>
            </w:r>
            <w:r>
              <w:rPr>
                <w:rFonts w:hint="eastAsia"/>
                <w:color w:val="auto"/>
                <w:sz w:val="21"/>
                <w:szCs w:val="21"/>
              </w:rPr>
              <w:t>全新杉木</w:t>
            </w:r>
            <w:r>
              <w:rPr>
                <w:rFonts w:hint="eastAsia"/>
                <w:color w:val="auto"/>
                <w:sz w:val="21"/>
                <w:szCs w:val="21"/>
                <w:lang w:val="en-US"/>
              </w:rPr>
              <w:t>制作</w:t>
            </w:r>
            <w:r>
              <w:rPr>
                <w:rFonts w:hint="eastAsia"/>
                <w:color w:val="auto"/>
                <w:sz w:val="21"/>
                <w:szCs w:val="21"/>
              </w:rPr>
              <w:t>，</w:t>
            </w:r>
            <w:r>
              <w:rPr>
                <w:rFonts w:hint="eastAsia"/>
                <w:color w:val="auto"/>
                <w:sz w:val="21"/>
                <w:szCs w:val="21"/>
                <w:lang w:val="en-US"/>
              </w:rPr>
              <w:t>每幅床板≤</w:t>
            </w:r>
            <w:r>
              <w:rPr>
                <w:rFonts w:hint="eastAsia"/>
                <w:color w:val="auto"/>
                <w:sz w:val="21"/>
                <w:szCs w:val="21"/>
              </w:rPr>
              <w:t>8块</w:t>
            </w:r>
            <w:r>
              <w:rPr>
                <w:rFonts w:hint="eastAsia"/>
                <w:color w:val="auto"/>
                <w:sz w:val="21"/>
                <w:szCs w:val="21"/>
                <w:lang w:val="en-US"/>
              </w:rPr>
              <w:t>组成</w:t>
            </w:r>
            <w:r>
              <w:rPr>
                <w:rFonts w:hint="eastAsia"/>
                <w:color w:val="auto"/>
                <w:sz w:val="21"/>
                <w:szCs w:val="21"/>
              </w:rPr>
              <w:t>，</w:t>
            </w:r>
            <w:r>
              <w:rPr>
                <w:rFonts w:hint="eastAsia"/>
                <w:color w:val="auto"/>
                <w:sz w:val="21"/>
                <w:szCs w:val="21"/>
                <w:lang w:val="en-US"/>
              </w:rPr>
              <w:t>并由</w:t>
            </w:r>
            <w:r>
              <w:rPr>
                <w:rFonts w:hint="eastAsia"/>
                <w:color w:val="auto"/>
                <w:sz w:val="21"/>
                <w:szCs w:val="21"/>
              </w:rPr>
              <w:t>4根30</w:t>
            </w:r>
            <w:r>
              <w:rPr>
                <w:rFonts w:hint="eastAsia"/>
                <w:color w:val="auto"/>
                <w:sz w:val="21"/>
                <w:szCs w:val="21"/>
                <w:lang w:val="en-US"/>
              </w:rPr>
              <w:t>mm</w:t>
            </w:r>
            <w:r>
              <w:rPr>
                <w:rFonts w:ascii="Arial" w:hAnsi="Arial" w:cs="Arial"/>
                <w:color w:val="auto"/>
                <w:sz w:val="21"/>
                <w:szCs w:val="21"/>
                <w:lang w:val="en-US"/>
              </w:rPr>
              <w:t>×</w:t>
            </w:r>
            <w:r>
              <w:rPr>
                <w:rFonts w:hint="eastAsia"/>
                <w:color w:val="auto"/>
                <w:sz w:val="21"/>
                <w:szCs w:val="21"/>
              </w:rPr>
              <w:t>40</w:t>
            </w:r>
            <w:r>
              <w:rPr>
                <w:rFonts w:hint="eastAsia"/>
                <w:color w:val="auto"/>
                <w:sz w:val="21"/>
                <w:szCs w:val="21"/>
                <w:lang w:val="en-US"/>
              </w:rPr>
              <w:t>mm</w:t>
            </w:r>
            <w:r>
              <w:rPr>
                <w:rFonts w:hint="eastAsia"/>
                <w:color w:val="auto"/>
                <w:sz w:val="21"/>
                <w:szCs w:val="21"/>
              </w:rPr>
              <w:t>木方</w:t>
            </w:r>
            <w:r>
              <w:rPr>
                <w:rFonts w:hint="eastAsia"/>
                <w:color w:val="auto"/>
                <w:sz w:val="21"/>
                <w:szCs w:val="21"/>
                <w:lang w:val="en-US"/>
              </w:rPr>
              <w:t>做背销</w:t>
            </w:r>
            <w:r>
              <w:rPr>
                <w:rFonts w:hint="eastAsia"/>
                <w:color w:val="auto"/>
                <w:sz w:val="21"/>
                <w:szCs w:val="21"/>
              </w:rPr>
              <w:t>固定</w:t>
            </w:r>
            <w:r>
              <w:rPr>
                <w:rFonts w:hint="eastAsia"/>
                <w:color w:val="auto"/>
                <w:sz w:val="21"/>
                <w:szCs w:val="21"/>
                <w:lang w:val="en-US"/>
              </w:rPr>
              <w:t>,床板</w:t>
            </w:r>
            <w:r>
              <w:rPr>
                <w:rFonts w:hint="eastAsia"/>
                <w:color w:val="auto"/>
                <w:sz w:val="21"/>
                <w:szCs w:val="21"/>
              </w:rPr>
              <w:t>要求干燥，双面刨光。</w:t>
            </w:r>
          </w:p>
          <w:p>
            <w:pPr>
              <w:pStyle w:val="6"/>
              <w:ind w:left="0"/>
              <w:rPr>
                <w:color w:val="auto"/>
                <w:sz w:val="21"/>
                <w:szCs w:val="21"/>
              </w:rPr>
            </w:pPr>
            <w:r>
              <w:rPr>
                <w:rFonts w:hint="eastAsia"/>
                <w:color w:val="auto"/>
                <w:sz w:val="21"/>
                <w:szCs w:val="21"/>
              </w:rPr>
              <w:t>四、参考图详见附件。</w:t>
            </w:r>
          </w:p>
        </w:tc>
        <w:tc>
          <w:tcPr>
            <w:tcW w:w="1036" w:type="dxa"/>
            <w:vAlign w:val="center"/>
          </w:tcPr>
          <w:p>
            <w:pPr>
              <w:pStyle w:val="6"/>
              <w:ind w:left="0"/>
              <w:jc w:val="center"/>
              <w:rPr>
                <w:rFonts w:hint="default" w:eastAsia="宋体"/>
                <w:color w:val="auto"/>
                <w:sz w:val="21"/>
                <w:szCs w:val="21"/>
                <w:lang w:val="en-US" w:eastAsia="zh-CN"/>
              </w:rPr>
            </w:pPr>
            <w:r>
              <w:rPr>
                <w:rFonts w:hint="eastAsia"/>
                <w:b w:val="0"/>
                <w:bCs w:val="0"/>
                <w:color w:val="auto"/>
                <w:sz w:val="21"/>
                <w:szCs w:val="21"/>
                <w:lang w:val="en-US" w:eastAsia="zh-CN"/>
              </w:rPr>
              <w:t>12套</w:t>
            </w:r>
          </w:p>
        </w:tc>
        <w:tc>
          <w:tcPr>
            <w:tcW w:w="1239" w:type="dxa"/>
            <w:vAlign w:val="center"/>
          </w:tcPr>
          <w:p>
            <w:pPr>
              <w:pStyle w:val="6"/>
              <w:ind w:left="0"/>
              <w:jc w:val="center"/>
              <w:rPr>
                <w:rFonts w:hint="default" w:eastAsia="宋体"/>
                <w:b w:val="0"/>
                <w:bCs w:val="0"/>
                <w:color w:val="auto"/>
                <w:sz w:val="21"/>
                <w:szCs w:val="21"/>
                <w:lang w:val="en-US" w:eastAsia="zh-CN"/>
              </w:rPr>
            </w:pPr>
            <w:r>
              <w:rPr>
                <w:rFonts w:hint="eastAsia"/>
                <w:b w:val="0"/>
                <w:bCs w:val="0"/>
                <w:color w:val="auto"/>
                <w:sz w:val="21"/>
                <w:szCs w:val="21"/>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Align w:val="center"/>
          </w:tcPr>
          <w:p>
            <w:pPr>
              <w:spacing w:line="340" w:lineRule="exact"/>
              <w:jc w:val="center"/>
              <w:rPr>
                <w:color w:val="auto"/>
                <w:szCs w:val="21"/>
                <w:lang w:val="en-US"/>
              </w:rPr>
            </w:pPr>
            <w:r>
              <w:rPr>
                <w:rFonts w:hint="eastAsia"/>
                <w:color w:val="auto"/>
                <w:szCs w:val="21"/>
                <w:lang w:val="en-US"/>
              </w:rPr>
              <w:t>4</w:t>
            </w:r>
          </w:p>
        </w:tc>
        <w:tc>
          <w:tcPr>
            <w:tcW w:w="1315" w:type="dxa"/>
            <w:vAlign w:val="center"/>
          </w:tcPr>
          <w:p>
            <w:pPr>
              <w:spacing w:line="340" w:lineRule="exact"/>
              <w:jc w:val="center"/>
              <w:rPr>
                <w:color w:val="auto"/>
                <w:szCs w:val="21"/>
              </w:rPr>
            </w:pPr>
            <w:r>
              <w:rPr>
                <w:rFonts w:hint="eastAsia"/>
                <w:color w:val="auto"/>
                <w:sz w:val="21"/>
                <w:szCs w:val="21"/>
              </w:rPr>
              <w:t>二连组合柜</w:t>
            </w:r>
          </w:p>
        </w:tc>
        <w:tc>
          <w:tcPr>
            <w:tcW w:w="7087" w:type="dxa"/>
            <w:vAlign w:val="center"/>
          </w:tcPr>
          <w:p>
            <w:pPr>
              <w:spacing w:line="340" w:lineRule="exact"/>
              <w:rPr>
                <w:color w:val="auto"/>
                <w:sz w:val="21"/>
                <w:szCs w:val="21"/>
              </w:rPr>
            </w:pPr>
            <w:r>
              <w:rPr>
                <w:rFonts w:hint="eastAsia"/>
                <w:color w:val="auto"/>
                <w:sz w:val="21"/>
                <w:szCs w:val="21"/>
              </w:rPr>
              <w:t>一、外观规格尺寸（长×宽×高）：1600</w:t>
            </w:r>
            <w:r>
              <w:rPr>
                <w:rFonts w:hint="eastAsia"/>
                <w:color w:val="auto"/>
                <w:sz w:val="21"/>
                <w:szCs w:val="21"/>
                <w:lang w:val="en-US"/>
              </w:rPr>
              <w:t>mm</w:t>
            </w:r>
            <w:r>
              <w:rPr>
                <w:rFonts w:hint="eastAsia"/>
                <w:color w:val="auto"/>
                <w:sz w:val="21"/>
                <w:szCs w:val="21"/>
              </w:rPr>
              <w:t>×600</w:t>
            </w:r>
            <w:r>
              <w:rPr>
                <w:rFonts w:hint="eastAsia"/>
                <w:color w:val="auto"/>
                <w:sz w:val="21"/>
                <w:szCs w:val="21"/>
                <w:lang w:val="en-US"/>
              </w:rPr>
              <w:t>mm</w:t>
            </w:r>
            <w:r>
              <w:rPr>
                <w:rFonts w:hint="eastAsia"/>
                <w:color w:val="auto"/>
                <w:sz w:val="21"/>
                <w:szCs w:val="21"/>
              </w:rPr>
              <w:t>×2260</w:t>
            </w:r>
            <w:r>
              <w:rPr>
                <w:rFonts w:hint="eastAsia"/>
                <w:color w:val="auto"/>
                <w:sz w:val="21"/>
                <w:szCs w:val="21"/>
                <w:lang w:val="en-US"/>
              </w:rPr>
              <w:t>mm</w:t>
            </w:r>
            <w:r>
              <w:rPr>
                <w:rFonts w:hint="eastAsia"/>
                <w:color w:val="auto"/>
                <w:sz w:val="21"/>
                <w:szCs w:val="21"/>
              </w:rPr>
              <w:t xml:space="preserve"> （允许</w:t>
            </w:r>
            <w:r>
              <w:rPr>
                <w:rFonts w:hint="eastAsia"/>
                <w:color w:val="auto"/>
                <w:sz w:val="21"/>
                <w:szCs w:val="21"/>
                <w:lang w:val="en-US"/>
              </w:rPr>
              <w:t>偏差±</w:t>
            </w:r>
            <w:r>
              <w:rPr>
                <w:rFonts w:hint="eastAsia"/>
                <w:color w:val="auto"/>
                <w:sz w:val="21"/>
                <w:szCs w:val="21"/>
              </w:rPr>
              <w:t>5mm）。</w:t>
            </w:r>
          </w:p>
          <w:p>
            <w:pPr>
              <w:spacing w:line="340" w:lineRule="exact"/>
              <w:rPr>
                <w:color w:val="auto"/>
                <w:sz w:val="21"/>
                <w:szCs w:val="21"/>
              </w:rPr>
            </w:pPr>
            <w:r>
              <w:rPr>
                <w:rFonts w:hint="eastAsia"/>
                <w:color w:val="auto"/>
                <w:sz w:val="21"/>
                <w:szCs w:val="21"/>
              </w:rPr>
              <w:t>二、材质要求：</w:t>
            </w:r>
          </w:p>
          <w:p>
            <w:pPr>
              <w:pStyle w:val="2"/>
              <w:spacing w:line="340" w:lineRule="exact"/>
              <w:rPr>
                <w:bCs/>
                <w:color w:val="auto"/>
                <w:sz w:val="21"/>
                <w:szCs w:val="21"/>
                <w:lang w:val="en-US"/>
              </w:rPr>
            </w:pPr>
            <w:r>
              <w:rPr>
                <w:rFonts w:hint="eastAsia"/>
                <w:bCs/>
                <w:color w:val="auto"/>
                <w:sz w:val="21"/>
                <w:szCs w:val="21"/>
                <w:lang w:val="en-US"/>
              </w:rPr>
              <w:t>1、板材：采用优质刨花板（俗称：实木颗粒板）为基材，用三聚氰胺浸渍胶膜纸饰面（颜色可选），顶板、桌面上侧立板、台面板、桌面上隔板为≥25mm厚板，背板、桌面下侧板、门板为≥15mm厚板；且桌面开直径为约60mm线孔，桌面上柜体带挂衣杆。应符合刨花板生产质量、甲醛释放量等环保要求及国家标准。含水率：</w:t>
            </w:r>
            <w:r>
              <w:rPr>
                <w:rFonts w:hint="eastAsia"/>
                <w:color w:val="auto"/>
                <w:sz w:val="21"/>
                <w:szCs w:val="21"/>
                <w:lang w:val="en-US"/>
              </w:rPr>
              <w:t>8</w:t>
            </w:r>
            <w:r>
              <w:rPr>
                <w:rFonts w:hint="eastAsia"/>
                <w:color w:val="auto"/>
                <w:sz w:val="21"/>
                <w:szCs w:val="21"/>
              </w:rPr>
              <w:t>%~(产品所在地区年平均木材平衡含水率+1%)</w:t>
            </w:r>
            <w:r>
              <w:rPr>
                <w:rFonts w:hint="eastAsia"/>
                <w:bCs/>
                <w:color w:val="auto"/>
                <w:sz w:val="21"/>
                <w:szCs w:val="21"/>
                <w:lang w:val="en-US"/>
              </w:rPr>
              <w:t>、静曲强度：≥26MPa、弹性模量：≥3700MPa、内结合强度：≥0.40 MPa、表面胶合强度：≥1.5 MPa、吸水厚度膨胀率：≤10.0%、甲醛释放量标准是：1m³气候箱法E1≤0.124mg/m³。</w:t>
            </w:r>
          </w:p>
          <w:p>
            <w:pPr>
              <w:spacing w:line="340" w:lineRule="exact"/>
              <w:rPr>
                <w:color w:val="auto"/>
                <w:sz w:val="21"/>
                <w:szCs w:val="21"/>
              </w:rPr>
            </w:pPr>
            <w:r>
              <w:rPr>
                <w:rFonts w:hint="eastAsia"/>
                <w:color w:val="auto"/>
                <w:sz w:val="21"/>
                <w:szCs w:val="21"/>
              </w:rPr>
              <w:t>2、抽屉：抽屉面板厚为≥1</w:t>
            </w:r>
            <w:r>
              <w:rPr>
                <w:rFonts w:hint="eastAsia"/>
                <w:color w:val="auto"/>
                <w:sz w:val="21"/>
                <w:szCs w:val="21"/>
                <w:lang w:val="en-US"/>
              </w:rPr>
              <w:t>5</w:t>
            </w:r>
            <w:r>
              <w:rPr>
                <w:rFonts w:hint="eastAsia"/>
                <w:color w:val="auto"/>
                <w:sz w:val="21"/>
                <w:szCs w:val="21"/>
              </w:rPr>
              <w:t>mm</w:t>
            </w:r>
            <w:r>
              <w:rPr>
                <w:rFonts w:hint="eastAsia"/>
                <w:bCs/>
                <w:color w:val="auto"/>
                <w:sz w:val="21"/>
                <w:szCs w:val="21"/>
                <w:lang w:val="en-US"/>
              </w:rPr>
              <w:t>实木颗粒板</w:t>
            </w:r>
            <w:r>
              <w:rPr>
                <w:rFonts w:hint="eastAsia"/>
                <w:color w:val="auto"/>
                <w:sz w:val="21"/>
                <w:szCs w:val="21"/>
              </w:rPr>
              <w:t>，抽屉底板为≥</w:t>
            </w:r>
            <w:r>
              <w:rPr>
                <w:rFonts w:hint="eastAsia"/>
                <w:color w:val="auto"/>
                <w:sz w:val="21"/>
                <w:szCs w:val="21"/>
                <w:lang w:val="en-US"/>
              </w:rPr>
              <w:t>9</w:t>
            </w:r>
            <w:r>
              <w:rPr>
                <w:rFonts w:hint="eastAsia"/>
                <w:color w:val="auto"/>
                <w:sz w:val="21"/>
                <w:szCs w:val="21"/>
              </w:rPr>
              <w:t>mm多层胶合板；</w:t>
            </w:r>
          </w:p>
          <w:p>
            <w:pPr>
              <w:spacing w:line="340" w:lineRule="exact"/>
              <w:rPr>
                <w:color w:val="auto"/>
                <w:sz w:val="21"/>
                <w:szCs w:val="21"/>
              </w:rPr>
            </w:pPr>
            <w:r>
              <w:rPr>
                <w:rFonts w:hint="eastAsia"/>
                <w:color w:val="auto"/>
                <w:sz w:val="21"/>
                <w:szCs w:val="21"/>
              </w:rPr>
              <w:t>3、样式：衣柜门为双开半开门，挂锁，一扇门用插销固定；</w:t>
            </w:r>
          </w:p>
          <w:p>
            <w:pPr>
              <w:spacing w:line="340" w:lineRule="exact"/>
              <w:rPr>
                <w:color w:val="auto"/>
                <w:sz w:val="21"/>
                <w:szCs w:val="21"/>
              </w:rPr>
            </w:pPr>
            <w:r>
              <w:rPr>
                <w:rFonts w:hint="eastAsia"/>
                <w:color w:val="auto"/>
                <w:sz w:val="21"/>
                <w:szCs w:val="21"/>
              </w:rPr>
              <w:t>4、封边：采用pvc热熔封边，厚度≥2mm；五金件：90°门铰，三节走珠消声导轨，铝合金弧形拉手及三合一五金配件；</w:t>
            </w:r>
          </w:p>
          <w:p>
            <w:pPr>
              <w:spacing w:line="340" w:lineRule="exact"/>
              <w:rPr>
                <w:b w:val="0"/>
                <w:bCs/>
                <w:color w:val="auto"/>
                <w:sz w:val="21"/>
                <w:szCs w:val="21"/>
              </w:rPr>
            </w:pPr>
            <w:r>
              <w:rPr>
                <w:rFonts w:hint="eastAsia"/>
                <w:b w:val="0"/>
                <w:bCs/>
                <w:color w:val="auto"/>
                <w:sz w:val="21"/>
                <w:szCs w:val="21"/>
              </w:rPr>
              <w:t>5、框架：桌面以下采用铝合金支撑和构梁铝材，厚度≥1.</w:t>
            </w:r>
            <w:r>
              <w:rPr>
                <w:rFonts w:hint="eastAsia"/>
                <w:b w:val="0"/>
                <w:bCs/>
                <w:color w:val="auto"/>
                <w:sz w:val="21"/>
                <w:szCs w:val="21"/>
                <w:lang w:val="en-US"/>
              </w:rPr>
              <w:t>2</w:t>
            </w:r>
            <w:r>
              <w:rPr>
                <w:rFonts w:hint="eastAsia"/>
                <w:b w:val="0"/>
                <w:bCs/>
                <w:color w:val="auto"/>
                <w:sz w:val="21"/>
                <w:szCs w:val="21"/>
              </w:rPr>
              <w:t>mm（框架铝材</w:t>
            </w:r>
            <w:r>
              <w:rPr>
                <w:rFonts w:hint="eastAsia"/>
                <w:color w:val="auto"/>
                <w:sz w:val="21"/>
                <w:szCs w:val="21"/>
              </w:rPr>
              <w:t>≥</w:t>
            </w:r>
            <w:r>
              <w:rPr>
                <w:rFonts w:hint="eastAsia"/>
                <w:b w:val="0"/>
                <w:bCs/>
                <w:color w:val="auto"/>
                <w:sz w:val="21"/>
                <w:szCs w:val="21"/>
              </w:rPr>
              <w:t>48mm×48mm、</w:t>
            </w:r>
            <w:r>
              <w:rPr>
                <w:rFonts w:hint="eastAsia"/>
                <w:color w:val="auto"/>
                <w:sz w:val="21"/>
                <w:szCs w:val="21"/>
              </w:rPr>
              <w:t>≥</w:t>
            </w:r>
            <w:r>
              <w:rPr>
                <w:rFonts w:hint="eastAsia"/>
                <w:b w:val="0"/>
                <w:bCs/>
                <w:color w:val="auto"/>
                <w:sz w:val="21"/>
                <w:szCs w:val="21"/>
              </w:rPr>
              <w:t>28mm×34mm组合）；</w:t>
            </w:r>
          </w:p>
          <w:p>
            <w:pPr>
              <w:spacing w:line="340" w:lineRule="exact"/>
              <w:rPr>
                <w:color w:val="auto"/>
                <w:sz w:val="21"/>
                <w:szCs w:val="21"/>
              </w:rPr>
            </w:pPr>
            <w:r>
              <w:rPr>
                <w:rFonts w:hint="eastAsia"/>
                <w:color w:val="auto"/>
                <w:sz w:val="21"/>
                <w:szCs w:val="21"/>
              </w:rPr>
              <w:t>6、框架组装插件：全采用合金连接插件，底部配橡胶防震调节脚。</w:t>
            </w:r>
          </w:p>
          <w:p>
            <w:pPr>
              <w:spacing w:line="340" w:lineRule="exact"/>
              <w:rPr>
                <w:color w:val="auto"/>
                <w:sz w:val="21"/>
                <w:szCs w:val="21"/>
              </w:rPr>
            </w:pPr>
            <w:r>
              <w:rPr>
                <w:rFonts w:hint="eastAsia"/>
                <w:color w:val="auto"/>
                <w:sz w:val="21"/>
                <w:szCs w:val="21"/>
              </w:rPr>
              <w:t>7、抽屉锁：采用明锁暗挂。</w:t>
            </w:r>
          </w:p>
          <w:p>
            <w:pPr>
              <w:spacing w:line="340" w:lineRule="exact"/>
              <w:rPr>
                <w:color w:val="auto"/>
                <w:sz w:val="21"/>
                <w:szCs w:val="21"/>
                <w:lang w:eastAsia="en-US"/>
              </w:rPr>
            </w:pPr>
            <w:r>
              <w:rPr>
                <w:rFonts w:hint="eastAsia"/>
                <w:color w:val="auto"/>
                <w:sz w:val="21"/>
                <w:szCs w:val="21"/>
              </w:rPr>
              <w:t>三、参考图详见附件。</w:t>
            </w:r>
          </w:p>
        </w:tc>
        <w:tc>
          <w:tcPr>
            <w:tcW w:w="1036" w:type="dxa"/>
            <w:vAlign w:val="center"/>
          </w:tcPr>
          <w:p>
            <w:pPr>
              <w:spacing w:line="340" w:lineRule="exact"/>
              <w:rPr>
                <w:rFonts w:hint="default" w:eastAsia="宋体"/>
                <w:color w:val="auto"/>
                <w:sz w:val="21"/>
                <w:szCs w:val="21"/>
                <w:lang w:val="en-US" w:eastAsia="zh-CN"/>
              </w:rPr>
            </w:pPr>
            <w:r>
              <w:rPr>
                <w:rFonts w:hint="eastAsia"/>
                <w:color w:val="auto"/>
                <w:sz w:val="21"/>
                <w:szCs w:val="21"/>
                <w:lang w:val="en-US" w:eastAsia="zh-CN"/>
              </w:rPr>
              <w:t>3432组</w:t>
            </w:r>
          </w:p>
        </w:tc>
        <w:tc>
          <w:tcPr>
            <w:tcW w:w="1239" w:type="dxa"/>
            <w:vAlign w:val="center"/>
          </w:tcPr>
          <w:p>
            <w:pPr>
              <w:spacing w:line="340" w:lineRule="exact"/>
              <w:jc w:val="center"/>
              <w:rPr>
                <w:rFonts w:hint="default" w:eastAsia="宋体"/>
                <w:color w:val="auto"/>
                <w:sz w:val="21"/>
                <w:szCs w:val="21"/>
                <w:lang w:val="en-US" w:eastAsia="zh-CN"/>
              </w:rPr>
            </w:pPr>
            <w:r>
              <w:rPr>
                <w:rFonts w:hint="eastAsia"/>
                <w:color w:val="auto"/>
                <w:sz w:val="21"/>
                <w:szCs w:val="21"/>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Align w:val="center"/>
          </w:tcPr>
          <w:p>
            <w:pPr>
              <w:spacing w:line="340" w:lineRule="exact"/>
              <w:jc w:val="center"/>
              <w:rPr>
                <w:rFonts w:ascii="Times New Roman"/>
                <w:color w:val="auto"/>
                <w:szCs w:val="21"/>
                <w:lang w:val="en-US"/>
              </w:rPr>
            </w:pPr>
            <w:r>
              <w:rPr>
                <w:rFonts w:hint="eastAsia"/>
                <w:color w:val="auto"/>
                <w:szCs w:val="21"/>
                <w:lang w:val="en-US"/>
              </w:rPr>
              <w:t>5</w:t>
            </w:r>
          </w:p>
        </w:tc>
        <w:tc>
          <w:tcPr>
            <w:tcW w:w="1315" w:type="dxa"/>
            <w:vAlign w:val="center"/>
          </w:tcPr>
          <w:p>
            <w:pPr>
              <w:adjustRightInd w:val="0"/>
              <w:snapToGrid w:val="0"/>
              <w:spacing w:line="340" w:lineRule="exact"/>
              <w:jc w:val="center"/>
              <w:rPr>
                <w:color w:val="auto"/>
                <w:sz w:val="21"/>
                <w:szCs w:val="21"/>
                <w:lang w:eastAsia="en-US"/>
              </w:rPr>
            </w:pPr>
            <w:r>
              <w:rPr>
                <w:rFonts w:hint="eastAsia"/>
                <w:color w:val="auto"/>
                <w:sz w:val="21"/>
                <w:szCs w:val="21"/>
              </w:rPr>
              <w:t>六门储物柜</w:t>
            </w:r>
          </w:p>
        </w:tc>
        <w:tc>
          <w:tcPr>
            <w:tcW w:w="7087" w:type="dxa"/>
            <w:vAlign w:val="center"/>
          </w:tcPr>
          <w:p>
            <w:pPr>
              <w:spacing w:line="340" w:lineRule="exact"/>
              <w:rPr>
                <w:color w:val="auto"/>
                <w:sz w:val="21"/>
                <w:szCs w:val="21"/>
              </w:rPr>
            </w:pPr>
            <w:r>
              <w:rPr>
                <w:rFonts w:hint="eastAsia"/>
                <w:color w:val="auto"/>
                <w:sz w:val="21"/>
                <w:szCs w:val="21"/>
                <w:lang w:val="en-US" w:eastAsia="zh-CN"/>
              </w:rPr>
              <w:t>一、</w:t>
            </w:r>
            <w:r>
              <w:rPr>
                <w:rFonts w:hint="eastAsia"/>
                <w:color w:val="auto"/>
                <w:sz w:val="21"/>
                <w:szCs w:val="21"/>
                <w:lang w:val="en-US"/>
              </w:rPr>
              <w:t>外观规格</w:t>
            </w:r>
            <w:r>
              <w:rPr>
                <w:rFonts w:hint="eastAsia"/>
                <w:color w:val="auto"/>
                <w:sz w:val="21"/>
                <w:szCs w:val="21"/>
              </w:rPr>
              <w:t>尺寸：850</w:t>
            </w:r>
            <w:r>
              <w:rPr>
                <w:rFonts w:hint="eastAsia"/>
                <w:color w:val="auto"/>
                <w:sz w:val="21"/>
                <w:szCs w:val="21"/>
                <w:lang w:val="en-US"/>
              </w:rPr>
              <w:t>mm</w:t>
            </w:r>
            <w:r>
              <w:rPr>
                <w:rFonts w:hint="eastAsia"/>
                <w:color w:val="auto"/>
                <w:sz w:val="21"/>
                <w:szCs w:val="21"/>
              </w:rPr>
              <w:t>×550</w:t>
            </w:r>
            <w:r>
              <w:rPr>
                <w:rFonts w:hint="eastAsia"/>
                <w:color w:val="auto"/>
                <w:sz w:val="21"/>
                <w:szCs w:val="21"/>
                <w:lang w:val="en-US"/>
              </w:rPr>
              <w:t>mm</w:t>
            </w:r>
            <w:r>
              <w:rPr>
                <w:rFonts w:hint="eastAsia"/>
                <w:color w:val="auto"/>
                <w:sz w:val="21"/>
                <w:szCs w:val="21"/>
              </w:rPr>
              <w:t>×2</w:t>
            </w:r>
            <w:r>
              <w:rPr>
                <w:rFonts w:hint="eastAsia"/>
                <w:color w:val="auto"/>
                <w:sz w:val="21"/>
                <w:szCs w:val="21"/>
                <w:lang w:val="en-US"/>
              </w:rPr>
              <w:t>0</w:t>
            </w:r>
            <w:r>
              <w:rPr>
                <w:rFonts w:hint="eastAsia"/>
                <w:color w:val="auto"/>
                <w:sz w:val="21"/>
                <w:szCs w:val="21"/>
              </w:rPr>
              <w:t>00mm（允许</w:t>
            </w:r>
            <w:r>
              <w:rPr>
                <w:rFonts w:hint="eastAsia"/>
                <w:color w:val="auto"/>
                <w:sz w:val="21"/>
                <w:szCs w:val="21"/>
                <w:lang w:val="en-US"/>
              </w:rPr>
              <w:t>偏差±</w:t>
            </w:r>
            <w:r>
              <w:rPr>
                <w:rFonts w:hint="eastAsia"/>
                <w:color w:val="auto"/>
                <w:sz w:val="21"/>
                <w:szCs w:val="21"/>
              </w:rPr>
              <w:t>5mm）。</w:t>
            </w:r>
          </w:p>
          <w:p>
            <w:pPr>
              <w:spacing w:line="340" w:lineRule="exact"/>
              <w:rPr>
                <w:color w:val="auto"/>
                <w:sz w:val="21"/>
                <w:szCs w:val="21"/>
              </w:rPr>
            </w:pPr>
            <w:r>
              <w:rPr>
                <w:rFonts w:hint="eastAsia"/>
                <w:color w:val="auto"/>
                <w:sz w:val="21"/>
                <w:szCs w:val="21"/>
                <w:lang w:val="en-US" w:eastAsia="zh-CN"/>
              </w:rPr>
              <w:t>二、</w:t>
            </w:r>
            <w:r>
              <w:rPr>
                <w:rFonts w:hint="eastAsia"/>
                <w:color w:val="auto"/>
                <w:sz w:val="21"/>
                <w:szCs w:val="21"/>
              </w:rPr>
              <w:t>材质说明：六门储物柜由六个组合而成，方便安装与拆卸；采用冷轧型钢材制作，厚度为≥0.8mm，经酸洗磷化处理。全流水线哑光喷涂。表面油漆、喷塑光滑平整、色泽均匀一致，无露底、流挂、起泡、皱皮等缺陷。涂层硬度≥0.4，覆层无剥落、裂纹、皱皮等。样板沿对角线的4mm外，无绣蚀起泡、失光等缺陷，带挂锁。柜体颜色为灰白色。</w:t>
            </w:r>
          </w:p>
          <w:p>
            <w:pPr>
              <w:spacing w:line="340" w:lineRule="exact"/>
              <w:rPr>
                <w:color w:val="auto"/>
                <w:sz w:val="21"/>
                <w:szCs w:val="21"/>
              </w:rPr>
            </w:pPr>
            <w:r>
              <w:rPr>
                <w:rFonts w:hint="eastAsia"/>
                <w:color w:val="auto"/>
                <w:sz w:val="21"/>
                <w:szCs w:val="21"/>
                <w:lang w:val="en-US" w:eastAsia="zh-CN"/>
              </w:rPr>
              <w:t>三、</w:t>
            </w:r>
            <w:r>
              <w:rPr>
                <w:rFonts w:hint="eastAsia"/>
                <w:color w:val="auto"/>
                <w:sz w:val="21"/>
                <w:szCs w:val="21"/>
              </w:rPr>
              <w:t>塑粉要求：铅：≤90mg/kg，镉：≤75mg/kg，铬≤60mg/kg，汞≤60mg/kg。</w:t>
            </w:r>
          </w:p>
          <w:p>
            <w:pPr>
              <w:spacing w:line="340" w:lineRule="exact"/>
              <w:rPr>
                <w:color w:val="auto"/>
                <w:sz w:val="21"/>
                <w:szCs w:val="21"/>
                <w:lang w:val="en-US"/>
              </w:rPr>
            </w:pPr>
            <w:r>
              <w:rPr>
                <w:rFonts w:hint="eastAsia"/>
                <w:color w:val="auto"/>
                <w:sz w:val="21"/>
                <w:szCs w:val="21"/>
                <w:lang w:val="en-US" w:eastAsia="zh-CN"/>
              </w:rPr>
              <w:t>四、</w:t>
            </w:r>
            <w:r>
              <w:rPr>
                <w:rFonts w:hint="eastAsia"/>
                <w:color w:val="auto"/>
                <w:sz w:val="21"/>
                <w:szCs w:val="21"/>
              </w:rPr>
              <w:t>参考图详见附件。</w:t>
            </w:r>
          </w:p>
        </w:tc>
        <w:tc>
          <w:tcPr>
            <w:tcW w:w="1036" w:type="dxa"/>
            <w:vAlign w:val="center"/>
          </w:tcPr>
          <w:p>
            <w:pPr>
              <w:spacing w:line="340" w:lineRule="exact"/>
              <w:rPr>
                <w:rFonts w:hint="default" w:eastAsia="宋体"/>
                <w:color w:val="auto"/>
                <w:sz w:val="21"/>
                <w:szCs w:val="21"/>
                <w:lang w:val="en-US" w:eastAsia="zh-CN"/>
              </w:rPr>
            </w:pPr>
            <w:r>
              <w:rPr>
                <w:rFonts w:hint="eastAsia"/>
                <w:color w:val="auto"/>
                <w:sz w:val="21"/>
                <w:szCs w:val="21"/>
                <w:lang w:val="en-US" w:eastAsia="zh-CN"/>
              </w:rPr>
              <w:t>1192个</w:t>
            </w:r>
          </w:p>
        </w:tc>
        <w:tc>
          <w:tcPr>
            <w:tcW w:w="1239" w:type="dxa"/>
            <w:vAlign w:val="center"/>
          </w:tcPr>
          <w:p>
            <w:pPr>
              <w:spacing w:line="340" w:lineRule="exact"/>
              <w:jc w:val="center"/>
              <w:rPr>
                <w:rFonts w:hint="default" w:eastAsia="宋体"/>
                <w:color w:val="auto"/>
                <w:sz w:val="21"/>
                <w:szCs w:val="21"/>
                <w:lang w:val="en-US" w:eastAsia="zh-CN"/>
              </w:rPr>
            </w:pPr>
            <w:r>
              <w:rPr>
                <w:rFonts w:hint="eastAsia"/>
                <w:color w:val="auto"/>
                <w:sz w:val="21"/>
                <w:szCs w:val="21"/>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Align w:val="center"/>
          </w:tcPr>
          <w:p>
            <w:pPr>
              <w:spacing w:line="340" w:lineRule="exact"/>
              <w:jc w:val="center"/>
              <w:rPr>
                <w:color w:val="auto"/>
                <w:szCs w:val="21"/>
                <w:lang w:val="en-US"/>
              </w:rPr>
            </w:pPr>
            <w:r>
              <w:rPr>
                <w:rFonts w:hint="eastAsia"/>
                <w:color w:val="auto"/>
                <w:szCs w:val="21"/>
                <w:lang w:val="en-US"/>
              </w:rPr>
              <w:t>6</w:t>
            </w:r>
          </w:p>
        </w:tc>
        <w:tc>
          <w:tcPr>
            <w:tcW w:w="1315" w:type="dxa"/>
            <w:vAlign w:val="center"/>
          </w:tcPr>
          <w:p>
            <w:pPr>
              <w:spacing w:line="340" w:lineRule="exact"/>
              <w:jc w:val="center"/>
              <w:rPr>
                <w:color w:val="auto"/>
                <w:szCs w:val="21"/>
              </w:rPr>
            </w:pPr>
            <w:r>
              <w:rPr>
                <w:rFonts w:hint="eastAsia"/>
                <w:color w:val="auto"/>
                <w:sz w:val="21"/>
                <w:szCs w:val="21"/>
              </w:rPr>
              <w:t>椅子</w:t>
            </w:r>
          </w:p>
        </w:tc>
        <w:tc>
          <w:tcPr>
            <w:tcW w:w="7087" w:type="dxa"/>
          </w:tcPr>
          <w:p>
            <w:pPr>
              <w:spacing w:line="340" w:lineRule="exact"/>
              <w:rPr>
                <w:color w:val="auto"/>
                <w:sz w:val="21"/>
                <w:szCs w:val="21"/>
                <w:lang w:val="en-US"/>
              </w:rPr>
            </w:pPr>
            <w:r>
              <w:rPr>
                <w:rFonts w:hint="eastAsia"/>
                <w:color w:val="auto"/>
                <w:sz w:val="21"/>
                <w:szCs w:val="21"/>
                <w:lang w:val="en-US" w:eastAsia="zh-CN"/>
              </w:rPr>
              <w:t>一、</w:t>
            </w:r>
            <w:r>
              <w:rPr>
                <w:rFonts w:hint="eastAsia"/>
                <w:color w:val="auto"/>
                <w:sz w:val="21"/>
                <w:szCs w:val="21"/>
                <w:lang w:val="en-US"/>
              </w:rPr>
              <w:t>外观规格</w:t>
            </w:r>
            <w:r>
              <w:rPr>
                <w:rFonts w:hint="eastAsia"/>
                <w:color w:val="auto"/>
                <w:sz w:val="21"/>
                <w:szCs w:val="21"/>
              </w:rPr>
              <w:t>尺寸</w:t>
            </w:r>
            <w:r>
              <w:rPr>
                <w:rFonts w:hint="eastAsia"/>
                <w:color w:val="auto"/>
                <w:sz w:val="21"/>
                <w:szCs w:val="21"/>
                <w:lang w:val="en-US"/>
              </w:rPr>
              <w:t>：</w:t>
            </w:r>
            <w:r>
              <w:rPr>
                <w:rFonts w:hint="eastAsia"/>
                <w:color w:val="auto"/>
                <w:sz w:val="21"/>
                <w:szCs w:val="21"/>
              </w:rPr>
              <w:t>椅面</w:t>
            </w:r>
            <w:r>
              <w:rPr>
                <w:rFonts w:hint="eastAsia"/>
                <w:color w:val="auto"/>
                <w:sz w:val="21"/>
                <w:szCs w:val="21"/>
                <w:lang w:val="en-US"/>
              </w:rPr>
              <w:t>（W×D×H）：370mm×360mm×780mm  （</w:t>
            </w:r>
            <w:r>
              <w:rPr>
                <w:rFonts w:hint="eastAsia"/>
                <w:color w:val="auto"/>
                <w:sz w:val="21"/>
                <w:szCs w:val="21"/>
              </w:rPr>
              <w:t>允许</w:t>
            </w:r>
            <w:r>
              <w:rPr>
                <w:rFonts w:hint="eastAsia"/>
                <w:color w:val="auto"/>
                <w:sz w:val="21"/>
                <w:szCs w:val="21"/>
                <w:lang w:val="en-US"/>
              </w:rPr>
              <w:t>偏差±5mm）</w:t>
            </w:r>
            <w:r>
              <w:rPr>
                <w:rFonts w:hint="eastAsia"/>
                <w:color w:val="auto"/>
                <w:sz w:val="21"/>
                <w:szCs w:val="21"/>
              </w:rPr>
              <w:t>。</w:t>
            </w:r>
          </w:p>
          <w:p>
            <w:pPr>
              <w:spacing w:line="340" w:lineRule="exact"/>
              <w:rPr>
                <w:color w:val="auto"/>
                <w:sz w:val="21"/>
                <w:szCs w:val="21"/>
              </w:rPr>
            </w:pPr>
            <w:r>
              <w:rPr>
                <w:rFonts w:hint="eastAsia"/>
                <w:color w:val="auto"/>
                <w:sz w:val="21"/>
                <w:szCs w:val="21"/>
                <w:lang w:val="en-US" w:eastAsia="zh-CN"/>
              </w:rPr>
              <w:t>二、</w:t>
            </w:r>
            <w:r>
              <w:rPr>
                <w:rFonts w:hint="eastAsia"/>
                <w:color w:val="auto"/>
                <w:sz w:val="21"/>
                <w:szCs w:val="21"/>
              </w:rPr>
              <w:t>材质：</w:t>
            </w:r>
          </w:p>
          <w:p>
            <w:pPr>
              <w:spacing w:line="340" w:lineRule="exact"/>
              <w:rPr>
                <w:color w:val="auto"/>
                <w:sz w:val="21"/>
                <w:szCs w:val="21"/>
              </w:rPr>
            </w:pPr>
            <w:r>
              <w:rPr>
                <w:rFonts w:hint="eastAsia"/>
                <w:color w:val="auto"/>
                <w:sz w:val="21"/>
                <w:szCs w:val="21"/>
                <w:lang w:val="en-US" w:eastAsia="zh-CN"/>
              </w:rPr>
              <w:t>1、</w:t>
            </w:r>
            <w:r>
              <w:rPr>
                <w:rFonts w:hint="eastAsia"/>
                <w:color w:val="auto"/>
                <w:sz w:val="21"/>
                <w:szCs w:val="21"/>
                <w:lang w:val="en-US"/>
              </w:rPr>
              <w:t>胶合板（俗称：</w:t>
            </w:r>
            <w:r>
              <w:rPr>
                <w:rFonts w:hint="eastAsia"/>
                <w:color w:val="auto"/>
                <w:sz w:val="21"/>
                <w:szCs w:val="21"/>
              </w:rPr>
              <w:t>多层实木板</w:t>
            </w:r>
            <w:r>
              <w:rPr>
                <w:rFonts w:hint="eastAsia"/>
                <w:color w:val="auto"/>
                <w:sz w:val="21"/>
                <w:szCs w:val="21"/>
                <w:lang w:val="en-US"/>
              </w:rPr>
              <w:t>）</w:t>
            </w:r>
            <w:r>
              <w:rPr>
                <w:rFonts w:hint="eastAsia"/>
                <w:color w:val="auto"/>
                <w:sz w:val="21"/>
                <w:szCs w:val="21"/>
              </w:rPr>
              <w:t>椅面及靠背（板厚≥</w:t>
            </w:r>
            <w:r>
              <w:rPr>
                <w:rFonts w:hint="eastAsia"/>
                <w:color w:val="auto"/>
                <w:sz w:val="21"/>
                <w:szCs w:val="21"/>
                <w:lang w:val="en-US" w:eastAsia="zh-CN"/>
              </w:rPr>
              <w:t>8</w:t>
            </w:r>
            <w:r>
              <w:rPr>
                <w:rFonts w:hint="eastAsia"/>
                <w:color w:val="auto"/>
                <w:sz w:val="21"/>
                <w:szCs w:val="21"/>
              </w:rPr>
              <w:t>mm）面贴防火板；椅架为优质</w:t>
            </w:r>
            <w:r>
              <w:rPr>
                <w:rFonts w:hint="eastAsia"/>
                <w:color w:val="auto"/>
                <w:sz w:val="21"/>
                <w:szCs w:val="21"/>
                <w:lang w:val="en-US"/>
              </w:rPr>
              <w:t>钢</w:t>
            </w:r>
            <w:r>
              <w:rPr>
                <w:rFonts w:hint="eastAsia"/>
                <w:color w:val="auto"/>
                <w:sz w:val="21"/>
                <w:szCs w:val="21"/>
              </w:rPr>
              <w:t>管弯折而成，厚度为≥1.0mm；金属焊接平整牢固（线状焊接）；金属部件在高压喷塑前经过脱脂除油、除锈、中和、表调、磷化等处理工艺；金属部件化学处理后进入喷塑工艺流程，采用热固性粉末涂料；金属表面平整光滑，无流挂、起泡、皱皮、露底剥落、伤痕等影响表面质量的缺陷。座椅靠背平直，钢脚带胶垫。</w:t>
            </w:r>
          </w:p>
          <w:p>
            <w:pPr>
              <w:spacing w:line="340" w:lineRule="exact"/>
              <w:rPr>
                <w:color w:val="auto"/>
                <w:sz w:val="21"/>
                <w:szCs w:val="21"/>
              </w:rPr>
            </w:pPr>
            <w:r>
              <w:rPr>
                <w:rFonts w:hint="eastAsia"/>
                <w:color w:val="auto"/>
                <w:sz w:val="21"/>
                <w:szCs w:val="21"/>
                <w:lang w:val="en-US" w:eastAsia="zh-CN"/>
              </w:rPr>
              <w:t>2、</w:t>
            </w:r>
            <w:r>
              <w:rPr>
                <w:rFonts w:hint="eastAsia"/>
                <w:color w:val="auto"/>
                <w:sz w:val="21"/>
                <w:szCs w:val="21"/>
                <w:lang w:val="en-US"/>
              </w:rPr>
              <w:t>胶合板（俗称：</w:t>
            </w:r>
            <w:r>
              <w:rPr>
                <w:rFonts w:hint="eastAsia"/>
                <w:color w:val="auto"/>
                <w:sz w:val="21"/>
                <w:szCs w:val="21"/>
              </w:rPr>
              <w:t>多层实木板</w:t>
            </w:r>
            <w:r>
              <w:rPr>
                <w:rFonts w:hint="eastAsia"/>
                <w:color w:val="auto"/>
                <w:sz w:val="21"/>
                <w:szCs w:val="21"/>
                <w:lang w:val="en-US"/>
              </w:rPr>
              <w:t>）</w:t>
            </w:r>
            <w:r>
              <w:rPr>
                <w:rFonts w:hint="eastAsia"/>
                <w:color w:val="auto"/>
                <w:sz w:val="21"/>
                <w:szCs w:val="21"/>
              </w:rPr>
              <w:t>要求：①含水率：</w:t>
            </w:r>
            <w:r>
              <w:rPr>
                <w:rFonts w:hint="eastAsia"/>
                <w:color w:val="auto"/>
                <w:sz w:val="21"/>
                <w:szCs w:val="21"/>
                <w:lang w:val="en-US"/>
              </w:rPr>
              <w:t>8</w:t>
            </w:r>
            <w:r>
              <w:rPr>
                <w:rFonts w:hint="eastAsia"/>
                <w:color w:val="auto"/>
                <w:sz w:val="21"/>
                <w:szCs w:val="21"/>
              </w:rPr>
              <w:t>%~(产品所在地区年平均木材平衡含水率+1%)；②</w:t>
            </w:r>
            <w:r>
              <w:rPr>
                <w:rFonts w:hint="eastAsia"/>
                <w:color w:val="auto"/>
                <w:sz w:val="21"/>
                <w:szCs w:val="21"/>
                <w:lang w:val="en-US"/>
              </w:rPr>
              <w:t>胶合强度</w:t>
            </w:r>
            <w:r>
              <w:rPr>
                <w:rFonts w:hint="eastAsia"/>
                <w:color w:val="auto"/>
                <w:sz w:val="21"/>
                <w:szCs w:val="21"/>
              </w:rPr>
              <w:t>：</w:t>
            </w:r>
            <w:r>
              <w:rPr>
                <w:rFonts w:hint="eastAsia"/>
                <w:color w:val="auto"/>
                <w:sz w:val="21"/>
                <w:szCs w:val="21"/>
                <w:lang w:val="en-US"/>
              </w:rPr>
              <w:t>≥0.70MPa</w:t>
            </w:r>
            <w:r>
              <w:rPr>
                <w:rFonts w:hint="eastAsia"/>
                <w:color w:val="auto"/>
                <w:sz w:val="21"/>
                <w:szCs w:val="21"/>
              </w:rPr>
              <w:t>；③静曲强度≥</w:t>
            </w:r>
            <w:r>
              <w:rPr>
                <w:rFonts w:hint="eastAsia"/>
                <w:color w:val="auto"/>
                <w:sz w:val="21"/>
                <w:szCs w:val="21"/>
                <w:lang w:val="en-US"/>
              </w:rPr>
              <w:t>16</w:t>
            </w:r>
            <w:r>
              <w:rPr>
                <w:rFonts w:hint="eastAsia"/>
                <w:color w:val="auto"/>
                <w:sz w:val="21"/>
                <w:szCs w:val="21"/>
              </w:rPr>
              <w:t>.0MPa；④弹性模量≥</w:t>
            </w:r>
            <w:r>
              <w:rPr>
                <w:rFonts w:hint="eastAsia"/>
                <w:color w:val="auto"/>
                <w:sz w:val="21"/>
                <w:szCs w:val="21"/>
                <w:lang w:val="en-US"/>
              </w:rPr>
              <w:t>2500</w:t>
            </w:r>
            <w:r>
              <w:rPr>
                <w:rFonts w:hint="eastAsia"/>
                <w:color w:val="auto"/>
                <w:sz w:val="21"/>
                <w:szCs w:val="21"/>
              </w:rPr>
              <w:t>MPa；⑤甲醛释放量：</w:t>
            </w:r>
            <w:r>
              <w:rPr>
                <w:rFonts w:hint="eastAsia"/>
                <w:color w:val="auto"/>
                <w:sz w:val="21"/>
                <w:szCs w:val="21"/>
                <w:lang w:val="en-US"/>
              </w:rPr>
              <w:t>1m³</w:t>
            </w:r>
            <w:r>
              <w:rPr>
                <w:rFonts w:hint="eastAsia"/>
                <w:color w:val="auto"/>
                <w:sz w:val="21"/>
                <w:szCs w:val="21"/>
              </w:rPr>
              <w:t>气候箱法E1≤0.124mg/ m</w:t>
            </w:r>
            <w:r>
              <w:rPr>
                <w:rFonts w:hint="eastAsia"/>
                <w:color w:val="auto"/>
                <w:sz w:val="21"/>
                <w:szCs w:val="21"/>
                <w:vertAlign w:val="superscript"/>
              </w:rPr>
              <w:t>3</w:t>
            </w:r>
            <w:r>
              <w:rPr>
                <w:rFonts w:hint="eastAsia"/>
                <w:color w:val="auto"/>
                <w:sz w:val="21"/>
                <w:szCs w:val="21"/>
              </w:rPr>
              <w:t>。</w:t>
            </w:r>
          </w:p>
          <w:p>
            <w:pPr>
              <w:spacing w:line="340" w:lineRule="exact"/>
              <w:rPr>
                <w:color w:val="auto"/>
                <w:sz w:val="21"/>
                <w:szCs w:val="21"/>
                <w:lang w:eastAsia="en-US"/>
              </w:rPr>
            </w:pPr>
            <w:r>
              <w:rPr>
                <w:rFonts w:hint="eastAsia"/>
                <w:color w:val="auto"/>
                <w:sz w:val="21"/>
                <w:szCs w:val="21"/>
                <w:lang w:val="en-US" w:eastAsia="zh-CN"/>
              </w:rPr>
              <w:t>三、</w:t>
            </w:r>
            <w:r>
              <w:rPr>
                <w:rFonts w:hint="eastAsia"/>
                <w:color w:val="auto"/>
                <w:sz w:val="21"/>
                <w:szCs w:val="21"/>
              </w:rPr>
              <w:t>参考图详见附件。</w:t>
            </w:r>
          </w:p>
        </w:tc>
        <w:tc>
          <w:tcPr>
            <w:tcW w:w="1036" w:type="dxa"/>
            <w:vAlign w:val="center"/>
          </w:tcPr>
          <w:p>
            <w:pPr>
              <w:spacing w:line="340" w:lineRule="exact"/>
              <w:rPr>
                <w:rFonts w:hint="default" w:eastAsia="宋体"/>
                <w:color w:val="auto"/>
                <w:sz w:val="21"/>
                <w:szCs w:val="21"/>
                <w:lang w:val="en-US" w:eastAsia="zh-CN"/>
              </w:rPr>
            </w:pPr>
            <w:r>
              <w:rPr>
                <w:rFonts w:hint="eastAsia"/>
                <w:color w:val="auto"/>
                <w:sz w:val="21"/>
                <w:szCs w:val="21"/>
                <w:lang w:val="en-US" w:eastAsia="zh-CN"/>
              </w:rPr>
              <w:t>7000张</w:t>
            </w:r>
          </w:p>
        </w:tc>
        <w:tc>
          <w:tcPr>
            <w:tcW w:w="1239" w:type="dxa"/>
            <w:vAlign w:val="center"/>
          </w:tcPr>
          <w:p>
            <w:pPr>
              <w:spacing w:line="340" w:lineRule="exact"/>
              <w:jc w:val="center"/>
              <w:rPr>
                <w:rFonts w:hint="default" w:eastAsia="宋体"/>
                <w:color w:val="auto"/>
                <w:sz w:val="21"/>
                <w:szCs w:val="21"/>
                <w:lang w:val="en-US" w:eastAsia="zh-CN"/>
              </w:rPr>
            </w:pPr>
            <w:r>
              <w:rPr>
                <w:rFonts w:hint="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vAlign w:val="center"/>
          </w:tcPr>
          <w:p>
            <w:pPr>
              <w:spacing w:line="340" w:lineRule="exact"/>
              <w:jc w:val="center"/>
              <w:rPr>
                <w:color w:val="auto"/>
                <w:szCs w:val="21"/>
                <w:lang w:val="en-US"/>
              </w:rPr>
            </w:pPr>
            <w:r>
              <w:rPr>
                <w:rFonts w:hint="eastAsia"/>
                <w:color w:val="auto"/>
                <w:szCs w:val="21"/>
                <w:lang w:val="en-US"/>
              </w:rPr>
              <w:t>7</w:t>
            </w:r>
          </w:p>
        </w:tc>
        <w:tc>
          <w:tcPr>
            <w:tcW w:w="1315" w:type="dxa"/>
            <w:vAlign w:val="center"/>
          </w:tcPr>
          <w:p>
            <w:pPr>
              <w:spacing w:line="340" w:lineRule="exact"/>
              <w:jc w:val="center"/>
              <w:rPr>
                <w:color w:val="auto"/>
                <w:szCs w:val="21"/>
              </w:rPr>
            </w:pPr>
            <w:r>
              <w:rPr>
                <w:rFonts w:hint="eastAsia"/>
                <w:color w:val="auto"/>
                <w:sz w:val="21"/>
                <w:szCs w:val="21"/>
              </w:rPr>
              <w:t>实木茶几</w:t>
            </w:r>
          </w:p>
        </w:tc>
        <w:tc>
          <w:tcPr>
            <w:tcW w:w="7087" w:type="dxa"/>
            <w:vAlign w:val="center"/>
          </w:tcPr>
          <w:p>
            <w:pPr>
              <w:spacing w:line="340" w:lineRule="exact"/>
              <w:rPr>
                <w:color w:val="auto"/>
                <w:sz w:val="21"/>
                <w:szCs w:val="21"/>
              </w:rPr>
            </w:pPr>
            <w:r>
              <w:rPr>
                <w:rFonts w:hint="eastAsia"/>
                <w:color w:val="auto"/>
                <w:sz w:val="21"/>
                <w:szCs w:val="21"/>
                <w:lang w:val="en-US" w:eastAsia="zh-CN"/>
              </w:rPr>
              <w:t>一、</w:t>
            </w:r>
            <w:r>
              <w:rPr>
                <w:rFonts w:hint="eastAsia"/>
                <w:color w:val="auto"/>
                <w:sz w:val="21"/>
                <w:szCs w:val="21"/>
                <w:lang w:val="en-US"/>
              </w:rPr>
              <w:t>外观</w:t>
            </w:r>
            <w:r>
              <w:rPr>
                <w:rFonts w:hint="eastAsia"/>
                <w:color w:val="auto"/>
                <w:sz w:val="21"/>
                <w:szCs w:val="21"/>
              </w:rPr>
              <w:t>规格</w:t>
            </w:r>
            <w:r>
              <w:rPr>
                <w:rFonts w:hint="eastAsia"/>
                <w:color w:val="auto"/>
                <w:sz w:val="21"/>
                <w:szCs w:val="21"/>
                <w:lang w:val="en-US"/>
              </w:rPr>
              <w:t>尺寸</w:t>
            </w:r>
            <w:r>
              <w:rPr>
                <w:rFonts w:hint="eastAsia"/>
                <w:color w:val="auto"/>
                <w:sz w:val="21"/>
                <w:szCs w:val="21"/>
              </w:rPr>
              <w:t>：600</w:t>
            </w:r>
            <w:r>
              <w:rPr>
                <w:rFonts w:hint="eastAsia"/>
                <w:color w:val="auto"/>
                <w:sz w:val="21"/>
                <w:szCs w:val="21"/>
                <w:lang w:val="en-US"/>
              </w:rPr>
              <w:t>mm</w:t>
            </w:r>
            <w:r>
              <w:rPr>
                <w:rFonts w:hint="eastAsia"/>
                <w:color w:val="auto"/>
                <w:sz w:val="21"/>
                <w:szCs w:val="21"/>
              </w:rPr>
              <w:t>×400</w:t>
            </w:r>
            <w:r>
              <w:rPr>
                <w:rFonts w:hint="eastAsia"/>
                <w:color w:val="auto"/>
                <w:sz w:val="21"/>
                <w:szCs w:val="21"/>
                <w:lang w:val="en-US"/>
              </w:rPr>
              <w:t>mm</w:t>
            </w:r>
            <w:r>
              <w:rPr>
                <w:rFonts w:hint="eastAsia"/>
                <w:color w:val="auto"/>
                <w:sz w:val="21"/>
                <w:szCs w:val="21"/>
              </w:rPr>
              <w:t>×600mm（允许</w:t>
            </w:r>
            <w:r>
              <w:rPr>
                <w:rFonts w:hint="eastAsia"/>
                <w:color w:val="auto"/>
                <w:sz w:val="21"/>
                <w:szCs w:val="21"/>
                <w:lang w:val="en-US"/>
              </w:rPr>
              <w:t>偏差±</w:t>
            </w:r>
            <w:r>
              <w:rPr>
                <w:rFonts w:hint="eastAsia"/>
                <w:color w:val="auto"/>
                <w:sz w:val="21"/>
                <w:szCs w:val="21"/>
              </w:rPr>
              <w:t>5mm）</w:t>
            </w:r>
          </w:p>
          <w:p>
            <w:pPr>
              <w:spacing w:line="340" w:lineRule="exact"/>
              <w:rPr>
                <w:color w:val="auto"/>
                <w:sz w:val="21"/>
                <w:szCs w:val="21"/>
              </w:rPr>
            </w:pPr>
            <w:r>
              <w:rPr>
                <w:rFonts w:hint="eastAsia"/>
                <w:color w:val="auto"/>
                <w:sz w:val="21"/>
                <w:szCs w:val="21"/>
                <w:lang w:val="en-US" w:eastAsia="zh-CN"/>
              </w:rPr>
              <w:t>二、</w:t>
            </w:r>
            <w:r>
              <w:rPr>
                <w:rFonts w:hint="eastAsia"/>
                <w:color w:val="auto"/>
                <w:sz w:val="21"/>
                <w:szCs w:val="21"/>
              </w:rPr>
              <w:t>主材采用</w:t>
            </w:r>
            <w:r>
              <w:rPr>
                <w:rFonts w:hint="eastAsia"/>
                <w:color w:val="auto"/>
                <w:sz w:val="21"/>
                <w:szCs w:val="21"/>
                <w:lang w:val="en-US" w:eastAsia="zh-CN"/>
              </w:rPr>
              <w:t>橡胶木</w:t>
            </w:r>
            <w:r>
              <w:rPr>
                <w:rFonts w:hint="eastAsia"/>
                <w:color w:val="auto"/>
                <w:sz w:val="21"/>
                <w:szCs w:val="21"/>
              </w:rPr>
              <w:t>制作，产品符合GB/T1931-2009《木材含水率测定方法》、GB/T18581-2009《室内装饰材料、溶剂型木器涂料中有害物质限量》标准。木材含水率：</w:t>
            </w:r>
            <w:r>
              <w:rPr>
                <w:rFonts w:hint="eastAsia"/>
                <w:color w:val="auto"/>
                <w:sz w:val="21"/>
                <w:szCs w:val="21"/>
                <w:lang w:val="en-US"/>
              </w:rPr>
              <w:t>8</w:t>
            </w:r>
            <w:r>
              <w:rPr>
                <w:rFonts w:hint="eastAsia"/>
                <w:color w:val="auto"/>
                <w:sz w:val="21"/>
                <w:szCs w:val="21"/>
              </w:rPr>
              <w:t>%~(产品所在地区年平均木材平衡含水率+1%)；环保聚酯哑光油漆，苯含量：≤0.3%；</w:t>
            </w:r>
          </w:p>
          <w:p>
            <w:pPr>
              <w:spacing w:line="340" w:lineRule="exact"/>
              <w:rPr>
                <w:color w:val="auto"/>
                <w:sz w:val="21"/>
                <w:szCs w:val="21"/>
              </w:rPr>
            </w:pPr>
            <w:r>
              <w:rPr>
                <w:rFonts w:hint="eastAsia"/>
                <w:color w:val="auto"/>
                <w:sz w:val="21"/>
                <w:szCs w:val="21"/>
                <w:lang w:val="en-US" w:eastAsia="zh-CN"/>
              </w:rPr>
              <w:t>三、</w:t>
            </w:r>
            <w:r>
              <w:rPr>
                <w:rFonts w:hint="eastAsia"/>
                <w:bCs/>
                <w:color w:val="auto"/>
                <w:sz w:val="21"/>
                <w:szCs w:val="21"/>
              </w:rPr>
              <w:t>PU底漆要求：可溶性重金属含量（限色漆、腻子和醇酸类清漆）：铅Pb:≤90mg/kg，镉Cd:≤75mg/kg，铬Cr:≤60mg/kg，汞Hg:≤60mg/kg，满足苯质量分数≤0.05%；甲苯+二甲苯+乙苯质量分数≤25%；挥发性有机化合物（VOC）含量≤650g/L；卤代烃含量≤0.1%。</w:t>
            </w:r>
          </w:p>
          <w:p>
            <w:pPr>
              <w:spacing w:line="340" w:lineRule="exact"/>
              <w:rPr>
                <w:bCs/>
                <w:color w:val="auto"/>
                <w:sz w:val="21"/>
                <w:szCs w:val="21"/>
              </w:rPr>
            </w:pPr>
            <w:r>
              <w:rPr>
                <w:rFonts w:hint="eastAsia"/>
                <w:bCs/>
                <w:color w:val="auto"/>
                <w:sz w:val="21"/>
                <w:szCs w:val="21"/>
              </w:rPr>
              <w:t>UV面漆要求：可溶性重金属含量（限色漆、腻子和醇酸类清漆）：铅Pb:≤90mg/kg，镉Cd:≤75mg/kg，铬Cr:≤60mg/kg，汞Hg:≤60mg/kg，满足苯质量分数≤0.05%；甲苯+二甲苯+乙苯质量分数≤25%；挥发性有机化合物（VOC）含量≤650g/L；卤代烃含量≤0.1%。</w:t>
            </w:r>
          </w:p>
          <w:p>
            <w:pPr>
              <w:spacing w:line="340" w:lineRule="exact"/>
              <w:rPr>
                <w:color w:val="auto"/>
                <w:sz w:val="21"/>
                <w:szCs w:val="21"/>
              </w:rPr>
            </w:pPr>
            <w:r>
              <w:rPr>
                <w:rFonts w:hint="eastAsia"/>
                <w:color w:val="auto"/>
                <w:sz w:val="21"/>
                <w:szCs w:val="21"/>
                <w:lang w:val="en-US" w:eastAsia="zh-CN"/>
              </w:rPr>
              <w:t>四、</w:t>
            </w:r>
            <w:r>
              <w:rPr>
                <w:rFonts w:hint="eastAsia"/>
                <w:color w:val="auto"/>
                <w:sz w:val="21"/>
                <w:szCs w:val="21"/>
              </w:rPr>
              <w:t>五金配件：采用优质五金配件；</w:t>
            </w:r>
          </w:p>
          <w:p>
            <w:pPr>
              <w:spacing w:line="340" w:lineRule="exact"/>
              <w:rPr>
                <w:color w:val="auto"/>
                <w:sz w:val="21"/>
                <w:szCs w:val="21"/>
              </w:rPr>
            </w:pPr>
            <w:r>
              <w:rPr>
                <w:rFonts w:hint="eastAsia"/>
                <w:color w:val="auto"/>
                <w:sz w:val="21"/>
                <w:szCs w:val="21"/>
                <w:lang w:val="en-US" w:eastAsia="zh-CN"/>
              </w:rPr>
              <w:t>五、</w:t>
            </w:r>
            <w:r>
              <w:rPr>
                <w:rFonts w:hint="eastAsia"/>
                <w:color w:val="auto"/>
                <w:sz w:val="21"/>
                <w:szCs w:val="21"/>
              </w:rPr>
              <w:t>外观要求：简洁大方，木质部位采用原木色系；</w:t>
            </w:r>
          </w:p>
          <w:p>
            <w:pPr>
              <w:spacing w:line="340" w:lineRule="exact"/>
              <w:rPr>
                <w:color w:val="auto"/>
                <w:sz w:val="21"/>
                <w:szCs w:val="21"/>
              </w:rPr>
            </w:pPr>
            <w:r>
              <w:rPr>
                <w:rFonts w:hint="eastAsia"/>
                <w:color w:val="auto"/>
                <w:sz w:val="21"/>
                <w:szCs w:val="21"/>
                <w:lang w:val="en-US" w:eastAsia="zh-CN"/>
              </w:rPr>
              <w:t>六、</w:t>
            </w:r>
            <w:r>
              <w:rPr>
                <w:rFonts w:hint="eastAsia"/>
                <w:color w:val="auto"/>
                <w:sz w:val="21"/>
                <w:szCs w:val="21"/>
              </w:rPr>
              <w:t>结构要求：结构稳固，各部件使用榫卯和五金结合连接方式；</w:t>
            </w:r>
          </w:p>
          <w:p>
            <w:pPr>
              <w:spacing w:line="340" w:lineRule="exact"/>
              <w:rPr>
                <w:color w:val="auto"/>
                <w:sz w:val="21"/>
                <w:szCs w:val="21"/>
                <w:lang w:eastAsia="en-US"/>
              </w:rPr>
            </w:pPr>
            <w:r>
              <w:rPr>
                <w:rFonts w:hint="eastAsia"/>
                <w:color w:val="auto"/>
                <w:sz w:val="21"/>
                <w:szCs w:val="21"/>
                <w:lang w:val="en-US" w:eastAsia="zh-CN"/>
              </w:rPr>
              <w:t>七、</w:t>
            </w:r>
            <w:r>
              <w:rPr>
                <w:rFonts w:hint="eastAsia"/>
                <w:color w:val="auto"/>
                <w:sz w:val="21"/>
                <w:szCs w:val="21"/>
              </w:rPr>
              <w:t>工艺要求：木纹纹理清晰、色泽明亮、各部位过度圆润，连接间隙均匀</w:t>
            </w:r>
            <w:r>
              <w:rPr>
                <w:rFonts w:hint="eastAsia"/>
                <w:color w:val="auto"/>
                <w:sz w:val="21"/>
                <w:szCs w:val="21"/>
                <w:lang w:val="en-US" w:eastAsia="zh-CN"/>
              </w:rPr>
              <w:t>八、</w:t>
            </w:r>
            <w:r>
              <w:rPr>
                <w:rFonts w:hint="eastAsia"/>
                <w:color w:val="auto"/>
                <w:sz w:val="21"/>
                <w:szCs w:val="21"/>
              </w:rPr>
              <w:t>参考图详见附件。</w:t>
            </w:r>
          </w:p>
        </w:tc>
        <w:tc>
          <w:tcPr>
            <w:tcW w:w="1036" w:type="dxa"/>
            <w:vAlign w:val="center"/>
          </w:tcPr>
          <w:p>
            <w:pPr>
              <w:spacing w:line="340" w:lineRule="exact"/>
              <w:rPr>
                <w:rFonts w:hint="default" w:eastAsia="宋体"/>
                <w:color w:val="auto"/>
                <w:sz w:val="21"/>
                <w:szCs w:val="21"/>
                <w:lang w:val="en-US" w:eastAsia="zh-CN"/>
              </w:rPr>
            </w:pPr>
            <w:r>
              <w:rPr>
                <w:rFonts w:hint="eastAsia"/>
                <w:color w:val="auto"/>
                <w:sz w:val="21"/>
                <w:szCs w:val="21"/>
                <w:lang w:val="en-US" w:eastAsia="zh-CN"/>
              </w:rPr>
              <w:t>1192套</w:t>
            </w:r>
          </w:p>
        </w:tc>
        <w:tc>
          <w:tcPr>
            <w:tcW w:w="1239" w:type="dxa"/>
            <w:vAlign w:val="center"/>
          </w:tcPr>
          <w:p>
            <w:pPr>
              <w:spacing w:line="340" w:lineRule="exact"/>
              <w:jc w:val="center"/>
              <w:rPr>
                <w:rFonts w:hint="default" w:eastAsia="宋体"/>
                <w:color w:val="auto"/>
                <w:sz w:val="21"/>
                <w:szCs w:val="21"/>
                <w:lang w:val="en-US" w:eastAsia="zh-CN"/>
              </w:rPr>
            </w:pPr>
            <w:r>
              <w:rPr>
                <w:rFonts w:hint="eastAsia"/>
                <w:color w:val="auto"/>
                <w:sz w:val="21"/>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gridSpan w:val="2"/>
            <w:vAlign w:val="center"/>
          </w:tcPr>
          <w:p>
            <w:pPr>
              <w:spacing w:line="340" w:lineRule="exact"/>
              <w:jc w:val="center"/>
              <w:rPr>
                <w:rFonts w:hint="eastAsia"/>
                <w:color w:val="auto"/>
                <w:sz w:val="21"/>
                <w:szCs w:val="21"/>
              </w:rPr>
            </w:pPr>
            <w:r>
              <w:rPr>
                <w:rFonts w:hint="eastAsia"/>
                <w:color w:val="auto"/>
              </w:rPr>
              <w:t>★</w:t>
            </w:r>
            <w:r>
              <w:rPr>
                <w:rFonts w:hint="eastAsia"/>
                <w:color w:val="auto"/>
                <w:szCs w:val="21"/>
              </w:rPr>
              <w:t>免费质保期及售后技术服务要求</w:t>
            </w:r>
          </w:p>
        </w:tc>
        <w:tc>
          <w:tcPr>
            <w:tcW w:w="9362" w:type="dxa"/>
            <w:gridSpan w:val="3"/>
            <w:vAlign w:val="top"/>
          </w:tcPr>
          <w:p>
            <w:pPr>
              <w:spacing w:line="340" w:lineRule="exact"/>
              <w:rPr>
                <w:color w:val="auto"/>
                <w:sz w:val="21"/>
                <w:szCs w:val="21"/>
              </w:rPr>
            </w:pPr>
            <w:r>
              <w:rPr>
                <w:rFonts w:hint="eastAsia"/>
                <w:color w:val="auto"/>
                <w:sz w:val="21"/>
                <w:szCs w:val="21"/>
              </w:rPr>
              <w:t>1、质保期：免费送货上门，免费安装；按国家有关产品“三包”规定执行“三包”。自项目验收之日起，产品免费保修期不得少于五年（单项货物有特殊要求除外）。</w:t>
            </w:r>
          </w:p>
          <w:p>
            <w:pPr>
              <w:spacing w:line="340" w:lineRule="exact"/>
              <w:rPr>
                <w:color w:val="auto"/>
                <w:sz w:val="21"/>
                <w:szCs w:val="21"/>
              </w:rPr>
            </w:pPr>
            <w:r>
              <w:rPr>
                <w:rFonts w:hint="eastAsia"/>
                <w:color w:val="auto"/>
                <w:sz w:val="21"/>
                <w:szCs w:val="21"/>
              </w:rPr>
              <w:t>2、投标人应设有专门的售后服务小组，负责货物安装后期的维护服务工作。服务方式含：现场服务、热线电话、电子邮箱等。以上门服务方式为主，以热线服务及电子邮件方式为辅。</w:t>
            </w:r>
          </w:p>
          <w:p>
            <w:pPr>
              <w:spacing w:line="340" w:lineRule="exact"/>
              <w:rPr>
                <w:color w:val="auto"/>
                <w:sz w:val="21"/>
                <w:szCs w:val="21"/>
              </w:rPr>
            </w:pPr>
            <w:r>
              <w:rPr>
                <w:rFonts w:hint="eastAsia"/>
                <w:color w:val="auto"/>
                <w:sz w:val="21"/>
                <w:szCs w:val="21"/>
              </w:rPr>
              <w:t>3、在保修期内，一旦发生质量问题，中标人应在接到故障电话后30分钟响应，8小时内到达现场进行修理或更换。如在24小时内无法修复，应提供同档次的产品供采购人使用，直至产品修复为止。</w:t>
            </w:r>
          </w:p>
          <w:p>
            <w:pPr>
              <w:spacing w:line="340" w:lineRule="exact"/>
              <w:rPr>
                <w:rFonts w:hint="eastAsia"/>
                <w:color w:val="auto"/>
                <w:sz w:val="21"/>
                <w:szCs w:val="21"/>
              </w:rPr>
            </w:pPr>
            <w:r>
              <w:rPr>
                <w:rFonts w:hint="eastAsia"/>
                <w:color w:val="auto"/>
                <w:sz w:val="21"/>
                <w:szCs w:val="21"/>
              </w:rPr>
              <w:t>4、保修期</w:t>
            </w:r>
            <w:r>
              <w:rPr>
                <w:rFonts w:hint="eastAsia"/>
                <w:color w:val="auto"/>
                <w:sz w:val="21"/>
                <w:szCs w:val="21"/>
                <w:lang w:val="en-US" w:eastAsia="zh-CN"/>
              </w:rPr>
              <w:t>满后</w:t>
            </w:r>
            <w:r>
              <w:rPr>
                <w:rFonts w:hint="eastAsia"/>
                <w:color w:val="auto"/>
                <w:sz w:val="21"/>
                <w:szCs w:val="21"/>
              </w:rPr>
              <w:t>，应当提供免费上门维修服务，配件只收取成本费用。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gridSpan w:val="2"/>
            <w:vAlign w:val="center"/>
          </w:tcPr>
          <w:p>
            <w:pPr>
              <w:spacing w:line="340" w:lineRule="exact"/>
              <w:jc w:val="center"/>
              <w:rPr>
                <w:rFonts w:hint="eastAsia"/>
                <w:color w:val="auto"/>
                <w:sz w:val="21"/>
                <w:szCs w:val="21"/>
              </w:rPr>
            </w:pPr>
            <w:r>
              <w:rPr>
                <w:rFonts w:hint="eastAsia"/>
                <w:color w:val="auto"/>
              </w:rPr>
              <w:t>★</w:t>
            </w:r>
            <w:r>
              <w:rPr>
                <w:rFonts w:hint="eastAsia"/>
                <w:color w:val="auto"/>
                <w:szCs w:val="21"/>
              </w:rPr>
              <w:t>交付使用时间及地点</w:t>
            </w:r>
          </w:p>
        </w:tc>
        <w:tc>
          <w:tcPr>
            <w:tcW w:w="9362" w:type="dxa"/>
            <w:gridSpan w:val="3"/>
            <w:vAlign w:val="top"/>
          </w:tcPr>
          <w:p>
            <w:pPr>
              <w:spacing w:line="340" w:lineRule="exact"/>
              <w:rPr>
                <w:color w:val="auto"/>
                <w:sz w:val="21"/>
                <w:szCs w:val="21"/>
              </w:rPr>
            </w:pPr>
            <w:r>
              <w:rPr>
                <w:rFonts w:hint="eastAsia"/>
                <w:color w:val="auto"/>
                <w:sz w:val="21"/>
                <w:szCs w:val="21"/>
              </w:rPr>
              <w:t>1、交</w:t>
            </w:r>
            <w:r>
              <w:rPr>
                <w:rFonts w:hint="eastAsia"/>
                <w:color w:val="auto"/>
                <w:sz w:val="21"/>
                <w:szCs w:val="21"/>
                <w:lang w:val="en-US" w:eastAsia="zh-CN"/>
              </w:rPr>
              <w:t>付</w:t>
            </w:r>
            <w:r>
              <w:rPr>
                <w:rFonts w:hint="eastAsia"/>
                <w:color w:val="auto"/>
                <w:sz w:val="21"/>
                <w:szCs w:val="21"/>
              </w:rPr>
              <w:t>使用时间：</w:t>
            </w:r>
            <w:r>
              <w:rPr>
                <w:rFonts w:hint="eastAsia" w:ascii="宋体" w:hAnsi="宋体" w:eastAsia="宋体" w:cs="宋体"/>
                <w:color w:val="auto"/>
                <w:szCs w:val="21"/>
                <w:u w:val="none"/>
              </w:rPr>
              <w:t>中标通知书发出之日起</w:t>
            </w:r>
            <w:r>
              <w:rPr>
                <w:rFonts w:hint="eastAsia" w:ascii="宋体" w:hAnsi="宋体" w:cs="宋体"/>
                <w:color w:val="auto"/>
                <w:szCs w:val="21"/>
                <w:u w:val="none"/>
                <w:lang w:val="en-US" w:eastAsia="zh-CN"/>
              </w:rPr>
              <w:t>三个工作日</w:t>
            </w:r>
            <w:r>
              <w:rPr>
                <w:rFonts w:hint="eastAsia" w:ascii="宋体" w:hAnsi="宋体" w:eastAsia="宋体" w:cs="宋体"/>
                <w:color w:val="auto"/>
                <w:szCs w:val="21"/>
                <w:u w:val="none"/>
              </w:rPr>
              <w:t>内</w:t>
            </w:r>
            <w:r>
              <w:rPr>
                <w:rFonts w:hint="eastAsia" w:ascii="宋体" w:hAnsi="宋体" w:cs="宋体"/>
                <w:color w:val="auto"/>
                <w:szCs w:val="21"/>
                <w:u w:val="none"/>
                <w:lang w:val="en-US" w:eastAsia="zh-CN"/>
              </w:rPr>
              <w:t>签订采购合同，</w:t>
            </w:r>
            <w:r>
              <w:rPr>
                <w:rFonts w:hint="eastAsia"/>
                <w:color w:val="auto"/>
                <w:sz w:val="21"/>
                <w:szCs w:val="21"/>
                <w:lang w:val="en-US" w:eastAsia="zh-CN"/>
              </w:rPr>
              <w:t>自合同签订起15日内</w:t>
            </w:r>
            <w:r>
              <w:rPr>
                <w:rFonts w:hint="eastAsia"/>
                <w:color w:val="auto"/>
                <w:sz w:val="21"/>
                <w:szCs w:val="21"/>
              </w:rPr>
              <w:t>全部安装</w:t>
            </w:r>
            <w:r>
              <w:rPr>
                <w:rFonts w:hint="eastAsia"/>
                <w:color w:val="auto"/>
                <w:sz w:val="21"/>
                <w:szCs w:val="21"/>
                <w:lang w:val="en-US" w:eastAsia="zh-CN"/>
              </w:rPr>
              <w:t>调试</w:t>
            </w:r>
            <w:r>
              <w:rPr>
                <w:rFonts w:hint="eastAsia"/>
                <w:color w:val="auto"/>
                <w:sz w:val="21"/>
                <w:szCs w:val="21"/>
              </w:rPr>
              <w:t>完毕</w:t>
            </w:r>
            <w:r>
              <w:rPr>
                <w:rFonts w:hint="eastAsia"/>
                <w:color w:val="auto"/>
                <w:sz w:val="21"/>
                <w:szCs w:val="21"/>
                <w:lang w:val="en-US" w:eastAsia="zh-CN"/>
              </w:rPr>
              <w:t>并交付使用</w:t>
            </w:r>
            <w:r>
              <w:rPr>
                <w:rFonts w:hint="eastAsia"/>
                <w:color w:val="auto"/>
                <w:sz w:val="21"/>
                <w:szCs w:val="21"/>
              </w:rPr>
              <w:t>；中标人推迟一天交货按违约处理，每推迟一天支付采购合同金额的1%作为违约金，</w:t>
            </w:r>
            <w:r>
              <w:rPr>
                <w:rFonts w:hint="eastAsia"/>
                <w:color w:val="auto"/>
                <w:sz w:val="21"/>
                <w:szCs w:val="21"/>
                <w:lang w:val="en-US" w:eastAsia="zh-CN"/>
              </w:rPr>
              <w:t>违</w:t>
            </w:r>
            <w:r>
              <w:rPr>
                <w:rFonts w:hint="eastAsia"/>
                <w:color w:val="auto"/>
                <w:sz w:val="21"/>
                <w:szCs w:val="21"/>
              </w:rPr>
              <w:t>约超10天（含）采购人可以单方面解除政府采购合同，由此造成的损失由中标人自行承担。</w:t>
            </w:r>
          </w:p>
          <w:p>
            <w:pPr>
              <w:spacing w:line="340" w:lineRule="exact"/>
              <w:rPr>
                <w:rFonts w:hint="default" w:eastAsia="宋体"/>
                <w:color w:val="auto"/>
                <w:sz w:val="21"/>
                <w:szCs w:val="21"/>
                <w:lang w:val="en-US" w:eastAsia="zh-CN"/>
              </w:rPr>
            </w:pPr>
            <w:r>
              <w:rPr>
                <w:rFonts w:hint="eastAsia"/>
                <w:color w:val="auto"/>
                <w:sz w:val="21"/>
                <w:szCs w:val="21"/>
              </w:rPr>
              <w:t>2、交</w:t>
            </w:r>
            <w:r>
              <w:rPr>
                <w:rFonts w:hint="eastAsia"/>
                <w:color w:val="auto"/>
                <w:sz w:val="21"/>
                <w:szCs w:val="21"/>
                <w:lang w:val="en-US" w:eastAsia="zh-CN"/>
              </w:rPr>
              <w:t>付</w:t>
            </w:r>
            <w:r>
              <w:rPr>
                <w:rFonts w:hint="eastAsia"/>
                <w:color w:val="auto"/>
                <w:sz w:val="21"/>
                <w:szCs w:val="21"/>
              </w:rPr>
              <w:t>地点：</w:t>
            </w:r>
            <w:r>
              <w:rPr>
                <w:rFonts w:hint="eastAsia"/>
                <w:color w:val="auto"/>
                <w:sz w:val="21"/>
                <w:szCs w:val="21"/>
                <w:lang w:val="en-US" w:eastAsia="zh-CN"/>
              </w:rPr>
              <w:t>桂林市采购人指定地点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gridSpan w:val="2"/>
            <w:vAlign w:val="center"/>
          </w:tcPr>
          <w:p>
            <w:pPr>
              <w:spacing w:line="340" w:lineRule="exact"/>
              <w:jc w:val="center"/>
              <w:rPr>
                <w:rFonts w:hint="eastAsia"/>
                <w:color w:val="auto"/>
                <w:sz w:val="21"/>
                <w:szCs w:val="21"/>
              </w:rPr>
            </w:pPr>
            <w:r>
              <w:rPr>
                <w:rFonts w:hint="eastAsia"/>
                <w:color w:val="auto"/>
              </w:rPr>
              <w:t>★</w:t>
            </w:r>
            <w:r>
              <w:rPr>
                <w:rFonts w:hint="eastAsia"/>
                <w:color w:val="auto"/>
                <w:szCs w:val="21"/>
              </w:rPr>
              <w:t>付款方式</w:t>
            </w:r>
          </w:p>
        </w:tc>
        <w:tc>
          <w:tcPr>
            <w:tcW w:w="9362" w:type="dxa"/>
            <w:gridSpan w:val="3"/>
            <w:vAlign w:val="top"/>
          </w:tcPr>
          <w:p>
            <w:pPr>
              <w:spacing w:line="340" w:lineRule="exact"/>
              <w:rPr>
                <w:rFonts w:ascii="Times New Roman" w:eastAsia="Times New Roman"/>
                <w:color w:val="auto"/>
                <w:sz w:val="21"/>
                <w:szCs w:val="21"/>
              </w:rPr>
            </w:pPr>
            <w:r>
              <w:rPr>
                <w:rFonts w:ascii="Times New Roman" w:eastAsia="Times New Roman"/>
                <w:color w:val="auto"/>
                <w:sz w:val="21"/>
                <w:szCs w:val="21"/>
              </w:rPr>
              <w:t>1、本项目预付款为合同总金额的30%，在合同生效以及具备实施条件后，采购人在15日内支付预付款；在交货验收、安装合格、培训指导完成及设备正常使用后，成交供应商在3日内开具发票给采购人，采购人收到发票后30个工作日内支付</w:t>
            </w:r>
            <w:r>
              <w:rPr>
                <w:rFonts w:hint="eastAsia" w:ascii="Times New Roman"/>
                <w:color w:val="auto"/>
                <w:sz w:val="21"/>
                <w:szCs w:val="21"/>
                <w:lang w:val="en-US" w:eastAsia="zh-CN"/>
              </w:rPr>
              <w:t>70</w:t>
            </w:r>
            <w:r>
              <w:rPr>
                <w:rFonts w:ascii="Times New Roman" w:eastAsia="Times New Roman"/>
                <w:color w:val="auto"/>
                <w:sz w:val="21"/>
                <w:szCs w:val="21"/>
              </w:rPr>
              <w:t>％的合同金额，</w:t>
            </w:r>
            <w:r>
              <w:rPr>
                <w:rFonts w:hint="eastAsia" w:ascii="Times New Roman"/>
                <w:color w:val="auto"/>
                <w:sz w:val="21"/>
                <w:szCs w:val="21"/>
                <w:lang w:val="en-US" w:eastAsia="zh-CN"/>
              </w:rPr>
              <w:t>成交</w:t>
            </w:r>
            <w:r>
              <w:rPr>
                <w:rFonts w:hint="eastAsia" w:ascii="Times New Roman" w:eastAsia="Times New Roman"/>
                <w:color w:val="auto"/>
                <w:sz w:val="21"/>
                <w:szCs w:val="21"/>
              </w:rPr>
              <w:t>供应商在签订合同</w:t>
            </w:r>
            <w:r>
              <w:rPr>
                <w:rFonts w:hint="eastAsia" w:ascii="Times New Roman" w:eastAsia="Times New Roman"/>
                <w:color w:val="auto"/>
                <w:sz w:val="21"/>
                <w:szCs w:val="21"/>
                <w:lang w:val="en-US" w:eastAsia="zh-CN"/>
              </w:rPr>
              <w:t>时</w:t>
            </w:r>
            <w:r>
              <w:rPr>
                <w:rFonts w:hint="eastAsia" w:ascii="Times New Roman" w:eastAsia="Times New Roman"/>
                <w:color w:val="auto"/>
                <w:sz w:val="21"/>
                <w:szCs w:val="21"/>
              </w:rPr>
              <w:t>向</w:t>
            </w:r>
            <w:r>
              <w:rPr>
                <w:rFonts w:hint="eastAsia" w:ascii="Times New Roman" w:eastAsia="Times New Roman"/>
                <w:color w:val="auto"/>
                <w:sz w:val="21"/>
                <w:szCs w:val="21"/>
                <w:lang w:val="en-US" w:eastAsia="zh-CN"/>
              </w:rPr>
              <w:t>桂林电子科技大学</w:t>
            </w:r>
            <w:r>
              <w:rPr>
                <w:rFonts w:hint="eastAsia" w:ascii="Times New Roman" w:eastAsia="Times New Roman"/>
                <w:color w:val="auto"/>
                <w:sz w:val="21"/>
                <w:szCs w:val="21"/>
              </w:rPr>
              <w:t>缴纳履约保证金（具体银行账号</w:t>
            </w:r>
            <w:r>
              <w:rPr>
                <w:rFonts w:hint="eastAsia" w:ascii="Times New Roman" w:eastAsia="Times New Roman"/>
                <w:color w:val="auto"/>
                <w:sz w:val="21"/>
                <w:szCs w:val="21"/>
                <w:lang w:val="en-US" w:eastAsia="zh-CN"/>
              </w:rPr>
              <w:t>由采购人提供</w:t>
            </w:r>
            <w:r>
              <w:rPr>
                <w:rFonts w:hint="eastAsia" w:ascii="Times New Roman" w:eastAsia="Times New Roman"/>
                <w:color w:val="auto"/>
                <w:sz w:val="21"/>
                <w:szCs w:val="21"/>
              </w:rPr>
              <w:t>），履约保证金金额按中标价的5%（人民币，四舍五入到元）缴纳（不计息），</w:t>
            </w:r>
            <w:r>
              <w:rPr>
                <w:rFonts w:hint="eastAsia" w:ascii="Times New Roman"/>
                <w:color w:val="auto"/>
                <w:sz w:val="21"/>
                <w:szCs w:val="21"/>
                <w:lang w:val="en-US" w:eastAsia="zh-CN"/>
              </w:rPr>
              <w:t>成交</w:t>
            </w:r>
            <w:r>
              <w:rPr>
                <w:rFonts w:hint="eastAsia" w:ascii="Times New Roman" w:eastAsia="Times New Roman"/>
                <w:color w:val="auto"/>
                <w:sz w:val="21"/>
                <w:szCs w:val="21"/>
              </w:rPr>
              <w:t>供应商提交履约保证金应当以转账、电汇等</w:t>
            </w:r>
            <w:r>
              <w:rPr>
                <w:rFonts w:hint="eastAsia" w:ascii="Times New Roman" w:eastAsia="Times New Roman"/>
                <w:color w:val="auto"/>
                <w:sz w:val="21"/>
                <w:szCs w:val="21"/>
                <w:lang w:val="en-US" w:eastAsia="zh-CN"/>
              </w:rPr>
              <w:t>非现金</w:t>
            </w:r>
            <w:r>
              <w:rPr>
                <w:rFonts w:hint="eastAsia" w:ascii="Times New Roman" w:eastAsia="Times New Roman"/>
                <w:color w:val="auto"/>
                <w:sz w:val="21"/>
                <w:szCs w:val="21"/>
              </w:rPr>
              <w:t>形式缴入采购人指定账户。</w:t>
            </w:r>
            <w:r>
              <w:rPr>
                <w:rFonts w:hint="eastAsia" w:ascii="Times New Roman"/>
                <w:color w:val="auto"/>
                <w:sz w:val="21"/>
                <w:szCs w:val="21"/>
                <w:lang w:val="en-US" w:eastAsia="zh-CN"/>
              </w:rPr>
              <w:t>成交</w:t>
            </w:r>
            <w:r>
              <w:rPr>
                <w:rFonts w:hint="eastAsia" w:ascii="Times New Roman" w:eastAsia="Times New Roman"/>
                <w:color w:val="auto"/>
                <w:sz w:val="21"/>
                <w:szCs w:val="21"/>
              </w:rPr>
              <w:t>供应商履行完合同约定权利义务事项且货物免费保修期满后，若货物无质量问题，</w:t>
            </w:r>
            <w:r>
              <w:rPr>
                <w:rFonts w:hint="eastAsia" w:ascii="Times New Roman"/>
                <w:color w:val="auto"/>
                <w:sz w:val="21"/>
                <w:szCs w:val="21"/>
                <w:lang w:val="en-US" w:eastAsia="zh-CN"/>
              </w:rPr>
              <w:t>成交</w:t>
            </w:r>
            <w:r>
              <w:rPr>
                <w:rFonts w:hint="eastAsia" w:ascii="Times New Roman" w:eastAsia="Times New Roman"/>
                <w:color w:val="auto"/>
                <w:sz w:val="21"/>
                <w:szCs w:val="21"/>
              </w:rPr>
              <w:t>供应商凭《政府采购项目验收单》和履约保证金缴纳凭证</w:t>
            </w:r>
            <w:r>
              <w:rPr>
                <w:rFonts w:hint="eastAsia" w:ascii="Times New Roman" w:eastAsia="Times New Roman"/>
                <w:color w:val="auto"/>
                <w:sz w:val="21"/>
                <w:szCs w:val="21"/>
                <w:lang w:val="en-US" w:eastAsia="zh-CN"/>
              </w:rPr>
              <w:t>原件</w:t>
            </w:r>
            <w:r>
              <w:rPr>
                <w:rFonts w:hint="eastAsia" w:ascii="Times New Roman" w:eastAsia="Times New Roman"/>
                <w:color w:val="auto"/>
                <w:sz w:val="21"/>
                <w:szCs w:val="21"/>
              </w:rPr>
              <w:t>向</w:t>
            </w:r>
            <w:r>
              <w:rPr>
                <w:rFonts w:hint="eastAsia" w:ascii="Times New Roman" w:eastAsia="Times New Roman"/>
                <w:color w:val="auto"/>
                <w:sz w:val="21"/>
                <w:szCs w:val="21"/>
                <w:lang w:val="en-US" w:eastAsia="zh-CN"/>
              </w:rPr>
              <w:t>桂林电子科技大学</w:t>
            </w:r>
            <w:r>
              <w:rPr>
                <w:rFonts w:hint="eastAsia" w:ascii="Times New Roman" w:eastAsia="Times New Roman"/>
                <w:color w:val="auto"/>
                <w:sz w:val="21"/>
                <w:szCs w:val="21"/>
              </w:rPr>
              <w:t>申请办理退还手续</w:t>
            </w:r>
            <w:r>
              <w:rPr>
                <w:rFonts w:hint="eastAsia" w:ascii="Times New Roman" w:eastAsia="Times New Roman"/>
                <w:color w:val="auto"/>
                <w:sz w:val="21"/>
                <w:szCs w:val="21"/>
                <w:lang w:eastAsia="zh-CN"/>
              </w:rPr>
              <w:t>，</w:t>
            </w:r>
            <w:r>
              <w:rPr>
                <w:rFonts w:hint="eastAsia" w:ascii="Times New Roman" w:eastAsia="Times New Roman"/>
                <w:color w:val="auto"/>
                <w:sz w:val="21"/>
                <w:szCs w:val="21"/>
                <w:lang w:val="en-US" w:eastAsia="zh-CN"/>
              </w:rPr>
              <w:t>桂林电子科技大学</w:t>
            </w:r>
            <w:r>
              <w:rPr>
                <w:rFonts w:hint="eastAsia" w:ascii="Times New Roman" w:eastAsia="Times New Roman"/>
                <w:color w:val="auto"/>
                <w:sz w:val="21"/>
                <w:szCs w:val="21"/>
                <w:lang w:eastAsia="zh-CN"/>
              </w:rPr>
              <w:t>在</w:t>
            </w:r>
            <w:r>
              <w:rPr>
                <w:rFonts w:hint="eastAsia" w:ascii="Times New Roman" w:eastAsia="Times New Roman"/>
                <w:color w:val="auto"/>
                <w:sz w:val="21"/>
                <w:szCs w:val="21"/>
              </w:rPr>
              <w:t>5个工作日内无息退还。</w:t>
            </w:r>
          </w:p>
          <w:p>
            <w:pPr>
              <w:spacing w:line="340" w:lineRule="exact"/>
              <w:rPr>
                <w:rFonts w:hint="eastAsia"/>
                <w:color w:val="auto"/>
                <w:sz w:val="21"/>
                <w:szCs w:val="21"/>
              </w:rPr>
            </w:pPr>
            <w:r>
              <w:rPr>
                <w:rFonts w:ascii="Times New Roman" w:eastAsia="Times New Roman"/>
                <w:color w:val="auto"/>
                <w:sz w:val="21"/>
                <w:szCs w:val="21"/>
              </w:rPr>
              <w:t>2、根据桂财采〔2020〕25号《广西壮族自治区财政厅关于加强政府采购促进经济稳定发展有关事项的通知》的规定，在签订合同时，供应商明确表示无需预付款或者主动要求降低预付款比例的，采购单位可不适用前述规定。如成交供应商在签订合同时，明确表示无需预付款时，付款方式为：在交货验收合格、培训指导完成及设备正常使用后，成交供应商在3日内开具发票给采购人，采购人收到发票后30个工作日内支付</w:t>
            </w:r>
            <w:r>
              <w:rPr>
                <w:rFonts w:hint="eastAsia" w:ascii="Times New Roman"/>
                <w:color w:val="auto"/>
                <w:sz w:val="21"/>
                <w:szCs w:val="21"/>
                <w:lang w:val="en-US" w:eastAsia="zh-CN"/>
              </w:rPr>
              <w:t>100</w:t>
            </w:r>
            <w:r>
              <w:rPr>
                <w:rFonts w:ascii="Times New Roman" w:eastAsia="Times New Roman"/>
                <w:color w:val="auto"/>
                <w:sz w:val="21"/>
                <w:szCs w:val="21"/>
              </w:rPr>
              <w:t>％的合同总金额，</w:t>
            </w:r>
            <w:r>
              <w:rPr>
                <w:rFonts w:hint="eastAsia" w:ascii="Times New Roman"/>
                <w:color w:val="auto"/>
                <w:sz w:val="21"/>
                <w:szCs w:val="21"/>
                <w:lang w:val="en-US" w:eastAsia="zh-CN"/>
              </w:rPr>
              <w:t>成交</w:t>
            </w:r>
            <w:r>
              <w:rPr>
                <w:rFonts w:hint="eastAsia" w:ascii="Times New Roman" w:eastAsia="Times New Roman"/>
                <w:color w:val="auto"/>
                <w:sz w:val="21"/>
                <w:szCs w:val="21"/>
              </w:rPr>
              <w:t>供应商在签订合同</w:t>
            </w:r>
            <w:r>
              <w:rPr>
                <w:rFonts w:hint="eastAsia" w:ascii="Times New Roman" w:eastAsia="Times New Roman"/>
                <w:color w:val="auto"/>
                <w:sz w:val="21"/>
                <w:szCs w:val="21"/>
                <w:lang w:val="en-US" w:eastAsia="zh-CN"/>
              </w:rPr>
              <w:t>时</w:t>
            </w:r>
            <w:r>
              <w:rPr>
                <w:rFonts w:hint="eastAsia" w:ascii="Times New Roman" w:eastAsia="Times New Roman"/>
                <w:color w:val="auto"/>
                <w:sz w:val="21"/>
                <w:szCs w:val="21"/>
              </w:rPr>
              <w:t>向</w:t>
            </w:r>
            <w:r>
              <w:rPr>
                <w:rFonts w:hint="eastAsia" w:ascii="Times New Roman" w:eastAsia="Times New Roman"/>
                <w:color w:val="auto"/>
                <w:sz w:val="21"/>
                <w:szCs w:val="21"/>
                <w:lang w:val="en-US" w:eastAsia="zh-CN"/>
              </w:rPr>
              <w:t>桂林电子科技大学</w:t>
            </w:r>
            <w:r>
              <w:rPr>
                <w:rFonts w:hint="eastAsia" w:ascii="Times New Roman" w:eastAsia="Times New Roman"/>
                <w:color w:val="auto"/>
                <w:sz w:val="21"/>
                <w:szCs w:val="21"/>
              </w:rPr>
              <w:t>缴纳履约保证金（具体银行账号</w:t>
            </w:r>
            <w:r>
              <w:rPr>
                <w:rFonts w:hint="eastAsia" w:ascii="Times New Roman" w:eastAsia="Times New Roman"/>
                <w:color w:val="auto"/>
                <w:sz w:val="21"/>
                <w:szCs w:val="21"/>
                <w:lang w:val="en-US" w:eastAsia="zh-CN"/>
              </w:rPr>
              <w:t>由采购人提供</w:t>
            </w:r>
            <w:r>
              <w:rPr>
                <w:rFonts w:hint="eastAsia" w:ascii="Times New Roman" w:eastAsia="Times New Roman"/>
                <w:color w:val="auto"/>
                <w:sz w:val="21"/>
                <w:szCs w:val="21"/>
              </w:rPr>
              <w:t>），履约保证金金额按中标价的5%（人民币，四舍五入到元）缴纳（不计息），</w:t>
            </w:r>
            <w:r>
              <w:rPr>
                <w:rFonts w:hint="eastAsia" w:ascii="Times New Roman"/>
                <w:color w:val="auto"/>
                <w:sz w:val="21"/>
                <w:szCs w:val="21"/>
                <w:lang w:val="en-US" w:eastAsia="zh-CN"/>
              </w:rPr>
              <w:t>成交</w:t>
            </w:r>
            <w:r>
              <w:rPr>
                <w:rFonts w:hint="eastAsia" w:ascii="Times New Roman" w:eastAsia="Times New Roman"/>
                <w:color w:val="auto"/>
                <w:sz w:val="21"/>
                <w:szCs w:val="21"/>
              </w:rPr>
              <w:t>供应商提交履约保证金应当以转账、电汇等</w:t>
            </w:r>
            <w:r>
              <w:rPr>
                <w:rFonts w:hint="eastAsia" w:ascii="Times New Roman" w:eastAsia="Times New Roman"/>
                <w:color w:val="auto"/>
                <w:sz w:val="21"/>
                <w:szCs w:val="21"/>
                <w:lang w:val="en-US" w:eastAsia="zh-CN"/>
              </w:rPr>
              <w:t>非现金</w:t>
            </w:r>
            <w:r>
              <w:rPr>
                <w:rFonts w:hint="eastAsia" w:ascii="Times New Roman" w:eastAsia="Times New Roman"/>
                <w:color w:val="auto"/>
                <w:sz w:val="21"/>
                <w:szCs w:val="21"/>
              </w:rPr>
              <w:t>形式缴入采购人指定账户。</w:t>
            </w:r>
            <w:r>
              <w:rPr>
                <w:rFonts w:hint="eastAsia" w:ascii="Times New Roman"/>
                <w:color w:val="auto"/>
                <w:sz w:val="21"/>
                <w:szCs w:val="21"/>
                <w:lang w:val="en-US" w:eastAsia="zh-CN"/>
              </w:rPr>
              <w:t>成交</w:t>
            </w:r>
            <w:r>
              <w:rPr>
                <w:rFonts w:hint="eastAsia" w:ascii="Times New Roman" w:eastAsia="Times New Roman"/>
                <w:color w:val="auto"/>
                <w:sz w:val="21"/>
                <w:szCs w:val="21"/>
              </w:rPr>
              <w:t>供应商履行完合同约定权利义务事项且货物免费保修期满后，若货物无质量问题，</w:t>
            </w:r>
            <w:r>
              <w:rPr>
                <w:rFonts w:hint="eastAsia" w:ascii="Times New Roman"/>
                <w:color w:val="auto"/>
                <w:sz w:val="21"/>
                <w:szCs w:val="21"/>
                <w:lang w:val="en-US" w:eastAsia="zh-CN"/>
              </w:rPr>
              <w:t>成交</w:t>
            </w:r>
            <w:r>
              <w:rPr>
                <w:rFonts w:hint="eastAsia" w:ascii="Times New Roman" w:eastAsia="Times New Roman"/>
                <w:color w:val="auto"/>
                <w:sz w:val="21"/>
                <w:szCs w:val="21"/>
              </w:rPr>
              <w:t>供应商凭《政府采购项目验收单》和履约保证金缴纳凭证</w:t>
            </w:r>
            <w:r>
              <w:rPr>
                <w:rFonts w:hint="eastAsia" w:ascii="Times New Roman" w:eastAsia="Times New Roman"/>
                <w:color w:val="auto"/>
                <w:sz w:val="21"/>
                <w:szCs w:val="21"/>
                <w:lang w:val="en-US" w:eastAsia="zh-CN"/>
              </w:rPr>
              <w:t>原件</w:t>
            </w:r>
            <w:r>
              <w:rPr>
                <w:rFonts w:hint="eastAsia" w:ascii="Times New Roman" w:eastAsia="Times New Roman"/>
                <w:color w:val="auto"/>
                <w:sz w:val="21"/>
                <w:szCs w:val="21"/>
              </w:rPr>
              <w:t>向</w:t>
            </w:r>
            <w:r>
              <w:rPr>
                <w:rFonts w:hint="eastAsia" w:ascii="Times New Roman" w:eastAsia="Times New Roman"/>
                <w:color w:val="auto"/>
                <w:sz w:val="21"/>
                <w:szCs w:val="21"/>
                <w:lang w:val="en-US" w:eastAsia="zh-CN"/>
              </w:rPr>
              <w:t>桂林电子科技大学</w:t>
            </w:r>
            <w:r>
              <w:rPr>
                <w:rFonts w:hint="eastAsia" w:ascii="Times New Roman" w:eastAsia="Times New Roman"/>
                <w:color w:val="auto"/>
                <w:sz w:val="21"/>
                <w:szCs w:val="21"/>
              </w:rPr>
              <w:t>申请办理退还手续</w:t>
            </w:r>
            <w:r>
              <w:rPr>
                <w:rFonts w:hint="eastAsia" w:ascii="Times New Roman" w:eastAsia="Times New Roman"/>
                <w:color w:val="auto"/>
                <w:sz w:val="21"/>
                <w:szCs w:val="21"/>
                <w:lang w:eastAsia="zh-CN"/>
              </w:rPr>
              <w:t>，</w:t>
            </w:r>
            <w:r>
              <w:rPr>
                <w:rFonts w:hint="eastAsia" w:ascii="Times New Roman" w:eastAsia="Times New Roman"/>
                <w:color w:val="auto"/>
                <w:sz w:val="21"/>
                <w:szCs w:val="21"/>
                <w:lang w:val="en-US" w:eastAsia="zh-CN"/>
              </w:rPr>
              <w:t>桂林电子科技大学</w:t>
            </w:r>
            <w:r>
              <w:rPr>
                <w:rFonts w:hint="eastAsia" w:ascii="Times New Roman" w:eastAsia="Times New Roman"/>
                <w:color w:val="auto"/>
                <w:sz w:val="21"/>
                <w:szCs w:val="21"/>
                <w:lang w:eastAsia="zh-CN"/>
              </w:rPr>
              <w:t>在</w:t>
            </w:r>
            <w:r>
              <w:rPr>
                <w:rFonts w:hint="eastAsia" w:ascii="Times New Roman" w:eastAsia="Times New Roman"/>
                <w:color w:val="auto"/>
                <w:sz w:val="21"/>
                <w:szCs w:val="21"/>
              </w:rPr>
              <w:t>5个工作日内无息退还。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gridSpan w:val="2"/>
            <w:vAlign w:val="center"/>
          </w:tcPr>
          <w:p>
            <w:pPr>
              <w:spacing w:line="340" w:lineRule="exact"/>
              <w:jc w:val="center"/>
              <w:rPr>
                <w:rFonts w:hint="eastAsia"/>
                <w:color w:val="auto"/>
                <w:sz w:val="21"/>
                <w:szCs w:val="21"/>
              </w:rPr>
            </w:pPr>
            <w:r>
              <w:rPr>
                <w:rFonts w:hint="eastAsia"/>
                <w:color w:val="auto"/>
              </w:rPr>
              <w:t>★</w:t>
            </w:r>
            <w:r>
              <w:rPr>
                <w:rFonts w:hint="eastAsia"/>
                <w:color w:val="auto"/>
                <w:szCs w:val="21"/>
              </w:rPr>
              <w:t>质量标准</w:t>
            </w:r>
          </w:p>
        </w:tc>
        <w:tc>
          <w:tcPr>
            <w:tcW w:w="9362" w:type="dxa"/>
            <w:gridSpan w:val="3"/>
            <w:vAlign w:val="top"/>
          </w:tcPr>
          <w:p>
            <w:pPr>
              <w:spacing w:line="340" w:lineRule="exact"/>
              <w:rPr>
                <w:rFonts w:hint="eastAsia"/>
                <w:color w:val="auto"/>
                <w:sz w:val="21"/>
                <w:szCs w:val="21"/>
              </w:rPr>
            </w:pPr>
            <w:r>
              <w:rPr>
                <w:rFonts w:hint="eastAsia"/>
                <w:color w:val="auto"/>
                <w:sz w:val="21"/>
                <w:szCs w:val="21"/>
              </w:rPr>
              <w:t>符合产品制造厂家合格产品的出厂质量标准；产品需全新、完好、无破损。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gridSpan w:val="2"/>
            <w:vAlign w:val="center"/>
          </w:tcPr>
          <w:p>
            <w:pPr>
              <w:spacing w:line="340" w:lineRule="exact"/>
              <w:jc w:val="center"/>
              <w:rPr>
                <w:rFonts w:hint="eastAsia"/>
                <w:color w:val="auto"/>
                <w:sz w:val="21"/>
                <w:szCs w:val="21"/>
              </w:rPr>
            </w:pPr>
            <w:r>
              <w:rPr>
                <w:rFonts w:hint="eastAsia"/>
                <w:color w:val="auto"/>
              </w:rPr>
              <w:t>★</w:t>
            </w:r>
            <w:r>
              <w:rPr>
                <w:rFonts w:hint="eastAsia"/>
                <w:color w:val="auto"/>
                <w:szCs w:val="21"/>
              </w:rPr>
              <w:t>验收条件及标准</w:t>
            </w:r>
          </w:p>
        </w:tc>
        <w:tc>
          <w:tcPr>
            <w:tcW w:w="9362" w:type="dxa"/>
            <w:gridSpan w:val="3"/>
            <w:vAlign w:val="center"/>
          </w:tcPr>
          <w:p>
            <w:pPr>
              <w:spacing w:line="340" w:lineRule="exact"/>
              <w:rPr>
                <w:color w:val="auto"/>
                <w:sz w:val="21"/>
                <w:szCs w:val="21"/>
              </w:rPr>
            </w:pPr>
            <w:r>
              <w:rPr>
                <w:rFonts w:hint="eastAsia"/>
                <w:color w:val="auto"/>
                <w:sz w:val="21"/>
                <w:szCs w:val="21"/>
              </w:rPr>
              <w:t>1、本项目所有产品，甲乙双方人员参与现场验收，验收结果与投标文件中承诺的技术参数及本项目招标文件要求一致或优于的，视为相关产品验收合格，由采购方签署验收合格文件。验收依据为：本项目招标文件、中标人的投标文件。</w:t>
            </w:r>
          </w:p>
          <w:p>
            <w:pPr>
              <w:spacing w:line="340" w:lineRule="exact"/>
              <w:rPr>
                <w:color w:val="auto"/>
                <w:sz w:val="21"/>
                <w:szCs w:val="21"/>
              </w:rPr>
            </w:pPr>
            <w:r>
              <w:rPr>
                <w:rFonts w:hint="eastAsia"/>
                <w:color w:val="auto"/>
                <w:sz w:val="21"/>
                <w:szCs w:val="21"/>
              </w:rPr>
              <w:t>2、验收过程中甲乙双方对验收结果如有异议，采购单位</w:t>
            </w:r>
            <w:r>
              <w:rPr>
                <w:rFonts w:hint="eastAsia"/>
                <w:color w:val="auto"/>
                <w:sz w:val="21"/>
                <w:szCs w:val="21"/>
                <w:lang w:val="en-US"/>
              </w:rPr>
              <w:t>可委托具有CMA认证的第三方检测机构按</w:t>
            </w:r>
            <w:r>
              <w:rPr>
                <w:color w:val="auto"/>
                <w:sz w:val="21"/>
                <w:szCs w:val="21"/>
              </w:rPr>
              <w:t>GB/T 3325-2017《金属家具通用技术条件》</w:t>
            </w:r>
            <w:r>
              <w:rPr>
                <w:rFonts w:hint="eastAsia"/>
                <w:color w:val="auto"/>
                <w:sz w:val="21"/>
                <w:szCs w:val="21"/>
                <w:lang w:val="en-US"/>
              </w:rPr>
              <w:t>标准要求</w:t>
            </w:r>
            <w:r>
              <w:rPr>
                <w:rFonts w:hint="eastAsia"/>
                <w:color w:val="auto"/>
                <w:sz w:val="21"/>
                <w:szCs w:val="21"/>
              </w:rPr>
              <w:t>随机抽检</w:t>
            </w:r>
            <w:r>
              <w:rPr>
                <w:rFonts w:hint="eastAsia"/>
                <w:color w:val="auto"/>
                <w:sz w:val="21"/>
                <w:szCs w:val="21"/>
                <w:lang w:val="en-US"/>
              </w:rPr>
              <w:t>对应数量</w:t>
            </w:r>
            <w:r>
              <w:rPr>
                <w:rFonts w:hint="eastAsia"/>
                <w:color w:val="auto"/>
                <w:sz w:val="21"/>
                <w:szCs w:val="21"/>
              </w:rPr>
              <w:t>家具成品进行破坏性检测，相关检测费用由中标人承担。如检测结果不符合招标文件要求及投标文件承诺的，采购单位将扩大检测范围，相关检测费用仍由中标人承担，同时均需中标人对被抽检产品做无偿补全，如仍不符合招标文件要求及投标文件承诺的，采购单位有权解除合同，双方相关的损失均由中标人承担。</w:t>
            </w:r>
          </w:p>
          <w:p>
            <w:pPr>
              <w:adjustRightInd w:val="0"/>
              <w:spacing w:line="340" w:lineRule="exact"/>
              <w:rPr>
                <w:rFonts w:hint="eastAsia"/>
                <w:color w:val="auto"/>
                <w:sz w:val="21"/>
                <w:szCs w:val="21"/>
              </w:rPr>
            </w:pPr>
            <w:r>
              <w:rPr>
                <w:rFonts w:hint="eastAsia"/>
                <w:color w:val="auto"/>
                <w:sz w:val="21"/>
                <w:szCs w:val="21"/>
              </w:rPr>
              <w:t>3、验收方式：现场验收。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gridSpan w:val="2"/>
            <w:vAlign w:val="center"/>
          </w:tcPr>
          <w:p>
            <w:pPr>
              <w:spacing w:line="340" w:lineRule="exact"/>
              <w:jc w:val="center"/>
              <w:rPr>
                <w:rFonts w:hint="eastAsia"/>
                <w:color w:val="auto"/>
                <w:sz w:val="21"/>
                <w:szCs w:val="21"/>
              </w:rPr>
            </w:pPr>
            <w:r>
              <w:rPr>
                <w:rFonts w:hint="eastAsia"/>
                <w:color w:val="auto"/>
                <w:sz w:val="21"/>
                <w:szCs w:val="21"/>
              </w:rPr>
              <w:t>样品要求</w:t>
            </w:r>
          </w:p>
        </w:tc>
        <w:tc>
          <w:tcPr>
            <w:tcW w:w="9362" w:type="dxa"/>
            <w:gridSpan w:val="3"/>
            <w:vAlign w:val="center"/>
          </w:tcPr>
          <w:p>
            <w:pPr>
              <w:pStyle w:val="2"/>
              <w:rPr>
                <w:b w:val="0"/>
                <w:bCs w:val="0"/>
                <w:color w:val="auto"/>
                <w:sz w:val="21"/>
                <w:szCs w:val="21"/>
              </w:rPr>
            </w:pPr>
            <w:r>
              <w:rPr>
                <w:rFonts w:hint="eastAsia"/>
                <w:b w:val="0"/>
                <w:bCs w:val="0"/>
                <w:color w:val="auto"/>
                <w:sz w:val="21"/>
                <w:szCs w:val="21"/>
                <w:lang w:val="en-US"/>
              </w:rPr>
              <w:t>1.</w:t>
            </w:r>
            <w:r>
              <w:rPr>
                <w:rFonts w:hint="eastAsia"/>
                <w:b w:val="0"/>
                <w:bCs w:val="0"/>
                <w:color w:val="auto"/>
                <w:sz w:val="21"/>
                <w:szCs w:val="21"/>
              </w:rPr>
              <w:t xml:space="preserve">投标人按照本项目“样品递交要求”递交所投货物的以下主材小样以及五金配件： </w:t>
            </w:r>
          </w:p>
          <w:p>
            <w:pPr>
              <w:pStyle w:val="2"/>
              <w:rPr>
                <w:b w:val="0"/>
                <w:bCs w:val="0"/>
                <w:color w:val="auto"/>
                <w:sz w:val="21"/>
                <w:szCs w:val="21"/>
              </w:rPr>
            </w:pPr>
            <w:r>
              <w:rPr>
                <w:rFonts w:hint="eastAsia"/>
                <w:b w:val="0"/>
                <w:bCs w:val="0"/>
                <w:color w:val="auto"/>
                <w:sz w:val="21"/>
                <w:szCs w:val="21"/>
              </w:rPr>
              <w:t>（1）采购需求中第 1 项号货物“三连体学生双层铁架床”提供床立柱</w:t>
            </w:r>
            <w:r>
              <w:rPr>
                <w:rFonts w:hint="eastAsia"/>
                <w:b w:val="0"/>
                <w:bCs w:val="0"/>
                <w:color w:val="auto"/>
                <w:sz w:val="21"/>
                <w:szCs w:val="21"/>
                <w:lang w:eastAsia="zh-CN"/>
              </w:rPr>
              <w:t>、</w:t>
            </w:r>
            <w:r>
              <w:rPr>
                <w:rFonts w:hint="eastAsia"/>
                <w:b w:val="0"/>
                <w:bCs w:val="0"/>
                <w:color w:val="auto"/>
                <w:sz w:val="21"/>
                <w:szCs w:val="21"/>
                <w:lang w:val="en-US" w:eastAsia="zh-CN"/>
              </w:rPr>
              <w:t>床横梁两</w:t>
            </w:r>
            <w:r>
              <w:rPr>
                <w:rFonts w:hint="eastAsia"/>
                <w:b w:val="0"/>
                <w:bCs w:val="0"/>
                <w:color w:val="auto"/>
                <w:sz w:val="21"/>
                <w:szCs w:val="21"/>
              </w:rPr>
              <w:t>项主材小样，样品是经过除油除锈磷化的半成品，长度≥</w:t>
            </w:r>
            <w:r>
              <w:rPr>
                <w:rFonts w:hint="eastAsia"/>
                <w:b w:val="0"/>
                <w:bCs w:val="0"/>
                <w:color w:val="auto"/>
                <w:sz w:val="21"/>
                <w:szCs w:val="21"/>
                <w:lang w:val="en-US" w:eastAsia="zh-CN"/>
              </w:rPr>
              <w:t>5</w:t>
            </w:r>
            <w:r>
              <w:rPr>
                <w:rFonts w:hint="eastAsia"/>
                <w:b w:val="0"/>
                <w:bCs w:val="0"/>
                <w:color w:val="auto"/>
                <w:sz w:val="21"/>
                <w:szCs w:val="21"/>
              </w:rPr>
              <w:t>00mm，小样为整条钢管，不允许拼接，小样1/2有涂饰层1/2为裸材，主材小样均可见横截面。床爬梯完整（包含踏板、床梯主管）小样一套，各部件小样须清楚标明名称。</w:t>
            </w:r>
          </w:p>
          <w:p>
            <w:pPr>
              <w:pStyle w:val="2"/>
              <w:rPr>
                <w:b w:val="0"/>
                <w:bCs w:val="0"/>
                <w:color w:val="auto"/>
                <w:sz w:val="21"/>
                <w:szCs w:val="21"/>
              </w:rPr>
            </w:pPr>
            <w:r>
              <w:rPr>
                <w:rFonts w:hint="eastAsia"/>
                <w:b w:val="0"/>
                <w:bCs w:val="0"/>
                <w:color w:val="auto"/>
                <w:sz w:val="21"/>
                <w:szCs w:val="21"/>
              </w:rPr>
              <w:t xml:space="preserve">（2）采购需求中第 </w:t>
            </w:r>
            <w:r>
              <w:rPr>
                <w:rFonts w:hint="eastAsia"/>
                <w:b w:val="0"/>
                <w:bCs w:val="0"/>
                <w:color w:val="auto"/>
                <w:sz w:val="21"/>
                <w:szCs w:val="21"/>
                <w:lang w:val="en-US"/>
              </w:rPr>
              <w:t>4</w:t>
            </w:r>
            <w:r>
              <w:rPr>
                <w:rFonts w:hint="eastAsia"/>
                <w:b w:val="0"/>
                <w:bCs w:val="0"/>
                <w:color w:val="auto"/>
                <w:sz w:val="21"/>
                <w:szCs w:val="21"/>
              </w:rPr>
              <w:t xml:space="preserve"> 项号货物“二连组合柜”中</w:t>
            </w:r>
            <w:r>
              <w:rPr>
                <w:rFonts w:hint="eastAsia"/>
                <w:b w:val="0"/>
                <w:bCs w:val="0"/>
                <w:color w:val="auto"/>
                <w:sz w:val="21"/>
                <w:szCs w:val="21"/>
                <w:lang w:val="en-US"/>
              </w:rPr>
              <w:t>25mm刨花板</w:t>
            </w:r>
            <w:r>
              <w:rPr>
                <w:rFonts w:hint="eastAsia"/>
                <w:b w:val="0"/>
                <w:bCs w:val="0"/>
                <w:color w:val="auto"/>
                <w:sz w:val="21"/>
                <w:szCs w:val="21"/>
              </w:rPr>
              <w:t>板材小样 1 件（规格≥</w:t>
            </w:r>
            <w:r>
              <w:rPr>
                <w:rFonts w:hint="eastAsia"/>
                <w:b w:val="0"/>
                <w:bCs w:val="0"/>
                <w:color w:val="auto"/>
                <w:sz w:val="21"/>
                <w:szCs w:val="21"/>
                <w:lang w:val="en-US"/>
              </w:rPr>
              <w:t>250mm</w:t>
            </w:r>
            <w:r>
              <w:rPr>
                <w:rFonts w:hint="eastAsia"/>
                <w:b w:val="0"/>
                <w:bCs w:val="0"/>
                <w:color w:val="auto"/>
                <w:sz w:val="21"/>
                <w:szCs w:val="21"/>
              </w:rPr>
              <w:t>×</w:t>
            </w:r>
            <w:r>
              <w:rPr>
                <w:rFonts w:hint="eastAsia"/>
                <w:b w:val="0"/>
                <w:bCs w:val="0"/>
                <w:color w:val="auto"/>
                <w:sz w:val="21"/>
                <w:szCs w:val="21"/>
                <w:lang w:val="en-US"/>
              </w:rPr>
              <w:t>250mm</w:t>
            </w:r>
            <w:r>
              <w:rPr>
                <w:rFonts w:hint="eastAsia"/>
                <w:b w:val="0"/>
                <w:bCs w:val="0"/>
                <w:color w:val="auto"/>
                <w:sz w:val="21"/>
                <w:szCs w:val="21"/>
              </w:rPr>
              <w:t>，三面封边一面裸露），组合柜五金配件（包括抽屉导轨、铰链、拉手及挂锁扣）各1件</w:t>
            </w:r>
            <w:r>
              <w:rPr>
                <w:rFonts w:hint="eastAsia"/>
                <w:b w:val="0"/>
                <w:bCs w:val="0"/>
                <w:color w:val="auto"/>
                <w:sz w:val="21"/>
                <w:szCs w:val="21"/>
                <w:lang w:val="en-US"/>
              </w:rPr>
              <w:t>；</w:t>
            </w:r>
            <w:r>
              <w:rPr>
                <w:rFonts w:hint="eastAsia"/>
                <w:b w:val="0"/>
                <w:bCs w:val="0"/>
                <w:color w:val="auto"/>
                <w:sz w:val="21"/>
                <w:szCs w:val="21"/>
              </w:rPr>
              <w:t>第</w:t>
            </w:r>
            <w:r>
              <w:rPr>
                <w:rFonts w:hint="eastAsia"/>
                <w:b w:val="0"/>
                <w:bCs w:val="0"/>
                <w:color w:val="auto"/>
                <w:sz w:val="21"/>
                <w:szCs w:val="21"/>
                <w:lang w:val="en-US"/>
              </w:rPr>
              <w:t>4项号货物“</w:t>
            </w:r>
            <w:r>
              <w:rPr>
                <w:rFonts w:hint="eastAsia"/>
                <w:b w:val="0"/>
                <w:bCs w:val="0"/>
                <w:color w:val="auto"/>
                <w:sz w:val="21"/>
                <w:szCs w:val="21"/>
              </w:rPr>
              <w:t>二连组合柜</w:t>
            </w:r>
            <w:r>
              <w:rPr>
                <w:rFonts w:hint="eastAsia"/>
                <w:b w:val="0"/>
                <w:bCs w:val="0"/>
                <w:color w:val="auto"/>
                <w:sz w:val="21"/>
                <w:szCs w:val="21"/>
                <w:lang w:val="en-US"/>
              </w:rPr>
              <w:t>”的铝合金框架1套</w:t>
            </w:r>
            <w:r>
              <w:rPr>
                <w:rFonts w:hint="eastAsia"/>
                <w:bCs/>
                <w:color w:val="auto"/>
                <w:sz w:val="21"/>
                <w:szCs w:val="21"/>
              </w:rPr>
              <w:t>（框架铝材≥48mm×48mm、≥28mm×34mm组合，</w:t>
            </w:r>
            <w:r>
              <w:rPr>
                <w:rFonts w:hint="eastAsia"/>
                <w:color w:val="auto"/>
                <w:sz w:val="21"/>
                <w:szCs w:val="21"/>
              </w:rPr>
              <w:t>合金连接插件，底部配橡胶防震调节脚</w:t>
            </w:r>
            <w:r>
              <w:rPr>
                <w:rFonts w:hint="eastAsia"/>
                <w:bCs/>
                <w:color w:val="auto"/>
                <w:sz w:val="21"/>
                <w:szCs w:val="21"/>
              </w:rPr>
              <w:t>）</w:t>
            </w:r>
            <w:r>
              <w:rPr>
                <w:rFonts w:hint="eastAsia"/>
                <w:b w:val="0"/>
                <w:bCs w:val="0"/>
                <w:color w:val="auto"/>
                <w:sz w:val="21"/>
                <w:szCs w:val="21"/>
              </w:rPr>
              <w:t xml:space="preserve">。主材小样及五金配件均要求清楚标明所用材料名称。 </w:t>
            </w:r>
          </w:p>
          <w:p>
            <w:pPr>
              <w:pStyle w:val="2"/>
              <w:rPr>
                <w:b w:val="0"/>
                <w:bCs w:val="0"/>
                <w:color w:val="auto"/>
                <w:sz w:val="21"/>
                <w:szCs w:val="21"/>
              </w:rPr>
            </w:pPr>
            <w:r>
              <w:rPr>
                <w:rFonts w:hint="eastAsia"/>
                <w:b w:val="0"/>
                <w:bCs w:val="0"/>
                <w:color w:val="auto"/>
                <w:sz w:val="21"/>
                <w:szCs w:val="21"/>
              </w:rPr>
              <w:t xml:space="preserve">（3）采购需求中第 </w:t>
            </w:r>
            <w:r>
              <w:rPr>
                <w:rFonts w:hint="eastAsia"/>
                <w:b w:val="0"/>
                <w:bCs w:val="0"/>
                <w:color w:val="auto"/>
                <w:sz w:val="21"/>
                <w:szCs w:val="21"/>
                <w:lang w:val="en-US"/>
              </w:rPr>
              <w:t>5</w:t>
            </w:r>
            <w:r>
              <w:rPr>
                <w:rFonts w:hint="eastAsia"/>
                <w:b w:val="0"/>
                <w:bCs w:val="0"/>
                <w:color w:val="auto"/>
                <w:sz w:val="21"/>
                <w:szCs w:val="21"/>
              </w:rPr>
              <w:t>项号货物“六门储物柜”的主材小样钢板 1 件（主材小样规格≥100mm×100mm，其中裸露部分≥30mm，其余部分为有喷塑层的。主材小样要求清楚标明所用材料名称。</w:t>
            </w:r>
          </w:p>
          <w:p>
            <w:pPr>
              <w:pStyle w:val="2"/>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2.样品递交要求： </w:t>
            </w:r>
          </w:p>
          <w:p>
            <w:pPr>
              <w:pStyle w:val="2"/>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（1）样品递交时间：2020 年 </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 xml:space="preserve"> 月 </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 xml:space="preserve"> 日上午</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cs="宋体"/>
                <w:color w:val="auto"/>
                <w:sz w:val="21"/>
                <w:szCs w:val="21"/>
                <w:highlight w:val="none"/>
              </w:rPr>
              <w:t xml:space="preserve">分至2020 年 </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 xml:space="preserve"> 月 </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 xml:space="preserve"> 日上午</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时</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止</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 xml:space="preserve">样品递交截止时间与投标截止时间一致。 </w:t>
            </w:r>
          </w:p>
          <w:p>
            <w:pPr>
              <w:pStyle w:val="2"/>
              <w:spacing w:line="44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（2）样品递交地点：桂林市公共资源交易中心（桂林市临桂区西城中路69号创业大厦西辅楼4楼）</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lang w:val="en-US" w:eastAsia="zh-CN"/>
              </w:rPr>
              <w:t>号开标室</w:t>
            </w:r>
          </w:p>
          <w:p>
            <w:pPr>
              <w:pStyle w:val="2"/>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（3）样</w:t>
            </w:r>
            <w:r>
              <w:rPr>
                <w:rFonts w:hint="eastAsia" w:ascii="宋体" w:hAnsi="宋体" w:cs="宋体"/>
                <w:color w:val="auto"/>
                <w:sz w:val="21"/>
                <w:szCs w:val="21"/>
                <w:highlight w:val="none"/>
                <w:lang w:val="en-US" w:eastAsia="zh-CN"/>
              </w:rPr>
              <w:t>品</w:t>
            </w:r>
            <w:r>
              <w:rPr>
                <w:rFonts w:hint="eastAsia" w:ascii="宋体" w:hAnsi="宋体" w:cs="宋体"/>
                <w:color w:val="auto"/>
                <w:sz w:val="21"/>
                <w:szCs w:val="21"/>
                <w:highlight w:val="none"/>
              </w:rPr>
              <w:t xml:space="preserve">只是作为加分项，不作为投标的必须要求； </w:t>
            </w:r>
          </w:p>
          <w:p>
            <w:pPr>
              <w:pStyle w:val="2"/>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（4）样</w:t>
            </w:r>
            <w:r>
              <w:rPr>
                <w:rFonts w:hint="eastAsia" w:ascii="宋体" w:hAnsi="宋体" w:cs="宋体"/>
                <w:color w:val="auto"/>
                <w:sz w:val="21"/>
                <w:szCs w:val="21"/>
                <w:highlight w:val="none"/>
                <w:lang w:val="en-US" w:eastAsia="zh-CN"/>
              </w:rPr>
              <w:t>品</w:t>
            </w:r>
            <w:r>
              <w:rPr>
                <w:rFonts w:hint="eastAsia" w:ascii="宋体" w:hAnsi="宋体" w:cs="宋体"/>
                <w:color w:val="auto"/>
                <w:sz w:val="21"/>
                <w:szCs w:val="21"/>
                <w:highlight w:val="none"/>
              </w:rPr>
              <w:t>递交：</w:t>
            </w:r>
          </w:p>
          <w:p>
            <w:pPr>
              <w:pStyle w:val="2"/>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①所有小样可以统一放进一个箱子（袋子）中提交到</w:t>
            </w:r>
            <w:r>
              <w:rPr>
                <w:rFonts w:hint="eastAsia" w:ascii="宋体" w:hAnsi="宋体" w:cs="宋体"/>
                <w:color w:val="auto"/>
                <w:sz w:val="21"/>
                <w:szCs w:val="21"/>
                <w:highlight w:val="none"/>
                <w:lang w:val="en-US" w:eastAsia="zh-CN"/>
              </w:rPr>
              <w:t>政府集中采购中心</w:t>
            </w:r>
            <w:r>
              <w:rPr>
                <w:rFonts w:hint="eastAsia" w:ascii="宋体" w:hAnsi="宋体" w:cs="宋体"/>
                <w:color w:val="auto"/>
                <w:sz w:val="21"/>
                <w:szCs w:val="21"/>
                <w:highlight w:val="none"/>
              </w:rPr>
              <w:t>指定的地方；</w:t>
            </w:r>
          </w:p>
          <w:p>
            <w:pPr>
              <w:pStyle w:val="2"/>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②箱子(袋子)正面贴上投标人名称、项目名称和项目编号等信息的标签；</w:t>
            </w:r>
          </w:p>
          <w:p>
            <w:pPr>
              <w:pStyle w:val="2"/>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③各小样不能出现任何厂家（公司）或投标品牌标识，如出现透露信息的标识，小样不得进行评定；</w:t>
            </w:r>
          </w:p>
          <w:p>
            <w:pPr>
              <w:pStyle w:val="2"/>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④</w:t>
            </w:r>
            <w:r>
              <w:rPr>
                <w:rFonts w:hint="eastAsia" w:ascii="宋体" w:hAnsi="宋体" w:cs="宋体"/>
                <w:color w:val="auto"/>
                <w:sz w:val="21"/>
                <w:szCs w:val="21"/>
                <w:highlight w:val="none"/>
                <w:lang w:val="en-US" w:eastAsia="zh-CN"/>
              </w:rPr>
              <w:t>政府集中采购中心</w:t>
            </w:r>
            <w:r>
              <w:rPr>
                <w:rFonts w:hint="eastAsia" w:ascii="宋体" w:hAnsi="宋体" w:cs="宋体"/>
                <w:color w:val="auto"/>
                <w:sz w:val="21"/>
                <w:szCs w:val="21"/>
                <w:highlight w:val="none"/>
              </w:rPr>
              <w:t>工作人员只负责按箱（袋）数接收样品；评标前由</w:t>
            </w:r>
            <w:r>
              <w:rPr>
                <w:rFonts w:hint="eastAsia" w:ascii="宋体" w:hAnsi="宋体" w:cs="宋体"/>
                <w:color w:val="auto"/>
                <w:sz w:val="21"/>
                <w:szCs w:val="21"/>
                <w:highlight w:val="none"/>
                <w:lang w:val="en-US" w:eastAsia="zh-CN"/>
              </w:rPr>
              <w:t>政府集中采购中心</w:t>
            </w:r>
            <w:r>
              <w:rPr>
                <w:rFonts w:hint="eastAsia" w:ascii="宋体" w:hAnsi="宋体" w:cs="宋体"/>
                <w:color w:val="auto"/>
                <w:sz w:val="21"/>
                <w:szCs w:val="21"/>
                <w:highlight w:val="none"/>
              </w:rPr>
              <w:t>工作人员将对投标人的标签进行遮盖，评定样</w:t>
            </w:r>
            <w:r>
              <w:rPr>
                <w:rFonts w:hint="eastAsia" w:ascii="宋体" w:hAnsi="宋体" w:cs="宋体"/>
                <w:color w:val="auto"/>
                <w:sz w:val="21"/>
                <w:szCs w:val="21"/>
                <w:highlight w:val="none"/>
                <w:lang w:val="en-US" w:eastAsia="zh-CN"/>
              </w:rPr>
              <w:t>品</w:t>
            </w:r>
            <w:r>
              <w:rPr>
                <w:rFonts w:hint="eastAsia" w:ascii="宋体" w:hAnsi="宋体" w:cs="宋体"/>
                <w:color w:val="auto"/>
                <w:sz w:val="21"/>
                <w:szCs w:val="21"/>
                <w:highlight w:val="none"/>
              </w:rPr>
              <w:t>时由评</w:t>
            </w:r>
            <w:r>
              <w:rPr>
                <w:rFonts w:hint="eastAsia" w:ascii="宋体" w:hAnsi="宋体" w:cs="宋体"/>
                <w:color w:val="auto"/>
                <w:sz w:val="21"/>
                <w:szCs w:val="21"/>
                <w:highlight w:val="none"/>
                <w:lang w:val="en-US" w:eastAsia="zh-CN"/>
              </w:rPr>
              <w:t>标委员会共同启封</w:t>
            </w:r>
            <w:r>
              <w:rPr>
                <w:rFonts w:hint="eastAsia" w:ascii="宋体" w:hAnsi="宋体" w:cs="宋体"/>
                <w:color w:val="auto"/>
                <w:sz w:val="21"/>
                <w:szCs w:val="21"/>
                <w:highlight w:val="none"/>
              </w:rPr>
              <w:t>，待评定样</w:t>
            </w:r>
            <w:r>
              <w:rPr>
                <w:rFonts w:hint="eastAsia" w:ascii="宋体" w:hAnsi="宋体" w:cs="宋体"/>
                <w:color w:val="auto"/>
                <w:sz w:val="21"/>
                <w:szCs w:val="21"/>
                <w:highlight w:val="none"/>
                <w:lang w:val="en-US" w:eastAsia="zh-CN"/>
              </w:rPr>
              <w:t>品</w:t>
            </w:r>
            <w:r>
              <w:rPr>
                <w:rFonts w:hint="eastAsia" w:ascii="宋体" w:hAnsi="宋体" w:cs="宋体"/>
                <w:color w:val="auto"/>
                <w:sz w:val="21"/>
                <w:szCs w:val="21"/>
                <w:highlight w:val="none"/>
              </w:rPr>
              <w:t>完毕后，再统一拆封所有投标人的标签。</w:t>
            </w:r>
          </w:p>
          <w:p>
            <w:pPr>
              <w:pStyle w:val="24"/>
              <w:spacing w:before="0" w:beforeAutospacing="0" w:after="0" w:afterAutospacing="0" w:line="340" w:lineRule="exact"/>
              <w:rPr>
                <w:color w:val="auto"/>
                <w:sz w:val="21"/>
                <w:szCs w:val="21"/>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）采购结果公告后，中标人样品不退，作为验收依据之一。其余未中标的样品在接到本中心通知后两个工作日内予以退回，不及时领取样品所造成的损失，投标人自行承担。</w:t>
            </w:r>
          </w:p>
          <w:p>
            <w:pPr>
              <w:pStyle w:val="24"/>
              <w:spacing w:before="0" w:beforeAutospacing="0" w:after="0" w:afterAutospacing="0" w:line="340" w:lineRule="exact"/>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gridSpan w:val="2"/>
            <w:vAlign w:val="center"/>
          </w:tcPr>
          <w:p>
            <w:pPr>
              <w:spacing w:line="340" w:lineRule="exact"/>
              <w:jc w:val="center"/>
              <w:rPr>
                <w:rFonts w:hint="eastAsia"/>
                <w:color w:val="auto"/>
                <w:sz w:val="21"/>
                <w:szCs w:val="21"/>
              </w:rPr>
            </w:pPr>
            <w:r>
              <w:rPr>
                <w:rFonts w:hint="eastAsia"/>
                <w:color w:val="auto"/>
              </w:rPr>
              <w:t>★</w:t>
            </w:r>
            <w:r>
              <w:rPr>
                <w:rFonts w:hint="eastAsia"/>
                <w:color w:val="auto"/>
                <w:szCs w:val="21"/>
              </w:rPr>
              <w:t>其他要求</w:t>
            </w:r>
          </w:p>
        </w:tc>
        <w:tc>
          <w:tcPr>
            <w:tcW w:w="9362" w:type="dxa"/>
            <w:gridSpan w:val="3"/>
            <w:vAlign w:val="top"/>
          </w:tcPr>
          <w:p>
            <w:pPr>
              <w:pStyle w:val="2"/>
              <w:keepNext w:val="0"/>
              <w:keepLines w:val="0"/>
              <w:pageBreakBefore w:val="0"/>
              <w:widowControl w:val="0"/>
              <w:kinsoku/>
              <w:wordWrap/>
              <w:overflowPunct/>
              <w:topLinePunct w:val="0"/>
              <w:autoSpaceDE/>
              <w:autoSpaceDN/>
              <w:bidi w:val="0"/>
              <w:adjustRightInd/>
              <w:snapToGrid/>
              <w:spacing w:line="400" w:lineRule="exact"/>
              <w:ind w:left="10" w:right="151"/>
              <w:textAlignment w:val="auto"/>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1、本项目采购总预算金额：人民币壹仟叁佰贰拾叁万贰仟元整（¥13232000.00），其中A分标预算金额：人民币肆佰柒拾柒万贰仟伍佰元整（¥4772500.00）；B分标预算金额：人民币肆佰柒拾柒万贰仟伍佰元整（¥4772500.00）；C分标预算金额：人民币叁佰陆拾捌万柒仟元整（¥3687000.00）。投标报价超过采购预算金额的，投标文件按无效处理。</w:t>
            </w:r>
          </w:p>
          <w:p>
            <w:pPr>
              <w:pStyle w:val="2"/>
              <w:keepNext w:val="0"/>
              <w:keepLines w:val="0"/>
              <w:pageBreakBefore w:val="0"/>
              <w:widowControl w:val="0"/>
              <w:kinsoku/>
              <w:wordWrap/>
              <w:overflowPunct/>
              <w:topLinePunct w:val="0"/>
              <w:autoSpaceDE/>
              <w:autoSpaceDN/>
              <w:bidi w:val="0"/>
              <w:adjustRightInd/>
              <w:snapToGrid/>
              <w:spacing w:line="400" w:lineRule="exact"/>
              <w:ind w:left="10" w:right="151"/>
              <w:textAlignment w:val="auto"/>
              <w:rPr>
                <w:rFonts w:hint="eastAsia"/>
                <w:color w:val="auto"/>
                <w:sz w:val="21"/>
                <w:szCs w:val="21"/>
              </w:rPr>
            </w:pP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rPr>
              <w:t>、本项目货物不接受进口产品（即通过中国海关报关验放进入中国境内且产自关境外的产品）参与投标。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96" w:type="dxa"/>
            <w:gridSpan w:val="2"/>
            <w:vAlign w:val="center"/>
          </w:tcPr>
          <w:p>
            <w:pPr>
              <w:spacing w:line="340" w:lineRule="exact"/>
              <w:jc w:val="center"/>
              <w:rPr>
                <w:rFonts w:hint="eastAsia" w:ascii="Times New Roman" w:hAnsi="Times New Roman" w:eastAsia="Times New Roman" w:cs="Times New Roman"/>
                <w:b/>
                <w:color w:val="auto"/>
                <w:kern w:val="2"/>
                <w:sz w:val="21"/>
                <w:szCs w:val="21"/>
                <w:lang w:val="en-US" w:eastAsia="en-US" w:bidi="ar-SA"/>
              </w:rPr>
            </w:pPr>
            <w:r>
              <w:rPr>
                <w:rFonts w:hint="eastAsia"/>
                <w:color w:val="auto"/>
              </w:rPr>
              <w:t>★</w:t>
            </w:r>
            <w:r>
              <w:rPr>
                <w:rFonts w:hint="eastAsia"/>
                <w:b/>
                <w:color w:val="auto"/>
                <w:szCs w:val="21"/>
              </w:rPr>
              <w:t>核心产品</w:t>
            </w:r>
          </w:p>
        </w:tc>
        <w:tc>
          <w:tcPr>
            <w:tcW w:w="9362" w:type="dxa"/>
            <w:gridSpan w:val="3"/>
            <w:vAlign w:val="center"/>
          </w:tcPr>
          <w:p>
            <w:pPr>
              <w:spacing w:line="340" w:lineRule="exact"/>
              <w:jc w:val="both"/>
              <w:rPr>
                <w:rFonts w:hint="eastAsia" w:ascii="Times New Roman" w:hAnsi="Times New Roman" w:eastAsia="宋体" w:cs="Times New Roman"/>
                <w:color w:val="auto"/>
                <w:kern w:val="2"/>
                <w:sz w:val="21"/>
                <w:szCs w:val="21"/>
                <w:lang w:val="en-US" w:eastAsia="zh-CN" w:bidi="ar-SA"/>
              </w:rPr>
            </w:pPr>
            <w:r>
              <w:rPr>
                <w:rFonts w:hint="eastAsia"/>
                <w:b/>
                <w:color w:val="auto"/>
                <w:sz w:val="21"/>
                <w:szCs w:val="21"/>
              </w:rPr>
              <w:t>本项目核心产品为：第 1分项“三连体学生双层铁架床”</w:t>
            </w:r>
          </w:p>
        </w:tc>
      </w:tr>
    </w:tbl>
    <w:p>
      <w:pPr>
        <w:widowControl/>
        <w:jc w:val="left"/>
        <w:rPr>
          <w:rFonts w:hint="eastAsia"/>
          <w:color w:val="auto"/>
        </w:rPr>
      </w:pPr>
    </w:p>
    <w:p>
      <w:pPr>
        <w:widowControl/>
        <w:jc w:val="left"/>
        <w:rPr>
          <w:rFonts w:hint="eastAsia"/>
          <w:color w:val="auto"/>
        </w:rPr>
      </w:pPr>
    </w:p>
    <w:p>
      <w:pPr>
        <w:widowControl/>
        <w:jc w:val="left"/>
        <w:rPr>
          <w:rFonts w:hint="eastAsia"/>
          <w:color w:val="auto"/>
        </w:rPr>
      </w:pPr>
    </w:p>
    <w:p>
      <w:pPr>
        <w:pStyle w:val="2"/>
        <w:rPr>
          <w:rFonts w:hint="eastAsia"/>
          <w:color w:val="auto"/>
        </w:rPr>
      </w:pPr>
    </w:p>
    <w:p>
      <w:pPr>
        <w:pStyle w:val="2"/>
        <w:rPr>
          <w:rFonts w:hint="eastAsia"/>
          <w:color w:val="auto"/>
        </w:rPr>
      </w:pPr>
    </w:p>
    <w:p>
      <w:pPr>
        <w:snapToGrid w:val="0"/>
        <w:spacing w:line="360" w:lineRule="auto"/>
        <w:outlineLvl w:val="1"/>
        <w:rPr>
          <w:b/>
          <w:color w:val="auto"/>
          <w:sz w:val="32"/>
          <w:szCs w:val="32"/>
        </w:rPr>
      </w:pPr>
      <w:bookmarkStart w:id="151" w:name="_Toc14129"/>
      <w:bookmarkStart w:id="152" w:name="_Toc27252"/>
      <w:r>
        <w:rPr>
          <w:rFonts w:hint="eastAsia"/>
          <w:color w:val="auto"/>
          <w:sz w:val="32"/>
          <w:szCs w:val="32"/>
        </w:rPr>
        <w:t>附件：</w:t>
      </w:r>
      <w:bookmarkEnd w:id="151"/>
      <w:bookmarkEnd w:id="152"/>
    </w:p>
    <w:p>
      <w:pPr>
        <w:snapToGrid w:val="0"/>
        <w:spacing w:line="360" w:lineRule="auto"/>
        <w:outlineLvl w:val="1"/>
        <w:rPr>
          <w:b/>
          <w:color w:val="auto"/>
          <w:sz w:val="32"/>
          <w:szCs w:val="32"/>
        </w:rPr>
      </w:pPr>
    </w:p>
    <w:p>
      <w:pPr>
        <w:numPr>
          <w:ilvl w:val="0"/>
          <w:numId w:val="8"/>
        </w:numPr>
        <w:spacing w:line="360" w:lineRule="auto"/>
        <w:jc w:val="center"/>
        <w:outlineLvl w:val="1"/>
        <w:rPr>
          <w:b/>
          <w:bCs/>
          <w:color w:val="auto"/>
          <w:sz w:val="24"/>
          <w:szCs w:val="24"/>
        </w:rPr>
      </w:pPr>
      <w:bookmarkStart w:id="153" w:name="_Toc32556"/>
      <w:bookmarkStart w:id="154" w:name="_Toc5657"/>
      <w:r>
        <w:rPr>
          <w:rFonts w:hint="eastAsia"/>
          <w:b/>
          <w:bCs/>
          <w:color w:val="auto"/>
          <w:sz w:val="24"/>
          <w:szCs w:val="24"/>
        </w:rPr>
        <w:t>三连体学生双层铁架床</w:t>
      </w:r>
      <w:bookmarkEnd w:id="153"/>
      <w:bookmarkEnd w:id="154"/>
    </w:p>
    <w:p>
      <w:pPr>
        <w:pStyle w:val="43"/>
        <w:rPr>
          <w:rFonts w:hAnsi="宋体"/>
          <w:color w:val="auto"/>
          <w:sz w:val="21"/>
          <w:szCs w:val="21"/>
        </w:rPr>
      </w:pPr>
      <w:r>
        <w:rPr>
          <w:rFonts w:hint="eastAsia" w:hAnsi="宋体"/>
          <w:color w:val="auto"/>
          <w:sz w:val="21"/>
          <w:szCs w:val="21"/>
        </w:rPr>
        <w:t>规格：（长×宽×高）：6000mm×900mm×1900mm（±5mm）（到床头框上沿）</w:t>
      </w:r>
    </w:p>
    <w:p>
      <w:pPr>
        <w:pStyle w:val="43"/>
        <w:rPr>
          <w:color w:val="auto"/>
        </w:rPr>
      </w:pPr>
      <w:r>
        <w:rPr>
          <w:rFonts w:hint="eastAsia" w:hAnsi="宋体"/>
          <w:color w:val="auto"/>
          <w:sz w:val="21"/>
          <w:szCs w:val="21"/>
        </w:rPr>
        <w:t>带蚊帐架杆规格：6000mm×900mm×2700mm（±5mm）</w:t>
      </w:r>
    </w:p>
    <w:p>
      <w:pPr>
        <w:pStyle w:val="43"/>
        <w:rPr>
          <w:rFonts w:hAnsi="宋体"/>
          <w:color w:val="auto"/>
          <w:sz w:val="21"/>
          <w:szCs w:val="21"/>
        </w:rPr>
      </w:pPr>
    </w:p>
    <w:p>
      <w:pPr>
        <w:pStyle w:val="9"/>
        <w:rPr>
          <w:color w:val="auto"/>
        </w:rPr>
      </w:pPr>
      <w:r>
        <w:rPr>
          <w:rFonts w:hint="eastAsia"/>
          <w:color w:val="auto"/>
          <w:lang w:val="en-US" w:bidi="ar-SA"/>
        </w:rPr>
        <w:drawing>
          <wp:inline distT="0" distB="0" distL="114300" distR="114300">
            <wp:extent cx="4153535" cy="4008755"/>
            <wp:effectExtent l="0" t="0" r="18415" b="10795"/>
            <wp:docPr id="11" name="图片 11" descr="3a6b81a0479ebba79425346e42442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a6b81a0479ebba79425346e42442af"/>
                    <pic:cNvPicPr>
                      <a:picLocks noChangeAspect="1"/>
                    </pic:cNvPicPr>
                  </pic:nvPicPr>
                  <pic:blipFill>
                    <a:blip r:embed="rId8"/>
                    <a:stretch>
                      <a:fillRect/>
                    </a:stretch>
                  </pic:blipFill>
                  <pic:spPr>
                    <a:xfrm>
                      <a:off x="0" y="0"/>
                      <a:ext cx="4153535" cy="4008755"/>
                    </a:xfrm>
                    <a:prstGeom prst="rect">
                      <a:avLst/>
                    </a:prstGeom>
                  </pic:spPr>
                </pic:pic>
              </a:graphicData>
            </a:graphic>
          </wp:inline>
        </w:drawing>
      </w:r>
    </w:p>
    <w:p>
      <w:pPr>
        <w:numPr>
          <w:ilvl w:val="0"/>
          <w:numId w:val="9"/>
        </w:numPr>
        <w:spacing w:line="360" w:lineRule="auto"/>
        <w:jc w:val="center"/>
        <w:outlineLvl w:val="1"/>
        <w:rPr>
          <w:b/>
          <w:bCs/>
          <w:color w:val="auto"/>
          <w:sz w:val="24"/>
          <w:szCs w:val="24"/>
        </w:rPr>
      </w:pPr>
      <w:bookmarkStart w:id="155" w:name="_Toc13924"/>
      <w:bookmarkStart w:id="156" w:name="_Toc31050"/>
      <w:r>
        <w:rPr>
          <w:rFonts w:hint="eastAsia"/>
          <w:b/>
          <w:bCs/>
          <w:color w:val="auto"/>
          <w:sz w:val="24"/>
          <w:szCs w:val="24"/>
        </w:rPr>
        <w:t>双连体学生双层铁架床</w:t>
      </w:r>
      <w:bookmarkEnd w:id="155"/>
      <w:bookmarkEnd w:id="156"/>
    </w:p>
    <w:p>
      <w:pPr>
        <w:pStyle w:val="43"/>
        <w:rPr>
          <w:rFonts w:hAnsi="宋体"/>
          <w:color w:val="auto"/>
          <w:sz w:val="21"/>
          <w:szCs w:val="21"/>
        </w:rPr>
      </w:pPr>
      <w:r>
        <w:rPr>
          <w:rFonts w:hint="eastAsia" w:hAnsi="宋体"/>
          <w:color w:val="auto"/>
          <w:sz w:val="21"/>
          <w:szCs w:val="21"/>
        </w:rPr>
        <w:t>规格：（长×宽×高）：4000mm×900mm×1900mm（±5mm）（到床头框上沿），</w:t>
      </w:r>
    </w:p>
    <w:p>
      <w:pPr>
        <w:pStyle w:val="43"/>
        <w:rPr>
          <w:rFonts w:hAnsi="宋体"/>
          <w:color w:val="auto"/>
          <w:sz w:val="21"/>
          <w:szCs w:val="21"/>
        </w:rPr>
      </w:pPr>
      <w:r>
        <w:rPr>
          <w:rFonts w:hint="eastAsia" w:hAnsi="宋体"/>
          <w:color w:val="auto"/>
          <w:sz w:val="21"/>
          <w:szCs w:val="21"/>
        </w:rPr>
        <w:t>带蚊帐架杆规格：4000mm×900mm×2700mm（±5mm）</w:t>
      </w:r>
    </w:p>
    <w:p>
      <w:pPr>
        <w:pStyle w:val="43"/>
        <w:jc w:val="center"/>
        <w:rPr>
          <w:rFonts w:hAnsi="宋体"/>
          <w:color w:val="auto"/>
        </w:rPr>
      </w:pPr>
      <w:r>
        <w:rPr>
          <w:rFonts w:hint="eastAsia" w:hAnsi="宋体"/>
          <w:color w:val="auto"/>
        </w:rPr>
        <w:drawing>
          <wp:inline distT="0" distB="0" distL="114300" distR="114300">
            <wp:extent cx="3420745" cy="3610610"/>
            <wp:effectExtent l="0" t="0" r="8255" b="8890"/>
            <wp:docPr id="14" name="图片 14" descr="1ea68d2ecca654e89f3ae335c227a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ea68d2ecca654e89f3ae335c227a9d"/>
                    <pic:cNvPicPr>
                      <a:picLocks noChangeAspect="1"/>
                    </pic:cNvPicPr>
                  </pic:nvPicPr>
                  <pic:blipFill>
                    <a:blip r:embed="rId9"/>
                    <a:stretch>
                      <a:fillRect/>
                    </a:stretch>
                  </pic:blipFill>
                  <pic:spPr>
                    <a:xfrm>
                      <a:off x="0" y="0"/>
                      <a:ext cx="3420745" cy="3610610"/>
                    </a:xfrm>
                    <a:prstGeom prst="rect">
                      <a:avLst/>
                    </a:prstGeom>
                  </pic:spPr>
                </pic:pic>
              </a:graphicData>
            </a:graphic>
          </wp:inline>
        </w:drawing>
      </w:r>
    </w:p>
    <w:p>
      <w:pPr>
        <w:pStyle w:val="43"/>
        <w:rPr>
          <w:rFonts w:hAnsi="宋体"/>
          <w:color w:val="auto"/>
        </w:rPr>
      </w:pPr>
    </w:p>
    <w:p>
      <w:pPr>
        <w:pStyle w:val="43"/>
        <w:numPr>
          <w:ilvl w:val="0"/>
          <w:numId w:val="9"/>
        </w:numPr>
        <w:jc w:val="center"/>
        <w:rPr>
          <w:b/>
          <w:bCs/>
          <w:color w:val="auto"/>
          <w:sz w:val="21"/>
          <w:szCs w:val="21"/>
        </w:rPr>
      </w:pPr>
      <w:r>
        <w:rPr>
          <w:rFonts w:hint="eastAsia"/>
          <w:b/>
          <w:bCs/>
          <w:color w:val="auto"/>
          <w:sz w:val="21"/>
          <w:szCs w:val="21"/>
        </w:rPr>
        <w:t>单连体学生双层铁架床</w:t>
      </w:r>
    </w:p>
    <w:p>
      <w:pPr>
        <w:pStyle w:val="43"/>
        <w:rPr>
          <w:rFonts w:hAnsi="宋体"/>
          <w:color w:val="auto"/>
          <w:sz w:val="21"/>
          <w:szCs w:val="21"/>
        </w:rPr>
      </w:pPr>
      <w:r>
        <w:rPr>
          <w:rFonts w:hint="eastAsia" w:hAnsi="宋体"/>
          <w:color w:val="auto"/>
          <w:sz w:val="21"/>
          <w:szCs w:val="21"/>
        </w:rPr>
        <w:t>规格：（长×宽×高）：2000mm×900mm×1900mm（±5mm）（到床头框上沿），</w:t>
      </w:r>
    </w:p>
    <w:p>
      <w:pPr>
        <w:pStyle w:val="43"/>
        <w:rPr>
          <w:color w:val="auto"/>
        </w:rPr>
      </w:pPr>
      <w:r>
        <w:rPr>
          <w:rFonts w:hint="eastAsia" w:hAnsi="宋体"/>
          <w:color w:val="auto"/>
          <w:sz w:val="21"/>
          <w:szCs w:val="21"/>
        </w:rPr>
        <w:t>带蚊帐架杆规格：2000mm×900mm×2700mm（±5mm）</w:t>
      </w:r>
    </w:p>
    <w:p>
      <w:pPr>
        <w:pStyle w:val="43"/>
        <w:rPr>
          <w:rFonts w:hAnsi="宋体"/>
          <w:color w:val="auto"/>
          <w:sz w:val="21"/>
          <w:szCs w:val="21"/>
        </w:rPr>
      </w:pPr>
    </w:p>
    <w:p>
      <w:pPr>
        <w:pStyle w:val="43"/>
        <w:jc w:val="center"/>
        <w:rPr>
          <w:rFonts w:hAnsi="宋体"/>
          <w:color w:val="auto"/>
        </w:rPr>
      </w:pPr>
      <w:r>
        <w:rPr>
          <w:rFonts w:hint="eastAsia" w:hAnsi="宋体"/>
          <w:color w:val="auto"/>
        </w:rPr>
        <w:drawing>
          <wp:inline distT="0" distB="0" distL="114300" distR="114300">
            <wp:extent cx="2586355" cy="3592830"/>
            <wp:effectExtent l="0" t="0" r="4445" b="7620"/>
            <wp:docPr id="3" name="图片 3" descr="b01414f0d1c91c6d9b2365a5ce43f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01414f0d1c91c6d9b2365a5ce43f61"/>
                    <pic:cNvPicPr>
                      <a:picLocks noChangeAspect="1"/>
                    </pic:cNvPicPr>
                  </pic:nvPicPr>
                  <pic:blipFill>
                    <a:blip r:embed="rId10">
                      <a:lum bright="-12000" contrast="24000"/>
                    </a:blip>
                    <a:stretch>
                      <a:fillRect/>
                    </a:stretch>
                  </pic:blipFill>
                  <pic:spPr>
                    <a:xfrm>
                      <a:off x="0" y="0"/>
                      <a:ext cx="2586355" cy="3592830"/>
                    </a:xfrm>
                    <a:prstGeom prst="rect">
                      <a:avLst/>
                    </a:prstGeom>
                  </pic:spPr>
                </pic:pic>
              </a:graphicData>
            </a:graphic>
          </wp:inline>
        </w:drawing>
      </w:r>
    </w:p>
    <w:p>
      <w:pPr>
        <w:spacing w:line="360" w:lineRule="auto"/>
        <w:jc w:val="center"/>
        <w:outlineLvl w:val="1"/>
        <w:rPr>
          <w:rFonts w:ascii="新宋体" w:hAnsi="新宋体" w:eastAsia="新宋体" w:cs="新宋体"/>
          <w:b/>
          <w:bCs/>
          <w:color w:val="auto"/>
          <w:sz w:val="24"/>
          <w:szCs w:val="24"/>
        </w:rPr>
      </w:pPr>
      <w:bookmarkStart w:id="157" w:name="_Toc28161"/>
      <w:bookmarkStart w:id="158" w:name="_Toc26354"/>
      <w:r>
        <w:rPr>
          <w:rFonts w:hint="eastAsia"/>
          <w:b/>
          <w:bCs/>
          <w:color w:val="auto"/>
          <w:sz w:val="24"/>
          <w:szCs w:val="24"/>
          <w:lang w:val="en-US"/>
        </w:rPr>
        <w:t>4、</w:t>
      </w:r>
      <w:r>
        <w:rPr>
          <w:rFonts w:hint="eastAsia"/>
          <w:b/>
          <w:bCs/>
          <w:color w:val="auto"/>
          <w:sz w:val="24"/>
          <w:szCs w:val="24"/>
        </w:rPr>
        <w:t>二连组合柜</w:t>
      </w:r>
      <w:bookmarkEnd w:id="157"/>
      <w:bookmarkEnd w:id="158"/>
    </w:p>
    <w:p>
      <w:pPr>
        <w:pStyle w:val="43"/>
        <w:rPr>
          <w:rFonts w:ascii="新宋体" w:hAnsi="新宋体" w:eastAsia="新宋体" w:cs="新宋体"/>
          <w:b/>
          <w:color w:val="auto"/>
        </w:rPr>
      </w:pPr>
      <w:r>
        <w:rPr>
          <w:rFonts w:hint="eastAsia" w:ascii="新宋体" w:hAnsi="新宋体" w:eastAsia="新宋体" w:cs="新宋体"/>
          <w:b/>
          <w:color w:val="auto"/>
        </w:rPr>
        <w:t>二连组合柜：</w:t>
      </w:r>
      <w:r>
        <w:rPr>
          <w:rFonts w:hint="eastAsia" w:hAnsi="宋体"/>
          <w:color w:val="auto"/>
          <w:sz w:val="21"/>
          <w:szCs w:val="21"/>
        </w:rPr>
        <w:t>规格（长×宽×高）：1600×600×2260(mm) （允许正负偏离5mm）</w:t>
      </w:r>
    </w:p>
    <w:p>
      <w:pPr>
        <w:jc w:val="center"/>
        <w:rPr>
          <w:rFonts w:ascii="新宋体" w:hAnsi="新宋体" w:eastAsia="新宋体" w:cs="新宋体"/>
          <w:b/>
          <w:color w:val="auto"/>
          <w:sz w:val="24"/>
        </w:rPr>
      </w:pPr>
      <w:r>
        <w:rPr>
          <w:rFonts w:hint="eastAsia" w:ascii="新宋体" w:hAnsi="新宋体" w:eastAsia="新宋体" w:cs="新宋体"/>
          <w:b/>
          <w:color w:val="auto"/>
          <w:sz w:val="24"/>
          <w:lang w:val="en-US" w:bidi="ar-SA"/>
        </w:rPr>
        <w:drawing>
          <wp:inline distT="0" distB="0" distL="114300" distR="114300">
            <wp:extent cx="4048760" cy="2975610"/>
            <wp:effectExtent l="0" t="0" r="8890" b="15240"/>
            <wp:docPr id="5" name="图片 5" descr="cb2ee47c96220e0c85a83f687824f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b2ee47c96220e0c85a83f687824f59"/>
                    <pic:cNvPicPr>
                      <a:picLocks noChangeAspect="1"/>
                    </pic:cNvPicPr>
                  </pic:nvPicPr>
                  <pic:blipFill>
                    <a:blip r:embed="rId11"/>
                    <a:srcRect t="2011"/>
                    <a:stretch>
                      <a:fillRect/>
                    </a:stretch>
                  </pic:blipFill>
                  <pic:spPr>
                    <a:xfrm>
                      <a:off x="0" y="0"/>
                      <a:ext cx="4048760" cy="2975610"/>
                    </a:xfrm>
                    <a:prstGeom prst="rect">
                      <a:avLst/>
                    </a:prstGeom>
                  </pic:spPr>
                </pic:pic>
              </a:graphicData>
            </a:graphic>
          </wp:inline>
        </w:drawing>
      </w:r>
    </w:p>
    <w:p>
      <w:pPr>
        <w:snapToGrid w:val="0"/>
        <w:jc w:val="center"/>
        <w:outlineLvl w:val="1"/>
        <w:rPr>
          <w:color w:val="auto"/>
          <w:lang w:val="en-US" w:bidi="ar-SA"/>
        </w:rPr>
      </w:pPr>
      <w:bookmarkStart w:id="159" w:name="_Toc14107"/>
      <w:bookmarkStart w:id="160" w:name="_Toc21344"/>
      <w:r>
        <w:rPr>
          <w:rFonts w:hint="eastAsia"/>
          <w:color w:val="auto"/>
          <w:lang w:val="en-US" w:bidi="ar-SA"/>
        </w:rPr>
        <w:drawing>
          <wp:inline distT="0" distB="0" distL="114300" distR="114300">
            <wp:extent cx="5753735" cy="4601210"/>
            <wp:effectExtent l="0" t="0" r="18415" b="8890"/>
            <wp:docPr id="7" name="图片 7" descr="QQ图片2020072712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200727123938"/>
                    <pic:cNvPicPr>
                      <a:picLocks noChangeAspect="1"/>
                    </pic:cNvPicPr>
                  </pic:nvPicPr>
                  <pic:blipFill>
                    <a:blip r:embed="rId12"/>
                    <a:stretch>
                      <a:fillRect/>
                    </a:stretch>
                  </pic:blipFill>
                  <pic:spPr>
                    <a:xfrm>
                      <a:off x="0" y="0"/>
                      <a:ext cx="5753735" cy="4601210"/>
                    </a:xfrm>
                    <a:prstGeom prst="rect">
                      <a:avLst/>
                    </a:prstGeom>
                  </pic:spPr>
                </pic:pic>
              </a:graphicData>
            </a:graphic>
          </wp:inline>
        </w:drawing>
      </w:r>
    </w:p>
    <w:p>
      <w:pPr>
        <w:snapToGrid w:val="0"/>
        <w:jc w:val="center"/>
        <w:outlineLvl w:val="1"/>
        <w:rPr>
          <w:b/>
          <w:bCs/>
          <w:color w:val="auto"/>
        </w:rPr>
      </w:pPr>
      <w:r>
        <w:rPr>
          <w:rFonts w:hint="eastAsia"/>
          <w:b/>
          <w:bCs/>
          <w:color w:val="auto"/>
          <w:sz w:val="24"/>
          <w:szCs w:val="24"/>
          <w:lang w:val="en-US"/>
        </w:rPr>
        <w:t>5、</w:t>
      </w:r>
      <w:r>
        <w:rPr>
          <w:rFonts w:hint="eastAsia"/>
          <w:b/>
          <w:bCs/>
          <w:color w:val="auto"/>
          <w:sz w:val="24"/>
          <w:szCs w:val="24"/>
        </w:rPr>
        <w:t>六门储物柜</w:t>
      </w:r>
      <w:bookmarkEnd w:id="159"/>
      <w:bookmarkEnd w:id="160"/>
    </w:p>
    <w:p>
      <w:pPr>
        <w:snapToGrid w:val="0"/>
        <w:jc w:val="center"/>
        <w:rPr>
          <w:color w:val="auto"/>
        </w:rPr>
      </w:pPr>
      <w:r>
        <w:rPr>
          <w:rFonts w:hint="eastAsia"/>
          <w:color w:val="auto"/>
          <w:sz w:val="21"/>
          <w:szCs w:val="21"/>
        </w:rPr>
        <w:t>规格：850×550×2</w:t>
      </w:r>
      <w:r>
        <w:rPr>
          <w:rFonts w:hint="eastAsia"/>
          <w:color w:val="auto"/>
          <w:sz w:val="21"/>
          <w:szCs w:val="21"/>
          <w:lang w:val="en-US"/>
        </w:rPr>
        <w:t>0</w:t>
      </w:r>
      <w:r>
        <w:rPr>
          <w:rFonts w:hint="eastAsia"/>
          <w:color w:val="auto"/>
          <w:sz w:val="21"/>
          <w:szCs w:val="21"/>
        </w:rPr>
        <w:t>00mm</w:t>
      </w:r>
    </w:p>
    <w:p>
      <w:pPr>
        <w:snapToGrid w:val="0"/>
        <w:ind w:left="238"/>
        <w:rPr>
          <w:b/>
          <w:color w:val="auto"/>
          <w:sz w:val="24"/>
          <w:szCs w:val="24"/>
          <w:lang w:val="en-US"/>
        </w:rPr>
      </w:pPr>
      <w:r>
        <w:rPr>
          <w:rFonts w:hint="eastAsia"/>
          <w:b/>
          <w:color w:val="auto"/>
          <w:sz w:val="24"/>
          <w:szCs w:val="24"/>
          <w:lang w:val="en-US" w:bidi="ar-SA"/>
        </w:rPr>
        <w:drawing>
          <wp:inline distT="0" distB="0" distL="114300" distR="114300">
            <wp:extent cx="2174240" cy="3599815"/>
            <wp:effectExtent l="0" t="0" r="16510" b="635"/>
            <wp:docPr id="26" name="图片 6" descr="068af66184a421662b111c80b1e0a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descr="068af66184a421662b111c80b1e0ad9"/>
                    <pic:cNvPicPr>
                      <a:picLocks noChangeAspect="1"/>
                    </pic:cNvPicPr>
                  </pic:nvPicPr>
                  <pic:blipFill>
                    <a:blip r:embed="rId13"/>
                    <a:stretch>
                      <a:fillRect/>
                    </a:stretch>
                  </pic:blipFill>
                  <pic:spPr>
                    <a:xfrm>
                      <a:off x="0" y="0"/>
                      <a:ext cx="2174240" cy="3599815"/>
                    </a:xfrm>
                    <a:prstGeom prst="rect">
                      <a:avLst/>
                    </a:prstGeom>
                    <a:noFill/>
                    <a:ln>
                      <a:noFill/>
                    </a:ln>
                  </pic:spPr>
                </pic:pic>
              </a:graphicData>
            </a:graphic>
          </wp:inline>
        </w:drawing>
      </w:r>
      <w:r>
        <w:rPr>
          <w:rFonts w:hint="eastAsia"/>
          <w:b/>
          <w:color w:val="auto"/>
          <w:sz w:val="24"/>
          <w:szCs w:val="24"/>
          <w:lang w:val="en-US" w:bidi="ar-SA"/>
        </w:rPr>
        <w:drawing>
          <wp:inline distT="0" distB="0" distL="114300" distR="114300">
            <wp:extent cx="2693035" cy="3771265"/>
            <wp:effectExtent l="0" t="0" r="12065" b="635"/>
            <wp:docPr id="29" name="图片 7" descr="10fe6d35025aece30e718b297dc95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descr="10fe6d35025aece30e718b297dc95b2"/>
                    <pic:cNvPicPr>
                      <a:picLocks noChangeAspect="1"/>
                    </pic:cNvPicPr>
                  </pic:nvPicPr>
                  <pic:blipFill>
                    <a:blip r:embed="rId14"/>
                    <a:stretch>
                      <a:fillRect/>
                    </a:stretch>
                  </pic:blipFill>
                  <pic:spPr>
                    <a:xfrm>
                      <a:off x="0" y="0"/>
                      <a:ext cx="2693035" cy="3771265"/>
                    </a:xfrm>
                    <a:prstGeom prst="rect">
                      <a:avLst/>
                    </a:prstGeom>
                    <a:noFill/>
                    <a:ln>
                      <a:noFill/>
                    </a:ln>
                  </pic:spPr>
                </pic:pic>
              </a:graphicData>
            </a:graphic>
          </wp:inline>
        </w:drawing>
      </w:r>
    </w:p>
    <w:p>
      <w:pPr>
        <w:snapToGrid w:val="0"/>
        <w:ind w:left="238"/>
        <w:rPr>
          <w:b/>
          <w:color w:val="auto"/>
          <w:sz w:val="24"/>
          <w:szCs w:val="24"/>
          <w:lang w:val="en-US"/>
        </w:rPr>
      </w:pPr>
    </w:p>
    <w:p>
      <w:pPr>
        <w:snapToGrid w:val="0"/>
        <w:jc w:val="both"/>
        <w:rPr>
          <w:b/>
          <w:color w:val="auto"/>
          <w:sz w:val="24"/>
          <w:szCs w:val="24"/>
          <w:lang w:val="en-US"/>
        </w:rPr>
      </w:pPr>
    </w:p>
    <w:p>
      <w:pPr>
        <w:snapToGrid w:val="0"/>
        <w:ind w:left="238"/>
        <w:jc w:val="center"/>
        <w:rPr>
          <w:b/>
          <w:color w:val="auto"/>
          <w:sz w:val="24"/>
          <w:szCs w:val="24"/>
          <w:lang w:val="en-US"/>
        </w:rPr>
      </w:pPr>
    </w:p>
    <w:p>
      <w:pPr>
        <w:snapToGrid w:val="0"/>
        <w:ind w:left="238"/>
        <w:jc w:val="center"/>
        <w:rPr>
          <w:b/>
          <w:color w:val="auto"/>
          <w:sz w:val="24"/>
          <w:szCs w:val="24"/>
        </w:rPr>
      </w:pPr>
    </w:p>
    <w:p>
      <w:pPr>
        <w:snapToGrid w:val="0"/>
        <w:ind w:left="238"/>
        <w:jc w:val="center"/>
        <w:rPr>
          <w:color w:val="auto"/>
        </w:rPr>
      </w:pPr>
    </w:p>
    <w:p>
      <w:pPr>
        <w:snapToGrid w:val="0"/>
        <w:jc w:val="center"/>
        <w:outlineLvl w:val="1"/>
        <w:rPr>
          <w:b/>
          <w:color w:val="auto"/>
          <w:sz w:val="24"/>
          <w:szCs w:val="24"/>
        </w:rPr>
      </w:pPr>
      <w:bookmarkStart w:id="161" w:name="_Toc8106"/>
      <w:bookmarkStart w:id="162" w:name="_Toc20887"/>
      <w:r>
        <w:rPr>
          <w:rFonts w:hint="eastAsia"/>
          <w:b/>
          <w:color w:val="auto"/>
          <w:sz w:val="24"/>
          <w:szCs w:val="24"/>
          <w:lang w:val="en-US"/>
        </w:rPr>
        <w:t>6、</w:t>
      </w:r>
      <w:r>
        <w:rPr>
          <w:rFonts w:hint="eastAsia"/>
          <w:b/>
          <w:color w:val="auto"/>
          <w:sz w:val="24"/>
          <w:szCs w:val="24"/>
        </w:rPr>
        <w:t>椅子：</w:t>
      </w:r>
      <w:bookmarkEnd w:id="161"/>
      <w:bookmarkEnd w:id="162"/>
    </w:p>
    <w:p>
      <w:pPr>
        <w:pStyle w:val="43"/>
        <w:jc w:val="center"/>
        <w:rPr>
          <w:rFonts w:hAnsi="宋体"/>
          <w:color w:val="auto"/>
          <w:sz w:val="21"/>
          <w:szCs w:val="21"/>
        </w:rPr>
      </w:pPr>
      <w:r>
        <w:rPr>
          <w:rFonts w:hint="eastAsia" w:hAnsi="宋体"/>
          <w:color w:val="auto"/>
          <w:sz w:val="21"/>
          <w:szCs w:val="21"/>
        </w:rPr>
        <w:t>规格：椅面（W×D×H）：370×360×780 (mm)</w:t>
      </w:r>
    </w:p>
    <w:p>
      <w:pPr>
        <w:pStyle w:val="43"/>
        <w:rPr>
          <w:color w:val="auto"/>
        </w:rPr>
      </w:pPr>
    </w:p>
    <w:p>
      <w:pPr>
        <w:snapToGrid w:val="0"/>
        <w:jc w:val="center"/>
        <w:rPr>
          <w:color w:val="auto"/>
        </w:rPr>
      </w:pPr>
      <w:r>
        <w:rPr>
          <w:color w:val="auto"/>
          <w:lang w:val="en-US" w:bidi="ar-SA"/>
        </w:rPr>
        <w:drawing>
          <wp:inline distT="0" distB="0" distL="114300" distR="114300">
            <wp:extent cx="2350770" cy="3042920"/>
            <wp:effectExtent l="0" t="0" r="11430" b="5080"/>
            <wp:docPr id="33" name="图片 8" descr="ab188cf74b082c547965e6a12e4d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 descr="ab188cf74b082c547965e6a12e4d636"/>
                    <pic:cNvPicPr>
                      <a:picLocks noChangeAspect="1"/>
                    </pic:cNvPicPr>
                  </pic:nvPicPr>
                  <pic:blipFill>
                    <a:blip r:embed="rId15"/>
                    <a:stretch>
                      <a:fillRect/>
                    </a:stretch>
                  </pic:blipFill>
                  <pic:spPr>
                    <a:xfrm>
                      <a:off x="0" y="0"/>
                      <a:ext cx="2350770" cy="3042920"/>
                    </a:xfrm>
                    <a:prstGeom prst="rect">
                      <a:avLst/>
                    </a:prstGeom>
                    <a:noFill/>
                    <a:ln>
                      <a:noFill/>
                    </a:ln>
                  </pic:spPr>
                </pic:pic>
              </a:graphicData>
            </a:graphic>
          </wp:inline>
        </w:drawing>
      </w:r>
    </w:p>
    <w:p>
      <w:pPr>
        <w:snapToGrid w:val="0"/>
        <w:jc w:val="center"/>
        <w:rPr>
          <w:color w:val="auto"/>
        </w:rPr>
      </w:pPr>
    </w:p>
    <w:p>
      <w:pPr>
        <w:ind w:left="238"/>
        <w:jc w:val="center"/>
        <w:outlineLvl w:val="1"/>
        <w:rPr>
          <w:rFonts w:ascii="新宋体" w:hAnsi="新宋体" w:eastAsia="新宋体" w:cs="新宋体"/>
          <w:b/>
          <w:color w:val="auto"/>
          <w:sz w:val="24"/>
          <w:szCs w:val="24"/>
        </w:rPr>
      </w:pPr>
      <w:bookmarkStart w:id="163" w:name="_Toc8542"/>
      <w:bookmarkStart w:id="164" w:name="_Toc8024"/>
      <w:r>
        <w:rPr>
          <w:rFonts w:hint="eastAsia" w:ascii="新宋体" w:hAnsi="新宋体" w:eastAsia="新宋体" w:cs="新宋体"/>
          <w:b/>
          <w:color w:val="auto"/>
          <w:sz w:val="24"/>
          <w:szCs w:val="24"/>
          <w:lang w:val="en-US"/>
        </w:rPr>
        <w:t>7、</w:t>
      </w:r>
      <w:r>
        <w:rPr>
          <w:rFonts w:hint="eastAsia" w:ascii="新宋体" w:hAnsi="新宋体" w:eastAsia="新宋体" w:cs="新宋体"/>
          <w:b/>
          <w:color w:val="auto"/>
          <w:sz w:val="24"/>
          <w:szCs w:val="24"/>
        </w:rPr>
        <w:t>实木茶几：</w:t>
      </w:r>
      <w:bookmarkEnd w:id="163"/>
      <w:bookmarkEnd w:id="164"/>
    </w:p>
    <w:p>
      <w:pPr>
        <w:pStyle w:val="43"/>
        <w:rPr>
          <w:color w:val="auto"/>
        </w:rPr>
      </w:pPr>
    </w:p>
    <w:p>
      <w:pPr>
        <w:pStyle w:val="43"/>
        <w:ind w:left="238"/>
        <w:jc w:val="center"/>
        <w:rPr>
          <w:color w:val="auto"/>
        </w:rPr>
      </w:pPr>
      <w:r>
        <w:rPr>
          <w:rFonts w:hint="eastAsia" w:hAnsi="宋体"/>
          <w:color w:val="auto"/>
          <w:sz w:val="21"/>
          <w:szCs w:val="21"/>
        </w:rPr>
        <w:t>规格：600×400×600mm</w:t>
      </w:r>
    </w:p>
    <w:p>
      <w:pPr>
        <w:snapToGrid w:val="0"/>
        <w:ind w:left="238"/>
        <w:rPr>
          <w:color w:val="auto"/>
        </w:rPr>
      </w:pPr>
    </w:p>
    <w:p>
      <w:pPr>
        <w:widowControl/>
        <w:jc w:val="left"/>
        <w:rPr>
          <w:rFonts w:hint="eastAsia"/>
          <w:color w:val="auto"/>
        </w:rPr>
      </w:pPr>
      <w:r>
        <w:rPr>
          <w:color w:val="auto"/>
          <w:lang w:val="en-US" w:bidi="ar-SA"/>
        </w:rPr>
        <w:drawing>
          <wp:inline distT="0" distB="0" distL="114300" distR="114300">
            <wp:extent cx="2639695" cy="2406650"/>
            <wp:effectExtent l="0" t="0" r="8255" b="12700"/>
            <wp:docPr id="28" name="图片 9" descr="76ac4ee1accb2d4faf0efc3019f3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descr="76ac4ee1accb2d4faf0efc3019f3bee"/>
                    <pic:cNvPicPr>
                      <a:picLocks noChangeAspect="1"/>
                    </pic:cNvPicPr>
                  </pic:nvPicPr>
                  <pic:blipFill>
                    <a:blip r:embed="rId16"/>
                    <a:stretch>
                      <a:fillRect/>
                    </a:stretch>
                  </pic:blipFill>
                  <pic:spPr>
                    <a:xfrm>
                      <a:off x="0" y="0"/>
                      <a:ext cx="2639695" cy="2406650"/>
                    </a:xfrm>
                    <a:prstGeom prst="rect">
                      <a:avLst/>
                    </a:prstGeom>
                    <a:noFill/>
                    <a:ln>
                      <a:noFill/>
                    </a:ln>
                  </pic:spPr>
                </pic:pic>
              </a:graphicData>
            </a:graphic>
          </wp:inline>
        </w:drawing>
      </w:r>
      <w:r>
        <w:rPr>
          <w:rFonts w:hint="eastAsia"/>
          <w:color w:val="auto"/>
          <w:lang w:val="en-US" w:bidi="ar-SA"/>
        </w:rPr>
        <w:drawing>
          <wp:inline distT="0" distB="0" distL="114300" distR="114300">
            <wp:extent cx="2720340" cy="2618105"/>
            <wp:effectExtent l="0" t="0" r="3810" b="10795"/>
            <wp:docPr id="4" name="图片 4" descr="e31546447589bb31989a906604f72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31546447589bb31989a906604f72fa"/>
                    <pic:cNvPicPr>
                      <a:picLocks noChangeAspect="1"/>
                    </pic:cNvPicPr>
                  </pic:nvPicPr>
                  <pic:blipFill>
                    <a:blip r:embed="rId17"/>
                    <a:stretch>
                      <a:fillRect/>
                    </a:stretch>
                  </pic:blipFill>
                  <pic:spPr>
                    <a:xfrm>
                      <a:off x="0" y="0"/>
                      <a:ext cx="2720340" cy="2618105"/>
                    </a:xfrm>
                    <a:prstGeom prst="rect">
                      <a:avLst/>
                    </a:prstGeom>
                  </pic:spPr>
                </pic:pic>
              </a:graphicData>
            </a:graphic>
          </wp:inline>
        </w:drawing>
      </w:r>
    </w:p>
    <w:p>
      <w:pPr>
        <w:widowControl/>
        <w:jc w:val="left"/>
        <w:rPr>
          <w:rFonts w:hint="eastAsia"/>
          <w:color w:val="auto"/>
        </w:rPr>
      </w:pPr>
    </w:p>
    <w:p>
      <w:pPr>
        <w:widowControl/>
        <w:jc w:val="left"/>
        <w:rPr>
          <w:rFonts w:hint="eastAsia"/>
          <w:color w:val="auto"/>
        </w:rPr>
      </w:pPr>
    </w:p>
    <w:p>
      <w:pPr>
        <w:widowControl/>
        <w:jc w:val="left"/>
        <w:rPr>
          <w:rFonts w:hint="eastAsia"/>
          <w:color w:val="auto"/>
        </w:rPr>
      </w:pPr>
    </w:p>
    <w:p>
      <w:pPr>
        <w:jc w:val="center"/>
        <w:outlineLvl w:val="0"/>
        <w:rPr>
          <w:rFonts w:hint="eastAsia" w:ascii="宋体" w:hAnsi="宋体" w:eastAsia="宋体" w:cs="宋体"/>
          <w:color w:val="auto"/>
          <w:sz w:val="32"/>
          <w:szCs w:val="32"/>
        </w:rPr>
      </w:pPr>
      <w:r>
        <w:rPr>
          <w:rFonts w:hint="eastAsia" w:ascii="宋体" w:hAnsi="宋体" w:eastAsia="宋体" w:cs="宋体"/>
          <w:color w:val="auto"/>
          <w:sz w:val="32"/>
          <w:szCs w:val="32"/>
        </w:rPr>
        <w:br w:type="page"/>
      </w:r>
      <w:bookmarkStart w:id="165" w:name="_Toc18150"/>
      <w:bookmarkStart w:id="166" w:name="_Toc14972"/>
      <w:r>
        <w:rPr>
          <w:rFonts w:hint="eastAsia" w:ascii="宋体" w:hAnsi="宋体" w:eastAsia="宋体" w:cs="宋体"/>
          <w:b/>
          <w:bCs/>
          <w:color w:val="auto"/>
          <w:kern w:val="44"/>
          <w:sz w:val="32"/>
          <w:szCs w:val="32"/>
          <w:lang w:val="en-US" w:eastAsia="zh-CN" w:bidi="ar-SA"/>
        </w:rPr>
        <w:t>第四章  评标办法</w:t>
      </w:r>
      <w:bookmarkEnd w:id="165"/>
      <w:bookmarkEnd w:id="166"/>
    </w:p>
    <w:p>
      <w:pPr>
        <w:spacing w:line="390" w:lineRule="exact"/>
        <w:ind w:firstLine="426" w:firstLineChars="202"/>
        <w:jc w:val="left"/>
        <w:rPr>
          <w:rFonts w:hint="eastAsia" w:ascii="宋体" w:hAnsi="宋体" w:eastAsia="宋体" w:cs="宋体"/>
          <w:b/>
          <w:color w:val="auto"/>
          <w:szCs w:val="21"/>
        </w:rPr>
      </w:pPr>
      <w:r>
        <w:rPr>
          <w:rFonts w:hint="eastAsia" w:ascii="宋体" w:hAnsi="宋体" w:eastAsia="宋体" w:cs="宋体"/>
          <w:b/>
          <w:color w:val="auto"/>
          <w:szCs w:val="21"/>
        </w:rPr>
        <w:t>一、评标原则</w:t>
      </w:r>
    </w:p>
    <w:p>
      <w:pPr>
        <w:pStyle w:val="15"/>
        <w:adjustRightInd w:val="0"/>
        <w:spacing w:line="390" w:lineRule="exact"/>
        <w:ind w:firstLine="420" w:firstLineChars="200"/>
        <w:contextualSpacing/>
        <w:rPr>
          <w:rFonts w:hint="eastAsia" w:ascii="宋体" w:hAnsi="宋体" w:eastAsia="宋体" w:cs="宋体"/>
          <w:bCs/>
          <w:color w:val="auto"/>
        </w:rPr>
      </w:pPr>
      <w:r>
        <w:rPr>
          <w:rFonts w:hint="eastAsia" w:ascii="宋体" w:hAnsi="宋体" w:eastAsia="宋体" w:cs="宋体"/>
          <w:bCs/>
          <w:color w:val="auto"/>
        </w:rPr>
        <w:t>（一）评委会组成：本招标采购项目的评标委员会由采购人代表、技术和经济等方面的专家组成。其中，专家评委不得少于成员总数的三分之二。</w:t>
      </w:r>
    </w:p>
    <w:p>
      <w:pPr>
        <w:pStyle w:val="15"/>
        <w:adjustRightInd w:val="0"/>
        <w:spacing w:line="390" w:lineRule="exact"/>
        <w:ind w:firstLine="420" w:firstLineChars="200"/>
        <w:contextualSpacing/>
        <w:rPr>
          <w:rFonts w:hint="eastAsia" w:ascii="宋体" w:hAnsi="宋体" w:eastAsia="宋体" w:cs="宋体"/>
          <w:bCs/>
          <w:color w:val="auto"/>
        </w:rPr>
      </w:pPr>
      <w:r>
        <w:rPr>
          <w:rFonts w:hint="eastAsia" w:ascii="宋体" w:hAnsi="宋体" w:eastAsia="宋体" w:cs="宋体"/>
          <w:bCs/>
          <w:color w:val="auto"/>
        </w:rPr>
        <w:t>（二）评标依据：评委将以招投标文件为评标依据，对投标人的投标</w:t>
      </w:r>
      <w:r>
        <w:rPr>
          <w:rFonts w:hint="eastAsia" w:ascii="宋体" w:hAnsi="宋体" w:eastAsia="宋体" w:cs="宋体"/>
          <w:color w:val="auto"/>
          <w:szCs w:val="21"/>
        </w:rPr>
        <w:t>报价、技术性能、履约能力、售后服务及政策功能等方面内容按百分制打分。</w:t>
      </w:r>
    </w:p>
    <w:p>
      <w:pPr>
        <w:pStyle w:val="15"/>
        <w:adjustRightInd w:val="0"/>
        <w:spacing w:line="390" w:lineRule="exact"/>
        <w:ind w:firstLine="420" w:firstLineChars="200"/>
        <w:contextualSpacing/>
        <w:rPr>
          <w:rFonts w:hint="eastAsia" w:ascii="宋体" w:hAnsi="宋体" w:eastAsia="宋体" w:cs="宋体"/>
          <w:bCs/>
          <w:color w:val="auto"/>
        </w:rPr>
      </w:pPr>
      <w:r>
        <w:rPr>
          <w:rFonts w:hint="eastAsia" w:ascii="宋体" w:hAnsi="宋体" w:eastAsia="宋体" w:cs="宋体"/>
          <w:bCs/>
          <w:color w:val="auto"/>
        </w:rPr>
        <w:t>（三）评标方式：以封闭方式进行。</w:t>
      </w:r>
    </w:p>
    <w:p>
      <w:pPr>
        <w:ind w:firstLine="420" w:firstLineChars="200"/>
        <w:rPr>
          <w:rFonts w:hint="eastAsia" w:ascii="宋体" w:hAnsi="宋体" w:eastAsia="宋体" w:cs="宋体"/>
          <w:bCs/>
          <w:color w:val="auto"/>
          <w:szCs w:val="20"/>
        </w:rPr>
      </w:pPr>
      <w:r>
        <w:rPr>
          <w:rFonts w:hint="eastAsia" w:ascii="宋体" w:hAnsi="宋体" w:eastAsia="宋体" w:cs="宋体"/>
          <w:bCs/>
          <w:color w:val="auto"/>
          <w:szCs w:val="20"/>
        </w:rPr>
        <w:t>（四）采购人和采购代理机构、评标委员会成员要严格遵守政府采购相关法律制度，依法履行各自职责，公正、客观、审慎地组织和参与评审工作。</w:t>
      </w:r>
    </w:p>
    <w:p>
      <w:pPr>
        <w:spacing w:line="390" w:lineRule="exact"/>
        <w:ind w:firstLine="426" w:firstLineChars="202"/>
        <w:jc w:val="left"/>
        <w:rPr>
          <w:rFonts w:hint="eastAsia" w:ascii="宋体" w:hAnsi="宋体" w:eastAsia="宋体" w:cs="宋体"/>
          <w:b/>
          <w:color w:val="auto"/>
          <w:szCs w:val="21"/>
        </w:rPr>
      </w:pPr>
      <w:r>
        <w:rPr>
          <w:rFonts w:hint="eastAsia" w:ascii="宋体" w:hAnsi="宋体" w:eastAsia="宋体" w:cs="宋体"/>
          <w:b/>
          <w:color w:val="auto"/>
          <w:szCs w:val="21"/>
        </w:rPr>
        <w:t>二、评定方法</w:t>
      </w:r>
    </w:p>
    <w:p>
      <w:pPr>
        <w:pStyle w:val="15"/>
        <w:adjustRightInd w:val="0"/>
        <w:spacing w:line="390" w:lineRule="exact"/>
        <w:ind w:firstLine="420" w:firstLineChars="200"/>
        <w:contextualSpacing/>
        <w:rPr>
          <w:rFonts w:hint="eastAsia" w:ascii="宋体" w:hAnsi="宋体" w:eastAsia="宋体" w:cs="宋体"/>
          <w:bCs/>
          <w:color w:val="auto"/>
        </w:rPr>
      </w:pPr>
      <w:r>
        <w:rPr>
          <w:rFonts w:hint="eastAsia" w:ascii="宋体" w:hAnsi="宋体" w:eastAsia="宋体" w:cs="宋体"/>
          <w:bCs/>
          <w:color w:val="auto"/>
        </w:rPr>
        <w:t>（一）对进入详评的，采用百分制综合评分法。</w:t>
      </w:r>
    </w:p>
    <w:p>
      <w:pPr>
        <w:pStyle w:val="15"/>
        <w:adjustRightInd w:val="0"/>
        <w:spacing w:line="390" w:lineRule="exact"/>
        <w:ind w:firstLine="420" w:firstLineChars="200"/>
        <w:contextualSpacing/>
        <w:rPr>
          <w:rFonts w:hint="eastAsia" w:ascii="宋体" w:hAnsi="宋体" w:eastAsia="宋体" w:cs="宋体"/>
          <w:bCs/>
          <w:color w:val="auto"/>
        </w:rPr>
      </w:pPr>
      <w:r>
        <w:rPr>
          <w:rFonts w:hint="eastAsia" w:ascii="宋体" w:hAnsi="宋体" w:eastAsia="宋体" w:cs="宋体"/>
          <w:bCs/>
          <w:color w:val="auto"/>
        </w:rPr>
        <w:t>（二）计分办法（按四舍五入取至百分位）：</w:t>
      </w:r>
    </w:p>
    <w:p>
      <w:pPr>
        <w:pStyle w:val="15"/>
        <w:spacing w:line="390" w:lineRule="exact"/>
        <w:ind w:firstLine="420"/>
        <w:rPr>
          <w:rFonts w:hint="eastAsia" w:ascii="宋体" w:hAnsi="宋体" w:eastAsia="宋体" w:cs="宋体"/>
          <w:b/>
          <w:bCs/>
          <w:color w:val="auto"/>
          <w:kern w:val="0"/>
          <w:szCs w:val="21"/>
          <w:lang w:val="en-US" w:eastAsia="zh-CN"/>
        </w:rPr>
      </w:pPr>
      <w:bookmarkStart w:id="167" w:name="_Toc7653"/>
      <w:r>
        <w:rPr>
          <w:rFonts w:hint="eastAsia" w:ascii="宋体" w:hAnsi="宋体" w:eastAsia="宋体" w:cs="宋体"/>
          <w:b/>
          <w:bCs/>
          <w:color w:val="auto"/>
          <w:kern w:val="0"/>
          <w:szCs w:val="21"/>
          <w:lang w:val="en-US" w:eastAsia="zh-CN"/>
        </w:rPr>
        <w:t>1、价格分…………………………………………………………………………………………………</w:t>
      </w:r>
      <w:r>
        <w:rPr>
          <w:rFonts w:hint="eastAsia" w:hAnsi="宋体" w:cs="宋体"/>
          <w:b/>
          <w:bCs/>
          <w:color w:val="auto"/>
          <w:kern w:val="0"/>
          <w:szCs w:val="21"/>
          <w:lang w:val="en-US" w:eastAsia="zh-CN"/>
        </w:rPr>
        <w:t>30</w:t>
      </w:r>
      <w:r>
        <w:rPr>
          <w:rFonts w:hint="eastAsia" w:ascii="宋体" w:hAnsi="宋体" w:eastAsia="宋体" w:cs="宋体"/>
          <w:b/>
          <w:bCs/>
          <w:color w:val="auto"/>
          <w:kern w:val="0"/>
          <w:szCs w:val="21"/>
          <w:lang w:val="en-US" w:eastAsia="zh-CN"/>
        </w:rPr>
        <w:t>分</w:t>
      </w:r>
      <w:bookmarkEnd w:id="167"/>
    </w:p>
    <w:p>
      <w:pPr>
        <w:pStyle w:val="15"/>
        <w:spacing w:line="390" w:lineRule="exact"/>
        <w:ind w:firstLine="420" w:firstLineChars="200"/>
        <w:rPr>
          <w:rFonts w:hint="eastAsia" w:ascii="宋体" w:hAnsi="宋体" w:eastAsia="宋体" w:cs="宋体"/>
          <w:bCs/>
          <w:color w:val="auto"/>
        </w:rPr>
      </w:pPr>
      <w:r>
        <w:rPr>
          <w:rFonts w:hint="eastAsia" w:ascii="宋体" w:hAnsi="宋体" w:eastAsia="宋体" w:cs="宋体"/>
          <w:bCs/>
          <w:color w:val="auto"/>
        </w:rPr>
        <w:t>（1）</w:t>
      </w:r>
      <w:r>
        <w:rPr>
          <w:rFonts w:hint="eastAsia" w:ascii="宋体" w:hAnsi="宋体" w:eastAsia="宋体" w:cs="宋体"/>
          <w:color w:val="auto"/>
        </w:rPr>
        <w:t>按照《政府采购促进中小企业发展暂行办法》（财库[2011]181号）规定：</w:t>
      </w:r>
    </w:p>
    <w:p>
      <w:pPr>
        <w:pStyle w:val="15"/>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szCs w:val="21"/>
        </w:rPr>
        <w:t>投标单位认定为小型和微型企业的（以投标文件提供的符合规定的有关证明材料为准)，并提供本企业制造的货物，由本企业承担工程、提供服务，或者提供其他小型、微型企业制造的货物的（不包括使用大型企业注册商标的货物）</w:t>
      </w:r>
      <w:r>
        <w:rPr>
          <w:rFonts w:hint="eastAsia" w:ascii="宋体" w:hAnsi="宋体" w:eastAsia="宋体" w:cs="宋体"/>
          <w:color w:val="auto"/>
        </w:rPr>
        <w:t>，投标价给予10%的扣除，扣除后的价格为评标报价，即评标报价=投标报价×（1-10%）；</w:t>
      </w:r>
    </w:p>
    <w:p>
      <w:pPr>
        <w:pStyle w:val="15"/>
        <w:spacing w:line="390" w:lineRule="exact"/>
        <w:ind w:firstLine="420"/>
        <w:rPr>
          <w:rFonts w:hint="eastAsia" w:ascii="宋体" w:hAnsi="宋体" w:eastAsia="宋体" w:cs="宋体"/>
          <w:color w:val="auto"/>
        </w:rPr>
      </w:pPr>
      <w:r>
        <w:rPr>
          <w:rFonts w:hint="eastAsia" w:ascii="宋体" w:hAnsi="宋体" w:eastAsia="宋体" w:cs="宋体"/>
          <w:b/>
          <w:color w:val="auto"/>
        </w:rPr>
        <w:t>注：中小微型企业划分标准按照《国家统计局关于印发《统计上大中小微型企业划分办法（2017）》的通知》（国统字[2017]213号）执行，具体划分标准见附表《统计上大中小微型企业划分标准》。</w:t>
      </w:r>
    </w:p>
    <w:p>
      <w:pPr>
        <w:pStyle w:val="15"/>
        <w:numPr>
          <w:ilvl w:val="0"/>
          <w:numId w:val="10"/>
        </w:numPr>
        <w:spacing w:line="390" w:lineRule="exact"/>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根据《关于政府采购支持监狱企业发展有关问题的通知》（财库[2014]68号）和</w:t>
      </w:r>
      <w:r>
        <w:rPr>
          <w:rFonts w:hint="eastAsia" w:ascii="宋体" w:hAnsi="宋体" w:eastAsia="宋体" w:cs="宋体"/>
          <w:color w:val="auto"/>
          <w:szCs w:val="21"/>
        </w:rPr>
        <w:t>《关于促进残疾人就业政府采购政策的通知》（财库[2017]141号）</w:t>
      </w:r>
      <w:r>
        <w:rPr>
          <w:rFonts w:hint="eastAsia" w:ascii="宋体" w:hAnsi="宋体" w:eastAsia="宋体" w:cs="宋体"/>
          <w:color w:val="auto"/>
          <w:kern w:val="0"/>
          <w:szCs w:val="21"/>
        </w:rPr>
        <w:t>，监狱企业和符合条件的残疾人企业视同小型、微型企业，享受小型、微型企业评审中价格扣除的政府采购政策。</w:t>
      </w:r>
    </w:p>
    <w:p>
      <w:pPr>
        <w:pStyle w:val="15"/>
        <w:numPr>
          <w:ilvl w:val="0"/>
          <w:numId w:val="10"/>
        </w:numPr>
        <w:spacing w:line="380" w:lineRule="exact"/>
        <w:ind w:left="0" w:leftChars="0" w:firstLine="420" w:firstLineChars="0"/>
        <w:rPr>
          <w:rFonts w:hint="eastAsia" w:ascii="宋体" w:hAnsi="宋体" w:eastAsia="宋体" w:cs="宋体"/>
          <w:color w:val="auto"/>
          <w:szCs w:val="21"/>
        </w:rPr>
      </w:pPr>
      <w:r>
        <w:rPr>
          <w:rFonts w:hint="eastAsia" w:ascii="宋体" w:hAnsi="宋体" w:eastAsia="宋体" w:cs="宋体"/>
          <w:color w:val="auto"/>
          <w:szCs w:val="21"/>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15"/>
        <w:spacing w:line="380" w:lineRule="exact"/>
        <w:ind w:firstLine="420" w:firstLineChars="200"/>
        <w:rPr>
          <w:rFonts w:hint="eastAsia" w:ascii="宋体" w:hAnsi="宋体" w:eastAsia="宋体" w:cs="宋体"/>
          <w:color w:val="auto"/>
        </w:rPr>
      </w:pPr>
      <w:r>
        <w:rPr>
          <w:rFonts w:hint="eastAsia" w:ascii="宋体" w:hAnsi="宋体" w:eastAsia="宋体" w:cs="宋体"/>
          <w:color w:val="auto"/>
          <w:szCs w:val="21"/>
        </w:rPr>
        <w:t>对于不属于以上情形的投标人，其投标报价即为评标价。</w:t>
      </w:r>
    </w:p>
    <w:p>
      <w:pPr>
        <w:pStyle w:val="15"/>
        <w:spacing w:line="390" w:lineRule="exact"/>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rPr>
        <w:t>）价格分采用低价优先法计算，即满足招标文件要求且评标报价最低的评标报价为评标基准价，其价格分为</w:t>
      </w:r>
      <w:r>
        <w:rPr>
          <w:rFonts w:hint="eastAsia" w:hAnsi="宋体" w:cs="宋体"/>
          <w:color w:val="auto"/>
          <w:kern w:val="0"/>
          <w:szCs w:val="21"/>
          <w:lang w:val="en-US" w:eastAsia="zh-CN"/>
        </w:rPr>
        <w:t>30</w:t>
      </w:r>
      <w:r>
        <w:rPr>
          <w:rFonts w:hint="eastAsia" w:ascii="宋体" w:hAnsi="宋体" w:eastAsia="宋体" w:cs="宋体"/>
          <w:color w:val="auto"/>
          <w:kern w:val="0"/>
          <w:szCs w:val="21"/>
        </w:rPr>
        <w:t>分。</w:t>
      </w:r>
    </w:p>
    <w:p>
      <w:pPr>
        <w:pStyle w:val="15"/>
        <w:spacing w:line="390" w:lineRule="exact"/>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）价格分计算公式：</w:t>
      </w:r>
    </w:p>
    <w:p>
      <w:pPr>
        <w:pStyle w:val="15"/>
        <w:spacing w:line="400" w:lineRule="exact"/>
        <w:ind w:firstLine="3087" w:firstLineChars="1470"/>
        <w:rPr>
          <w:rFonts w:hint="eastAsia" w:ascii="宋体" w:hAnsi="宋体" w:eastAsia="宋体" w:cs="宋体"/>
          <w:bCs/>
          <w:color w:val="auto"/>
        </w:rPr>
      </w:pPr>
      <w:r>
        <w:rPr>
          <w:rFonts w:hint="eastAsia" w:ascii="宋体" w:hAnsi="宋体" w:eastAsia="宋体" w:cs="宋体"/>
          <w:bCs/>
          <w:color w:val="auto"/>
        </w:rPr>
        <w:t>最低投标人</w:t>
      </w:r>
      <w:r>
        <w:rPr>
          <w:rFonts w:hint="eastAsia" w:ascii="宋体" w:hAnsi="宋体" w:eastAsia="宋体" w:cs="宋体"/>
          <w:color w:val="auto"/>
        </w:rPr>
        <w:t>评标报价</w:t>
      </w:r>
      <w:r>
        <w:rPr>
          <w:rFonts w:hint="eastAsia" w:ascii="宋体" w:hAnsi="宋体" w:eastAsia="宋体" w:cs="宋体"/>
          <w:bCs/>
          <w:color w:val="auto"/>
        </w:rPr>
        <w:t xml:space="preserve">金额          </w:t>
      </w:r>
    </w:p>
    <w:p>
      <w:pPr>
        <w:pStyle w:val="15"/>
        <w:spacing w:line="400" w:lineRule="exact"/>
        <w:ind w:firstLine="420"/>
        <w:rPr>
          <w:rFonts w:hint="eastAsia" w:ascii="宋体" w:hAnsi="宋体" w:eastAsia="宋体" w:cs="宋体"/>
          <w:bCs/>
          <w:color w:val="auto"/>
        </w:rPr>
      </w:pPr>
      <w:r>
        <w:rPr>
          <w:rFonts w:hint="eastAsia" w:ascii="宋体" w:hAnsi="宋体" w:eastAsia="宋体" w:cs="宋体"/>
          <w:bCs/>
          <w:color w:val="auto"/>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1" name="直线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44pt;margin-top:15.5pt;height:0pt;width:173.25pt;z-index:251658240;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QqkOtcAAAAJAQAADwAAAAAAAAABACAAAAAiAAAAZHJz&#10;L2Rvd25yZXYueG1sUEsBAhQAFAAAAAgAh07iQFfvU1DMAQAAjQMAAA4AAAAAAAAAAQAgAAAAJgEA&#10;AGRycy9lMm9Eb2MueG1sUEsFBgAAAAAGAAYAWQEAAGQFAAAAAA==&#10;">
                <v:fill on="f" focussize="0,0"/>
                <v:stroke color="#000000" joinstyle="round"/>
                <v:imagedata o:title=""/>
                <o:lock v:ext="edit" aspectratio="f"/>
              </v:line>
            </w:pict>
          </mc:Fallback>
        </mc:AlternateContent>
      </w:r>
      <w:r>
        <w:rPr>
          <w:rFonts w:hint="eastAsia" w:ascii="宋体" w:hAnsi="宋体" w:eastAsia="宋体" w:cs="宋体"/>
          <w:bCs/>
          <w:color w:val="auto"/>
        </w:rPr>
        <w:t xml:space="preserve">某投标人价格分 =                                    　　×  </w:t>
      </w:r>
      <w:r>
        <w:rPr>
          <w:rFonts w:hint="eastAsia" w:hAnsi="宋体" w:cs="宋体"/>
          <w:bCs/>
          <w:color w:val="auto"/>
          <w:lang w:val="en-US" w:eastAsia="zh-CN"/>
        </w:rPr>
        <w:t>30</w:t>
      </w:r>
      <w:r>
        <w:rPr>
          <w:rFonts w:hint="eastAsia" w:ascii="宋体" w:hAnsi="宋体" w:eastAsia="宋体" w:cs="宋体"/>
          <w:bCs/>
          <w:color w:val="auto"/>
        </w:rPr>
        <w:t xml:space="preserve">   分</w:t>
      </w:r>
    </w:p>
    <w:p>
      <w:pPr>
        <w:pStyle w:val="15"/>
        <w:spacing w:line="400" w:lineRule="exact"/>
        <w:ind w:firstLine="420" w:firstLineChars="200"/>
        <w:rPr>
          <w:rFonts w:hint="eastAsia" w:ascii="宋体" w:hAnsi="宋体" w:eastAsia="宋体" w:cs="宋体"/>
          <w:bCs/>
          <w:color w:val="auto"/>
        </w:rPr>
      </w:pPr>
      <w:r>
        <w:rPr>
          <w:rFonts w:hint="eastAsia" w:ascii="宋体" w:hAnsi="宋体" w:eastAsia="宋体" w:cs="宋体"/>
          <w:bCs/>
          <w:color w:val="auto"/>
        </w:rPr>
        <w:t xml:space="preserve">                           某投标人</w:t>
      </w:r>
      <w:r>
        <w:rPr>
          <w:rFonts w:hint="eastAsia" w:ascii="宋体" w:hAnsi="宋体" w:eastAsia="宋体" w:cs="宋体"/>
          <w:color w:val="auto"/>
        </w:rPr>
        <w:t>评标报价</w:t>
      </w:r>
      <w:r>
        <w:rPr>
          <w:rFonts w:hint="eastAsia" w:ascii="宋体" w:hAnsi="宋体" w:eastAsia="宋体" w:cs="宋体"/>
          <w:bCs/>
          <w:color w:val="auto"/>
        </w:rPr>
        <w:t xml:space="preserve">金额  </w:t>
      </w:r>
    </w:p>
    <w:p>
      <w:pPr>
        <w:spacing w:line="390" w:lineRule="exact"/>
        <w:ind w:firstLine="426" w:firstLineChars="202"/>
        <w:jc w:val="left"/>
        <w:outlineLvl w:val="1"/>
        <w:rPr>
          <w:rFonts w:hint="eastAsia" w:ascii="宋体" w:hAnsi="宋体" w:eastAsia="宋体" w:cs="宋体"/>
          <w:b/>
          <w:color w:val="auto"/>
          <w:szCs w:val="21"/>
        </w:rPr>
      </w:pPr>
    </w:p>
    <w:p>
      <w:pPr>
        <w:pStyle w:val="15"/>
        <w:spacing w:line="390" w:lineRule="exact"/>
        <w:ind w:firstLine="420"/>
        <w:rPr>
          <w:rFonts w:hint="eastAsia" w:ascii="宋体" w:hAnsi="宋体" w:eastAsia="宋体" w:cs="宋体"/>
          <w:b/>
          <w:bCs/>
          <w:color w:val="auto"/>
          <w:kern w:val="0"/>
          <w:szCs w:val="21"/>
          <w:lang w:val="en-US" w:eastAsia="zh-CN"/>
        </w:rPr>
      </w:pPr>
      <w:bookmarkStart w:id="168" w:name="_Toc28109"/>
      <w:r>
        <w:rPr>
          <w:rFonts w:hint="eastAsia" w:ascii="宋体" w:hAnsi="宋体" w:eastAsia="宋体" w:cs="宋体"/>
          <w:b/>
          <w:bCs/>
          <w:color w:val="auto"/>
          <w:kern w:val="0"/>
          <w:szCs w:val="21"/>
          <w:lang w:val="en-US" w:eastAsia="zh-CN"/>
        </w:rPr>
        <w:t>2、</w:t>
      </w:r>
      <w:r>
        <w:rPr>
          <w:rFonts w:hint="eastAsia" w:hAnsi="宋体" w:cs="宋体"/>
          <w:b/>
          <w:bCs/>
          <w:color w:val="auto"/>
          <w:kern w:val="0"/>
          <w:szCs w:val="21"/>
          <w:lang w:val="en-US" w:eastAsia="zh-CN"/>
        </w:rPr>
        <w:t>技术性能分</w:t>
      </w:r>
      <w:r>
        <w:rPr>
          <w:rFonts w:hint="eastAsia" w:ascii="宋体" w:hAnsi="宋体" w:eastAsia="宋体" w:cs="宋体"/>
          <w:b/>
          <w:bCs/>
          <w:color w:val="auto"/>
          <w:kern w:val="0"/>
          <w:szCs w:val="21"/>
          <w:lang w:val="en-US" w:eastAsia="zh-CN"/>
        </w:rPr>
        <w:t>………………………………………………………………………………………满分</w:t>
      </w:r>
      <w:r>
        <w:rPr>
          <w:rFonts w:hint="eastAsia" w:hAnsi="宋体" w:cs="宋体"/>
          <w:b/>
          <w:bCs/>
          <w:color w:val="auto"/>
          <w:kern w:val="0"/>
          <w:szCs w:val="21"/>
          <w:lang w:val="en-US" w:eastAsia="zh-CN"/>
        </w:rPr>
        <w:t>39</w:t>
      </w:r>
      <w:r>
        <w:rPr>
          <w:rFonts w:hint="eastAsia" w:ascii="宋体" w:hAnsi="宋体" w:eastAsia="宋体" w:cs="宋体"/>
          <w:b/>
          <w:bCs/>
          <w:color w:val="auto"/>
          <w:kern w:val="0"/>
          <w:szCs w:val="21"/>
          <w:lang w:val="en-US" w:eastAsia="zh-CN"/>
        </w:rPr>
        <w:t xml:space="preserve"> 分</w:t>
      </w:r>
      <w:bookmarkEnd w:id="168"/>
    </w:p>
    <w:p>
      <w:pPr>
        <w:pStyle w:val="15"/>
        <w:spacing w:line="380" w:lineRule="exact"/>
        <w:ind w:firstLine="420" w:firstLineChars="200"/>
        <w:rPr>
          <w:rFonts w:hint="eastAsia" w:eastAsia="宋体"/>
          <w:b/>
          <w:bCs/>
          <w:color w:val="auto"/>
          <w:lang w:eastAsia="zh-CN"/>
        </w:rPr>
      </w:pPr>
      <w:bookmarkStart w:id="169" w:name="_Toc28378"/>
      <w:r>
        <w:rPr>
          <w:rFonts w:hint="eastAsia" w:hAnsi="宋体" w:cs="宋体"/>
          <w:color w:val="auto"/>
          <w:szCs w:val="21"/>
          <w:lang w:val="en-US" w:eastAsia="zh-CN"/>
        </w:rPr>
        <w:t>1.</w:t>
      </w:r>
      <w:r>
        <w:rPr>
          <w:b w:val="0"/>
          <w:bCs w:val="0"/>
          <w:color w:val="auto"/>
        </w:rPr>
        <w:t>技术需求响应分</w:t>
      </w:r>
      <w:r>
        <w:rPr>
          <w:rFonts w:hint="eastAsia"/>
          <w:b/>
          <w:bCs/>
          <w:color w:val="auto"/>
          <w:lang w:eastAsia="zh-CN"/>
        </w:rPr>
        <w:t>（</w:t>
      </w:r>
      <w:r>
        <w:rPr>
          <w:rFonts w:hint="eastAsia"/>
          <w:b/>
          <w:bCs/>
          <w:color w:val="auto"/>
          <w:lang w:val="en-US" w:eastAsia="zh-CN"/>
        </w:rPr>
        <w:t>满分6分</w:t>
      </w:r>
      <w:r>
        <w:rPr>
          <w:rFonts w:hint="eastAsia"/>
          <w:b/>
          <w:bCs/>
          <w:color w:val="auto"/>
          <w:lang w:eastAsia="zh-CN"/>
        </w:rPr>
        <w:t>）</w:t>
      </w:r>
    </w:p>
    <w:p>
      <w:pPr>
        <w:pStyle w:val="15"/>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评委根据招标文件要求，对通过资格性和符合性审查进入详评的各投标人投标文件的“技术需求”响应情况进行独立评审，并按如下计分方式确定得分：</w:t>
      </w:r>
      <w:bookmarkEnd w:id="169"/>
    </w:p>
    <w:p>
      <w:pPr>
        <w:pStyle w:val="15"/>
        <w:numPr>
          <w:ilvl w:val="0"/>
          <w:numId w:val="11"/>
        </w:numPr>
        <w:spacing w:line="380" w:lineRule="exact"/>
        <w:ind w:firstLine="420" w:firstLineChars="200"/>
        <w:rPr>
          <w:rFonts w:hint="eastAsia" w:ascii="宋体" w:hAnsi="宋体" w:eastAsia="宋体" w:cs="宋体"/>
          <w:color w:val="auto"/>
          <w:szCs w:val="21"/>
        </w:rPr>
      </w:pPr>
      <w:bookmarkStart w:id="170" w:name="_Toc1239"/>
      <w:r>
        <w:rPr>
          <w:rFonts w:hint="eastAsia" w:ascii="宋体" w:hAnsi="宋体" w:eastAsia="宋体" w:cs="宋体"/>
          <w:color w:val="auto"/>
          <w:szCs w:val="21"/>
        </w:rPr>
        <w:t>技术参数</w:t>
      </w:r>
      <w:r>
        <w:rPr>
          <w:rFonts w:hint="eastAsia" w:ascii="宋体" w:hAnsi="宋体" w:eastAsia="宋体" w:cs="宋体"/>
          <w:color w:val="auto"/>
          <w:szCs w:val="21"/>
          <w:lang w:val="en-US" w:eastAsia="zh-CN"/>
        </w:rPr>
        <w:t>完全</w:t>
      </w:r>
      <w:r>
        <w:rPr>
          <w:rFonts w:hint="eastAsia" w:ascii="宋体" w:hAnsi="宋体" w:eastAsia="宋体" w:cs="宋体"/>
          <w:color w:val="auto"/>
          <w:szCs w:val="21"/>
        </w:rPr>
        <w:t>满足招标文件要求，</w:t>
      </w:r>
      <w:r>
        <w:rPr>
          <w:rFonts w:hint="eastAsia" w:ascii="宋体" w:hAnsi="宋体" w:eastAsia="宋体" w:cs="宋体"/>
          <w:color w:val="auto"/>
          <w:szCs w:val="21"/>
          <w:lang w:val="en-US" w:eastAsia="zh-CN"/>
        </w:rPr>
        <w:t>且</w:t>
      </w:r>
      <w:r>
        <w:rPr>
          <w:rFonts w:hint="eastAsia" w:hAnsi="宋体" w:cs="宋体"/>
          <w:color w:val="auto"/>
          <w:szCs w:val="21"/>
          <w:lang w:val="en-US" w:eastAsia="zh-CN"/>
        </w:rPr>
        <w:t>所有</w:t>
      </w:r>
      <w:r>
        <w:rPr>
          <w:rFonts w:hint="eastAsia" w:ascii="宋体" w:hAnsi="宋体" w:eastAsia="宋体" w:cs="宋体"/>
          <w:color w:val="auto"/>
          <w:szCs w:val="21"/>
        </w:rPr>
        <w:t>技术参数</w:t>
      </w:r>
      <w:r>
        <w:rPr>
          <w:rFonts w:hint="eastAsia" w:ascii="宋体" w:hAnsi="宋体" w:eastAsia="宋体" w:cs="宋体"/>
          <w:color w:val="auto"/>
          <w:szCs w:val="21"/>
          <w:lang w:val="en-US" w:eastAsia="zh-CN"/>
        </w:rPr>
        <w:t>无负偏离的，</w:t>
      </w:r>
      <w:r>
        <w:rPr>
          <w:rFonts w:hint="eastAsia" w:ascii="宋体" w:hAnsi="宋体" w:eastAsia="宋体" w:cs="宋体"/>
          <w:color w:val="auto"/>
          <w:szCs w:val="21"/>
        </w:rPr>
        <w:t xml:space="preserve">得 </w:t>
      </w:r>
      <w:r>
        <w:rPr>
          <w:rFonts w:hint="eastAsia" w:hAnsi="宋体" w:cs="宋体"/>
          <w:color w:val="auto"/>
          <w:szCs w:val="21"/>
          <w:lang w:val="en-US" w:eastAsia="zh-CN"/>
        </w:rPr>
        <w:t>2</w:t>
      </w:r>
      <w:r>
        <w:rPr>
          <w:rFonts w:hint="eastAsia" w:ascii="宋体" w:hAnsi="宋体" w:eastAsia="宋体" w:cs="宋体"/>
          <w:color w:val="auto"/>
          <w:szCs w:val="21"/>
        </w:rPr>
        <w:t xml:space="preserve"> 分</w:t>
      </w:r>
      <w:bookmarkEnd w:id="170"/>
      <w:r>
        <w:rPr>
          <w:rFonts w:hint="eastAsia" w:hAnsi="宋体" w:cs="宋体"/>
          <w:color w:val="auto"/>
          <w:szCs w:val="21"/>
          <w:lang w:eastAsia="zh-CN"/>
        </w:rPr>
        <w:t>；</w:t>
      </w:r>
    </w:p>
    <w:p>
      <w:pPr>
        <w:pStyle w:val="15"/>
        <w:numPr>
          <w:ilvl w:val="0"/>
          <w:numId w:val="11"/>
        </w:numPr>
        <w:spacing w:line="380" w:lineRule="exact"/>
        <w:ind w:firstLine="420" w:firstLineChars="200"/>
        <w:rPr>
          <w:rFonts w:hint="eastAsia" w:ascii="宋体" w:hAnsi="宋体" w:eastAsia="宋体" w:cs="宋体"/>
          <w:color w:val="auto"/>
          <w:szCs w:val="21"/>
        </w:rPr>
      </w:pPr>
      <w:r>
        <w:rPr>
          <w:rFonts w:hint="eastAsia" w:hAnsi="宋体" w:cs="宋体"/>
          <w:color w:val="auto"/>
          <w:szCs w:val="21"/>
          <w:lang w:val="en-US" w:eastAsia="zh-CN"/>
        </w:rPr>
        <w:t>技术</w:t>
      </w:r>
      <w:r>
        <w:rPr>
          <w:rFonts w:hint="eastAsia" w:ascii="宋体" w:hAnsi="宋体" w:eastAsia="宋体" w:cs="宋体"/>
          <w:color w:val="auto"/>
          <w:szCs w:val="21"/>
        </w:rPr>
        <w:t>参数每有</w:t>
      </w:r>
      <w:r>
        <w:rPr>
          <w:rFonts w:hint="eastAsia" w:hAnsi="宋体" w:cs="宋体"/>
          <w:color w:val="auto"/>
          <w:szCs w:val="21"/>
          <w:lang w:val="en-US" w:eastAsia="zh-CN"/>
        </w:rPr>
        <w:t>一项</w:t>
      </w:r>
      <w:r>
        <w:rPr>
          <w:rFonts w:hint="eastAsia" w:ascii="宋体" w:hAnsi="宋体" w:eastAsia="宋体" w:cs="宋体"/>
          <w:color w:val="auto"/>
          <w:szCs w:val="21"/>
        </w:rPr>
        <w:t>正偏离</w:t>
      </w:r>
      <w:r>
        <w:rPr>
          <w:rFonts w:hint="eastAsia" w:hAnsi="宋体" w:cs="宋体"/>
          <w:color w:val="auto"/>
          <w:szCs w:val="21"/>
          <w:lang w:eastAsia="zh-CN"/>
        </w:rPr>
        <w:t>，</w:t>
      </w:r>
      <w:r>
        <w:rPr>
          <w:rFonts w:hint="eastAsia" w:hAnsi="宋体" w:cs="宋体"/>
          <w:color w:val="auto"/>
          <w:szCs w:val="21"/>
          <w:lang w:val="en-US" w:eastAsia="zh-CN"/>
        </w:rPr>
        <w:t>得</w:t>
      </w:r>
      <w:r>
        <w:rPr>
          <w:rFonts w:hint="eastAsia" w:ascii="宋体" w:hAnsi="宋体" w:eastAsia="宋体" w:cs="宋体"/>
          <w:color w:val="auto"/>
          <w:szCs w:val="21"/>
        </w:rPr>
        <w:t>1分（需提供关于该项参数的</w:t>
      </w:r>
      <w:r>
        <w:rPr>
          <w:rFonts w:hint="eastAsia" w:hAnsi="宋体" w:cs="宋体"/>
          <w:color w:val="auto"/>
          <w:szCs w:val="21"/>
          <w:lang w:val="en-US" w:eastAsia="zh-CN"/>
        </w:rPr>
        <w:t>有CMA认证的检测机构出具的检验报告</w:t>
      </w:r>
      <w:r>
        <w:rPr>
          <w:rFonts w:hint="eastAsia" w:ascii="宋体" w:hAnsi="宋体" w:eastAsia="宋体" w:cs="宋体"/>
          <w:color w:val="auto"/>
          <w:szCs w:val="21"/>
        </w:rPr>
        <w:t>复印件并加盖投标人公章）</w:t>
      </w:r>
      <w:r>
        <w:rPr>
          <w:rFonts w:hint="eastAsia" w:hAnsi="宋体" w:cs="宋体"/>
          <w:color w:val="auto"/>
          <w:szCs w:val="21"/>
          <w:lang w:eastAsia="zh-CN"/>
        </w:rPr>
        <w:t>，</w:t>
      </w:r>
      <w:r>
        <w:rPr>
          <w:rFonts w:hint="eastAsia" w:hAnsi="宋体" w:cs="宋体"/>
          <w:color w:val="auto"/>
          <w:szCs w:val="21"/>
          <w:lang w:val="en-US" w:eastAsia="zh-CN"/>
        </w:rPr>
        <w:t>满分4分；</w:t>
      </w:r>
    </w:p>
    <w:p>
      <w:pPr>
        <w:pStyle w:val="15"/>
        <w:numPr>
          <w:ilvl w:val="0"/>
          <w:numId w:val="11"/>
        </w:numPr>
        <w:spacing w:line="380" w:lineRule="exact"/>
        <w:ind w:firstLine="420" w:firstLineChars="200"/>
        <w:rPr>
          <w:rFonts w:hint="eastAsia"/>
          <w:color w:val="auto"/>
        </w:rPr>
      </w:pPr>
      <w:r>
        <w:rPr>
          <w:rFonts w:hint="eastAsia" w:ascii="宋体" w:hAnsi="宋体" w:eastAsia="宋体" w:cs="宋体"/>
          <w:color w:val="auto"/>
          <w:szCs w:val="21"/>
        </w:rPr>
        <w:t>技术参数</w:t>
      </w:r>
      <w:r>
        <w:rPr>
          <w:rFonts w:hint="eastAsia" w:hAnsi="宋体" w:cs="宋体"/>
          <w:color w:val="auto"/>
          <w:szCs w:val="21"/>
          <w:lang w:val="en-US" w:eastAsia="zh-CN"/>
        </w:rPr>
        <w:t>有负偏离的，每有一项扣1分，扣完至</w:t>
      </w:r>
      <w:r>
        <w:rPr>
          <w:b w:val="0"/>
          <w:bCs w:val="0"/>
          <w:color w:val="auto"/>
        </w:rPr>
        <w:t>技术需求响应分</w:t>
      </w:r>
      <w:r>
        <w:rPr>
          <w:rFonts w:hint="eastAsia" w:hAnsi="宋体" w:cs="宋体"/>
          <w:color w:val="auto"/>
          <w:szCs w:val="21"/>
          <w:lang w:val="en-US" w:eastAsia="zh-CN"/>
        </w:rPr>
        <w:t>分值为0分为止。</w:t>
      </w:r>
    </w:p>
    <w:p>
      <w:pPr>
        <w:pStyle w:val="15"/>
        <w:spacing w:line="380" w:lineRule="exact"/>
        <w:ind w:firstLine="420" w:firstLineChars="200"/>
        <w:rPr>
          <w:rFonts w:hint="default" w:hAnsi="宋体" w:cs="宋体"/>
          <w:color w:val="auto"/>
          <w:szCs w:val="21"/>
          <w:lang w:val="en-US" w:eastAsia="zh-CN"/>
        </w:rPr>
      </w:pPr>
      <w:r>
        <w:rPr>
          <w:rFonts w:hint="eastAsia" w:hAnsi="宋体" w:cs="宋体"/>
          <w:color w:val="auto"/>
          <w:szCs w:val="21"/>
          <w:lang w:val="en-US" w:eastAsia="zh-CN"/>
        </w:rPr>
        <w:t>2.样品分</w:t>
      </w:r>
      <w:r>
        <w:rPr>
          <w:rFonts w:hint="eastAsia" w:hAnsi="宋体" w:cs="宋体"/>
          <w:b/>
          <w:bCs/>
          <w:color w:val="auto"/>
          <w:szCs w:val="21"/>
          <w:lang w:val="en-US" w:eastAsia="zh-CN"/>
        </w:rPr>
        <w:t>（满分21分）</w:t>
      </w:r>
    </w:p>
    <w:p>
      <w:pPr>
        <w:pStyle w:val="15"/>
        <w:spacing w:line="380" w:lineRule="exact"/>
        <w:ind w:firstLine="420" w:firstLineChars="200"/>
        <w:rPr>
          <w:rFonts w:hint="eastAsia" w:hAnsi="宋体" w:cs="宋体"/>
          <w:color w:val="auto"/>
          <w:szCs w:val="21"/>
          <w:lang w:val="en-US" w:eastAsia="zh-CN"/>
        </w:rPr>
      </w:pPr>
      <w:r>
        <w:rPr>
          <w:rFonts w:hint="eastAsia" w:hAnsi="宋体" w:cs="宋体"/>
          <w:color w:val="auto"/>
          <w:szCs w:val="21"/>
          <w:lang w:val="en-US" w:eastAsia="zh-CN"/>
        </w:rPr>
        <w:t>由评标委员会在打分前根据货物采购需求中“主要技术参数及性能（配置）要求”的要求，对各投标实物样品进行综合考虑，具体如下：</w:t>
      </w:r>
    </w:p>
    <w:p>
      <w:pPr>
        <w:pStyle w:val="15"/>
        <w:spacing w:line="380" w:lineRule="exact"/>
        <w:ind w:firstLine="420" w:firstLineChars="200"/>
        <w:rPr>
          <w:rFonts w:hint="eastAsia" w:hAnsi="宋体" w:cs="宋体"/>
          <w:color w:val="auto"/>
          <w:szCs w:val="21"/>
          <w:lang w:val="en-US" w:eastAsia="zh-CN"/>
        </w:rPr>
      </w:pPr>
      <w:r>
        <w:rPr>
          <w:rFonts w:hint="eastAsia" w:hAnsi="宋体" w:cs="宋体"/>
          <w:color w:val="auto"/>
          <w:szCs w:val="21"/>
          <w:lang w:val="en-US" w:eastAsia="zh-CN"/>
        </w:rPr>
        <w:t>一档（0 分）：未提交投标样品、提交投标样品不全的、提供样品不符合本次采购需求的。</w:t>
      </w:r>
    </w:p>
    <w:p>
      <w:pPr>
        <w:pStyle w:val="15"/>
        <w:spacing w:line="380" w:lineRule="exact"/>
        <w:ind w:firstLine="420" w:firstLineChars="200"/>
        <w:rPr>
          <w:rFonts w:hint="eastAsia" w:hAnsi="宋体" w:cs="宋体"/>
          <w:color w:val="auto"/>
          <w:szCs w:val="21"/>
          <w:lang w:val="en-US" w:eastAsia="zh-CN"/>
        </w:rPr>
      </w:pPr>
      <w:r>
        <w:rPr>
          <w:rFonts w:hint="eastAsia" w:hAnsi="宋体" w:cs="宋体"/>
          <w:color w:val="auto"/>
          <w:szCs w:val="21"/>
          <w:lang w:val="en-US" w:eastAsia="zh-CN"/>
        </w:rPr>
        <w:t>二档（7分）：投标人提供的样品必须符合技术参数要求，且样品参数正偏离≥1项≤2项的。</w:t>
      </w:r>
    </w:p>
    <w:p>
      <w:pPr>
        <w:pStyle w:val="15"/>
        <w:spacing w:line="380" w:lineRule="exact"/>
        <w:ind w:firstLine="420" w:firstLineChars="200"/>
        <w:rPr>
          <w:rFonts w:hint="eastAsia" w:hAnsi="宋体" w:cs="宋体"/>
          <w:color w:val="auto"/>
          <w:szCs w:val="21"/>
          <w:lang w:val="en-US" w:eastAsia="zh-CN"/>
        </w:rPr>
      </w:pPr>
      <w:r>
        <w:rPr>
          <w:rFonts w:hint="eastAsia" w:hAnsi="宋体" w:cs="宋体"/>
          <w:color w:val="auto"/>
          <w:szCs w:val="21"/>
          <w:lang w:val="en-US" w:eastAsia="zh-CN"/>
        </w:rPr>
        <w:t>三档（14分）：投标人提供的样品必须符合技术参数要求，且样品参数正偏离≥3项≤4项的。</w:t>
      </w:r>
    </w:p>
    <w:p>
      <w:pPr>
        <w:pStyle w:val="15"/>
        <w:spacing w:line="380" w:lineRule="exact"/>
        <w:ind w:firstLine="420" w:firstLineChars="200"/>
        <w:rPr>
          <w:rFonts w:hint="eastAsia" w:hAnsi="宋体" w:cs="宋体"/>
          <w:color w:val="auto"/>
          <w:szCs w:val="21"/>
          <w:lang w:val="en-US" w:eastAsia="zh-CN"/>
        </w:rPr>
      </w:pPr>
      <w:r>
        <w:rPr>
          <w:rFonts w:hint="eastAsia" w:hAnsi="宋体" w:cs="宋体"/>
          <w:color w:val="auto"/>
          <w:szCs w:val="21"/>
          <w:lang w:val="en-US" w:eastAsia="zh-CN"/>
        </w:rPr>
        <w:t>四档（21分）：投标人提供的样品必须符合技术参数要求，且样品参数正偏离≥5项的。</w:t>
      </w:r>
    </w:p>
    <w:p>
      <w:pPr>
        <w:pStyle w:val="6"/>
        <w:rPr>
          <w:rFonts w:hint="eastAsia"/>
          <w:color w:val="auto"/>
          <w:sz w:val="21"/>
          <w:szCs w:val="21"/>
          <w:lang w:val="en-US"/>
        </w:rPr>
      </w:pPr>
      <w:r>
        <w:rPr>
          <w:rFonts w:hint="eastAsia"/>
          <w:color w:val="auto"/>
          <w:sz w:val="21"/>
          <w:szCs w:val="21"/>
          <w:lang w:val="en-US"/>
        </w:rPr>
        <w:t>注：本项中所提到的正偏离是指所提供样品材质</w:t>
      </w:r>
      <w:r>
        <w:rPr>
          <w:rFonts w:hint="eastAsia"/>
          <w:color w:val="auto"/>
          <w:sz w:val="21"/>
          <w:szCs w:val="21"/>
          <w:lang w:val="en-US" w:eastAsia="zh-CN"/>
        </w:rPr>
        <w:t>的</w:t>
      </w:r>
      <w:r>
        <w:rPr>
          <w:rFonts w:hint="eastAsia"/>
          <w:color w:val="auto"/>
          <w:sz w:val="21"/>
          <w:szCs w:val="21"/>
          <w:lang w:val="en-US"/>
        </w:rPr>
        <w:t>厚度</w:t>
      </w:r>
      <w:r>
        <w:rPr>
          <w:rFonts w:hint="eastAsia"/>
          <w:color w:val="auto"/>
          <w:sz w:val="21"/>
          <w:szCs w:val="21"/>
          <w:lang w:val="en-US" w:eastAsia="zh-CN"/>
        </w:rPr>
        <w:t>以及钢管、铝管口径的大小尺寸为</w:t>
      </w:r>
      <w:r>
        <w:rPr>
          <w:rFonts w:hint="eastAsia"/>
          <w:color w:val="auto"/>
          <w:sz w:val="21"/>
          <w:szCs w:val="21"/>
          <w:lang w:val="en-US"/>
        </w:rPr>
        <w:t>正偏离，其余正偏离不认定为实质性正偏离，投标文件技术偏离表中承诺的技术参数应与所提供样品技术参数一致。</w:t>
      </w:r>
    </w:p>
    <w:p>
      <w:pPr>
        <w:pStyle w:val="15"/>
        <w:numPr>
          <w:ilvl w:val="0"/>
          <w:numId w:val="0"/>
        </w:numPr>
        <w:spacing w:line="380" w:lineRule="exact"/>
        <w:ind w:leftChars="200"/>
        <w:rPr>
          <w:rFonts w:hint="eastAsia" w:hAnsi="宋体" w:cs="宋体"/>
          <w:color w:val="auto"/>
          <w:szCs w:val="21"/>
          <w:lang w:val="en-US" w:eastAsia="zh-CN"/>
        </w:rPr>
      </w:pPr>
      <w:r>
        <w:rPr>
          <w:rFonts w:hint="eastAsia" w:hAnsi="宋体" w:cs="宋体"/>
          <w:color w:val="auto"/>
          <w:szCs w:val="21"/>
          <w:lang w:val="en-US" w:eastAsia="zh-CN"/>
        </w:rPr>
        <w:t>3.质量技术分</w:t>
      </w:r>
      <w:r>
        <w:rPr>
          <w:rFonts w:hint="eastAsia" w:hAnsi="宋体" w:cs="宋体"/>
          <w:b/>
          <w:bCs/>
          <w:color w:val="auto"/>
          <w:szCs w:val="21"/>
          <w:lang w:val="en-US" w:eastAsia="zh-CN"/>
        </w:rPr>
        <w:t>（满分12分）</w:t>
      </w:r>
    </w:p>
    <w:p>
      <w:pPr>
        <w:pStyle w:val="15"/>
        <w:numPr>
          <w:ilvl w:val="0"/>
          <w:numId w:val="0"/>
        </w:numPr>
        <w:spacing w:line="380" w:lineRule="exact"/>
        <w:ind w:left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投标人或投标产品的生产厂商提供自 2019 年 1 月 1 日至开标截止时间前由第三方检测（验）机构出具的，符合参数要求的检测（验）报告，所提供的检测（验）报告必须是通过计量认证（CMA 标识）的机构出具的方为有效：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铁架床床立柱（边立柱）</w:t>
      </w:r>
      <w:r>
        <w:rPr>
          <w:color w:val="auto"/>
        </w:rPr>
        <w:t>【检测(验)内容</w:t>
      </w:r>
      <w:r>
        <w:rPr>
          <w:rFonts w:hint="eastAsia"/>
          <w:color w:val="auto"/>
        </w:rPr>
        <w:t>，抗拉强度或下屈服强度、断后伸长率、</w:t>
      </w:r>
      <w:r>
        <w:rPr>
          <w:color w:val="auto"/>
        </w:rPr>
        <w:t>耐腐蚀</w:t>
      </w:r>
      <w:r>
        <w:rPr>
          <w:rFonts w:hint="eastAsia"/>
          <w:color w:val="auto"/>
          <w:sz w:val="21"/>
          <w:szCs w:val="21"/>
        </w:rPr>
        <w:t>或者通过乙酸</w:t>
      </w:r>
      <w:r>
        <w:rPr>
          <w:rFonts w:hint="eastAsia"/>
          <w:color w:val="auto"/>
          <w:sz w:val="21"/>
          <w:szCs w:val="21"/>
          <w:lang w:val="en-US"/>
        </w:rPr>
        <w:t>盐雾试验</w:t>
      </w:r>
      <w:r>
        <w:rPr>
          <w:color w:val="auto"/>
        </w:rPr>
        <w:t>≥</w:t>
      </w:r>
      <w:r>
        <w:rPr>
          <w:rFonts w:hint="eastAsia"/>
          <w:color w:val="auto"/>
          <w:lang w:val="en-US"/>
        </w:rPr>
        <w:t>360</w:t>
      </w:r>
      <w:r>
        <w:rPr>
          <w:color w:val="auto"/>
        </w:rPr>
        <w:t>h。】</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铁架床床横梁（长、短横梁）</w:t>
      </w:r>
      <w:r>
        <w:rPr>
          <w:color w:val="auto"/>
        </w:rPr>
        <w:t>【检测(验)内容</w:t>
      </w:r>
      <w:r>
        <w:rPr>
          <w:rFonts w:hint="eastAsia"/>
          <w:color w:val="auto"/>
        </w:rPr>
        <w:t>，抗拉强度或下屈服强度、断后伸长率、</w:t>
      </w:r>
      <w:r>
        <w:rPr>
          <w:color w:val="auto"/>
        </w:rPr>
        <w:t>耐腐蚀</w:t>
      </w:r>
      <w:r>
        <w:rPr>
          <w:rFonts w:hint="eastAsia"/>
          <w:color w:val="auto"/>
          <w:sz w:val="21"/>
          <w:szCs w:val="21"/>
        </w:rPr>
        <w:t>或者通过乙酸</w:t>
      </w:r>
      <w:r>
        <w:rPr>
          <w:rFonts w:hint="eastAsia"/>
          <w:color w:val="auto"/>
          <w:sz w:val="21"/>
          <w:szCs w:val="21"/>
          <w:lang w:val="en-US"/>
        </w:rPr>
        <w:t>盐雾试验</w:t>
      </w:r>
      <w:r>
        <w:rPr>
          <w:color w:val="auto"/>
        </w:rPr>
        <w:t>≥</w:t>
      </w:r>
      <w:r>
        <w:rPr>
          <w:rFonts w:hint="eastAsia"/>
          <w:color w:val="auto"/>
          <w:lang w:val="en-US"/>
        </w:rPr>
        <w:t>360</w:t>
      </w:r>
      <w:r>
        <w:rPr>
          <w:color w:val="auto"/>
        </w:rPr>
        <w:t>h。】</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铁架床床连接挂件</w:t>
      </w:r>
      <w:r>
        <w:rPr>
          <w:color w:val="auto"/>
        </w:rPr>
        <w:t>【检测(验)内容</w:t>
      </w:r>
      <w:r>
        <w:rPr>
          <w:rFonts w:hint="eastAsia"/>
          <w:color w:val="auto"/>
        </w:rPr>
        <w:t>，抗拉强度或下屈服强度、断后伸长率、</w:t>
      </w:r>
      <w:r>
        <w:rPr>
          <w:color w:val="auto"/>
        </w:rPr>
        <w:t>耐腐蚀</w:t>
      </w:r>
      <w:r>
        <w:rPr>
          <w:rFonts w:hint="eastAsia"/>
          <w:color w:val="auto"/>
          <w:sz w:val="21"/>
          <w:szCs w:val="21"/>
        </w:rPr>
        <w:t>或者通过乙酸</w:t>
      </w:r>
      <w:r>
        <w:rPr>
          <w:rFonts w:hint="eastAsia"/>
          <w:color w:val="auto"/>
          <w:sz w:val="21"/>
          <w:szCs w:val="21"/>
          <w:lang w:val="en-US"/>
        </w:rPr>
        <w:t>盐雾试验</w:t>
      </w:r>
      <w:r>
        <w:rPr>
          <w:color w:val="auto"/>
        </w:rPr>
        <w:t>≥</w:t>
      </w:r>
      <w:r>
        <w:rPr>
          <w:rFonts w:hint="eastAsia"/>
          <w:color w:val="auto"/>
          <w:lang w:val="en-US"/>
        </w:rPr>
        <w:t>360</w:t>
      </w:r>
      <w:r>
        <w:rPr>
          <w:color w:val="auto"/>
        </w:rPr>
        <w:t>h。】</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铁架床床桓</w:t>
      </w:r>
      <w:r>
        <w:rPr>
          <w:color w:val="auto"/>
        </w:rPr>
        <w:t>【检测(验)内容</w:t>
      </w:r>
      <w:r>
        <w:rPr>
          <w:rFonts w:hint="eastAsia"/>
          <w:color w:val="auto"/>
        </w:rPr>
        <w:t>，抗拉强度或下屈服强度、断后伸长率、</w:t>
      </w:r>
      <w:r>
        <w:rPr>
          <w:color w:val="auto"/>
        </w:rPr>
        <w:t>耐腐蚀</w:t>
      </w:r>
      <w:r>
        <w:rPr>
          <w:rFonts w:hint="eastAsia"/>
          <w:color w:val="auto"/>
          <w:sz w:val="21"/>
          <w:szCs w:val="21"/>
        </w:rPr>
        <w:t>或者通过乙酸</w:t>
      </w:r>
      <w:r>
        <w:rPr>
          <w:rFonts w:hint="eastAsia"/>
          <w:color w:val="auto"/>
          <w:sz w:val="21"/>
          <w:szCs w:val="21"/>
          <w:lang w:val="en-US"/>
        </w:rPr>
        <w:t>盐雾试验</w:t>
      </w:r>
      <w:r>
        <w:rPr>
          <w:color w:val="auto"/>
        </w:rPr>
        <w:t>≥</w:t>
      </w:r>
      <w:r>
        <w:rPr>
          <w:rFonts w:hint="eastAsia"/>
          <w:color w:val="auto"/>
          <w:lang w:val="en-US"/>
        </w:rPr>
        <w:t>360</w:t>
      </w:r>
      <w:r>
        <w:rPr>
          <w:color w:val="auto"/>
        </w:rPr>
        <w:t>h。】</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铁架床床爬梯（主管）</w:t>
      </w:r>
      <w:r>
        <w:rPr>
          <w:color w:val="auto"/>
        </w:rPr>
        <w:t>【检测(验)内容</w:t>
      </w:r>
      <w:r>
        <w:rPr>
          <w:rFonts w:hint="eastAsia"/>
          <w:color w:val="auto"/>
        </w:rPr>
        <w:t>，抗拉强度或下屈服强度、断后伸长率、耐腐蚀</w:t>
      </w:r>
      <w:r>
        <w:rPr>
          <w:rFonts w:hint="eastAsia"/>
          <w:color w:val="auto"/>
          <w:sz w:val="21"/>
          <w:szCs w:val="21"/>
        </w:rPr>
        <w:t>或者通过乙酸</w:t>
      </w:r>
      <w:r>
        <w:rPr>
          <w:rFonts w:hint="eastAsia"/>
          <w:color w:val="auto"/>
          <w:sz w:val="21"/>
          <w:szCs w:val="21"/>
          <w:lang w:val="en-US"/>
        </w:rPr>
        <w:t>盐雾试验</w:t>
      </w:r>
      <w:r>
        <w:rPr>
          <w:color w:val="auto"/>
        </w:rPr>
        <w:t>≥</w:t>
      </w:r>
      <w:r>
        <w:rPr>
          <w:rFonts w:hint="eastAsia"/>
          <w:color w:val="auto"/>
          <w:lang w:val="en-US"/>
        </w:rPr>
        <w:t>360</w:t>
      </w:r>
      <w:r>
        <w:rPr>
          <w:color w:val="auto"/>
        </w:rPr>
        <w:t>h</w:t>
      </w:r>
      <w:r>
        <w:rPr>
          <w:rFonts w:hint="eastAsia"/>
          <w:color w:val="auto"/>
        </w:rPr>
        <w:t>。</w:t>
      </w:r>
      <w:r>
        <w:rPr>
          <w:color w:val="auto"/>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b/>
          <w:bCs/>
          <w:color w:val="auto"/>
        </w:rPr>
      </w:pPr>
      <w:r>
        <w:rPr>
          <w:rFonts w:hint="eastAsia"/>
          <w:color w:val="auto"/>
          <w:lang w:eastAsia="zh-CN"/>
        </w:rPr>
        <w:t>（</w:t>
      </w:r>
      <w:r>
        <w:rPr>
          <w:rFonts w:hint="eastAsia"/>
          <w:color w:val="auto"/>
          <w:lang w:val="en-US" w:eastAsia="zh-CN"/>
        </w:rPr>
        <w:t>6</w:t>
      </w:r>
      <w:r>
        <w:rPr>
          <w:rFonts w:hint="eastAsia"/>
          <w:color w:val="auto"/>
          <w:lang w:eastAsia="zh-CN"/>
        </w:rPr>
        <w:t>）</w:t>
      </w:r>
      <w:r>
        <w:rPr>
          <w:rFonts w:hint="eastAsia"/>
          <w:color w:val="auto"/>
        </w:rPr>
        <w:t>第</w:t>
      </w:r>
      <w:r>
        <w:rPr>
          <w:rFonts w:hint="eastAsia"/>
          <w:color w:val="auto"/>
          <w:lang w:val="en-US"/>
        </w:rPr>
        <w:t>6项椅子胶合板（俗称</w:t>
      </w:r>
      <w:r>
        <w:rPr>
          <w:rFonts w:hint="eastAsia"/>
          <w:color w:val="auto"/>
        </w:rPr>
        <w:t>多层实木板）</w:t>
      </w:r>
      <w:r>
        <w:rPr>
          <w:color w:val="auto"/>
        </w:rPr>
        <w:t>【检测(验)内容</w:t>
      </w:r>
      <w:r>
        <w:rPr>
          <w:rFonts w:hint="eastAsia"/>
          <w:color w:val="auto"/>
        </w:rPr>
        <w:t>，含水率、甲醛释放限量</w:t>
      </w:r>
      <w:r>
        <w:rPr>
          <w:color w:val="auto"/>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b/>
          <w:bCs/>
          <w:color w:val="auto"/>
        </w:rPr>
      </w:pPr>
      <w:r>
        <w:rPr>
          <w:b/>
          <w:bCs/>
          <w:color w:val="auto"/>
        </w:rPr>
        <w:t>提供以上检测(验)报告的，其内容必需满足上述要求且符合国家相应标准，每提供一项检测(验)报告，得</w:t>
      </w:r>
      <w:r>
        <w:rPr>
          <w:rFonts w:hint="eastAsia"/>
          <w:b/>
          <w:bCs/>
          <w:color w:val="auto"/>
        </w:rPr>
        <w:t>2</w:t>
      </w:r>
      <w:r>
        <w:rPr>
          <w:b/>
          <w:bCs/>
          <w:color w:val="auto"/>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color w:val="auto"/>
        </w:rPr>
        <w:t>注：要求加盖投标人公章，检测</w:t>
      </w:r>
      <w:r>
        <w:rPr>
          <w:color w:val="auto"/>
          <w:spacing w:val="4"/>
        </w:rPr>
        <w:t>（</w:t>
      </w:r>
      <w:r>
        <w:rPr>
          <w:color w:val="auto"/>
        </w:rPr>
        <w:t>验）产品内容必须与招标文件中承诺的相关参数内容一致或优于，投</w:t>
      </w:r>
      <w:r>
        <w:rPr>
          <w:color w:val="auto"/>
          <w:spacing w:val="-5"/>
        </w:rPr>
        <w:t xml:space="preserve">标时出具，具有 </w:t>
      </w:r>
      <w:r>
        <w:rPr>
          <w:color w:val="auto"/>
        </w:rPr>
        <w:t>CMA</w:t>
      </w:r>
      <w:r>
        <w:rPr>
          <w:color w:val="auto"/>
          <w:spacing w:val="-7"/>
        </w:rPr>
        <w:t xml:space="preserve"> 标识的检测</w:t>
      </w:r>
      <w:r>
        <w:rPr>
          <w:color w:val="auto"/>
        </w:rPr>
        <w:t>（验）报告复印件</w:t>
      </w:r>
      <w:r>
        <w:rPr>
          <w:color w:val="auto"/>
          <w:sz w:val="24"/>
        </w:rPr>
        <w:t>，</w:t>
      </w:r>
      <w:r>
        <w:rPr>
          <w:color w:val="auto"/>
        </w:rPr>
        <w:t>其应与原件一致，履约时提供原件核查，如有弄虚作假，取消履约资格）投标人所提供的检测（验）产品的委托单位（送检人）必须是投标产品的生产厂商或投标人，否则对应项不得分</w:t>
      </w:r>
      <w:r>
        <w:rPr>
          <w:color w:val="auto"/>
          <w:spacing w:val="-15"/>
          <w:sz w:val="21"/>
        </w:rPr>
        <w:t>。</w:t>
      </w:r>
      <w:r>
        <w:rPr>
          <w:color w:val="auto"/>
        </w:rPr>
        <w:t>检测（验）报告必须复印清晰且完整、有效，检测(验) 报告上应有查询真伪途径。</w:t>
      </w:r>
    </w:p>
    <w:p>
      <w:pPr>
        <w:pStyle w:val="15"/>
        <w:spacing w:line="390" w:lineRule="exact"/>
        <w:ind w:firstLine="422" w:firstLineChars="200"/>
        <w:rPr>
          <w:rFonts w:hint="eastAsia" w:ascii="宋体" w:hAnsi="宋体" w:eastAsia="宋体" w:cs="宋体"/>
          <w:b/>
          <w:bCs/>
          <w:color w:val="auto"/>
          <w:szCs w:val="21"/>
        </w:rPr>
      </w:pPr>
      <w:r>
        <w:rPr>
          <w:rFonts w:hint="eastAsia" w:hAnsi="宋体" w:cs="宋体"/>
          <w:b/>
          <w:bCs/>
          <w:color w:val="auto"/>
          <w:szCs w:val="21"/>
          <w:lang w:val="en-US" w:eastAsia="zh-CN"/>
        </w:rPr>
        <w:t>3</w:t>
      </w:r>
      <w:r>
        <w:rPr>
          <w:rFonts w:hint="eastAsia" w:ascii="宋体" w:hAnsi="宋体" w:eastAsia="宋体" w:cs="宋体"/>
          <w:b/>
          <w:bCs/>
          <w:color w:val="auto"/>
          <w:szCs w:val="21"/>
        </w:rPr>
        <w:t>、</w:t>
      </w:r>
      <w:r>
        <w:rPr>
          <w:rFonts w:hint="eastAsia" w:hAnsi="宋体" w:cs="宋体"/>
          <w:b/>
          <w:bCs/>
          <w:color w:val="auto"/>
          <w:szCs w:val="21"/>
          <w:lang w:val="en-US" w:eastAsia="zh-CN"/>
        </w:rPr>
        <w:t>履约能力分</w:t>
      </w:r>
      <w:r>
        <w:rPr>
          <w:rFonts w:hint="eastAsia" w:ascii="宋体" w:hAnsi="宋体" w:eastAsia="宋体" w:cs="宋体"/>
          <w:b/>
          <w:bCs/>
          <w:color w:val="auto"/>
          <w:szCs w:val="21"/>
        </w:rPr>
        <w:t xml:space="preserve">………………………………………………………………………………………满分 </w:t>
      </w:r>
      <w:r>
        <w:rPr>
          <w:rFonts w:hint="eastAsia" w:hAnsi="宋体" w:cs="宋体"/>
          <w:b/>
          <w:bCs/>
          <w:color w:val="auto"/>
          <w:szCs w:val="21"/>
          <w:lang w:val="en-US" w:eastAsia="zh-CN"/>
        </w:rPr>
        <w:t>17</w:t>
      </w:r>
      <w:r>
        <w:rPr>
          <w:rFonts w:hint="eastAsia" w:ascii="宋体" w:hAnsi="宋体" w:eastAsia="宋体" w:cs="宋体"/>
          <w:b/>
          <w:bCs/>
          <w:color w:val="auto"/>
          <w:szCs w:val="21"/>
        </w:rPr>
        <w:t xml:space="preserve"> 分</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default" w:hAnsi="宋体" w:cs="宋体"/>
          <w:bCs/>
          <w:color w:val="auto"/>
          <w:lang w:val="en-US" w:eastAsia="zh-CN"/>
        </w:rPr>
      </w:pPr>
      <w:r>
        <w:rPr>
          <w:rFonts w:hint="eastAsia" w:hAnsi="宋体" w:cs="宋体"/>
          <w:bCs/>
          <w:color w:val="auto"/>
          <w:lang w:val="en-US" w:eastAsia="zh-CN"/>
        </w:rPr>
        <w:t>（1）项目配送、安装方案分</w:t>
      </w:r>
      <w:r>
        <w:rPr>
          <w:rFonts w:hint="eastAsia" w:hAnsi="宋体" w:cs="宋体"/>
          <w:b/>
          <w:bCs w:val="0"/>
          <w:color w:val="auto"/>
          <w:lang w:val="en-US" w:eastAsia="zh-CN"/>
        </w:rPr>
        <w:t>（满分9分）</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default" w:hAnsi="宋体" w:eastAsia="宋体" w:cs="宋体"/>
          <w:bCs/>
          <w:color w:val="auto"/>
          <w:lang w:val="en-US" w:eastAsia="zh-CN"/>
        </w:rPr>
      </w:pPr>
      <w:r>
        <w:rPr>
          <w:rFonts w:hint="eastAsia" w:hAnsi="宋体" w:cs="宋体"/>
          <w:bCs/>
          <w:color w:val="auto"/>
          <w:lang w:val="en-US" w:eastAsia="zh-CN"/>
        </w:rPr>
        <w:t>一</w:t>
      </w:r>
      <w:r>
        <w:rPr>
          <w:rFonts w:hint="eastAsia" w:ascii="宋体" w:hAnsi="宋体" w:eastAsia="宋体" w:cs="宋体"/>
          <w:bCs/>
          <w:color w:val="auto"/>
        </w:rPr>
        <w:t>档</w:t>
      </w:r>
      <w:r>
        <w:rPr>
          <w:rFonts w:hint="eastAsia" w:hAnsi="宋体" w:cs="宋体"/>
          <w:bCs/>
          <w:color w:val="auto"/>
          <w:lang w:eastAsia="zh-CN"/>
        </w:rPr>
        <w:t>（</w:t>
      </w:r>
      <w:r>
        <w:rPr>
          <w:rFonts w:hint="eastAsia" w:hAnsi="宋体" w:cs="宋体"/>
          <w:bCs/>
          <w:color w:val="auto"/>
          <w:lang w:val="en-US" w:eastAsia="zh-CN"/>
        </w:rPr>
        <w:t>0分</w:t>
      </w:r>
      <w:r>
        <w:rPr>
          <w:rFonts w:hint="eastAsia" w:hAnsi="宋体" w:cs="宋体"/>
          <w:bCs/>
          <w:color w:val="auto"/>
          <w:lang w:eastAsia="zh-CN"/>
        </w:rPr>
        <w:t>）：</w:t>
      </w:r>
      <w:r>
        <w:rPr>
          <w:rFonts w:hint="eastAsia" w:hAnsi="宋体" w:cs="宋体"/>
          <w:bCs/>
          <w:color w:val="auto"/>
          <w:lang w:val="en-US" w:eastAsia="zh-CN"/>
        </w:rPr>
        <w:t>未提供项目配送、安装方案的。</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eastAsia" w:ascii="宋体" w:hAnsi="宋体" w:eastAsia="宋体" w:cs="宋体"/>
          <w:bCs/>
          <w:color w:val="auto"/>
          <w:lang w:val="en-US" w:eastAsia="zh-CN"/>
        </w:rPr>
      </w:pPr>
      <w:r>
        <w:rPr>
          <w:rFonts w:hint="eastAsia" w:hAnsi="宋体" w:cs="宋体"/>
          <w:bCs/>
          <w:color w:val="auto"/>
          <w:lang w:val="en-US" w:eastAsia="zh-CN"/>
        </w:rPr>
        <w:t>二</w:t>
      </w:r>
      <w:r>
        <w:rPr>
          <w:rFonts w:hint="eastAsia" w:ascii="宋体" w:hAnsi="宋体" w:eastAsia="宋体" w:cs="宋体"/>
          <w:bCs/>
          <w:color w:val="auto"/>
        </w:rPr>
        <w:t>档（0.</w:t>
      </w:r>
      <w:r>
        <w:rPr>
          <w:rFonts w:hint="eastAsia" w:ascii="宋体" w:hAnsi="宋体" w:eastAsia="宋体" w:cs="宋体"/>
          <w:bCs/>
          <w:color w:val="auto"/>
          <w:lang w:val="en-US" w:eastAsia="zh-CN"/>
        </w:rPr>
        <w:t>1</w:t>
      </w:r>
      <w:r>
        <w:rPr>
          <w:rFonts w:hint="eastAsia" w:ascii="宋体" w:hAnsi="宋体" w:eastAsia="宋体" w:cs="宋体"/>
          <w:bCs/>
          <w:color w:val="auto"/>
        </w:rPr>
        <w:t xml:space="preserve"> - </w:t>
      </w:r>
      <w:r>
        <w:rPr>
          <w:rFonts w:hint="eastAsia" w:hAnsi="宋体" w:cs="宋体"/>
          <w:bCs/>
          <w:color w:val="auto"/>
          <w:lang w:val="en-US" w:eastAsia="zh-CN"/>
        </w:rPr>
        <w:t>3</w:t>
      </w:r>
      <w:r>
        <w:rPr>
          <w:rFonts w:hint="eastAsia" w:ascii="宋体" w:hAnsi="宋体" w:eastAsia="宋体" w:cs="宋体"/>
          <w:bCs/>
          <w:color w:val="auto"/>
        </w:rPr>
        <w:t>分）：</w:t>
      </w:r>
      <w:r>
        <w:rPr>
          <w:rFonts w:hint="eastAsia" w:ascii="宋体" w:hAnsi="宋体" w:eastAsia="宋体" w:cs="宋体"/>
          <w:bCs/>
          <w:color w:val="auto"/>
          <w:lang w:val="en-US" w:eastAsia="zh-CN"/>
        </w:rPr>
        <w:t>对项目理解</w:t>
      </w:r>
      <w:r>
        <w:rPr>
          <w:rFonts w:hint="eastAsia" w:hAnsi="宋体" w:cs="宋体"/>
          <w:bCs/>
          <w:color w:val="auto"/>
          <w:lang w:val="en-US" w:eastAsia="zh-CN"/>
        </w:rPr>
        <w:t>一般</w:t>
      </w:r>
      <w:r>
        <w:rPr>
          <w:rFonts w:hint="eastAsia" w:ascii="宋体" w:hAnsi="宋体" w:eastAsia="宋体" w:cs="宋体"/>
          <w:bCs/>
          <w:color w:val="auto"/>
          <w:lang w:val="en-US" w:eastAsia="zh-CN"/>
        </w:rPr>
        <w:t>，配送、安装方案</w:t>
      </w:r>
      <w:r>
        <w:rPr>
          <w:rFonts w:hint="eastAsia" w:hAnsi="宋体" w:cs="宋体"/>
          <w:bCs/>
          <w:color w:val="auto"/>
          <w:lang w:val="en-US" w:eastAsia="zh-CN"/>
        </w:rPr>
        <w:t>针对性不强</w:t>
      </w:r>
      <w:r>
        <w:rPr>
          <w:rFonts w:hint="eastAsia" w:ascii="宋体" w:hAnsi="宋体" w:eastAsia="宋体" w:cs="宋体"/>
          <w:bCs/>
          <w:color w:val="auto"/>
          <w:lang w:val="en-US" w:eastAsia="zh-CN"/>
        </w:rPr>
        <w:t>，有项目执行组织措施、项目执行保障措施，有实施组织方案，保证项目正常实施。</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eastAsia" w:ascii="宋体" w:hAnsi="宋体" w:eastAsia="宋体" w:cs="宋体"/>
          <w:bCs/>
          <w:color w:val="auto"/>
          <w:lang w:val="en-US"/>
        </w:rPr>
      </w:pPr>
      <w:r>
        <w:rPr>
          <w:rFonts w:hint="eastAsia" w:hAnsi="宋体" w:cs="宋体"/>
          <w:bCs/>
          <w:color w:val="auto"/>
          <w:lang w:val="en-US" w:eastAsia="zh-CN"/>
        </w:rPr>
        <w:t>三</w:t>
      </w:r>
      <w:r>
        <w:rPr>
          <w:rFonts w:hint="eastAsia" w:ascii="宋体" w:hAnsi="宋体" w:eastAsia="宋体" w:cs="宋体"/>
          <w:bCs/>
          <w:color w:val="auto"/>
        </w:rPr>
        <w:t>档（</w:t>
      </w:r>
      <w:r>
        <w:rPr>
          <w:rFonts w:hint="eastAsia" w:hAnsi="宋体" w:cs="宋体"/>
          <w:bCs/>
          <w:color w:val="auto"/>
          <w:lang w:val="en-US" w:eastAsia="zh-CN"/>
        </w:rPr>
        <w:t>3.</w:t>
      </w:r>
      <w:r>
        <w:rPr>
          <w:rFonts w:hint="eastAsia" w:ascii="宋体" w:hAnsi="宋体" w:eastAsia="宋体" w:cs="宋体"/>
          <w:bCs/>
          <w:color w:val="auto"/>
        </w:rPr>
        <w:t xml:space="preserve">1 - </w:t>
      </w:r>
      <w:r>
        <w:rPr>
          <w:rFonts w:hint="eastAsia" w:hAnsi="宋体" w:cs="宋体"/>
          <w:bCs/>
          <w:color w:val="auto"/>
          <w:lang w:val="en-US" w:eastAsia="zh-CN"/>
        </w:rPr>
        <w:t>6</w:t>
      </w:r>
      <w:r>
        <w:rPr>
          <w:rFonts w:hint="eastAsia" w:ascii="宋体" w:hAnsi="宋体" w:eastAsia="宋体" w:cs="宋体"/>
          <w:bCs/>
          <w:color w:val="auto"/>
        </w:rPr>
        <w:t xml:space="preserve"> 分）：</w:t>
      </w:r>
      <w:r>
        <w:rPr>
          <w:rFonts w:hint="eastAsia" w:ascii="宋体" w:hAnsi="宋体" w:eastAsia="宋体" w:cs="宋体"/>
          <w:bCs/>
          <w:color w:val="auto"/>
          <w:lang w:val="en-US" w:eastAsia="zh-CN"/>
        </w:rPr>
        <w:t>对项目理解清晰、准确，配送、安装方案详细合理，组织机构健全，项目执行保障措施完整，方案资料齐全、完善，保证项目正常实施。</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eastAsia" w:ascii="宋体" w:hAnsi="宋体" w:eastAsia="宋体" w:cs="宋体"/>
          <w:b/>
          <w:bCs/>
          <w:color w:val="auto"/>
          <w:szCs w:val="21"/>
        </w:rPr>
      </w:pPr>
      <w:r>
        <w:rPr>
          <w:rFonts w:hint="eastAsia" w:hAnsi="宋体" w:cs="宋体"/>
          <w:bCs/>
          <w:color w:val="auto"/>
          <w:lang w:val="en-US" w:eastAsia="zh-CN"/>
        </w:rPr>
        <w:t>四</w:t>
      </w:r>
      <w:r>
        <w:rPr>
          <w:rFonts w:hint="eastAsia" w:ascii="宋体" w:hAnsi="宋体" w:eastAsia="宋体" w:cs="宋体"/>
          <w:bCs/>
          <w:color w:val="auto"/>
        </w:rPr>
        <w:t>档（</w:t>
      </w:r>
      <w:r>
        <w:rPr>
          <w:rFonts w:hint="eastAsia" w:hAnsi="宋体" w:cs="宋体"/>
          <w:bCs/>
          <w:color w:val="auto"/>
          <w:lang w:val="en-US" w:eastAsia="zh-CN"/>
        </w:rPr>
        <w:t>6.</w:t>
      </w:r>
      <w:r>
        <w:rPr>
          <w:rFonts w:hint="eastAsia" w:ascii="宋体" w:hAnsi="宋体" w:eastAsia="宋体" w:cs="宋体"/>
          <w:bCs/>
          <w:color w:val="auto"/>
        </w:rPr>
        <w:t>1 -</w:t>
      </w:r>
      <w:r>
        <w:rPr>
          <w:rFonts w:hint="eastAsia" w:hAnsi="宋体" w:cs="宋体"/>
          <w:bCs/>
          <w:color w:val="auto"/>
          <w:lang w:val="en-US" w:eastAsia="zh-CN"/>
        </w:rPr>
        <w:t>9</w:t>
      </w:r>
      <w:r>
        <w:rPr>
          <w:rFonts w:hint="eastAsia" w:ascii="宋体" w:hAnsi="宋体" w:eastAsia="宋体" w:cs="宋体"/>
          <w:bCs/>
          <w:color w:val="auto"/>
        </w:rPr>
        <w:t>分）：</w:t>
      </w:r>
      <w:r>
        <w:rPr>
          <w:rFonts w:hint="eastAsia" w:ascii="宋体" w:hAnsi="宋体" w:eastAsia="宋体" w:cs="宋体"/>
          <w:bCs/>
          <w:color w:val="auto"/>
          <w:lang w:val="en-US" w:eastAsia="zh-CN"/>
        </w:rPr>
        <w:t>对项目理解清晰、准确，配送、安装方案详细合理、有针对性，组织机构健全、完善，项目执行保障措施清晰、合理，方案资料齐全、完善，具有针对性，保证项目正常实施。</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default" w:hAnsi="宋体" w:cs="宋体"/>
          <w:bCs/>
          <w:color w:val="auto"/>
          <w:lang w:val="en-US" w:eastAsia="zh-CN"/>
        </w:rPr>
      </w:pPr>
      <w:r>
        <w:rPr>
          <w:rFonts w:hint="eastAsia" w:hAnsi="宋体" w:cs="宋体"/>
          <w:bCs/>
          <w:color w:val="auto"/>
          <w:lang w:val="en-US" w:eastAsia="zh-CN"/>
        </w:rPr>
        <w:t>（2）信誉分</w:t>
      </w:r>
      <w:r>
        <w:rPr>
          <w:rFonts w:hint="eastAsia" w:hAnsi="宋体" w:cs="宋体"/>
          <w:b/>
          <w:bCs w:val="0"/>
          <w:color w:val="auto"/>
          <w:lang w:val="en-US" w:eastAsia="zh-CN"/>
        </w:rPr>
        <w:t>（满分5分）</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eastAsia" w:hAnsi="宋体" w:cs="宋体"/>
          <w:bCs/>
          <w:color w:val="auto"/>
          <w:lang w:val="en-US" w:eastAsia="zh-CN"/>
        </w:rPr>
      </w:pPr>
      <w:r>
        <w:rPr>
          <w:rFonts w:hint="eastAsia" w:hAnsi="宋体" w:cs="宋体"/>
          <w:bCs/>
          <w:color w:val="auto"/>
          <w:lang w:val="en-US" w:eastAsia="zh-CN"/>
        </w:rPr>
        <w:t>投标单位（或产品生产厂家）通过 ISO14001 环境管理体系认证、ISO9001 质量管理体系认证、OHSAS18001 职业健康安全体系认证，每提供 1 项得 1 分，本项最多得3分。【投标文件中提供有效期内认证证书复印件，其应与原件一致，履约时提供原件核查，如有弄虚作假，取消履约资格】</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eastAsia" w:hAnsi="宋体" w:cs="宋体"/>
          <w:bCs/>
          <w:color w:val="auto"/>
          <w:lang w:val="en-US" w:eastAsia="zh-CN"/>
        </w:rPr>
      </w:pPr>
      <w:r>
        <w:rPr>
          <w:rFonts w:hint="eastAsia" w:hAnsi="宋体" w:cs="宋体"/>
          <w:bCs/>
          <w:color w:val="auto"/>
          <w:lang w:val="en-US" w:eastAsia="zh-CN"/>
        </w:rPr>
        <w:t>投标单位（或产品生产厂家）获得符合 GB/T 29490-2013《企业知识产权管理规范》知识产权管理体系认证证书（通过认证的内容包含办公家具、教学家具（校区）、公寓（宿舍）家具生产、销售的知识产权管理）得 1 分。【投标文件中提供有效期内认证证书复印件，其应与原件一致，履约时提供原件核查，如有弄虚作假，取消履约资格】；</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eastAsia" w:hAnsi="宋体" w:cs="宋体"/>
          <w:bCs/>
          <w:color w:val="auto"/>
          <w:lang w:val="en-US" w:eastAsia="zh-CN"/>
        </w:rPr>
      </w:pPr>
      <w:r>
        <w:rPr>
          <w:rFonts w:hint="eastAsia" w:hAnsi="宋体" w:cs="宋体"/>
          <w:bCs/>
          <w:color w:val="auto"/>
          <w:lang w:val="en-US" w:eastAsia="zh-CN"/>
        </w:rPr>
        <w:t>投标单位（或产品生产厂家）获得符合 GB/T 31950-2015 《企业诚信管理体系》要求的诚信管理体系认证证书得 1 分。【投标文件中提供有效期内认证证书复印件，其应与原件一致，履约时提供原件核查，如有弄虚作假，取消履约资格】</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default" w:ascii="宋体" w:hAnsi="宋体" w:eastAsia="宋体" w:cs="宋体"/>
          <w:bCs/>
          <w:color w:val="auto"/>
          <w:lang w:val="en-US" w:eastAsia="zh-CN"/>
        </w:rPr>
      </w:pPr>
      <w:r>
        <w:rPr>
          <w:rFonts w:hint="eastAsia" w:hAnsi="宋体" w:cs="宋体"/>
          <w:bCs/>
          <w:color w:val="auto"/>
          <w:lang w:val="en-US" w:eastAsia="zh-CN"/>
        </w:rPr>
        <w:t>（3）业绩分</w:t>
      </w:r>
      <w:r>
        <w:rPr>
          <w:rFonts w:hint="eastAsia" w:hAnsi="宋体" w:cs="宋体"/>
          <w:b/>
          <w:bCs w:val="0"/>
          <w:color w:val="auto"/>
          <w:lang w:val="en-US" w:eastAsia="zh-CN"/>
        </w:rPr>
        <w:t>（满分3分）</w:t>
      </w:r>
    </w:p>
    <w:p>
      <w:pPr>
        <w:pStyle w:val="15"/>
        <w:keepNext w:val="0"/>
        <w:keepLines w:val="0"/>
        <w:pageBreakBefore w:val="0"/>
        <w:widowControl w:val="0"/>
        <w:kinsoku/>
        <w:wordWrap/>
        <w:overflowPunct/>
        <w:topLinePunct w:val="0"/>
        <w:autoSpaceDE/>
        <w:autoSpaceDN/>
        <w:bidi w:val="0"/>
        <w:adjustRightInd/>
        <w:snapToGrid/>
        <w:spacing w:line="400" w:lineRule="exact"/>
        <w:ind w:left="420" w:firstLine="420" w:firstLineChars="200"/>
        <w:textAlignment w:val="auto"/>
        <w:rPr>
          <w:rFonts w:hint="eastAsia" w:ascii="宋体" w:hAnsi="宋体" w:eastAsia="宋体" w:cs="宋体"/>
          <w:bCs/>
          <w:color w:val="auto"/>
        </w:rPr>
      </w:pPr>
      <w:r>
        <w:rPr>
          <w:rFonts w:hint="eastAsia" w:ascii="宋体" w:hAnsi="宋体" w:eastAsia="宋体" w:cs="宋体"/>
          <w:bCs/>
          <w:color w:val="auto"/>
        </w:rPr>
        <w:t>投标人自 201</w:t>
      </w:r>
      <w:r>
        <w:rPr>
          <w:rFonts w:hint="eastAsia" w:hAnsi="宋体" w:cs="宋体"/>
          <w:bCs/>
          <w:color w:val="auto"/>
          <w:lang w:val="en-US" w:eastAsia="zh-CN"/>
        </w:rPr>
        <w:t>7</w:t>
      </w:r>
      <w:r>
        <w:rPr>
          <w:rFonts w:hint="eastAsia" w:ascii="宋体" w:hAnsi="宋体" w:eastAsia="宋体" w:cs="宋体"/>
          <w:bCs/>
          <w:color w:val="auto"/>
        </w:rPr>
        <w:t xml:space="preserve"> 年 1 月 1 日以来具有同类产品（</w:t>
      </w:r>
      <w:r>
        <w:rPr>
          <w:rFonts w:hint="eastAsia" w:hAnsi="宋体" w:cs="宋体"/>
          <w:bCs/>
          <w:color w:val="auto"/>
          <w:lang w:val="en-US" w:eastAsia="zh-CN"/>
        </w:rPr>
        <w:t>金属床、金属柜、木制家具</w:t>
      </w:r>
      <w:r>
        <w:rPr>
          <w:rFonts w:hint="eastAsia" w:ascii="宋体" w:hAnsi="宋体" w:eastAsia="宋体" w:cs="宋体"/>
          <w:bCs/>
          <w:color w:val="auto"/>
        </w:rPr>
        <w:t>）的销售业绩 [无不良记录，以中标（成交）通知书</w:t>
      </w:r>
      <w:r>
        <w:rPr>
          <w:rFonts w:hint="eastAsia" w:hAnsi="宋体" w:cs="宋体"/>
          <w:bCs/>
          <w:color w:val="auto"/>
          <w:lang w:val="en-US" w:eastAsia="zh-CN"/>
        </w:rPr>
        <w:t>或</w:t>
      </w:r>
      <w:r>
        <w:rPr>
          <w:rFonts w:hint="eastAsia" w:ascii="宋体" w:hAnsi="宋体" w:eastAsia="宋体" w:cs="宋体"/>
          <w:bCs/>
          <w:color w:val="auto"/>
        </w:rPr>
        <w:t>采购合同复印件为准（能清晰反映所销售的货物名称、种类、金额)，否则将不予计分；同一个编号的项目有两个或两个以上的分标中标的只算一次]，每提供一项得</w:t>
      </w:r>
      <w:r>
        <w:rPr>
          <w:rFonts w:hint="eastAsia" w:hAnsi="宋体" w:cs="宋体"/>
          <w:bCs/>
          <w:color w:val="auto"/>
          <w:lang w:val="en-US" w:eastAsia="zh-CN"/>
        </w:rPr>
        <w:t>0.5</w:t>
      </w:r>
      <w:r>
        <w:rPr>
          <w:rFonts w:hint="eastAsia" w:ascii="宋体" w:hAnsi="宋体" w:eastAsia="宋体" w:cs="宋体"/>
          <w:bCs/>
          <w:color w:val="auto"/>
        </w:rPr>
        <w:t>分，最多得</w:t>
      </w:r>
      <w:r>
        <w:rPr>
          <w:rFonts w:hint="eastAsia" w:hAnsi="宋体" w:cs="宋体"/>
          <w:bCs/>
          <w:color w:val="auto"/>
          <w:lang w:val="en-US" w:eastAsia="zh-CN"/>
        </w:rPr>
        <w:t>3</w:t>
      </w:r>
      <w:r>
        <w:rPr>
          <w:rFonts w:hint="eastAsia" w:ascii="宋体" w:hAnsi="宋体" w:eastAsia="宋体" w:cs="宋体"/>
          <w:bCs/>
          <w:color w:val="auto"/>
        </w:rPr>
        <w:t>分。</w:t>
      </w:r>
    </w:p>
    <w:p>
      <w:pPr>
        <w:pStyle w:val="15"/>
        <w:spacing w:line="390" w:lineRule="exact"/>
        <w:ind w:firstLine="422" w:firstLineChars="200"/>
        <w:rPr>
          <w:rFonts w:hint="eastAsia" w:ascii="宋体" w:hAnsi="宋体" w:eastAsia="宋体" w:cs="宋体"/>
          <w:b/>
          <w:bCs/>
          <w:color w:val="auto"/>
          <w:szCs w:val="21"/>
        </w:rPr>
      </w:pPr>
      <w:bookmarkStart w:id="171" w:name="_Toc21599"/>
      <w:r>
        <w:rPr>
          <w:rFonts w:hint="eastAsia" w:hAnsi="宋体" w:cs="宋体"/>
          <w:b/>
          <w:bCs/>
          <w:color w:val="auto"/>
          <w:szCs w:val="21"/>
          <w:lang w:val="en-US" w:eastAsia="zh-CN"/>
        </w:rPr>
        <w:t>4</w:t>
      </w:r>
      <w:r>
        <w:rPr>
          <w:rFonts w:hint="eastAsia" w:ascii="宋体" w:hAnsi="宋体" w:eastAsia="宋体" w:cs="宋体"/>
          <w:b/>
          <w:bCs/>
          <w:color w:val="auto"/>
          <w:szCs w:val="21"/>
        </w:rPr>
        <w:t>、售后服务分………………………</w:t>
      </w:r>
      <w:r>
        <w:rPr>
          <w:rFonts w:hint="eastAsia" w:ascii="宋体" w:hAnsi="宋体" w:eastAsia="宋体" w:cs="宋体"/>
          <w:b/>
          <w:bCs/>
          <w:color w:val="auto"/>
          <w:kern w:val="0"/>
          <w:szCs w:val="21"/>
          <w:lang w:val="en-US" w:eastAsia="zh-CN"/>
        </w:rPr>
        <w:t>…</w:t>
      </w:r>
      <w:r>
        <w:rPr>
          <w:rFonts w:hint="eastAsia" w:ascii="宋体" w:hAnsi="宋体" w:eastAsia="宋体" w:cs="宋体"/>
          <w:b/>
          <w:bCs/>
          <w:color w:val="auto"/>
          <w:szCs w:val="21"/>
        </w:rPr>
        <w:t>…………………………………………………………满分</w:t>
      </w:r>
      <w:r>
        <w:rPr>
          <w:rFonts w:hint="eastAsia" w:ascii="宋体" w:hAnsi="宋体" w:eastAsia="宋体" w:cs="宋体"/>
          <w:b/>
          <w:bCs/>
          <w:color w:val="auto"/>
          <w:szCs w:val="21"/>
          <w:lang w:val="en-US" w:eastAsia="zh-CN"/>
        </w:rPr>
        <w:t xml:space="preserve"> 1</w:t>
      </w:r>
      <w:r>
        <w:rPr>
          <w:rFonts w:hint="eastAsia" w:hAnsi="宋体" w:cs="宋体"/>
          <w:b/>
          <w:bCs/>
          <w:color w:val="auto"/>
          <w:szCs w:val="21"/>
          <w:lang w:val="en-US" w:eastAsia="zh-CN"/>
        </w:rPr>
        <w:t>1</w:t>
      </w:r>
      <w:r>
        <w:rPr>
          <w:rFonts w:hint="eastAsia" w:ascii="宋体" w:hAnsi="宋体" w:eastAsia="宋体" w:cs="宋体"/>
          <w:b/>
          <w:bCs/>
          <w:color w:val="auto"/>
          <w:szCs w:val="21"/>
        </w:rPr>
        <w:t xml:space="preserve">  分</w:t>
      </w:r>
      <w:bookmarkEnd w:id="171"/>
    </w:p>
    <w:p>
      <w:pPr>
        <w:pStyle w:val="15"/>
        <w:spacing w:line="400" w:lineRule="exact"/>
        <w:ind w:left="420" w:firstLine="420" w:firstLineChars="200"/>
        <w:rPr>
          <w:rFonts w:hint="eastAsia" w:ascii="宋体" w:hAnsi="宋体" w:eastAsia="宋体" w:cs="宋体"/>
          <w:bCs/>
          <w:color w:val="auto"/>
        </w:rPr>
      </w:pPr>
      <w:r>
        <w:rPr>
          <w:rFonts w:hint="eastAsia" w:ascii="宋体" w:hAnsi="宋体" w:eastAsia="宋体" w:cs="宋体"/>
          <w:bCs/>
          <w:color w:val="auto"/>
        </w:rPr>
        <w:t>（1）</w:t>
      </w:r>
      <w:r>
        <w:rPr>
          <w:rFonts w:hint="eastAsia" w:asciiTheme="minorEastAsia" w:hAnsiTheme="minorEastAsia" w:eastAsiaTheme="minorEastAsia" w:cstheme="minorEastAsia"/>
          <w:color w:val="auto"/>
          <w:highlight w:val="none"/>
        </w:rPr>
        <w:t>根据投标文件中售后服务方案内容的完整性、可行性，到达故障现场时间、人员配备情况、故障出现解决方案、定期维护 (注明时间)、免费保修期外维修方案、其他优惠措施等方面，由评委确定各投标人所属档次并独立打分</w:t>
      </w:r>
      <w:r>
        <w:rPr>
          <w:rFonts w:hint="eastAsia" w:asciiTheme="minorEastAsia" w:hAnsiTheme="minorEastAsia" w:eastAsiaTheme="minorEastAsia" w:cstheme="minorEastAsia"/>
          <w:color w:val="auto"/>
          <w:highlight w:val="none"/>
          <w:lang w:eastAsia="zh-CN"/>
        </w:rPr>
        <w:t>。</w:t>
      </w:r>
      <w:r>
        <w:rPr>
          <w:rFonts w:hint="eastAsia" w:hAnsi="宋体" w:cs="宋体"/>
          <w:b/>
          <w:bCs w:val="0"/>
          <w:color w:val="auto"/>
          <w:lang w:val="en-US" w:eastAsia="zh-CN"/>
        </w:rPr>
        <w:t>（满分9分）</w:t>
      </w:r>
      <w:r>
        <w:rPr>
          <w:rFonts w:hint="eastAsia" w:ascii="宋体" w:hAnsi="宋体" w:eastAsia="宋体" w:cs="宋体"/>
          <w:bCs/>
          <w:color w:val="auto"/>
        </w:rPr>
        <w:t xml:space="preserve"> </w:t>
      </w:r>
    </w:p>
    <w:p>
      <w:pPr>
        <w:pStyle w:val="15"/>
        <w:spacing w:line="400" w:lineRule="exact"/>
        <w:ind w:left="420" w:firstLine="420" w:firstLineChars="200"/>
        <w:rPr>
          <w:rFonts w:hint="eastAsia" w:ascii="宋体" w:hAnsi="宋体" w:eastAsia="宋体" w:cs="宋体"/>
          <w:bCs/>
          <w:color w:val="auto"/>
        </w:rPr>
      </w:pPr>
      <w:r>
        <w:rPr>
          <w:rFonts w:hint="eastAsia" w:ascii="宋体" w:hAnsi="宋体" w:eastAsia="宋体" w:cs="宋体"/>
          <w:bCs/>
          <w:color w:val="auto"/>
        </w:rPr>
        <w:t>一档（</w:t>
      </w:r>
      <w:r>
        <w:rPr>
          <w:rFonts w:hint="eastAsia" w:ascii="宋体" w:hAnsi="宋体" w:eastAsia="宋体" w:cs="宋体"/>
          <w:bCs/>
          <w:color w:val="auto"/>
          <w:lang w:val="en-US" w:eastAsia="zh-CN"/>
        </w:rPr>
        <w:t>0.1</w:t>
      </w:r>
      <w:r>
        <w:rPr>
          <w:rFonts w:hint="eastAsia" w:ascii="宋体" w:hAnsi="宋体" w:eastAsia="宋体" w:cs="宋体"/>
          <w:bCs/>
          <w:color w:val="auto"/>
        </w:rPr>
        <w:t xml:space="preserve">- </w:t>
      </w:r>
      <w:r>
        <w:rPr>
          <w:rFonts w:hint="eastAsia" w:hAnsi="宋体" w:cs="宋体"/>
          <w:bCs/>
          <w:color w:val="auto"/>
          <w:lang w:val="en-US" w:eastAsia="zh-CN"/>
        </w:rPr>
        <w:t>3</w:t>
      </w:r>
      <w:r>
        <w:rPr>
          <w:rFonts w:hint="eastAsia" w:ascii="宋体" w:hAnsi="宋体" w:eastAsia="宋体" w:cs="宋体"/>
          <w:bCs/>
          <w:color w:val="auto"/>
        </w:rPr>
        <w:t xml:space="preserve"> 分）：售后服务方案</w:t>
      </w:r>
      <w:r>
        <w:rPr>
          <w:rFonts w:hint="eastAsia" w:hAnsi="宋体" w:cs="宋体"/>
          <w:bCs/>
          <w:color w:val="auto"/>
          <w:lang w:val="en-US" w:eastAsia="zh-CN"/>
        </w:rPr>
        <w:t>满足</w:t>
      </w:r>
      <w:r>
        <w:rPr>
          <w:rFonts w:hint="eastAsia" w:ascii="宋体" w:hAnsi="宋体" w:eastAsia="宋体" w:cs="宋体"/>
          <w:bCs/>
          <w:color w:val="auto"/>
        </w:rPr>
        <w:t xml:space="preserve">招标文件要求。 </w:t>
      </w:r>
    </w:p>
    <w:p>
      <w:pPr>
        <w:pStyle w:val="15"/>
        <w:spacing w:line="400" w:lineRule="exact"/>
        <w:ind w:left="420" w:firstLine="420" w:firstLineChars="200"/>
        <w:rPr>
          <w:rFonts w:hint="eastAsia" w:asciiTheme="minorEastAsia" w:hAnsiTheme="minorEastAsia" w:eastAsiaTheme="minorEastAsia" w:cstheme="minorEastAsia"/>
          <w:color w:val="auto"/>
          <w:highlight w:val="none"/>
        </w:rPr>
      </w:pPr>
      <w:r>
        <w:rPr>
          <w:rFonts w:hint="eastAsia" w:ascii="宋体" w:hAnsi="宋体" w:eastAsia="宋体" w:cs="宋体"/>
          <w:bCs/>
          <w:color w:val="auto"/>
        </w:rPr>
        <w:t>二档（</w:t>
      </w:r>
      <w:r>
        <w:rPr>
          <w:rFonts w:hint="eastAsia" w:hAnsi="宋体" w:cs="宋体"/>
          <w:bCs/>
          <w:color w:val="auto"/>
          <w:lang w:val="en-US" w:eastAsia="zh-CN"/>
        </w:rPr>
        <w:t>3</w:t>
      </w:r>
      <w:r>
        <w:rPr>
          <w:rFonts w:hint="eastAsia" w:ascii="宋体" w:hAnsi="宋体" w:eastAsia="宋体" w:cs="宋体"/>
          <w:bCs/>
          <w:color w:val="auto"/>
        </w:rPr>
        <w:t xml:space="preserve">.1 - </w:t>
      </w:r>
      <w:r>
        <w:rPr>
          <w:rFonts w:hint="eastAsia" w:hAnsi="宋体" w:cs="宋体"/>
          <w:bCs/>
          <w:color w:val="auto"/>
          <w:lang w:val="en-US" w:eastAsia="zh-CN"/>
        </w:rPr>
        <w:t>6</w:t>
      </w:r>
      <w:r>
        <w:rPr>
          <w:rFonts w:hint="eastAsia" w:ascii="宋体" w:hAnsi="宋体" w:eastAsia="宋体" w:cs="宋体"/>
          <w:bCs/>
          <w:color w:val="auto"/>
        </w:rPr>
        <w:t xml:space="preserve"> 分）：</w:t>
      </w:r>
      <w:r>
        <w:rPr>
          <w:rFonts w:hint="eastAsia" w:asciiTheme="minorEastAsia" w:hAnsiTheme="minorEastAsia" w:eastAsiaTheme="minorEastAsia" w:cstheme="minorEastAsia"/>
          <w:color w:val="auto"/>
          <w:highlight w:val="none"/>
        </w:rPr>
        <w:t xml:space="preserve">满足招标文件售后服务要求的同时，售后服务方案内完整、可行，故障响应时间、到达现场维护时间、修复时间优于招标文件要求，有项目售后实施计划，有售后服务车辆、人员及零配件仓库。(需提供有效售后服务车辆、人员及零配件仓库等证明材料复印件，证明材料不全或不能有力证明具备能够保证履行以上承诺的能力以及承诺内容的真实性的，视做无效承诺则不予计分) </w:t>
      </w:r>
    </w:p>
    <w:p>
      <w:pPr>
        <w:pStyle w:val="15"/>
        <w:spacing w:line="400" w:lineRule="exact"/>
        <w:ind w:left="420" w:firstLine="420" w:firstLineChars="200"/>
        <w:rPr>
          <w:rFonts w:hint="eastAsia" w:asciiTheme="minorEastAsia" w:hAnsiTheme="minorEastAsia" w:eastAsiaTheme="minorEastAsia" w:cstheme="minorEastAsia"/>
          <w:color w:val="auto"/>
          <w:highlight w:val="none"/>
        </w:rPr>
      </w:pPr>
      <w:r>
        <w:rPr>
          <w:rFonts w:hint="eastAsia" w:ascii="宋体" w:hAnsi="宋体" w:eastAsia="宋体" w:cs="宋体"/>
          <w:bCs/>
          <w:color w:val="auto"/>
        </w:rPr>
        <w:t>三档（</w:t>
      </w:r>
      <w:r>
        <w:rPr>
          <w:rFonts w:hint="eastAsia" w:hAnsi="宋体" w:cs="宋体"/>
          <w:bCs/>
          <w:color w:val="auto"/>
          <w:lang w:val="en-US" w:eastAsia="zh-CN"/>
        </w:rPr>
        <w:t>6</w:t>
      </w:r>
      <w:r>
        <w:rPr>
          <w:rFonts w:hint="eastAsia" w:ascii="宋体" w:hAnsi="宋体" w:eastAsia="宋体" w:cs="宋体"/>
          <w:bCs/>
          <w:color w:val="auto"/>
        </w:rPr>
        <w:t xml:space="preserve">.1 - </w:t>
      </w:r>
      <w:r>
        <w:rPr>
          <w:rFonts w:hint="eastAsia" w:hAnsi="宋体" w:cs="宋体"/>
          <w:bCs/>
          <w:color w:val="auto"/>
          <w:lang w:val="en-US" w:eastAsia="zh-CN"/>
        </w:rPr>
        <w:t>9</w:t>
      </w:r>
      <w:r>
        <w:rPr>
          <w:rFonts w:hint="eastAsia" w:ascii="宋体" w:hAnsi="宋体" w:eastAsia="宋体" w:cs="宋体"/>
          <w:bCs/>
          <w:color w:val="auto"/>
        </w:rPr>
        <w:t xml:space="preserve"> 分）：</w:t>
      </w:r>
      <w:r>
        <w:rPr>
          <w:rFonts w:hint="eastAsia" w:asciiTheme="minorEastAsia" w:hAnsiTheme="minorEastAsia" w:eastAsiaTheme="minorEastAsia" w:cstheme="minorEastAsia"/>
          <w:color w:val="auto"/>
          <w:highlight w:val="none"/>
        </w:rPr>
        <w:t>满足招标文件售后服务要求的同时，售后服务方案内容完整、齐全、可行，故障响应时间、到达现场维护时间、修复时间优于招标文件要求，有项目售后实施计划且完整实用，有售后服务车辆、专业售后培训上岗人员及零配件仓库，其它实质性优惠措施等。(需提供有效售后服务车辆、人员及零配件仓库等证明材料复印件，证明材料不全或不能有力证明具备能够保证履行以上承诺的能力以及承诺内容的真实性的，视做无效承诺则不予计分)。</w:t>
      </w:r>
    </w:p>
    <w:p>
      <w:pPr>
        <w:pStyle w:val="15"/>
        <w:spacing w:line="400" w:lineRule="exact"/>
        <w:ind w:left="420" w:firstLine="420" w:firstLineChars="200"/>
        <w:rPr>
          <w:rFonts w:hint="eastAsia" w:ascii="宋体" w:hAnsi="宋体" w:eastAsia="宋体" w:cs="宋体"/>
          <w:bCs/>
          <w:color w:val="auto"/>
        </w:rPr>
      </w:pPr>
      <w:r>
        <w:rPr>
          <w:rFonts w:hint="eastAsia" w:ascii="宋体" w:hAnsi="宋体" w:eastAsia="宋体" w:cs="宋体"/>
          <w:bCs/>
          <w:color w:val="auto"/>
          <w:lang w:eastAsia="zh-CN"/>
        </w:rPr>
        <w:t>（</w:t>
      </w:r>
      <w:r>
        <w:rPr>
          <w:rFonts w:hint="eastAsia" w:ascii="宋体" w:hAnsi="宋体" w:eastAsia="宋体" w:cs="宋体"/>
          <w:bCs/>
          <w:color w:val="auto"/>
          <w:lang w:val="en-US" w:eastAsia="zh-CN"/>
        </w:rPr>
        <w:t>2</w:t>
      </w:r>
      <w:r>
        <w:rPr>
          <w:rFonts w:hint="eastAsia" w:ascii="宋体" w:hAnsi="宋体" w:eastAsia="宋体" w:cs="宋体"/>
          <w:bCs/>
          <w:color w:val="auto"/>
          <w:lang w:eastAsia="zh-CN"/>
        </w:rPr>
        <w:t>）</w:t>
      </w:r>
      <w:r>
        <w:rPr>
          <w:rFonts w:hint="eastAsia" w:ascii="宋体" w:hAnsi="宋体" w:eastAsia="宋体" w:cs="宋体"/>
          <w:bCs/>
          <w:color w:val="auto"/>
        </w:rPr>
        <w:t>承诺接到采购人故障报修后，能在 1.5 小时内到达项目现场的得</w:t>
      </w:r>
      <w:r>
        <w:rPr>
          <w:rFonts w:hint="eastAsia" w:ascii="宋体" w:hAnsi="宋体" w:eastAsia="宋体" w:cs="宋体"/>
          <w:bCs/>
          <w:color w:val="auto"/>
          <w:lang w:val="en-US"/>
        </w:rPr>
        <w:t>1</w:t>
      </w:r>
      <w:r>
        <w:rPr>
          <w:rFonts w:hint="eastAsia" w:ascii="宋体" w:hAnsi="宋体" w:eastAsia="宋体" w:cs="宋体"/>
          <w:bCs/>
          <w:color w:val="auto"/>
        </w:rPr>
        <w:t>分。（需提供相关有效证明材料：可以是投标人营业执照副本或服务网点房屋租赁合同等证明材料复印件，以及百度、高德等地图（包括但不限于）中路线截图，并注明投标人服务网点详细地址、联系人及联系电话等相关信息）。</w:t>
      </w:r>
    </w:p>
    <w:p>
      <w:pPr>
        <w:pStyle w:val="15"/>
        <w:spacing w:line="400" w:lineRule="exact"/>
        <w:ind w:left="420" w:firstLine="420" w:firstLineChars="200"/>
        <w:rPr>
          <w:rFonts w:hint="eastAsia" w:ascii="宋体" w:hAnsi="宋体" w:eastAsia="宋体" w:cs="宋体"/>
          <w:bCs/>
          <w:color w:val="auto"/>
        </w:rPr>
      </w:pPr>
      <w:r>
        <w:rPr>
          <w:rFonts w:hint="eastAsia" w:ascii="宋体" w:hAnsi="宋体" w:eastAsia="宋体" w:cs="宋体"/>
          <w:bCs/>
          <w:color w:val="auto"/>
        </w:rPr>
        <w:t>（</w:t>
      </w:r>
      <w:r>
        <w:rPr>
          <w:rFonts w:hint="eastAsia" w:hAnsi="宋体" w:cs="宋体"/>
          <w:bCs/>
          <w:color w:val="auto"/>
          <w:lang w:val="en-US" w:eastAsia="zh-CN"/>
        </w:rPr>
        <w:t>3</w:t>
      </w:r>
      <w:r>
        <w:rPr>
          <w:rFonts w:hint="eastAsia" w:ascii="宋体" w:hAnsi="宋体" w:eastAsia="宋体" w:cs="宋体"/>
          <w:bCs/>
          <w:color w:val="auto"/>
        </w:rPr>
        <w:t xml:space="preserve">）承诺更长保修期：在满足基本免费保修 </w:t>
      </w:r>
      <w:r>
        <w:rPr>
          <w:rFonts w:hint="eastAsia" w:hAnsi="宋体" w:cs="宋体"/>
          <w:bCs/>
          <w:color w:val="auto"/>
          <w:lang w:val="en-US" w:eastAsia="zh-CN"/>
        </w:rPr>
        <w:t>5</w:t>
      </w:r>
      <w:r>
        <w:rPr>
          <w:rFonts w:hint="eastAsia" w:ascii="宋体" w:hAnsi="宋体" w:eastAsia="宋体" w:cs="宋体"/>
          <w:bCs/>
          <w:color w:val="auto"/>
        </w:rPr>
        <w:t xml:space="preserve"> 年期基础上，免费保修期每延长一年得 </w:t>
      </w:r>
      <w:r>
        <w:rPr>
          <w:rFonts w:hint="eastAsia" w:hAnsi="宋体" w:cs="宋体"/>
          <w:bCs/>
          <w:color w:val="auto"/>
          <w:lang w:val="en-US" w:eastAsia="zh-CN"/>
        </w:rPr>
        <w:t>0.5</w:t>
      </w:r>
      <w:r>
        <w:rPr>
          <w:rFonts w:hint="eastAsia" w:ascii="宋体" w:hAnsi="宋体" w:eastAsia="宋体" w:cs="宋体"/>
          <w:bCs/>
          <w:color w:val="auto"/>
        </w:rPr>
        <w:t xml:space="preserve"> 分， </w:t>
      </w:r>
    </w:p>
    <w:p>
      <w:pPr>
        <w:pStyle w:val="15"/>
        <w:spacing w:line="400" w:lineRule="exact"/>
        <w:ind w:left="420" w:firstLine="420" w:firstLineChars="200"/>
        <w:rPr>
          <w:rFonts w:hint="eastAsia" w:ascii="宋体" w:hAnsi="宋体" w:eastAsia="宋体" w:cs="宋体"/>
          <w:b/>
          <w:color w:val="auto"/>
        </w:rPr>
      </w:pPr>
      <w:r>
        <w:rPr>
          <w:rFonts w:hint="eastAsia" w:ascii="宋体" w:hAnsi="宋体" w:eastAsia="宋体" w:cs="宋体"/>
          <w:bCs/>
          <w:color w:val="auto"/>
        </w:rPr>
        <w:t xml:space="preserve">最多得 </w:t>
      </w:r>
      <w:r>
        <w:rPr>
          <w:rFonts w:hint="eastAsia" w:hAnsi="宋体" w:cs="宋体"/>
          <w:bCs/>
          <w:color w:val="auto"/>
          <w:lang w:val="en-US" w:eastAsia="zh-CN"/>
        </w:rPr>
        <w:t>1</w:t>
      </w:r>
      <w:r>
        <w:rPr>
          <w:rFonts w:hint="eastAsia" w:ascii="宋体" w:hAnsi="宋体" w:eastAsia="宋体" w:cs="宋体"/>
          <w:bCs/>
          <w:color w:val="auto"/>
        </w:rPr>
        <w:t xml:space="preserve"> 分。 </w:t>
      </w:r>
    </w:p>
    <w:p>
      <w:pPr>
        <w:pStyle w:val="15"/>
        <w:spacing w:line="390" w:lineRule="exact"/>
        <w:ind w:firstLine="422" w:firstLineChars="200"/>
        <w:rPr>
          <w:rFonts w:hint="eastAsia" w:ascii="宋体" w:hAnsi="宋体" w:eastAsia="宋体" w:cs="宋体"/>
          <w:b/>
          <w:bCs/>
          <w:color w:val="auto"/>
          <w:szCs w:val="21"/>
        </w:rPr>
      </w:pPr>
      <w:bookmarkStart w:id="172" w:name="_Toc4474"/>
      <w:r>
        <w:rPr>
          <w:rFonts w:hint="eastAsia" w:hAnsi="宋体" w:cs="宋体"/>
          <w:b/>
          <w:bCs/>
          <w:color w:val="auto"/>
          <w:szCs w:val="21"/>
          <w:lang w:val="en-US" w:eastAsia="zh-CN"/>
        </w:rPr>
        <w:t>5</w:t>
      </w:r>
      <w:r>
        <w:rPr>
          <w:rFonts w:hint="eastAsia" w:ascii="宋体" w:hAnsi="宋体" w:eastAsia="宋体" w:cs="宋体"/>
          <w:b/>
          <w:bCs/>
          <w:color w:val="auto"/>
          <w:szCs w:val="21"/>
        </w:rPr>
        <w:t>、政策功能分（节能、环保、广西区内产品等）……</w:t>
      </w:r>
      <w:r>
        <w:rPr>
          <w:rFonts w:hint="eastAsia" w:ascii="宋体" w:hAnsi="宋体" w:eastAsia="宋体" w:cs="宋体"/>
          <w:b/>
          <w:bCs/>
          <w:color w:val="auto"/>
          <w:kern w:val="0"/>
          <w:szCs w:val="21"/>
          <w:lang w:val="en-US" w:eastAsia="zh-CN"/>
        </w:rPr>
        <w:t>…</w:t>
      </w:r>
      <w:r>
        <w:rPr>
          <w:rFonts w:hint="eastAsia" w:ascii="宋体" w:hAnsi="宋体" w:eastAsia="宋体" w:cs="宋体"/>
          <w:b/>
          <w:bCs/>
          <w:color w:val="auto"/>
          <w:szCs w:val="21"/>
        </w:rPr>
        <w:t xml:space="preserve">………………………………………满分 </w:t>
      </w:r>
      <w:r>
        <w:rPr>
          <w:rFonts w:hint="eastAsia" w:hAnsi="宋体" w:cs="宋体"/>
          <w:b/>
          <w:bCs/>
          <w:color w:val="auto"/>
          <w:szCs w:val="21"/>
          <w:lang w:val="en-US" w:eastAsia="zh-CN"/>
        </w:rPr>
        <w:t>3</w:t>
      </w:r>
      <w:r>
        <w:rPr>
          <w:rFonts w:hint="eastAsia" w:ascii="宋体" w:hAnsi="宋体" w:eastAsia="宋体" w:cs="宋体"/>
          <w:b/>
          <w:bCs/>
          <w:color w:val="auto"/>
          <w:szCs w:val="21"/>
        </w:rPr>
        <w:t xml:space="preserve"> 分</w:t>
      </w:r>
      <w:bookmarkEnd w:id="172"/>
    </w:p>
    <w:p>
      <w:pPr>
        <w:pStyle w:val="15"/>
        <w:spacing w:line="400" w:lineRule="exact"/>
        <w:ind w:left="420" w:leftChars="200" w:firstLine="111" w:firstLineChars="53"/>
        <w:rPr>
          <w:rFonts w:hint="eastAsia" w:ascii="宋体" w:hAnsi="宋体" w:eastAsia="宋体" w:cs="宋体"/>
          <w:color w:val="auto"/>
          <w:u w:val="none"/>
        </w:rPr>
      </w:pPr>
      <w:bookmarkStart w:id="173" w:name="_Toc18482"/>
      <w:r>
        <w:rPr>
          <w:rFonts w:hint="eastAsia" w:ascii="宋体" w:hAnsi="宋体" w:eastAsia="宋体" w:cs="宋体"/>
          <w:color w:val="auto"/>
          <w:u w:val="none"/>
        </w:rPr>
        <w:t>（1）应优先采购财政部现行《节能产品政府采购清单》目录内（政府强制采购节能产品除外）的产品（提供有效证明复印件）。 得</w:t>
      </w:r>
      <w:r>
        <w:rPr>
          <w:rFonts w:hint="eastAsia" w:ascii="宋体" w:hAnsi="宋体" w:eastAsia="宋体" w:cs="宋体"/>
          <w:color w:val="auto"/>
          <w:u w:val="none"/>
          <w:lang w:val="en-US" w:eastAsia="zh-CN"/>
        </w:rPr>
        <w:t>1</w:t>
      </w:r>
      <w:r>
        <w:rPr>
          <w:rFonts w:hint="eastAsia" w:ascii="宋体" w:hAnsi="宋体" w:eastAsia="宋体" w:cs="宋体"/>
          <w:color w:val="auto"/>
          <w:u w:val="none"/>
        </w:rPr>
        <w:t>分</w:t>
      </w:r>
      <w:bookmarkEnd w:id="173"/>
    </w:p>
    <w:p>
      <w:pPr>
        <w:pStyle w:val="15"/>
        <w:spacing w:line="400" w:lineRule="exact"/>
        <w:ind w:left="420" w:leftChars="200" w:firstLine="111" w:firstLineChars="53"/>
        <w:rPr>
          <w:rFonts w:hint="eastAsia" w:ascii="宋体" w:hAnsi="宋体" w:eastAsia="宋体" w:cs="宋体"/>
          <w:color w:val="auto"/>
          <w:u w:val="none"/>
        </w:rPr>
      </w:pPr>
      <w:r>
        <w:rPr>
          <w:rFonts w:hint="eastAsia" w:ascii="宋体" w:hAnsi="宋体" w:eastAsia="宋体" w:cs="宋体"/>
          <w:color w:val="auto"/>
          <w:u w:val="none"/>
        </w:rPr>
        <w:t xml:space="preserve">（2）应优先采购财政部现行《环境标志产品政府采购清单》目录内的产品（提供有效证明复印件）。                             </w:t>
      </w:r>
      <w:r>
        <w:rPr>
          <w:rFonts w:hint="eastAsia" w:ascii="宋体" w:hAnsi="宋体" w:eastAsia="宋体" w:cs="宋体"/>
          <w:bCs/>
          <w:color w:val="auto"/>
          <w:szCs w:val="21"/>
          <w:u w:val="none"/>
        </w:rPr>
        <w:t>得</w:t>
      </w:r>
      <w:r>
        <w:rPr>
          <w:rFonts w:hint="eastAsia" w:ascii="宋体" w:hAnsi="宋体" w:eastAsia="宋体" w:cs="宋体"/>
          <w:bCs/>
          <w:color w:val="auto"/>
          <w:szCs w:val="21"/>
          <w:u w:val="none"/>
          <w:lang w:val="en-US" w:eastAsia="zh-CN"/>
        </w:rPr>
        <w:t>1</w:t>
      </w:r>
      <w:r>
        <w:rPr>
          <w:rFonts w:hint="eastAsia" w:ascii="宋体" w:hAnsi="宋体" w:eastAsia="宋体" w:cs="宋体"/>
          <w:bCs/>
          <w:color w:val="auto"/>
          <w:szCs w:val="21"/>
          <w:u w:val="none"/>
        </w:rPr>
        <w:t>分</w:t>
      </w:r>
    </w:p>
    <w:p>
      <w:pPr>
        <w:pStyle w:val="15"/>
        <w:spacing w:line="400" w:lineRule="exact"/>
        <w:ind w:left="421"/>
        <w:rPr>
          <w:rFonts w:hint="eastAsia" w:ascii="宋体" w:hAnsi="宋体" w:eastAsia="宋体" w:cs="宋体"/>
          <w:color w:val="auto"/>
          <w:u w:val="none"/>
        </w:rPr>
      </w:pPr>
      <w:r>
        <w:rPr>
          <w:rFonts w:hint="eastAsia" w:ascii="宋体" w:hAnsi="宋体" w:eastAsia="宋体" w:cs="宋体"/>
          <w:color w:val="auto"/>
          <w:u w:val="none"/>
        </w:rPr>
        <w:t>（3）对使用广西工业产品（指在广西境内生产的工业产品）的金额占本项目（分标）总金额80%以上（含）的（以提供生产企业的工商营业执照复印件为准），得</w:t>
      </w:r>
      <w:r>
        <w:rPr>
          <w:rFonts w:hint="eastAsia" w:hAnsi="宋体" w:cs="宋体"/>
          <w:color w:val="auto"/>
          <w:u w:val="none"/>
          <w:lang w:val="en-US" w:eastAsia="zh-CN"/>
        </w:rPr>
        <w:t>1</w:t>
      </w:r>
      <w:r>
        <w:rPr>
          <w:rFonts w:hint="eastAsia" w:ascii="宋体" w:hAnsi="宋体" w:eastAsia="宋体" w:cs="宋体"/>
          <w:color w:val="auto"/>
          <w:u w:val="none"/>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lang w:eastAsia="zh-CN"/>
        </w:rPr>
      </w:pPr>
      <w:r>
        <w:rPr>
          <w:rFonts w:hint="eastAsia"/>
          <w:color w:val="auto"/>
        </w:rPr>
        <w:t>注：根据《广西壮族自治区人民政府办公厅关于印发招标采购促进广西工业产品产销对接实施细则的通   知》（桂政办发【2015】78 号）的规定，“广西工业产品”是指广西境内生产的工业产品，具体以生产企业的工商营业执照注册所在地为准。“使用广西工业产品 80%以上”是指参加政府采购项目或招标项目时供货范围中采用广西工业产品的金额占本次招标总金额的 80%以上</w:t>
      </w:r>
      <w:r>
        <w:rPr>
          <w:rFonts w:hint="eastAsia"/>
          <w:color w:val="auto"/>
          <w:lang w:eastAsia="zh-CN"/>
        </w:rPr>
        <w:t>。</w:t>
      </w:r>
    </w:p>
    <w:p>
      <w:pPr>
        <w:pStyle w:val="15"/>
        <w:spacing w:line="390" w:lineRule="exact"/>
        <w:ind w:firstLine="422" w:firstLineChars="200"/>
        <w:rPr>
          <w:rFonts w:hint="eastAsia" w:ascii="宋体" w:hAnsi="宋体" w:eastAsia="宋体" w:cs="宋体"/>
          <w:b/>
          <w:bCs/>
          <w:color w:val="auto"/>
          <w:szCs w:val="21"/>
          <w:lang w:val="en-US" w:eastAsia="zh-CN"/>
        </w:rPr>
      </w:pPr>
      <w:bookmarkStart w:id="174" w:name="_Toc7839"/>
      <w:r>
        <w:rPr>
          <w:rFonts w:hint="eastAsia" w:hAnsi="宋体" w:cs="宋体"/>
          <w:b/>
          <w:bCs/>
          <w:color w:val="auto"/>
          <w:szCs w:val="21"/>
          <w:lang w:val="en-US" w:eastAsia="zh-CN"/>
        </w:rPr>
        <w:t>6</w:t>
      </w:r>
      <w:r>
        <w:rPr>
          <w:rFonts w:hint="eastAsia" w:ascii="宋体" w:hAnsi="宋体" w:eastAsia="宋体" w:cs="宋体"/>
          <w:b/>
          <w:bCs/>
          <w:color w:val="auto"/>
          <w:szCs w:val="21"/>
        </w:rPr>
        <w:t>、综合得分＝1+2+3+4+5</w:t>
      </w:r>
      <w:bookmarkEnd w:id="174"/>
    </w:p>
    <w:p>
      <w:pPr>
        <w:pStyle w:val="15"/>
        <w:tabs>
          <w:tab w:val="left" w:pos="4214"/>
        </w:tabs>
        <w:spacing w:line="380" w:lineRule="exact"/>
        <w:ind w:firstLine="422" w:firstLineChars="200"/>
        <w:rPr>
          <w:rFonts w:hint="eastAsia" w:ascii="宋体" w:hAnsi="宋体" w:eastAsia="宋体" w:cs="宋体"/>
          <w:b/>
          <w:color w:val="auto"/>
        </w:rPr>
      </w:pPr>
      <w:r>
        <w:rPr>
          <w:rFonts w:hint="eastAsia" w:ascii="宋体" w:hAnsi="宋体" w:eastAsia="宋体" w:cs="宋体"/>
          <w:b/>
          <w:color w:val="auto"/>
        </w:rPr>
        <w:t>三、推荐及确定中标候选供应商原则</w:t>
      </w:r>
    </w:p>
    <w:p>
      <w:pPr>
        <w:pStyle w:val="15"/>
        <w:tabs>
          <w:tab w:val="left" w:pos="4214"/>
        </w:tabs>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（1）评标委员会根据综合得分由高到低排列次序，若得分相同时，按评标价由低到高顺序排列；得分相同且评标价也相同的由评标委员会按照抽签的方式决定排次次序</w:t>
      </w:r>
      <w:r>
        <w:rPr>
          <w:rFonts w:hint="eastAsia" w:ascii="宋体" w:hAnsi="宋体" w:eastAsia="宋体" w:cs="宋体"/>
          <w:color w:val="auto"/>
          <w:sz w:val="22"/>
          <w:szCs w:val="22"/>
        </w:rPr>
        <w:t>。</w:t>
      </w:r>
    </w:p>
    <w:p>
      <w:pPr>
        <w:pStyle w:val="15"/>
        <w:tabs>
          <w:tab w:val="left" w:pos="4214"/>
        </w:tabs>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（2）评标委员会可推荐前三名为中标候选人，采购人应当确定评标委员会推荐排名第一的中标候选人为中标人。</w:t>
      </w:r>
    </w:p>
    <w:p>
      <w:pPr>
        <w:pStyle w:val="15"/>
        <w:tabs>
          <w:tab w:val="left" w:pos="4214"/>
        </w:tabs>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投标人可自行选择参与本项目A、B、C分标中的一个或多个标段的投标，但A、B、C分标中只能中其中一个分标。如果某一投标人在A、B、C分标中评标结果出现两个或三个排名第一，则将该投标人确定为分标号靠前的分标的第一中标候选人，而其他第二成交候选人上升为第一成交候选人，第三成交候选人上升为第二成交候选人，以此类推。本项目分为三个分标，评标时按A、B、C分标的顺序进行评审。</w:t>
      </w:r>
    </w:p>
    <w:p>
      <w:pPr>
        <w:spacing w:line="390" w:lineRule="exact"/>
        <w:ind w:firstLine="426" w:firstLineChars="202"/>
        <w:jc w:val="left"/>
        <w:rPr>
          <w:rFonts w:hint="eastAsia" w:ascii="宋体" w:hAnsi="宋体" w:eastAsia="宋体" w:cs="宋体"/>
          <w:b/>
          <w:color w:val="auto"/>
          <w:szCs w:val="21"/>
        </w:rPr>
      </w:pPr>
      <w:r>
        <w:rPr>
          <w:rFonts w:hint="eastAsia" w:ascii="宋体" w:hAnsi="宋体" w:eastAsia="宋体" w:cs="宋体"/>
          <w:b/>
          <w:color w:val="auto"/>
          <w:szCs w:val="21"/>
        </w:rPr>
        <w:t>四、特别说明</w:t>
      </w:r>
    </w:p>
    <w:p>
      <w:pPr>
        <w:pStyle w:val="15"/>
        <w:adjustRightInd w:val="0"/>
        <w:spacing w:line="390" w:lineRule="exact"/>
        <w:ind w:firstLine="422" w:firstLineChars="200"/>
        <w:contextualSpacing/>
        <w:rPr>
          <w:rFonts w:hint="eastAsia" w:ascii="宋体" w:hAnsi="宋体" w:eastAsia="宋体" w:cs="宋体"/>
          <w:b/>
          <w:bCs/>
          <w:color w:val="auto"/>
          <w:szCs w:val="20"/>
          <w:lang w:eastAsia="zh-CN"/>
        </w:rPr>
      </w:pPr>
      <w:r>
        <w:rPr>
          <w:rFonts w:hint="eastAsia" w:ascii="宋体" w:hAnsi="宋体" w:eastAsia="宋体" w:cs="宋体"/>
          <w:b/>
          <w:bCs/>
          <w:color w:val="auto"/>
          <w:szCs w:val="21"/>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Start w:id="175" w:name="_Toc23297"/>
      <w:r>
        <w:rPr>
          <w:rFonts w:hint="eastAsia" w:ascii="宋体" w:hAnsi="宋体" w:eastAsia="宋体" w:cs="宋体"/>
          <w:b/>
          <w:bCs/>
          <w:color w:val="auto"/>
          <w:szCs w:val="20"/>
        </w:rPr>
        <w:br w:type="page"/>
      </w:r>
      <w:bookmarkEnd w:id="175"/>
      <w:r>
        <w:rPr>
          <w:rFonts w:hint="eastAsia"/>
          <w:b/>
          <w:bCs/>
          <w:color w:val="auto"/>
          <w:lang w:eastAsia="zh-CN"/>
        </w:rPr>
        <w:t>附表</w:t>
      </w:r>
    </w:p>
    <w:p>
      <w:pPr>
        <w:widowControl/>
        <w:spacing w:before="156" w:beforeLines="50" w:after="156" w:afterLines="50" w:line="400" w:lineRule="exact"/>
        <w:jc w:val="center"/>
        <w:rPr>
          <w:rFonts w:hint="eastAsia" w:ascii="宋体" w:hAnsi="宋体" w:eastAsia="宋体" w:cs="宋体"/>
          <w:b/>
          <w:bCs/>
          <w:color w:val="auto"/>
          <w:kern w:val="0"/>
          <w:sz w:val="30"/>
          <w:szCs w:val="30"/>
        </w:rPr>
      </w:pPr>
      <w:bookmarkStart w:id="176" w:name="_Toc28361_WPSOffice_Level2"/>
      <w:r>
        <w:rPr>
          <w:rFonts w:hint="eastAsia" w:ascii="宋体" w:hAnsi="宋体" w:eastAsia="宋体" w:cs="宋体"/>
          <w:b/>
          <w:bCs/>
          <w:color w:val="auto"/>
          <w:kern w:val="0"/>
          <w:sz w:val="30"/>
          <w:szCs w:val="30"/>
        </w:rPr>
        <w:t>统计上大中小微型企业划分标准</w:t>
      </w:r>
      <w:bookmarkEnd w:id="176"/>
    </w:p>
    <w:tbl>
      <w:tblPr>
        <w:tblStyle w:val="26"/>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113" w:type="dxa"/>
            <w:shd w:val="clear" w:color="auto" w:fill="8DB3E2"/>
            <w:vAlign w:val="center"/>
          </w:tcPr>
          <w:p>
            <w:pPr>
              <w:widowControl/>
              <w:spacing w:line="240" w:lineRule="exact"/>
              <w:jc w:val="center"/>
              <w:rPr>
                <w:rFonts w:hint="eastAsia" w:ascii="宋体" w:hAnsi="宋体" w:eastAsia="宋体" w:cs="宋体"/>
                <w:b/>
                <w:bCs/>
                <w:color w:val="auto"/>
                <w:kern w:val="0"/>
                <w:sz w:val="18"/>
                <w:szCs w:val="21"/>
              </w:rPr>
            </w:pPr>
            <w:r>
              <w:rPr>
                <w:rFonts w:hint="eastAsia" w:ascii="宋体" w:hAnsi="宋体" w:eastAsia="宋体" w:cs="宋体"/>
                <w:b/>
                <w:bCs/>
                <w:color w:val="auto"/>
                <w:kern w:val="0"/>
                <w:sz w:val="18"/>
                <w:szCs w:val="21"/>
              </w:rPr>
              <w:t>行业名称</w:t>
            </w:r>
          </w:p>
        </w:tc>
        <w:tc>
          <w:tcPr>
            <w:tcW w:w="1369"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指标名称</w:t>
            </w:r>
          </w:p>
        </w:tc>
        <w:tc>
          <w:tcPr>
            <w:tcW w:w="709"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计量</w:t>
            </w:r>
            <w:r>
              <w:rPr>
                <w:rFonts w:hint="eastAsia" w:ascii="宋体" w:hAnsi="宋体" w:eastAsia="宋体" w:cs="宋体"/>
                <w:b/>
                <w:bCs/>
                <w:color w:val="auto"/>
                <w:kern w:val="0"/>
                <w:sz w:val="18"/>
                <w:szCs w:val="18"/>
              </w:rPr>
              <w:br w:type="textWrapping"/>
            </w:r>
            <w:r>
              <w:rPr>
                <w:rFonts w:hint="eastAsia" w:ascii="宋体" w:hAnsi="宋体" w:eastAsia="宋体" w:cs="宋体"/>
                <w:b/>
                <w:bCs/>
                <w:color w:val="auto"/>
                <w:kern w:val="0"/>
                <w:sz w:val="18"/>
                <w:szCs w:val="18"/>
              </w:rPr>
              <w:t>单位</w:t>
            </w:r>
          </w:p>
        </w:tc>
        <w:tc>
          <w:tcPr>
            <w:tcW w:w="1125"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大型</w:t>
            </w:r>
          </w:p>
        </w:tc>
        <w:tc>
          <w:tcPr>
            <w:tcW w:w="1701"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中型</w:t>
            </w:r>
          </w:p>
        </w:tc>
        <w:tc>
          <w:tcPr>
            <w:tcW w:w="1426"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小型</w:t>
            </w:r>
          </w:p>
        </w:tc>
        <w:tc>
          <w:tcPr>
            <w:tcW w:w="992"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农、林、牧、渔业</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50≤Y＜500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工业 *</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2000≤Y＜40000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300≤Y＜2000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Y≥80000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6000≤Y＜80000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300≤Y＜6000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Z≥80000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5000≤Z＜80000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300≤Z＜5000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批发业</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20≤X＜200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5≤X＜20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5000≤Y＜40000</w:t>
            </w:r>
          </w:p>
        </w:tc>
        <w:tc>
          <w:tcPr>
            <w:tcW w:w="1426" w:type="dxa"/>
            <w:vAlign w:val="center"/>
          </w:tcPr>
          <w:p>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零售业</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50≤X＜300</w:t>
            </w:r>
          </w:p>
        </w:tc>
        <w:tc>
          <w:tcPr>
            <w:tcW w:w="1426" w:type="dxa"/>
            <w:vAlign w:val="center"/>
          </w:tcPr>
          <w:p>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10≤X＜50 </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426" w:type="dxa"/>
            <w:vAlign w:val="center"/>
          </w:tcPr>
          <w:p>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100≤Y＜500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交通运输业 *</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3000≤Y＜30000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200≤Y＜3000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仓储业*</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20≤X＜100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1000≤Y＜30000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邮政业</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2000≤Y＜30000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住宿业</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餐饮业</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信息传输业 *</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hint="eastAsia" w:ascii="宋体" w:hAnsi="宋体" w:eastAsia="宋体" w:cs="宋体"/>
                <w:color w:val="auto"/>
                <w:spacing w:val="-12"/>
                <w:kern w:val="0"/>
                <w:sz w:val="18"/>
                <w:szCs w:val="18"/>
              </w:rPr>
            </w:pPr>
            <w:r>
              <w:rPr>
                <w:rFonts w:hint="eastAsia" w:ascii="宋体" w:hAnsi="宋体" w:eastAsia="宋体" w:cs="宋体"/>
                <w:color w:val="auto"/>
                <w:spacing w:val="-12"/>
                <w:kern w:val="0"/>
                <w:sz w:val="18"/>
                <w:szCs w:val="18"/>
              </w:rPr>
              <w:t>软件和信息技术服</w:t>
            </w:r>
            <w:r>
              <w:rPr>
                <w:rFonts w:hint="eastAsia" w:ascii="宋体" w:hAnsi="宋体" w:eastAsia="宋体" w:cs="宋体"/>
                <w:color w:val="auto"/>
                <w:kern w:val="0"/>
                <w:sz w:val="18"/>
                <w:szCs w:val="18"/>
              </w:rPr>
              <w:t>务业</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hint="eastAsia" w:ascii="宋体" w:hAnsi="宋体" w:eastAsia="宋体" w:cs="宋体"/>
                <w:color w:val="auto"/>
                <w:spacing w:val="-12"/>
                <w:kern w:val="0"/>
                <w:sz w:val="18"/>
                <w:szCs w:val="18"/>
              </w:rPr>
            </w:pP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50≤Y＜1000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房地产开发经营</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1000≤Y＜200000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5000≤Z＜10000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2000≤Z＜5000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物业管理</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500≤Y＜1000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租赁和商务服务业</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hint="eastAsia" w:ascii="宋体" w:hAnsi="宋体" w:eastAsia="宋体" w:cs="宋体"/>
                <w:color w:val="auto"/>
                <w:kern w:val="0"/>
                <w:sz w:val="18"/>
                <w:szCs w:val="18"/>
              </w:rPr>
            </w:pPr>
          </w:p>
        </w:tc>
        <w:tc>
          <w:tcPr>
            <w:tcW w:w="1369"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Z≥120000</w:t>
            </w:r>
          </w:p>
        </w:tc>
        <w:tc>
          <w:tcPr>
            <w:tcW w:w="1701"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8000≤Z＜120000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100≤Z＜8000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其他未列明行业 *</w:t>
            </w:r>
          </w:p>
        </w:tc>
        <w:tc>
          <w:tcPr>
            <w:tcW w:w="136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42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bl>
    <w:p>
      <w:pPr>
        <w:widowControl/>
        <w:spacing w:line="540" w:lineRule="exact"/>
        <w:rPr>
          <w:rFonts w:hint="eastAsia" w:ascii="宋体" w:hAnsi="宋体" w:eastAsia="宋体" w:cs="宋体"/>
          <w:color w:val="auto"/>
          <w:spacing w:val="8"/>
          <w:kern w:val="0"/>
          <w:sz w:val="24"/>
        </w:rPr>
      </w:pPr>
    </w:p>
    <w:p>
      <w:pPr>
        <w:widowControl/>
        <w:spacing w:line="540" w:lineRule="exact"/>
        <w:rPr>
          <w:rFonts w:hint="eastAsia" w:ascii="宋体" w:hAnsi="宋体" w:eastAsia="宋体" w:cs="宋体"/>
          <w:color w:val="auto"/>
          <w:spacing w:val="8"/>
          <w:kern w:val="0"/>
          <w:sz w:val="24"/>
        </w:rPr>
      </w:pPr>
      <w:r>
        <w:rPr>
          <w:rFonts w:hint="eastAsia" w:ascii="宋体" w:hAnsi="宋体" w:eastAsia="宋体" w:cs="宋体"/>
          <w:color w:val="auto"/>
          <w:spacing w:val="8"/>
          <w:kern w:val="0"/>
          <w:sz w:val="24"/>
        </w:rPr>
        <w:t>说明：</w:t>
      </w:r>
    </w:p>
    <w:p>
      <w:pPr>
        <w:pStyle w:val="15"/>
        <w:adjustRightInd w:val="0"/>
        <w:spacing w:line="380" w:lineRule="exact"/>
        <w:ind w:firstLine="512" w:firstLineChars="200"/>
        <w:contextualSpacing/>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1.大型、中型和小型企业须同时满足所列指标的下限，否则下划一档；微型企业只须满足所列指标中的一项即可。</w:t>
      </w:r>
    </w:p>
    <w:p>
      <w:pPr>
        <w:pStyle w:val="15"/>
        <w:adjustRightInd w:val="0"/>
        <w:spacing w:line="380" w:lineRule="exact"/>
        <w:ind w:firstLine="512" w:firstLineChars="200"/>
        <w:contextualSpacing/>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5"/>
        <w:adjustRightInd w:val="0"/>
        <w:spacing w:line="380" w:lineRule="exact"/>
        <w:ind w:firstLine="512" w:firstLineChars="200"/>
        <w:contextualSpacing/>
        <w:rPr>
          <w:rFonts w:hint="eastAsia" w:ascii="宋体" w:hAnsi="宋体" w:eastAsia="宋体" w:cs="宋体"/>
          <w:bCs/>
          <w:color w:val="auto"/>
        </w:rPr>
      </w:pPr>
      <w:r>
        <w:rPr>
          <w:rFonts w:hint="eastAsia" w:ascii="宋体" w:hAnsi="宋体" w:eastAsia="宋体" w:cs="宋体"/>
          <w:color w:val="auto"/>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hint="eastAsia" w:ascii="宋体" w:hAnsi="宋体" w:eastAsia="宋体" w:cs="宋体"/>
          <w:color w:val="auto"/>
          <w:sz w:val="32"/>
          <w:szCs w:val="32"/>
        </w:rPr>
      </w:pPr>
      <w:r>
        <w:rPr>
          <w:rFonts w:hint="eastAsia" w:ascii="宋体" w:hAnsi="宋体" w:eastAsia="宋体" w:cs="宋体"/>
          <w:color w:val="auto"/>
          <w:sz w:val="32"/>
          <w:szCs w:val="32"/>
        </w:rPr>
        <w:br w:type="page"/>
      </w:r>
      <w:bookmarkStart w:id="177" w:name="_Toc14595"/>
      <w:bookmarkStart w:id="178" w:name="_Toc16361"/>
      <w:r>
        <w:rPr>
          <w:rFonts w:hint="eastAsia" w:ascii="宋体" w:hAnsi="宋体" w:eastAsia="宋体" w:cs="宋体"/>
          <w:b/>
          <w:bCs/>
          <w:color w:val="auto"/>
          <w:kern w:val="44"/>
          <w:sz w:val="32"/>
          <w:szCs w:val="32"/>
          <w:lang w:val="en-US" w:eastAsia="zh-CN" w:bidi="ar-SA"/>
        </w:rPr>
        <w:t>第五章  采购合同（合同主要条款及格式）</w:t>
      </w:r>
      <w:bookmarkEnd w:id="177"/>
      <w:bookmarkEnd w:id="178"/>
    </w:p>
    <w:p>
      <w:pPr>
        <w:rPr>
          <w:rFonts w:hint="eastAsia" w:ascii="宋体" w:hAnsi="宋体" w:eastAsia="宋体" w:cs="宋体"/>
          <w:color w:val="auto"/>
        </w:rPr>
      </w:pPr>
    </w:p>
    <w:p>
      <w:pPr>
        <w:rPr>
          <w:rFonts w:hint="eastAsia" w:ascii="宋体" w:hAnsi="宋体" w:eastAsia="宋体" w:cs="宋体"/>
          <w:color w:val="auto"/>
          <w:lang w:eastAsia="zh-CN"/>
        </w:rPr>
      </w:pPr>
      <w:r>
        <w:rPr>
          <w:rFonts w:hint="eastAsia" w:ascii="宋体" w:hAnsi="宋体" w:eastAsia="宋体" w:cs="宋体"/>
          <w:color w:val="auto"/>
        </w:rPr>
        <w:t>项目名称：</w:t>
      </w:r>
      <w:r>
        <w:rPr>
          <w:rFonts w:hint="eastAsia" w:ascii="宋体" w:hAnsi="宋体" w:cs="宋体"/>
          <w:color w:val="auto"/>
          <w:lang w:eastAsia="zh-CN"/>
        </w:rPr>
        <w:t>花江校区新建F栋学生宿舍组团家具采购</w:t>
      </w:r>
    </w:p>
    <w:p>
      <w:pPr>
        <w:spacing w:line="400" w:lineRule="exact"/>
        <w:rPr>
          <w:rFonts w:hint="eastAsia" w:ascii="宋体" w:hAnsi="宋体" w:eastAsia="宋体" w:cs="宋体"/>
          <w:color w:val="auto"/>
          <w:szCs w:val="21"/>
          <w:lang w:eastAsia="zh-CN"/>
        </w:rPr>
      </w:pPr>
      <w:r>
        <w:rPr>
          <w:rFonts w:hint="eastAsia" w:ascii="宋体" w:hAnsi="宋体" w:eastAsia="宋体" w:cs="宋体"/>
          <w:color w:val="auto"/>
        </w:rPr>
        <w:t>项目编号：</w:t>
      </w:r>
      <w:r>
        <w:rPr>
          <w:rFonts w:hint="eastAsia" w:ascii="宋体" w:hAnsi="宋体" w:cs="宋体"/>
          <w:color w:val="auto"/>
          <w:lang w:eastAsia="zh-CN"/>
        </w:rPr>
        <w:t>GXZC2020-G1-002818-JCZX</w:t>
      </w:r>
    </w:p>
    <w:p>
      <w:pPr>
        <w:spacing w:line="400" w:lineRule="exact"/>
        <w:rPr>
          <w:rFonts w:hint="eastAsia" w:ascii="宋体" w:hAnsi="宋体" w:eastAsia="宋体" w:cs="宋体"/>
          <w:color w:val="auto"/>
          <w:u w:val="single"/>
        </w:rPr>
      </w:pPr>
      <w:r>
        <w:rPr>
          <w:rFonts w:hint="eastAsia" w:ascii="宋体" w:hAnsi="宋体" w:eastAsia="宋体" w:cs="宋体"/>
          <w:color w:val="auto"/>
        </w:rPr>
        <w:t>甲方：</w:t>
      </w:r>
      <w:r>
        <w:rPr>
          <w:rFonts w:hint="eastAsia" w:ascii="宋体" w:hAnsi="宋体" w:eastAsia="宋体" w:cs="宋体"/>
          <w:color w:val="auto"/>
          <w:u w:val="single"/>
        </w:rPr>
        <w:t xml:space="preserve">   </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桂林电子科技大学      </w:t>
      </w:r>
      <w:r>
        <w:rPr>
          <w:rFonts w:hint="eastAsia" w:ascii="宋体" w:hAnsi="宋体" w:eastAsia="宋体" w:cs="宋体"/>
          <w:color w:val="auto"/>
          <w:szCs w:val="21"/>
          <w:u w:val="single"/>
        </w:rPr>
        <w:t xml:space="preserve">      </w:t>
      </w:r>
      <w:r>
        <w:rPr>
          <w:rFonts w:hint="eastAsia" w:ascii="宋体" w:hAnsi="宋体" w:eastAsia="宋体" w:cs="宋体"/>
          <w:color w:val="auto"/>
        </w:rPr>
        <w:t>（采购人）</w:t>
      </w:r>
    </w:p>
    <w:p>
      <w:pPr>
        <w:spacing w:line="400" w:lineRule="exact"/>
        <w:rPr>
          <w:rFonts w:hint="eastAsia" w:ascii="宋体" w:hAnsi="宋体" w:eastAsia="宋体" w:cs="宋体"/>
          <w:color w:val="auto"/>
        </w:rPr>
      </w:pPr>
      <w:r>
        <w:rPr>
          <w:rFonts w:hint="eastAsia" w:ascii="宋体" w:hAnsi="宋体" w:eastAsia="宋体" w:cs="宋体"/>
          <w:color w:val="auto"/>
        </w:rPr>
        <w:t>乙方：</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（中标供应商）</w:t>
      </w:r>
    </w:p>
    <w:p>
      <w:pPr>
        <w:spacing w:line="400" w:lineRule="exact"/>
        <w:rPr>
          <w:rFonts w:hint="eastAsia" w:ascii="宋体" w:hAnsi="宋体" w:eastAsia="宋体" w:cs="宋体"/>
          <w:color w:val="auto"/>
        </w:rPr>
      </w:pP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根据《中华人民共和国政府采购法》、《中华人民共和国政府采购法实施条例》、《中华人民共和国合同法》等法律、法规规定，按照招、投标文件规定条款和中标供应商承诺、甲乙双方签订本采购合同。</w:t>
      </w:r>
    </w:p>
    <w:p>
      <w:pPr>
        <w:numPr>
          <w:ilvl w:val="0"/>
          <w:numId w:val="12"/>
        </w:numPr>
        <w:spacing w:line="400" w:lineRule="exact"/>
        <w:ind w:firstLine="413" w:firstLineChars="196"/>
        <w:outlineLvl w:val="1"/>
        <w:rPr>
          <w:rFonts w:hint="eastAsia" w:ascii="宋体" w:hAnsi="宋体" w:eastAsia="宋体" w:cs="宋体"/>
          <w:b/>
          <w:color w:val="auto"/>
          <w:szCs w:val="21"/>
        </w:rPr>
      </w:pPr>
      <w:bookmarkStart w:id="179" w:name="_Toc20977"/>
      <w:bookmarkStart w:id="180" w:name="_Toc7911"/>
      <w:bookmarkStart w:id="181" w:name="_Toc495841768"/>
      <w:r>
        <w:rPr>
          <w:rFonts w:hint="eastAsia" w:ascii="宋体" w:hAnsi="宋体" w:eastAsia="宋体" w:cs="宋体"/>
          <w:b/>
          <w:color w:val="auto"/>
          <w:szCs w:val="21"/>
        </w:rPr>
        <w:t xml:space="preserve"> 合同标的及合同金额</w:t>
      </w:r>
      <w:bookmarkEnd w:id="179"/>
      <w:bookmarkEnd w:id="180"/>
      <w:bookmarkEnd w:id="181"/>
    </w:p>
    <w:p>
      <w:pPr>
        <w:pStyle w:val="43"/>
        <w:numPr>
          <w:ilvl w:val="0"/>
          <w:numId w:val="0"/>
        </w:numPr>
        <w:rPr>
          <w:rFonts w:hint="eastAsia"/>
          <w:color w:val="auto"/>
        </w:rPr>
      </w:pPr>
    </w:p>
    <w:tbl>
      <w:tblPr>
        <w:tblStyle w:val="2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vAlign w:val="center"/>
          </w:tcPr>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项号</w:t>
            </w:r>
          </w:p>
        </w:tc>
        <w:tc>
          <w:tcPr>
            <w:tcW w:w="1232" w:type="dxa"/>
            <w:shd w:val="clear" w:color="auto" w:fill="8DB3E2"/>
            <w:vAlign w:val="center"/>
          </w:tcPr>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货物名称</w:t>
            </w:r>
          </w:p>
        </w:tc>
        <w:tc>
          <w:tcPr>
            <w:tcW w:w="1445" w:type="dxa"/>
            <w:shd w:val="clear" w:color="auto" w:fill="8DB3E2"/>
            <w:vAlign w:val="center"/>
          </w:tcPr>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30"/>
              </w:rPr>
              <w:t>生产厂家、品牌、规格型号</w:t>
            </w:r>
          </w:p>
        </w:tc>
        <w:tc>
          <w:tcPr>
            <w:tcW w:w="1483" w:type="dxa"/>
            <w:shd w:val="clear" w:color="auto" w:fill="8DB3E2"/>
            <w:vAlign w:val="center"/>
          </w:tcPr>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技术参数</w:t>
            </w:r>
          </w:p>
        </w:tc>
        <w:tc>
          <w:tcPr>
            <w:tcW w:w="1073" w:type="dxa"/>
            <w:shd w:val="clear" w:color="auto" w:fill="8DB3E2"/>
            <w:vAlign w:val="center"/>
          </w:tcPr>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数量</w:t>
            </w:r>
          </w:p>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①</w:t>
            </w:r>
          </w:p>
        </w:tc>
        <w:tc>
          <w:tcPr>
            <w:tcW w:w="714" w:type="dxa"/>
            <w:shd w:val="clear" w:color="auto" w:fill="8DB3E2"/>
            <w:vAlign w:val="center"/>
          </w:tcPr>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单位</w:t>
            </w:r>
          </w:p>
        </w:tc>
        <w:tc>
          <w:tcPr>
            <w:tcW w:w="1545" w:type="dxa"/>
            <w:shd w:val="clear" w:color="auto" w:fill="8DB3E2"/>
            <w:vAlign w:val="center"/>
          </w:tcPr>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单价（元）</w:t>
            </w:r>
          </w:p>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②</w:t>
            </w:r>
          </w:p>
        </w:tc>
        <w:tc>
          <w:tcPr>
            <w:tcW w:w="1575" w:type="dxa"/>
            <w:shd w:val="clear" w:color="auto" w:fill="8DB3E2"/>
            <w:vAlign w:val="center"/>
          </w:tcPr>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单项合计金额（元）</w:t>
            </w:r>
          </w:p>
          <w:p>
            <w:pPr>
              <w:snapToGrid w:val="0"/>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232" w:type="dxa"/>
            <w:vAlign w:val="center"/>
          </w:tcPr>
          <w:p>
            <w:pPr>
              <w:snapToGrid w:val="0"/>
              <w:spacing w:line="400" w:lineRule="exact"/>
              <w:jc w:val="center"/>
              <w:rPr>
                <w:rFonts w:hint="eastAsia" w:ascii="宋体" w:hAnsi="宋体" w:eastAsia="宋体" w:cs="宋体"/>
                <w:color w:val="auto"/>
                <w:szCs w:val="21"/>
              </w:rPr>
            </w:pPr>
          </w:p>
        </w:tc>
        <w:tc>
          <w:tcPr>
            <w:tcW w:w="1445" w:type="dxa"/>
            <w:vAlign w:val="center"/>
          </w:tcPr>
          <w:p>
            <w:pPr>
              <w:snapToGrid w:val="0"/>
              <w:spacing w:line="400" w:lineRule="exact"/>
              <w:jc w:val="center"/>
              <w:rPr>
                <w:rFonts w:hint="eastAsia" w:ascii="宋体" w:hAnsi="宋体" w:eastAsia="宋体" w:cs="宋体"/>
                <w:color w:val="auto"/>
                <w:szCs w:val="21"/>
              </w:rPr>
            </w:pPr>
          </w:p>
        </w:tc>
        <w:tc>
          <w:tcPr>
            <w:tcW w:w="1483" w:type="dxa"/>
            <w:vAlign w:val="center"/>
          </w:tcPr>
          <w:p>
            <w:pPr>
              <w:snapToGrid w:val="0"/>
              <w:spacing w:line="400" w:lineRule="exact"/>
              <w:jc w:val="center"/>
              <w:rPr>
                <w:rFonts w:hint="eastAsia" w:ascii="宋体" w:hAnsi="宋体" w:eastAsia="宋体" w:cs="宋体"/>
                <w:color w:val="auto"/>
                <w:szCs w:val="21"/>
              </w:rPr>
            </w:pPr>
          </w:p>
        </w:tc>
        <w:tc>
          <w:tcPr>
            <w:tcW w:w="1073" w:type="dxa"/>
            <w:vAlign w:val="center"/>
          </w:tcPr>
          <w:p>
            <w:pPr>
              <w:snapToGrid w:val="0"/>
              <w:spacing w:line="400" w:lineRule="exact"/>
              <w:jc w:val="center"/>
              <w:rPr>
                <w:rFonts w:hint="eastAsia" w:ascii="宋体" w:hAnsi="宋体" w:eastAsia="宋体" w:cs="宋体"/>
                <w:color w:val="auto"/>
                <w:szCs w:val="21"/>
              </w:rPr>
            </w:pPr>
          </w:p>
        </w:tc>
        <w:tc>
          <w:tcPr>
            <w:tcW w:w="714" w:type="dxa"/>
            <w:vAlign w:val="center"/>
          </w:tcPr>
          <w:p>
            <w:pPr>
              <w:snapToGrid w:val="0"/>
              <w:spacing w:line="400" w:lineRule="exact"/>
              <w:jc w:val="center"/>
              <w:rPr>
                <w:rFonts w:hint="eastAsia" w:ascii="宋体" w:hAnsi="宋体" w:eastAsia="宋体" w:cs="宋体"/>
                <w:color w:val="auto"/>
                <w:szCs w:val="21"/>
              </w:rPr>
            </w:pPr>
          </w:p>
        </w:tc>
        <w:tc>
          <w:tcPr>
            <w:tcW w:w="1545" w:type="dxa"/>
            <w:vAlign w:val="center"/>
          </w:tcPr>
          <w:p>
            <w:pPr>
              <w:snapToGrid w:val="0"/>
              <w:spacing w:line="400" w:lineRule="exact"/>
              <w:jc w:val="center"/>
              <w:rPr>
                <w:rFonts w:hint="eastAsia" w:ascii="宋体" w:hAnsi="宋体" w:eastAsia="宋体" w:cs="宋体"/>
                <w:color w:val="auto"/>
                <w:szCs w:val="21"/>
              </w:rPr>
            </w:pPr>
          </w:p>
        </w:tc>
        <w:tc>
          <w:tcPr>
            <w:tcW w:w="1575" w:type="dxa"/>
            <w:vAlign w:val="center"/>
          </w:tcPr>
          <w:p>
            <w:pPr>
              <w:snapToGrid w:val="0"/>
              <w:spacing w:line="40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232" w:type="dxa"/>
            <w:vAlign w:val="center"/>
          </w:tcPr>
          <w:p>
            <w:pPr>
              <w:snapToGrid w:val="0"/>
              <w:spacing w:line="400" w:lineRule="exact"/>
              <w:jc w:val="center"/>
              <w:rPr>
                <w:rFonts w:hint="eastAsia" w:ascii="宋体" w:hAnsi="宋体" w:eastAsia="宋体" w:cs="宋体"/>
                <w:color w:val="auto"/>
                <w:szCs w:val="21"/>
              </w:rPr>
            </w:pPr>
          </w:p>
        </w:tc>
        <w:tc>
          <w:tcPr>
            <w:tcW w:w="1445" w:type="dxa"/>
            <w:vAlign w:val="center"/>
          </w:tcPr>
          <w:p>
            <w:pPr>
              <w:snapToGrid w:val="0"/>
              <w:spacing w:line="400" w:lineRule="exact"/>
              <w:jc w:val="center"/>
              <w:rPr>
                <w:rFonts w:hint="eastAsia" w:ascii="宋体" w:hAnsi="宋体" w:eastAsia="宋体" w:cs="宋体"/>
                <w:color w:val="auto"/>
                <w:szCs w:val="21"/>
              </w:rPr>
            </w:pPr>
          </w:p>
        </w:tc>
        <w:tc>
          <w:tcPr>
            <w:tcW w:w="1483" w:type="dxa"/>
            <w:vAlign w:val="center"/>
          </w:tcPr>
          <w:p>
            <w:pPr>
              <w:snapToGrid w:val="0"/>
              <w:spacing w:line="400" w:lineRule="exact"/>
              <w:jc w:val="center"/>
              <w:rPr>
                <w:rFonts w:hint="eastAsia" w:ascii="宋体" w:hAnsi="宋体" w:eastAsia="宋体" w:cs="宋体"/>
                <w:color w:val="auto"/>
                <w:szCs w:val="21"/>
              </w:rPr>
            </w:pPr>
          </w:p>
        </w:tc>
        <w:tc>
          <w:tcPr>
            <w:tcW w:w="1073" w:type="dxa"/>
            <w:vAlign w:val="center"/>
          </w:tcPr>
          <w:p>
            <w:pPr>
              <w:snapToGrid w:val="0"/>
              <w:spacing w:line="400" w:lineRule="exact"/>
              <w:jc w:val="center"/>
              <w:rPr>
                <w:rFonts w:hint="eastAsia" w:ascii="宋体" w:hAnsi="宋体" w:eastAsia="宋体" w:cs="宋体"/>
                <w:color w:val="auto"/>
                <w:szCs w:val="21"/>
              </w:rPr>
            </w:pPr>
          </w:p>
        </w:tc>
        <w:tc>
          <w:tcPr>
            <w:tcW w:w="714" w:type="dxa"/>
            <w:vAlign w:val="center"/>
          </w:tcPr>
          <w:p>
            <w:pPr>
              <w:snapToGrid w:val="0"/>
              <w:spacing w:line="400" w:lineRule="exact"/>
              <w:jc w:val="center"/>
              <w:rPr>
                <w:rFonts w:hint="eastAsia" w:ascii="宋体" w:hAnsi="宋体" w:eastAsia="宋体" w:cs="宋体"/>
                <w:color w:val="auto"/>
                <w:szCs w:val="21"/>
              </w:rPr>
            </w:pPr>
          </w:p>
        </w:tc>
        <w:tc>
          <w:tcPr>
            <w:tcW w:w="1545" w:type="dxa"/>
            <w:vAlign w:val="center"/>
          </w:tcPr>
          <w:p>
            <w:pPr>
              <w:snapToGrid w:val="0"/>
              <w:spacing w:line="400" w:lineRule="exact"/>
              <w:jc w:val="center"/>
              <w:rPr>
                <w:rFonts w:hint="eastAsia" w:ascii="宋体" w:hAnsi="宋体" w:eastAsia="宋体" w:cs="宋体"/>
                <w:color w:val="auto"/>
                <w:szCs w:val="21"/>
              </w:rPr>
            </w:pPr>
          </w:p>
        </w:tc>
        <w:tc>
          <w:tcPr>
            <w:tcW w:w="1575" w:type="dxa"/>
            <w:vAlign w:val="center"/>
          </w:tcPr>
          <w:p>
            <w:pPr>
              <w:snapToGrid w:val="0"/>
              <w:spacing w:line="40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232" w:type="dxa"/>
            <w:vAlign w:val="center"/>
          </w:tcPr>
          <w:p>
            <w:pPr>
              <w:snapToGrid w:val="0"/>
              <w:spacing w:line="400" w:lineRule="exact"/>
              <w:jc w:val="center"/>
              <w:rPr>
                <w:rFonts w:hint="eastAsia" w:ascii="宋体" w:hAnsi="宋体" w:eastAsia="宋体" w:cs="宋体"/>
                <w:color w:val="auto"/>
                <w:szCs w:val="21"/>
              </w:rPr>
            </w:pPr>
          </w:p>
        </w:tc>
        <w:tc>
          <w:tcPr>
            <w:tcW w:w="1445" w:type="dxa"/>
            <w:vAlign w:val="center"/>
          </w:tcPr>
          <w:p>
            <w:pPr>
              <w:snapToGrid w:val="0"/>
              <w:spacing w:line="400" w:lineRule="exact"/>
              <w:jc w:val="center"/>
              <w:rPr>
                <w:rFonts w:hint="eastAsia" w:ascii="宋体" w:hAnsi="宋体" w:eastAsia="宋体" w:cs="宋体"/>
                <w:color w:val="auto"/>
                <w:szCs w:val="21"/>
              </w:rPr>
            </w:pPr>
          </w:p>
        </w:tc>
        <w:tc>
          <w:tcPr>
            <w:tcW w:w="1483" w:type="dxa"/>
            <w:vAlign w:val="center"/>
          </w:tcPr>
          <w:p>
            <w:pPr>
              <w:snapToGrid w:val="0"/>
              <w:spacing w:line="400" w:lineRule="exact"/>
              <w:jc w:val="center"/>
              <w:rPr>
                <w:rFonts w:hint="eastAsia" w:ascii="宋体" w:hAnsi="宋体" w:eastAsia="宋体" w:cs="宋体"/>
                <w:color w:val="auto"/>
                <w:szCs w:val="21"/>
              </w:rPr>
            </w:pPr>
          </w:p>
        </w:tc>
        <w:tc>
          <w:tcPr>
            <w:tcW w:w="1073" w:type="dxa"/>
            <w:vAlign w:val="center"/>
          </w:tcPr>
          <w:p>
            <w:pPr>
              <w:snapToGrid w:val="0"/>
              <w:spacing w:line="400" w:lineRule="exact"/>
              <w:jc w:val="center"/>
              <w:rPr>
                <w:rFonts w:hint="eastAsia" w:ascii="宋体" w:hAnsi="宋体" w:eastAsia="宋体" w:cs="宋体"/>
                <w:color w:val="auto"/>
                <w:szCs w:val="21"/>
              </w:rPr>
            </w:pPr>
          </w:p>
        </w:tc>
        <w:tc>
          <w:tcPr>
            <w:tcW w:w="714" w:type="dxa"/>
            <w:vAlign w:val="center"/>
          </w:tcPr>
          <w:p>
            <w:pPr>
              <w:snapToGrid w:val="0"/>
              <w:spacing w:line="400" w:lineRule="exact"/>
              <w:jc w:val="center"/>
              <w:rPr>
                <w:rFonts w:hint="eastAsia" w:ascii="宋体" w:hAnsi="宋体" w:eastAsia="宋体" w:cs="宋体"/>
                <w:color w:val="auto"/>
                <w:szCs w:val="21"/>
              </w:rPr>
            </w:pPr>
          </w:p>
        </w:tc>
        <w:tc>
          <w:tcPr>
            <w:tcW w:w="1545" w:type="dxa"/>
            <w:vAlign w:val="center"/>
          </w:tcPr>
          <w:p>
            <w:pPr>
              <w:snapToGrid w:val="0"/>
              <w:spacing w:line="400" w:lineRule="exact"/>
              <w:jc w:val="center"/>
              <w:rPr>
                <w:rFonts w:hint="eastAsia" w:ascii="宋体" w:hAnsi="宋体" w:eastAsia="宋体" w:cs="宋体"/>
                <w:color w:val="auto"/>
                <w:szCs w:val="21"/>
              </w:rPr>
            </w:pPr>
          </w:p>
        </w:tc>
        <w:tc>
          <w:tcPr>
            <w:tcW w:w="1575" w:type="dxa"/>
            <w:vAlign w:val="center"/>
          </w:tcPr>
          <w:p>
            <w:pPr>
              <w:snapToGrid w:val="0"/>
              <w:spacing w:line="40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 xml:space="preserve">                                                      合     计</w:t>
            </w:r>
          </w:p>
        </w:tc>
        <w:tc>
          <w:tcPr>
            <w:tcW w:w="1575" w:type="dxa"/>
            <w:vAlign w:val="center"/>
          </w:tcPr>
          <w:p>
            <w:pPr>
              <w:snapToGrid w:val="0"/>
              <w:spacing w:line="400" w:lineRule="exact"/>
              <w:rPr>
                <w:rFonts w:hint="eastAsia" w:ascii="宋体" w:hAnsi="宋体" w:eastAsia="宋体" w:cs="宋体"/>
                <w:color w:val="auto"/>
                <w:szCs w:val="21"/>
              </w:rPr>
            </w:pPr>
          </w:p>
        </w:tc>
      </w:tr>
    </w:tbl>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根据《中标通知书》的中标内容，合同的总金额为：（大写）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人民币（RMB¥</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p>
    <w:p>
      <w:pPr>
        <w:spacing w:line="400" w:lineRule="exact"/>
        <w:ind w:firstLine="413" w:firstLineChars="196"/>
        <w:outlineLvl w:val="1"/>
        <w:rPr>
          <w:rFonts w:hint="eastAsia" w:ascii="宋体" w:hAnsi="宋体" w:eastAsia="宋体" w:cs="宋体"/>
          <w:b/>
          <w:color w:val="auto"/>
          <w:szCs w:val="21"/>
        </w:rPr>
      </w:pPr>
      <w:bookmarkStart w:id="182" w:name="_Toc15939"/>
      <w:bookmarkStart w:id="183" w:name="_Toc7193"/>
      <w:bookmarkStart w:id="184" w:name="_Toc495841769"/>
      <w:r>
        <w:rPr>
          <w:rFonts w:hint="eastAsia" w:ascii="宋体" w:hAnsi="宋体" w:eastAsia="宋体" w:cs="宋体"/>
          <w:b/>
          <w:color w:val="auto"/>
          <w:szCs w:val="21"/>
        </w:rPr>
        <w:t>第二条  质量保证</w:t>
      </w:r>
      <w:bookmarkEnd w:id="182"/>
      <w:bookmarkEnd w:id="183"/>
      <w:bookmarkEnd w:id="184"/>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2.乙方提供货物的质量保证期为自交货物验收合格之日起至五年内止（厂家规定质保期超过一年的，按厂家规定，“货物采购需求”有规定的，按规定执行）。在质保期内因货物本身的质量问题发生故障，乙方应负责免费修理和更换零部件。对达不到技术要求者，根据实际情况，经双方协商，可按以下第（1）款办法处理：</w:t>
      </w:r>
    </w:p>
    <w:p>
      <w:pPr>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（1）更换：由乙方承担所有发生的全部费用。</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（2）贬值处理：由甲乙双方合议定价。</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（3）退货处理：乙方应退还甲方支付的合同款，同时应承担该货物的直接费用（运输、保险、检验、贷款利息及银行手续费等）。</w:t>
      </w:r>
    </w:p>
    <w:p>
      <w:pPr>
        <w:spacing w:line="400" w:lineRule="exact"/>
        <w:ind w:firstLine="413" w:firstLineChars="196"/>
        <w:outlineLvl w:val="1"/>
        <w:rPr>
          <w:rFonts w:hint="eastAsia" w:ascii="宋体" w:hAnsi="宋体" w:eastAsia="宋体" w:cs="宋体"/>
          <w:b/>
          <w:color w:val="auto"/>
          <w:szCs w:val="21"/>
        </w:rPr>
      </w:pPr>
      <w:bookmarkStart w:id="185" w:name="_Toc28745"/>
      <w:bookmarkStart w:id="186" w:name="_Toc18258"/>
      <w:bookmarkStart w:id="187" w:name="_Toc495841770"/>
      <w:r>
        <w:rPr>
          <w:rFonts w:hint="eastAsia" w:ascii="宋体" w:hAnsi="宋体" w:eastAsia="宋体" w:cs="宋体"/>
          <w:b/>
          <w:color w:val="auto"/>
          <w:szCs w:val="21"/>
        </w:rPr>
        <w:t>第三条  权力保证</w:t>
      </w:r>
      <w:bookmarkEnd w:id="185"/>
      <w:bookmarkEnd w:id="186"/>
      <w:bookmarkEnd w:id="187"/>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1.乙方应保证所提供货物在使用时不会侵犯任何第三方的专利权、商标权、工业设计权或其他权利。</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2.乙方应按招标文件规定的时间向甲方提供使用货物的有关技术资料。</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3.乙方保证所交付的货物的所有权完全属于乙方且无任何抵押、质押、查封等产权瑕疵。</w:t>
      </w:r>
    </w:p>
    <w:p>
      <w:pPr>
        <w:pStyle w:val="15"/>
        <w:spacing w:line="440" w:lineRule="exact"/>
        <w:ind w:firstLine="420" w:firstLineChars="200"/>
        <w:rPr>
          <w:rFonts w:hint="eastAsia"/>
          <w:color w:val="auto"/>
        </w:rPr>
      </w:pPr>
      <w:r>
        <w:rPr>
          <w:rFonts w:hint="eastAsia" w:hAnsi="宋体" w:cs="宋体"/>
          <w:color w:val="auto"/>
        </w:rPr>
        <w:t>4.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00" w:lineRule="exact"/>
        <w:ind w:firstLine="413" w:firstLineChars="196"/>
        <w:outlineLvl w:val="1"/>
        <w:rPr>
          <w:rFonts w:hint="eastAsia" w:ascii="宋体" w:hAnsi="宋体" w:eastAsia="宋体" w:cs="宋体"/>
          <w:b/>
          <w:color w:val="auto"/>
          <w:szCs w:val="21"/>
        </w:rPr>
      </w:pPr>
      <w:bookmarkStart w:id="188" w:name="_Toc24662"/>
      <w:bookmarkStart w:id="189" w:name="_Toc18759"/>
      <w:bookmarkStart w:id="190" w:name="_Toc495841771"/>
      <w:r>
        <w:rPr>
          <w:rFonts w:hint="eastAsia" w:ascii="宋体" w:hAnsi="宋体" w:eastAsia="宋体" w:cs="宋体"/>
          <w:b/>
          <w:color w:val="auto"/>
          <w:szCs w:val="21"/>
        </w:rPr>
        <w:t>第四条  货物包装、运输</w:t>
      </w:r>
      <w:bookmarkEnd w:id="188"/>
      <w:bookmarkEnd w:id="189"/>
      <w:bookmarkEnd w:id="190"/>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1.乙方应在货物发运前对其进行满足运输距离、防潮、防震、防锈和防破损装卸等要求包装，以保证货物安全运达甲方指定地点。</w:t>
      </w:r>
    </w:p>
    <w:p>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2.使用中文说明书（货物属于进口产品的，供货时应同时附上中文使用说明书）、质量检验证明书、</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随配附件和工具以及清单一并附于货物内。</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3.乙方在货物发运手续办理完毕后二十四小时内或货到甲方四十八小时前通知甲方，以准备接货。</w:t>
      </w:r>
    </w:p>
    <w:p>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4.货物在交付甲方前发生的风险均由乙方负责。</w:t>
      </w:r>
    </w:p>
    <w:p>
      <w:pPr>
        <w:spacing w:line="400" w:lineRule="exact"/>
        <w:ind w:firstLine="413" w:firstLineChars="196"/>
        <w:outlineLvl w:val="1"/>
        <w:rPr>
          <w:rFonts w:hint="eastAsia" w:ascii="宋体" w:hAnsi="宋体" w:eastAsia="宋体" w:cs="宋体"/>
          <w:b/>
          <w:color w:val="auto"/>
          <w:szCs w:val="21"/>
        </w:rPr>
      </w:pPr>
      <w:bookmarkStart w:id="191" w:name="_Toc495841772"/>
      <w:bookmarkStart w:id="192" w:name="_Toc5755"/>
      <w:bookmarkStart w:id="193" w:name="_Toc6786"/>
      <w:r>
        <w:rPr>
          <w:rFonts w:hint="eastAsia" w:ascii="宋体" w:hAnsi="宋体" w:eastAsia="宋体" w:cs="宋体"/>
          <w:b/>
          <w:color w:val="auto"/>
          <w:szCs w:val="21"/>
        </w:rPr>
        <w:t>第五条  交付</w:t>
      </w:r>
      <w:bookmarkEnd w:id="191"/>
      <w:bookmarkEnd w:id="192"/>
      <w:bookmarkEnd w:id="193"/>
    </w:p>
    <w:p>
      <w:pPr>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1.交付使用期：</w:t>
      </w:r>
      <w:r>
        <w:rPr>
          <w:rFonts w:hint="eastAsia" w:ascii="宋体" w:hAnsi="宋体" w:eastAsia="宋体" w:cs="宋体"/>
          <w:color w:val="auto"/>
          <w:szCs w:val="21"/>
          <w:u w:val="none"/>
        </w:rPr>
        <w:t>中标通知书发出之日起</w:t>
      </w:r>
      <w:r>
        <w:rPr>
          <w:rFonts w:hint="eastAsia" w:ascii="宋体" w:hAnsi="宋体" w:cs="宋体"/>
          <w:color w:val="auto"/>
          <w:szCs w:val="21"/>
          <w:u w:val="none"/>
          <w:lang w:val="en-US" w:eastAsia="zh-CN"/>
        </w:rPr>
        <w:t>三个工作日</w:t>
      </w:r>
      <w:r>
        <w:rPr>
          <w:rFonts w:hint="eastAsia" w:ascii="宋体" w:hAnsi="宋体" w:eastAsia="宋体" w:cs="宋体"/>
          <w:color w:val="auto"/>
          <w:szCs w:val="21"/>
          <w:u w:val="none"/>
        </w:rPr>
        <w:t>内</w:t>
      </w:r>
      <w:r>
        <w:rPr>
          <w:rFonts w:hint="eastAsia" w:ascii="宋体" w:hAnsi="宋体" w:cs="宋体"/>
          <w:color w:val="auto"/>
          <w:szCs w:val="21"/>
          <w:u w:val="none"/>
          <w:lang w:val="en-US" w:eastAsia="zh-CN"/>
        </w:rPr>
        <w:t>签订采购合同，</w:t>
      </w:r>
      <w:r>
        <w:rPr>
          <w:rFonts w:hint="eastAsia"/>
          <w:color w:val="auto"/>
          <w:sz w:val="21"/>
          <w:szCs w:val="21"/>
          <w:lang w:val="en-US" w:eastAsia="zh-CN"/>
        </w:rPr>
        <w:t>自合同签订起15日内</w:t>
      </w:r>
      <w:r>
        <w:rPr>
          <w:rFonts w:hint="eastAsia"/>
          <w:color w:val="auto"/>
          <w:sz w:val="21"/>
          <w:szCs w:val="21"/>
        </w:rPr>
        <w:t>全部安装</w:t>
      </w:r>
      <w:r>
        <w:rPr>
          <w:rFonts w:hint="eastAsia"/>
          <w:color w:val="auto"/>
          <w:sz w:val="21"/>
          <w:szCs w:val="21"/>
          <w:lang w:val="en-US" w:eastAsia="zh-CN"/>
        </w:rPr>
        <w:t>调试</w:t>
      </w:r>
      <w:r>
        <w:rPr>
          <w:rFonts w:hint="eastAsia"/>
          <w:color w:val="auto"/>
          <w:sz w:val="21"/>
          <w:szCs w:val="21"/>
        </w:rPr>
        <w:t>完毕</w:t>
      </w:r>
      <w:r>
        <w:rPr>
          <w:rFonts w:hint="eastAsia"/>
          <w:color w:val="auto"/>
          <w:sz w:val="21"/>
          <w:szCs w:val="21"/>
          <w:lang w:val="en-US" w:eastAsia="zh-CN"/>
        </w:rPr>
        <w:t>并交付使用</w:t>
      </w:r>
      <w:r>
        <w:rPr>
          <w:rFonts w:hint="eastAsia" w:ascii="宋体" w:hAnsi="宋体" w:eastAsia="宋体" w:cs="宋体"/>
          <w:color w:val="auto"/>
          <w:szCs w:val="21"/>
        </w:rPr>
        <w:t>（免费送货上门，免费安装调试）</w:t>
      </w:r>
      <w:r>
        <w:rPr>
          <w:rFonts w:hint="eastAsia" w:ascii="宋体" w:hAnsi="宋体" w:eastAsia="宋体" w:cs="宋体"/>
          <w:color w:val="auto"/>
          <w:szCs w:val="21"/>
          <w:lang w:eastAsia="zh-CN"/>
        </w:rPr>
        <w:t>。</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交付</w:t>
      </w:r>
      <w:r>
        <w:rPr>
          <w:rFonts w:hint="eastAsia" w:ascii="宋体" w:hAnsi="宋体" w:eastAsia="宋体" w:cs="宋体"/>
          <w:color w:val="auto"/>
          <w:szCs w:val="21"/>
        </w:rPr>
        <w:t>地点：</w:t>
      </w:r>
      <w:r>
        <w:rPr>
          <w:rFonts w:hint="eastAsia" w:ascii="宋体" w:hAnsi="宋体" w:cs="宋体"/>
          <w:color w:val="auto"/>
          <w:szCs w:val="21"/>
          <w:lang w:val="en-US" w:eastAsia="zh-CN"/>
        </w:rPr>
        <w:t>桂林市</w:t>
      </w:r>
      <w:r>
        <w:rPr>
          <w:rFonts w:hint="eastAsia" w:ascii="宋体" w:hAnsi="宋体" w:eastAsia="宋体" w:cs="宋体"/>
          <w:color w:val="auto"/>
          <w:szCs w:val="21"/>
          <w:u w:val="none"/>
        </w:rPr>
        <w:t>甲方指定地点。</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2.乙方提供不符合招投标文件和本合同规定的货物，甲方有权拒绝接受。</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firstLine="413" w:firstLineChars="196"/>
        <w:outlineLvl w:val="1"/>
        <w:rPr>
          <w:rFonts w:hint="eastAsia" w:ascii="宋体" w:hAnsi="宋体" w:eastAsia="宋体" w:cs="宋体"/>
          <w:b/>
          <w:color w:val="auto"/>
          <w:szCs w:val="21"/>
        </w:rPr>
      </w:pPr>
      <w:bookmarkStart w:id="194" w:name="_Toc495841773"/>
      <w:bookmarkStart w:id="195" w:name="_Toc23508"/>
      <w:bookmarkStart w:id="196" w:name="_Toc14073"/>
      <w:r>
        <w:rPr>
          <w:rFonts w:hint="eastAsia" w:ascii="宋体" w:hAnsi="宋体" w:eastAsia="宋体" w:cs="宋体"/>
          <w:b/>
          <w:color w:val="auto"/>
          <w:szCs w:val="21"/>
        </w:rPr>
        <w:t>第六条  调试和验收</w:t>
      </w:r>
      <w:bookmarkEnd w:id="194"/>
      <w:bookmarkEnd w:id="195"/>
      <w:bookmarkEnd w:id="196"/>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1.乙方交货前应对产品做出全面的检查和对验收文件进行整理，并列出清单，作为甲方验收和使用的技术条件依据，验收的结果应随货物交甲方。</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 验收合格后由甲乙双方签署货物验收单并加盖公章，甲乙双方各执一份。</w:t>
      </w:r>
    </w:p>
    <w:p>
      <w:pPr>
        <w:pStyle w:val="15"/>
        <w:snapToGrid w:val="0"/>
        <w:spacing w:after="120" w:line="440" w:lineRule="exact"/>
        <w:ind w:firstLine="420" w:firstLineChars="200"/>
        <w:jc w:val="left"/>
        <w:rPr>
          <w:rFonts w:hAnsi="宋体" w:cs="宋体"/>
          <w:color w:val="auto"/>
        </w:rPr>
      </w:pPr>
      <w:r>
        <w:rPr>
          <w:rFonts w:hint="eastAsia" w:hAnsi="宋体" w:cs="宋体"/>
          <w:color w:val="auto"/>
        </w:rPr>
        <w:t>（1）初步验收合格后，进入一个月试用期；试用期间发生公寓床坍塌等非学生原因造成的伤害事故等问题，修复后试用相应顺延；试用期结束后七个工作日内完成最终验收；</w:t>
      </w:r>
    </w:p>
    <w:p>
      <w:pPr>
        <w:pStyle w:val="15"/>
        <w:snapToGrid w:val="0"/>
        <w:spacing w:after="120" w:line="440" w:lineRule="exact"/>
        <w:ind w:firstLine="420" w:firstLineChars="200"/>
        <w:jc w:val="left"/>
        <w:rPr>
          <w:rFonts w:hAnsi="宋体" w:cs="宋体"/>
          <w:color w:val="auto"/>
        </w:rPr>
      </w:pPr>
      <w:r>
        <w:rPr>
          <w:rFonts w:hint="eastAsia" w:hAnsi="宋体" w:cs="宋体"/>
          <w:color w:val="auto"/>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15"/>
        <w:snapToGrid w:val="0"/>
        <w:spacing w:after="120" w:line="440" w:lineRule="exact"/>
        <w:ind w:firstLine="420" w:firstLineChars="200"/>
        <w:jc w:val="left"/>
        <w:rPr>
          <w:rFonts w:hAnsi="宋体" w:cs="宋体"/>
          <w:color w:val="auto"/>
        </w:rPr>
      </w:pPr>
      <w:r>
        <w:rPr>
          <w:rFonts w:hint="eastAsia" w:hAnsi="宋体" w:cs="宋体"/>
          <w:color w:val="auto"/>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2"/>
          <w:sz w:val="21"/>
          <w:szCs w:val="20"/>
          <w:lang w:val="en-US" w:eastAsia="zh-CN" w:bidi="ar-SA"/>
        </w:rPr>
      </w:pPr>
      <w:r>
        <w:rPr>
          <w:rFonts w:hint="eastAsia" w:ascii="宋体" w:hAnsi="宋体" w:eastAsia="宋体" w:cs="宋体"/>
          <w:color w:val="auto"/>
          <w:kern w:val="2"/>
          <w:sz w:val="21"/>
          <w:szCs w:val="20"/>
          <w:lang w:val="en-US" w:eastAsia="zh-CN" w:bidi="ar-SA"/>
        </w:rPr>
        <w:t>（4）如货物经乙方两次维修仍不能达到合同约定的质量标准，甲方有权退货，并视作乙方不能交付货物而须支付违约赔偿金给甲方，甲方还可依法追究乙方的违约责任。</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4.甲方对验收有异议的，在验收后五个工作日内以书面形式向乙方提出，乙方应自收到甲方书面异议后</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日内及时予以解决。</w:t>
      </w:r>
    </w:p>
    <w:p>
      <w:pPr>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5.</w:t>
      </w:r>
      <w:r>
        <w:rPr>
          <w:rFonts w:hint="eastAsia" w:ascii="宋体" w:hAnsi="宋体" w:eastAsia="宋体" w:cs="宋体"/>
          <w:color w:val="auto"/>
          <w:kern w:val="0"/>
          <w:szCs w:val="21"/>
        </w:rPr>
        <w:t xml:space="preserve">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snapToGrid w:val="0"/>
        <w:spacing w:line="440" w:lineRule="exact"/>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pStyle w:val="15"/>
        <w:snapToGrid w:val="0"/>
        <w:spacing w:after="120" w:line="440" w:lineRule="exact"/>
        <w:ind w:firstLine="420" w:firstLineChars="200"/>
        <w:rPr>
          <w:rFonts w:hAnsi="宋体" w:cs="宋体"/>
          <w:color w:val="auto"/>
        </w:rPr>
      </w:pPr>
      <w:r>
        <w:rPr>
          <w:rFonts w:hint="eastAsia" w:hAnsi="宋体" w:cs="宋体"/>
          <w:color w:val="auto"/>
        </w:rPr>
        <w:t>7.货物安装完成后</w:t>
      </w:r>
      <w:r>
        <w:rPr>
          <w:rFonts w:hint="eastAsia" w:hAnsi="宋体" w:cs="宋体"/>
          <w:bCs/>
          <w:color w:val="auto"/>
          <w:u w:val="single"/>
        </w:rPr>
        <w:t>七个工作日</w:t>
      </w:r>
      <w:r>
        <w:rPr>
          <w:rFonts w:hint="eastAsia" w:hAnsi="宋体" w:cs="宋体"/>
          <w:color w:val="auto"/>
        </w:rPr>
        <w:t xml:space="preserve">内，甲方无故不进行初步验收工作并已使用货物的，视同已安装调试完成并初步验收合格。验收不合格的项目，将按本合同第十四条违约责任处理，未作约定的，按照《合同法》规定处理。    </w:t>
      </w:r>
    </w:p>
    <w:p>
      <w:pPr>
        <w:pStyle w:val="15"/>
        <w:snapToGrid w:val="0"/>
        <w:spacing w:after="120" w:line="440" w:lineRule="exact"/>
        <w:ind w:firstLine="420" w:firstLineChars="200"/>
        <w:jc w:val="left"/>
        <w:rPr>
          <w:rFonts w:hAnsi="宋体" w:cs="宋体"/>
          <w:color w:val="auto"/>
        </w:rPr>
      </w:pPr>
      <w:r>
        <w:rPr>
          <w:rFonts w:hint="eastAsia" w:hAnsi="宋体" w:cs="宋体"/>
          <w:color w:val="auto"/>
        </w:rPr>
        <w:t>8. 验收时乙方必须在现场，验收完毕后作出验收结果报告（验收书），列明各项标准的验收情况及项目总体评价，由验收双方共同签署；验收费用由乙方负责。费用标准参照国家或自治区有关规定执行。</w:t>
      </w:r>
    </w:p>
    <w:p>
      <w:pPr>
        <w:spacing w:line="400" w:lineRule="exact"/>
        <w:ind w:firstLine="420" w:firstLineChars="200"/>
        <w:rPr>
          <w:rFonts w:hint="eastAsia" w:ascii="宋体" w:hAnsi="宋体" w:eastAsia="宋体" w:cs="宋体"/>
          <w:color w:val="auto"/>
        </w:rPr>
      </w:pPr>
      <w:r>
        <w:rPr>
          <w:rFonts w:hint="eastAsia" w:hAnsi="宋体" w:cs="宋体"/>
          <w:color w:val="auto"/>
        </w:rPr>
        <w:t>9.其他未尽事宜应严格按照《关于印发广西壮族自治区政府采购项目履约验收管理办法的通知》[桂财采〔2015〕22号]以及《财政部关于进一步加强政府采购需求和履约验收管理的指导意见》[财库〔2016〕205号]规定执行。</w:t>
      </w:r>
    </w:p>
    <w:p>
      <w:pPr>
        <w:spacing w:line="400" w:lineRule="exact"/>
        <w:ind w:firstLine="413" w:firstLineChars="196"/>
        <w:outlineLvl w:val="1"/>
        <w:rPr>
          <w:rFonts w:hint="eastAsia" w:ascii="宋体" w:hAnsi="宋体" w:eastAsia="宋体" w:cs="宋体"/>
          <w:b/>
          <w:color w:val="auto"/>
          <w:szCs w:val="21"/>
        </w:rPr>
      </w:pPr>
      <w:bookmarkStart w:id="197" w:name="_Toc21085"/>
      <w:bookmarkStart w:id="198" w:name="_Toc495841774"/>
      <w:bookmarkStart w:id="199" w:name="_Toc724"/>
      <w:r>
        <w:rPr>
          <w:rFonts w:hint="eastAsia" w:ascii="宋体" w:hAnsi="宋体" w:eastAsia="宋体" w:cs="宋体"/>
          <w:b/>
          <w:color w:val="auto"/>
          <w:szCs w:val="21"/>
        </w:rPr>
        <w:t>第七条  安装</w:t>
      </w:r>
      <w:bookmarkEnd w:id="197"/>
      <w:bookmarkEnd w:id="198"/>
      <w:bookmarkEnd w:id="199"/>
    </w:p>
    <w:p>
      <w:pPr>
        <w:tabs>
          <w:tab w:val="left" w:pos="0"/>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1.甲方应提供必要安装条件（如场地、电源、水源等）。</w:t>
      </w:r>
    </w:p>
    <w:p>
      <w:pPr>
        <w:snapToGrid w:val="0"/>
        <w:spacing w:line="440" w:lineRule="exact"/>
        <w:ind w:firstLine="420" w:firstLineChars="200"/>
        <w:rPr>
          <w:rFonts w:hint="eastAsia" w:ascii="宋体" w:hAnsi="宋体" w:cs="宋体"/>
          <w:color w:val="auto"/>
          <w:szCs w:val="21"/>
        </w:rPr>
      </w:pPr>
      <w:bookmarkStart w:id="200" w:name="_Toc495841775"/>
      <w:bookmarkStart w:id="201" w:name="_Toc29370"/>
      <w:bookmarkStart w:id="202" w:name="_Toc29939"/>
      <w:r>
        <w:rPr>
          <w:rFonts w:hint="eastAsia" w:ascii="宋体" w:hAnsi="宋体" w:cs="宋体"/>
          <w:color w:val="auto"/>
          <w:szCs w:val="21"/>
        </w:rPr>
        <w:t>2.</w:t>
      </w:r>
      <w:r>
        <w:rPr>
          <w:rFonts w:hint="eastAsia" w:ascii="宋体" w:hAnsi="宋体" w:cs="宋体"/>
          <w:color w:val="auto"/>
          <w:szCs w:val="21"/>
          <w:highlight w:val="none"/>
        </w:rPr>
        <w:t>安装要求按采购需求表执行</w:t>
      </w:r>
      <w:r>
        <w:rPr>
          <w:rFonts w:hint="eastAsia" w:ascii="宋体" w:hAnsi="宋体" w:cs="宋体"/>
          <w:color w:val="auto"/>
          <w:szCs w:val="21"/>
        </w:rPr>
        <w:t>；</w:t>
      </w:r>
    </w:p>
    <w:p>
      <w:pPr>
        <w:snapToGrid w:val="0"/>
        <w:spacing w:line="440" w:lineRule="exact"/>
        <w:ind w:firstLine="420" w:firstLineChars="200"/>
        <w:rPr>
          <w:rFonts w:ascii="宋体" w:hAnsi="宋体" w:cs="宋体"/>
          <w:color w:val="auto"/>
          <w:szCs w:val="21"/>
          <w:u w:val="single"/>
        </w:rPr>
      </w:pPr>
      <w:r>
        <w:rPr>
          <w:rFonts w:hint="eastAsia" w:ascii="宋体" w:hAnsi="宋体" w:cs="宋体"/>
          <w:color w:val="auto"/>
          <w:szCs w:val="21"/>
          <w:lang w:val="en-US" w:eastAsia="zh-CN"/>
        </w:rPr>
        <w:t>3.安装</w:t>
      </w:r>
      <w:r>
        <w:rPr>
          <w:rFonts w:hint="eastAsia" w:ascii="宋体" w:hAnsi="宋体" w:cs="宋体"/>
          <w:color w:val="auto"/>
          <w:szCs w:val="21"/>
        </w:rPr>
        <w:t>地点：桂林市（采购人指定地点）。</w:t>
      </w:r>
    </w:p>
    <w:p>
      <w:pPr>
        <w:spacing w:line="400" w:lineRule="exact"/>
        <w:ind w:firstLine="413" w:firstLineChars="196"/>
        <w:outlineLvl w:val="1"/>
        <w:rPr>
          <w:rFonts w:hint="eastAsia" w:ascii="宋体" w:hAnsi="宋体" w:eastAsia="宋体" w:cs="宋体"/>
          <w:b/>
          <w:color w:val="auto"/>
          <w:szCs w:val="21"/>
        </w:rPr>
      </w:pPr>
      <w:r>
        <w:rPr>
          <w:rFonts w:hint="eastAsia" w:ascii="宋体" w:hAnsi="宋体" w:eastAsia="宋体" w:cs="宋体"/>
          <w:b/>
          <w:color w:val="auto"/>
          <w:szCs w:val="21"/>
        </w:rPr>
        <w:t>第八条  售后服务、保修期</w:t>
      </w:r>
      <w:bookmarkEnd w:id="200"/>
      <w:bookmarkEnd w:id="201"/>
      <w:bookmarkEnd w:id="202"/>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color w:val="auto"/>
          <w:sz w:val="21"/>
          <w:szCs w:val="21"/>
        </w:rPr>
      </w:pPr>
      <w:bookmarkStart w:id="203" w:name="_Toc12595"/>
      <w:bookmarkStart w:id="204" w:name="_Toc16038"/>
      <w:bookmarkStart w:id="205" w:name="_Toc495841776"/>
      <w:r>
        <w:rPr>
          <w:rFonts w:hint="eastAsia"/>
          <w:color w:val="auto"/>
          <w:sz w:val="21"/>
          <w:szCs w:val="21"/>
        </w:rPr>
        <w:t>1</w:t>
      </w:r>
      <w:r>
        <w:rPr>
          <w:rFonts w:hint="eastAsia"/>
          <w:color w:val="auto"/>
          <w:sz w:val="21"/>
          <w:szCs w:val="21"/>
          <w:lang w:val="en-US" w:eastAsia="zh-CN"/>
        </w:rPr>
        <w:t>.</w:t>
      </w:r>
      <w:r>
        <w:rPr>
          <w:rFonts w:hint="eastAsia"/>
          <w:color w:val="auto"/>
          <w:sz w:val="21"/>
          <w:szCs w:val="21"/>
        </w:rPr>
        <w:t>质保期：免费送货上门，免费安装；按国家有关产品“三包”规定执行“三包”。自项目验收之日起，产品免费保修期不得少于五年（单项货物有特殊要求除外）。</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color w:val="auto"/>
          <w:sz w:val="21"/>
          <w:szCs w:val="21"/>
        </w:rPr>
      </w:pPr>
      <w:r>
        <w:rPr>
          <w:rFonts w:hint="eastAsia"/>
          <w:color w:val="auto"/>
          <w:sz w:val="21"/>
          <w:szCs w:val="21"/>
        </w:rPr>
        <w:t>2</w:t>
      </w:r>
      <w:r>
        <w:rPr>
          <w:rFonts w:hint="eastAsia"/>
          <w:color w:val="auto"/>
          <w:sz w:val="21"/>
          <w:szCs w:val="21"/>
          <w:lang w:val="en-US" w:eastAsia="zh-CN"/>
        </w:rPr>
        <w:t>.</w:t>
      </w:r>
      <w:r>
        <w:rPr>
          <w:rFonts w:hint="eastAsia"/>
          <w:color w:val="auto"/>
          <w:sz w:val="21"/>
          <w:szCs w:val="21"/>
        </w:rPr>
        <w:t>投标人应设有专门的售后服务小组，负责货物安装后期的维护服务工作。服务方式含：现场服务、热线电话、电子邮箱等。以上门服务方式为主，以热线服务及电子邮件方式为辅。</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color w:val="auto"/>
          <w:sz w:val="21"/>
          <w:szCs w:val="21"/>
        </w:rPr>
      </w:pPr>
      <w:r>
        <w:rPr>
          <w:rFonts w:hint="eastAsia"/>
          <w:color w:val="auto"/>
          <w:sz w:val="21"/>
          <w:szCs w:val="21"/>
        </w:rPr>
        <w:t>3</w:t>
      </w:r>
      <w:r>
        <w:rPr>
          <w:rFonts w:hint="eastAsia"/>
          <w:color w:val="auto"/>
          <w:sz w:val="21"/>
          <w:szCs w:val="21"/>
          <w:lang w:val="en-US" w:eastAsia="zh-CN"/>
        </w:rPr>
        <w:t>.</w:t>
      </w:r>
      <w:r>
        <w:rPr>
          <w:rFonts w:hint="eastAsia"/>
          <w:color w:val="auto"/>
          <w:sz w:val="21"/>
          <w:szCs w:val="21"/>
        </w:rPr>
        <w:t>在保修期内，一旦发生质量问题，中标人应在接到故障电话后30分钟响应，8小时内到达现场进行修理或更换。如在24小时内无法修复，应提供同档次的产品供采购人使用，直至产品修复为止。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color w:val="auto"/>
          <w:sz w:val="21"/>
          <w:szCs w:val="21"/>
        </w:rPr>
      </w:pPr>
      <w:r>
        <w:rPr>
          <w:rFonts w:hint="eastAsia"/>
          <w:color w:val="auto"/>
          <w:sz w:val="21"/>
          <w:szCs w:val="21"/>
        </w:rPr>
        <w:t>4</w:t>
      </w:r>
      <w:r>
        <w:rPr>
          <w:rFonts w:hint="eastAsia"/>
          <w:color w:val="auto"/>
          <w:sz w:val="21"/>
          <w:szCs w:val="21"/>
          <w:lang w:val="en-US" w:eastAsia="zh-CN"/>
        </w:rPr>
        <w:t>.</w:t>
      </w:r>
      <w:r>
        <w:rPr>
          <w:rFonts w:hint="eastAsia"/>
          <w:color w:val="auto"/>
          <w:sz w:val="21"/>
          <w:szCs w:val="21"/>
        </w:rPr>
        <w:t>保修期</w:t>
      </w:r>
      <w:r>
        <w:rPr>
          <w:rFonts w:hint="eastAsia"/>
          <w:color w:val="auto"/>
          <w:sz w:val="21"/>
          <w:szCs w:val="21"/>
          <w:lang w:val="en-US" w:eastAsia="zh-CN"/>
        </w:rPr>
        <w:t>满后</w:t>
      </w:r>
      <w:r>
        <w:rPr>
          <w:rFonts w:hint="eastAsia"/>
          <w:color w:val="auto"/>
          <w:sz w:val="21"/>
          <w:szCs w:val="21"/>
        </w:rPr>
        <w:t>，应当提供免费上门维修服务，配件只收取成本费用。</w:t>
      </w:r>
    </w:p>
    <w:p>
      <w:pPr>
        <w:spacing w:line="400" w:lineRule="exact"/>
        <w:ind w:firstLine="413" w:firstLineChars="196"/>
        <w:outlineLvl w:val="1"/>
        <w:rPr>
          <w:rFonts w:hint="eastAsia" w:ascii="宋体" w:hAnsi="宋体" w:eastAsia="宋体" w:cs="宋体"/>
          <w:b/>
          <w:color w:val="auto"/>
          <w:szCs w:val="21"/>
        </w:rPr>
      </w:pPr>
    </w:p>
    <w:p>
      <w:pPr>
        <w:spacing w:line="400" w:lineRule="exact"/>
        <w:ind w:firstLine="413" w:firstLineChars="196"/>
        <w:outlineLvl w:val="1"/>
        <w:rPr>
          <w:rFonts w:hint="eastAsia" w:ascii="宋体" w:hAnsi="宋体" w:eastAsia="宋体" w:cs="宋体"/>
          <w:b/>
          <w:color w:val="auto"/>
          <w:szCs w:val="21"/>
        </w:rPr>
      </w:pPr>
      <w:r>
        <w:rPr>
          <w:rFonts w:hint="eastAsia" w:ascii="宋体" w:hAnsi="宋体" w:eastAsia="宋体" w:cs="宋体"/>
          <w:b/>
          <w:color w:val="auto"/>
          <w:szCs w:val="21"/>
        </w:rPr>
        <w:t>第九条  税费</w:t>
      </w:r>
      <w:bookmarkEnd w:id="203"/>
      <w:bookmarkEnd w:id="204"/>
      <w:bookmarkEnd w:id="205"/>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本合同执行中相关的一切税费均由乙方负担。</w:t>
      </w:r>
    </w:p>
    <w:p>
      <w:pPr>
        <w:spacing w:line="400" w:lineRule="exact"/>
        <w:ind w:firstLine="413" w:firstLineChars="196"/>
        <w:outlineLvl w:val="1"/>
        <w:rPr>
          <w:rFonts w:hint="eastAsia" w:ascii="宋体" w:hAnsi="宋体" w:eastAsia="宋体" w:cs="宋体"/>
          <w:b/>
          <w:color w:val="auto"/>
          <w:szCs w:val="21"/>
        </w:rPr>
      </w:pPr>
      <w:bookmarkStart w:id="206" w:name="_Toc18828"/>
      <w:bookmarkStart w:id="207" w:name="_Toc26889"/>
      <w:bookmarkStart w:id="208" w:name="_Toc495841777"/>
      <w:r>
        <w:rPr>
          <w:rFonts w:hint="eastAsia" w:ascii="宋体" w:hAnsi="宋体" w:eastAsia="宋体" w:cs="宋体"/>
          <w:b/>
          <w:color w:val="auto"/>
          <w:szCs w:val="21"/>
        </w:rPr>
        <w:t>第十条  付款方式</w:t>
      </w:r>
      <w:bookmarkEnd w:id="206"/>
      <w:bookmarkEnd w:id="207"/>
      <w:bookmarkEnd w:id="208"/>
    </w:p>
    <w:p>
      <w:pPr>
        <w:spacing w:line="400" w:lineRule="exact"/>
        <w:ind w:firstLine="411" w:firstLineChars="196"/>
        <w:rPr>
          <w:rFonts w:hint="eastAsia" w:ascii="宋体" w:hAnsi="宋体" w:eastAsia="宋体" w:cs="宋体"/>
          <w:color w:val="auto"/>
          <w:szCs w:val="21"/>
        </w:rPr>
      </w:pPr>
      <w:bookmarkStart w:id="209" w:name="_Toc495841778"/>
      <w:bookmarkStart w:id="210" w:name="_Toc19042"/>
      <w:r>
        <w:rPr>
          <w:rFonts w:hint="eastAsia" w:ascii="宋体" w:hAnsi="宋体" w:eastAsia="宋体" w:cs="宋体"/>
          <w:color w:val="auto"/>
          <w:szCs w:val="21"/>
        </w:rPr>
        <w:t>1</w:t>
      </w:r>
      <w:r>
        <w:rPr>
          <w:rFonts w:hint="eastAsia" w:ascii="宋体" w:hAnsi="宋体" w:cs="宋体"/>
          <w:color w:val="auto"/>
          <w:szCs w:val="21"/>
          <w:lang w:val="en-US" w:eastAsia="zh-CN"/>
        </w:rPr>
        <w:t>.</w:t>
      </w:r>
      <w:r>
        <w:rPr>
          <w:rFonts w:hint="eastAsia" w:ascii="宋体" w:hAnsi="宋体" w:eastAsia="宋体" w:cs="宋体"/>
          <w:color w:val="auto"/>
          <w:szCs w:val="21"/>
        </w:rPr>
        <w:t>本项目预付款为合同总金额的30%，在合同生效以及具备实施条件后，采购人在15日内支付预付款；在交货验收、安装合格、培训指导完成及设备正常使用后，成交供应商在3日内开具发票给采购人，采购人收到发票后30个工作日内支付</w:t>
      </w:r>
      <w:r>
        <w:rPr>
          <w:rFonts w:hint="eastAsia" w:ascii="宋体" w:hAnsi="宋体" w:eastAsia="宋体" w:cs="宋体"/>
          <w:color w:val="auto"/>
          <w:szCs w:val="21"/>
          <w:lang w:val="en-US" w:eastAsia="zh-CN"/>
        </w:rPr>
        <w:t>70</w:t>
      </w:r>
      <w:r>
        <w:rPr>
          <w:rFonts w:hint="eastAsia" w:ascii="宋体" w:hAnsi="宋体" w:eastAsia="宋体" w:cs="宋体"/>
          <w:color w:val="auto"/>
          <w:szCs w:val="21"/>
        </w:rPr>
        <w:t>％的合同金额，</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供应商在签订合同</w:t>
      </w:r>
      <w:r>
        <w:rPr>
          <w:rFonts w:hint="eastAsia" w:ascii="宋体" w:hAnsi="宋体" w:eastAsia="宋体" w:cs="宋体"/>
          <w:color w:val="auto"/>
          <w:szCs w:val="21"/>
          <w:lang w:val="en-US" w:eastAsia="zh-CN"/>
        </w:rPr>
        <w:t>时</w:t>
      </w:r>
      <w:r>
        <w:rPr>
          <w:rFonts w:hint="eastAsia" w:ascii="宋体" w:hAnsi="宋体" w:eastAsia="宋体" w:cs="宋体"/>
          <w:color w:val="auto"/>
          <w:szCs w:val="21"/>
        </w:rPr>
        <w:t>向</w:t>
      </w:r>
      <w:r>
        <w:rPr>
          <w:rFonts w:hint="eastAsia" w:ascii="宋体" w:hAnsi="宋体" w:eastAsia="宋体" w:cs="宋体"/>
          <w:color w:val="auto"/>
          <w:szCs w:val="21"/>
          <w:lang w:val="en-US" w:eastAsia="zh-CN"/>
        </w:rPr>
        <w:t>桂林电子科技大学</w:t>
      </w:r>
      <w:r>
        <w:rPr>
          <w:rFonts w:hint="eastAsia" w:ascii="宋体" w:hAnsi="宋体" w:eastAsia="宋体" w:cs="宋体"/>
          <w:color w:val="auto"/>
          <w:szCs w:val="21"/>
        </w:rPr>
        <w:t>缴纳履约保证金（具体银行账号</w:t>
      </w:r>
      <w:r>
        <w:rPr>
          <w:rFonts w:hint="eastAsia" w:ascii="宋体" w:hAnsi="宋体" w:eastAsia="宋体" w:cs="宋体"/>
          <w:color w:val="auto"/>
          <w:szCs w:val="21"/>
          <w:lang w:val="en-US" w:eastAsia="zh-CN"/>
        </w:rPr>
        <w:t>由采购人提供</w:t>
      </w:r>
      <w:r>
        <w:rPr>
          <w:rFonts w:hint="eastAsia" w:ascii="宋体" w:hAnsi="宋体" w:eastAsia="宋体" w:cs="宋体"/>
          <w:color w:val="auto"/>
          <w:szCs w:val="21"/>
        </w:rPr>
        <w:t>），履约保证金金额按中标价的5%（人民币，四舍五入到元）缴纳（不计息），</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供应商提交履约保证金应当以转账、电汇等</w:t>
      </w:r>
      <w:r>
        <w:rPr>
          <w:rFonts w:hint="eastAsia" w:ascii="宋体" w:hAnsi="宋体" w:eastAsia="宋体" w:cs="宋体"/>
          <w:color w:val="auto"/>
          <w:szCs w:val="21"/>
          <w:lang w:val="en-US" w:eastAsia="zh-CN"/>
        </w:rPr>
        <w:t>非现金</w:t>
      </w:r>
      <w:r>
        <w:rPr>
          <w:rFonts w:hint="eastAsia" w:ascii="宋体" w:hAnsi="宋体" w:eastAsia="宋体" w:cs="宋体"/>
          <w:color w:val="auto"/>
          <w:szCs w:val="21"/>
        </w:rPr>
        <w:t>形式缴入采购人指定账户。</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供应商履行完合同约定权利义务事项且货物免费保修期满后，若货物无质量问题，</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供应商凭《政府采购项目验收单》和履约保证金缴纳凭证</w:t>
      </w:r>
      <w:r>
        <w:rPr>
          <w:rFonts w:hint="eastAsia" w:ascii="宋体" w:hAnsi="宋体" w:eastAsia="宋体" w:cs="宋体"/>
          <w:color w:val="auto"/>
          <w:szCs w:val="21"/>
          <w:lang w:val="en-US" w:eastAsia="zh-CN"/>
        </w:rPr>
        <w:t>原件</w:t>
      </w:r>
      <w:r>
        <w:rPr>
          <w:rFonts w:hint="eastAsia" w:ascii="宋体" w:hAnsi="宋体" w:eastAsia="宋体" w:cs="宋体"/>
          <w:color w:val="auto"/>
          <w:szCs w:val="21"/>
        </w:rPr>
        <w:t>向</w:t>
      </w:r>
      <w:r>
        <w:rPr>
          <w:rFonts w:hint="eastAsia" w:ascii="宋体" w:hAnsi="宋体" w:eastAsia="宋体" w:cs="宋体"/>
          <w:color w:val="auto"/>
          <w:szCs w:val="21"/>
          <w:lang w:val="en-US" w:eastAsia="zh-CN"/>
        </w:rPr>
        <w:t>桂林电子科技大学</w:t>
      </w:r>
      <w:r>
        <w:rPr>
          <w:rFonts w:hint="eastAsia" w:ascii="宋体" w:hAnsi="宋体" w:eastAsia="宋体" w:cs="宋体"/>
          <w:color w:val="auto"/>
          <w:szCs w:val="21"/>
        </w:rPr>
        <w:t>申请办理退还手续</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桂林电子科技大学</w:t>
      </w:r>
      <w:r>
        <w:rPr>
          <w:rFonts w:hint="eastAsia" w:ascii="宋体" w:hAnsi="宋体" w:eastAsia="宋体" w:cs="宋体"/>
          <w:color w:val="auto"/>
          <w:szCs w:val="21"/>
          <w:lang w:eastAsia="zh-CN"/>
        </w:rPr>
        <w:t>在</w:t>
      </w:r>
      <w:r>
        <w:rPr>
          <w:rFonts w:hint="eastAsia" w:ascii="宋体" w:hAnsi="宋体" w:eastAsia="宋体" w:cs="宋体"/>
          <w:color w:val="auto"/>
          <w:szCs w:val="21"/>
        </w:rPr>
        <w:t>5个工作日内无息退还。</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w:t>
      </w:r>
      <w:r>
        <w:rPr>
          <w:rFonts w:hint="eastAsia" w:ascii="宋体" w:hAnsi="宋体" w:eastAsia="宋体" w:cs="宋体"/>
          <w:color w:val="auto"/>
          <w:szCs w:val="21"/>
        </w:rPr>
        <w:t>根据桂财采〔2020〕25号《广西壮族自治区财政厅关于加强政府采购促进经济稳定发展有关事项的通知》的规定，在签订合同时，供应商明确表示无需预付款或者主动要求降低预付款比例的，采购单位可不适用前述规定。如成交供应商在签订合同时，明确表示无需预付款时，付款方式为：在交货验收合格、培训指导完成及设备正常使用后，成交供应商在3日内开具发票给采购人，采购人收到发票后30个工作日内支付</w:t>
      </w:r>
      <w:r>
        <w:rPr>
          <w:rFonts w:hint="eastAsia" w:ascii="宋体" w:hAnsi="宋体" w:eastAsia="宋体" w:cs="宋体"/>
          <w:color w:val="auto"/>
          <w:szCs w:val="21"/>
          <w:lang w:val="en-US" w:eastAsia="zh-CN"/>
        </w:rPr>
        <w:t>100</w:t>
      </w:r>
      <w:r>
        <w:rPr>
          <w:rFonts w:hint="eastAsia" w:ascii="宋体" w:hAnsi="宋体" w:eastAsia="宋体" w:cs="宋体"/>
          <w:color w:val="auto"/>
          <w:szCs w:val="21"/>
        </w:rPr>
        <w:t>％的合同总金额，</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供应商在签订合同</w:t>
      </w:r>
      <w:r>
        <w:rPr>
          <w:rFonts w:hint="eastAsia" w:ascii="宋体" w:hAnsi="宋体" w:eastAsia="宋体" w:cs="宋体"/>
          <w:color w:val="auto"/>
          <w:szCs w:val="21"/>
          <w:lang w:val="en-US" w:eastAsia="zh-CN"/>
        </w:rPr>
        <w:t>时</w:t>
      </w:r>
      <w:r>
        <w:rPr>
          <w:rFonts w:hint="eastAsia" w:ascii="宋体" w:hAnsi="宋体" w:eastAsia="宋体" w:cs="宋体"/>
          <w:color w:val="auto"/>
          <w:szCs w:val="21"/>
        </w:rPr>
        <w:t>向</w:t>
      </w:r>
      <w:r>
        <w:rPr>
          <w:rFonts w:hint="eastAsia" w:ascii="宋体" w:hAnsi="宋体" w:eastAsia="宋体" w:cs="宋体"/>
          <w:color w:val="auto"/>
          <w:szCs w:val="21"/>
          <w:lang w:val="en-US" w:eastAsia="zh-CN"/>
        </w:rPr>
        <w:t>桂林电子科技大学</w:t>
      </w:r>
      <w:r>
        <w:rPr>
          <w:rFonts w:hint="eastAsia" w:ascii="宋体" w:hAnsi="宋体" w:eastAsia="宋体" w:cs="宋体"/>
          <w:color w:val="auto"/>
          <w:szCs w:val="21"/>
        </w:rPr>
        <w:t>缴纳履约保证金（具体银行账号</w:t>
      </w:r>
      <w:r>
        <w:rPr>
          <w:rFonts w:hint="eastAsia" w:ascii="宋体" w:hAnsi="宋体" w:eastAsia="宋体" w:cs="宋体"/>
          <w:color w:val="auto"/>
          <w:szCs w:val="21"/>
          <w:lang w:val="en-US" w:eastAsia="zh-CN"/>
        </w:rPr>
        <w:t>由采购人提供</w:t>
      </w:r>
      <w:r>
        <w:rPr>
          <w:rFonts w:hint="eastAsia" w:ascii="宋体" w:hAnsi="宋体" w:eastAsia="宋体" w:cs="宋体"/>
          <w:color w:val="auto"/>
          <w:szCs w:val="21"/>
        </w:rPr>
        <w:t>），履约保证金金额按中标价的5%（人民币，四舍五入到元）缴纳（不计息），</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供应商提交履约保证金应当以转账、电汇等</w:t>
      </w:r>
      <w:r>
        <w:rPr>
          <w:rFonts w:hint="eastAsia" w:ascii="宋体" w:hAnsi="宋体" w:eastAsia="宋体" w:cs="宋体"/>
          <w:color w:val="auto"/>
          <w:szCs w:val="21"/>
          <w:lang w:val="en-US" w:eastAsia="zh-CN"/>
        </w:rPr>
        <w:t>非现金</w:t>
      </w:r>
      <w:r>
        <w:rPr>
          <w:rFonts w:hint="eastAsia" w:ascii="宋体" w:hAnsi="宋体" w:eastAsia="宋体" w:cs="宋体"/>
          <w:color w:val="auto"/>
          <w:szCs w:val="21"/>
        </w:rPr>
        <w:t>形式缴入采购人指定账户。</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供应商履行完合同约定权利义务事项且货物免费保修期满后，若货物无质量问题，</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供应商凭《政府采购项目验收单》和履约保证金缴纳凭证</w:t>
      </w:r>
      <w:r>
        <w:rPr>
          <w:rFonts w:hint="eastAsia" w:ascii="宋体" w:hAnsi="宋体" w:eastAsia="宋体" w:cs="宋体"/>
          <w:color w:val="auto"/>
          <w:szCs w:val="21"/>
          <w:lang w:val="en-US" w:eastAsia="zh-CN"/>
        </w:rPr>
        <w:t>原件</w:t>
      </w:r>
      <w:r>
        <w:rPr>
          <w:rFonts w:hint="eastAsia" w:ascii="宋体" w:hAnsi="宋体" w:eastAsia="宋体" w:cs="宋体"/>
          <w:color w:val="auto"/>
          <w:szCs w:val="21"/>
        </w:rPr>
        <w:t>向</w:t>
      </w:r>
      <w:r>
        <w:rPr>
          <w:rFonts w:hint="eastAsia" w:ascii="宋体" w:hAnsi="宋体" w:eastAsia="宋体" w:cs="宋体"/>
          <w:color w:val="auto"/>
          <w:szCs w:val="21"/>
          <w:lang w:val="en-US" w:eastAsia="zh-CN"/>
        </w:rPr>
        <w:t>桂林电子科技大学</w:t>
      </w:r>
      <w:r>
        <w:rPr>
          <w:rFonts w:hint="eastAsia" w:ascii="宋体" w:hAnsi="宋体" w:eastAsia="宋体" w:cs="宋体"/>
          <w:color w:val="auto"/>
          <w:szCs w:val="21"/>
        </w:rPr>
        <w:t>申请办理退还手续</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桂林电子科技大学</w:t>
      </w:r>
      <w:r>
        <w:rPr>
          <w:rFonts w:hint="eastAsia" w:ascii="宋体" w:hAnsi="宋体" w:eastAsia="宋体" w:cs="宋体"/>
          <w:color w:val="auto"/>
          <w:szCs w:val="21"/>
          <w:lang w:eastAsia="zh-CN"/>
        </w:rPr>
        <w:t>在</w:t>
      </w:r>
      <w:r>
        <w:rPr>
          <w:rFonts w:hint="eastAsia" w:ascii="宋体" w:hAnsi="宋体" w:eastAsia="宋体" w:cs="宋体"/>
          <w:color w:val="auto"/>
          <w:szCs w:val="21"/>
        </w:rPr>
        <w:t>5个工作日内无息退还。</w:t>
      </w:r>
    </w:p>
    <w:p>
      <w:pPr>
        <w:spacing w:line="400" w:lineRule="exact"/>
        <w:ind w:firstLine="413" w:firstLineChars="196"/>
        <w:outlineLvl w:val="1"/>
        <w:rPr>
          <w:rFonts w:hint="eastAsia" w:ascii="宋体" w:hAnsi="宋体" w:eastAsia="宋体" w:cs="宋体"/>
          <w:b/>
          <w:color w:val="auto"/>
          <w:szCs w:val="21"/>
        </w:rPr>
      </w:pPr>
      <w:bookmarkStart w:id="211" w:name="_Toc16350"/>
      <w:r>
        <w:rPr>
          <w:rFonts w:hint="eastAsia" w:ascii="宋体" w:hAnsi="宋体" w:eastAsia="宋体" w:cs="宋体"/>
          <w:b/>
          <w:color w:val="auto"/>
          <w:szCs w:val="21"/>
        </w:rPr>
        <w:t>第十一条  违约责任</w:t>
      </w:r>
      <w:bookmarkEnd w:id="209"/>
      <w:bookmarkEnd w:id="210"/>
      <w:bookmarkEnd w:id="211"/>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 乙方所提供的货物规格、技术标准、材料等质量不合格的，应及时更换，更换不及时的按逾期交货处罚，乙方应向甲方支付合同金额</w:t>
      </w:r>
      <w:r>
        <w:rPr>
          <w:rFonts w:hint="eastAsia" w:ascii="宋体" w:hAnsi="宋体" w:eastAsia="宋体" w:cs="宋体"/>
          <w:color w:val="auto"/>
          <w:szCs w:val="21"/>
          <w:u w:val="single"/>
        </w:rPr>
        <w:t xml:space="preserve"> 5 </w:t>
      </w:r>
      <w:r>
        <w:rPr>
          <w:rFonts w:hint="eastAsia" w:ascii="宋体" w:hAnsi="宋体" w:eastAsia="宋体" w:cs="宋体"/>
          <w:color w:val="auto"/>
          <w:szCs w:val="21"/>
        </w:rPr>
        <w:t>%违约金并赔偿甲方经济损失。</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 乙方提供的货物如果侵犯了第三方合法权益而引发的任何纠纷或诉讼，均由乙方负责交涉并承担全部责任。</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3. 因包装、运输引起的货物损坏，按质量不合格处理。</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4. 甲方无故延期接收货物、乙方逾期交货的，每天向对方偿付违约货款额</w:t>
      </w:r>
      <w:r>
        <w:rPr>
          <w:rFonts w:hint="eastAsia" w:ascii="宋体" w:hAnsi="宋体" w:cs="宋体"/>
          <w:color w:val="auto"/>
          <w:szCs w:val="21"/>
          <w:u w:val="single"/>
          <w:lang w:val="en-US" w:eastAsia="zh-CN"/>
        </w:rPr>
        <w:t>1</w:t>
      </w:r>
      <w:r>
        <w:rPr>
          <w:rFonts w:hint="eastAsia" w:ascii="宋体" w:hAnsi="宋体" w:eastAsia="宋体" w:cs="宋体"/>
          <w:color w:val="auto"/>
          <w:szCs w:val="21"/>
          <w:u w:val="single"/>
        </w:rPr>
        <w:t>%</w:t>
      </w:r>
      <w:r>
        <w:rPr>
          <w:rFonts w:hint="eastAsia" w:ascii="宋体" w:hAnsi="宋体" w:eastAsia="宋体" w:cs="宋体"/>
          <w:color w:val="auto"/>
          <w:szCs w:val="21"/>
        </w:rPr>
        <w:t>违约金，但违约金累计不得超过违约货款额</w:t>
      </w:r>
      <w:r>
        <w:rPr>
          <w:rFonts w:hint="eastAsia" w:ascii="宋体" w:hAnsi="宋体" w:eastAsia="宋体" w:cs="宋体"/>
          <w:color w:val="auto"/>
          <w:szCs w:val="21"/>
          <w:u w:val="single"/>
        </w:rPr>
        <w:t>5%</w:t>
      </w:r>
      <w:r>
        <w:rPr>
          <w:rFonts w:hint="eastAsia" w:ascii="宋体" w:hAnsi="宋体" w:eastAsia="宋体" w:cs="宋体"/>
          <w:color w:val="auto"/>
          <w:szCs w:val="21"/>
        </w:rPr>
        <w:t>，超过</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10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天对方有权解除合同，违约方承担因此给对方造成经济损失；甲方延期付货款的，每天向乙方偿付延期货款额3‰滞纳金，但滞纳金累计不得超过延期货款额</w:t>
      </w:r>
      <w:r>
        <w:rPr>
          <w:rFonts w:hint="eastAsia" w:ascii="宋体" w:hAnsi="宋体" w:eastAsia="宋体" w:cs="宋体"/>
          <w:color w:val="auto"/>
          <w:szCs w:val="21"/>
          <w:u w:val="single"/>
        </w:rPr>
        <w:t>5%</w:t>
      </w:r>
      <w:r>
        <w:rPr>
          <w:rFonts w:hint="eastAsia" w:ascii="宋体" w:hAnsi="宋体" w:eastAsia="宋体" w:cs="宋体"/>
          <w:color w:val="auto"/>
          <w:szCs w:val="21"/>
        </w:rPr>
        <w:t>。</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5. 乙方未按本合同和投标文件中规定的服务承诺提供售后服务的，乙方应按本合同合同金额</w:t>
      </w:r>
      <w:r>
        <w:rPr>
          <w:rFonts w:hint="eastAsia" w:ascii="宋体" w:hAnsi="宋体" w:eastAsia="宋体" w:cs="宋体"/>
          <w:color w:val="auto"/>
          <w:szCs w:val="21"/>
          <w:u w:val="single"/>
        </w:rPr>
        <w:t xml:space="preserve"> 5 </w:t>
      </w:r>
      <w:r>
        <w:rPr>
          <w:rFonts w:hint="eastAsia" w:ascii="宋体" w:hAnsi="宋体" w:eastAsia="宋体" w:cs="宋体"/>
          <w:color w:val="auto"/>
          <w:szCs w:val="21"/>
        </w:rPr>
        <w:t>%向甲方支付违约金。</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6. 乙方提供的货物在质保期内，因设计、工艺或材料的缺陷和其他质量原因造成的问题，由乙方负责，费用从质量保证金中扣除，不足另补。</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7. 其他违约行为按违约货款额</w:t>
      </w:r>
      <w:r>
        <w:rPr>
          <w:rFonts w:hint="eastAsia" w:ascii="宋体" w:hAnsi="宋体" w:eastAsia="宋体" w:cs="宋体"/>
          <w:color w:val="auto"/>
          <w:szCs w:val="21"/>
          <w:u w:val="single"/>
        </w:rPr>
        <w:t xml:space="preserve"> 5 </w:t>
      </w:r>
      <w:r>
        <w:rPr>
          <w:rFonts w:hint="eastAsia" w:ascii="宋体" w:hAnsi="宋体" w:eastAsia="宋体" w:cs="宋体"/>
          <w:color w:val="auto"/>
          <w:szCs w:val="21"/>
        </w:rPr>
        <w:t>%收取违约金并赔偿经济损失。</w:t>
      </w:r>
    </w:p>
    <w:p>
      <w:pPr>
        <w:spacing w:line="400" w:lineRule="exact"/>
        <w:ind w:firstLine="413" w:firstLineChars="196"/>
        <w:outlineLvl w:val="1"/>
        <w:rPr>
          <w:rFonts w:hint="eastAsia" w:ascii="宋体" w:hAnsi="宋体" w:eastAsia="宋体" w:cs="宋体"/>
          <w:b/>
          <w:color w:val="auto"/>
          <w:szCs w:val="21"/>
        </w:rPr>
      </w:pPr>
      <w:bookmarkStart w:id="212" w:name="_Toc30736"/>
      <w:bookmarkStart w:id="213" w:name="_Toc495841779"/>
      <w:bookmarkStart w:id="214" w:name="_Toc5808"/>
      <w:r>
        <w:rPr>
          <w:rFonts w:hint="eastAsia" w:ascii="宋体" w:hAnsi="宋体" w:eastAsia="宋体" w:cs="宋体"/>
          <w:b/>
          <w:color w:val="auto"/>
          <w:szCs w:val="21"/>
        </w:rPr>
        <w:t>第十二条  不可抗力事件处理</w:t>
      </w:r>
      <w:bookmarkEnd w:id="212"/>
      <w:bookmarkEnd w:id="213"/>
      <w:bookmarkEnd w:id="214"/>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1.在合同有效期内，乙方因不可抗力事件导致不能履行合同，则合同履行期可延长，其延长期与不可抗力影响期相同。</w:t>
      </w:r>
    </w:p>
    <w:p>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2.不可抗力事件发生后，应立即通知对方，并寄送有关权威机构出具的证明。</w:t>
      </w:r>
    </w:p>
    <w:p>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3.不可抗力事件延续一百二十天以上，双方应通过友好协商，确定是否继续履行合同。</w:t>
      </w:r>
    </w:p>
    <w:p>
      <w:pPr>
        <w:spacing w:line="400" w:lineRule="exact"/>
        <w:ind w:firstLine="413" w:firstLineChars="196"/>
        <w:outlineLvl w:val="1"/>
        <w:rPr>
          <w:rFonts w:hint="eastAsia" w:ascii="宋体" w:hAnsi="宋体" w:eastAsia="宋体" w:cs="宋体"/>
          <w:b/>
          <w:color w:val="auto"/>
          <w:szCs w:val="21"/>
        </w:rPr>
      </w:pPr>
      <w:bookmarkStart w:id="215" w:name="_Toc9"/>
      <w:bookmarkStart w:id="216" w:name="_Toc7512"/>
      <w:bookmarkStart w:id="217" w:name="_Toc495841780"/>
      <w:r>
        <w:rPr>
          <w:rFonts w:hint="eastAsia" w:ascii="宋体" w:hAnsi="宋体" w:eastAsia="宋体" w:cs="宋体"/>
          <w:b/>
          <w:color w:val="auto"/>
          <w:szCs w:val="21"/>
        </w:rPr>
        <w:t>第十三条  合同争议解决</w:t>
      </w:r>
      <w:bookmarkEnd w:id="215"/>
      <w:bookmarkEnd w:id="216"/>
      <w:bookmarkEnd w:id="217"/>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2.因履行本合同引起的或与本合同有关的争议，甲乙双方应首先通过友好协商解决，如果协商不能解决，可向项目所在地辖区人民法院提起诉讼。</w:t>
      </w:r>
    </w:p>
    <w:p>
      <w:pPr>
        <w:spacing w:line="400" w:lineRule="exact"/>
        <w:ind w:left="435"/>
        <w:rPr>
          <w:rFonts w:hint="eastAsia" w:ascii="宋体" w:hAnsi="宋体" w:eastAsia="宋体" w:cs="宋体"/>
          <w:color w:val="auto"/>
          <w:szCs w:val="21"/>
        </w:rPr>
      </w:pPr>
      <w:r>
        <w:rPr>
          <w:rFonts w:hint="eastAsia" w:ascii="宋体" w:hAnsi="宋体" w:eastAsia="宋体" w:cs="宋体"/>
          <w:color w:val="auto"/>
          <w:szCs w:val="21"/>
        </w:rPr>
        <w:t>3.诉讼期间，本合同继续履行。</w:t>
      </w:r>
    </w:p>
    <w:p>
      <w:pPr>
        <w:spacing w:line="400" w:lineRule="exact"/>
        <w:ind w:firstLine="413" w:firstLineChars="196"/>
        <w:outlineLvl w:val="1"/>
        <w:rPr>
          <w:rFonts w:hint="eastAsia" w:ascii="宋体" w:hAnsi="宋体" w:eastAsia="宋体" w:cs="宋体"/>
          <w:b/>
          <w:color w:val="auto"/>
          <w:szCs w:val="21"/>
        </w:rPr>
      </w:pPr>
      <w:bookmarkStart w:id="218" w:name="_Toc495841781"/>
      <w:bookmarkStart w:id="219" w:name="_Toc30739"/>
      <w:bookmarkStart w:id="220" w:name="_Toc26915"/>
      <w:r>
        <w:rPr>
          <w:rFonts w:hint="eastAsia" w:ascii="宋体" w:hAnsi="宋体" w:eastAsia="宋体" w:cs="宋体"/>
          <w:b/>
          <w:color w:val="auto"/>
          <w:szCs w:val="21"/>
        </w:rPr>
        <w:t>第十四条  合同生效及其它</w:t>
      </w:r>
      <w:bookmarkEnd w:id="218"/>
      <w:bookmarkEnd w:id="219"/>
      <w:bookmarkEnd w:id="220"/>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1.合同经甲乙双方法定代表人、负责人、自然人或相应的授权代表签字并加盖投标人公章后生效。</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2.合同执行中涉及采购资金和采购内容修改或补充的，需经</w:t>
      </w:r>
      <w:r>
        <w:rPr>
          <w:rFonts w:hint="eastAsia" w:ascii="宋体" w:hAnsi="宋体" w:cs="宋体"/>
          <w:color w:val="auto"/>
          <w:szCs w:val="21"/>
          <w:lang w:val="en-US" w:eastAsia="zh-CN"/>
        </w:rPr>
        <w:t>自治区</w:t>
      </w:r>
      <w:r>
        <w:rPr>
          <w:rFonts w:hint="eastAsia" w:ascii="宋体" w:hAnsi="宋体" w:eastAsia="宋体" w:cs="宋体"/>
          <w:color w:val="auto"/>
          <w:szCs w:val="21"/>
        </w:rPr>
        <w:t>财政部门审批，并签订书面补充协议报</w:t>
      </w:r>
      <w:r>
        <w:rPr>
          <w:rFonts w:hint="eastAsia"/>
          <w:color w:val="auto"/>
          <w:szCs w:val="21"/>
        </w:rPr>
        <w:t>广西壮族自治区财政厅政府采购监督管理处</w:t>
      </w:r>
      <w:r>
        <w:rPr>
          <w:rFonts w:hint="eastAsia" w:ascii="宋体" w:hAnsi="宋体" w:eastAsia="宋体" w:cs="宋体"/>
          <w:color w:val="auto"/>
          <w:szCs w:val="21"/>
        </w:rPr>
        <w:t>备案，方可作为主合同不可分割的一部分。</w:t>
      </w:r>
    </w:p>
    <w:p>
      <w:pPr>
        <w:spacing w:line="400" w:lineRule="exact"/>
        <w:ind w:left="435"/>
        <w:rPr>
          <w:rFonts w:hint="eastAsia" w:ascii="宋体" w:hAnsi="宋体" w:eastAsia="宋体" w:cs="宋体"/>
          <w:color w:val="auto"/>
          <w:szCs w:val="21"/>
        </w:rPr>
      </w:pPr>
      <w:r>
        <w:rPr>
          <w:rFonts w:hint="eastAsia" w:ascii="宋体" w:hAnsi="宋体" w:eastAsia="宋体" w:cs="宋体"/>
          <w:color w:val="auto"/>
          <w:szCs w:val="21"/>
        </w:rPr>
        <w:t>3.本合同未尽事宜，遵照《合同法》有关条文执行。</w:t>
      </w:r>
    </w:p>
    <w:p>
      <w:pPr>
        <w:spacing w:line="400" w:lineRule="exact"/>
        <w:ind w:firstLine="413" w:firstLineChars="196"/>
        <w:outlineLvl w:val="1"/>
        <w:rPr>
          <w:rFonts w:hint="eastAsia" w:ascii="宋体" w:hAnsi="宋体" w:eastAsia="宋体" w:cs="宋体"/>
          <w:b/>
          <w:color w:val="auto"/>
          <w:szCs w:val="21"/>
        </w:rPr>
      </w:pPr>
      <w:bookmarkStart w:id="221" w:name="_Toc495841782"/>
      <w:bookmarkStart w:id="222" w:name="_Toc20115"/>
      <w:bookmarkStart w:id="223" w:name="_Toc11165"/>
      <w:r>
        <w:rPr>
          <w:rFonts w:hint="eastAsia" w:ascii="宋体" w:hAnsi="宋体" w:eastAsia="宋体" w:cs="宋体"/>
          <w:b/>
          <w:color w:val="auto"/>
          <w:szCs w:val="21"/>
        </w:rPr>
        <w:t>第十五条  合同的变更、终止与转让</w:t>
      </w:r>
      <w:bookmarkEnd w:id="221"/>
      <w:bookmarkEnd w:id="222"/>
      <w:bookmarkEnd w:id="223"/>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1.除《中华人民共和国政府采购法》第五十条规定的情形外，本合同一经签订，甲乙双方不得擅自变更，中止或终止。</w:t>
      </w:r>
    </w:p>
    <w:p>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2.乙方不得擅自转让(无进口资格的供应商委托进口货物除外)其应履行的合同义务。</w:t>
      </w:r>
    </w:p>
    <w:p>
      <w:pPr>
        <w:spacing w:line="400" w:lineRule="exact"/>
        <w:ind w:firstLine="413" w:firstLineChars="196"/>
        <w:outlineLvl w:val="1"/>
        <w:rPr>
          <w:rFonts w:hint="eastAsia" w:ascii="宋体" w:hAnsi="宋体" w:eastAsia="宋体" w:cs="宋体"/>
          <w:b/>
          <w:color w:val="auto"/>
          <w:szCs w:val="21"/>
        </w:rPr>
      </w:pPr>
      <w:bookmarkStart w:id="224" w:name="_Toc495841783"/>
      <w:bookmarkStart w:id="225" w:name="_Toc7041"/>
      <w:bookmarkStart w:id="226" w:name="_Toc19322"/>
      <w:r>
        <w:rPr>
          <w:rFonts w:hint="eastAsia" w:ascii="宋体" w:hAnsi="宋体" w:eastAsia="宋体" w:cs="宋体"/>
          <w:b/>
          <w:color w:val="auto"/>
          <w:szCs w:val="21"/>
        </w:rPr>
        <w:t>第十六条  签订本合同依据</w:t>
      </w:r>
      <w:bookmarkEnd w:id="224"/>
      <w:bookmarkEnd w:id="225"/>
      <w:bookmarkEnd w:id="226"/>
    </w:p>
    <w:p>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1.招标文件；</w:t>
      </w:r>
    </w:p>
    <w:p>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2.乙方提供的投标（或应答）文件；</w:t>
      </w:r>
    </w:p>
    <w:p>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3.售后服务承诺书；</w:t>
      </w:r>
    </w:p>
    <w:p>
      <w:pPr>
        <w:spacing w:line="400" w:lineRule="exact"/>
        <w:ind w:left="420"/>
        <w:rPr>
          <w:rFonts w:hint="eastAsia" w:ascii="宋体" w:hAnsi="宋体" w:eastAsia="宋体" w:cs="宋体"/>
          <w:color w:val="auto"/>
          <w:szCs w:val="21"/>
        </w:rPr>
      </w:pPr>
      <w:r>
        <w:rPr>
          <w:rFonts w:hint="eastAsia" w:ascii="宋体" w:hAnsi="宋体" w:eastAsia="宋体" w:cs="宋体"/>
          <w:color w:val="auto"/>
          <w:szCs w:val="21"/>
        </w:rPr>
        <w:t>4.中标通知书。</w:t>
      </w:r>
    </w:p>
    <w:p>
      <w:pPr>
        <w:spacing w:line="400" w:lineRule="exact"/>
        <w:ind w:left="420"/>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lang w:eastAsia="zh-CN"/>
        </w:rPr>
      </w:pPr>
      <w:r>
        <w:rPr>
          <w:rFonts w:hint="eastAsia" w:ascii="宋体" w:hAnsi="宋体" w:eastAsia="宋体" w:cs="宋体"/>
          <w:color w:val="auto"/>
          <w:szCs w:val="21"/>
        </w:rPr>
        <w:t>本合同甲乙双方签字盖章后生效，一式陆份，具有同等法律效力，甲方持</w:t>
      </w:r>
      <w:r>
        <w:rPr>
          <w:rFonts w:hint="eastAsia" w:ascii="宋体" w:hAnsi="宋体" w:eastAsia="宋体" w:cs="宋体"/>
          <w:color w:val="auto"/>
          <w:szCs w:val="21"/>
          <w:lang w:val="en-US" w:eastAsia="zh-CN"/>
        </w:rPr>
        <w:t>叁</w:t>
      </w:r>
      <w:r>
        <w:rPr>
          <w:rFonts w:hint="eastAsia" w:ascii="宋体" w:hAnsi="宋体" w:eastAsia="宋体" w:cs="宋体"/>
          <w:color w:val="auto"/>
          <w:szCs w:val="21"/>
        </w:rPr>
        <w:t>份、乙方持</w:t>
      </w:r>
      <w:r>
        <w:rPr>
          <w:rFonts w:hint="eastAsia" w:ascii="宋体" w:hAnsi="宋体" w:eastAsia="宋体" w:cs="宋体"/>
          <w:color w:val="auto"/>
          <w:szCs w:val="21"/>
          <w:lang w:val="en-US" w:eastAsia="zh-CN"/>
        </w:rPr>
        <w:t>叁</w:t>
      </w:r>
      <w:r>
        <w:rPr>
          <w:rFonts w:hint="eastAsia" w:ascii="宋体" w:hAnsi="宋体" w:eastAsia="宋体" w:cs="宋体"/>
          <w:color w:val="auto"/>
          <w:szCs w:val="21"/>
        </w:rPr>
        <w:t>份。</w:t>
      </w:r>
      <w:r>
        <w:rPr>
          <w:rFonts w:hint="eastAsia" w:ascii="宋体" w:hAnsi="宋体" w:eastAsia="宋体" w:cs="宋体"/>
          <w:color w:val="auto"/>
        </w:rPr>
        <w:t>政府采购合同双方自签订之日起</w:t>
      </w:r>
      <w:r>
        <w:rPr>
          <w:rFonts w:hint="eastAsia" w:ascii="宋体" w:hAnsi="宋体" w:eastAsia="宋体" w:cs="宋体"/>
          <w:color w:val="auto"/>
          <w:lang w:val="en-US" w:eastAsia="zh-CN"/>
        </w:rPr>
        <w:t>壹</w:t>
      </w:r>
      <w:r>
        <w:rPr>
          <w:rFonts w:hint="eastAsia" w:ascii="宋体" w:hAnsi="宋体" w:eastAsia="宋体" w:cs="宋体"/>
          <w:color w:val="auto"/>
        </w:rPr>
        <w:t>个工作日内，乙方</w:t>
      </w:r>
      <w:r>
        <w:rPr>
          <w:rFonts w:hint="eastAsia" w:ascii="宋体" w:hAnsi="宋体" w:eastAsia="宋体" w:cs="宋体"/>
          <w:color w:val="auto"/>
          <w:szCs w:val="21"/>
          <w:highlight w:val="none"/>
        </w:rPr>
        <w:t>将合同原件</w:t>
      </w:r>
      <w:r>
        <w:rPr>
          <w:rFonts w:hint="eastAsia" w:ascii="宋体" w:hAnsi="宋体" w:cs="宋体"/>
          <w:color w:val="auto"/>
          <w:szCs w:val="21"/>
          <w:highlight w:val="none"/>
          <w:lang w:val="en-US" w:eastAsia="zh-CN"/>
        </w:rPr>
        <w:t>壹</w:t>
      </w:r>
      <w:r>
        <w:rPr>
          <w:rFonts w:hint="eastAsia" w:ascii="宋体" w:hAnsi="宋体" w:eastAsia="宋体" w:cs="宋体"/>
          <w:color w:val="auto"/>
          <w:szCs w:val="21"/>
          <w:highlight w:val="none"/>
        </w:rPr>
        <w:t>份交采购代理机构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并于合同签订之日起</w:t>
      </w:r>
      <w:r>
        <w:rPr>
          <w:rFonts w:hint="eastAsia" w:ascii="宋体" w:hAnsi="宋体" w:cs="宋体"/>
          <w:color w:val="auto"/>
          <w:szCs w:val="21"/>
          <w:highlight w:val="none"/>
          <w:lang w:val="en-US" w:eastAsia="zh-CN"/>
        </w:rPr>
        <w:t>柒</w:t>
      </w:r>
      <w:r>
        <w:rPr>
          <w:rFonts w:hint="eastAsia" w:ascii="宋体" w:hAnsi="宋体" w:eastAsia="宋体" w:cs="宋体"/>
          <w:color w:val="auto"/>
          <w:szCs w:val="21"/>
          <w:highlight w:val="none"/>
        </w:rPr>
        <w:t>个工作日内将一份合同原件送</w:t>
      </w:r>
      <w:r>
        <w:rPr>
          <w:rFonts w:hint="eastAsia"/>
          <w:color w:val="auto"/>
          <w:szCs w:val="21"/>
        </w:rPr>
        <w:t>广西壮族自治区财政厅政府采购监督管理处</w:t>
      </w:r>
      <w:r>
        <w:rPr>
          <w:rFonts w:hint="eastAsia" w:ascii="宋体" w:hAnsi="宋体" w:eastAsia="宋体" w:cs="宋体"/>
          <w:color w:val="auto"/>
          <w:szCs w:val="21"/>
          <w:highlight w:val="none"/>
        </w:rPr>
        <w:t>备案。</w:t>
      </w:r>
    </w:p>
    <w:p>
      <w:pPr>
        <w:pStyle w:val="2"/>
        <w:rPr>
          <w:rFonts w:hint="eastAsia" w:ascii="宋体" w:hAnsi="宋体" w:cs="宋体"/>
          <w:color w:val="auto"/>
          <w:lang w:eastAsia="zh-CN"/>
        </w:rPr>
      </w:pPr>
    </w:p>
    <w:p>
      <w:pPr>
        <w:pStyle w:val="2"/>
        <w:rPr>
          <w:rFonts w:hint="eastAsia" w:ascii="宋体" w:hAnsi="宋体" w:cs="宋体"/>
          <w:color w:val="auto"/>
          <w:lang w:eastAsia="zh-CN"/>
        </w:rPr>
      </w:pP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p>
    <w:p>
      <w:pPr>
        <w:spacing w:line="400" w:lineRule="exact"/>
        <w:rPr>
          <w:rFonts w:hint="eastAsia" w:ascii="宋体" w:hAnsi="宋体" w:eastAsia="宋体" w:cs="宋体"/>
          <w:color w:val="auto"/>
          <w:szCs w:val="21"/>
          <w:u w:val="single"/>
        </w:rPr>
      </w:pPr>
      <w:r>
        <w:rPr>
          <w:rFonts w:hint="eastAsia" w:ascii="宋体" w:hAnsi="宋体" w:eastAsia="宋体" w:cs="宋体"/>
          <w:color w:val="auto"/>
          <w:szCs w:val="21"/>
        </w:rPr>
        <w:t>甲方（公章）：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乙方（公章，自然人除外）：</w:t>
      </w:r>
      <w:r>
        <w:rPr>
          <w:rFonts w:hint="eastAsia" w:ascii="宋体" w:hAnsi="宋体" w:eastAsia="宋体" w:cs="宋体"/>
          <w:color w:val="auto"/>
          <w:szCs w:val="21"/>
          <w:u w:val="single"/>
        </w:rPr>
        <w:t xml:space="preserve">                        </w:t>
      </w:r>
    </w:p>
    <w:p>
      <w:pPr>
        <w:spacing w:line="400" w:lineRule="exact"/>
        <w:ind w:left="4620" w:hanging="4620" w:hangingChars="2200"/>
        <w:rPr>
          <w:rFonts w:hint="eastAsia" w:ascii="宋体" w:hAnsi="宋体" w:eastAsia="宋体" w:cs="宋体"/>
          <w:color w:val="auto"/>
          <w:szCs w:val="21"/>
          <w:u w:val="single"/>
        </w:rPr>
      </w:pPr>
      <w:r>
        <w:rPr>
          <w:rFonts w:hint="eastAsia" w:ascii="宋体" w:hAnsi="宋体" w:eastAsia="宋体" w:cs="宋体"/>
          <w:color w:val="auto"/>
          <w:szCs w:val="21"/>
        </w:rPr>
        <w:t>法定代表人签字：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rPr>
        <w:t>法定代表人（负责人、自然人）签字（属自然人的应在签名处加盖大拇指指印）</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tabs>
          <w:tab w:val="left" w:pos="4680"/>
        </w:tabs>
        <w:spacing w:line="400" w:lineRule="exact"/>
        <w:rPr>
          <w:rFonts w:hint="eastAsia" w:ascii="宋体" w:hAnsi="宋体" w:eastAsia="宋体" w:cs="宋体"/>
          <w:color w:val="auto"/>
          <w:szCs w:val="21"/>
          <w:u w:val="single"/>
        </w:rPr>
      </w:pPr>
      <w:r>
        <w:rPr>
          <w:rFonts w:hint="eastAsia" w:ascii="宋体" w:hAnsi="宋体" w:eastAsia="宋体" w:cs="宋体"/>
          <w:color w:val="auto"/>
          <w:szCs w:val="21"/>
        </w:rPr>
        <w:t>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委托代理人：</w:t>
      </w:r>
      <w:r>
        <w:rPr>
          <w:rFonts w:hint="eastAsia" w:ascii="宋体" w:hAnsi="宋体" w:eastAsia="宋体" w:cs="宋体"/>
          <w:color w:val="auto"/>
          <w:szCs w:val="21"/>
          <w:u w:val="single"/>
        </w:rPr>
        <w:t xml:space="preserve">                                     </w:t>
      </w:r>
    </w:p>
    <w:p>
      <w:pPr>
        <w:tabs>
          <w:tab w:val="left" w:pos="5040"/>
        </w:tabs>
        <w:spacing w:line="400" w:lineRule="exact"/>
        <w:rPr>
          <w:rFonts w:hint="eastAsia" w:ascii="宋体" w:hAnsi="宋体" w:eastAsia="宋体" w:cs="宋体"/>
          <w:color w:val="auto"/>
          <w:szCs w:val="21"/>
          <w:u w:val="single"/>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电   话： </w:t>
      </w:r>
      <w:r>
        <w:rPr>
          <w:rFonts w:hint="eastAsia" w:ascii="宋体" w:hAnsi="宋体" w:eastAsia="宋体" w:cs="宋体"/>
          <w:color w:val="auto"/>
          <w:szCs w:val="21"/>
          <w:u w:val="single"/>
        </w:rPr>
        <w:t xml:space="preserve">                                       </w:t>
      </w:r>
    </w:p>
    <w:p>
      <w:pPr>
        <w:tabs>
          <w:tab w:val="left" w:pos="5040"/>
        </w:tabs>
        <w:spacing w:line="400" w:lineRule="exact"/>
        <w:rPr>
          <w:rFonts w:hint="eastAsia" w:ascii="宋体" w:hAnsi="宋体" w:eastAsia="宋体" w:cs="宋体"/>
          <w:color w:val="auto"/>
          <w:szCs w:val="21"/>
        </w:rPr>
      </w:pPr>
      <w:r>
        <w:rPr>
          <w:rFonts w:hint="eastAsia" w:ascii="宋体" w:hAnsi="宋体" w:eastAsia="宋体" w:cs="宋体"/>
          <w:color w:val="auto"/>
          <w:szCs w:val="21"/>
        </w:rPr>
        <w:t>开户名称：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开户名称：</w:t>
      </w:r>
      <w:r>
        <w:rPr>
          <w:rFonts w:hint="eastAsia" w:ascii="宋体" w:hAnsi="宋体" w:eastAsia="宋体" w:cs="宋体"/>
          <w:color w:val="auto"/>
          <w:szCs w:val="21"/>
          <w:u w:val="single"/>
        </w:rPr>
        <w:t xml:space="preserve">                                       </w:t>
      </w:r>
    </w:p>
    <w:p>
      <w:pPr>
        <w:tabs>
          <w:tab w:val="left" w:pos="5040"/>
        </w:tabs>
        <w:spacing w:line="400" w:lineRule="exact"/>
        <w:rPr>
          <w:rFonts w:hint="eastAsia" w:ascii="宋体" w:hAnsi="宋体" w:eastAsia="宋体" w:cs="宋体"/>
          <w:color w:val="auto"/>
          <w:szCs w:val="21"/>
        </w:rPr>
      </w:pPr>
      <w:r>
        <w:rPr>
          <w:rFonts w:hint="eastAsia" w:ascii="宋体" w:hAnsi="宋体" w:eastAsia="宋体" w:cs="宋体"/>
          <w:color w:val="auto"/>
          <w:szCs w:val="21"/>
        </w:rPr>
        <w:t>开户银行：</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开户银行：</w:t>
      </w:r>
      <w:r>
        <w:rPr>
          <w:rFonts w:hint="eastAsia" w:ascii="宋体" w:hAnsi="宋体" w:eastAsia="宋体" w:cs="宋体"/>
          <w:color w:val="auto"/>
          <w:szCs w:val="21"/>
          <w:u w:val="single"/>
        </w:rPr>
        <w:t xml:space="preserve">                                       </w:t>
      </w:r>
    </w:p>
    <w:p>
      <w:pPr>
        <w:tabs>
          <w:tab w:val="left" w:pos="5040"/>
        </w:tabs>
        <w:spacing w:line="400" w:lineRule="exact"/>
        <w:rPr>
          <w:rFonts w:hint="eastAsia" w:ascii="宋体" w:hAnsi="宋体" w:eastAsia="宋体" w:cs="宋体"/>
          <w:color w:val="auto"/>
          <w:szCs w:val="21"/>
        </w:rPr>
      </w:pPr>
      <w:r>
        <w:rPr>
          <w:rFonts w:hint="eastAsia" w:ascii="宋体" w:hAnsi="宋体" w:eastAsia="宋体" w:cs="宋体"/>
          <w:color w:val="auto"/>
          <w:szCs w:val="21"/>
        </w:rPr>
        <w:t>银行账号：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银行账号：</w:t>
      </w:r>
      <w:r>
        <w:rPr>
          <w:rFonts w:hint="eastAsia" w:ascii="宋体" w:hAnsi="宋体" w:eastAsia="宋体" w:cs="宋体"/>
          <w:color w:val="auto"/>
          <w:szCs w:val="21"/>
          <w:u w:val="single"/>
        </w:rPr>
        <w:t xml:space="preserve">                                       </w:t>
      </w:r>
    </w:p>
    <w:p>
      <w:pPr>
        <w:tabs>
          <w:tab w:val="left" w:pos="5040"/>
        </w:tabs>
        <w:spacing w:line="400" w:lineRule="exact"/>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期：</w:t>
      </w:r>
      <w:r>
        <w:rPr>
          <w:rFonts w:hint="eastAsia" w:ascii="宋体" w:hAnsi="宋体" w:eastAsia="宋体" w:cs="宋体"/>
          <w:color w:val="auto"/>
          <w:szCs w:val="21"/>
          <w:u w:val="single"/>
        </w:rPr>
        <w:t xml:space="preserve">                                       </w:t>
      </w:r>
    </w:p>
    <w:p>
      <w:pPr>
        <w:rPr>
          <w:rFonts w:hint="eastAsia" w:ascii="宋体" w:hAnsi="宋体" w:eastAsia="宋体" w:cs="宋体"/>
          <w:color w:val="auto"/>
        </w:rPr>
      </w:pPr>
      <w:r>
        <w:rPr>
          <w:rFonts w:hint="eastAsia" w:ascii="宋体" w:hAnsi="宋体" w:eastAsia="宋体" w:cs="宋体"/>
          <w:color w:val="auto"/>
        </w:rPr>
        <w:t xml:space="preserve">  </w:t>
      </w:r>
    </w:p>
    <w:p>
      <w:pPr>
        <w:jc w:val="center"/>
        <w:outlineLvl w:val="0"/>
        <w:rPr>
          <w:rFonts w:hint="eastAsia" w:ascii="宋体" w:hAnsi="宋体" w:eastAsia="宋体" w:cs="宋体"/>
          <w:color w:val="auto"/>
          <w:sz w:val="32"/>
          <w:szCs w:val="32"/>
        </w:rPr>
      </w:pPr>
      <w:r>
        <w:rPr>
          <w:rFonts w:hint="eastAsia" w:ascii="宋体" w:hAnsi="宋体" w:eastAsia="宋体" w:cs="宋体"/>
          <w:b/>
          <w:color w:val="auto"/>
          <w:sz w:val="32"/>
          <w:szCs w:val="32"/>
        </w:rPr>
        <w:br w:type="page"/>
      </w:r>
      <w:bookmarkStart w:id="227" w:name="_Toc24269"/>
      <w:bookmarkStart w:id="228" w:name="_Toc27453"/>
      <w:r>
        <w:rPr>
          <w:rFonts w:hint="eastAsia" w:ascii="宋体" w:hAnsi="宋体" w:eastAsia="宋体" w:cs="宋体"/>
          <w:b/>
          <w:bCs/>
          <w:color w:val="auto"/>
          <w:kern w:val="44"/>
          <w:sz w:val="32"/>
          <w:szCs w:val="32"/>
          <w:lang w:val="en-US" w:eastAsia="zh-CN" w:bidi="ar-SA"/>
        </w:rPr>
        <w:t>第六章  投标文件（格式）</w:t>
      </w:r>
      <w:bookmarkEnd w:id="227"/>
      <w:bookmarkEnd w:id="228"/>
    </w:p>
    <w:p>
      <w:pPr>
        <w:rPr>
          <w:rFonts w:hint="eastAsia"/>
          <w:b/>
          <w:bCs/>
          <w:color w:val="auto"/>
          <w:sz w:val="30"/>
          <w:szCs w:val="30"/>
        </w:rPr>
      </w:pPr>
      <w:bookmarkStart w:id="229" w:name="_Toc498698226"/>
      <w:bookmarkStart w:id="230" w:name="_Toc486695806"/>
      <w:bookmarkStart w:id="231" w:name="_Toc498627082"/>
      <w:bookmarkStart w:id="232" w:name="_Toc478137727"/>
      <w:bookmarkStart w:id="233" w:name="_Toc486867150"/>
      <w:bookmarkStart w:id="234" w:name="_Toc31410"/>
      <w:bookmarkStart w:id="235" w:name="_Toc1762"/>
      <w:r>
        <w:rPr>
          <w:rFonts w:hint="eastAsia"/>
          <w:b/>
          <w:bCs/>
          <w:color w:val="auto"/>
          <w:sz w:val="30"/>
          <w:szCs w:val="30"/>
        </w:rPr>
        <w:t>投标文件封面格式</w:t>
      </w:r>
      <w:bookmarkEnd w:id="229"/>
      <w:bookmarkEnd w:id="230"/>
      <w:bookmarkEnd w:id="231"/>
      <w:bookmarkEnd w:id="232"/>
      <w:bookmarkEnd w:id="233"/>
      <w:r>
        <w:rPr>
          <w:rFonts w:hint="eastAsia"/>
          <w:b/>
          <w:bCs/>
          <w:color w:val="auto"/>
          <w:sz w:val="30"/>
          <w:szCs w:val="30"/>
        </w:rPr>
        <w:t>：</w:t>
      </w:r>
      <w:bookmarkEnd w:id="234"/>
      <w:bookmarkEnd w:id="235"/>
    </w:p>
    <w:p>
      <w:pPr>
        <w:adjustRightInd w:val="0"/>
        <w:snapToGrid w:val="0"/>
        <w:jc w:val="right"/>
        <w:rPr>
          <w:rFonts w:hint="eastAsia" w:ascii="宋体" w:hAnsi="宋体" w:eastAsia="宋体" w:cs="宋体"/>
          <w:b/>
          <w:color w:val="auto"/>
          <w:sz w:val="44"/>
          <w:szCs w:val="44"/>
        </w:rPr>
      </w:pPr>
      <w:r>
        <w:rPr>
          <w:rFonts w:hint="eastAsia" w:ascii="宋体" w:hAnsi="宋体" w:eastAsia="宋体" w:cs="宋体"/>
          <w:b/>
          <w:color w:val="auto"/>
          <w:sz w:val="32"/>
          <w:szCs w:val="32"/>
        </w:rPr>
        <w:t>正本/副本</w:t>
      </w:r>
    </w:p>
    <w:p>
      <w:pPr>
        <w:adjustRightInd w:val="0"/>
        <w:snapToGrid w:val="0"/>
        <w:rPr>
          <w:rFonts w:hint="eastAsia" w:ascii="宋体" w:hAnsi="宋体" w:eastAsia="宋体" w:cs="宋体"/>
          <w:b/>
          <w:color w:val="auto"/>
          <w:sz w:val="44"/>
          <w:szCs w:val="44"/>
        </w:rPr>
      </w:pPr>
    </w:p>
    <w:p>
      <w:pPr>
        <w:adjustRightInd w:val="0"/>
        <w:snapToGrid w:val="0"/>
        <w:jc w:val="center"/>
        <w:rPr>
          <w:rFonts w:hint="eastAsia" w:ascii="宋体" w:hAnsi="宋体" w:eastAsia="宋体" w:cs="宋体"/>
          <w:b/>
          <w:color w:val="auto"/>
          <w:sz w:val="44"/>
          <w:szCs w:val="44"/>
        </w:rPr>
      </w:pPr>
      <w:bookmarkStart w:id="236" w:name="_Toc13659_WPSOffice_Level1"/>
      <w:bookmarkStart w:id="237" w:name="_Toc3441_WPSOffice_Level1"/>
      <w:r>
        <w:rPr>
          <w:rFonts w:hint="eastAsia" w:ascii="宋体" w:hAnsi="宋体" w:eastAsia="宋体" w:cs="宋体"/>
          <w:bCs/>
          <w:color w:val="auto"/>
          <w:sz w:val="72"/>
          <w:szCs w:val="72"/>
        </w:rPr>
        <w:t>投标文件</w:t>
      </w:r>
      <w:bookmarkEnd w:id="236"/>
      <w:bookmarkEnd w:id="237"/>
    </w:p>
    <w:p>
      <w:pPr>
        <w:adjustRightInd w:val="0"/>
        <w:snapToGrid w:val="0"/>
        <w:rPr>
          <w:rFonts w:hint="eastAsia" w:ascii="宋体" w:hAnsi="宋体" w:eastAsia="宋体" w:cs="宋体"/>
          <w:b/>
          <w:color w:val="auto"/>
          <w:sz w:val="44"/>
          <w:szCs w:val="44"/>
        </w:rPr>
      </w:pPr>
    </w:p>
    <w:p>
      <w:pPr>
        <w:adjustRightInd w:val="0"/>
        <w:snapToGrid w:val="0"/>
        <w:rPr>
          <w:rFonts w:hint="eastAsia" w:ascii="宋体" w:hAnsi="宋体" w:eastAsia="宋体" w:cs="宋体"/>
          <w:b/>
          <w:color w:val="auto"/>
          <w:sz w:val="44"/>
          <w:szCs w:val="44"/>
        </w:rPr>
      </w:pPr>
    </w:p>
    <w:p>
      <w:pPr>
        <w:ind w:firstLine="1059" w:firstLineChars="353"/>
        <w:rPr>
          <w:rFonts w:hint="eastAsia" w:ascii="宋体" w:hAnsi="宋体" w:eastAsia="宋体" w:cs="宋体"/>
          <w:color w:val="auto"/>
          <w:sz w:val="30"/>
          <w:szCs w:val="30"/>
          <w:lang w:eastAsia="zh-CN"/>
        </w:rPr>
      </w:pPr>
      <w:r>
        <w:rPr>
          <w:rFonts w:hint="eastAsia" w:ascii="宋体" w:hAnsi="宋体" w:eastAsia="宋体" w:cs="宋体"/>
          <w:bCs/>
          <w:color w:val="auto"/>
          <w:sz w:val="30"/>
          <w:szCs w:val="30"/>
        </w:rPr>
        <w:t>项目名称：</w:t>
      </w:r>
      <w:r>
        <w:rPr>
          <w:rFonts w:hint="eastAsia" w:ascii="宋体" w:hAnsi="宋体" w:cs="宋体"/>
          <w:bCs/>
          <w:color w:val="auto"/>
          <w:sz w:val="30"/>
          <w:szCs w:val="30"/>
          <w:u w:val="single"/>
          <w:lang w:eastAsia="zh-CN"/>
        </w:rPr>
        <w:t>花江校区新建F栋学生宿舍组团家具采购</w:t>
      </w:r>
    </w:p>
    <w:p>
      <w:pPr>
        <w:ind w:firstLine="1059" w:firstLineChars="353"/>
        <w:rPr>
          <w:rFonts w:hint="eastAsia" w:ascii="宋体" w:hAnsi="宋体" w:eastAsia="宋体" w:cs="宋体"/>
          <w:bCs/>
          <w:color w:val="auto"/>
          <w:sz w:val="30"/>
          <w:szCs w:val="30"/>
          <w:u w:val="single"/>
          <w:lang w:eastAsia="zh-CN"/>
        </w:rPr>
      </w:pPr>
      <w:r>
        <w:rPr>
          <w:rFonts w:hint="eastAsia" w:ascii="宋体" w:hAnsi="宋体" w:eastAsia="宋体" w:cs="宋体"/>
          <w:bCs/>
          <w:color w:val="auto"/>
          <w:sz w:val="30"/>
          <w:szCs w:val="30"/>
        </w:rPr>
        <w:t>项目编号：</w:t>
      </w:r>
      <w:r>
        <w:rPr>
          <w:rFonts w:hint="eastAsia" w:ascii="宋体" w:hAnsi="宋体" w:cs="宋体"/>
          <w:bCs/>
          <w:color w:val="auto"/>
          <w:sz w:val="30"/>
          <w:szCs w:val="30"/>
          <w:u w:val="single"/>
          <w:lang w:eastAsia="zh-CN"/>
        </w:rPr>
        <w:t>GXZC2020-G1-002818-JCZX</w:t>
      </w:r>
    </w:p>
    <w:p>
      <w:pPr>
        <w:ind w:firstLine="741" w:firstLineChars="353"/>
        <w:rPr>
          <w:rFonts w:hint="eastAsia" w:ascii="宋体" w:hAnsi="宋体" w:eastAsia="宋体" w:cs="宋体"/>
          <w:color w:val="auto"/>
        </w:rPr>
      </w:pPr>
    </w:p>
    <w:p>
      <w:pPr>
        <w:snapToGrid w:val="0"/>
        <w:spacing w:before="156" w:beforeLines="50" w:after="50"/>
        <w:ind w:firstLine="1260" w:firstLineChars="450"/>
        <w:rPr>
          <w:rFonts w:hint="eastAsia" w:ascii="宋体" w:hAnsi="宋体" w:eastAsia="宋体" w:cs="宋体"/>
          <w:bCs/>
          <w:color w:val="auto"/>
          <w:sz w:val="28"/>
          <w:szCs w:val="28"/>
        </w:rPr>
      </w:pPr>
    </w:p>
    <w:p>
      <w:pPr>
        <w:pStyle w:val="43"/>
        <w:rPr>
          <w:rFonts w:hint="eastAsia"/>
          <w:color w:val="auto"/>
        </w:rPr>
      </w:pPr>
    </w:p>
    <w:p>
      <w:pPr>
        <w:snapToGrid w:val="0"/>
        <w:spacing w:before="156" w:beforeLines="50" w:after="50"/>
        <w:ind w:firstLine="1260" w:firstLineChars="450"/>
        <w:rPr>
          <w:rFonts w:hint="eastAsia" w:ascii="宋体" w:hAnsi="宋体" w:eastAsia="宋体" w:cs="宋体"/>
          <w:bCs/>
          <w:color w:val="auto"/>
          <w:sz w:val="28"/>
          <w:szCs w:val="28"/>
        </w:rPr>
      </w:pPr>
    </w:p>
    <w:p>
      <w:pPr>
        <w:snapToGrid w:val="0"/>
        <w:spacing w:before="156" w:beforeLines="50" w:after="50"/>
        <w:ind w:firstLine="1260" w:firstLineChars="450"/>
        <w:rPr>
          <w:rFonts w:hint="eastAsia" w:ascii="宋体" w:hAnsi="宋体" w:eastAsia="宋体" w:cs="宋体"/>
          <w:bCs/>
          <w:color w:val="auto"/>
          <w:sz w:val="28"/>
          <w:szCs w:val="28"/>
        </w:rPr>
      </w:pPr>
    </w:p>
    <w:p>
      <w:pPr>
        <w:ind w:firstLine="964" w:firstLineChars="300"/>
        <w:jc w:val="left"/>
        <w:rPr>
          <w:rFonts w:hint="eastAsia" w:ascii="宋体" w:hAnsi="宋体" w:eastAsia="宋体" w:cs="宋体"/>
          <w:b/>
          <w:color w:val="auto"/>
          <w:sz w:val="32"/>
          <w:szCs w:val="32"/>
        </w:rPr>
      </w:pPr>
    </w:p>
    <w:p>
      <w:pPr>
        <w:pStyle w:val="13"/>
        <w:ind w:left="980" w:hanging="560" w:hangingChars="200"/>
        <w:rPr>
          <w:rFonts w:hint="eastAsia" w:ascii="宋体" w:hAnsi="宋体" w:eastAsia="宋体" w:cs="宋体"/>
          <w:bCs/>
          <w:color w:val="auto"/>
          <w:sz w:val="28"/>
          <w:szCs w:val="28"/>
          <w:u w:val="single"/>
        </w:rPr>
      </w:pPr>
      <w:r>
        <w:rPr>
          <w:rFonts w:hint="eastAsia" w:ascii="宋体" w:hAnsi="宋体" w:eastAsia="宋体" w:cs="宋体"/>
          <w:bCs/>
          <w:color w:val="auto"/>
          <w:sz w:val="28"/>
          <w:szCs w:val="28"/>
        </w:rPr>
        <w:t>采购代理机构：</w:t>
      </w:r>
      <w:r>
        <w:rPr>
          <w:rFonts w:hint="eastAsia" w:ascii="宋体" w:hAnsi="宋体" w:eastAsia="宋体" w:cs="宋体"/>
          <w:bCs/>
          <w:color w:val="auto"/>
          <w:sz w:val="28"/>
          <w:szCs w:val="28"/>
          <w:u w:val="single"/>
        </w:rPr>
        <w:t>桂林市政府集中采购中心</w:t>
      </w:r>
    </w:p>
    <w:p>
      <w:pPr>
        <w:pStyle w:val="13"/>
        <w:ind w:left="980" w:hanging="560" w:hangingChars="200"/>
        <w:rPr>
          <w:rFonts w:hint="eastAsia" w:ascii="宋体" w:hAnsi="宋体" w:eastAsia="宋体" w:cs="宋体"/>
          <w:bCs/>
          <w:color w:val="auto"/>
          <w:sz w:val="28"/>
          <w:szCs w:val="28"/>
        </w:rPr>
      </w:pPr>
      <w:bookmarkStart w:id="238" w:name="_Toc20319_WPSOffice_Level2"/>
      <w:bookmarkStart w:id="239" w:name="_Toc4932_WPSOffice_Level2"/>
      <w:r>
        <w:rPr>
          <w:rFonts w:hint="eastAsia" w:ascii="宋体" w:hAnsi="宋体" w:eastAsia="宋体" w:cs="宋体"/>
          <w:bCs/>
          <w:color w:val="auto"/>
          <w:sz w:val="28"/>
          <w:szCs w:val="28"/>
        </w:rPr>
        <w:t>投标人（公章、自然人除外）：</w:t>
      </w:r>
      <w:r>
        <w:rPr>
          <w:rFonts w:hint="eastAsia" w:ascii="宋体" w:hAnsi="宋体" w:eastAsia="宋体" w:cs="宋体"/>
          <w:bCs/>
          <w:color w:val="auto"/>
          <w:sz w:val="28"/>
          <w:szCs w:val="28"/>
          <w:u w:val="single"/>
        </w:rPr>
        <w:t xml:space="preserve">                       </w:t>
      </w:r>
      <w:bookmarkEnd w:id="238"/>
      <w:bookmarkEnd w:id="239"/>
      <w:r>
        <w:rPr>
          <w:rFonts w:hint="eastAsia" w:ascii="宋体" w:hAnsi="宋体" w:eastAsia="宋体" w:cs="宋体"/>
          <w:bCs/>
          <w:color w:val="auto"/>
          <w:sz w:val="28"/>
          <w:szCs w:val="28"/>
          <w:u w:val="single"/>
        </w:rPr>
        <w:t xml:space="preserve">       </w:t>
      </w:r>
    </w:p>
    <w:p>
      <w:pPr>
        <w:pStyle w:val="15"/>
        <w:spacing w:line="320" w:lineRule="exact"/>
        <w:ind w:firstLine="420"/>
        <w:rPr>
          <w:rFonts w:hint="eastAsia" w:ascii="宋体" w:hAnsi="宋体" w:eastAsia="宋体" w:cs="宋体"/>
          <w:color w:val="auto"/>
          <w:sz w:val="28"/>
          <w:szCs w:val="28"/>
        </w:rPr>
      </w:pPr>
      <w:bookmarkStart w:id="240" w:name="_Toc11679_WPSOffice_Level2"/>
      <w:bookmarkStart w:id="241" w:name="_Toc4767_WPSOffice_Level2"/>
      <w:r>
        <w:rPr>
          <w:rFonts w:hint="eastAsia" w:ascii="宋体" w:hAnsi="宋体" w:eastAsia="宋体" w:cs="宋体"/>
          <w:color w:val="auto"/>
          <w:sz w:val="28"/>
          <w:szCs w:val="28"/>
        </w:rPr>
        <w:t>法定代表人、负责人、自然人或相应的委托代理人签字（或盖章）</w:t>
      </w:r>
    </w:p>
    <w:p>
      <w:pPr>
        <w:pStyle w:val="13"/>
        <w:ind w:left="980" w:hanging="560" w:hanging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（属自然人的应在签名处加盖大拇指指印）：</w:t>
      </w:r>
      <w:r>
        <w:rPr>
          <w:rFonts w:hint="eastAsia" w:ascii="宋体" w:hAnsi="宋体" w:eastAsia="宋体" w:cs="宋体"/>
          <w:color w:val="auto"/>
          <w:sz w:val="28"/>
          <w:szCs w:val="28"/>
          <w:u w:val="single"/>
        </w:rPr>
        <w:t xml:space="preserve">                  </w:t>
      </w:r>
      <w:bookmarkEnd w:id="240"/>
      <w:bookmarkEnd w:id="241"/>
      <w:bookmarkStart w:id="242" w:name="_Toc32056_WPSOffice_Level2"/>
      <w:bookmarkStart w:id="243" w:name="_Toc9622_WPSOffice_Level2"/>
    </w:p>
    <w:p>
      <w:pPr>
        <w:pStyle w:val="13"/>
        <w:ind w:left="980" w:hanging="560" w:hangingChars="200"/>
        <w:rPr>
          <w:rFonts w:hint="eastAsia" w:ascii="宋体" w:hAnsi="宋体" w:eastAsia="宋体" w:cs="宋体"/>
          <w:bCs/>
          <w:color w:val="auto"/>
          <w:sz w:val="28"/>
          <w:szCs w:val="28"/>
          <w:u w:val="single"/>
        </w:rPr>
      </w:pPr>
      <w:r>
        <w:rPr>
          <w:rFonts w:hint="eastAsia" w:ascii="宋体" w:hAnsi="宋体" w:eastAsia="宋体" w:cs="宋体"/>
          <w:bCs/>
          <w:color w:val="auto"/>
          <w:sz w:val="28"/>
          <w:szCs w:val="28"/>
        </w:rPr>
        <w:t>联系电话：</w:t>
      </w:r>
      <w:bookmarkEnd w:id="242"/>
      <w:bookmarkEnd w:id="243"/>
      <w:r>
        <w:rPr>
          <w:rFonts w:hint="eastAsia" w:ascii="宋体" w:hAnsi="宋体" w:eastAsia="宋体" w:cs="宋体"/>
          <w:bCs/>
          <w:color w:val="auto"/>
          <w:sz w:val="28"/>
          <w:szCs w:val="28"/>
          <w:u w:val="single"/>
        </w:rPr>
        <w:t xml:space="preserve">                                                </w:t>
      </w:r>
    </w:p>
    <w:p>
      <w:pPr>
        <w:pStyle w:val="13"/>
        <w:ind w:left="980" w:hanging="560" w:hangingChars="200"/>
        <w:rPr>
          <w:rFonts w:hint="eastAsia" w:ascii="宋体" w:hAnsi="宋体" w:eastAsia="宋体" w:cs="宋体"/>
          <w:b/>
          <w:color w:val="auto"/>
          <w:sz w:val="32"/>
          <w:szCs w:val="32"/>
        </w:rPr>
      </w:pPr>
      <w:bookmarkStart w:id="244" w:name="_Toc15933_WPSOffice_Level2"/>
      <w:bookmarkStart w:id="245" w:name="_Toc26465_WPSOffice_Level2"/>
      <w:r>
        <w:rPr>
          <w:rFonts w:hint="eastAsia" w:ascii="宋体" w:hAnsi="宋体" w:eastAsia="宋体" w:cs="宋体"/>
          <w:bCs/>
          <w:color w:val="auto"/>
          <w:sz w:val="28"/>
          <w:szCs w:val="28"/>
        </w:rPr>
        <w:t>日期：</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年</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w:t>
      </w:r>
      <w:bookmarkEnd w:id="244"/>
      <w:bookmarkEnd w:id="245"/>
    </w:p>
    <w:p>
      <w:pPr>
        <w:spacing w:line="400" w:lineRule="exac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jc w:val="center"/>
        <w:rPr>
          <w:rFonts w:hint="eastAsia"/>
          <w:b/>
          <w:bCs/>
          <w:color w:val="auto"/>
          <w:sz w:val="32"/>
          <w:szCs w:val="32"/>
          <w:lang w:eastAsia="zh-CN"/>
        </w:rPr>
      </w:pPr>
      <w:r>
        <w:rPr>
          <w:rFonts w:hint="eastAsia"/>
          <w:b/>
          <w:bCs/>
          <w:color w:val="auto"/>
          <w:sz w:val="32"/>
          <w:szCs w:val="32"/>
          <w:lang w:eastAsia="zh-CN"/>
        </w:rPr>
        <w:t>投标文件目录</w:t>
      </w:r>
    </w:p>
    <w:p>
      <w:pPr>
        <w:tabs>
          <w:tab w:val="left" w:pos="1305"/>
        </w:tabs>
        <w:spacing w:line="380" w:lineRule="exact"/>
        <w:ind w:firstLine="422" w:firstLineChars="150"/>
        <w:rPr>
          <w:rFonts w:hint="eastAsia" w:ascii="宋体" w:hAnsi="宋体" w:eastAsia="宋体" w:cs="宋体"/>
          <w:b/>
          <w:color w:val="auto"/>
          <w:sz w:val="28"/>
          <w:szCs w:val="28"/>
        </w:rPr>
      </w:pPr>
      <w:r>
        <w:rPr>
          <w:rFonts w:hint="eastAsia" w:ascii="宋体" w:hAnsi="宋体" w:eastAsia="宋体" w:cs="宋体"/>
          <w:b/>
          <w:color w:val="auto"/>
          <w:sz w:val="28"/>
          <w:szCs w:val="28"/>
        </w:rPr>
        <w:t>一、投标报价表</w:t>
      </w:r>
    </w:p>
    <w:p>
      <w:pPr>
        <w:tabs>
          <w:tab w:val="left" w:pos="1305"/>
        </w:tabs>
        <w:spacing w:line="380" w:lineRule="exact"/>
        <w:ind w:firstLine="422" w:firstLineChars="150"/>
        <w:rPr>
          <w:rFonts w:hint="eastAsia" w:ascii="宋体" w:hAnsi="宋体" w:eastAsia="宋体" w:cs="宋体"/>
          <w:b/>
          <w:color w:val="auto"/>
          <w:sz w:val="28"/>
          <w:szCs w:val="28"/>
        </w:rPr>
      </w:pPr>
      <w:r>
        <w:rPr>
          <w:rFonts w:hint="eastAsia" w:ascii="宋体" w:hAnsi="宋体" w:eastAsia="宋体" w:cs="宋体"/>
          <w:b/>
          <w:color w:val="auto"/>
          <w:sz w:val="28"/>
          <w:szCs w:val="28"/>
        </w:rPr>
        <w:t>二、资格性响应证明材料</w:t>
      </w:r>
    </w:p>
    <w:p>
      <w:pPr>
        <w:tabs>
          <w:tab w:val="left" w:pos="1305"/>
        </w:tabs>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1.投标人相应的法定代表人、负责人、自然人身份证正反面复印件</w:t>
      </w:r>
      <w:r>
        <w:rPr>
          <w:rFonts w:hint="eastAsia" w:ascii="宋体" w:hAnsi="宋体" w:eastAsia="宋体" w:cs="宋体"/>
          <w:b/>
          <w:bCs/>
          <w:color w:val="auto"/>
          <w:szCs w:val="21"/>
        </w:rPr>
        <w:t>（必须提供）</w:t>
      </w:r>
      <w:r>
        <w:rPr>
          <w:rFonts w:hint="eastAsia" w:ascii="宋体" w:hAnsi="宋体" w:eastAsia="宋体" w:cs="宋体"/>
          <w:color w:val="auto"/>
          <w:szCs w:val="21"/>
        </w:rPr>
        <w:t>；</w:t>
      </w:r>
    </w:p>
    <w:p>
      <w:pPr>
        <w:tabs>
          <w:tab w:val="left" w:pos="1305"/>
        </w:tabs>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u w:val="single"/>
        </w:rPr>
        <w:t>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w:t>
      </w:r>
      <w:r>
        <w:rPr>
          <w:rFonts w:hint="eastAsia" w:ascii="宋体" w:hAnsi="宋体" w:eastAsia="宋体" w:cs="宋体"/>
          <w:b/>
          <w:color w:val="auto"/>
          <w:szCs w:val="21"/>
          <w:u w:val="single"/>
        </w:rPr>
        <w:t>（委托代理时必须提供）；</w:t>
      </w:r>
    </w:p>
    <w:p>
      <w:pPr>
        <w:tabs>
          <w:tab w:val="left" w:pos="1305"/>
        </w:tabs>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3.投标人的法人或者其他组织营业执照等证明文件复印件</w:t>
      </w:r>
      <w:r>
        <w:rPr>
          <w:rFonts w:hint="eastAsia" w:ascii="宋体" w:hAnsi="宋体" w:eastAsia="宋体" w:cs="宋体"/>
          <w:b/>
          <w:bCs/>
          <w:color w:val="auto"/>
          <w:szCs w:val="21"/>
        </w:rPr>
        <w:t>（必须提供，自然人除外）</w:t>
      </w:r>
      <w:r>
        <w:rPr>
          <w:rFonts w:hint="eastAsia" w:ascii="宋体" w:hAnsi="宋体" w:eastAsia="宋体" w:cs="宋体"/>
          <w:color w:val="auto"/>
          <w:szCs w:val="21"/>
        </w:rPr>
        <w:t>；</w:t>
      </w:r>
    </w:p>
    <w:p>
      <w:pPr>
        <w:tabs>
          <w:tab w:val="left" w:pos="1305"/>
        </w:tabs>
        <w:spacing w:line="38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tabs>
          <w:tab w:val="left" w:pos="1305"/>
        </w:tabs>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供应商近三年中任一年度经第三方审计的财务状况报告复印件（或银行出具的资信证明或财政部门认可的政府采购专业担保机构出具的投标担保函）</w:t>
      </w:r>
      <w:r>
        <w:rPr>
          <w:rFonts w:hint="eastAsia" w:ascii="宋体" w:hAnsi="宋体" w:eastAsia="宋体" w:cs="宋体"/>
          <w:b/>
          <w:bCs/>
          <w:color w:val="auto"/>
          <w:szCs w:val="21"/>
        </w:rPr>
        <w:t>（必须提供）</w:t>
      </w:r>
      <w:r>
        <w:rPr>
          <w:rFonts w:hint="eastAsia" w:ascii="宋体" w:hAnsi="宋体" w:eastAsia="宋体" w:cs="宋体"/>
          <w:color w:val="auto"/>
          <w:szCs w:val="21"/>
        </w:rPr>
        <w:t>；</w:t>
      </w:r>
    </w:p>
    <w:p>
      <w:pPr>
        <w:tabs>
          <w:tab w:val="left" w:pos="1305"/>
        </w:tabs>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投标人参加政府采购活动前3年内在经营活动中没有重大违法记录及有关信用信息的书面声明</w:t>
      </w:r>
      <w:r>
        <w:rPr>
          <w:rFonts w:hint="eastAsia" w:ascii="宋体" w:hAnsi="宋体" w:eastAsia="宋体" w:cs="宋体"/>
          <w:b/>
          <w:bCs/>
          <w:color w:val="auto"/>
          <w:szCs w:val="21"/>
        </w:rPr>
        <w:t>（必须提供）</w:t>
      </w:r>
      <w:r>
        <w:rPr>
          <w:rFonts w:hint="eastAsia" w:ascii="宋体" w:hAnsi="宋体" w:eastAsia="宋体" w:cs="宋体"/>
          <w:color w:val="auto"/>
          <w:szCs w:val="21"/>
        </w:rPr>
        <w:t>；</w:t>
      </w:r>
    </w:p>
    <w:p>
      <w:pPr>
        <w:pStyle w:val="43"/>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宋体" w:hAnsi="宋体" w:eastAsia="宋体" w:cs="宋体"/>
          <w:color w:val="auto"/>
          <w:szCs w:val="21"/>
          <w:lang w:val="en-US" w:eastAsia="zh-CN"/>
        </w:rPr>
      </w:pPr>
      <w:r>
        <w:rPr>
          <w:rFonts w:hint="eastAsia" w:ascii="宋体" w:hAnsi="宋体" w:eastAsia="宋体" w:cs="宋体"/>
          <w:color w:val="auto"/>
          <w:kern w:val="2"/>
          <w:sz w:val="21"/>
          <w:szCs w:val="21"/>
          <w:lang w:val="en-US" w:eastAsia="zh-CN" w:bidi="ar-SA"/>
        </w:rPr>
        <w:t>6.供应商近半年内任意一个月或任一季度依法缴纳税收的证明材料（增值税发票或企业所得税完税证明或税务部门出具的免税证明）复印件</w:t>
      </w:r>
      <w:r>
        <w:rPr>
          <w:rFonts w:hint="eastAsia" w:ascii="宋体" w:hAnsi="宋体" w:eastAsia="宋体" w:cs="宋体"/>
          <w:b/>
          <w:bCs/>
          <w:i w:val="0"/>
          <w:iCs w:val="0"/>
          <w:color w:val="auto"/>
          <w:kern w:val="2"/>
          <w:sz w:val="21"/>
          <w:szCs w:val="21"/>
          <w:lang w:val="en-US" w:eastAsia="zh-CN" w:bidi="ar-SA"/>
        </w:rPr>
        <w:t>（必须提供）</w:t>
      </w:r>
      <w:r>
        <w:rPr>
          <w:rFonts w:hint="eastAsia" w:ascii="宋体" w:hAnsi="宋体" w:eastAsia="宋体" w:cs="宋体"/>
          <w:color w:val="auto"/>
          <w:kern w:val="2"/>
          <w:sz w:val="21"/>
          <w:szCs w:val="21"/>
          <w:lang w:val="en-US" w:eastAsia="zh-CN" w:bidi="ar-SA"/>
        </w:rPr>
        <w:t>；</w:t>
      </w:r>
    </w:p>
    <w:p>
      <w:pPr>
        <w:tabs>
          <w:tab w:val="left" w:pos="1305"/>
        </w:tabs>
        <w:spacing w:line="380" w:lineRule="exact"/>
        <w:ind w:firstLine="422" w:firstLineChars="150"/>
        <w:rPr>
          <w:rFonts w:hint="eastAsia" w:ascii="宋体" w:hAnsi="宋体" w:eastAsia="宋体" w:cs="宋体"/>
          <w:b/>
          <w:color w:val="auto"/>
          <w:sz w:val="28"/>
          <w:szCs w:val="28"/>
        </w:rPr>
      </w:pPr>
      <w:r>
        <w:rPr>
          <w:rFonts w:hint="eastAsia" w:ascii="宋体" w:hAnsi="宋体" w:eastAsia="宋体" w:cs="宋体"/>
          <w:b/>
          <w:color w:val="auto"/>
          <w:sz w:val="28"/>
          <w:szCs w:val="28"/>
        </w:rPr>
        <w:t>三、商务、技术性响应及其他证明材料：</w:t>
      </w:r>
    </w:p>
    <w:p>
      <w:pPr>
        <w:keepNext w:val="0"/>
        <w:keepLines w:val="0"/>
        <w:pageBreakBefore w:val="0"/>
        <w:widowControl w:val="0"/>
        <w:numPr>
          <w:ilvl w:val="0"/>
          <w:numId w:val="0"/>
        </w:numPr>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 xml:space="preserve">1. </w:t>
      </w:r>
      <w:r>
        <w:rPr>
          <w:rFonts w:hint="eastAsia" w:ascii="宋体" w:hAnsi="宋体" w:eastAsia="宋体" w:cs="宋体"/>
          <w:color w:val="auto"/>
          <w:szCs w:val="21"/>
        </w:rPr>
        <w:t>技术规格偏离表</w:t>
      </w:r>
      <w:r>
        <w:rPr>
          <w:rFonts w:hint="eastAsia" w:ascii="宋体" w:hAnsi="宋体" w:eastAsia="宋体" w:cs="宋体"/>
          <w:b/>
          <w:color w:val="auto"/>
          <w:szCs w:val="21"/>
        </w:rPr>
        <w:t>（必须提供）</w:t>
      </w:r>
      <w:r>
        <w:rPr>
          <w:rFonts w:hint="eastAsia" w:ascii="宋体" w:hAnsi="宋体" w:eastAsia="宋体" w:cs="宋体"/>
          <w:color w:val="auto"/>
          <w:szCs w:val="21"/>
        </w:rPr>
        <w:t>；</w:t>
      </w:r>
    </w:p>
    <w:p>
      <w:pPr>
        <w:keepNext w:val="0"/>
        <w:keepLines w:val="0"/>
        <w:pageBreakBefore w:val="0"/>
        <w:widowControl w:val="0"/>
        <w:numPr>
          <w:ilvl w:val="0"/>
          <w:numId w:val="0"/>
        </w:numPr>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 xml:space="preserve">2. </w:t>
      </w:r>
      <w:r>
        <w:rPr>
          <w:rFonts w:hint="eastAsia" w:ascii="宋体" w:hAnsi="宋体" w:eastAsia="宋体" w:cs="宋体"/>
          <w:color w:val="auto"/>
          <w:szCs w:val="21"/>
        </w:rPr>
        <w:t>商务响应表</w:t>
      </w:r>
      <w:r>
        <w:rPr>
          <w:rFonts w:hint="eastAsia" w:ascii="宋体" w:hAnsi="宋体" w:eastAsia="宋体" w:cs="宋体"/>
          <w:b/>
          <w:color w:val="auto"/>
          <w:szCs w:val="21"/>
        </w:rPr>
        <w:t>（必须提供）；</w:t>
      </w:r>
    </w:p>
    <w:p>
      <w:pPr>
        <w:keepNext w:val="0"/>
        <w:keepLines w:val="0"/>
        <w:pageBreakBefore w:val="0"/>
        <w:widowControl w:val="0"/>
        <w:numPr>
          <w:ilvl w:val="0"/>
          <w:numId w:val="0"/>
        </w:numPr>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 xml:space="preserve">3. </w:t>
      </w:r>
      <w:r>
        <w:rPr>
          <w:rFonts w:hint="eastAsia" w:ascii="宋体" w:hAnsi="宋体" w:eastAsia="宋体" w:cs="宋体"/>
          <w:color w:val="auto"/>
          <w:szCs w:val="21"/>
        </w:rPr>
        <w:t>“货物采购需求”需提供的有效证明文件</w:t>
      </w:r>
      <w:r>
        <w:rPr>
          <w:rFonts w:hint="eastAsia" w:ascii="宋体" w:hAnsi="宋体" w:eastAsia="宋体" w:cs="宋体"/>
          <w:b/>
          <w:color w:val="auto"/>
          <w:szCs w:val="21"/>
        </w:rPr>
        <w:t>（按其要求提供）</w:t>
      </w:r>
      <w:r>
        <w:rPr>
          <w:rFonts w:hint="eastAsia" w:ascii="宋体" w:hAnsi="宋体" w:eastAsia="宋体" w:cs="宋体"/>
          <w:color w:val="auto"/>
          <w:szCs w:val="21"/>
        </w:rPr>
        <w:t>；</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 xml:space="preserve">4. </w:t>
      </w:r>
      <w:r>
        <w:rPr>
          <w:rFonts w:hint="eastAsia" w:ascii="宋体" w:hAnsi="宋体" w:eastAsia="宋体" w:cs="宋体"/>
          <w:color w:val="auto"/>
          <w:szCs w:val="21"/>
        </w:rPr>
        <w:t>投标人的售后服务承诺书（含免费保修期、交付使用期、技术服务、技术培训、售后服务的内容和措施等）</w:t>
      </w:r>
      <w:r>
        <w:rPr>
          <w:rFonts w:hint="eastAsia" w:ascii="宋体" w:hAnsi="宋体" w:eastAsia="宋体" w:cs="宋体"/>
          <w:b/>
          <w:color w:val="auto"/>
          <w:szCs w:val="21"/>
        </w:rPr>
        <w:t>（必须提供）</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 xml:space="preserve">5. </w:t>
      </w:r>
      <w:r>
        <w:rPr>
          <w:rFonts w:hint="eastAsia" w:ascii="宋体" w:hAnsi="宋体" w:eastAsia="宋体" w:cs="宋体"/>
          <w:color w:val="auto"/>
          <w:szCs w:val="21"/>
        </w:rPr>
        <w:t>项目实施人员一览表</w:t>
      </w:r>
      <w:r>
        <w:rPr>
          <w:rFonts w:hint="eastAsia" w:ascii="宋体" w:hAnsi="宋体" w:eastAsia="宋体" w:cs="宋体"/>
          <w:b/>
          <w:bCs/>
          <w:color w:val="auto"/>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0"/>
        </w:rPr>
      </w:pPr>
      <w:r>
        <w:rPr>
          <w:rFonts w:hint="eastAsia" w:ascii="宋体" w:hAnsi="宋体" w:cs="宋体"/>
          <w:color w:val="auto"/>
          <w:szCs w:val="21"/>
          <w:lang w:val="en-US" w:eastAsia="zh-CN"/>
        </w:rPr>
        <w:t xml:space="preserve">6. </w:t>
      </w:r>
      <w:r>
        <w:rPr>
          <w:rFonts w:hint="eastAsia" w:ascii="宋体" w:hAnsi="宋体" w:eastAsia="宋体" w:cs="宋体"/>
          <w:color w:val="auto"/>
          <w:szCs w:val="21"/>
        </w:rPr>
        <w:t>节能方面的证书复印件</w:t>
      </w:r>
      <w:r>
        <w:rPr>
          <w:rFonts w:hint="eastAsia" w:ascii="宋体" w:hAnsi="宋体" w:eastAsia="宋体" w:cs="宋体"/>
          <w:b/>
          <w:color w:val="auto"/>
          <w:szCs w:val="21"/>
        </w:rPr>
        <w:t>（如有，请提供）；</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0"/>
        </w:rPr>
      </w:pPr>
      <w:r>
        <w:rPr>
          <w:rFonts w:hint="eastAsia" w:ascii="宋体" w:hAnsi="宋体" w:cs="宋体"/>
          <w:color w:val="auto"/>
          <w:szCs w:val="21"/>
          <w:lang w:val="en-US" w:eastAsia="zh-CN"/>
        </w:rPr>
        <w:t xml:space="preserve">7. </w:t>
      </w:r>
      <w:r>
        <w:rPr>
          <w:rFonts w:hint="eastAsia" w:ascii="宋体" w:hAnsi="宋体" w:eastAsia="宋体" w:cs="宋体"/>
          <w:color w:val="auto"/>
          <w:szCs w:val="21"/>
        </w:rPr>
        <w:t>环境标志方面的证书复印件</w:t>
      </w:r>
      <w:r>
        <w:rPr>
          <w:rFonts w:hint="eastAsia" w:ascii="宋体" w:hAnsi="宋体" w:eastAsia="宋体" w:cs="宋体"/>
          <w:b/>
          <w:color w:val="auto"/>
          <w:szCs w:val="21"/>
        </w:rPr>
        <w:t>（如有，请提供）；</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rPr>
      </w:pPr>
      <w:r>
        <w:rPr>
          <w:rFonts w:hint="eastAsia" w:ascii="宋体" w:hAnsi="宋体" w:cs="宋体"/>
          <w:color w:val="auto"/>
          <w:lang w:val="en-US" w:eastAsia="zh-CN"/>
        </w:rPr>
        <w:t xml:space="preserve">8. </w:t>
      </w:r>
      <w:r>
        <w:rPr>
          <w:rFonts w:hint="eastAsia" w:ascii="宋体" w:hAnsi="宋体" w:eastAsia="宋体" w:cs="宋体"/>
          <w:color w:val="auto"/>
        </w:rPr>
        <w:t>投标人201</w:t>
      </w:r>
      <w:r>
        <w:rPr>
          <w:rFonts w:hint="eastAsia" w:ascii="宋体" w:hAnsi="宋体" w:cs="宋体"/>
          <w:color w:val="auto"/>
          <w:lang w:val="en-US" w:eastAsia="zh-CN"/>
        </w:rPr>
        <w:t>7</w:t>
      </w:r>
      <w:r>
        <w:rPr>
          <w:rFonts w:hint="eastAsia" w:ascii="宋体" w:hAnsi="宋体" w:eastAsia="宋体" w:cs="宋体"/>
          <w:color w:val="auto"/>
        </w:rPr>
        <w:t>年</w:t>
      </w:r>
      <w:r>
        <w:rPr>
          <w:rFonts w:hint="eastAsia" w:ascii="宋体" w:hAnsi="宋体" w:cs="宋体"/>
          <w:color w:val="auto"/>
          <w:lang w:val="en-US" w:eastAsia="zh-CN"/>
        </w:rPr>
        <w:t>1月1日</w:t>
      </w:r>
      <w:r>
        <w:rPr>
          <w:rFonts w:hint="eastAsia" w:ascii="宋体" w:hAnsi="宋体" w:eastAsia="宋体" w:cs="宋体"/>
          <w:color w:val="auto"/>
        </w:rPr>
        <w:t>以来</w:t>
      </w:r>
      <w:r>
        <w:rPr>
          <w:rFonts w:hint="eastAsia" w:ascii="宋体" w:hAnsi="宋体" w:cs="宋体"/>
          <w:color w:val="auto"/>
          <w:lang w:val="en-US" w:eastAsia="zh-CN"/>
        </w:rPr>
        <w:t>同类产品（金属床、金属柜、木质家具）</w:t>
      </w:r>
      <w:r>
        <w:rPr>
          <w:rFonts w:hint="eastAsia" w:ascii="宋体" w:hAnsi="宋体" w:eastAsia="宋体" w:cs="宋体"/>
          <w:color w:val="auto"/>
        </w:rPr>
        <w:t>销售业绩的相关证明材料</w:t>
      </w:r>
      <w:r>
        <w:rPr>
          <w:rFonts w:hint="eastAsia" w:ascii="宋体" w:hAnsi="宋体" w:eastAsia="宋体" w:cs="宋体"/>
          <w:color w:val="auto"/>
          <w:szCs w:val="21"/>
        </w:rPr>
        <w:t>（无不良记录，以中标、成交通知书或签订的销售合同为准，并能清晰反映所销售的货物名称、金额</w:t>
      </w:r>
      <w:r>
        <w:rPr>
          <w:rFonts w:hint="eastAsia" w:ascii="宋体" w:hAnsi="宋体" w:eastAsia="宋体" w:cs="宋体"/>
          <w:color w:val="auto"/>
        </w:rPr>
        <w:t>）</w:t>
      </w:r>
      <w:r>
        <w:rPr>
          <w:rFonts w:hint="eastAsia" w:ascii="宋体" w:hAnsi="宋体" w:eastAsia="宋体" w:cs="宋体"/>
          <w:b/>
          <w:color w:val="auto"/>
        </w:rPr>
        <w:t>（如有，请提供）；</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cs="宋体"/>
          <w:color w:val="auto"/>
          <w:szCs w:val="21"/>
          <w:lang w:val="en-US" w:eastAsia="zh-CN"/>
        </w:rPr>
        <w:t xml:space="preserve">9. </w:t>
      </w:r>
      <w:r>
        <w:rPr>
          <w:rFonts w:hint="eastAsia" w:ascii="宋体" w:hAnsi="宋体" w:eastAsia="宋体" w:cs="宋体"/>
          <w:color w:val="auto"/>
          <w:szCs w:val="21"/>
        </w:rPr>
        <w:t>投标人为生产厂家的，投标人的生产制造设备清单及专业技术能力说明</w:t>
      </w:r>
      <w:r>
        <w:rPr>
          <w:rFonts w:hint="eastAsia" w:ascii="宋体" w:hAnsi="宋体" w:eastAsia="宋体" w:cs="宋体"/>
          <w:b/>
          <w:color w:val="auto"/>
        </w:rPr>
        <w:t>（如有，请提供）</w:t>
      </w:r>
      <w:r>
        <w:rPr>
          <w:rFonts w:hint="eastAsia" w:ascii="宋体" w:hAnsi="宋体" w:eastAsia="宋体" w:cs="宋体"/>
          <w:color w:val="auto"/>
        </w:rPr>
        <w:t>；</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rPr>
      </w:pPr>
      <w:r>
        <w:rPr>
          <w:rFonts w:hint="eastAsia" w:ascii="宋体" w:hAnsi="宋体" w:cs="宋体"/>
          <w:color w:val="auto"/>
          <w:szCs w:val="20"/>
          <w:lang w:val="en-US" w:eastAsia="zh-CN"/>
        </w:rPr>
        <w:t xml:space="preserve">10. </w:t>
      </w:r>
      <w:r>
        <w:rPr>
          <w:rFonts w:hint="eastAsia" w:ascii="宋体" w:hAnsi="宋体" w:eastAsia="宋体" w:cs="宋体"/>
          <w:color w:val="auto"/>
          <w:szCs w:val="20"/>
        </w:rPr>
        <w:t>投标人相关获奖证书、认证证书等复印件</w:t>
      </w:r>
      <w:r>
        <w:rPr>
          <w:rFonts w:hint="eastAsia" w:ascii="宋体" w:hAnsi="宋体" w:eastAsia="宋体" w:cs="宋体"/>
          <w:b/>
          <w:color w:val="auto"/>
        </w:rPr>
        <w:t>（如有，请提供）</w:t>
      </w:r>
      <w:r>
        <w:rPr>
          <w:rFonts w:hint="eastAsia" w:ascii="宋体" w:hAnsi="宋体" w:eastAsia="宋体" w:cs="宋体"/>
          <w:color w:val="auto"/>
          <w:szCs w:val="20"/>
        </w:rPr>
        <w:t>；</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color w:val="auto"/>
        </w:rPr>
      </w:pPr>
      <w:r>
        <w:rPr>
          <w:rFonts w:hint="eastAsia" w:ascii="宋体" w:hAnsi="宋体" w:cs="宋体"/>
          <w:color w:val="auto"/>
          <w:lang w:val="en-US" w:eastAsia="zh-CN"/>
        </w:rPr>
        <w:t xml:space="preserve">11. </w:t>
      </w:r>
      <w:r>
        <w:rPr>
          <w:rFonts w:hint="eastAsia" w:ascii="宋体" w:hAnsi="宋体" w:eastAsia="宋体" w:cs="宋体"/>
          <w:color w:val="auto"/>
        </w:rPr>
        <w:t>投标人所投产品为广西工业产品的，如实提供《广西工业产品声明函》</w:t>
      </w:r>
      <w:r>
        <w:rPr>
          <w:rFonts w:hint="eastAsia" w:ascii="宋体" w:hAnsi="宋体" w:eastAsia="宋体" w:cs="宋体"/>
          <w:b/>
          <w:color w:val="auto"/>
        </w:rPr>
        <w:t>（如有，请提供）</w:t>
      </w:r>
      <w:r>
        <w:rPr>
          <w:rFonts w:hint="eastAsia" w:ascii="宋体" w:hAnsi="宋体" w:eastAsia="宋体" w:cs="宋体"/>
          <w:color w:val="auto"/>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cs="宋体"/>
          <w:color w:val="auto"/>
          <w:lang w:val="en-US" w:eastAsia="zh-CN"/>
        </w:rPr>
        <w:t xml:space="preserve">12. </w:t>
      </w:r>
      <w:r>
        <w:rPr>
          <w:rFonts w:hint="eastAsia" w:ascii="宋体" w:hAnsi="宋体" w:eastAsia="宋体" w:cs="宋体"/>
          <w:color w:val="auto"/>
        </w:rPr>
        <w:t>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eastAsia="宋体" w:cs="宋体"/>
          <w:b/>
          <w:bCs/>
          <w:color w:val="auto"/>
        </w:rPr>
        <w:t>（如有，请提供）</w:t>
      </w:r>
      <w:r>
        <w:rPr>
          <w:rFonts w:hint="eastAsia" w:ascii="宋体" w:hAnsi="宋体" w:eastAsia="宋体" w:cs="宋体"/>
          <w:color w:val="auto"/>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cs="宋体"/>
          <w:color w:val="auto"/>
          <w:lang w:val="en-US" w:eastAsia="zh-CN"/>
        </w:rPr>
        <w:t xml:space="preserve">13. </w:t>
      </w:r>
      <w:r>
        <w:rPr>
          <w:rFonts w:hint="eastAsia" w:ascii="宋体" w:hAnsi="宋体" w:eastAsia="宋体" w:cs="宋体"/>
          <w:color w:val="auto"/>
        </w:rPr>
        <w:t>如产品属于监狱企业的，以提供由省级以上监狱管理局、戒毒管理局（含新疆生产建设兵团）出具的属于监狱企业的证明文件为准</w:t>
      </w:r>
      <w:r>
        <w:rPr>
          <w:rFonts w:hint="eastAsia" w:ascii="宋体" w:hAnsi="宋体" w:eastAsia="宋体" w:cs="宋体"/>
          <w:color w:val="auto"/>
          <w:kern w:val="0"/>
          <w:sz w:val="24"/>
        </w:rPr>
        <w:t>（</w:t>
      </w:r>
      <w:r>
        <w:rPr>
          <w:rFonts w:hint="eastAsia" w:ascii="宋体" w:hAnsi="宋体" w:eastAsia="宋体" w:cs="宋体"/>
          <w:b/>
          <w:color w:val="auto"/>
        </w:rPr>
        <w:t>如有，请提供</w:t>
      </w:r>
      <w:r>
        <w:rPr>
          <w:rFonts w:hint="eastAsia" w:ascii="宋体" w:hAnsi="宋体" w:eastAsia="宋体" w:cs="宋体"/>
          <w:color w:val="auto"/>
          <w:kern w:val="0"/>
          <w:sz w:val="24"/>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lang w:val="en-US" w:eastAsia="zh-CN"/>
        </w:rPr>
        <w:t xml:space="preserve">14. </w:t>
      </w:r>
      <w:r>
        <w:rPr>
          <w:rFonts w:hint="eastAsia" w:ascii="宋体" w:hAnsi="宋体" w:eastAsia="宋体" w:cs="宋体"/>
          <w:color w:val="auto"/>
        </w:rPr>
        <w:t>符合条件的残疾人福利性单位在参加政府采购活动时，应当提供《残疾人福利性单位声明函》（见附件），并对声明的真实性负责</w:t>
      </w:r>
      <w:r>
        <w:rPr>
          <w:rFonts w:hint="eastAsia" w:ascii="宋体" w:hAnsi="宋体" w:cs="宋体"/>
          <w:b/>
          <w:bCs/>
          <w:color w:val="auto"/>
          <w:lang w:eastAsia="zh-CN"/>
        </w:rPr>
        <w:t>（</w:t>
      </w:r>
      <w:r>
        <w:rPr>
          <w:rFonts w:hint="eastAsia" w:ascii="宋体" w:hAnsi="宋体" w:cs="宋体"/>
          <w:b/>
          <w:bCs/>
          <w:color w:val="auto"/>
          <w:lang w:val="en-US" w:eastAsia="zh-CN"/>
        </w:rPr>
        <w:t>如有，请提供</w:t>
      </w:r>
      <w:r>
        <w:rPr>
          <w:rFonts w:hint="eastAsia" w:ascii="宋体" w:hAnsi="宋体" w:cs="宋体"/>
          <w:b/>
          <w:bCs/>
          <w:color w:val="auto"/>
          <w:lang w:eastAsia="zh-CN"/>
        </w:rPr>
        <w:t>）；</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 xml:space="preserve">15. </w:t>
      </w:r>
      <w:r>
        <w:rPr>
          <w:rFonts w:hint="eastAsia" w:ascii="宋体" w:hAnsi="宋体" w:eastAsia="宋体" w:cs="宋体"/>
          <w:color w:val="auto"/>
          <w:szCs w:val="21"/>
        </w:rPr>
        <w:t>投标人可结合本项目的评标办法视自身情况自行提交相关证明材料</w:t>
      </w:r>
      <w:r>
        <w:rPr>
          <w:rFonts w:hint="eastAsia" w:ascii="宋体" w:hAnsi="宋体" w:eastAsia="宋体" w:cs="宋体"/>
          <w:b/>
          <w:color w:val="auto"/>
        </w:rPr>
        <w:t>（如有，请提供）</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ind w:firstLine="420" w:firstLineChars="200"/>
        <w:textAlignment w:val="auto"/>
        <w:rPr>
          <w:rFonts w:hint="eastAsia" w:ascii="宋体" w:hAnsi="宋体" w:eastAsia="宋体" w:cs="宋体"/>
          <w:color w:val="auto"/>
        </w:rPr>
      </w:pPr>
      <w:r>
        <w:rPr>
          <w:rFonts w:hint="eastAsia" w:ascii="宋体" w:hAnsi="宋体" w:cs="宋体"/>
          <w:color w:val="auto"/>
          <w:lang w:val="en-US" w:eastAsia="zh-CN"/>
        </w:rPr>
        <w:t xml:space="preserve">16. </w:t>
      </w:r>
      <w:r>
        <w:rPr>
          <w:rFonts w:hint="eastAsia" w:ascii="宋体" w:hAnsi="宋体" w:eastAsia="宋体" w:cs="宋体"/>
          <w:color w:val="auto"/>
        </w:rPr>
        <w:t>项目</w:t>
      </w:r>
      <w:r>
        <w:rPr>
          <w:rFonts w:hint="eastAsia" w:ascii="宋体" w:hAnsi="宋体" w:cs="宋体"/>
          <w:color w:val="auto"/>
          <w:lang w:val="en-US" w:eastAsia="zh-CN"/>
        </w:rPr>
        <w:t>配送、安装方案</w:t>
      </w:r>
      <w:r>
        <w:rPr>
          <w:rFonts w:hint="eastAsia" w:ascii="宋体" w:hAnsi="宋体" w:eastAsia="宋体" w:cs="宋体"/>
          <w:b/>
          <w:color w:val="auto"/>
        </w:rPr>
        <w:t>（如有，请提供）</w:t>
      </w:r>
      <w:r>
        <w:rPr>
          <w:rFonts w:hint="eastAsia" w:ascii="宋体" w:hAnsi="宋体" w:eastAsia="宋体" w:cs="宋体"/>
          <w:color w:val="auto"/>
          <w:szCs w:val="21"/>
        </w:rPr>
        <w:t>。</w:t>
      </w:r>
    </w:p>
    <w:p>
      <w:pPr>
        <w:spacing w:line="400" w:lineRule="exact"/>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b/>
          <w:bCs/>
          <w:color w:val="auto"/>
          <w:sz w:val="32"/>
          <w:szCs w:val="32"/>
          <w:lang w:eastAsia="zh-CN"/>
        </w:rPr>
      </w:pPr>
      <w:r>
        <w:rPr>
          <w:rFonts w:hint="eastAsia"/>
          <w:b/>
          <w:bCs/>
          <w:color w:val="auto"/>
          <w:sz w:val="32"/>
          <w:szCs w:val="32"/>
          <w:lang w:eastAsia="zh-CN"/>
        </w:rPr>
        <w:t>一、投标报价表</w:t>
      </w:r>
    </w:p>
    <w:p>
      <w:pPr>
        <w:pStyle w:val="15"/>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auto"/>
          <w:kern w:val="2"/>
          <w:sz w:val="32"/>
          <w:szCs w:val="24"/>
          <w:lang w:val="en-US" w:eastAsia="zh-CN" w:bidi="ar-SA"/>
        </w:rPr>
      </w:pPr>
      <w:r>
        <w:rPr>
          <w:rFonts w:hint="eastAsia" w:ascii="宋体" w:hAnsi="宋体" w:eastAsia="宋体" w:cs="宋体"/>
          <w:b/>
          <w:color w:val="auto"/>
          <w:kern w:val="2"/>
          <w:sz w:val="32"/>
          <w:szCs w:val="24"/>
          <w:lang w:val="en-US" w:eastAsia="zh-CN" w:bidi="ar-SA"/>
        </w:rPr>
        <w:t>投标报价表（格式）（可根据项目类别进行调整）</w:t>
      </w:r>
    </w:p>
    <w:p>
      <w:pPr>
        <w:rPr>
          <w:rFonts w:hint="eastAsia"/>
          <w:color w:val="auto"/>
        </w:rPr>
      </w:pPr>
    </w:p>
    <w:p>
      <w:pPr>
        <w:pStyle w:val="15"/>
        <w:spacing w:line="300" w:lineRule="exact"/>
        <w:ind w:firstLine="551" w:firstLineChars="196"/>
        <w:rPr>
          <w:rFonts w:hint="eastAsia" w:hAnsi="宋体"/>
          <w:b/>
          <w:color w:val="auto"/>
          <w:sz w:val="28"/>
          <w:szCs w:val="28"/>
        </w:rPr>
      </w:pPr>
      <w:r>
        <w:rPr>
          <w:rFonts w:hint="eastAsia" w:hAnsi="宋体"/>
          <w:b/>
          <w:color w:val="auto"/>
          <w:sz w:val="28"/>
          <w:szCs w:val="28"/>
        </w:rPr>
        <w:t>分标</w:t>
      </w:r>
    </w:p>
    <w:tbl>
      <w:tblPr>
        <w:tblStyle w:val="26"/>
        <w:tblW w:w="99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2"/>
        <w:gridCol w:w="1774"/>
        <w:gridCol w:w="1411"/>
        <w:gridCol w:w="954"/>
        <w:gridCol w:w="1398"/>
        <w:gridCol w:w="1228"/>
        <w:gridCol w:w="804"/>
        <w:gridCol w:w="1376"/>
        <w:gridCol w:w="5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项号</w:t>
            </w: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rPr>
            </w:pPr>
            <w:r>
              <w:rPr>
                <w:rFonts w:hint="eastAsia" w:ascii="宋体" w:hAnsi="宋体"/>
                <w:color w:val="auto"/>
              </w:rPr>
              <w:t>货物名称</w:t>
            </w:r>
          </w:p>
        </w:tc>
        <w:tc>
          <w:tcPr>
            <w:tcW w:w="14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auto"/>
              </w:rPr>
            </w:pPr>
            <w:r>
              <w:rPr>
                <w:rFonts w:hint="eastAsia" w:ascii="宋体" w:hAnsi="宋体"/>
                <w:color w:val="auto"/>
              </w:rPr>
              <w:t>生产厂家</w:t>
            </w: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szCs w:val="21"/>
              </w:rPr>
              <w:t>品牌、规格型号</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数量</w:t>
            </w:r>
          </w:p>
          <w:p>
            <w:pPr>
              <w:spacing w:line="300" w:lineRule="exact"/>
              <w:jc w:val="center"/>
              <w:rPr>
                <w:rFonts w:hint="eastAsia" w:ascii="宋体" w:hAnsi="宋体"/>
                <w:color w:val="auto"/>
              </w:rPr>
            </w:pPr>
            <w:r>
              <w:rPr>
                <w:rFonts w:hint="eastAsia" w:ascii="宋体" w:hAnsi="宋体"/>
                <w:color w:val="auto"/>
                <w:szCs w:val="21"/>
              </w:rPr>
              <w:t>①</w:t>
            </w:r>
          </w:p>
        </w:tc>
        <w:tc>
          <w:tcPr>
            <w:tcW w:w="12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单位</w:t>
            </w: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单价</w:t>
            </w:r>
          </w:p>
          <w:p>
            <w:pPr>
              <w:spacing w:line="300" w:lineRule="exact"/>
              <w:jc w:val="center"/>
              <w:rPr>
                <w:rFonts w:hint="eastAsia" w:ascii="宋体" w:hAnsi="宋体"/>
                <w:color w:val="auto"/>
              </w:rPr>
            </w:pPr>
            <w:r>
              <w:rPr>
                <w:rFonts w:hint="eastAsia" w:ascii="宋体" w:hAnsi="宋体"/>
                <w:color w:val="auto"/>
                <w:szCs w:val="21"/>
              </w:rPr>
              <w:t>②</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单项合计=数量×单价</w:t>
            </w:r>
          </w:p>
          <w:p>
            <w:pPr>
              <w:spacing w:line="300" w:lineRule="exact"/>
              <w:jc w:val="center"/>
              <w:rPr>
                <w:rFonts w:hint="eastAsia" w:ascii="宋体" w:hAnsi="宋体"/>
                <w:color w:val="auto"/>
              </w:rPr>
            </w:pPr>
            <w:r>
              <w:rPr>
                <w:rFonts w:hint="eastAsia" w:ascii="宋体" w:hAnsi="宋体"/>
                <w:color w:val="auto"/>
                <w:szCs w:val="21"/>
              </w:rPr>
              <w:t>③＝①×②</w:t>
            </w:r>
          </w:p>
        </w:tc>
        <w:tc>
          <w:tcPr>
            <w:tcW w:w="567" w:type="dxa"/>
            <w:tcBorders>
              <w:bottom w:val="single" w:color="auto" w:sz="4" w:space="0"/>
            </w:tcBorders>
            <w:vAlign w:val="center"/>
          </w:tcPr>
          <w:p>
            <w:pPr>
              <w:spacing w:line="300" w:lineRule="exact"/>
              <w:jc w:val="center"/>
              <w:rPr>
                <w:rFonts w:hint="eastAsia"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auto"/>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N</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rPr>
            </w:pPr>
            <w:r>
              <w:rPr>
                <w:rFonts w:ascii="宋体" w:hAnsi="宋体" w:cs="宋体"/>
                <w:color w:val="auto"/>
                <w:szCs w:val="21"/>
              </w:rPr>
              <w:t>…</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rPr>
            </w:pPr>
            <w:r>
              <w:rPr>
                <w:rFonts w:ascii="宋体" w:hAnsi="宋体" w:cs="宋体"/>
                <w:color w:val="auto"/>
                <w:szCs w:val="21"/>
              </w:rPr>
              <w:t>…</w:t>
            </w: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hint="eastAsia" w:ascii="宋体" w:hAnsi="宋体" w:cs="宋体"/>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auto"/>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54" w:type="dxa"/>
            <w:gridSpan w:val="9"/>
            <w:tcBorders>
              <w:top w:val="single" w:color="auto" w:sz="4" w:space="0"/>
              <w:left w:val="single" w:color="auto" w:sz="4" w:space="0"/>
              <w:bottom w:val="single" w:color="auto" w:sz="4" w:space="0"/>
            </w:tcBorders>
            <w:vAlign w:val="center"/>
          </w:tcPr>
          <w:p>
            <w:pPr>
              <w:spacing w:line="300" w:lineRule="exact"/>
              <w:rPr>
                <w:rFonts w:hint="eastAsia" w:ascii="宋体" w:hAnsi="宋体"/>
                <w:b/>
                <w:bCs/>
                <w:color w:val="auto"/>
              </w:rPr>
            </w:pPr>
            <w:r>
              <w:rPr>
                <w:rFonts w:hint="eastAsia" w:ascii="宋体" w:hAnsi="宋体"/>
                <w:color w:val="auto"/>
                <w:spacing w:val="-6"/>
              </w:rPr>
              <w:t>投标总</w:t>
            </w:r>
            <w:r>
              <w:rPr>
                <w:rFonts w:ascii="宋体" w:hAnsi="宋体"/>
                <w:color w:val="auto"/>
                <w:spacing w:val="-6"/>
              </w:rPr>
              <w:t xml:space="preserve">报价（大写）：                                     </w:t>
            </w:r>
            <w:r>
              <w:rPr>
                <w:rFonts w:hint="eastAsia" w:ascii="宋体" w:hAnsi="宋体"/>
                <w:color w:val="auto"/>
                <w:spacing w:val="-6"/>
              </w:rPr>
              <w:t xml:space="preserve">                          </w:t>
            </w:r>
            <w:r>
              <w:rPr>
                <w:rFonts w:ascii="宋体" w:hAnsi="宋体"/>
                <w:color w:val="auto"/>
                <w:spacing w:val="-6"/>
              </w:rPr>
              <w:t xml:space="preserve">  </w:t>
            </w:r>
            <w:r>
              <w:rPr>
                <w:rFonts w:hint="eastAsia" w:ascii="宋体" w:hAnsi="宋体"/>
                <w:color w:val="auto"/>
                <w:spacing w:val="-6"/>
              </w:rPr>
              <w:t>元</w:t>
            </w:r>
            <w:r>
              <w:rPr>
                <w:rFonts w:ascii="宋体" w:hAnsi="宋体"/>
                <w:color w:val="auto"/>
                <w:spacing w:val="-6"/>
              </w:rPr>
              <w:t>人民币（</w:t>
            </w:r>
            <w:r>
              <w:rPr>
                <w:rFonts w:hint="eastAsia" w:ascii="宋体" w:hAnsi="宋体"/>
                <w:color w:val="auto"/>
                <w:spacing w:val="-6"/>
                <w:lang w:val="en-US" w:eastAsia="zh-CN"/>
              </w:rPr>
              <w:t>¥</w:t>
            </w:r>
            <w:r>
              <w:rPr>
                <w:rFonts w:ascii="宋体" w:hAnsi="宋体"/>
                <w:color w:val="auto"/>
                <w:spacing w:val="-6"/>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54" w:type="dxa"/>
            <w:gridSpan w:val="9"/>
            <w:tcBorders>
              <w:top w:val="single" w:color="auto" w:sz="4" w:space="0"/>
              <w:left w:val="single" w:color="auto" w:sz="4" w:space="0"/>
              <w:bottom w:val="single" w:color="auto" w:sz="4" w:space="0"/>
            </w:tcBorders>
            <w:vAlign w:val="center"/>
          </w:tcPr>
          <w:p>
            <w:pPr>
              <w:spacing w:line="300" w:lineRule="exact"/>
              <w:rPr>
                <w:rFonts w:hint="eastAsia" w:ascii="宋体" w:hAnsi="宋体"/>
                <w:color w:val="auto"/>
                <w:spacing w:val="-6"/>
              </w:rPr>
            </w:pPr>
            <w:r>
              <w:rPr>
                <w:rFonts w:hint="eastAsia" w:ascii="宋体" w:hAnsi="宋体"/>
                <w:color w:val="auto"/>
                <w:spacing w:val="-6"/>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54" w:type="dxa"/>
            <w:gridSpan w:val="9"/>
            <w:tcBorders>
              <w:top w:val="single" w:color="auto" w:sz="4" w:space="0"/>
              <w:left w:val="single" w:color="auto" w:sz="4" w:space="0"/>
              <w:bottom w:val="single" w:color="auto" w:sz="4" w:space="0"/>
            </w:tcBorders>
            <w:vAlign w:val="center"/>
          </w:tcPr>
          <w:p>
            <w:pPr>
              <w:spacing w:line="300" w:lineRule="exact"/>
              <w:rPr>
                <w:rFonts w:hint="eastAsia" w:ascii="宋体" w:hAnsi="宋体"/>
                <w:color w:val="auto"/>
                <w:spacing w:val="-6"/>
              </w:rPr>
            </w:pPr>
            <w:r>
              <w:rPr>
                <w:rFonts w:hint="eastAsia" w:ascii="宋体" w:hAnsi="宋体"/>
                <w:color w:val="auto"/>
                <w:spacing w:val="-6"/>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9954" w:type="dxa"/>
            <w:gridSpan w:val="9"/>
            <w:tcBorders>
              <w:top w:val="single" w:color="auto" w:sz="4" w:space="0"/>
              <w:left w:val="single" w:color="auto" w:sz="4" w:space="0"/>
              <w:bottom w:val="single" w:color="auto" w:sz="4" w:space="0"/>
            </w:tcBorders>
            <w:vAlign w:val="center"/>
          </w:tcPr>
          <w:p>
            <w:pPr>
              <w:spacing w:line="340" w:lineRule="exact"/>
              <w:rPr>
                <w:rFonts w:hint="eastAsia" w:ascii="宋体" w:hAnsi="宋体"/>
                <w:color w:val="auto"/>
                <w:spacing w:val="-6"/>
                <w:szCs w:val="21"/>
              </w:rPr>
            </w:pPr>
            <w:r>
              <w:rPr>
                <w:rFonts w:hint="eastAsia" w:ascii="宋体" w:hAnsi="宋体"/>
                <w:color w:val="auto"/>
                <w:spacing w:val="-6"/>
                <w:szCs w:val="21"/>
              </w:rPr>
              <w:t>其中：属于《</w:t>
            </w:r>
            <w:r>
              <w:rPr>
                <w:rFonts w:ascii="宋体" w:hAnsi="宋体"/>
                <w:color w:val="auto"/>
                <w:spacing w:val="-6"/>
                <w:szCs w:val="21"/>
              </w:rPr>
              <w:t>节能</w:t>
            </w:r>
            <w:r>
              <w:rPr>
                <w:rFonts w:hint="eastAsia" w:ascii="宋体" w:hAnsi="宋体"/>
                <w:color w:val="auto"/>
                <w:spacing w:val="-6"/>
                <w:szCs w:val="21"/>
              </w:rPr>
              <w:t>产品政府采购</w:t>
            </w:r>
            <w:r>
              <w:rPr>
                <w:rFonts w:ascii="宋体" w:hAnsi="宋体"/>
                <w:color w:val="auto"/>
                <w:spacing w:val="-6"/>
                <w:szCs w:val="21"/>
              </w:rPr>
              <w:t>清单</w:t>
            </w:r>
            <w:r>
              <w:rPr>
                <w:rFonts w:hint="eastAsia" w:ascii="宋体" w:hAnsi="宋体"/>
                <w:color w:val="auto"/>
                <w:spacing w:val="-6"/>
                <w:szCs w:val="21"/>
              </w:rPr>
              <w:t>》目录内产品的总金额为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w:t>
            </w:r>
            <w:r>
              <w:rPr>
                <w:rFonts w:hint="eastAsia" w:ascii="宋体" w:hAnsi="宋体"/>
                <w:color w:val="auto"/>
                <w:spacing w:val="-6"/>
                <w:szCs w:val="21"/>
                <w:lang w:val="en-US" w:eastAsia="zh-CN"/>
              </w:rPr>
              <w:t>¥</w:t>
            </w:r>
            <w:r>
              <w:rPr>
                <w:rFonts w:ascii="宋体" w:hAnsi="宋体"/>
                <w:color w:val="auto"/>
                <w:spacing w:val="-6"/>
                <w:szCs w:val="21"/>
              </w:rPr>
              <w:t xml:space="preserve">         </w:t>
            </w:r>
            <w:r>
              <w:rPr>
                <w:rFonts w:hint="eastAsia" w:ascii="宋体" w:hAnsi="宋体"/>
                <w:color w:val="auto"/>
                <w:spacing w:val="-6"/>
                <w:szCs w:val="21"/>
              </w:rPr>
              <w:t xml:space="preserve">   </w:t>
            </w:r>
            <w:r>
              <w:rPr>
                <w:rFonts w:ascii="宋体" w:hAnsi="宋体"/>
                <w:color w:val="auto"/>
                <w:spacing w:val="-6"/>
                <w:szCs w:val="21"/>
              </w:rPr>
              <w:t>）</w:t>
            </w:r>
            <w:r>
              <w:rPr>
                <w:rFonts w:hint="eastAsia" w:ascii="宋体" w:hAnsi="宋体"/>
                <w:color w:val="auto"/>
                <w:spacing w:val="-6"/>
                <w:szCs w:val="21"/>
              </w:rPr>
              <w:t>；</w:t>
            </w:r>
          </w:p>
          <w:p>
            <w:pPr>
              <w:spacing w:line="340" w:lineRule="exact"/>
              <w:ind w:firstLine="594" w:firstLineChars="300"/>
              <w:rPr>
                <w:rFonts w:hint="eastAsia" w:ascii="宋体" w:hAnsi="宋体"/>
                <w:color w:val="auto"/>
                <w:spacing w:val="-6"/>
                <w:szCs w:val="21"/>
              </w:rPr>
            </w:pPr>
            <w:r>
              <w:rPr>
                <w:rFonts w:hint="eastAsia" w:ascii="宋体" w:hAnsi="宋体"/>
                <w:color w:val="auto"/>
                <w:spacing w:val="-6"/>
                <w:szCs w:val="21"/>
              </w:rPr>
              <w:t>属于《环境标志产品政府采购清单》目录内产品的总金额为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w:t>
            </w:r>
            <w:r>
              <w:rPr>
                <w:rFonts w:hint="eastAsia" w:ascii="宋体" w:hAnsi="宋体"/>
                <w:color w:val="auto"/>
                <w:spacing w:val="-6"/>
                <w:szCs w:val="21"/>
                <w:lang w:val="en-US" w:eastAsia="zh-CN"/>
              </w:rPr>
              <w:t>¥</w:t>
            </w:r>
            <w:r>
              <w:rPr>
                <w:rFonts w:ascii="宋体" w:hAnsi="宋体"/>
                <w:color w:val="auto"/>
                <w:spacing w:val="-6"/>
                <w:szCs w:val="21"/>
              </w:rPr>
              <w:t xml:space="preserve">             ）</w:t>
            </w:r>
            <w:r>
              <w:rPr>
                <w:rFonts w:hint="eastAsia" w:ascii="宋体" w:hAnsi="宋体"/>
                <w:color w:val="auto"/>
                <w:spacing w:val="-6"/>
                <w:szCs w:val="21"/>
              </w:rPr>
              <w:t>。</w:t>
            </w:r>
          </w:p>
          <w:p>
            <w:pPr>
              <w:spacing w:line="340" w:lineRule="exact"/>
              <w:rPr>
                <w:rFonts w:hint="eastAsia" w:ascii="宋体" w:hAnsi="宋体"/>
                <w:b/>
                <w:bCs/>
                <w:color w:val="auto"/>
              </w:rPr>
            </w:pPr>
            <w:r>
              <w:rPr>
                <w:rFonts w:hint="eastAsia" w:ascii="宋体" w:hAnsi="宋体"/>
                <w:b/>
                <w:color w:val="auto"/>
                <w:spacing w:val="-6"/>
                <w:szCs w:val="21"/>
              </w:rPr>
              <w:t>备注：若不属于《</w:t>
            </w:r>
            <w:r>
              <w:rPr>
                <w:rFonts w:ascii="宋体" w:hAnsi="宋体"/>
                <w:b/>
                <w:color w:val="auto"/>
                <w:spacing w:val="-6"/>
                <w:szCs w:val="21"/>
              </w:rPr>
              <w:t>节能</w:t>
            </w:r>
            <w:r>
              <w:rPr>
                <w:rFonts w:hint="eastAsia" w:ascii="宋体" w:hAnsi="宋体"/>
                <w:b/>
                <w:color w:val="auto"/>
                <w:spacing w:val="-6"/>
                <w:szCs w:val="21"/>
              </w:rPr>
              <w:t>产品政府采购</w:t>
            </w:r>
            <w:r>
              <w:rPr>
                <w:rFonts w:ascii="宋体" w:hAnsi="宋体"/>
                <w:b/>
                <w:color w:val="auto"/>
                <w:spacing w:val="-6"/>
                <w:szCs w:val="21"/>
              </w:rPr>
              <w:t>清单</w:t>
            </w:r>
            <w:r>
              <w:rPr>
                <w:rFonts w:hint="eastAsia" w:ascii="宋体" w:hAnsi="宋体"/>
                <w:b/>
                <w:color w:val="auto"/>
                <w:spacing w:val="-6"/>
                <w:szCs w:val="21"/>
              </w:rPr>
              <w:t>》及《环境标志产品政府采购清单》目录内产品的，则该处填写“无”字样。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9954" w:type="dxa"/>
            <w:gridSpan w:val="9"/>
            <w:tcBorders>
              <w:top w:val="single" w:color="auto" w:sz="4" w:space="0"/>
              <w:left w:val="single" w:color="auto" w:sz="4" w:space="0"/>
              <w:bottom w:val="single" w:color="auto" w:sz="4" w:space="0"/>
            </w:tcBorders>
            <w:vAlign w:val="center"/>
          </w:tcPr>
          <w:p>
            <w:pPr>
              <w:spacing w:line="340" w:lineRule="exact"/>
              <w:rPr>
                <w:rFonts w:hint="eastAsia" w:ascii="宋体" w:hAnsi="宋体"/>
                <w:b/>
                <w:bCs/>
                <w:color w:val="auto"/>
              </w:rPr>
            </w:pPr>
            <w:r>
              <w:rPr>
                <w:rFonts w:hint="eastAsia" w:ascii="宋体" w:hAnsi="宋体"/>
                <w:color w:val="auto"/>
              </w:rPr>
              <w:t>说明：投标报价指</w:t>
            </w:r>
            <w:r>
              <w:rPr>
                <w:rFonts w:hint="eastAsia" w:ascii="宋体" w:hAnsi="宋体"/>
                <w:color w:val="auto"/>
                <w:szCs w:val="21"/>
              </w:rPr>
              <w:t>本次招标采购范围内货物价款、</w:t>
            </w:r>
            <w:r>
              <w:rPr>
                <w:rFonts w:hint="eastAsia" w:ascii="宋体" w:hAnsi="宋体" w:cs="Courier New"/>
                <w:color w:val="auto"/>
                <w:szCs w:val="21"/>
              </w:rPr>
              <w:t>货物随配标准附件、</w:t>
            </w:r>
            <w:r>
              <w:rPr>
                <w:rFonts w:hint="eastAsia" w:ascii="宋体" w:hAnsi="宋体"/>
                <w:color w:val="auto"/>
                <w:szCs w:val="21"/>
              </w:rPr>
              <w:t>包装、运输、装卸、保险、税金、货到位以及安装、安装所需辅材、调试、检验、售后服务、培训、保修</w:t>
            </w:r>
            <w:r>
              <w:rPr>
                <w:rFonts w:hint="eastAsia" w:ascii="宋体" w:hAnsi="宋体" w:cs="Courier New"/>
                <w:color w:val="auto"/>
                <w:szCs w:val="21"/>
              </w:rPr>
              <w:t>及其他所有成本费用的总和</w:t>
            </w:r>
            <w:r>
              <w:rPr>
                <w:rFonts w:hint="eastAsia" w:ascii="宋体" w:hAnsi="宋体"/>
                <w:color w:val="auto"/>
                <w:szCs w:val="21"/>
              </w:rPr>
              <w:t>；</w:t>
            </w:r>
            <w:r>
              <w:rPr>
                <w:rFonts w:hint="eastAsia" w:ascii="宋体" w:hAnsi="宋体"/>
                <w:color w:val="auto"/>
              </w:rPr>
              <w:t>投标人综合考虑在报价中。</w:t>
            </w:r>
          </w:p>
        </w:tc>
      </w:tr>
    </w:tbl>
    <w:p>
      <w:pPr>
        <w:spacing w:line="340" w:lineRule="exact"/>
        <w:rPr>
          <w:rFonts w:hint="eastAsia" w:ascii="宋体" w:hAnsi="宋体"/>
          <w:color w:val="auto"/>
          <w:szCs w:val="21"/>
        </w:rPr>
      </w:pPr>
    </w:p>
    <w:p>
      <w:pPr>
        <w:spacing w:line="340" w:lineRule="exact"/>
        <w:rPr>
          <w:rFonts w:hint="eastAsia" w:ascii="宋体" w:hAnsi="宋体"/>
          <w:color w:val="auto"/>
          <w:szCs w:val="21"/>
          <w:u w:val="single"/>
        </w:rPr>
      </w:pPr>
      <w:r>
        <w:rPr>
          <w:rFonts w:hint="eastAsia" w:ascii="宋体" w:hAnsi="宋体"/>
          <w:color w:val="auto"/>
          <w:szCs w:val="21"/>
        </w:rPr>
        <w:t>投标人（公章，自然人除外）：</w:t>
      </w:r>
      <w:r>
        <w:rPr>
          <w:rFonts w:hint="eastAsia" w:ascii="宋体" w:hAnsi="宋体"/>
          <w:color w:val="auto"/>
          <w:szCs w:val="21"/>
          <w:u w:val="single"/>
        </w:rPr>
        <w:t xml:space="preserve">                                        </w:t>
      </w:r>
    </w:p>
    <w:p>
      <w:pPr>
        <w:tabs>
          <w:tab w:val="left" w:pos="1305"/>
        </w:tabs>
        <w:spacing w:line="340" w:lineRule="exact"/>
        <w:ind w:firstLine="205" w:firstLineChars="98"/>
        <w:rPr>
          <w:rFonts w:hint="eastAsia" w:ascii="宋体" w:hAnsi="宋体"/>
          <w:color w:val="auto"/>
          <w:szCs w:val="21"/>
          <w:u w:val="single"/>
        </w:rPr>
      </w:pPr>
      <w:r>
        <w:rPr>
          <w:rFonts w:hint="eastAsia" w:hAnsi="宋体"/>
          <w:color w:val="auto"/>
        </w:rPr>
        <w:t>法定代表人、负责人、自然人或相应的委托代理人签字或盖章（属自然人的应在签名处加盖食指指印）：</w:t>
      </w:r>
      <w:r>
        <w:rPr>
          <w:rFonts w:hint="eastAsia" w:ascii="宋体" w:hAnsi="宋体"/>
          <w:color w:val="auto"/>
          <w:szCs w:val="21"/>
          <w:u w:val="single"/>
        </w:rPr>
        <w:t xml:space="preserve"> </w:t>
      </w:r>
    </w:p>
    <w:p>
      <w:pPr>
        <w:tabs>
          <w:tab w:val="left" w:pos="1305"/>
        </w:tabs>
        <w:spacing w:line="340" w:lineRule="exact"/>
        <w:ind w:firstLine="205" w:firstLineChars="98"/>
        <w:rPr>
          <w:rFonts w:hint="default" w:ascii="宋体" w:hAnsi="宋体" w:eastAsia="宋体"/>
          <w:color w:val="auto"/>
          <w:szCs w:val="21"/>
          <w:u w:val="single"/>
          <w:lang w:val="en-US" w:eastAsia="zh-CN"/>
        </w:rPr>
      </w:pPr>
      <w:r>
        <w:rPr>
          <w:rFonts w:hint="eastAsia" w:ascii="宋体" w:hAnsi="宋体"/>
          <w:color w:val="auto"/>
          <w:szCs w:val="21"/>
          <w:u w:val="single"/>
          <w:lang w:val="en-US" w:eastAsia="zh-CN"/>
        </w:rPr>
        <w:t xml:space="preserve">                  </w:t>
      </w:r>
    </w:p>
    <w:p>
      <w:pPr>
        <w:tabs>
          <w:tab w:val="left" w:pos="1305"/>
        </w:tabs>
        <w:spacing w:line="340" w:lineRule="exact"/>
        <w:ind w:firstLine="205" w:firstLineChars="98"/>
        <w:rPr>
          <w:rFonts w:hint="eastAsia" w:ascii="宋体" w:hAnsi="宋体"/>
          <w:bCs/>
          <w:color w:val="auto"/>
          <w:szCs w:val="21"/>
        </w:rPr>
      </w:pPr>
      <w:r>
        <w:rPr>
          <w:rFonts w:hint="eastAsia" w:ascii="宋体" w:hAnsi="宋体"/>
          <w:bCs/>
          <w:color w:val="auto"/>
          <w:szCs w:val="21"/>
        </w:rPr>
        <w:t>注</w:t>
      </w:r>
      <w:r>
        <w:rPr>
          <w:rFonts w:hint="eastAsia" w:ascii="宋体" w:hAnsi="宋体"/>
          <w:b/>
          <w:bCs/>
          <w:color w:val="auto"/>
          <w:szCs w:val="21"/>
        </w:rPr>
        <w:t>：</w:t>
      </w:r>
      <w:r>
        <w:rPr>
          <w:rFonts w:hint="eastAsia" w:ascii="宋体" w:hAnsi="宋体"/>
          <w:bCs/>
          <w:color w:val="auto"/>
          <w:szCs w:val="21"/>
        </w:rPr>
        <w:t>1.各投标人</w:t>
      </w:r>
      <w:r>
        <w:rPr>
          <w:rFonts w:hint="eastAsia" w:ascii="宋体" w:hAnsi="宋体"/>
          <w:color w:val="auto"/>
          <w:szCs w:val="21"/>
        </w:rPr>
        <w:t>必须就“货物采购需求”中所投分标的所有内容作完整唯一报价，否则，其投标将被拒绝。投标文件只允许有一个报价。</w:t>
      </w:r>
    </w:p>
    <w:p>
      <w:pPr>
        <w:pStyle w:val="15"/>
        <w:spacing w:line="360" w:lineRule="exact"/>
        <w:ind w:firstLine="630" w:firstLineChars="300"/>
        <w:rPr>
          <w:rFonts w:hint="eastAsia" w:hAnsi="宋体"/>
          <w:color w:val="auto"/>
        </w:rPr>
      </w:pPr>
      <w:r>
        <w:rPr>
          <w:rFonts w:hint="eastAsia" w:hAnsi="宋体"/>
          <w:color w:val="auto"/>
        </w:rPr>
        <w:t>2.投标人应根据所投货物如实填写投标报价表</w:t>
      </w:r>
      <w:r>
        <w:rPr>
          <w:rFonts w:hint="eastAsia" w:hAnsi="宋体"/>
          <w:bCs/>
          <w:color w:val="auto"/>
          <w:szCs w:val="21"/>
        </w:rPr>
        <w:t>的各项内容。</w:t>
      </w:r>
    </w:p>
    <w:p>
      <w:pPr>
        <w:pStyle w:val="15"/>
        <w:spacing w:line="400" w:lineRule="exact"/>
        <w:ind w:left="630" w:leftChars="300"/>
        <w:rPr>
          <w:rFonts w:hint="eastAsia" w:hAnsi="宋体"/>
          <w:b/>
          <w:bCs/>
          <w:color w:val="auto"/>
          <w:szCs w:val="21"/>
        </w:rPr>
      </w:pPr>
      <w:r>
        <w:rPr>
          <w:rFonts w:hint="eastAsia"/>
          <w:color w:val="auto"/>
        </w:rPr>
        <w:t>3.投标报价表须由法定代表人负责人、自然人或相应的委托代理人签字</w:t>
      </w:r>
      <w:r>
        <w:rPr>
          <w:rFonts w:hint="eastAsia" w:hAnsi="宋体"/>
          <w:color w:val="auto"/>
        </w:rPr>
        <w:t>或盖章（属自然人的应在签名处加盖食指指印）</w:t>
      </w:r>
      <w:r>
        <w:rPr>
          <w:rFonts w:hint="eastAsia"/>
          <w:color w:val="auto"/>
        </w:rPr>
        <w:t>并加盖投标人公章（自然人除外）。</w:t>
      </w:r>
      <w:r>
        <w:rPr>
          <w:rFonts w:hint="eastAsia"/>
          <w:b/>
          <w:color w:val="auto"/>
        </w:rPr>
        <w:t>当本表由多页构成时，需逐页加盖投标人公章（属自然人的须逐页签字）。</w:t>
      </w:r>
    </w:p>
    <w:p>
      <w:pPr>
        <w:rPr>
          <w:rFonts w:hint="eastAsia" w:ascii="宋体" w:hAnsi="宋体" w:eastAsia="宋体" w:cs="宋体"/>
          <w:b/>
          <w:bCs/>
          <w:color w:val="auto"/>
          <w:sz w:val="32"/>
          <w:szCs w:val="32"/>
        </w:rPr>
      </w:pPr>
      <w:r>
        <w:rPr>
          <w:rFonts w:hint="eastAsia" w:ascii="宋体" w:hAnsi="宋体"/>
          <w:bCs/>
          <w:color w:val="auto"/>
          <w:szCs w:val="21"/>
        </w:rPr>
        <w:t>4.如投标的全部或部分产品属于《</w:t>
      </w:r>
      <w:r>
        <w:rPr>
          <w:rFonts w:ascii="宋体" w:hAnsi="宋体"/>
          <w:bCs/>
          <w:color w:val="auto"/>
          <w:szCs w:val="21"/>
        </w:rPr>
        <w:t>节能</w:t>
      </w:r>
      <w:r>
        <w:rPr>
          <w:rFonts w:hint="eastAsia" w:ascii="宋体" w:hAnsi="宋体"/>
          <w:bCs/>
          <w:color w:val="auto"/>
          <w:szCs w:val="21"/>
        </w:rPr>
        <w:t>产品政府采购</w:t>
      </w:r>
      <w:r>
        <w:rPr>
          <w:rFonts w:ascii="宋体" w:hAnsi="宋体"/>
          <w:bCs/>
          <w:color w:val="auto"/>
          <w:szCs w:val="21"/>
        </w:rPr>
        <w:t>清单</w:t>
      </w:r>
      <w:r>
        <w:rPr>
          <w:rFonts w:hint="eastAsia" w:ascii="宋体" w:hAnsi="宋体"/>
          <w:bCs/>
          <w:color w:val="auto"/>
          <w:szCs w:val="21"/>
        </w:rPr>
        <w:t>》或《环境标志产品政府采购清单》目录范围</w:t>
      </w:r>
      <w:r>
        <w:rPr>
          <w:rFonts w:ascii="宋体" w:hAnsi="宋体"/>
          <w:bCs/>
          <w:color w:val="auto"/>
          <w:szCs w:val="21"/>
        </w:rPr>
        <w:t>的</w:t>
      </w:r>
      <w:r>
        <w:rPr>
          <w:rFonts w:hint="eastAsia" w:ascii="宋体" w:hAnsi="宋体"/>
          <w:bCs/>
          <w:color w:val="auto"/>
          <w:szCs w:val="21"/>
        </w:rPr>
        <w:t>，投标人应在本表备注栏内写明各分项货物属于节能（或环境标志）产品政府采购清单第几类第几项序号的产品，以便评标委员会作为优先采购或评分的依据。</w:t>
      </w:r>
      <w:r>
        <w:rPr>
          <w:rFonts w:hint="eastAsia" w:ascii="宋体" w:hAnsi="宋体" w:eastAsia="宋体" w:cs="宋体"/>
          <w:b/>
          <w:color w:val="auto"/>
          <w:sz w:val="32"/>
          <w:szCs w:val="32"/>
        </w:rPr>
        <w:br w:type="page"/>
      </w:r>
      <w:bookmarkStart w:id="246" w:name="_Toc495841787"/>
      <w:bookmarkStart w:id="247" w:name="_Toc27290"/>
      <w:r>
        <w:rPr>
          <w:rFonts w:hint="eastAsia" w:ascii="宋体" w:hAnsi="宋体" w:eastAsia="宋体" w:cs="宋体"/>
          <w:b/>
          <w:bCs/>
          <w:color w:val="auto"/>
          <w:sz w:val="32"/>
          <w:szCs w:val="32"/>
          <w:lang w:eastAsia="zh-CN"/>
        </w:rPr>
        <w:t>二、资格性响应证明材料（格式）</w:t>
      </w:r>
      <w:bookmarkEnd w:id="246"/>
      <w:bookmarkEnd w:id="247"/>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48" w:name="_Toc495841788"/>
      <w:bookmarkStart w:id="249" w:name="_Toc11828"/>
      <w:r>
        <w:rPr>
          <w:rFonts w:hint="eastAsia" w:ascii="宋体" w:hAnsi="宋体" w:eastAsia="宋体" w:cs="宋体"/>
          <w:b/>
          <w:bCs/>
          <w:color w:val="auto"/>
          <w:sz w:val="32"/>
          <w:szCs w:val="32"/>
        </w:rPr>
        <w:t>1.投标人相应的法定代表人、负责人、自然人身份证正反面复印件（必须提供）</w:t>
      </w:r>
      <w:bookmarkEnd w:id="248"/>
      <w:bookmarkEnd w:id="249"/>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50" w:name="_Toc11623"/>
      <w:bookmarkStart w:id="251" w:name="_Toc495841789"/>
      <w:r>
        <w:rPr>
          <w:rFonts w:hint="eastAsia" w:ascii="宋体" w:hAnsi="宋体" w:eastAsia="宋体" w:cs="宋体"/>
          <w:b/>
          <w:bCs/>
          <w:color w:val="auto"/>
          <w:sz w:val="32"/>
          <w:szCs w:val="32"/>
          <w:lang w:val="en-US" w:eastAsia="zh-CN"/>
        </w:rPr>
        <w:t>2.</w:t>
      </w:r>
      <w:r>
        <w:rPr>
          <w:rFonts w:hint="eastAsia" w:ascii="宋体" w:hAnsi="宋体" w:eastAsia="宋体" w:cs="宋体"/>
          <w:b/>
          <w:bCs/>
          <w:color w:val="auto"/>
          <w:sz w:val="32"/>
          <w:szCs w:val="32"/>
        </w:rPr>
        <w:t>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委托代理时必须提供；）</w:t>
      </w:r>
      <w:bookmarkEnd w:id="250"/>
      <w:bookmarkEnd w:id="251"/>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jc w:val="both"/>
        <w:rPr>
          <w:rFonts w:hint="eastAsia" w:ascii="宋体" w:hAnsi="宋体" w:eastAsia="宋体" w:cs="宋体"/>
          <w:b/>
          <w:color w:val="auto"/>
          <w:sz w:val="32"/>
        </w:rPr>
      </w:pPr>
    </w:p>
    <w:p>
      <w:pPr>
        <w:jc w:val="center"/>
        <w:rPr>
          <w:rFonts w:hint="eastAsia" w:ascii="宋体" w:hAnsi="宋体" w:eastAsia="宋体" w:cs="宋体"/>
          <w:b/>
          <w:color w:val="auto"/>
          <w:sz w:val="32"/>
        </w:rPr>
      </w:pPr>
      <w:r>
        <w:rPr>
          <w:rFonts w:hint="eastAsia" w:ascii="宋体" w:hAnsi="宋体" w:eastAsia="宋体" w:cs="宋体"/>
          <w:b/>
          <w:color w:val="auto"/>
          <w:sz w:val="32"/>
        </w:rPr>
        <w:t>授权委托书（格式一）</w:t>
      </w:r>
    </w:p>
    <w:p>
      <w:pPr>
        <w:snapToGrid w:val="0"/>
        <w:spacing w:line="400" w:lineRule="exact"/>
        <w:rPr>
          <w:rFonts w:hint="eastAsia" w:ascii="宋体" w:hAnsi="宋体" w:eastAsia="宋体" w:cs="宋体"/>
          <w:color w:val="auto"/>
        </w:rPr>
      </w:pPr>
      <w:r>
        <w:rPr>
          <w:rFonts w:hint="eastAsia" w:ascii="宋体" w:hAnsi="宋体" w:eastAsia="宋体" w:cs="宋体"/>
          <w:b/>
          <w:color w:val="auto"/>
          <w:szCs w:val="21"/>
        </w:rPr>
        <w:t>致</w:t>
      </w:r>
      <w:r>
        <w:rPr>
          <w:rFonts w:hint="eastAsia" w:ascii="宋体" w:hAnsi="宋体" w:eastAsia="宋体" w:cs="宋体"/>
          <w:color w:val="auto"/>
          <w:szCs w:val="21"/>
        </w:rPr>
        <w:t>：</w:t>
      </w:r>
      <w:r>
        <w:rPr>
          <w:rFonts w:hint="eastAsia" w:ascii="宋体" w:hAnsi="宋体" w:eastAsia="宋体" w:cs="宋体"/>
          <w:color w:val="auto"/>
          <w:u w:val="single"/>
        </w:rPr>
        <w:t>桂林市政府集中采购中心</w:t>
      </w:r>
    </w:p>
    <w:p>
      <w:pPr>
        <w:spacing w:line="400" w:lineRule="exact"/>
        <w:ind w:firstLine="525" w:firstLineChars="250"/>
        <w:rPr>
          <w:rFonts w:hint="eastAsia" w:ascii="宋体" w:hAnsi="宋体" w:eastAsia="宋体" w:cs="宋体"/>
          <w:color w:val="auto"/>
        </w:rPr>
      </w:pPr>
      <w:r>
        <w:rPr>
          <w:rFonts w:hint="eastAsia" w:ascii="宋体" w:hAnsi="宋体" w:eastAsia="宋体" w:cs="宋体"/>
          <w:color w:val="auto"/>
          <w:kern w:val="0"/>
        </w:rPr>
        <w:t>我</w:t>
      </w:r>
      <w:r>
        <w:rPr>
          <w:rFonts w:hint="eastAsia" w:ascii="宋体" w:hAnsi="宋体" w:eastAsia="宋体" w:cs="宋体"/>
          <w:color w:val="auto"/>
          <w:kern w:val="0"/>
          <w:u w:val="single"/>
        </w:rPr>
        <w:t xml:space="preserve">              </w:t>
      </w:r>
      <w:r>
        <w:rPr>
          <w:rFonts w:hint="eastAsia" w:ascii="宋体" w:hAnsi="宋体" w:eastAsia="宋体" w:cs="宋体"/>
          <w:color w:val="auto"/>
          <w:kern w:val="0"/>
        </w:rPr>
        <w:t>（姓名）系</w:t>
      </w:r>
      <w:r>
        <w:rPr>
          <w:rFonts w:hint="eastAsia" w:ascii="宋体" w:hAnsi="宋体" w:eastAsia="宋体" w:cs="宋体"/>
          <w:color w:val="auto"/>
          <w:kern w:val="0"/>
          <w:u w:val="single"/>
        </w:rPr>
        <w:t xml:space="preserve">                           </w:t>
      </w:r>
      <w:r>
        <w:rPr>
          <w:rFonts w:hint="eastAsia" w:ascii="宋体" w:hAnsi="宋体" w:eastAsia="宋体" w:cs="宋体"/>
          <w:color w:val="auto"/>
          <w:kern w:val="0"/>
        </w:rPr>
        <w:t>（投标人名称）的法定代表人（负责人），现授权委托本单位在职职工</w:t>
      </w:r>
      <w:r>
        <w:rPr>
          <w:rFonts w:hint="eastAsia" w:ascii="宋体" w:hAnsi="宋体" w:eastAsia="宋体" w:cs="宋体"/>
          <w:color w:val="auto"/>
          <w:kern w:val="0"/>
          <w:u w:val="single"/>
        </w:rPr>
        <w:t xml:space="preserve">          </w:t>
      </w:r>
      <w:r>
        <w:rPr>
          <w:rFonts w:hint="eastAsia" w:ascii="宋体" w:hAnsi="宋体" w:eastAsia="宋体" w:cs="宋体"/>
          <w:color w:val="auto"/>
          <w:kern w:val="0"/>
        </w:rPr>
        <w:t>（姓名）</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身份证号码：</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rPr>
        <w:t>以我公司名义参加</w:t>
      </w:r>
      <w:r>
        <w:rPr>
          <w:rFonts w:hint="eastAsia" w:ascii="宋体" w:hAnsi="宋体" w:eastAsia="宋体" w:cs="宋体"/>
          <w:color w:val="auto"/>
          <w:kern w:val="0"/>
          <w:u w:val="single"/>
        </w:rPr>
        <w:t xml:space="preserve">   </w:t>
      </w:r>
      <w:r>
        <w:rPr>
          <w:rFonts w:hint="eastAsia" w:ascii="宋体" w:hAnsi="宋体" w:eastAsia="宋体" w:cs="宋体"/>
          <w:color w:val="auto"/>
          <w:u w:val="single"/>
        </w:rPr>
        <w:t xml:space="preserve">（项目名称及项目编号）    </w:t>
      </w:r>
      <w:r>
        <w:rPr>
          <w:rFonts w:hint="eastAsia" w:ascii="宋体" w:hAnsi="宋体" w:eastAsia="宋体" w:cs="宋体"/>
          <w:color w:val="auto"/>
        </w:rPr>
        <w:t>项目的投标活动，并代表我方全权办理针对上述项目的投标、开标、评标、签约等具体事务和签署相关文件。</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我方对被授权人的签字事项负全部责任。</w:t>
      </w:r>
    </w:p>
    <w:p>
      <w:pPr>
        <w:spacing w:line="400" w:lineRule="exact"/>
        <w:ind w:firstLine="420" w:firstLineChars="200"/>
        <w:rPr>
          <w:rFonts w:hint="eastAsia" w:ascii="宋体" w:hAnsi="宋体" w:eastAsia="宋体" w:cs="宋体"/>
          <w:color w:val="auto"/>
          <w:u w:val="single"/>
        </w:rPr>
      </w:pPr>
      <w:r>
        <w:rPr>
          <w:rFonts w:hint="eastAsia" w:ascii="宋体" w:hAnsi="宋体" w:eastAsia="宋体" w:cs="宋体"/>
          <w:color w:val="auto"/>
        </w:rPr>
        <w:t>授权委托代理期限：自即日起至该项目政府采购活动结束。</w:t>
      </w:r>
    </w:p>
    <w:p>
      <w:pPr>
        <w:spacing w:line="400" w:lineRule="exact"/>
        <w:rPr>
          <w:rFonts w:hint="eastAsia" w:ascii="宋体" w:hAnsi="宋体" w:eastAsia="宋体" w:cs="宋体"/>
          <w:color w:val="auto"/>
          <w:u w:val="single"/>
        </w:rPr>
      </w:pPr>
      <w:r>
        <w:rPr>
          <w:rFonts w:hint="eastAsia" w:ascii="宋体" w:hAnsi="宋体" w:eastAsia="宋体" w:cs="宋体"/>
          <w:color w:val="auto"/>
        </w:rPr>
        <w:t xml:space="preserve">                                                                                             </w:t>
      </w:r>
    </w:p>
    <w:p>
      <w:pPr>
        <w:spacing w:line="40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 xml:space="preserve">代理人无转委托权,特此委托。 </w:t>
      </w:r>
    </w:p>
    <w:p>
      <w:pPr>
        <w:snapToGrid w:val="0"/>
        <w:spacing w:line="400" w:lineRule="exact"/>
        <w:ind w:firstLine="525"/>
        <w:rPr>
          <w:rFonts w:hint="eastAsia" w:ascii="宋体" w:hAnsi="宋体" w:eastAsia="宋体" w:cs="宋体"/>
          <w:color w:val="auto"/>
          <w:szCs w:val="21"/>
        </w:rPr>
      </w:pPr>
    </w:p>
    <w:p>
      <w:pPr>
        <w:snapToGrid w:val="0"/>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我已在下面签字，以资证明。</w:t>
      </w:r>
    </w:p>
    <w:p>
      <w:pPr>
        <w:snapToGrid w:val="0"/>
        <w:spacing w:line="400" w:lineRule="exact"/>
        <w:ind w:firstLine="420"/>
        <w:rPr>
          <w:rFonts w:hint="eastAsia" w:ascii="宋体" w:hAnsi="宋体" w:eastAsia="宋体" w:cs="宋体"/>
          <w:color w:val="auto"/>
          <w:szCs w:val="21"/>
        </w:rPr>
      </w:pPr>
    </w:p>
    <w:p>
      <w:pPr>
        <w:snapToGrid w:val="0"/>
        <w:spacing w:line="400" w:lineRule="exact"/>
        <w:ind w:firstLine="420"/>
        <w:rPr>
          <w:rFonts w:hint="eastAsia" w:ascii="宋体" w:hAnsi="宋体" w:eastAsia="宋体" w:cs="宋体"/>
          <w:color w:val="auto"/>
          <w:szCs w:val="21"/>
          <w:u w:val="single"/>
        </w:rPr>
      </w:pPr>
      <w:r>
        <w:rPr>
          <w:rFonts w:hint="eastAsia" w:ascii="宋体" w:hAnsi="宋体" w:eastAsia="宋体" w:cs="宋体"/>
          <w:color w:val="auto"/>
          <w:szCs w:val="21"/>
        </w:rPr>
        <w:t>投标人（公章）：</w:t>
      </w:r>
      <w:r>
        <w:rPr>
          <w:rFonts w:hint="eastAsia" w:ascii="宋体" w:hAnsi="宋体" w:eastAsia="宋体" w:cs="宋体"/>
          <w:color w:val="auto"/>
          <w:szCs w:val="21"/>
          <w:u w:val="single"/>
        </w:rPr>
        <w:t xml:space="preserve">                                   </w:t>
      </w:r>
    </w:p>
    <w:p>
      <w:pPr>
        <w:snapToGrid w:val="0"/>
        <w:spacing w:line="400" w:lineRule="exact"/>
        <w:ind w:firstLine="420"/>
        <w:rPr>
          <w:rFonts w:hint="eastAsia" w:ascii="宋体" w:hAnsi="宋体" w:eastAsia="宋体" w:cs="宋体"/>
          <w:color w:val="auto"/>
          <w:szCs w:val="21"/>
        </w:rPr>
      </w:pPr>
    </w:p>
    <w:p>
      <w:pPr>
        <w:snapToGrid w:val="0"/>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法定代表人（负责人）签字（或盖章）：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napToGrid w:val="0"/>
        <w:spacing w:line="400" w:lineRule="exact"/>
        <w:ind w:firstLine="420"/>
        <w:rPr>
          <w:rFonts w:hint="eastAsia" w:ascii="宋体" w:hAnsi="宋体" w:eastAsia="宋体" w:cs="宋体"/>
          <w:color w:val="auto"/>
          <w:szCs w:val="21"/>
        </w:rPr>
      </w:pPr>
    </w:p>
    <w:p>
      <w:pPr>
        <w:spacing w:line="400" w:lineRule="exact"/>
        <w:ind w:firstLine="602" w:firstLineChars="250"/>
        <w:rPr>
          <w:rFonts w:hint="eastAsia" w:ascii="宋体" w:hAnsi="宋体" w:eastAsia="宋体" w:cs="宋体"/>
          <w:b/>
          <w:color w:val="auto"/>
          <w:sz w:val="24"/>
        </w:rPr>
      </w:pPr>
      <w:r>
        <w:rPr>
          <w:rFonts w:hint="eastAsia" w:ascii="宋体" w:hAnsi="宋体" w:eastAsia="宋体" w:cs="宋体"/>
          <w:b/>
          <w:color w:val="auto"/>
          <w:sz w:val="24"/>
        </w:rPr>
        <w:t>附：投标人的授权委托书原件、委托代理人身份证正反面复印件以及由县级以上（含县级）社会养老保险经办机构出具的投标人为委托代理人交纳的开标截止时间前半年内任意连续三个月社保证明复印件（如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委托代理时必须提供）。</w:t>
      </w:r>
    </w:p>
    <w:p>
      <w:pPr>
        <w:pStyle w:val="15"/>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pStyle w:val="15"/>
        <w:jc w:val="center"/>
        <w:rPr>
          <w:rFonts w:hint="eastAsia" w:ascii="宋体" w:hAnsi="宋体" w:eastAsia="宋体" w:cs="宋体"/>
          <w:b/>
          <w:color w:val="auto"/>
          <w:sz w:val="32"/>
        </w:rPr>
      </w:pPr>
      <w:r>
        <w:rPr>
          <w:rFonts w:hint="eastAsia" w:ascii="宋体" w:hAnsi="宋体" w:eastAsia="宋体" w:cs="宋体"/>
          <w:b/>
          <w:color w:val="auto"/>
          <w:sz w:val="32"/>
        </w:rPr>
        <w:t>授权委托书（格式二）</w:t>
      </w:r>
    </w:p>
    <w:p>
      <w:pPr>
        <w:snapToGrid w:val="0"/>
        <w:spacing w:line="400" w:lineRule="exact"/>
        <w:rPr>
          <w:rFonts w:hint="eastAsia" w:ascii="宋体" w:hAnsi="宋体" w:eastAsia="宋体" w:cs="宋体"/>
          <w:color w:val="auto"/>
        </w:rPr>
      </w:pPr>
      <w:r>
        <w:rPr>
          <w:rFonts w:hint="eastAsia" w:ascii="宋体" w:hAnsi="宋体" w:eastAsia="宋体" w:cs="宋体"/>
          <w:b/>
          <w:color w:val="auto"/>
          <w:szCs w:val="21"/>
        </w:rPr>
        <w:t>致</w:t>
      </w:r>
      <w:r>
        <w:rPr>
          <w:rFonts w:hint="eastAsia" w:ascii="宋体" w:hAnsi="宋体" w:eastAsia="宋体" w:cs="宋体"/>
          <w:color w:val="auto"/>
          <w:szCs w:val="21"/>
        </w:rPr>
        <w:t>：</w:t>
      </w:r>
      <w:r>
        <w:rPr>
          <w:rFonts w:hint="eastAsia" w:ascii="宋体" w:hAnsi="宋体" w:eastAsia="宋体" w:cs="宋体"/>
          <w:color w:val="auto"/>
          <w:u w:val="single"/>
        </w:rPr>
        <w:t>桂林市政府集中采购中心</w:t>
      </w:r>
    </w:p>
    <w:p>
      <w:pPr>
        <w:snapToGrid w:val="0"/>
        <w:spacing w:line="400" w:lineRule="exact"/>
        <w:rPr>
          <w:rFonts w:hint="eastAsia" w:ascii="宋体" w:hAnsi="宋体" w:eastAsia="宋体" w:cs="宋体"/>
          <w:color w:val="auto"/>
          <w:szCs w:val="21"/>
          <w:u w:val="single"/>
        </w:rPr>
      </w:pPr>
    </w:p>
    <w:p>
      <w:pPr>
        <w:pStyle w:val="15"/>
        <w:spacing w:line="340" w:lineRule="exact"/>
        <w:ind w:firstLine="420" w:firstLineChars="200"/>
        <w:rPr>
          <w:rFonts w:hint="eastAsia" w:ascii="宋体" w:hAnsi="宋体" w:eastAsia="宋体" w:cs="宋体"/>
          <w:color w:val="auto"/>
        </w:rPr>
      </w:pPr>
      <w:r>
        <w:rPr>
          <w:rFonts w:hint="eastAsia" w:ascii="宋体" w:hAnsi="宋体" w:eastAsia="宋体" w:cs="宋体"/>
          <w:color w:val="auto"/>
          <w:kern w:val="0"/>
        </w:rPr>
        <w:t>我</w:t>
      </w:r>
      <w:r>
        <w:rPr>
          <w:rFonts w:hint="eastAsia" w:ascii="宋体" w:hAnsi="宋体" w:eastAsia="宋体" w:cs="宋体"/>
          <w:color w:val="auto"/>
          <w:kern w:val="0"/>
          <w:u w:val="single"/>
        </w:rPr>
        <w:t xml:space="preserve">              </w:t>
      </w:r>
      <w:r>
        <w:rPr>
          <w:rFonts w:hint="eastAsia" w:ascii="宋体" w:hAnsi="宋体" w:eastAsia="宋体" w:cs="宋体"/>
          <w:color w:val="auto"/>
          <w:kern w:val="0"/>
        </w:rPr>
        <w:t>（姓名）系自然人，现授权委托</w:t>
      </w:r>
      <w:r>
        <w:rPr>
          <w:rFonts w:hint="eastAsia" w:ascii="宋体" w:hAnsi="宋体" w:eastAsia="宋体" w:cs="宋体"/>
          <w:color w:val="auto"/>
          <w:kern w:val="0"/>
          <w:u w:val="single"/>
        </w:rPr>
        <w:t xml:space="preserve">            </w:t>
      </w:r>
      <w:r>
        <w:rPr>
          <w:rFonts w:hint="eastAsia" w:ascii="宋体" w:hAnsi="宋体" w:eastAsia="宋体" w:cs="宋体"/>
          <w:color w:val="auto"/>
          <w:kern w:val="0"/>
        </w:rPr>
        <w:t>（姓 名）</w:t>
      </w: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身份证号码：</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rPr>
        <w:t>以本人名义参加</w:t>
      </w:r>
      <w:r>
        <w:rPr>
          <w:rFonts w:hint="eastAsia" w:ascii="宋体" w:hAnsi="宋体" w:eastAsia="宋体" w:cs="宋体"/>
          <w:color w:val="auto"/>
          <w:kern w:val="0"/>
          <w:u w:val="single"/>
        </w:rPr>
        <w:t xml:space="preserve">      </w:t>
      </w:r>
      <w:r>
        <w:rPr>
          <w:rFonts w:hint="eastAsia" w:ascii="宋体" w:hAnsi="宋体" w:eastAsia="宋体" w:cs="宋体"/>
          <w:color w:val="auto"/>
          <w:u w:val="single"/>
        </w:rPr>
        <w:t xml:space="preserve">（项目名称及项目编号）        </w:t>
      </w:r>
      <w:r>
        <w:rPr>
          <w:rFonts w:hint="eastAsia" w:ascii="宋体" w:hAnsi="宋体" w:eastAsia="宋体" w:cs="宋体"/>
          <w:color w:val="auto"/>
        </w:rPr>
        <w:t>项目的投标活动，并代表本人全权办理针对上述项目的投标、开标、评标、签约等具体事务和签署相关文件。</w:t>
      </w:r>
    </w:p>
    <w:p>
      <w:pPr>
        <w:pStyle w:val="15"/>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本人对被授权人的签字事项负全部责任。</w:t>
      </w:r>
    </w:p>
    <w:p>
      <w:pPr>
        <w:pStyle w:val="15"/>
        <w:spacing w:line="400" w:lineRule="exact"/>
        <w:ind w:firstLine="420" w:firstLineChars="200"/>
        <w:rPr>
          <w:rFonts w:hint="eastAsia" w:ascii="宋体" w:hAnsi="宋体" w:eastAsia="宋体" w:cs="宋体"/>
          <w:color w:val="auto"/>
          <w:u w:val="single"/>
        </w:rPr>
      </w:pPr>
      <w:r>
        <w:rPr>
          <w:rFonts w:hint="eastAsia" w:ascii="宋体" w:hAnsi="宋体" w:eastAsia="宋体" w:cs="宋体"/>
          <w:color w:val="auto"/>
        </w:rPr>
        <w:t>授权委托代理期限：自即日起至该项目政府采购活动结束。</w:t>
      </w:r>
    </w:p>
    <w:p>
      <w:pPr>
        <w:pStyle w:val="15"/>
        <w:spacing w:line="340" w:lineRule="exact"/>
        <w:ind w:firstLine="420" w:firstLineChars="200"/>
        <w:rPr>
          <w:rFonts w:hint="eastAsia" w:ascii="宋体" w:hAnsi="宋体" w:eastAsia="宋体" w:cs="宋体"/>
          <w:color w:val="auto"/>
          <w:u w:val="single"/>
        </w:rPr>
      </w:pPr>
    </w:p>
    <w:p>
      <w:pPr>
        <w:pStyle w:val="15"/>
        <w:spacing w:line="340" w:lineRule="exact"/>
        <w:rPr>
          <w:rFonts w:hint="eastAsia" w:ascii="宋体" w:hAnsi="宋体" w:eastAsia="宋体" w:cs="宋体"/>
          <w:color w:val="auto"/>
          <w:u w:val="single"/>
        </w:rPr>
      </w:pPr>
      <w:r>
        <w:rPr>
          <w:rFonts w:hint="eastAsia" w:ascii="宋体" w:hAnsi="宋体" w:eastAsia="宋体" w:cs="宋体"/>
          <w:color w:val="auto"/>
        </w:rPr>
        <w:t xml:space="preserve">                                                                                             </w:t>
      </w:r>
    </w:p>
    <w:p>
      <w:pPr>
        <w:spacing w:line="34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 xml:space="preserve">代理人无转委托权,特此委托。 </w:t>
      </w:r>
    </w:p>
    <w:p>
      <w:pPr>
        <w:snapToGrid w:val="0"/>
        <w:spacing w:line="340" w:lineRule="exact"/>
        <w:ind w:firstLine="525"/>
        <w:rPr>
          <w:rFonts w:hint="eastAsia" w:ascii="宋体" w:hAnsi="宋体" w:eastAsia="宋体" w:cs="宋体"/>
          <w:color w:val="auto"/>
          <w:szCs w:val="21"/>
        </w:rPr>
      </w:pPr>
    </w:p>
    <w:p>
      <w:pPr>
        <w:snapToGrid w:val="0"/>
        <w:spacing w:line="340" w:lineRule="exact"/>
        <w:ind w:firstLine="420"/>
        <w:rPr>
          <w:rFonts w:hint="eastAsia" w:ascii="宋体" w:hAnsi="宋体" w:eastAsia="宋体" w:cs="宋体"/>
          <w:color w:val="auto"/>
          <w:szCs w:val="21"/>
        </w:rPr>
      </w:pPr>
      <w:r>
        <w:rPr>
          <w:rFonts w:hint="eastAsia" w:ascii="宋体" w:hAnsi="宋体" w:eastAsia="宋体" w:cs="宋体"/>
          <w:color w:val="auto"/>
          <w:szCs w:val="21"/>
        </w:rPr>
        <w:t>我已在下面签字，以资证明。</w:t>
      </w:r>
    </w:p>
    <w:p>
      <w:pPr>
        <w:snapToGrid w:val="0"/>
        <w:spacing w:line="340" w:lineRule="exact"/>
        <w:ind w:firstLine="420"/>
        <w:rPr>
          <w:rFonts w:hint="eastAsia" w:ascii="宋体" w:hAnsi="宋体" w:eastAsia="宋体" w:cs="宋体"/>
          <w:color w:val="auto"/>
          <w:szCs w:val="21"/>
        </w:rPr>
      </w:pPr>
    </w:p>
    <w:p>
      <w:pPr>
        <w:snapToGrid w:val="0"/>
        <w:spacing w:line="340" w:lineRule="exact"/>
        <w:ind w:firstLine="420"/>
        <w:rPr>
          <w:rFonts w:hint="eastAsia" w:ascii="宋体" w:hAnsi="宋体" w:eastAsia="宋体" w:cs="宋体"/>
          <w:color w:val="auto"/>
          <w:szCs w:val="21"/>
        </w:rPr>
      </w:pPr>
      <w:r>
        <w:rPr>
          <w:rFonts w:hint="eastAsia" w:ascii="宋体" w:hAnsi="宋体" w:eastAsia="宋体" w:cs="宋体"/>
          <w:color w:val="auto"/>
          <w:szCs w:val="21"/>
        </w:rPr>
        <w:t>自然人签字并在签名处加盖大拇指指印：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napToGrid w:val="0"/>
        <w:spacing w:line="340" w:lineRule="exact"/>
        <w:ind w:firstLine="420"/>
        <w:rPr>
          <w:rFonts w:hint="eastAsia" w:ascii="宋体" w:hAnsi="宋体" w:eastAsia="宋体" w:cs="宋体"/>
          <w:color w:val="auto"/>
          <w:szCs w:val="21"/>
        </w:rPr>
      </w:pPr>
    </w:p>
    <w:p>
      <w:pPr>
        <w:spacing w:line="400" w:lineRule="exact"/>
        <w:ind w:firstLine="602" w:firstLineChars="250"/>
        <w:rPr>
          <w:rFonts w:hint="eastAsia" w:ascii="宋体" w:hAnsi="宋体" w:eastAsia="宋体" w:cs="宋体"/>
          <w:b/>
          <w:color w:val="auto"/>
          <w:sz w:val="24"/>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52" w:name="_Toc12280"/>
      <w:bookmarkStart w:id="253" w:name="_Toc495841790"/>
      <w:r>
        <w:rPr>
          <w:rFonts w:hint="eastAsia" w:ascii="宋体" w:hAnsi="宋体" w:eastAsia="宋体" w:cs="宋体"/>
          <w:b/>
          <w:bCs/>
          <w:color w:val="auto"/>
          <w:sz w:val="32"/>
          <w:szCs w:val="32"/>
        </w:rPr>
        <w:t>3.投标人的法人或者其他组织营业执照等证明文件复印件（必须提供，自然人除外）</w:t>
      </w:r>
      <w:bookmarkEnd w:id="252"/>
      <w:bookmarkEnd w:id="253"/>
    </w:p>
    <w:p>
      <w:pPr>
        <w:tabs>
          <w:tab w:val="left" w:pos="1305"/>
        </w:tabs>
        <w:spacing w:line="400" w:lineRule="exact"/>
        <w:rPr>
          <w:rFonts w:hint="eastAsia" w:ascii="宋体" w:hAnsi="宋体" w:eastAsia="宋体" w:cs="宋体"/>
          <w:b/>
          <w:color w:val="auto"/>
          <w:szCs w:val="21"/>
        </w:rPr>
      </w:pPr>
      <w:r>
        <w:rPr>
          <w:rFonts w:hint="eastAsia" w:ascii="宋体" w:hAnsi="宋体" w:eastAsia="宋体" w:cs="宋体"/>
          <w:b/>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00" w:lineRule="exact"/>
        <w:ind w:left="420" w:leftChars="200" w:firstLine="157" w:firstLineChars="49"/>
        <w:rPr>
          <w:rFonts w:hint="eastAsia" w:ascii="宋体" w:hAnsi="宋体" w:eastAsia="宋体" w:cs="宋体"/>
          <w:b/>
          <w:color w:val="auto"/>
          <w:sz w:val="32"/>
          <w:szCs w:val="32"/>
        </w:rPr>
      </w:pPr>
    </w:p>
    <w:p>
      <w:pPr>
        <w:spacing w:line="400" w:lineRule="exact"/>
        <w:ind w:left="420" w:leftChars="200" w:firstLine="157" w:firstLineChars="49"/>
        <w:rPr>
          <w:rFonts w:hint="eastAsia" w:ascii="宋体" w:hAnsi="宋体" w:eastAsia="宋体" w:cs="宋体"/>
          <w:b/>
          <w:color w:val="auto"/>
          <w:sz w:val="32"/>
          <w:szCs w:val="32"/>
        </w:rPr>
      </w:pPr>
    </w:p>
    <w:p>
      <w:pPr>
        <w:pStyle w:val="71"/>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t>4.</w:t>
      </w:r>
      <w:r>
        <w:rPr>
          <w:rFonts w:hint="eastAsia" w:ascii="宋体" w:hAnsi="宋体" w:eastAsia="宋体" w:cs="宋体"/>
          <w:b/>
          <w:bCs/>
          <w:color w:val="auto"/>
          <w:sz w:val="32"/>
          <w:szCs w:val="32"/>
          <w:lang w:val="en-US" w:eastAsia="zh-CN"/>
        </w:rPr>
        <w:t>投标人近三年中任一年度经第三方审计的财务状况报告复印件（或银行出具的资信证明或财政部门认可的政府采购专业担保机构出具的投标担保函）（必须提供）</w:t>
      </w:r>
      <w:r>
        <w:rPr>
          <w:rFonts w:hint="eastAsia" w:ascii="宋体" w:hAnsi="宋体" w:eastAsia="宋体" w:cs="宋体"/>
          <w:b/>
          <w:bCs/>
          <w:color w:val="auto"/>
          <w:sz w:val="32"/>
          <w:szCs w:val="32"/>
        </w:rPr>
        <w:t>；</w:t>
      </w:r>
      <w:bookmarkStart w:id="254" w:name="_Toc26950"/>
      <w:bookmarkStart w:id="255" w:name="_Toc495841793"/>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5</w:t>
      </w:r>
      <w:r>
        <w:rPr>
          <w:rFonts w:hint="eastAsia" w:ascii="宋体" w:hAnsi="宋体" w:eastAsia="宋体" w:cs="宋体"/>
          <w:b/>
          <w:bCs/>
          <w:color w:val="auto"/>
          <w:sz w:val="32"/>
          <w:szCs w:val="32"/>
        </w:rPr>
        <w:t>.投标人参加政府采购活动前3年内在经营活动中没有重大违法记录及有关信用信息的书面声明（必须提供）</w:t>
      </w:r>
      <w:bookmarkEnd w:id="254"/>
      <w:bookmarkEnd w:id="255"/>
    </w:p>
    <w:p>
      <w:pPr>
        <w:spacing w:line="4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声   明</w:t>
      </w:r>
    </w:p>
    <w:p>
      <w:pPr>
        <w:snapToGrid w:val="0"/>
        <w:spacing w:line="400" w:lineRule="exact"/>
        <w:rPr>
          <w:rFonts w:hint="eastAsia" w:ascii="宋体" w:hAnsi="宋体" w:eastAsia="宋体" w:cs="宋体"/>
          <w:color w:val="auto"/>
        </w:rPr>
      </w:pPr>
      <w:r>
        <w:rPr>
          <w:rFonts w:hint="eastAsia" w:ascii="宋体" w:hAnsi="宋体" w:eastAsia="宋体" w:cs="宋体"/>
          <w:b/>
          <w:color w:val="auto"/>
          <w:szCs w:val="21"/>
        </w:rPr>
        <w:t>致</w:t>
      </w:r>
      <w:r>
        <w:rPr>
          <w:rFonts w:hint="eastAsia" w:ascii="宋体" w:hAnsi="宋体" w:eastAsia="宋体" w:cs="宋体"/>
          <w:color w:val="auto"/>
          <w:szCs w:val="21"/>
        </w:rPr>
        <w:t>：</w:t>
      </w:r>
      <w:r>
        <w:rPr>
          <w:rFonts w:hint="eastAsia" w:ascii="宋体" w:hAnsi="宋体" w:eastAsia="宋体" w:cs="宋体"/>
          <w:color w:val="auto"/>
          <w:u w:val="single"/>
        </w:rPr>
        <w:t>桂林市政府集中采购中心</w:t>
      </w:r>
    </w:p>
    <w:p>
      <w:pPr>
        <w:snapToGrid w:val="0"/>
        <w:spacing w:line="400" w:lineRule="exact"/>
        <w:rPr>
          <w:rFonts w:hint="eastAsia" w:ascii="宋体" w:hAnsi="宋体" w:eastAsia="宋体" w:cs="宋体"/>
          <w:color w:val="auto"/>
          <w:szCs w:val="21"/>
          <w:u w:val="single"/>
        </w:rPr>
      </w:pPr>
    </w:p>
    <w:p>
      <w:pPr>
        <w:pStyle w:val="15"/>
        <w:spacing w:line="380" w:lineRule="exact"/>
        <w:ind w:firstLine="420" w:firstLineChars="200"/>
        <w:rPr>
          <w:rFonts w:hint="eastAsia" w:ascii="宋体" w:hAnsi="宋体" w:eastAsia="宋体" w:cs="宋体"/>
          <w:color w:val="auto"/>
        </w:rPr>
      </w:pPr>
      <w:r>
        <w:rPr>
          <w:rFonts w:hint="eastAsia" w:ascii="宋体" w:hAnsi="宋体" w:eastAsia="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hint="eastAsia" w:ascii="宋体" w:hAnsi="宋体" w:eastAsia="宋体" w:cs="宋体"/>
          <w:color w:val="auto"/>
          <w:szCs w:val="21"/>
        </w:rPr>
      </w:pPr>
    </w:p>
    <w:p>
      <w:pPr>
        <w:snapToGrid w:val="0"/>
        <w:spacing w:line="400" w:lineRule="exact"/>
        <w:ind w:firstLine="1890" w:firstLineChars="900"/>
        <w:rPr>
          <w:rFonts w:hint="eastAsia" w:ascii="宋体" w:hAnsi="宋体" w:eastAsia="宋体" w:cs="宋体"/>
          <w:color w:val="auto"/>
          <w:szCs w:val="21"/>
          <w:u w:val="single"/>
        </w:rPr>
      </w:pPr>
      <w:r>
        <w:rPr>
          <w:rFonts w:hint="eastAsia" w:ascii="宋体" w:hAnsi="宋体" w:eastAsia="宋体" w:cs="宋体"/>
          <w:color w:val="auto"/>
          <w:szCs w:val="21"/>
        </w:rPr>
        <w:t>投标人（公章，自然人除外）：</w:t>
      </w:r>
      <w:r>
        <w:rPr>
          <w:rFonts w:hint="eastAsia" w:ascii="宋体" w:hAnsi="宋体" w:eastAsia="宋体" w:cs="宋体"/>
          <w:color w:val="auto"/>
          <w:szCs w:val="21"/>
          <w:u w:val="single"/>
        </w:rPr>
        <w:t xml:space="preserve">                                         </w:t>
      </w:r>
    </w:p>
    <w:p>
      <w:pPr>
        <w:spacing w:line="340" w:lineRule="exact"/>
        <w:ind w:firstLine="1890" w:firstLineChars="900"/>
        <w:rPr>
          <w:rFonts w:hint="eastAsia" w:ascii="宋体" w:hAnsi="宋体" w:eastAsia="宋体" w:cs="宋体"/>
          <w:color w:val="auto"/>
        </w:rPr>
      </w:pPr>
      <w:r>
        <w:rPr>
          <w:rFonts w:hint="eastAsia" w:ascii="宋体" w:hAnsi="宋体" w:eastAsia="宋体" w:cs="宋体"/>
          <w:color w:val="auto"/>
        </w:rPr>
        <w:t>法定代表人、负责人、自然人或相应的委托代理人签字（或盖章）</w:t>
      </w:r>
    </w:p>
    <w:p>
      <w:pPr>
        <w:spacing w:line="340" w:lineRule="exact"/>
        <w:ind w:firstLine="1680" w:firstLineChars="800"/>
        <w:rPr>
          <w:rFonts w:hint="eastAsia" w:ascii="宋体" w:hAnsi="宋体" w:eastAsia="宋体" w:cs="宋体"/>
          <w:color w:val="auto"/>
          <w:szCs w:val="21"/>
          <w:u w:val="single"/>
        </w:rPr>
      </w:pPr>
      <w:r>
        <w:rPr>
          <w:rFonts w:hint="eastAsia" w:ascii="宋体" w:hAnsi="宋体" w:eastAsia="宋体" w:cs="宋体"/>
          <w:color w:val="auto"/>
        </w:rPr>
        <w:t>（属自然人的应在签名处加盖大拇指指印）：</w:t>
      </w:r>
      <w:r>
        <w:rPr>
          <w:rFonts w:hint="eastAsia" w:ascii="宋体" w:hAnsi="宋体" w:eastAsia="宋体" w:cs="宋体"/>
          <w:color w:val="auto"/>
          <w:szCs w:val="21"/>
          <w:u w:val="single"/>
        </w:rPr>
        <w:t xml:space="preserve">                              </w:t>
      </w:r>
    </w:p>
    <w:p>
      <w:pPr>
        <w:snapToGrid w:val="0"/>
        <w:spacing w:line="400" w:lineRule="exact"/>
        <w:ind w:firstLine="1890" w:firstLineChars="900"/>
        <w:rPr>
          <w:rFonts w:hint="eastAsia" w:ascii="宋体" w:hAnsi="宋体" w:eastAsia="宋体" w:cs="宋体"/>
          <w:color w:val="auto"/>
        </w:rPr>
      </w:pPr>
      <w:r>
        <w:rPr>
          <w:rFonts w:hint="eastAsia" w:ascii="宋体" w:hAnsi="宋体" w:eastAsia="宋体" w:cs="宋体"/>
          <w:color w:val="auto"/>
        </w:rPr>
        <w:t xml:space="preserve"> </w:t>
      </w:r>
    </w:p>
    <w:p>
      <w:pPr>
        <w:snapToGrid w:val="0"/>
        <w:spacing w:line="400" w:lineRule="exact"/>
        <w:ind w:firstLine="1890" w:firstLineChars="900"/>
        <w:rPr>
          <w:rFonts w:hint="eastAsia" w:ascii="宋体" w:hAnsi="宋体" w:eastAsia="宋体" w:cs="宋体"/>
          <w:color w:val="auto"/>
          <w:szCs w:val="21"/>
          <w:u w:val="single"/>
        </w:rPr>
      </w:pPr>
      <w:r>
        <w:rPr>
          <w:rFonts w:hint="eastAsia" w:ascii="宋体" w:hAnsi="宋体" w:eastAsia="宋体" w:cs="宋体"/>
          <w:color w:val="auto"/>
        </w:rPr>
        <w:t>日          期：</w:t>
      </w:r>
      <w:r>
        <w:rPr>
          <w:rFonts w:hint="eastAsia" w:ascii="宋体" w:hAnsi="宋体" w:eastAsia="宋体" w:cs="宋体"/>
          <w:color w:val="auto"/>
          <w:u w:val="single"/>
        </w:rPr>
        <w:t xml:space="preserve">                                                   </w:t>
      </w:r>
    </w:p>
    <w:p>
      <w:pPr>
        <w:spacing w:line="400" w:lineRule="exact"/>
        <w:rPr>
          <w:rFonts w:hint="eastAsia" w:ascii="宋体" w:hAnsi="宋体" w:eastAsia="宋体" w:cs="宋体"/>
          <w:b/>
          <w:color w:val="auto"/>
          <w:sz w:val="32"/>
          <w:szCs w:val="32"/>
        </w:rPr>
      </w:pPr>
    </w:p>
    <w:p>
      <w:pPr>
        <w:spacing w:line="400" w:lineRule="exact"/>
        <w:rPr>
          <w:rFonts w:hint="eastAsia" w:ascii="宋体" w:hAnsi="宋体" w:eastAsia="宋体" w:cs="宋体"/>
          <w:b/>
          <w:color w:val="auto"/>
          <w:sz w:val="32"/>
          <w:szCs w:val="32"/>
        </w:rPr>
      </w:pPr>
    </w:p>
    <w:p>
      <w:pPr>
        <w:spacing w:line="400" w:lineRule="exact"/>
        <w:rPr>
          <w:rFonts w:hint="eastAsia" w:ascii="宋体" w:hAnsi="宋体" w:eastAsia="宋体" w:cs="宋体"/>
          <w:b/>
          <w:color w:val="auto"/>
          <w:sz w:val="32"/>
          <w:szCs w:val="32"/>
        </w:rPr>
      </w:pPr>
    </w:p>
    <w:p>
      <w:pPr>
        <w:spacing w:line="400" w:lineRule="exact"/>
        <w:jc w:val="center"/>
        <w:outlineLvl w:val="1"/>
        <w:rPr>
          <w:rFonts w:hint="eastAsia" w:ascii="宋体" w:hAnsi="宋体" w:eastAsia="宋体" w:cs="宋体"/>
          <w:b/>
          <w:color w:val="auto"/>
          <w:sz w:val="32"/>
          <w:szCs w:val="32"/>
        </w:rPr>
      </w:pPr>
      <w:bookmarkStart w:id="256" w:name="_Toc495841794"/>
    </w:p>
    <w:p>
      <w:pPr>
        <w:spacing w:line="400" w:lineRule="exact"/>
        <w:jc w:val="center"/>
        <w:outlineLvl w:val="1"/>
        <w:rPr>
          <w:rFonts w:hint="eastAsia" w:ascii="宋体" w:hAnsi="宋体" w:eastAsia="宋体" w:cs="宋体"/>
          <w:b/>
          <w:color w:val="auto"/>
          <w:sz w:val="32"/>
          <w:szCs w:val="32"/>
        </w:rPr>
      </w:pPr>
    </w:p>
    <w:p>
      <w:pPr>
        <w:spacing w:line="400" w:lineRule="exact"/>
        <w:jc w:val="center"/>
        <w:outlineLvl w:val="1"/>
        <w:rPr>
          <w:rFonts w:hint="eastAsia" w:ascii="宋体" w:hAnsi="宋体" w:eastAsia="宋体" w:cs="宋体"/>
          <w:b/>
          <w:color w:val="auto"/>
          <w:sz w:val="32"/>
          <w:szCs w:val="32"/>
        </w:rPr>
      </w:pPr>
    </w:p>
    <w:p>
      <w:pPr>
        <w:spacing w:line="400" w:lineRule="exact"/>
        <w:jc w:val="center"/>
        <w:outlineLvl w:val="1"/>
        <w:rPr>
          <w:rFonts w:hint="eastAsia" w:ascii="宋体" w:hAnsi="宋体" w:eastAsia="宋体" w:cs="宋体"/>
          <w:b/>
          <w:color w:val="auto"/>
          <w:sz w:val="32"/>
          <w:szCs w:val="32"/>
        </w:rPr>
      </w:pPr>
    </w:p>
    <w:p>
      <w:pPr>
        <w:spacing w:line="400" w:lineRule="exact"/>
        <w:jc w:val="center"/>
        <w:outlineLvl w:val="1"/>
        <w:rPr>
          <w:rFonts w:hint="eastAsia" w:ascii="宋体" w:hAnsi="宋体" w:eastAsia="宋体" w:cs="宋体"/>
          <w:b/>
          <w:color w:val="auto"/>
          <w:sz w:val="32"/>
          <w:szCs w:val="32"/>
        </w:rPr>
      </w:pPr>
    </w:p>
    <w:p>
      <w:pPr>
        <w:spacing w:line="400" w:lineRule="exact"/>
        <w:jc w:val="center"/>
        <w:outlineLvl w:val="1"/>
        <w:rPr>
          <w:rFonts w:hint="eastAsia" w:ascii="宋体" w:hAnsi="宋体" w:eastAsia="宋体" w:cs="宋体"/>
          <w:b/>
          <w:color w:val="auto"/>
          <w:sz w:val="32"/>
          <w:szCs w:val="32"/>
        </w:rPr>
      </w:pPr>
    </w:p>
    <w:p>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6.投标人近半年内任意一个月或任一季度依法缴纳税收的证明材料（增值税发票或企业所得税完税证明或税务部门出具的免税证明）复印件（必须提供）</w:t>
      </w: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r>
        <w:rPr>
          <w:rFonts w:hint="eastAsia" w:ascii="宋体" w:hAnsi="宋体" w:eastAsia="宋体" w:cs="宋体"/>
          <w:b/>
          <w:color w:val="auto"/>
          <w:sz w:val="32"/>
          <w:szCs w:val="32"/>
        </w:rPr>
        <w:br w:type="page"/>
      </w:r>
      <w:bookmarkStart w:id="257" w:name="_Toc26652"/>
      <w:r>
        <w:rPr>
          <w:rFonts w:hint="eastAsia" w:ascii="宋体" w:hAnsi="宋体" w:eastAsia="宋体" w:cs="宋体"/>
          <w:b/>
          <w:bCs/>
          <w:color w:val="auto"/>
          <w:sz w:val="32"/>
          <w:szCs w:val="32"/>
        </w:rPr>
        <w:t>三、商务、技术性响应及其他有效证明材料（格式）</w:t>
      </w:r>
      <w:bookmarkEnd w:id="256"/>
      <w:bookmarkEnd w:id="257"/>
    </w:p>
    <w:p>
      <w:pPr>
        <w:rPr>
          <w:rFonts w:hint="eastAsia" w:ascii="宋体" w:hAnsi="宋体" w:eastAsia="宋体" w:cs="宋体"/>
          <w:b/>
          <w:bCs/>
          <w:color w:val="auto"/>
          <w:sz w:val="32"/>
          <w:szCs w:val="32"/>
        </w:rPr>
      </w:pPr>
      <w:bookmarkStart w:id="258" w:name="_Toc495841795"/>
      <w:bookmarkStart w:id="259" w:name="_Toc2409"/>
      <w:r>
        <w:rPr>
          <w:rFonts w:hint="eastAsia" w:ascii="宋体" w:hAnsi="宋体" w:eastAsia="宋体" w:cs="宋体"/>
          <w:b/>
          <w:bCs/>
          <w:color w:val="auto"/>
          <w:sz w:val="32"/>
          <w:szCs w:val="32"/>
        </w:rPr>
        <w:t>1.技术规格偏离表（必须提供）</w:t>
      </w:r>
      <w:bookmarkEnd w:id="258"/>
      <w:bookmarkEnd w:id="259"/>
    </w:p>
    <w:p>
      <w:pPr>
        <w:rPr>
          <w:rFonts w:hint="eastAsia" w:ascii="宋体" w:hAnsi="宋体" w:eastAsia="宋体" w:cs="宋体"/>
          <w:b/>
          <w:color w:val="auto"/>
          <w:sz w:val="24"/>
        </w:rPr>
      </w:pPr>
    </w:p>
    <w:p>
      <w:pPr>
        <w:jc w:val="center"/>
        <w:rPr>
          <w:rFonts w:hint="eastAsia" w:ascii="宋体" w:hAnsi="宋体" w:eastAsia="宋体" w:cs="宋体"/>
          <w:b/>
          <w:bCs/>
          <w:color w:val="auto"/>
          <w:sz w:val="32"/>
        </w:rPr>
      </w:pPr>
      <w:r>
        <w:rPr>
          <w:rFonts w:hint="eastAsia" w:ascii="宋体" w:hAnsi="宋体" w:eastAsia="宋体" w:cs="宋体"/>
          <w:b/>
          <w:color w:val="auto"/>
          <w:sz w:val="32"/>
          <w:szCs w:val="32"/>
        </w:rPr>
        <w:t>技术规格偏离表</w:t>
      </w:r>
      <w:r>
        <w:rPr>
          <w:rFonts w:hint="eastAsia" w:ascii="宋体" w:hAnsi="宋体" w:eastAsia="宋体" w:cs="宋体"/>
          <w:b/>
          <w:bCs/>
          <w:color w:val="auto"/>
          <w:sz w:val="32"/>
        </w:rPr>
        <w:t>（格式）</w:t>
      </w:r>
    </w:p>
    <w:p>
      <w:pPr>
        <w:snapToGrid w:val="0"/>
        <w:spacing w:line="400" w:lineRule="exact"/>
        <w:rPr>
          <w:rFonts w:hint="eastAsia"/>
          <w:color w:val="auto"/>
        </w:rPr>
      </w:pPr>
      <w:r>
        <w:rPr>
          <w:rFonts w:hint="eastAsia"/>
          <w:b/>
          <w:bCs/>
          <w:color w:val="auto"/>
        </w:rPr>
        <w:t>分标：</w:t>
      </w:r>
      <w:r>
        <w:rPr>
          <w:rFonts w:hint="eastAsia"/>
          <w:b/>
          <w:bCs/>
          <w:color w:val="auto"/>
          <w:u w:val="single"/>
        </w:rPr>
        <w:t xml:space="preserve">     </w:t>
      </w:r>
    </w:p>
    <w:tbl>
      <w:tblPr>
        <w:tblStyle w:val="2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vAlign w:val="center"/>
          </w:tcPr>
          <w:p>
            <w:pPr>
              <w:spacing w:line="400" w:lineRule="exact"/>
              <w:jc w:val="center"/>
              <w:rPr>
                <w:rFonts w:hint="eastAsia" w:ascii="宋体" w:hAnsi="宋体" w:eastAsia="宋体" w:cs="宋体"/>
                <w:b/>
                <w:color w:val="auto"/>
              </w:rPr>
            </w:pPr>
            <w:r>
              <w:rPr>
                <w:rFonts w:hint="eastAsia" w:ascii="宋体" w:hAnsi="宋体" w:eastAsia="宋体" w:cs="宋体"/>
                <w:b/>
                <w:color w:val="auto"/>
              </w:rPr>
              <w:t>序号</w:t>
            </w:r>
          </w:p>
        </w:tc>
        <w:tc>
          <w:tcPr>
            <w:tcW w:w="2126" w:type="dxa"/>
            <w:shd w:val="clear" w:color="auto" w:fill="8DB3E2"/>
            <w:vAlign w:val="center"/>
          </w:tcPr>
          <w:p>
            <w:pPr>
              <w:spacing w:line="400" w:lineRule="exact"/>
              <w:jc w:val="center"/>
              <w:rPr>
                <w:rFonts w:hint="eastAsia" w:ascii="宋体" w:hAnsi="宋体" w:eastAsia="宋体" w:cs="宋体"/>
                <w:b/>
                <w:color w:val="auto"/>
              </w:rPr>
            </w:pPr>
            <w:r>
              <w:rPr>
                <w:rFonts w:hint="eastAsia" w:ascii="宋体" w:hAnsi="宋体" w:eastAsia="宋体" w:cs="宋体"/>
                <w:b/>
                <w:color w:val="auto"/>
              </w:rPr>
              <w:t>货物名称</w:t>
            </w:r>
          </w:p>
        </w:tc>
        <w:tc>
          <w:tcPr>
            <w:tcW w:w="2313" w:type="dxa"/>
            <w:shd w:val="clear" w:color="auto" w:fill="8DB3E2"/>
            <w:vAlign w:val="center"/>
          </w:tcPr>
          <w:p>
            <w:pPr>
              <w:spacing w:line="400" w:lineRule="exact"/>
              <w:jc w:val="center"/>
              <w:rPr>
                <w:rFonts w:hint="eastAsia" w:ascii="宋体" w:hAnsi="宋体" w:eastAsia="宋体" w:cs="宋体"/>
                <w:b/>
                <w:color w:val="auto"/>
              </w:rPr>
            </w:pPr>
            <w:r>
              <w:rPr>
                <w:rFonts w:hint="eastAsia" w:ascii="宋体" w:hAnsi="宋体" w:eastAsia="宋体" w:cs="宋体"/>
                <w:b/>
                <w:color w:val="auto"/>
                <w:szCs w:val="21"/>
              </w:rPr>
              <w:t>项目要求及技术需求</w:t>
            </w:r>
          </w:p>
        </w:tc>
        <w:tc>
          <w:tcPr>
            <w:tcW w:w="2520" w:type="dxa"/>
            <w:shd w:val="clear" w:color="auto" w:fill="8DB3E2"/>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投标文件的响应情况</w:t>
            </w:r>
          </w:p>
        </w:tc>
        <w:tc>
          <w:tcPr>
            <w:tcW w:w="2113" w:type="dxa"/>
            <w:shd w:val="clear" w:color="auto" w:fill="8DB3E2"/>
            <w:vAlign w:val="center"/>
          </w:tcPr>
          <w:p>
            <w:pPr>
              <w:spacing w:line="400" w:lineRule="exact"/>
              <w:jc w:val="center"/>
              <w:rPr>
                <w:rFonts w:hint="eastAsia" w:ascii="宋体" w:hAnsi="宋体" w:eastAsia="宋体" w:cs="宋体"/>
                <w:b/>
                <w:color w:val="auto"/>
              </w:rPr>
            </w:pPr>
            <w:bookmarkStart w:id="260" w:name="_Toc254970560"/>
            <w:bookmarkStart w:id="261" w:name="_Toc254970701"/>
            <w:r>
              <w:rPr>
                <w:rFonts w:hint="eastAsia" w:ascii="宋体" w:hAnsi="宋体" w:eastAsia="宋体" w:cs="宋体"/>
                <w:b/>
                <w:color w:val="auto"/>
              </w:rPr>
              <w:t>偏离情况</w:t>
            </w:r>
            <w:bookmarkEnd w:id="260"/>
            <w:bookmarkEnd w:id="261"/>
            <w:r>
              <w:rPr>
                <w:rFonts w:hint="eastAsia" w:ascii="宋体" w:hAnsi="宋体" w:eastAsia="宋体" w:cs="宋体"/>
                <w:b/>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126" w:type="dxa"/>
            <w:vAlign w:val="center"/>
          </w:tcPr>
          <w:p>
            <w:pPr>
              <w:spacing w:line="400" w:lineRule="exact"/>
              <w:rPr>
                <w:rFonts w:hint="eastAsia" w:ascii="宋体" w:hAnsi="宋体" w:eastAsia="宋体" w:cs="宋体"/>
                <w:color w:val="auto"/>
                <w:kern w:val="0"/>
                <w:szCs w:val="21"/>
              </w:rPr>
            </w:pPr>
          </w:p>
        </w:tc>
        <w:tc>
          <w:tcPr>
            <w:tcW w:w="2313" w:type="dxa"/>
            <w:vAlign w:val="center"/>
          </w:tcPr>
          <w:p>
            <w:pPr>
              <w:spacing w:line="400" w:lineRule="exact"/>
              <w:jc w:val="left"/>
              <w:rPr>
                <w:rFonts w:hint="eastAsia" w:ascii="宋体" w:hAnsi="宋体" w:eastAsia="宋体" w:cs="宋体"/>
                <w:color w:val="auto"/>
              </w:rPr>
            </w:pPr>
          </w:p>
        </w:tc>
        <w:tc>
          <w:tcPr>
            <w:tcW w:w="2520" w:type="dxa"/>
            <w:vAlign w:val="top"/>
          </w:tcPr>
          <w:p>
            <w:pPr>
              <w:spacing w:line="400" w:lineRule="exact"/>
              <w:jc w:val="left"/>
              <w:rPr>
                <w:rFonts w:hint="eastAsia" w:ascii="宋体" w:hAnsi="宋体" w:eastAsia="宋体" w:cs="宋体"/>
                <w:color w:val="auto"/>
              </w:rPr>
            </w:pPr>
          </w:p>
        </w:tc>
        <w:tc>
          <w:tcPr>
            <w:tcW w:w="2113" w:type="dxa"/>
            <w:vAlign w:val="center"/>
          </w:tcPr>
          <w:p>
            <w:pPr>
              <w:spacing w:line="40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126" w:type="dxa"/>
            <w:vAlign w:val="center"/>
          </w:tcPr>
          <w:p>
            <w:pPr>
              <w:spacing w:line="400" w:lineRule="exact"/>
              <w:rPr>
                <w:rFonts w:hint="eastAsia" w:ascii="宋体" w:hAnsi="宋体" w:eastAsia="宋体" w:cs="宋体"/>
                <w:color w:val="auto"/>
                <w:kern w:val="0"/>
                <w:szCs w:val="21"/>
              </w:rPr>
            </w:pPr>
          </w:p>
        </w:tc>
        <w:tc>
          <w:tcPr>
            <w:tcW w:w="2313" w:type="dxa"/>
            <w:vAlign w:val="center"/>
          </w:tcPr>
          <w:p>
            <w:pPr>
              <w:spacing w:line="400" w:lineRule="exact"/>
              <w:jc w:val="left"/>
              <w:rPr>
                <w:rFonts w:hint="eastAsia" w:ascii="宋体" w:hAnsi="宋体" w:eastAsia="宋体" w:cs="宋体"/>
                <w:color w:val="auto"/>
              </w:rPr>
            </w:pPr>
          </w:p>
        </w:tc>
        <w:tc>
          <w:tcPr>
            <w:tcW w:w="2520" w:type="dxa"/>
            <w:vAlign w:val="top"/>
          </w:tcPr>
          <w:p>
            <w:pPr>
              <w:spacing w:line="400" w:lineRule="exact"/>
              <w:jc w:val="left"/>
              <w:rPr>
                <w:rFonts w:hint="eastAsia" w:ascii="宋体" w:hAnsi="宋体" w:eastAsia="宋体" w:cs="宋体"/>
                <w:color w:val="auto"/>
              </w:rPr>
            </w:pPr>
          </w:p>
        </w:tc>
        <w:tc>
          <w:tcPr>
            <w:tcW w:w="2113" w:type="dxa"/>
            <w:vAlign w:val="center"/>
          </w:tcPr>
          <w:p>
            <w:pPr>
              <w:spacing w:line="40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126" w:type="dxa"/>
            <w:vAlign w:val="center"/>
          </w:tcPr>
          <w:p>
            <w:pPr>
              <w:spacing w:line="400" w:lineRule="exact"/>
              <w:rPr>
                <w:rFonts w:hint="eastAsia" w:ascii="宋体" w:hAnsi="宋体" w:eastAsia="宋体" w:cs="宋体"/>
                <w:color w:val="auto"/>
                <w:kern w:val="0"/>
                <w:szCs w:val="21"/>
              </w:rPr>
            </w:pPr>
          </w:p>
        </w:tc>
        <w:tc>
          <w:tcPr>
            <w:tcW w:w="2313" w:type="dxa"/>
            <w:vAlign w:val="top"/>
          </w:tcPr>
          <w:p>
            <w:pPr>
              <w:spacing w:line="400" w:lineRule="exact"/>
              <w:jc w:val="left"/>
              <w:rPr>
                <w:rFonts w:hint="eastAsia" w:ascii="宋体" w:hAnsi="宋体" w:eastAsia="宋体" w:cs="宋体"/>
                <w:color w:val="auto"/>
              </w:rPr>
            </w:pPr>
          </w:p>
        </w:tc>
        <w:tc>
          <w:tcPr>
            <w:tcW w:w="2520" w:type="dxa"/>
            <w:vAlign w:val="top"/>
          </w:tcPr>
          <w:p>
            <w:pPr>
              <w:spacing w:line="400" w:lineRule="exact"/>
              <w:jc w:val="left"/>
              <w:rPr>
                <w:rFonts w:hint="eastAsia" w:ascii="宋体" w:hAnsi="宋体" w:eastAsia="宋体" w:cs="宋体"/>
                <w:color w:val="auto"/>
              </w:rPr>
            </w:pPr>
          </w:p>
        </w:tc>
        <w:tc>
          <w:tcPr>
            <w:tcW w:w="2113" w:type="dxa"/>
            <w:vAlign w:val="top"/>
          </w:tcPr>
          <w:p>
            <w:pPr>
              <w:spacing w:line="40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126" w:type="dxa"/>
            <w:vAlign w:val="center"/>
          </w:tcPr>
          <w:p>
            <w:pPr>
              <w:spacing w:line="400" w:lineRule="exact"/>
              <w:rPr>
                <w:rFonts w:hint="eastAsia" w:ascii="宋体" w:hAnsi="宋体" w:eastAsia="宋体" w:cs="宋体"/>
                <w:color w:val="auto"/>
                <w:kern w:val="0"/>
                <w:szCs w:val="21"/>
              </w:rPr>
            </w:pPr>
          </w:p>
        </w:tc>
        <w:tc>
          <w:tcPr>
            <w:tcW w:w="2313" w:type="dxa"/>
            <w:vAlign w:val="top"/>
          </w:tcPr>
          <w:p>
            <w:pPr>
              <w:spacing w:line="400" w:lineRule="exact"/>
              <w:jc w:val="left"/>
              <w:rPr>
                <w:rFonts w:hint="eastAsia" w:ascii="宋体" w:hAnsi="宋体" w:eastAsia="宋体" w:cs="宋体"/>
                <w:color w:val="auto"/>
              </w:rPr>
            </w:pPr>
          </w:p>
        </w:tc>
        <w:tc>
          <w:tcPr>
            <w:tcW w:w="2520" w:type="dxa"/>
            <w:vAlign w:val="top"/>
          </w:tcPr>
          <w:p>
            <w:pPr>
              <w:spacing w:line="400" w:lineRule="exact"/>
              <w:jc w:val="left"/>
              <w:rPr>
                <w:rFonts w:hint="eastAsia" w:ascii="宋体" w:hAnsi="宋体" w:eastAsia="宋体" w:cs="宋体"/>
                <w:color w:val="auto"/>
              </w:rPr>
            </w:pPr>
          </w:p>
        </w:tc>
        <w:tc>
          <w:tcPr>
            <w:tcW w:w="2113" w:type="dxa"/>
            <w:vAlign w:val="top"/>
          </w:tcPr>
          <w:p>
            <w:pPr>
              <w:spacing w:line="40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2126" w:type="dxa"/>
            <w:vAlign w:val="center"/>
          </w:tcPr>
          <w:p>
            <w:pPr>
              <w:spacing w:line="400" w:lineRule="exact"/>
              <w:rPr>
                <w:rFonts w:hint="eastAsia" w:ascii="宋体" w:hAnsi="宋体" w:eastAsia="宋体" w:cs="宋体"/>
                <w:color w:val="auto"/>
                <w:kern w:val="0"/>
                <w:szCs w:val="21"/>
              </w:rPr>
            </w:pPr>
          </w:p>
        </w:tc>
        <w:tc>
          <w:tcPr>
            <w:tcW w:w="2313" w:type="dxa"/>
            <w:vAlign w:val="top"/>
          </w:tcPr>
          <w:p>
            <w:pPr>
              <w:spacing w:line="400" w:lineRule="exact"/>
              <w:jc w:val="left"/>
              <w:rPr>
                <w:rFonts w:hint="eastAsia" w:ascii="宋体" w:hAnsi="宋体" w:eastAsia="宋体" w:cs="宋体"/>
                <w:color w:val="auto"/>
              </w:rPr>
            </w:pPr>
          </w:p>
        </w:tc>
        <w:tc>
          <w:tcPr>
            <w:tcW w:w="2520" w:type="dxa"/>
            <w:vAlign w:val="top"/>
          </w:tcPr>
          <w:p>
            <w:pPr>
              <w:spacing w:line="400" w:lineRule="exact"/>
              <w:jc w:val="left"/>
              <w:rPr>
                <w:rFonts w:hint="eastAsia" w:ascii="宋体" w:hAnsi="宋体" w:eastAsia="宋体" w:cs="宋体"/>
                <w:color w:val="auto"/>
              </w:rPr>
            </w:pPr>
          </w:p>
        </w:tc>
        <w:tc>
          <w:tcPr>
            <w:tcW w:w="2113" w:type="dxa"/>
            <w:vAlign w:val="top"/>
          </w:tcPr>
          <w:p>
            <w:pPr>
              <w:spacing w:line="40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N</w:t>
            </w:r>
          </w:p>
        </w:tc>
        <w:tc>
          <w:tcPr>
            <w:tcW w:w="2126" w:type="dxa"/>
            <w:vAlign w:val="center"/>
          </w:tcPr>
          <w:p>
            <w:pPr>
              <w:spacing w:line="400" w:lineRule="exact"/>
              <w:rPr>
                <w:rFonts w:hint="eastAsia" w:ascii="宋体" w:hAnsi="宋体" w:eastAsia="宋体" w:cs="宋体"/>
                <w:b/>
                <w:bCs/>
                <w:color w:val="auto"/>
                <w:kern w:val="0"/>
                <w:szCs w:val="21"/>
              </w:rPr>
            </w:pPr>
          </w:p>
        </w:tc>
        <w:tc>
          <w:tcPr>
            <w:tcW w:w="2313" w:type="dxa"/>
            <w:vAlign w:val="top"/>
          </w:tcPr>
          <w:p>
            <w:pPr>
              <w:spacing w:line="400" w:lineRule="exact"/>
              <w:jc w:val="left"/>
              <w:rPr>
                <w:rFonts w:hint="eastAsia" w:ascii="宋体" w:hAnsi="宋体" w:eastAsia="宋体" w:cs="宋体"/>
                <w:color w:val="auto"/>
              </w:rPr>
            </w:pPr>
          </w:p>
        </w:tc>
        <w:tc>
          <w:tcPr>
            <w:tcW w:w="2520" w:type="dxa"/>
            <w:vAlign w:val="top"/>
          </w:tcPr>
          <w:p>
            <w:pPr>
              <w:spacing w:line="400" w:lineRule="exact"/>
              <w:jc w:val="left"/>
              <w:rPr>
                <w:rFonts w:hint="eastAsia" w:ascii="宋体" w:hAnsi="宋体" w:eastAsia="宋体" w:cs="宋体"/>
                <w:color w:val="auto"/>
              </w:rPr>
            </w:pPr>
          </w:p>
        </w:tc>
        <w:tc>
          <w:tcPr>
            <w:tcW w:w="2113" w:type="dxa"/>
            <w:vAlign w:val="top"/>
          </w:tcPr>
          <w:p>
            <w:pPr>
              <w:spacing w:line="400" w:lineRule="exact"/>
              <w:jc w:val="left"/>
              <w:rPr>
                <w:rFonts w:hint="eastAsia" w:ascii="宋体" w:hAnsi="宋体" w:eastAsia="宋体" w:cs="宋体"/>
                <w:color w:val="auto"/>
              </w:rPr>
            </w:pPr>
          </w:p>
        </w:tc>
      </w:tr>
    </w:tbl>
    <w:p>
      <w:pPr>
        <w:snapToGrid w:val="0"/>
        <w:spacing w:line="400" w:lineRule="exact"/>
        <w:rPr>
          <w:rFonts w:hint="eastAsia" w:ascii="宋体" w:hAnsi="宋体" w:eastAsia="宋体" w:cs="宋体"/>
          <w:color w:val="auto"/>
          <w:szCs w:val="20"/>
          <w:u w:val="single"/>
        </w:rPr>
      </w:pPr>
      <w:r>
        <w:rPr>
          <w:rFonts w:hint="eastAsia" w:ascii="宋体" w:hAnsi="宋体" w:eastAsia="宋体" w:cs="宋体"/>
          <w:color w:val="auto"/>
        </w:rPr>
        <w:t>注：供应商应对照招标文件中项目要求及技术需求的内容逐条响应，并在“偏离情况说明”栏注明“正偏离”、“负偏离”或“无偏离”。</w:t>
      </w:r>
    </w:p>
    <w:p>
      <w:pPr>
        <w:snapToGrid w:val="0"/>
        <w:spacing w:line="400" w:lineRule="exact"/>
        <w:ind w:firstLine="3780" w:firstLineChars="1800"/>
        <w:rPr>
          <w:rFonts w:hint="eastAsia" w:ascii="宋体" w:hAnsi="宋体" w:eastAsia="宋体" w:cs="宋体"/>
          <w:color w:val="auto"/>
          <w:szCs w:val="20"/>
          <w:u w:val="single"/>
        </w:rPr>
      </w:pPr>
    </w:p>
    <w:p>
      <w:pPr>
        <w:snapToGrid w:val="0"/>
        <w:spacing w:line="400" w:lineRule="exact"/>
        <w:ind w:firstLine="1890" w:firstLineChars="900"/>
        <w:rPr>
          <w:rFonts w:hint="eastAsia" w:ascii="宋体" w:hAnsi="宋体" w:eastAsia="宋体" w:cs="宋体"/>
          <w:color w:val="auto"/>
          <w:szCs w:val="21"/>
          <w:u w:val="single"/>
        </w:rPr>
      </w:pPr>
      <w:r>
        <w:rPr>
          <w:rFonts w:hint="eastAsia" w:ascii="宋体" w:hAnsi="宋体" w:eastAsia="宋体" w:cs="宋体"/>
          <w:color w:val="auto"/>
          <w:szCs w:val="21"/>
        </w:rPr>
        <w:t>投标人（公章，自然人除外）：</w:t>
      </w:r>
      <w:r>
        <w:rPr>
          <w:rFonts w:hint="eastAsia" w:ascii="宋体" w:hAnsi="宋体" w:eastAsia="宋体" w:cs="宋体"/>
          <w:color w:val="auto"/>
          <w:szCs w:val="21"/>
          <w:u w:val="single"/>
        </w:rPr>
        <w:t xml:space="preserve">                                         </w:t>
      </w:r>
    </w:p>
    <w:p>
      <w:pPr>
        <w:spacing w:line="340" w:lineRule="exact"/>
        <w:ind w:firstLine="1890" w:firstLineChars="900"/>
        <w:rPr>
          <w:rFonts w:hint="eastAsia" w:ascii="宋体" w:hAnsi="宋体" w:eastAsia="宋体" w:cs="宋体"/>
          <w:color w:val="auto"/>
        </w:rPr>
      </w:pPr>
      <w:r>
        <w:rPr>
          <w:rFonts w:hint="eastAsia" w:ascii="宋体" w:hAnsi="宋体" w:eastAsia="宋体" w:cs="宋体"/>
          <w:color w:val="auto"/>
        </w:rPr>
        <w:t>法定代表人、负责人、自然人或相应的委托代理人签字（或盖章）</w:t>
      </w:r>
    </w:p>
    <w:p>
      <w:pPr>
        <w:spacing w:line="340" w:lineRule="exact"/>
        <w:ind w:firstLine="1680" w:firstLineChars="800"/>
        <w:rPr>
          <w:rFonts w:hint="eastAsia" w:ascii="宋体" w:hAnsi="宋体" w:eastAsia="宋体" w:cs="宋体"/>
          <w:color w:val="auto"/>
          <w:szCs w:val="21"/>
          <w:u w:val="single"/>
        </w:rPr>
      </w:pPr>
      <w:r>
        <w:rPr>
          <w:rFonts w:hint="eastAsia" w:ascii="宋体" w:hAnsi="宋体" w:eastAsia="宋体" w:cs="宋体"/>
          <w:color w:val="auto"/>
        </w:rPr>
        <w:t>（属自然人的应在签名处加盖大拇指指印）：</w:t>
      </w:r>
      <w:r>
        <w:rPr>
          <w:rFonts w:hint="eastAsia" w:ascii="宋体" w:hAnsi="宋体" w:eastAsia="宋体" w:cs="宋体"/>
          <w:color w:val="auto"/>
          <w:szCs w:val="21"/>
          <w:u w:val="single"/>
        </w:rPr>
        <w:t xml:space="preserve">                              </w:t>
      </w:r>
    </w:p>
    <w:p>
      <w:pPr>
        <w:spacing w:line="340" w:lineRule="exact"/>
        <w:ind w:firstLine="1680" w:firstLineChars="800"/>
        <w:rPr>
          <w:rFonts w:hint="eastAsia" w:ascii="宋体" w:hAnsi="宋体" w:eastAsia="宋体" w:cs="宋体"/>
          <w:color w:val="auto"/>
          <w:szCs w:val="21"/>
          <w:u w:val="single"/>
        </w:rPr>
      </w:pPr>
    </w:p>
    <w:p>
      <w:pPr>
        <w:ind w:firstLine="1890" w:firstLineChars="900"/>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p>
      <w:pPr>
        <w:spacing w:line="360" w:lineRule="exact"/>
        <w:rPr>
          <w:rFonts w:hint="eastAsia" w:ascii="宋体" w:hAnsi="宋体" w:eastAsia="宋体" w:cs="宋体"/>
          <w:color w:val="auto"/>
        </w:rPr>
      </w:pPr>
    </w:p>
    <w:p>
      <w:pPr>
        <w:spacing w:line="400" w:lineRule="exact"/>
        <w:ind w:left="982" w:leftChars="200" w:hanging="562" w:hangingChars="200"/>
        <w:rPr>
          <w:rFonts w:hint="eastAsia" w:ascii="宋体" w:hAnsi="宋体" w:eastAsia="宋体" w:cs="宋体"/>
          <w:b/>
          <w:color w:val="auto"/>
          <w:sz w:val="24"/>
        </w:rPr>
      </w:pPr>
      <w:r>
        <w:rPr>
          <w:rFonts w:hint="eastAsia" w:ascii="宋体" w:hAnsi="宋体" w:eastAsia="宋体" w:cs="宋体"/>
          <w:b/>
          <w:bCs/>
          <w:color w:val="auto"/>
          <w:sz w:val="28"/>
          <w:szCs w:val="28"/>
        </w:rPr>
        <w:t>注：</w:t>
      </w:r>
      <w:r>
        <w:rPr>
          <w:rFonts w:hint="eastAsia" w:ascii="宋体" w:hAnsi="宋体" w:eastAsia="宋体" w:cs="宋体"/>
          <w:b/>
          <w:color w:val="auto"/>
          <w:sz w:val="24"/>
        </w:rPr>
        <w:t>1.“技术规格偏离表”各项内容必须如实填写。</w:t>
      </w:r>
    </w:p>
    <w:p>
      <w:pPr>
        <w:spacing w:line="400" w:lineRule="exact"/>
        <w:ind w:left="840" w:leftChars="400" w:firstLine="181" w:firstLineChars="75"/>
        <w:rPr>
          <w:rFonts w:hint="eastAsia" w:ascii="宋体" w:hAnsi="宋体" w:eastAsia="宋体" w:cs="宋体"/>
          <w:b/>
          <w:color w:val="auto"/>
          <w:sz w:val="24"/>
        </w:rPr>
      </w:pPr>
      <w:r>
        <w:rPr>
          <w:rFonts w:hint="eastAsia" w:ascii="宋体" w:hAnsi="宋体" w:eastAsia="宋体" w:cs="宋体"/>
          <w:b/>
          <w:color w:val="auto"/>
          <w:sz w:val="24"/>
        </w:rPr>
        <w:t>2.当本表由多页构成时，需逐页加盖投标人公章（属自然人的须逐页签字）。</w:t>
      </w:r>
    </w:p>
    <w:p>
      <w:pPr>
        <w:spacing w:line="400" w:lineRule="exact"/>
        <w:ind w:left="982" w:leftChars="200" w:hanging="562" w:hangingChars="200"/>
        <w:rPr>
          <w:rFonts w:hint="eastAsia" w:ascii="宋体" w:hAnsi="宋体" w:eastAsia="宋体" w:cs="宋体"/>
          <w:b/>
          <w:bCs/>
          <w:color w:val="auto"/>
          <w:sz w:val="28"/>
          <w:szCs w:val="28"/>
        </w:rPr>
      </w:pPr>
    </w:p>
    <w:p>
      <w:pPr>
        <w:spacing w:line="360" w:lineRule="exact"/>
        <w:rPr>
          <w:rFonts w:hint="eastAsia" w:ascii="宋体" w:hAnsi="宋体" w:eastAsia="宋体" w:cs="宋体"/>
          <w:color w:val="auto"/>
        </w:rPr>
      </w:pPr>
    </w:p>
    <w:p>
      <w:pPr>
        <w:rPr>
          <w:rFonts w:hint="eastAsia" w:ascii="宋体" w:hAnsi="宋体" w:eastAsia="宋体" w:cs="宋体"/>
          <w:b/>
          <w:bCs/>
          <w:color w:val="auto"/>
          <w:sz w:val="32"/>
          <w:szCs w:val="32"/>
        </w:rPr>
      </w:pPr>
      <w:r>
        <w:rPr>
          <w:rFonts w:hint="eastAsia" w:ascii="宋体" w:hAnsi="宋体" w:eastAsia="宋体" w:cs="宋体"/>
          <w:color w:val="auto"/>
        </w:rPr>
        <w:br w:type="page"/>
      </w:r>
      <w:bookmarkStart w:id="262" w:name="_Toc15632"/>
      <w:r>
        <w:rPr>
          <w:rFonts w:hint="eastAsia" w:ascii="宋体" w:hAnsi="宋体" w:eastAsia="宋体" w:cs="宋体"/>
          <w:b/>
          <w:bCs/>
          <w:color w:val="auto"/>
          <w:sz w:val="32"/>
          <w:szCs w:val="32"/>
        </w:rPr>
        <w:t>2.商务响应表（必须提供）</w:t>
      </w:r>
      <w:bookmarkEnd w:id="262"/>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商务响应表（格式）</w:t>
      </w:r>
    </w:p>
    <w:p>
      <w:pPr>
        <w:snapToGrid w:val="0"/>
        <w:spacing w:line="400" w:lineRule="exact"/>
        <w:rPr>
          <w:rFonts w:hint="eastAsia"/>
          <w:color w:val="auto"/>
        </w:rPr>
      </w:pPr>
      <w:r>
        <w:rPr>
          <w:rFonts w:hint="eastAsia"/>
          <w:b/>
          <w:bCs/>
          <w:color w:val="auto"/>
        </w:rPr>
        <w:t>分标：</w:t>
      </w:r>
      <w:r>
        <w:rPr>
          <w:rFonts w:hint="eastAsia"/>
          <w:b/>
          <w:bCs/>
          <w:color w:val="auto"/>
          <w:u w:val="single"/>
        </w:rPr>
        <w:t xml:space="preserve">     </w:t>
      </w:r>
    </w:p>
    <w:tbl>
      <w:tblPr>
        <w:tblStyle w:val="26"/>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176"/>
        <w:gridCol w:w="2197"/>
        <w:gridCol w:w="283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项号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int="eastAsia" w:ascii="宋体" w:hAnsi="宋体" w:eastAsia="宋体" w:cs="宋体"/>
                <w:b/>
                <w:bCs/>
                <w:color w:val="auto"/>
              </w:rPr>
            </w:pPr>
            <w:r>
              <w:rPr>
                <w:rFonts w:hint="eastAsia" w:ascii="宋体" w:hAnsi="宋体" w:eastAsia="宋体" w:cs="宋体"/>
                <w:b/>
                <w:bCs/>
                <w:color w:val="auto"/>
                <w:szCs w:val="24"/>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int="eastAsia" w:ascii="宋体" w:hAnsi="宋体" w:eastAsia="宋体" w:cs="宋体"/>
                <w:b/>
                <w:bCs/>
                <w:color w:val="auto"/>
              </w:rPr>
            </w:pPr>
            <w:r>
              <w:rPr>
                <w:rFonts w:hint="eastAsia" w:ascii="宋体" w:hAnsi="宋体" w:eastAsia="宋体" w:cs="宋体"/>
                <w:b/>
                <w:bCs/>
                <w:color w:val="auto"/>
                <w:szCs w:val="24"/>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int="eastAsia" w:ascii="宋体" w:hAnsi="宋体" w:eastAsia="宋体" w:cs="宋体"/>
                <w:b/>
                <w:bCs/>
                <w:color w:val="auto"/>
              </w:rPr>
            </w:pPr>
            <w:r>
              <w:rPr>
                <w:rFonts w:hint="eastAsia" w:ascii="宋体" w:hAnsi="宋体" w:eastAsia="宋体" w:cs="宋体"/>
                <w:b/>
                <w:bCs/>
                <w:color w:val="auto"/>
                <w:szCs w:val="24"/>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hint="eastAsia" w:ascii="宋体" w:hAnsi="宋体" w:eastAsia="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auto"/>
                <w:szCs w:val="21"/>
              </w:rPr>
            </w:pPr>
          </w:p>
        </w:tc>
      </w:tr>
    </w:tbl>
    <w:p>
      <w:pPr>
        <w:snapToGrid w:val="0"/>
        <w:spacing w:before="50" w:after="50"/>
        <w:rPr>
          <w:rFonts w:hint="eastAsia" w:ascii="宋体" w:hAnsi="宋体" w:eastAsia="宋体" w:cs="宋体"/>
          <w:color w:val="auto"/>
        </w:rPr>
      </w:pPr>
      <w:r>
        <w:rPr>
          <w:rFonts w:hint="eastAsia" w:ascii="宋体" w:hAnsi="宋体" w:eastAsia="宋体" w:cs="宋体"/>
          <w:color w:val="auto"/>
        </w:rPr>
        <w:t>注：供应商应对照招标文件中商务要求的内容逐条响应，并在“偏离情况说明”栏注明“正偏离”、“负偏离”或“无偏离”。</w:t>
      </w:r>
    </w:p>
    <w:p>
      <w:pPr>
        <w:snapToGrid w:val="0"/>
        <w:spacing w:before="50" w:after="50"/>
        <w:rPr>
          <w:rFonts w:hint="eastAsia" w:ascii="宋体" w:hAnsi="宋体" w:eastAsia="宋体" w:cs="宋体"/>
          <w:color w:val="auto"/>
          <w:spacing w:val="20"/>
          <w:sz w:val="24"/>
        </w:rPr>
      </w:pPr>
    </w:p>
    <w:p>
      <w:pPr>
        <w:snapToGrid w:val="0"/>
        <w:spacing w:line="400" w:lineRule="exact"/>
        <w:ind w:firstLine="1890" w:firstLineChars="900"/>
        <w:rPr>
          <w:rFonts w:hint="eastAsia" w:ascii="宋体" w:hAnsi="宋体" w:eastAsia="宋体" w:cs="宋体"/>
          <w:color w:val="auto"/>
          <w:szCs w:val="21"/>
          <w:u w:val="single"/>
        </w:rPr>
      </w:pPr>
      <w:r>
        <w:rPr>
          <w:rFonts w:hint="eastAsia" w:ascii="宋体" w:hAnsi="宋体" w:eastAsia="宋体" w:cs="宋体"/>
          <w:color w:val="auto"/>
          <w:szCs w:val="21"/>
        </w:rPr>
        <w:t>投标人（公章，自然人除外）：</w:t>
      </w:r>
      <w:r>
        <w:rPr>
          <w:rFonts w:hint="eastAsia" w:ascii="宋体" w:hAnsi="宋体" w:eastAsia="宋体" w:cs="宋体"/>
          <w:color w:val="auto"/>
          <w:szCs w:val="21"/>
          <w:u w:val="single"/>
        </w:rPr>
        <w:t xml:space="preserve">                                         </w:t>
      </w:r>
    </w:p>
    <w:p>
      <w:pPr>
        <w:spacing w:line="340" w:lineRule="exact"/>
        <w:ind w:firstLine="1890" w:firstLineChars="900"/>
        <w:rPr>
          <w:rFonts w:hint="eastAsia" w:ascii="宋体" w:hAnsi="宋体" w:eastAsia="宋体" w:cs="宋体"/>
          <w:color w:val="auto"/>
        </w:rPr>
      </w:pPr>
      <w:r>
        <w:rPr>
          <w:rFonts w:hint="eastAsia" w:ascii="宋体" w:hAnsi="宋体" w:eastAsia="宋体" w:cs="宋体"/>
          <w:color w:val="auto"/>
        </w:rPr>
        <w:t>法定代表人、负责人、自然人或相应的委托代理人签字（或盖章）</w:t>
      </w:r>
    </w:p>
    <w:p>
      <w:pPr>
        <w:spacing w:line="340" w:lineRule="exact"/>
        <w:ind w:firstLine="1680" w:firstLineChars="800"/>
        <w:rPr>
          <w:rFonts w:hint="eastAsia" w:ascii="宋体" w:hAnsi="宋体" w:eastAsia="宋体" w:cs="宋体"/>
          <w:color w:val="auto"/>
          <w:szCs w:val="21"/>
          <w:u w:val="single"/>
        </w:rPr>
      </w:pPr>
      <w:r>
        <w:rPr>
          <w:rFonts w:hint="eastAsia" w:ascii="宋体" w:hAnsi="宋体" w:eastAsia="宋体" w:cs="宋体"/>
          <w:color w:val="auto"/>
        </w:rPr>
        <w:t>（属自然人的应在签名处加盖大拇指指印）：</w:t>
      </w:r>
      <w:r>
        <w:rPr>
          <w:rFonts w:hint="eastAsia" w:ascii="宋体" w:hAnsi="宋体" w:eastAsia="宋体" w:cs="宋体"/>
          <w:color w:val="auto"/>
          <w:szCs w:val="21"/>
          <w:u w:val="single"/>
        </w:rPr>
        <w:t xml:space="preserve">                              </w:t>
      </w:r>
    </w:p>
    <w:p>
      <w:pPr>
        <w:spacing w:line="340" w:lineRule="exact"/>
        <w:ind w:firstLine="1680" w:firstLineChars="800"/>
        <w:rPr>
          <w:rFonts w:hint="eastAsia" w:ascii="宋体" w:hAnsi="宋体" w:eastAsia="宋体" w:cs="宋体"/>
          <w:color w:val="auto"/>
          <w:szCs w:val="21"/>
          <w:u w:val="single"/>
        </w:rPr>
      </w:pPr>
    </w:p>
    <w:p>
      <w:pPr>
        <w:ind w:firstLine="1890" w:firstLineChars="900"/>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p>
      <w:pPr>
        <w:ind w:firstLine="1890" w:firstLineChars="900"/>
        <w:rPr>
          <w:rFonts w:hint="eastAsia" w:ascii="宋体" w:hAnsi="宋体" w:eastAsia="宋体" w:cs="宋体"/>
          <w:color w:val="auto"/>
          <w:u w:val="single"/>
        </w:rPr>
      </w:pPr>
    </w:p>
    <w:p>
      <w:pPr>
        <w:ind w:firstLine="1890" w:firstLineChars="900"/>
        <w:rPr>
          <w:rFonts w:hint="eastAsia" w:ascii="宋体" w:hAnsi="宋体" w:eastAsia="宋体" w:cs="宋体"/>
          <w:color w:val="auto"/>
          <w:u w:val="single"/>
        </w:rPr>
      </w:pPr>
    </w:p>
    <w:p>
      <w:pPr>
        <w:spacing w:line="400" w:lineRule="exact"/>
        <w:ind w:left="982" w:leftChars="200" w:hanging="562" w:hanging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注：</w:t>
      </w:r>
      <w:r>
        <w:rPr>
          <w:rFonts w:hint="eastAsia" w:ascii="宋体" w:hAnsi="宋体" w:eastAsia="宋体" w:cs="宋体"/>
          <w:b/>
          <w:color w:val="auto"/>
          <w:sz w:val="24"/>
        </w:rPr>
        <w:t>1.“商务响应表”各项内容必须如实填写。</w:t>
      </w:r>
    </w:p>
    <w:p>
      <w:pPr>
        <w:spacing w:line="400" w:lineRule="exact"/>
        <w:ind w:firstLine="964" w:firstLineChars="400"/>
        <w:rPr>
          <w:rFonts w:hint="eastAsia" w:ascii="宋体" w:hAnsi="宋体" w:eastAsia="宋体" w:cs="宋体"/>
          <w:b/>
          <w:bCs/>
          <w:color w:val="auto"/>
          <w:sz w:val="28"/>
          <w:szCs w:val="28"/>
        </w:rPr>
      </w:pPr>
      <w:r>
        <w:rPr>
          <w:rFonts w:hint="eastAsia" w:ascii="宋体" w:hAnsi="宋体" w:eastAsia="宋体" w:cs="宋体"/>
          <w:b/>
          <w:color w:val="auto"/>
          <w:sz w:val="24"/>
        </w:rPr>
        <w:t>2.当本表由多页构成时，需逐页加盖投标人公章（属自然人的须逐页签字）。</w:t>
      </w:r>
    </w:p>
    <w:p>
      <w:pPr>
        <w:ind w:firstLine="1890" w:firstLineChars="900"/>
        <w:rPr>
          <w:rFonts w:hint="eastAsia" w:ascii="宋体" w:hAnsi="宋体" w:eastAsia="宋体" w:cs="宋体"/>
          <w:color w:val="auto"/>
        </w:rPr>
      </w:pPr>
    </w:p>
    <w:p>
      <w:pPr>
        <w:rPr>
          <w:rFonts w:hint="eastAsia" w:ascii="宋体" w:hAnsi="宋体" w:eastAsia="宋体" w:cs="宋体"/>
          <w:b/>
          <w:bCs/>
          <w:color w:val="auto"/>
          <w:sz w:val="32"/>
          <w:szCs w:val="32"/>
        </w:rPr>
      </w:pPr>
      <w:r>
        <w:rPr>
          <w:rFonts w:hint="eastAsia" w:ascii="宋体" w:hAnsi="宋体" w:eastAsia="宋体" w:cs="宋体"/>
          <w:color w:val="auto"/>
        </w:rPr>
        <w:br w:type="page"/>
      </w:r>
      <w:bookmarkStart w:id="263" w:name="_Toc495841796"/>
      <w:bookmarkStart w:id="264" w:name="_Toc18341"/>
      <w:r>
        <w:rPr>
          <w:rFonts w:hint="eastAsia" w:ascii="宋体" w:hAnsi="宋体" w:eastAsia="宋体" w:cs="宋体"/>
          <w:b/>
          <w:bCs/>
          <w:color w:val="auto"/>
          <w:sz w:val="32"/>
          <w:szCs w:val="32"/>
        </w:rPr>
        <w:t>3.“货物采购需求”需提供的有效证明文件（按其要求提供）：</w:t>
      </w:r>
      <w:bookmarkEnd w:id="263"/>
      <w:bookmarkEnd w:id="264"/>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65" w:name="_Toc495841797"/>
      <w:bookmarkStart w:id="266" w:name="_Toc12988"/>
      <w:r>
        <w:rPr>
          <w:rFonts w:hint="eastAsia" w:ascii="宋体" w:hAnsi="宋体" w:eastAsia="宋体" w:cs="宋体"/>
          <w:b/>
          <w:bCs/>
          <w:color w:val="auto"/>
          <w:sz w:val="32"/>
          <w:szCs w:val="32"/>
        </w:rPr>
        <w:t>4.投标人的售后服务承诺书（含免费保修期、交付使用期、技术服务、技术培训、售后服务的内容和措施等）（必须提供）</w:t>
      </w:r>
      <w:bookmarkEnd w:id="265"/>
      <w:bookmarkEnd w:id="266"/>
    </w:p>
    <w:p>
      <w:pPr>
        <w:ind w:firstLine="472" w:firstLineChars="147"/>
        <w:jc w:val="center"/>
        <w:rPr>
          <w:rFonts w:hint="eastAsia" w:ascii="宋体" w:hAnsi="宋体" w:eastAsia="宋体" w:cs="宋体"/>
          <w:b/>
          <w:bCs/>
          <w:color w:val="auto"/>
          <w:sz w:val="32"/>
          <w:szCs w:val="32"/>
        </w:rPr>
      </w:pPr>
    </w:p>
    <w:p>
      <w:pPr>
        <w:ind w:firstLine="472" w:firstLineChars="147"/>
        <w:jc w:val="center"/>
        <w:rPr>
          <w:rFonts w:hint="eastAsia" w:ascii="宋体" w:hAnsi="宋体" w:eastAsia="宋体" w:cs="宋体"/>
          <w:b/>
          <w:bCs/>
          <w:color w:val="auto"/>
          <w:sz w:val="32"/>
        </w:rPr>
      </w:pPr>
      <w:r>
        <w:rPr>
          <w:rFonts w:hint="eastAsia" w:ascii="宋体" w:hAnsi="宋体" w:eastAsia="宋体" w:cs="宋体"/>
          <w:b/>
          <w:bCs/>
          <w:color w:val="auto"/>
          <w:sz w:val="32"/>
          <w:szCs w:val="32"/>
        </w:rPr>
        <w:t>售后服务承诺书</w:t>
      </w:r>
      <w:r>
        <w:rPr>
          <w:rFonts w:hint="eastAsia" w:ascii="宋体" w:hAnsi="宋体" w:eastAsia="宋体" w:cs="宋体"/>
          <w:b/>
          <w:bCs/>
          <w:color w:val="auto"/>
          <w:sz w:val="32"/>
        </w:rPr>
        <w:t>（格式）</w:t>
      </w:r>
    </w:p>
    <w:p>
      <w:pPr>
        <w:snapToGrid w:val="0"/>
        <w:spacing w:line="400" w:lineRule="exact"/>
        <w:rPr>
          <w:rFonts w:hint="eastAsia" w:ascii="宋体" w:hAnsi="宋体" w:eastAsia="宋体" w:cs="宋体"/>
          <w:color w:val="auto"/>
          <w:sz w:val="32"/>
          <w:szCs w:val="32"/>
        </w:rPr>
      </w:pPr>
      <w:r>
        <w:rPr>
          <w:rFonts w:hint="eastAsia"/>
          <w:b/>
          <w:bCs/>
          <w:color w:val="auto"/>
        </w:rPr>
        <w:t>分标：</w:t>
      </w:r>
      <w:r>
        <w:rPr>
          <w:rFonts w:hint="eastAsia"/>
          <w:b/>
          <w:bCs/>
          <w:color w:val="auto"/>
          <w:u w:val="single"/>
        </w:rPr>
        <w:t xml:space="preserve">     </w:t>
      </w:r>
    </w:p>
    <w:p>
      <w:pPr>
        <w:pStyle w:val="43"/>
        <w:rPr>
          <w:rFonts w:hint="eastAsia"/>
          <w:color w:val="auto"/>
        </w:rPr>
      </w:pPr>
    </w:p>
    <w:p>
      <w:pPr>
        <w:spacing w:line="400" w:lineRule="exact"/>
        <w:rPr>
          <w:rFonts w:hint="eastAsia" w:ascii="宋体" w:hAnsi="宋体" w:eastAsia="宋体" w:cs="宋体"/>
          <w:color w:val="auto"/>
          <w:sz w:val="32"/>
          <w:szCs w:val="32"/>
        </w:rPr>
      </w:pPr>
    </w:p>
    <w:p>
      <w:pPr>
        <w:spacing w:line="400" w:lineRule="exact"/>
        <w:rPr>
          <w:rFonts w:hint="eastAsia" w:ascii="宋体" w:hAnsi="宋体" w:eastAsia="宋体" w:cs="宋体"/>
          <w:color w:val="auto"/>
          <w:sz w:val="32"/>
          <w:szCs w:val="32"/>
        </w:rPr>
      </w:pPr>
    </w:p>
    <w:p>
      <w:pPr>
        <w:spacing w:line="400" w:lineRule="exact"/>
        <w:rPr>
          <w:rFonts w:hint="eastAsia" w:ascii="宋体" w:hAnsi="宋体" w:eastAsia="宋体" w:cs="宋体"/>
          <w:color w:val="auto"/>
          <w:sz w:val="32"/>
          <w:szCs w:val="32"/>
        </w:rPr>
      </w:pPr>
    </w:p>
    <w:p>
      <w:pPr>
        <w:snapToGrid w:val="0"/>
        <w:spacing w:line="400" w:lineRule="exact"/>
        <w:ind w:firstLine="1890" w:firstLineChars="900"/>
        <w:rPr>
          <w:rFonts w:hint="eastAsia" w:ascii="宋体" w:hAnsi="宋体" w:eastAsia="宋体" w:cs="宋体"/>
          <w:color w:val="auto"/>
          <w:szCs w:val="21"/>
          <w:u w:val="single"/>
        </w:rPr>
      </w:pPr>
      <w:r>
        <w:rPr>
          <w:rFonts w:hint="eastAsia" w:ascii="宋体" w:hAnsi="宋体" w:eastAsia="宋体" w:cs="宋体"/>
          <w:color w:val="auto"/>
          <w:szCs w:val="21"/>
        </w:rPr>
        <w:t>投投标人（公章，自然人除外）：</w:t>
      </w:r>
      <w:r>
        <w:rPr>
          <w:rFonts w:hint="eastAsia" w:ascii="宋体" w:hAnsi="宋体" w:eastAsia="宋体" w:cs="宋体"/>
          <w:color w:val="auto"/>
          <w:szCs w:val="21"/>
          <w:u w:val="single"/>
        </w:rPr>
        <w:t xml:space="preserve">                                         </w:t>
      </w:r>
    </w:p>
    <w:p>
      <w:pPr>
        <w:spacing w:line="340" w:lineRule="exact"/>
        <w:ind w:firstLine="1890" w:firstLineChars="900"/>
        <w:rPr>
          <w:rFonts w:hint="eastAsia" w:ascii="宋体" w:hAnsi="宋体" w:eastAsia="宋体" w:cs="宋体"/>
          <w:color w:val="auto"/>
        </w:rPr>
      </w:pPr>
      <w:r>
        <w:rPr>
          <w:rFonts w:hint="eastAsia" w:ascii="宋体" w:hAnsi="宋体" w:eastAsia="宋体" w:cs="宋体"/>
          <w:color w:val="auto"/>
        </w:rPr>
        <w:t>法定代表人、负责人、自然人或相应的委托代理人签字（或盖章）</w:t>
      </w:r>
    </w:p>
    <w:p>
      <w:pPr>
        <w:spacing w:line="340" w:lineRule="exact"/>
        <w:ind w:firstLine="1680" w:firstLineChars="800"/>
        <w:rPr>
          <w:rFonts w:hint="eastAsia" w:ascii="宋体" w:hAnsi="宋体" w:eastAsia="宋体" w:cs="宋体"/>
          <w:color w:val="auto"/>
          <w:szCs w:val="21"/>
          <w:u w:val="single"/>
        </w:rPr>
      </w:pPr>
      <w:r>
        <w:rPr>
          <w:rFonts w:hint="eastAsia" w:ascii="宋体" w:hAnsi="宋体" w:eastAsia="宋体" w:cs="宋体"/>
          <w:color w:val="auto"/>
        </w:rPr>
        <w:t>（属自然人的应在签名处加盖大拇指指印）：</w:t>
      </w:r>
      <w:r>
        <w:rPr>
          <w:rFonts w:hint="eastAsia" w:ascii="宋体" w:hAnsi="宋体" w:eastAsia="宋体" w:cs="宋体"/>
          <w:color w:val="auto"/>
          <w:szCs w:val="21"/>
          <w:u w:val="single"/>
        </w:rPr>
        <w:t xml:space="preserve">                              </w:t>
      </w:r>
    </w:p>
    <w:p>
      <w:pPr>
        <w:spacing w:line="340" w:lineRule="exact"/>
        <w:ind w:firstLine="1680" w:firstLineChars="800"/>
        <w:rPr>
          <w:rFonts w:hint="eastAsia" w:ascii="宋体" w:hAnsi="宋体" w:eastAsia="宋体" w:cs="宋体"/>
          <w:color w:val="auto"/>
          <w:szCs w:val="21"/>
          <w:u w:val="single"/>
        </w:rPr>
      </w:pPr>
    </w:p>
    <w:p>
      <w:pPr>
        <w:snapToGrid w:val="0"/>
        <w:spacing w:line="400" w:lineRule="exact"/>
        <w:ind w:firstLine="1680" w:firstLineChars="800"/>
        <w:rPr>
          <w:rFonts w:hint="eastAsia" w:ascii="宋体" w:hAnsi="宋体" w:eastAsia="宋体" w:cs="宋体"/>
          <w:color w:val="auto"/>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pacing w:line="380" w:lineRule="exact"/>
        <w:rPr>
          <w:rFonts w:hint="eastAsia" w:ascii="宋体" w:hAnsi="宋体" w:eastAsia="宋体" w:cs="宋体"/>
          <w:b/>
          <w:color w:val="auto"/>
          <w:sz w:val="32"/>
          <w:szCs w:val="32"/>
        </w:rPr>
      </w:pPr>
    </w:p>
    <w:p>
      <w:pPr>
        <w:spacing w:line="380" w:lineRule="exact"/>
        <w:rPr>
          <w:rFonts w:hint="eastAsia" w:ascii="宋体" w:hAnsi="宋体" w:eastAsia="宋体" w:cs="宋体"/>
          <w:b/>
          <w:color w:val="auto"/>
          <w:sz w:val="32"/>
          <w:szCs w:val="32"/>
        </w:rPr>
      </w:pPr>
    </w:p>
    <w:p>
      <w:pPr>
        <w:rPr>
          <w:rFonts w:hint="eastAsia" w:ascii="宋体" w:hAnsi="宋体" w:eastAsia="宋体" w:cs="宋体"/>
          <w:b/>
          <w:bCs/>
          <w:color w:val="auto"/>
          <w:sz w:val="32"/>
          <w:szCs w:val="32"/>
        </w:rPr>
      </w:pPr>
      <w:bookmarkStart w:id="267" w:name="_Toc495841798"/>
      <w:r>
        <w:rPr>
          <w:rFonts w:hint="eastAsia" w:ascii="宋体" w:hAnsi="宋体" w:eastAsia="宋体" w:cs="宋体"/>
          <w:b/>
          <w:color w:val="auto"/>
          <w:sz w:val="32"/>
          <w:szCs w:val="32"/>
        </w:rPr>
        <w:br w:type="page"/>
      </w:r>
      <w:bookmarkStart w:id="268" w:name="_Toc7840"/>
      <w:r>
        <w:rPr>
          <w:rFonts w:hint="eastAsia" w:ascii="宋体" w:hAnsi="宋体" w:eastAsia="宋体" w:cs="宋体"/>
          <w:b/>
          <w:bCs/>
          <w:color w:val="auto"/>
          <w:sz w:val="32"/>
          <w:szCs w:val="32"/>
        </w:rPr>
        <w:t>5.</w:t>
      </w:r>
      <w:bookmarkEnd w:id="267"/>
      <w:r>
        <w:rPr>
          <w:rFonts w:hint="eastAsia" w:ascii="宋体" w:hAnsi="宋体" w:eastAsia="宋体" w:cs="宋体"/>
          <w:b/>
          <w:bCs/>
          <w:color w:val="auto"/>
          <w:sz w:val="32"/>
          <w:szCs w:val="32"/>
        </w:rPr>
        <w:t>项目实施人员一览表【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如投标人为事业单位，可以提供事业单位机构编制管理证复印件或事业单位机构为其发放工资的工资条复印件代替社保证明复印件；如项目实施人员为免缴纳社保人员，提供免缴纳社保的证明材料复印件及投标人与项目实施人员签订的劳动合同复印件代替社保证明复印件】</w:t>
      </w:r>
      <w:bookmarkEnd w:id="268"/>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w:t>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项目实施人员一览表（格式）</w:t>
      </w:r>
    </w:p>
    <w:p>
      <w:pPr>
        <w:snapToGrid w:val="0"/>
        <w:spacing w:line="400" w:lineRule="exact"/>
        <w:rPr>
          <w:rFonts w:hint="eastAsia" w:ascii="宋体" w:hAnsi="宋体" w:eastAsia="宋体" w:cs="宋体"/>
          <w:b/>
          <w:bCs/>
          <w:color w:val="auto"/>
          <w:sz w:val="32"/>
          <w:szCs w:val="32"/>
        </w:rPr>
      </w:pPr>
      <w:r>
        <w:rPr>
          <w:rFonts w:hint="eastAsia"/>
          <w:b/>
          <w:bCs/>
          <w:color w:val="auto"/>
        </w:rPr>
        <w:t>分标：</w:t>
      </w:r>
      <w:r>
        <w:rPr>
          <w:rFonts w:hint="eastAsia"/>
          <w:b/>
          <w:bCs/>
          <w:color w:val="auto"/>
          <w:u w:val="single"/>
        </w:rPr>
        <w:t xml:space="preserve">     </w:t>
      </w:r>
      <w:r>
        <w:rPr>
          <w:rFonts w:hint="eastAsia" w:ascii="宋体" w:hAnsi="宋体" w:eastAsia="宋体" w:cs="宋体"/>
          <w:b/>
          <w:bCs/>
          <w:color w:val="auto"/>
          <w:sz w:val="32"/>
          <w:szCs w:val="32"/>
        </w:rPr>
        <w:t xml:space="preserve">     </w:t>
      </w:r>
    </w:p>
    <w:tbl>
      <w:tblPr>
        <w:tblStyle w:val="2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姓 名</w:t>
            </w:r>
          </w:p>
        </w:tc>
        <w:tc>
          <w:tcPr>
            <w:tcW w:w="993" w:type="dxa"/>
            <w:shd w:val="clear" w:color="auto" w:fill="8DB3E2"/>
            <w:vAlign w:val="center"/>
          </w:tcPr>
          <w:p>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职务</w:t>
            </w:r>
          </w:p>
        </w:tc>
        <w:tc>
          <w:tcPr>
            <w:tcW w:w="1888" w:type="dxa"/>
            <w:shd w:val="clear" w:color="auto" w:fill="8DB3E2"/>
            <w:vAlign w:val="center"/>
          </w:tcPr>
          <w:p>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专业技术资格</w:t>
            </w:r>
          </w:p>
        </w:tc>
        <w:tc>
          <w:tcPr>
            <w:tcW w:w="1559" w:type="dxa"/>
            <w:shd w:val="clear" w:color="auto" w:fill="8DB3E2"/>
            <w:vAlign w:val="center"/>
          </w:tcPr>
          <w:p>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证书编号</w:t>
            </w:r>
          </w:p>
        </w:tc>
        <w:tc>
          <w:tcPr>
            <w:tcW w:w="2163" w:type="dxa"/>
            <w:shd w:val="clear" w:color="auto" w:fill="8DB3E2"/>
            <w:vAlign w:val="center"/>
          </w:tcPr>
          <w:p>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参加工作时间</w:t>
            </w:r>
          </w:p>
        </w:tc>
        <w:tc>
          <w:tcPr>
            <w:tcW w:w="1477" w:type="dxa"/>
            <w:shd w:val="clear" w:color="auto" w:fill="8DB3E2"/>
            <w:vAlign w:val="center"/>
          </w:tcPr>
          <w:p>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auto"/>
                <w:szCs w:val="21"/>
              </w:rPr>
            </w:pPr>
          </w:p>
        </w:tc>
        <w:tc>
          <w:tcPr>
            <w:tcW w:w="993" w:type="dxa"/>
            <w:vAlign w:val="top"/>
          </w:tcPr>
          <w:p>
            <w:pPr>
              <w:spacing w:line="400" w:lineRule="exact"/>
              <w:rPr>
                <w:rFonts w:hint="eastAsia" w:ascii="宋体" w:hAnsi="宋体" w:eastAsia="宋体" w:cs="宋体"/>
                <w:color w:val="auto"/>
                <w:szCs w:val="21"/>
              </w:rPr>
            </w:pPr>
          </w:p>
        </w:tc>
        <w:tc>
          <w:tcPr>
            <w:tcW w:w="1888" w:type="dxa"/>
            <w:vAlign w:val="top"/>
          </w:tcPr>
          <w:p>
            <w:pPr>
              <w:spacing w:line="400" w:lineRule="exact"/>
              <w:rPr>
                <w:rFonts w:hint="eastAsia" w:ascii="宋体" w:hAnsi="宋体" w:eastAsia="宋体" w:cs="宋体"/>
                <w:color w:val="auto"/>
                <w:szCs w:val="21"/>
              </w:rPr>
            </w:pPr>
          </w:p>
        </w:tc>
        <w:tc>
          <w:tcPr>
            <w:tcW w:w="1559" w:type="dxa"/>
            <w:vAlign w:val="top"/>
          </w:tcPr>
          <w:p>
            <w:pPr>
              <w:spacing w:line="400" w:lineRule="exact"/>
              <w:rPr>
                <w:rFonts w:hint="eastAsia" w:ascii="宋体" w:hAnsi="宋体" w:eastAsia="宋体" w:cs="宋体"/>
                <w:color w:val="auto"/>
                <w:szCs w:val="21"/>
              </w:rPr>
            </w:pPr>
          </w:p>
        </w:tc>
        <w:tc>
          <w:tcPr>
            <w:tcW w:w="2163" w:type="dxa"/>
            <w:vAlign w:val="top"/>
          </w:tcPr>
          <w:p>
            <w:pPr>
              <w:spacing w:line="400" w:lineRule="exact"/>
              <w:rPr>
                <w:rFonts w:hint="eastAsia" w:ascii="宋体" w:hAnsi="宋体" w:eastAsia="宋体" w:cs="宋体"/>
                <w:color w:val="auto"/>
                <w:szCs w:val="21"/>
              </w:rPr>
            </w:pPr>
          </w:p>
        </w:tc>
        <w:tc>
          <w:tcPr>
            <w:tcW w:w="1477" w:type="dxa"/>
            <w:vAlign w:val="top"/>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auto"/>
                <w:szCs w:val="21"/>
              </w:rPr>
            </w:pPr>
          </w:p>
        </w:tc>
        <w:tc>
          <w:tcPr>
            <w:tcW w:w="993" w:type="dxa"/>
            <w:vAlign w:val="top"/>
          </w:tcPr>
          <w:p>
            <w:pPr>
              <w:spacing w:line="400" w:lineRule="exact"/>
              <w:rPr>
                <w:rFonts w:hint="eastAsia" w:ascii="宋体" w:hAnsi="宋体" w:eastAsia="宋体" w:cs="宋体"/>
                <w:color w:val="auto"/>
                <w:szCs w:val="21"/>
              </w:rPr>
            </w:pPr>
          </w:p>
        </w:tc>
        <w:tc>
          <w:tcPr>
            <w:tcW w:w="1888" w:type="dxa"/>
            <w:vAlign w:val="top"/>
          </w:tcPr>
          <w:p>
            <w:pPr>
              <w:spacing w:line="400" w:lineRule="exact"/>
              <w:rPr>
                <w:rFonts w:hint="eastAsia" w:ascii="宋体" w:hAnsi="宋体" w:eastAsia="宋体" w:cs="宋体"/>
                <w:color w:val="auto"/>
                <w:szCs w:val="21"/>
              </w:rPr>
            </w:pPr>
          </w:p>
        </w:tc>
        <w:tc>
          <w:tcPr>
            <w:tcW w:w="1559" w:type="dxa"/>
            <w:vAlign w:val="top"/>
          </w:tcPr>
          <w:p>
            <w:pPr>
              <w:spacing w:line="400" w:lineRule="exact"/>
              <w:rPr>
                <w:rFonts w:hint="eastAsia" w:ascii="宋体" w:hAnsi="宋体" w:eastAsia="宋体" w:cs="宋体"/>
                <w:color w:val="auto"/>
                <w:szCs w:val="21"/>
              </w:rPr>
            </w:pPr>
          </w:p>
        </w:tc>
        <w:tc>
          <w:tcPr>
            <w:tcW w:w="2163" w:type="dxa"/>
            <w:vAlign w:val="top"/>
          </w:tcPr>
          <w:p>
            <w:pPr>
              <w:spacing w:line="400" w:lineRule="exact"/>
              <w:rPr>
                <w:rFonts w:hint="eastAsia" w:ascii="宋体" w:hAnsi="宋体" w:eastAsia="宋体" w:cs="宋体"/>
                <w:color w:val="auto"/>
                <w:szCs w:val="21"/>
              </w:rPr>
            </w:pPr>
          </w:p>
        </w:tc>
        <w:tc>
          <w:tcPr>
            <w:tcW w:w="1477" w:type="dxa"/>
            <w:vAlign w:val="top"/>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auto"/>
                <w:szCs w:val="21"/>
              </w:rPr>
            </w:pPr>
          </w:p>
        </w:tc>
        <w:tc>
          <w:tcPr>
            <w:tcW w:w="993" w:type="dxa"/>
            <w:vAlign w:val="top"/>
          </w:tcPr>
          <w:p>
            <w:pPr>
              <w:spacing w:line="400" w:lineRule="exact"/>
              <w:rPr>
                <w:rFonts w:hint="eastAsia" w:ascii="宋体" w:hAnsi="宋体" w:eastAsia="宋体" w:cs="宋体"/>
                <w:color w:val="auto"/>
                <w:szCs w:val="21"/>
              </w:rPr>
            </w:pPr>
          </w:p>
        </w:tc>
        <w:tc>
          <w:tcPr>
            <w:tcW w:w="1888" w:type="dxa"/>
            <w:vAlign w:val="top"/>
          </w:tcPr>
          <w:p>
            <w:pPr>
              <w:spacing w:line="400" w:lineRule="exact"/>
              <w:rPr>
                <w:rFonts w:hint="eastAsia" w:ascii="宋体" w:hAnsi="宋体" w:eastAsia="宋体" w:cs="宋体"/>
                <w:color w:val="auto"/>
                <w:szCs w:val="21"/>
              </w:rPr>
            </w:pPr>
          </w:p>
        </w:tc>
        <w:tc>
          <w:tcPr>
            <w:tcW w:w="1559" w:type="dxa"/>
            <w:vAlign w:val="top"/>
          </w:tcPr>
          <w:p>
            <w:pPr>
              <w:spacing w:line="400" w:lineRule="exact"/>
              <w:rPr>
                <w:rFonts w:hint="eastAsia" w:ascii="宋体" w:hAnsi="宋体" w:eastAsia="宋体" w:cs="宋体"/>
                <w:color w:val="auto"/>
                <w:szCs w:val="21"/>
              </w:rPr>
            </w:pPr>
          </w:p>
        </w:tc>
        <w:tc>
          <w:tcPr>
            <w:tcW w:w="2163" w:type="dxa"/>
            <w:vAlign w:val="top"/>
          </w:tcPr>
          <w:p>
            <w:pPr>
              <w:spacing w:line="400" w:lineRule="exact"/>
              <w:rPr>
                <w:rFonts w:hint="eastAsia" w:ascii="宋体" w:hAnsi="宋体" w:eastAsia="宋体" w:cs="宋体"/>
                <w:color w:val="auto"/>
                <w:szCs w:val="21"/>
              </w:rPr>
            </w:pPr>
          </w:p>
        </w:tc>
        <w:tc>
          <w:tcPr>
            <w:tcW w:w="1477" w:type="dxa"/>
            <w:vAlign w:val="top"/>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auto"/>
                <w:szCs w:val="21"/>
              </w:rPr>
            </w:pPr>
          </w:p>
        </w:tc>
        <w:tc>
          <w:tcPr>
            <w:tcW w:w="993" w:type="dxa"/>
            <w:vAlign w:val="top"/>
          </w:tcPr>
          <w:p>
            <w:pPr>
              <w:spacing w:line="400" w:lineRule="exact"/>
              <w:rPr>
                <w:rFonts w:hint="eastAsia" w:ascii="宋体" w:hAnsi="宋体" w:eastAsia="宋体" w:cs="宋体"/>
                <w:color w:val="auto"/>
                <w:szCs w:val="21"/>
              </w:rPr>
            </w:pPr>
          </w:p>
        </w:tc>
        <w:tc>
          <w:tcPr>
            <w:tcW w:w="1888" w:type="dxa"/>
            <w:vAlign w:val="top"/>
          </w:tcPr>
          <w:p>
            <w:pPr>
              <w:spacing w:line="400" w:lineRule="exact"/>
              <w:rPr>
                <w:rFonts w:hint="eastAsia" w:ascii="宋体" w:hAnsi="宋体" w:eastAsia="宋体" w:cs="宋体"/>
                <w:color w:val="auto"/>
                <w:szCs w:val="21"/>
              </w:rPr>
            </w:pPr>
          </w:p>
        </w:tc>
        <w:tc>
          <w:tcPr>
            <w:tcW w:w="1559" w:type="dxa"/>
            <w:vAlign w:val="top"/>
          </w:tcPr>
          <w:p>
            <w:pPr>
              <w:spacing w:line="400" w:lineRule="exact"/>
              <w:rPr>
                <w:rFonts w:hint="eastAsia" w:ascii="宋体" w:hAnsi="宋体" w:eastAsia="宋体" w:cs="宋体"/>
                <w:color w:val="auto"/>
                <w:szCs w:val="21"/>
              </w:rPr>
            </w:pPr>
          </w:p>
        </w:tc>
        <w:tc>
          <w:tcPr>
            <w:tcW w:w="2163" w:type="dxa"/>
            <w:vAlign w:val="top"/>
          </w:tcPr>
          <w:p>
            <w:pPr>
              <w:spacing w:line="400" w:lineRule="exact"/>
              <w:rPr>
                <w:rFonts w:hint="eastAsia" w:ascii="宋体" w:hAnsi="宋体" w:eastAsia="宋体" w:cs="宋体"/>
                <w:color w:val="auto"/>
                <w:szCs w:val="21"/>
              </w:rPr>
            </w:pPr>
          </w:p>
        </w:tc>
        <w:tc>
          <w:tcPr>
            <w:tcW w:w="1477" w:type="dxa"/>
            <w:vAlign w:val="top"/>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auto"/>
                <w:szCs w:val="21"/>
              </w:rPr>
            </w:pPr>
          </w:p>
        </w:tc>
        <w:tc>
          <w:tcPr>
            <w:tcW w:w="993" w:type="dxa"/>
            <w:vAlign w:val="top"/>
          </w:tcPr>
          <w:p>
            <w:pPr>
              <w:spacing w:line="400" w:lineRule="exact"/>
              <w:rPr>
                <w:rFonts w:hint="eastAsia" w:ascii="宋体" w:hAnsi="宋体" w:eastAsia="宋体" w:cs="宋体"/>
                <w:color w:val="auto"/>
                <w:szCs w:val="21"/>
              </w:rPr>
            </w:pPr>
          </w:p>
        </w:tc>
        <w:tc>
          <w:tcPr>
            <w:tcW w:w="1888" w:type="dxa"/>
            <w:vAlign w:val="top"/>
          </w:tcPr>
          <w:p>
            <w:pPr>
              <w:spacing w:line="400" w:lineRule="exact"/>
              <w:rPr>
                <w:rFonts w:hint="eastAsia" w:ascii="宋体" w:hAnsi="宋体" w:eastAsia="宋体" w:cs="宋体"/>
                <w:color w:val="auto"/>
                <w:szCs w:val="21"/>
              </w:rPr>
            </w:pPr>
          </w:p>
        </w:tc>
        <w:tc>
          <w:tcPr>
            <w:tcW w:w="1559" w:type="dxa"/>
            <w:vAlign w:val="top"/>
          </w:tcPr>
          <w:p>
            <w:pPr>
              <w:spacing w:line="400" w:lineRule="exact"/>
              <w:rPr>
                <w:rFonts w:hint="eastAsia" w:ascii="宋体" w:hAnsi="宋体" w:eastAsia="宋体" w:cs="宋体"/>
                <w:color w:val="auto"/>
                <w:szCs w:val="21"/>
              </w:rPr>
            </w:pPr>
          </w:p>
        </w:tc>
        <w:tc>
          <w:tcPr>
            <w:tcW w:w="2163" w:type="dxa"/>
            <w:vAlign w:val="top"/>
          </w:tcPr>
          <w:p>
            <w:pPr>
              <w:spacing w:line="400" w:lineRule="exact"/>
              <w:rPr>
                <w:rFonts w:hint="eastAsia" w:ascii="宋体" w:hAnsi="宋体" w:eastAsia="宋体" w:cs="宋体"/>
                <w:color w:val="auto"/>
                <w:szCs w:val="21"/>
              </w:rPr>
            </w:pPr>
          </w:p>
        </w:tc>
        <w:tc>
          <w:tcPr>
            <w:tcW w:w="1477" w:type="dxa"/>
            <w:vAlign w:val="top"/>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auto"/>
                <w:szCs w:val="21"/>
              </w:rPr>
            </w:pPr>
          </w:p>
        </w:tc>
        <w:tc>
          <w:tcPr>
            <w:tcW w:w="993" w:type="dxa"/>
            <w:vAlign w:val="top"/>
          </w:tcPr>
          <w:p>
            <w:pPr>
              <w:spacing w:line="400" w:lineRule="exact"/>
              <w:rPr>
                <w:rFonts w:hint="eastAsia" w:ascii="宋体" w:hAnsi="宋体" w:eastAsia="宋体" w:cs="宋体"/>
                <w:color w:val="auto"/>
                <w:szCs w:val="21"/>
              </w:rPr>
            </w:pPr>
          </w:p>
        </w:tc>
        <w:tc>
          <w:tcPr>
            <w:tcW w:w="1888" w:type="dxa"/>
            <w:vAlign w:val="top"/>
          </w:tcPr>
          <w:p>
            <w:pPr>
              <w:spacing w:line="400" w:lineRule="exact"/>
              <w:rPr>
                <w:rFonts w:hint="eastAsia" w:ascii="宋体" w:hAnsi="宋体" w:eastAsia="宋体" w:cs="宋体"/>
                <w:color w:val="auto"/>
                <w:szCs w:val="21"/>
              </w:rPr>
            </w:pPr>
          </w:p>
        </w:tc>
        <w:tc>
          <w:tcPr>
            <w:tcW w:w="1559" w:type="dxa"/>
            <w:vAlign w:val="top"/>
          </w:tcPr>
          <w:p>
            <w:pPr>
              <w:spacing w:line="400" w:lineRule="exact"/>
              <w:rPr>
                <w:rFonts w:hint="eastAsia" w:ascii="宋体" w:hAnsi="宋体" w:eastAsia="宋体" w:cs="宋体"/>
                <w:color w:val="auto"/>
                <w:szCs w:val="21"/>
              </w:rPr>
            </w:pPr>
          </w:p>
        </w:tc>
        <w:tc>
          <w:tcPr>
            <w:tcW w:w="2163" w:type="dxa"/>
            <w:vAlign w:val="top"/>
          </w:tcPr>
          <w:p>
            <w:pPr>
              <w:spacing w:line="400" w:lineRule="exact"/>
              <w:rPr>
                <w:rFonts w:hint="eastAsia" w:ascii="宋体" w:hAnsi="宋体" w:eastAsia="宋体" w:cs="宋体"/>
                <w:color w:val="auto"/>
                <w:szCs w:val="21"/>
              </w:rPr>
            </w:pPr>
          </w:p>
        </w:tc>
        <w:tc>
          <w:tcPr>
            <w:tcW w:w="1477" w:type="dxa"/>
            <w:vAlign w:val="top"/>
          </w:tcPr>
          <w:p>
            <w:pPr>
              <w:spacing w:line="400" w:lineRule="exact"/>
              <w:rPr>
                <w:rFonts w:hint="eastAsia" w:ascii="宋体" w:hAnsi="宋体" w:eastAsia="宋体" w:cs="宋体"/>
                <w:color w:val="auto"/>
                <w:szCs w:val="21"/>
              </w:rPr>
            </w:pPr>
          </w:p>
        </w:tc>
      </w:tr>
    </w:tbl>
    <w:p>
      <w:pPr>
        <w:spacing w:line="400" w:lineRule="exact"/>
        <w:rPr>
          <w:rFonts w:hint="eastAsia" w:ascii="宋体" w:hAnsi="宋体" w:eastAsia="宋体" w:cs="宋体"/>
          <w:color w:val="auto"/>
          <w:szCs w:val="21"/>
        </w:rPr>
      </w:pPr>
    </w:p>
    <w:p>
      <w:pPr>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注：1.在填写时，如本表格不适合投标单位的实际情况，可根据本表格式自行制表填写。</w:t>
      </w:r>
    </w:p>
    <w:p>
      <w:pPr>
        <w:spacing w:line="400" w:lineRule="exact"/>
        <w:ind w:firstLine="3255" w:firstLineChars="1550"/>
        <w:rPr>
          <w:rFonts w:hint="eastAsia" w:ascii="宋体" w:hAnsi="宋体" w:eastAsia="宋体" w:cs="宋体"/>
          <w:color w:val="auto"/>
        </w:rPr>
      </w:pPr>
      <w:r>
        <w:rPr>
          <w:rFonts w:hint="eastAsia" w:ascii="宋体" w:hAnsi="宋体" w:eastAsia="宋体" w:cs="宋体"/>
          <w:color w:val="auto"/>
        </w:rPr>
        <w:t xml:space="preserve">   </w:t>
      </w:r>
    </w:p>
    <w:p>
      <w:pPr>
        <w:spacing w:line="400" w:lineRule="exact"/>
        <w:ind w:firstLine="3255" w:firstLineChars="1550"/>
        <w:rPr>
          <w:rFonts w:hint="eastAsia" w:ascii="宋体" w:hAnsi="宋体" w:eastAsia="宋体" w:cs="宋体"/>
          <w:color w:val="auto"/>
        </w:rPr>
      </w:pPr>
    </w:p>
    <w:p>
      <w:pPr>
        <w:snapToGrid w:val="0"/>
        <w:spacing w:line="400" w:lineRule="exact"/>
        <w:ind w:firstLine="1890" w:firstLineChars="900"/>
        <w:rPr>
          <w:rFonts w:hint="eastAsia" w:ascii="宋体" w:hAnsi="宋体" w:eastAsia="宋体" w:cs="宋体"/>
          <w:color w:val="auto"/>
          <w:szCs w:val="21"/>
          <w:u w:val="single"/>
        </w:rPr>
      </w:pPr>
      <w:r>
        <w:rPr>
          <w:rFonts w:hint="eastAsia" w:ascii="宋体" w:hAnsi="宋体" w:eastAsia="宋体" w:cs="宋体"/>
          <w:color w:val="auto"/>
          <w:szCs w:val="21"/>
        </w:rPr>
        <w:t>投标人（公章，自然人除外）：</w:t>
      </w:r>
      <w:r>
        <w:rPr>
          <w:rFonts w:hint="eastAsia" w:ascii="宋体" w:hAnsi="宋体" w:eastAsia="宋体" w:cs="宋体"/>
          <w:color w:val="auto"/>
          <w:szCs w:val="21"/>
          <w:u w:val="single"/>
        </w:rPr>
        <w:t xml:space="preserve">                                         </w:t>
      </w:r>
    </w:p>
    <w:p>
      <w:pPr>
        <w:spacing w:line="340" w:lineRule="exact"/>
        <w:ind w:firstLine="1890" w:firstLineChars="900"/>
        <w:rPr>
          <w:rFonts w:hint="eastAsia" w:ascii="宋体" w:hAnsi="宋体" w:eastAsia="宋体" w:cs="宋体"/>
          <w:color w:val="auto"/>
        </w:rPr>
      </w:pPr>
      <w:r>
        <w:rPr>
          <w:rFonts w:hint="eastAsia" w:ascii="宋体" w:hAnsi="宋体" w:eastAsia="宋体" w:cs="宋体"/>
          <w:color w:val="auto"/>
        </w:rPr>
        <w:t>法定代表人、负责人、自然人或相应的委托代理人签字（或盖章）</w:t>
      </w:r>
    </w:p>
    <w:p>
      <w:pPr>
        <w:spacing w:line="340" w:lineRule="exact"/>
        <w:ind w:firstLine="1680" w:firstLineChars="800"/>
        <w:rPr>
          <w:rFonts w:hint="eastAsia" w:ascii="宋体" w:hAnsi="宋体" w:eastAsia="宋体" w:cs="宋体"/>
          <w:color w:val="auto"/>
          <w:szCs w:val="21"/>
          <w:u w:val="single"/>
        </w:rPr>
      </w:pPr>
      <w:r>
        <w:rPr>
          <w:rFonts w:hint="eastAsia" w:ascii="宋体" w:hAnsi="宋体" w:eastAsia="宋体" w:cs="宋体"/>
          <w:color w:val="auto"/>
        </w:rPr>
        <w:t>（属自然人的应在签名处加盖大拇指指印）：</w:t>
      </w:r>
      <w:r>
        <w:rPr>
          <w:rFonts w:hint="eastAsia" w:ascii="宋体" w:hAnsi="宋体" w:eastAsia="宋体" w:cs="宋体"/>
          <w:color w:val="auto"/>
          <w:szCs w:val="21"/>
          <w:u w:val="single"/>
        </w:rPr>
        <w:t xml:space="preserve">                              </w:t>
      </w:r>
    </w:p>
    <w:p>
      <w:pPr>
        <w:spacing w:line="340" w:lineRule="exact"/>
        <w:ind w:firstLine="1680" w:firstLineChars="800"/>
        <w:rPr>
          <w:rFonts w:hint="eastAsia" w:ascii="宋体" w:hAnsi="宋体" w:eastAsia="宋体" w:cs="宋体"/>
          <w:color w:val="auto"/>
          <w:szCs w:val="21"/>
          <w:u w:val="single"/>
        </w:rPr>
      </w:pPr>
    </w:p>
    <w:p>
      <w:pPr>
        <w:spacing w:line="340" w:lineRule="exact"/>
        <w:ind w:firstLine="1890" w:firstLineChars="900"/>
        <w:rPr>
          <w:rFonts w:hint="eastAsia" w:ascii="宋体" w:hAnsi="宋体" w:eastAsia="宋体" w:cs="宋体"/>
          <w:b/>
          <w:color w:val="auto"/>
          <w:sz w:val="32"/>
          <w:szCs w:val="32"/>
        </w:rPr>
      </w:pPr>
      <w:r>
        <w:rPr>
          <w:rFonts w:hint="eastAsia" w:ascii="宋体" w:hAnsi="宋体" w:eastAsia="宋体" w:cs="宋体"/>
          <w:color w:val="auto"/>
        </w:rPr>
        <w:t>日          期：</w:t>
      </w:r>
      <w:r>
        <w:rPr>
          <w:rFonts w:hint="eastAsia" w:ascii="宋体" w:hAnsi="宋体" w:eastAsia="宋体" w:cs="宋体"/>
          <w:color w:val="auto"/>
          <w:u w:val="single"/>
        </w:rPr>
        <w:t xml:space="preserve">                                                   </w:t>
      </w:r>
    </w:p>
    <w:p>
      <w:pPr>
        <w:spacing w:line="500" w:lineRule="exact"/>
        <w:rPr>
          <w:rFonts w:hint="eastAsia" w:ascii="宋体" w:hAnsi="宋体" w:eastAsia="宋体" w:cs="宋体"/>
          <w:b/>
          <w:bCs/>
          <w:color w:val="auto"/>
          <w:sz w:val="32"/>
          <w:szCs w:val="32"/>
        </w:rPr>
      </w:pPr>
    </w:p>
    <w:p>
      <w:pPr>
        <w:spacing w:line="400" w:lineRule="exact"/>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69" w:name="_Toc495841799"/>
      <w:bookmarkStart w:id="270" w:name="_Toc10856"/>
      <w:r>
        <w:rPr>
          <w:rFonts w:hint="eastAsia" w:ascii="宋体" w:hAnsi="宋体" w:eastAsia="宋体" w:cs="宋体"/>
          <w:b/>
          <w:bCs/>
          <w:color w:val="auto"/>
          <w:sz w:val="32"/>
          <w:szCs w:val="32"/>
        </w:rPr>
        <w:t>6.节能方面的证书复印件（如有，请提供）</w:t>
      </w:r>
      <w:bookmarkEnd w:id="269"/>
      <w:bookmarkEnd w:id="270"/>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71" w:name="_Toc495841800"/>
      <w:bookmarkStart w:id="272" w:name="_Toc21473"/>
      <w:r>
        <w:rPr>
          <w:rFonts w:hint="eastAsia" w:ascii="宋体" w:hAnsi="宋体" w:eastAsia="宋体" w:cs="宋体"/>
          <w:b/>
          <w:bCs/>
          <w:color w:val="auto"/>
          <w:sz w:val="32"/>
          <w:szCs w:val="32"/>
        </w:rPr>
        <w:t>7.环境标志方面的证书复印件（如有，请提供）</w:t>
      </w:r>
      <w:bookmarkEnd w:id="271"/>
      <w:bookmarkEnd w:id="272"/>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73" w:name="_Toc495841802"/>
      <w:bookmarkStart w:id="274" w:name="_Toc6517"/>
      <w:r>
        <w:rPr>
          <w:rFonts w:hint="eastAsia" w:ascii="宋体" w:hAnsi="宋体" w:eastAsia="宋体" w:cs="宋体"/>
          <w:b/>
          <w:bCs/>
          <w:color w:val="auto"/>
          <w:sz w:val="32"/>
          <w:szCs w:val="32"/>
        </w:rPr>
        <w:t>8.投标人201</w:t>
      </w:r>
      <w:r>
        <w:rPr>
          <w:rFonts w:hint="eastAsia" w:ascii="宋体" w:hAnsi="宋体" w:cs="宋体"/>
          <w:b/>
          <w:bCs/>
          <w:color w:val="auto"/>
          <w:sz w:val="32"/>
          <w:szCs w:val="32"/>
          <w:lang w:val="en-US" w:eastAsia="zh-CN"/>
        </w:rPr>
        <w:t>7</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1月1日</w:t>
      </w:r>
      <w:r>
        <w:rPr>
          <w:rFonts w:hint="eastAsia" w:ascii="宋体" w:hAnsi="宋体" w:eastAsia="宋体" w:cs="宋体"/>
          <w:b/>
          <w:bCs/>
          <w:color w:val="auto"/>
          <w:sz w:val="32"/>
          <w:szCs w:val="32"/>
        </w:rPr>
        <w:t>以来同类产品（</w:t>
      </w:r>
      <w:r>
        <w:rPr>
          <w:rFonts w:hint="eastAsia" w:ascii="宋体" w:hAnsi="宋体" w:cs="宋体"/>
          <w:b/>
          <w:bCs/>
          <w:color w:val="auto"/>
          <w:sz w:val="32"/>
          <w:szCs w:val="32"/>
          <w:lang w:val="en-US" w:eastAsia="zh-CN"/>
        </w:rPr>
        <w:t>金属床、金属柜、木质家具</w:t>
      </w:r>
      <w:r>
        <w:rPr>
          <w:rFonts w:hint="eastAsia" w:ascii="宋体" w:hAnsi="宋体" w:eastAsia="宋体" w:cs="宋体"/>
          <w:b/>
          <w:bCs/>
          <w:color w:val="auto"/>
          <w:sz w:val="32"/>
          <w:szCs w:val="32"/>
        </w:rPr>
        <w:t>）销售业绩的相关证明材料（无不良记录，以中标、成交通知书或签订的销售合同为准，并能清晰反映所销售的货物名称、金额）（如有，请提供）</w:t>
      </w:r>
      <w:bookmarkEnd w:id="273"/>
      <w:bookmarkEnd w:id="274"/>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75" w:name="_Toc495841803"/>
      <w:bookmarkStart w:id="276" w:name="_Toc30520"/>
      <w:r>
        <w:rPr>
          <w:rFonts w:hint="eastAsia" w:ascii="宋体" w:hAnsi="宋体" w:eastAsia="宋体" w:cs="宋体"/>
          <w:b/>
          <w:bCs/>
          <w:color w:val="auto"/>
          <w:sz w:val="32"/>
          <w:szCs w:val="32"/>
        </w:rPr>
        <w:t>9.投标人为生产厂家的，投标人的生产制造设备清单及专业技术能力说明（如有，请提供）</w:t>
      </w:r>
      <w:bookmarkEnd w:id="275"/>
      <w:bookmarkEnd w:id="276"/>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77" w:name="_Toc5317"/>
      <w:bookmarkStart w:id="278" w:name="_Toc495841804"/>
      <w:r>
        <w:rPr>
          <w:rFonts w:hint="eastAsia" w:ascii="宋体" w:hAnsi="宋体" w:eastAsia="宋体" w:cs="宋体"/>
          <w:b/>
          <w:bCs/>
          <w:color w:val="auto"/>
          <w:sz w:val="32"/>
          <w:szCs w:val="32"/>
        </w:rPr>
        <w:t>10.投标人相关获奖证书、认证证书等复印件（如有，请提供）</w:t>
      </w:r>
      <w:bookmarkEnd w:id="277"/>
      <w:bookmarkEnd w:id="278"/>
      <w:bookmarkStart w:id="279" w:name="_Toc495841805"/>
      <w:r>
        <w:rPr>
          <w:rFonts w:hint="eastAsia" w:ascii="宋体" w:hAnsi="宋体" w:eastAsia="宋体" w:cs="宋体"/>
          <w:b/>
          <w:color w:val="auto"/>
          <w:sz w:val="32"/>
          <w:szCs w:val="32"/>
        </w:rPr>
        <w:br w:type="page"/>
      </w:r>
      <w:bookmarkStart w:id="280" w:name="_Toc10511"/>
      <w:r>
        <w:rPr>
          <w:rFonts w:hint="eastAsia" w:ascii="宋体" w:hAnsi="宋体" w:eastAsia="宋体" w:cs="宋体"/>
          <w:b/>
          <w:bCs/>
          <w:color w:val="auto"/>
          <w:sz w:val="32"/>
          <w:szCs w:val="32"/>
        </w:rPr>
        <w:t>11.投标人所投产品为广西工业产品的，如实提供《广西工业产品声明函》（如有，请提供）</w:t>
      </w:r>
      <w:bookmarkEnd w:id="279"/>
      <w:bookmarkEnd w:id="280"/>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t>附件：</w:t>
      </w:r>
    </w:p>
    <w:p>
      <w:pPr>
        <w:spacing w:line="36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广西工业产品声明函</w:t>
      </w:r>
    </w:p>
    <w:p>
      <w:pPr>
        <w:spacing w:line="460" w:lineRule="exact"/>
        <w:jc w:val="center"/>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本公司郑重声明，根据《招标采购促进广西工业产品产销对接实施细则》的规定，本公司在本次投标/投标中或者工程项目中提供的下述产品为广西工业产品，详情如下：</w:t>
      </w:r>
    </w:p>
    <w:p>
      <w:pPr>
        <w:spacing w:line="360" w:lineRule="exact"/>
        <w:jc w:val="center"/>
        <w:rPr>
          <w:rFonts w:hint="eastAsia" w:ascii="宋体" w:hAnsi="宋体" w:eastAsia="宋体" w:cs="宋体"/>
          <w:color w:val="auto"/>
          <w:sz w:val="24"/>
        </w:rPr>
      </w:pPr>
    </w:p>
    <w:tbl>
      <w:tblPr>
        <w:tblStyle w:val="26"/>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shd w:val="clear" w:color="auto" w:fill="8DB3E2"/>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620" w:type="dxa"/>
            <w:shd w:val="clear" w:color="auto" w:fill="8DB3E2"/>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产品名称</w:t>
            </w:r>
          </w:p>
        </w:tc>
        <w:tc>
          <w:tcPr>
            <w:tcW w:w="1617" w:type="dxa"/>
            <w:shd w:val="clear" w:color="auto" w:fill="8DB3E2"/>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型号和规格</w:t>
            </w:r>
          </w:p>
        </w:tc>
        <w:tc>
          <w:tcPr>
            <w:tcW w:w="903" w:type="dxa"/>
            <w:shd w:val="clear" w:color="auto" w:fill="8DB3E2"/>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2160" w:type="dxa"/>
            <w:shd w:val="clear" w:color="auto" w:fill="8DB3E2"/>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制造厂商及原产地</w:t>
            </w:r>
          </w:p>
        </w:tc>
        <w:tc>
          <w:tcPr>
            <w:tcW w:w="1087" w:type="dxa"/>
            <w:shd w:val="clear" w:color="auto" w:fill="8DB3E2"/>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投标价</w:t>
            </w:r>
          </w:p>
        </w:tc>
        <w:tc>
          <w:tcPr>
            <w:tcW w:w="1073" w:type="dxa"/>
            <w:shd w:val="clear" w:color="auto" w:fill="8DB3E2"/>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620" w:type="dxa"/>
            <w:vAlign w:val="center"/>
          </w:tcPr>
          <w:p>
            <w:pPr>
              <w:spacing w:line="360" w:lineRule="exact"/>
              <w:jc w:val="center"/>
              <w:rPr>
                <w:rFonts w:hint="eastAsia" w:ascii="宋体" w:hAnsi="宋体" w:eastAsia="宋体" w:cs="宋体"/>
                <w:color w:val="auto"/>
                <w:szCs w:val="21"/>
              </w:rPr>
            </w:pPr>
          </w:p>
        </w:tc>
        <w:tc>
          <w:tcPr>
            <w:tcW w:w="1617" w:type="dxa"/>
            <w:vAlign w:val="center"/>
          </w:tcPr>
          <w:p>
            <w:pPr>
              <w:spacing w:line="360" w:lineRule="exact"/>
              <w:jc w:val="center"/>
              <w:rPr>
                <w:rFonts w:hint="eastAsia" w:ascii="宋体" w:hAnsi="宋体" w:eastAsia="宋体" w:cs="宋体"/>
                <w:color w:val="auto"/>
                <w:szCs w:val="21"/>
              </w:rPr>
            </w:pPr>
          </w:p>
        </w:tc>
        <w:tc>
          <w:tcPr>
            <w:tcW w:w="903" w:type="dxa"/>
            <w:vAlign w:val="center"/>
          </w:tcPr>
          <w:p>
            <w:pPr>
              <w:spacing w:line="360" w:lineRule="exact"/>
              <w:jc w:val="center"/>
              <w:rPr>
                <w:rFonts w:hint="eastAsia" w:ascii="宋体" w:hAnsi="宋体" w:eastAsia="宋体" w:cs="宋体"/>
                <w:color w:val="auto"/>
                <w:szCs w:val="21"/>
              </w:rPr>
            </w:pPr>
          </w:p>
        </w:tc>
        <w:tc>
          <w:tcPr>
            <w:tcW w:w="2160" w:type="dxa"/>
            <w:vAlign w:val="center"/>
          </w:tcPr>
          <w:p>
            <w:pPr>
              <w:spacing w:line="360" w:lineRule="exact"/>
              <w:jc w:val="center"/>
              <w:rPr>
                <w:rFonts w:hint="eastAsia" w:ascii="宋体" w:hAnsi="宋体" w:eastAsia="宋体" w:cs="宋体"/>
                <w:color w:val="auto"/>
                <w:szCs w:val="21"/>
              </w:rPr>
            </w:pPr>
          </w:p>
        </w:tc>
        <w:tc>
          <w:tcPr>
            <w:tcW w:w="1087" w:type="dxa"/>
            <w:vAlign w:val="center"/>
          </w:tcPr>
          <w:p>
            <w:pPr>
              <w:spacing w:line="360" w:lineRule="exact"/>
              <w:jc w:val="center"/>
              <w:rPr>
                <w:rFonts w:hint="eastAsia" w:ascii="宋体" w:hAnsi="宋体" w:eastAsia="宋体" w:cs="宋体"/>
                <w:color w:val="auto"/>
                <w:szCs w:val="21"/>
              </w:rPr>
            </w:pPr>
          </w:p>
        </w:tc>
        <w:tc>
          <w:tcPr>
            <w:tcW w:w="1073" w:type="dxa"/>
            <w:vAlign w:val="center"/>
          </w:tcPr>
          <w:p>
            <w:pPr>
              <w:spacing w:line="36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620" w:type="dxa"/>
            <w:vAlign w:val="center"/>
          </w:tcPr>
          <w:p>
            <w:pPr>
              <w:spacing w:line="360" w:lineRule="exact"/>
              <w:jc w:val="center"/>
              <w:rPr>
                <w:rFonts w:hint="eastAsia" w:ascii="宋体" w:hAnsi="宋体" w:eastAsia="宋体" w:cs="宋体"/>
                <w:color w:val="auto"/>
                <w:szCs w:val="21"/>
              </w:rPr>
            </w:pPr>
          </w:p>
        </w:tc>
        <w:tc>
          <w:tcPr>
            <w:tcW w:w="1617" w:type="dxa"/>
            <w:vAlign w:val="center"/>
          </w:tcPr>
          <w:p>
            <w:pPr>
              <w:spacing w:line="360" w:lineRule="exact"/>
              <w:jc w:val="center"/>
              <w:rPr>
                <w:rFonts w:hint="eastAsia" w:ascii="宋体" w:hAnsi="宋体" w:eastAsia="宋体" w:cs="宋体"/>
                <w:color w:val="auto"/>
                <w:szCs w:val="21"/>
              </w:rPr>
            </w:pPr>
          </w:p>
        </w:tc>
        <w:tc>
          <w:tcPr>
            <w:tcW w:w="903" w:type="dxa"/>
            <w:vAlign w:val="center"/>
          </w:tcPr>
          <w:p>
            <w:pPr>
              <w:spacing w:line="360" w:lineRule="exact"/>
              <w:jc w:val="center"/>
              <w:rPr>
                <w:rFonts w:hint="eastAsia" w:ascii="宋体" w:hAnsi="宋体" w:eastAsia="宋体" w:cs="宋体"/>
                <w:color w:val="auto"/>
                <w:szCs w:val="21"/>
              </w:rPr>
            </w:pPr>
          </w:p>
        </w:tc>
        <w:tc>
          <w:tcPr>
            <w:tcW w:w="2160" w:type="dxa"/>
            <w:vAlign w:val="center"/>
          </w:tcPr>
          <w:p>
            <w:pPr>
              <w:spacing w:line="360" w:lineRule="exact"/>
              <w:jc w:val="center"/>
              <w:rPr>
                <w:rFonts w:hint="eastAsia" w:ascii="宋体" w:hAnsi="宋体" w:eastAsia="宋体" w:cs="宋体"/>
                <w:color w:val="auto"/>
                <w:szCs w:val="21"/>
              </w:rPr>
            </w:pPr>
          </w:p>
        </w:tc>
        <w:tc>
          <w:tcPr>
            <w:tcW w:w="1087" w:type="dxa"/>
            <w:vAlign w:val="center"/>
          </w:tcPr>
          <w:p>
            <w:pPr>
              <w:spacing w:line="360" w:lineRule="exact"/>
              <w:jc w:val="center"/>
              <w:rPr>
                <w:rFonts w:hint="eastAsia" w:ascii="宋体" w:hAnsi="宋体" w:eastAsia="宋体" w:cs="宋体"/>
                <w:color w:val="auto"/>
                <w:szCs w:val="21"/>
              </w:rPr>
            </w:pPr>
          </w:p>
        </w:tc>
        <w:tc>
          <w:tcPr>
            <w:tcW w:w="1073" w:type="dxa"/>
            <w:vAlign w:val="center"/>
          </w:tcPr>
          <w:p>
            <w:pPr>
              <w:spacing w:line="36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620" w:type="dxa"/>
            <w:vAlign w:val="center"/>
          </w:tcPr>
          <w:p>
            <w:pPr>
              <w:spacing w:line="360" w:lineRule="exact"/>
              <w:jc w:val="center"/>
              <w:rPr>
                <w:rFonts w:hint="eastAsia" w:ascii="宋体" w:hAnsi="宋体" w:eastAsia="宋体" w:cs="宋体"/>
                <w:color w:val="auto"/>
                <w:szCs w:val="21"/>
              </w:rPr>
            </w:pPr>
          </w:p>
        </w:tc>
        <w:tc>
          <w:tcPr>
            <w:tcW w:w="1617" w:type="dxa"/>
            <w:vAlign w:val="center"/>
          </w:tcPr>
          <w:p>
            <w:pPr>
              <w:spacing w:line="360" w:lineRule="exact"/>
              <w:jc w:val="center"/>
              <w:rPr>
                <w:rFonts w:hint="eastAsia" w:ascii="宋体" w:hAnsi="宋体" w:eastAsia="宋体" w:cs="宋体"/>
                <w:color w:val="auto"/>
                <w:szCs w:val="21"/>
              </w:rPr>
            </w:pPr>
          </w:p>
        </w:tc>
        <w:tc>
          <w:tcPr>
            <w:tcW w:w="903" w:type="dxa"/>
            <w:vAlign w:val="center"/>
          </w:tcPr>
          <w:p>
            <w:pPr>
              <w:spacing w:line="360" w:lineRule="exact"/>
              <w:jc w:val="center"/>
              <w:rPr>
                <w:rFonts w:hint="eastAsia" w:ascii="宋体" w:hAnsi="宋体" w:eastAsia="宋体" w:cs="宋体"/>
                <w:color w:val="auto"/>
                <w:szCs w:val="21"/>
              </w:rPr>
            </w:pPr>
          </w:p>
        </w:tc>
        <w:tc>
          <w:tcPr>
            <w:tcW w:w="2160" w:type="dxa"/>
            <w:vAlign w:val="center"/>
          </w:tcPr>
          <w:p>
            <w:pPr>
              <w:spacing w:line="360" w:lineRule="exact"/>
              <w:jc w:val="center"/>
              <w:rPr>
                <w:rFonts w:hint="eastAsia" w:ascii="宋体" w:hAnsi="宋体" w:eastAsia="宋体" w:cs="宋体"/>
                <w:color w:val="auto"/>
                <w:szCs w:val="21"/>
              </w:rPr>
            </w:pPr>
          </w:p>
        </w:tc>
        <w:tc>
          <w:tcPr>
            <w:tcW w:w="1087" w:type="dxa"/>
            <w:vAlign w:val="center"/>
          </w:tcPr>
          <w:p>
            <w:pPr>
              <w:spacing w:line="360" w:lineRule="exact"/>
              <w:jc w:val="center"/>
              <w:rPr>
                <w:rFonts w:hint="eastAsia" w:ascii="宋体" w:hAnsi="宋体" w:eastAsia="宋体" w:cs="宋体"/>
                <w:color w:val="auto"/>
                <w:szCs w:val="21"/>
              </w:rPr>
            </w:pPr>
          </w:p>
        </w:tc>
        <w:tc>
          <w:tcPr>
            <w:tcW w:w="1073" w:type="dxa"/>
            <w:vAlign w:val="center"/>
          </w:tcPr>
          <w:p>
            <w:pPr>
              <w:spacing w:line="36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vAlign w:val="center"/>
          </w:tcPr>
          <w:p>
            <w:pPr>
              <w:spacing w:line="360" w:lineRule="exact"/>
              <w:jc w:val="center"/>
              <w:rPr>
                <w:rFonts w:hint="eastAsia" w:ascii="宋体" w:hAnsi="宋体" w:eastAsia="宋体" w:cs="宋体"/>
                <w:color w:val="auto"/>
                <w:szCs w:val="21"/>
              </w:rPr>
            </w:pPr>
          </w:p>
        </w:tc>
        <w:tc>
          <w:tcPr>
            <w:tcW w:w="1620"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广西工业产品合计价格</w:t>
            </w:r>
          </w:p>
        </w:tc>
        <w:tc>
          <w:tcPr>
            <w:tcW w:w="2520" w:type="dxa"/>
            <w:gridSpan w:val="2"/>
            <w:vAlign w:val="center"/>
          </w:tcPr>
          <w:p>
            <w:pPr>
              <w:spacing w:line="360" w:lineRule="exact"/>
              <w:jc w:val="center"/>
              <w:rPr>
                <w:rFonts w:hint="eastAsia" w:ascii="宋体" w:hAnsi="宋体" w:eastAsia="宋体" w:cs="宋体"/>
                <w:color w:val="auto"/>
                <w:szCs w:val="21"/>
              </w:rPr>
            </w:pPr>
          </w:p>
        </w:tc>
        <w:tc>
          <w:tcPr>
            <w:tcW w:w="2160"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占投标总价比例</w:t>
            </w:r>
          </w:p>
        </w:tc>
        <w:tc>
          <w:tcPr>
            <w:tcW w:w="2160" w:type="dxa"/>
            <w:gridSpan w:val="2"/>
            <w:vAlign w:val="center"/>
          </w:tcPr>
          <w:p>
            <w:pPr>
              <w:spacing w:line="360" w:lineRule="exact"/>
              <w:jc w:val="center"/>
              <w:rPr>
                <w:rFonts w:hint="eastAsia" w:ascii="宋体" w:hAnsi="宋体" w:eastAsia="宋体" w:cs="宋体"/>
                <w:color w:val="auto"/>
                <w:szCs w:val="21"/>
              </w:rPr>
            </w:pPr>
          </w:p>
        </w:tc>
      </w:tr>
    </w:tbl>
    <w:p>
      <w:pPr>
        <w:spacing w:line="460" w:lineRule="exact"/>
        <w:ind w:left="239" w:leftChars="114" w:firstLine="720" w:firstLineChars="300"/>
        <w:rPr>
          <w:rFonts w:hint="eastAsia" w:ascii="宋体" w:hAnsi="宋体" w:eastAsia="宋体" w:cs="宋体"/>
          <w:color w:val="auto"/>
          <w:sz w:val="24"/>
        </w:rPr>
      </w:pPr>
      <w:r>
        <w:rPr>
          <w:rFonts w:hint="eastAsia" w:ascii="宋体" w:hAnsi="宋体" w:eastAsia="宋体" w:cs="宋体"/>
          <w:color w:val="auto"/>
          <w:sz w:val="24"/>
        </w:rPr>
        <w:t>本公司对上述声明的真实性负责。如有虚假，将依法承担相应责任。</w:t>
      </w:r>
    </w:p>
    <w:p>
      <w:pPr>
        <w:spacing w:line="460" w:lineRule="exact"/>
        <w:ind w:left="239" w:leftChars="114" w:firstLine="240" w:firstLineChars="100"/>
        <w:rPr>
          <w:rFonts w:hint="eastAsia" w:ascii="宋体" w:hAnsi="宋体" w:eastAsia="宋体" w:cs="宋体"/>
          <w:color w:val="auto"/>
          <w:sz w:val="24"/>
        </w:rPr>
      </w:pPr>
    </w:p>
    <w:p>
      <w:pPr>
        <w:spacing w:line="460" w:lineRule="exact"/>
        <w:ind w:left="239" w:leftChars="114" w:firstLine="240" w:firstLineChars="100"/>
        <w:rPr>
          <w:rFonts w:hint="eastAsia" w:ascii="宋体" w:hAnsi="宋体" w:eastAsia="宋体" w:cs="宋体"/>
          <w:color w:val="auto"/>
          <w:sz w:val="24"/>
        </w:rPr>
      </w:pPr>
    </w:p>
    <w:p>
      <w:pPr>
        <w:spacing w:line="460" w:lineRule="exact"/>
        <w:ind w:left="239" w:leftChars="114" w:firstLine="6240" w:firstLineChars="2600"/>
        <w:rPr>
          <w:rFonts w:hint="eastAsia" w:ascii="宋体" w:hAnsi="宋体" w:eastAsia="宋体" w:cs="宋体"/>
          <w:color w:val="auto"/>
          <w:sz w:val="24"/>
        </w:rPr>
      </w:pPr>
      <w:r>
        <w:rPr>
          <w:rFonts w:hint="eastAsia" w:ascii="宋体" w:hAnsi="宋体" w:eastAsia="宋体" w:cs="宋体"/>
          <w:color w:val="auto"/>
          <w:sz w:val="24"/>
        </w:rPr>
        <w:t>企业名称（盖</w:t>
      </w:r>
      <w:r>
        <w:rPr>
          <w:rFonts w:hint="eastAsia" w:ascii="宋体" w:hAnsi="宋体" w:eastAsia="宋体" w:cs="宋体"/>
          <w:color w:val="auto"/>
          <w:spacing w:val="6"/>
          <w:sz w:val="30"/>
          <w:szCs w:val="30"/>
        </w:rPr>
        <w:t>公</w:t>
      </w:r>
      <w:r>
        <w:rPr>
          <w:rFonts w:hint="eastAsia" w:ascii="宋体" w:hAnsi="宋体" w:eastAsia="宋体" w:cs="宋体"/>
          <w:color w:val="auto"/>
          <w:sz w:val="24"/>
        </w:rPr>
        <w:t>章）：</w:t>
      </w:r>
    </w:p>
    <w:p>
      <w:pPr>
        <w:spacing w:line="460" w:lineRule="exact"/>
        <w:ind w:left="239" w:leftChars="114" w:firstLine="6600" w:firstLineChars="2750"/>
        <w:rPr>
          <w:rFonts w:hint="eastAsia" w:ascii="宋体" w:hAnsi="宋体" w:eastAsia="宋体" w:cs="宋体"/>
          <w:color w:val="auto"/>
          <w:sz w:val="24"/>
        </w:rPr>
      </w:pPr>
      <w:r>
        <w:rPr>
          <w:rFonts w:hint="eastAsia" w:ascii="宋体" w:hAnsi="宋体" w:eastAsia="宋体" w:cs="宋体"/>
          <w:color w:val="auto"/>
          <w:sz w:val="24"/>
        </w:rPr>
        <w:t>日 期：</w:t>
      </w:r>
    </w:p>
    <w:p>
      <w:pPr>
        <w:spacing w:line="500" w:lineRule="exact"/>
        <w:rPr>
          <w:rFonts w:hint="eastAsia" w:ascii="宋体" w:hAnsi="宋体" w:eastAsia="宋体" w:cs="宋体"/>
          <w:b/>
          <w:bCs/>
          <w:color w:val="auto"/>
          <w:sz w:val="32"/>
          <w:szCs w:val="32"/>
        </w:rPr>
      </w:pPr>
    </w:p>
    <w:p>
      <w:pPr>
        <w:spacing w:line="500" w:lineRule="exact"/>
        <w:rPr>
          <w:rFonts w:hint="eastAsia" w:ascii="宋体" w:hAnsi="宋体" w:eastAsia="宋体" w:cs="宋体"/>
          <w:b/>
          <w:bCs/>
          <w:color w:val="auto"/>
          <w:sz w:val="32"/>
          <w:szCs w:val="32"/>
        </w:rPr>
      </w:pPr>
    </w:p>
    <w:p>
      <w:pPr>
        <w:spacing w:line="500" w:lineRule="exact"/>
        <w:rPr>
          <w:rFonts w:hint="eastAsia" w:ascii="宋体" w:hAnsi="宋体" w:eastAsia="宋体" w:cs="宋体"/>
          <w:b/>
          <w:bCs/>
          <w:color w:val="auto"/>
          <w:sz w:val="32"/>
          <w:szCs w:val="32"/>
        </w:rPr>
      </w:pPr>
    </w:p>
    <w:p>
      <w:pPr>
        <w:spacing w:line="500" w:lineRule="exact"/>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81" w:name="_Toc12562"/>
      <w:r>
        <w:rPr>
          <w:rFonts w:hint="eastAsia" w:ascii="宋体" w:hAnsi="宋体" w:eastAsia="宋体" w:cs="宋体"/>
          <w:b/>
          <w:color w:val="auto"/>
          <w:sz w:val="32"/>
          <w:szCs w:val="32"/>
        </w:rPr>
        <w:br w:type="page"/>
      </w:r>
      <w:r>
        <w:rPr>
          <w:rFonts w:hint="eastAsia" w:ascii="宋体" w:hAnsi="宋体" w:eastAsia="宋体" w:cs="宋体"/>
          <w:b/>
          <w:bCs/>
          <w:color w:val="auto"/>
          <w:sz w:val="32"/>
          <w:szCs w:val="32"/>
        </w:rPr>
        <w:t>12.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有，请提供）</w:t>
      </w:r>
      <w:bookmarkEnd w:id="281"/>
      <w:r>
        <w:rPr>
          <w:rFonts w:hint="eastAsia" w:ascii="宋体" w:hAnsi="宋体" w:eastAsia="宋体" w:cs="宋体"/>
          <w:b/>
          <w:bCs/>
          <w:color w:val="auto"/>
          <w:sz w:val="32"/>
          <w:szCs w:val="32"/>
        </w:rPr>
        <w:t>；</w:t>
      </w:r>
    </w:p>
    <w:p>
      <w:pPr>
        <w:rPr>
          <w:rFonts w:hint="eastAsia" w:ascii="宋体" w:hAnsi="宋体" w:eastAsia="宋体" w:cs="宋体"/>
          <w:b/>
          <w:bCs/>
          <w:color w:val="auto"/>
          <w:sz w:val="28"/>
          <w:szCs w:val="28"/>
        </w:rPr>
      </w:pPr>
      <w:bookmarkStart w:id="282" w:name="_Toc24169_WPSOffice_Level1"/>
      <w:r>
        <w:rPr>
          <w:rFonts w:hint="eastAsia" w:ascii="宋体" w:hAnsi="宋体" w:eastAsia="宋体" w:cs="宋体"/>
          <w:b/>
          <w:bCs/>
          <w:color w:val="auto"/>
          <w:sz w:val="28"/>
          <w:szCs w:val="28"/>
        </w:rPr>
        <w:t>附件</w:t>
      </w:r>
      <w:bookmarkEnd w:id="282"/>
    </w:p>
    <w:p>
      <w:pPr>
        <w:pStyle w:val="15"/>
        <w:spacing w:line="44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中小企业声明函</w:t>
      </w:r>
    </w:p>
    <w:p>
      <w:pPr>
        <w:spacing w:line="400" w:lineRule="exact"/>
        <w:ind w:firstLine="444" w:firstLineChars="200"/>
        <w:rPr>
          <w:rFonts w:hint="eastAsia" w:ascii="宋体" w:hAnsi="宋体" w:eastAsia="宋体" w:cs="宋体"/>
          <w:color w:val="auto"/>
          <w:spacing w:val="6"/>
          <w:szCs w:val="21"/>
        </w:rPr>
      </w:pPr>
      <w:r>
        <w:rPr>
          <w:rFonts w:hint="eastAsia" w:ascii="宋体" w:hAnsi="宋体" w:eastAsia="宋体" w:cs="宋体"/>
          <w:color w:val="auto"/>
          <w:spacing w:val="6"/>
          <w:szCs w:val="21"/>
        </w:rPr>
        <w:t>本公司郑重声明，根据《政府采购促进中小企业发展暂行办法》（财库[2011]181号）的规定，本公司为</w:t>
      </w:r>
      <w:bookmarkStart w:id="283" w:name="OLE_LINK5"/>
      <w:r>
        <w:rPr>
          <w:rFonts w:hint="eastAsia" w:ascii="宋体" w:hAnsi="宋体" w:eastAsia="宋体" w:cs="宋体"/>
          <w:color w:val="auto"/>
          <w:spacing w:val="6"/>
          <w:szCs w:val="21"/>
          <w:u w:val="single"/>
        </w:rPr>
        <w:t xml:space="preserve">                 </w:t>
      </w:r>
      <w:r>
        <w:rPr>
          <w:rFonts w:hint="eastAsia" w:ascii="宋体" w:hAnsi="宋体" w:eastAsia="宋体" w:cs="宋体"/>
          <w:color w:val="auto"/>
          <w:spacing w:val="6"/>
          <w:szCs w:val="21"/>
        </w:rPr>
        <w:t>（请填写：中型、小型、微型）企业</w:t>
      </w:r>
      <w:bookmarkEnd w:id="283"/>
      <w:r>
        <w:rPr>
          <w:rFonts w:hint="eastAsia" w:ascii="宋体" w:hAnsi="宋体" w:eastAsia="宋体" w:cs="宋体"/>
          <w:color w:val="auto"/>
          <w:spacing w:val="6"/>
          <w:szCs w:val="21"/>
        </w:rPr>
        <w:t>。即，本公司同时满足以下条件：</w:t>
      </w:r>
    </w:p>
    <w:p>
      <w:pPr>
        <w:spacing w:line="400" w:lineRule="exact"/>
        <w:ind w:firstLine="444" w:firstLineChars="200"/>
        <w:rPr>
          <w:rFonts w:hint="eastAsia" w:ascii="宋体" w:hAnsi="宋体" w:eastAsia="宋体" w:cs="宋体"/>
          <w:color w:val="auto"/>
          <w:spacing w:val="6"/>
          <w:szCs w:val="21"/>
        </w:rPr>
      </w:pPr>
      <w:r>
        <w:rPr>
          <w:rFonts w:hint="eastAsia" w:ascii="宋体" w:hAnsi="宋体" w:eastAsia="宋体" w:cs="宋体"/>
          <w:color w:val="auto"/>
          <w:spacing w:val="6"/>
          <w:szCs w:val="21"/>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color w:val="auto"/>
          <w:spacing w:val="6"/>
          <w:szCs w:val="21"/>
          <w:u w:val="single"/>
        </w:rPr>
        <w:t xml:space="preserve">        </w:t>
      </w:r>
      <w:r>
        <w:rPr>
          <w:rFonts w:hint="eastAsia" w:ascii="宋体" w:hAnsi="宋体" w:eastAsia="宋体" w:cs="宋体"/>
          <w:color w:val="auto"/>
          <w:spacing w:val="6"/>
          <w:szCs w:val="21"/>
        </w:rPr>
        <w:t>（请填写：中型、小型、微型）企业。</w:t>
      </w:r>
    </w:p>
    <w:p>
      <w:pPr>
        <w:spacing w:line="400" w:lineRule="exact"/>
        <w:ind w:firstLine="444" w:firstLineChars="200"/>
        <w:rPr>
          <w:rFonts w:hint="eastAsia" w:ascii="宋体" w:hAnsi="宋体" w:eastAsia="宋体" w:cs="宋体"/>
          <w:color w:val="auto"/>
          <w:spacing w:val="6"/>
          <w:szCs w:val="21"/>
        </w:rPr>
      </w:pPr>
      <w:r>
        <w:rPr>
          <w:rFonts w:hint="eastAsia" w:ascii="宋体" w:hAnsi="宋体" w:eastAsia="宋体" w:cs="宋体"/>
          <w:color w:val="auto"/>
          <w:spacing w:val="6"/>
          <w:szCs w:val="21"/>
        </w:rPr>
        <w:t>2.本公司参加</w:t>
      </w:r>
      <w:r>
        <w:rPr>
          <w:rFonts w:hint="eastAsia" w:ascii="宋体" w:hAnsi="宋体" w:eastAsia="宋体" w:cs="宋体"/>
          <w:color w:val="auto"/>
          <w:spacing w:val="6"/>
          <w:szCs w:val="21"/>
          <w:u w:val="single"/>
        </w:rPr>
        <w:t xml:space="preserve">           </w:t>
      </w:r>
      <w:r>
        <w:rPr>
          <w:rFonts w:hint="eastAsia" w:ascii="宋体" w:hAnsi="宋体" w:eastAsia="宋体" w:cs="宋体"/>
          <w:color w:val="auto"/>
          <w:spacing w:val="6"/>
          <w:szCs w:val="21"/>
        </w:rPr>
        <w:t>单位的</w:t>
      </w:r>
      <w:r>
        <w:rPr>
          <w:rFonts w:hint="eastAsia" w:ascii="宋体" w:hAnsi="宋体" w:eastAsia="宋体" w:cs="宋体"/>
          <w:color w:val="auto"/>
          <w:spacing w:val="6"/>
          <w:szCs w:val="21"/>
          <w:u w:val="single"/>
        </w:rPr>
        <w:t xml:space="preserve">          </w:t>
      </w:r>
      <w:r>
        <w:rPr>
          <w:rFonts w:hint="eastAsia" w:ascii="宋体" w:hAnsi="宋体" w:eastAsia="宋体" w:cs="宋体"/>
          <w:color w:val="auto"/>
          <w:spacing w:val="6"/>
          <w:szCs w:val="21"/>
        </w:rPr>
        <w:t>项目采购活动提供本企业制造的货物，由本企业承担工程、提供服务，或者提供其他</w:t>
      </w:r>
      <w:r>
        <w:rPr>
          <w:rFonts w:hint="eastAsia" w:ascii="宋体" w:hAnsi="宋体" w:eastAsia="宋体" w:cs="宋体"/>
          <w:color w:val="auto"/>
          <w:spacing w:val="6"/>
          <w:szCs w:val="21"/>
          <w:u w:val="single"/>
        </w:rPr>
        <w:t xml:space="preserve">            </w:t>
      </w:r>
      <w:r>
        <w:rPr>
          <w:rFonts w:hint="eastAsia" w:ascii="宋体" w:hAnsi="宋体" w:eastAsia="宋体" w:cs="宋体"/>
          <w:color w:val="auto"/>
          <w:spacing w:val="6"/>
          <w:szCs w:val="21"/>
        </w:rPr>
        <w:t>（请填写：中型、小型、微型）企业制造的货物。本条所称货物不包括使用大型企业注册商标的货物。</w:t>
      </w:r>
    </w:p>
    <w:p>
      <w:pPr>
        <w:pStyle w:val="15"/>
        <w:spacing w:line="400" w:lineRule="exact"/>
        <w:ind w:firstLine="444" w:firstLineChars="200"/>
        <w:rPr>
          <w:rFonts w:hint="eastAsia" w:ascii="宋体" w:hAnsi="宋体" w:eastAsia="宋体" w:cs="宋体"/>
          <w:color w:val="auto"/>
          <w:sz w:val="24"/>
          <w:szCs w:val="24"/>
        </w:rPr>
      </w:pPr>
      <w:r>
        <w:rPr>
          <w:rFonts w:hint="eastAsia" w:ascii="宋体" w:hAnsi="宋体" w:eastAsia="宋体" w:cs="宋体"/>
          <w:color w:val="auto"/>
          <w:spacing w:val="6"/>
          <w:szCs w:val="21"/>
        </w:rPr>
        <w:t>本公司对上述声明的真实性负责。如有虚假，将依法承担相应责任。</w:t>
      </w:r>
    </w:p>
    <w:p>
      <w:pPr>
        <w:pStyle w:val="15"/>
        <w:spacing w:line="440" w:lineRule="exact"/>
        <w:ind w:firstLine="480" w:firstLineChars="200"/>
        <w:rPr>
          <w:rFonts w:hint="eastAsia" w:ascii="宋体" w:hAnsi="宋体" w:eastAsia="宋体" w:cs="宋体"/>
          <w:color w:val="auto"/>
          <w:sz w:val="24"/>
          <w:szCs w:val="24"/>
        </w:rPr>
      </w:pPr>
    </w:p>
    <w:p>
      <w:pPr>
        <w:pStyle w:val="15"/>
        <w:spacing w:line="440" w:lineRule="exact"/>
        <w:ind w:firstLine="3614" w:firstLineChars="150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企业名称（加盖公章）：</w:t>
      </w:r>
      <w:r>
        <w:rPr>
          <w:rFonts w:hint="eastAsia" w:ascii="宋体" w:hAnsi="宋体" w:eastAsia="宋体" w:cs="宋体"/>
          <w:b/>
          <w:bCs/>
          <w:color w:val="auto"/>
          <w:sz w:val="24"/>
          <w:szCs w:val="24"/>
          <w:u w:val="single"/>
        </w:rPr>
        <w:t xml:space="preserve">                   </w:t>
      </w:r>
    </w:p>
    <w:p>
      <w:pPr>
        <w:pStyle w:val="15"/>
        <w:spacing w:line="440" w:lineRule="exact"/>
        <w:ind w:firstLine="4819" w:firstLineChars="2000"/>
        <w:rPr>
          <w:rFonts w:hint="eastAsia" w:ascii="宋体" w:hAnsi="宋体" w:eastAsia="宋体" w:cs="宋体"/>
          <w:b/>
          <w:bCs/>
          <w:color w:val="auto"/>
          <w:sz w:val="28"/>
          <w:szCs w:val="28"/>
        </w:rPr>
      </w:pPr>
      <w:r>
        <w:rPr>
          <w:rFonts w:hint="eastAsia" w:ascii="宋体" w:hAnsi="宋体" w:eastAsia="宋体" w:cs="宋体"/>
          <w:b/>
          <w:bCs/>
          <w:color w:val="auto"/>
          <w:sz w:val="24"/>
          <w:szCs w:val="24"/>
        </w:rPr>
        <w:t>日期：     年   月   日</w:t>
      </w:r>
    </w:p>
    <w:p>
      <w:pPr>
        <w:pStyle w:val="15"/>
        <w:spacing w:line="440" w:lineRule="exact"/>
        <w:rPr>
          <w:rFonts w:hint="eastAsia" w:ascii="宋体" w:hAnsi="宋体" w:eastAsia="宋体" w:cs="宋体"/>
          <w:b/>
          <w:bCs/>
          <w:color w:val="auto"/>
          <w:sz w:val="24"/>
          <w:szCs w:val="24"/>
        </w:rPr>
      </w:pPr>
    </w:p>
    <w:p>
      <w:pPr>
        <w:pStyle w:val="15"/>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p>
    <w:p>
      <w:pPr>
        <w:pStyle w:val="15"/>
        <w:numPr>
          <w:ilvl w:val="0"/>
          <w:numId w:val="13"/>
        </w:num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如供应商属于中型、小型、微型企业的，请按此格式要求提供《中小企业声明函》享受相应优惠政策；同时又是提供其他中型、小型、微型企业制造的货物的，请按此格式要求提供其他中型、小型、微型企业的《中小企业声明函》享受相应优惠政策。</w:t>
      </w:r>
    </w:p>
    <w:p>
      <w:pPr>
        <w:pStyle w:val="15"/>
        <w:numPr>
          <w:ilvl w:val="0"/>
          <w:numId w:val="13"/>
        </w:numPr>
        <w:spacing w:line="44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采购代理机构在公告中标结果时，将同时公告其《中小企业声明函》，接受社会监督，如有弄虚作假，中标供应商将承担相应责任。</w:t>
      </w:r>
    </w:p>
    <w:p>
      <w:pPr>
        <w:spacing w:line="500" w:lineRule="exact"/>
        <w:rPr>
          <w:rFonts w:hint="eastAsia" w:ascii="宋体" w:hAnsi="宋体" w:eastAsia="宋体" w:cs="宋体"/>
          <w:b/>
          <w:color w:val="auto"/>
          <w:sz w:val="32"/>
          <w:szCs w:val="32"/>
        </w:rPr>
      </w:pPr>
    </w:p>
    <w:p>
      <w:pPr>
        <w:spacing w:line="500" w:lineRule="exact"/>
        <w:rPr>
          <w:rFonts w:hint="eastAsia" w:ascii="宋体" w:hAnsi="宋体" w:eastAsia="宋体" w:cs="宋体"/>
          <w:b/>
          <w:color w:val="auto"/>
          <w:sz w:val="32"/>
          <w:szCs w:val="32"/>
        </w:rPr>
      </w:pPr>
    </w:p>
    <w:p>
      <w:pPr>
        <w:rPr>
          <w:rFonts w:hint="eastAsia" w:ascii="宋体" w:hAnsi="宋体" w:eastAsia="宋体" w:cs="宋体"/>
          <w:b/>
          <w:bCs/>
          <w:color w:val="auto"/>
          <w:sz w:val="32"/>
          <w:szCs w:val="32"/>
        </w:rPr>
      </w:pPr>
      <w:bookmarkStart w:id="284" w:name="_Toc26450"/>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t>13.如产品属于监狱企业的，以提供由省级以上监狱管理局、戒毒管理局（含新疆生产建设兵团）出具的属于监狱企业的证明文件为准（如有，请提供）；</w:t>
      </w:r>
      <w:bookmarkEnd w:id="284"/>
    </w:p>
    <w:p>
      <w:pPr>
        <w:rPr>
          <w:rFonts w:hint="eastAsia" w:ascii="宋体" w:hAnsi="宋体" w:eastAsia="宋体" w:cs="宋体"/>
          <w:b/>
          <w:bCs/>
          <w:color w:val="auto"/>
          <w:sz w:val="32"/>
          <w:szCs w:val="32"/>
        </w:rPr>
      </w:pPr>
      <w:bookmarkStart w:id="285" w:name="_Toc17129"/>
      <w:r>
        <w:rPr>
          <w:rFonts w:hint="eastAsia" w:ascii="宋体" w:hAnsi="宋体" w:eastAsia="宋体" w:cs="宋体"/>
          <w:b/>
          <w:bCs/>
          <w:color w:val="auto"/>
          <w:sz w:val="32"/>
          <w:szCs w:val="32"/>
        </w:rPr>
        <w:t>14.符合条件的残疾人福利性单位在参加政府采购活动时，应当提供《残疾人福利性单位声明函》（见附件），并对声明的真实性负责。</w:t>
      </w:r>
      <w:bookmarkEnd w:id="285"/>
    </w:p>
    <w:p>
      <w:pPr>
        <w:spacing w:line="588" w:lineRule="exact"/>
        <w:jc w:val="center"/>
        <w:rPr>
          <w:rFonts w:hint="eastAsia" w:ascii="宋体" w:hAnsi="宋体" w:eastAsia="宋体" w:cs="宋体"/>
          <w:b/>
          <w:color w:val="auto"/>
          <w:spacing w:val="6"/>
          <w:sz w:val="30"/>
          <w:szCs w:val="30"/>
        </w:rPr>
      </w:pPr>
      <w:r>
        <w:rPr>
          <w:rFonts w:hint="eastAsia" w:ascii="宋体" w:hAnsi="宋体" w:eastAsia="宋体" w:cs="宋体"/>
          <w:b/>
          <w:color w:val="auto"/>
          <w:spacing w:val="6"/>
          <w:sz w:val="32"/>
          <w:szCs w:val="32"/>
        </w:rPr>
        <w:t>残疾人福利性单位声明函</w:t>
      </w:r>
    </w:p>
    <w:p>
      <w:pPr>
        <w:spacing w:line="588" w:lineRule="exact"/>
        <w:ind w:firstLine="624" w:firstLineChars="200"/>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本单位对上述声明的真实性负责。如有虚假，将依法承担相应责任。</w:t>
      </w:r>
    </w:p>
    <w:p>
      <w:pPr>
        <w:spacing w:line="588" w:lineRule="exact"/>
        <w:ind w:firstLine="624" w:firstLineChars="200"/>
        <w:rPr>
          <w:rFonts w:hint="eastAsia" w:ascii="宋体" w:hAnsi="宋体" w:eastAsia="宋体" w:cs="宋体"/>
          <w:color w:val="auto"/>
          <w:spacing w:val="6"/>
          <w:sz w:val="30"/>
          <w:szCs w:val="30"/>
        </w:rPr>
      </w:pPr>
    </w:p>
    <w:p>
      <w:pPr>
        <w:spacing w:line="588" w:lineRule="exact"/>
        <w:ind w:firstLine="624" w:firstLineChars="200"/>
        <w:rPr>
          <w:rFonts w:hint="eastAsia" w:ascii="宋体" w:hAnsi="宋体" w:eastAsia="宋体" w:cs="宋体"/>
          <w:color w:val="auto"/>
          <w:spacing w:val="6"/>
          <w:sz w:val="30"/>
          <w:szCs w:val="30"/>
        </w:rPr>
      </w:pPr>
    </w:p>
    <w:p>
      <w:pPr>
        <w:spacing w:line="588" w:lineRule="exact"/>
        <w:ind w:firstLine="624" w:firstLineChars="200"/>
        <w:rPr>
          <w:rFonts w:hint="eastAsia" w:ascii="宋体" w:hAnsi="宋体" w:eastAsia="宋体" w:cs="宋体"/>
          <w:color w:val="auto"/>
          <w:spacing w:val="6"/>
          <w:sz w:val="30"/>
          <w:szCs w:val="30"/>
        </w:rPr>
      </w:pPr>
    </w:p>
    <w:p>
      <w:pPr>
        <w:tabs>
          <w:tab w:val="left" w:pos="4860"/>
        </w:tabs>
        <w:spacing w:line="588" w:lineRule="exact"/>
        <w:ind w:right="1560" w:firstLine="624" w:firstLineChars="200"/>
        <w:jc w:val="center"/>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单位名称（盖公章）：</w:t>
      </w:r>
    </w:p>
    <w:p>
      <w:pPr>
        <w:tabs>
          <w:tab w:val="left" w:pos="4860"/>
        </w:tabs>
        <w:spacing w:line="588" w:lineRule="exact"/>
        <w:ind w:right="1560" w:firstLine="624" w:firstLineChars="200"/>
        <w:jc w:val="center"/>
        <w:rPr>
          <w:rFonts w:hint="eastAsia" w:ascii="宋体" w:hAnsi="宋体" w:eastAsia="宋体" w:cs="宋体"/>
          <w:b/>
          <w:bCs/>
          <w:color w:val="auto"/>
          <w:sz w:val="32"/>
          <w:szCs w:val="32"/>
        </w:rPr>
      </w:pPr>
      <w:r>
        <w:rPr>
          <w:rFonts w:hint="eastAsia" w:ascii="宋体" w:hAnsi="宋体" w:eastAsia="宋体" w:cs="宋体"/>
          <w:color w:val="auto"/>
          <w:spacing w:val="6"/>
          <w:sz w:val="30"/>
          <w:szCs w:val="30"/>
        </w:rPr>
        <w:t>日  期：</w:t>
      </w:r>
    </w:p>
    <w:p>
      <w:pPr>
        <w:spacing w:line="500" w:lineRule="exact"/>
        <w:rPr>
          <w:rFonts w:hint="eastAsia" w:ascii="宋体" w:hAnsi="宋体" w:eastAsia="宋体" w:cs="宋体"/>
          <w:b/>
          <w:bCs/>
          <w:color w:val="auto"/>
          <w:sz w:val="32"/>
          <w:szCs w:val="32"/>
        </w:rPr>
      </w:pPr>
    </w:p>
    <w:p>
      <w:pPr>
        <w:spacing w:line="500" w:lineRule="exact"/>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bookmarkStart w:id="286" w:name="_Toc14735"/>
      <w:bookmarkStart w:id="287" w:name="_Toc495841807"/>
      <w:r>
        <w:rPr>
          <w:rFonts w:hint="eastAsia" w:ascii="宋体" w:hAnsi="宋体" w:eastAsia="宋体" w:cs="宋体"/>
          <w:b/>
          <w:bCs/>
          <w:color w:val="auto"/>
          <w:sz w:val="32"/>
          <w:szCs w:val="32"/>
        </w:rPr>
        <w:t>15.投标人可结合本项目的评标办法视自身情况自行提交相关证明材料（如有，请提供）</w:t>
      </w:r>
      <w:bookmarkEnd w:id="286"/>
      <w:bookmarkEnd w:id="287"/>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w:t>
      </w:r>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w:t>
      </w:r>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t>16.项目</w:t>
      </w:r>
      <w:r>
        <w:rPr>
          <w:rFonts w:hint="eastAsia" w:ascii="宋体" w:hAnsi="宋体" w:cs="宋体"/>
          <w:b/>
          <w:bCs/>
          <w:color w:val="auto"/>
          <w:sz w:val="32"/>
          <w:szCs w:val="32"/>
          <w:lang w:val="en-US" w:eastAsia="zh-CN"/>
        </w:rPr>
        <w:t>配送、安装方案</w:t>
      </w:r>
      <w:r>
        <w:rPr>
          <w:rFonts w:hint="eastAsia" w:ascii="宋体" w:hAnsi="宋体" w:eastAsia="宋体" w:cs="宋体"/>
          <w:b/>
          <w:bCs/>
          <w:color w:val="auto"/>
          <w:sz w:val="32"/>
          <w:szCs w:val="32"/>
        </w:rPr>
        <w:t>（如有，请提供）</w:t>
      </w:r>
    </w:p>
    <w:bookmarkEnd w:id="288"/>
    <w:sectPr>
      <w:footerReference r:id="rId6"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onospace">
    <w:altName w:val="微软雅黑"/>
    <w:panose1 w:val="00000000000000000000"/>
    <w:charset w:val="00"/>
    <w:family w:val="auto"/>
    <w:pitch w:val="default"/>
    <w:sig w:usb0="00000000" w:usb1="00000000" w:usb2="00000000" w:usb3="00000000" w:csb0="00040001" w:csb1="00000000"/>
  </w:font>
  <w:font w:name="Sim Sun">
    <w:altName w:val="宋体"/>
    <w:panose1 w:val="00000000000000000000"/>
    <w:charset w:val="86"/>
    <w:family w:val="decorative"/>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rPr>
        <w:rStyle w:val="119"/>
      </w:rPr>
      <w:instrText xml:space="preserve"> PAGE </w:instrText>
    </w:r>
    <w:r>
      <w:fldChar w:fldCharType="separate"/>
    </w:r>
    <w:r>
      <w:rPr>
        <w:rStyle w:val="119"/>
      </w:rPr>
      <w:t>21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EBBE8"/>
    <w:multiLevelType w:val="singleLevel"/>
    <w:tmpl w:val="AE8EBBE8"/>
    <w:lvl w:ilvl="0" w:tentative="0">
      <w:start w:val="15"/>
      <w:numFmt w:val="decimal"/>
      <w:suff w:val="space"/>
      <w:lvlText w:val="%1."/>
      <w:lvlJc w:val="left"/>
    </w:lvl>
  </w:abstractNum>
  <w:abstractNum w:abstractNumId="1">
    <w:nsid w:val="F11E334E"/>
    <w:multiLevelType w:val="singleLevel"/>
    <w:tmpl w:val="F11E334E"/>
    <w:lvl w:ilvl="0" w:tentative="0">
      <w:start w:val="1"/>
      <w:numFmt w:val="decimal"/>
      <w:suff w:val="nothing"/>
      <w:lvlText w:val="（%1）"/>
      <w:lvlJc w:val="left"/>
    </w:lvl>
  </w:abstractNum>
  <w:abstractNum w:abstractNumId="2">
    <w:nsid w:val="0F3F0521"/>
    <w:multiLevelType w:val="singleLevel"/>
    <w:tmpl w:val="0F3F0521"/>
    <w:lvl w:ilvl="0" w:tentative="0">
      <w:start w:val="1"/>
      <w:numFmt w:val="decimal"/>
      <w:lvlText w:val="%1)"/>
      <w:lvlJc w:val="left"/>
      <w:pPr>
        <w:ind w:left="425" w:hanging="425"/>
      </w:pPr>
      <w:rPr>
        <w:rFonts w:hint="default"/>
      </w:rPr>
    </w:lvl>
  </w:abstractNum>
  <w:abstractNum w:abstractNumId="3">
    <w:nsid w:val="179A9516"/>
    <w:multiLevelType w:val="singleLevel"/>
    <w:tmpl w:val="179A9516"/>
    <w:lvl w:ilvl="0" w:tentative="0">
      <w:start w:val="4"/>
      <w:numFmt w:val="decimal"/>
      <w:suff w:val="nothing"/>
      <w:lvlText w:val="（%1）"/>
      <w:lvlJc w:val="left"/>
    </w:lvl>
  </w:abstractNum>
  <w:abstractNum w:abstractNumId="4">
    <w:nsid w:val="262694A4"/>
    <w:multiLevelType w:val="singleLevel"/>
    <w:tmpl w:val="262694A4"/>
    <w:lvl w:ilvl="0" w:tentative="0">
      <w:start w:val="1"/>
      <w:numFmt w:val="chineseCounting"/>
      <w:suff w:val="space"/>
      <w:lvlText w:val="第%1章"/>
      <w:lvlJc w:val="left"/>
      <w:rPr>
        <w:rFonts w:hint="eastAsia"/>
      </w:rPr>
    </w:lvl>
  </w:abstractNum>
  <w:abstractNum w:abstractNumId="5">
    <w:nsid w:val="2E3DCA9D"/>
    <w:multiLevelType w:val="singleLevel"/>
    <w:tmpl w:val="2E3DCA9D"/>
    <w:lvl w:ilvl="0" w:tentative="0">
      <w:start w:val="1"/>
      <w:numFmt w:val="chineseCounting"/>
      <w:suff w:val="space"/>
      <w:lvlText w:val="第%1条"/>
      <w:lvlJc w:val="left"/>
      <w:rPr>
        <w:rFonts w:hint="eastAsia"/>
      </w:rPr>
    </w:lvl>
  </w:abstractNum>
  <w:abstractNum w:abstractNumId="6">
    <w:nsid w:val="3E2AC756"/>
    <w:multiLevelType w:val="singleLevel"/>
    <w:tmpl w:val="3E2AC756"/>
    <w:lvl w:ilvl="0" w:tentative="0">
      <w:start w:val="2"/>
      <w:numFmt w:val="decimal"/>
      <w:suff w:val="nothing"/>
      <w:lvlText w:val="%1、"/>
      <w:lvlJc w:val="left"/>
    </w:lvl>
  </w:abstractNum>
  <w:abstractNum w:abstractNumId="7">
    <w:nsid w:val="4603DC6E"/>
    <w:multiLevelType w:val="singleLevel"/>
    <w:tmpl w:val="4603DC6E"/>
    <w:lvl w:ilvl="0" w:tentative="0">
      <w:start w:val="2"/>
      <w:numFmt w:val="decimal"/>
      <w:suff w:val="nothing"/>
      <w:lvlText w:val="（%1）"/>
      <w:lvlJc w:val="left"/>
    </w:lvl>
  </w:abstractNum>
  <w:abstractNum w:abstractNumId="8">
    <w:nsid w:val="491EBDFD"/>
    <w:multiLevelType w:val="singleLevel"/>
    <w:tmpl w:val="491EBDFD"/>
    <w:lvl w:ilvl="0" w:tentative="0">
      <w:start w:val="1"/>
      <w:numFmt w:val="decimal"/>
      <w:lvlText w:val="%1."/>
      <w:lvlJc w:val="left"/>
      <w:pPr>
        <w:tabs>
          <w:tab w:val="left" w:pos="312"/>
        </w:tabs>
      </w:pPr>
    </w:lvl>
  </w:abstractNum>
  <w:abstractNum w:abstractNumId="9">
    <w:nsid w:val="524A5894"/>
    <w:multiLevelType w:val="singleLevel"/>
    <w:tmpl w:val="524A5894"/>
    <w:lvl w:ilvl="0" w:tentative="0">
      <w:start w:val="1"/>
      <w:numFmt w:val="decimal"/>
      <w:suff w:val="nothing"/>
      <w:lvlText w:val="%1、"/>
      <w:lvlJc w:val="left"/>
    </w:lvl>
  </w:abstractNum>
  <w:abstractNum w:abstractNumId="10">
    <w:nsid w:val="59DC546A"/>
    <w:multiLevelType w:val="singleLevel"/>
    <w:tmpl w:val="59DC546A"/>
    <w:lvl w:ilvl="0" w:tentative="0">
      <w:start w:val="1"/>
      <w:numFmt w:val="decimal"/>
      <w:suff w:val="nothing"/>
      <w:lvlText w:val="（%1）"/>
      <w:lvlJc w:val="left"/>
    </w:lvl>
  </w:abstractNum>
  <w:abstractNum w:abstractNumId="11">
    <w:nsid w:val="64EF2E3B"/>
    <w:multiLevelType w:val="singleLevel"/>
    <w:tmpl w:val="64EF2E3B"/>
    <w:lvl w:ilvl="0" w:tentative="0">
      <w:start w:val="1"/>
      <w:numFmt w:val="decimal"/>
      <w:suff w:val="nothing"/>
      <w:lvlText w:val="（%1）"/>
      <w:lvlJc w:val="left"/>
    </w:lvl>
  </w:abstractNum>
  <w:abstractNum w:abstractNumId="12">
    <w:nsid w:val="7131A9B3"/>
    <w:multiLevelType w:val="singleLevel"/>
    <w:tmpl w:val="7131A9B3"/>
    <w:lvl w:ilvl="0" w:tentative="0">
      <w:start w:val="1"/>
      <w:numFmt w:val="decimal"/>
      <w:suff w:val="nothing"/>
      <w:lvlText w:val="%1、"/>
      <w:lvlJc w:val="left"/>
    </w:lvl>
  </w:abstractNum>
  <w:num w:numId="1">
    <w:abstractNumId w:val="4"/>
  </w:num>
  <w:num w:numId="2">
    <w:abstractNumId w:val="8"/>
  </w:num>
  <w:num w:numId="3">
    <w:abstractNumId w:val="3"/>
  </w:num>
  <w:num w:numId="4">
    <w:abstractNumId w:val="10"/>
  </w:num>
  <w:num w:numId="5">
    <w:abstractNumId w:val="0"/>
  </w:num>
  <w:num w:numId="6">
    <w:abstractNumId w:val="2"/>
  </w:num>
  <w:num w:numId="7">
    <w:abstractNumId w:val="1"/>
  </w:num>
  <w:num w:numId="8">
    <w:abstractNumId w:val="12"/>
  </w:num>
  <w:num w:numId="9">
    <w:abstractNumId w:val="6"/>
  </w:num>
  <w:num w:numId="10">
    <w:abstractNumId w:val="7"/>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E306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8"/>
    <w:qFormat/>
    <w:uiPriority w:val="0"/>
    <w:pPr>
      <w:keepNext/>
      <w:keepLines/>
      <w:spacing w:before="340" w:after="330" w:line="578" w:lineRule="auto"/>
      <w:outlineLvl w:val="0"/>
    </w:pPr>
    <w:rPr>
      <w:rFonts w:ascii="Tahoma" w:hAnsi="Tahoma"/>
      <w:b/>
      <w:bCs/>
      <w:kern w:val="44"/>
      <w:sz w:val="44"/>
      <w:szCs w:val="44"/>
    </w:rPr>
  </w:style>
  <w:style w:type="paragraph" w:styleId="4">
    <w:name w:val="heading 2"/>
    <w:basedOn w:val="1"/>
    <w:next w:val="1"/>
    <w:link w:val="9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6"/>
    <w:basedOn w:val="1"/>
    <w:next w:val="1"/>
    <w:link w:val="118"/>
    <w:qFormat/>
    <w:uiPriority w:val="0"/>
    <w:pPr>
      <w:keepNext/>
      <w:keepLines/>
      <w:spacing w:before="240" w:after="64" w:line="320" w:lineRule="auto"/>
      <w:outlineLvl w:val="5"/>
    </w:pPr>
    <w:rPr>
      <w:rFonts w:ascii="Arial" w:hAnsi="Arial" w:eastAsia="黑体"/>
      <w:b/>
      <w:bCs/>
      <w:sz w:val="24"/>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Normal Indent"/>
    <w:basedOn w:val="1"/>
    <w:link w:val="100"/>
    <w:qFormat/>
    <w:uiPriority w:val="0"/>
    <w:pPr>
      <w:ind w:firstLine="420"/>
    </w:pPr>
    <w:rPr>
      <w:szCs w:val="20"/>
    </w:rPr>
  </w:style>
  <w:style w:type="paragraph" w:styleId="10">
    <w:name w:val="Document Map"/>
    <w:basedOn w:val="1"/>
    <w:link w:val="111"/>
    <w:qFormat/>
    <w:uiPriority w:val="0"/>
    <w:rPr>
      <w:rFonts w:ascii="宋体" w:hAnsi="Tahoma"/>
      <w:sz w:val="18"/>
      <w:szCs w:val="18"/>
    </w:rPr>
  </w:style>
  <w:style w:type="paragraph" w:styleId="11">
    <w:name w:val="annotation text"/>
    <w:basedOn w:val="1"/>
    <w:link w:val="108"/>
    <w:semiHidden/>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Indent"/>
    <w:basedOn w:val="1"/>
    <w:link w:val="116"/>
    <w:qFormat/>
    <w:uiPriority w:val="0"/>
    <w:pPr>
      <w:spacing w:after="120"/>
      <w:ind w:left="420" w:leftChars="200"/>
    </w:pPr>
    <w:rPr>
      <w:rFonts w:ascii="Tahoma" w:hAnsi="Tahoma"/>
    </w:rPr>
  </w:style>
  <w:style w:type="paragraph" w:styleId="14">
    <w:name w:val="toc 3"/>
    <w:basedOn w:val="1"/>
    <w:next w:val="1"/>
    <w:qFormat/>
    <w:uiPriority w:val="39"/>
    <w:pPr>
      <w:ind w:left="840" w:leftChars="400"/>
    </w:pPr>
  </w:style>
  <w:style w:type="paragraph" w:styleId="15">
    <w:name w:val="Plain Text"/>
    <w:basedOn w:val="1"/>
    <w:next w:val="1"/>
    <w:link w:val="115"/>
    <w:qFormat/>
    <w:uiPriority w:val="0"/>
    <w:rPr>
      <w:rFonts w:ascii="宋体" w:hAnsi="Courier New"/>
      <w:szCs w:val="20"/>
    </w:rPr>
  </w:style>
  <w:style w:type="paragraph" w:styleId="16">
    <w:name w:val="Date"/>
    <w:basedOn w:val="1"/>
    <w:next w:val="1"/>
    <w:qFormat/>
    <w:uiPriority w:val="0"/>
    <w:pPr>
      <w:ind w:left="100" w:leftChars="2500"/>
    </w:pPr>
  </w:style>
  <w:style w:type="paragraph" w:styleId="17">
    <w:name w:val="Balloon Text"/>
    <w:basedOn w:val="1"/>
    <w:semiHidden/>
    <w:qFormat/>
    <w:uiPriority w:val="0"/>
    <w:rPr>
      <w:sz w:val="18"/>
      <w:szCs w:val="18"/>
    </w:rPr>
  </w:style>
  <w:style w:type="paragraph" w:styleId="18">
    <w:name w:val="footer"/>
    <w:basedOn w:val="1"/>
    <w:link w:val="106"/>
    <w:qFormat/>
    <w:uiPriority w:val="99"/>
    <w:pPr>
      <w:tabs>
        <w:tab w:val="center" w:pos="4153"/>
        <w:tab w:val="right" w:pos="8306"/>
      </w:tabs>
      <w:snapToGrid w:val="0"/>
      <w:jc w:val="left"/>
    </w:pPr>
    <w:rPr>
      <w:rFonts w:ascii="Tahoma" w:hAnsi="Tahoma"/>
      <w:sz w:val="18"/>
      <w:szCs w:val="18"/>
    </w:rPr>
  </w:style>
  <w:style w:type="paragraph" w:styleId="19">
    <w:name w:val="header"/>
    <w:basedOn w:val="1"/>
    <w:link w:val="93"/>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0">
    <w:name w:val="toc 1"/>
    <w:basedOn w:val="1"/>
    <w:next w:val="1"/>
    <w:qFormat/>
    <w:uiPriority w:val="39"/>
  </w:style>
  <w:style w:type="paragraph" w:styleId="21">
    <w:name w:val="toc 2"/>
    <w:basedOn w:val="1"/>
    <w:next w:val="1"/>
    <w:qFormat/>
    <w:uiPriority w:val="39"/>
    <w:pPr>
      <w:ind w:left="420" w:leftChars="200"/>
    </w:pPr>
  </w:style>
  <w:style w:type="paragraph" w:styleId="22">
    <w:name w:val="toc 9"/>
    <w:basedOn w:val="1"/>
    <w:next w:val="1"/>
    <w:qFormat/>
    <w:uiPriority w:val="39"/>
    <w:pPr>
      <w:ind w:left="1680"/>
      <w:jc w:val="left"/>
    </w:pPr>
    <w:rPr>
      <w:sz w:val="18"/>
      <w:szCs w:val="18"/>
    </w:rPr>
  </w:style>
  <w:style w:type="paragraph" w:styleId="23">
    <w:name w:val="List 4"/>
    <w:basedOn w:val="1"/>
    <w:unhideWhenUsed/>
    <w:qFormat/>
    <w:uiPriority w:val="99"/>
    <w:pPr>
      <w:ind w:left="100" w:leftChars="600" w:hanging="200" w:hangingChars="200"/>
      <w:contextualSpacing/>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annotation subject"/>
    <w:basedOn w:val="11"/>
    <w:next w:val="11"/>
    <w:semiHidden/>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rFonts w:ascii="Tahoma" w:hAnsi="Tahoma"/>
      <w:b/>
      <w:bCs/>
      <w:sz w:val="24"/>
      <w:szCs w:val="20"/>
    </w:rPr>
  </w:style>
  <w:style w:type="character" w:styleId="30">
    <w:name w:val="page number"/>
    <w:basedOn w:val="28"/>
    <w:qFormat/>
    <w:uiPriority w:val="0"/>
  </w:style>
  <w:style w:type="character" w:styleId="31">
    <w:name w:val="FollowedHyperlink"/>
    <w:unhideWhenUsed/>
    <w:qFormat/>
    <w:uiPriority w:val="99"/>
    <w:rPr>
      <w:color w:val="954F72"/>
      <w:u w:val="singl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qFormat/>
    <w:uiPriority w:val="0"/>
    <w:rPr>
      <w:rFonts w:ascii="Tahoma" w:hAnsi="Tahoma"/>
      <w:sz w:val="24"/>
      <w:szCs w:val="20"/>
    </w:rPr>
  </w:style>
  <w:style w:type="character" w:styleId="37">
    <w:name w:val="Hyperlink"/>
    <w:qFormat/>
    <w:uiPriority w:val="99"/>
    <w:rPr>
      <w:rFonts w:ascii="Tahoma" w:hAnsi="Tahoma"/>
      <w:color w:val="0000FF"/>
      <w:sz w:val="24"/>
      <w:szCs w:val="20"/>
      <w:u w:val="single"/>
    </w:rPr>
  </w:style>
  <w:style w:type="character" w:styleId="38">
    <w:name w:val="HTML Code"/>
    <w:qFormat/>
    <w:uiPriority w:val="0"/>
    <w:rPr>
      <w:rFonts w:ascii="monospace" w:hAnsi="monospace" w:eastAsia="monospace" w:cs="monospace"/>
      <w:sz w:val="20"/>
    </w:rPr>
  </w:style>
  <w:style w:type="character" w:styleId="39">
    <w:name w:val="annotation reference"/>
    <w:semiHidden/>
    <w:qFormat/>
    <w:uiPriority w:val="0"/>
    <w:rPr>
      <w:rFonts w:ascii="Tahoma" w:hAnsi="Tahoma"/>
      <w:sz w:val="21"/>
      <w:szCs w:val="21"/>
    </w:rPr>
  </w:style>
  <w:style w:type="character" w:styleId="40">
    <w:name w:val="HTML Cite"/>
    <w:qFormat/>
    <w:uiPriority w:val="0"/>
  </w:style>
  <w:style w:type="character" w:styleId="41">
    <w:name w:val="HTML Keyboard"/>
    <w:qFormat/>
    <w:uiPriority w:val="0"/>
    <w:rPr>
      <w:rFonts w:hint="default"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paragraph" w:customStyle="1" w:styleId="4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5">
    <w:name w:val="p0"/>
    <w:basedOn w:val="1"/>
    <w:qFormat/>
    <w:uiPriority w:val="0"/>
    <w:pPr>
      <w:widowControl/>
    </w:pPr>
    <w:rPr>
      <w:kern w:val="0"/>
      <w:szCs w:val="20"/>
    </w:rPr>
  </w:style>
  <w:style w:type="paragraph" w:customStyle="1" w:styleId="46">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7">
    <w:name w:val="样式1"/>
    <w:basedOn w:val="1"/>
    <w:qFormat/>
    <w:uiPriority w:val="0"/>
    <w:pPr>
      <w:widowControl/>
      <w:jc w:val="left"/>
    </w:pPr>
    <w:rPr>
      <w:rFonts w:ascii="宋体" w:hAnsi="宋体"/>
      <w:kern w:val="0"/>
      <w:sz w:val="21"/>
      <w:szCs w:val="21"/>
    </w:rPr>
  </w:style>
  <w:style w:type="paragraph" w:customStyle="1" w:styleId="48">
    <w:name w:val="普通(网站)1"/>
    <w:basedOn w:val="1"/>
    <w:qFormat/>
    <w:uiPriority w:val="0"/>
    <w:pPr>
      <w:jc w:val="left"/>
    </w:pPr>
    <w:rPr>
      <w:kern w:val="0"/>
      <w:sz w:val="24"/>
    </w:rPr>
  </w:style>
  <w:style w:type="paragraph" w:customStyle="1" w:styleId="49">
    <w:name w:val="1"/>
    <w:basedOn w:val="1"/>
    <w:next w:val="15"/>
    <w:qFormat/>
    <w:uiPriority w:val="0"/>
    <w:rPr>
      <w:rFonts w:ascii="宋体" w:hAnsi="Courier New"/>
      <w:szCs w:val="20"/>
    </w:rPr>
  </w:style>
  <w:style w:type="paragraph" w:customStyle="1" w:styleId="50">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1">
    <w:name w:val="CM14"/>
    <w:basedOn w:val="43"/>
    <w:next w:val="43"/>
    <w:qFormat/>
    <w:uiPriority w:val="0"/>
    <w:pPr>
      <w:spacing w:line="468" w:lineRule="atLeast"/>
    </w:pPr>
    <w:rPr>
      <w:rFonts w:ascii="Sim Sun" w:eastAsia="Sim Sun" w:cs="Times New Roman"/>
      <w:color w:val="auto"/>
    </w:rPr>
  </w:style>
  <w:style w:type="paragraph" w:customStyle="1" w:styleId="52">
    <w:name w:val="CM15"/>
    <w:basedOn w:val="43"/>
    <w:next w:val="43"/>
    <w:qFormat/>
    <w:uiPriority w:val="0"/>
    <w:pPr>
      <w:spacing w:line="468" w:lineRule="atLeast"/>
    </w:pPr>
    <w:rPr>
      <w:rFonts w:ascii="Sim Sun" w:eastAsia="Sim Sun" w:cs="Times New Roman"/>
      <w:color w:val="auto"/>
    </w:rPr>
  </w:style>
  <w:style w:type="paragraph" w:customStyle="1" w:styleId="53">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4">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5">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9">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6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6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6">
    <w:name w:val="List Paragraph"/>
    <w:basedOn w:val="1"/>
    <w:link w:val="110"/>
    <w:qFormat/>
    <w:uiPriority w:val="0"/>
    <w:pPr>
      <w:ind w:firstLine="420" w:firstLineChars="200"/>
    </w:pPr>
  </w:style>
  <w:style w:type="paragraph" w:customStyle="1" w:styleId="67">
    <w:name w:val="Table Paragraph"/>
    <w:basedOn w:val="1"/>
    <w:qFormat/>
    <w:uiPriority w:val="1"/>
  </w:style>
  <w:style w:type="paragraph" w:customStyle="1" w:styleId="68">
    <w:name w:val="正文格式"/>
    <w:basedOn w:val="1"/>
    <w:qFormat/>
    <w:uiPriority w:val="0"/>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6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0">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1">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72">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3">
    <w:name w:val="Char Char8"/>
    <w:basedOn w:val="1"/>
    <w:qFormat/>
    <w:uiPriority w:val="0"/>
    <w:rPr>
      <w:rFonts w:ascii="Tahoma" w:hAnsi="Tahoma" w:eastAsia="Times New Roman"/>
      <w:kern w:val="0"/>
      <w:sz w:val="24"/>
      <w:szCs w:val="20"/>
    </w:rPr>
  </w:style>
  <w:style w:type="paragraph" w:customStyle="1" w:styleId="7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列出段落1"/>
    <w:basedOn w:val="1"/>
    <w:qFormat/>
    <w:uiPriority w:val="0"/>
    <w:pPr>
      <w:ind w:firstLine="420" w:firstLineChars="200"/>
    </w:pPr>
    <w:rPr>
      <w:rFonts w:ascii="仿宋_GB2312" w:eastAsia="仿宋_GB2312"/>
      <w:sz w:val="32"/>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8">
    <w:name w:val="_Style 36"/>
    <w:basedOn w:val="1"/>
    <w:qFormat/>
    <w:uiPriority w:val="0"/>
    <w:rPr>
      <w:rFonts w:ascii="Tahoma" w:hAnsi="Tahoma"/>
      <w:sz w:val="24"/>
      <w:szCs w:val="20"/>
    </w:rPr>
  </w:style>
  <w:style w:type="paragraph" w:customStyle="1" w:styleId="79">
    <w:name w:val="Char Char2 Char Char"/>
    <w:basedOn w:val="1"/>
    <w:qFormat/>
    <w:uiPriority w:val="0"/>
    <w:rPr>
      <w:rFonts w:ascii="Tahoma" w:hAnsi="Tahoma"/>
      <w:sz w:val="24"/>
      <w:szCs w:val="20"/>
    </w:rPr>
  </w:style>
  <w:style w:type="paragraph" w:customStyle="1" w:styleId="8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2">
    <w:name w:val="p17"/>
    <w:basedOn w:val="1"/>
    <w:qFormat/>
    <w:uiPriority w:val="0"/>
    <w:pPr>
      <w:widowControl/>
    </w:pPr>
    <w:rPr>
      <w:rFonts w:ascii="宋体" w:hAnsi="宋体" w:cs="宋体"/>
      <w:kern w:val="0"/>
      <w:szCs w:val="21"/>
    </w:rPr>
  </w:style>
  <w:style w:type="paragraph" w:customStyle="1" w:styleId="83">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84">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88">
    <w:name w:val="标题 1 Char"/>
    <w:link w:val="3"/>
    <w:qFormat/>
    <w:uiPriority w:val="0"/>
    <w:rPr>
      <w:rFonts w:ascii="Tahoma" w:hAnsi="Tahoma"/>
      <w:b/>
      <w:bCs/>
      <w:kern w:val="44"/>
      <w:sz w:val="44"/>
      <w:szCs w:val="44"/>
    </w:rPr>
  </w:style>
  <w:style w:type="character" w:customStyle="1" w:styleId="89">
    <w:name w:val="main12"/>
    <w:qFormat/>
    <w:uiPriority w:val="0"/>
    <w:rPr>
      <w:rFonts w:ascii="Arial" w:hAnsi="Arial" w:cs="Arial"/>
      <w:color w:val="000000"/>
      <w:sz w:val="18"/>
      <w:szCs w:val="18"/>
    </w:rPr>
  </w:style>
  <w:style w:type="character" w:customStyle="1" w:styleId="90">
    <w:name w:val="纯文本 字符"/>
    <w:qFormat/>
    <w:uiPriority w:val="0"/>
    <w:rPr>
      <w:rFonts w:ascii="宋体" w:hAnsi="Courier New" w:eastAsia="宋体" w:cs="Courier New"/>
      <w:szCs w:val="21"/>
    </w:rPr>
  </w:style>
  <w:style w:type="character" w:customStyle="1" w:styleId="91">
    <w:name w:val="纯文本 字符2"/>
    <w:qFormat/>
    <w:uiPriority w:val="0"/>
    <w:rPr>
      <w:rFonts w:ascii="宋体" w:hAnsi="Courier New" w:eastAsia="宋体"/>
      <w:kern w:val="2"/>
      <w:sz w:val="21"/>
      <w:lang w:val="en-US" w:eastAsia="zh-CN" w:bidi="ar-SA"/>
    </w:rPr>
  </w:style>
  <w:style w:type="character" w:customStyle="1" w:styleId="92">
    <w:name w:val="标题 2 Char"/>
    <w:link w:val="4"/>
    <w:semiHidden/>
    <w:qFormat/>
    <w:uiPriority w:val="0"/>
    <w:rPr>
      <w:rFonts w:ascii="Cambria" w:hAnsi="Cambria" w:eastAsia="宋体" w:cs="Times New Roman"/>
      <w:b/>
      <w:bCs/>
      <w:kern w:val="2"/>
      <w:sz w:val="32"/>
      <w:szCs w:val="32"/>
    </w:rPr>
  </w:style>
  <w:style w:type="character" w:customStyle="1" w:styleId="93">
    <w:name w:val="页眉 Char"/>
    <w:link w:val="19"/>
    <w:qFormat/>
    <w:uiPriority w:val="99"/>
    <w:rPr>
      <w:rFonts w:ascii="Tahoma" w:hAnsi="Tahoma"/>
      <w:kern w:val="2"/>
      <w:sz w:val="18"/>
      <w:szCs w:val="18"/>
    </w:rPr>
  </w:style>
  <w:style w:type="character" w:customStyle="1" w:styleId="94">
    <w:name w:val="Char Char10"/>
    <w:qFormat/>
    <w:locked/>
    <w:uiPriority w:val="0"/>
    <w:rPr>
      <w:rFonts w:ascii="宋体" w:hAnsi="宋体" w:eastAsia="宋体"/>
      <w:kern w:val="2"/>
      <w:sz w:val="21"/>
      <w:szCs w:val="24"/>
      <w:lang w:val="en-US" w:eastAsia="zh-CN" w:bidi="ar-SA"/>
    </w:rPr>
  </w:style>
  <w:style w:type="character" w:customStyle="1" w:styleId="95">
    <w:name w:val="cfdate"/>
    <w:qFormat/>
    <w:uiPriority w:val="0"/>
    <w:rPr>
      <w:color w:val="333333"/>
      <w:sz w:val="18"/>
      <w:szCs w:val="18"/>
    </w:rPr>
  </w:style>
  <w:style w:type="character" w:customStyle="1" w:styleId="96">
    <w:name w:val="纯文本 字符1"/>
    <w:qFormat/>
    <w:uiPriority w:val="0"/>
    <w:rPr>
      <w:rFonts w:ascii="Ђˎ̥" w:hAnsi="Verdana" w:eastAsia="Ђˎ̥" w:cs="Verdana"/>
      <w:szCs w:val="21"/>
    </w:rPr>
  </w:style>
  <w:style w:type="character" w:customStyle="1" w:styleId="97">
    <w:name w:val="gjfg"/>
    <w:basedOn w:val="28"/>
    <w:qFormat/>
    <w:uiPriority w:val="0"/>
  </w:style>
  <w:style w:type="character" w:customStyle="1" w:styleId="98">
    <w:name w:val="正文文本缩进 Char"/>
    <w:qFormat/>
    <w:uiPriority w:val="0"/>
    <w:rPr>
      <w:rFonts w:ascii="Times New Roman" w:hAnsi="Times New Roman" w:eastAsia="宋体" w:cs="Times New Roman"/>
      <w:kern w:val="2"/>
      <w:sz w:val="21"/>
      <w:szCs w:val="24"/>
    </w:rPr>
  </w:style>
  <w:style w:type="character" w:customStyle="1" w:styleId="99">
    <w:name w:val="未处理的提及1"/>
    <w:unhideWhenUsed/>
    <w:qFormat/>
    <w:uiPriority w:val="99"/>
    <w:rPr>
      <w:rFonts w:ascii="Tahoma" w:hAnsi="Tahoma"/>
      <w:color w:val="808080"/>
      <w:sz w:val="24"/>
      <w:szCs w:val="20"/>
      <w:shd w:val="clear" w:color="auto" w:fill="E6E6E6"/>
    </w:rPr>
  </w:style>
  <w:style w:type="character" w:customStyle="1" w:styleId="100">
    <w:name w:val="正文缩进 Char"/>
    <w:link w:val="9"/>
    <w:qFormat/>
    <w:locked/>
    <w:uiPriority w:val="0"/>
    <w:rPr>
      <w:rFonts w:eastAsia="宋体"/>
      <w:kern w:val="2"/>
      <w:sz w:val="21"/>
      <w:lang w:val="en-US" w:eastAsia="zh-CN" w:bidi="ar-SA"/>
    </w:rPr>
  </w:style>
  <w:style w:type="character" w:customStyle="1" w:styleId="101">
    <w:name w:val="页脚 字符"/>
    <w:qFormat/>
    <w:uiPriority w:val="99"/>
  </w:style>
  <w:style w:type="character" w:customStyle="1" w:styleId="102">
    <w:name w:val="Char Char1"/>
    <w:qFormat/>
    <w:uiPriority w:val="0"/>
    <w:rPr>
      <w:rFonts w:eastAsia="宋体"/>
      <w:kern w:val="2"/>
      <w:sz w:val="21"/>
      <w:szCs w:val="24"/>
      <w:lang w:val="en-US" w:eastAsia="zh-CN" w:bidi="ar-SA"/>
    </w:rPr>
  </w:style>
  <w:style w:type="character" w:customStyle="1" w:styleId="103">
    <w:name w:val="qxdate"/>
    <w:qFormat/>
    <w:uiPriority w:val="0"/>
    <w:rPr>
      <w:color w:val="333333"/>
      <w:sz w:val="18"/>
      <w:szCs w:val="18"/>
    </w:rPr>
  </w:style>
  <w:style w:type="character" w:customStyle="1" w:styleId="104">
    <w:name w:val="fontstyle01"/>
    <w:qFormat/>
    <w:uiPriority w:val="0"/>
    <w:rPr>
      <w:rFonts w:hint="eastAsia" w:ascii="宋体" w:hAnsi="宋体" w:eastAsia="宋体"/>
      <w:color w:val="000000"/>
      <w:sz w:val="22"/>
      <w:szCs w:val="22"/>
    </w:rPr>
  </w:style>
  <w:style w:type="character" w:customStyle="1" w:styleId="105">
    <w:name w:val="redfilenumber"/>
    <w:qFormat/>
    <w:uiPriority w:val="0"/>
    <w:rPr>
      <w:color w:val="BA2636"/>
      <w:sz w:val="18"/>
      <w:szCs w:val="18"/>
    </w:rPr>
  </w:style>
  <w:style w:type="character" w:customStyle="1" w:styleId="106">
    <w:name w:val="页脚 Char"/>
    <w:link w:val="18"/>
    <w:qFormat/>
    <w:uiPriority w:val="99"/>
    <w:rPr>
      <w:rFonts w:ascii="Tahoma" w:hAnsi="Tahoma"/>
      <w:kern w:val="2"/>
      <w:sz w:val="18"/>
      <w:szCs w:val="18"/>
    </w:rPr>
  </w:style>
  <w:style w:type="character" w:customStyle="1" w:styleId="107">
    <w:name w:val="纯文本 Char"/>
    <w:qFormat/>
    <w:uiPriority w:val="0"/>
    <w:rPr>
      <w:rFonts w:ascii="宋体" w:hAnsi="Courier New" w:eastAsia="宋体"/>
    </w:rPr>
  </w:style>
  <w:style w:type="character" w:customStyle="1" w:styleId="108">
    <w:name w:val="批注文字 Char"/>
    <w:link w:val="11"/>
    <w:qFormat/>
    <w:uiPriority w:val="0"/>
    <w:rPr>
      <w:rFonts w:eastAsia="宋体"/>
      <w:kern w:val="2"/>
      <w:sz w:val="21"/>
      <w:szCs w:val="24"/>
      <w:lang w:val="en-US" w:eastAsia="zh-CN" w:bidi="ar-SA"/>
    </w:rPr>
  </w:style>
  <w:style w:type="character" w:customStyle="1" w:styleId="109">
    <w:name w:val="displayarti"/>
    <w:qFormat/>
    <w:uiPriority w:val="0"/>
    <w:rPr>
      <w:color w:val="FFFFFF"/>
      <w:shd w:val="clear" w:color="auto" w:fill="A00000"/>
    </w:rPr>
  </w:style>
  <w:style w:type="character" w:customStyle="1" w:styleId="110">
    <w:name w:val="列出段落 Char1"/>
    <w:link w:val="66"/>
    <w:qFormat/>
    <w:locked/>
    <w:uiPriority w:val="0"/>
    <w:rPr>
      <w:kern w:val="2"/>
      <w:sz w:val="21"/>
      <w:szCs w:val="24"/>
    </w:rPr>
  </w:style>
  <w:style w:type="character" w:customStyle="1" w:styleId="111">
    <w:name w:val="文档结构图 Char"/>
    <w:link w:val="10"/>
    <w:qFormat/>
    <w:uiPriority w:val="0"/>
    <w:rPr>
      <w:rFonts w:ascii="宋体" w:hAnsi="Tahoma"/>
      <w:kern w:val="2"/>
      <w:sz w:val="18"/>
      <w:szCs w:val="18"/>
    </w:rPr>
  </w:style>
  <w:style w:type="character" w:customStyle="1" w:styleId="112">
    <w:name w:val="正文缩进 Char1"/>
    <w:qFormat/>
    <w:locked/>
    <w:uiPriority w:val="0"/>
    <w:rPr>
      <w:rFonts w:eastAsia="宋体"/>
      <w:kern w:val="2"/>
      <w:sz w:val="21"/>
      <w:lang w:val="en-US" w:eastAsia="zh-CN" w:bidi="ar-SA"/>
    </w:rPr>
  </w:style>
  <w:style w:type="character" w:customStyle="1" w:styleId="113">
    <w:name w:val="普通文字 Char Char5"/>
    <w:qFormat/>
    <w:uiPriority w:val="0"/>
    <w:rPr>
      <w:rFonts w:ascii="宋体" w:hAnsi="Courier New" w:eastAsia="宋体"/>
      <w:szCs w:val="21"/>
      <w:lang w:bidi="ar-SA"/>
    </w:rPr>
  </w:style>
  <w:style w:type="character" w:customStyle="1" w:styleId="114">
    <w:name w:val="redfilefwwh"/>
    <w:qFormat/>
    <w:uiPriority w:val="0"/>
    <w:rPr>
      <w:color w:val="BA2636"/>
      <w:sz w:val="18"/>
      <w:szCs w:val="18"/>
    </w:rPr>
  </w:style>
  <w:style w:type="character" w:customStyle="1" w:styleId="115">
    <w:name w:val="纯文本 Char1"/>
    <w:link w:val="15"/>
    <w:qFormat/>
    <w:uiPriority w:val="0"/>
    <w:rPr>
      <w:rFonts w:ascii="宋体" w:hAnsi="Courier New" w:eastAsia="宋体"/>
      <w:kern w:val="2"/>
      <w:sz w:val="21"/>
      <w:szCs w:val="20"/>
      <w:lang w:val="en-US" w:eastAsia="zh-CN" w:bidi="ar-SA"/>
    </w:rPr>
  </w:style>
  <w:style w:type="character" w:customStyle="1" w:styleId="116">
    <w:name w:val="正文文本缩进 Char1"/>
    <w:link w:val="13"/>
    <w:qFormat/>
    <w:uiPriority w:val="0"/>
    <w:rPr>
      <w:rFonts w:ascii="Tahoma" w:hAnsi="Tahoma"/>
      <w:kern w:val="2"/>
      <w:sz w:val="21"/>
      <w:szCs w:val="24"/>
    </w:rPr>
  </w:style>
  <w:style w:type="character" w:customStyle="1" w:styleId="117">
    <w:name w:val="列出段落 Char"/>
    <w:qFormat/>
    <w:locked/>
    <w:uiPriority w:val="34"/>
    <w:rPr>
      <w:rFonts w:ascii="Times New Roman" w:hAnsi="Times New Roman" w:eastAsia="宋体" w:cs="Times New Roman"/>
      <w:kern w:val="0"/>
      <w:sz w:val="24"/>
      <w:szCs w:val="20"/>
    </w:rPr>
  </w:style>
  <w:style w:type="character" w:customStyle="1" w:styleId="118">
    <w:name w:val="标题 6 Char"/>
    <w:link w:val="7"/>
    <w:qFormat/>
    <w:uiPriority w:val="0"/>
    <w:rPr>
      <w:rFonts w:ascii="Arial" w:hAnsi="Arial" w:eastAsia="黑体"/>
      <w:b/>
      <w:bCs/>
      <w:kern w:val="2"/>
      <w:sz w:val="24"/>
      <w:szCs w:val="24"/>
      <w:lang w:val="en-US" w:eastAsia="zh-CN" w:bidi="ar-SA"/>
    </w:rPr>
  </w:style>
  <w:style w:type="character" w:customStyle="1" w:styleId="119">
    <w:name w:val="apple-converted-space"/>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58</Pages>
  <Words>6853</Words>
  <Characters>39063</Characters>
  <Lines>325</Lines>
  <Paragraphs>91</Paragraphs>
  <TotalTime>1</TotalTime>
  <ScaleCrop>false</ScaleCrop>
  <LinksUpToDate>false</LinksUpToDate>
  <CharactersWithSpaces>45825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2020-03-09T21:34:00Z</dcterms:created>
  <dc:creator>微软用户</dc:creator>
  <cp:lastModifiedBy>@</cp:lastModifiedBy>
  <cp:lastPrinted>2020-06-02T14:38:00Z</cp:lastPrinted>
  <dcterms:modified xsi:type="dcterms:W3CDTF">2020-07-31T10:58:38Z</dcterms:modified>
  <dc:title>医疗设备采购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