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firstLine="420"/>
        <w:jc w:val="left"/>
        <w:rPr>
          <w:rFonts w:hAnsi="宋体" w:cs="宋体"/>
          <w:b/>
          <w:bCs/>
          <w:color w:val="000000" w:themeColor="text1"/>
          <w:spacing w:val="80"/>
          <w:sz w:val="64"/>
          <w14:textFill>
            <w14:solidFill>
              <w14:schemeClr w14:val="tx1"/>
            </w14:solidFill>
          </w14:textFill>
        </w:rPr>
      </w:pPr>
    </w:p>
    <w:p>
      <w:pPr>
        <w:pStyle w:val="17"/>
        <w:jc w:val="center"/>
        <w:rPr>
          <w:rFonts w:hAnsi="宋体" w:cs="宋体"/>
          <w:b/>
          <w:bCs/>
          <w:color w:val="000000" w:themeColor="text1"/>
          <w:spacing w:val="80"/>
          <w:sz w:val="60"/>
          <w:szCs w:val="60"/>
          <w14:textFill>
            <w14:solidFill>
              <w14:schemeClr w14:val="tx1"/>
            </w14:solidFill>
          </w14:textFill>
        </w:rPr>
      </w:pPr>
      <w:r>
        <w:rPr>
          <w:rFonts w:hint="eastAsia" w:hAnsi="宋体" w:cs="宋体"/>
          <w:b/>
          <w:bCs/>
          <w:color w:val="000000" w:themeColor="text1"/>
          <w:spacing w:val="80"/>
          <w:sz w:val="60"/>
          <w:szCs w:val="60"/>
          <w14:textFill>
            <w14:solidFill>
              <w14:schemeClr w14:val="tx1"/>
            </w14:solidFill>
          </w14:textFill>
        </w:rPr>
        <w:t>桂林市政府集中采购中心</w:t>
      </w:r>
    </w:p>
    <w:p>
      <w:pPr>
        <w:pStyle w:val="17"/>
        <w:jc w:val="center"/>
        <w:rPr>
          <w:rFonts w:hAnsi="宋体" w:cs="宋体"/>
          <w:b/>
          <w:bCs/>
          <w:color w:val="000000" w:themeColor="text1"/>
          <w:spacing w:val="80"/>
          <w:sz w:val="72"/>
          <w14:textFill>
            <w14:solidFill>
              <w14:schemeClr w14:val="tx1"/>
            </w14:solidFill>
          </w14:textFill>
        </w:rPr>
      </w:pPr>
    </w:p>
    <w:p>
      <w:pPr>
        <w:pStyle w:val="17"/>
        <w:jc w:val="center"/>
        <w:rPr>
          <w:rFonts w:hAnsi="宋体" w:cs="宋体"/>
          <w:b/>
          <w:bCs/>
          <w:color w:val="000000" w:themeColor="text1"/>
          <w:sz w:val="72"/>
          <w14:textFill>
            <w14:solidFill>
              <w14:schemeClr w14:val="tx1"/>
            </w14:solidFill>
          </w14:textFill>
        </w:rPr>
      </w:pPr>
    </w:p>
    <w:p>
      <w:pPr>
        <w:pStyle w:val="17"/>
        <w:jc w:val="center"/>
        <w:rPr>
          <w:rFonts w:hAnsi="宋体" w:cs="宋体"/>
          <w:color w:val="000000" w:themeColor="text1"/>
          <w14:textFill>
            <w14:solidFill>
              <w14:schemeClr w14:val="tx1"/>
            </w14:solidFill>
          </w14:textFill>
        </w:rPr>
      </w:pPr>
    </w:p>
    <w:p>
      <w:pPr>
        <w:spacing w:line="1400" w:lineRule="exact"/>
        <w:jc w:val="center"/>
        <w:rPr>
          <w:rFonts w:ascii="宋体" w:hAnsi="宋体" w:cs="宋体"/>
          <w:b/>
          <w:color w:val="000000" w:themeColor="text1"/>
          <w:spacing w:val="60"/>
          <w:sz w:val="132"/>
          <w:szCs w:val="132"/>
          <w14:textFill>
            <w14:solidFill>
              <w14:schemeClr w14:val="tx1"/>
            </w14:solidFill>
          </w14:textFill>
        </w:rPr>
      </w:pPr>
      <w:r>
        <w:rPr>
          <w:rFonts w:hint="eastAsia" w:ascii="宋体" w:hAnsi="宋体" w:cs="宋体"/>
          <w:b/>
          <w:color w:val="000000" w:themeColor="text1"/>
          <w:spacing w:val="60"/>
          <w:sz w:val="132"/>
          <w:szCs w:val="132"/>
          <w14:textFill>
            <w14:solidFill>
              <w14:schemeClr w14:val="tx1"/>
            </w14:solidFill>
          </w14:textFill>
        </w:rPr>
        <w:t>招标文件</w:t>
      </w:r>
    </w:p>
    <w:p>
      <w:pPr>
        <w:pStyle w:val="17"/>
        <w:rPr>
          <w:rFonts w:hAnsi="宋体" w:cs="宋体"/>
          <w:color w:val="000000" w:themeColor="text1"/>
          <w14:textFill>
            <w14:solidFill>
              <w14:schemeClr w14:val="tx1"/>
            </w14:solidFill>
          </w14:textFill>
        </w:rPr>
      </w:pPr>
    </w:p>
    <w:p>
      <w:pPr>
        <w:pStyle w:val="17"/>
        <w:ind w:firstLine="3885" w:firstLineChars="1850"/>
        <w:rPr>
          <w:rFonts w:hAnsi="宋体" w:cs="宋体"/>
          <w:color w:val="000000" w:themeColor="text1"/>
          <w14:textFill>
            <w14:solidFill>
              <w14:schemeClr w14:val="tx1"/>
            </w14:solidFill>
          </w14:textFill>
        </w:rPr>
      </w:pPr>
    </w:p>
    <w:p>
      <w:pPr>
        <w:pStyle w:val="17"/>
        <w:rPr>
          <w:rFonts w:hAnsi="宋体" w:cs="宋体"/>
          <w:color w:val="000000" w:themeColor="text1"/>
          <w14:textFill>
            <w14:solidFill>
              <w14:schemeClr w14:val="tx1"/>
            </w14:solidFill>
          </w14:textFill>
        </w:rPr>
      </w:pPr>
    </w:p>
    <w:p>
      <w:pPr>
        <w:pStyle w:val="17"/>
        <w:rPr>
          <w:rFonts w:hAnsi="宋体" w:cs="宋体"/>
          <w:color w:val="000000" w:themeColor="text1"/>
          <w14:textFill>
            <w14:solidFill>
              <w14:schemeClr w14:val="tx1"/>
            </w14:solidFill>
          </w14:textFill>
        </w:rPr>
      </w:pPr>
    </w:p>
    <w:p>
      <w:pPr>
        <w:pStyle w:val="17"/>
        <w:rPr>
          <w:rFonts w:hAnsi="宋体" w:cs="宋体"/>
          <w:color w:val="000000" w:themeColor="text1"/>
          <w14:textFill>
            <w14:solidFill>
              <w14:schemeClr w14:val="tx1"/>
            </w14:solidFill>
          </w14:textFill>
        </w:rPr>
      </w:pPr>
    </w:p>
    <w:p>
      <w:pPr>
        <w:jc w:val="center"/>
        <w:rPr>
          <w:rFonts w:ascii="宋体" w:hAnsi="宋体" w:cs="宋体"/>
          <w:b/>
          <w:bCs/>
          <w:color w:val="000000" w:themeColor="text1"/>
          <w:spacing w:val="-36"/>
          <w:sz w:val="32"/>
          <w14:textFill>
            <w14:solidFill>
              <w14:schemeClr w14:val="tx1"/>
            </w14:solidFill>
          </w14:textFill>
        </w:rPr>
      </w:pPr>
      <w:r>
        <w:rPr>
          <w:rFonts w:hint="eastAsia" w:ascii="宋体" w:hAnsi="宋体" w:cs="宋体"/>
          <w:b/>
          <w:bCs/>
          <w:color w:val="000000" w:themeColor="text1"/>
          <w:spacing w:val="40"/>
          <w:sz w:val="32"/>
          <w14:textFill>
            <w14:solidFill>
              <w14:schemeClr w14:val="tx1"/>
            </w14:solidFill>
          </w14:textFill>
        </w:rPr>
        <w:t>项目名称：桂林市公安局临桂业务技术大楼物业管理</w:t>
      </w:r>
    </w:p>
    <w:p>
      <w:pPr>
        <w:jc w:val="center"/>
        <w:rPr>
          <w:rFonts w:ascii="宋体" w:hAnsi="宋体" w:cs="宋体"/>
          <w:b/>
          <w:bCs/>
          <w:color w:val="000000" w:themeColor="text1"/>
          <w:spacing w:val="40"/>
          <w:sz w:val="32"/>
          <w14:textFill>
            <w14:solidFill>
              <w14:schemeClr w14:val="tx1"/>
            </w14:solidFill>
          </w14:textFill>
        </w:rPr>
      </w:pPr>
    </w:p>
    <w:p>
      <w:pPr>
        <w:jc w:val="center"/>
        <w:rPr>
          <w:rFonts w:ascii="宋体" w:hAnsi="宋体" w:cs="宋体"/>
          <w:b/>
          <w:bCs/>
          <w:color w:val="000000" w:themeColor="text1"/>
          <w:sz w:val="32"/>
          <w14:textFill>
            <w14:solidFill>
              <w14:schemeClr w14:val="tx1"/>
            </w14:solidFill>
          </w14:textFill>
        </w:rPr>
      </w:pPr>
      <w:r>
        <w:rPr>
          <w:rFonts w:hint="eastAsia" w:ascii="宋体" w:hAnsi="宋体" w:cs="宋体"/>
          <w:b/>
          <w:bCs/>
          <w:color w:val="000000" w:themeColor="text1"/>
          <w:spacing w:val="40"/>
          <w:sz w:val="32"/>
          <w14:textFill>
            <w14:solidFill>
              <w14:schemeClr w14:val="tx1"/>
            </w14:solidFill>
          </w14:textFill>
        </w:rPr>
        <w:t>项目编号：</w:t>
      </w:r>
      <w:r>
        <w:rPr>
          <w:rFonts w:hint="eastAsia" w:ascii="宋体" w:hAnsi="宋体" w:cs="宋体"/>
          <w:b/>
          <w:bCs/>
          <w:color w:val="000000" w:themeColor="text1"/>
          <w:sz w:val="30"/>
          <w:szCs w:val="30"/>
          <w14:textFill>
            <w14:solidFill>
              <w14:schemeClr w14:val="tx1"/>
            </w14:solidFill>
          </w14:textFill>
        </w:rPr>
        <w:t>GLZC2020-G3-990561-JCZX</w:t>
      </w:r>
    </w:p>
    <w:p>
      <w:pPr>
        <w:ind w:left="-2" w:leftChars="-1" w:firstLine="840" w:firstLineChars="4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cr/>
      </w:r>
    </w:p>
    <w:p>
      <w:pPr>
        <w:ind w:left="-2" w:leftChars="-1" w:firstLine="840" w:firstLineChars="400"/>
        <w:rPr>
          <w:rFonts w:ascii="宋体" w:hAnsi="宋体" w:cs="宋体"/>
          <w:color w:val="000000" w:themeColor="text1"/>
          <w14:textFill>
            <w14:solidFill>
              <w14:schemeClr w14:val="tx1"/>
            </w14:solidFill>
          </w14:textFill>
        </w:rPr>
      </w:pPr>
    </w:p>
    <w:p>
      <w:pPr>
        <w:ind w:left="-2" w:leftChars="-1"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ab/>
      </w:r>
    </w:p>
    <w:p>
      <w:pPr>
        <w:ind w:left="103" w:leftChars="49" w:firstLine="1470" w:firstLineChars="700"/>
        <w:jc w:val="center"/>
        <w:rPr>
          <w:rFonts w:ascii="宋体" w:hAnsi="宋体" w:cs="宋体"/>
          <w:b/>
          <w:bCs/>
          <w:color w:val="000000" w:themeColor="text1"/>
          <w:spacing w:val="40"/>
          <w:sz w:val="32"/>
          <w:szCs w:val="32"/>
          <w14:textFill>
            <w14:solidFill>
              <w14:schemeClr w14:val="tx1"/>
            </w14:solidFill>
          </w14:textFill>
        </w:rPr>
      </w:pPr>
      <w:r>
        <w:rPr>
          <w:rFonts w:hint="eastAsia" w:ascii="宋体" w:hAnsi="宋体" w:cs="宋体"/>
          <w:color w:val="000000" w:themeColor="text1"/>
          <w14:textFill>
            <w14:solidFill>
              <w14:schemeClr w14:val="tx1"/>
            </w14:solidFill>
          </w14:textFill>
        </w:rPr>
        <w:cr/>
      </w:r>
      <w:r>
        <w:rPr>
          <w:rFonts w:hint="eastAsia" w:ascii="宋体" w:hAnsi="宋体" w:cs="宋体"/>
          <w:b/>
          <w:bCs/>
          <w:color w:val="000000" w:themeColor="text1"/>
          <w:spacing w:val="40"/>
          <w:sz w:val="32"/>
          <w:szCs w:val="32"/>
          <w14:textFill>
            <w14:solidFill>
              <w14:schemeClr w14:val="tx1"/>
            </w14:solidFill>
          </w14:textFill>
        </w:rPr>
        <w:t>采购代理机构：桂林市政府集中采购中心</w:t>
      </w:r>
    </w:p>
    <w:p>
      <w:pPr>
        <w:jc w:val="center"/>
        <w:rPr>
          <w:rFonts w:ascii="宋体" w:hAnsi="宋体" w:cs="宋体"/>
          <w:b/>
          <w:bCs/>
          <w:color w:val="000000" w:themeColor="text1"/>
          <w:sz w:val="32"/>
          <w14:textFill>
            <w14:solidFill>
              <w14:schemeClr w14:val="tx1"/>
            </w14:solidFill>
          </w14:textFill>
        </w:rPr>
      </w:pPr>
      <w:r>
        <w:rPr>
          <w:rFonts w:hint="eastAsia" w:ascii="宋体" w:hAnsi="宋体" w:cs="宋体"/>
          <w:b/>
          <w:bCs/>
          <w:color w:val="000000" w:themeColor="text1"/>
          <w:sz w:val="32"/>
          <w14:textFill>
            <w14:solidFill>
              <w14:schemeClr w14:val="tx1"/>
            </w14:solidFill>
          </w14:textFill>
        </w:rPr>
        <w:t>2020年12月</w:t>
      </w:r>
      <w:r>
        <w:rPr>
          <w:rFonts w:hint="eastAsia" w:ascii="宋体" w:hAnsi="宋体" w:cs="宋体"/>
          <w:b/>
          <w:bCs/>
          <w:color w:val="000000" w:themeColor="text1"/>
          <w:sz w:val="32"/>
          <w:lang w:val="en-US" w:eastAsia="zh-CN"/>
          <w14:textFill>
            <w14:solidFill>
              <w14:schemeClr w14:val="tx1"/>
            </w14:solidFill>
          </w14:textFill>
        </w:rPr>
        <w:t>21</w:t>
      </w:r>
      <w:r>
        <w:rPr>
          <w:rFonts w:hint="eastAsia" w:ascii="宋体" w:hAnsi="宋体" w:cs="宋体"/>
          <w:b/>
          <w:bCs/>
          <w:color w:val="000000" w:themeColor="text1"/>
          <w:sz w:val="32"/>
          <w14:textFill>
            <w14:solidFill>
              <w14:schemeClr w14:val="tx1"/>
            </w14:solidFill>
          </w14:textFill>
        </w:rPr>
        <w:t>日</w:t>
      </w:r>
    </w:p>
    <w:p>
      <w:pPr>
        <w:jc w:val="center"/>
        <w:rPr>
          <w:rFonts w:ascii="宋体" w:hAnsi="宋体" w:cs="宋体"/>
          <w:bCs/>
          <w:color w:val="000000" w:themeColor="text1"/>
          <w:sz w:val="30"/>
          <w:szCs w:val="30"/>
          <w14:textFill>
            <w14:solidFill>
              <w14:schemeClr w14:val="tx1"/>
            </w14:solidFill>
          </w14:textFill>
        </w:rPr>
      </w:pPr>
    </w:p>
    <w:p>
      <w:pPr>
        <w:pStyle w:val="73"/>
        <w:jc w:val="center"/>
        <w:rPr>
          <w:rFonts w:ascii="宋体" w:hAnsi="宋体" w:eastAsia="宋体" w:cs="宋体"/>
          <w:color w:val="000000" w:themeColor="text1"/>
          <w:lang w:val="zh-CN"/>
          <w14:textFill>
            <w14:solidFill>
              <w14:schemeClr w14:val="tx1"/>
            </w14:solidFill>
          </w14:textFill>
        </w:rPr>
        <w:sectPr>
          <w:headerReference r:id="rId3" w:type="default"/>
          <w:footerReference r:id="rId4" w:type="default"/>
          <w:pgSz w:w="11906" w:h="16838"/>
          <w:pgMar w:top="1440" w:right="1080" w:bottom="1440" w:left="1080" w:header="851" w:footer="992" w:gutter="0"/>
          <w:pgNumType w:fmt="numberInDash"/>
          <w:cols w:space="720" w:num="1"/>
          <w:docGrid w:type="lines" w:linePitch="312" w:charSpace="0"/>
        </w:sectPr>
      </w:pP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目录</w:t>
      </w:r>
    </w:p>
    <w:p>
      <w:pPr>
        <w:pStyle w:val="22"/>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TOC \o "1-3" \h \u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_Toc4570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32"/>
          <w14:textFill>
            <w14:solidFill>
              <w14:schemeClr w14:val="tx1"/>
            </w14:solidFill>
          </w14:textFill>
        </w:rPr>
        <w:t>第一章 公开招标公告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_Toc4570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2"/>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_Toc1066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bCs/>
          <w:color w:val="000000" w:themeColor="text1"/>
          <w:kern w:val="44"/>
          <w:szCs w:val="32"/>
          <w14:textFill>
            <w14:solidFill>
              <w14:schemeClr w14:val="tx1"/>
            </w14:solidFill>
          </w14:textFill>
        </w:rPr>
        <w:t>第二章  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- 4 -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_Toc18994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- 4 -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_Toc14369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一、总则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_Toc14369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_Toc10612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 项目名称及项目编号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_Toc29320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 适应范围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_Toc29320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_Toc5332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 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_Toc30537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4. 招标方式、评分办法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_Toc30537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_Toc28176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5. 投标人资格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_Toc28176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_Toc185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6. 投标费用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_Toc12145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7. 联合体投标要求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_Toc19489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8. 转包与分包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_Toc19489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_Toc9401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9. 特别说明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_Toc9401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_Toc21357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10. 质疑和投诉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_Toc21357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- 8 -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_Toc4234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二、招标文件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_Toc4234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- 8 -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_Toc25976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11. 招标文件的构成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_Toc25976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- 8 -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_Toc18961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12. 招标文件的澄清与修改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_Toc18961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_Toc6540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三、投标文件的编制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_Toc6540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_Toc31992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13. 投标文件的组成及要求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_Toc31992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_Toc16398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14. 投标文件的语言及计量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_Toc16398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- 10 -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_Toc17896 </w:instrText>
      </w:r>
      <w:r>
        <w:rPr>
          <w:rFonts w:hint="eastAsia" w:ascii="宋体" w:hAnsi="宋体" w:cs="宋体"/>
          <w:color w:val="000000" w:themeColor="text1"/>
          <w:szCs w:val="21"/>
          <w14:textFill>
            <w14:solidFill>
              <w14:schemeClr w14:val="tx1"/>
            </w14:solidFill>
          </w14:textFill>
        </w:rPr>
        <w:fldChar w:fldCharType="separate"/>
      </w:r>
      <w:r>
        <w:rPr>
          <w:rFonts w:ascii="宋体" w:hAnsi="宋体" w:cs="宋体"/>
          <w:color w:val="000000" w:themeColor="text1"/>
          <w:szCs w:val="21"/>
          <w14:textFill>
            <w14:solidFill>
              <w14:schemeClr w14:val="tx1"/>
            </w14:solidFill>
          </w14:textFill>
        </w:rPr>
        <w:t xml:space="preserve">15. </w:t>
      </w:r>
      <w:r>
        <w:rPr>
          <w:rFonts w:hint="eastAsia" w:ascii="宋体" w:hAnsi="宋体" w:cs="宋体"/>
          <w:color w:val="000000" w:themeColor="text1"/>
          <w:szCs w:val="21"/>
          <w14:textFill>
            <w14:solidFill>
              <w14:schemeClr w14:val="tx1"/>
            </w14:solidFill>
          </w14:textFill>
        </w:rPr>
        <w:t>投标报价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_Toc17896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- 11 -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_Toc16759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16. 投标有效期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_Toc16759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- 11 -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_Toc30757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17. 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_Toc30757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- 11 -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_Toc9722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18. 投标文件的份数、装订、签署和包装、密封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_Toc9722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- 11 -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_Toc32013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19. 投标文件的补充、修改和撤回</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_Toc32013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- 12 -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_Toc5009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20. 投标文件的递交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- 12 -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_Toc1148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四、开标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_Toc1148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- 12 -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_Toc15689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21. 开标时间及地点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_Toc15689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- 12 -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_Toc13668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22. 开标程序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_Toc13668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- 12 -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_Toc22014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五、资格性审查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_Toc22014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- 13 -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_Toc18462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23. 资格性审查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_Toc18462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- 13 -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_Toc27112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六、评标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_Toc27112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- 13 -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_Toc57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24. 评标委员会组成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- 13 -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_Toc23978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25. 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_Toc23978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- 13 -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_Toc27095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26. 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_Toc27095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- 13 -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_Toc1732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27. 推荐及确定中标候选供应商原则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_Toc1732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_Toc7892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28. 属于下列情况之一者，投标无效：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_Toc7892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_Toc12429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29. 投标人有下列情形之一的，视为串通投标，投标文件将被视为无效：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_Toc12429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_Toc14928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30. 属于下列情形之一的，应予废标：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_Toc14928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_Toc14895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31. 开标、评标过程的监控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_Toc14895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_Toc5454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32. 信用查询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_Toc5454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_Toc7470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33. 中标公告及中标通知书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_Toc7470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- 16 -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_Toc32134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七、履约保证金及签订合同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_Toc32134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- 16 -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_Toc27014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34. 履约保证金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_Toc27014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- 16 -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_Toc24483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35. 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_Toc24483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- 16 -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_Toc27494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八、其他事项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_Toc27494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_Toc26746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36. 招标代理服务费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_Toc26746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_Toc4112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37. 解释权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_Toc4112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16"/>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_Toc32007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38. 监督管理机构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_Toc32007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- 17 -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2"/>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_Toc2663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bCs/>
          <w:color w:val="000000" w:themeColor="text1"/>
          <w:kern w:val="44"/>
          <w:szCs w:val="32"/>
          <w14:textFill>
            <w14:solidFill>
              <w14:schemeClr w14:val="tx1"/>
            </w14:solidFill>
          </w14:textFill>
        </w:rPr>
        <w:t>第三章 服务采购需求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_Toc2663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- 18 -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2"/>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_Toc10027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bCs/>
          <w:color w:val="000000" w:themeColor="text1"/>
          <w:kern w:val="44"/>
          <w:szCs w:val="32"/>
          <w14:textFill>
            <w14:solidFill>
              <w14:schemeClr w14:val="tx1"/>
            </w14:solidFill>
          </w14:textFill>
        </w:rPr>
        <w:t>第四章 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_Toc10027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- 30 -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2"/>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_Toc32042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bCs/>
          <w:color w:val="000000" w:themeColor="text1"/>
          <w:kern w:val="44"/>
          <w:szCs w:val="32"/>
          <w14:textFill>
            <w14:solidFill>
              <w14:schemeClr w14:val="tx1"/>
            </w14:solidFill>
          </w14:textFill>
        </w:rPr>
        <w:t>第五章 采购合同（合同主要条款及格式）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_Toc32042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_Toc17790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第一条 合同标的及合同金额</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_Toc17790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_Toc24572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第二条  服务保证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_Toc24572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_Toc32449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第三条  服务期限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_Toc32449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_Toc15777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第四条  交付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_Toc15777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_Toc15783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第五条  税费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_Toc15783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_Toc7443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第六条  付款方式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_Toc7443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_Toc24587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第七条  违约责任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_Toc24587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- 35 -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_Toc13408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第八条  不可抗力事件处理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_Toc13408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- 36 -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_Toc23768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第九条  合同争议解决</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_Toc23768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- 36 -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_Toc15224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第十条  合同生效及其它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_Toc15224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- 36 -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_Toc32299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第十一条  合同的变更、终止与转让</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_Toc32299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- 36 -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3"/>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_Toc9803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第十二条  签订本合同依据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- 36 -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pStyle w:val="22"/>
        <w:tabs>
          <w:tab w:val="right" w:leader="dot" w:pos="9746"/>
        </w:tabs>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HYPERLINK \l _Toc31088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bCs/>
          <w:color w:val="000000" w:themeColor="text1"/>
          <w:kern w:val="44"/>
          <w:szCs w:val="32"/>
          <w14:textFill>
            <w14:solidFill>
              <w14:schemeClr w14:val="tx1"/>
            </w14:solidFill>
          </w14:textFill>
        </w:rPr>
        <w:t>第六章  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_Toc31088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- 38 -</w:t>
      </w:r>
      <w:r>
        <w:rPr>
          <w:color w:val="000000" w:themeColor="text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fldChar w:fldCharType="end"/>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fldChar w:fldCharType="end"/>
      </w:r>
    </w:p>
    <w:p>
      <w:pPr>
        <w:jc w:val="center"/>
        <w:outlineLvl w:val="0"/>
        <w:rPr>
          <w:rFonts w:ascii="宋体" w:hAnsi="宋体" w:cs="宋体"/>
          <w:color w:val="000000" w:themeColor="text1"/>
          <w:sz w:val="32"/>
          <w:szCs w:val="32"/>
          <w14:textFill>
            <w14:solidFill>
              <w14:schemeClr w14:val="tx1"/>
            </w14:solidFill>
          </w14:textFill>
        </w:rPr>
        <w:sectPr>
          <w:footerReference r:id="rId5" w:type="default"/>
          <w:pgSz w:w="11906" w:h="16838"/>
          <w:pgMar w:top="1440" w:right="1080" w:bottom="1440" w:left="1080" w:header="851" w:footer="992" w:gutter="0"/>
          <w:pgNumType w:fmt="upperRoman" w:start="1"/>
          <w:cols w:space="720" w:num="1"/>
          <w:docGrid w:type="lines" w:linePitch="312" w:charSpace="0"/>
        </w:sectPr>
      </w:pPr>
    </w:p>
    <w:p>
      <w:pPr>
        <w:pStyle w:val="3"/>
        <w:numPr>
          <w:ilvl w:val="0"/>
          <w:numId w:val="1"/>
        </w:numPr>
        <w:tabs>
          <w:tab w:val="left" w:pos="0"/>
          <w:tab w:val="left" w:pos="3165"/>
          <w:tab w:val="center" w:pos="4153"/>
        </w:tabs>
        <w:autoSpaceDE w:val="0"/>
        <w:autoSpaceDN w:val="0"/>
        <w:adjustRightInd w:val="0"/>
        <w:spacing w:before="0" w:after="0" w:line="440" w:lineRule="exact"/>
        <w:jc w:val="center"/>
        <w:rPr>
          <w:rFonts w:ascii="宋体" w:hAnsi="宋体" w:cs="宋体"/>
          <w:color w:val="000000" w:themeColor="text1"/>
          <w:sz w:val="32"/>
          <w:szCs w:val="32"/>
          <w14:textFill>
            <w14:solidFill>
              <w14:schemeClr w14:val="tx1"/>
            </w14:solidFill>
          </w14:textFill>
        </w:rPr>
      </w:pPr>
      <w:bookmarkStart w:id="0" w:name="_Toc28359001"/>
      <w:bookmarkStart w:id="1" w:name="_Toc35393789"/>
      <w:r>
        <w:rPr>
          <w:rFonts w:hint="eastAsia" w:ascii="宋体" w:hAnsi="宋体" w:cs="宋体"/>
          <w:color w:val="000000" w:themeColor="text1"/>
          <w:sz w:val="32"/>
          <w:szCs w:val="32"/>
          <w14:textFill>
            <w14:solidFill>
              <w14:schemeClr w14:val="tx1"/>
            </w14:solidFill>
          </w14:textFill>
        </w:rPr>
        <w:t xml:space="preserve">  </w:t>
      </w:r>
      <w:bookmarkStart w:id="2" w:name="_Toc4570"/>
      <w:r>
        <w:rPr>
          <w:rFonts w:hint="eastAsia" w:ascii="宋体" w:hAnsi="宋体" w:cs="宋体"/>
          <w:color w:val="000000" w:themeColor="text1"/>
          <w:sz w:val="32"/>
          <w:szCs w:val="32"/>
          <w14:textFill>
            <w14:solidFill>
              <w14:schemeClr w14:val="tx1"/>
            </w14:solidFill>
          </w14:textFill>
        </w:rPr>
        <w:t>公开招标公告</w:t>
      </w:r>
      <w:bookmarkEnd w:id="0"/>
      <w:bookmarkEnd w:id="1"/>
      <w:bookmarkEnd w:id="2"/>
    </w:p>
    <w:tbl>
      <w:tblPr>
        <w:tblStyle w:val="28"/>
        <w:tblpPr w:leftFromText="180" w:rightFromText="180" w:vertAnchor="text" w:tblpX="38" w:tblpY="13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5000" w:type="pct"/>
            <w:noWrap/>
          </w:tcPr>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项目概况</w:t>
            </w:r>
          </w:p>
          <w:p>
            <w:pPr>
              <w:spacing w:line="380" w:lineRule="exact"/>
              <w:ind w:firstLine="55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桂林市政府集中采购中心受</w:t>
            </w:r>
            <w:r>
              <w:rPr>
                <w:rFonts w:hint="eastAsia" w:ascii="宋体" w:hAnsi="宋体" w:cs="宋体"/>
                <w:color w:val="000000" w:themeColor="text1"/>
                <w:sz w:val="28"/>
                <w:szCs w:val="28"/>
                <w:u w:val="single"/>
                <w14:textFill>
                  <w14:solidFill>
                    <w14:schemeClr w14:val="tx1"/>
                  </w14:solidFill>
                </w14:textFill>
              </w:rPr>
              <w:t>桂林市公安局</w:t>
            </w:r>
            <w:r>
              <w:rPr>
                <w:rFonts w:hint="eastAsia" w:ascii="宋体" w:hAnsi="宋体" w:cs="宋体"/>
                <w:color w:val="000000" w:themeColor="text1"/>
                <w:sz w:val="28"/>
                <w:szCs w:val="28"/>
                <w14:textFill>
                  <w14:solidFill>
                    <w14:schemeClr w14:val="tx1"/>
                  </w14:solidFill>
                </w14:textFill>
              </w:rPr>
              <w:t>委托，根据《中华人民共和国</w:t>
            </w:r>
          </w:p>
          <w:p>
            <w:pPr>
              <w:spacing w:line="38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政府采购法》、《中华人民共和国政府采购法实施条例及财政部令第87号</w:t>
            </w:r>
          </w:p>
          <w:p>
            <w:pPr>
              <w:spacing w:line="380" w:lineRule="exac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《政府采购货物和服务招标投标管理办法》等规定，现就</w:t>
            </w:r>
            <w:r>
              <w:rPr>
                <w:rFonts w:hint="eastAsia" w:ascii="宋体" w:hAnsi="宋体" w:cs="宋体"/>
                <w:color w:val="000000" w:themeColor="text1"/>
                <w:sz w:val="28"/>
                <w:szCs w:val="28"/>
                <w:u w:val="single"/>
                <w14:textFill>
                  <w14:solidFill>
                    <w14:schemeClr w14:val="tx1"/>
                  </w14:solidFill>
                </w14:textFill>
              </w:rPr>
              <w:t>桂林市公安局临桂</w:t>
            </w:r>
          </w:p>
          <w:p>
            <w:pPr>
              <w:spacing w:line="38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u w:val="single"/>
                <w14:textFill>
                  <w14:solidFill>
                    <w14:schemeClr w14:val="tx1"/>
                  </w14:solidFill>
                </w14:textFill>
              </w:rPr>
              <w:t>业务技术大楼物业管理</w:t>
            </w:r>
            <w:r>
              <w:rPr>
                <w:rFonts w:hint="eastAsia" w:ascii="宋体" w:hAnsi="宋体" w:cs="宋体"/>
                <w:color w:val="000000" w:themeColor="text1"/>
                <w:sz w:val="28"/>
                <w:szCs w:val="28"/>
                <w14:textFill>
                  <w14:solidFill>
                    <w14:schemeClr w14:val="tx1"/>
                  </w14:solidFill>
                </w14:textFill>
              </w:rPr>
              <w:t>项目进行公开招标，欢迎符合条件的供应商前来投标，</w:t>
            </w:r>
          </w:p>
          <w:p>
            <w:pPr>
              <w:spacing w:line="38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并于2021年1月</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日上午9点30分前递交投标文件。现将本次公开招标</w:t>
            </w:r>
          </w:p>
          <w:p>
            <w:pPr>
              <w:spacing w:line="38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的有关事项公告如下：</w:t>
            </w:r>
          </w:p>
        </w:tc>
      </w:tr>
    </w:tbl>
    <w:p>
      <w:pPr>
        <w:rPr>
          <w:rFonts w:ascii="宋体" w:hAnsi="宋体" w:cs="宋体"/>
          <w:color w:val="000000" w:themeColor="text1"/>
          <w:sz w:val="28"/>
          <w:szCs w:val="28"/>
          <w14:textFill>
            <w14:solidFill>
              <w14:schemeClr w14:val="tx1"/>
            </w14:solidFill>
          </w14:textFill>
        </w:rPr>
      </w:pPr>
      <w:bookmarkStart w:id="3" w:name="_Toc28359002"/>
      <w:bookmarkStart w:id="4" w:name="_Toc35393621"/>
      <w:bookmarkStart w:id="5" w:name="_Toc35393790"/>
      <w:bookmarkStart w:id="6" w:name="_Toc28359079"/>
      <w:bookmarkStart w:id="7" w:name="_Hlk24379207"/>
      <w:r>
        <w:rPr>
          <w:rFonts w:hint="eastAsia" w:ascii="宋体" w:hAnsi="宋体" w:cs="宋体"/>
          <w:color w:val="000000" w:themeColor="text1"/>
          <w:sz w:val="28"/>
          <w:szCs w:val="28"/>
          <w14:textFill>
            <w14:solidFill>
              <w14:schemeClr w14:val="tx1"/>
            </w14:solidFill>
          </w14:textFill>
        </w:rPr>
        <w:t>一、项目基本情况</w:t>
      </w:r>
      <w:bookmarkEnd w:id="3"/>
      <w:bookmarkEnd w:id="4"/>
      <w:bookmarkEnd w:id="5"/>
      <w:bookmarkEnd w:id="6"/>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项目编号：GLZC2020-G3-990561-JCZX</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项目名称：桂林市公安局临桂业务技术大楼物业管理</w:t>
      </w:r>
    </w:p>
    <w:bookmarkEnd w:id="7"/>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预算总金额：人民币伍佰壹拾万元整（¥：5100000.00）</w:t>
      </w:r>
    </w:p>
    <w:tbl>
      <w:tblPr>
        <w:tblStyle w:val="28"/>
        <w:tblpPr w:leftFromText="180" w:rightFromText="180" w:vertAnchor="text" w:horzAnchor="page" w:tblpX="1192" w:tblpY="172"/>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2775"/>
        <w:gridCol w:w="1080"/>
        <w:gridCol w:w="1110"/>
        <w:gridCol w:w="3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01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项号</w:t>
            </w:r>
          </w:p>
        </w:tc>
        <w:tc>
          <w:tcPr>
            <w:tcW w:w="2775" w:type="dxa"/>
            <w:tcBorders>
              <w:top w:val="single" w:color="auto" w:sz="4" w:space="0"/>
              <w:left w:val="nil"/>
              <w:bottom w:val="single" w:color="auto" w:sz="4" w:space="0"/>
              <w:right w:val="single" w:color="auto" w:sz="4" w:space="0"/>
            </w:tcBorders>
            <w:noWrap/>
            <w:vAlign w:val="center"/>
          </w:tcPr>
          <w:p>
            <w:pPr>
              <w:spacing w:line="38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货物或服务名称</w:t>
            </w:r>
          </w:p>
        </w:tc>
        <w:tc>
          <w:tcPr>
            <w:tcW w:w="1080" w:type="dxa"/>
            <w:tcBorders>
              <w:top w:val="single" w:color="auto" w:sz="4" w:space="0"/>
              <w:left w:val="nil"/>
              <w:bottom w:val="single" w:color="auto" w:sz="4" w:space="0"/>
              <w:right w:val="single" w:color="auto" w:sz="4" w:space="0"/>
            </w:tcBorders>
            <w:noWrap/>
            <w:vAlign w:val="center"/>
          </w:tcPr>
          <w:p>
            <w:pPr>
              <w:spacing w:line="38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数量</w:t>
            </w:r>
          </w:p>
        </w:tc>
        <w:tc>
          <w:tcPr>
            <w:tcW w:w="1110" w:type="dxa"/>
            <w:tcBorders>
              <w:top w:val="single" w:color="auto" w:sz="4" w:space="0"/>
              <w:left w:val="nil"/>
              <w:bottom w:val="single" w:color="auto" w:sz="4" w:space="0"/>
              <w:right w:val="single" w:color="auto" w:sz="4" w:space="0"/>
            </w:tcBorders>
            <w:noWrap/>
            <w:vAlign w:val="center"/>
          </w:tcPr>
          <w:p>
            <w:pPr>
              <w:spacing w:line="38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w:t>
            </w:r>
          </w:p>
        </w:tc>
        <w:tc>
          <w:tcPr>
            <w:tcW w:w="3457" w:type="dxa"/>
            <w:tcBorders>
              <w:top w:val="single" w:color="auto" w:sz="4" w:space="0"/>
              <w:left w:val="nil"/>
              <w:bottom w:val="single" w:color="auto" w:sz="4" w:space="0"/>
              <w:right w:val="single" w:color="auto" w:sz="4" w:space="0"/>
            </w:tcBorders>
            <w:noWrap/>
            <w:vAlign w:val="center"/>
          </w:tcPr>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1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p>
        </w:tc>
        <w:tc>
          <w:tcPr>
            <w:tcW w:w="2775" w:type="dxa"/>
            <w:tcBorders>
              <w:top w:val="single" w:color="auto" w:sz="4" w:space="0"/>
              <w:left w:val="nil"/>
              <w:bottom w:val="single" w:color="auto" w:sz="4" w:space="0"/>
              <w:right w:val="single" w:color="auto" w:sz="4" w:space="0"/>
            </w:tcBorders>
            <w:noWrap/>
            <w:vAlign w:val="center"/>
          </w:tcPr>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物业管理服务</w:t>
            </w:r>
          </w:p>
        </w:tc>
        <w:tc>
          <w:tcPr>
            <w:tcW w:w="1080" w:type="dxa"/>
            <w:tcBorders>
              <w:top w:val="single" w:color="auto" w:sz="4" w:space="0"/>
              <w:left w:val="nil"/>
              <w:bottom w:val="single" w:color="auto" w:sz="4" w:space="0"/>
              <w:right w:val="single" w:color="auto" w:sz="4" w:space="0"/>
            </w:tcBorders>
            <w:noWrap/>
            <w:vAlign w:val="center"/>
          </w:tcPr>
          <w:p>
            <w:pPr>
              <w:spacing w:line="38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p>
        </w:tc>
        <w:tc>
          <w:tcPr>
            <w:tcW w:w="1110" w:type="dxa"/>
            <w:tcBorders>
              <w:top w:val="single" w:color="auto" w:sz="4" w:space="0"/>
              <w:left w:val="nil"/>
              <w:bottom w:val="single" w:color="auto" w:sz="4" w:space="0"/>
              <w:right w:val="single" w:color="auto" w:sz="4" w:space="0"/>
            </w:tcBorders>
            <w:noWrap/>
            <w:vAlign w:val="center"/>
          </w:tcPr>
          <w:p>
            <w:pPr>
              <w:spacing w:line="38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w:t>
            </w:r>
          </w:p>
        </w:tc>
        <w:tc>
          <w:tcPr>
            <w:tcW w:w="3457" w:type="dxa"/>
            <w:tcBorders>
              <w:top w:val="single" w:color="auto" w:sz="4" w:space="0"/>
              <w:left w:val="nil"/>
              <w:bottom w:val="single" w:color="auto" w:sz="4" w:space="0"/>
              <w:right w:val="single" w:color="auto" w:sz="4" w:space="0"/>
            </w:tcBorders>
            <w:noWrap/>
            <w:vAlign w:val="center"/>
          </w:tcPr>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详见招标文件</w:t>
            </w:r>
          </w:p>
        </w:tc>
      </w:tr>
    </w:tbl>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采购需求表：</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采购需求的详细内容，详见招标文件。</w:t>
      </w:r>
    </w:p>
    <w:p>
      <w:pPr>
        <w:spacing w:line="380" w:lineRule="exact"/>
        <w:ind w:firstLine="56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合同履行期限：自合同签订之日起至中标人承诺免费保修期满。</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本项目</w:t>
      </w:r>
      <w:r>
        <w:rPr>
          <w:rFonts w:hint="eastAsia" w:ascii="宋体" w:hAnsi="宋体" w:cs="宋体"/>
          <w:b/>
          <w:bCs/>
          <w:color w:val="000000" w:themeColor="text1"/>
          <w:sz w:val="28"/>
          <w:szCs w:val="28"/>
          <w:u w:val="single"/>
          <w14:textFill>
            <w14:solidFill>
              <w14:schemeClr w14:val="tx1"/>
            </w14:solidFill>
          </w14:textFill>
        </w:rPr>
        <w:t>不接受</w:t>
      </w:r>
      <w:r>
        <w:rPr>
          <w:rFonts w:hint="eastAsia" w:ascii="宋体" w:hAnsi="宋体" w:cs="宋体"/>
          <w:color w:val="000000" w:themeColor="text1"/>
          <w:sz w:val="28"/>
          <w:szCs w:val="28"/>
          <w14:textFill>
            <w14:solidFill>
              <w14:schemeClr w14:val="tx1"/>
            </w14:solidFill>
          </w14:textFill>
        </w:rPr>
        <w:t>联合体投标。</w:t>
      </w:r>
    </w:p>
    <w:p>
      <w:pPr>
        <w:rPr>
          <w:rFonts w:ascii="宋体" w:hAnsi="宋体" w:cs="宋体"/>
          <w:color w:val="000000" w:themeColor="text1"/>
          <w:sz w:val="28"/>
          <w:szCs w:val="28"/>
          <w14:textFill>
            <w14:solidFill>
              <w14:schemeClr w14:val="tx1"/>
            </w14:solidFill>
          </w14:textFill>
        </w:rPr>
      </w:pPr>
      <w:bookmarkStart w:id="8" w:name="_Toc35393791"/>
      <w:bookmarkStart w:id="9" w:name="_Toc35393622"/>
      <w:bookmarkStart w:id="10" w:name="_Toc28359003"/>
      <w:bookmarkStart w:id="11" w:name="_Toc28359080"/>
      <w:r>
        <w:rPr>
          <w:rFonts w:hint="eastAsia" w:ascii="宋体" w:hAnsi="宋体" w:cs="宋体"/>
          <w:color w:val="000000" w:themeColor="text1"/>
          <w:sz w:val="28"/>
          <w:szCs w:val="28"/>
          <w14:textFill>
            <w14:solidFill>
              <w14:schemeClr w14:val="tx1"/>
            </w14:solidFill>
          </w14:textFill>
        </w:rPr>
        <w:t>二、申请人的资格要求：</w:t>
      </w:r>
      <w:bookmarkEnd w:id="8"/>
      <w:bookmarkEnd w:id="9"/>
      <w:bookmarkEnd w:id="10"/>
      <w:bookmarkEnd w:id="11"/>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1.满足《中华人民共和国政府采购法》第二十二条规定；</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bookmarkStart w:id="12" w:name="_Toc28359004"/>
      <w:bookmarkStart w:id="13" w:name="_Toc28359081"/>
      <w:r>
        <w:rPr>
          <w:rFonts w:hint="eastAsia" w:ascii="宋体" w:hAnsi="宋体" w:cs="宋体"/>
          <w:color w:val="000000" w:themeColor="text1"/>
          <w:sz w:val="28"/>
          <w:szCs w:val="28"/>
          <w14:textFill>
            <w14:solidFill>
              <w14:schemeClr w14:val="tx1"/>
            </w14:solidFill>
          </w14:textFill>
        </w:rPr>
        <w:t>3.落实政府采购政策需满足的资格要求：</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①《政府采购促进中小企业发展暂行办法》（财库[2011]181号）。</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②《关于政府采购支持监狱企业发展有关问题的通知》（财库[2014]68号）。 </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③《关于促进残疾人就业政府采购政策的通知》（财库[2017]141号）。</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④《广西壮族自治区人民政府办公厅关于印发招标采购促进广西工业产品产销对接实施细则的通知》(桂政办发〔2015〕78号) 。</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⑤《节能产品政府采购品目清单》。</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⑥《关于调整优化节能产品、环境标志产品政府采购执行机制的通知》（财库〔2019〕9号）。</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⑦</w:t>
      </w:r>
      <w:r>
        <w:rPr>
          <w:rFonts w:hint="eastAsia" w:ascii="宋体" w:hAnsi="宋体" w:cs="宋体"/>
          <w:b/>
          <w:color w:val="000000" w:themeColor="text1"/>
          <w:sz w:val="28"/>
          <w:szCs w:val="28"/>
          <w14:textFill>
            <w14:solidFill>
              <w14:schemeClr w14:val="tx1"/>
            </w14:solidFill>
          </w14:textFill>
        </w:rPr>
        <w:t>本项目非专门面向中小微企业采购。</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4.本项目的特定资格要求：无</w:t>
      </w:r>
    </w:p>
    <w:p>
      <w:pPr>
        <w:rPr>
          <w:rFonts w:ascii="宋体" w:hAnsi="宋体" w:cs="宋体"/>
          <w:color w:val="000000" w:themeColor="text1"/>
          <w:sz w:val="28"/>
          <w:szCs w:val="28"/>
          <w14:textFill>
            <w14:solidFill>
              <w14:schemeClr w14:val="tx1"/>
            </w14:solidFill>
          </w14:textFill>
        </w:rPr>
      </w:pPr>
      <w:bookmarkStart w:id="14" w:name="_Toc35393792"/>
      <w:bookmarkStart w:id="15" w:name="_Toc35393623"/>
      <w:r>
        <w:rPr>
          <w:rFonts w:hint="eastAsia" w:ascii="宋体" w:hAnsi="宋体" w:cs="宋体"/>
          <w:color w:val="000000" w:themeColor="text1"/>
          <w:sz w:val="28"/>
          <w:szCs w:val="28"/>
          <w14:textFill>
            <w14:solidFill>
              <w14:schemeClr w14:val="tx1"/>
            </w14:solidFill>
          </w14:textFill>
        </w:rPr>
        <w:t>三、获取招标文件</w:t>
      </w:r>
      <w:bookmarkEnd w:id="12"/>
      <w:bookmarkEnd w:id="13"/>
      <w:bookmarkEnd w:id="14"/>
      <w:bookmarkEnd w:id="15"/>
    </w:p>
    <w:p>
      <w:pPr>
        <w:spacing w:line="380" w:lineRule="exact"/>
        <w:ind w:firstLine="54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1.招标文件获取时间：2020年12月</w:t>
      </w:r>
      <w:r>
        <w:rPr>
          <w:rFonts w:hint="eastAsia" w:ascii="宋体" w:hAnsi="宋体" w:cs="宋体"/>
          <w:color w:val="000000" w:themeColor="text1"/>
          <w:sz w:val="28"/>
          <w:szCs w:val="28"/>
          <w:lang w:val="en-US" w:eastAsia="zh-CN"/>
          <w14:textFill>
            <w14:solidFill>
              <w14:schemeClr w14:val="tx1"/>
            </w14:solidFill>
          </w14:textFill>
        </w:rPr>
        <w:t>21</w:t>
      </w:r>
      <w:r>
        <w:rPr>
          <w:rFonts w:hint="eastAsia" w:ascii="宋体" w:hAnsi="宋体" w:cs="宋体"/>
          <w:color w:val="000000" w:themeColor="text1"/>
          <w:sz w:val="28"/>
          <w:szCs w:val="28"/>
          <w14:textFill>
            <w14:solidFill>
              <w14:schemeClr w14:val="tx1"/>
            </w14:solidFill>
          </w14:textFill>
        </w:rPr>
        <w:t>日至2021年1月</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日</w:t>
      </w:r>
      <w:r>
        <w:rPr>
          <w:rFonts w:hint="eastAsia" w:ascii="宋体" w:hAnsi="宋体" w:cs="宋体"/>
          <w:bCs/>
          <w:color w:val="000000" w:themeColor="text1"/>
          <w:sz w:val="28"/>
          <w:szCs w:val="28"/>
          <w14:textFill>
            <w14:solidFill>
              <w14:schemeClr w14:val="tx1"/>
            </w14:solidFill>
          </w14:textFill>
        </w:rPr>
        <w:t>9点30分（北京时间）</w:t>
      </w:r>
      <w:r>
        <w:rPr>
          <w:rFonts w:hint="eastAsia" w:ascii="宋体" w:hAnsi="宋体" w:cs="宋体"/>
          <w:color w:val="000000" w:themeColor="text1"/>
          <w:sz w:val="28"/>
          <w:szCs w:val="28"/>
          <w14:textFill>
            <w14:solidFill>
              <w14:schemeClr w14:val="tx1"/>
            </w14:solidFill>
          </w14:textFill>
        </w:rPr>
        <w:t>。</w:t>
      </w:r>
    </w:p>
    <w:p>
      <w:pPr>
        <w:spacing w:line="380" w:lineRule="exact"/>
        <w:ind w:firstLine="54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2.地点及方式：潜在供应商请自行选择以下网站，在本公告附件处下载招标文件电子版。</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桂林市公共资源交易中心网（glggzy.org.cn）</w:t>
      </w:r>
    </w:p>
    <w:p>
      <w:pPr>
        <w:spacing w:line="380" w:lineRule="exact"/>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桂林政府采购网（zfcg.czj.guilin.gov.cn）</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广西壮族自治区政府采购网（www.ccgp-guangxi.gov.cn）</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中国政府采购网（www.ccgp.gov.cn）</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3.招标文件售价：本项目招标文件不收取费用。</w:t>
      </w:r>
      <w:bookmarkStart w:id="16" w:name="_Toc28359082"/>
      <w:bookmarkStart w:id="17" w:name="_Toc28359005"/>
      <w:bookmarkStart w:id="18" w:name="_Toc35393793"/>
      <w:bookmarkStart w:id="19" w:name="_Toc35393624"/>
    </w:p>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四、提交投标文件</w:t>
      </w:r>
      <w:bookmarkEnd w:id="16"/>
      <w:bookmarkEnd w:id="17"/>
      <w:r>
        <w:rPr>
          <w:rFonts w:hint="eastAsia" w:ascii="宋体" w:hAnsi="宋体" w:cs="宋体"/>
          <w:color w:val="000000" w:themeColor="text1"/>
          <w:sz w:val="28"/>
          <w:szCs w:val="28"/>
          <w14:textFill>
            <w14:solidFill>
              <w14:schemeClr w14:val="tx1"/>
            </w14:solidFill>
          </w14:textFill>
        </w:rPr>
        <w:t>截止时间、开标时间和地点</w:t>
      </w:r>
      <w:bookmarkEnd w:id="18"/>
      <w:bookmarkEnd w:id="19"/>
    </w:p>
    <w:p>
      <w:pPr>
        <w:spacing w:line="38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提交投标文件起止时间：</w:t>
      </w:r>
      <w:bookmarkStart w:id="20" w:name="OLE_LINK1"/>
      <w:r>
        <w:rPr>
          <w:rFonts w:hint="eastAsia" w:ascii="宋体" w:hAnsi="宋体" w:cs="宋体"/>
          <w:bCs/>
          <w:color w:val="000000" w:themeColor="text1"/>
          <w:sz w:val="28"/>
          <w:szCs w:val="28"/>
          <w14:textFill>
            <w14:solidFill>
              <w14:schemeClr w14:val="tx1"/>
            </w14:solidFill>
          </w14:textFill>
        </w:rPr>
        <w:t>2021年1月</w:t>
      </w:r>
      <w:r>
        <w:rPr>
          <w:rFonts w:hint="eastAsia" w:ascii="宋体" w:hAnsi="宋体" w:cs="宋体"/>
          <w:bCs/>
          <w:color w:val="000000" w:themeColor="text1"/>
          <w:sz w:val="28"/>
          <w:szCs w:val="28"/>
          <w:lang w:val="en-US" w:eastAsia="zh-CN"/>
          <w14:textFill>
            <w14:solidFill>
              <w14:schemeClr w14:val="tx1"/>
            </w14:solidFill>
          </w14:textFill>
        </w:rPr>
        <w:t>11</w:t>
      </w:r>
      <w:r>
        <w:rPr>
          <w:rFonts w:hint="eastAsia" w:ascii="宋体" w:hAnsi="宋体" w:cs="宋体"/>
          <w:bCs/>
          <w:color w:val="000000" w:themeColor="text1"/>
          <w:sz w:val="28"/>
          <w:szCs w:val="28"/>
          <w14:textFill>
            <w14:solidFill>
              <w14:schemeClr w14:val="tx1"/>
            </w14:solidFill>
          </w14:textFill>
        </w:rPr>
        <w:t>日9点00分</w:t>
      </w:r>
      <w:bookmarkEnd w:id="20"/>
      <w:r>
        <w:rPr>
          <w:rFonts w:hint="eastAsia" w:ascii="宋体" w:hAnsi="宋体" w:cs="宋体"/>
          <w:bCs/>
          <w:color w:val="000000" w:themeColor="text1"/>
          <w:sz w:val="28"/>
          <w:szCs w:val="28"/>
          <w14:textFill>
            <w14:solidFill>
              <w14:schemeClr w14:val="tx1"/>
            </w14:solidFill>
          </w14:textFill>
        </w:rPr>
        <w:t>（北京时间）至2021年1月</w:t>
      </w:r>
      <w:r>
        <w:rPr>
          <w:rFonts w:hint="eastAsia" w:ascii="宋体" w:hAnsi="宋体" w:cs="宋体"/>
          <w:bCs/>
          <w:color w:val="000000" w:themeColor="text1"/>
          <w:sz w:val="28"/>
          <w:szCs w:val="28"/>
          <w:lang w:val="en-US" w:eastAsia="zh-CN"/>
          <w14:textFill>
            <w14:solidFill>
              <w14:schemeClr w14:val="tx1"/>
            </w14:solidFill>
          </w14:textFill>
        </w:rPr>
        <w:t>11</w:t>
      </w:r>
      <w:r>
        <w:rPr>
          <w:rFonts w:hint="eastAsia" w:ascii="宋体" w:hAnsi="宋体" w:cs="宋体"/>
          <w:bCs/>
          <w:color w:val="000000" w:themeColor="text1"/>
          <w:sz w:val="28"/>
          <w:szCs w:val="28"/>
          <w14:textFill>
            <w14:solidFill>
              <w14:schemeClr w14:val="tx1"/>
            </w14:solidFill>
          </w14:textFill>
        </w:rPr>
        <w:t>日9点30分（北京时间）止。</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地点：桂林市公共资源交易中心</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号开标室</w:t>
      </w:r>
      <w:r>
        <w:rPr>
          <w:rFonts w:hint="eastAsia" w:ascii="宋体" w:hAnsi="宋体" w:cs="宋体"/>
          <w:color w:val="000000" w:themeColor="text1"/>
          <w:sz w:val="28"/>
          <w:szCs w:val="28"/>
          <w14:textFill>
            <w14:solidFill>
              <w14:schemeClr w14:val="tx1"/>
            </w14:solidFill>
          </w14:textFill>
        </w:rPr>
        <w:t>（广西桂林市临桂区西城中路69号创业大厦西辅楼4楼）。</w:t>
      </w:r>
    </w:p>
    <w:p>
      <w:pPr>
        <w:spacing w:line="380" w:lineRule="exact"/>
        <w:ind w:firstLine="560" w:firstLineChars="200"/>
        <w:rPr>
          <w:rFonts w:ascii="宋体" w:hAnsi="宋体" w:cs="宋体"/>
          <w:bCs/>
          <w:color w:val="000000" w:themeColor="text1"/>
          <w:sz w:val="28"/>
          <w:szCs w:val="28"/>
          <w:u w:val="single"/>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开标时间：2021年1月</w:t>
      </w:r>
      <w:r>
        <w:rPr>
          <w:rFonts w:hint="eastAsia" w:ascii="宋体" w:hAnsi="宋体" w:cs="宋体"/>
          <w:bCs/>
          <w:color w:val="000000" w:themeColor="text1"/>
          <w:sz w:val="28"/>
          <w:szCs w:val="28"/>
          <w:lang w:val="en-US" w:eastAsia="zh-CN"/>
          <w14:textFill>
            <w14:solidFill>
              <w14:schemeClr w14:val="tx1"/>
            </w14:solidFill>
          </w14:textFill>
        </w:rPr>
        <w:t>11</w:t>
      </w:r>
      <w:r>
        <w:rPr>
          <w:rFonts w:hint="eastAsia" w:ascii="宋体" w:hAnsi="宋体" w:cs="宋体"/>
          <w:bCs/>
          <w:color w:val="000000" w:themeColor="text1"/>
          <w:sz w:val="28"/>
          <w:szCs w:val="28"/>
          <w14:textFill>
            <w14:solidFill>
              <w14:schemeClr w14:val="tx1"/>
            </w14:solidFill>
          </w14:textFill>
        </w:rPr>
        <w:t>日9点30分（北京时间）</w:t>
      </w:r>
    </w:p>
    <w:p>
      <w:pPr>
        <w:spacing w:line="380" w:lineRule="exact"/>
        <w:ind w:firstLine="560" w:firstLineChars="200"/>
        <w:rPr>
          <w:rFonts w:ascii="宋体" w:hAnsi="宋体" w:cs="宋体"/>
          <w:bCs/>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地点：桂林市公共资源交易中心</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号开标室</w:t>
      </w:r>
      <w:r>
        <w:rPr>
          <w:rFonts w:hint="eastAsia" w:ascii="宋体" w:hAnsi="宋体" w:cs="宋体"/>
          <w:color w:val="000000" w:themeColor="text1"/>
          <w:sz w:val="28"/>
          <w:szCs w:val="28"/>
          <w14:textFill>
            <w14:solidFill>
              <w14:schemeClr w14:val="tx1"/>
            </w14:solidFill>
          </w14:textFill>
        </w:rPr>
        <w:t>（广西桂林市临桂区西城中路69号创业大厦西辅楼4楼）。</w:t>
      </w:r>
    </w:p>
    <w:p>
      <w:pPr>
        <w:rPr>
          <w:rFonts w:ascii="宋体" w:hAnsi="宋体" w:cs="宋体"/>
          <w:color w:val="000000" w:themeColor="text1"/>
          <w:sz w:val="28"/>
          <w:szCs w:val="28"/>
          <w14:textFill>
            <w14:solidFill>
              <w14:schemeClr w14:val="tx1"/>
            </w14:solidFill>
          </w14:textFill>
        </w:rPr>
      </w:pPr>
      <w:bookmarkStart w:id="21" w:name="_Toc28359007"/>
      <w:bookmarkStart w:id="22" w:name="_Toc35393625"/>
      <w:bookmarkStart w:id="23" w:name="_Toc35393794"/>
      <w:bookmarkStart w:id="24" w:name="_Toc28359084"/>
      <w:r>
        <w:rPr>
          <w:rFonts w:hint="eastAsia" w:ascii="宋体" w:hAnsi="宋体" w:cs="宋体"/>
          <w:color w:val="000000" w:themeColor="text1"/>
          <w:sz w:val="28"/>
          <w:szCs w:val="28"/>
          <w14:textFill>
            <w14:solidFill>
              <w14:schemeClr w14:val="tx1"/>
            </w14:solidFill>
          </w14:textFill>
        </w:rPr>
        <w:t>五、公告期限</w:t>
      </w:r>
      <w:bookmarkEnd w:id="21"/>
      <w:bookmarkEnd w:id="22"/>
      <w:bookmarkEnd w:id="23"/>
      <w:bookmarkEnd w:id="24"/>
    </w:p>
    <w:p>
      <w:pPr>
        <w:spacing w:line="380" w:lineRule="exact"/>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自本公告发布之日起5个工作日。</w:t>
      </w:r>
    </w:p>
    <w:p>
      <w:pPr>
        <w:rPr>
          <w:rFonts w:ascii="宋体" w:hAnsi="宋体" w:cs="宋体"/>
          <w:color w:val="000000" w:themeColor="text1"/>
          <w:sz w:val="28"/>
          <w:szCs w:val="28"/>
          <w14:textFill>
            <w14:solidFill>
              <w14:schemeClr w14:val="tx1"/>
            </w14:solidFill>
          </w14:textFill>
        </w:rPr>
      </w:pPr>
      <w:bookmarkStart w:id="25" w:name="_Toc35393795"/>
      <w:bookmarkStart w:id="26" w:name="_Toc35393626"/>
      <w:r>
        <w:rPr>
          <w:rFonts w:hint="eastAsia" w:ascii="宋体" w:hAnsi="宋体" w:cs="宋体"/>
          <w:color w:val="000000" w:themeColor="text1"/>
          <w:sz w:val="28"/>
          <w:szCs w:val="28"/>
          <w14:textFill>
            <w14:solidFill>
              <w14:schemeClr w14:val="tx1"/>
            </w14:solidFill>
          </w14:textFill>
        </w:rPr>
        <w:t>六、其他补充事宜</w:t>
      </w:r>
      <w:bookmarkEnd w:id="25"/>
      <w:bookmarkEnd w:id="26"/>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r>
        <w:rPr>
          <w:rFonts w:hint="eastAsia" w:ascii="宋体" w:hAnsi="宋体" w:cs="宋体"/>
          <w:b/>
          <w:bCs/>
          <w:color w:val="000000" w:themeColor="text1"/>
          <w:sz w:val="28"/>
          <w:szCs w:val="28"/>
          <w14:textFill>
            <w14:solidFill>
              <w14:schemeClr w14:val="tx1"/>
            </w14:solidFill>
          </w14:textFill>
        </w:rPr>
        <w:t>本项目无需缴纳投标保证金。</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2.投标人可以由法定代表人</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负责人</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自然人或其委托代理人出席开标会（出席代表和供应商授权委托人需携带本人身份证原件，未携带身份证所造成的一切后果，由其自行承担。）</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3.本项目信息发布媒体：</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bookmarkStart w:id="27" w:name="_Toc28359008"/>
      <w:bookmarkStart w:id="28" w:name="_Toc35393796"/>
      <w:bookmarkStart w:id="29" w:name="_Toc28359085"/>
      <w:bookmarkStart w:id="30" w:name="_Toc35393627"/>
      <w:r>
        <w:rPr>
          <w:rFonts w:hint="eastAsia" w:ascii="宋体" w:hAnsi="宋体" w:cs="宋体"/>
          <w:color w:val="000000" w:themeColor="text1"/>
          <w:sz w:val="28"/>
          <w:szCs w:val="28"/>
          <w14:textFill>
            <w14:solidFill>
              <w14:schemeClr w14:val="tx1"/>
            </w14:solidFill>
          </w14:textFill>
        </w:rPr>
        <w:t>桂林市公共资源交易中心网（glggzy.org.cn）</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桂林政府采购网（zfcg.czj.guilin.gov.cn）</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广西壮族自治区政府采购网（www.ccgp-guangxi.gov.cn）</w:t>
      </w:r>
    </w:p>
    <w:p>
      <w:pPr>
        <w:spacing w:line="3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中国政府采购网（www.ccgp.gov.cn）</w:t>
      </w:r>
    </w:p>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七、对本次招标提出询问，请按以下方式联系。</w:t>
      </w:r>
      <w:bookmarkEnd w:id="27"/>
      <w:bookmarkEnd w:id="28"/>
      <w:bookmarkEnd w:id="29"/>
      <w:bookmarkEnd w:id="30"/>
    </w:p>
    <w:p>
      <w:pPr>
        <w:widowControl/>
        <w:spacing w:line="38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1.采购人信息</w:t>
      </w:r>
    </w:p>
    <w:p>
      <w:pPr>
        <w:spacing w:line="380" w:lineRule="exact"/>
        <w:ind w:left="1129" w:leftChars="371" w:hanging="350" w:hangingChars="125"/>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名 称：</w:t>
      </w:r>
      <w:r>
        <w:rPr>
          <w:rFonts w:hint="eastAsia" w:ascii="宋体" w:hAnsi="宋体" w:cs="宋体"/>
          <w:color w:val="000000" w:themeColor="text1"/>
          <w:sz w:val="28"/>
          <w:szCs w:val="28"/>
          <w:u w:val="single"/>
          <w14:textFill>
            <w14:solidFill>
              <w14:schemeClr w14:val="tx1"/>
            </w14:solidFill>
          </w14:textFill>
        </w:rPr>
        <w:t>桂林市公安局</w:t>
      </w:r>
    </w:p>
    <w:p>
      <w:pPr>
        <w:spacing w:line="380" w:lineRule="exact"/>
        <w:ind w:left="1129" w:leftChars="371" w:hanging="350" w:hangingChars="125"/>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w:t>
      </w:r>
      <w:r>
        <w:rPr>
          <w:rFonts w:hint="eastAsia" w:ascii="宋体" w:hAnsi="宋体" w:cs="宋体"/>
          <w:color w:val="000000" w:themeColor="text1"/>
          <w:sz w:val="28"/>
          <w:szCs w:val="28"/>
          <w:u w:val="single"/>
          <w14:textFill>
            <w14:solidFill>
              <w14:schemeClr w14:val="tx1"/>
            </w14:solidFill>
          </w14:textFill>
        </w:rPr>
        <w:t>桂林市临桂义宁路6号</w:t>
      </w:r>
    </w:p>
    <w:p>
      <w:pPr>
        <w:spacing w:line="380" w:lineRule="exact"/>
        <w:ind w:left="1129" w:leftChars="371" w:hanging="350" w:hangingChars="125"/>
        <w:jc w:val="lef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联系方式：</w:t>
      </w:r>
      <w:bookmarkStart w:id="31" w:name="_Toc28359086"/>
      <w:bookmarkStart w:id="32" w:name="_Toc28359009"/>
      <w:r>
        <w:rPr>
          <w:rFonts w:hint="eastAsia" w:ascii="宋体" w:hAnsi="宋体" w:cs="宋体"/>
          <w:color w:val="000000" w:themeColor="text1"/>
          <w:sz w:val="28"/>
          <w:szCs w:val="28"/>
          <w:u w:val="single"/>
          <w14:textFill>
            <w14:solidFill>
              <w14:schemeClr w14:val="tx1"/>
            </w14:solidFill>
          </w14:textFill>
        </w:rPr>
        <w:t>18878301027</w:t>
      </w:r>
    </w:p>
    <w:p>
      <w:pPr>
        <w:spacing w:line="380" w:lineRule="exact"/>
        <w:ind w:left="1129" w:leftChars="371" w:hanging="350" w:hangingChars="125"/>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2.采购代理机构信息</w:t>
      </w:r>
      <w:bookmarkEnd w:id="31"/>
      <w:bookmarkEnd w:id="32"/>
    </w:p>
    <w:p>
      <w:pPr>
        <w:spacing w:line="380" w:lineRule="exact"/>
        <w:ind w:firstLine="840" w:firstLineChars="3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名 称：</w:t>
      </w:r>
      <w:r>
        <w:rPr>
          <w:rFonts w:hint="eastAsia" w:ascii="宋体" w:hAnsi="宋体" w:cs="宋体"/>
          <w:color w:val="000000" w:themeColor="text1"/>
          <w:sz w:val="28"/>
          <w:szCs w:val="28"/>
          <w:u w:val="single"/>
          <w14:textFill>
            <w14:solidFill>
              <w14:schemeClr w14:val="tx1"/>
            </w14:solidFill>
          </w14:textFill>
        </w:rPr>
        <w:t>桂林市政府集中采购中心</w:t>
      </w:r>
    </w:p>
    <w:p>
      <w:pPr>
        <w:spacing w:line="380" w:lineRule="exact"/>
        <w:ind w:firstLine="840" w:firstLineChars="3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　址：</w:t>
      </w:r>
      <w:r>
        <w:rPr>
          <w:rFonts w:hint="eastAsia" w:ascii="宋体" w:hAnsi="宋体" w:cs="宋体"/>
          <w:color w:val="000000" w:themeColor="text1"/>
          <w:sz w:val="28"/>
          <w:szCs w:val="28"/>
          <w:u w:val="single"/>
          <w14:textFill>
            <w14:solidFill>
              <w14:schemeClr w14:val="tx1"/>
            </w14:solidFill>
          </w14:textFill>
        </w:rPr>
        <w:t>桂林市临桂区西城中路69号创业大厦西辅楼5楼</w:t>
      </w:r>
    </w:p>
    <w:p>
      <w:pPr>
        <w:spacing w:line="380" w:lineRule="exact"/>
        <w:ind w:firstLine="840" w:firstLineChars="3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联系方式：</w:t>
      </w:r>
      <w:bookmarkStart w:id="33" w:name="_Toc28359087"/>
      <w:bookmarkStart w:id="34" w:name="_Toc28359010"/>
      <w:r>
        <w:rPr>
          <w:rFonts w:hint="eastAsia" w:ascii="宋体" w:hAnsi="宋体" w:cs="宋体"/>
          <w:color w:val="000000" w:themeColor="text1"/>
          <w:sz w:val="28"/>
          <w:szCs w:val="28"/>
          <w:u w:val="single"/>
          <w14:textFill>
            <w14:solidFill>
              <w14:schemeClr w14:val="tx1"/>
            </w14:solidFill>
          </w14:textFill>
        </w:rPr>
        <w:t>0773-5625166</w:t>
      </w:r>
    </w:p>
    <w:p>
      <w:pPr>
        <w:spacing w:line="380" w:lineRule="exact"/>
        <w:ind w:firstLine="840" w:firstLineChars="3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3.项目联系方式</w:t>
      </w:r>
      <w:bookmarkEnd w:id="33"/>
      <w:bookmarkEnd w:id="34"/>
    </w:p>
    <w:p>
      <w:pPr>
        <w:pStyle w:val="17"/>
        <w:spacing w:line="380" w:lineRule="exact"/>
        <w:ind w:firstLine="840" w:firstLineChars="3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项目联系人：</w:t>
      </w:r>
      <w:r>
        <w:rPr>
          <w:rFonts w:hint="eastAsia" w:hAnsi="宋体" w:cs="宋体"/>
          <w:color w:val="000000" w:themeColor="text1"/>
          <w:sz w:val="28"/>
          <w:szCs w:val="28"/>
          <w:u w:val="single"/>
          <w14:textFill>
            <w14:solidFill>
              <w14:schemeClr w14:val="tx1"/>
            </w14:solidFill>
          </w14:textFill>
        </w:rPr>
        <w:t>吴工</w:t>
      </w:r>
    </w:p>
    <w:p>
      <w:pPr>
        <w:spacing w:line="380" w:lineRule="exact"/>
        <w:ind w:firstLine="840" w:firstLineChars="3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电　话：</w:t>
      </w:r>
      <w:r>
        <w:rPr>
          <w:rFonts w:hint="eastAsia" w:ascii="宋体" w:hAnsi="宋体" w:cs="宋体"/>
          <w:color w:val="000000" w:themeColor="text1"/>
          <w:sz w:val="28"/>
          <w:szCs w:val="28"/>
          <w:u w:val="single"/>
          <w14:textFill>
            <w14:solidFill>
              <w14:schemeClr w14:val="tx1"/>
            </w14:solidFill>
          </w14:textFill>
        </w:rPr>
        <w:t>0773-5625166</w:t>
      </w:r>
    </w:p>
    <w:p>
      <w:pPr>
        <w:spacing w:line="380" w:lineRule="exact"/>
        <w:ind w:firstLine="840" w:firstLineChars="3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4.政府采购监督管理机构</w:t>
      </w:r>
    </w:p>
    <w:p>
      <w:pPr>
        <w:spacing w:line="380" w:lineRule="exact"/>
        <w:ind w:firstLine="840" w:firstLineChars="3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名 称：</w:t>
      </w:r>
      <w:r>
        <w:rPr>
          <w:rFonts w:hint="eastAsia" w:ascii="宋体" w:hAnsi="宋体" w:cs="宋体"/>
          <w:color w:val="000000" w:themeColor="text1"/>
          <w:sz w:val="28"/>
          <w:szCs w:val="28"/>
          <w:u w:val="single"/>
          <w14:textFill>
            <w14:solidFill>
              <w14:schemeClr w14:val="tx1"/>
            </w14:solidFill>
          </w14:textFill>
        </w:rPr>
        <w:t>桂林市政府采购管理办公室</w:t>
      </w:r>
    </w:p>
    <w:p>
      <w:pPr>
        <w:spacing w:line="380" w:lineRule="exact"/>
        <w:ind w:firstLine="840" w:firstLineChars="3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联系方式：</w:t>
      </w:r>
      <w:r>
        <w:rPr>
          <w:rFonts w:hint="eastAsia" w:ascii="宋体" w:hAnsi="宋体" w:cs="宋体"/>
          <w:color w:val="000000" w:themeColor="text1"/>
          <w:sz w:val="28"/>
          <w:szCs w:val="28"/>
          <w:u w:val="single"/>
          <w14:textFill>
            <w14:solidFill>
              <w14:schemeClr w14:val="tx1"/>
            </w14:solidFill>
          </w14:textFill>
        </w:rPr>
        <w:t>0773-2862142</w:t>
      </w:r>
    </w:p>
    <w:p>
      <w:pPr>
        <w:spacing w:line="360" w:lineRule="exact"/>
        <w:ind w:firstLine="10280" w:firstLineChars="3200"/>
        <w:jc w:val="left"/>
        <w:rPr>
          <w:rFonts w:ascii="宋体" w:hAnsi="宋体" w:cs="宋体"/>
          <w:b/>
          <w:color w:val="000000" w:themeColor="text1"/>
          <w:sz w:val="32"/>
          <w:szCs w:val="32"/>
          <w14:textFill>
            <w14:solidFill>
              <w14:schemeClr w14:val="tx1"/>
            </w14:solidFill>
          </w14:textFill>
        </w:rPr>
      </w:pPr>
    </w:p>
    <w:p>
      <w:pPr>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bookmarkStart w:id="35" w:name="_Toc12553"/>
      <w:bookmarkStart w:id="36" w:name="_Toc1066"/>
      <w:r>
        <w:rPr>
          <w:rFonts w:hint="eastAsia" w:ascii="宋体" w:hAnsi="宋体" w:cs="宋体"/>
          <w:b/>
          <w:bCs/>
          <w:color w:val="000000" w:themeColor="text1"/>
          <w:kern w:val="44"/>
          <w:sz w:val="32"/>
          <w:szCs w:val="32"/>
          <w14:textFill>
            <w14:solidFill>
              <w14:schemeClr w14:val="tx1"/>
            </w14:solidFill>
          </w14:textFill>
        </w:rPr>
        <w:t>第二章  投标人须知</w:t>
      </w:r>
      <w:bookmarkEnd w:id="35"/>
      <w:bookmarkEnd w:id="36"/>
    </w:p>
    <w:p>
      <w:pPr>
        <w:tabs>
          <w:tab w:val="left" w:pos="1065"/>
          <w:tab w:val="center" w:pos="4411"/>
        </w:tabs>
        <w:spacing w:line="440" w:lineRule="exact"/>
        <w:jc w:val="center"/>
        <w:outlineLvl w:val="1"/>
        <w:rPr>
          <w:rFonts w:ascii="宋体" w:hAnsi="宋体" w:cs="宋体"/>
          <w:b/>
          <w:color w:val="000000" w:themeColor="text1"/>
          <w:szCs w:val="21"/>
          <w14:textFill>
            <w14:solidFill>
              <w14:schemeClr w14:val="tx1"/>
            </w14:solidFill>
          </w14:textFill>
        </w:rPr>
      </w:pPr>
      <w:bookmarkStart w:id="37" w:name="_Toc14222"/>
      <w:bookmarkStart w:id="38" w:name="_Toc495841753"/>
      <w:bookmarkStart w:id="39" w:name="_Toc18994"/>
      <w:r>
        <w:rPr>
          <w:rFonts w:hint="eastAsia" w:ascii="宋体" w:hAnsi="宋体" w:cs="宋体"/>
          <w:b/>
          <w:color w:val="000000" w:themeColor="text1"/>
          <w:szCs w:val="21"/>
          <w14:textFill>
            <w14:solidFill>
              <w14:schemeClr w14:val="tx1"/>
            </w14:solidFill>
          </w14:textFill>
        </w:rPr>
        <w:t>投标人须知前附表</w:t>
      </w:r>
      <w:bookmarkEnd w:id="37"/>
      <w:bookmarkEnd w:id="38"/>
      <w:bookmarkEnd w:id="39"/>
    </w:p>
    <w:tbl>
      <w:tblPr>
        <w:tblStyle w:val="28"/>
        <w:tblW w:w="9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1065" w:type="dxa"/>
            <w:shd w:val="clear" w:color="auto" w:fill="8DB3E2"/>
            <w:vAlign w:val="center"/>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1735" w:type="dxa"/>
            <w:shd w:val="clear" w:color="auto" w:fill="8DB3E2"/>
            <w:vAlign w:val="center"/>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条款名称</w:t>
            </w:r>
          </w:p>
        </w:tc>
        <w:tc>
          <w:tcPr>
            <w:tcW w:w="6229" w:type="dxa"/>
            <w:shd w:val="clear" w:color="auto" w:fill="8DB3E2"/>
            <w:vAlign w:val="center"/>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06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73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项目名称及项目编号</w:t>
            </w:r>
          </w:p>
        </w:tc>
        <w:tc>
          <w:tcPr>
            <w:tcW w:w="6229"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项目名称：桂林市公安局临桂业务技术大楼物业管理</w:t>
            </w:r>
          </w:p>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项目编号：GLZC2020-G3-990561-JCZX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06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173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投标人资格</w:t>
            </w:r>
          </w:p>
        </w:tc>
        <w:tc>
          <w:tcPr>
            <w:tcW w:w="6229"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5.1符合《中华人民共和国政府采购法》第二十二条规定的供应商资格条件，并且国内注册或登记、具备合法资格，提供本次采购货物或服务的供应商。</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 本项目不接受联合体投标。</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06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1735" w:type="dxa"/>
            <w:vAlign w:val="center"/>
          </w:tcPr>
          <w:p>
            <w:pPr>
              <w:spacing w:line="400" w:lineRule="exact"/>
              <w:jc w:val="center"/>
              <w:rPr>
                <w:rFonts w:ascii="宋体" w:hAnsi="宋体" w:cs="宋体"/>
                <w:color w:val="000000" w:themeColor="text1"/>
                <w:position w:val="-2"/>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投标费用</w:t>
            </w:r>
          </w:p>
        </w:tc>
        <w:tc>
          <w:tcPr>
            <w:tcW w:w="6229"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1065" w:type="dxa"/>
            <w:vAlign w:val="center"/>
          </w:tcPr>
          <w:p>
            <w:pPr>
              <w:spacing w:line="360" w:lineRule="exact"/>
              <w:jc w:val="center"/>
              <w:rPr>
                <w:rFonts w:ascii="宋体" w:hAnsi="宋体" w:cs="宋体"/>
                <w:color w:val="000000" w:themeColor="text1"/>
                <w:position w:val="-2"/>
                <w:szCs w:val="21"/>
                <w14:textFill>
                  <w14:solidFill>
                    <w14:schemeClr w14:val="tx1"/>
                  </w14:solidFill>
                </w14:textFill>
              </w:rPr>
            </w:pPr>
            <w:r>
              <w:rPr>
                <w:rFonts w:hint="eastAsia" w:ascii="宋体" w:hAnsi="宋体" w:cs="宋体"/>
                <w:color w:val="000000" w:themeColor="text1"/>
                <w:position w:val="-2"/>
                <w:szCs w:val="21"/>
                <w14:textFill>
                  <w14:solidFill>
                    <w14:schemeClr w14:val="tx1"/>
                  </w14:solidFill>
                </w14:textFill>
              </w:rPr>
              <w:t>15</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采购预算金额及投标报价</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15.1本项目采购预算总金额：</w:t>
            </w:r>
            <w:r>
              <w:rPr>
                <w:rFonts w:hint="eastAsia" w:ascii="宋体" w:hAnsi="宋体" w:cs="宋体"/>
                <w:b/>
                <w:bCs/>
                <w:color w:val="000000" w:themeColor="text1"/>
                <w:szCs w:val="21"/>
                <w14:textFill>
                  <w14:solidFill>
                    <w14:schemeClr w14:val="tx1"/>
                  </w14:solidFill>
                </w14:textFill>
              </w:rPr>
              <w:t>人民币伍佰壹拾万元整（¥：5100000.00）</w:t>
            </w:r>
            <w:r>
              <w:rPr>
                <w:rFonts w:hint="eastAsia" w:ascii="宋体" w:hAnsi="宋体" w:cs="宋体"/>
                <w:color w:val="000000" w:themeColor="text1"/>
                <w:szCs w:val="21"/>
                <w14:textFill>
                  <w14:solidFill>
                    <w14:schemeClr w14:val="tx1"/>
                  </w14:solidFill>
                </w14:textFill>
              </w:rPr>
              <w:t>。投标报价超过采购预算金额的，投标文件按无效处理。</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15.2投标人必须就“服务采购需求”中所投的所有内容作完整唯一报价，否则，其投标将被拒绝；投标文件只允许有一个报价，有选择的或有条件的报价将不予接受。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106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16.1</w:t>
            </w:r>
          </w:p>
        </w:tc>
        <w:tc>
          <w:tcPr>
            <w:tcW w:w="173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投标有效期</w:t>
            </w:r>
          </w:p>
        </w:tc>
        <w:tc>
          <w:tcPr>
            <w:tcW w:w="6229"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106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w:t>
            </w:r>
          </w:p>
        </w:tc>
        <w:tc>
          <w:tcPr>
            <w:tcW w:w="173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w:t>
            </w:r>
          </w:p>
        </w:tc>
        <w:tc>
          <w:tcPr>
            <w:tcW w:w="6229" w:type="dxa"/>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u w:val="single"/>
                <w14:textFill>
                  <w14:solidFill>
                    <w14:schemeClr w14:val="tx1"/>
                  </w14:solidFill>
                </w14:textFill>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714"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106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18.1</w:t>
            </w:r>
          </w:p>
        </w:tc>
        <w:tc>
          <w:tcPr>
            <w:tcW w:w="1735"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投标文件份数</w:t>
            </w:r>
          </w:p>
        </w:tc>
        <w:tc>
          <w:tcPr>
            <w:tcW w:w="6229" w:type="dxa"/>
            <w:vAlign w:val="center"/>
          </w:tcPr>
          <w:p>
            <w:pPr>
              <w:spacing w:line="400" w:lineRule="exact"/>
              <w:rPr>
                <w:rFonts w:ascii="宋体" w:hAnsi="宋体" w:cs="宋体"/>
                <w:color w:val="000000" w:themeColor="text1"/>
                <w:szCs w:val="21"/>
                <w:u w:val="single"/>
                <w14:textFill>
                  <w14:solidFill>
                    <w14:schemeClr w14:val="tx1"/>
                  </w14:solidFill>
                </w14:textFill>
              </w:rPr>
            </w:pPr>
            <w:r>
              <w:rPr>
                <w:rFonts w:hint="eastAsia" w:ascii="宋体" w:hAnsi="宋体" w:cs="宋体"/>
                <w:b/>
                <w:bCs/>
                <w:color w:val="000000" w:themeColor="text1"/>
                <w:szCs w:val="21"/>
                <w:u w:val="single"/>
                <w14:textFill>
                  <w14:solidFill>
                    <w14:schemeClr w14:val="tx1"/>
                  </w14:solidFill>
                </w14:textFill>
              </w:rPr>
              <w:t>正本壹册，副本肆册，须完整提交</w:t>
            </w:r>
            <w:r>
              <w:rPr>
                <w:rFonts w:hint="eastAsia" w:ascii="宋体" w:hAnsi="宋体" w:cs="宋体"/>
                <w:color w:val="000000" w:themeColor="text1"/>
                <w:szCs w:val="21"/>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1065" w:type="dxa"/>
            <w:vAlign w:val="center"/>
          </w:tcPr>
          <w:p>
            <w:pPr>
              <w:spacing w:line="360" w:lineRule="exact"/>
              <w:jc w:val="center"/>
              <w:rPr>
                <w:rFonts w:ascii="宋体" w:hAnsi="宋体" w:cs="宋体"/>
                <w:color w:val="000000" w:themeColor="text1"/>
                <w:position w:val="1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18.2</w:t>
            </w:r>
          </w:p>
        </w:tc>
        <w:tc>
          <w:tcPr>
            <w:tcW w:w="1735" w:type="dxa"/>
            <w:vAlign w:val="center"/>
          </w:tcPr>
          <w:p>
            <w:pPr>
              <w:spacing w:line="360" w:lineRule="exact"/>
              <w:jc w:val="center"/>
              <w:rPr>
                <w:rFonts w:ascii="宋体" w:hAnsi="宋体" w:cs="宋体"/>
                <w:color w:val="000000" w:themeColor="text1"/>
                <w:position w:val="1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投标文件装订</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18.6</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投标人公章</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18.7</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投标文件包装、密封</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18.8</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投标文件袋（盒、箱）标记</w:t>
            </w:r>
          </w:p>
        </w:tc>
        <w:tc>
          <w:tcPr>
            <w:tcW w:w="6229" w:type="dxa"/>
            <w:vAlign w:val="center"/>
          </w:tcPr>
          <w:p>
            <w:pPr>
              <w:spacing w:line="360" w:lineRule="exact"/>
              <w:rPr>
                <w:rFonts w:ascii="宋体" w:hAnsi="宋体" w:cs="宋体"/>
                <w:color w:val="000000" w:themeColor="text1"/>
                <w:spacing w:val="-6"/>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项目名称：桂林市公安局临桂业务技术大楼物业管理</w:t>
            </w:r>
          </w:p>
          <w:p>
            <w:pPr>
              <w:spacing w:line="36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u w:val="single"/>
                <w14:textFill>
                  <w14:solidFill>
                    <w14:schemeClr w14:val="tx1"/>
                  </w14:solidFill>
                </w14:textFill>
              </w:rPr>
              <w:t>GLZC2020-G3-990561-JCZX</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采购代理机构：</w:t>
            </w:r>
            <w:r>
              <w:rPr>
                <w:rFonts w:hint="eastAsia" w:ascii="宋体" w:hAnsi="宋体" w:cs="宋体"/>
                <w:color w:val="000000" w:themeColor="text1"/>
                <w:szCs w:val="21"/>
                <w:u w:val="single"/>
                <w14:textFill>
                  <w14:solidFill>
                    <w14:schemeClr w14:val="tx1"/>
                  </w14:solidFill>
                </w14:textFill>
              </w:rPr>
              <w:t>桂林市政府集中采购中心</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投标单位名称：</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在2021年1月</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 xml:space="preserve">日上午9时30分前不得开启（此处填写截标时间）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1065" w:type="dxa"/>
            <w:vAlign w:val="center"/>
          </w:tcPr>
          <w:p>
            <w:pPr>
              <w:spacing w:line="360" w:lineRule="exact"/>
              <w:jc w:val="center"/>
              <w:rPr>
                <w:rFonts w:ascii="宋体" w:hAnsi="宋体" w:cs="宋体"/>
                <w:color w:val="000000" w:themeColor="text1"/>
                <w:position w:val="-2"/>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w:t>
            </w:r>
          </w:p>
        </w:tc>
        <w:tc>
          <w:tcPr>
            <w:tcW w:w="1735" w:type="dxa"/>
            <w:vAlign w:val="center"/>
          </w:tcPr>
          <w:p>
            <w:pPr>
              <w:spacing w:line="360" w:lineRule="exact"/>
              <w:jc w:val="center"/>
              <w:rPr>
                <w:rFonts w:ascii="宋体" w:hAnsi="宋体" w:cs="宋体"/>
                <w:color w:val="000000" w:themeColor="text1"/>
                <w:position w:val="-2"/>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投标文件递交</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投标人应于2021年1月</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日上午9时00分至2021年1月</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日上午9时30分止，将投标文件密封提交至</w:t>
            </w:r>
            <w:r>
              <w:rPr>
                <w:rFonts w:hint="eastAsia" w:ascii="宋体" w:hAnsi="宋体" w:cs="宋体"/>
                <w:color w:val="000000" w:themeColor="text1"/>
                <w:szCs w:val="21"/>
                <w:u w:val="single"/>
                <w14:textFill>
                  <w14:solidFill>
                    <w14:schemeClr w14:val="tx1"/>
                  </w14:solidFill>
                </w14:textFill>
              </w:rPr>
              <w:t>桂林市公共资源交易中心（临桂区西城中路69号西辅楼四楼）</w:t>
            </w:r>
            <w:r>
              <w:rPr>
                <w:rFonts w:hint="eastAsia" w:ascii="宋体" w:hAnsi="宋体" w:cs="宋体"/>
                <w:color w:val="000000" w:themeColor="text1"/>
                <w:szCs w:val="21"/>
                <w:u w:val="single"/>
                <w:lang w:val="en-US" w:eastAsia="zh-CN"/>
                <w14:textFill>
                  <w14:solidFill>
                    <w14:schemeClr w14:val="tx1"/>
                  </w14:solidFill>
                </w14:textFill>
              </w:rPr>
              <w:t>5</w:t>
            </w:r>
            <w:r>
              <w:rPr>
                <w:rFonts w:hint="eastAsia" w:ascii="宋体" w:hAnsi="宋体" w:cs="宋体"/>
                <w:color w:val="000000" w:themeColor="text1"/>
                <w:szCs w:val="21"/>
                <w:u w:val="single"/>
                <w:lang w:eastAsia="zh-CN"/>
                <w14:textFill>
                  <w14:solidFill>
                    <w14:schemeClr w14:val="tx1"/>
                  </w14:solidFill>
                </w14:textFill>
              </w:rPr>
              <w:t>号开标室</w:t>
            </w:r>
            <w:r>
              <w:rPr>
                <w:rFonts w:hint="eastAsia" w:ascii="宋体" w:hAnsi="宋体" w:cs="宋体"/>
                <w:color w:val="000000" w:themeColor="text1"/>
                <w:szCs w:val="21"/>
                <w14:textFill>
                  <w14:solidFill>
                    <w14:schemeClr w14:val="tx1"/>
                  </w14:solidFill>
                </w14:textFill>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21.1</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开标时间及地点</w:t>
            </w:r>
          </w:p>
        </w:tc>
        <w:tc>
          <w:tcPr>
            <w:tcW w:w="6229" w:type="dxa"/>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w:t>
            </w:r>
            <w:r>
              <w:rPr>
                <w:rFonts w:hint="eastAsia" w:ascii="宋体" w:hAnsi="宋体" w:cs="宋体"/>
                <w:color w:val="000000" w:themeColor="text1"/>
                <w:szCs w:val="21"/>
                <w:u w:val="single"/>
                <w14:textFill>
                  <w14:solidFill>
                    <w14:schemeClr w14:val="tx1"/>
                  </w14:solidFill>
                </w14:textFill>
              </w:rPr>
              <w:t>2021年1月</w:t>
            </w:r>
            <w:r>
              <w:rPr>
                <w:rFonts w:hint="eastAsia" w:ascii="宋体" w:hAnsi="宋体" w:cs="宋体"/>
                <w:color w:val="000000" w:themeColor="text1"/>
                <w:szCs w:val="21"/>
                <w:u w:val="single"/>
                <w:lang w:val="en-US" w:eastAsia="zh-CN"/>
                <w14:textFill>
                  <w14:solidFill>
                    <w14:schemeClr w14:val="tx1"/>
                  </w14:solidFill>
                </w14:textFill>
              </w:rPr>
              <w:t>11</w:t>
            </w:r>
            <w:r>
              <w:rPr>
                <w:rFonts w:hint="eastAsia" w:ascii="宋体" w:hAnsi="宋体" w:cs="宋体"/>
                <w:color w:val="000000" w:themeColor="text1"/>
                <w:szCs w:val="21"/>
                <w:u w:val="single"/>
                <w14:textFill>
                  <w14:solidFill>
                    <w14:schemeClr w14:val="tx1"/>
                  </w14:solidFill>
                </w14:textFill>
              </w:rPr>
              <w:t>日上午9时30分；</w:t>
            </w:r>
            <w:r>
              <w:rPr>
                <w:rFonts w:hint="eastAsia" w:ascii="宋体" w:hAnsi="宋体" w:cs="宋体"/>
                <w:color w:val="000000" w:themeColor="text1"/>
                <w:szCs w:val="21"/>
                <w14:textFill>
                  <w14:solidFill>
                    <w14:schemeClr w14:val="tx1"/>
                  </w14:solidFill>
                </w14:textFill>
              </w:rPr>
              <w:t>开标地点：</w:t>
            </w:r>
            <w:r>
              <w:rPr>
                <w:rFonts w:hint="eastAsia" w:ascii="宋体" w:hAnsi="宋体" w:cs="宋体"/>
                <w:color w:val="000000" w:themeColor="text1"/>
                <w:szCs w:val="21"/>
                <w:u w:val="single"/>
                <w14:textFill>
                  <w14:solidFill>
                    <w14:schemeClr w14:val="tx1"/>
                  </w14:solidFill>
                </w14:textFill>
              </w:rPr>
              <w:t>桂林市公共资源交易中心（临桂区西城中路69号西辅楼四楼）</w:t>
            </w:r>
            <w:r>
              <w:rPr>
                <w:rFonts w:hint="eastAsia" w:ascii="宋体" w:hAnsi="宋体" w:cs="宋体"/>
                <w:color w:val="000000" w:themeColor="text1"/>
                <w:szCs w:val="21"/>
                <w:u w:val="single"/>
                <w:lang w:val="en-US" w:eastAsia="zh-CN"/>
                <w14:textFill>
                  <w14:solidFill>
                    <w14:schemeClr w14:val="tx1"/>
                  </w14:solidFill>
                </w14:textFill>
              </w:rPr>
              <w:t>5</w:t>
            </w:r>
            <w:r>
              <w:rPr>
                <w:rFonts w:hint="eastAsia" w:ascii="宋体" w:hAnsi="宋体" w:cs="宋体"/>
                <w:color w:val="000000" w:themeColor="text1"/>
                <w:szCs w:val="21"/>
                <w:u w:val="single"/>
                <w:lang w:eastAsia="zh-CN"/>
                <w14:textFill>
                  <w14:solidFill>
                    <w14:schemeClr w14:val="tx1"/>
                  </w14:solidFill>
                </w14:textFill>
              </w:rPr>
              <w:t>号开标室</w:t>
            </w:r>
            <w:r>
              <w:rPr>
                <w:rFonts w:hint="eastAsia" w:ascii="宋体" w:hAnsi="宋体" w:cs="宋体"/>
                <w:color w:val="000000" w:themeColor="text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评标委员会组成</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评标委员会由有关技术、经济等方面的专家组成，成员人数共5人，其中业主代表1人，技术、经济等专家4人。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25.1</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评标办法</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w:t>
            </w:r>
          </w:p>
        </w:tc>
        <w:tc>
          <w:tcPr>
            <w:tcW w:w="1735" w:type="dxa"/>
            <w:vAlign w:val="center"/>
          </w:tcPr>
          <w:p>
            <w:pPr>
              <w:tabs>
                <w:tab w:val="left" w:pos="1140"/>
              </w:tabs>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信用查询</w:t>
            </w:r>
          </w:p>
        </w:tc>
        <w:tc>
          <w:tcPr>
            <w:tcW w:w="6229" w:type="dxa"/>
            <w:vAlign w:val="center"/>
          </w:tcPr>
          <w:p>
            <w:pPr>
              <w:autoSpaceDE w:val="0"/>
              <w:autoSpaceDN w:val="0"/>
              <w:snapToGrid w:val="0"/>
              <w:spacing w:line="34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4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⑴查询渠道：“信用中国”网站(www.creditchina.gov.cn)、中国政府采购网(www.ccgp.gov.cn)等；</w:t>
            </w:r>
          </w:p>
          <w:p>
            <w:pPr>
              <w:autoSpaceDE w:val="0"/>
              <w:autoSpaceDN w:val="0"/>
              <w:snapToGrid w:val="0"/>
              <w:spacing w:line="34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⑵查询截止时间：中标通知书发出前；</w:t>
            </w:r>
          </w:p>
          <w:p>
            <w:pPr>
              <w:autoSpaceDE w:val="0"/>
              <w:autoSpaceDN w:val="0"/>
              <w:snapToGrid w:val="0"/>
              <w:spacing w:line="34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⑶信用信息查询记录和证据留存方式：在查询网站中直接打印查询记录，打印材料作为采购活动资料保存；</w:t>
            </w:r>
          </w:p>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中标公告及中标通知书</w:t>
            </w:r>
          </w:p>
        </w:tc>
        <w:tc>
          <w:tcPr>
            <w:tcW w:w="6229" w:type="dxa"/>
            <w:vAlign w:val="center"/>
          </w:tcPr>
          <w:p>
            <w:pPr>
              <w:tabs>
                <w:tab w:val="left" w:pos="455"/>
              </w:tabs>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33.2中标公告发布的同时，采购代理机构向中标供应商发出中标通知书，中标供应商应自接到通知之日起七个工作日内，办理中标通知书领取手续。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34.1</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w:t>
            </w:r>
          </w:p>
        </w:tc>
        <w:tc>
          <w:tcPr>
            <w:tcW w:w="6229" w:type="dxa"/>
            <w:vAlign w:val="center"/>
          </w:tcPr>
          <w:p>
            <w:pPr>
              <w:pStyle w:val="17"/>
              <w:spacing w:line="360" w:lineRule="exac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35.1</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签订合同时间</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中标通知书发布之日起5个工作日内。中标供应商领取中标通知书后，应按规定与采购人签订合同。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35.4</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合同备案存档</w:t>
            </w:r>
          </w:p>
        </w:tc>
        <w:tc>
          <w:tcPr>
            <w:tcW w:w="6229" w:type="dxa"/>
            <w:vAlign w:val="center"/>
          </w:tcPr>
          <w:p>
            <w:pPr>
              <w:widowControl/>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政府采购合同双方自签订之日起一个工作日内将合同原件一份交 </w:t>
            </w:r>
          </w:p>
          <w:p>
            <w:pPr>
              <w:widowControl/>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采购代理机构，并于合同签订之日起七个工作日内将一份合同原件 </w:t>
            </w:r>
          </w:p>
          <w:p>
            <w:pPr>
              <w:widowControl/>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送本级财政部门备案。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招标代理服务费</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w:t>
            </w:r>
          </w:p>
        </w:tc>
        <w:tc>
          <w:tcPr>
            <w:tcW w:w="173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解释权</w:t>
            </w:r>
          </w:p>
        </w:tc>
        <w:tc>
          <w:tcPr>
            <w:tcW w:w="6229"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本招标文件是根据《中华人民共和国政府采购法》、《中华人民共和国政府采购法实施条例》及</w:t>
            </w:r>
            <w:r>
              <w:rPr>
                <w:rStyle w:val="109"/>
                <w:rFonts w:hint="eastAsia" w:ascii="宋体" w:hAnsi="宋体" w:cs="宋体"/>
                <w:color w:val="000000" w:themeColor="text1"/>
                <w:szCs w:val="21"/>
                <w14:textFill>
                  <w14:solidFill>
                    <w14:schemeClr w14:val="tx1"/>
                  </w14:solidFill>
                </w14:textFill>
              </w:rPr>
              <w:t>财政部令第87号</w:t>
            </w:r>
            <w:r>
              <w:rPr>
                <w:rFonts w:hint="eastAsia" w:ascii="宋体" w:hAnsi="宋体" w:cs="宋体"/>
                <w:color w:val="000000" w:themeColor="text1"/>
                <w:szCs w:val="21"/>
                <w14:textFill>
                  <w14:solidFill>
                    <w14:schemeClr w14:val="tx1"/>
                  </w14:solidFill>
                </w14:textFill>
              </w:rPr>
              <w:t>《政府采购货物和服务招标投标管理办法》等相关规定编制，本招标文件的解释权属于桂林市政府集中采购中心。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w:t>
            </w:r>
          </w:p>
        </w:tc>
        <w:tc>
          <w:tcPr>
            <w:tcW w:w="1065"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38</w:t>
            </w:r>
          </w:p>
        </w:tc>
        <w:tc>
          <w:tcPr>
            <w:tcW w:w="1735" w:type="dxa"/>
            <w:vAlign w:val="center"/>
          </w:tcPr>
          <w:p>
            <w:pPr>
              <w:spacing w:line="360" w:lineRule="exact"/>
              <w:jc w:val="center"/>
              <w:rPr>
                <w:rFonts w:ascii="宋体" w:hAnsi="宋体" w:cs="宋体"/>
                <w:color w:val="000000" w:themeColor="text1"/>
                <w:position w:val="1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监督管理机构</w:t>
            </w:r>
          </w:p>
        </w:tc>
        <w:tc>
          <w:tcPr>
            <w:tcW w:w="6229" w:type="dxa"/>
            <w:vAlign w:val="center"/>
          </w:tcPr>
          <w:p>
            <w:pPr>
              <w:widowControl/>
              <w:jc w:val="left"/>
              <w:rPr>
                <w:rFonts w:ascii="宋体" w:hAnsi="宋体" w:cs="宋体"/>
                <w:color w:val="000000" w:themeColor="text1"/>
                <w:szCs w:val="21"/>
                <w14:textFill>
                  <w14:solidFill>
                    <w14:schemeClr w14:val="tx1"/>
                  </w14:solidFill>
                </w14:textFill>
              </w:rPr>
            </w:pPr>
            <w:r>
              <w:rPr>
                <w:rStyle w:val="109"/>
                <w:rFonts w:hint="eastAsia" w:ascii="宋体" w:hAnsi="宋体" w:cs="宋体"/>
                <w:color w:val="000000" w:themeColor="text1"/>
                <w:szCs w:val="21"/>
                <w14:textFill>
                  <w14:solidFill>
                    <w14:schemeClr w14:val="tx1"/>
                  </w14:solidFill>
                </w14:textFill>
              </w:rPr>
              <w:t>桂林市政府采购管理办公室           电话：0773-2862142</w:t>
            </w:r>
          </w:p>
        </w:tc>
      </w:tr>
    </w:tbl>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40" w:name="_Toc3679"/>
      <w:bookmarkStart w:id="41" w:name="_Toc495841754"/>
      <w:r>
        <w:rPr>
          <w:rFonts w:hint="eastAsia" w:ascii="宋体" w:hAnsi="宋体" w:cs="宋体"/>
          <w:b/>
          <w:color w:val="000000" w:themeColor="text1"/>
          <w:sz w:val="28"/>
          <w:szCs w:val="28"/>
          <w14:textFill>
            <w14:solidFill>
              <w14:schemeClr w14:val="tx1"/>
            </w14:solidFill>
          </w14:textFill>
        </w:rPr>
        <w:br w:type="page"/>
      </w:r>
      <w:bookmarkStart w:id="42" w:name="_Toc14369"/>
      <w:r>
        <w:rPr>
          <w:rFonts w:hint="eastAsia" w:ascii="宋体" w:hAnsi="宋体" w:cs="宋体"/>
          <w:b/>
          <w:color w:val="000000" w:themeColor="text1"/>
          <w:sz w:val="28"/>
          <w:szCs w:val="28"/>
          <w14:textFill>
            <w14:solidFill>
              <w14:schemeClr w14:val="tx1"/>
            </w14:solidFill>
          </w14:textFill>
        </w:rPr>
        <w:t>一、总则</w:t>
      </w:r>
      <w:bookmarkEnd w:id="40"/>
      <w:bookmarkEnd w:id="41"/>
      <w:bookmarkEnd w:id="42"/>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43" w:name="_Toc23807"/>
      <w:bookmarkStart w:id="44" w:name="_Toc10612"/>
      <w:r>
        <w:rPr>
          <w:rFonts w:hint="eastAsia" w:ascii="宋体" w:hAnsi="宋体" w:cs="宋体"/>
          <w:b/>
          <w:color w:val="000000" w:themeColor="text1"/>
          <w:szCs w:val="21"/>
          <w14:textFill>
            <w14:solidFill>
              <w14:schemeClr w14:val="tx1"/>
            </w14:solidFill>
          </w14:textFill>
        </w:rPr>
        <w:t>1. 项目名称及项目编号</w:t>
      </w:r>
      <w:bookmarkEnd w:id="43"/>
      <w:bookmarkEnd w:id="44"/>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hint="eastAsia"/>
          <w:color w:val="000000" w:themeColor="text1"/>
          <w14:textFill>
            <w14:solidFill>
              <w14:schemeClr w14:val="tx1"/>
            </w14:solidFill>
          </w14:textFill>
        </w:rPr>
        <w:t>桂林市公安局临桂业务技术大楼物业管理</w:t>
      </w:r>
    </w:p>
    <w:p>
      <w:pPr>
        <w:spacing w:line="400" w:lineRule="exact"/>
        <w:ind w:firstLine="420" w:firstLineChars="200"/>
        <w:rPr>
          <w:rFonts w:ascii="宋体" w:hAnsi="宋体" w:cs="宋体"/>
          <w:color w:val="000000" w:themeColor="text1"/>
          <w:spacing w:val="-6"/>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项目编号：GLZC2020-G3-990561-JCZX</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45" w:name="_Toc340"/>
      <w:bookmarkStart w:id="46" w:name="_Toc29320"/>
      <w:r>
        <w:rPr>
          <w:rFonts w:hint="eastAsia" w:ascii="宋体" w:hAnsi="宋体" w:cs="宋体"/>
          <w:b/>
          <w:color w:val="000000" w:themeColor="text1"/>
          <w:szCs w:val="21"/>
          <w14:textFill>
            <w14:solidFill>
              <w14:schemeClr w14:val="tx1"/>
            </w14:solidFill>
          </w14:textFill>
        </w:rPr>
        <w:t>2. 适应范围</w:t>
      </w:r>
      <w:bookmarkEnd w:id="45"/>
      <w:bookmarkEnd w:id="46"/>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本招标文件适用本招标采购项目的招标、投标、评标、合同履约、验收、付款等行为（法律、法规另有规定的，从其规定）。</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47" w:name="_Toc1895"/>
      <w:bookmarkStart w:id="48" w:name="_Toc5332"/>
      <w:r>
        <w:rPr>
          <w:rFonts w:hint="eastAsia" w:ascii="宋体" w:hAnsi="宋体" w:cs="宋体"/>
          <w:b/>
          <w:color w:val="000000" w:themeColor="text1"/>
          <w:szCs w:val="21"/>
          <w14:textFill>
            <w14:solidFill>
              <w14:schemeClr w14:val="tx1"/>
            </w14:solidFill>
          </w14:textFill>
        </w:rPr>
        <w:t>3. 定义</w:t>
      </w:r>
      <w:bookmarkEnd w:id="47"/>
      <w:bookmarkEnd w:id="48"/>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3.1“投标人”系指响应招标、参加投标竞争的法人、其他组织或者自然人。</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3.2“货物”系指按招标文件规定，投标人须向采购人提供的一切设备、保险、税金、备品备件、工具、手册及其它有关技术资料和材料。</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3.3“服务”系指按招标文件规定，投标人须承担的安装、调试、技术协助、校准、培训、技术指导以及其他类似的义务。</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3.4“项目”系指投标人按招标文件规定向采购人提供的货物和服务。</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3.5“书面形式”包括信函、传真、电报。</w:t>
      </w:r>
    </w:p>
    <w:p>
      <w:pPr>
        <w:spacing w:line="400" w:lineRule="exact"/>
        <w:ind w:firstLine="435"/>
        <w:rPr>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3.6实质性要求：标注★号项的要求为实质性要求，不允许负偏离，否则投标无效。</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49" w:name="_Toc28906"/>
      <w:bookmarkStart w:id="50" w:name="_Toc30537"/>
      <w:r>
        <w:rPr>
          <w:rFonts w:hint="eastAsia" w:ascii="宋体" w:hAnsi="宋体" w:cs="宋体"/>
          <w:b/>
          <w:color w:val="000000" w:themeColor="text1"/>
          <w:szCs w:val="21"/>
          <w14:textFill>
            <w14:solidFill>
              <w14:schemeClr w14:val="tx1"/>
            </w14:solidFill>
          </w14:textFill>
        </w:rPr>
        <w:t>4. 招标方式、评分办法</w:t>
      </w:r>
      <w:bookmarkEnd w:id="49"/>
      <w:bookmarkEnd w:id="50"/>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公开招标、综合评分法</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51" w:name="_Toc598"/>
      <w:bookmarkStart w:id="52" w:name="_Toc28176"/>
      <w:r>
        <w:rPr>
          <w:rFonts w:hint="eastAsia" w:ascii="宋体" w:hAnsi="宋体" w:cs="宋体"/>
          <w:b/>
          <w:color w:val="000000" w:themeColor="text1"/>
          <w:szCs w:val="21"/>
          <w14:textFill>
            <w14:solidFill>
              <w14:schemeClr w14:val="tx1"/>
            </w14:solidFill>
          </w14:textFill>
        </w:rPr>
        <w:t>5. 投标人资格</w:t>
      </w:r>
      <w:bookmarkEnd w:id="51"/>
      <w:bookmarkEnd w:id="52"/>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5.1符合《中华人民共和国政府采购法》第二十二条和《政府采购法实施条例》第十八条规定，并且在国内注册或登记、具备合法资格，提供本次采购货物或服务的供应商。</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 本项目不接受联合体投标。</w:t>
      </w:r>
    </w:p>
    <w:p>
      <w:pPr>
        <w:spacing w:line="400" w:lineRule="exact"/>
        <w:ind w:firstLine="435"/>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53" w:name="_Toc24742"/>
      <w:bookmarkStart w:id="54" w:name="_Toc185"/>
      <w:r>
        <w:rPr>
          <w:rFonts w:hint="eastAsia" w:ascii="宋体" w:hAnsi="宋体" w:cs="宋体"/>
          <w:b/>
          <w:color w:val="000000" w:themeColor="text1"/>
          <w:szCs w:val="21"/>
          <w14:textFill>
            <w14:solidFill>
              <w14:schemeClr w14:val="tx1"/>
            </w14:solidFill>
          </w14:textFill>
        </w:rPr>
        <w:t>6. 投标费用</w:t>
      </w:r>
      <w:bookmarkEnd w:id="53"/>
      <w:bookmarkEnd w:id="54"/>
    </w:p>
    <w:p>
      <w:pPr>
        <w:spacing w:line="400" w:lineRule="exact"/>
        <w:ind w:firstLine="435"/>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不论投标结果如何，投标人均应自行承担所有与投标有关的全部费用。</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55" w:name="_Toc22702"/>
      <w:bookmarkStart w:id="56" w:name="_Toc12145"/>
      <w:r>
        <w:rPr>
          <w:rFonts w:hint="eastAsia" w:ascii="宋体" w:hAnsi="宋体" w:cs="宋体"/>
          <w:b/>
          <w:color w:val="000000" w:themeColor="text1"/>
          <w:szCs w:val="21"/>
          <w14:textFill>
            <w14:solidFill>
              <w14:schemeClr w14:val="tx1"/>
            </w14:solidFill>
          </w14:textFill>
        </w:rPr>
        <w:t>7. 联合体投标要求</w:t>
      </w:r>
      <w:bookmarkEnd w:id="55"/>
      <w:bookmarkEnd w:id="56"/>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本项目不接受联合体投标。</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57" w:name="_Toc6046"/>
      <w:bookmarkStart w:id="58" w:name="_Toc19489"/>
      <w:r>
        <w:rPr>
          <w:rFonts w:hint="eastAsia" w:ascii="宋体" w:hAnsi="宋体" w:cs="宋体"/>
          <w:b/>
          <w:color w:val="000000" w:themeColor="text1"/>
          <w:szCs w:val="21"/>
          <w14:textFill>
            <w14:solidFill>
              <w14:schemeClr w14:val="tx1"/>
            </w14:solidFill>
          </w14:textFill>
        </w:rPr>
        <w:t>8. 转包与分包</w:t>
      </w:r>
      <w:bookmarkEnd w:id="57"/>
      <w:bookmarkEnd w:id="58"/>
    </w:p>
    <w:p>
      <w:pPr>
        <w:tabs>
          <w:tab w:val="left" w:pos="163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w:t>
      </w:r>
      <w:r>
        <w:rPr>
          <w:rFonts w:hint="eastAsia" w:ascii="宋体" w:hAnsi="宋体" w:cs="宋体"/>
          <w:b/>
          <w:bCs/>
          <w:color w:val="000000" w:themeColor="text1"/>
          <w:szCs w:val="21"/>
          <w14:textFill>
            <w14:solidFill>
              <w14:schemeClr w14:val="tx1"/>
            </w14:solidFill>
          </w14:textFill>
        </w:rPr>
        <w:t>本项目不允许转包。</w:t>
      </w:r>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8.2</w:t>
      </w:r>
      <w:r>
        <w:rPr>
          <w:rFonts w:hint="eastAsia" w:ascii="宋体" w:hAnsi="宋体" w:cs="宋体"/>
          <w:b/>
          <w:bCs/>
          <w:color w:val="000000" w:themeColor="text1"/>
          <w:szCs w:val="21"/>
          <w14:textFill>
            <w14:solidFill>
              <w14:schemeClr w14:val="tx1"/>
            </w14:solidFill>
          </w14:textFill>
        </w:rPr>
        <w:t>本项目不可以分包。</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59" w:name="_Toc1504"/>
      <w:bookmarkStart w:id="60" w:name="_Toc9401"/>
      <w:r>
        <w:rPr>
          <w:rFonts w:hint="eastAsia" w:ascii="宋体" w:hAnsi="宋体" w:cs="宋体"/>
          <w:b/>
          <w:color w:val="000000" w:themeColor="text1"/>
          <w:szCs w:val="21"/>
          <w14:textFill>
            <w14:solidFill>
              <w14:schemeClr w14:val="tx1"/>
            </w14:solidFill>
          </w14:textFill>
        </w:rPr>
        <w:t>9. 特别说明</w:t>
      </w:r>
      <w:bookmarkEnd w:id="59"/>
      <w:bookmarkEnd w:id="60"/>
    </w:p>
    <w:p>
      <w:pPr>
        <w:tabs>
          <w:tab w:val="left" w:pos="163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评标价也相同的，由评标委员会以抽签方式确定中标候选供应商。其他同品牌投标人不作为中标候选供应商。</w:t>
      </w:r>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多家投标人提供的核心产品品牌相同的，按前款规定处理。</w:t>
      </w:r>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9.2关联供应商不得参加同一合同项下政府采购活动，否则投标文件将被视为无效：</w:t>
      </w:r>
    </w:p>
    <w:p>
      <w:pPr>
        <w:tabs>
          <w:tab w:val="left" w:pos="163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（1）单位负责人为同一人或者存在直接控股、管理关系的不同供应商，不得参加同一合同项下的政府采购活动。</w:t>
      </w:r>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（2）为本采购项目提供整体设计、规范编制或者项目管理、监理、检测等服务的供应商，不得再参加本次采购活动。</w:t>
      </w:r>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61" w:name="_Toc6489"/>
      <w:bookmarkStart w:id="62" w:name="_Toc21357"/>
      <w:r>
        <w:rPr>
          <w:rFonts w:hint="eastAsia" w:ascii="宋体" w:hAnsi="宋体" w:cs="宋体"/>
          <w:b/>
          <w:color w:val="000000" w:themeColor="text1"/>
          <w:szCs w:val="21"/>
          <w14:textFill>
            <w14:solidFill>
              <w14:schemeClr w14:val="tx1"/>
            </w14:solidFill>
          </w14:textFill>
        </w:rPr>
        <w:t>10. 质疑和投诉</w:t>
      </w:r>
      <w:bookmarkEnd w:id="61"/>
      <w:bookmarkEnd w:id="62"/>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bookmarkStart w:id="63" w:name="_Toc26087"/>
      <w:bookmarkStart w:id="64" w:name="_Toc8195"/>
      <w:r>
        <w:rPr>
          <w:rFonts w:hint="eastAsia" w:ascii="宋体" w:hAnsi="宋体" w:cs="宋体"/>
          <w:color w:val="000000" w:themeColor="text1"/>
          <w:szCs w:val="21"/>
          <w14:textFill>
            <w14:solidFill>
              <w14:schemeClr w14:val="tx1"/>
            </w14:solidFill>
          </w14:textFill>
        </w:rPr>
        <w:t>10.1投标人认为招标文件使自己的合法权益受到损害的，应当在本项目招标公告期限届满之日起七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3"/>
      <w:bookmarkEnd w:id="64"/>
    </w:p>
    <w:p>
      <w:pPr>
        <w:snapToGrid w:val="0"/>
        <w:spacing w:line="440" w:lineRule="exact"/>
        <w:ind w:firstLine="420" w:firstLineChars="20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接收质疑函方式：以书面形式（原件）提交</w:t>
      </w:r>
    </w:p>
    <w:p>
      <w:pPr>
        <w:snapToGrid w:val="0"/>
        <w:spacing w:line="440" w:lineRule="exact"/>
        <w:ind w:firstLine="420" w:firstLineChars="20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质疑联系人：徐工，联系电话：0773-5625162</w:t>
      </w:r>
    </w:p>
    <w:p>
      <w:pPr>
        <w:tabs>
          <w:tab w:val="left" w:pos="2190"/>
        </w:tabs>
        <w:spacing w:line="420" w:lineRule="exact"/>
        <w:ind w:firstLine="435"/>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0"/>
          <w14:textFill>
            <w14:solidFill>
              <w14:schemeClr w14:val="tx1"/>
            </w14:solidFill>
          </w14:textFill>
        </w:rPr>
        <w:t>通讯地址：</w:t>
      </w:r>
      <w:r>
        <w:rPr>
          <w:rFonts w:hint="eastAsia" w:ascii="宋体" w:hAnsi="宋体" w:cs="宋体"/>
          <w:color w:val="000000" w:themeColor="text1"/>
          <w14:textFill>
            <w14:solidFill>
              <w14:schemeClr w14:val="tx1"/>
            </w14:solidFill>
          </w14:textFill>
        </w:rPr>
        <w:t>桂林市临桂区西城中路69号创业大厦西辅楼5楼574室</w:t>
      </w:r>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bookmarkStart w:id="65" w:name="_Toc5874"/>
      <w:bookmarkStart w:id="66" w:name="_Toc17981"/>
      <w:r>
        <w:rPr>
          <w:rFonts w:hint="eastAsia" w:ascii="宋体" w:hAnsi="宋体" w:cs="宋体"/>
          <w:color w:val="000000" w:themeColor="text1"/>
          <w:szCs w:val="21"/>
          <w14:textFill>
            <w14:solidFill>
              <w14:schemeClr w14:val="tx1"/>
            </w14:solidFill>
          </w14:textFill>
        </w:rPr>
        <w:t>10.2投标人对采购代理机构的答复不满意或者采购代理机构未在规定的时间内作出答复的，可以在答复期满后十五个工作日内向本级财政部门投诉。</w:t>
      </w:r>
      <w:bookmarkEnd w:id="65"/>
      <w:bookmarkEnd w:id="66"/>
    </w:p>
    <w:p>
      <w:pPr>
        <w:tabs>
          <w:tab w:val="left" w:pos="1635"/>
        </w:tabs>
        <w:spacing w:line="400" w:lineRule="exact"/>
        <w:ind w:firstLine="435"/>
        <w:rPr>
          <w:rFonts w:ascii="宋体" w:hAnsi="宋体" w:cs="宋体"/>
          <w:color w:val="000000" w:themeColor="text1"/>
          <w:szCs w:val="21"/>
          <w14:textFill>
            <w14:solidFill>
              <w14:schemeClr w14:val="tx1"/>
            </w14:solidFill>
          </w14:textFill>
        </w:rPr>
      </w:pPr>
      <w:bookmarkStart w:id="67" w:name="_Toc613"/>
      <w:bookmarkStart w:id="68" w:name="_Toc23108"/>
      <w:r>
        <w:rPr>
          <w:rFonts w:hint="eastAsia" w:ascii="宋体" w:hAnsi="宋体" w:cs="宋体"/>
          <w:color w:val="000000" w:themeColor="text1"/>
          <w:szCs w:val="21"/>
          <w14:textFill>
            <w14:solidFill>
              <w14:schemeClr w14:val="tx1"/>
            </w14:solidFill>
          </w14:textFill>
        </w:rPr>
        <w:t>10.3质疑、投诉应当采用书面形式，质疑书、投诉书实行实名制，均应明确阐述招标文件、招标过程或中标结果中使自己合法权益受到损害的实质性内容，并提供必要的证明材料。</w:t>
      </w:r>
      <w:bookmarkEnd w:id="67"/>
      <w:bookmarkEnd w:id="68"/>
    </w:p>
    <w:p>
      <w:pPr>
        <w:tabs>
          <w:tab w:val="left" w:pos="2190"/>
        </w:tabs>
        <w:spacing w:line="400" w:lineRule="exact"/>
        <w:ind w:firstLine="435"/>
        <w:rPr>
          <w:rFonts w:ascii="宋体" w:hAnsi="宋体" w:cs="宋体"/>
          <w:b/>
          <w:color w:val="000000" w:themeColor="text1"/>
          <w:szCs w:val="21"/>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69" w:name="_Toc495841755"/>
      <w:bookmarkStart w:id="70" w:name="_Toc26849"/>
      <w:bookmarkStart w:id="71" w:name="_Toc4234"/>
      <w:r>
        <w:rPr>
          <w:rFonts w:hint="eastAsia" w:ascii="宋体" w:hAnsi="宋体" w:cs="宋体"/>
          <w:b/>
          <w:color w:val="000000" w:themeColor="text1"/>
          <w:sz w:val="28"/>
          <w:szCs w:val="28"/>
          <w14:textFill>
            <w14:solidFill>
              <w14:schemeClr w14:val="tx1"/>
            </w14:solidFill>
          </w14:textFill>
        </w:rPr>
        <w:t>二、招标文件</w:t>
      </w:r>
      <w:bookmarkEnd w:id="69"/>
      <w:bookmarkEnd w:id="70"/>
      <w:bookmarkEnd w:id="71"/>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72" w:name="_Toc3397"/>
      <w:bookmarkStart w:id="73" w:name="_Toc25976"/>
      <w:r>
        <w:rPr>
          <w:rFonts w:hint="eastAsia" w:ascii="宋体" w:hAnsi="宋体" w:cs="宋体"/>
          <w:b/>
          <w:color w:val="000000" w:themeColor="text1"/>
          <w:szCs w:val="21"/>
          <w14:textFill>
            <w14:solidFill>
              <w14:schemeClr w14:val="tx1"/>
            </w14:solidFill>
          </w14:textFill>
        </w:rPr>
        <w:t>11. 招标文件的构成</w:t>
      </w:r>
      <w:bookmarkEnd w:id="72"/>
      <w:bookmarkEnd w:id="73"/>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（1）招标公告；</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（2）总则；</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（3）采购需求；</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（4）评标办法；</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（5）采购合同（合同主要条款及格式）；</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（6）投标文件（格式）。</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74" w:name="_Toc24191"/>
      <w:bookmarkStart w:id="75" w:name="_Toc18961"/>
      <w:r>
        <w:rPr>
          <w:rFonts w:hint="eastAsia" w:ascii="宋体" w:hAnsi="宋体" w:cs="宋体"/>
          <w:b/>
          <w:color w:val="000000" w:themeColor="text1"/>
          <w:szCs w:val="21"/>
          <w14:textFill>
            <w14:solidFill>
              <w14:schemeClr w14:val="tx1"/>
            </w14:solidFill>
          </w14:textFill>
        </w:rPr>
        <w:t>12. 招标文件的澄清与修改</w:t>
      </w:r>
      <w:bookmarkEnd w:id="74"/>
      <w:bookmarkEnd w:id="75"/>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12.1投标人应认真阅读招标文件，发现其中有误或有不合理要求的，投标人必须在招标公告期限届满之日起七个工作日内以书面形式要求采购代理机构澄清。</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12.3</w:t>
      </w:r>
      <w:r>
        <w:rPr>
          <w:rFonts w:hint="eastAsia" w:ascii="宋体" w:hAnsi="宋体" w:cs="宋体"/>
          <w:b/>
          <w:color w:val="000000" w:themeColor="text1"/>
          <w:szCs w:val="21"/>
          <w14:textFill>
            <w14:solidFill>
              <w14:schemeClr w14:val="tx1"/>
            </w14:solidFill>
          </w14:textFill>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12.4必要的澄清、修改的内容为招标文件的组成部分。当澄清、修改通知就同一内容的表述不一致时，以最后发出的书面文件为准。</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12.5招标文件的澄清、修改都应该通过采购代理机构以法定形式发布，采购人非通过本机构，不得擅自澄清、修改招标文件。</w:t>
      </w:r>
    </w:p>
    <w:p>
      <w:pPr>
        <w:tabs>
          <w:tab w:val="left" w:pos="2190"/>
        </w:tabs>
        <w:spacing w:line="400" w:lineRule="exact"/>
        <w:ind w:firstLine="435"/>
        <w:rPr>
          <w:rFonts w:ascii="宋体" w:hAnsi="宋体" w:cs="宋体"/>
          <w:color w:val="000000" w:themeColor="text1"/>
          <w:szCs w:val="21"/>
          <w14:textFill>
            <w14:solidFill>
              <w14:schemeClr w14:val="tx1"/>
            </w14:solidFill>
          </w14:textFill>
        </w:rPr>
      </w:pPr>
    </w:p>
    <w:p>
      <w:pPr>
        <w:spacing w:line="360" w:lineRule="auto"/>
        <w:jc w:val="center"/>
        <w:outlineLvl w:val="1"/>
        <w:rPr>
          <w:rFonts w:ascii="宋体" w:hAnsi="宋体" w:cs="宋体"/>
          <w:b/>
          <w:color w:val="000000" w:themeColor="text1"/>
          <w:szCs w:val="21"/>
          <w14:textFill>
            <w14:solidFill>
              <w14:schemeClr w14:val="tx1"/>
            </w14:solidFill>
          </w14:textFill>
        </w:rPr>
      </w:pPr>
      <w:bookmarkStart w:id="76" w:name="_Toc7631"/>
      <w:bookmarkStart w:id="77" w:name="_Toc495841756"/>
      <w:bookmarkStart w:id="78" w:name="_Toc6540"/>
      <w:r>
        <w:rPr>
          <w:rFonts w:hint="eastAsia" w:ascii="宋体" w:hAnsi="宋体" w:cs="宋体"/>
          <w:b/>
          <w:color w:val="000000" w:themeColor="text1"/>
          <w:szCs w:val="21"/>
          <w14:textFill>
            <w14:solidFill>
              <w14:schemeClr w14:val="tx1"/>
            </w14:solidFill>
          </w14:textFill>
        </w:rPr>
        <w:t>三、投标文件的编制</w:t>
      </w:r>
      <w:bookmarkEnd w:id="76"/>
      <w:bookmarkEnd w:id="77"/>
      <w:bookmarkEnd w:id="78"/>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79" w:name="_Toc15443"/>
      <w:bookmarkStart w:id="80" w:name="_Toc31992"/>
      <w:r>
        <w:rPr>
          <w:rFonts w:hint="eastAsia" w:ascii="宋体" w:hAnsi="宋体" w:cs="宋体"/>
          <w:b/>
          <w:color w:val="000000" w:themeColor="text1"/>
          <w:szCs w:val="21"/>
          <w14:textFill>
            <w14:solidFill>
              <w14:schemeClr w14:val="tx1"/>
            </w14:solidFill>
          </w14:textFill>
        </w:rPr>
        <w:t>13. 投标文件的组成及要求</w:t>
      </w:r>
      <w:bookmarkEnd w:id="79"/>
      <w:bookmarkEnd w:id="80"/>
    </w:p>
    <w:p>
      <w:pPr>
        <w:tabs>
          <w:tab w:val="left" w:pos="2190"/>
        </w:tabs>
        <w:spacing w:line="400" w:lineRule="exact"/>
        <w:ind w:firstLine="435"/>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13.1</w:t>
      </w:r>
      <w:r>
        <w:rPr>
          <w:rFonts w:hint="eastAsia" w:ascii="宋体" w:hAnsi="宋体" w:cs="宋体"/>
          <w:b/>
          <w:color w:val="000000" w:themeColor="text1"/>
          <w:szCs w:val="21"/>
          <w14:textFill>
            <w14:solidFill>
              <w14:schemeClr w14:val="tx1"/>
            </w14:solidFill>
          </w14:textFill>
        </w:rPr>
        <w:t>投标文件组成【格式见第六章“投标文件（格式）”】</w:t>
      </w:r>
    </w:p>
    <w:p>
      <w:pPr>
        <w:tabs>
          <w:tab w:val="left" w:pos="1305"/>
        </w:tabs>
        <w:spacing w:line="400" w:lineRule="exact"/>
        <w:ind w:firstLine="422" w:firstLineChars="200"/>
        <w:rPr>
          <w:rFonts w:ascii="宋体" w:hAnsi="宋体" w:cs="宋体"/>
          <w:b/>
          <w:color w:val="000000" w:themeColor="text1"/>
          <w:szCs w:val="21"/>
          <w:u w:val="single"/>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13.1.1</w:t>
      </w:r>
      <w:r>
        <w:rPr>
          <w:rFonts w:hint="eastAsia" w:ascii="宋体" w:hAnsi="宋体" w:cs="宋体"/>
          <w:b/>
          <w:color w:val="000000" w:themeColor="text1"/>
          <w:szCs w:val="21"/>
          <w:u w:val="single"/>
          <w14:textFill>
            <w14:solidFill>
              <w14:schemeClr w14:val="tx1"/>
            </w14:solidFill>
          </w14:textFill>
        </w:rPr>
        <w:t>投标报价表（格式见附件）</w:t>
      </w:r>
    </w:p>
    <w:p>
      <w:pPr>
        <w:tabs>
          <w:tab w:val="left" w:pos="1305"/>
        </w:tabs>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13.1.2资格性响应证明材料：</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（1）投标人相应的</w:t>
      </w:r>
      <w:r>
        <w:rPr>
          <w:rFonts w:hint="eastAsia" w:hAnsi="宋体"/>
          <w:color w:val="000000" w:themeColor="text1"/>
          <w14:textFill>
            <w14:solidFill>
              <w14:schemeClr w14:val="tx1"/>
            </w14:solidFill>
          </w14:textFill>
        </w:rPr>
        <w:t>法定代表人</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w:t>
      </w:r>
      <w:r>
        <w:rPr>
          <w:rFonts w:hint="eastAsia" w:ascii="宋体" w:hAnsi="宋体" w:cs="宋体"/>
          <w:color w:val="000000" w:themeColor="text1"/>
          <w:szCs w:val="21"/>
          <w14:textFill>
            <w14:solidFill>
              <w14:schemeClr w14:val="tx1"/>
            </w14:solidFill>
          </w14:textFill>
        </w:rPr>
        <w:t>身份证正反面复印件</w:t>
      </w:r>
      <w:r>
        <w:rPr>
          <w:rFonts w:hint="eastAsia" w:ascii="宋体" w:hAnsi="宋体" w:cs="宋体"/>
          <w:b/>
          <w:bCs/>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cs="宋体"/>
          <w:b/>
          <w:color w:val="000000" w:themeColor="text1"/>
          <w:szCs w:val="21"/>
          <w14:textFill>
            <w14:solidFill>
              <w14:schemeClr w14:val="tx1"/>
            </w14:solidFill>
          </w14:textFill>
        </w:rPr>
        <w:t>（委托代理时必须提供）；</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cs="宋体"/>
          <w:b/>
          <w:color w:val="000000" w:themeColor="text1"/>
          <w:szCs w:val="21"/>
          <w14:textFill>
            <w14:solidFill>
              <w14:schemeClr w14:val="tx1"/>
            </w14:solidFill>
          </w14:textFill>
        </w:rPr>
        <w:t>（必须提供，自然人除外）</w:t>
      </w:r>
      <w:r>
        <w:rPr>
          <w:rFonts w:hint="eastAsia" w:ascii="宋体" w:hAnsi="宋体" w:cs="宋体"/>
          <w:color w:val="000000" w:themeColor="text1"/>
          <w:szCs w:val="21"/>
          <w14:textFill>
            <w14:solidFill>
              <w14:schemeClr w14:val="tx1"/>
            </w14:solidFill>
          </w14:textFill>
        </w:rPr>
        <w:t>；</w:t>
      </w:r>
    </w:p>
    <w:p>
      <w:pPr>
        <w:tabs>
          <w:tab w:val="left" w:pos="1305"/>
        </w:tabs>
        <w:spacing w:line="400" w:lineRule="exact"/>
        <w:ind w:firstLine="422"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b/>
          <w:color w:val="000000" w:themeColor="text1"/>
          <w:szCs w:val="21"/>
          <w:u w:val="single"/>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2"/>
        </w:num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numPr>
          <w:ilvl w:val="0"/>
          <w:numId w:val="2"/>
        </w:num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cs="宋体"/>
          <w:b/>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numPr>
          <w:ilvl w:val="0"/>
          <w:numId w:val="2"/>
        </w:num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供应商近半年内任意一个月或任一季度依法缴纳税收的证明材料（增值税发票或企业所得税完税证明或税务部门出具的免税证明）复印件</w:t>
      </w:r>
      <w:r>
        <w:rPr>
          <w:rFonts w:hint="eastAsia" w:ascii="宋体" w:hAnsi="宋体" w:cs="宋体"/>
          <w:b/>
          <w:bCs/>
          <w:color w:val="000000" w:themeColor="text1"/>
          <w:szCs w:val="21"/>
          <w14:textFill>
            <w14:solidFill>
              <w14:schemeClr w14:val="tx1"/>
            </w14:solidFill>
          </w14:textFill>
        </w:rPr>
        <w:t>（必须提供）；</w:t>
      </w:r>
    </w:p>
    <w:p>
      <w:pPr>
        <w:tabs>
          <w:tab w:val="left" w:pos="1305"/>
        </w:tabs>
        <w:spacing w:line="400" w:lineRule="exact"/>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13.1.3商务、技术性响应及其他证明材料：</w:t>
      </w:r>
    </w:p>
    <w:p>
      <w:pPr>
        <w:numPr>
          <w:ilvl w:val="0"/>
          <w:numId w:val="3"/>
        </w:num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技术规格偏离表</w:t>
      </w:r>
      <w:r>
        <w:rPr>
          <w:rFonts w:hint="eastAsia" w:ascii="宋体" w:hAnsi="宋体" w:cs="宋体"/>
          <w:b/>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numPr>
          <w:ilvl w:val="0"/>
          <w:numId w:val="3"/>
        </w:num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商务响应表</w:t>
      </w:r>
      <w:r>
        <w:rPr>
          <w:rFonts w:hint="eastAsia" w:ascii="宋体" w:hAnsi="宋体" w:cs="宋体"/>
          <w:b/>
          <w:color w:val="000000" w:themeColor="text1"/>
          <w:szCs w:val="21"/>
          <w14:textFill>
            <w14:solidFill>
              <w14:schemeClr w14:val="tx1"/>
            </w14:solidFill>
          </w14:textFill>
        </w:rPr>
        <w:t>（必须提供）；</w:t>
      </w:r>
    </w:p>
    <w:p>
      <w:pPr>
        <w:spacing w:line="360" w:lineRule="auto"/>
        <w:ind w:left="420" w:leftChars="200"/>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（3）服务承诺书（由供应商根据本项目服务采购需求、特点及供应商自身的处理能力自行编写，承诺书内容至少应包括“服务采购需求”中的所有服务条款）（格式见附件）</w:t>
      </w:r>
      <w:r>
        <w:rPr>
          <w:rFonts w:hint="eastAsia" w:ascii="宋体" w:hAnsi="宋体" w:cs="宋体"/>
          <w:b/>
          <w:bCs/>
          <w:color w:val="000000" w:themeColor="text1"/>
          <w:szCs w:val="21"/>
          <w14:textFill>
            <w14:solidFill>
              <w14:schemeClr w14:val="tx1"/>
            </w14:solidFill>
          </w14:textFill>
        </w:rPr>
        <w:t>（必须提供）；</w:t>
      </w:r>
    </w:p>
    <w:p>
      <w:pPr>
        <w:pStyle w:val="2"/>
        <w:ind w:left="420" w:left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（4）“服务采购需求”需提供的有效证明文件</w:t>
      </w:r>
      <w:r>
        <w:rPr>
          <w:rFonts w:hint="eastAsia" w:ascii="宋体" w:hAnsi="宋体" w:eastAsia="宋体" w:cs="宋体"/>
          <w:b/>
          <w:color w:val="000000" w:themeColor="text1"/>
          <w:sz w:val="21"/>
          <w:szCs w:val="21"/>
          <w14:textFill>
            <w14:solidFill>
              <w14:schemeClr w14:val="tx1"/>
            </w14:solidFill>
          </w14:textFill>
        </w:rPr>
        <w:t>（按其要求提供）</w:t>
      </w:r>
      <w:r>
        <w:rPr>
          <w:rFonts w:hint="eastAsia" w:ascii="宋体" w:hAnsi="宋体" w:eastAsia="宋体" w:cs="宋体"/>
          <w:color w:val="000000" w:themeColor="text1"/>
          <w:sz w:val="21"/>
          <w:szCs w:val="21"/>
          <w14:textFill>
            <w14:solidFill>
              <w14:schemeClr w14:val="tx1"/>
            </w14:solidFill>
          </w14:textFill>
        </w:rPr>
        <w:t>；</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（5）针对本项目的服务方案</w:t>
      </w:r>
      <w:r>
        <w:rPr>
          <w:rFonts w:hint="eastAsia" w:ascii="宋体" w:hAnsi="宋体" w:cs="宋体"/>
          <w:b/>
          <w:bCs/>
          <w:color w:val="000000" w:themeColor="text1"/>
          <w:szCs w:val="21"/>
          <w14:textFill>
            <w14:solidFill>
              <w14:schemeClr w14:val="tx1"/>
            </w14:solidFill>
          </w14:textFill>
        </w:rPr>
        <w:t>（如有请提供）</w:t>
      </w:r>
      <w:r>
        <w:rPr>
          <w:rFonts w:hint="eastAsia" w:ascii="宋体" w:hAnsi="宋体" w:cs="宋体"/>
          <w:color w:val="000000" w:themeColor="text1"/>
          <w:szCs w:val="21"/>
          <w14:textFill>
            <w14:solidFill>
              <w14:schemeClr w14:val="tx1"/>
            </w14:solidFill>
          </w14:textFill>
        </w:rPr>
        <w:t>。</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（6）项目实施人员一览表</w:t>
      </w:r>
      <w:r>
        <w:rPr>
          <w:rFonts w:hint="eastAsia" w:ascii="宋体" w:hAnsi="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（7）投标人相关获奖证书、认证证书等复印件</w:t>
      </w:r>
      <w:r>
        <w:rPr>
          <w:rFonts w:hint="eastAsia" w:ascii="宋体" w:hAnsi="宋体" w:cs="宋体"/>
          <w:b/>
          <w:color w:val="000000" w:themeColor="text1"/>
          <w:szCs w:val="21"/>
          <w14:textFill>
            <w14:solidFill>
              <w14:schemeClr w14:val="tx1"/>
            </w14:solidFill>
          </w14:textFill>
        </w:rPr>
        <w:t>（如有，请提供）</w:t>
      </w:r>
      <w:r>
        <w:rPr>
          <w:rFonts w:hint="eastAsia" w:ascii="宋体" w:hAnsi="宋体" w:cs="宋体"/>
          <w:color w:val="000000" w:themeColor="text1"/>
          <w:szCs w:val="21"/>
          <w14:textFill>
            <w14:solidFill>
              <w14:schemeClr w14:val="tx1"/>
            </w14:solidFill>
          </w14:textFill>
        </w:rPr>
        <w:t>；</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000000" w:themeColor="text1"/>
          <w:szCs w:val="21"/>
          <w14:textFill>
            <w14:solidFill>
              <w14:schemeClr w14:val="tx1"/>
            </w14:solidFill>
          </w14:textFill>
        </w:rPr>
        <w:t>（如有，请提供）</w:t>
      </w:r>
      <w:r>
        <w:rPr>
          <w:rFonts w:hint="eastAsia" w:ascii="宋体" w:hAnsi="宋体" w:cs="宋体"/>
          <w:color w:val="000000" w:themeColor="text1"/>
          <w:szCs w:val="21"/>
          <w14:textFill>
            <w14:solidFill>
              <w14:schemeClr w14:val="tx1"/>
            </w14:solidFill>
          </w14:textFill>
        </w:rPr>
        <w:t>；</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（9）如产品属于监狱企业的，以提供由省级以上监狱管理局、戒毒管理局（含新疆生产建设兵团）出具的属于监狱企业的证明文件为准</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如有，请提供</w:t>
      </w:r>
      <w:r>
        <w:rPr>
          <w:rFonts w:hint="eastAsia" w:ascii="宋体" w:hAnsi="宋体" w:cs="宋体"/>
          <w:color w:val="000000" w:themeColor="text1"/>
          <w:kern w:val="0"/>
          <w:szCs w:val="21"/>
          <w14:textFill>
            <w14:solidFill>
              <w14:schemeClr w14:val="tx1"/>
            </w14:solidFill>
          </w14:textFill>
        </w:rPr>
        <w:t>）；</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（10）符合条件的残疾人福利性单位在参加政府采购活动时，应当提供《残疾人福利性单位声明函》（见附件），并对声明的真实性负责。</w:t>
      </w:r>
      <w:r>
        <w:rPr>
          <w:rFonts w:hint="eastAsia" w:ascii="宋体" w:hAnsi="宋体" w:cs="宋体"/>
          <w:b/>
          <w:bCs/>
          <w:color w:val="000000" w:themeColor="text1"/>
          <w:szCs w:val="21"/>
          <w14:textFill>
            <w14:solidFill>
              <w14:schemeClr w14:val="tx1"/>
            </w14:solidFill>
          </w14:textFill>
        </w:rPr>
        <w:t>（如有，请提供）</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（11）投标人可结合本项目的评标办法视自身情况自行提交相关证明材料</w:t>
      </w:r>
      <w:r>
        <w:rPr>
          <w:rFonts w:hint="eastAsia" w:ascii="宋体" w:hAnsi="宋体" w:cs="宋体"/>
          <w:b/>
          <w:color w:val="000000" w:themeColor="text1"/>
          <w:szCs w:val="21"/>
          <w14:textFill>
            <w14:solidFill>
              <w14:schemeClr w14:val="tx1"/>
            </w14:solidFill>
          </w14:textFill>
        </w:rPr>
        <w:t>（如有，请提供）</w:t>
      </w:r>
      <w:r>
        <w:rPr>
          <w:rFonts w:hint="eastAsia" w:ascii="宋体" w:hAnsi="宋体" w:cs="宋体"/>
          <w:color w:val="000000" w:themeColor="text1"/>
          <w:szCs w:val="21"/>
          <w14:textFill>
            <w14:solidFill>
              <w14:schemeClr w14:val="tx1"/>
            </w14:solidFill>
          </w14:textFill>
        </w:rPr>
        <w:t>。</w:t>
      </w:r>
    </w:p>
    <w:p>
      <w:pPr>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投标人提供的以上相关证明材料应真实有效，属于“必须提供”的文件应加盖投标人公章（扫描公章无效，自然人除外），否则投标无效。</w:t>
      </w:r>
    </w:p>
    <w:p>
      <w:pPr>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13.2投标人应按招标文件第六章“投标文件（格式）”编制投标文件。</w:t>
      </w:r>
    </w:p>
    <w:p>
      <w:pPr>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13.3投标文件应当对招标文件提出的要求和条件作出明确响应。</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81" w:name="_Toc11037"/>
      <w:bookmarkStart w:id="82" w:name="_Toc16398"/>
      <w:r>
        <w:rPr>
          <w:rFonts w:hint="eastAsia" w:ascii="宋体" w:hAnsi="宋体" w:cs="宋体"/>
          <w:b/>
          <w:color w:val="000000" w:themeColor="text1"/>
          <w:szCs w:val="21"/>
          <w14:textFill>
            <w14:solidFill>
              <w14:schemeClr w14:val="tx1"/>
            </w14:solidFill>
          </w14:textFill>
        </w:rPr>
        <w:t>14. 投标文件的语言及计量</w:t>
      </w:r>
      <w:bookmarkEnd w:id="81"/>
      <w:bookmarkEnd w:id="82"/>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14.2投标计量单位，招标文件已有明确规定的，使用招标文件规定的计量单位；招标文件没有规定的，应采用中华人民共和国法定计量单位（货币单位：元人民币），否则视同未响应。</w:t>
      </w:r>
    </w:p>
    <w:p>
      <w:pPr>
        <w:numPr>
          <w:ilvl w:val="0"/>
          <w:numId w:val="4"/>
        </w:num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83" w:name="_Toc8372"/>
      <w:bookmarkStart w:id="84" w:name="_Toc17896"/>
      <w:r>
        <w:rPr>
          <w:rFonts w:hint="eastAsia" w:ascii="宋体" w:hAnsi="宋体" w:cs="宋体"/>
          <w:b/>
          <w:color w:val="000000" w:themeColor="text1"/>
          <w:szCs w:val="21"/>
          <w14:textFill>
            <w14:solidFill>
              <w14:schemeClr w14:val="tx1"/>
            </w14:solidFill>
          </w14:textFill>
        </w:rPr>
        <w:t>投标报价</w:t>
      </w:r>
      <w:bookmarkEnd w:id="83"/>
      <w:bookmarkEnd w:id="84"/>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15.1投标报价应按招标文件中第六章“投标文件（格式）”填写，投标报价超过采购预算金额的，投标文件按无效处理。</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15.2投标人必须就“服务采购需求”中所投的所有内容作完整唯一报价，否则，其投标将被拒绝；投标文件只允许有一个报价，有选择的或有条件的报价将不予接受。</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15.3投标报价应包括本次招标采购范围内服务价款、服务随配标准附件、包装、运输、装卸、保险、税金、服务到位以及安装、安装所需辅材、调试、检验、售后服务、培训、保修及其他所有成本费用的总和，投标人应综合考虑在报价中。</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85" w:name="_Toc22333"/>
      <w:bookmarkStart w:id="86" w:name="_Toc16759"/>
      <w:r>
        <w:rPr>
          <w:rFonts w:hint="eastAsia" w:ascii="宋体" w:hAnsi="宋体" w:cs="宋体"/>
          <w:b/>
          <w:color w:val="000000" w:themeColor="text1"/>
          <w:szCs w:val="21"/>
          <w14:textFill>
            <w14:solidFill>
              <w14:schemeClr w14:val="tx1"/>
            </w14:solidFill>
          </w14:textFill>
        </w:rPr>
        <w:t>16. 投标有效期</w:t>
      </w:r>
      <w:bookmarkEnd w:id="85"/>
      <w:bookmarkEnd w:id="86"/>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16.1投标有效期：投标截止时间之日起90天。</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87" w:name="_Toc5668"/>
      <w:bookmarkStart w:id="88" w:name="_Toc30757"/>
      <w:r>
        <w:rPr>
          <w:rFonts w:hint="eastAsia" w:ascii="宋体" w:hAnsi="宋体" w:cs="宋体"/>
          <w:b/>
          <w:color w:val="000000" w:themeColor="text1"/>
          <w:szCs w:val="21"/>
          <w14:textFill>
            <w14:solidFill>
              <w14:schemeClr w14:val="tx1"/>
            </w14:solidFill>
          </w14:textFill>
        </w:rPr>
        <w:t>17. 投标保证金</w:t>
      </w:r>
      <w:bookmarkEnd w:id="87"/>
      <w:bookmarkEnd w:id="88"/>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本项目无需缴纳投标保证金。</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89" w:name="_Toc30873"/>
      <w:bookmarkStart w:id="90" w:name="_Toc9722"/>
      <w:r>
        <w:rPr>
          <w:rFonts w:hint="eastAsia" w:ascii="宋体" w:hAnsi="宋体" w:cs="宋体"/>
          <w:b/>
          <w:color w:val="000000" w:themeColor="text1"/>
          <w:szCs w:val="21"/>
          <w14:textFill>
            <w14:solidFill>
              <w14:schemeClr w14:val="tx1"/>
            </w14:solidFill>
          </w14:textFill>
        </w:rPr>
        <w:t>18. 投标文件的份数、装订、签署和包装、密封</w:t>
      </w:r>
      <w:bookmarkEnd w:id="89"/>
      <w:bookmarkEnd w:id="90"/>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18.1</w:t>
      </w:r>
      <w:r>
        <w:rPr>
          <w:rFonts w:hint="eastAsia" w:ascii="宋体" w:hAnsi="宋体" w:cs="宋体"/>
          <w:b/>
          <w:color w:val="000000" w:themeColor="text1"/>
          <w:szCs w:val="21"/>
          <w14:textFill>
            <w14:solidFill>
              <w14:schemeClr w14:val="tx1"/>
            </w14:solidFill>
          </w14:textFill>
        </w:rPr>
        <w:t>投标文件份数：</w:t>
      </w:r>
      <w:r>
        <w:rPr>
          <w:rFonts w:hint="eastAsia" w:ascii="宋体" w:hAnsi="宋体" w:cs="宋体"/>
          <w:color w:val="000000" w:themeColor="text1"/>
          <w:szCs w:val="21"/>
          <w14:textFill>
            <w14:solidFill>
              <w14:schemeClr w14:val="tx1"/>
            </w14:solidFill>
          </w14:textFill>
        </w:rPr>
        <w:t>正本壹册，副本肆册，须完整提交。</w:t>
      </w:r>
    </w:p>
    <w:p>
      <w:pPr>
        <w:tabs>
          <w:tab w:val="left" w:pos="1305"/>
          <w:tab w:val="center" w:pos="5029"/>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18.2</w:t>
      </w:r>
      <w:r>
        <w:rPr>
          <w:rFonts w:hint="eastAsia" w:ascii="宋体" w:hAnsi="宋体" w:cs="宋体"/>
          <w:b/>
          <w:color w:val="000000" w:themeColor="text1"/>
          <w:szCs w:val="21"/>
          <w14:textFill>
            <w14:solidFill>
              <w14:schemeClr w14:val="tx1"/>
            </w14:solidFill>
          </w14:textFill>
        </w:rPr>
        <w:t>投标文件装订：</w:t>
      </w:r>
      <w:r>
        <w:rPr>
          <w:rFonts w:hint="eastAsia" w:ascii="宋体" w:hAnsi="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18.4投标文件须由投标人在规定位置盖投标人公章</w:t>
      </w:r>
      <w:r>
        <w:rPr>
          <w:rFonts w:hint="eastAsia" w:ascii="宋体" w:hAnsi="宋体" w:cs="宋体"/>
          <w:bCs/>
          <w:color w:val="000000" w:themeColor="text1"/>
          <w:szCs w:val="21"/>
          <w14:textFill>
            <w14:solidFill>
              <w14:schemeClr w14:val="tx1"/>
            </w14:solidFill>
          </w14:textFill>
        </w:rPr>
        <w:t>（扫描公章无效）</w:t>
      </w:r>
      <w:r>
        <w:rPr>
          <w:rFonts w:hint="eastAsia" w:ascii="宋体" w:hAnsi="宋体" w:cs="宋体"/>
          <w:color w:val="000000" w:themeColor="text1"/>
          <w:szCs w:val="21"/>
          <w14:textFill>
            <w14:solidFill>
              <w14:schemeClr w14:val="tx1"/>
            </w14:solidFill>
          </w14:textFill>
        </w:rPr>
        <w:t>并由</w:t>
      </w:r>
      <w:r>
        <w:rPr>
          <w:rFonts w:hint="eastAsia" w:hAnsi="宋体"/>
          <w:color w:val="000000" w:themeColor="text1"/>
          <w14:textFill>
            <w14:solidFill>
              <w14:schemeClr w14:val="tx1"/>
            </w14:solidFill>
          </w14:textFill>
        </w:rPr>
        <w:t>法定代表人</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w:t>
      </w:r>
      <w:r>
        <w:rPr>
          <w:rFonts w:hint="eastAsia" w:ascii="宋体" w:hAnsi="宋体" w:cs="宋体"/>
          <w:color w:val="000000" w:themeColor="text1"/>
          <w:szCs w:val="21"/>
          <w14:textFill>
            <w14:solidFill>
              <w14:schemeClr w14:val="tx1"/>
            </w14:solidFill>
          </w14:textFill>
        </w:rPr>
        <w:t>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18.5投标文件不得涂改，若有修改错漏处，须加盖投标人公章及</w:t>
      </w:r>
      <w:r>
        <w:rPr>
          <w:rFonts w:hint="eastAsia" w:hAnsi="宋体"/>
          <w:color w:val="000000" w:themeColor="text1"/>
          <w14:textFill>
            <w14:solidFill>
              <w14:schemeClr w14:val="tx1"/>
            </w14:solidFill>
          </w14:textFill>
        </w:rPr>
        <w:t>法定代表人</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w:t>
      </w:r>
      <w:r>
        <w:rPr>
          <w:rFonts w:hint="eastAsia" w:ascii="宋体" w:hAnsi="宋体" w:cs="宋体"/>
          <w:color w:val="000000" w:themeColor="text1"/>
          <w:szCs w:val="21"/>
          <w14:textFill>
            <w14:solidFill>
              <w14:schemeClr w14:val="tx1"/>
            </w14:solidFill>
          </w14:textFill>
        </w:rPr>
        <w:t>或相应的授权委托代理人签字。投标文件因字迹潦草或表达不清所引起的后果由投标人负责。</w:t>
      </w:r>
    </w:p>
    <w:p>
      <w:pPr>
        <w:tabs>
          <w:tab w:val="left" w:pos="1305"/>
        </w:tabs>
        <w:spacing w:line="40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18.6</w:t>
      </w:r>
      <w:r>
        <w:rPr>
          <w:rFonts w:hint="eastAsia" w:ascii="宋体" w:hAnsi="宋体" w:cs="宋体"/>
          <w:b/>
          <w:color w:val="000000" w:themeColor="text1"/>
          <w:szCs w:val="21"/>
          <w14:textFill>
            <w14:solidFill>
              <w14:schemeClr w14:val="tx1"/>
            </w14:solidFill>
          </w14:textFill>
        </w:rPr>
        <w:t>投标人公章：</w:t>
      </w:r>
      <w:r>
        <w:rPr>
          <w:rFonts w:hint="eastAsia" w:ascii="宋体" w:hAnsi="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18.7</w:t>
      </w:r>
      <w:r>
        <w:rPr>
          <w:rFonts w:hint="eastAsia" w:ascii="宋体" w:hAnsi="宋体" w:cs="宋体"/>
          <w:b/>
          <w:color w:val="000000" w:themeColor="text1"/>
          <w:szCs w:val="21"/>
          <w14:textFill>
            <w14:solidFill>
              <w14:schemeClr w14:val="tx1"/>
            </w14:solidFill>
          </w14:textFill>
        </w:rPr>
        <w:t>投标文件包装、密封：</w:t>
      </w:r>
      <w:r>
        <w:rPr>
          <w:rFonts w:hint="eastAsia" w:ascii="宋体" w:hAnsi="宋体" w:cs="宋体"/>
          <w:color w:val="000000" w:themeColor="text1"/>
          <w:szCs w:val="21"/>
          <w14:textFill>
            <w14:solidFill>
              <w14:schemeClr w14:val="tx1"/>
            </w14:solidFill>
          </w14:textFill>
        </w:rPr>
        <w:t>将投标文件“正本”、“副本”一并装入并密封在一个投标文件袋（盒、箱）中，并在密封处密封签章【</w:t>
      </w:r>
      <w:r>
        <w:rPr>
          <w:rFonts w:hint="eastAsia" w:ascii="宋体" w:hAnsi="宋体" w:cs="宋体"/>
          <w:b/>
          <w:color w:val="000000" w:themeColor="text1"/>
          <w:szCs w:val="21"/>
          <w14:textFill>
            <w14:solidFill>
              <w14:schemeClr w14:val="tx1"/>
            </w14:solidFill>
          </w14:textFill>
        </w:rPr>
        <w:t>公章、密封章、法定代表人、负责人或相应的授权委托代理人签字均可</w:t>
      </w:r>
      <w:r>
        <w:rPr>
          <w:rFonts w:hint="eastAsia" w:ascii="宋体" w:hAnsi="宋体" w:cs="宋体"/>
          <w:color w:val="000000" w:themeColor="text1"/>
          <w:szCs w:val="21"/>
          <w14:textFill>
            <w14:solidFill>
              <w14:schemeClr w14:val="tx1"/>
            </w14:solidFill>
          </w14:textFill>
        </w:rPr>
        <w:t>】。</w:t>
      </w:r>
    </w:p>
    <w:p>
      <w:pPr>
        <w:spacing w:line="40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18.8</w:t>
      </w:r>
      <w:r>
        <w:rPr>
          <w:rFonts w:hint="eastAsia" w:ascii="宋体" w:hAnsi="宋体" w:cs="宋体"/>
          <w:b/>
          <w:color w:val="000000" w:themeColor="text1"/>
          <w:szCs w:val="21"/>
          <w14:textFill>
            <w14:solidFill>
              <w14:schemeClr w14:val="tx1"/>
            </w14:solidFill>
          </w14:textFill>
        </w:rPr>
        <w:t>投标文件袋（盒、箱）标记：</w:t>
      </w:r>
    </w:p>
    <w:p>
      <w:pPr>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项目名称：桂林市公安局临桂业务技术大楼物业管理</w:t>
      </w:r>
    </w:p>
    <w:p>
      <w:pPr>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项目编号：GLZC2020-G3-990561-JCZX</w:t>
      </w:r>
    </w:p>
    <w:p>
      <w:pPr>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采购代理机构：桂林市政府集中采购中心</w:t>
      </w:r>
    </w:p>
    <w:p>
      <w:pPr>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投标单位名称：</w:t>
      </w:r>
    </w:p>
    <w:p>
      <w:pPr>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在2021年1月</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日上午9时30分前不得开启（此处填写截标时间）</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91" w:name="_Toc24490"/>
      <w:bookmarkStart w:id="92" w:name="_Toc32013"/>
      <w:r>
        <w:rPr>
          <w:rFonts w:hint="eastAsia" w:ascii="宋体" w:hAnsi="宋体" w:cs="宋体"/>
          <w:b/>
          <w:color w:val="000000" w:themeColor="text1"/>
          <w:szCs w:val="21"/>
          <w14:textFill>
            <w14:solidFill>
              <w14:schemeClr w14:val="tx1"/>
            </w14:solidFill>
          </w14:textFill>
        </w:rPr>
        <w:t>19. 投标文件的补充、修改和撤回</w:t>
      </w:r>
      <w:bookmarkEnd w:id="91"/>
      <w:bookmarkEnd w:id="92"/>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93" w:name="_Toc31572"/>
      <w:bookmarkStart w:id="94" w:name="_Toc5009"/>
      <w:r>
        <w:rPr>
          <w:rFonts w:hint="eastAsia" w:ascii="宋体" w:hAnsi="宋体" w:cs="宋体"/>
          <w:b/>
          <w:color w:val="000000" w:themeColor="text1"/>
          <w:szCs w:val="21"/>
          <w14:textFill>
            <w14:solidFill>
              <w14:schemeClr w14:val="tx1"/>
            </w14:solidFill>
          </w14:textFill>
        </w:rPr>
        <w:t>20. 投标文件的递交</w:t>
      </w:r>
      <w:bookmarkEnd w:id="93"/>
      <w:bookmarkEnd w:id="94"/>
    </w:p>
    <w:p>
      <w:pPr>
        <w:tabs>
          <w:tab w:val="left" w:pos="7200"/>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20.1投标截止时间：2021年1月</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日9时30分。</w:t>
      </w:r>
    </w:p>
    <w:p>
      <w:pPr>
        <w:tabs>
          <w:tab w:val="left" w:pos="7200"/>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20.2投标文件递交：投标人应于2021年1月</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日上午9时00分至2021年1月</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日上午9时30分止</w:t>
      </w:r>
      <w:r>
        <w:rPr>
          <w:rFonts w:hint="eastAsia" w:ascii="宋体" w:hAnsi="宋体" w:cs="宋体"/>
          <w:b/>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将投标文件密封提交至桂林市公共资源交易中心（广西桂林市临桂区西城中路69号创业大厦西辅楼4楼）</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lang w:eastAsia="zh-CN"/>
          <w14:textFill>
            <w14:solidFill>
              <w14:schemeClr w14:val="tx1"/>
            </w14:solidFill>
          </w14:textFill>
        </w:rPr>
        <w:t>号开标室</w:t>
      </w:r>
      <w:r>
        <w:rPr>
          <w:rFonts w:hint="eastAsia" w:ascii="宋体" w:hAnsi="宋体" w:cs="宋体"/>
          <w:color w:val="000000" w:themeColor="text1"/>
          <w:szCs w:val="21"/>
          <w14:textFill>
            <w14:solidFill>
              <w14:schemeClr w14:val="tx1"/>
            </w14:solidFill>
          </w14:textFill>
        </w:rPr>
        <w:t>，逾期送达的或未送达指定地点的投标文件将予以拒收。</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20.3除招标文件另有规定外，投标人所递交的投标文件在投标截止时间后不予退还。</w:t>
      </w:r>
    </w:p>
    <w:p>
      <w:pPr>
        <w:spacing w:line="400" w:lineRule="exact"/>
        <w:ind w:firstLine="435"/>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20.4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ascii="宋体" w:hAnsi="宋体" w:cs="宋体"/>
          <w:color w:val="000000" w:themeColor="text1"/>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95" w:name="_Toc495841757"/>
      <w:bookmarkStart w:id="96" w:name="_Toc307"/>
      <w:bookmarkStart w:id="97" w:name="_Toc1148"/>
      <w:r>
        <w:rPr>
          <w:rFonts w:hint="eastAsia" w:ascii="宋体" w:hAnsi="宋体" w:cs="宋体"/>
          <w:b/>
          <w:color w:val="000000" w:themeColor="text1"/>
          <w:sz w:val="28"/>
          <w:szCs w:val="28"/>
          <w14:textFill>
            <w14:solidFill>
              <w14:schemeClr w14:val="tx1"/>
            </w14:solidFill>
          </w14:textFill>
        </w:rPr>
        <w:t>四、开标</w:t>
      </w:r>
      <w:bookmarkEnd w:id="95"/>
      <w:bookmarkEnd w:id="96"/>
      <w:bookmarkEnd w:id="97"/>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98" w:name="_Toc17073"/>
      <w:bookmarkStart w:id="99" w:name="_Toc15689"/>
      <w:r>
        <w:rPr>
          <w:rFonts w:hint="eastAsia" w:ascii="宋体" w:hAnsi="宋体" w:cs="宋体"/>
          <w:b/>
          <w:color w:val="000000" w:themeColor="text1"/>
          <w:szCs w:val="21"/>
          <w14:textFill>
            <w14:solidFill>
              <w14:schemeClr w14:val="tx1"/>
            </w14:solidFill>
          </w14:textFill>
        </w:rPr>
        <w:t>21. 开标时间及地点</w:t>
      </w:r>
      <w:bookmarkEnd w:id="98"/>
      <w:bookmarkEnd w:id="99"/>
    </w:p>
    <w:p>
      <w:pPr>
        <w:spacing w:line="40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21.1开标时间及地点：开标时间：2021年1月</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日9时30分；开标地点：桂林市公共资源交易中心（广西桂林市临桂区西城中路69号创业大厦西辅楼4楼）</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lang w:eastAsia="zh-CN"/>
          <w14:textFill>
            <w14:solidFill>
              <w14:schemeClr w14:val="tx1"/>
            </w14:solidFill>
          </w14:textFill>
        </w:rPr>
        <w:t>号开标室</w:t>
      </w:r>
      <w:r>
        <w:rPr>
          <w:rFonts w:hint="eastAsia" w:ascii="宋体" w:hAnsi="宋体" w:cs="宋体"/>
          <w:color w:val="000000" w:themeColor="text1"/>
          <w:szCs w:val="21"/>
          <w14:textFill>
            <w14:solidFill>
              <w14:schemeClr w14:val="tx1"/>
            </w14:solidFill>
          </w14:textFill>
        </w:rPr>
        <w:t>开标。</w:t>
      </w:r>
      <w:r>
        <w:rPr>
          <w:rFonts w:hint="eastAsia" w:ascii="宋体" w:hAnsi="宋体" w:cs="宋体"/>
          <w:color w:val="000000" w:themeColor="text1"/>
          <w14:textFill>
            <w14:solidFill>
              <w14:schemeClr w14:val="tx1"/>
            </w14:solidFill>
          </w14:textFill>
        </w:rPr>
        <w:t>投标人可以由</w:t>
      </w:r>
      <w:r>
        <w:rPr>
          <w:rFonts w:hint="eastAsia" w:hAnsi="宋体"/>
          <w:color w:val="000000" w:themeColor="text1"/>
          <w14:textFill>
            <w14:solidFill>
              <w14:schemeClr w14:val="tx1"/>
            </w14:solidFill>
          </w14:textFill>
        </w:rPr>
        <w:t>法定代表人</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w:t>
      </w:r>
      <w:r>
        <w:rPr>
          <w:rFonts w:hint="eastAsia" w:ascii="宋体" w:hAnsi="宋体" w:cs="宋体"/>
          <w:color w:val="000000" w:themeColor="text1"/>
          <w14:textFill>
            <w14:solidFill>
              <w14:schemeClr w14:val="tx1"/>
            </w14:solidFill>
          </w14:textFill>
        </w:rPr>
        <w:t>或其委托代理人出席开标会议</w:t>
      </w:r>
      <w:r>
        <w:rPr>
          <w:rFonts w:hint="eastAsia" w:ascii="宋体" w:hAnsi="宋体" w:cs="宋体"/>
          <w:color w:val="000000" w:themeColor="text1"/>
          <w:szCs w:val="21"/>
          <w14:textFill>
            <w14:solidFill>
              <w14:schemeClr w14:val="tx1"/>
            </w14:solidFill>
          </w14:textFill>
        </w:rPr>
        <w:t>；投标人准时参加开标会并签字，如未按时签字的，视同放弃开标监督权利，认可开标结果。</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21.2投标人不足3家的，不得开标，采购人或者采购代理机构应当重新组织采购。</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100" w:name="_Toc11217"/>
      <w:bookmarkStart w:id="101" w:name="_Toc13668"/>
      <w:r>
        <w:rPr>
          <w:rFonts w:hint="eastAsia" w:ascii="宋体" w:hAnsi="宋体" w:cs="宋体"/>
          <w:b/>
          <w:color w:val="000000" w:themeColor="text1"/>
          <w:szCs w:val="21"/>
          <w14:textFill>
            <w14:solidFill>
              <w14:schemeClr w14:val="tx1"/>
            </w14:solidFill>
          </w14:textFill>
        </w:rPr>
        <w:t>22. 开标程序</w:t>
      </w:r>
      <w:bookmarkEnd w:id="100"/>
      <w:bookmarkEnd w:id="101"/>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（1）主持人宣布开标会正式开始，宣布开标程序、开标纪律，介绍项目情况和到会人员；</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（2）投标人对其投标文件的密封情况进行检查并确认签字；</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（3）按各投标人提交投标文件时间的先后顺序打开投标文件外包装；</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（4）唱标，宣读投标截止时间前接收的所有投标文件的投标人名称，投标报价表的投标报价、折扣；</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（7）宣布开标结束，采购人、投标人和有关方面代表退场，由工作人员将投标文件等材料移交评标室。</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102" w:name="_Toc13013"/>
      <w:bookmarkStart w:id="103" w:name="_Toc495841758"/>
      <w:bookmarkStart w:id="104" w:name="_Toc22014"/>
      <w:r>
        <w:rPr>
          <w:rFonts w:hint="eastAsia" w:ascii="宋体" w:hAnsi="宋体" w:cs="宋体"/>
          <w:b/>
          <w:color w:val="000000" w:themeColor="text1"/>
          <w:sz w:val="28"/>
          <w:szCs w:val="28"/>
          <w14:textFill>
            <w14:solidFill>
              <w14:schemeClr w14:val="tx1"/>
            </w14:solidFill>
          </w14:textFill>
        </w:rPr>
        <w:t>五、资格性审查</w:t>
      </w:r>
      <w:bookmarkEnd w:id="102"/>
      <w:bookmarkEnd w:id="103"/>
      <w:bookmarkEnd w:id="104"/>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105" w:name="_Toc13578"/>
      <w:bookmarkStart w:id="106" w:name="_Toc18462"/>
      <w:r>
        <w:rPr>
          <w:rFonts w:hint="eastAsia" w:ascii="宋体" w:hAnsi="宋体" w:cs="宋体"/>
          <w:b/>
          <w:color w:val="000000" w:themeColor="text1"/>
          <w:szCs w:val="21"/>
          <w14:textFill>
            <w14:solidFill>
              <w14:schemeClr w14:val="tx1"/>
            </w14:solidFill>
          </w14:textFill>
        </w:rPr>
        <w:t>23. 资格性审查</w:t>
      </w:r>
      <w:bookmarkEnd w:id="105"/>
      <w:bookmarkEnd w:id="106"/>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23.1公开招标采购项目开标结束后，采购人应当依法对投标人的资格进行审查。合格投标人不足3家的，不得评标。</w:t>
      </w:r>
    </w:p>
    <w:p>
      <w:pPr>
        <w:spacing w:line="40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23.2</w:t>
      </w:r>
      <w:r>
        <w:rPr>
          <w:rFonts w:hint="eastAsia" w:ascii="宋体" w:hAnsi="宋体" w:cs="宋体"/>
          <w:b/>
          <w:bCs/>
          <w:color w:val="000000" w:themeColor="text1"/>
          <w:szCs w:val="21"/>
          <w14:textFill>
            <w14:solidFill>
              <w14:schemeClr w14:val="tx1"/>
            </w14:solidFill>
          </w14:textFill>
        </w:rPr>
        <w:t>采购人或者采购代理机构</w:t>
      </w:r>
      <w:r>
        <w:rPr>
          <w:rFonts w:hint="eastAsia" w:ascii="宋体" w:hAnsi="宋体" w:cs="宋体"/>
          <w:b/>
          <w:color w:val="000000" w:themeColor="text1"/>
          <w:szCs w:val="21"/>
          <w14:textFill>
            <w14:solidFill>
              <w14:schemeClr w14:val="tx1"/>
            </w14:solidFill>
          </w14:textFill>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查询渠道：《国家企业信用信息公示系统》（网址：www.gsxt.gov.cn）</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审查流程：</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（1）进入《国家企业信用信息公示系统》（网址：http:www.gsxt.gov.cn），输入企业名称，进入企业信息主页面；</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（2）查看主页“股东及出资信息”栏，或年报中的“股东及出资信息”栏信息；</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（3）将各投标人的股东及出资信息进行比对，得出审查结论；</w:t>
      </w:r>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（4）将相关资料作为评审资料打印存档。</w:t>
      </w:r>
      <w:bookmarkStart w:id="107" w:name="_Toc495841759"/>
      <w:bookmarkStart w:id="108" w:name="_Toc3415"/>
    </w:p>
    <w:p>
      <w:pPr>
        <w:pStyle w:val="14"/>
        <w:rPr>
          <w:color w:val="000000" w:themeColor="text1"/>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109" w:name="_Toc27112"/>
      <w:r>
        <w:rPr>
          <w:rFonts w:hint="eastAsia" w:ascii="宋体" w:hAnsi="宋体" w:cs="宋体"/>
          <w:b/>
          <w:color w:val="000000" w:themeColor="text1"/>
          <w:sz w:val="28"/>
          <w:szCs w:val="28"/>
          <w14:textFill>
            <w14:solidFill>
              <w14:schemeClr w14:val="tx1"/>
            </w14:solidFill>
          </w14:textFill>
        </w:rPr>
        <w:t>六、评标</w:t>
      </w:r>
      <w:bookmarkEnd w:id="107"/>
      <w:bookmarkEnd w:id="108"/>
      <w:bookmarkEnd w:id="109"/>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10" w:name="_Toc14749"/>
      <w:bookmarkStart w:id="111" w:name="_Toc57"/>
      <w:r>
        <w:rPr>
          <w:rFonts w:hint="eastAsia" w:ascii="宋体" w:hAnsi="宋体" w:cs="宋体"/>
          <w:b/>
          <w:color w:val="000000" w:themeColor="text1"/>
          <w:szCs w:val="21"/>
          <w14:textFill>
            <w14:solidFill>
              <w14:schemeClr w14:val="tx1"/>
            </w14:solidFill>
          </w14:textFill>
        </w:rPr>
        <w:t>24. 评标委员会组成</w:t>
      </w:r>
      <w:bookmarkEnd w:id="110"/>
      <w:bookmarkEnd w:id="111"/>
    </w:p>
    <w:p>
      <w:pPr>
        <w:spacing w:line="360" w:lineRule="exact"/>
        <w:ind w:firstLine="420" w:firstLineChars="200"/>
        <w:rPr>
          <w:rFonts w:ascii="宋体" w:hAnsi="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评标委员会由有关技术、经济等方面的专家组成，成员人数共</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人，</w:t>
      </w:r>
      <w:r>
        <w:rPr>
          <w:rFonts w:hint="eastAsia"/>
          <w:color w:val="000000" w:themeColor="text1"/>
          <w:szCs w:val="21"/>
          <w14:textFill>
            <w14:solidFill>
              <w14:schemeClr w14:val="tx1"/>
            </w14:solidFill>
          </w14:textFill>
        </w:rPr>
        <w:t>其中采购人代表1人，</w:t>
      </w:r>
      <w:r>
        <w:rPr>
          <w:color w:val="000000" w:themeColor="text1"/>
          <w:szCs w:val="21"/>
          <w14:textFill>
            <w14:solidFill>
              <w14:schemeClr w14:val="tx1"/>
            </w14:solidFill>
          </w14:textFill>
        </w:rPr>
        <w:t>技术、经济等专家</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人。</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12" w:name="_Toc24437"/>
      <w:bookmarkStart w:id="113" w:name="_Toc23978"/>
      <w:r>
        <w:rPr>
          <w:rFonts w:hint="eastAsia" w:ascii="宋体" w:hAnsi="宋体" w:cs="宋体"/>
          <w:b/>
          <w:color w:val="000000" w:themeColor="text1"/>
          <w:szCs w:val="21"/>
          <w14:textFill>
            <w14:solidFill>
              <w14:schemeClr w14:val="tx1"/>
            </w14:solidFill>
          </w14:textFill>
        </w:rPr>
        <w:t>25. 评标办法</w:t>
      </w:r>
      <w:bookmarkEnd w:id="112"/>
      <w:bookmarkEnd w:id="113"/>
    </w:p>
    <w:p>
      <w:pPr>
        <w:tabs>
          <w:tab w:val="left" w:pos="1140"/>
        </w:tabs>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25.1评标办法：综合评分法，具体评标内容及标准详见第四章。</w:t>
      </w:r>
    </w:p>
    <w:p>
      <w:pPr>
        <w:tabs>
          <w:tab w:val="left" w:pos="1140"/>
        </w:tabs>
        <w:spacing w:line="36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25.2评标委员会应按招标文件进行评标，不得擅自更改评标办法。</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14" w:name="_Toc20321"/>
      <w:bookmarkStart w:id="115" w:name="_Toc27095"/>
      <w:r>
        <w:rPr>
          <w:rFonts w:hint="eastAsia" w:ascii="宋体" w:hAnsi="宋体" w:cs="宋体"/>
          <w:b/>
          <w:color w:val="000000" w:themeColor="text1"/>
          <w:szCs w:val="21"/>
          <w14:textFill>
            <w14:solidFill>
              <w14:schemeClr w14:val="tx1"/>
            </w14:solidFill>
          </w14:textFill>
        </w:rPr>
        <w:t>26. 评标</w:t>
      </w:r>
      <w:bookmarkEnd w:id="114"/>
      <w:bookmarkEnd w:id="115"/>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26.3在评标过程中，评标委员会任何人不得对某个投标人发表任何倾向性意见，不得向其他专家评委明示或者暗示自己的评审意见。</w:t>
      </w:r>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26.4评标委员会应当对符合资格的投标人的投标文件进行符合性审查，以确定其是否满足招标文件的实质性要求。</w:t>
      </w:r>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26.5对于投标文件中含义不明确、同类问题表述不一致、有明显文字和计算错误或属于投标人疏忽、笔误所造成差错的内容，评标委员会应当以书面形式要求投标人作出必要的澄清、说明或者补正。</w:t>
      </w:r>
    </w:p>
    <w:p>
      <w:pPr>
        <w:tabs>
          <w:tab w:val="left" w:pos="1140"/>
        </w:tabs>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26.6评标委员会应当按照招标文件中规定的评标方法和标准，对符合性审查合格的投标文件进行商务和技术评估，综合比较与评价。</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26.7投标文件报价出现前后不一致的，除招标文件另有规定外，按照下列规定修正：</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（1）投标文件中投标报价表内容与投标文件中相应内容不一致的，以投标报价表为准；</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（2）大写金额和小写金额不一致的，以大写金额为准；</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（3）单价金额小数点或者百分比有明显错位的，以报价表的总价为准，并修改单价；</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（4）总价金额与按单价汇总金额不一致的，以单价金额计算结果为准。</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26.10评标结果汇总完成后，除下列情形外，任何人不得修改评标结果：</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（一）分值汇总计算错误的；</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（二）分项评分超出评分标准范围的；</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（三）评标委员会成员对客观评审因素评分不一致的；</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（四）经评标委员会认定评分畸高、畸低的。</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16" w:name="_Toc30450"/>
      <w:bookmarkStart w:id="117" w:name="_Toc1732"/>
      <w:r>
        <w:rPr>
          <w:rFonts w:hint="eastAsia" w:ascii="宋体" w:hAnsi="宋体" w:cs="宋体"/>
          <w:b/>
          <w:color w:val="000000" w:themeColor="text1"/>
          <w:szCs w:val="21"/>
          <w14:textFill>
            <w14:solidFill>
              <w14:schemeClr w14:val="tx1"/>
            </w14:solidFill>
          </w14:textFill>
        </w:rPr>
        <w:t>27. 推荐及确定中标候选供应商原则</w:t>
      </w:r>
      <w:bookmarkEnd w:id="116"/>
      <w:bookmarkEnd w:id="117"/>
    </w:p>
    <w:p>
      <w:pPr>
        <w:tabs>
          <w:tab w:val="left" w:pos="4214"/>
        </w:tabs>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（1）评标委员会根据综合得分由高到低排列次序，若得分相同时，按评标价由低到高顺序排列；得分相同且评标价也相同的由评标委员会按照抽签的方式决定排次次序</w:t>
      </w:r>
      <w:r>
        <w:rPr>
          <w:rFonts w:hint="eastAsia" w:ascii="宋体" w:hAnsi="宋体" w:cs="宋体"/>
          <w:color w:val="000000" w:themeColor="text1"/>
          <w:sz w:val="22"/>
          <w:szCs w:val="22"/>
          <w14:textFill>
            <w14:solidFill>
              <w14:schemeClr w14:val="tx1"/>
            </w14:solidFill>
          </w14:textFill>
        </w:rPr>
        <w:t>。</w:t>
      </w:r>
    </w:p>
    <w:p>
      <w:pPr>
        <w:tabs>
          <w:tab w:val="left" w:pos="4214"/>
        </w:tabs>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（2）评标委员会可推荐前三名为中标候选供应商，采购人应当确定评标委员会推荐排名第一的中标候选供应商为中标供应商。</w:t>
      </w:r>
    </w:p>
    <w:p>
      <w:pPr>
        <w:spacing w:line="360" w:lineRule="exact"/>
        <w:ind w:firstLine="447" w:firstLineChars="21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18" w:name="_Toc1836"/>
      <w:bookmarkStart w:id="119" w:name="_Toc7892"/>
      <w:r>
        <w:rPr>
          <w:rFonts w:hint="eastAsia" w:ascii="宋体" w:hAnsi="宋体" w:cs="宋体"/>
          <w:b/>
          <w:color w:val="000000" w:themeColor="text1"/>
          <w:szCs w:val="21"/>
          <w14:textFill>
            <w14:solidFill>
              <w14:schemeClr w14:val="tx1"/>
            </w14:solidFill>
          </w14:textFill>
        </w:rPr>
        <w:t>28. 属于下列情况之一者，投标无效：</w:t>
      </w:r>
      <w:bookmarkEnd w:id="118"/>
      <w:bookmarkEnd w:id="119"/>
    </w:p>
    <w:p>
      <w:pPr>
        <w:snapToGrid w:val="0"/>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（1）未按照招标文件规定要求签字、盖章的；</w:t>
      </w:r>
    </w:p>
    <w:p>
      <w:pPr>
        <w:snapToGrid w:val="0"/>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（2）报价超过招标文件中规定的预算金额的；</w:t>
      </w:r>
    </w:p>
    <w:p>
      <w:pPr>
        <w:snapToGrid w:val="0"/>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（3）不具备招标文件中规定的资格要求的</w:t>
      </w:r>
      <w:r>
        <w:rPr>
          <w:rFonts w:hint="eastAsia" w:ascii="宋体" w:hAnsi="宋体" w:cs="宋体"/>
          <w:color w:val="000000" w:themeColor="text1"/>
          <w14:textFill>
            <w14:solidFill>
              <w14:schemeClr w14:val="tx1"/>
            </w14:solidFill>
          </w14:textFill>
        </w:rPr>
        <w:t>；</w:t>
      </w:r>
    </w:p>
    <w:p>
      <w:pPr>
        <w:snapToGrid w:val="0"/>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（4）投标文件含有采购人不能接受的附加条件的；</w:t>
      </w:r>
    </w:p>
    <w:p>
      <w:pPr>
        <w:snapToGrid w:val="0"/>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（5）投标文件未按招标文件的内容和要求编制，或提供虚假或无效材料的；</w:t>
      </w:r>
    </w:p>
    <w:p>
      <w:pPr>
        <w:snapToGrid w:val="0"/>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r>
        <w:rPr>
          <w:rFonts w:hint="eastAsia" w:ascii="宋体" w:hAnsi="宋体" w:cs="宋体"/>
          <w:color w:val="000000" w:themeColor="text1"/>
          <w14:textFill>
            <w14:solidFill>
              <w14:schemeClr w14:val="tx1"/>
            </w14:solidFill>
          </w14:textFill>
        </w:rPr>
        <w:t>投标</w:t>
      </w:r>
      <w:r>
        <w:rPr>
          <w:rFonts w:hint="eastAsia" w:ascii="宋体" w:hAnsi="宋体" w:cs="宋体"/>
          <w:color w:val="000000" w:themeColor="text1"/>
          <w:szCs w:val="21"/>
          <w14:textFill>
            <w14:solidFill>
              <w14:schemeClr w14:val="tx1"/>
            </w14:solidFill>
          </w14:textFill>
        </w:rPr>
        <w:t>人未就“服务采购需求”中的所有内容作完整唯一报价的</w:t>
      </w:r>
      <w:r>
        <w:rPr>
          <w:rFonts w:hint="eastAsia" w:ascii="宋体" w:hAnsi="宋体" w:cs="宋体"/>
          <w:color w:val="000000" w:themeColor="text1"/>
          <w14:textFill>
            <w14:solidFill>
              <w14:schemeClr w14:val="tx1"/>
            </w14:solidFill>
          </w14:textFill>
        </w:rPr>
        <w:t>；</w:t>
      </w:r>
    </w:p>
    <w:p>
      <w:pPr>
        <w:snapToGrid w:val="0"/>
        <w:spacing w:line="36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（7）未完全响应招标文件实质性要求的；</w:t>
      </w:r>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（8）法律、法规和招标文件规定的其他无效情形。</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20" w:name="_Toc15081"/>
      <w:bookmarkStart w:id="121" w:name="_Toc12429"/>
      <w:r>
        <w:rPr>
          <w:rFonts w:hint="eastAsia" w:ascii="宋体" w:hAnsi="宋体" w:cs="宋体"/>
          <w:b/>
          <w:color w:val="000000" w:themeColor="text1"/>
          <w:szCs w:val="21"/>
          <w14:textFill>
            <w14:solidFill>
              <w14:schemeClr w14:val="tx1"/>
            </w14:solidFill>
          </w14:textFill>
        </w:rPr>
        <w:t>29. 投标人有下列情形之一的，视为串通投标，投标文件将被视为无效：</w:t>
      </w:r>
      <w:bookmarkEnd w:id="120"/>
      <w:bookmarkEnd w:id="121"/>
    </w:p>
    <w:p>
      <w:pPr>
        <w:snapToGrid w:val="0"/>
        <w:spacing w:line="360" w:lineRule="exact"/>
        <w:ind w:left="355" w:leftChars="169" w:firstLine="102" w:firstLineChars="4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（1）不同投标人的投标文件由同一单位或者个人编制；</w:t>
      </w:r>
    </w:p>
    <w:p>
      <w:pPr>
        <w:snapToGrid w:val="0"/>
        <w:spacing w:line="360" w:lineRule="exact"/>
        <w:ind w:left="355" w:leftChars="169" w:firstLine="102" w:firstLineChars="4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（2）不同投标人委托同一单位或者个人办理投标事宜；</w:t>
      </w:r>
    </w:p>
    <w:p>
      <w:pPr>
        <w:snapToGrid w:val="0"/>
        <w:spacing w:line="360" w:lineRule="exact"/>
        <w:ind w:left="355" w:leftChars="169" w:firstLine="102" w:firstLineChars="4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（3）不同的投标人的投标文件载明的项目管理员或者联系人员为同一个人；</w:t>
      </w:r>
    </w:p>
    <w:p>
      <w:pPr>
        <w:snapToGrid w:val="0"/>
        <w:spacing w:line="360" w:lineRule="exact"/>
        <w:ind w:left="355" w:leftChars="169" w:firstLine="102" w:firstLineChars="4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（4）不同投标人的投标文件异常一致或投标报价呈规律性差异； </w:t>
      </w:r>
    </w:p>
    <w:p>
      <w:pPr>
        <w:snapToGrid w:val="0"/>
        <w:spacing w:line="360" w:lineRule="exact"/>
        <w:ind w:left="355" w:leftChars="169" w:firstLine="102" w:firstLineChars="4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（5）不同投标人的投标文件相互混装；</w:t>
      </w:r>
    </w:p>
    <w:p>
      <w:pPr>
        <w:snapToGrid w:val="0"/>
        <w:spacing w:line="360" w:lineRule="exact"/>
        <w:ind w:left="355" w:leftChars="169" w:firstLine="102" w:firstLineChars="4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（6）不同投标人的投标保证金从同一单位或者个人账户转出。</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22" w:name="_Toc18148"/>
      <w:bookmarkStart w:id="123" w:name="_Toc14928"/>
      <w:r>
        <w:rPr>
          <w:rFonts w:hint="eastAsia" w:ascii="宋体" w:hAnsi="宋体" w:cs="宋体"/>
          <w:b/>
          <w:color w:val="000000" w:themeColor="text1"/>
          <w:szCs w:val="21"/>
          <w14:textFill>
            <w14:solidFill>
              <w14:schemeClr w14:val="tx1"/>
            </w14:solidFill>
          </w14:textFill>
        </w:rPr>
        <w:t>30. 属于下列情形之一的，应予废标：</w:t>
      </w:r>
      <w:bookmarkEnd w:id="122"/>
      <w:bookmarkEnd w:id="123"/>
    </w:p>
    <w:p>
      <w:pPr>
        <w:tabs>
          <w:tab w:val="left" w:pos="840"/>
        </w:tabs>
        <w:snapToGrid w:val="0"/>
        <w:spacing w:line="360" w:lineRule="exact"/>
        <w:ind w:left="330" w:leftChars="157" w:firstLine="102" w:firstLineChars="4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（1）符合专业条件的供应商或者对招标文件作实质响应的供应商不足3家的；</w:t>
      </w:r>
    </w:p>
    <w:p>
      <w:pPr>
        <w:tabs>
          <w:tab w:val="left" w:pos="840"/>
        </w:tabs>
        <w:snapToGrid w:val="0"/>
        <w:spacing w:line="360" w:lineRule="exact"/>
        <w:ind w:left="330" w:leftChars="157" w:firstLine="105" w:firstLineChars="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（2）出现影响采购公正的违法、违规行为的；</w:t>
      </w:r>
    </w:p>
    <w:p>
      <w:pPr>
        <w:tabs>
          <w:tab w:val="left" w:pos="840"/>
        </w:tabs>
        <w:snapToGrid w:val="0"/>
        <w:spacing w:line="360" w:lineRule="exact"/>
        <w:ind w:left="330" w:leftChars="157" w:firstLine="105" w:firstLine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（3）采购文件内容违反国家有关强制性规定的；</w:t>
      </w:r>
    </w:p>
    <w:p>
      <w:pPr>
        <w:tabs>
          <w:tab w:val="left" w:pos="840"/>
        </w:tabs>
        <w:snapToGrid w:val="0"/>
        <w:spacing w:line="360" w:lineRule="exact"/>
        <w:ind w:left="330" w:leftChars="157" w:firstLine="105" w:firstLine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（4）因重大变故，采购任务取消的。</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24" w:name="_Toc28686"/>
      <w:bookmarkStart w:id="125" w:name="_Toc14895"/>
      <w:r>
        <w:rPr>
          <w:rFonts w:hint="eastAsia" w:ascii="宋体" w:hAnsi="宋体" w:cs="宋体"/>
          <w:b/>
          <w:color w:val="000000" w:themeColor="text1"/>
          <w:szCs w:val="21"/>
          <w14:textFill>
            <w14:solidFill>
              <w14:schemeClr w14:val="tx1"/>
            </w14:solidFill>
          </w14:textFill>
        </w:rPr>
        <w:t>31. 开标、评标过程的监控</w:t>
      </w:r>
      <w:bookmarkEnd w:id="124"/>
      <w:bookmarkEnd w:id="125"/>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26" w:name="_Toc1321"/>
      <w:bookmarkStart w:id="127" w:name="_Toc5454"/>
      <w:r>
        <w:rPr>
          <w:rFonts w:hint="eastAsia" w:ascii="宋体" w:hAnsi="宋体" w:cs="宋体"/>
          <w:b/>
          <w:color w:val="000000" w:themeColor="text1"/>
          <w:szCs w:val="21"/>
          <w14:textFill>
            <w14:solidFill>
              <w14:schemeClr w14:val="tx1"/>
            </w14:solidFill>
          </w14:textFill>
        </w:rPr>
        <w:t>32. 信用查询</w:t>
      </w:r>
      <w:bookmarkEnd w:id="126"/>
      <w:bookmarkEnd w:id="127"/>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⑴查询渠道：“信用中国”网站(www.creditchina.gov.cn)、中国政府采购网(www.ccgp.gov.cn)等；</w:t>
      </w:r>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⑵查询截止时间：中标通知书发出前；</w:t>
      </w:r>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⑶信用信息查询记录和证据留存方式：在查询网站中直接打印查询记录，打印材料作为采购活动资料保存；</w:t>
      </w:r>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28" w:name="_Toc27712"/>
      <w:bookmarkStart w:id="129" w:name="_Toc7470"/>
      <w:r>
        <w:rPr>
          <w:rFonts w:hint="eastAsia" w:ascii="宋体" w:hAnsi="宋体" w:cs="宋体"/>
          <w:b/>
          <w:color w:val="000000" w:themeColor="text1"/>
          <w:szCs w:val="21"/>
          <w14:textFill>
            <w14:solidFill>
              <w14:schemeClr w14:val="tx1"/>
            </w14:solidFill>
          </w14:textFill>
        </w:rPr>
        <w:t>33. 中标公告及中标通知书</w:t>
      </w:r>
      <w:bookmarkEnd w:id="128"/>
      <w:bookmarkEnd w:id="129"/>
    </w:p>
    <w:p>
      <w:pPr>
        <w:tabs>
          <w:tab w:val="left" w:pos="455"/>
        </w:tabs>
        <w:spacing w:line="36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spacing w:line="3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33.2中标公告发布的同时，采购代理机构向中标供应商发出中标通知书，中标供应商应自接到通知之日起七个工作日内，办理中标通知书领取手续。</w:t>
      </w:r>
      <w:bookmarkStart w:id="130" w:name="_Toc495841760"/>
      <w:bookmarkStart w:id="131" w:name="_Toc31543"/>
    </w:p>
    <w:p>
      <w:pPr>
        <w:pStyle w:val="14"/>
        <w:rPr>
          <w:color w:val="000000" w:themeColor="text1"/>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132" w:name="_Toc32134"/>
      <w:r>
        <w:rPr>
          <w:rFonts w:hint="eastAsia" w:ascii="宋体" w:hAnsi="宋体" w:cs="宋体"/>
          <w:b/>
          <w:color w:val="000000" w:themeColor="text1"/>
          <w:sz w:val="28"/>
          <w:szCs w:val="28"/>
          <w14:textFill>
            <w14:solidFill>
              <w14:schemeClr w14:val="tx1"/>
            </w14:solidFill>
          </w14:textFill>
        </w:rPr>
        <w:t>七、履约保证金及签订合同</w:t>
      </w:r>
      <w:bookmarkEnd w:id="130"/>
      <w:bookmarkEnd w:id="131"/>
      <w:bookmarkEnd w:id="132"/>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33" w:name="_Toc6994"/>
      <w:bookmarkStart w:id="134" w:name="_Toc27014"/>
      <w:r>
        <w:rPr>
          <w:rFonts w:hint="eastAsia" w:ascii="宋体" w:hAnsi="宋体" w:cs="宋体"/>
          <w:b/>
          <w:color w:val="000000" w:themeColor="text1"/>
          <w:szCs w:val="21"/>
          <w14:textFill>
            <w14:solidFill>
              <w14:schemeClr w14:val="tx1"/>
            </w14:solidFill>
          </w14:textFill>
        </w:rPr>
        <w:t>34. 履约保证金</w:t>
      </w:r>
      <w:bookmarkEnd w:id="133"/>
      <w:bookmarkEnd w:id="134"/>
    </w:p>
    <w:p>
      <w:pPr>
        <w:spacing w:line="460" w:lineRule="exact"/>
        <w:ind w:firstLine="420" w:firstLineChars="200"/>
        <w:rPr>
          <w:rFonts w:ascii="宋体" w:hAnsi="宋体" w:cs="宋体"/>
          <w:b/>
          <w:bCs/>
          <w:color w:val="000000" w:themeColor="text1"/>
          <w14:textFill>
            <w14:solidFill>
              <w14:schemeClr w14:val="tx1"/>
            </w14:solidFill>
          </w14:textFill>
        </w:rPr>
      </w:pPr>
      <w:r>
        <w:rPr>
          <w:rFonts w:hint="eastAsia"/>
          <w:color w:val="000000" w:themeColor="text1"/>
          <w:szCs w:val="21"/>
          <w14:textFill>
            <w14:solidFill>
              <w14:schemeClr w14:val="tx1"/>
            </w14:solidFill>
          </w14:textFill>
        </w:rPr>
        <w:t>本项目免收履约保证金</w:t>
      </w:r>
    </w:p>
    <w:p>
      <w:pPr>
        <w:spacing w:line="360" w:lineRule="exact"/>
        <w:ind w:firstLine="413" w:firstLineChars="196"/>
        <w:outlineLvl w:val="2"/>
        <w:rPr>
          <w:rFonts w:ascii="宋体" w:hAnsi="宋体" w:cs="宋体"/>
          <w:b/>
          <w:color w:val="000000" w:themeColor="text1"/>
          <w:szCs w:val="21"/>
          <w14:textFill>
            <w14:solidFill>
              <w14:schemeClr w14:val="tx1"/>
            </w14:solidFill>
          </w14:textFill>
        </w:rPr>
      </w:pPr>
      <w:bookmarkStart w:id="135" w:name="_Toc18160"/>
      <w:bookmarkStart w:id="136" w:name="_Toc24483"/>
      <w:r>
        <w:rPr>
          <w:rFonts w:hint="eastAsia" w:ascii="宋体" w:hAnsi="宋体" w:cs="宋体"/>
          <w:b/>
          <w:color w:val="000000" w:themeColor="text1"/>
          <w:szCs w:val="21"/>
          <w14:textFill>
            <w14:solidFill>
              <w14:schemeClr w14:val="tx1"/>
            </w14:solidFill>
          </w14:textFill>
        </w:rPr>
        <w:t>35. 签订合同</w:t>
      </w:r>
      <w:bookmarkEnd w:id="135"/>
      <w:bookmarkEnd w:id="136"/>
    </w:p>
    <w:p>
      <w:pPr>
        <w:spacing w:line="360" w:lineRule="exact"/>
        <w:ind w:left="2" w:leftChars="1"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35.1签订合同时间：中标通知书发布之日起5个工作日内。中标供应商领取中标通知书后，应按规定与采购人签订合同。</w:t>
      </w:r>
    </w:p>
    <w:p>
      <w:pPr>
        <w:spacing w:line="360" w:lineRule="exact"/>
        <w:ind w:left="2" w:leftChars="1"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35.2中标供应商为联合体的，联合体各方均应与采购人签订合同，并承担连带责任。（本项目不接受联合体投标）</w:t>
      </w:r>
    </w:p>
    <w:p>
      <w:pPr>
        <w:spacing w:line="360" w:lineRule="exact"/>
        <w:ind w:left="2" w:leftChars="1"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（1）中标后不与采购人签订合同的（不可抗力除外）；</w:t>
      </w:r>
    </w:p>
    <w:p>
      <w:pPr>
        <w:spacing w:line="360" w:lineRule="exact"/>
        <w:ind w:left="2" w:leftChars="1"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（2）将中标项目转让给他人，或者在投标文件中未说明，且未经采购人同意，将中标项目分包给他人的；</w:t>
      </w:r>
    </w:p>
    <w:p>
      <w:pPr>
        <w:spacing w:line="360" w:lineRule="exact"/>
        <w:ind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（3）拒绝履行合同义务的。</w:t>
      </w:r>
    </w:p>
    <w:p>
      <w:pPr>
        <w:spacing w:line="360" w:lineRule="exact"/>
        <w:ind w:left="2" w:leftChars="1"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35.4合同备案存档：政府采购合同双方自签订之日起一个工作日内将合同原件一份交采购代理机构，并于合同签订之日起七个工作日内将一份合同原件送本级财政部门备案。</w:t>
      </w:r>
      <w:bookmarkStart w:id="137" w:name="_Toc495841761"/>
      <w:bookmarkStart w:id="138" w:name="_Toc1909"/>
    </w:p>
    <w:p>
      <w:pPr>
        <w:spacing w:line="360" w:lineRule="exact"/>
        <w:ind w:left="2" w:leftChars="1" w:firstLine="420" w:firstLineChars="200"/>
        <w:rPr>
          <w:rFonts w:ascii="宋体" w:hAnsi="宋体" w:cs="宋体"/>
          <w:color w:val="000000" w:themeColor="text1"/>
          <w:szCs w:val="21"/>
          <w14:textFill>
            <w14:solidFill>
              <w14:schemeClr w14:val="tx1"/>
            </w14:solidFill>
          </w14:textFill>
        </w:rPr>
      </w:pPr>
    </w:p>
    <w:p>
      <w:pPr>
        <w:spacing w:line="360" w:lineRule="auto"/>
        <w:jc w:val="center"/>
        <w:outlineLvl w:val="1"/>
        <w:rPr>
          <w:rFonts w:ascii="宋体" w:hAnsi="宋体" w:cs="宋体"/>
          <w:b/>
          <w:color w:val="000000" w:themeColor="text1"/>
          <w:sz w:val="28"/>
          <w:szCs w:val="28"/>
          <w14:textFill>
            <w14:solidFill>
              <w14:schemeClr w14:val="tx1"/>
            </w14:solidFill>
          </w14:textFill>
        </w:rPr>
      </w:pPr>
      <w:bookmarkStart w:id="139" w:name="_Toc27494"/>
      <w:r>
        <w:rPr>
          <w:rFonts w:hint="eastAsia" w:ascii="宋体" w:hAnsi="宋体" w:cs="宋体"/>
          <w:b/>
          <w:color w:val="000000" w:themeColor="text1"/>
          <w:sz w:val="28"/>
          <w:szCs w:val="28"/>
          <w14:textFill>
            <w14:solidFill>
              <w14:schemeClr w14:val="tx1"/>
            </w14:solidFill>
          </w14:textFill>
        </w:rPr>
        <w:t>八、其他事项</w:t>
      </w:r>
      <w:bookmarkEnd w:id="137"/>
      <w:bookmarkEnd w:id="138"/>
      <w:bookmarkEnd w:id="139"/>
    </w:p>
    <w:p>
      <w:pPr>
        <w:spacing w:line="380" w:lineRule="exact"/>
        <w:ind w:firstLine="413" w:firstLineChars="196"/>
        <w:outlineLvl w:val="2"/>
        <w:rPr>
          <w:rFonts w:ascii="宋体" w:hAnsi="宋体" w:cs="宋体"/>
          <w:b/>
          <w:color w:val="000000" w:themeColor="text1"/>
          <w:szCs w:val="21"/>
          <w14:textFill>
            <w14:solidFill>
              <w14:schemeClr w14:val="tx1"/>
            </w14:solidFill>
          </w14:textFill>
        </w:rPr>
      </w:pPr>
      <w:bookmarkStart w:id="140" w:name="_Toc4309"/>
      <w:bookmarkStart w:id="141" w:name="_Toc5655"/>
      <w:bookmarkStart w:id="142" w:name="_Toc2437"/>
      <w:bookmarkStart w:id="143" w:name="_Toc19503"/>
      <w:bookmarkStart w:id="144" w:name="_Toc26746"/>
      <w:bookmarkStart w:id="145" w:name="_Toc32243"/>
      <w:r>
        <w:rPr>
          <w:rFonts w:hint="eastAsia" w:ascii="宋体" w:hAnsi="宋体" w:cs="宋体"/>
          <w:b/>
          <w:color w:val="000000" w:themeColor="text1"/>
          <w:szCs w:val="21"/>
          <w14:textFill>
            <w14:solidFill>
              <w14:schemeClr w14:val="tx1"/>
            </w14:solidFill>
          </w14:textFill>
        </w:rPr>
        <w:t>36. 招标代理服务费</w:t>
      </w:r>
      <w:bookmarkEnd w:id="140"/>
      <w:bookmarkEnd w:id="141"/>
      <w:bookmarkEnd w:id="142"/>
      <w:bookmarkEnd w:id="143"/>
      <w:bookmarkEnd w:id="144"/>
    </w:p>
    <w:p>
      <w:pPr>
        <w:spacing w:line="38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本项目免收代理服务费。</w:t>
      </w:r>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146" w:name="_Toc4112"/>
      <w:r>
        <w:rPr>
          <w:rFonts w:hint="eastAsia" w:ascii="宋体" w:hAnsi="宋体" w:cs="宋体"/>
          <w:b/>
          <w:color w:val="000000" w:themeColor="text1"/>
          <w:szCs w:val="21"/>
          <w14:textFill>
            <w14:solidFill>
              <w14:schemeClr w14:val="tx1"/>
            </w14:solidFill>
          </w14:textFill>
        </w:rPr>
        <w:t>37. 解释权</w:t>
      </w:r>
      <w:bookmarkEnd w:id="146"/>
    </w:p>
    <w:p>
      <w:pPr>
        <w:snapToGrid w:val="0"/>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5"/>
    </w:p>
    <w:p>
      <w:pPr>
        <w:spacing w:line="400" w:lineRule="exact"/>
        <w:ind w:firstLine="413" w:firstLineChars="196"/>
        <w:outlineLvl w:val="2"/>
        <w:rPr>
          <w:rFonts w:ascii="宋体" w:hAnsi="宋体" w:cs="宋体"/>
          <w:b/>
          <w:color w:val="000000" w:themeColor="text1"/>
          <w:szCs w:val="21"/>
          <w14:textFill>
            <w14:solidFill>
              <w14:schemeClr w14:val="tx1"/>
            </w14:solidFill>
          </w14:textFill>
        </w:rPr>
      </w:pPr>
      <w:bookmarkStart w:id="147" w:name="_Toc32007"/>
      <w:bookmarkStart w:id="148" w:name="_Toc11077"/>
      <w:r>
        <w:rPr>
          <w:rFonts w:hint="eastAsia" w:ascii="宋体" w:hAnsi="宋体" w:cs="宋体"/>
          <w:b/>
          <w:color w:val="000000" w:themeColor="text1"/>
          <w:szCs w:val="21"/>
          <w14:textFill>
            <w14:solidFill>
              <w14:schemeClr w14:val="tx1"/>
            </w14:solidFill>
          </w14:textFill>
        </w:rPr>
        <w:t>38. 监督管理机构</w:t>
      </w:r>
      <w:bookmarkEnd w:id="147"/>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桂林市政府采购管理办公室                 电话：0773-2862142</w:t>
      </w:r>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p>
    <w:bookmarkEnd w:id="148"/>
    <w:p>
      <w:pPr>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bookmarkStart w:id="149" w:name="_Toc12929"/>
      <w:bookmarkStart w:id="150" w:name="_Toc2663"/>
      <w:r>
        <w:rPr>
          <w:rFonts w:hint="eastAsia" w:ascii="宋体" w:hAnsi="宋体" w:cs="宋体"/>
          <w:b/>
          <w:bCs/>
          <w:color w:val="000000" w:themeColor="text1"/>
          <w:kern w:val="44"/>
          <w:sz w:val="32"/>
          <w:szCs w:val="32"/>
          <w14:textFill>
            <w14:solidFill>
              <w14:schemeClr w14:val="tx1"/>
            </w14:solidFill>
          </w14:textFill>
        </w:rPr>
        <w:t>第三章 服务采购需求</w:t>
      </w:r>
      <w:bookmarkEnd w:id="149"/>
      <w:bookmarkEnd w:id="150"/>
    </w:p>
    <w:p>
      <w:pPr>
        <w:adjustRightInd w:val="0"/>
        <w:spacing w:line="400" w:lineRule="exact"/>
        <w:ind w:firstLine="431"/>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投标人应注意下列内容：</w:t>
      </w:r>
    </w:p>
    <w:p>
      <w:pPr>
        <w:adjustRightInd w:val="0"/>
        <w:spacing w:line="400" w:lineRule="exact"/>
        <w:ind w:firstLine="431"/>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（1）按照《劳动合同法》的规定与员工签订劳动合同并依据国家、广西壮族自治区人民政府《关于调整全区最低工资标准的通知》桂政发〔2020〕1号和桂林有关最低工资标准1810 元的规定要求以及缴纳各种社会保险的规定要求向员工支付工资和缴纳社保及其他保险。要求在投标文件中必须单列出对该项内容的承诺函，否则投标无效。</w:t>
      </w:r>
    </w:p>
    <w:p>
      <w:pPr>
        <w:adjustRightInd w:val="0"/>
        <w:spacing w:line="400" w:lineRule="exact"/>
        <w:ind w:firstLine="431"/>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（2）投标人必须承诺并保证从业人员在国家规定的节假日值班时，按照国家有关规定给予从业人员三倍工资。要求在投标文件中必须单列出对该项内容的承诺函，否则投标无效。 </w:t>
      </w:r>
    </w:p>
    <w:p>
      <w:pPr>
        <w:adjustRightInd w:val="0"/>
        <w:spacing w:line="400" w:lineRule="exact"/>
        <w:ind w:firstLine="431"/>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（3）各投标人报价按项目分项列出项目年支出费用，费用标准参照国家行业标准。在实施过程中具体列支可在物业管理服务期限内统筹安排，调剂使用（必须提供）。</w:t>
      </w:r>
    </w:p>
    <w:p>
      <w:pPr>
        <w:adjustRightInd w:val="0"/>
        <w:spacing w:line="400" w:lineRule="exact"/>
        <w:ind w:firstLine="431"/>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（4）投标人须在投标文件中填写/应答技术规格参数，当投标文件中技术参数与招标文件中技术参数有偏离时，须在“偏离”栏内如实注明是“正偏离”或“负偏离”，“正偏离”指投标设备的技术参数优于 招标文件中要求，“负偏离”指投标设备的技术参数低于招标文件中要求。投标文件中的技术参数、功能或其它内容有“正偏离”的，投标人须对“正偏离”的情况单独作出说明。</w:t>
      </w:r>
    </w:p>
    <w:p>
      <w:pPr>
        <w:jc w:val="left"/>
        <w:rPr>
          <w:b/>
          <w:bCs/>
          <w:color w:val="000000" w:themeColor="text1"/>
          <w:sz w:val="30"/>
          <w:szCs w:val="30"/>
          <w14:textFill>
            <w14:solidFill>
              <w14:schemeClr w14:val="tx1"/>
            </w14:solidFill>
          </w14:textFill>
        </w:rPr>
      </w:pPr>
      <w:bookmarkStart w:id="151" w:name="_Toc13178"/>
      <w:bookmarkStart w:id="152" w:name="_Toc24171"/>
      <w:bookmarkStart w:id="153" w:name="_Toc1069283"/>
      <w:r>
        <w:rPr>
          <w:rFonts w:hint="eastAsia"/>
          <w:b/>
          <w:bCs/>
          <w:color w:val="000000" w:themeColor="text1"/>
          <w:sz w:val="30"/>
          <w:szCs w:val="30"/>
          <w14:textFill>
            <w14:solidFill>
              <w14:schemeClr w14:val="tx1"/>
            </w14:solidFill>
          </w14:textFill>
        </w:rPr>
        <w:t>一、技术规范和服务要求</w:t>
      </w:r>
      <w:bookmarkEnd w:id="151"/>
      <w:bookmarkEnd w:id="152"/>
    </w:p>
    <w:p>
      <w:pPr>
        <w:spacing w:before="11"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桂林市公安局业务技术大楼（桂林市公安局办公大楼）的基本情况：桂林市公安局业务技术大楼位于临桂区义宁路西城医院对面。一期建筑面积约</w:t>
      </w:r>
      <w:r>
        <w:rPr>
          <w:rFonts w:hint="eastAsia" w:ascii="宋体" w:hAnsi="宋体"/>
          <w:color w:val="000000" w:themeColor="text1"/>
          <w:szCs w:val="21"/>
          <w:u w:val="single"/>
          <w14:textFill>
            <w14:solidFill>
              <w14:schemeClr w14:val="tx1"/>
            </w14:solidFill>
          </w14:textFill>
        </w:rPr>
        <w:t xml:space="preserve">  3.5  </w:t>
      </w:r>
      <w:r>
        <w:rPr>
          <w:rFonts w:hint="eastAsia" w:ascii="宋体" w:hAnsi="宋体"/>
          <w:color w:val="000000" w:themeColor="text1"/>
          <w:szCs w:val="21"/>
          <w14:textFill>
            <w14:solidFill>
              <w14:schemeClr w14:val="tx1"/>
            </w14:solidFill>
          </w14:textFill>
        </w:rPr>
        <w:t>万平方米，主要为公安局部分职能部门在此办公。</w:t>
      </w:r>
    </w:p>
    <w:p>
      <w:pPr>
        <w:spacing w:before="11" w:line="360" w:lineRule="auto"/>
        <w:ind w:firstLine="422" w:firstLineChars="200"/>
        <w:jc w:val="left"/>
        <w:rPr>
          <w:b/>
          <w:color w:val="000000" w:themeColor="text1"/>
          <w:szCs w:val="21"/>
          <w14:textFill>
            <w14:solidFill>
              <w14:schemeClr w14:val="tx1"/>
            </w14:solidFill>
          </w14:textFill>
        </w:rPr>
      </w:pPr>
      <w:r>
        <w:rPr>
          <w:rFonts w:hint="eastAsia"/>
          <w:b/>
          <w:color w:val="000000" w:themeColor="text1"/>
          <w:szCs w:val="21"/>
          <w:lang w:bidi="zh-CN"/>
          <w14:textFill>
            <w14:solidFill>
              <w14:schemeClr w14:val="tx1"/>
            </w14:solidFill>
          </w14:textFill>
        </w:rPr>
        <w:t>1、本次招标包括主要以下方面的内容</w:t>
      </w:r>
      <w:r>
        <w:rPr>
          <w:rFonts w:hint="eastAsia"/>
          <w:b/>
          <w:color w:val="000000" w:themeColor="text1"/>
          <w:szCs w:val="21"/>
          <w14:textFill>
            <w14:solidFill>
              <w14:schemeClr w14:val="tx1"/>
            </w14:solidFill>
          </w14:textFill>
        </w:rPr>
        <w:t>：保安、环境卫生、绿化、水电、房屋养护管理、会务、空调、电梯运行管理、互联网线路基本维护、洗车、擦鞋等其他工作。</w:t>
      </w:r>
    </w:p>
    <w:p>
      <w:pPr>
        <w:spacing w:before="11" w:line="360" w:lineRule="auto"/>
        <w:ind w:firstLine="422" w:firstLineChars="200"/>
        <w:jc w:val="left"/>
        <w:rPr>
          <w:b/>
          <w:color w:val="000000" w:themeColor="text1"/>
          <w:szCs w:val="21"/>
          <w14:textFill>
            <w14:solidFill>
              <w14:schemeClr w14:val="tx1"/>
            </w14:solidFill>
          </w14:textFill>
        </w:rPr>
      </w:pPr>
      <w:r>
        <w:rPr>
          <w:rFonts w:hint="eastAsia"/>
          <w:b/>
          <w:color w:val="000000" w:themeColor="text1"/>
          <w:szCs w:val="21"/>
          <w:lang w:bidi="zh-CN"/>
          <w14:textFill>
            <w14:solidFill>
              <w14:schemeClr w14:val="tx1"/>
            </w14:solidFill>
          </w14:textFill>
        </w:rPr>
        <w:t>2、项目技术规范和服务要求</w:t>
      </w:r>
    </w:p>
    <w:p>
      <w:pPr>
        <w:spacing w:line="400" w:lineRule="exact"/>
        <w:ind w:firstLine="422" w:firstLineChars="200"/>
        <w:jc w:val="left"/>
        <w:rPr>
          <w:b/>
          <w:color w:val="000000" w:themeColor="text1"/>
          <w:szCs w:val="21"/>
          <w14:textFill>
            <w14:solidFill>
              <w14:schemeClr w14:val="tx1"/>
            </w14:solidFill>
          </w14:textFill>
        </w:rPr>
      </w:pPr>
      <w:bookmarkStart w:id="154" w:name="_Toc21253"/>
      <w:r>
        <w:rPr>
          <w:rFonts w:hint="eastAsia"/>
          <w:b/>
          <w:color w:val="000000" w:themeColor="text1"/>
          <w:szCs w:val="21"/>
          <w14:textFill>
            <w14:solidFill>
              <w14:schemeClr w14:val="tx1"/>
            </w14:solidFill>
          </w14:textFill>
        </w:rPr>
        <w:t>项目概况：</w:t>
      </w:r>
      <w:bookmarkEnd w:id="154"/>
    </w:p>
    <w:p>
      <w:pPr>
        <w:spacing w:line="400" w:lineRule="exact"/>
        <w:ind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桂林市公安局业务技术大楼物业管理服务项目托管总面积约</w:t>
      </w:r>
      <w:r>
        <w:rPr>
          <w:b/>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3.5</w:t>
      </w:r>
      <w:r>
        <w:rPr>
          <w:b/>
          <w:color w:val="000000" w:themeColor="text1"/>
          <w:szCs w:val="21"/>
          <w:u w:val="single"/>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万</w:t>
      </w:r>
      <w:r>
        <w:rPr>
          <w:rFonts w:hint="eastAsia"/>
          <w:b/>
          <w:color w:val="000000" w:themeColor="text1"/>
          <w:szCs w:val="21"/>
          <w14:textFill>
            <w14:solidFill>
              <w14:schemeClr w14:val="tx1"/>
            </w14:solidFill>
          </w14:textFill>
        </w:rPr>
        <w:t>平方米：</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）主楼办公楼共</w:t>
      </w:r>
      <w:r>
        <w:rPr>
          <w:color w:val="000000" w:themeColor="text1"/>
          <w:szCs w:val="21"/>
          <w:u w:val="single"/>
          <w14:textFill>
            <w14:solidFill>
              <w14:schemeClr w14:val="tx1"/>
            </w14:solidFill>
          </w14:textFill>
        </w:rPr>
        <w:t xml:space="preserve"> 19 </w:t>
      </w:r>
      <w:r>
        <w:rPr>
          <w:rFonts w:hint="eastAsia"/>
          <w:color w:val="000000" w:themeColor="text1"/>
          <w:szCs w:val="21"/>
          <w14:textFill>
            <w14:solidFill>
              <w14:schemeClr w14:val="tx1"/>
            </w14:solidFill>
          </w14:textFill>
        </w:rPr>
        <w:t>层，建筑面积约</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200</w:t>
      </w:r>
      <w:r>
        <w:rPr>
          <w:color w:val="000000" w:themeColor="text1"/>
          <w:szCs w:val="21"/>
          <w:u w:val="single"/>
          <w14:textFill>
            <w14:solidFill>
              <w14:schemeClr w14:val="tx1"/>
            </w14:solidFill>
          </w14:textFill>
        </w:rPr>
        <w:t xml:space="preserve">000   </w:t>
      </w:r>
      <w:r>
        <w:rPr>
          <w:rFonts w:hint="eastAsia"/>
          <w:color w:val="000000" w:themeColor="text1"/>
          <w:szCs w:val="21"/>
          <w14:textFill>
            <w14:solidFill>
              <w14:schemeClr w14:val="tx1"/>
            </w14:solidFill>
          </w14:textFill>
        </w:rPr>
        <w:t>平方米；</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）主楼底层为架空层车库及地下室车库，面积约</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5</w:t>
      </w:r>
      <w:r>
        <w:rPr>
          <w:color w:val="000000" w:themeColor="text1"/>
          <w:szCs w:val="21"/>
          <w:u w:val="single"/>
          <w14:textFill>
            <w14:solidFill>
              <w14:schemeClr w14:val="tx1"/>
            </w14:solidFill>
          </w14:textFill>
        </w:rPr>
        <w:t xml:space="preserve">000   </w:t>
      </w:r>
      <w:r>
        <w:rPr>
          <w:rFonts w:hint="eastAsia"/>
          <w:color w:val="000000" w:themeColor="text1"/>
          <w:szCs w:val="21"/>
          <w14:textFill>
            <w14:solidFill>
              <w14:schemeClr w14:val="tx1"/>
            </w14:solidFill>
          </w14:textFill>
        </w:rPr>
        <w:t>平方米；</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（3）附楼共</w:t>
      </w:r>
      <w:r>
        <w:rPr>
          <w:rFonts w:hint="eastAsia"/>
          <w:color w:val="000000" w:themeColor="text1"/>
          <w:szCs w:val="21"/>
          <w:u w:val="single"/>
          <w14:textFill>
            <w14:solidFill>
              <w14:schemeClr w14:val="tx1"/>
            </w14:solidFill>
          </w14:textFill>
        </w:rPr>
        <w:t xml:space="preserve"> 2 </w:t>
      </w:r>
      <w:r>
        <w:rPr>
          <w:rFonts w:hint="eastAsia"/>
          <w:color w:val="000000" w:themeColor="text1"/>
          <w:szCs w:val="21"/>
          <w14:textFill>
            <w14:solidFill>
              <w14:schemeClr w14:val="tx1"/>
            </w14:solidFill>
          </w14:textFill>
        </w:rPr>
        <w:t>层，建筑面积约</w:t>
      </w:r>
      <w:r>
        <w:rPr>
          <w:rFonts w:hint="eastAsia"/>
          <w:color w:val="000000" w:themeColor="text1"/>
          <w:szCs w:val="21"/>
          <w:u w:val="single"/>
          <w14:textFill>
            <w14:solidFill>
              <w14:schemeClr w14:val="tx1"/>
            </w14:solidFill>
          </w14:textFill>
        </w:rPr>
        <w:t xml:space="preserve"> 3000 平方米</w:t>
      </w:r>
      <w:r>
        <w:rPr>
          <w:rFonts w:hint="eastAsia"/>
          <w:color w:val="000000" w:themeColor="text1"/>
          <w:szCs w:val="21"/>
          <w14:textFill>
            <w14:solidFill>
              <w14:schemeClr w14:val="tx1"/>
            </w14:solidFill>
          </w14:textFill>
        </w:rPr>
        <w:t>；</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（4）前后、周边路面约</w:t>
      </w:r>
      <w:r>
        <w:rPr>
          <w:color w:val="000000" w:themeColor="text1"/>
          <w:szCs w:val="21"/>
          <w:u w:val="single"/>
          <w14:textFill>
            <w14:solidFill>
              <w14:schemeClr w14:val="tx1"/>
            </w14:solidFill>
          </w14:textFill>
        </w:rPr>
        <w:t xml:space="preserve">  3000  </w:t>
      </w:r>
      <w:r>
        <w:rPr>
          <w:rFonts w:hint="eastAsia"/>
          <w:color w:val="000000" w:themeColor="text1"/>
          <w:szCs w:val="21"/>
          <w14:textFill>
            <w14:solidFill>
              <w14:schemeClr w14:val="tx1"/>
            </w14:solidFill>
          </w14:textFill>
        </w:rPr>
        <w:t>平方米；</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（5）露天停车场</w:t>
      </w:r>
      <w:r>
        <w:rPr>
          <w:color w:val="000000" w:themeColor="text1"/>
          <w:szCs w:val="21"/>
          <w:u w:val="single"/>
          <w14:textFill>
            <w14:solidFill>
              <w14:schemeClr w14:val="tx1"/>
            </w14:solidFill>
          </w14:textFill>
        </w:rPr>
        <w:t xml:space="preserve"> 300 </w:t>
      </w:r>
      <w:r>
        <w:rPr>
          <w:rFonts w:hint="eastAsia"/>
          <w:color w:val="000000" w:themeColor="text1"/>
          <w:szCs w:val="21"/>
          <w14:textFill>
            <w14:solidFill>
              <w14:schemeClr w14:val="tx1"/>
            </w14:solidFill>
          </w14:textFill>
        </w:rPr>
        <w:t>个，约</w:t>
      </w:r>
      <w:r>
        <w:rPr>
          <w:color w:val="000000" w:themeColor="text1"/>
          <w:szCs w:val="21"/>
          <w:u w:val="single"/>
          <w14:textFill>
            <w14:solidFill>
              <w14:schemeClr w14:val="tx1"/>
            </w14:solidFill>
          </w14:textFill>
        </w:rPr>
        <w:t xml:space="preserve">  3000  </w:t>
      </w:r>
      <w:r>
        <w:rPr>
          <w:rFonts w:hint="eastAsia"/>
          <w:color w:val="000000" w:themeColor="text1"/>
          <w:szCs w:val="21"/>
          <w14:textFill>
            <w14:solidFill>
              <w14:schemeClr w14:val="tx1"/>
            </w14:solidFill>
          </w14:textFill>
        </w:rPr>
        <w:t>平方米；</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（6）绿化面积约</w:t>
      </w:r>
      <w:r>
        <w:rPr>
          <w:color w:val="000000" w:themeColor="text1"/>
          <w:szCs w:val="21"/>
          <w:u w:val="single"/>
          <w14:textFill>
            <w14:solidFill>
              <w14:schemeClr w14:val="tx1"/>
            </w14:solidFill>
          </w14:textFill>
        </w:rPr>
        <w:t xml:space="preserve"> 1000 </w:t>
      </w:r>
      <w:r>
        <w:rPr>
          <w:rFonts w:hint="eastAsia"/>
          <w:color w:val="000000" w:themeColor="text1"/>
          <w:szCs w:val="21"/>
          <w14:textFill>
            <w14:solidFill>
              <w14:schemeClr w14:val="tx1"/>
            </w14:solidFill>
          </w14:textFill>
        </w:rPr>
        <w:t>平方米。</w:t>
      </w:r>
    </w:p>
    <w:p>
      <w:pPr>
        <w:spacing w:line="400" w:lineRule="exact"/>
        <w:ind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3、岗位人员配置要求：</w:t>
      </w:r>
    </w:p>
    <w:p>
      <w:pPr>
        <w:spacing w:line="400" w:lineRule="exact"/>
        <w:ind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桂林市公安局业务技术办公大楼岗位人员配置要求：</w:t>
      </w:r>
    </w:p>
    <w:p>
      <w:pPr>
        <w:spacing w:line="400" w:lineRule="exact"/>
        <w:ind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项目人员岗位配备70人：（其中：项目管理部7人、保安25人、清洁16人、绿化2人、会务13人、工程维护4人、洗车工2人，擦鞋工1人）</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人员要求：根据招标单位需求合理配备各类服务人员，其中物管主管需有一定物业管理工作经验者担任，应保证所录用人员身体健康、无传染性疾病（</w:t>
      </w:r>
      <w:r>
        <w:rPr>
          <w:rFonts w:hint="eastAsia"/>
          <w:color w:val="000000" w:themeColor="text1"/>
          <w:szCs w:val="21"/>
          <w14:textFill>
            <w14:solidFill>
              <w14:schemeClr w14:val="tx1"/>
            </w14:solidFill>
          </w14:textFill>
        </w:rPr>
        <w:t>履约时</w:t>
      </w:r>
      <w:r>
        <w:rPr>
          <w:rFonts w:hint="eastAsia"/>
          <w:color w:val="000000" w:themeColor="text1"/>
          <w:szCs w:val="21"/>
          <w14:textFill>
            <w14:solidFill>
              <w14:schemeClr w14:val="tx1"/>
            </w14:solidFill>
          </w14:textFill>
        </w:rPr>
        <w:t>出具人员健康证）、无刑事违法或处分犯罪记录、要求持证上岗的有上岗资格证。各类管理服务人员按岗位统一着装，言行规范，文明礼貌。</w:t>
      </w:r>
    </w:p>
    <w:p>
      <w:pPr>
        <w:spacing w:line="400" w:lineRule="exact"/>
        <w:ind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注：以上从业人员统一着装，佩戴工作牌上岗。节假日正常上班。</w:t>
      </w:r>
    </w:p>
    <w:p>
      <w:pPr>
        <w:spacing w:line="400" w:lineRule="exact"/>
        <w:ind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4、管理服务应达到的各项指标：</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（1）杜绝火灾责任事故，杜绝刑事案件；</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（2）环境卫生、清洁率达</w:t>
      </w:r>
      <w:r>
        <w:rPr>
          <w:color w:val="000000" w:themeColor="text1"/>
          <w:szCs w:val="21"/>
          <w14:textFill>
            <w14:solidFill>
              <w14:schemeClr w14:val="tx1"/>
            </w14:solidFill>
          </w14:textFill>
        </w:rPr>
        <w:t xml:space="preserve"> 99%</w:t>
      </w:r>
      <w:r>
        <w:rPr>
          <w:rFonts w:hint="eastAsia"/>
          <w:color w:val="000000" w:themeColor="text1"/>
          <w:szCs w:val="21"/>
          <w14:textFill>
            <w14:solidFill>
              <w14:schemeClr w14:val="tx1"/>
            </w14:solidFill>
          </w14:textFill>
        </w:rPr>
        <w:t>；</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（3）智能化系统运行正常率</w:t>
      </w:r>
      <w:r>
        <w:rPr>
          <w:color w:val="000000" w:themeColor="text1"/>
          <w:szCs w:val="21"/>
          <w14:textFill>
            <w14:solidFill>
              <w14:schemeClr w14:val="tx1"/>
            </w14:solidFill>
          </w14:textFill>
        </w:rPr>
        <w:t xml:space="preserve"> 100%</w:t>
      </w:r>
      <w:r>
        <w:rPr>
          <w:rFonts w:hint="eastAsia"/>
          <w:color w:val="000000" w:themeColor="text1"/>
          <w:szCs w:val="21"/>
          <w14:textFill>
            <w14:solidFill>
              <w14:schemeClr w14:val="tx1"/>
            </w14:solidFill>
          </w14:textFill>
        </w:rPr>
        <w:t>；</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（4）零修、报修及时率</w:t>
      </w:r>
      <w:r>
        <w:rPr>
          <w:color w:val="000000" w:themeColor="text1"/>
          <w:szCs w:val="21"/>
          <w14:textFill>
            <w14:solidFill>
              <w14:schemeClr w14:val="tx1"/>
            </w14:solidFill>
          </w14:textFill>
        </w:rPr>
        <w:t xml:space="preserve"> 100%</w:t>
      </w:r>
      <w:r>
        <w:rPr>
          <w:rFonts w:hint="eastAsia"/>
          <w:color w:val="000000" w:themeColor="text1"/>
          <w:szCs w:val="21"/>
          <w14:textFill>
            <w14:solidFill>
              <w14:schemeClr w14:val="tx1"/>
            </w14:solidFill>
          </w14:textFill>
        </w:rPr>
        <w:t>，返修率小于</w:t>
      </w:r>
      <w:r>
        <w:rPr>
          <w:color w:val="000000" w:themeColor="text1"/>
          <w:szCs w:val="21"/>
          <w14:textFill>
            <w14:solidFill>
              <w14:schemeClr w14:val="tx1"/>
            </w14:solidFill>
          </w14:textFill>
        </w:rPr>
        <w:t xml:space="preserve"> 1%</w:t>
      </w:r>
      <w:r>
        <w:rPr>
          <w:rFonts w:hint="eastAsia"/>
          <w:color w:val="000000" w:themeColor="text1"/>
          <w:szCs w:val="21"/>
          <w14:textFill>
            <w14:solidFill>
              <w14:schemeClr w14:val="tx1"/>
            </w14:solidFill>
          </w14:textFill>
        </w:rPr>
        <w:t>；</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（5）服务有效投诉少于</w:t>
      </w:r>
      <w:r>
        <w:rPr>
          <w:color w:val="000000" w:themeColor="text1"/>
          <w:szCs w:val="21"/>
          <w14:textFill>
            <w14:solidFill>
              <w14:schemeClr w14:val="tx1"/>
            </w14:solidFill>
          </w14:textFill>
        </w:rPr>
        <w:t xml:space="preserve"> 1%</w:t>
      </w:r>
      <w:r>
        <w:rPr>
          <w:rFonts w:hint="eastAsia"/>
          <w:color w:val="000000" w:themeColor="text1"/>
          <w:szCs w:val="21"/>
          <w14:textFill>
            <w14:solidFill>
              <w14:schemeClr w14:val="tx1"/>
            </w14:solidFill>
          </w14:textFill>
        </w:rPr>
        <w:t>，处理率</w:t>
      </w:r>
      <w:r>
        <w:rPr>
          <w:color w:val="000000" w:themeColor="text1"/>
          <w:szCs w:val="21"/>
          <w14:textFill>
            <w14:solidFill>
              <w14:schemeClr w14:val="tx1"/>
            </w14:solidFill>
          </w14:textFill>
        </w:rPr>
        <w:t xml:space="preserve"> 100%</w:t>
      </w:r>
      <w:r>
        <w:rPr>
          <w:rFonts w:hint="eastAsia"/>
          <w:color w:val="000000" w:themeColor="text1"/>
          <w:szCs w:val="21"/>
          <w14:textFill>
            <w14:solidFill>
              <w14:schemeClr w14:val="tx1"/>
            </w14:solidFill>
          </w14:textFill>
        </w:rPr>
        <w:t>；</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（6）满意率</w:t>
      </w:r>
      <w:r>
        <w:rPr>
          <w:color w:val="000000" w:themeColor="text1"/>
          <w:szCs w:val="21"/>
          <w14:textFill>
            <w14:solidFill>
              <w14:schemeClr w14:val="tx1"/>
            </w14:solidFill>
          </w14:textFill>
        </w:rPr>
        <w:t xml:space="preserve"> 95%</w:t>
      </w:r>
      <w:r>
        <w:rPr>
          <w:rFonts w:hint="eastAsia"/>
          <w:color w:val="000000" w:themeColor="text1"/>
          <w:szCs w:val="21"/>
          <w14:textFill>
            <w14:solidFill>
              <w14:schemeClr w14:val="tx1"/>
            </w14:solidFill>
          </w14:textFill>
        </w:rPr>
        <w:t>以上。</w:t>
      </w:r>
    </w:p>
    <w:p>
      <w:pPr>
        <w:spacing w:line="400" w:lineRule="exact"/>
        <w:ind w:firstLine="422" w:firstLineChars="200"/>
        <w:jc w:val="left"/>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5、保密要求</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（1）人员背景</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该所有人员均应通过公安机关的政治审查，无犯罪记录和不良记录；</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（2）人员管理和培训</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1.所有人员应严格遵守公安机关的保密条例；</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2.组织工作人员及新入职人员参加保密服务培训，并与其签署保密协议，确保做好服务单位工作文件资料、办公网络管理、计算机及移动存储介质管理和办公环境保密安全等方面的保密和安全工作。</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3.做好离职工作人员的保密教育工作，并签订离职保密协议，确保离职后服务单位的信息安全。</w:t>
      </w:r>
    </w:p>
    <w:p>
      <w:pPr>
        <w:spacing w:line="400" w:lineRule="exact"/>
        <w:ind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6、工作时间要求：</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保安、消控实行双岗制每天</w:t>
      </w:r>
      <w:r>
        <w:rPr>
          <w:color w:val="000000" w:themeColor="text1"/>
          <w:szCs w:val="21"/>
          <w14:textFill>
            <w14:solidFill>
              <w14:schemeClr w14:val="tx1"/>
            </w14:solidFill>
          </w14:textFill>
        </w:rPr>
        <w:t xml:space="preserve"> 24 </w:t>
      </w:r>
      <w:r>
        <w:rPr>
          <w:rFonts w:hint="eastAsia"/>
          <w:color w:val="000000" w:themeColor="text1"/>
          <w:szCs w:val="21"/>
          <w14:textFill>
            <w14:solidFill>
              <w14:schemeClr w14:val="tx1"/>
            </w14:solidFill>
          </w14:textFill>
        </w:rPr>
        <w:t>小时值班。保洁、工程部工作时间为每天上班时间</w:t>
      </w: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17</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，休息日保证值班人员。如遇抗台、抗震等特殊情况，</w:t>
      </w:r>
      <w:r>
        <w:rPr>
          <w:color w:val="000000" w:themeColor="text1"/>
          <w:szCs w:val="21"/>
          <w14:textFill>
            <w14:solidFill>
              <w14:schemeClr w14:val="tx1"/>
            </w14:solidFill>
          </w14:textFill>
        </w:rPr>
        <w:t xml:space="preserve">24 </w:t>
      </w:r>
      <w:r>
        <w:rPr>
          <w:rFonts w:hint="eastAsia"/>
          <w:color w:val="000000" w:themeColor="text1"/>
          <w:szCs w:val="21"/>
          <w14:textFill>
            <w14:solidFill>
              <w14:schemeClr w14:val="tx1"/>
            </w14:solidFill>
          </w14:textFill>
        </w:rPr>
        <w:t>小时到场服务。</w:t>
      </w:r>
    </w:p>
    <w:p>
      <w:pPr>
        <w:spacing w:line="400" w:lineRule="exact"/>
        <w:ind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7、物业人员要求：</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（1）所有相关人员的配备如需获得相关主管部门认证的，均需按岗位配证并持证上岗，且根据不同岗位统一着装。</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（2）所有相关人员要求政治上可靠，身体素质好，无不良行为记录。</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（3）中标人必须在合同签订前提供所有投标文件中工程人员的有效职称证、技工证、上岗证等原件供招标人审核，如果中标人不能提供或与投标文件不一致，招标人</w:t>
      </w:r>
      <w:r>
        <w:rPr>
          <w:rFonts w:hint="eastAsia" w:ascii="宋体" w:hAnsi="宋体"/>
          <w:color w:val="000000" w:themeColor="text1"/>
          <w:szCs w:val="21"/>
          <w14:textFill>
            <w14:solidFill>
              <w14:schemeClr w14:val="tx1"/>
            </w14:solidFill>
          </w14:textFill>
        </w:rPr>
        <w:t>向政府采购监督管理部门报告认定</w:t>
      </w:r>
      <w:r>
        <w:rPr>
          <w:rFonts w:hint="eastAsia" w:ascii="宋体" w:hAnsi="宋体"/>
          <w:bCs/>
          <w:color w:val="000000" w:themeColor="text1"/>
          <w:szCs w:val="21"/>
          <w14:textFill>
            <w14:solidFill>
              <w14:schemeClr w14:val="tx1"/>
            </w14:solidFill>
          </w14:textFill>
        </w:rPr>
        <w:t>中标供应商</w:t>
      </w:r>
      <w:r>
        <w:rPr>
          <w:rFonts w:hint="eastAsia" w:ascii="宋体" w:hAnsi="宋体"/>
          <w:color w:val="000000" w:themeColor="text1"/>
          <w:szCs w:val="21"/>
          <w14:textFill>
            <w14:solidFill>
              <w14:schemeClr w14:val="tx1"/>
            </w14:solidFill>
          </w14:textFill>
        </w:rPr>
        <w:t>虚假应标，追究相应责任</w:t>
      </w:r>
      <w:r>
        <w:rPr>
          <w:rFonts w:hint="eastAsia"/>
          <w:color w:val="000000" w:themeColor="text1"/>
          <w:szCs w:val="21"/>
          <w14:textFill>
            <w14:solidFill>
              <w14:schemeClr w14:val="tx1"/>
            </w14:solidFill>
          </w14:textFill>
        </w:rPr>
        <w:t>。</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（4）为提高物业管理水平，所有物业人员还需进行不定期业务技能的培训外，需接受招标人或相关主管部门对中标人物业进行检查、监督。</w:t>
      </w:r>
    </w:p>
    <w:p>
      <w:pPr>
        <w:spacing w:line="400" w:lineRule="exact"/>
        <w:ind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8、相关场地提供</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（1）招标人提供物业用房、保安值班室，其他办公用品。</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（2）根据需要在适合的楼层配备洁具堆放间，其它房间（如设备工具间、保洁仓库、保洁工作间、员工的更衣室、会议仓库、会议工作间）进场后视情况协调解决。</w:t>
      </w:r>
    </w:p>
    <w:p>
      <w:pPr>
        <w:spacing w:line="400" w:lineRule="exact"/>
        <w:ind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9、分项列出年支出费用</w:t>
      </w:r>
    </w:p>
    <w:p>
      <w:pPr>
        <w:spacing w:line="400" w:lineRule="exact"/>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各投标人报价按项目分项列出项目年支出费用，费用标准参照国家行业标准。在实施过程中具体列支可在物业管理服务期限内统筹安排，调剂使用（必须提供）。</w:t>
      </w:r>
    </w:p>
    <w:p>
      <w:pPr>
        <w:spacing w:line="400" w:lineRule="exact"/>
        <w:ind w:firstLine="422" w:firstLineChars="200"/>
        <w:jc w:val="left"/>
        <w:rPr>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本项目政府采购预算总金额（两年）：人民币伍佰壹拾万元整（¥：5100000.00）；每年人民币贰佰伍拾伍万元整（¥：2550000.00元）。,投标报价超出政府采购预算总金额的将被视为无效投标处理。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bookmarkEnd w:id="153"/>
    <w:p>
      <w:pPr>
        <w:jc w:val="left"/>
        <w:rPr>
          <w:b/>
          <w:bCs/>
          <w:color w:val="000000" w:themeColor="text1"/>
          <w14:textFill>
            <w14:solidFill>
              <w14:schemeClr w14:val="tx1"/>
            </w14:solidFill>
          </w14:textFill>
        </w:rPr>
      </w:pPr>
      <w:bookmarkStart w:id="155" w:name="_Toc25128"/>
      <w:bookmarkStart w:id="156" w:name="_Toc26571"/>
      <w:r>
        <w:rPr>
          <w:rFonts w:hint="eastAsia"/>
          <w:b/>
          <w:bCs/>
          <w:color w:val="000000" w:themeColor="text1"/>
          <w:sz w:val="30"/>
          <w:szCs w:val="30"/>
          <w14:textFill>
            <w14:solidFill>
              <w14:schemeClr w14:val="tx1"/>
            </w14:solidFill>
          </w14:textFill>
        </w:rPr>
        <w:t>二、秩序维护和管理指标</w:t>
      </w:r>
      <w:bookmarkEnd w:id="155"/>
      <w:bookmarkEnd w:id="156"/>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57" w:name="_Toc29467"/>
      <w:r>
        <w:rPr>
          <w:rFonts w:hint="eastAsia" w:ascii="宋体" w:hAnsi="宋体"/>
          <w:b/>
          <w:color w:val="000000" w:themeColor="text1"/>
          <w:sz w:val="24"/>
          <w14:textFill>
            <w14:solidFill>
              <w14:schemeClr w14:val="tx1"/>
            </w14:solidFill>
          </w14:textFill>
        </w:rPr>
        <w:t>1、人员要求：</w:t>
      </w:r>
      <w:bookmarkEnd w:id="157"/>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秩序人员以中青年（年龄为 25-45 岁）为主，身高不能低于165CM，身体健康，仪表端庄，精力充沛，工作认真负责并定期接受培训，退伍军人优先考虑:</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（1）负责从管理，听从指挥，能处理和应对甲方公共秩序维护工作，能正确使用各类消防器械和设备，能够熟悉、掌握各类刑事、治安案件和各类灾害事故的应急预案；</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（2）上岗时佩戴统一标志，保安按需求穿戴统一制服（精致），佩戴规范，仪容仪表规范整齐，当值时坐姿端正，站岗时不倚不靠、采用跨立站岗。</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（3）文明执勤，训练有素，言语规范，认真负责；配备必备的安全护卫器械。</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（4）具备高度的责任心和警惕性，对工作中发现的违规违纪现象和可疑情况及不安全隐患要及时上报，并果断灵活地处理。</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58" w:name="_Toc495"/>
      <w:r>
        <w:rPr>
          <w:rFonts w:hint="eastAsia" w:ascii="宋体" w:hAnsi="宋体"/>
          <w:b/>
          <w:color w:val="000000" w:themeColor="text1"/>
          <w:sz w:val="24"/>
          <w14:textFill>
            <w14:solidFill>
              <w14:schemeClr w14:val="tx1"/>
            </w14:solidFill>
          </w14:textFill>
        </w:rPr>
        <w:t>2、秩序员的职责</w:t>
      </w:r>
      <w:bookmarkEnd w:id="158"/>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（1）服务时间：秩序员 24 小时值班看守，每个工作日早上8:30-9:30、16:30-17:30 期间必须立岗，夜间确保执勤人员每小时全院巡视一次。在区域内实行公共秩序维护人员 24 小时值班、巡逻和监控，做好办公区内安全防范、门岗执勤、安全监控、防范巡逻；做好防火灭火、防盗防毁等工作；发现办公区内存在的安全隐患要及时报告并采取有效措施排除</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（2）严格按交接班制度执行交接班，接班时应认真清点岗位物品及查看《安全巡查记录表》，如无异常后双方可确认交接班，如有异常，则要上一班人员作出解释，事后作好登记及未完事项的跟进工作。</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（3）外来车辆及外来人员：无有效通行证车辆禁止进入甲方场地，确需进入的应引导车辆有序通行、停放。禁止无关人员(产品推销及收购废品等闲杂人员)进入。</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（4）值班室、办公区域清洁：保持值班室、公共区域和大门口环境整洁、有序、道路畅通。</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（5）夜间：工作人员下班后关闭大门，对办公室门窗及楼道窗户关闭情况进行必要的安全检查，关闭各楼道内不必要的电灯。按时开启、关闭报警及其他有关设施。</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（6）坚守岗位，忠于职守，当值期间不擅自脱岗离岗、串岗聊天，不得看书阅报，不得与人闲谈，不吃东西，不得精神不振、打瞌睡，不做其它与工作无关的事情。</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（7）执勤过程中发现问题，要立刻解决，遇有困难可请求帮助，当重大事件发生时，要立刻报告领导，不得延误，不得擅自做主，不得隐瞒不报。</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59" w:name="_Toc5846"/>
      <w:r>
        <w:rPr>
          <w:rFonts w:hint="eastAsia" w:ascii="宋体" w:hAnsi="宋体"/>
          <w:b/>
          <w:color w:val="000000" w:themeColor="text1"/>
          <w:sz w:val="24"/>
          <w14:textFill>
            <w14:solidFill>
              <w14:schemeClr w14:val="tx1"/>
            </w14:solidFill>
          </w14:textFill>
        </w:rPr>
        <w:t>3、安全防范的服务质量标准及要求</w:t>
      </w:r>
      <w:bookmarkEnd w:id="159"/>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（1）做好办公区内的安全生产、安全保卫、处置治安、突发事件和消防保障、消防安全检查工作。</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秩序维护管理严密、严格、正规，措施得力，人员尽责，监管到位，防范严密，无重大疏漏；公共秩序维护人员要求具备良好的综合素质，责任心强，自觉执行制度，精神面貌佳口齿伶俐，反应敏捷；能认真遵守各项规章制度，熟练掌握工作流程。</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(3)做好外来人员出入的盘查，要求来访者填写相应会客单，经电话联系确认后方可入内， 禁止无关人员进入；对外来车辆执行出入牌管理制度。做到礼貌待客，对随身携带物品进出小区要进行登记，贵重、大件物品要报服务中心同意方可放行。</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(4)负责小区内全天 24 小时安全保障服务，协助配合公安机关和有关部门处理办公区内一切与治安有关的事件，做好维护小区周边治安秩序及其他安全事务，对管理不善发生物品失窃事件负相应的过失责任。</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(5)安防监控室要求 24 小时值班，及时发现不安全因素，消除隐患。</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(6)不得让闲杂人员进入办公区，对可疑人员和物品进行盘问和检查，驱赶散放广告等闲杂人员，制止办公区内的打架、滋事事件。</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(7)遇到突发事件要及时报告和处理，必要时报公安机关处理。</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(8)当班公共秩序维护人员要严守本职岗位，不得擅离职守，要做好记录。门卫岗对搬出的大件物品要主动询问清楚，认真记录，以防偷盗。</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(9)定期检查消防器材，健全管理制度并严格执行，责任落实到人。公共秩序维护人员要求能够正确使用消防器材，一旦发生火灾事故时必须能正确处理。</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(10)定期检查电气设备是否安全运行；电线、电缆有无老化、漏电、受潮、短路等现象，有无私拉电线情况；检查防雷装置是否完好，并按防雷部门统一安排进行防雷检测等。</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(11)禁止运载携带易燃危险品的人员、车辆进小区，定期汇报消防安全情况。</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(12)做好各类台账的填写和保存工作，确保留有管理痕迹。</w:t>
      </w:r>
    </w:p>
    <w:p>
      <w:pPr>
        <w:rPr>
          <w:b/>
          <w:bCs/>
          <w:color w:val="000000" w:themeColor="text1"/>
          <w14:textFill>
            <w14:solidFill>
              <w14:schemeClr w14:val="tx1"/>
            </w14:solidFill>
          </w14:textFill>
        </w:rPr>
      </w:pPr>
      <w:bookmarkStart w:id="160" w:name="_Toc16552"/>
      <w:bookmarkStart w:id="161" w:name="_Toc17261"/>
      <w:r>
        <w:rPr>
          <w:rFonts w:hint="eastAsia"/>
          <w:b/>
          <w:bCs/>
          <w:color w:val="000000" w:themeColor="text1"/>
          <w:sz w:val="30"/>
          <w:szCs w:val="30"/>
          <w14:textFill>
            <w14:solidFill>
              <w14:schemeClr w14:val="tx1"/>
            </w14:solidFill>
          </w14:textFill>
        </w:rPr>
        <w:t>三、保洁维护和管理指标</w:t>
      </w:r>
      <w:bookmarkEnd w:id="160"/>
      <w:bookmarkEnd w:id="161"/>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62" w:name="_Toc17297"/>
      <w:r>
        <w:rPr>
          <w:rFonts w:hint="eastAsia" w:ascii="宋体" w:hAnsi="宋体"/>
          <w:b/>
          <w:color w:val="000000" w:themeColor="text1"/>
          <w:sz w:val="24"/>
          <w14:textFill>
            <w14:solidFill>
              <w14:schemeClr w14:val="tx1"/>
            </w14:solidFill>
          </w14:textFill>
        </w:rPr>
        <w:t>1、人员要求</w:t>
      </w:r>
      <w:bookmarkEnd w:id="162"/>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（1）保洁人员以中青年（年龄为 25-45 岁）为主，身体健康，工作认真负责并定期接受培训。</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（2）着统一制服和佩戴统一标志上岗，仪容仪表规范整齐。</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（3）文明工作，训练有素，言语规范，认真负责。</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63" w:name="_Toc19435"/>
      <w:r>
        <w:rPr>
          <w:rFonts w:hint="eastAsia" w:ascii="宋体" w:hAnsi="宋体"/>
          <w:b/>
          <w:color w:val="000000" w:themeColor="text1"/>
          <w:sz w:val="24"/>
          <w14:textFill>
            <w14:solidFill>
              <w14:schemeClr w14:val="tx1"/>
            </w14:solidFill>
          </w14:textFill>
        </w:rPr>
        <w:t>2、室内（公共区域及办公室、会议室、餐厅、多功能厅等）</w:t>
      </w:r>
      <w:bookmarkEnd w:id="163"/>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（1）楼道地面、楼梯每日拖洗一次，巡回保洁，无积灰、污迹、垃圾、水。</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（2）开关盒、表箱盖：2 米以下每日擦抹一次；2 米以上每周一次，无灰尘、污迹。</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（3）扶手、门：每日擦抹一次，无灰尘、污迹。</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（4）天花板、公共楼道灯、会议室和活动室吊灯：每季除尘一次，无明显积灰、虫网。</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（5）前搞好卫生，会议、活动期间做好服务工作，会议或活动结束后打扫干净。</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卫生间每天至少拖洗一次，保持地面清洁、无杂物、无积水、无毛发、无异味、便池、水池下水道要畅通。墙面四周及阴角做到无水迹、无蜘蛛网；镜子及金属部分：应保持干净，无浮尘、污渍、手印、水迹、无锈斑；天花板上无污渍、无漏水或有小水泡等现象，保持干净、清洁，完好无损；确保运作正常；配备洗手液，每日检查，发现用完及时补充。瓷砖：2 米以下每日擦抹一次；2 米以上每月清洁一次，无明显积灰、水渍。</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（7）负责各活动、会议室日常卫生工作。</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64" w:name="_Toc2322"/>
      <w:r>
        <w:rPr>
          <w:rFonts w:hint="eastAsia" w:ascii="宋体" w:hAnsi="宋体"/>
          <w:b/>
          <w:color w:val="000000" w:themeColor="text1"/>
          <w:sz w:val="24"/>
          <w14:textFill>
            <w14:solidFill>
              <w14:schemeClr w14:val="tx1"/>
            </w14:solidFill>
          </w14:textFill>
        </w:rPr>
        <w:t>3、室外</w:t>
      </w:r>
      <w:bookmarkEnd w:id="164"/>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（1）道路地面、绿地、门窗档遮雨棚顶（视线所到之处）：每日清扫一次，并巡回保洁，无明显暴露垃圾、卫生死角；硬化地面无痰渍、污渍。</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（2）花坛：每天擦抹一次，无积灰、无污迹。</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（3）垃圾收集：对垃圾每天进行清除、外运，做到垃圾日产日清，保持垃圾全部进垃圾箱， 保持箱外无垃圾。</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（4）垃圾桶（箱）：配备足量垃圾箱（筒），对垃圾箱（桶）每天清刷，做到箱（桶）体清洁无污迹、无异味、无损坏。</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（5）窨井（含集水井）每半年清理一次，内壁无粘附物、井底无沉淀物。</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（6）明沟：每周清扫一次，无明显垃圾，无堵塞。</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（7）消毒灭害：窨井、明沟、垃圾房喷洒药水，每季一次（6、7、8、9 月每月喷洒一次）， 每年灭鼠、灭蟑螂三次，无明显蚊蝇滋生地、鼠迹。</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（8）车库、室内外楼梯、不锈钢扶手：每月清洗一次，无积灰、污迹、垃圾。</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（9）可上去的屋顶和雨水沟不定期清扫，要求无积水、无垃圾。</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65" w:name="_Toc29356"/>
      <w:r>
        <w:rPr>
          <w:rFonts w:hint="eastAsia" w:ascii="宋体" w:hAnsi="宋体"/>
          <w:b/>
          <w:color w:val="000000" w:themeColor="text1"/>
          <w:sz w:val="24"/>
          <w14:textFill>
            <w14:solidFill>
              <w14:schemeClr w14:val="tx1"/>
            </w14:solidFill>
          </w14:textFill>
        </w:rPr>
        <w:t>4、公共环境卫生的服务质量标准及要求</w:t>
      </w:r>
      <w:bookmarkEnd w:id="165"/>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（1）科学合理地调度安排，推行“反常规管理”工作思路，进行隐形服务，如： 根据用户上班时间安排的不同性质，清洁时间一般安排在早上 8:00~11:30、下午 2:30~17:00 进行；同时，操纵现代化清洁保洁设备，取代以往以人工作业为主传统模式，更安全、更全面、更高效实施清洁管理工作</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负责公共环境（包括公共场地、道路、停车场、庭院、围墙内、楼道、栏杆、消防设施、门厅、建筑物共用部分等）以及公厕、配套用房的清洁，并巡视保洁，地面无纸屑、烟头、杂物等废弃物，保证公共环境卫生整洁。</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（3）有健全的保洁制度，根据小区实际情况合理布设果皮箱或垃圾桶，垃圾袋装化，垃圾清运日产日清，无垃圾桶、果皮箱满溢现象。</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（4）道路、停车场等公共区域设专人保洁，每天清扫 2 次；楼梯扶手、共用部位玻璃每周清洁 1 次；室外标识、宣传栏等共用部位设施设备每周擦拭 1 次；路灯、楼道灯每两个月清洁 1 次。</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（5）共用雨、污水管道每年疏通 1 次；雨水井、化粪井、污水井每月检查 1 次，视检查情况及时清掏，保持通畅，无堵塞外溢。</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（6）进行保洁巡查，楼道内无乱悬挂、乱贴乱画、乱堆放，无明显暴露垃圾、卫生死角等现象，保证办公区内干净整洁。</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（7）建立消杀工作管理制度，根据实际情况开展消毒和灭虫除害工作，适时投放消杀药物， 有效控制鼠、蟑、蚊、蝇等害虫孳生。</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（8）协助招标人进行环境布置等其他临时性工作。</w:t>
      </w:r>
    </w:p>
    <w:p>
      <w:pPr>
        <w:jc w:val="left"/>
        <w:rPr>
          <w:b/>
          <w:bCs/>
          <w:color w:val="000000" w:themeColor="text1"/>
          <w:sz w:val="30"/>
          <w:szCs w:val="30"/>
          <w14:textFill>
            <w14:solidFill>
              <w14:schemeClr w14:val="tx1"/>
            </w14:solidFill>
          </w14:textFill>
        </w:rPr>
      </w:pPr>
      <w:bookmarkStart w:id="166" w:name="_Toc10142"/>
      <w:bookmarkStart w:id="167" w:name="_Toc19862"/>
      <w:r>
        <w:rPr>
          <w:rFonts w:hint="eastAsia"/>
          <w:b/>
          <w:bCs/>
          <w:color w:val="000000" w:themeColor="text1"/>
          <w:sz w:val="30"/>
          <w:szCs w:val="30"/>
          <w14:textFill>
            <w14:solidFill>
              <w14:schemeClr w14:val="tx1"/>
            </w14:solidFill>
          </w14:textFill>
        </w:rPr>
        <w:t>四、绿化养护工作质量标准</w:t>
      </w:r>
      <w:bookmarkEnd w:id="166"/>
      <w:bookmarkEnd w:id="167"/>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68" w:name="_Toc29883"/>
      <w:r>
        <w:rPr>
          <w:rFonts w:hint="eastAsia" w:ascii="宋体" w:hAnsi="宋体"/>
          <w:b/>
          <w:color w:val="000000" w:themeColor="text1"/>
          <w:sz w:val="24"/>
          <w14:textFill>
            <w14:solidFill>
              <w14:schemeClr w14:val="tx1"/>
            </w14:solidFill>
          </w14:textFill>
        </w:rPr>
        <w:t>1、人员要求</w:t>
      </w:r>
      <w:bookmarkEnd w:id="168"/>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（1）绿化人员以中青年（年龄为 25-45 岁）为主，身体健康，工作认真负责并定期接受培训。</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（2）着统一制服和佩戴统一标志上岗，仪容仪表规范整齐。</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（3）文明工作，训练有素，言语规范，认真负责。</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69" w:name="_Toc17910"/>
      <w:r>
        <w:rPr>
          <w:rFonts w:hint="eastAsia" w:ascii="宋体" w:hAnsi="宋体"/>
          <w:b/>
          <w:color w:val="000000" w:themeColor="text1"/>
          <w:sz w:val="24"/>
          <w14:textFill>
            <w14:solidFill>
              <w14:schemeClr w14:val="tx1"/>
            </w14:solidFill>
          </w14:textFill>
        </w:rPr>
        <w:t>2、室内和室外绿化：</w:t>
      </w:r>
      <w:bookmarkEnd w:id="169"/>
    </w:p>
    <w:p>
      <w:pPr>
        <w:spacing w:line="360" w:lineRule="auto"/>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室内绿化</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（1）室内绿化应根据用户的喜好和室内布局的需要摆放具有观赏价值的植物；</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（2）绿化养护人员应征得用户同意后方可进入办公室养护植物；工作时不能发出声响；枯枝败叶、水滴等应及时清理干净；</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（3）植物应鲜活，具有观赏价值。叶面干净，具有光泽，无积尘，无枯枝败叶，无病虫害，无杂草；盆器及托盘完好干净，托盘无积土。土面不外露； </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（4）选择适宜在室内栽培的植物品种，观赏性强，观赏期长，管理方便；</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（5）室内根据用户需要摆放植物；公共区域根据合同的约定或建筑的室内布局合理摆放。植物的大小和色彩应与室内空间及装修的格调相一致；</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（6）室内盆栽应选用无毒、无害、无异味的基质栽培；如需施肥只能使用无机肥，严禁使用有机肥；发现病虫害及时更换植物，禁止在室内喷洒农药。</w:t>
      </w:r>
    </w:p>
    <w:p>
      <w:pPr>
        <w:spacing w:line="360" w:lineRule="auto"/>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室外绿化</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（1）室外绿化养护应达到绿地及花坛内各种植物存活率98%。绿地设施及硬质景观完好无损。植物群落完整，层次丰富，黄土不外露，有整体的观赏效果。植物季相分明，生长茂盛；</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（2）保持土壤适度湿润，原则上“不干不浇，浇则浇透”；浇灌中流出的余水及时清理；</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3）草坪保持平整，高度不超过5厘米，草屑及时清理；乔木修剪科学合理，剪口光滑整齐，树冠完整美观，无徒长枝、下垂枝、枯枝，内膛不乱，通风透光；绿篱修剪整齐有型，保持观赏面枝叶丰满。花灌木花后修剪及时，无残花；  </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（4）绿地内立视应无明显杂草，土壤疏松通透；</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（5）按植物品种、生长速度、土壤状况，适时适量施无机肥；</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（6）预防为主，生态治理。草皮无病斑，植物枝叶无虫害咬口、排泄物、无悬挂或依附在植物上的虫茧、休眠虫体及越冬虫蛹；                   </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（7）绿地内无垃圾，乔木无树挂。</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70" w:name="_Toc29501"/>
      <w:r>
        <w:rPr>
          <w:rFonts w:hint="eastAsia" w:ascii="宋体" w:hAnsi="宋体"/>
          <w:b/>
          <w:color w:val="000000" w:themeColor="text1"/>
          <w:sz w:val="24"/>
          <w14:textFill>
            <w14:solidFill>
              <w14:schemeClr w14:val="tx1"/>
            </w14:solidFill>
          </w14:textFill>
        </w:rPr>
        <w:t>3、公用绿地、花草树木养护与管理的标准及要求</w:t>
      </w:r>
      <w:bookmarkEnd w:id="170"/>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（1）做好每次工作记录及巡检记录；</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（2）制定各种特殊情况时的应急预案；</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（3）每日派专人检查树木、灌木，出现病虫害及时进行喷杀。除虫每年不少于二次，发现虫害，增加喷药次数，保证每棵病树受虫咬食枝叶面积不超过 10%，整体树木受害少于 1%；</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（4）要掌握草坪的生长高度，草坪高度不能超过60mm高，如发现超出及时修剪，并清理好碎草及周边环境卫生。及时清除杂草，绿化带内植物生长纯净度达到95%；</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（5）出现黄土裸露、损坏的植物、植被应马上补种；</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（6）雨季保证树木、草坪无淹死，大面积草坪有排水沟；</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（7）因台风吹倒的乔木、灌木一定及时完成稳固工作，同时完成残枝的清理工作；</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（8）每个月对各地段的植物、植被、乔木施肥一次；</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（9）对乔木高枝、矮枝及时修剪，以免阻挡行人通行；</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（10）对乔木的交叉枝、平行枝及时清除，特别是行道树的修剪，低枝的确保高度控制在 3—4m；</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（11）对球体灌木要经常修剪以保持其美观；</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（12）冬季对当年种植（补种）树木做好防冻保暖，乔木要做好越冬害虫的防治工作；</w:t>
      </w:r>
    </w:p>
    <w:p>
      <w:pPr>
        <w:spacing w:line="360" w:lineRule="auto"/>
        <w:ind w:firstLine="480" w:firstLineChars="200"/>
        <w:jc w:val="left"/>
        <w:rPr>
          <w:rFonts w:ascii="宋体" w:hAnsi="宋体"/>
          <w:color w:val="000000" w:themeColor="text1"/>
          <w:sz w:val="24"/>
          <w14:textFill>
            <w14:solidFill>
              <w14:schemeClr w14:val="tx1"/>
            </w14:solidFill>
          </w14:textFill>
        </w:rPr>
      </w:pPr>
      <w:bookmarkStart w:id="171" w:name="_Toc26740"/>
      <w:r>
        <w:rPr>
          <w:rFonts w:hint="eastAsia" w:ascii="宋体" w:hAnsi="宋体"/>
          <w:color w:val="000000" w:themeColor="text1"/>
          <w:sz w:val="24"/>
          <w14:textFill>
            <w14:solidFill>
              <w14:schemeClr w14:val="tx1"/>
            </w14:solidFill>
          </w14:textFill>
        </w:rPr>
        <w:t>（13）随时接受用户的监督和检查。</w:t>
      </w:r>
      <w:bookmarkEnd w:id="171"/>
      <w:bookmarkStart w:id="172" w:name="_Toc7451"/>
    </w:p>
    <w:p>
      <w:pPr>
        <w:spacing w:line="360" w:lineRule="auto"/>
        <w:jc w:val="left"/>
        <w:rPr>
          <w:color w:val="000000" w:themeColor="text1"/>
          <w14:textFill>
            <w14:solidFill>
              <w14:schemeClr w14:val="tx1"/>
            </w14:solidFill>
          </w14:textFill>
        </w:rPr>
      </w:pPr>
      <w:r>
        <w:rPr>
          <w:rFonts w:hint="eastAsia"/>
          <w:b/>
          <w:bCs/>
          <w:color w:val="000000" w:themeColor="text1"/>
          <w:sz w:val="30"/>
          <w:szCs w:val="30"/>
          <w14:textFill>
            <w14:solidFill>
              <w14:schemeClr w14:val="tx1"/>
            </w14:solidFill>
          </w14:textFill>
        </w:rPr>
        <w:t>五、工程维护和管理指标</w:t>
      </w:r>
      <w:bookmarkEnd w:id="172"/>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73" w:name="_Toc12767"/>
      <w:r>
        <w:rPr>
          <w:rFonts w:hint="eastAsia" w:ascii="宋体" w:hAnsi="宋体"/>
          <w:b/>
          <w:color w:val="000000" w:themeColor="text1"/>
          <w:sz w:val="24"/>
          <w14:textFill>
            <w14:solidFill>
              <w14:schemeClr w14:val="tx1"/>
            </w14:solidFill>
          </w14:textFill>
        </w:rPr>
        <w:t>1、人员要求</w:t>
      </w:r>
      <w:bookmarkEnd w:id="173"/>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（1）工程人员以中青年（年龄为 25-45 岁）为主，身体健康，工作认真负责并定期接受培训。</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（2）上岗时佩戴统一标志，仪容仪表规范整齐。</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（3）文明工作，训练有素，言语规范，认真负责。</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（4）电工维修人员必须持证上岗；严格执行用电安全规范，确保用电安全。</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74" w:name="_Toc14811"/>
      <w:r>
        <w:rPr>
          <w:rFonts w:hint="eastAsia" w:ascii="宋体" w:hAnsi="宋体"/>
          <w:b/>
          <w:color w:val="000000" w:themeColor="text1"/>
          <w:sz w:val="24"/>
          <w14:textFill>
            <w14:solidFill>
              <w14:schemeClr w14:val="tx1"/>
            </w14:solidFill>
          </w14:textFill>
        </w:rPr>
        <w:t>2、水电维修</w:t>
      </w:r>
      <w:bookmarkEnd w:id="174"/>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（1）公共雨、污水管道、房顶：保证畅通无堵，疏通每年不少于一次。</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（2）窨井、窨沟、排水沟、集水井：管道通畅，无堵塞外溢现象。</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（3）水管、水龙头：保证水管、水龙头的正常使用，无滴漏现象。</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（4）公共区域饮水热水器每月清洗一次。</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（5）总配电箱：每年保养，无积尘，接头无松动现象。</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(6）公共使用的照明、指示灯具线路、开关要保证完好；路灯、楼道灯、亮灯率不低于100﹪。</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(7）互联网线路基本维护。</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75" w:name="_Toc5855"/>
      <w:r>
        <w:rPr>
          <w:rFonts w:hint="eastAsia" w:ascii="宋体" w:hAnsi="宋体"/>
          <w:b/>
          <w:color w:val="000000" w:themeColor="text1"/>
          <w:sz w:val="24"/>
          <w14:textFill>
            <w14:solidFill>
              <w14:schemeClr w14:val="tx1"/>
            </w14:solidFill>
          </w14:textFill>
        </w:rPr>
        <w:t>3、房屋养护管理</w:t>
      </w:r>
      <w:bookmarkEnd w:id="175"/>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玻璃门窗配件完好，门、窗开闭灵活并无异常声响；办公区涉及水电和房屋的各类维修（门、窗、洗手间、供水终端设施、楼梯、房屋地面、墙壁、吊顶、漏水等）维修费用材料按实际发生费用由招标人承担。</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(2）场地、步道、路面、侧石、井盖等：道路畅通，路面平整；井盖无缺损、无丢失，路面井盖不影响车辆和行人通行。</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(3）室内设施：发现损坏立即修复，保证设施、器材的正常使用。</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(4）安全标志等：清晰完整，设施运行正常。</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76" w:name="_Toc31701"/>
      <w:r>
        <w:rPr>
          <w:rFonts w:hint="eastAsia" w:ascii="宋体" w:hAnsi="宋体"/>
          <w:b/>
          <w:color w:val="000000" w:themeColor="text1"/>
          <w:sz w:val="24"/>
          <w14:textFill>
            <w14:solidFill>
              <w14:schemeClr w14:val="tx1"/>
            </w14:solidFill>
          </w14:textFill>
        </w:rPr>
        <w:t>4、空调维护</w:t>
      </w:r>
      <w:bookmarkEnd w:id="176"/>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(1）基本要求：1、定期（一季一次）对空调系统进行检修、保养、清洁，保证维修正常，无漏水现象；</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（2）保障空调二季的正常维修，室内温度维持在 26 度；保障 11 月至次年 3 月的换热维修， 室内温度不低于 16 摄氏度；</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（3）四月室内机检修、调试；十月保养全部制冷设备；</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（4）空调系统出现故障后，维修人员在 15 分钟内到达现场维修，小修及时处理，中修、大修及时联系厂家技术人员并协助维修；维修及时率 100%；有故障应急处理方案。</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77" w:name="_Toc2078"/>
      <w:r>
        <w:rPr>
          <w:rFonts w:hint="eastAsia" w:ascii="宋体" w:hAnsi="宋体"/>
          <w:b/>
          <w:color w:val="000000" w:themeColor="text1"/>
          <w:sz w:val="24"/>
          <w14:textFill>
            <w14:solidFill>
              <w14:schemeClr w14:val="tx1"/>
            </w14:solidFill>
          </w14:textFill>
        </w:rPr>
        <w:t>5、电梯运行管理</w:t>
      </w:r>
      <w:bookmarkEnd w:id="177"/>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（1）维护要求：每天巡逻检查两次，记录电梯日常使用状况，需每半月进行一次例行维护保养，配合做好每年一次的电梯年检工作和各项检查考核工作。</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（2）人员要求：电梯运行操作工和电梯维修操作工必须经培训，考取质量技术监督部门颁发的特种设备作业人员证，方可上岗操作。</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（3）电梯出现故障后，维修人员在 15 分钟内到达现场维修，小修及时处理，中修、大修及时联系厂家技术人员并协助维修；维修及时率100%；有故障应急处理方案。</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78" w:name="_Toc25654"/>
      <w:r>
        <w:rPr>
          <w:rFonts w:hint="eastAsia" w:ascii="宋体" w:hAnsi="宋体"/>
          <w:b/>
          <w:color w:val="000000" w:themeColor="text1"/>
          <w:sz w:val="24"/>
          <w14:textFill>
            <w14:solidFill>
              <w14:schemeClr w14:val="tx1"/>
            </w14:solidFill>
          </w14:textFill>
        </w:rPr>
        <w:t>6、房屋建筑本体共用部位日常维护和管理的服务质量标准</w:t>
      </w:r>
      <w:bookmarkEnd w:id="178"/>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负责建筑本体（楼盖、梁、柱、内外墙体和基础等承重结构部位、外墙面、楼梯间、走廊通门厅等）按国家或行业标准进行维修、养护和管理，保证各建筑物均处于良好状态，发现损坏及时组织维修部门维修。</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79" w:name="_Toc30151"/>
      <w:r>
        <w:rPr>
          <w:rFonts w:hint="eastAsia" w:ascii="宋体" w:hAnsi="宋体"/>
          <w:b/>
          <w:color w:val="000000" w:themeColor="text1"/>
          <w:sz w:val="24"/>
          <w14:textFill>
            <w14:solidFill>
              <w14:schemeClr w14:val="tx1"/>
            </w14:solidFill>
          </w14:textFill>
        </w:rPr>
        <w:t>7、房屋建筑本体共用设施设备日常维护、管理和运行服务的服务质量标准</w:t>
      </w:r>
      <w:bookmarkEnd w:id="179"/>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（1）负责建筑本体共用设施设备（共用的上、下管道、落水管、照明、配电系统，消防设备、安防监控设施等）的维修、养护、清洁、管理、保证各种设施设备均处于良好状态，出现故障及时排除。</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（2）负责公共设施和附属建筑物、构筑物的维修、养护和管理，包括道路、室外上下水管道、排水道、化粪池、露天停车场等。</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（3）确保办公内设施保持完好；路面平整、畅通、井盖无丢失；负责路灯、楼道灯等设施的维修、更换。</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（4）保证办公区内公用设施、设备及场所运行正常，处于完好状态，水电供应正常；急修30分钟内到达现场，出现故障 12 小时内排除。</w:t>
      </w:r>
    </w:p>
    <w:p>
      <w:pPr>
        <w:spacing w:line="360" w:lineRule="auto"/>
        <w:ind w:firstLine="482" w:firstLineChars="200"/>
        <w:jc w:val="left"/>
        <w:rPr>
          <w:rFonts w:ascii="宋体" w:hAnsi="宋体"/>
          <w:b/>
          <w:color w:val="000000" w:themeColor="text1"/>
          <w:sz w:val="24"/>
          <w14:textFill>
            <w14:solidFill>
              <w14:schemeClr w14:val="tx1"/>
            </w14:solidFill>
          </w14:textFill>
        </w:rPr>
      </w:pPr>
      <w:bookmarkStart w:id="180" w:name="_Toc5497"/>
      <w:r>
        <w:rPr>
          <w:rFonts w:hint="eastAsia" w:ascii="宋体" w:hAnsi="宋体"/>
          <w:b/>
          <w:color w:val="000000" w:themeColor="text1"/>
          <w:sz w:val="24"/>
          <w14:textFill>
            <w14:solidFill>
              <w14:schemeClr w14:val="tx1"/>
            </w14:solidFill>
          </w14:textFill>
        </w:rPr>
        <w:t>8、其他</w:t>
      </w:r>
      <w:bookmarkEnd w:id="180"/>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（1）房屋维修、设备出现故障时，维修人员应在接到报修后 30 分钟内到达现场，设备零修合格率达到 100%，一般性维修不过夜，</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（2）完成交办的各类临时任务。</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（3）中控室、监控室的维护</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（4）通信机房、网络维护维修</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（5）配电机房的维护</w:t>
      </w:r>
    </w:p>
    <w:p>
      <w:pPr>
        <w:tabs>
          <w:tab w:val="right" w:pos="7826"/>
        </w:tabs>
        <w:spacing w:line="360" w:lineRule="auto"/>
        <w:ind w:firstLine="480" w:firstLineChars="200"/>
        <w:jc w:val="left"/>
        <w:rPr>
          <w:rFonts w:ascii="宋体" w:hAnsi="宋体"/>
          <w:color w:val="000000" w:themeColor="text1"/>
          <w:sz w:val="24"/>
          <w14:textFill>
            <w14:solidFill>
              <w14:schemeClr w14:val="tx1"/>
            </w14:solidFill>
          </w14:textFill>
        </w:rPr>
      </w:pPr>
      <w:bookmarkStart w:id="181" w:name="_Toc10083"/>
      <w:r>
        <w:rPr>
          <w:rFonts w:hint="eastAsia" w:ascii="宋体" w:hAnsi="宋体"/>
          <w:color w:val="000000" w:themeColor="text1"/>
          <w:sz w:val="24"/>
          <w14:textFill>
            <w14:solidFill>
              <w14:schemeClr w14:val="tx1"/>
            </w14:solidFill>
          </w14:textFill>
        </w:rPr>
        <w:t>（6）办公区消杀另外计</w:t>
      </w:r>
      <w:bookmarkStart w:id="182" w:name="_Toc21753"/>
      <w:r>
        <w:rPr>
          <w:rFonts w:hint="eastAsia" w:ascii="宋体" w:hAnsi="宋体"/>
          <w:color w:val="000000" w:themeColor="text1"/>
          <w:sz w:val="24"/>
          <w14:textFill>
            <w14:solidFill>
              <w14:schemeClr w14:val="tx1"/>
            </w14:solidFill>
          </w14:textFill>
        </w:rPr>
        <w:t>费</w:t>
      </w:r>
    </w:p>
    <w:p>
      <w:pPr>
        <w:tabs>
          <w:tab w:val="right" w:pos="7826"/>
        </w:tabs>
        <w:jc w:val="left"/>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六、会务服务</w:t>
      </w:r>
      <w:bookmarkEnd w:id="181"/>
      <w:r>
        <w:rPr>
          <w:rFonts w:hint="eastAsia"/>
          <w:b/>
          <w:bCs/>
          <w:color w:val="000000" w:themeColor="text1"/>
          <w:sz w:val="30"/>
          <w:szCs w:val="30"/>
          <w14:textFill>
            <w14:solidFill>
              <w14:schemeClr w14:val="tx1"/>
            </w14:solidFill>
          </w14:textFill>
        </w:rPr>
        <w:t>和管理指标</w:t>
      </w:r>
      <w:bookmarkEnd w:id="182"/>
    </w:p>
    <w:p>
      <w:pPr>
        <w:spacing w:line="360" w:lineRule="auto"/>
        <w:ind w:firstLine="241" w:firstLineChars="100"/>
        <w:rPr>
          <w:rFonts w:ascii="宋体" w:hAnsi="宋体" w:cs="宋体"/>
          <w:b/>
          <w:bCs/>
          <w:color w:val="000000" w:themeColor="text1"/>
          <w:sz w:val="24"/>
          <w14:textFill>
            <w14:solidFill>
              <w14:schemeClr w14:val="tx1"/>
            </w14:solidFill>
          </w14:textFill>
        </w:rPr>
      </w:pPr>
      <w:bookmarkStart w:id="183" w:name="_Toc5145"/>
      <w:r>
        <w:rPr>
          <w:rFonts w:hint="eastAsia" w:ascii="宋体" w:hAnsi="宋体" w:cs="宋体"/>
          <w:b/>
          <w:bCs/>
          <w:color w:val="000000" w:themeColor="text1"/>
          <w:sz w:val="24"/>
          <w14:textFill>
            <w14:solidFill>
              <w14:schemeClr w14:val="tx1"/>
            </w14:solidFill>
          </w14:textFill>
        </w:rPr>
        <w:t>1、人员要求</w:t>
      </w:r>
      <w:bookmarkEnd w:id="183"/>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会务人员为女性（年龄为 25-35 岁），身高不能低于160CM，身体健康，仪表端庄，精力充沛，工作认真负责并定期接受培训，有酒店会务服务经验。</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（1）具备酒店会务服务相关经验；</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（2）普通话标准，做事认真负责，亲和力强；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（3）有良好的纪律性、组织协调性，有敬业精神；</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（4）拥有服务意识，做事细心。</w:t>
      </w:r>
    </w:p>
    <w:p>
      <w:pPr>
        <w:spacing w:line="360" w:lineRule="auto"/>
        <w:ind w:firstLine="241" w:firstLineChars="100"/>
        <w:rPr>
          <w:rFonts w:ascii="宋体" w:hAnsi="宋体" w:cs="宋体"/>
          <w:b/>
          <w:bCs/>
          <w:color w:val="000000" w:themeColor="text1"/>
          <w:sz w:val="24"/>
          <w14:textFill>
            <w14:solidFill>
              <w14:schemeClr w14:val="tx1"/>
            </w14:solidFill>
          </w14:textFill>
        </w:rPr>
      </w:pPr>
      <w:bookmarkStart w:id="184" w:name="_Toc17993"/>
      <w:r>
        <w:rPr>
          <w:rFonts w:hint="eastAsia" w:ascii="宋体" w:hAnsi="宋体" w:cs="宋体"/>
          <w:b/>
          <w:bCs/>
          <w:color w:val="000000" w:themeColor="text1"/>
          <w:sz w:val="24"/>
          <w14:textFill>
            <w14:solidFill>
              <w14:schemeClr w14:val="tx1"/>
            </w14:solidFill>
          </w14:textFill>
        </w:rPr>
        <w:t>2、会前准备</w:t>
      </w:r>
      <w:bookmarkEnd w:id="184"/>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（1）确认使用会议室的单位、参加人数、时间、何人参加等情况及其要求；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（2）按要求布置会场，摆放所需用具，会场的布置形式主要有：座谈式、课堂式、会谈式、会见式等；</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（3）调节室内空气和温度，检查电源，调试扩音、灯光效果；</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（4）清理厕所，放好卫生用品。</w:t>
      </w:r>
    </w:p>
    <w:p>
      <w:pPr>
        <w:spacing w:line="360" w:lineRule="auto"/>
        <w:ind w:firstLine="241" w:firstLineChars="100"/>
        <w:rPr>
          <w:rFonts w:ascii="宋体" w:hAnsi="宋体" w:cs="宋体"/>
          <w:b/>
          <w:bCs/>
          <w:color w:val="000000" w:themeColor="text1"/>
          <w:sz w:val="24"/>
          <w14:textFill>
            <w14:solidFill>
              <w14:schemeClr w14:val="tx1"/>
            </w14:solidFill>
          </w14:textFill>
        </w:rPr>
      </w:pPr>
      <w:bookmarkStart w:id="185" w:name="_Toc26544"/>
      <w:r>
        <w:rPr>
          <w:rFonts w:hint="eastAsia" w:ascii="宋体" w:hAnsi="宋体" w:cs="宋体"/>
          <w:b/>
          <w:bCs/>
          <w:color w:val="000000" w:themeColor="text1"/>
          <w:sz w:val="24"/>
          <w14:textFill>
            <w14:solidFill>
              <w14:schemeClr w14:val="tx1"/>
            </w14:solidFill>
          </w14:textFill>
        </w:rPr>
        <w:t>3、迎宾服务</w:t>
      </w:r>
      <w:bookmarkEnd w:id="185"/>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（1）服务员应站在会议室门口迎接，对行动不便者搀扶进门，帮助挂好衣帽；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（2）参会人员坐定后，服务员由里向外顺序倒上饮用水；</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（3）要了解会议工作人员所坐位置，以便有事联系；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（4）入场完毕后，要随时关闭会议的门。</w:t>
      </w:r>
    </w:p>
    <w:p>
      <w:pPr>
        <w:spacing w:line="360" w:lineRule="auto"/>
        <w:ind w:firstLine="241" w:firstLineChars="100"/>
        <w:rPr>
          <w:rFonts w:ascii="宋体" w:hAnsi="宋体" w:cs="宋体"/>
          <w:b/>
          <w:bCs/>
          <w:color w:val="000000" w:themeColor="text1"/>
          <w:sz w:val="24"/>
          <w14:textFill>
            <w14:solidFill>
              <w14:schemeClr w14:val="tx1"/>
            </w14:solidFill>
          </w14:textFill>
        </w:rPr>
      </w:pPr>
      <w:bookmarkStart w:id="186" w:name="_Toc14538"/>
      <w:r>
        <w:rPr>
          <w:rFonts w:hint="eastAsia" w:ascii="宋体" w:hAnsi="宋体" w:cs="宋体"/>
          <w:b/>
          <w:bCs/>
          <w:color w:val="000000" w:themeColor="text1"/>
          <w:sz w:val="24"/>
          <w14:textFill>
            <w14:solidFill>
              <w14:schemeClr w14:val="tx1"/>
            </w14:solidFill>
          </w14:textFill>
        </w:rPr>
        <w:t>4、开会过程</w:t>
      </w:r>
      <w:bookmarkEnd w:id="186"/>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（1）坚守岗位，注意观察和控制会议室的门，维持秩序，保持会议室周围安静，保证会议安全。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（2）注意观察开会情况，适时添水，一般会议中间只添水一次，主席台第一次添水在会议开始后20分钟左右时进行，第二次添水后每隔30分钟添一次水。每换一位讲话人应换一次杯。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（3）接传电话可通过会议工作人员，不得大声传呼。</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（4）注意观察会议室温度及音响效果。</w:t>
      </w:r>
    </w:p>
    <w:p>
      <w:pPr>
        <w:spacing w:line="360" w:lineRule="auto"/>
        <w:ind w:firstLine="482" w:firstLineChars="200"/>
        <w:rPr>
          <w:rFonts w:ascii="宋体" w:hAnsi="宋体" w:cs="宋体"/>
          <w:b/>
          <w:bCs/>
          <w:color w:val="000000" w:themeColor="text1"/>
          <w:sz w:val="24"/>
          <w14:textFill>
            <w14:solidFill>
              <w14:schemeClr w14:val="tx1"/>
            </w14:solidFill>
          </w14:textFill>
        </w:rPr>
      </w:pPr>
      <w:bookmarkStart w:id="187" w:name="_Toc19965"/>
      <w:r>
        <w:rPr>
          <w:rFonts w:hint="eastAsia" w:ascii="宋体" w:hAnsi="宋体" w:cs="宋体"/>
          <w:b/>
          <w:bCs/>
          <w:color w:val="000000" w:themeColor="text1"/>
          <w:sz w:val="24"/>
          <w14:textFill>
            <w14:solidFill>
              <w14:schemeClr w14:val="tx1"/>
            </w14:solidFill>
          </w14:textFill>
        </w:rPr>
        <w:t>5、会议结束</w:t>
      </w:r>
      <w:bookmarkEnd w:id="187"/>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（1）会议结束时，应及时打开会议室的门，在门口欢送参会人员，并帮助行动不便者取下衣帽，帮助穿戴。</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（2）向会议工作人员征求参会人员对服务方面的意见和要求。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（3）进行安全检查，关闭电器电源，检查会场有参会人丢失的文件和物品。</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（4）检查设备、用具有无缺少和损坏。</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（5）清洁会议室卫生，必要时进行消毒。</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（6）关窗、拉上窗帘、关灯、锁门。</w:t>
      </w:r>
    </w:p>
    <w:p>
      <w:pPr>
        <w:tabs>
          <w:tab w:val="right" w:pos="7826"/>
        </w:tabs>
        <w:jc w:val="left"/>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七、商务需求：</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1、管理服务费用及财务管理要求</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（1）付款方式：物业管理服务费用以签订的合同价为准，按月拨付。</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（2）用于物业管理服务的操作实施时所用水电费用以及维修费用等由业主承担，实报实销。</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（3）物业管理服务人员缺岗的，按其岗位平均每月人员开支的标准扣除服务费。扣除的费用甲方可用于其他顶岗人员的加班或奖励费用。</w:t>
      </w:r>
    </w:p>
    <w:p>
      <w:pPr>
        <w:pStyle w:val="14"/>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投标报价应包括采购范围内服务价款、办公设备费用，工作人员工作服装费、服务人员的工资、社会保险、高温补助、节假日奖金、节日装饰及加班工资、管理单位管理费、税金、各类保洁、消毒及易耗器具等费用，以及所有围绕办公区维修、保洁、安保、绿化、服务等所需一切工具装备费、不可预见费、必要的保险费用、法定税费、中标人供应商合理利润及其它成本费等全部费用。</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2、服务期限：</w:t>
      </w:r>
    </w:p>
    <w:p>
      <w:pPr>
        <w:pStyle w:val="14"/>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自合同签订生效之日起至合同条款约定期满（24个月），中标人应根据招标单位的要求延续提供1-2 个月的服务，费用标准按原合同规定执行。合同期内，中标人能严格履行合同，通过招标单位的考核，招标单位报经招标监管部门同意可以续签，有效期最长不超过24个月</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3、其它要求</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按照《劳动合同法》的规定与员工签订劳动合同并依据国家、广西壮族自治区人民政府《关于调整全区最低工资标准的通知》桂政发〔2020〕1号和桂林有关最低工资标准1810元的规定要求以及缴纳各种社会保险的规定要求向员工支付工资和缴纳社保及其他保险。要求在投标文件中必须单列出对该项内容的承诺函，否则投标无效。</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（2）投标人必须承诺并保证从业人员在国家规定的节假日值班时，按照国家有关规定给予从业人员三倍工资。要求在投标文件中必须单列出对该项内容的承诺函，否则投标无效。</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（3）不得转包给第三者，也不能给第三者挂靠。</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中标人如在合同履行过程不按招标文件要求及投标文件承诺安排从业人员岗位及工作、不与从业人员签订劳动合同、不为从业人员缴纳社会保障（五险）及违法国家相关法律法规并给招标人造成影响的，则视中标人违约，招标人向政府采购监督管理部门报告认定</w:t>
      </w:r>
      <w:r>
        <w:rPr>
          <w:rFonts w:hint="eastAsia" w:ascii="宋体" w:hAnsi="宋体" w:cs="宋体"/>
          <w:bCs/>
          <w:color w:val="000000" w:themeColor="text1"/>
          <w:szCs w:val="21"/>
          <w14:textFill>
            <w14:solidFill>
              <w14:schemeClr w14:val="tx1"/>
            </w14:solidFill>
          </w14:textFill>
        </w:rPr>
        <w:t>中标供应商</w:t>
      </w:r>
      <w:r>
        <w:rPr>
          <w:rFonts w:hint="eastAsia" w:ascii="宋体" w:hAnsi="宋体" w:cs="宋体"/>
          <w:color w:val="000000" w:themeColor="text1"/>
          <w:szCs w:val="21"/>
          <w14:textFill>
            <w14:solidFill>
              <w14:schemeClr w14:val="tx1"/>
            </w14:solidFill>
          </w14:textFill>
        </w:rPr>
        <w:t>虚假应标，追究相应责任。</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（5）中标人如在合同履行过程不按招标人要求进行或工作不到位的，招标人可扣除中标方当月物业管理费，甚至情节严重的可单方面中止合同。</w:t>
      </w:r>
    </w:p>
    <w:p>
      <w:pPr>
        <w:spacing w:line="360" w:lineRule="auto"/>
        <w:jc w:val="left"/>
        <w:rPr>
          <w:rFonts w:ascii="宋体" w:hAnsi="宋体" w:cs="宋体"/>
          <w:b/>
          <w:bCs/>
          <w:color w:val="000000" w:themeColor="text1"/>
          <w:szCs w:val="21"/>
          <w14:textFill>
            <w14:solidFill>
              <w14:schemeClr w14:val="tx1"/>
            </w14:solidFill>
          </w14:textFill>
        </w:rPr>
      </w:pPr>
    </w:p>
    <w:p>
      <w:pPr>
        <w:pStyle w:val="14"/>
        <w:rPr>
          <w:color w:val="000000" w:themeColor="text1"/>
          <w14:textFill>
            <w14:solidFill>
              <w14:schemeClr w14:val="tx1"/>
            </w14:solidFill>
          </w14:textFill>
        </w:rPr>
      </w:pPr>
    </w:p>
    <w:p>
      <w:pPr>
        <w:pStyle w:val="14"/>
        <w:rPr>
          <w:color w:val="000000" w:themeColor="text1"/>
          <w14:textFill>
            <w14:solidFill>
              <w14:schemeClr w14:val="tx1"/>
            </w14:solidFill>
          </w14:textFill>
        </w:rPr>
      </w:pPr>
    </w:p>
    <w:p>
      <w:pPr>
        <w:pStyle w:val="14"/>
        <w:rPr>
          <w:color w:val="000000" w:themeColor="text1"/>
          <w14:textFill>
            <w14:solidFill>
              <w14:schemeClr w14:val="tx1"/>
            </w14:solidFill>
          </w14:textFill>
        </w:rPr>
      </w:pPr>
    </w:p>
    <w:p>
      <w:pPr>
        <w:pStyle w:val="14"/>
        <w:rPr>
          <w:color w:val="000000" w:themeColor="text1"/>
          <w14:textFill>
            <w14:solidFill>
              <w14:schemeClr w14:val="tx1"/>
            </w14:solidFill>
          </w14:textFill>
        </w:rPr>
      </w:pPr>
    </w:p>
    <w:p>
      <w:pPr>
        <w:pStyle w:val="14"/>
        <w:rPr>
          <w:color w:val="000000" w:themeColor="text1"/>
          <w14:textFill>
            <w14:solidFill>
              <w14:schemeClr w14:val="tx1"/>
            </w14:solidFill>
          </w14:textFill>
        </w:rPr>
      </w:pPr>
    </w:p>
    <w:p>
      <w:pPr>
        <w:pStyle w:val="14"/>
        <w:rPr>
          <w:color w:val="000000" w:themeColor="text1"/>
          <w14:textFill>
            <w14:solidFill>
              <w14:schemeClr w14:val="tx1"/>
            </w14:solidFill>
          </w14:textFill>
        </w:rPr>
      </w:pPr>
    </w:p>
    <w:p>
      <w:pPr>
        <w:pStyle w:val="14"/>
        <w:rPr>
          <w:color w:val="000000" w:themeColor="text1"/>
          <w14:textFill>
            <w14:solidFill>
              <w14:schemeClr w14:val="tx1"/>
            </w14:solidFill>
          </w14:textFill>
        </w:rPr>
      </w:pPr>
    </w:p>
    <w:p>
      <w:pPr>
        <w:pStyle w:val="14"/>
        <w:rPr>
          <w:color w:val="000000" w:themeColor="text1"/>
          <w14:textFill>
            <w14:solidFill>
              <w14:schemeClr w14:val="tx1"/>
            </w14:solidFill>
          </w14:textFill>
        </w:rPr>
      </w:pPr>
    </w:p>
    <w:p>
      <w:pPr>
        <w:pStyle w:val="14"/>
        <w:rPr>
          <w:color w:val="000000" w:themeColor="text1"/>
          <w14:textFill>
            <w14:solidFill>
              <w14:schemeClr w14:val="tx1"/>
            </w14:solidFill>
          </w14:textFill>
        </w:rPr>
      </w:pPr>
    </w:p>
    <w:p>
      <w:pPr>
        <w:pStyle w:val="14"/>
        <w:rPr>
          <w:color w:val="000000" w:themeColor="text1"/>
          <w14:textFill>
            <w14:solidFill>
              <w14:schemeClr w14:val="tx1"/>
            </w14:solidFill>
          </w14:textFill>
        </w:rPr>
      </w:pPr>
    </w:p>
    <w:p>
      <w:pPr>
        <w:pStyle w:val="14"/>
        <w:rPr>
          <w:color w:val="000000" w:themeColor="text1"/>
          <w14:textFill>
            <w14:solidFill>
              <w14:schemeClr w14:val="tx1"/>
            </w14:solidFill>
          </w14:textFill>
        </w:rPr>
      </w:pPr>
    </w:p>
    <w:p>
      <w:pPr>
        <w:pStyle w:val="14"/>
        <w:rPr>
          <w:color w:val="000000" w:themeColor="text1"/>
          <w14:textFill>
            <w14:solidFill>
              <w14:schemeClr w14:val="tx1"/>
            </w14:solidFill>
          </w14:textFill>
        </w:rPr>
      </w:pPr>
    </w:p>
    <w:p>
      <w:pPr>
        <w:pStyle w:val="14"/>
        <w:rPr>
          <w:color w:val="000000" w:themeColor="text1"/>
          <w14:textFill>
            <w14:solidFill>
              <w14:schemeClr w14:val="tx1"/>
            </w14:solidFill>
          </w14:textFill>
        </w:rPr>
      </w:pPr>
    </w:p>
    <w:p>
      <w:pPr>
        <w:numPr>
          <w:ilvl w:val="0"/>
          <w:numId w:val="5"/>
        </w:numPr>
        <w:jc w:val="center"/>
        <w:outlineLvl w:val="0"/>
        <w:rPr>
          <w:rFonts w:ascii="宋体" w:hAnsi="宋体" w:cs="宋体"/>
          <w:b/>
          <w:bCs/>
          <w:color w:val="000000" w:themeColor="text1"/>
          <w:kern w:val="44"/>
          <w:sz w:val="32"/>
          <w:szCs w:val="32"/>
          <w14:textFill>
            <w14:solidFill>
              <w14:schemeClr w14:val="tx1"/>
            </w14:solidFill>
          </w14:textFill>
        </w:rPr>
      </w:pPr>
      <w:bookmarkStart w:id="188" w:name="_Toc784"/>
      <w:bookmarkStart w:id="189" w:name="_Toc18150"/>
      <w:bookmarkStart w:id="190" w:name="_Toc24269"/>
      <w:r>
        <w:rPr>
          <w:rFonts w:hint="eastAsia" w:ascii="宋体" w:hAnsi="宋体" w:cs="宋体"/>
          <w:b/>
          <w:bCs/>
          <w:color w:val="000000" w:themeColor="text1"/>
          <w:kern w:val="44"/>
          <w:sz w:val="32"/>
          <w:szCs w:val="32"/>
          <w14:textFill>
            <w14:solidFill>
              <w14:schemeClr w14:val="tx1"/>
            </w14:solidFill>
          </w14:textFill>
        </w:rPr>
        <w:t xml:space="preserve"> </w:t>
      </w:r>
      <w:bookmarkEnd w:id="188"/>
      <w:bookmarkEnd w:id="189"/>
      <w:r>
        <w:rPr>
          <w:rFonts w:hint="eastAsia" w:ascii="宋体" w:hAnsi="宋体" w:cs="宋体"/>
          <w:b/>
          <w:bCs/>
          <w:color w:val="000000" w:themeColor="text1"/>
          <w:kern w:val="44"/>
          <w:sz w:val="32"/>
          <w:szCs w:val="32"/>
          <w14:textFill>
            <w14:solidFill>
              <w14:schemeClr w14:val="tx1"/>
            </w14:solidFill>
          </w14:textFill>
        </w:rPr>
        <w:t xml:space="preserve"> </w:t>
      </w:r>
      <w:bookmarkStart w:id="191" w:name="_Toc3611"/>
      <w:bookmarkStart w:id="192" w:name="_Toc10027"/>
      <w:r>
        <w:rPr>
          <w:rFonts w:hint="eastAsia" w:ascii="宋体" w:hAnsi="宋体" w:cs="宋体"/>
          <w:b/>
          <w:bCs/>
          <w:color w:val="000000" w:themeColor="text1"/>
          <w:kern w:val="44"/>
          <w:sz w:val="32"/>
          <w:szCs w:val="32"/>
          <w14:textFill>
            <w14:solidFill>
              <w14:schemeClr w14:val="tx1"/>
            </w14:solidFill>
          </w14:textFill>
        </w:rPr>
        <w:t>评标办法</w:t>
      </w:r>
      <w:bookmarkEnd w:id="191"/>
      <w:bookmarkEnd w:id="192"/>
    </w:p>
    <w:p>
      <w:pPr>
        <w:spacing w:line="390" w:lineRule="exact"/>
        <w:ind w:firstLine="426" w:firstLineChars="202"/>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一、评标原则</w:t>
      </w:r>
    </w:p>
    <w:p>
      <w:pPr>
        <w:pStyle w:val="17"/>
        <w:adjustRightInd w:val="0"/>
        <w:spacing w:line="39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（一）评委会组成：本招标采购项目的评标委员会由采购人代表、技术和经济等方面的专家组成。其中，专家评委不得少于成员总数的三分之二。</w:t>
      </w:r>
    </w:p>
    <w:p>
      <w:pPr>
        <w:pStyle w:val="17"/>
        <w:adjustRightInd w:val="0"/>
        <w:spacing w:line="39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（二）评标依据：</w:t>
      </w:r>
      <w:r>
        <w:rPr>
          <w:rFonts w:hint="eastAsia" w:hAnsi="宋体"/>
          <w:bCs/>
          <w:color w:val="000000" w:themeColor="text1"/>
          <w:kern w:val="0"/>
          <w:szCs w:val="21"/>
          <w14:textFill>
            <w14:solidFill>
              <w14:schemeClr w14:val="tx1"/>
            </w14:solidFill>
          </w14:textFill>
        </w:rPr>
        <w:t>评委将以招投标文件为评标依据，对投标人的内容按百分制打分。</w:t>
      </w:r>
    </w:p>
    <w:p>
      <w:pPr>
        <w:pStyle w:val="17"/>
        <w:adjustRightInd w:val="0"/>
        <w:spacing w:line="39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（三）评标方式：以封闭方式进行。</w:t>
      </w:r>
    </w:p>
    <w:p>
      <w:pPr>
        <w:ind w:firstLine="420" w:firstLineChars="200"/>
        <w:rPr>
          <w:rFonts w:ascii="宋体" w:hAnsi="宋体" w:cs="宋体"/>
          <w:bCs/>
          <w:color w:val="000000" w:themeColor="text1"/>
          <w:szCs w:val="20"/>
          <w14:textFill>
            <w14:solidFill>
              <w14:schemeClr w14:val="tx1"/>
            </w14:solidFill>
          </w14:textFill>
        </w:rPr>
      </w:pPr>
      <w:r>
        <w:rPr>
          <w:rFonts w:hint="eastAsia" w:ascii="宋体" w:hAnsi="宋体" w:cs="宋体"/>
          <w:bCs/>
          <w:color w:val="000000" w:themeColor="text1"/>
          <w:szCs w:val="20"/>
          <w14:textFill>
            <w14:solidFill>
              <w14:schemeClr w14:val="tx1"/>
            </w14:solidFill>
          </w14:textFill>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二、评定方法</w:t>
      </w:r>
    </w:p>
    <w:p>
      <w:pPr>
        <w:pStyle w:val="17"/>
        <w:adjustRightInd w:val="0"/>
        <w:spacing w:line="39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（一）对进入详评的，采用百分制综合评分法。</w:t>
      </w:r>
    </w:p>
    <w:p>
      <w:pPr>
        <w:pStyle w:val="17"/>
        <w:adjustRightInd w:val="0"/>
        <w:spacing w:line="39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（二）计分办法（按四舍五入取至百分位）：</w:t>
      </w:r>
    </w:p>
    <w:p>
      <w:pPr>
        <w:pStyle w:val="17"/>
        <w:spacing w:line="390" w:lineRule="exact"/>
        <w:ind w:firstLine="422" w:firstLineChars="200"/>
        <w:rPr>
          <w:rFonts w:hAnsi="宋体" w:cs="宋体"/>
          <w:b/>
          <w:bCs/>
          <w:color w:val="000000" w:themeColor="text1"/>
          <w:kern w:val="0"/>
          <w:szCs w:val="21"/>
          <w14:textFill>
            <w14:solidFill>
              <w14:schemeClr w14:val="tx1"/>
            </w14:solidFill>
          </w14:textFill>
        </w:rPr>
      </w:pPr>
      <w:bookmarkStart w:id="193" w:name="_Toc7653"/>
      <w:r>
        <w:rPr>
          <w:rFonts w:hint="eastAsia" w:hAnsi="宋体" w:cs="宋体"/>
          <w:b/>
          <w:bCs/>
          <w:color w:val="000000" w:themeColor="text1"/>
          <w:kern w:val="0"/>
          <w:szCs w:val="21"/>
          <w14:textFill>
            <w14:solidFill>
              <w14:schemeClr w14:val="tx1"/>
            </w14:solidFill>
          </w14:textFill>
        </w:rPr>
        <w:t>1、价格分…………………………………………………………………………………………………30分</w:t>
      </w:r>
      <w:bookmarkEnd w:id="193"/>
    </w:p>
    <w:p>
      <w:pPr>
        <w:pStyle w:val="17"/>
        <w:spacing w:line="390" w:lineRule="exact"/>
        <w:ind w:firstLine="420" w:firstLineChars="20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（1）</w:t>
      </w:r>
      <w:r>
        <w:rPr>
          <w:rFonts w:hint="eastAsia" w:hAnsi="宋体" w:cs="宋体"/>
          <w:color w:val="000000" w:themeColor="text1"/>
          <w14:textFill>
            <w14:solidFill>
              <w14:schemeClr w14:val="tx1"/>
            </w14:solidFill>
          </w14:textFill>
        </w:rPr>
        <w:t>按照《政府采购促进中小企业发展暂行办法》（财库[2011]181号）规定：</w:t>
      </w:r>
    </w:p>
    <w:p>
      <w:pPr>
        <w:pStyle w:val="17"/>
        <w:spacing w:line="39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szCs w:val="21"/>
          <w14:textFill>
            <w14:solidFill>
              <w14:schemeClr w14:val="tx1"/>
            </w14:solidFill>
          </w14:textFill>
        </w:rPr>
        <w:t>投标单位认定为小型和微型企业的（以投标文件提供的符合规定的有关证明材料为准)，并提供本企业制造的服务，由本企业承担工程、提供服务，或者提供其他小型、微型企业制造的服务的（不包括使用大型企业注册商标的服务）</w:t>
      </w:r>
      <w:r>
        <w:rPr>
          <w:rFonts w:hint="eastAsia" w:hAnsi="宋体" w:cs="宋体"/>
          <w:color w:val="000000" w:themeColor="text1"/>
          <w14:textFill>
            <w14:solidFill>
              <w14:schemeClr w14:val="tx1"/>
            </w14:solidFill>
          </w14:textFill>
        </w:rPr>
        <w:t>，投标价给予10%的扣除，扣除后的价格为评标报价，即评标报价=投标报价×（1-10%）；</w:t>
      </w:r>
    </w:p>
    <w:p>
      <w:pPr>
        <w:pStyle w:val="17"/>
        <w:spacing w:line="390" w:lineRule="exact"/>
        <w:ind w:firstLine="420"/>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注：中小微型企业划分标准按照《国家统计局关于印发《统计上大中小微型企业划分办法（2017）》的通知》（国统字[2017]213号）执行，具体划分标准见附表《统计上大中小微型企业划分标准》。</w:t>
      </w:r>
    </w:p>
    <w:p>
      <w:pPr>
        <w:pStyle w:val="17"/>
        <w:numPr>
          <w:ilvl w:val="0"/>
          <w:numId w:val="6"/>
        </w:numPr>
        <w:spacing w:line="390" w:lineRule="exact"/>
        <w:ind w:firstLine="420"/>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根据《关于政府采购支持监狱企业发展有关问题的通知》（财库[2014]68号）和</w:t>
      </w:r>
      <w:r>
        <w:rPr>
          <w:rFonts w:hint="eastAsia" w:hAnsi="宋体" w:cs="宋体"/>
          <w:color w:val="000000" w:themeColor="text1"/>
          <w:szCs w:val="21"/>
          <w14:textFill>
            <w14:solidFill>
              <w14:schemeClr w14:val="tx1"/>
            </w14:solidFill>
          </w14:textFill>
        </w:rPr>
        <w:t>《关于促进残疾人就业政府采购政策的通知》（财库[2017]141号）</w:t>
      </w:r>
      <w:r>
        <w:rPr>
          <w:rFonts w:hint="eastAsia" w:hAnsi="宋体" w:cs="宋体"/>
          <w:color w:val="000000" w:themeColor="text1"/>
          <w:kern w:val="0"/>
          <w:szCs w:val="21"/>
          <w14:textFill>
            <w14:solidFill>
              <w14:schemeClr w14:val="tx1"/>
            </w14:solidFill>
          </w14:textFill>
        </w:rPr>
        <w:t>，监狱企业和符合条件的残疾人企业视同小型、微型企业，享受小型、微型企业评审中价格扣除的政府采购政策。</w:t>
      </w:r>
    </w:p>
    <w:p>
      <w:pPr>
        <w:pStyle w:val="17"/>
        <w:numPr>
          <w:ilvl w:val="0"/>
          <w:numId w:val="6"/>
        </w:numPr>
        <w:spacing w:line="380" w:lineRule="exact"/>
        <w:ind w:firstLine="42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7"/>
        <w:spacing w:line="38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szCs w:val="21"/>
          <w14:textFill>
            <w14:solidFill>
              <w14:schemeClr w14:val="tx1"/>
            </w14:solidFill>
          </w14:textFill>
        </w:rPr>
        <w:t>对于不属于以上情形的投标人，其投标报价即为评标价。</w:t>
      </w:r>
    </w:p>
    <w:p>
      <w:pPr>
        <w:pStyle w:val="17"/>
        <w:spacing w:line="390" w:lineRule="exact"/>
        <w:ind w:firstLine="420"/>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（4）价格分采用低价优先法计算，即满足招标文件要求且评标报价最低的评标报价为评标基准价，其价格分为30分。</w:t>
      </w:r>
    </w:p>
    <w:p>
      <w:pPr>
        <w:pStyle w:val="17"/>
        <w:spacing w:line="390" w:lineRule="exact"/>
        <w:ind w:firstLine="420"/>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（5）价格分计算公式：</w:t>
      </w:r>
    </w:p>
    <w:p>
      <w:pPr>
        <w:pStyle w:val="17"/>
        <w:spacing w:line="400" w:lineRule="exact"/>
        <w:ind w:firstLine="3087" w:firstLineChars="147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最低投标人</w:t>
      </w:r>
      <w:r>
        <w:rPr>
          <w:rFonts w:hint="eastAsia" w:hAnsi="宋体" w:cs="宋体"/>
          <w:color w:val="000000" w:themeColor="text1"/>
          <w14:textFill>
            <w14:solidFill>
              <w14:schemeClr w14:val="tx1"/>
            </w14:solidFill>
          </w14:textFill>
        </w:rPr>
        <w:t>评标报价</w:t>
      </w:r>
      <w:r>
        <w:rPr>
          <w:rFonts w:hint="eastAsia" w:hAnsi="宋体" w:cs="宋体"/>
          <w:bCs/>
          <w:color w:val="000000" w:themeColor="text1"/>
          <w14:textFill>
            <w14:solidFill>
              <w14:schemeClr w14:val="tx1"/>
            </w14:solidFill>
          </w14:textFill>
        </w:rPr>
        <w:t xml:space="preserve">金额          </w:t>
      </w:r>
    </w:p>
    <w:p>
      <w:pPr>
        <w:pStyle w:val="17"/>
        <w:spacing w:line="400" w:lineRule="exact"/>
        <w:ind w:firstLine="42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4"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4" o:spid="_x0000_s1026" o:spt="20" style="position:absolute;left:0pt;margin-left:144pt;margin-top:15.5pt;height:0pt;width:173.25pt;z-index:251660288;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QqkOtcAAAAJAQAADwAAAAAAAAABACAAAAAiAAAAZHJzL2Rv&#10;d25yZXYueG1sUEsBAhQAFAAAAAgAh07iQDi1slXJAQAAjwMAAA4AAAAAAAAAAQAgAAAAJgEAAGRy&#10;cy9lMm9Eb2MueG1sUEsFBgAAAAAGAAYAWQEAAGEFAAAAAA==&#10;">
                <v:fill on="f" focussize="0,0"/>
                <v:stroke color="#000000" joinstyle="round"/>
                <v:imagedata o:title=""/>
                <o:lock v:ext="edit" aspectratio="f"/>
              </v:line>
            </w:pict>
          </mc:Fallback>
        </mc:AlternateContent>
      </w:r>
      <w:r>
        <w:rPr>
          <w:rFonts w:hint="eastAsia" w:hAnsi="宋体" w:cs="宋体"/>
          <w:bCs/>
          <w:color w:val="000000" w:themeColor="text1"/>
          <w14:textFill>
            <w14:solidFill>
              <w14:schemeClr w14:val="tx1"/>
            </w14:solidFill>
          </w14:textFill>
        </w:rPr>
        <w:t>某投标人价格分 =                                    　　× 30  分</w:t>
      </w:r>
    </w:p>
    <w:p>
      <w:pPr>
        <w:pStyle w:val="17"/>
        <w:spacing w:line="400" w:lineRule="exact"/>
        <w:ind w:firstLine="420" w:firstLineChars="200"/>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 xml:space="preserve">                           某投标人</w:t>
      </w:r>
      <w:r>
        <w:rPr>
          <w:rFonts w:hint="eastAsia" w:hAnsi="宋体" w:cs="宋体"/>
          <w:color w:val="000000" w:themeColor="text1"/>
          <w14:textFill>
            <w14:solidFill>
              <w14:schemeClr w14:val="tx1"/>
            </w14:solidFill>
          </w14:textFill>
        </w:rPr>
        <w:t>评标报价</w:t>
      </w:r>
      <w:r>
        <w:rPr>
          <w:rFonts w:hint="eastAsia" w:hAnsi="宋体" w:cs="宋体"/>
          <w:bCs/>
          <w:color w:val="000000" w:themeColor="text1"/>
          <w14:textFill>
            <w14:solidFill>
              <w14:schemeClr w14:val="tx1"/>
            </w14:solidFill>
          </w14:textFill>
        </w:rPr>
        <w:t xml:space="preserve">金额  </w:t>
      </w:r>
    </w:p>
    <w:p>
      <w:pPr>
        <w:pStyle w:val="8"/>
        <w:rPr>
          <w:color w:val="000000" w:themeColor="text1"/>
          <w14:textFill>
            <w14:solidFill>
              <w14:schemeClr w14:val="tx1"/>
            </w14:solidFill>
          </w14:textFill>
        </w:rPr>
      </w:pPr>
    </w:p>
    <w:p>
      <w:pPr>
        <w:widowControl/>
        <w:spacing w:line="360" w:lineRule="auto"/>
        <w:ind w:firstLine="422" w:firstLineChars="200"/>
        <w:rPr>
          <w:rFonts w:ascii="宋体" w:hAnsi="宋体"/>
          <w:b/>
          <w:bCs/>
          <w:color w:val="000000" w:themeColor="text1"/>
          <w:kern w:val="0"/>
          <w:szCs w:val="21"/>
          <w14:textFill>
            <w14:solidFill>
              <w14:schemeClr w14:val="tx1"/>
            </w14:solidFill>
          </w14:textFill>
        </w:rPr>
      </w:pPr>
      <w:bookmarkStart w:id="194" w:name="_Toc2257"/>
      <w:bookmarkStart w:id="195" w:name="_Toc21599"/>
      <w:bookmarkStart w:id="196" w:name="_Toc29138"/>
      <w:bookmarkStart w:id="197" w:name="_Toc2564"/>
      <w:bookmarkStart w:id="198" w:name="_Toc23523"/>
      <w:r>
        <w:rPr>
          <w:rFonts w:ascii="宋体" w:hAnsi="宋体"/>
          <w:b/>
          <w:color w:val="000000" w:themeColor="text1"/>
          <w:kern w:val="0"/>
          <w:szCs w:val="21"/>
          <w14:textFill>
            <w14:solidFill>
              <w14:schemeClr w14:val="tx1"/>
            </w14:solidFill>
          </w14:textFill>
        </w:rPr>
        <w:t>2</w:t>
      </w:r>
      <w:r>
        <w:rPr>
          <w:rFonts w:hint="eastAsia" w:ascii="宋体" w:hAnsi="宋体"/>
          <w:b/>
          <w:color w:val="000000" w:themeColor="text1"/>
          <w:kern w:val="0"/>
          <w:szCs w:val="21"/>
          <w14:textFill>
            <w14:solidFill>
              <w14:schemeClr w14:val="tx1"/>
            </w14:solidFill>
          </w14:textFill>
        </w:rPr>
        <w:t>、</w:t>
      </w:r>
      <w:r>
        <w:rPr>
          <w:rFonts w:hint="eastAsia" w:ascii="宋体" w:hAnsi="宋体"/>
          <w:b/>
          <w:bCs/>
          <w:color w:val="000000" w:themeColor="text1"/>
          <w:kern w:val="0"/>
          <w:szCs w:val="21"/>
          <w14:textFill>
            <w14:solidFill>
              <w14:schemeClr w14:val="tx1"/>
            </w14:solidFill>
          </w14:textFill>
        </w:rPr>
        <w:t>管理经验与业绩分……………………………………………………………………………………2</w:t>
      </w:r>
      <w:r>
        <w:rPr>
          <w:rFonts w:hint="eastAsia" w:ascii="宋体" w:hAnsi="宋体"/>
          <w:b/>
          <w:bCs/>
          <w:color w:val="000000" w:themeColor="text1"/>
          <w:kern w:val="0"/>
          <w:szCs w:val="21"/>
          <w:lang w:val="en-US" w:eastAsia="zh-CN"/>
          <w14:textFill>
            <w14:solidFill>
              <w14:schemeClr w14:val="tx1"/>
            </w14:solidFill>
          </w14:textFill>
        </w:rPr>
        <w:t>2</w:t>
      </w:r>
      <w:r>
        <w:rPr>
          <w:rFonts w:hint="eastAsia" w:ascii="宋体" w:hAnsi="宋体"/>
          <w:b/>
          <w:bCs/>
          <w:color w:val="000000" w:themeColor="text1"/>
          <w:kern w:val="0"/>
          <w:szCs w:val="21"/>
          <w14:textFill>
            <w14:solidFill>
              <w14:schemeClr w14:val="tx1"/>
            </w14:solidFill>
          </w14:textFill>
        </w:rPr>
        <w:t>分</w:t>
      </w:r>
    </w:p>
    <w:p>
      <w:pPr>
        <w:widowControl/>
        <w:spacing w:line="360" w:lineRule="auto"/>
        <w:ind w:firstLine="42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（1）投标人考核期内承接的同类项目，每有一个得1分，相同项目不得重复加分，满分为14分。</w:t>
      </w:r>
    </w:p>
    <w:p>
      <w:pPr>
        <w:widowControl/>
        <w:spacing w:line="360" w:lineRule="auto"/>
        <w:ind w:firstLine="42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备注：1、考核期为2017年1月1日起至今，提供合同或中标/成交通知书或验收报告或项目业主单位出具的证明等证明材料复印件，原件在签订合同备查。2、同类项目指含保安服务、保洁服务、绿化服务、工程维修服务、会务服务（至少包含四项）等物业管理项目；3、续签项目只按一个项目计分。】</w:t>
      </w:r>
    </w:p>
    <w:p>
      <w:pPr>
        <w:pStyle w:val="123"/>
        <w:widowControl/>
        <w:spacing w:line="360" w:lineRule="auto"/>
        <w:ind w:left="42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（2）投</w:t>
      </w:r>
      <w:r>
        <w:rPr>
          <w:rFonts w:hint="eastAsia" w:ascii="宋体" w:hAnsi="宋体" w:eastAsia="宋体" w:cs="宋体"/>
          <w:color w:val="000000" w:themeColor="text1"/>
          <w:kern w:val="0"/>
          <w:sz w:val="21"/>
          <w:szCs w:val="21"/>
          <w14:textFill>
            <w14:solidFill>
              <w14:schemeClr w14:val="tx1"/>
            </w14:solidFill>
          </w14:textFill>
        </w:rPr>
        <w:t>标人的项目实施人员里具有本科学历的每有一个得1分，满分</w:t>
      </w:r>
      <w:r>
        <w:rPr>
          <w:rFonts w:hint="eastAsia" w:ascii="宋体" w:hAnsi="宋体" w:cs="宋体"/>
          <w:color w:val="000000" w:themeColor="text1"/>
          <w:kern w:val="0"/>
          <w:sz w:val="21"/>
          <w:szCs w:val="21"/>
          <w:lang w:val="en-US" w:eastAsia="zh-CN"/>
          <w14:textFill>
            <w14:solidFill>
              <w14:schemeClr w14:val="tx1"/>
            </w14:solidFill>
          </w14:textFill>
        </w:rPr>
        <w:t>4</w:t>
      </w:r>
      <w:r>
        <w:rPr>
          <w:rFonts w:hint="eastAsia" w:ascii="宋体" w:hAnsi="宋体" w:eastAsia="宋体" w:cs="宋体"/>
          <w:color w:val="000000" w:themeColor="text1"/>
          <w:kern w:val="0"/>
          <w:sz w:val="21"/>
          <w:szCs w:val="21"/>
          <w14:textFill>
            <w14:solidFill>
              <w14:schemeClr w14:val="tx1"/>
            </w14:solidFill>
          </w14:textFill>
        </w:rPr>
        <w:t>分</w:t>
      </w:r>
      <w:r>
        <w:rPr>
          <w:rFonts w:hint="eastAsia" w:ascii="宋体" w:hAnsi="宋体" w:eastAsia="宋体" w:cs="宋体"/>
          <w:color w:val="000000" w:themeColor="text1"/>
          <w:kern w:val="0"/>
          <w:sz w:val="21"/>
          <w:szCs w:val="21"/>
          <w14:textFill>
            <w14:solidFill>
              <w14:schemeClr w14:val="tx1"/>
            </w14:solidFill>
          </w14:textFill>
        </w:rPr>
        <w:t>（需提供人员的身份证、学</w:t>
      </w:r>
    </w:p>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历证书等证明材料及投标人为其缴纳的近半年内任意连续3个月的社保证明材料）</w:t>
      </w:r>
      <w:r>
        <w:rPr>
          <w:rFonts w:hint="eastAsia" w:ascii="宋体" w:hAnsi="宋体" w:eastAsia="宋体" w:cs="宋体"/>
          <w:color w:val="000000" w:themeColor="text1"/>
          <w:kern w:val="0"/>
          <w:sz w:val="21"/>
          <w:szCs w:val="21"/>
          <w14:textFill>
            <w14:solidFill>
              <w14:schemeClr w14:val="tx1"/>
            </w14:solidFill>
          </w14:textFill>
        </w:rPr>
        <w:t>。</w:t>
      </w:r>
    </w:p>
    <w:p>
      <w:pPr>
        <w:widowControl/>
        <w:spacing w:line="360" w:lineRule="auto"/>
        <w:ind w:left="420" w:leftChars="20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（3）投标人的项目实施人员里具有中国住房和城乡建设部颁发的物业管理师的每有一个得1分，满分</w:t>
      </w:r>
      <w:r>
        <w:rPr>
          <w:rFonts w:hint="eastAsia" w:ascii="宋体" w:hAnsi="宋体" w:cs="宋体"/>
          <w:color w:val="000000" w:themeColor="text1"/>
          <w:kern w:val="0"/>
          <w:sz w:val="21"/>
          <w:szCs w:val="21"/>
          <w:lang w:val="en-US" w:eastAsia="zh-CN"/>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分</w:t>
      </w:r>
      <w:r>
        <w:rPr>
          <w:rFonts w:hint="eastAsia" w:ascii="宋体" w:hAnsi="宋体" w:eastAsia="宋体" w:cs="宋体"/>
          <w:color w:val="000000" w:themeColor="text1"/>
          <w:kern w:val="0"/>
          <w:sz w:val="21"/>
          <w:szCs w:val="21"/>
          <w14:textFill>
            <w14:solidFill>
              <w14:schemeClr w14:val="tx1"/>
            </w14:solidFill>
          </w14:textFill>
        </w:rPr>
        <w:t>（需提供人员的身份证、证书扫描件等证明材料及投标人为其缴纳的近半年内任意连续3个月的社保证明材料）</w:t>
      </w:r>
      <w:r>
        <w:rPr>
          <w:rFonts w:hint="eastAsia" w:ascii="宋体" w:hAnsi="宋体" w:eastAsia="宋体" w:cs="宋体"/>
          <w:color w:val="000000" w:themeColor="text1"/>
          <w:kern w:val="0"/>
          <w:sz w:val="21"/>
          <w:szCs w:val="21"/>
          <w14:textFill>
            <w14:solidFill>
              <w14:schemeClr w14:val="tx1"/>
            </w14:solidFill>
          </w14:textFill>
        </w:rPr>
        <w:t>。</w:t>
      </w:r>
    </w:p>
    <w:p>
      <w:pPr>
        <w:widowControl/>
        <w:spacing w:line="360" w:lineRule="auto"/>
        <w:ind w:firstLine="42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（4）投标人的项目实施人员里具有</w:t>
      </w:r>
      <w:r>
        <w:rPr>
          <w:rFonts w:hint="eastAsia" w:ascii="宋体" w:hAnsi="宋体" w:eastAsia="宋体" w:cs="宋体"/>
          <w:bCs/>
          <w:color w:val="000000" w:themeColor="text1"/>
          <w:sz w:val="21"/>
          <w:szCs w:val="21"/>
          <w14:textFill>
            <w14:solidFill>
              <w14:schemeClr w14:val="tx1"/>
            </w14:solidFill>
          </w14:textFill>
        </w:rPr>
        <w:t>全国物业管理企业经理证书的</w:t>
      </w:r>
      <w:r>
        <w:rPr>
          <w:rFonts w:hint="eastAsia" w:ascii="宋体" w:hAnsi="宋体" w:eastAsia="宋体" w:cs="宋体"/>
          <w:color w:val="000000" w:themeColor="text1"/>
          <w:kern w:val="0"/>
          <w:sz w:val="21"/>
          <w:szCs w:val="21"/>
          <w14:textFill>
            <w14:solidFill>
              <w14:schemeClr w14:val="tx1"/>
            </w14:solidFill>
          </w14:textFill>
        </w:rPr>
        <w:t>每有一个</w:t>
      </w:r>
      <w:r>
        <w:rPr>
          <w:rFonts w:hint="eastAsia" w:ascii="宋体" w:hAnsi="宋体" w:eastAsia="宋体" w:cs="宋体"/>
          <w:bCs/>
          <w:color w:val="000000" w:themeColor="text1"/>
          <w:sz w:val="21"/>
          <w:szCs w:val="21"/>
          <w14:textFill>
            <w14:solidFill>
              <w14:schemeClr w14:val="tx1"/>
            </w14:solidFill>
          </w14:textFill>
        </w:rPr>
        <w:t>得1分，满分</w:t>
      </w:r>
      <w:r>
        <w:rPr>
          <w:rFonts w:hint="eastAsia" w:ascii="宋体" w:hAnsi="宋体" w:cs="宋体"/>
          <w:bCs/>
          <w:color w:val="000000" w:themeColor="text1"/>
          <w:sz w:val="21"/>
          <w:szCs w:val="21"/>
          <w:lang w:val="en-US" w:eastAsia="zh-CN"/>
          <w14:textFill>
            <w14:solidFill>
              <w14:schemeClr w14:val="tx1"/>
            </w14:solidFill>
          </w14:textFill>
        </w:rPr>
        <w:t>2</w:t>
      </w:r>
      <w:r>
        <w:rPr>
          <w:rFonts w:hint="eastAsia" w:ascii="宋体" w:hAnsi="宋体" w:eastAsia="宋体" w:cs="宋体"/>
          <w:bCs/>
          <w:color w:val="000000" w:themeColor="text1"/>
          <w:sz w:val="21"/>
          <w:szCs w:val="21"/>
          <w14:textFill>
            <w14:solidFill>
              <w14:schemeClr w14:val="tx1"/>
            </w14:solidFill>
          </w14:textFill>
        </w:rPr>
        <w:t>分</w:t>
      </w:r>
      <w:r>
        <w:rPr>
          <w:rFonts w:hint="eastAsia" w:ascii="宋体" w:hAnsi="宋体" w:eastAsia="宋体" w:cs="宋体"/>
          <w:color w:val="000000" w:themeColor="text1"/>
          <w:kern w:val="0"/>
          <w:sz w:val="21"/>
          <w:szCs w:val="21"/>
          <w14:textFill>
            <w14:solidFill>
              <w14:schemeClr w14:val="tx1"/>
            </w14:solidFill>
          </w14:textFill>
        </w:rPr>
        <w:t>（需提供人员的身份证、证书扫描件等证明材料及投标人为其缴纳的近半年内任意连续3个月的社保证明材料）</w:t>
      </w:r>
      <w:r>
        <w:rPr>
          <w:rFonts w:hint="eastAsia" w:ascii="宋体" w:hAnsi="宋体" w:eastAsia="宋体" w:cs="宋体"/>
          <w:bCs/>
          <w:color w:val="000000" w:themeColor="text1"/>
          <w:sz w:val="21"/>
          <w:szCs w:val="21"/>
          <w14:textFill>
            <w14:solidFill>
              <w14:schemeClr w14:val="tx1"/>
            </w14:solidFill>
          </w14:textFill>
        </w:rPr>
        <w:t>。</w:t>
      </w:r>
    </w:p>
    <w:p>
      <w:pPr>
        <w:widowControl/>
        <w:spacing w:line="360" w:lineRule="auto"/>
        <w:ind w:firstLine="422" w:firstLineChars="20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3、</w:t>
      </w:r>
      <w:r>
        <w:rPr>
          <w:rFonts w:hint="eastAsia" w:ascii="宋体" w:hAnsi="宋体" w:eastAsia="宋体" w:cs="宋体"/>
          <w:b/>
          <w:bCs/>
          <w:color w:val="000000" w:themeColor="text1"/>
          <w:kern w:val="0"/>
          <w:sz w:val="21"/>
          <w:szCs w:val="21"/>
          <w14:textFill>
            <w14:solidFill>
              <w14:schemeClr w14:val="tx1"/>
            </w14:solidFill>
          </w14:textFill>
        </w:rPr>
        <w:t>服务方案分……………………………………………………………………………………………26分</w:t>
      </w:r>
    </w:p>
    <w:p>
      <w:pPr>
        <w:adjustRightInd w:val="0"/>
        <w:snapToGrid w:val="0"/>
        <w:spacing w:line="360" w:lineRule="auto"/>
        <w:ind w:firstLine="542" w:firstLineChars="257"/>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3.1服务实施方案分（满分6分）</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由评委根据</w:t>
      </w:r>
      <w:r>
        <w:rPr>
          <w:rFonts w:hint="eastAsia" w:ascii="宋体" w:hAnsi="宋体" w:eastAsia="宋体" w:cs="宋体"/>
          <w:color w:val="000000" w:themeColor="text1"/>
          <w:sz w:val="21"/>
          <w:szCs w:val="21"/>
          <w:lang w:val="en-US"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对本项目实际情况及特点提出服务总体设想、服务宗旨、重点关键问题</w:t>
      </w:r>
      <w:r>
        <w:rPr>
          <w:rFonts w:hint="eastAsia" w:ascii="宋体" w:hAnsi="宋体" w:eastAsia="宋体" w:cs="宋体"/>
          <w:color w:val="000000" w:themeColor="text1"/>
          <w:sz w:val="21"/>
          <w:szCs w:val="21"/>
          <w:lang w:val="en-US" w:eastAsia="zh-CN"/>
          <w14:textFill>
            <w14:solidFill>
              <w14:schemeClr w14:val="tx1"/>
            </w14:solidFill>
          </w14:textFill>
        </w:rPr>
        <w:t>等</w:t>
      </w:r>
      <w:r>
        <w:rPr>
          <w:rFonts w:hint="eastAsia" w:ascii="宋体" w:hAnsi="宋体" w:eastAsia="宋体" w:cs="宋体"/>
          <w:color w:val="000000" w:themeColor="text1"/>
          <w:sz w:val="21"/>
          <w:szCs w:val="21"/>
          <w14:textFill>
            <w14:solidFill>
              <w14:schemeClr w14:val="tx1"/>
            </w14:solidFill>
          </w14:textFill>
        </w:rPr>
        <w:t>确定各</w:t>
      </w:r>
      <w:r>
        <w:rPr>
          <w:rFonts w:hint="eastAsia" w:ascii="宋体" w:hAnsi="宋体" w:eastAsia="宋体" w:cs="宋体"/>
          <w:color w:val="000000" w:themeColor="text1"/>
          <w:sz w:val="21"/>
          <w:szCs w:val="21"/>
          <w:lang w:val="en-US"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所属档次。</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一档（0分）：不提供相关内容或方案的。</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二档（2分）：物业管理服务总体方案有不适用本项目用户需求，无针对性，亮点不多，针对性不强。</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三档（4分）：物业管理服务总体方案基本适用本项目用户需求，针对性一般，方案架构基本完整，较为合理，基本可行。</w:t>
      </w:r>
    </w:p>
    <w:p>
      <w:pPr>
        <w:adjustRightInd w:val="0"/>
        <w:snapToGrid w:val="0"/>
        <w:spacing w:line="360" w:lineRule="auto"/>
        <w:ind w:firstLine="539" w:firstLineChars="257"/>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四档（6分）：物业管理服务总体方案完全适用本项目用户需求，有较强针对性，完整详细，科学合理，亮点多，可行性强。</w:t>
      </w:r>
    </w:p>
    <w:p>
      <w:pPr>
        <w:adjustRightInd w:val="0"/>
        <w:snapToGrid w:val="0"/>
        <w:spacing w:line="360" w:lineRule="auto"/>
        <w:ind w:firstLine="542" w:firstLineChars="257"/>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3.2服务人员工资方案分（满分3分）</w:t>
      </w:r>
    </w:p>
    <w:p>
      <w:pPr>
        <w:adjustRightInd w:val="0"/>
        <w:snapToGrid w:val="0"/>
        <w:spacing w:line="360" w:lineRule="auto"/>
        <w:ind w:firstLine="539" w:firstLineChars="257"/>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由评委根据</w:t>
      </w:r>
      <w:r>
        <w:rPr>
          <w:rFonts w:hint="eastAsia" w:ascii="宋体" w:hAnsi="宋体" w:eastAsia="宋体" w:cs="宋体"/>
          <w:color w:val="000000" w:themeColor="text1"/>
          <w:sz w:val="21"/>
          <w:szCs w:val="21"/>
          <w:lang w:val="en-US"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提供配置各类人员的工资等费用报价明细表确定各</w:t>
      </w:r>
      <w:r>
        <w:rPr>
          <w:rFonts w:hint="eastAsia" w:ascii="宋体" w:hAnsi="宋体" w:eastAsia="宋体" w:cs="宋体"/>
          <w:color w:val="000000" w:themeColor="text1"/>
          <w:sz w:val="21"/>
          <w:szCs w:val="21"/>
          <w:lang w:val="en-US"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所属档次</w:t>
      </w:r>
      <w:r>
        <w:rPr>
          <w:rFonts w:hint="eastAsia" w:ascii="宋体" w:hAnsi="宋体" w:eastAsia="宋体" w:cs="宋体"/>
          <w:color w:val="000000" w:themeColor="text1"/>
          <w:sz w:val="21"/>
          <w:szCs w:val="21"/>
          <w:lang w:eastAsia="zh-CN"/>
          <w14:textFill>
            <w14:solidFill>
              <w14:schemeClr w14:val="tx1"/>
            </w14:solidFill>
          </w14:textFill>
        </w:rPr>
        <w:t>。</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一档（0分）：不提供相关内容或方案的。</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二档（1分）：方案简单，内容没有针对性 。</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三档（2分）：方案较合理、较完整,基本满足要求 。</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四档（3分）：方案内容详实、合理、完整，能完全满足项目需要。 </w:t>
      </w:r>
    </w:p>
    <w:p>
      <w:pPr>
        <w:adjustRightInd w:val="0"/>
        <w:snapToGrid w:val="0"/>
        <w:spacing w:line="360" w:lineRule="auto"/>
        <w:ind w:firstLine="542" w:firstLineChars="257"/>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3.3人员培训方案分 （满分3分）</w:t>
      </w:r>
    </w:p>
    <w:p>
      <w:pPr>
        <w:adjustRightInd w:val="0"/>
        <w:snapToGrid w:val="0"/>
        <w:spacing w:line="360" w:lineRule="auto"/>
        <w:ind w:firstLine="539" w:firstLineChars="257"/>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由评委根据各</w:t>
      </w:r>
      <w:r>
        <w:rPr>
          <w:rFonts w:hint="eastAsia" w:ascii="宋体" w:hAnsi="宋体" w:eastAsia="宋体" w:cs="宋体"/>
          <w:color w:val="000000" w:themeColor="text1"/>
          <w:sz w:val="21"/>
          <w:szCs w:val="21"/>
          <w:lang w:val="en-US"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提供</w:t>
      </w:r>
      <w:r>
        <w:rPr>
          <w:rFonts w:hint="eastAsia" w:ascii="宋体" w:hAnsi="宋体" w:eastAsia="宋体" w:cs="宋体"/>
          <w:color w:val="000000" w:themeColor="text1"/>
          <w:sz w:val="21"/>
          <w:szCs w:val="21"/>
          <w:lang w:val="en-US" w:eastAsia="zh-CN"/>
          <w14:textFill>
            <w14:solidFill>
              <w14:schemeClr w14:val="tx1"/>
            </w14:solidFill>
          </w14:textFill>
        </w:rPr>
        <w:t>的</w:t>
      </w:r>
      <w:r>
        <w:rPr>
          <w:rFonts w:hint="eastAsia" w:ascii="宋体" w:hAnsi="宋体" w:eastAsia="宋体" w:cs="宋体"/>
          <w:color w:val="000000" w:themeColor="text1"/>
          <w:sz w:val="21"/>
          <w:szCs w:val="21"/>
          <w14:textFill>
            <w14:solidFill>
              <w14:schemeClr w14:val="tx1"/>
            </w14:solidFill>
          </w14:textFill>
        </w:rPr>
        <w:t>保密服务培训</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业务技能培训</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电梯维修</w:t>
      </w:r>
      <w:r>
        <w:rPr>
          <w:rFonts w:hint="eastAsia" w:ascii="宋体" w:hAnsi="宋体" w:eastAsia="宋体" w:cs="宋体"/>
          <w:color w:val="000000" w:themeColor="text1"/>
          <w:sz w:val="21"/>
          <w:szCs w:val="21"/>
          <w:lang w:val="en-US" w:eastAsia="zh-CN"/>
          <w14:textFill>
            <w14:solidFill>
              <w14:schemeClr w14:val="tx1"/>
            </w14:solidFill>
          </w14:textFill>
        </w:rPr>
        <w:t>培训</w:t>
      </w:r>
      <w:r>
        <w:rPr>
          <w:rFonts w:hint="eastAsia" w:ascii="宋体" w:hAnsi="宋体" w:cs="宋体"/>
          <w:color w:val="000000" w:themeColor="text1"/>
          <w:sz w:val="21"/>
          <w:szCs w:val="21"/>
          <w:lang w:val="en-US" w:eastAsia="zh-CN"/>
          <w14:textFill>
            <w14:solidFill>
              <w14:schemeClr w14:val="tx1"/>
            </w14:solidFill>
          </w14:textFill>
        </w:rPr>
        <w:t>的人次、方式、频率</w:t>
      </w:r>
      <w:r>
        <w:rPr>
          <w:rFonts w:hint="eastAsia" w:ascii="宋体" w:hAnsi="宋体" w:eastAsia="宋体" w:cs="宋体"/>
          <w:color w:val="000000" w:themeColor="text1"/>
          <w:sz w:val="21"/>
          <w:szCs w:val="21"/>
          <w:lang w:val="en-US" w:eastAsia="zh-CN"/>
          <w14:textFill>
            <w14:solidFill>
              <w14:schemeClr w14:val="tx1"/>
            </w14:solidFill>
          </w14:textFill>
        </w:rPr>
        <w:t>等</w:t>
      </w:r>
      <w:r>
        <w:rPr>
          <w:rFonts w:hint="eastAsia" w:ascii="宋体" w:hAnsi="宋体" w:cs="宋体"/>
          <w:color w:val="000000" w:themeColor="text1"/>
          <w:sz w:val="21"/>
          <w:szCs w:val="21"/>
          <w:lang w:val="en-US" w:eastAsia="zh-CN"/>
          <w14:textFill>
            <w14:solidFill>
              <w14:schemeClr w14:val="tx1"/>
            </w14:solidFill>
          </w14:textFill>
        </w:rPr>
        <w:t>内容</w:t>
      </w:r>
      <w:r>
        <w:rPr>
          <w:rFonts w:hint="eastAsia" w:ascii="宋体" w:hAnsi="宋体" w:eastAsia="宋体" w:cs="宋体"/>
          <w:color w:val="000000" w:themeColor="text1"/>
          <w:sz w:val="21"/>
          <w:szCs w:val="21"/>
          <w14:textFill>
            <w14:solidFill>
              <w14:schemeClr w14:val="tx1"/>
            </w14:solidFill>
          </w14:textFill>
        </w:rPr>
        <w:t>确定各</w:t>
      </w:r>
      <w:r>
        <w:rPr>
          <w:rFonts w:hint="eastAsia" w:ascii="宋体" w:hAnsi="宋体" w:eastAsia="宋体" w:cs="宋体"/>
          <w:color w:val="000000" w:themeColor="text1"/>
          <w:sz w:val="21"/>
          <w:szCs w:val="21"/>
          <w:lang w:val="en-US"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所属档次。</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一档（0分）：不提供相关内容或方案的。</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二档（1分）：方案有不适用本项目用户需求，亮点不多，针对性不强。</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三档（2分）：方案基本适用本项目用户需求，方案架构基本完整，较为合理，基本可行。</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四档（3分）：方案完全适用本项目用户需求，完整详细，科学合理，亮点多，可行性强。</w:t>
      </w:r>
    </w:p>
    <w:p>
      <w:pPr>
        <w:adjustRightInd w:val="0"/>
        <w:snapToGrid w:val="0"/>
        <w:spacing w:line="360" w:lineRule="auto"/>
        <w:ind w:firstLine="542"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3.4应急服务方案分（满分6分）</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由评委根据各</w:t>
      </w:r>
      <w:r>
        <w:rPr>
          <w:rFonts w:hint="eastAsia" w:ascii="宋体" w:hAnsi="宋体" w:eastAsia="宋体" w:cs="宋体"/>
          <w:color w:val="000000" w:themeColor="text1"/>
          <w:sz w:val="21"/>
          <w:szCs w:val="21"/>
          <w:lang w:val="en-US"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提供</w:t>
      </w:r>
      <w:r>
        <w:rPr>
          <w:rFonts w:hint="eastAsia" w:ascii="宋体" w:hAnsi="宋体" w:eastAsia="宋体" w:cs="宋体"/>
          <w:color w:val="000000" w:themeColor="text1"/>
          <w:sz w:val="21"/>
          <w:szCs w:val="21"/>
          <w:lang w:val="en-US" w:eastAsia="zh-CN"/>
          <w14:textFill>
            <w14:solidFill>
              <w14:schemeClr w14:val="tx1"/>
            </w14:solidFill>
          </w14:textFill>
        </w:rPr>
        <w:t>的</w:t>
      </w:r>
      <w:r>
        <w:rPr>
          <w:rFonts w:hint="eastAsia" w:ascii="宋体" w:hAnsi="宋体" w:eastAsia="宋体" w:cs="宋体"/>
          <w:color w:val="000000" w:themeColor="text1"/>
          <w:sz w:val="21"/>
          <w:szCs w:val="21"/>
          <w14:textFill>
            <w14:solidFill>
              <w14:schemeClr w14:val="tx1"/>
            </w14:solidFill>
          </w14:textFill>
        </w:rPr>
        <w:t>应急服务方案（如电梯故障</w:t>
      </w:r>
      <w:r>
        <w:rPr>
          <w:rFonts w:hint="eastAsia" w:ascii="宋体" w:hAnsi="宋体" w:eastAsia="宋体" w:cs="宋体"/>
          <w:color w:val="000000" w:themeColor="text1"/>
          <w:sz w:val="21"/>
          <w:szCs w:val="21"/>
          <w:lang w:val="en-US" w:eastAsia="zh-CN"/>
          <w14:textFill>
            <w14:solidFill>
              <w14:schemeClr w14:val="tx1"/>
            </w14:solidFill>
          </w14:textFill>
        </w:rPr>
        <w:t>应急方案、空调系统事故应急方案以及其他</w:t>
      </w:r>
      <w:r>
        <w:rPr>
          <w:rFonts w:hint="eastAsia" w:ascii="宋体" w:hAnsi="宋体" w:eastAsia="宋体" w:cs="宋体"/>
          <w:color w:val="000000" w:themeColor="text1"/>
          <w:sz w:val="21"/>
          <w:szCs w:val="21"/>
          <w14:textFill>
            <w14:solidFill>
              <w14:schemeClr w14:val="tx1"/>
            </w14:solidFill>
          </w14:textFill>
        </w:rPr>
        <w:t>灾害事故</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各种特殊情况的应急方案）</w:t>
      </w:r>
      <w:r>
        <w:rPr>
          <w:rFonts w:hint="eastAsia" w:ascii="宋体" w:hAnsi="宋体" w:eastAsia="宋体" w:cs="宋体"/>
          <w:color w:val="000000" w:themeColor="text1"/>
          <w:sz w:val="21"/>
          <w:szCs w:val="21"/>
          <w14:textFill>
            <w14:solidFill>
              <w14:schemeClr w14:val="tx1"/>
            </w14:solidFill>
          </w14:textFill>
        </w:rPr>
        <w:t>确定各</w:t>
      </w:r>
      <w:r>
        <w:rPr>
          <w:rFonts w:hint="eastAsia" w:ascii="宋体" w:hAnsi="宋体" w:eastAsia="宋体" w:cs="宋体"/>
          <w:color w:val="000000" w:themeColor="text1"/>
          <w:sz w:val="21"/>
          <w:szCs w:val="21"/>
          <w:lang w:val="en-US"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所属档次。</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一档（0分）：不提供相关内容或方案的。</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二档（2分）：方案有不适用本项目用户需求，亮点不多，针对性不强 。</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三档（4分）：方案基本适用本项目用户需求，方案架构基本完整，较为合理，基本可行 。</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四档（6分）：方案完全适用本项目用户需求，完整详细，科学合理，亮点多，可行性强</w:t>
      </w:r>
      <w:r>
        <w:rPr>
          <w:rFonts w:hint="eastAsia" w:ascii="宋体" w:hAnsi="宋体" w:eastAsia="宋体" w:cs="宋体"/>
          <w:color w:val="000000" w:themeColor="text1"/>
          <w:sz w:val="21"/>
          <w:szCs w:val="21"/>
          <w14:textFill>
            <w14:solidFill>
              <w14:schemeClr w14:val="tx1"/>
            </w14:solidFill>
          </w14:textFill>
        </w:rPr>
        <w:t>。</w:t>
      </w:r>
    </w:p>
    <w:p>
      <w:pPr>
        <w:adjustRightInd w:val="0"/>
        <w:snapToGrid w:val="0"/>
        <w:spacing w:line="360" w:lineRule="auto"/>
        <w:ind w:firstLine="542" w:firstLineChars="257"/>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3.5运作流程及管理方式分（满分5分）</w:t>
      </w:r>
    </w:p>
    <w:p>
      <w:pPr>
        <w:adjustRightInd w:val="0"/>
        <w:snapToGrid w:val="0"/>
        <w:spacing w:line="360" w:lineRule="auto"/>
        <w:ind w:firstLine="539" w:firstLineChars="257"/>
        <w:jc w:val="left"/>
        <w:rPr>
          <w:rFonts w:hint="eastAsia"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由评委根据各投标人的</w:t>
      </w:r>
      <w:r>
        <w:rPr>
          <w:rFonts w:hint="eastAsia" w:ascii="宋体" w:hAnsi="宋体" w:cs="宋体"/>
          <w:bCs/>
          <w:color w:val="000000" w:themeColor="text1"/>
          <w:kern w:val="2"/>
          <w:sz w:val="21"/>
          <w:szCs w:val="21"/>
          <w:lang w:val="en-US" w:eastAsia="zh-CN" w:bidi="ar-SA"/>
          <w14:textFill>
            <w14:solidFill>
              <w14:schemeClr w14:val="tx1"/>
            </w14:solidFill>
          </w14:textFill>
        </w:rPr>
        <w:t>项目运行机制、岗位职能</w:t>
      </w:r>
      <w:r>
        <w:rPr>
          <w:rFonts w:hint="eastAsia" w:ascii="宋体" w:hAnsi="宋体" w:eastAsia="宋体" w:cs="宋体"/>
          <w:bCs/>
          <w:color w:val="000000" w:themeColor="text1"/>
          <w:kern w:val="2"/>
          <w:sz w:val="21"/>
          <w:szCs w:val="21"/>
          <w:lang w:val="en-US" w:eastAsia="zh-CN" w:bidi="ar-SA"/>
          <w14:textFill>
            <w14:solidFill>
              <w14:schemeClr w14:val="tx1"/>
            </w14:solidFill>
          </w14:textFill>
        </w:rPr>
        <w:t>等</w:t>
      </w:r>
      <w:r>
        <w:rPr>
          <w:rFonts w:hint="eastAsia" w:ascii="宋体" w:hAnsi="宋体" w:cs="宋体"/>
          <w:bCs/>
          <w:color w:val="000000" w:themeColor="text1"/>
          <w:kern w:val="2"/>
          <w:sz w:val="21"/>
          <w:szCs w:val="21"/>
          <w:lang w:val="en-US" w:eastAsia="zh-CN" w:bidi="ar-SA"/>
          <w14:textFill>
            <w14:solidFill>
              <w14:schemeClr w14:val="tx1"/>
            </w14:solidFill>
          </w14:textFill>
        </w:rPr>
        <w:t>内容</w:t>
      </w:r>
      <w:r>
        <w:rPr>
          <w:rFonts w:hint="eastAsia" w:ascii="宋体" w:hAnsi="宋体" w:eastAsia="宋体" w:cs="宋体"/>
          <w:bCs/>
          <w:color w:val="000000" w:themeColor="text1"/>
          <w:kern w:val="2"/>
          <w:sz w:val="21"/>
          <w:szCs w:val="21"/>
          <w:lang w:val="en-US" w:eastAsia="zh-CN" w:bidi="ar-SA"/>
          <w14:textFill>
            <w14:solidFill>
              <w14:schemeClr w14:val="tx1"/>
            </w14:solidFill>
          </w14:textFill>
        </w:rPr>
        <w:t>确定各投标人所属档次</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一档（0分）：不提供相关内容或方案的。</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二档（1分）：运作不流畅、管理方式不科学。</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三档（3分）：运作比较流畅、管理方式比较科学。</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四档（5分）：运作流畅、管理方式科学，投标人建立的标准体系结构合理，标准化工作良好。</w:t>
      </w:r>
    </w:p>
    <w:p>
      <w:pPr>
        <w:adjustRightInd w:val="0"/>
        <w:snapToGrid w:val="0"/>
        <w:spacing w:line="360" w:lineRule="auto"/>
        <w:ind w:firstLine="542" w:firstLineChars="257"/>
        <w:jc w:val="left"/>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3.6管理规章制度与档案管理制度分（满分3分）</w:t>
      </w:r>
    </w:p>
    <w:p>
      <w:pPr>
        <w:adjustRightInd w:val="0"/>
        <w:snapToGrid w:val="0"/>
        <w:spacing w:line="360" w:lineRule="auto"/>
        <w:ind w:firstLine="539" w:firstLineChars="257"/>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由评委根据各投标人的</w:t>
      </w:r>
      <w:r>
        <w:rPr>
          <w:rFonts w:hint="eastAsia" w:ascii="宋体" w:hAnsi="宋体" w:cs="宋体"/>
          <w:bCs/>
          <w:color w:val="000000" w:themeColor="text1"/>
          <w:kern w:val="2"/>
          <w:sz w:val="21"/>
          <w:szCs w:val="21"/>
          <w:lang w:val="en-US" w:eastAsia="zh-CN" w:bidi="ar-SA"/>
          <w14:textFill>
            <w14:solidFill>
              <w14:schemeClr w14:val="tx1"/>
            </w14:solidFill>
          </w14:textFill>
        </w:rPr>
        <w:t>人事、财务、内部控制、档案建立与管理制度</w:t>
      </w:r>
      <w:r>
        <w:rPr>
          <w:rFonts w:hint="eastAsia" w:ascii="宋体" w:hAnsi="宋体" w:eastAsia="宋体" w:cs="宋体"/>
          <w:bCs/>
          <w:color w:val="000000" w:themeColor="text1"/>
          <w:kern w:val="2"/>
          <w:sz w:val="21"/>
          <w:szCs w:val="21"/>
          <w:lang w:val="en-US" w:eastAsia="zh-CN" w:bidi="ar-SA"/>
          <w14:textFill>
            <w14:solidFill>
              <w14:schemeClr w14:val="tx1"/>
            </w14:solidFill>
          </w14:textFill>
        </w:rPr>
        <w:t>等</w:t>
      </w:r>
      <w:r>
        <w:rPr>
          <w:rFonts w:hint="eastAsia" w:ascii="宋体" w:hAnsi="宋体" w:cs="宋体"/>
          <w:bCs/>
          <w:color w:val="000000" w:themeColor="text1"/>
          <w:kern w:val="2"/>
          <w:sz w:val="21"/>
          <w:szCs w:val="21"/>
          <w:lang w:val="en-US" w:eastAsia="zh-CN" w:bidi="ar-SA"/>
          <w14:textFill>
            <w14:solidFill>
              <w14:schemeClr w14:val="tx1"/>
            </w14:solidFill>
          </w14:textFill>
        </w:rPr>
        <w:t>内容</w:t>
      </w:r>
      <w:r>
        <w:rPr>
          <w:rFonts w:hint="eastAsia" w:ascii="宋体" w:hAnsi="宋体" w:eastAsia="宋体" w:cs="宋体"/>
          <w:bCs/>
          <w:color w:val="000000" w:themeColor="text1"/>
          <w:kern w:val="2"/>
          <w:sz w:val="21"/>
          <w:szCs w:val="21"/>
          <w:lang w:val="en-US" w:eastAsia="zh-CN" w:bidi="ar-SA"/>
          <w14:textFill>
            <w14:solidFill>
              <w14:schemeClr w14:val="tx1"/>
            </w14:solidFill>
          </w14:textFill>
        </w:rPr>
        <w:t>确定各投标人所属档次</w:t>
      </w:r>
    </w:p>
    <w:p>
      <w:pPr>
        <w:adjustRightInd w:val="0"/>
        <w:snapToGrid w:val="0"/>
        <w:spacing w:line="360" w:lineRule="auto"/>
        <w:ind w:firstLine="542"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一</w:t>
      </w:r>
      <w:r>
        <w:rPr>
          <w:rFonts w:hint="eastAsia" w:ascii="宋体" w:hAnsi="宋体" w:eastAsia="宋体" w:cs="宋体"/>
          <w:color w:val="000000" w:themeColor="text1"/>
          <w:sz w:val="21"/>
          <w:szCs w:val="21"/>
          <w14:textFill>
            <w14:solidFill>
              <w14:schemeClr w14:val="tx1"/>
            </w14:solidFill>
          </w14:textFill>
        </w:rPr>
        <w:t>档（0分）：不提供相关内容或方案的。</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二档（1分）：建立有相关的规章管理制度与档案管理制度。</w:t>
      </w:r>
    </w:p>
    <w:p>
      <w:pPr>
        <w:adjustRightInd w:val="0"/>
        <w:snapToGrid w:val="0"/>
        <w:spacing w:line="360" w:lineRule="auto"/>
        <w:ind w:firstLine="539" w:firstLineChars="25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三档（2分）：规章管理制度与档案管理制度基本满足项目服务需求。</w:t>
      </w:r>
    </w:p>
    <w:p>
      <w:pPr>
        <w:adjustRightInd w:val="0"/>
        <w:snapToGrid w:val="0"/>
        <w:spacing w:line="360" w:lineRule="auto"/>
        <w:ind w:firstLine="539" w:firstLineChars="257"/>
        <w:jc w:val="left"/>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四档（3分）：规章管理制度与档案管理制度详细、完善、可行。</w:t>
      </w:r>
    </w:p>
    <w:p>
      <w:pPr>
        <w:widowControl/>
        <w:spacing w:line="360" w:lineRule="auto"/>
        <w:ind w:firstLine="357"/>
        <w:jc w:val="left"/>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4、信誉分……………………………………………………………………………………………………2</w:t>
      </w:r>
      <w:r>
        <w:rPr>
          <w:rFonts w:hint="eastAsia" w:ascii="宋体" w:hAnsi="宋体" w:cs="宋体"/>
          <w:b/>
          <w:color w:val="000000" w:themeColor="text1"/>
          <w:kern w:val="0"/>
          <w:sz w:val="21"/>
          <w:szCs w:val="21"/>
          <w:lang w:val="en-US" w:eastAsia="zh-CN"/>
          <w14:textFill>
            <w14:solidFill>
              <w14:schemeClr w14:val="tx1"/>
            </w14:solidFill>
          </w14:textFill>
        </w:rPr>
        <w:t>2</w:t>
      </w:r>
      <w:r>
        <w:rPr>
          <w:rFonts w:hint="eastAsia" w:ascii="宋体" w:hAnsi="宋体" w:eastAsia="宋体" w:cs="宋体"/>
          <w:b/>
          <w:color w:val="000000" w:themeColor="text1"/>
          <w:kern w:val="0"/>
          <w:sz w:val="21"/>
          <w:szCs w:val="21"/>
          <w14:textFill>
            <w14:solidFill>
              <w14:schemeClr w14:val="tx1"/>
            </w14:solidFill>
          </w14:textFill>
        </w:rPr>
        <w:t>分</w:t>
      </w:r>
    </w:p>
    <w:p>
      <w:pPr>
        <w:adjustRightInd w:val="0"/>
        <w:snapToGrid w:val="0"/>
        <w:spacing w:line="360" w:lineRule="auto"/>
        <w:ind w:firstLine="420" w:firstLineChars="20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（1）投标人通过ISO9001质量管理体系认证、ISO14001环境管理体系认证、ISO45001职业健康安全管理体系认证、GB/T31950-2015企业诚信管理体系认证（提供相关有效文件复印件</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每提供1项得1分，满分为4分。</w:t>
      </w:r>
    </w:p>
    <w:p>
      <w:pPr>
        <w:adjustRightInd w:val="0"/>
        <w:snapToGrid w:val="0"/>
        <w:spacing w:line="360" w:lineRule="auto"/>
        <w:ind w:firstLine="420" w:firstLineChars="20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投标人具备国家清洁资质一级（或甲级）的得3分，具备国家清洁资质二级（或乙级）的得2分，具备国家清洁资质三级（或丙级）的得1分（需提供有效证明材料复印件并加盖</w:t>
      </w:r>
      <w:r>
        <w:rPr>
          <w:rFonts w:hint="eastAsia" w:ascii="宋体" w:hAnsi="宋体" w:eastAsia="宋体" w:cs="宋体"/>
          <w:color w:val="000000" w:themeColor="text1"/>
          <w:kern w:val="0"/>
          <w:sz w:val="21"/>
          <w:szCs w:val="21"/>
          <w:lang w:val="en-US" w:eastAsia="zh-CN"/>
          <w14:textFill>
            <w14:solidFill>
              <w14:schemeClr w14:val="tx1"/>
            </w14:solidFill>
          </w14:textFill>
        </w:rPr>
        <w:t>投标人</w:t>
      </w:r>
      <w:r>
        <w:rPr>
          <w:rFonts w:hint="eastAsia" w:ascii="宋体" w:hAnsi="宋体" w:eastAsia="宋体" w:cs="宋体"/>
          <w:color w:val="000000" w:themeColor="text1"/>
          <w:kern w:val="0"/>
          <w:sz w:val="21"/>
          <w:szCs w:val="21"/>
          <w14:textFill>
            <w14:solidFill>
              <w14:schemeClr w14:val="tx1"/>
            </w14:solidFill>
          </w14:textFill>
        </w:rPr>
        <w:t>公章），满分3分。</w:t>
      </w:r>
    </w:p>
    <w:p>
      <w:pPr>
        <w:adjustRightInd w:val="0"/>
        <w:snapToGrid w:val="0"/>
        <w:spacing w:line="360" w:lineRule="auto"/>
        <w:ind w:firstLine="420" w:firstLineChars="20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投标人2017年以来获得税务机关纳税信用评价A级证书的（提供税务机关证明复印件），每次得1.5分；投标人2017年以来获得税务机关纳税信用评价B级证书的（提供税务机关证明复印件），每次得1分;投标人2017年以来获得税务机关纳税信用评价C级证书的，每次得0.5分（提供税务机关证明复印件）。满分3分。</w:t>
      </w:r>
    </w:p>
    <w:p>
      <w:pPr>
        <w:adjustRightInd w:val="0"/>
        <w:snapToGrid w:val="0"/>
        <w:spacing w:line="360" w:lineRule="auto"/>
        <w:ind w:firstLine="420" w:firstLineChars="20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（4）投标人2017年以来获得百强优秀企业奖项的得3分，满分3分（（提供相关有效文件复印件）。</w:t>
      </w:r>
    </w:p>
    <w:p>
      <w:pPr>
        <w:adjustRightInd w:val="0"/>
        <w:snapToGrid w:val="0"/>
        <w:spacing w:line="360" w:lineRule="auto"/>
        <w:ind w:firstLine="420" w:firstLineChars="20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（5）投标人2017年以来获得资信等级AAA级证书的得3分，满分3分（提供相关有效文件复印件）。</w:t>
      </w:r>
    </w:p>
    <w:p>
      <w:pPr>
        <w:adjustRightInd w:val="0"/>
        <w:snapToGrid w:val="0"/>
        <w:spacing w:line="360" w:lineRule="auto"/>
        <w:ind w:firstLine="420" w:firstLineChars="20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（6）投标人2017年以来获得市级及以上行业主管部门或物业协会颁发的物业管理行业诚信承诺企业的（以颁发时间为准），每次得3分，满分3分（提供相关有效文件复印件）。</w:t>
      </w:r>
    </w:p>
    <w:p>
      <w:pPr>
        <w:adjustRightInd w:val="0"/>
        <w:snapToGrid w:val="0"/>
        <w:spacing w:line="360" w:lineRule="auto"/>
        <w:ind w:firstLine="420" w:firstLineChars="20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（7）投标人2017年以来获得市</w:t>
      </w:r>
      <w:bookmarkStart w:id="309" w:name="_GoBack"/>
      <w:bookmarkEnd w:id="309"/>
      <w:r>
        <w:rPr>
          <w:rFonts w:hint="eastAsia" w:ascii="宋体" w:hAnsi="宋体" w:eastAsia="宋体" w:cs="宋体"/>
          <w:color w:val="000000" w:themeColor="text1"/>
          <w:kern w:val="0"/>
          <w:sz w:val="21"/>
          <w:szCs w:val="21"/>
          <w14:textFill>
            <w14:solidFill>
              <w14:schemeClr w14:val="tx1"/>
            </w14:solidFill>
          </w14:textFill>
        </w:rPr>
        <w:t>级及以上人力资源和社会保障行政主管部门或物业协会颁发的“劳动关系和谐AAA级单位”称号的得3分，满分3分（提供相关有效文件复印件）。</w:t>
      </w:r>
    </w:p>
    <w:bookmarkEnd w:id="194"/>
    <w:bookmarkEnd w:id="195"/>
    <w:bookmarkEnd w:id="196"/>
    <w:bookmarkEnd w:id="197"/>
    <w:bookmarkEnd w:id="198"/>
    <w:p>
      <w:pPr>
        <w:pStyle w:val="17"/>
        <w:spacing w:line="400" w:lineRule="exact"/>
        <w:ind w:firstLine="422" w:firstLineChars="200"/>
        <w:rPr>
          <w:rFonts w:hAnsi="宋体" w:cs="宋体"/>
          <w:b/>
          <w:bCs/>
          <w:color w:val="000000" w:themeColor="text1"/>
          <w:szCs w:val="21"/>
          <w14:textFill>
            <w14:solidFill>
              <w14:schemeClr w14:val="tx1"/>
            </w14:solidFill>
          </w14:textFill>
        </w:rPr>
      </w:pPr>
      <w:bookmarkStart w:id="199" w:name="_Toc7839"/>
      <w:r>
        <w:rPr>
          <w:rFonts w:hint="eastAsia" w:hAnsi="宋体" w:cs="宋体"/>
          <w:b/>
          <w:bCs/>
          <w:color w:val="000000" w:themeColor="text1"/>
          <w:szCs w:val="21"/>
          <w14:textFill>
            <w14:solidFill>
              <w14:schemeClr w14:val="tx1"/>
            </w14:solidFill>
          </w14:textFill>
        </w:rPr>
        <w:t>5、综合得分＝1+2+3</w:t>
      </w:r>
      <w:bookmarkEnd w:id="199"/>
      <w:r>
        <w:rPr>
          <w:rFonts w:hint="eastAsia" w:hAnsi="宋体" w:cs="宋体"/>
          <w:b/>
          <w:bCs/>
          <w:color w:val="000000" w:themeColor="text1"/>
          <w:szCs w:val="21"/>
          <w14:textFill>
            <w14:solidFill>
              <w14:schemeClr w14:val="tx1"/>
            </w14:solidFill>
          </w14:textFill>
        </w:rPr>
        <w:t>+4</w:t>
      </w:r>
    </w:p>
    <w:p>
      <w:pPr>
        <w:pStyle w:val="17"/>
        <w:tabs>
          <w:tab w:val="left" w:pos="4214"/>
        </w:tabs>
        <w:spacing w:line="400" w:lineRule="exact"/>
        <w:ind w:firstLine="422" w:firstLineChars="200"/>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三、推荐及确定中标候选供应商原则</w:t>
      </w:r>
    </w:p>
    <w:p>
      <w:pPr>
        <w:ind w:firstLine="420" w:firstLineChars="200"/>
        <w:rPr>
          <w:rFonts w:ascii="宋体" w:hAnsi="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1）评标委员会将根据得分由高到低排列次序（得分相同时，以投标报价由低到高顺序排列；得分相同且投标报价相同的，按服务方案优劣顺序排列）并推荐中标候选人3名。得分最高的中标候选人（得分相同时，以投标报价由低到高顺序排列；得分相同且投标报价相同的，按服务方案优劣顺序排列）为中标人。采购人应当确定评审委员会推荐排名第一的中标候选人为中标人。</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spacing w:line="400" w:lineRule="exact"/>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四、特别说明</w:t>
      </w:r>
    </w:p>
    <w:p>
      <w:pPr>
        <w:pStyle w:val="17"/>
        <w:adjustRightInd w:val="0"/>
        <w:spacing w:line="400" w:lineRule="exact"/>
        <w:ind w:firstLine="422" w:firstLineChars="200"/>
        <w:contextualSpacing/>
        <w:rPr>
          <w:rFonts w:hAnsi="宋体" w:cs="宋体"/>
          <w:b/>
          <w:bCs/>
          <w:color w:val="000000" w:themeColor="text1"/>
          <w:szCs w:val="21"/>
          <w:u w:val="double"/>
          <w14:textFill>
            <w14:solidFill>
              <w14:schemeClr w14:val="tx1"/>
            </w14:solidFill>
          </w14:textFill>
        </w:rPr>
      </w:pPr>
      <w:r>
        <w:rPr>
          <w:rFonts w:hint="eastAsia" w:hAnsi="宋体" w:cs="宋体"/>
          <w:b/>
          <w:bCs/>
          <w:color w:val="000000" w:themeColor="text1"/>
          <w:szCs w:val="21"/>
          <w:u w:val="double"/>
          <w14:textFill>
            <w14:solidFill>
              <w14:schemeClr w14:val="tx1"/>
            </w14:solidFill>
          </w14:textFill>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7"/>
        <w:adjustRightInd w:val="0"/>
        <w:spacing w:line="390" w:lineRule="exact"/>
        <w:contextualSpacing/>
        <w:rPr>
          <w:b/>
          <w:bCs/>
          <w:color w:val="000000" w:themeColor="text1"/>
          <w14:textFill>
            <w14:solidFill>
              <w14:schemeClr w14:val="tx1"/>
            </w14:solidFill>
          </w14:textFill>
        </w:rPr>
      </w:pPr>
    </w:p>
    <w:p>
      <w:pPr>
        <w:pStyle w:val="17"/>
        <w:adjustRightInd w:val="0"/>
        <w:spacing w:line="390" w:lineRule="exact"/>
        <w:contextualSpacing/>
        <w:rPr>
          <w:rFonts w:hAnsi="宋体" w:cs="宋体"/>
          <w:b/>
          <w:bCs/>
          <w:color w:val="000000" w:themeColor="text1"/>
          <w:kern w:val="0"/>
          <w:sz w:val="30"/>
          <w:szCs w:val="30"/>
          <w14:textFill>
            <w14:solidFill>
              <w14:schemeClr w14:val="tx1"/>
            </w14:solidFill>
          </w14:textFill>
        </w:rPr>
      </w:pPr>
      <w:r>
        <w:rPr>
          <w:rFonts w:hint="eastAsia"/>
          <w:b/>
          <w:bCs/>
          <w:color w:val="000000" w:themeColor="text1"/>
          <w14:textFill>
            <w14:solidFill>
              <w14:schemeClr w14:val="tx1"/>
            </w14:solidFill>
          </w14:textFill>
        </w:rPr>
        <w:t>附表</w:t>
      </w:r>
      <w:bookmarkStart w:id="200" w:name="_Toc28361_WPSOffice_Level2"/>
      <w:r>
        <w:rPr>
          <w:rFonts w:hint="eastAsia"/>
          <w:b/>
          <w:bCs/>
          <w:color w:val="000000" w:themeColor="text1"/>
          <w14:textFill>
            <w14:solidFill>
              <w14:schemeClr w14:val="tx1"/>
            </w14:solidFill>
          </w14:textFill>
        </w:rPr>
        <w:t>：</w:t>
      </w:r>
    </w:p>
    <w:p>
      <w:pPr>
        <w:widowControl/>
        <w:spacing w:before="156" w:beforeLines="50" w:after="156" w:afterLines="50" w:line="400" w:lineRule="exact"/>
        <w:jc w:val="center"/>
        <w:rPr>
          <w:rFonts w:ascii="宋体" w:hAnsi="宋体" w:cs="宋体"/>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统计上大中小微型企业划分标准</w:t>
      </w:r>
      <w:bookmarkEnd w:id="200"/>
    </w:p>
    <w:tbl>
      <w:tblPr>
        <w:tblStyle w:val="28"/>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ascii="宋体" w:hAnsi="宋体" w:cs="宋体"/>
                <w:b/>
                <w:bCs/>
                <w:color w:val="000000" w:themeColor="text1"/>
                <w:kern w:val="0"/>
                <w:sz w:val="18"/>
                <w:szCs w:val="21"/>
                <w14:textFill>
                  <w14:solidFill>
                    <w14:schemeClr w14:val="tx1"/>
                  </w14:solidFill>
                </w14:textFill>
              </w:rPr>
            </w:pPr>
            <w:r>
              <w:rPr>
                <w:rFonts w:hint="eastAsia" w:ascii="宋体" w:hAnsi="宋体" w:cs="宋体"/>
                <w:b/>
                <w:bCs/>
                <w:color w:val="000000" w:themeColor="text1"/>
                <w:kern w:val="0"/>
                <w:sz w:val="18"/>
                <w:szCs w:val="21"/>
                <w14:textFill>
                  <w14:solidFill>
                    <w14:schemeClr w14:val="tx1"/>
                  </w14:solidFill>
                </w14:textFill>
              </w:rPr>
              <w:t>行业名称</w:t>
            </w:r>
          </w:p>
        </w:tc>
        <w:tc>
          <w:tcPr>
            <w:tcW w:w="1369" w:type="dxa"/>
            <w:shd w:val="clear" w:color="auto" w:fill="8DB3E2"/>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指标名称</w:t>
            </w:r>
          </w:p>
        </w:tc>
        <w:tc>
          <w:tcPr>
            <w:tcW w:w="709" w:type="dxa"/>
            <w:shd w:val="clear" w:color="auto" w:fill="8DB3E2"/>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计量</w:t>
            </w:r>
            <w:r>
              <w:rPr>
                <w:rFonts w:hint="eastAsia" w:ascii="宋体" w:hAnsi="宋体" w:cs="宋体"/>
                <w:b/>
                <w:bCs/>
                <w:color w:val="000000" w:themeColor="text1"/>
                <w:kern w:val="0"/>
                <w:sz w:val="18"/>
                <w:szCs w:val="18"/>
                <w14:textFill>
                  <w14:solidFill>
                    <w14:schemeClr w14:val="tx1"/>
                  </w14:solidFill>
                </w14:textFill>
              </w:rPr>
              <w:br w:type="textWrapping"/>
            </w:r>
            <w:r>
              <w:rPr>
                <w:rFonts w:hint="eastAsia" w:ascii="宋体" w:hAnsi="宋体" w:cs="宋体"/>
                <w:b/>
                <w:bCs/>
                <w:color w:val="000000" w:themeColor="text1"/>
                <w:kern w:val="0"/>
                <w:sz w:val="18"/>
                <w:szCs w:val="18"/>
                <w14:textFill>
                  <w14:solidFill>
                    <w14:schemeClr w14:val="tx1"/>
                  </w14:solidFill>
                </w14:textFill>
              </w:rPr>
              <w:t>单位</w:t>
            </w:r>
          </w:p>
        </w:tc>
        <w:tc>
          <w:tcPr>
            <w:tcW w:w="1125" w:type="dxa"/>
            <w:shd w:val="clear" w:color="auto" w:fill="8DB3E2"/>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大型</w:t>
            </w:r>
          </w:p>
        </w:tc>
        <w:tc>
          <w:tcPr>
            <w:tcW w:w="1701" w:type="dxa"/>
            <w:shd w:val="clear" w:color="auto" w:fill="8DB3E2"/>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中型</w:t>
            </w:r>
          </w:p>
        </w:tc>
        <w:tc>
          <w:tcPr>
            <w:tcW w:w="1426" w:type="dxa"/>
            <w:shd w:val="clear" w:color="auto" w:fill="8DB3E2"/>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小型</w:t>
            </w:r>
          </w:p>
        </w:tc>
        <w:tc>
          <w:tcPr>
            <w:tcW w:w="992" w:type="dxa"/>
            <w:shd w:val="clear" w:color="auto" w:fill="8DB3E2"/>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农、林、牧、渔业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Y≥20000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500≤Y＜20000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50≤Y＜500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工业 *</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Y≥40000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2000≤Y＜40000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300≤Y＜2000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建筑业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Y≥80000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6000≤Y＜80000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300≤Y＜6000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Z≥80000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5000≤Z＜80000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300≤Z＜5000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批发业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20≤X＜200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5≤X＜20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Y≥40000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5000≤Y＜40000</w:t>
            </w:r>
          </w:p>
        </w:tc>
        <w:tc>
          <w:tcPr>
            <w:tcW w:w="1426" w:type="dxa"/>
            <w:vAlign w:val="center"/>
          </w:tcPr>
          <w:p>
            <w:pPr>
              <w:widowControl/>
              <w:ind w:left="-1" w:leftChars="-1" w:hanging="1"/>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1000≤Y＜5000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零售业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50≤X＜300</w:t>
            </w:r>
          </w:p>
        </w:tc>
        <w:tc>
          <w:tcPr>
            <w:tcW w:w="1426" w:type="dxa"/>
            <w:vAlign w:val="center"/>
          </w:tcPr>
          <w:p>
            <w:pPr>
              <w:widowControl/>
              <w:ind w:left="-1" w:leftChars="-1" w:hanging="1"/>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10≤X＜50 </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Y≥20000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500≤Y＜20000</w:t>
            </w:r>
          </w:p>
        </w:tc>
        <w:tc>
          <w:tcPr>
            <w:tcW w:w="1426" w:type="dxa"/>
            <w:vAlign w:val="center"/>
          </w:tcPr>
          <w:p>
            <w:pPr>
              <w:widowControl/>
              <w:ind w:left="-1" w:leftChars="-1" w:hanging="1"/>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100≤Y＜500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交通运输业 *</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3000≤Y＜30000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200≤Y＜3000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仓储业*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100≤X＜200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1000≤Y＜30000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邮政业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2000≤Y＜30000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住宿业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2000≤Y＜10000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餐饮业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2000≤Y＜10000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信息传输业 *</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X≥2000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100≤X＜2000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1000≤Y＜100000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2113" w:type="dxa"/>
            <w:vMerge w:val="restart"/>
            <w:vAlign w:val="center"/>
          </w:tcPr>
          <w:p>
            <w:pPr>
              <w:widowControl/>
              <w:spacing w:line="240" w:lineRule="exact"/>
              <w:jc w:val="left"/>
              <w:rPr>
                <w:rFonts w:ascii="宋体" w:hAnsi="宋体" w:cs="宋体"/>
                <w:color w:val="000000" w:themeColor="text1"/>
                <w:spacing w:val="-12"/>
                <w:kern w:val="0"/>
                <w:sz w:val="18"/>
                <w:szCs w:val="18"/>
                <w14:textFill>
                  <w14:solidFill>
                    <w14:schemeClr w14:val="tx1"/>
                  </w14:solidFill>
                </w14:textFill>
              </w:rPr>
            </w:pPr>
            <w:r>
              <w:rPr>
                <w:rFonts w:hint="eastAsia" w:ascii="宋体" w:hAnsi="宋体" w:cs="宋体"/>
                <w:color w:val="000000" w:themeColor="text1"/>
                <w:spacing w:val="-12"/>
                <w:kern w:val="0"/>
                <w:sz w:val="18"/>
                <w:szCs w:val="18"/>
                <w14:textFill>
                  <w14:solidFill>
                    <w14:schemeClr w14:val="tx1"/>
                  </w14:solidFill>
                </w14:textFill>
              </w:rPr>
              <w:t>软件和信息技术服</w:t>
            </w:r>
            <w:r>
              <w:rPr>
                <w:rFonts w:hint="eastAsia" w:ascii="宋体" w:hAnsi="宋体" w:cs="宋体"/>
                <w:color w:val="000000" w:themeColor="text1"/>
                <w:kern w:val="0"/>
                <w:sz w:val="18"/>
                <w:szCs w:val="18"/>
                <w14:textFill>
                  <w14:solidFill>
                    <w14:schemeClr w14:val="tx1"/>
                  </w14:solidFill>
                </w14:textFill>
              </w:rPr>
              <w:t>务业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000000" w:themeColor="text1"/>
                <w:spacing w:val="-12"/>
                <w:kern w:val="0"/>
                <w:sz w:val="18"/>
                <w:szCs w:val="18"/>
                <w14:textFill>
                  <w14:solidFill>
                    <w14:schemeClr w14:val="tx1"/>
                  </w14:solidFill>
                </w14:textFill>
              </w:rPr>
            </w:pP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1000≤Y＜10000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50≤Y＜1000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房地产开发经营</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Y≥200000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1000≤Y＜200000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Z≥10000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5000≤Z＜10000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2000≤Z＜5000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物业管理</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100≤X＜300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Y≥5000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1000≤Y＜5000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500≤Y＜1000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租赁和商务服务业</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Z≥120000</w:t>
            </w:r>
          </w:p>
        </w:tc>
        <w:tc>
          <w:tcPr>
            <w:tcW w:w="1701"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8000≤Z＜120000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100≤Z＜8000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其他未列明行业 *</w:t>
            </w:r>
          </w:p>
        </w:tc>
        <w:tc>
          <w:tcPr>
            <w:tcW w:w="136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X＜10</w:t>
            </w:r>
          </w:p>
        </w:tc>
      </w:tr>
    </w:tbl>
    <w:p>
      <w:pPr>
        <w:pStyle w:val="2"/>
        <w:rPr>
          <w:color w:val="000000" w:themeColor="text1"/>
          <w14:textFill>
            <w14:solidFill>
              <w14:schemeClr w14:val="tx1"/>
            </w14:solidFill>
          </w14:textFill>
        </w:rPr>
      </w:pPr>
    </w:p>
    <w:p>
      <w:pPr>
        <w:widowControl/>
        <w:spacing w:line="540" w:lineRule="exact"/>
        <w:rPr>
          <w:rFonts w:ascii="宋体" w:hAnsi="宋体" w:cs="宋体"/>
          <w:color w:val="000000" w:themeColor="text1"/>
          <w:spacing w:val="8"/>
          <w:kern w:val="0"/>
          <w:sz w:val="24"/>
          <w14:textFill>
            <w14:solidFill>
              <w14:schemeClr w14:val="tx1"/>
            </w14:solidFill>
          </w14:textFill>
        </w:rPr>
      </w:pPr>
      <w:r>
        <w:rPr>
          <w:rFonts w:hint="eastAsia" w:ascii="宋体" w:hAnsi="宋体" w:cs="宋体"/>
          <w:color w:val="000000" w:themeColor="text1"/>
          <w:spacing w:val="8"/>
          <w:kern w:val="0"/>
          <w:sz w:val="24"/>
          <w14:textFill>
            <w14:solidFill>
              <w14:schemeClr w14:val="tx1"/>
            </w14:solidFill>
          </w14:textFill>
        </w:rPr>
        <w:t>说明：</w:t>
      </w:r>
    </w:p>
    <w:p>
      <w:pPr>
        <w:pStyle w:val="17"/>
        <w:adjustRightInd w:val="0"/>
        <w:spacing w:line="380" w:lineRule="exact"/>
        <w:ind w:firstLine="512" w:firstLineChars="200"/>
        <w:contextualSpacing/>
        <w:rPr>
          <w:rFonts w:hAnsi="宋体" w:cs="宋体"/>
          <w:color w:val="000000" w:themeColor="text1"/>
          <w:spacing w:val="8"/>
          <w:kern w:val="0"/>
          <w:sz w:val="24"/>
          <w:szCs w:val="24"/>
          <w14:textFill>
            <w14:solidFill>
              <w14:schemeClr w14:val="tx1"/>
            </w14:solidFill>
          </w14:textFill>
        </w:rPr>
      </w:pPr>
      <w:r>
        <w:rPr>
          <w:rFonts w:hint="eastAsia" w:hAnsi="宋体" w:cs="宋体"/>
          <w:color w:val="000000" w:themeColor="text1"/>
          <w:spacing w:val="8"/>
          <w:kern w:val="0"/>
          <w:sz w:val="24"/>
          <w:szCs w:val="24"/>
          <w14:textFill>
            <w14:solidFill>
              <w14:schemeClr w14:val="tx1"/>
            </w14:solidFill>
          </w14:textFill>
        </w:rPr>
        <w:t>1.大型、中型和小型企业须同时满足所列指标的下限，否则下划一档；微型企业只须满足所列指标中的一项即可。</w:t>
      </w:r>
    </w:p>
    <w:p>
      <w:pPr>
        <w:pStyle w:val="17"/>
        <w:adjustRightInd w:val="0"/>
        <w:spacing w:line="380" w:lineRule="exact"/>
        <w:ind w:firstLine="512" w:firstLineChars="200"/>
        <w:contextualSpacing/>
        <w:rPr>
          <w:rFonts w:hAnsi="宋体" w:cs="宋体"/>
          <w:color w:val="000000" w:themeColor="text1"/>
          <w:spacing w:val="8"/>
          <w:kern w:val="0"/>
          <w:sz w:val="24"/>
          <w:szCs w:val="24"/>
          <w14:textFill>
            <w14:solidFill>
              <w14:schemeClr w14:val="tx1"/>
            </w14:solidFill>
          </w14:textFill>
        </w:rPr>
      </w:pPr>
      <w:r>
        <w:rPr>
          <w:rFonts w:hint="eastAsia" w:hAnsi="宋体" w:cs="宋体"/>
          <w:color w:val="000000" w:themeColor="text1"/>
          <w:spacing w:val="8"/>
          <w:kern w:val="0"/>
          <w:sz w:val="24"/>
          <w:szCs w:val="24"/>
          <w14:textFill>
            <w14:solidFill>
              <w14:schemeClr w14:val="tx1"/>
            </w14:solidFill>
          </w14:textFill>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7"/>
        <w:adjustRightInd w:val="0"/>
        <w:spacing w:line="380" w:lineRule="exact"/>
        <w:ind w:firstLine="512" w:firstLineChars="200"/>
        <w:contextualSpacing/>
        <w:rPr>
          <w:rFonts w:hAnsi="宋体" w:cs="宋体"/>
          <w:bCs/>
          <w:color w:val="000000" w:themeColor="text1"/>
          <w14:textFill>
            <w14:solidFill>
              <w14:schemeClr w14:val="tx1"/>
            </w14:solidFill>
          </w14:textFill>
        </w:rPr>
      </w:pPr>
      <w:r>
        <w:rPr>
          <w:rFonts w:hint="eastAsia" w:hAnsi="宋体" w:cs="宋体"/>
          <w:color w:val="000000" w:themeColor="text1"/>
          <w:spacing w:val="8"/>
          <w:kern w:val="0"/>
          <w:sz w:val="24"/>
          <w:szCs w:val="24"/>
          <w14:textFill>
            <w14:solidFill>
              <w14:schemeClr w14:val="tx1"/>
            </w14:solidFill>
          </w14:textFill>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bookmarkStart w:id="201" w:name="_Toc30238"/>
      <w:bookmarkStart w:id="202" w:name="_Toc32042"/>
      <w:r>
        <w:rPr>
          <w:rFonts w:hint="eastAsia" w:ascii="宋体" w:hAnsi="宋体" w:cs="宋体"/>
          <w:b/>
          <w:bCs/>
          <w:color w:val="000000" w:themeColor="text1"/>
          <w:kern w:val="44"/>
          <w:sz w:val="32"/>
          <w:szCs w:val="32"/>
          <w14:textFill>
            <w14:solidFill>
              <w14:schemeClr w14:val="tx1"/>
            </w14:solidFill>
          </w14:textFill>
        </w:rPr>
        <w:t>第五章 采购合同（合同主要条款及格式）</w:t>
      </w:r>
      <w:bookmarkEnd w:id="201"/>
      <w:bookmarkEnd w:id="202"/>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合同编号：GLZC2020-HTG3-990561-JCZX</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color w:val="000000" w:themeColor="text1"/>
          <w14:textFill>
            <w14:solidFill>
              <w14:schemeClr w14:val="tx1"/>
            </w14:solidFill>
          </w14:textFill>
        </w:rPr>
        <w:t>桂林市公安局临桂业务技术大楼物业管理</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项目编号：GLZC2020-G3-990561-JCZX</w:t>
      </w:r>
    </w:p>
    <w:p>
      <w:pPr>
        <w:spacing w:line="400" w:lineRule="exact"/>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甲方：</w:t>
      </w:r>
      <w:r>
        <w:rPr>
          <w:rFonts w:hint="eastAsia" w:ascii="宋体" w:hAnsi="宋体" w:cs="宋体"/>
          <w:color w:val="000000" w:themeColor="text1"/>
          <w:szCs w:val="21"/>
          <w:u w:val="single"/>
          <w14:textFill>
            <w14:solidFill>
              <w14:schemeClr w14:val="tx1"/>
            </w14:solidFill>
          </w14:textFill>
        </w:rPr>
        <w:t xml:space="preserve">    桂林市公安局     </w:t>
      </w:r>
      <w:r>
        <w:rPr>
          <w:rFonts w:hint="eastAsia" w:ascii="宋体" w:hAnsi="宋体" w:cs="宋体"/>
          <w:color w:val="000000" w:themeColor="text1"/>
          <w14:textFill>
            <w14:solidFill>
              <w14:schemeClr w14:val="tx1"/>
            </w14:solidFill>
          </w14:textFill>
        </w:rPr>
        <w:t>（采购人）</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乙方：（中标供应商）</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7"/>
        </w:num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03" w:name="_Toc495841768"/>
      <w:bookmarkStart w:id="204" w:name="_Toc6636"/>
      <w:bookmarkStart w:id="205" w:name="_Toc16758"/>
      <w:bookmarkStart w:id="206" w:name="_Toc7911"/>
      <w:bookmarkStart w:id="207" w:name="_Toc17790"/>
      <w:r>
        <w:rPr>
          <w:rFonts w:hint="eastAsia" w:ascii="宋体" w:hAnsi="宋体" w:cs="宋体"/>
          <w:b/>
          <w:color w:val="000000" w:themeColor="text1"/>
          <w:szCs w:val="21"/>
          <w14:textFill>
            <w14:solidFill>
              <w14:schemeClr w14:val="tx1"/>
            </w14:solidFill>
          </w14:textFill>
        </w:rPr>
        <w:t>合同标的及合同金额</w:t>
      </w:r>
      <w:bookmarkEnd w:id="203"/>
      <w:bookmarkEnd w:id="204"/>
      <w:bookmarkEnd w:id="205"/>
      <w:bookmarkEnd w:id="206"/>
      <w:bookmarkEnd w:id="207"/>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根据《中标通知书》的中标内容，合同的总金额为：</w:t>
      </w:r>
      <w:r>
        <w:rPr>
          <w:rFonts w:hint="eastAsia" w:ascii="宋体" w:hAnsi="宋体" w:cs="宋体"/>
          <w:color w:val="000000" w:themeColor="text1"/>
          <w:szCs w:val="21"/>
          <w:u w:val="single"/>
          <w14:textFill>
            <w14:solidFill>
              <w14:schemeClr w14:val="tx1"/>
            </w14:solidFill>
          </w14:textFill>
        </w:rPr>
        <w:t>人民币    （大写）    元整</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 xml:space="preserve">    （小写）     </w:t>
      </w:r>
      <w:r>
        <w:rPr>
          <w:rFonts w:hint="eastAsia" w:ascii="宋体" w:hAnsi="宋体" w:cs="宋体"/>
          <w:color w:val="000000" w:themeColor="text1"/>
          <w:szCs w:val="21"/>
          <w14:textFill>
            <w14:solidFill>
              <w14:schemeClr w14:val="tx1"/>
            </w14:solidFill>
          </w14:textFill>
        </w:rPr>
        <w:t>）</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08" w:name="_Toc25509"/>
      <w:bookmarkStart w:id="209" w:name="_Toc24572"/>
      <w:r>
        <w:rPr>
          <w:rFonts w:hint="eastAsia" w:ascii="宋体" w:hAnsi="宋体" w:cs="宋体"/>
          <w:b/>
          <w:color w:val="000000" w:themeColor="text1"/>
          <w:szCs w:val="21"/>
          <w14:textFill>
            <w14:solidFill>
              <w14:schemeClr w14:val="tx1"/>
            </w14:solidFill>
          </w14:textFill>
        </w:rPr>
        <w:t>第二条  服务保证</w:t>
      </w:r>
      <w:bookmarkEnd w:id="208"/>
      <w:bookmarkEnd w:id="209"/>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中标人应按招标文件、投标文件和承诺规定的服务内容向采购人提供相应服务。</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10" w:name="_Toc23736"/>
      <w:bookmarkStart w:id="211" w:name="_Toc32449"/>
      <w:bookmarkStart w:id="212" w:name="_Toc495841772"/>
      <w:bookmarkStart w:id="213" w:name="_Toc6786"/>
      <w:r>
        <w:rPr>
          <w:rFonts w:hint="eastAsia" w:ascii="宋体" w:hAnsi="宋体" w:cs="宋体"/>
          <w:b/>
          <w:color w:val="000000" w:themeColor="text1"/>
          <w:szCs w:val="21"/>
          <w14:textFill>
            <w14:solidFill>
              <w14:schemeClr w14:val="tx1"/>
            </w14:solidFill>
          </w14:textFill>
        </w:rPr>
        <w:t>第三条  服务期限</w:t>
      </w:r>
      <w:bookmarkEnd w:id="210"/>
      <w:bookmarkEnd w:id="211"/>
    </w:p>
    <w:p>
      <w:pPr>
        <w:spacing w:line="400" w:lineRule="exact"/>
        <w:ind w:firstLine="420" w:firstLineChars="200"/>
        <w:jc w:val="lef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服务期限:</w:t>
      </w:r>
      <w:r>
        <w:rPr>
          <w:rFonts w:hint="eastAsia"/>
          <w:color w:val="000000" w:themeColor="text1"/>
          <w:szCs w:val="21"/>
          <w14:textFill>
            <w14:solidFill>
              <w14:schemeClr w14:val="tx1"/>
            </w14:solidFill>
          </w14:textFill>
        </w:rPr>
        <w:t>自合同签订生效之日起至合同条款约定期满（24个月），中标人应根据招标单位的要求延续提供</w:t>
      </w:r>
      <w:r>
        <w:rPr>
          <w:color w:val="000000" w:themeColor="text1"/>
          <w:szCs w:val="21"/>
          <w14:textFill>
            <w14:solidFill>
              <w14:schemeClr w14:val="tx1"/>
            </w14:solidFill>
          </w14:textFill>
        </w:rPr>
        <w:t>1-2</w:t>
      </w:r>
      <w:r>
        <w:rPr>
          <w:rFonts w:hint="eastAsia"/>
          <w:color w:val="000000" w:themeColor="text1"/>
          <w:szCs w:val="21"/>
          <w14:textFill>
            <w14:solidFill>
              <w14:schemeClr w14:val="tx1"/>
            </w14:solidFill>
          </w14:textFill>
        </w:rPr>
        <w:t>个月的服务，费用标准按原合同规定执行。合同期内，中标人能严格履行合同，通过招标单位的考核，招标单位报经招标监管部门同意可以续签，有效期最长不超过24个月。</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14" w:name="_Toc6659"/>
      <w:bookmarkStart w:id="215" w:name="_Toc637"/>
      <w:bookmarkStart w:id="216" w:name="_Toc15777"/>
      <w:r>
        <w:rPr>
          <w:rFonts w:hint="eastAsia" w:ascii="宋体" w:hAnsi="宋体" w:cs="宋体"/>
          <w:b/>
          <w:color w:val="000000" w:themeColor="text1"/>
          <w:szCs w:val="21"/>
          <w14:textFill>
            <w14:solidFill>
              <w14:schemeClr w14:val="tx1"/>
            </w14:solidFill>
          </w14:textFill>
        </w:rPr>
        <w:t>第四条  交付</w:t>
      </w:r>
      <w:bookmarkEnd w:id="212"/>
      <w:bookmarkEnd w:id="213"/>
      <w:bookmarkEnd w:id="214"/>
      <w:bookmarkEnd w:id="215"/>
      <w:bookmarkEnd w:id="216"/>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1.服务开始时间：合同签订后五个工作日内开始服务；服务地点：采购人指定地点。</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2.乙方提供不符合招投标文件和本合同规定的服务，甲方有权拒绝接受。</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17" w:name="_Toc4426"/>
      <w:bookmarkStart w:id="218" w:name="_Toc30204"/>
      <w:bookmarkStart w:id="219" w:name="_Toc495841776"/>
      <w:bookmarkStart w:id="220" w:name="_Toc12595"/>
      <w:bookmarkStart w:id="221" w:name="_Toc15783"/>
      <w:r>
        <w:rPr>
          <w:rFonts w:hint="eastAsia" w:ascii="宋体" w:hAnsi="宋体" w:cs="宋体"/>
          <w:b/>
          <w:color w:val="000000" w:themeColor="text1"/>
          <w:szCs w:val="21"/>
          <w14:textFill>
            <w14:solidFill>
              <w14:schemeClr w14:val="tx1"/>
            </w14:solidFill>
          </w14:textFill>
        </w:rPr>
        <w:t>第五条  税费</w:t>
      </w:r>
      <w:bookmarkEnd w:id="217"/>
      <w:bookmarkEnd w:id="218"/>
      <w:bookmarkEnd w:id="219"/>
      <w:bookmarkEnd w:id="220"/>
      <w:bookmarkEnd w:id="221"/>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本合同执行中相关的一切税费均由乙方负担。</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22" w:name="_Toc18828"/>
      <w:bookmarkStart w:id="223" w:name="_Toc30852"/>
      <w:bookmarkStart w:id="224" w:name="_Toc495841777"/>
      <w:bookmarkStart w:id="225" w:name="_Toc7785"/>
      <w:bookmarkStart w:id="226" w:name="_Toc7443"/>
      <w:r>
        <w:rPr>
          <w:rFonts w:hint="eastAsia" w:ascii="宋体" w:hAnsi="宋体" w:cs="宋体"/>
          <w:b/>
          <w:color w:val="000000" w:themeColor="text1"/>
          <w:szCs w:val="21"/>
          <w14:textFill>
            <w14:solidFill>
              <w14:schemeClr w14:val="tx1"/>
            </w14:solidFill>
          </w14:textFill>
        </w:rPr>
        <w:t>第六条  付款方式</w:t>
      </w:r>
      <w:bookmarkEnd w:id="222"/>
      <w:bookmarkEnd w:id="223"/>
      <w:bookmarkEnd w:id="224"/>
      <w:bookmarkEnd w:id="225"/>
      <w:bookmarkEnd w:id="226"/>
    </w:p>
    <w:p>
      <w:pPr>
        <w:ind w:firstLine="420" w:firstLineChars="200"/>
        <w:rPr>
          <w:color w:val="000000" w:themeColor="text1"/>
          <w14:textFill>
            <w14:solidFill>
              <w14:schemeClr w14:val="tx1"/>
            </w14:solidFill>
          </w14:textFill>
        </w:rPr>
      </w:pPr>
      <w:bookmarkStart w:id="227" w:name="_Toc23685"/>
      <w:bookmarkStart w:id="228" w:name="_Toc23860"/>
      <w:bookmarkStart w:id="229" w:name="_Toc12257"/>
      <w:bookmarkStart w:id="230" w:name="_Toc28010"/>
      <w:bookmarkStart w:id="231" w:name="_Toc495841778"/>
      <w:bookmarkStart w:id="232" w:name="_Toc19042"/>
      <w:r>
        <w:rPr>
          <w:rFonts w:hint="eastAsia"/>
          <w:color w:val="000000" w:themeColor="text1"/>
          <w:szCs w:val="21"/>
          <w14:textFill>
            <w14:solidFill>
              <w14:schemeClr w14:val="tx1"/>
            </w14:solidFill>
          </w14:textFill>
        </w:rPr>
        <w:t>物业管理服务费用以签订的合同价为准，</w:t>
      </w:r>
      <w:r>
        <w:rPr>
          <w:rFonts w:hint="eastAsia" w:hAnsi="宋体"/>
          <w:color w:val="000000" w:themeColor="text1"/>
          <w:szCs w:val="21"/>
          <w14:textFill>
            <w14:solidFill>
              <w14:schemeClr w14:val="tx1"/>
            </w14:solidFill>
          </w14:textFill>
        </w:rPr>
        <w:t>按月拨付</w:t>
      </w:r>
      <w:r>
        <w:rPr>
          <w:rFonts w:hint="eastAsia"/>
          <w:color w:val="000000" w:themeColor="text1"/>
          <w14:textFill>
            <w14:solidFill>
              <w14:schemeClr w14:val="tx1"/>
            </w14:solidFill>
          </w14:textFill>
        </w:rPr>
        <w:t>。</w:t>
      </w:r>
      <w:bookmarkEnd w:id="227"/>
      <w:bookmarkEnd w:id="228"/>
      <w:bookmarkEnd w:id="229"/>
      <w:bookmarkEnd w:id="230"/>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33" w:name="_Toc20654"/>
      <w:bookmarkStart w:id="234" w:name="_Toc23778"/>
      <w:bookmarkStart w:id="235" w:name="_Toc24587"/>
      <w:r>
        <w:rPr>
          <w:rFonts w:hint="eastAsia" w:ascii="宋体" w:hAnsi="宋体" w:cs="宋体"/>
          <w:b/>
          <w:color w:val="000000" w:themeColor="text1"/>
          <w:szCs w:val="21"/>
          <w14:textFill>
            <w14:solidFill>
              <w14:schemeClr w14:val="tx1"/>
            </w14:solidFill>
          </w14:textFill>
        </w:rPr>
        <w:t>第七条  违约责任</w:t>
      </w:r>
      <w:bookmarkEnd w:id="231"/>
      <w:bookmarkEnd w:id="232"/>
      <w:bookmarkEnd w:id="233"/>
      <w:bookmarkEnd w:id="234"/>
      <w:bookmarkEnd w:id="235"/>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 乙方所提供的服务质量不合格的，应及时更换，更换不及时的按逾期处罚，乙方应向甲方支付合同金额</w:t>
      </w:r>
      <w:r>
        <w:rPr>
          <w:rFonts w:hint="eastAsia" w:ascii="宋体" w:hAnsi="宋体" w:cs="宋体"/>
          <w:color w:val="000000" w:themeColor="text1"/>
          <w:szCs w:val="21"/>
          <w:u w:val="single"/>
          <w14:textFill>
            <w14:solidFill>
              <w14:schemeClr w14:val="tx1"/>
            </w14:solidFill>
          </w14:textFill>
        </w:rPr>
        <w:t xml:space="preserve"> 5 %</w:t>
      </w:r>
      <w:r>
        <w:rPr>
          <w:rFonts w:hint="eastAsia" w:ascii="宋体" w:hAnsi="宋体" w:cs="宋体"/>
          <w:color w:val="000000" w:themeColor="text1"/>
          <w:szCs w:val="21"/>
          <w14:textFill>
            <w14:solidFill>
              <w14:schemeClr w14:val="tx1"/>
            </w14:solidFill>
          </w14:textFill>
        </w:rPr>
        <w:t>违约金并赔偿甲方经济损失。</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 乙方提供的服务如果侵犯了第三方合法权益而引发的任何纠纷或诉讼，均由乙方负责交涉并承担全部责任。</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 甲方无故延期服务交付的，每天向对方偿付违约合同金额</w:t>
      </w:r>
      <w:r>
        <w:rPr>
          <w:rFonts w:hint="eastAsia" w:ascii="宋体" w:hAnsi="宋体" w:cs="宋体"/>
          <w:color w:val="000000" w:themeColor="text1"/>
          <w:szCs w:val="21"/>
          <w:u w:val="single"/>
          <w14:textFill>
            <w14:solidFill>
              <w14:schemeClr w14:val="tx1"/>
            </w14:solidFill>
          </w14:textFill>
        </w:rPr>
        <w:t>2</w:t>
      </w:r>
      <w:r>
        <w:rPr>
          <w:rFonts w:ascii="Arial" w:hAnsi="Arial" w:cs="Arial"/>
          <w:color w:val="000000" w:themeColor="text1"/>
          <w:szCs w:val="21"/>
          <w:u w:val="single"/>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违约金，但违约金累计不得超过合同金额</w:t>
      </w:r>
      <w:r>
        <w:rPr>
          <w:rFonts w:hint="eastAsia" w:ascii="宋体" w:hAnsi="宋体" w:cs="宋体"/>
          <w:color w:val="000000" w:themeColor="text1"/>
          <w:szCs w:val="21"/>
          <w:u w:val="single"/>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，超过</w:t>
      </w:r>
      <w:r>
        <w:rPr>
          <w:rFonts w:hint="eastAsia" w:ascii="宋体" w:hAnsi="宋体" w:cs="宋体"/>
          <w:color w:val="000000" w:themeColor="text1"/>
          <w:szCs w:val="21"/>
          <w:u w:val="single"/>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天对方有权解除合同，违约方承担因此给对方造成经济损失；甲方不能按期付款的，每天向乙方偿付延合同金额</w:t>
      </w:r>
      <w:r>
        <w:rPr>
          <w:rFonts w:hint="eastAsia" w:ascii="宋体" w:hAnsi="宋体" w:cs="宋体"/>
          <w:color w:val="000000" w:themeColor="text1"/>
          <w:szCs w:val="21"/>
          <w:u w:val="single"/>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滞纳金，但滞纳金累计不得超过合同金额</w:t>
      </w:r>
      <w:r>
        <w:rPr>
          <w:rFonts w:hint="eastAsia" w:ascii="宋体" w:hAnsi="宋体" w:cs="宋体"/>
          <w:color w:val="000000" w:themeColor="text1"/>
          <w:szCs w:val="21"/>
          <w:u w:val="single"/>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 乙方未按本合同和投标文件中规定的服务承诺提供服务的，乙方应按本合同合同金额</w:t>
      </w:r>
      <w:r>
        <w:rPr>
          <w:rFonts w:hint="eastAsia" w:ascii="宋体" w:hAnsi="宋体" w:cs="宋体"/>
          <w:color w:val="000000" w:themeColor="text1"/>
          <w:szCs w:val="21"/>
          <w:u w:val="single"/>
          <w14:textFill>
            <w14:solidFill>
              <w14:schemeClr w14:val="tx1"/>
            </w14:solidFill>
          </w14:textFill>
        </w:rPr>
        <w:t xml:space="preserve"> 5 %</w:t>
      </w:r>
      <w:r>
        <w:rPr>
          <w:rFonts w:hint="eastAsia" w:ascii="宋体" w:hAnsi="宋体" w:cs="宋体"/>
          <w:color w:val="000000" w:themeColor="text1"/>
          <w:szCs w:val="21"/>
          <w14:textFill>
            <w14:solidFill>
              <w14:schemeClr w14:val="tx1"/>
            </w14:solidFill>
          </w14:textFill>
        </w:rPr>
        <w:t>向甲方支付违约金。</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 其他违约行为按照合同金额额</w:t>
      </w:r>
      <w:r>
        <w:rPr>
          <w:rFonts w:hint="eastAsia" w:ascii="宋体" w:hAnsi="宋体" w:cs="宋体"/>
          <w:color w:val="000000" w:themeColor="text1"/>
          <w:szCs w:val="21"/>
          <w:u w:val="single"/>
          <w14:textFill>
            <w14:solidFill>
              <w14:schemeClr w14:val="tx1"/>
            </w14:solidFill>
          </w14:textFill>
        </w:rPr>
        <w:t xml:space="preserve"> 5 %</w:t>
      </w:r>
      <w:r>
        <w:rPr>
          <w:rFonts w:hint="eastAsia" w:ascii="宋体" w:hAnsi="宋体" w:cs="宋体"/>
          <w:color w:val="000000" w:themeColor="text1"/>
          <w:szCs w:val="21"/>
          <w14:textFill>
            <w14:solidFill>
              <w14:schemeClr w14:val="tx1"/>
            </w14:solidFill>
          </w14:textFill>
        </w:rPr>
        <w:t>收取违约金并赔偿经济损失。</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36" w:name="_Toc495841779"/>
      <w:bookmarkStart w:id="237" w:name="_Toc5808"/>
      <w:bookmarkStart w:id="238" w:name="_Toc10840"/>
      <w:bookmarkStart w:id="239" w:name="_Toc20057"/>
      <w:bookmarkStart w:id="240" w:name="_Toc13408"/>
      <w:r>
        <w:rPr>
          <w:rFonts w:hint="eastAsia" w:ascii="宋体" w:hAnsi="宋体" w:cs="宋体"/>
          <w:b/>
          <w:color w:val="000000" w:themeColor="text1"/>
          <w:szCs w:val="21"/>
          <w14:textFill>
            <w14:solidFill>
              <w14:schemeClr w14:val="tx1"/>
            </w14:solidFill>
          </w14:textFill>
        </w:rPr>
        <w:t>第八条  不可抗力事件处理</w:t>
      </w:r>
      <w:bookmarkEnd w:id="236"/>
      <w:bookmarkEnd w:id="237"/>
      <w:bookmarkEnd w:id="238"/>
      <w:bookmarkEnd w:id="239"/>
      <w:bookmarkEnd w:id="240"/>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1.在合同有效期内，乙方因不可抗力事件导致不能履行合同，则合同履行期可延长，其延长期与不可抗力影响期相同。</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2.不可抗力事件发生后，应立即通知对方，并寄送有关权威机构出具的证明。</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3.不可抗力事件延续一百二十天以上，双方应通过友好协商，确定是否继续履行合同。</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41" w:name="_Toc495841780"/>
      <w:bookmarkStart w:id="242" w:name="_Toc22031"/>
      <w:bookmarkStart w:id="243" w:name="_Toc9"/>
      <w:bookmarkStart w:id="244" w:name="_Toc6977"/>
      <w:bookmarkStart w:id="245" w:name="_Toc23768"/>
      <w:r>
        <w:rPr>
          <w:rFonts w:hint="eastAsia" w:ascii="宋体" w:hAnsi="宋体" w:cs="宋体"/>
          <w:b/>
          <w:color w:val="000000" w:themeColor="text1"/>
          <w:szCs w:val="21"/>
          <w14:textFill>
            <w14:solidFill>
              <w14:schemeClr w14:val="tx1"/>
            </w14:solidFill>
          </w14:textFill>
        </w:rPr>
        <w:t>第九条  合同争议解决</w:t>
      </w:r>
      <w:bookmarkEnd w:id="241"/>
      <w:bookmarkEnd w:id="242"/>
      <w:bookmarkEnd w:id="243"/>
      <w:bookmarkEnd w:id="244"/>
      <w:bookmarkEnd w:id="245"/>
    </w:p>
    <w:p>
      <w:pPr>
        <w:spacing w:line="360" w:lineRule="auto"/>
        <w:ind w:firstLine="420" w:firstLineChars="200"/>
        <w:rPr>
          <w:rFonts w:ascii="宋体" w:hAnsi="宋体" w:cs="宋体"/>
          <w:color w:val="000000" w:themeColor="text1"/>
          <w:szCs w:val="21"/>
          <w14:textFill>
            <w14:solidFill>
              <w14:schemeClr w14:val="tx1"/>
            </w14:solidFill>
          </w14:textFill>
        </w:rPr>
      </w:pPr>
      <w:bookmarkStart w:id="246" w:name="_Toc26915"/>
      <w:bookmarkStart w:id="247" w:name="_Toc495841781"/>
      <w:r>
        <w:rPr>
          <w:rFonts w:hint="eastAsia" w:ascii="宋体" w:hAnsi="宋体" w:cs="宋体"/>
          <w:color w:val="000000" w:themeColor="text1"/>
          <w:szCs w:val="21"/>
          <w14:textFill>
            <w14:solidFill>
              <w14:schemeClr w14:val="tx1"/>
            </w14:solidFill>
          </w14:textFill>
        </w:rPr>
        <w:t>1、因服务问题发生争议的，应邀请国家认可的相关机构进行鉴定。服务符合要求的，鉴定费由采购人承担；服务不符合要求的，鉴定费由中标人承担。</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2、因履行本合同引起的或与本合同有关的争议，甲乙双方应首先通过友好协商解决，如果协商不能解决，可向本级法院提起诉讼。</w:t>
      </w:r>
    </w:p>
    <w:p>
      <w:pPr>
        <w:spacing w:line="360" w:lineRule="auto"/>
        <w:ind w:left="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3、诉讼期间，本合同继续履行。</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48" w:name="_Toc11735"/>
      <w:bookmarkStart w:id="249" w:name="_Toc6654"/>
      <w:bookmarkStart w:id="250" w:name="_Toc15224"/>
      <w:r>
        <w:rPr>
          <w:rFonts w:hint="eastAsia" w:ascii="宋体" w:hAnsi="宋体" w:cs="宋体"/>
          <w:b/>
          <w:color w:val="000000" w:themeColor="text1"/>
          <w:szCs w:val="21"/>
          <w14:textFill>
            <w14:solidFill>
              <w14:schemeClr w14:val="tx1"/>
            </w14:solidFill>
          </w14:textFill>
        </w:rPr>
        <w:t>第十条  合同生效及其它</w:t>
      </w:r>
      <w:bookmarkEnd w:id="246"/>
      <w:bookmarkEnd w:id="247"/>
      <w:bookmarkEnd w:id="248"/>
      <w:bookmarkEnd w:id="249"/>
      <w:bookmarkEnd w:id="250"/>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1.合同经甲乙双方</w:t>
      </w:r>
      <w:r>
        <w:rPr>
          <w:rFonts w:hint="eastAsia" w:hAnsi="宋体"/>
          <w:color w:val="000000" w:themeColor="text1"/>
          <w14:textFill>
            <w14:solidFill>
              <w14:schemeClr w14:val="tx1"/>
            </w14:solidFill>
          </w14:textFill>
        </w:rPr>
        <w:t>法定代表人</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w:t>
      </w:r>
      <w:r>
        <w:rPr>
          <w:rFonts w:hint="eastAsia" w:ascii="宋体" w:hAnsi="宋体" w:cs="宋体"/>
          <w:color w:val="000000" w:themeColor="text1"/>
          <w:szCs w:val="21"/>
          <w14:textFill>
            <w14:solidFill>
              <w14:schemeClr w14:val="tx1"/>
            </w14:solidFill>
          </w14:textFill>
        </w:rPr>
        <w:t>或相应的授权代表签字并加盖投标人公章后生效。</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2.合同执行中涉及采购资金和采购内容修改或补充的，需经本级政部门审批，并签订书面补充协议报本级财政部门备案，方可作为主合同不可分割的一部分。</w:t>
      </w:r>
    </w:p>
    <w:p>
      <w:pPr>
        <w:spacing w:line="400" w:lineRule="exact"/>
        <w:ind w:left="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3.本合同未尽事宜，遵照《合同法》有关条文执行。</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51" w:name="_Toc25970"/>
      <w:bookmarkStart w:id="252" w:name="_Toc20115"/>
      <w:bookmarkStart w:id="253" w:name="_Toc495841782"/>
      <w:bookmarkStart w:id="254" w:name="_Toc12949"/>
      <w:bookmarkStart w:id="255" w:name="_Toc32299"/>
      <w:r>
        <w:rPr>
          <w:rFonts w:hint="eastAsia" w:ascii="宋体" w:hAnsi="宋体" w:cs="宋体"/>
          <w:b/>
          <w:color w:val="000000" w:themeColor="text1"/>
          <w:szCs w:val="21"/>
          <w14:textFill>
            <w14:solidFill>
              <w14:schemeClr w14:val="tx1"/>
            </w14:solidFill>
          </w14:textFill>
        </w:rPr>
        <w:t>第十一条  合同的变更、终止与转让</w:t>
      </w:r>
      <w:bookmarkEnd w:id="251"/>
      <w:bookmarkEnd w:id="252"/>
      <w:bookmarkEnd w:id="253"/>
      <w:bookmarkEnd w:id="254"/>
      <w:bookmarkEnd w:id="255"/>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1.除《中华人民共和国政府采购法》第五十条规定的情形外，本合同一经签订，甲乙双方不得擅自变更，中止或终止。</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2.乙方不得擅自转让(无进口资格的供应商委托进口货物除外)其应履行的合同义务。</w:t>
      </w:r>
    </w:p>
    <w:p>
      <w:pPr>
        <w:spacing w:line="400" w:lineRule="exact"/>
        <w:ind w:firstLine="413" w:firstLineChars="196"/>
        <w:outlineLvl w:val="1"/>
        <w:rPr>
          <w:rFonts w:ascii="宋体" w:hAnsi="宋体" w:cs="宋体"/>
          <w:b/>
          <w:color w:val="000000" w:themeColor="text1"/>
          <w:szCs w:val="21"/>
          <w14:textFill>
            <w14:solidFill>
              <w14:schemeClr w14:val="tx1"/>
            </w14:solidFill>
          </w14:textFill>
        </w:rPr>
      </w:pPr>
      <w:bookmarkStart w:id="256" w:name="_Toc1023"/>
      <w:bookmarkStart w:id="257" w:name="_Toc27020"/>
      <w:bookmarkStart w:id="258" w:name="_Toc495841783"/>
      <w:bookmarkStart w:id="259" w:name="_Toc19322"/>
      <w:bookmarkStart w:id="260" w:name="_Toc9803"/>
      <w:r>
        <w:rPr>
          <w:rFonts w:hint="eastAsia" w:ascii="宋体" w:hAnsi="宋体" w:cs="宋体"/>
          <w:b/>
          <w:color w:val="000000" w:themeColor="text1"/>
          <w:szCs w:val="21"/>
          <w14:textFill>
            <w14:solidFill>
              <w14:schemeClr w14:val="tx1"/>
            </w14:solidFill>
          </w14:textFill>
        </w:rPr>
        <w:t>第十二条  签订本合同依据</w:t>
      </w:r>
      <w:bookmarkEnd w:id="256"/>
      <w:bookmarkEnd w:id="257"/>
      <w:bookmarkEnd w:id="258"/>
      <w:bookmarkEnd w:id="259"/>
      <w:bookmarkEnd w:id="260"/>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1.招标文件；</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2.乙方提供的投标（或应答）文件；</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3.服务承诺书；</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4.中标通知书。</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本合同甲乙双方签字盖章后生效，一式肆份，具有同等法律效力。</w:t>
      </w:r>
      <w:r>
        <w:rPr>
          <w:rFonts w:hint="eastAsia" w:ascii="宋体" w:hAnsi="宋体" w:cs="宋体"/>
          <w:color w:val="000000" w:themeColor="text1"/>
          <w14:textFill>
            <w14:solidFill>
              <w14:schemeClr w14:val="tx1"/>
            </w14:solidFill>
          </w14:textFill>
        </w:rPr>
        <w:t>政府采购合同双方自签订之日起壹个工作日内，采购人</w:t>
      </w:r>
      <w:r>
        <w:rPr>
          <w:rFonts w:hint="eastAsia" w:ascii="宋体" w:hAnsi="宋体" w:cs="宋体"/>
          <w:color w:val="000000" w:themeColor="text1"/>
          <w:szCs w:val="21"/>
          <w14:textFill>
            <w14:solidFill>
              <w14:schemeClr w14:val="tx1"/>
            </w14:solidFill>
          </w14:textFill>
        </w:rPr>
        <w:t>将合同原件壹份交采购代理机构，并于合同签订之日起柒个工作日内将一份合同原件送本级财政部门备案。</w:t>
      </w:r>
    </w:p>
    <w:p>
      <w:pPr>
        <w:pStyle w:val="14"/>
        <w:rPr>
          <w:color w:val="000000" w:themeColor="text1"/>
          <w14:textFill>
            <w14:solidFill>
              <w14:schemeClr w14:val="tx1"/>
            </w14:solidFill>
          </w14:textFill>
        </w:rPr>
      </w:pPr>
    </w:p>
    <w:p>
      <w:pPr>
        <w:spacing w:line="400" w:lineRule="exact"/>
        <w:ind w:firstLine="630" w:firstLineChars="3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甲方（公章）：                        乙方（公章，自然人除外）：</w:t>
      </w:r>
    </w:p>
    <w:p>
      <w:pPr>
        <w:spacing w:line="400" w:lineRule="exact"/>
        <w:ind w:left="4620" w:leftChars="300" w:hanging="3990" w:hangingChars="19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法定代表人签字：                      </w:t>
      </w:r>
      <w:r>
        <w:rPr>
          <w:rFonts w:hint="eastAsia" w:ascii="宋体" w:hAnsi="宋体" w:cs="宋体"/>
          <w:color w:val="000000" w:themeColor="text1"/>
          <w14:textFill>
            <w14:solidFill>
              <w14:schemeClr w14:val="tx1"/>
            </w14:solidFill>
          </w14:textFill>
        </w:rPr>
        <w:t>法定代表人（负责人、自然人）签字（属自然人的应在签名处加盖大拇指指印）</w:t>
      </w:r>
      <w:r>
        <w:rPr>
          <w:rFonts w:hint="eastAsia" w:ascii="宋体" w:hAnsi="宋体" w:cs="宋体"/>
          <w:color w:val="000000" w:themeColor="text1"/>
          <w:szCs w:val="21"/>
          <w14:textFill>
            <w14:solidFill>
              <w14:schemeClr w14:val="tx1"/>
            </w14:solidFill>
          </w14:textFill>
        </w:rPr>
        <w:t>：</w:t>
      </w:r>
    </w:p>
    <w:p>
      <w:pPr>
        <w:tabs>
          <w:tab w:val="left" w:pos="4680"/>
        </w:tabs>
        <w:spacing w:line="400" w:lineRule="exact"/>
        <w:ind w:firstLine="630" w:firstLineChars="3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委托代理人：                          委托代理人：</w:t>
      </w:r>
    </w:p>
    <w:p>
      <w:pPr>
        <w:tabs>
          <w:tab w:val="left" w:pos="5040"/>
        </w:tabs>
        <w:spacing w:line="400" w:lineRule="exact"/>
        <w:ind w:firstLine="630" w:firstLineChars="3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电  话：                              电   话： </w:t>
      </w:r>
    </w:p>
    <w:p>
      <w:pPr>
        <w:tabs>
          <w:tab w:val="left" w:pos="5040"/>
        </w:tabs>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开户名称：                            开户名称：</w:t>
      </w:r>
    </w:p>
    <w:p>
      <w:pPr>
        <w:tabs>
          <w:tab w:val="left" w:pos="5040"/>
        </w:tabs>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                            开户银行：</w:t>
      </w:r>
    </w:p>
    <w:p>
      <w:pPr>
        <w:tabs>
          <w:tab w:val="left" w:pos="5040"/>
        </w:tabs>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银行账号：                            银行账号：</w:t>
      </w:r>
    </w:p>
    <w:p>
      <w:pPr>
        <w:tabs>
          <w:tab w:val="left" w:pos="5040"/>
        </w:tabs>
        <w:spacing w:line="4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    期：                            日    期：</w:t>
      </w:r>
    </w:p>
    <w:p>
      <w:pPr>
        <w:rPr>
          <w:rFonts w:ascii="宋体" w:hAnsi="宋体" w:cs="宋体"/>
          <w:color w:val="000000" w:themeColor="text1"/>
          <w14:textFill>
            <w14:solidFill>
              <w14:schemeClr w14:val="tx1"/>
            </w14:solidFill>
          </w14:textFill>
        </w:rPr>
      </w:pPr>
    </w:p>
    <w:p>
      <w:pPr>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bookmarkStart w:id="261" w:name="_Toc31088"/>
      <w:r>
        <w:rPr>
          <w:rFonts w:hint="eastAsia" w:ascii="宋体" w:hAnsi="宋体" w:cs="宋体"/>
          <w:b/>
          <w:bCs/>
          <w:color w:val="000000" w:themeColor="text1"/>
          <w:kern w:val="44"/>
          <w:sz w:val="32"/>
          <w:szCs w:val="32"/>
          <w14:textFill>
            <w14:solidFill>
              <w14:schemeClr w14:val="tx1"/>
            </w14:solidFill>
          </w14:textFill>
        </w:rPr>
        <w:t>第六章  投标文件（格式）</w:t>
      </w:r>
      <w:bookmarkEnd w:id="190"/>
      <w:bookmarkEnd w:id="261"/>
    </w:p>
    <w:p>
      <w:pPr>
        <w:rPr>
          <w:b/>
          <w:bCs/>
          <w:color w:val="000000" w:themeColor="text1"/>
          <w:sz w:val="30"/>
          <w:szCs w:val="30"/>
          <w14:textFill>
            <w14:solidFill>
              <w14:schemeClr w14:val="tx1"/>
            </w14:solidFill>
          </w14:textFill>
        </w:rPr>
      </w:pPr>
      <w:bookmarkStart w:id="262" w:name="_Toc486867150"/>
      <w:bookmarkStart w:id="263" w:name="_Toc486695806"/>
      <w:bookmarkStart w:id="264" w:name="_Toc498698226"/>
      <w:bookmarkStart w:id="265" w:name="_Toc478137727"/>
      <w:bookmarkStart w:id="266" w:name="_Toc498627082"/>
      <w:bookmarkStart w:id="267" w:name="_Toc31410"/>
      <w:bookmarkStart w:id="268" w:name="_Toc1762"/>
      <w:r>
        <w:rPr>
          <w:rFonts w:hint="eastAsia"/>
          <w:b/>
          <w:bCs/>
          <w:color w:val="000000" w:themeColor="text1"/>
          <w:sz w:val="30"/>
          <w:szCs w:val="30"/>
          <w14:textFill>
            <w14:solidFill>
              <w14:schemeClr w14:val="tx1"/>
            </w14:solidFill>
          </w14:textFill>
        </w:rPr>
        <w:t>投标文件封面格式</w:t>
      </w:r>
      <w:bookmarkEnd w:id="262"/>
      <w:bookmarkEnd w:id="263"/>
      <w:bookmarkEnd w:id="264"/>
      <w:bookmarkEnd w:id="265"/>
      <w:bookmarkEnd w:id="266"/>
      <w:r>
        <w:rPr>
          <w:rFonts w:hint="eastAsia"/>
          <w:b/>
          <w:bCs/>
          <w:color w:val="000000" w:themeColor="text1"/>
          <w:sz w:val="30"/>
          <w:szCs w:val="30"/>
          <w14:textFill>
            <w14:solidFill>
              <w14:schemeClr w14:val="tx1"/>
            </w14:solidFill>
          </w14:textFill>
        </w:rPr>
        <w:t>：</w:t>
      </w:r>
      <w:bookmarkEnd w:id="267"/>
      <w:bookmarkEnd w:id="268"/>
    </w:p>
    <w:p>
      <w:pPr>
        <w:adjustRightInd w:val="0"/>
        <w:snapToGrid w:val="0"/>
        <w:jc w:val="right"/>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正本/副本</w:t>
      </w:r>
    </w:p>
    <w:p>
      <w:pPr>
        <w:adjustRightInd w:val="0"/>
        <w:snapToGrid w:val="0"/>
        <w:rPr>
          <w:rFonts w:ascii="宋体" w:hAnsi="宋体" w:cs="宋体"/>
          <w:b/>
          <w:color w:val="000000" w:themeColor="text1"/>
          <w:sz w:val="44"/>
          <w:szCs w:val="44"/>
          <w14:textFill>
            <w14:solidFill>
              <w14:schemeClr w14:val="tx1"/>
            </w14:solidFill>
          </w14:textFill>
        </w:rPr>
      </w:pPr>
    </w:p>
    <w:p>
      <w:pPr>
        <w:adjustRightInd w:val="0"/>
        <w:snapToGrid w:val="0"/>
        <w:jc w:val="center"/>
        <w:rPr>
          <w:rFonts w:ascii="宋体" w:hAnsi="宋体" w:cs="宋体"/>
          <w:b/>
          <w:color w:val="000000" w:themeColor="text1"/>
          <w:sz w:val="44"/>
          <w:szCs w:val="44"/>
          <w14:textFill>
            <w14:solidFill>
              <w14:schemeClr w14:val="tx1"/>
            </w14:solidFill>
          </w14:textFill>
        </w:rPr>
      </w:pPr>
      <w:bookmarkStart w:id="269" w:name="_Toc3441_WPSOffice_Level1"/>
      <w:bookmarkStart w:id="270" w:name="_Toc13659_WPSOffice_Level1"/>
      <w:r>
        <w:rPr>
          <w:rFonts w:hint="eastAsia" w:ascii="宋体" w:hAnsi="宋体" w:cs="宋体"/>
          <w:bCs/>
          <w:color w:val="000000" w:themeColor="text1"/>
          <w:sz w:val="72"/>
          <w:szCs w:val="72"/>
          <w14:textFill>
            <w14:solidFill>
              <w14:schemeClr w14:val="tx1"/>
            </w14:solidFill>
          </w14:textFill>
        </w:rPr>
        <w:t>投标文件</w:t>
      </w:r>
      <w:bookmarkEnd w:id="269"/>
      <w:bookmarkEnd w:id="270"/>
    </w:p>
    <w:p>
      <w:pPr>
        <w:adjustRightInd w:val="0"/>
        <w:snapToGrid w:val="0"/>
        <w:rPr>
          <w:rFonts w:ascii="宋体" w:hAnsi="宋体" w:cs="宋体"/>
          <w:b/>
          <w:color w:val="000000" w:themeColor="text1"/>
          <w:sz w:val="44"/>
          <w:szCs w:val="44"/>
          <w14:textFill>
            <w14:solidFill>
              <w14:schemeClr w14:val="tx1"/>
            </w14:solidFill>
          </w14:textFill>
        </w:rPr>
      </w:pPr>
    </w:p>
    <w:p>
      <w:pPr>
        <w:adjustRightInd w:val="0"/>
        <w:snapToGrid w:val="0"/>
        <w:rPr>
          <w:rFonts w:ascii="宋体" w:hAnsi="宋体" w:cs="宋体"/>
          <w:b/>
          <w:color w:val="000000" w:themeColor="text1"/>
          <w:sz w:val="44"/>
          <w:szCs w:val="44"/>
          <w14:textFill>
            <w14:solidFill>
              <w14:schemeClr w14:val="tx1"/>
            </w14:solidFill>
          </w14:textFill>
        </w:rPr>
      </w:pPr>
    </w:p>
    <w:p>
      <w:pPr>
        <w:ind w:left="2543" w:leftChars="568" w:hanging="1350" w:hangingChars="450"/>
        <w:rPr>
          <w:rFonts w:ascii="宋体" w:hAnsi="宋体" w:cs="宋体"/>
          <w:color w:val="000000" w:themeColor="text1"/>
          <w:sz w:val="30"/>
          <w:szCs w:val="30"/>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项目名称：桂林市公安局临桂业务技术大楼物业管理</w:t>
      </w:r>
    </w:p>
    <w:p>
      <w:pPr>
        <w:ind w:firstLine="1257" w:firstLineChars="419"/>
        <w:rPr>
          <w:rFonts w:ascii="宋体" w:hAnsi="宋体" w:cs="宋体"/>
          <w:bCs/>
          <w:color w:val="000000" w:themeColor="text1"/>
          <w:sz w:val="30"/>
          <w:szCs w:val="30"/>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项目编号：GLZC2020-G3-990561-JCZX</w:t>
      </w:r>
    </w:p>
    <w:p>
      <w:pPr>
        <w:ind w:firstLine="741" w:firstLineChars="353"/>
        <w:rPr>
          <w:rFonts w:ascii="宋体" w:hAnsi="宋体" w:cs="宋体"/>
          <w:color w:val="000000" w:themeColor="text1"/>
          <w14:textFill>
            <w14:solidFill>
              <w14:schemeClr w14:val="tx1"/>
            </w14:solidFill>
          </w14:textFill>
        </w:rPr>
      </w:pPr>
    </w:p>
    <w:p>
      <w:pPr>
        <w:snapToGrid w:val="0"/>
        <w:spacing w:before="156" w:beforeLines="50" w:after="50"/>
        <w:ind w:firstLine="1260" w:firstLineChars="450"/>
        <w:rPr>
          <w:rFonts w:ascii="宋体" w:hAnsi="宋体" w:cs="宋体"/>
          <w:bCs/>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snapToGrid w:val="0"/>
        <w:spacing w:before="156" w:beforeLines="50" w:after="50"/>
        <w:ind w:firstLine="1260" w:firstLineChars="450"/>
        <w:rPr>
          <w:rFonts w:ascii="宋体" w:hAnsi="宋体" w:cs="宋体"/>
          <w:bCs/>
          <w:color w:val="000000" w:themeColor="text1"/>
          <w:sz w:val="28"/>
          <w:szCs w:val="28"/>
          <w14:textFill>
            <w14:solidFill>
              <w14:schemeClr w14:val="tx1"/>
            </w14:solidFill>
          </w14:textFill>
        </w:rPr>
      </w:pPr>
    </w:p>
    <w:p>
      <w:pPr>
        <w:snapToGrid w:val="0"/>
        <w:spacing w:before="156" w:beforeLines="50" w:after="50"/>
        <w:ind w:firstLine="1260" w:firstLineChars="450"/>
        <w:rPr>
          <w:rFonts w:ascii="宋体" w:hAnsi="宋体" w:cs="宋体"/>
          <w:bCs/>
          <w:color w:val="000000" w:themeColor="text1"/>
          <w:sz w:val="28"/>
          <w:szCs w:val="28"/>
          <w14:textFill>
            <w14:solidFill>
              <w14:schemeClr w14:val="tx1"/>
            </w14:solidFill>
          </w14:textFill>
        </w:rPr>
      </w:pPr>
    </w:p>
    <w:p>
      <w:pPr>
        <w:ind w:firstLine="964" w:firstLineChars="300"/>
        <w:jc w:val="left"/>
        <w:rPr>
          <w:rFonts w:ascii="宋体" w:hAnsi="宋体" w:cs="宋体"/>
          <w:b/>
          <w:color w:val="000000" w:themeColor="text1"/>
          <w:sz w:val="32"/>
          <w:szCs w:val="32"/>
          <w14:textFill>
            <w14:solidFill>
              <w14:schemeClr w14:val="tx1"/>
            </w14:solidFill>
          </w14:textFill>
        </w:rPr>
      </w:pPr>
    </w:p>
    <w:p>
      <w:pPr>
        <w:pStyle w:val="15"/>
        <w:ind w:left="980" w:hanging="560" w:hangingChars="200"/>
        <w:rPr>
          <w:rFonts w:ascii="宋体" w:hAnsi="宋体" w:cs="宋体"/>
          <w:bCs/>
          <w:color w:val="000000" w:themeColor="text1"/>
          <w:sz w:val="28"/>
          <w:szCs w:val="28"/>
          <w:u w:val="single"/>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采购代理机构：</w:t>
      </w:r>
      <w:r>
        <w:rPr>
          <w:rFonts w:hint="eastAsia" w:ascii="宋体" w:hAnsi="宋体" w:cs="宋体"/>
          <w:bCs/>
          <w:color w:val="000000" w:themeColor="text1"/>
          <w:sz w:val="28"/>
          <w:szCs w:val="28"/>
          <w:u w:val="single"/>
          <w14:textFill>
            <w14:solidFill>
              <w14:schemeClr w14:val="tx1"/>
            </w14:solidFill>
          </w14:textFill>
        </w:rPr>
        <w:t>桂林市政府集中采购中心</w:t>
      </w:r>
    </w:p>
    <w:p>
      <w:pPr>
        <w:pStyle w:val="15"/>
        <w:ind w:left="980" w:hanging="560" w:hangingChars="200"/>
        <w:rPr>
          <w:rFonts w:ascii="宋体" w:hAnsi="宋体" w:cs="宋体"/>
          <w:bCs/>
          <w:color w:val="000000" w:themeColor="text1"/>
          <w:sz w:val="28"/>
          <w:szCs w:val="28"/>
          <w14:textFill>
            <w14:solidFill>
              <w14:schemeClr w14:val="tx1"/>
            </w14:solidFill>
          </w14:textFill>
        </w:rPr>
      </w:pPr>
      <w:bookmarkStart w:id="271" w:name="_Toc20319_WPSOffice_Level2"/>
      <w:bookmarkStart w:id="272" w:name="_Toc4932_WPSOffice_Level2"/>
      <w:r>
        <w:rPr>
          <w:rFonts w:hint="eastAsia" w:ascii="宋体" w:hAnsi="宋体" w:cs="宋体"/>
          <w:bCs/>
          <w:color w:val="000000" w:themeColor="text1"/>
          <w:sz w:val="28"/>
          <w:szCs w:val="28"/>
          <w14:textFill>
            <w14:solidFill>
              <w14:schemeClr w14:val="tx1"/>
            </w14:solidFill>
          </w14:textFill>
        </w:rPr>
        <w:t>投标人（公章、自然人除外）：</w:t>
      </w:r>
      <w:bookmarkEnd w:id="271"/>
      <w:bookmarkEnd w:id="272"/>
    </w:p>
    <w:p>
      <w:pPr>
        <w:pStyle w:val="17"/>
        <w:spacing w:line="320" w:lineRule="exact"/>
        <w:ind w:firstLine="420"/>
        <w:rPr>
          <w:rFonts w:hAnsi="宋体" w:cs="宋体"/>
          <w:color w:val="000000" w:themeColor="text1"/>
          <w:sz w:val="28"/>
          <w:szCs w:val="28"/>
          <w14:textFill>
            <w14:solidFill>
              <w14:schemeClr w14:val="tx1"/>
            </w14:solidFill>
          </w14:textFill>
        </w:rPr>
      </w:pPr>
      <w:bookmarkStart w:id="273" w:name="_Toc4767_WPSOffice_Level2"/>
      <w:bookmarkStart w:id="274" w:name="_Toc11679_WPSOffice_Level2"/>
      <w:r>
        <w:rPr>
          <w:rFonts w:hint="eastAsia" w:hAnsi="宋体" w:cs="宋体"/>
          <w:color w:val="000000" w:themeColor="text1"/>
          <w:sz w:val="28"/>
          <w:szCs w:val="28"/>
          <w14:textFill>
            <w14:solidFill>
              <w14:schemeClr w14:val="tx1"/>
            </w14:solidFill>
          </w14:textFill>
        </w:rPr>
        <w:t>法定代表人</w:t>
      </w:r>
      <w:r>
        <w:rPr>
          <w:rFonts w:hint="eastAsia" w:hAnsi="宋体" w:cs="宋体"/>
          <w:color w:val="000000" w:themeColor="text1"/>
          <w:sz w:val="28"/>
          <w:szCs w:val="28"/>
          <w:lang w:val="en-US" w:eastAsia="zh-CN"/>
          <w14:textFill>
            <w14:solidFill>
              <w14:schemeClr w14:val="tx1"/>
            </w14:solidFill>
          </w14:textFill>
        </w:rPr>
        <w:t>/</w:t>
      </w:r>
      <w:r>
        <w:rPr>
          <w:rFonts w:hint="eastAsia" w:hAnsi="宋体" w:cs="宋体"/>
          <w:color w:val="000000" w:themeColor="text1"/>
          <w:sz w:val="28"/>
          <w:szCs w:val="28"/>
          <w14:textFill>
            <w14:solidFill>
              <w14:schemeClr w14:val="tx1"/>
            </w14:solidFill>
          </w14:textFill>
        </w:rPr>
        <w:t>负责人</w:t>
      </w:r>
      <w:r>
        <w:rPr>
          <w:rFonts w:hint="eastAsia" w:hAnsi="宋体" w:cs="宋体"/>
          <w:color w:val="000000" w:themeColor="text1"/>
          <w:sz w:val="28"/>
          <w:szCs w:val="28"/>
          <w:lang w:val="en-US" w:eastAsia="zh-CN"/>
          <w14:textFill>
            <w14:solidFill>
              <w14:schemeClr w14:val="tx1"/>
            </w14:solidFill>
          </w14:textFill>
        </w:rPr>
        <w:t>/</w:t>
      </w:r>
      <w:r>
        <w:rPr>
          <w:rFonts w:hint="eastAsia" w:hAnsi="宋体" w:cs="宋体"/>
          <w:color w:val="000000" w:themeColor="text1"/>
          <w:sz w:val="28"/>
          <w:szCs w:val="28"/>
          <w14:textFill>
            <w14:solidFill>
              <w14:schemeClr w14:val="tx1"/>
            </w14:solidFill>
          </w14:textFill>
        </w:rPr>
        <w:t>自然人或相应的委托代理人签字（或盖章）</w:t>
      </w:r>
    </w:p>
    <w:p>
      <w:pPr>
        <w:pStyle w:val="15"/>
        <w:ind w:left="980" w:hanging="560" w:hanging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（属自然人的应在签名处加盖大拇指指印）：</w:t>
      </w:r>
      <w:bookmarkEnd w:id="273"/>
      <w:bookmarkEnd w:id="274"/>
      <w:bookmarkStart w:id="275" w:name="_Toc32056_WPSOffice_Level2"/>
      <w:bookmarkStart w:id="276" w:name="_Toc9622_WPSOffice_Level2"/>
    </w:p>
    <w:p>
      <w:pPr>
        <w:pStyle w:val="15"/>
        <w:ind w:left="980" w:hanging="560" w:hangingChars="200"/>
        <w:rPr>
          <w:rFonts w:ascii="宋体" w:hAnsi="宋体" w:cs="宋体"/>
          <w:bCs/>
          <w:color w:val="000000" w:themeColor="text1"/>
          <w:sz w:val="28"/>
          <w:szCs w:val="28"/>
          <w:u w:val="single"/>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联系电话：</w:t>
      </w:r>
      <w:bookmarkEnd w:id="275"/>
      <w:bookmarkEnd w:id="276"/>
    </w:p>
    <w:p>
      <w:pPr>
        <w:pStyle w:val="15"/>
        <w:ind w:left="980" w:hanging="560" w:hangingChars="200"/>
        <w:rPr>
          <w:rFonts w:ascii="宋体" w:hAnsi="宋体" w:cs="宋体"/>
          <w:b/>
          <w:color w:val="000000" w:themeColor="text1"/>
          <w:sz w:val="32"/>
          <w:szCs w:val="32"/>
          <w14:textFill>
            <w14:solidFill>
              <w14:schemeClr w14:val="tx1"/>
            </w14:solidFill>
          </w14:textFill>
        </w:rPr>
      </w:pPr>
      <w:bookmarkStart w:id="277" w:name="_Toc26465_WPSOffice_Level2"/>
      <w:bookmarkStart w:id="278" w:name="_Toc15933_WPSOffice_Level2"/>
      <w:r>
        <w:rPr>
          <w:rFonts w:hint="eastAsia" w:ascii="宋体" w:hAnsi="宋体" w:cs="宋体"/>
          <w:bCs/>
          <w:color w:val="000000" w:themeColor="text1"/>
          <w:sz w:val="28"/>
          <w:szCs w:val="28"/>
          <w14:textFill>
            <w14:solidFill>
              <w14:schemeClr w14:val="tx1"/>
            </w14:solidFill>
          </w14:textFill>
        </w:rPr>
        <w:t>日期：年月日</w:t>
      </w:r>
      <w:bookmarkEnd w:id="277"/>
      <w:bookmarkEnd w:id="278"/>
    </w:p>
    <w:p>
      <w:pPr>
        <w:spacing w:line="400" w:lineRule="exact"/>
        <w:jc w:val="center"/>
        <w:outlineLvl w:val="1"/>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p>
    <w:p>
      <w:pPr>
        <w:jc w:val="center"/>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投标文件目录</w:t>
      </w:r>
    </w:p>
    <w:p>
      <w:pPr>
        <w:tabs>
          <w:tab w:val="left" w:pos="1305"/>
        </w:tabs>
        <w:spacing w:line="380" w:lineRule="exact"/>
        <w:ind w:firstLine="422" w:firstLineChars="15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一、投标报价表</w:t>
      </w:r>
    </w:p>
    <w:p>
      <w:pPr>
        <w:tabs>
          <w:tab w:val="left" w:pos="1305"/>
        </w:tabs>
        <w:spacing w:line="380" w:lineRule="exact"/>
        <w:ind w:firstLine="422" w:firstLineChars="15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二、资格性响应证明材料</w:t>
      </w:r>
    </w:p>
    <w:p>
      <w:pPr>
        <w:tabs>
          <w:tab w:val="left" w:pos="1305"/>
        </w:tabs>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1.投标人相应的</w:t>
      </w:r>
      <w:r>
        <w:rPr>
          <w:rFonts w:hint="eastAsia" w:hAnsi="宋体"/>
          <w:color w:val="000000" w:themeColor="text1"/>
          <w14:textFill>
            <w14:solidFill>
              <w14:schemeClr w14:val="tx1"/>
            </w14:solidFill>
          </w14:textFill>
        </w:rPr>
        <w:t>法定代表人</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w:t>
      </w:r>
      <w:r>
        <w:rPr>
          <w:rFonts w:hint="eastAsia" w:ascii="宋体" w:hAnsi="宋体" w:cs="宋体"/>
          <w:color w:val="000000" w:themeColor="text1"/>
          <w:szCs w:val="21"/>
          <w14:textFill>
            <w14:solidFill>
              <w14:schemeClr w14:val="tx1"/>
            </w14:solidFill>
          </w14:textFill>
        </w:rPr>
        <w:t>身份证正反面复印件</w:t>
      </w:r>
      <w:r>
        <w:rPr>
          <w:rFonts w:hint="eastAsia" w:ascii="宋体" w:hAnsi="宋体" w:cs="宋体"/>
          <w:b/>
          <w:bCs/>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u w:val="single"/>
          <w14:textFill>
            <w14:solidFill>
              <w14:schemeClr w14:val="tx1"/>
            </w14:solidFill>
          </w14:textFill>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cs="宋体"/>
          <w:b/>
          <w:color w:val="000000" w:themeColor="text1"/>
          <w:szCs w:val="21"/>
          <w:u w:val="single"/>
          <w14:textFill>
            <w14:solidFill>
              <w14:schemeClr w14:val="tx1"/>
            </w14:solidFill>
          </w14:textFill>
        </w:rPr>
        <w:t>（委托代理时必须提供）；</w:t>
      </w:r>
    </w:p>
    <w:p>
      <w:pPr>
        <w:tabs>
          <w:tab w:val="left" w:pos="1305"/>
        </w:tabs>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cs="宋体"/>
          <w:b/>
          <w:bCs/>
          <w:color w:val="000000" w:themeColor="text1"/>
          <w:szCs w:val="21"/>
          <w14:textFill>
            <w14:solidFill>
              <w14:schemeClr w14:val="tx1"/>
            </w14:solidFill>
          </w14:textFill>
        </w:rPr>
        <w:t>（必须提供，自然人除外）</w:t>
      </w:r>
      <w:r>
        <w:rPr>
          <w:rFonts w:hint="eastAsia" w:ascii="宋体" w:hAnsi="宋体" w:cs="宋体"/>
          <w:color w:val="000000" w:themeColor="text1"/>
          <w:szCs w:val="21"/>
          <w14:textFill>
            <w14:solidFill>
              <w14:schemeClr w14:val="tx1"/>
            </w14:solidFill>
          </w14:textFill>
        </w:rPr>
        <w:t>；</w:t>
      </w:r>
    </w:p>
    <w:p>
      <w:pPr>
        <w:tabs>
          <w:tab w:val="left" w:pos="1305"/>
        </w:tabs>
        <w:spacing w:line="38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5.投标人参加政府采购活动前3年内在经营活动中没有重大违法记录及有关信用信息的书面声明</w:t>
      </w:r>
      <w:r>
        <w:rPr>
          <w:rFonts w:hint="eastAsia" w:ascii="宋体" w:hAnsi="宋体" w:cs="宋体"/>
          <w:b/>
          <w:bCs/>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pStyle w:val="2"/>
        <w:ind w:firstLine="420" w:firstLineChars="200"/>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6.供应商近半年内任意一个月或任一季度依法缴纳税收的证明材料（增值税发票或企业所得税完税证明或税务部门出具的免税证明）复印件</w:t>
      </w:r>
      <w:r>
        <w:rPr>
          <w:rFonts w:hint="eastAsia" w:ascii="宋体" w:hAnsi="宋体" w:eastAsia="宋体" w:cs="宋体"/>
          <w:b/>
          <w:bCs/>
          <w:color w:val="000000" w:themeColor="text1"/>
          <w:kern w:val="2"/>
          <w:sz w:val="21"/>
          <w:szCs w:val="21"/>
          <w14:textFill>
            <w14:solidFill>
              <w14:schemeClr w14:val="tx1"/>
            </w14:solidFill>
          </w14:textFill>
        </w:rPr>
        <w:t>（必须提供）</w:t>
      </w:r>
      <w:r>
        <w:rPr>
          <w:rFonts w:hint="eastAsia" w:ascii="宋体" w:hAnsi="宋体" w:eastAsia="宋体" w:cs="宋体"/>
          <w:color w:val="000000" w:themeColor="text1"/>
          <w:kern w:val="2"/>
          <w:sz w:val="21"/>
          <w:szCs w:val="21"/>
          <w14:textFill>
            <w14:solidFill>
              <w14:schemeClr w14:val="tx1"/>
            </w14:solidFill>
          </w14:textFill>
        </w:rPr>
        <w:t>；</w:t>
      </w:r>
    </w:p>
    <w:p>
      <w:pPr>
        <w:tabs>
          <w:tab w:val="left" w:pos="1305"/>
        </w:tabs>
        <w:spacing w:line="380" w:lineRule="exact"/>
        <w:ind w:firstLine="422" w:firstLineChars="15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三、商务、技术性响应及其他证明材料：</w:t>
      </w:r>
    </w:p>
    <w:p>
      <w:pPr>
        <w:tabs>
          <w:tab w:val="left" w:pos="1305"/>
        </w:tabs>
        <w:spacing w:line="40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1.技术规格偏离表</w:t>
      </w:r>
      <w:r>
        <w:rPr>
          <w:rFonts w:hint="eastAsia" w:ascii="宋体" w:hAnsi="宋体" w:cs="宋体"/>
          <w:b/>
          <w:color w:val="000000" w:themeColor="text1"/>
          <w:szCs w:val="21"/>
          <w14:textFill>
            <w14:solidFill>
              <w14:schemeClr w14:val="tx1"/>
            </w14:solidFill>
          </w14:textFill>
        </w:rPr>
        <w:t>（必须提供）</w:t>
      </w:r>
      <w:r>
        <w:rPr>
          <w:rFonts w:hint="eastAsia" w:ascii="宋体" w:hAnsi="宋体" w:cs="宋体"/>
          <w:color w:val="000000" w:themeColor="text1"/>
          <w:szCs w:val="21"/>
          <w14:textFill>
            <w14:solidFill>
              <w14:schemeClr w14:val="tx1"/>
            </w14:solidFill>
          </w14:textFill>
        </w:rPr>
        <w:t>；</w:t>
      </w:r>
    </w:p>
    <w:p>
      <w:pPr>
        <w:tabs>
          <w:tab w:val="left" w:pos="1305"/>
        </w:tabs>
        <w:spacing w:line="40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2.商务响应表</w:t>
      </w:r>
      <w:r>
        <w:rPr>
          <w:rFonts w:hint="eastAsia" w:ascii="宋体" w:hAnsi="宋体" w:cs="宋体"/>
          <w:b/>
          <w:color w:val="000000" w:themeColor="text1"/>
          <w:szCs w:val="21"/>
          <w14:textFill>
            <w14:solidFill>
              <w14:schemeClr w14:val="tx1"/>
            </w14:solidFill>
          </w14:textFill>
        </w:rPr>
        <w:t>（必须提供）；</w:t>
      </w:r>
    </w:p>
    <w:p>
      <w:pPr>
        <w:spacing w:line="360" w:lineRule="auto"/>
        <w:ind w:firstLine="210" w:firstLineChars="100"/>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3.服务承诺书（由供应商根据本项目服务采购需求、特点及供应商自身的处理能力自行编写，承诺书内容至少应包括“服务采购需求”中的所有服务条款）（格式见附件）</w:t>
      </w:r>
      <w:r>
        <w:rPr>
          <w:rFonts w:hint="eastAsia" w:ascii="宋体" w:hAnsi="宋体" w:cs="宋体"/>
          <w:b/>
          <w:bCs/>
          <w:color w:val="000000" w:themeColor="text1"/>
          <w:szCs w:val="21"/>
          <w14:textFill>
            <w14:solidFill>
              <w14:schemeClr w14:val="tx1"/>
            </w14:solidFill>
          </w14:textFill>
        </w:rPr>
        <w:t>（必须提供）；</w:t>
      </w:r>
    </w:p>
    <w:p>
      <w:pPr>
        <w:pStyle w:val="2"/>
        <w:ind w:firstLine="210" w:firstLineChars="100"/>
        <w:rPr>
          <w:rFonts w:eastAsia="宋体" w:asciiTheme="minorEastAsia" w:hAnsi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w:t>
      </w:r>
      <w:r>
        <w:rPr>
          <w:rFonts w:hint="eastAsia" w:ascii="宋体" w:hAnsi="宋体" w:eastAsia="宋体" w:cs="宋体"/>
          <w:color w:val="000000" w:themeColor="text1"/>
          <w:kern w:val="2"/>
          <w:sz w:val="21"/>
          <w:szCs w:val="21"/>
          <w14:textFill>
            <w14:solidFill>
              <w14:schemeClr w14:val="tx1"/>
            </w14:solidFill>
          </w14:textFill>
        </w:rPr>
        <w:t>“服务采购需求”需提供的有效证明文件</w:t>
      </w:r>
      <w:r>
        <w:rPr>
          <w:rFonts w:hint="eastAsia" w:ascii="宋体" w:hAnsi="宋体" w:eastAsia="宋体" w:cs="宋体"/>
          <w:b/>
          <w:color w:val="000000" w:themeColor="text1"/>
          <w:sz w:val="21"/>
          <w:szCs w:val="18"/>
          <w14:textFill>
            <w14:solidFill>
              <w14:schemeClr w14:val="tx1"/>
            </w14:solidFill>
          </w14:textFill>
        </w:rPr>
        <w:t>（按其要求提供）</w:t>
      </w:r>
      <w:r>
        <w:rPr>
          <w:rFonts w:hint="eastAsia" w:ascii="宋体" w:hAnsi="宋体" w:eastAsia="宋体" w:cs="宋体"/>
          <w:b/>
          <w:color w:val="000000" w:themeColor="text1"/>
          <w:szCs w:val="21"/>
          <w14:textFill>
            <w14:solidFill>
              <w14:schemeClr w14:val="tx1"/>
            </w14:solidFill>
          </w14:textFill>
        </w:rPr>
        <w:t>；</w:t>
      </w:r>
    </w:p>
    <w:p>
      <w:pPr>
        <w:tabs>
          <w:tab w:val="left" w:pos="1305"/>
        </w:tabs>
        <w:spacing w:line="40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r>
        <w:rPr>
          <w:rFonts w:hint="eastAsia" w:asciiTheme="minorEastAsia" w:hAnsiTheme="minorEastAsia" w:eastAsiaTheme="minorEastAsia" w:cstheme="minorEastAsia"/>
          <w:color w:val="000000" w:themeColor="text1"/>
          <w:szCs w:val="21"/>
          <w14:textFill>
            <w14:solidFill>
              <w14:schemeClr w14:val="tx1"/>
            </w14:solidFill>
          </w14:textFill>
        </w:rPr>
        <w:t>针对本项目的服务方案</w:t>
      </w:r>
      <w:r>
        <w:rPr>
          <w:rFonts w:hint="eastAsia" w:asciiTheme="minorEastAsia" w:hAnsiTheme="minorEastAsia" w:eastAsiaTheme="minorEastAsia" w:cstheme="minorEastAsia"/>
          <w:b/>
          <w:bCs/>
          <w:color w:val="000000" w:themeColor="text1"/>
          <w:szCs w:val="21"/>
          <w14:textFill>
            <w14:solidFill>
              <w14:schemeClr w14:val="tx1"/>
            </w14:solidFill>
          </w14:textFill>
        </w:rPr>
        <w:t>（如有请提供）</w:t>
      </w:r>
      <w:r>
        <w:rPr>
          <w:rFonts w:hint="eastAsia" w:ascii="宋体" w:hAnsi="宋体" w:cs="宋体"/>
          <w:color w:val="000000" w:themeColor="text1"/>
          <w:szCs w:val="21"/>
          <w14:textFill>
            <w14:solidFill>
              <w14:schemeClr w14:val="tx1"/>
            </w14:solidFill>
          </w14:textFill>
        </w:rPr>
        <w:t>；</w:t>
      </w:r>
    </w:p>
    <w:p>
      <w:pPr>
        <w:spacing w:line="40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6.项目实施人员一览表</w:t>
      </w:r>
      <w:r>
        <w:rPr>
          <w:rFonts w:hint="eastAsia" w:ascii="宋体" w:hAnsi="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0"/>
          <w14:textFill>
            <w14:solidFill>
              <w14:schemeClr w14:val="tx1"/>
            </w14:solidFill>
          </w14:textFill>
        </w:rPr>
        <w:t>投标人相关获奖证书、认证证书等复印件</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szCs w:val="20"/>
          <w14:textFill>
            <w14:solidFill>
              <w14:schemeClr w14:val="tx1"/>
            </w14:solidFill>
          </w14:textFill>
        </w:rPr>
        <w:t>；</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000000" w:themeColor="text1"/>
          <w14:textFill>
            <w14:solidFill>
              <w14:schemeClr w14:val="tx1"/>
            </w14:solidFill>
          </w14:textFill>
        </w:rPr>
        <w:t>（如有，请提供）</w:t>
      </w:r>
      <w:r>
        <w:rPr>
          <w:rFonts w:hint="eastAsia" w:ascii="宋体" w:hAnsi="宋体" w:cs="宋体"/>
          <w:color w:val="000000" w:themeColor="text1"/>
          <w14:textFill>
            <w14:solidFill>
              <w14:schemeClr w14:val="tx1"/>
            </w14:solidFill>
          </w14:textFill>
        </w:rPr>
        <w:t>；</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9.如产品属于监狱企业的，以提供由省级以上监狱管理局、戒毒管理局（含新疆生产建设兵团）出具的属于监狱企业的证明文件为准</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kern w:val="0"/>
          <w:sz w:val="24"/>
          <w14:textFill>
            <w14:solidFill>
              <w14:schemeClr w14:val="tx1"/>
            </w14:solidFill>
          </w14:textFill>
        </w:rPr>
        <w:t>）；</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10.符合条件的残疾人福利性单位在参加政府采购活动时，应当提供《残疾人福利性单位声明函》（见附件），并对声明的真实性负责。</w:t>
      </w:r>
      <w:r>
        <w:rPr>
          <w:rFonts w:hint="eastAsia" w:ascii="宋体" w:hAnsi="宋体" w:cs="宋体"/>
          <w:b/>
          <w:bCs/>
          <w:color w:val="000000" w:themeColor="text1"/>
          <w14:textFill>
            <w14:solidFill>
              <w14:schemeClr w14:val="tx1"/>
            </w14:solidFill>
          </w14:textFill>
        </w:rPr>
        <w:t>（如有，请提供）</w:t>
      </w:r>
    </w:p>
    <w:p>
      <w:pPr>
        <w:tabs>
          <w:tab w:val="left" w:pos="1305"/>
        </w:tabs>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cs="宋体"/>
          <w:b/>
          <w:color w:val="000000" w:themeColor="text1"/>
          <w14:textFill>
            <w14:solidFill>
              <w14:schemeClr w14:val="tx1"/>
            </w14:solidFill>
          </w14:textFill>
        </w:rPr>
        <w:t>（如有，请提供）</w:t>
      </w:r>
      <w:r>
        <w:rPr>
          <w:rFonts w:hint="eastAsia" w:ascii="宋体" w:hAnsi="宋体" w:cs="宋体"/>
          <w:color w:val="000000" w:themeColor="text1"/>
          <w:szCs w:val="21"/>
          <w14:textFill>
            <w14:solidFill>
              <w14:schemeClr w14:val="tx1"/>
            </w14:solidFill>
          </w14:textFill>
        </w:rPr>
        <w:t>。</w:t>
      </w:r>
    </w:p>
    <w:p>
      <w:pPr>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投标人提供的以上相关证明材料应真实有效，属于“必须提供”的文件应加盖投标人公章（扫描公章无效，自然人除外），否则投标无效。</w:t>
      </w:r>
    </w:p>
    <w:p>
      <w:pPr>
        <w:spacing w:line="400" w:lineRule="exact"/>
        <w:outlineLvl w:val="1"/>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p>
    <w:p>
      <w:pP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一、投标报价表</w:t>
      </w:r>
    </w:p>
    <w:p>
      <w:pPr>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投标报价表（格式）</w:t>
      </w:r>
    </w:p>
    <w:tbl>
      <w:tblPr>
        <w:tblStyle w:val="28"/>
        <w:tblW w:w="5000" w:type="pct"/>
        <w:tblInd w:w="0" w:type="dxa"/>
        <w:tblLayout w:type="autofit"/>
        <w:tblCellMar>
          <w:top w:w="0" w:type="dxa"/>
          <w:left w:w="0" w:type="dxa"/>
          <w:bottom w:w="0" w:type="dxa"/>
          <w:right w:w="0" w:type="dxa"/>
        </w:tblCellMar>
      </w:tblPr>
      <w:tblGrid>
        <w:gridCol w:w="476"/>
        <w:gridCol w:w="1952"/>
        <w:gridCol w:w="2599"/>
        <w:gridCol w:w="1866"/>
        <w:gridCol w:w="1417"/>
        <w:gridCol w:w="1460"/>
      </w:tblGrid>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人员工资及福利</w:t>
            </w:r>
          </w:p>
        </w:tc>
      </w:tr>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一、人员工资</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序号</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岗位</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人员编制（人）</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工资标准（元/月）</w:t>
            </w:r>
          </w:p>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注：</w:t>
            </w:r>
            <w:r>
              <w:rPr>
                <w:rStyle w:val="124"/>
                <w:rFonts w:hint="default"/>
                <w:color w:val="000000" w:themeColor="text1"/>
                <w:sz w:val="21"/>
                <w:szCs w:val="21"/>
                <w:lang w:bidi="ar"/>
                <w14:textFill>
                  <w14:solidFill>
                    <w14:schemeClr w14:val="tx1"/>
                  </w14:solidFill>
                </w14:textFill>
              </w:rPr>
              <w:t>按广西壮族自治区市区最新最低工资标准，每人不得少于1810元/月。</w:t>
            </w: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月小计（元）</w:t>
            </w: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年小计（元）</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项目经理</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经理助理</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客服主管</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秩序主管</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保洁绿化主管</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工程主管</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管理员</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秩序形象岗</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秩序维护员</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24</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保洁班长</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保洁员</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绿化员</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水电维修工</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14</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会务员</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洗车工</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16</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擦鞋工</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1243"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合计：</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70</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b/>
                <w:color w:val="000000" w:themeColor="text1"/>
                <w:szCs w:val="21"/>
                <w14:textFill>
                  <w14:solidFill>
                    <w14:schemeClr w14:val="tx1"/>
                  </w14:solidFill>
                </w14:textFill>
              </w:rPr>
            </w:pP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二、员工福利</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序号</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支出项目</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测算依据</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每月成本测算</w:t>
            </w: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每月费用（元）</w:t>
            </w: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每年费用（元）</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福利费</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节假日奖金、高温补助等</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按每人每年100元计算</w:t>
            </w: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社会保险费</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按国家规定执行</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按最低基数2955.1元/月×26.02%</w:t>
            </w: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节日加班工资</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国家规定13个法定节假日，按三倍工资计算加班费</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综合测算</w:t>
            </w: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3528" w:type="pct"/>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合计：</w:t>
            </w: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企业运营经费</w:t>
            </w:r>
          </w:p>
        </w:tc>
      </w:tr>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三、办公设备费用</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序号</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支出项目</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测算依据</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每月成本测算</w:t>
            </w: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每月费用（元）</w:t>
            </w: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每年费用（元）</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办公用品</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行政办公用打印纸、笔、表格等物品</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综合测算</w:t>
            </w: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99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员工服装费</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物业服务人员统一着装</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80元/套（使用期限2年）×4套×70人÷24个月</w:t>
            </w: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3528" w:type="pct"/>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合计：</w:t>
            </w: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材料成本预算</w:t>
            </w:r>
          </w:p>
        </w:tc>
      </w:tr>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四、保洁费用</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序号</w:t>
            </w:r>
          </w:p>
        </w:tc>
        <w:tc>
          <w:tcPr>
            <w:tcW w:w="99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支出项目</w:t>
            </w:r>
          </w:p>
        </w:tc>
        <w:tc>
          <w:tcPr>
            <w:tcW w:w="1330"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测算依据</w:t>
            </w:r>
          </w:p>
        </w:tc>
        <w:tc>
          <w:tcPr>
            <w:tcW w:w="95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每月成本测算</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每月费用（元）</w:t>
            </w: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每年费用（元）</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9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保洁日常消耗</w:t>
            </w:r>
          </w:p>
        </w:tc>
        <w:tc>
          <w:tcPr>
            <w:tcW w:w="1330"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清洁易耗品</w:t>
            </w:r>
          </w:p>
        </w:tc>
        <w:tc>
          <w:tcPr>
            <w:tcW w:w="95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综合测算</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3528"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合计：</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五、绿化养护费用</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序号</w:t>
            </w:r>
          </w:p>
        </w:tc>
        <w:tc>
          <w:tcPr>
            <w:tcW w:w="99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支出项目</w:t>
            </w:r>
          </w:p>
        </w:tc>
        <w:tc>
          <w:tcPr>
            <w:tcW w:w="1330"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测算依据</w:t>
            </w:r>
          </w:p>
        </w:tc>
        <w:tc>
          <w:tcPr>
            <w:tcW w:w="95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每月成本测算</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每月费用（元）</w:t>
            </w: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每年费用（元）</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9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绿化养护费用</w:t>
            </w:r>
          </w:p>
        </w:tc>
        <w:tc>
          <w:tcPr>
            <w:tcW w:w="1330"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绿化工具装备费</w:t>
            </w:r>
          </w:p>
        </w:tc>
        <w:tc>
          <w:tcPr>
            <w:tcW w:w="95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综合测算</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3528"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合计：</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六、物资装备折旧费用</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序号</w:t>
            </w:r>
          </w:p>
        </w:tc>
        <w:tc>
          <w:tcPr>
            <w:tcW w:w="99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支出项目</w:t>
            </w:r>
          </w:p>
        </w:tc>
        <w:tc>
          <w:tcPr>
            <w:tcW w:w="1330"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测算依据</w:t>
            </w:r>
          </w:p>
        </w:tc>
        <w:tc>
          <w:tcPr>
            <w:tcW w:w="95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每月成本测算</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每月费用（元）</w:t>
            </w: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每年费用（元）</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9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物资装备折旧费用</w:t>
            </w:r>
          </w:p>
        </w:tc>
        <w:tc>
          <w:tcPr>
            <w:tcW w:w="1330"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物业服务用工具费</w:t>
            </w:r>
          </w:p>
        </w:tc>
        <w:tc>
          <w:tcPr>
            <w:tcW w:w="95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综合测算</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3528"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合计：</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3528"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一至六项合计</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七、企业管理费、利润及税费</w:t>
            </w: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序号</w:t>
            </w:r>
          </w:p>
        </w:tc>
        <w:tc>
          <w:tcPr>
            <w:tcW w:w="99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支出项目</w:t>
            </w:r>
          </w:p>
        </w:tc>
        <w:tc>
          <w:tcPr>
            <w:tcW w:w="1330"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测算依据</w:t>
            </w:r>
          </w:p>
        </w:tc>
        <w:tc>
          <w:tcPr>
            <w:tcW w:w="95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每月成本测算</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每月费用（元）</w:t>
            </w: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每年费用（元）</w:t>
            </w:r>
          </w:p>
        </w:tc>
      </w:tr>
      <w:tr>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99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企业管理费及利润</w:t>
            </w:r>
          </w:p>
        </w:tc>
        <w:tc>
          <w:tcPr>
            <w:tcW w:w="1330"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按1-6项支出的</w:t>
            </w:r>
            <w:r>
              <w:rPr>
                <w:rFonts w:hint="eastAsia" w:ascii="宋体" w:hAnsi="宋体" w:cs="宋体"/>
                <w:color w:val="000000" w:themeColor="text1"/>
                <w:kern w:val="0"/>
                <w:szCs w:val="21"/>
                <w:u w:val="single"/>
                <w:lang w:bidi="ar"/>
                <w14:textFill>
                  <w14:solidFill>
                    <w14:schemeClr w14:val="tx1"/>
                  </w14:solidFill>
                </w14:textFill>
              </w:rPr>
              <w:t xml:space="preserve"> 1 </w:t>
            </w:r>
            <w:r>
              <w:rPr>
                <w:rFonts w:hint="eastAsia" w:ascii="宋体" w:hAnsi="宋体" w:cs="宋体"/>
                <w:color w:val="000000" w:themeColor="text1"/>
                <w:kern w:val="0"/>
                <w:szCs w:val="21"/>
                <w:lang w:bidi="ar"/>
                <w14:textFill>
                  <w14:solidFill>
                    <w14:schemeClr w14:val="tx1"/>
                  </w14:solidFill>
                </w14:textFill>
              </w:rPr>
              <w:t>%计提</w:t>
            </w:r>
          </w:p>
        </w:tc>
        <w:tc>
          <w:tcPr>
            <w:tcW w:w="95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99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增值税费及附加税</w:t>
            </w:r>
          </w:p>
        </w:tc>
        <w:tc>
          <w:tcPr>
            <w:tcW w:w="1330"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按以上总支出的6.72%计提</w:t>
            </w:r>
          </w:p>
        </w:tc>
        <w:tc>
          <w:tcPr>
            <w:tcW w:w="954"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3528"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合计：</w:t>
            </w:r>
          </w:p>
        </w:tc>
        <w:tc>
          <w:tcPr>
            <w:tcW w:w="725"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八、总费用</w:t>
            </w:r>
          </w:p>
        </w:tc>
      </w:tr>
      <w:tr>
        <w:tblPrEx>
          <w:tblCellMar>
            <w:top w:w="0" w:type="dxa"/>
            <w:left w:w="0" w:type="dxa"/>
            <w:bottom w:w="0" w:type="dxa"/>
            <w:right w:w="0" w:type="dxa"/>
          </w:tblCellMar>
        </w:tblPrEx>
        <w:trPr>
          <w:cantSplit/>
          <w:trHeight w:val="23" w:hRule="atLeast"/>
        </w:trPr>
        <w:tc>
          <w:tcPr>
            <w:tcW w:w="1243"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总费用</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测算依据</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每月成本测算</w:t>
            </w: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每月费用（元）</w:t>
            </w: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每年费用（元）</w:t>
            </w:r>
          </w:p>
        </w:tc>
      </w:tr>
      <w:tr>
        <w:tblPrEx>
          <w:tblCellMar>
            <w:top w:w="0" w:type="dxa"/>
            <w:left w:w="0" w:type="dxa"/>
            <w:bottom w:w="0" w:type="dxa"/>
            <w:right w:w="0" w:type="dxa"/>
          </w:tblCellMar>
        </w:tblPrEx>
        <w:trPr>
          <w:cantSplit/>
          <w:trHeight w:val="23" w:hRule="atLeast"/>
        </w:trPr>
        <w:tc>
          <w:tcPr>
            <w:tcW w:w="1243"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每年的物业服务费用总价</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以上1-7项支出合计</w:t>
            </w:r>
          </w:p>
        </w:tc>
        <w:tc>
          <w:tcPr>
            <w:tcW w:w="95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w:t>
            </w:r>
          </w:p>
        </w:tc>
        <w:tc>
          <w:tcPr>
            <w:tcW w:w="72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c>
          <w:tcPr>
            <w:tcW w:w="7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1243"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总费用</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测算依据</w:t>
            </w:r>
          </w:p>
        </w:tc>
        <w:tc>
          <w:tcPr>
            <w:tcW w:w="2426"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投标总报价（元）</w:t>
            </w:r>
          </w:p>
        </w:tc>
      </w:tr>
      <w:tr>
        <w:tblPrEx>
          <w:tblCellMar>
            <w:top w:w="0" w:type="dxa"/>
            <w:left w:w="0" w:type="dxa"/>
            <w:bottom w:w="0" w:type="dxa"/>
            <w:right w:w="0" w:type="dxa"/>
          </w:tblCellMar>
        </w:tblPrEx>
        <w:trPr>
          <w:cantSplit/>
          <w:trHeight w:val="23" w:hRule="atLeast"/>
        </w:trPr>
        <w:tc>
          <w:tcPr>
            <w:tcW w:w="1243"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2年的物业服务费用总价</w:t>
            </w:r>
          </w:p>
        </w:tc>
        <w:tc>
          <w:tcPr>
            <w:tcW w:w="13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每年的物业服务费用总价*2</w:t>
            </w:r>
          </w:p>
        </w:tc>
        <w:tc>
          <w:tcPr>
            <w:tcW w:w="2426"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kern w:val="0"/>
                <w:szCs w:val="21"/>
                <w:lang w:bidi="ar"/>
                <w14:textFill>
                  <w14:solidFill>
                    <w14:schemeClr w14:val="tx1"/>
                  </w14:solidFill>
                </w14:textFill>
              </w:rPr>
            </w:pPr>
          </w:p>
          <w:p>
            <w:pPr>
              <w:widowControl/>
              <w:jc w:val="center"/>
              <w:textAlignment w:val="center"/>
              <w:rPr>
                <w:rFonts w:ascii="宋体" w:hAnsi="宋体" w:cs="宋体"/>
                <w:b/>
                <w:color w:val="000000" w:themeColor="text1"/>
                <w:szCs w:val="21"/>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投标总</w:t>
            </w:r>
            <w:r>
              <w:rPr>
                <w:rFonts w:ascii="宋体" w:hAnsi="宋体" w:cs="宋体"/>
                <w:b/>
                <w:color w:val="000000" w:themeColor="text1"/>
                <w:szCs w:val="21"/>
                <w14:textFill>
                  <w14:solidFill>
                    <w14:schemeClr w14:val="tx1"/>
                  </w14:solidFill>
                </w14:textFill>
              </w:rPr>
              <w:t xml:space="preserve">报价（大写）：人民币               </w:t>
            </w:r>
            <w:r>
              <w:rPr>
                <w:rFonts w:hint="eastAsia" w:ascii="宋体" w:hAnsi="宋体" w:cs="宋体"/>
                <w:b/>
                <w:color w:val="000000" w:themeColor="text1"/>
                <w:szCs w:val="21"/>
                <w14:textFill>
                  <w14:solidFill>
                    <w14:schemeClr w14:val="tx1"/>
                  </w14:solidFill>
                </w14:textFill>
              </w:rPr>
              <w:t>元</w:t>
            </w:r>
            <w:r>
              <w:rPr>
                <w:rFonts w:hint="eastAsia" w:ascii="宋体" w:hAnsi="宋体" w:cs="宋体"/>
                <w:b/>
                <w:color w:val="000000" w:themeColor="text1"/>
                <w:szCs w:val="21"/>
                <w:lang w:val="en-US" w:eastAsia="zh-CN"/>
                <w14:textFill>
                  <w14:solidFill>
                    <w14:schemeClr w14:val="tx1"/>
                  </w14:solidFill>
                </w14:textFill>
              </w:rPr>
              <w:t>整</w:t>
            </w:r>
            <w:r>
              <w:rPr>
                <w:rFonts w:ascii="宋体" w:hAnsi="宋体" w:cs="宋体"/>
                <w:b/>
                <w:color w:val="000000" w:themeColor="text1"/>
                <w:szCs w:val="21"/>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w:t>
            </w:r>
            <w:r>
              <w:rPr>
                <w:rFonts w:hint="eastAsia" w:ascii="宋体" w:hAnsi="宋体" w:cs="宋体"/>
                <w:b/>
                <w:color w:val="000000" w:themeColor="text1"/>
                <w:szCs w:val="21"/>
                <w:lang w:eastAsia="zh-CN"/>
                <w14:textFill>
                  <w14:solidFill>
                    <w14:schemeClr w14:val="tx1"/>
                  </w14:solidFill>
                </w14:textFill>
              </w:rPr>
              <w:t>：</w:t>
            </w:r>
            <w:r>
              <w:rPr>
                <w:rFonts w:ascii="宋体" w:hAnsi="宋体" w:cs="宋体"/>
                <w:b/>
                <w:color w:val="000000" w:themeColor="text1"/>
                <w:szCs w:val="21"/>
                <w14:textFill>
                  <w14:solidFill>
                    <w14:schemeClr w14:val="tx1"/>
                  </w14:solidFill>
                </w14:textFill>
              </w:rPr>
              <w:t xml:space="preserve">                      ）</w:t>
            </w:r>
          </w:p>
        </w:tc>
      </w:tr>
      <w:tr>
        <w:tblPrEx>
          <w:tblCellMar>
            <w:top w:w="0" w:type="dxa"/>
            <w:left w:w="0" w:type="dxa"/>
            <w:bottom w:w="0" w:type="dxa"/>
            <w:right w:w="0" w:type="dxa"/>
          </w:tblCellMar>
        </w:tblPrEx>
        <w:trPr>
          <w:cantSplit/>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说明：投标报价指</w:t>
            </w:r>
            <w:r>
              <w:rPr>
                <w:rFonts w:hint="eastAsia" w:ascii="宋体" w:hAnsi="宋体"/>
                <w:color w:val="000000" w:themeColor="text1"/>
                <w:szCs w:val="21"/>
                <w14:textFill>
                  <w14:solidFill>
                    <w14:schemeClr w14:val="tx1"/>
                  </w14:solidFill>
                </w14:textFill>
              </w:rPr>
              <w:t>本次招标采购范围内服务价款、</w:t>
            </w:r>
            <w:r>
              <w:rPr>
                <w:rFonts w:hint="eastAsia" w:ascii="宋体" w:hAnsi="宋体" w:cs="Courier New"/>
                <w:color w:val="000000" w:themeColor="text1"/>
                <w:szCs w:val="21"/>
                <w14:textFill>
                  <w14:solidFill>
                    <w14:schemeClr w14:val="tx1"/>
                  </w14:solidFill>
                </w14:textFill>
              </w:rPr>
              <w:t>服务随配标准附件、</w:t>
            </w:r>
            <w:r>
              <w:rPr>
                <w:rFonts w:hint="eastAsia" w:ascii="宋体" w:hAnsi="宋体"/>
                <w:color w:val="000000" w:themeColor="text1"/>
                <w:szCs w:val="21"/>
                <w14:textFill>
                  <w14:solidFill>
                    <w14:schemeClr w14:val="tx1"/>
                  </w14:solidFill>
                </w14:textFill>
              </w:rPr>
              <w:t>包装、运输、装卸、保险、税金、服务到位以及安装、安装所需辅材、调试、检验、售后服务、培训、保修</w:t>
            </w:r>
            <w:r>
              <w:rPr>
                <w:rFonts w:hint="eastAsia" w:ascii="宋体" w:hAnsi="宋体" w:cs="Courier New"/>
                <w:color w:val="000000" w:themeColor="text1"/>
                <w:szCs w:val="21"/>
                <w14:textFill>
                  <w14:solidFill>
                    <w14:schemeClr w14:val="tx1"/>
                  </w14:solidFill>
                </w14:textFill>
              </w:rPr>
              <w:t>及其他所有成本费用的总和</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rPr>
          <w:rFonts w:hint="eastAsia"/>
          <w:color w:val="000000" w:themeColor="text1"/>
          <w14:textFill>
            <w14:solidFill>
              <w14:schemeClr w14:val="tx1"/>
            </w14:solidFill>
          </w14:textFill>
        </w:rPr>
      </w:pPr>
      <w:r>
        <w:rPr>
          <w:rFonts w:hint="eastAsia"/>
          <w:b/>
          <w:bCs w:val="0"/>
          <w:color w:val="000000" w:themeColor="text1"/>
          <w:szCs w:val="21"/>
          <w14:textFill>
            <w14:solidFill>
              <w14:schemeClr w14:val="tx1"/>
            </w14:solidFill>
          </w14:textFill>
        </w:rPr>
        <w:t>注：未按照投标报价表要求将被视为非实质性响应招标文件要求，从而导致该投标被拒绝。</w:t>
      </w:r>
    </w:p>
    <w:p>
      <w:pPr>
        <w:spacing w:line="34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投标人（公章，自然人除外）：</w:t>
      </w:r>
    </w:p>
    <w:p>
      <w:pPr>
        <w:tabs>
          <w:tab w:val="left" w:pos="1305"/>
        </w:tabs>
        <w:spacing w:line="340" w:lineRule="exact"/>
        <w:ind w:firstLine="205" w:firstLineChars="98"/>
        <w:rPr>
          <w:rFonts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自然人或相应的委托代理人签字或盖章（属自然人的应在签名处加盖食指指印）：</w:t>
      </w:r>
    </w:p>
    <w:p>
      <w:pPr>
        <w:tabs>
          <w:tab w:val="left" w:pos="1305"/>
        </w:tabs>
        <w:spacing w:line="340" w:lineRule="exact"/>
        <w:ind w:firstLine="205" w:firstLineChars="98"/>
        <w:rPr>
          <w:rFonts w:ascii="宋体" w:hAnsi="宋体"/>
          <w:color w:val="000000" w:themeColor="text1"/>
          <w:szCs w:val="21"/>
          <w:u w:val="single"/>
          <w14:textFill>
            <w14:solidFill>
              <w14:schemeClr w14:val="tx1"/>
            </w14:solidFill>
          </w14:textFill>
        </w:rPr>
      </w:pPr>
    </w:p>
    <w:p>
      <w:pPr>
        <w:tabs>
          <w:tab w:val="left" w:pos="1305"/>
        </w:tabs>
        <w:spacing w:line="340" w:lineRule="exact"/>
        <w:ind w:firstLine="205" w:firstLineChars="98"/>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w:t>
      </w:r>
      <w:r>
        <w:rPr>
          <w:rFonts w:hint="eastAsia" w:ascii="宋体" w:hAnsi="宋体"/>
          <w:b/>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1.各投标人</w:t>
      </w:r>
      <w:r>
        <w:rPr>
          <w:rFonts w:hint="eastAsia" w:ascii="宋体" w:hAnsi="宋体"/>
          <w:color w:val="000000" w:themeColor="text1"/>
          <w:szCs w:val="21"/>
          <w14:textFill>
            <w14:solidFill>
              <w14:schemeClr w14:val="tx1"/>
            </w14:solidFill>
          </w14:textFill>
        </w:rPr>
        <w:t>必须就“服务采购需求”中所投的所有内容作完整唯一报价，否则，其投标将被拒绝。投标文件只允许有一个报价。</w:t>
      </w:r>
    </w:p>
    <w:p>
      <w:pPr>
        <w:pStyle w:val="17"/>
        <w:spacing w:line="360" w:lineRule="exact"/>
        <w:ind w:firstLine="630" w:firstLineChars="3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2.投标人应根据所投项目如实填写投标报价表</w:t>
      </w:r>
      <w:r>
        <w:rPr>
          <w:rFonts w:hint="eastAsia" w:hAnsi="宋体"/>
          <w:bCs/>
          <w:color w:val="000000" w:themeColor="text1"/>
          <w:szCs w:val="21"/>
          <w14:textFill>
            <w14:solidFill>
              <w14:schemeClr w14:val="tx1"/>
            </w14:solidFill>
          </w14:textFill>
        </w:rPr>
        <w:t>的各项内容。</w:t>
      </w:r>
    </w:p>
    <w:p>
      <w:pPr>
        <w:pStyle w:val="17"/>
        <w:spacing w:line="400" w:lineRule="exact"/>
        <w:ind w:left="630" w:leftChars="300"/>
        <w:rPr>
          <w:rFonts w:hAnsi="宋体"/>
          <w:b/>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3.投标报价表须由</w:t>
      </w:r>
      <w:r>
        <w:rPr>
          <w:rFonts w:hint="eastAsia" w:hAnsi="宋体"/>
          <w:color w:val="000000" w:themeColor="text1"/>
          <w14:textFill>
            <w14:solidFill>
              <w14:schemeClr w14:val="tx1"/>
            </w14:solidFill>
          </w14:textFill>
        </w:rPr>
        <w:t>法定代表人</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w:t>
      </w:r>
      <w:r>
        <w:rPr>
          <w:rFonts w:hint="eastAsia"/>
          <w:color w:val="000000" w:themeColor="text1"/>
          <w14:textFill>
            <w14:solidFill>
              <w14:schemeClr w14:val="tx1"/>
            </w14:solidFill>
          </w14:textFill>
        </w:rPr>
        <w:t>或相应的委托代理人签字</w:t>
      </w:r>
      <w:r>
        <w:rPr>
          <w:rFonts w:hint="eastAsia" w:hAnsi="宋体"/>
          <w:color w:val="000000" w:themeColor="text1"/>
          <w14:textFill>
            <w14:solidFill>
              <w14:schemeClr w14:val="tx1"/>
            </w14:solidFill>
          </w14:textFill>
        </w:rPr>
        <w:t>或盖章（属自然人的应在签名处加盖食指指印）</w:t>
      </w:r>
      <w:r>
        <w:rPr>
          <w:rFonts w:hint="eastAsia"/>
          <w:color w:val="000000" w:themeColor="text1"/>
          <w14:textFill>
            <w14:solidFill>
              <w14:schemeClr w14:val="tx1"/>
            </w14:solidFill>
          </w14:textFill>
        </w:rPr>
        <w:t>并加盖投标人公章（自然人除外）。</w:t>
      </w:r>
      <w:r>
        <w:rPr>
          <w:rFonts w:hint="eastAsia"/>
          <w:b/>
          <w:color w:val="000000" w:themeColor="text1"/>
          <w14:textFill>
            <w14:solidFill>
              <w14:schemeClr w14:val="tx1"/>
            </w14:solidFill>
          </w14:textFill>
        </w:rPr>
        <w:t>当本表由多页构成时，需逐页加盖投标人公章（属自然人的须逐页签字）。</w:t>
      </w:r>
    </w:p>
    <w:p>
      <w:pPr>
        <w:rPr>
          <w:rFonts w:ascii="宋体" w:hAnsi="宋体" w:cs="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4.如投标的全部或部分产品属于《</w:t>
      </w:r>
      <w:r>
        <w:rPr>
          <w:rFonts w:ascii="宋体" w:hAnsi="宋体"/>
          <w:bCs/>
          <w:color w:val="000000" w:themeColor="text1"/>
          <w:szCs w:val="21"/>
          <w14:textFill>
            <w14:solidFill>
              <w14:schemeClr w14:val="tx1"/>
            </w14:solidFill>
          </w14:textFill>
        </w:rPr>
        <w:t>节能</w:t>
      </w:r>
      <w:r>
        <w:rPr>
          <w:rFonts w:hint="eastAsia" w:ascii="宋体" w:hAnsi="宋体"/>
          <w:bCs/>
          <w:color w:val="000000" w:themeColor="text1"/>
          <w:szCs w:val="21"/>
          <w14:textFill>
            <w14:solidFill>
              <w14:schemeClr w14:val="tx1"/>
            </w14:solidFill>
          </w14:textFill>
        </w:rPr>
        <w:t>产品政府采购</w:t>
      </w:r>
      <w:r>
        <w:rPr>
          <w:rFonts w:ascii="宋体" w:hAnsi="宋体"/>
          <w:bCs/>
          <w:color w:val="000000" w:themeColor="text1"/>
          <w:szCs w:val="21"/>
          <w14:textFill>
            <w14:solidFill>
              <w14:schemeClr w14:val="tx1"/>
            </w14:solidFill>
          </w14:textFill>
        </w:rPr>
        <w:t>清单</w:t>
      </w:r>
      <w:r>
        <w:rPr>
          <w:rFonts w:hint="eastAsia" w:ascii="宋体" w:hAnsi="宋体"/>
          <w:bCs/>
          <w:color w:val="000000" w:themeColor="text1"/>
          <w:szCs w:val="21"/>
          <w14:textFill>
            <w14:solidFill>
              <w14:schemeClr w14:val="tx1"/>
            </w14:solidFill>
          </w14:textFill>
        </w:rPr>
        <w:t>》或《环境标志产品政府采购清单》目录范围</w:t>
      </w:r>
      <w:r>
        <w:rPr>
          <w:rFonts w:ascii="宋体" w:hAnsi="宋体"/>
          <w:bCs/>
          <w:color w:val="000000" w:themeColor="text1"/>
          <w:szCs w:val="21"/>
          <w14:textFill>
            <w14:solidFill>
              <w14:schemeClr w14:val="tx1"/>
            </w14:solidFill>
          </w14:textFill>
        </w:rPr>
        <w:t>的</w:t>
      </w:r>
      <w:r>
        <w:rPr>
          <w:rFonts w:hint="eastAsia" w:ascii="宋体" w:hAnsi="宋体"/>
          <w:bCs/>
          <w:color w:val="000000" w:themeColor="text1"/>
          <w:szCs w:val="21"/>
          <w14:textFill>
            <w14:solidFill>
              <w14:schemeClr w14:val="tx1"/>
            </w14:solidFill>
          </w14:textFill>
        </w:rPr>
        <w:t>，投标人应在本表备注栏内写明各分项货物属于节能（或环境标志）产品政府采购清单第几类第几项序号的产品，属于节能产品或环境标志产品，但不在上述最新目录范围内的，请在本表备注栏内写明“详见证明材料”，并提供相关证明材料复印件（加盖供应商公章），以便评审小组作为优先采购或评审的依据。</w:t>
      </w: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bookmarkStart w:id="279" w:name="_Toc495841787"/>
      <w:bookmarkStart w:id="280" w:name="_Toc27290"/>
      <w:r>
        <w:rPr>
          <w:rFonts w:hint="eastAsia" w:ascii="宋体" w:hAnsi="宋体" w:cs="宋体"/>
          <w:b/>
          <w:bCs/>
          <w:color w:val="000000" w:themeColor="text1"/>
          <w:sz w:val="32"/>
          <w:szCs w:val="32"/>
          <w14:textFill>
            <w14:solidFill>
              <w14:schemeClr w14:val="tx1"/>
            </w14:solidFill>
          </w14:textFill>
        </w:rPr>
        <w:t>二、资格性响应证明材料（格式）</w:t>
      </w:r>
      <w:bookmarkEnd w:id="279"/>
      <w:bookmarkEnd w:id="280"/>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81" w:name="_Toc495841788"/>
      <w:bookmarkStart w:id="282" w:name="_Toc11828"/>
      <w:r>
        <w:rPr>
          <w:rFonts w:hint="eastAsia" w:ascii="宋体" w:hAnsi="宋体" w:cs="宋体"/>
          <w:b/>
          <w:bCs/>
          <w:color w:val="000000" w:themeColor="text1"/>
          <w:sz w:val="32"/>
          <w:szCs w:val="32"/>
          <w14:textFill>
            <w14:solidFill>
              <w14:schemeClr w14:val="tx1"/>
            </w14:solidFill>
          </w14:textFill>
        </w:rPr>
        <w:t>1.投标人相应的法定代表人</w:t>
      </w:r>
      <w:r>
        <w:rPr>
          <w:rFonts w:hint="eastAsia" w:ascii="宋体" w:hAnsi="宋体" w:cs="宋体"/>
          <w:b/>
          <w:bCs/>
          <w:color w:val="000000" w:themeColor="text1"/>
          <w:sz w:val="32"/>
          <w:szCs w:val="32"/>
          <w:lang w:val="en-US" w:eastAsia="zh-CN"/>
          <w14:textFill>
            <w14:solidFill>
              <w14:schemeClr w14:val="tx1"/>
            </w14:solidFill>
          </w14:textFill>
        </w:rPr>
        <w:t>/</w:t>
      </w:r>
      <w:r>
        <w:rPr>
          <w:rFonts w:hint="eastAsia" w:ascii="宋体" w:hAnsi="宋体" w:cs="宋体"/>
          <w:b/>
          <w:bCs/>
          <w:color w:val="000000" w:themeColor="text1"/>
          <w:sz w:val="32"/>
          <w:szCs w:val="32"/>
          <w14:textFill>
            <w14:solidFill>
              <w14:schemeClr w14:val="tx1"/>
            </w14:solidFill>
          </w14:textFill>
        </w:rPr>
        <w:t>负责人</w:t>
      </w:r>
      <w:r>
        <w:rPr>
          <w:rFonts w:hint="eastAsia" w:ascii="宋体" w:hAnsi="宋体" w:cs="宋体"/>
          <w:b/>
          <w:bCs/>
          <w:color w:val="000000" w:themeColor="text1"/>
          <w:sz w:val="32"/>
          <w:szCs w:val="32"/>
          <w:lang w:val="en-US" w:eastAsia="zh-CN"/>
          <w14:textFill>
            <w14:solidFill>
              <w14:schemeClr w14:val="tx1"/>
            </w14:solidFill>
          </w14:textFill>
        </w:rPr>
        <w:t>/</w:t>
      </w:r>
      <w:r>
        <w:rPr>
          <w:rFonts w:hint="eastAsia" w:ascii="宋体" w:hAnsi="宋体" w:cs="宋体"/>
          <w:b/>
          <w:bCs/>
          <w:color w:val="000000" w:themeColor="text1"/>
          <w:sz w:val="32"/>
          <w:szCs w:val="32"/>
          <w14:textFill>
            <w14:solidFill>
              <w14:schemeClr w14:val="tx1"/>
            </w14:solidFill>
          </w14:textFill>
        </w:rPr>
        <w:t>自然人身份证正反面复印件（必须提供）</w:t>
      </w:r>
      <w:bookmarkEnd w:id="281"/>
      <w:bookmarkEnd w:id="282"/>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83" w:name="_Toc11623"/>
      <w:bookmarkStart w:id="284" w:name="_Toc495841789"/>
      <w:r>
        <w:rPr>
          <w:rFonts w:hint="eastAsia" w:ascii="宋体" w:hAnsi="宋体" w:cs="宋体"/>
          <w:b/>
          <w:bCs/>
          <w:color w:val="000000" w:themeColor="text1"/>
          <w:sz w:val="32"/>
          <w:szCs w:val="32"/>
          <w14:textFill>
            <w14:solidFill>
              <w14:schemeClr w14:val="tx1"/>
            </w14:solidFill>
          </w14:textFill>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283"/>
      <w:bookmarkEnd w:id="284"/>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color w:val="000000" w:themeColor="text1"/>
          <w:sz w:val="32"/>
          <w14:textFill>
            <w14:solidFill>
              <w14:schemeClr w14:val="tx1"/>
            </w14:solidFill>
          </w14:textFill>
        </w:rPr>
      </w:pPr>
    </w:p>
    <w:p>
      <w:pPr>
        <w:jc w:val="center"/>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授权委托书（格式一）</w:t>
      </w:r>
    </w:p>
    <w:p>
      <w:pPr>
        <w:snapToGrid w:val="0"/>
        <w:spacing w:line="400" w:lineRule="exact"/>
        <w:rPr>
          <w:rFonts w:ascii="宋体" w:hAnsi="宋体" w:cs="宋体"/>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致</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u w:val="single"/>
          <w14:textFill>
            <w14:solidFill>
              <w14:schemeClr w14:val="tx1"/>
            </w14:solidFill>
          </w14:textFill>
        </w:rPr>
        <w:t>桂林市政府集中采购中心</w:t>
      </w:r>
    </w:p>
    <w:p>
      <w:pPr>
        <w:spacing w:line="400" w:lineRule="exact"/>
        <w:ind w:firstLine="525" w:firstLineChars="25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我（姓名）系（投标人名称）的法定代表人（负责人），现授权委托本单位在职职工（姓名），身份证号码：以我公司名义参加</w:t>
      </w:r>
      <w:r>
        <w:rPr>
          <w:rFonts w:hint="eastAsia" w:ascii="宋体" w:hAnsi="宋体" w:cs="宋体"/>
          <w:color w:val="000000" w:themeColor="text1"/>
          <w:u w:val="single"/>
          <w14:textFill>
            <w14:solidFill>
              <w14:schemeClr w14:val="tx1"/>
            </w14:solidFill>
          </w14:textFill>
        </w:rPr>
        <w:t xml:space="preserve">（项目名称及项目编号）    </w:t>
      </w:r>
      <w:r>
        <w:rPr>
          <w:rFonts w:hint="eastAsia" w:ascii="宋体" w:hAnsi="宋体" w:cs="宋体"/>
          <w:color w:val="000000" w:themeColor="text1"/>
          <w14:textFill>
            <w14:solidFill>
              <w14:schemeClr w14:val="tx1"/>
            </w14:solidFill>
          </w14:textFill>
        </w:rPr>
        <w:t>项目的投标活动，并代表我方全权办理针对上述项目的投标、开标、评标、签约等具体事务和签署相关文件。</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我方对被授权人的签字事项负全部责任。</w:t>
      </w:r>
    </w:p>
    <w:p>
      <w:pPr>
        <w:spacing w:line="400" w:lineRule="exact"/>
        <w:ind w:firstLine="420" w:firstLineChars="20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授权委托代理期限：自即日起至该项目政府采购活动结束。</w:t>
      </w:r>
    </w:p>
    <w:p>
      <w:pPr>
        <w:spacing w:line="400" w:lineRule="exact"/>
        <w:rPr>
          <w:rFonts w:ascii="宋体" w:hAnsi="宋体" w:cs="宋体"/>
          <w:color w:val="000000" w:themeColor="text1"/>
          <w:u w:val="single"/>
          <w14:textFill>
            <w14:solidFill>
              <w14:schemeClr w14:val="tx1"/>
            </w14:solidFill>
          </w14:textFill>
        </w:rPr>
      </w:pPr>
    </w:p>
    <w:p>
      <w:pPr>
        <w:spacing w:line="40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代理人无转委托权,特此委托。 </w:t>
      </w:r>
    </w:p>
    <w:p>
      <w:pPr>
        <w:snapToGrid w:val="0"/>
        <w:spacing w:line="400" w:lineRule="exact"/>
        <w:ind w:firstLine="525"/>
        <w:rPr>
          <w:rFonts w:ascii="宋体" w:hAnsi="宋体" w:cs="宋体"/>
          <w:color w:val="000000" w:themeColor="text1"/>
          <w:szCs w:val="21"/>
          <w14:textFill>
            <w14:solidFill>
              <w14:schemeClr w14:val="tx1"/>
            </w14:solidFill>
          </w14:textFill>
        </w:rPr>
      </w:pPr>
    </w:p>
    <w:p>
      <w:pPr>
        <w:snapToGrid w:val="0"/>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我已在下面签字，以资证明。</w:t>
      </w:r>
    </w:p>
    <w:p>
      <w:pPr>
        <w:snapToGrid w:val="0"/>
        <w:spacing w:line="400" w:lineRule="exact"/>
        <w:ind w:firstLine="420"/>
        <w:rPr>
          <w:rFonts w:ascii="宋体" w:hAnsi="宋体" w:cs="宋体"/>
          <w:color w:val="000000" w:themeColor="text1"/>
          <w:szCs w:val="21"/>
          <w14:textFill>
            <w14:solidFill>
              <w14:schemeClr w14:val="tx1"/>
            </w14:solidFill>
          </w14:textFill>
        </w:rPr>
      </w:pPr>
    </w:p>
    <w:p>
      <w:pPr>
        <w:snapToGrid w:val="0"/>
        <w:spacing w:line="400" w:lineRule="exact"/>
        <w:ind w:firstLine="42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投标人（公章）：</w:t>
      </w:r>
    </w:p>
    <w:p>
      <w:pPr>
        <w:snapToGrid w:val="0"/>
        <w:spacing w:line="400" w:lineRule="exact"/>
        <w:ind w:firstLine="420"/>
        <w:rPr>
          <w:rFonts w:ascii="宋体" w:hAnsi="宋体" w:cs="宋体"/>
          <w:color w:val="000000" w:themeColor="text1"/>
          <w:szCs w:val="21"/>
          <w14:textFill>
            <w14:solidFill>
              <w14:schemeClr w14:val="tx1"/>
            </w14:solidFill>
          </w14:textFill>
        </w:rPr>
      </w:pPr>
    </w:p>
    <w:p>
      <w:pPr>
        <w:snapToGrid w:val="0"/>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法定代表人（负责人）签字（或盖章）：     　　 年月日</w:t>
      </w:r>
    </w:p>
    <w:p>
      <w:pPr>
        <w:snapToGrid w:val="0"/>
        <w:spacing w:line="400" w:lineRule="exact"/>
        <w:ind w:firstLine="420"/>
        <w:rPr>
          <w:rFonts w:ascii="宋体" w:hAnsi="宋体" w:cs="宋体"/>
          <w:color w:val="000000" w:themeColor="text1"/>
          <w:szCs w:val="21"/>
          <w14:textFill>
            <w14:solidFill>
              <w14:schemeClr w14:val="tx1"/>
            </w14:solidFill>
          </w14:textFill>
        </w:rPr>
      </w:pPr>
    </w:p>
    <w:p>
      <w:pPr>
        <w:spacing w:line="400" w:lineRule="exact"/>
        <w:ind w:firstLine="602" w:firstLineChars="25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7"/>
        <w:jc w:val="center"/>
        <w:rPr>
          <w:rFonts w:hAnsi="宋体" w:cs="宋体"/>
          <w:b/>
          <w:color w:val="000000" w:themeColor="text1"/>
          <w:sz w:val="32"/>
          <w14:textFill>
            <w14:solidFill>
              <w14:schemeClr w14:val="tx1"/>
            </w14:solidFill>
          </w14:textFill>
        </w:rPr>
      </w:pPr>
      <w:r>
        <w:rPr>
          <w:rFonts w:hint="eastAsia" w:hAnsi="宋体" w:cs="宋体"/>
          <w:b/>
          <w:color w:val="000000" w:themeColor="text1"/>
          <w:sz w:val="32"/>
          <w14:textFill>
            <w14:solidFill>
              <w14:schemeClr w14:val="tx1"/>
            </w14:solidFill>
          </w14:textFill>
        </w:rPr>
        <w:br w:type="page"/>
      </w:r>
    </w:p>
    <w:p>
      <w:pPr>
        <w:pStyle w:val="17"/>
        <w:jc w:val="center"/>
        <w:rPr>
          <w:rFonts w:hAnsi="宋体" w:cs="宋体"/>
          <w:b/>
          <w:color w:val="000000" w:themeColor="text1"/>
          <w:sz w:val="32"/>
          <w14:textFill>
            <w14:solidFill>
              <w14:schemeClr w14:val="tx1"/>
            </w14:solidFill>
          </w14:textFill>
        </w:rPr>
      </w:pPr>
      <w:r>
        <w:rPr>
          <w:rFonts w:hint="eastAsia" w:hAnsi="宋体" w:cs="宋体"/>
          <w:b/>
          <w:color w:val="000000" w:themeColor="text1"/>
          <w:sz w:val="32"/>
          <w14:textFill>
            <w14:solidFill>
              <w14:schemeClr w14:val="tx1"/>
            </w14:solidFill>
          </w14:textFill>
        </w:rPr>
        <w:t>授权委托书（格式二）</w:t>
      </w:r>
    </w:p>
    <w:p>
      <w:pPr>
        <w:snapToGrid w:val="0"/>
        <w:spacing w:line="400" w:lineRule="exact"/>
        <w:rPr>
          <w:rFonts w:ascii="宋体" w:hAnsi="宋体" w:cs="宋体"/>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致</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u w:val="single"/>
          <w14:textFill>
            <w14:solidFill>
              <w14:schemeClr w14:val="tx1"/>
            </w14:solidFill>
          </w14:textFill>
        </w:rPr>
        <w:t>桂林市政府集中采购中心</w:t>
      </w:r>
    </w:p>
    <w:p>
      <w:pPr>
        <w:snapToGrid w:val="0"/>
        <w:spacing w:line="400" w:lineRule="exact"/>
        <w:rPr>
          <w:rFonts w:ascii="宋体" w:hAnsi="宋体" w:cs="宋体"/>
          <w:color w:val="000000" w:themeColor="text1"/>
          <w:szCs w:val="21"/>
          <w:u w:val="single"/>
          <w14:textFill>
            <w14:solidFill>
              <w14:schemeClr w14:val="tx1"/>
            </w14:solidFill>
          </w14:textFill>
        </w:rPr>
      </w:pPr>
    </w:p>
    <w:p>
      <w:pPr>
        <w:pStyle w:val="17"/>
        <w:spacing w:line="34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kern w:val="0"/>
          <w14:textFill>
            <w14:solidFill>
              <w14:schemeClr w14:val="tx1"/>
            </w14:solidFill>
          </w14:textFill>
        </w:rPr>
        <w:t>我（姓名）系自然人，现授权委托（姓 名），身份证号码：以本人名义参加</w:t>
      </w:r>
      <w:r>
        <w:rPr>
          <w:rFonts w:hint="eastAsia" w:hAnsi="宋体" w:cs="宋体"/>
          <w:color w:val="000000" w:themeColor="text1"/>
          <w:u w:val="single"/>
          <w14:textFill>
            <w14:solidFill>
              <w14:schemeClr w14:val="tx1"/>
            </w14:solidFill>
          </w14:textFill>
        </w:rPr>
        <w:t xml:space="preserve">（项目名称及项目编号）        </w:t>
      </w:r>
      <w:r>
        <w:rPr>
          <w:rFonts w:hint="eastAsia" w:hAnsi="宋体" w:cs="宋体"/>
          <w:color w:val="000000" w:themeColor="text1"/>
          <w14:textFill>
            <w14:solidFill>
              <w14:schemeClr w14:val="tx1"/>
            </w14:solidFill>
          </w14:textFill>
        </w:rPr>
        <w:t>项目的投标活动，并代表本人全权办理针对上述项目的投标、开标、评标、签约等具体事务和签署相关文件。</w:t>
      </w:r>
    </w:p>
    <w:p>
      <w:pPr>
        <w:pStyle w:val="17"/>
        <w:spacing w:line="34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本人对被授权人的签字事项负全部责任。</w:t>
      </w:r>
    </w:p>
    <w:p>
      <w:pPr>
        <w:pStyle w:val="17"/>
        <w:spacing w:line="400" w:lineRule="exact"/>
        <w:ind w:firstLine="420" w:firstLineChars="200"/>
        <w:rPr>
          <w:rFonts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授权委托代理期限：自即日起至该项目政府采购活动结束。</w:t>
      </w:r>
    </w:p>
    <w:p>
      <w:pPr>
        <w:pStyle w:val="17"/>
        <w:spacing w:line="340" w:lineRule="exact"/>
        <w:ind w:firstLine="420" w:firstLineChars="200"/>
        <w:rPr>
          <w:rFonts w:hAnsi="宋体" w:cs="宋体"/>
          <w:color w:val="000000" w:themeColor="text1"/>
          <w:u w:val="single"/>
          <w14:textFill>
            <w14:solidFill>
              <w14:schemeClr w14:val="tx1"/>
            </w14:solidFill>
          </w14:textFill>
        </w:rPr>
      </w:pPr>
    </w:p>
    <w:p>
      <w:pPr>
        <w:pStyle w:val="17"/>
        <w:spacing w:line="340" w:lineRule="exact"/>
        <w:rPr>
          <w:rFonts w:hAnsi="宋体" w:cs="宋体"/>
          <w:color w:val="000000" w:themeColor="text1"/>
          <w:u w:val="single"/>
          <w14:textFill>
            <w14:solidFill>
              <w14:schemeClr w14:val="tx1"/>
            </w14:solidFill>
          </w14:textFill>
        </w:rPr>
      </w:pPr>
    </w:p>
    <w:p>
      <w:pPr>
        <w:spacing w:line="340" w:lineRule="exact"/>
        <w:ind w:firstLine="42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代理人无转委托权,特此委托。 </w:t>
      </w:r>
    </w:p>
    <w:p>
      <w:pPr>
        <w:snapToGrid w:val="0"/>
        <w:spacing w:line="340" w:lineRule="exact"/>
        <w:ind w:firstLine="525"/>
        <w:rPr>
          <w:rFonts w:ascii="宋体" w:hAnsi="宋体" w:cs="宋体"/>
          <w:color w:val="000000" w:themeColor="text1"/>
          <w:szCs w:val="21"/>
          <w14:textFill>
            <w14:solidFill>
              <w14:schemeClr w14:val="tx1"/>
            </w14:solidFill>
          </w14:textFill>
        </w:rPr>
      </w:pPr>
    </w:p>
    <w:p>
      <w:pPr>
        <w:snapToGrid w:val="0"/>
        <w:spacing w:line="34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我已在下面签字，以资证明。</w:t>
      </w:r>
    </w:p>
    <w:p>
      <w:pPr>
        <w:snapToGrid w:val="0"/>
        <w:spacing w:line="340" w:lineRule="exact"/>
        <w:ind w:firstLine="420"/>
        <w:rPr>
          <w:rFonts w:ascii="宋体" w:hAnsi="宋体" w:cs="宋体"/>
          <w:color w:val="000000" w:themeColor="text1"/>
          <w:szCs w:val="21"/>
          <w14:textFill>
            <w14:solidFill>
              <w14:schemeClr w14:val="tx1"/>
            </w14:solidFill>
          </w14:textFill>
        </w:rPr>
      </w:pPr>
    </w:p>
    <w:p>
      <w:pPr>
        <w:snapToGrid w:val="0"/>
        <w:spacing w:line="34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自然人签字并在签名处加盖大拇指指印：      年  月  日</w:t>
      </w:r>
    </w:p>
    <w:p>
      <w:pPr>
        <w:snapToGrid w:val="0"/>
        <w:spacing w:line="340" w:lineRule="exact"/>
        <w:ind w:firstLine="420"/>
        <w:rPr>
          <w:rFonts w:ascii="宋体" w:hAnsi="宋体" w:cs="宋体"/>
          <w:color w:val="000000" w:themeColor="text1"/>
          <w:szCs w:val="21"/>
          <w14:textFill>
            <w14:solidFill>
              <w14:schemeClr w14:val="tx1"/>
            </w14:solidFill>
          </w14:textFill>
        </w:rPr>
      </w:pPr>
    </w:p>
    <w:p>
      <w:pPr>
        <w:spacing w:line="400" w:lineRule="exact"/>
        <w:ind w:firstLine="602" w:firstLineChars="250"/>
        <w:rPr>
          <w:rFonts w:ascii="宋体" w:hAnsi="宋体" w:cs="宋体"/>
          <w:b/>
          <w:color w:val="000000" w:themeColor="text1"/>
          <w:sz w:val="24"/>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285" w:name="_Toc12280"/>
      <w:bookmarkStart w:id="286" w:name="_Toc495841790"/>
      <w:r>
        <w:rPr>
          <w:rFonts w:hint="eastAsia" w:ascii="宋体" w:hAnsi="宋体" w:cs="宋体"/>
          <w:b/>
          <w:bCs/>
          <w:color w:val="000000" w:themeColor="text1"/>
          <w:sz w:val="32"/>
          <w:szCs w:val="32"/>
          <w14:textFill>
            <w14:solidFill>
              <w14:schemeClr w14:val="tx1"/>
            </w14:solidFill>
          </w14:textFill>
        </w:rPr>
        <w:t>3.投标人的法人或者其他组织营业执照等证明文件复印件（必须提供，自然人除外）</w:t>
      </w:r>
      <w:bookmarkEnd w:id="285"/>
      <w:bookmarkEnd w:id="286"/>
    </w:p>
    <w:p>
      <w:pPr>
        <w:tabs>
          <w:tab w:val="left" w:pos="1305"/>
        </w:tabs>
        <w:spacing w:line="40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ascii="宋体" w:hAnsi="宋体" w:cs="宋体"/>
          <w:b/>
          <w:color w:val="000000" w:themeColor="text1"/>
          <w:sz w:val="32"/>
          <w:szCs w:val="32"/>
          <w14:textFill>
            <w14:solidFill>
              <w14:schemeClr w14:val="tx1"/>
            </w14:solidFill>
          </w14:textFill>
        </w:rPr>
      </w:pPr>
    </w:p>
    <w:p>
      <w:pPr>
        <w:spacing w:line="400" w:lineRule="exact"/>
        <w:ind w:left="420" w:leftChars="200" w:firstLine="157" w:firstLineChars="49"/>
        <w:rPr>
          <w:rFonts w:ascii="宋体" w:hAnsi="宋体" w:cs="宋体"/>
          <w:b/>
          <w:color w:val="000000" w:themeColor="text1"/>
          <w:sz w:val="32"/>
          <w:szCs w:val="32"/>
          <w14:textFill>
            <w14:solidFill>
              <w14:schemeClr w14:val="tx1"/>
            </w14:solidFill>
          </w14:textFill>
        </w:rPr>
      </w:pPr>
    </w:p>
    <w:p>
      <w:pPr>
        <w:pStyle w:val="72"/>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4.投标人近三年中任一年度经第三方审计的财务状况报告复印件或银行出具的资信证明或财政部门认可的政府采购专业担保机构出具的投标担保函（必须提供）；</w:t>
      </w:r>
      <w:bookmarkStart w:id="287" w:name="_Toc26950"/>
      <w:bookmarkStart w:id="288" w:name="_Toc495841793"/>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5.投标人参加政府采购活动前3年内在经营活动中没有重大违法记录及有关信用信息的书面声明（必须提供）</w:t>
      </w:r>
      <w:bookmarkEnd w:id="287"/>
      <w:bookmarkEnd w:id="288"/>
    </w:p>
    <w:p>
      <w:pPr>
        <w:spacing w:line="400" w:lineRule="exact"/>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声   明</w:t>
      </w:r>
    </w:p>
    <w:p>
      <w:pPr>
        <w:snapToGrid w:val="0"/>
        <w:spacing w:line="400" w:lineRule="exact"/>
        <w:rPr>
          <w:rFonts w:ascii="宋体" w:hAnsi="宋体" w:cs="宋体"/>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致</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u w:val="single"/>
          <w14:textFill>
            <w14:solidFill>
              <w14:schemeClr w14:val="tx1"/>
            </w14:solidFill>
          </w14:textFill>
        </w:rPr>
        <w:t>桂林市政府集中采购中心</w:t>
      </w:r>
    </w:p>
    <w:p>
      <w:pPr>
        <w:snapToGrid w:val="0"/>
        <w:spacing w:line="400" w:lineRule="exact"/>
        <w:rPr>
          <w:rFonts w:ascii="宋体" w:hAnsi="宋体" w:cs="宋体"/>
          <w:color w:val="000000" w:themeColor="text1"/>
          <w:szCs w:val="21"/>
          <w:u w:val="single"/>
          <w14:textFill>
            <w14:solidFill>
              <w14:schemeClr w14:val="tx1"/>
            </w14:solidFill>
          </w14:textFill>
        </w:rPr>
      </w:pPr>
    </w:p>
    <w:p>
      <w:pPr>
        <w:pStyle w:val="17"/>
        <w:spacing w:line="38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ascii="宋体" w:hAnsi="宋体" w:cs="宋体"/>
          <w:color w:val="000000" w:themeColor="text1"/>
          <w:szCs w:val="21"/>
          <w14:textFill>
            <w14:solidFill>
              <w14:schemeClr w14:val="tx1"/>
            </w14:solidFill>
          </w14:textFill>
        </w:rPr>
      </w:pPr>
    </w:p>
    <w:p>
      <w:pPr>
        <w:snapToGrid w:val="0"/>
        <w:spacing w:line="400" w:lineRule="exact"/>
        <w:ind w:firstLine="1890" w:firstLineChars="9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投标人（公章，自然人除外）：</w:t>
      </w:r>
    </w:p>
    <w:p>
      <w:pPr>
        <w:spacing w:line="340" w:lineRule="exact"/>
        <w:ind w:firstLine="1890" w:firstLineChars="900"/>
        <w:rPr>
          <w:rFonts w:ascii="宋体" w:hAnsi="宋体" w:cs="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w:t>
      </w:r>
      <w:r>
        <w:rPr>
          <w:rFonts w:hint="eastAsia" w:ascii="宋体" w:hAnsi="宋体" w:cs="宋体"/>
          <w:color w:val="000000" w:themeColor="text1"/>
          <w14:textFill>
            <w14:solidFill>
              <w14:schemeClr w14:val="tx1"/>
            </w14:solidFill>
          </w14:textFill>
        </w:rPr>
        <w:t>或相应的委托代理人签字（或盖章）</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（属自然人的应在签名处加盖大拇指指印）：</w:t>
      </w:r>
    </w:p>
    <w:p>
      <w:pPr>
        <w:snapToGrid w:val="0"/>
        <w:spacing w:line="400" w:lineRule="exact"/>
        <w:ind w:firstLine="1890" w:firstLineChars="900"/>
        <w:rPr>
          <w:rFonts w:ascii="宋体" w:hAnsi="宋体" w:cs="宋体"/>
          <w:color w:val="000000" w:themeColor="text1"/>
          <w14:textFill>
            <w14:solidFill>
              <w14:schemeClr w14:val="tx1"/>
            </w14:solidFill>
          </w14:textFill>
        </w:rPr>
      </w:pPr>
    </w:p>
    <w:p>
      <w:pPr>
        <w:snapToGrid w:val="0"/>
        <w:spacing w:line="400" w:lineRule="exact"/>
        <w:ind w:firstLine="1890" w:firstLineChars="9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          期：</w:t>
      </w:r>
    </w:p>
    <w:p>
      <w:pPr>
        <w:spacing w:line="400" w:lineRule="exact"/>
        <w:rPr>
          <w:rFonts w:ascii="宋体" w:hAnsi="宋体" w:cs="宋体"/>
          <w:b/>
          <w:color w:val="000000" w:themeColor="text1"/>
          <w:sz w:val="32"/>
          <w:szCs w:val="32"/>
          <w14:textFill>
            <w14:solidFill>
              <w14:schemeClr w14:val="tx1"/>
            </w14:solidFill>
          </w14:textFill>
        </w:rPr>
      </w:pPr>
    </w:p>
    <w:p>
      <w:pPr>
        <w:spacing w:line="400" w:lineRule="exact"/>
        <w:rPr>
          <w:rFonts w:ascii="宋体" w:hAnsi="宋体" w:cs="宋体"/>
          <w:b/>
          <w:color w:val="000000" w:themeColor="text1"/>
          <w:sz w:val="32"/>
          <w:szCs w:val="32"/>
          <w14:textFill>
            <w14:solidFill>
              <w14:schemeClr w14:val="tx1"/>
            </w14:solidFill>
          </w14:textFill>
        </w:rPr>
      </w:pPr>
    </w:p>
    <w:p>
      <w:pPr>
        <w:spacing w:line="400" w:lineRule="exact"/>
        <w:rPr>
          <w:rFonts w:ascii="宋体" w:hAnsi="宋体" w:cs="宋体"/>
          <w:b/>
          <w:color w:val="000000" w:themeColor="text1"/>
          <w:sz w:val="32"/>
          <w:szCs w:val="32"/>
          <w14:textFill>
            <w14:solidFill>
              <w14:schemeClr w14:val="tx1"/>
            </w14:solidFill>
          </w14:textFill>
        </w:rPr>
      </w:pPr>
    </w:p>
    <w:p>
      <w:pPr>
        <w:spacing w:line="400" w:lineRule="exact"/>
        <w:jc w:val="center"/>
        <w:outlineLvl w:val="1"/>
        <w:rPr>
          <w:rFonts w:ascii="宋体" w:hAnsi="宋体" w:cs="宋体"/>
          <w:b/>
          <w:color w:val="000000" w:themeColor="text1"/>
          <w:sz w:val="32"/>
          <w:szCs w:val="32"/>
          <w14:textFill>
            <w14:solidFill>
              <w14:schemeClr w14:val="tx1"/>
            </w14:solidFill>
          </w14:textFill>
        </w:rPr>
      </w:pPr>
      <w:bookmarkStart w:id="289" w:name="_Toc495841794"/>
    </w:p>
    <w:p>
      <w:pPr>
        <w:spacing w:line="400" w:lineRule="exact"/>
        <w:jc w:val="center"/>
        <w:outlineLvl w:val="1"/>
        <w:rPr>
          <w:rFonts w:ascii="宋体" w:hAnsi="宋体" w:cs="宋体"/>
          <w:b/>
          <w:color w:val="000000" w:themeColor="text1"/>
          <w:sz w:val="32"/>
          <w:szCs w:val="32"/>
          <w14:textFill>
            <w14:solidFill>
              <w14:schemeClr w14:val="tx1"/>
            </w14:solidFill>
          </w14:textFill>
        </w:rPr>
      </w:pPr>
    </w:p>
    <w:p>
      <w:pPr>
        <w:spacing w:line="400" w:lineRule="exact"/>
        <w:jc w:val="center"/>
        <w:outlineLvl w:val="1"/>
        <w:rPr>
          <w:rFonts w:ascii="宋体" w:hAnsi="宋体" w:cs="宋体"/>
          <w:b/>
          <w:color w:val="000000" w:themeColor="text1"/>
          <w:sz w:val="32"/>
          <w:szCs w:val="32"/>
          <w14:textFill>
            <w14:solidFill>
              <w14:schemeClr w14:val="tx1"/>
            </w14:solidFill>
          </w14:textFill>
        </w:rPr>
      </w:pPr>
    </w:p>
    <w:p>
      <w:pPr>
        <w:spacing w:line="400" w:lineRule="exact"/>
        <w:jc w:val="center"/>
        <w:outlineLvl w:val="1"/>
        <w:rPr>
          <w:rFonts w:ascii="宋体" w:hAnsi="宋体" w:cs="宋体"/>
          <w:b/>
          <w:color w:val="000000" w:themeColor="text1"/>
          <w:sz w:val="32"/>
          <w:szCs w:val="32"/>
          <w14:textFill>
            <w14:solidFill>
              <w14:schemeClr w14:val="tx1"/>
            </w14:solidFill>
          </w14:textFill>
        </w:rPr>
      </w:pPr>
    </w:p>
    <w:p>
      <w:pPr>
        <w:spacing w:line="400" w:lineRule="exact"/>
        <w:jc w:val="center"/>
        <w:outlineLvl w:val="1"/>
        <w:rPr>
          <w:rFonts w:ascii="宋体" w:hAnsi="宋体" w:cs="宋体"/>
          <w:b/>
          <w:color w:val="000000" w:themeColor="text1"/>
          <w:sz w:val="32"/>
          <w:szCs w:val="32"/>
          <w14:textFill>
            <w14:solidFill>
              <w14:schemeClr w14:val="tx1"/>
            </w14:solidFill>
          </w14:textFill>
        </w:rPr>
      </w:pPr>
    </w:p>
    <w:p>
      <w:pPr>
        <w:spacing w:line="400" w:lineRule="exact"/>
        <w:jc w:val="center"/>
        <w:outlineLvl w:val="1"/>
        <w:rPr>
          <w:rFonts w:ascii="宋体" w:hAnsi="宋体" w:cs="宋体"/>
          <w:b/>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6.投标人近半年内任意一个月或任一季度依法缴纳税收的证明材料（增值税发票或企业所得税完税证明或税务部门出具的免税证明）复印件（必须提供）</w:t>
      </w: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br w:type="page"/>
      </w:r>
      <w:bookmarkStart w:id="290" w:name="_Toc26652"/>
      <w:r>
        <w:rPr>
          <w:rFonts w:hint="eastAsia" w:ascii="宋体" w:hAnsi="宋体" w:cs="宋体"/>
          <w:b/>
          <w:bCs/>
          <w:color w:val="000000" w:themeColor="text1"/>
          <w:sz w:val="32"/>
          <w:szCs w:val="32"/>
          <w14:textFill>
            <w14:solidFill>
              <w14:schemeClr w14:val="tx1"/>
            </w14:solidFill>
          </w14:textFill>
        </w:rPr>
        <w:t>三、商务、技术性响应及其他有效证明材料（格式）</w:t>
      </w:r>
      <w:bookmarkEnd w:id="289"/>
      <w:bookmarkEnd w:id="290"/>
    </w:p>
    <w:p>
      <w:pPr>
        <w:rPr>
          <w:rFonts w:ascii="宋体" w:hAnsi="宋体" w:cs="宋体"/>
          <w:b/>
          <w:bCs/>
          <w:color w:val="000000" w:themeColor="text1"/>
          <w:sz w:val="32"/>
          <w:szCs w:val="32"/>
          <w14:textFill>
            <w14:solidFill>
              <w14:schemeClr w14:val="tx1"/>
            </w14:solidFill>
          </w14:textFill>
        </w:rPr>
      </w:pPr>
      <w:bookmarkStart w:id="291" w:name="_Toc2409"/>
      <w:bookmarkStart w:id="292" w:name="_Toc495841795"/>
      <w:r>
        <w:rPr>
          <w:rFonts w:hint="eastAsia" w:ascii="宋体" w:hAnsi="宋体" w:cs="宋体"/>
          <w:b/>
          <w:bCs/>
          <w:color w:val="000000" w:themeColor="text1"/>
          <w:sz w:val="32"/>
          <w:szCs w:val="32"/>
          <w14:textFill>
            <w14:solidFill>
              <w14:schemeClr w14:val="tx1"/>
            </w14:solidFill>
          </w14:textFill>
        </w:rPr>
        <w:t>1.技术规格偏离表（必须提供）</w:t>
      </w:r>
      <w:bookmarkEnd w:id="291"/>
      <w:bookmarkEnd w:id="292"/>
    </w:p>
    <w:p>
      <w:pPr>
        <w:rPr>
          <w:rFonts w:ascii="宋体" w:hAnsi="宋体" w:cs="宋体"/>
          <w:b/>
          <w:color w:val="000000" w:themeColor="text1"/>
          <w:sz w:val="24"/>
          <w14:textFill>
            <w14:solidFill>
              <w14:schemeClr w14:val="tx1"/>
            </w14:solidFill>
          </w14:textFill>
        </w:rPr>
      </w:pPr>
    </w:p>
    <w:p>
      <w:pPr>
        <w:jc w:val="center"/>
        <w:rPr>
          <w:rFonts w:ascii="宋体" w:hAnsi="宋体" w:cs="宋体"/>
          <w:b/>
          <w:bCs/>
          <w:color w:val="000000" w:themeColor="text1"/>
          <w:sz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技术规格偏离表</w:t>
      </w:r>
      <w:r>
        <w:rPr>
          <w:rFonts w:hint="eastAsia" w:ascii="宋体" w:hAnsi="宋体" w:cs="宋体"/>
          <w:b/>
          <w:bCs/>
          <w:color w:val="000000" w:themeColor="text1"/>
          <w:sz w:val="32"/>
          <w14:textFill>
            <w14:solidFill>
              <w14:schemeClr w14:val="tx1"/>
            </w14:solidFill>
          </w14:textFill>
        </w:rPr>
        <w:t>（格式）</w:t>
      </w:r>
    </w:p>
    <w:tbl>
      <w:tblPr>
        <w:tblStyle w:val="2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2126" w:type="dxa"/>
            <w:shd w:val="clear" w:color="auto" w:fill="8DB3E2"/>
            <w:vAlign w:val="center"/>
          </w:tcPr>
          <w:p>
            <w:pPr>
              <w:spacing w:line="400" w:lineRule="exac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服务名称</w:t>
            </w:r>
          </w:p>
        </w:tc>
        <w:tc>
          <w:tcPr>
            <w:tcW w:w="2313" w:type="dxa"/>
            <w:shd w:val="clear" w:color="auto" w:fill="8DB3E2"/>
            <w:vAlign w:val="center"/>
          </w:tcPr>
          <w:p>
            <w:pPr>
              <w:spacing w:line="400" w:lineRule="exac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项目要求及技术需求</w:t>
            </w:r>
          </w:p>
        </w:tc>
        <w:tc>
          <w:tcPr>
            <w:tcW w:w="2520" w:type="dxa"/>
            <w:shd w:val="clear" w:color="auto" w:fill="8DB3E2"/>
            <w:vAlign w:val="center"/>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投标文件的响应情况</w:t>
            </w:r>
          </w:p>
        </w:tc>
        <w:tc>
          <w:tcPr>
            <w:tcW w:w="2113" w:type="dxa"/>
            <w:shd w:val="clear" w:color="auto" w:fill="8DB3E2"/>
            <w:vAlign w:val="center"/>
          </w:tcPr>
          <w:p>
            <w:pPr>
              <w:spacing w:line="400" w:lineRule="exact"/>
              <w:jc w:val="center"/>
              <w:rPr>
                <w:rFonts w:ascii="宋体" w:hAnsi="宋体" w:cs="宋体"/>
                <w:b/>
                <w:color w:val="000000" w:themeColor="text1"/>
                <w14:textFill>
                  <w14:solidFill>
                    <w14:schemeClr w14:val="tx1"/>
                  </w14:solidFill>
                </w14:textFill>
              </w:rPr>
            </w:pPr>
            <w:bookmarkStart w:id="293" w:name="_Toc254970560"/>
            <w:bookmarkStart w:id="294" w:name="_Toc254970701"/>
            <w:r>
              <w:rPr>
                <w:rFonts w:hint="eastAsia" w:ascii="宋体" w:hAnsi="宋体" w:cs="宋体"/>
                <w:b/>
                <w:color w:val="000000" w:themeColor="text1"/>
                <w14:textFill>
                  <w14:solidFill>
                    <w14:schemeClr w14:val="tx1"/>
                  </w14:solidFill>
                </w14:textFill>
              </w:rPr>
              <w:t>偏离情况</w:t>
            </w:r>
            <w:bookmarkEnd w:id="293"/>
            <w:bookmarkEnd w:id="294"/>
            <w:r>
              <w:rPr>
                <w:rFonts w:hint="eastAsia" w:ascii="宋体" w:hAnsi="宋体" w:cs="宋体"/>
                <w:b/>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126" w:type="dxa"/>
            <w:vAlign w:val="center"/>
          </w:tcPr>
          <w:p>
            <w:pPr>
              <w:spacing w:line="400" w:lineRule="exact"/>
              <w:rPr>
                <w:rFonts w:ascii="宋体" w:hAnsi="宋体" w:cs="宋体"/>
                <w:color w:val="000000" w:themeColor="text1"/>
                <w:kern w:val="0"/>
                <w:szCs w:val="21"/>
                <w14:textFill>
                  <w14:solidFill>
                    <w14:schemeClr w14:val="tx1"/>
                  </w14:solidFill>
                </w14:textFill>
              </w:rPr>
            </w:pPr>
          </w:p>
        </w:tc>
        <w:tc>
          <w:tcPr>
            <w:tcW w:w="2313" w:type="dxa"/>
            <w:vAlign w:val="center"/>
          </w:tcPr>
          <w:p>
            <w:pPr>
              <w:spacing w:line="400" w:lineRule="exact"/>
              <w:jc w:val="left"/>
              <w:rPr>
                <w:rFonts w:ascii="宋体" w:hAnsi="宋体" w:cs="宋体"/>
                <w:color w:val="000000" w:themeColor="text1"/>
                <w14:textFill>
                  <w14:solidFill>
                    <w14:schemeClr w14:val="tx1"/>
                  </w14:solidFill>
                </w14:textFill>
              </w:rPr>
            </w:pPr>
          </w:p>
        </w:tc>
        <w:tc>
          <w:tcPr>
            <w:tcW w:w="2520" w:type="dxa"/>
          </w:tcPr>
          <w:p>
            <w:pPr>
              <w:spacing w:line="400" w:lineRule="exact"/>
              <w:jc w:val="left"/>
              <w:rPr>
                <w:rFonts w:ascii="宋体" w:hAnsi="宋体" w:cs="宋体"/>
                <w:color w:val="000000" w:themeColor="text1"/>
                <w14:textFill>
                  <w14:solidFill>
                    <w14:schemeClr w14:val="tx1"/>
                  </w14:solidFill>
                </w14:textFill>
              </w:rPr>
            </w:pPr>
          </w:p>
        </w:tc>
        <w:tc>
          <w:tcPr>
            <w:tcW w:w="2113" w:type="dxa"/>
            <w:vAlign w:val="center"/>
          </w:tcPr>
          <w:p>
            <w:pPr>
              <w:spacing w:line="400" w:lineRule="exact"/>
              <w:jc w:val="left"/>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126" w:type="dxa"/>
            <w:vAlign w:val="center"/>
          </w:tcPr>
          <w:p>
            <w:pPr>
              <w:spacing w:line="400" w:lineRule="exact"/>
              <w:rPr>
                <w:rFonts w:ascii="宋体" w:hAnsi="宋体" w:cs="宋体"/>
                <w:color w:val="000000" w:themeColor="text1"/>
                <w:kern w:val="0"/>
                <w:szCs w:val="21"/>
                <w14:textFill>
                  <w14:solidFill>
                    <w14:schemeClr w14:val="tx1"/>
                  </w14:solidFill>
                </w14:textFill>
              </w:rPr>
            </w:pPr>
          </w:p>
        </w:tc>
        <w:tc>
          <w:tcPr>
            <w:tcW w:w="2313" w:type="dxa"/>
            <w:vAlign w:val="center"/>
          </w:tcPr>
          <w:p>
            <w:pPr>
              <w:spacing w:line="400" w:lineRule="exact"/>
              <w:jc w:val="left"/>
              <w:rPr>
                <w:rFonts w:ascii="宋体" w:hAnsi="宋体" w:cs="宋体"/>
                <w:color w:val="000000" w:themeColor="text1"/>
                <w14:textFill>
                  <w14:solidFill>
                    <w14:schemeClr w14:val="tx1"/>
                  </w14:solidFill>
                </w14:textFill>
              </w:rPr>
            </w:pPr>
          </w:p>
        </w:tc>
        <w:tc>
          <w:tcPr>
            <w:tcW w:w="2520" w:type="dxa"/>
          </w:tcPr>
          <w:p>
            <w:pPr>
              <w:spacing w:line="400" w:lineRule="exact"/>
              <w:jc w:val="left"/>
              <w:rPr>
                <w:rFonts w:ascii="宋体" w:hAnsi="宋体" w:cs="宋体"/>
                <w:color w:val="000000" w:themeColor="text1"/>
                <w14:textFill>
                  <w14:solidFill>
                    <w14:schemeClr w14:val="tx1"/>
                  </w14:solidFill>
                </w14:textFill>
              </w:rPr>
            </w:pPr>
          </w:p>
        </w:tc>
        <w:tc>
          <w:tcPr>
            <w:tcW w:w="2113" w:type="dxa"/>
            <w:vAlign w:val="center"/>
          </w:tcPr>
          <w:p>
            <w:pPr>
              <w:spacing w:line="400" w:lineRule="exact"/>
              <w:jc w:val="left"/>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126" w:type="dxa"/>
            <w:vAlign w:val="center"/>
          </w:tcPr>
          <w:p>
            <w:pPr>
              <w:spacing w:line="400" w:lineRule="exact"/>
              <w:rPr>
                <w:rFonts w:ascii="宋体" w:hAnsi="宋体" w:cs="宋体"/>
                <w:color w:val="000000" w:themeColor="text1"/>
                <w:kern w:val="0"/>
                <w:szCs w:val="21"/>
                <w14:textFill>
                  <w14:solidFill>
                    <w14:schemeClr w14:val="tx1"/>
                  </w14:solidFill>
                </w14:textFill>
              </w:rPr>
            </w:pPr>
          </w:p>
        </w:tc>
        <w:tc>
          <w:tcPr>
            <w:tcW w:w="2313" w:type="dxa"/>
          </w:tcPr>
          <w:p>
            <w:pPr>
              <w:spacing w:line="400" w:lineRule="exact"/>
              <w:jc w:val="left"/>
              <w:rPr>
                <w:rFonts w:ascii="宋体" w:hAnsi="宋体" w:cs="宋体"/>
                <w:color w:val="000000" w:themeColor="text1"/>
                <w14:textFill>
                  <w14:solidFill>
                    <w14:schemeClr w14:val="tx1"/>
                  </w14:solidFill>
                </w14:textFill>
              </w:rPr>
            </w:pPr>
          </w:p>
        </w:tc>
        <w:tc>
          <w:tcPr>
            <w:tcW w:w="2520" w:type="dxa"/>
          </w:tcPr>
          <w:p>
            <w:pPr>
              <w:spacing w:line="400" w:lineRule="exact"/>
              <w:jc w:val="left"/>
              <w:rPr>
                <w:rFonts w:ascii="宋体" w:hAnsi="宋体" w:cs="宋体"/>
                <w:color w:val="000000" w:themeColor="text1"/>
                <w14:textFill>
                  <w14:solidFill>
                    <w14:schemeClr w14:val="tx1"/>
                  </w14:solidFill>
                </w14:textFill>
              </w:rPr>
            </w:pPr>
          </w:p>
        </w:tc>
        <w:tc>
          <w:tcPr>
            <w:tcW w:w="2113" w:type="dxa"/>
          </w:tcPr>
          <w:p>
            <w:pPr>
              <w:spacing w:line="400" w:lineRule="exact"/>
              <w:jc w:val="left"/>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126" w:type="dxa"/>
            <w:vAlign w:val="center"/>
          </w:tcPr>
          <w:p>
            <w:pPr>
              <w:spacing w:line="400" w:lineRule="exact"/>
              <w:rPr>
                <w:rFonts w:ascii="宋体" w:hAnsi="宋体" w:cs="宋体"/>
                <w:color w:val="000000" w:themeColor="text1"/>
                <w:kern w:val="0"/>
                <w:szCs w:val="21"/>
                <w14:textFill>
                  <w14:solidFill>
                    <w14:schemeClr w14:val="tx1"/>
                  </w14:solidFill>
                </w14:textFill>
              </w:rPr>
            </w:pPr>
          </w:p>
        </w:tc>
        <w:tc>
          <w:tcPr>
            <w:tcW w:w="2313" w:type="dxa"/>
          </w:tcPr>
          <w:p>
            <w:pPr>
              <w:spacing w:line="400" w:lineRule="exact"/>
              <w:jc w:val="left"/>
              <w:rPr>
                <w:rFonts w:ascii="宋体" w:hAnsi="宋体" w:cs="宋体"/>
                <w:color w:val="000000" w:themeColor="text1"/>
                <w14:textFill>
                  <w14:solidFill>
                    <w14:schemeClr w14:val="tx1"/>
                  </w14:solidFill>
                </w14:textFill>
              </w:rPr>
            </w:pPr>
          </w:p>
        </w:tc>
        <w:tc>
          <w:tcPr>
            <w:tcW w:w="2520" w:type="dxa"/>
          </w:tcPr>
          <w:p>
            <w:pPr>
              <w:spacing w:line="400" w:lineRule="exact"/>
              <w:jc w:val="left"/>
              <w:rPr>
                <w:rFonts w:ascii="宋体" w:hAnsi="宋体" w:cs="宋体"/>
                <w:color w:val="000000" w:themeColor="text1"/>
                <w14:textFill>
                  <w14:solidFill>
                    <w14:schemeClr w14:val="tx1"/>
                  </w14:solidFill>
                </w14:textFill>
              </w:rPr>
            </w:pPr>
          </w:p>
        </w:tc>
        <w:tc>
          <w:tcPr>
            <w:tcW w:w="2113" w:type="dxa"/>
          </w:tcPr>
          <w:p>
            <w:pPr>
              <w:spacing w:line="400" w:lineRule="exact"/>
              <w:jc w:val="left"/>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2126" w:type="dxa"/>
            <w:vAlign w:val="center"/>
          </w:tcPr>
          <w:p>
            <w:pPr>
              <w:spacing w:line="400" w:lineRule="exact"/>
              <w:rPr>
                <w:rFonts w:ascii="宋体" w:hAnsi="宋体" w:cs="宋体"/>
                <w:color w:val="000000" w:themeColor="text1"/>
                <w:kern w:val="0"/>
                <w:szCs w:val="21"/>
                <w14:textFill>
                  <w14:solidFill>
                    <w14:schemeClr w14:val="tx1"/>
                  </w14:solidFill>
                </w14:textFill>
              </w:rPr>
            </w:pPr>
          </w:p>
        </w:tc>
        <w:tc>
          <w:tcPr>
            <w:tcW w:w="2313" w:type="dxa"/>
          </w:tcPr>
          <w:p>
            <w:pPr>
              <w:spacing w:line="400" w:lineRule="exact"/>
              <w:jc w:val="left"/>
              <w:rPr>
                <w:rFonts w:ascii="宋体" w:hAnsi="宋体" w:cs="宋体"/>
                <w:color w:val="000000" w:themeColor="text1"/>
                <w14:textFill>
                  <w14:solidFill>
                    <w14:schemeClr w14:val="tx1"/>
                  </w14:solidFill>
                </w14:textFill>
              </w:rPr>
            </w:pPr>
          </w:p>
        </w:tc>
        <w:tc>
          <w:tcPr>
            <w:tcW w:w="2520" w:type="dxa"/>
          </w:tcPr>
          <w:p>
            <w:pPr>
              <w:spacing w:line="400" w:lineRule="exact"/>
              <w:jc w:val="left"/>
              <w:rPr>
                <w:rFonts w:ascii="宋体" w:hAnsi="宋体" w:cs="宋体"/>
                <w:color w:val="000000" w:themeColor="text1"/>
                <w14:textFill>
                  <w14:solidFill>
                    <w14:schemeClr w14:val="tx1"/>
                  </w14:solidFill>
                </w14:textFill>
              </w:rPr>
            </w:pPr>
          </w:p>
        </w:tc>
        <w:tc>
          <w:tcPr>
            <w:tcW w:w="2113" w:type="dxa"/>
          </w:tcPr>
          <w:p>
            <w:pPr>
              <w:spacing w:line="400" w:lineRule="exact"/>
              <w:jc w:val="left"/>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w:t>
            </w:r>
          </w:p>
        </w:tc>
        <w:tc>
          <w:tcPr>
            <w:tcW w:w="2126" w:type="dxa"/>
            <w:vAlign w:val="center"/>
          </w:tcPr>
          <w:p>
            <w:pPr>
              <w:spacing w:line="400" w:lineRule="exact"/>
              <w:rPr>
                <w:rFonts w:ascii="宋体" w:hAnsi="宋体" w:cs="宋体"/>
                <w:b/>
                <w:bCs/>
                <w:color w:val="000000" w:themeColor="text1"/>
                <w:kern w:val="0"/>
                <w:szCs w:val="21"/>
                <w14:textFill>
                  <w14:solidFill>
                    <w14:schemeClr w14:val="tx1"/>
                  </w14:solidFill>
                </w14:textFill>
              </w:rPr>
            </w:pPr>
          </w:p>
        </w:tc>
        <w:tc>
          <w:tcPr>
            <w:tcW w:w="2313" w:type="dxa"/>
          </w:tcPr>
          <w:p>
            <w:pPr>
              <w:spacing w:line="400" w:lineRule="exact"/>
              <w:jc w:val="left"/>
              <w:rPr>
                <w:rFonts w:ascii="宋体" w:hAnsi="宋体" w:cs="宋体"/>
                <w:color w:val="000000" w:themeColor="text1"/>
                <w14:textFill>
                  <w14:solidFill>
                    <w14:schemeClr w14:val="tx1"/>
                  </w14:solidFill>
                </w14:textFill>
              </w:rPr>
            </w:pPr>
          </w:p>
        </w:tc>
        <w:tc>
          <w:tcPr>
            <w:tcW w:w="2520" w:type="dxa"/>
          </w:tcPr>
          <w:p>
            <w:pPr>
              <w:spacing w:line="400" w:lineRule="exact"/>
              <w:jc w:val="left"/>
              <w:rPr>
                <w:rFonts w:ascii="宋体" w:hAnsi="宋体" w:cs="宋体"/>
                <w:color w:val="000000" w:themeColor="text1"/>
                <w14:textFill>
                  <w14:solidFill>
                    <w14:schemeClr w14:val="tx1"/>
                  </w14:solidFill>
                </w14:textFill>
              </w:rPr>
            </w:pPr>
          </w:p>
        </w:tc>
        <w:tc>
          <w:tcPr>
            <w:tcW w:w="2113" w:type="dxa"/>
          </w:tcPr>
          <w:p>
            <w:pPr>
              <w:spacing w:line="400" w:lineRule="exact"/>
              <w:jc w:val="left"/>
              <w:rPr>
                <w:rFonts w:ascii="宋体" w:hAnsi="宋体" w:cs="宋体"/>
                <w:color w:val="000000" w:themeColor="text1"/>
                <w14:textFill>
                  <w14:solidFill>
                    <w14:schemeClr w14:val="tx1"/>
                  </w14:solidFill>
                </w14:textFill>
              </w:rPr>
            </w:pPr>
          </w:p>
        </w:tc>
      </w:tr>
    </w:tbl>
    <w:p>
      <w:pPr>
        <w:snapToGrid w:val="0"/>
        <w:spacing w:line="400" w:lineRule="exact"/>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注：供应商应对照招标文件中项目要求及技术需求的内容逐条响应，并在“偏离情况说明”栏注明“正偏离”、“负偏离”或“无偏离”。</w:t>
      </w:r>
    </w:p>
    <w:p>
      <w:pPr>
        <w:snapToGrid w:val="0"/>
        <w:spacing w:line="400" w:lineRule="exact"/>
        <w:ind w:firstLine="3780" w:firstLineChars="1800"/>
        <w:rPr>
          <w:rFonts w:ascii="宋体" w:hAnsi="宋体" w:cs="宋体"/>
          <w:color w:val="000000" w:themeColor="text1"/>
          <w:szCs w:val="20"/>
          <w:u w:val="single"/>
          <w14:textFill>
            <w14:solidFill>
              <w14:schemeClr w14:val="tx1"/>
            </w14:solidFill>
          </w14:textFill>
        </w:rPr>
      </w:pPr>
    </w:p>
    <w:p>
      <w:pPr>
        <w:snapToGrid w:val="0"/>
        <w:spacing w:line="400" w:lineRule="exact"/>
        <w:ind w:firstLine="1890" w:firstLineChars="9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投标人（公章，自然人除外）：</w:t>
      </w:r>
    </w:p>
    <w:p>
      <w:pPr>
        <w:spacing w:line="340" w:lineRule="exact"/>
        <w:ind w:firstLine="1890" w:firstLineChars="900"/>
        <w:rPr>
          <w:rFonts w:ascii="宋体" w:hAnsi="宋体" w:cs="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w:t>
      </w:r>
      <w:r>
        <w:rPr>
          <w:rFonts w:hint="eastAsia" w:ascii="宋体" w:hAnsi="宋体" w:cs="宋体"/>
          <w:color w:val="000000" w:themeColor="text1"/>
          <w14:textFill>
            <w14:solidFill>
              <w14:schemeClr w14:val="tx1"/>
            </w14:solidFill>
          </w14:textFill>
        </w:rPr>
        <w:t>或相应的委托代理人签字（或盖章）</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（属自然人的应在签名处加盖大拇指指印）：</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p>
    <w:p>
      <w:pPr>
        <w:ind w:firstLine="1890" w:firstLineChars="90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日          期：</w:t>
      </w:r>
    </w:p>
    <w:p>
      <w:pPr>
        <w:spacing w:line="360" w:lineRule="exact"/>
        <w:rPr>
          <w:rFonts w:ascii="宋体" w:hAnsi="宋体" w:cs="宋体"/>
          <w:color w:val="000000" w:themeColor="text1"/>
          <w14:textFill>
            <w14:solidFill>
              <w14:schemeClr w14:val="tx1"/>
            </w14:solidFill>
          </w14:textFill>
        </w:rPr>
      </w:pPr>
    </w:p>
    <w:p>
      <w:pPr>
        <w:spacing w:line="400" w:lineRule="exact"/>
        <w:ind w:left="982" w:leftChars="200" w:hanging="562" w:hangingChars="200"/>
        <w:rPr>
          <w:rFonts w:ascii="宋体" w:hAnsi="宋体" w:cs="宋体"/>
          <w:b/>
          <w:color w:val="000000" w:themeColor="text1"/>
          <w:sz w:val="24"/>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注：</w:t>
      </w:r>
      <w:r>
        <w:rPr>
          <w:rFonts w:hint="eastAsia" w:ascii="宋体" w:hAnsi="宋体" w:cs="宋体"/>
          <w:b/>
          <w:color w:val="000000" w:themeColor="text1"/>
          <w:sz w:val="24"/>
          <w14:textFill>
            <w14:solidFill>
              <w14:schemeClr w14:val="tx1"/>
            </w14:solidFill>
          </w14:textFill>
        </w:rPr>
        <w:t>1.“技术规格偏离表”各项内容必须如实填写。</w:t>
      </w:r>
    </w:p>
    <w:p>
      <w:pPr>
        <w:spacing w:line="400" w:lineRule="exact"/>
        <w:ind w:left="840" w:leftChars="400" w:firstLine="181" w:firstLineChars="75"/>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2.当本表由多页构成时，需逐页加盖投标人公章（属自然人的须逐页签字）。</w:t>
      </w:r>
    </w:p>
    <w:p>
      <w:pPr>
        <w:spacing w:line="400" w:lineRule="exact"/>
        <w:ind w:left="982" w:leftChars="200" w:hanging="562" w:hangingChars="200"/>
        <w:rPr>
          <w:rFonts w:ascii="宋体" w:hAnsi="宋体" w:cs="宋体"/>
          <w:b/>
          <w:bCs/>
          <w:color w:val="000000" w:themeColor="text1"/>
          <w:sz w:val="28"/>
          <w:szCs w:val="28"/>
          <w14:textFill>
            <w14:solidFill>
              <w14:schemeClr w14:val="tx1"/>
            </w14:solidFill>
          </w14:textFill>
        </w:rPr>
      </w:pPr>
    </w:p>
    <w:p>
      <w:pPr>
        <w:spacing w:line="360" w:lineRule="exact"/>
        <w:rPr>
          <w:rFonts w:ascii="宋体" w:hAnsi="宋体" w:cs="宋体"/>
          <w:color w:val="000000" w:themeColor="text1"/>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bookmarkStart w:id="295" w:name="_Toc15632"/>
      <w:r>
        <w:rPr>
          <w:rFonts w:hint="eastAsia" w:ascii="宋体" w:hAnsi="宋体" w:cs="宋体"/>
          <w:b/>
          <w:bCs/>
          <w:color w:val="000000" w:themeColor="text1"/>
          <w:sz w:val="32"/>
          <w:szCs w:val="32"/>
          <w14:textFill>
            <w14:solidFill>
              <w14:schemeClr w14:val="tx1"/>
            </w14:solidFill>
          </w14:textFill>
        </w:rPr>
        <w:t>2.商务响应表（必须提供）</w:t>
      </w:r>
      <w:bookmarkEnd w:id="295"/>
    </w:p>
    <w:p>
      <w:pPr>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商务响应表（格式）</w:t>
      </w:r>
    </w:p>
    <w:tbl>
      <w:tblPr>
        <w:tblStyle w:val="28"/>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7"/>
              <w:spacing w:line="360" w:lineRule="exact"/>
              <w:jc w:val="center"/>
              <w:rPr>
                <w:rFonts w:hAnsi="宋体" w:cs="宋体"/>
                <w:b/>
                <w:bCs/>
                <w:color w:val="000000" w:themeColor="text1"/>
                <w14:textFill>
                  <w14:solidFill>
                    <w14:schemeClr w14:val="tx1"/>
                  </w14:solidFill>
                </w14:textFill>
              </w:rPr>
            </w:pPr>
            <w:r>
              <w:rPr>
                <w:rFonts w:hint="eastAsia" w:hAnsi="宋体" w:cs="宋体"/>
                <w:b/>
                <w:bCs/>
                <w:color w:val="000000" w:themeColor="text1"/>
                <w:szCs w:val="24"/>
                <w14:textFill>
                  <w14:solidFill>
                    <w14:schemeClr w14:val="tx1"/>
                  </w14:solidFill>
                </w14:textFill>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7"/>
              <w:spacing w:line="360" w:lineRule="exact"/>
              <w:jc w:val="center"/>
              <w:rPr>
                <w:rFonts w:hAnsi="宋体" w:cs="宋体"/>
                <w:b/>
                <w:bCs/>
                <w:color w:val="000000" w:themeColor="text1"/>
                <w14:textFill>
                  <w14:solidFill>
                    <w14:schemeClr w14:val="tx1"/>
                  </w14:solidFill>
                </w14:textFill>
              </w:rPr>
            </w:pPr>
            <w:r>
              <w:rPr>
                <w:rFonts w:hint="eastAsia" w:hAnsi="宋体" w:cs="宋体"/>
                <w:b/>
                <w:bCs/>
                <w:color w:val="000000" w:themeColor="text1"/>
                <w:szCs w:val="24"/>
                <w14:textFill>
                  <w14:solidFill>
                    <w14:schemeClr w14:val="tx1"/>
                  </w14:solidFill>
                </w14:textFill>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7"/>
              <w:spacing w:line="360" w:lineRule="exact"/>
              <w:jc w:val="center"/>
              <w:rPr>
                <w:rFonts w:hAnsi="宋体" w:cs="宋体"/>
                <w:b/>
                <w:bCs/>
                <w:color w:val="000000" w:themeColor="text1"/>
                <w14:textFill>
                  <w14:solidFill>
                    <w14:schemeClr w14:val="tx1"/>
                  </w14:solidFill>
                </w14:textFill>
              </w:rPr>
            </w:pPr>
            <w:r>
              <w:rPr>
                <w:rFonts w:hint="eastAsia" w:hAnsi="宋体" w:cs="宋体"/>
                <w:b/>
                <w:bCs/>
                <w:color w:val="000000" w:themeColor="text1"/>
                <w:szCs w:val="24"/>
                <w14:textFill>
                  <w14:solidFill>
                    <w14:schemeClr w14:val="tx1"/>
                  </w14:solidFill>
                </w14:textFill>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themeColor="text1"/>
                <w:szCs w:val="21"/>
                <w14:textFill>
                  <w14:solidFill>
                    <w14:schemeClr w14:val="tx1"/>
                  </w14:solidFill>
                </w14:textFill>
              </w:rPr>
            </w:pPr>
          </w:p>
        </w:tc>
      </w:tr>
    </w:tbl>
    <w:p>
      <w:pPr>
        <w:snapToGrid w:val="0"/>
        <w:spacing w:before="50" w:after="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注：供应商应对照招标文件中商务要求的内容逐条响应，并在“偏离情况说明”栏注明“正偏离”、“负偏离”或“无偏离”。</w:t>
      </w:r>
    </w:p>
    <w:p>
      <w:pPr>
        <w:snapToGrid w:val="0"/>
        <w:spacing w:before="50" w:after="50"/>
        <w:rPr>
          <w:rFonts w:ascii="宋体" w:hAnsi="宋体" w:cs="宋体"/>
          <w:color w:val="000000" w:themeColor="text1"/>
          <w:spacing w:val="20"/>
          <w:sz w:val="24"/>
          <w14:textFill>
            <w14:solidFill>
              <w14:schemeClr w14:val="tx1"/>
            </w14:solidFill>
          </w14:textFill>
        </w:rPr>
      </w:pPr>
    </w:p>
    <w:p>
      <w:pPr>
        <w:snapToGrid w:val="0"/>
        <w:spacing w:line="400" w:lineRule="exact"/>
        <w:ind w:firstLine="1890" w:firstLineChars="9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投标人（公章，自然人除外）：</w:t>
      </w:r>
    </w:p>
    <w:p>
      <w:pPr>
        <w:spacing w:line="340" w:lineRule="exact"/>
        <w:ind w:firstLine="1890" w:firstLineChars="900"/>
        <w:rPr>
          <w:rFonts w:ascii="宋体" w:hAnsi="宋体" w:cs="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w:t>
      </w:r>
      <w:r>
        <w:rPr>
          <w:rFonts w:hint="eastAsia" w:ascii="宋体" w:hAnsi="宋体" w:cs="宋体"/>
          <w:color w:val="000000" w:themeColor="text1"/>
          <w14:textFill>
            <w14:solidFill>
              <w14:schemeClr w14:val="tx1"/>
            </w14:solidFill>
          </w14:textFill>
        </w:rPr>
        <w:t>或相应的委托代理人签字（或盖章）</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（属自然人的应在签名处加盖大拇指指印）：</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p>
    <w:p>
      <w:pPr>
        <w:ind w:firstLine="1890" w:firstLineChars="90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日          期：</w:t>
      </w:r>
    </w:p>
    <w:p>
      <w:pPr>
        <w:ind w:firstLine="1890" w:firstLineChars="900"/>
        <w:rPr>
          <w:rFonts w:ascii="宋体" w:hAnsi="宋体" w:cs="宋体"/>
          <w:color w:val="000000" w:themeColor="text1"/>
          <w:u w:val="single"/>
          <w14:textFill>
            <w14:solidFill>
              <w14:schemeClr w14:val="tx1"/>
            </w14:solidFill>
          </w14:textFill>
        </w:rPr>
      </w:pPr>
    </w:p>
    <w:p>
      <w:pPr>
        <w:ind w:firstLine="1890" w:firstLineChars="900"/>
        <w:rPr>
          <w:rFonts w:ascii="宋体" w:hAnsi="宋体" w:cs="宋体"/>
          <w:color w:val="000000" w:themeColor="text1"/>
          <w:u w:val="single"/>
          <w14:textFill>
            <w14:solidFill>
              <w14:schemeClr w14:val="tx1"/>
            </w14:solidFill>
          </w14:textFill>
        </w:rPr>
      </w:pPr>
    </w:p>
    <w:p>
      <w:pPr>
        <w:spacing w:line="400" w:lineRule="exact"/>
        <w:ind w:left="982" w:leftChars="200" w:hanging="562" w:hangingChars="2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注：</w:t>
      </w:r>
      <w:r>
        <w:rPr>
          <w:rFonts w:hint="eastAsia" w:ascii="宋体" w:hAnsi="宋体" w:cs="宋体"/>
          <w:b/>
          <w:color w:val="000000" w:themeColor="text1"/>
          <w:sz w:val="24"/>
          <w14:textFill>
            <w14:solidFill>
              <w14:schemeClr w14:val="tx1"/>
            </w14:solidFill>
          </w14:textFill>
        </w:rPr>
        <w:t>1.“商务响应表”各项内容必须如实填写。</w:t>
      </w:r>
    </w:p>
    <w:p>
      <w:pPr>
        <w:spacing w:line="400" w:lineRule="exact"/>
        <w:ind w:firstLine="964" w:firstLineChars="400"/>
        <w:rPr>
          <w:rFonts w:ascii="宋体" w:hAnsi="宋体" w:cs="宋体"/>
          <w:b/>
          <w:bCs/>
          <w:color w:val="000000" w:themeColor="text1"/>
          <w:sz w:val="28"/>
          <w:szCs w:val="28"/>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2.当本表由多页构成时，需逐页加盖投标人公章（属自然人的须逐页签字）。</w:t>
      </w:r>
    </w:p>
    <w:p>
      <w:pPr>
        <w:pStyle w:val="2"/>
        <w:rPr>
          <w:rFonts w:ascii="宋体" w:hAnsi="宋体" w:eastAsia="宋体" w:cs="宋体"/>
          <w:color w:val="000000" w:themeColor="text1"/>
          <w14:textFill>
            <w14:solidFill>
              <w14:schemeClr w14:val="tx1"/>
            </w14:solidFill>
          </w14:textFill>
        </w:rPr>
      </w:pPr>
    </w:p>
    <w:p>
      <w:pPr>
        <w:pStyle w:val="2"/>
        <w:rPr>
          <w:rFonts w:ascii="宋体" w:hAnsi="宋体" w:eastAsia="宋体" w:cs="宋体"/>
          <w:color w:val="000000" w:themeColor="text1"/>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3.服务承诺书（由供应商根据本项目服务采购需求、特点及供应商自身的处理能力自行编写，承诺书内容至少应包括“服务采购需求”中的所有服务条款）（格式见附件）（必须提供）；</w:t>
      </w:r>
    </w:p>
    <w:p>
      <w:pPr>
        <w:rPr>
          <w:rFonts w:ascii="宋体" w:hAnsi="宋体" w:cs="宋体"/>
          <w:color w:val="000000" w:themeColor="text1"/>
          <w14:textFill>
            <w14:solidFill>
              <w14:schemeClr w14:val="tx1"/>
            </w14:solidFill>
          </w14:textFill>
        </w:rPr>
      </w:pPr>
      <w:bookmarkStart w:id="296" w:name="_Toc18341"/>
      <w:bookmarkStart w:id="297" w:name="_Toc495841796"/>
    </w:p>
    <w:p>
      <w:pPr>
        <w:pStyle w:val="2"/>
        <w:rPr>
          <w:color w:val="000000" w:themeColor="text1"/>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4.“服务采购需求”需提供的有明文件（按其要求提供）</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bookmarkEnd w:id="296"/>
    <w:bookmarkEnd w:id="297"/>
    <w:p>
      <w:pPr>
        <w:rPr>
          <w:rFonts w:ascii="宋体" w:hAnsi="宋体" w:cs="宋体"/>
          <w:b/>
          <w:bCs/>
          <w:color w:val="000000" w:themeColor="text1"/>
          <w:sz w:val="32"/>
          <w:szCs w:val="32"/>
          <w14:textFill>
            <w14:solidFill>
              <w14:schemeClr w14:val="tx1"/>
            </w14:solidFill>
          </w14:textFill>
        </w:rPr>
      </w:pPr>
      <w:bookmarkStart w:id="298" w:name="_Toc495841798"/>
      <w:bookmarkStart w:id="299" w:name="_Toc7840"/>
      <w:r>
        <w:rPr>
          <w:rFonts w:hint="eastAsia" w:ascii="宋体" w:hAnsi="宋体" w:cs="宋体"/>
          <w:b/>
          <w:bCs/>
          <w:color w:val="000000" w:themeColor="text1"/>
          <w:sz w:val="32"/>
          <w:szCs w:val="32"/>
          <w14:textFill>
            <w14:solidFill>
              <w14:schemeClr w14:val="tx1"/>
            </w14:solidFill>
          </w14:textFill>
        </w:rPr>
        <w:t>5.针对本项目的服务方案（如有请提供）</w:t>
      </w:r>
    </w:p>
    <w:bookmarkEnd w:id="298"/>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6.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299"/>
    </w:p>
    <w:p>
      <w:pPr>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 xml:space="preserve">项目实施人员一览表（格式）    </w:t>
      </w:r>
    </w:p>
    <w:tbl>
      <w:tblPr>
        <w:tblStyle w:val="2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姓 名</w:t>
            </w:r>
          </w:p>
        </w:tc>
        <w:tc>
          <w:tcPr>
            <w:tcW w:w="993" w:type="dxa"/>
            <w:shd w:val="clear" w:color="auto" w:fill="8DB3E2"/>
            <w:vAlign w:val="center"/>
          </w:tcPr>
          <w:p>
            <w:pPr>
              <w:spacing w:line="40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职务</w:t>
            </w:r>
          </w:p>
        </w:tc>
        <w:tc>
          <w:tcPr>
            <w:tcW w:w="1888" w:type="dxa"/>
            <w:shd w:val="clear" w:color="auto" w:fill="8DB3E2"/>
            <w:vAlign w:val="center"/>
          </w:tcPr>
          <w:p>
            <w:pPr>
              <w:spacing w:line="40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专业技术资格</w:t>
            </w:r>
          </w:p>
        </w:tc>
        <w:tc>
          <w:tcPr>
            <w:tcW w:w="1559" w:type="dxa"/>
            <w:shd w:val="clear" w:color="auto" w:fill="8DB3E2"/>
            <w:vAlign w:val="center"/>
          </w:tcPr>
          <w:p>
            <w:pPr>
              <w:spacing w:line="40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证书编号</w:t>
            </w:r>
          </w:p>
        </w:tc>
        <w:tc>
          <w:tcPr>
            <w:tcW w:w="2163" w:type="dxa"/>
            <w:shd w:val="clear" w:color="auto" w:fill="8DB3E2"/>
            <w:vAlign w:val="center"/>
          </w:tcPr>
          <w:p>
            <w:pPr>
              <w:spacing w:line="40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参加工作时间</w:t>
            </w:r>
          </w:p>
        </w:tc>
        <w:tc>
          <w:tcPr>
            <w:tcW w:w="1477" w:type="dxa"/>
            <w:shd w:val="clear" w:color="auto" w:fill="8DB3E2"/>
            <w:vAlign w:val="center"/>
          </w:tcPr>
          <w:p>
            <w:pPr>
              <w:spacing w:line="40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themeColor="text1"/>
                <w:szCs w:val="21"/>
                <w14:textFill>
                  <w14:solidFill>
                    <w14:schemeClr w14:val="tx1"/>
                  </w14:solidFill>
                </w14:textFill>
              </w:rPr>
            </w:pPr>
          </w:p>
        </w:tc>
        <w:tc>
          <w:tcPr>
            <w:tcW w:w="993" w:type="dxa"/>
          </w:tcPr>
          <w:p>
            <w:pPr>
              <w:spacing w:line="400" w:lineRule="exact"/>
              <w:rPr>
                <w:rFonts w:ascii="宋体" w:hAnsi="宋体" w:cs="宋体"/>
                <w:color w:val="000000" w:themeColor="text1"/>
                <w:szCs w:val="21"/>
                <w14:textFill>
                  <w14:solidFill>
                    <w14:schemeClr w14:val="tx1"/>
                  </w14:solidFill>
                </w14:textFill>
              </w:rPr>
            </w:pPr>
          </w:p>
        </w:tc>
        <w:tc>
          <w:tcPr>
            <w:tcW w:w="1888" w:type="dxa"/>
          </w:tcPr>
          <w:p>
            <w:pPr>
              <w:spacing w:line="400" w:lineRule="exact"/>
              <w:rPr>
                <w:rFonts w:ascii="宋体" w:hAnsi="宋体" w:cs="宋体"/>
                <w:color w:val="000000" w:themeColor="text1"/>
                <w:szCs w:val="21"/>
                <w14:textFill>
                  <w14:solidFill>
                    <w14:schemeClr w14:val="tx1"/>
                  </w14:solidFill>
                </w14:textFill>
              </w:rPr>
            </w:pPr>
          </w:p>
        </w:tc>
        <w:tc>
          <w:tcPr>
            <w:tcW w:w="1559" w:type="dxa"/>
          </w:tcPr>
          <w:p>
            <w:pPr>
              <w:spacing w:line="400" w:lineRule="exact"/>
              <w:rPr>
                <w:rFonts w:ascii="宋体" w:hAnsi="宋体" w:cs="宋体"/>
                <w:color w:val="000000" w:themeColor="text1"/>
                <w:szCs w:val="21"/>
                <w14:textFill>
                  <w14:solidFill>
                    <w14:schemeClr w14:val="tx1"/>
                  </w14:solidFill>
                </w14:textFill>
              </w:rPr>
            </w:pPr>
          </w:p>
        </w:tc>
        <w:tc>
          <w:tcPr>
            <w:tcW w:w="2163" w:type="dxa"/>
          </w:tcPr>
          <w:p>
            <w:pPr>
              <w:spacing w:line="400" w:lineRule="exact"/>
              <w:rPr>
                <w:rFonts w:ascii="宋体" w:hAnsi="宋体" w:cs="宋体"/>
                <w:color w:val="000000" w:themeColor="text1"/>
                <w:szCs w:val="21"/>
                <w14:textFill>
                  <w14:solidFill>
                    <w14:schemeClr w14:val="tx1"/>
                  </w14:solidFill>
                </w14:textFill>
              </w:rPr>
            </w:pPr>
          </w:p>
        </w:tc>
        <w:tc>
          <w:tcPr>
            <w:tcW w:w="1477" w:type="dxa"/>
          </w:tcPr>
          <w:p>
            <w:pPr>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themeColor="text1"/>
                <w:szCs w:val="21"/>
                <w14:textFill>
                  <w14:solidFill>
                    <w14:schemeClr w14:val="tx1"/>
                  </w14:solidFill>
                </w14:textFill>
              </w:rPr>
            </w:pPr>
          </w:p>
        </w:tc>
        <w:tc>
          <w:tcPr>
            <w:tcW w:w="993" w:type="dxa"/>
          </w:tcPr>
          <w:p>
            <w:pPr>
              <w:spacing w:line="400" w:lineRule="exact"/>
              <w:rPr>
                <w:rFonts w:ascii="宋体" w:hAnsi="宋体" w:cs="宋体"/>
                <w:color w:val="000000" w:themeColor="text1"/>
                <w:szCs w:val="21"/>
                <w14:textFill>
                  <w14:solidFill>
                    <w14:schemeClr w14:val="tx1"/>
                  </w14:solidFill>
                </w14:textFill>
              </w:rPr>
            </w:pPr>
          </w:p>
        </w:tc>
        <w:tc>
          <w:tcPr>
            <w:tcW w:w="1888" w:type="dxa"/>
          </w:tcPr>
          <w:p>
            <w:pPr>
              <w:spacing w:line="400" w:lineRule="exact"/>
              <w:rPr>
                <w:rFonts w:ascii="宋体" w:hAnsi="宋体" w:cs="宋体"/>
                <w:color w:val="000000" w:themeColor="text1"/>
                <w:szCs w:val="21"/>
                <w14:textFill>
                  <w14:solidFill>
                    <w14:schemeClr w14:val="tx1"/>
                  </w14:solidFill>
                </w14:textFill>
              </w:rPr>
            </w:pPr>
          </w:p>
        </w:tc>
        <w:tc>
          <w:tcPr>
            <w:tcW w:w="1559" w:type="dxa"/>
          </w:tcPr>
          <w:p>
            <w:pPr>
              <w:spacing w:line="400" w:lineRule="exact"/>
              <w:rPr>
                <w:rFonts w:ascii="宋体" w:hAnsi="宋体" w:cs="宋体"/>
                <w:color w:val="000000" w:themeColor="text1"/>
                <w:szCs w:val="21"/>
                <w14:textFill>
                  <w14:solidFill>
                    <w14:schemeClr w14:val="tx1"/>
                  </w14:solidFill>
                </w14:textFill>
              </w:rPr>
            </w:pPr>
          </w:p>
        </w:tc>
        <w:tc>
          <w:tcPr>
            <w:tcW w:w="2163" w:type="dxa"/>
          </w:tcPr>
          <w:p>
            <w:pPr>
              <w:spacing w:line="400" w:lineRule="exact"/>
              <w:rPr>
                <w:rFonts w:ascii="宋体" w:hAnsi="宋体" w:cs="宋体"/>
                <w:color w:val="000000" w:themeColor="text1"/>
                <w:szCs w:val="21"/>
                <w14:textFill>
                  <w14:solidFill>
                    <w14:schemeClr w14:val="tx1"/>
                  </w14:solidFill>
                </w14:textFill>
              </w:rPr>
            </w:pPr>
          </w:p>
        </w:tc>
        <w:tc>
          <w:tcPr>
            <w:tcW w:w="1477" w:type="dxa"/>
          </w:tcPr>
          <w:p>
            <w:pPr>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themeColor="text1"/>
                <w:szCs w:val="21"/>
                <w14:textFill>
                  <w14:solidFill>
                    <w14:schemeClr w14:val="tx1"/>
                  </w14:solidFill>
                </w14:textFill>
              </w:rPr>
            </w:pPr>
          </w:p>
        </w:tc>
        <w:tc>
          <w:tcPr>
            <w:tcW w:w="993" w:type="dxa"/>
          </w:tcPr>
          <w:p>
            <w:pPr>
              <w:spacing w:line="400" w:lineRule="exact"/>
              <w:rPr>
                <w:rFonts w:ascii="宋体" w:hAnsi="宋体" w:cs="宋体"/>
                <w:color w:val="000000" w:themeColor="text1"/>
                <w:szCs w:val="21"/>
                <w14:textFill>
                  <w14:solidFill>
                    <w14:schemeClr w14:val="tx1"/>
                  </w14:solidFill>
                </w14:textFill>
              </w:rPr>
            </w:pPr>
          </w:p>
        </w:tc>
        <w:tc>
          <w:tcPr>
            <w:tcW w:w="1888" w:type="dxa"/>
          </w:tcPr>
          <w:p>
            <w:pPr>
              <w:spacing w:line="400" w:lineRule="exact"/>
              <w:rPr>
                <w:rFonts w:ascii="宋体" w:hAnsi="宋体" w:cs="宋体"/>
                <w:color w:val="000000" w:themeColor="text1"/>
                <w:szCs w:val="21"/>
                <w14:textFill>
                  <w14:solidFill>
                    <w14:schemeClr w14:val="tx1"/>
                  </w14:solidFill>
                </w14:textFill>
              </w:rPr>
            </w:pPr>
          </w:p>
        </w:tc>
        <w:tc>
          <w:tcPr>
            <w:tcW w:w="1559" w:type="dxa"/>
          </w:tcPr>
          <w:p>
            <w:pPr>
              <w:spacing w:line="400" w:lineRule="exact"/>
              <w:rPr>
                <w:rFonts w:ascii="宋体" w:hAnsi="宋体" w:cs="宋体"/>
                <w:color w:val="000000" w:themeColor="text1"/>
                <w:szCs w:val="21"/>
                <w14:textFill>
                  <w14:solidFill>
                    <w14:schemeClr w14:val="tx1"/>
                  </w14:solidFill>
                </w14:textFill>
              </w:rPr>
            </w:pPr>
          </w:p>
        </w:tc>
        <w:tc>
          <w:tcPr>
            <w:tcW w:w="2163" w:type="dxa"/>
          </w:tcPr>
          <w:p>
            <w:pPr>
              <w:spacing w:line="400" w:lineRule="exact"/>
              <w:rPr>
                <w:rFonts w:ascii="宋体" w:hAnsi="宋体" w:cs="宋体"/>
                <w:color w:val="000000" w:themeColor="text1"/>
                <w:szCs w:val="21"/>
                <w14:textFill>
                  <w14:solidFill>
                    <w14:schemeClr w14:val="tx1"/>
                  </w14:solidFill>
                </w14:textFill>
              </w:rPr>
            </w:pPr>
          </w:p>
        </w:tc>
        <w:tc>
          <w:tcPr>
            <w:tcW w:w="1477" w:type="dxa"/>
          </w:tcPr>
          <w:p>
            <w:pPr>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themeColor="text1"/>
                <w:szCs w:val="21"/>
                <w14:textFill>
                  <w14:solidFill>
                    <w14:schemeClr w14:val="tx1"/>
                  </w14:solidFill>
                </w14:textFill>
              </w:rPr>
            </w:pPr>
          </w:p>
        </w:tc>
        <w:tc>
          <w:tcPr>
            <w:tcW w:w="993" w:type="dxa"/>
          </w:tcPr>
          <w:p>
            <w:pPr>
              <w:spacing w:line="400" w:lineRule="exact"/>
              <w:rPr>
                <w:rFonts w:ascii="宋体" w:hAnsi="宋体" w:cs="宋体"/>
                <w:color w:val="000000" w:themeColor="text1"/>
                <w:szCs w:val="21"/>
                <w14:textFill>
                  <w14:solidFill>
                    <w14:schemeClr w14:val="tx1"/>
                  </w14:solidFill>
                </w14:textFill>
              </w:rPr>
            </w:pPr>
          </w:p>
        </w:tc>
        <w:tc>
          <w:tcPr>
            <w:tcW w:w="1888" w:type="dxa"/>
          </w:tcPr>
          <w:p>
            <w:pPr>
              <w:spacing w:line="400" w:lineRule="exact"/>
              <w:rPr>
                <w:rFonts w:ascii="宋体" w:hAnsi="宋体" w:cs="宋体"/>
                <w:color w:val="000000" w:themeColor="text1"/>
                <w:szCs w:val="21"/>
                <w14:textFill>
                  <w14:solidFill>
                    <w14:schemeClr w14:val="tx1"/>
                  </w14:solidFill>
                </w14:textFill>
              </w:rPr>
            </w:pPr>
          </w:p>
        </w:tc>
        <w:tc>
          <w:tcPr>
            <w:tcW w:w="1559" w:type="dxa"/>
          </w:tcPr>
          <w:p>
            <w:pPr>
              <w:spacing w:line="400" w:lineRule="exact"/>
              <w:rPr>
                <w:rFonts w:ascii="宋体" w:hAnsi="宋体" w:cs="宋体"/>
                <w:color w:val="000000" w:themeColor="text1"/>
                <w:szCs w:val="21"/>
                <w14:textFill>
                  <w14:solidFill>
                    <w14:schemeClr w14:val="tx1"/>
                  </w14:solidFill>
                </w14:textFill>
              </w:rPr>
            </w:pPr>
          </w:p>
        </w:tc>
        <w:tc>
          <w:tcPr>
            <w:tcW w:w="2163" w:type="dxa"/>
          </w:tcPr>
          <w:p>
            <w:pPr>
              <w:spacing w:line="400" w:lineRule="exact"/>
              <w:rPr>
                <w:rFonts w:ascii="宋体" w:hAnsi="宋体" w:cs="宋体"/>
                <w:color w:val="000000" w:themeColor="text1"/>
                <w:szCs w:val="21"/>
                <w14:textFill>
                  <w14:solidFill>
                    <w14:schemeClr w14:val="tx1"/>
                  </w14:solidFill>
                </w14:textFill>
              </w:rPr>
            </w:pPr>
          </w:p>
        </w:tc>
        <w:tc>
          <w:tcPr>
            <w:tcW w:w="1477" w:type="dxa"/>
          </w:tcPr>
          <w:p>
            <w:pPr>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themeColor="text1"/>
                <w:szCs w:val="21"/>
                <w14:textFill>
                  <w14:solidFill>
                    <w14:schemeClr w14:val="tx1"/>
                  </w14:solidFill>
                </w14:textFill>
              </w:rPr>
            </w:pPr>
          </w:p>
        </w:tc>
        <w:tc>
          <w:tcPr>
            <w:tcW w:w="993" w:type="dxa"/>
          </w:tcPr>
          <w:p>
            <w:pPr>
              <w:spacing w:line="400" w:lineRule="exact"/>
              <w:rPr>
                <w:rFonts w:ascii="宋体" w:hAnsi="宋体" w:cs="宋体"/>
                <w:color w:val="000000" w:themeColor="text1"/>
                <w:szCs w:val="21"/>
                <w14:textFill>
                  <w14:solidFill>
                    <w14:schemeClr w14:val="tx1"/>
                  </w14:solidFill>
                </w14:textFill>
              </w:rPr>
            </w:pPr>
          </w:p>
        </w:tc>
        <w:tc>
          <w:tcPr>
            <w:tcW w:w="1888" w:type="dxa"/>
          </w:tcPr>
          <w:p>
            <w:pPr>
              <w:spacing w:line="400" w:lineRule="exact"/>
              <w:rPr>
                <w:rFonts w:ascii="宋体" w:hAnsi="宋体" w:cs="宋体"/>
                <w:color w:val="000000" w:themeColor="text1"/>
                <w:szCs w:val="21"/>
                <w14:textFill>
                  <w14:solidFill>
                    <w14:schemeClr w14:val="tx1"/>
                  </w14:solidFill>
                </w14:textFill>
              </w:rPr>
            </w:pPr>
          </w:p>
        </w:tc>
        <w:tc>
          <w:tcPr>
            <w:tcW w:w="1559" w:type="dxa"/>
          </w:tcPr>
          <w:p>
            <w:pPr>
              <w:spacing w:line="400" w:lineRule="exact"/>
              <w:rPr>
                <w:rFonts w:ascii="宋体" w:hAnsi="宋体" w:cs="宋体"/>
                <w:color w:val="000000" w:themeColor="text1"/>
                <w:szCs w:val="21"/>
                <w14:textFill>
                  <w14:solidFill>
                    <w14:schemeClr w14:val="tx1"/>
                  </w14:solidFill>
                </w14:textFill>
              </w:rPr>
            </w:pPr>
          </w:p>
        </w:tc>
        <w:tc>
          <w:tcPr>
            <w:tcW w:w="2163" w:type="dxa"/>
          </w:tcPr>
          <w:p>
            <w:pPr>
              <w:spacing w:line="400" w:lineRule="exact"/>
              <w:rPr>
                <w:rFonts w:ascii="宋体" w:hAnsi="宋体" w:cs="宋体"/>
                <w:color w:val="000000" w:themeColor="text1"/>
                <w:szCs w:val="21"/>
                <w14:textFill>
                  <w14:solidFill>
                    <w14:schemeClr w14:val="tx1"/>
                  </w14:solidFill>
                </w14:textFill>
              </w:rPr>
            </w:pPr>
          </w:p>
        </w:tc>
        <w:tc>
          <w:tcPr>
            <w:tcW w:w="1477" w:type="dxa"/>
          </w:tcPr>
          <w:p>
            <w:pPr>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000000" w:themeColor="text1"/>
                <w:szCs w:val="21"/>
                <w14:textFill>
                  <w14:solidFill>
                    <w14:schemeClr w14:val="tx1"/>
                  </w14:solidFill>
                </w14:textFill>
              </w:rPr>
            </w:pPr>
          </w:p>
        </w:tc>
        <w:tc>
          <w:tcPr>
            <w:tcW w:w="993" w:type="dxa"/>
          </w:tcPr>
          <w:p>
            <w:pPr>
              <w:spacing w:line="400" w:lineRule="exact"/>
              <w:rPr>
                <w:rFonts w:ascii="宋体" w:hAnsi="宋体" w:cs="宋体"/>
                <w:color w:val="000000" w:themeColor="text1"/>
                <w:szCs w:val="21"/>
                <w14:textFill>
                  <w14:solidFill>
                    <w14:schemeClr w14:val="tx1"/>
                  </w14:solidFill>
                </w14:textFill>
              </w:rPr>
            </w:pPr>
          </w:p>
        </w:tc>
        <w:tc>
          <w:tcPr>
            <w:tcW w:w="1888" w:type="dxa"/>
          </w:tcPr>
          <w:p>
            <w:pPr>
              <w:spacing w:line="400" w:lineRule="exact"/>
              <w:rPr>
                <w:rFonts w:ascii="宋体" w:hAnsi="宋体" w:cs="宋体"/>
                <w:color w:val="000000" w:themeColor="text1"/>
                <w:szCs w:val="21"/>
                <w14:textFill>
                  <w14:solidFill>
                    <w14:schemeClr w14:val="tx1"/>
                  </w14:solidFill>
                </w14:textFill>
              </w:rPr>
            </w:pPr>
          </w:p>
        </w:tc>
        <w:tc>
          <w:tcPr>
            <w:tcW w:w="1559" w:type="dxa"/>
          </w:tcPr>
          <w:p>
            <w:pPr>
              <w:spacing w:line="400" w:lineRule="exact"/>
              <w:rPr>
                <w:rFonts w:ascii="宋体" w:hAnsi="宋体" w:cs="宋体"/>
                <w:color w:val="000000" w:themeColor="text1"/>
                <w:szCs w:val="21"/>
                <w14:textFill>
                  <w14:solidFill>
                    <w14:schemeClr w14:val="tx1"/>
                  </w14:solidFill>
                </w14:textFill>
              </w:rPr>
            </w:pPr>
          </w:p>
        </w:tc>
        <w:tc>
          <w:tcPr>
            <w:tcW w:w="2163" w:type="dxa"/>
          </w:tcPr>
          <w:p>
            <w:pPr>
              <w:spacing w:line="400" w:lineRule="exact"/>
              <w:rPr>
                <w:rFonts w:ascii="宋体" w:hAnsi="宋体" w:cs="宋体"/>
                <w:color w:val="000000" w:themeColor="text1"/>
                <w:szCs w:val="21"/>
                <w14:textFill>
                  <w14:solidFill>
                    <w14:schemeClr w14:val="tx1"/>
                  </w14:solidFill>
                </w14:textFill>
              </w:rPr>
            </w:pPr>
          </w:p>
        </w:tc>
        <w:tc>
          <w:tcPr>
            <w:tcW w:w="1477" w:type="dxa"/>
          </w:tcPr>
          <w:p>
            <w:pPr>
              <w:spacing w:line="400" w:lineRule="exact"/>
              <w:rPr>
                <w:rFonts w:ascii="宋体" w:hAnsi="宋体" w:cs="宋体"/>
                <w:color w:val="000000" w:themeColor="text1"/>
                <w:szCs w:val="21"/>
                <w14:textFill>
                  <w14:solidFill>
                    <w14:schemeClr w14:val="tx1"/>
                  </w14:solidFill>
                </w14:textFill>
              </w:rPr>
            </w:pPr>
          </w:p>
        </w:tc>
      </w:tr>
    </w:tbl>
    <w:p>
      <w:pPr>
        <w:spacing w:line="400" w:lineRule="exact"/>
        <w:rPr>
          <w:rFonts w:ascii="宋体" w:hAnsi="宋体" w:cs="宋体"/>
          <w:color w:val="000000" w:themeColor="text1"/>
          <w:szCs w:val="21"/>
          <w14:textFill>
            <w14:solidFill>
              <w14:schemeClr w14:val="tx1"/>
            </w14:solidFill>
          </w14:textFill>
        </w:rPr>
      </w:pPr>
    </w:p>
    <w:p>
      <w:pPr>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注：1.在填写时，如本表格不适合投标单位的实际情况，可根据本表格式自行制表填写。</w:t>
      </w:r>
    </w:p>
    <w:p>
      <w:pPr>
        <w:spacing w:line="400" w:lineRule="exact"/>
        <w:ind w:firstLine="3255" w:firstLineChars="1550"/>
        <w:rPr>
          <w:rFonts w:ascii="宋体" w:hAnsi="宋体" w:cs="宋体"/>
          <w:color w:val="000000" w:themeColor="text1"/>
          <w14:textFill>
            <w14:solidFill>
              <w14:schemeClr w14:val="tx1"/>
            </w14:solidFill>
          </w14:textFill>
        </w:rPr>
      </w:pPr>
    </w:p>
    <w:p>
      <w:pPr>
        <w:spacing w:line="400" w:lineRule="exact"/>
        <w:ind w:firstLine="3255" w:firstLineChars="1550"/>
        <w:rPr>
          <w:rFonts w:ascii="宋体" w:hAnsi="宋体" w:cs="宋体"/>
          <w:color w:val="000000" w:themeColor="text1"/>
          <w14:textFill>
            <w14:solidFill>
              <w14:schemeClr w14:val="tx1"/>
            </w14:solidFill>
          </w14:textFill>
        </w:rPr>
      </w:pPr>
    </w:p>
    <w:p>
      <w:pPr>
        <w:snapToGrid w:val="0"/>
        <w:spacing w:line="400" w:lineRule="exact"/>
        <w:ind w:firstLine="1890" w:firstLineChars="9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投标人（公章，自然人除外）：</w:t>
      </w:r>
    </w:p>
    <w:p>
      <w:pPr>
        <w:spacing w:line="340" w:lineRule="exact"/>
        <w:ind w:firstLine="1890" w:firstLineChars="900"/>
        <w:rPr>
          <w:rFonts w:ascii="宋体" w:hAnsi="宋体" w:cs="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b/>
          <w:bCs/>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w:t>
      </w:r>
      <w:r>
        <w:rPr>
          <w:rFonts w:hint="eastAsia" w:ascii="宋体" w:hAnsi="宋体" w:cs="宋体"/>
          <w:color w:val="000000" w:themeColor="text1"/>
          <w14:textFill>
            <w14:solidFill>
              <w14:schemeClr w14:val="tx1"/>
            </w14:solidFill>
          </w14:textFill>
        </w:rPr>
        <w:t>或相应的委托代理人签字（或盖章）</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（属自然人的应在签名处加盖大拇指指印）：</w:t>
      </w:r>
    </w:p>
    <w:p>
      <w:pPr>
        <w:spacing w:line="340" w:lineRule="exact"/>
        <w:ind w:firstLine="1680" w:firstLineChars="800"/>
        <w:rPr>
          <w:rFonts w:ascii="宋体" w:hAnsi="宋体" w:cs="宋体"/>
          <w:color w:val="000000" w:themeColor="text1"/>
          <w:szCs w:val="21"/>
          <w:u w:val="single"/>
          <w14:textFill>
            <w14:solidFill>
              <w14:schemeClr w14:val="tx1"/>
            </w14:solidFill>
          </w14:textFill>
        </w:rPr>
      </w:pPr>
    </w:p>
    <w:p>
      <w:pPr>
        <w:spacing w:line="340" w:lineRule="exact"/>
        <w:ind w:firstLine="1890" w:firstLineChars="900"/>
        <w:rPr>
          <w:rFonts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14:textFill>
            <w14:solidFill>
              <w14:schemeClr w14:val="tx1"/>
            </w14:solidFill>
          </w14:textFill>
        </w:rPr>
        <w:t>日          期：</w:t>
      </w:r>
    </w:p>
    <w:p>
      <w:pPr>
        <w:spacing w:line="460" w:lineRule="exact"/>
        <w:rPr>
          <w:rFonts w:ascii="宋体" w:hAnsi="宋体" w:cs="宋体"/>
          <w:b/>
          <w:bCs/>
          <w:color w:val="000000" w:themeColor="text1"/>
          <w:sz w:val="32"/>
          <w:szCs w:val="32"/>
          <w14:textFill>
            <w14:solidFill>
              <w14:schemeClr w14:val="tx1"/>
            </w14:solidFill>
          </w14:textFill>
        </w:rPr>
      </w:pPr>
      <w:bookmarkStart w:id="300" w:name="_Toc5317"/>
      <w:bookmarkStart w:id="301" w:name="_Toc495841804"/>
    </w:p>
    <w:p>
      <w:pPr>
        <w:spacing w:line="460" w:lineRule="exact"/>
        <w:rPr>
          <w:rFonts w:ascii="宋体" w:hAnsi="宋体" w:cs="宋体"/>
          <w:b/>
          <w:bCs/>
          <w:color w:val="000000" w:themeColor="text1"/>
          <w:sz w:val="32"/>
          <w:szCs w:val="32"/>
          <w14:textFill>
            <w14:solidFill>
              <w14:schemeClr w14:val="tx1"/>
            </w14:solidFill>
          </w14:textFill>
        </w:rPr>
      </w:pPr>
    </w:p>
    <w:p>
      <w:pPr>
        <w:spacing w:line="460" w:lineRule="exact"/>
        <w:rPr>
          <w:rFonts w:ascii="宋体" w:hAnsi="宋体" w:cs="宋体"/>
          <w:b/>
          <w:bCs/>
          <w:color w:val="000000" w:themeColor="text1"/>
          <w:sz w:val="32"/>
          <w:szCs w:val="32"/>
          <w14:textFill>
            <w14:solidFill>
              <w14:schemeClr w14:val="tx1"/>
            </w14:solidFill>
          </w14:textFill>
        </w:rPr>
      </w:pPr>
    </w:p>
    <w:p>
      <w:pPr>
        <w:spacing w:line="460" w:lineRule="exact"/>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7.投标人相关获奖证书、认证证书等复印件（如有，请提供）</w:t>
      </w:r>
      <w:bookmarkEnd w:id="300"/>
      <w:bookmarkEnd w:id="301"/>
      <w:bookmarkStart w:id="302" w:name="_Toc12562"/>
    </w:p>
    <w:p>
      <w:pPr>
        <w:spacing w:line="460" w:lineRule="exact"/>
        <w:rPr>
          <w:rFonts w:ascii="宋体" w:hAnsi="宋体" w:cs="宋体"/>
          <w:b/>
          <w:bCs/>
          <w:color w:val="000000" w:themeColor="text1"/>
          <w:sz w:val="32"/>
          <w:szCs w:val="32"/>
          <w14:textFill>
            <w14:solidFill>
              <w14:schemeClr w14:val="tx1"/>
            </w14:solidFill>
          </w14:textFill>
        </w:rPr>
      </w:pPr>
    </w:p>
    <w:p>
      <w:pPr>
        <w:spacing w:line="460" w:lineRule="exact"/>
        <w:rPr>
          <w:rFonts w:ascii="宋体" w:hAnsi="宋体" w:cs="宋体"/>
          <w:b/>
          <w:bCs/>
          <w:color w:val="000000" w:themeColor="text1"/>
          <w:sz w:val="32"/>
          <w:szCs w:val="32"/>
          <w14:textFill>
            <w14:solidFill>
              <w14:schemeClr w14:val="tx1"/>
            </w14:solidFill>
          </w14:textFill>
        </w:rPr>
      </w:pPr>
    </w:p>
    <w:p>
      <w:pPr>
        <w:spacing w:line="460" w:lineRule="exact"/>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8.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302"/>
      <w:r>
        <w:rPr>
          <w:rFonts w:hint="eastAsia" w:ascii="宋体" w:hAnsi="宋体" w:cs="宋体"/>
          <w:b/>
          <w:bCs/>
          <w:color w:val="000000" w:themeColor="text1"/>
          <w:sz w:val="32"/>
          <w:szCs w:val="32"/>
          <w14:textFill>
            <w14:solidFill>
              <w14:schemeClr w14:val="tx1"/>
            </w14:solidFill>
          </w14:textFill>
        </w:rPr>
        <w:t>；</w:t>
      </w:r>
    </w:p>
    <w:p>
      <w:pPr>
        <w:rPr>
          <w:rFonts w:ascii="宋体" w:hAnsi="宋体" w:cs="宋体"/>
          <w:b/>
          <w:bCs/>
          <w:color w:val="000000" w:themeColor="text1"/>
          <w:sz w:val="28"/>
          <w:szCs w:val="28"/>
          <w14:textFill>
            <w14:solidFill>
              <w14:schemeClr w14:val="tx1"/>
            </w14:solidFill>
          </w14:textFill>
        </w:rPr>
      </w:pPr>
      <w:bookmarkStart w:id="303" w:name="_Toc24169_WPSOffice_Level1"/>
      <w:r>
        <w:rPr>
          <w:rFonts w:hint="eastAsia" w:ascii="宋体" w:hAnsi="宋体" w:cs="宋体"/>
          <w:b/>
          <w:bCs/>
          <w:color w:val="000000" w:themeColor="text1"/>
          <w:sz w:val="28"/>
          <w:szCs w:val="28"/>
          <w14:textFill>
            <w14:solidFill>
              <w14:schemeClr w14:val="tx1"/>
            </w14:solidFill>
          </w14:textFill>
        </w:rPr>
        <w:t>附件</w:t>
      </w:r>
      <w:bookmarkEnd w:id="303"/>
    </w:p>
    <w:p>
      <w:pPr>
        <w:pStyle w:val="17"/>
        <w:spacing w:line="440" w:lineRule="exact"/>
        <w:jc w:val="center"/>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中小企业声明函</w:t>
      </w:r>
    </w:p>
    <w:p>
      <w:pPr>
        <w:spacing w:line="400" w:lineRule="exact"/>
        <w:ind w:firstLine="444" w:firstLineChars="200"/>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本公司郑重声明，根据《政府采购促进中小企业发展暂行办法》（财库[2011]181号）的规定，本公司为</w:t>
      </w:r>
      <w:bookmarkStart w:id="304" w:name="OLE_LINK5"/>
      <w:r>
        <w:rPr>
          <w:rFonts w:hint="eastAsia" w:ascii="宋体" w:hAnsi="宋体" w:cs="宋体"/>
          <w:color w:val="000000" w:themeColor="text1"/>
          <w:spacing w:val="6"/>
          <w:szCs w:val="21"/>
          <w14:textFill>
            <w14:solidFill>
              <w14:schemeClr w14:val="tx1"/>
            </w14:solidFill>
          </w14:textFill>
        </w:rPr>
        <w:t>（请填写：中型、小型、微型）企业</w:t>
      </w:r>
      <w:bookmarkEnd w:id="304"/>
      <w:r>
        <w:rPr>
          <w:rFonts w:hint="eastAsia" w:ascii="宋体" w:hAnsi="宋体" w:cs="宋体"/>
          <w:color w:val="000000" w:themeColor="text1"/>
          <w:spacing w:val="6"/>
          <w:szCs w:val="21"/>
          <w14:textFill>
            <w14:solidFill>
              <w14:schemeClr w14:val="tx1"/>
            </w14:solidFill>
          </w14:textFill>
        </w:rPr>
        <w:t>。即，本公司同时满足以下条件：</w:t>
      </w:r>
    </w:p>
    <w:p>
      <w:pPr>
        <w:spacing w:line="400" w:lineRule="exact"/>
        <w:ind w:firstLine="444" w:firstLineChars="200"/>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1.根据《工业和信息化部、国家统计局、国家发展和改革委员会、财政部关于印发中小企业划型标准规定的通知》（工信部联企业[2011]300号）规定的划分标准，本公司为（请填写：中型、小型、微型）企业。</w:t>
      </w:r>
    </w:p>
    <w:p>
      <w:pPr>
        <w:spacing w:line="400" w:lineRule="exact"/>
        <w:ind w:firstLine="444" w:firstLineChars="200"/>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2.本公司参加单位的项目采购活动提供本企业制造的货物，由本企业承担工程、提供服务，或者提供其他（请填写：中型、小型、微型）企业制造的货物。本条所称货物不包括使用大型企业注册商标的货物。</w:t>
      </w:r>
    </w:p>
    <w:p>
      <w:pPr>
        <w:pStyle w:val="17"/>
        <w:spacing w:line="400" w:lineRule="exact"/>
        <w:ind w:firstLine="444"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pacing w:val="6"/>
          <w:szCs w:val="21"/>
          <w14:textFill>
            <w14:solidFill>
              <w14:schemeClr w14:val="tx1"/>
            </w14:solidFill>
          </w14:textFill>
        </w:rPr>
        <w:t>本公司对上述声明的真实性负责。如有虚假，将依法承担相应责任。</w:t>
      </w:r>
    </w:p>
    <w:p>
      <w:pPr>
        <w:pStyle w:val="17"/>
        <w:spacing w:line="440" w:lineRule="exact"/>
        <w:ind w:firstLine="480" w:firstLineChars="200"/>
        <w:rPr>
          <w:rFonts w:hAnsi="宋体" w:cs="宋体"/>
          <w:color w:val="000000" w:themeColor="text1"/>
          <w:sz w:val="24"/>
          <w:szCs w:val="24"/>
          <w14:textFill>
            <w14:solidFill>
              <w14:schemeClr w14:val="tx1"/>
            </w14:solidFill>
          </w14:textFill>
        </w:rPr>
      </w:pPr>
    </w:p>
    <w:p>
      <w:pPr>
        <w:pStyle w:val="17"/>
        <w:spacing w:line="440" w:lineRule="exact"/>
        <w:ind w:firstLine="3614" w:firstLineChars="1500"/>
        <w:rPr>
          <w:rFonts w:hAnsi="宋体" w:cs="宋体"/>
          <w:b/>
          <w:bCs/>
          <w:color w:val="000000" w:themeColor="text1"/>
          <w:sz w:val="24"/>
          <w:szCs w:val="24"/>
          <w:u w:val="single"/>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企业名称（加盖公章）：</w:t>
      </w:r>
    </w:p>
    <w:p>
      <w:pPr>
        <w:pStyle w:val="17"/>
        <w:spacing w:line="440" w:lineRule="exact"/>
        <w:ind w:firstLine="4819" w:firstLineChars="20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日期：     年   月   日</w:t>
      </w:r>
    </w:p>
    <w:p>
      <w:pPr>
        <w:pStyle w:val="17"/>
        <w:spacing w:line="440" w:lineRule="exact"/>
        <w:rPr>
          <w:rFonts w:hAnsi="宋体" w:cs="宋体"/>
          <w:b/>
          <w:bCs/>
          <w:color w:val="000000" w:themeColor="text1"/>
          <w:sz w:val="24"/>
          <w:szCs w:val="24"/>
          <w14:textFill>
            <w14:solidFill>
              <w14:schemeClr w14:val="tx1"/>
            </w14:solidFill>
          </w14:textFill>
        </w:rPr>
      </w:pPr>
    </w:p>
    <w:p>
      <w:pPr>
        <w:pStyle w:val="17"/>
        <w:spacing w:line="440" w:lineRule="exact"/>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w:t>
      </w:r>
    </w:p>
    <w:p>
      <w:pPr>
        <w:pStyle w:val="17"/>
        <w:numPr>
          <w:ilvl w:val="0"/>
          <w:numId w:val="8"/>
        </w:numPr>
        <w:spacing w:line="44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7"/>
        <w:numPr>
          <w:ilvl w:val="0"/>
          <w:numId w:val="8"/>
        </w:numPr>
        <w:spacing w:line="440" w:lineRule="exact"/>
        <w:ind w:firstLine="480" w:firstLineChars="20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采购代理机构在公告中标结果时，将同时公告其《中小企业声明函》，接受社会监督，如有弄虚作假，中标供应商将承担相应责任。</w:t>
      </w:r>
    </w:p>
    <w:p>
      <w:pPr>
        <w:spacing w:line="500" w:lineRule="exact"/>
        <w:rPr>
          <w:rFonts w:ascii="宋体" w:hAnsi="宋体" w:cs="宋体"/>
          <w:b/>
          <w:color w:val="000000" w:themeColor="text1"/>
          <w:sz w:val="32"/>
          <w:szCs w:val="32"/>
          <w14:textFill>
            <w14:solidFill>
              <w14:schemeClr w14:val="tx1"/>
            </w14:solidFill>
          </w14:textFill>
        </w:rPr>
      </w:pPr>
    </w:p>
    <w:p>
      <w:pPr>
        <w:pStyle w:val="2"/>
        <w:rPr>
          <w:rFonts w:ascii="宋体" w:hAnsi="宋体" w:eastAsia="宋体" w:cs="宋体"/>
          <w:b/>
          <w:bCs/>
          <w:color w:val="000000" w:themeColor="text1"/>
          <w:sz w:val="32"/>
          <w:szCs w:val="32"/>
          <w14:textFill>
            <w14:solidFill>
              <w14:schemeClr w14:val="tx1"/>
            </w14:solidFill>
          </w14:textFill>
        </w:rPr>
      </w:pPr>
      <w:bookmarkStart w:id="305" w:name="_Toc26450"/>
    </w:p>
    <w:p>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9.如产品属于监狱企业的，以提供由省级以上监狱管理局、戒毒管理局（含新疆生产建设兵团）出具的属于监狱企业的证明文件为准（如有，请提供）；</w:t>
      </w:r>
      <w:bookmarkEnd w:id="305"/>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306" w:name="_Toc17129"/>
      <w:r>
        <w:rPr>
          <w:rFonts w:hint="eastAsia" w:ascii="宋体" w:hAnsi="宋体" w:cs="宋体"/>
          <w:b/>
          <w:bCs/>
          <w:color w:val="000000" w:themeColor="text1"/>
          <w:sz w:val="32"/>
          <w:szCs w:val="32"/>
          <w14:textFill>
            <w14:solidFill>
              <w14:schemeClr w14:val="tx1"/>
            </w14:solidFill>
          </w14:textFill>
        </w:rPr>
        <w:t>10.符合条件的残疾人福利性单位在参加政府采购活动时，应当提供《残疾人福利性单位声明函》（见附件），并对声明的真实性负责。</w:t>
      </w:r>
      <w:bookmarkEnd w:id="306"/>
    </w:p>
    <w:p>
      <w:pPr>
        <w:spacing w:line="588" w:lineRule="exact"/>
        <w:jc w:val="center"/>
        <w:rPr>
          <w:rFonts w:ascii="宋体" w:hAnsi="宋体" w:cs="宋体"/>
          <w:b/>
          <w:color w:val="000000" w:themeColor="text1"/>
          <w:spacing w:val="6"/>
          <w:sz w:val="30"/>
          <w:szCs w:val="30"/>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残疾人福利性单位声明函</w:t>
      </w:r>
    </w:p>
    <w:p>
      <w:pPr>
        <w:spacing w:line="588" w:lineRule="exact"/>
        <w:ind w:firstLine="624" w:firstLineChars="200"/>
        <w:rPr>
          <w:rFonts w:ascii="宋体" w:hAnsi="宋体" w:cs="宋体"/>
          <w:color w:val="000000" w:themeColor="text1"/>
          <w:spacing w:val="6"/>
          <w:sz w:val="30"/>
          <w:szCs w:val="30"/>
          <w14:textFill>
            <w14:solidFill>
              <w14:schemeClr w14:val="tx1"/>
            </w14:solidFill>
          </w14:textFill>
        </w:rPr>
      </w:pPr>
      <w:r>
        <w:rPr>
          <w:rFonts w:hint="eastAsia" w:ascii="宋体" w:hAnsi="宋体" w:cs="宋体"/>
          <w:color w:val="000000" w:themeColor="text1"/>
          <w:spacing w:val="6"/>
          <w:sz w:val="30"/>
          <w:szCs w:val="30"/>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color w:val="000000" w:themeColor="text1"/>
          <w:spacing w:val="6"/>
          <w:sz w:val="30"/>
          <w:szCs w:val="30"/>
          <w14:textFill>
            <w14:solidFill>
              <w14:schemeClr w14:val="tx1"/>
            </w14:solidFill>
          </w14:textFill>
        </w:rPr>
      </w:pPr>
      <w:r>
        <w:rPr>
          <w:rFonts w:hint="eastAsia" w:ascii="宋体" w:hAnsi="宋体" w:cs="宋体"/>
          <w:color w:val="000000" w:themeColor="text1"/>
          <w:spacing w:val="6"/>
          <w:sz w:val="30"/>
          <w:szCs w:val="30"/>
          <w14:textFill>
            <w14:solidFill>
              <w14:schemeClr w14:val="tx1"/>
            </w14:solidFill>
          </w14:textFill>
        </w:rPr>
        <w:t>本单位对上述声明的真实性负责。如有虚假，将依法承担相应责任。</w:t>
      </w:r>
    </w:p>
    <w:p>
      <w:pPr>
        <w:spacing w:line="588" w:lineRule="exact"/>
        <w:rPr>
          <w:rFonts w:ascii="宋体" w:hAnsi="宋体" w:cs="宋体"/>
          <w:color w:val="000000" w:themeColor="text1"/>
          <w:spacing w:val="6"/>
          <w:sz w:val="30"/>
          <w:szCs w:val="30"/>
          <w14:textFill>
            <w14:solidFill>
              <w14:schemeClr w14:val="tx1"/>
            </w14:solidFill>
          </w14:textFill>
        </w:rPr>
      </w:pPr>
    </w:p>
    <w:p>
      <w:pPr>
        <w:tabs>
          <w:tab w:val="left" w:pos="4860"/>
        </w:tabs>
        <w:spacing w:line="588" w:lineRule="exact"/>
        <w:ind w:right="1560" w:firstLine="624" w:firstLineChars="200"/>
        <w:jc w:val="center"/>
        <w:rPr>
          <w:rFonts w:ascii="宋体" w:hAnsi="宋体" w:cs="宋体"/>
          <w:color w:val="000000" w:themeColor="text1"/>
          <w:spacing w:val="6"/>
          <w:sz w:val="30"/>
          <w:szCs w:val="30"/>
          <w14:textFill>
            <w14:solidFill>
              <w14:schemeClr w14:val="tx1"/>
            </w14:solidFill>
          </w14:textFill>
        </w:rPr>
      </w:pPr>
      <w:r>
        <w:rPr>
          <w:rFonts w:hint="eastAsia" w:ascii="宋体" w:hAnsi="宋体" w:cs="宋体"/>
          <w:color w:val="000000" w:themeColor="text1"/>
          <w:spacing w:val="6"/>
          <w:sz w:val="30"/>
          <w:szCs w:val="30"/>
          <w14:textFill>
            <w14:solidFill>
              <w14:schemeClr w14:val="tx1"/>
            </w14:solidFill>
          </w14:textFill>
        </w:rPr>
        <w:t>单位名称（盖公章）：</w:t>
      </w:r>
    </w:p>
    <w:p>
      <w:pPr>
        <w:tabs>
          <w:tab w:val="left" w:pos="4860"/>
        </w:tabs>
        <w:spacing w:line="588" w:lineRule="exact"/>
        <w:ind w:right="1560" w:firstLine="624" w:firstLineChars="20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pacing w:val="6"/>
          <w:sz w:val="30"/>
          <w:szCs w:val="30"/>
          <w14:textFill>
            <w14:solidFill>
              <w14:schemeClr w14:val="tx1"/>
            </w14:solidFill>
          </w14:textFill>
        </w:rPr>
        <w:t>日  期：</w:t>
      </w:r>
    </w:p>
    <w:p>
      <w:pPr>
        <w:spacing w:line="500" w:lineRule="exact"/>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bookmarkStart w:id="307" w:name="_Toc14735"/>
      <w:bookmarkStart w:id="308" w:name="_Toc495841807"/>
      <w:r>
        <w:rPr>
          <w:rFonts w:hint="eastAsia" w:ascii="宋体" w:hAnsi="宋体" w:cs="宋体"/>
          <w:b/>
          <w:bCs/>
          <w:color w:val="000000" w:themeColor="text1"/>
          <w:sz w:val="32"/>
          <w:szCs w:val="32"/>
          <w14:textFill>
            <w14:solidFill>
              <w14:schemeClr w14:val="tx1"/>
            </w14:solidFill>
          </w14:textFill>
        </w:rPr>
        <w:t>11.投标人可结合本项目的评标办法视自身情况自行提交相关证明材料（如有，请提供）</w:t>
      </w:r>
      <w:bookmarkEnd w:id="307"/>
      <w:bookmarkEnd w:id="308"/>
    </w:p>
    <w:p>
      <w:pPr>
        <w:rPr>
          <w:rFonts w:ascii="宋体" w:hAnsi="宋体" w:cs="宋体"/>
          <w:b/>
          <w:bCs/>
          <w:color w:val="000000" w:themeColor="text1"/>
          <w:sz w:val="32"/>
          <w:szCs w:val="32"/>
          <w14:textFill>
            <w14:solidFill>
              <w14:schemeClr w14:val="tx1"/>
            </w14:solidFill>
          </w14:textFill>
        </w:rPr>
      </w:pPr>
    </w:p>
    <w:p>
      <w:pPr>
        <w:rPr>
          <w:rFonts w:ascii="宋体" w:hAnsi="宋体" w:cs="宋体"/>
          <w:b/>
          <w:bCs/>
          <w:color w:val="000000" w:themeColor="text1"/>
          <w:sz w:val="32"/>
          <w:szCs w:val="32"/>
          <w14:textFill>
            <w14:solidFill>
              <w14:schemeClr w14:val="tx1"/>
            </w14:solidFill>
          </w14:textFill>
        </w:rPr>
      </w:pPr>
    </w:p>
    <w:sectPr>
      <w:footerReference r:id="rId6" w:type="default"/>
      <w:pgSz w:w="11906" w:h="16838"/>
      <w:pgMar w:top="1440" w:right="1080" w:bottom="1440" w:left="108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u w:val="single"/>
      </w:rPr>
    </w:pPr>
  </w:p>
  <w:p>
    <w:pPr>
      <w:pStyle w:val="19"/>
      <w:jc w:val="left"/>
    </w:pPr>
    <w:r>
      <w:rPr>
        <w:rFonts w:hint="eastAsia"/>
      </w:rPr>
      <w:t>桂林市政府集中采购中心                                                                              公开招标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576"/>
        <w:tab w:val="center" w:pos="4933"/>
      </w:tabs>
      <w:jc w:val="left"/>
      <w:rPr>
        <w:u w:val="single"/>
      </w:rPr>
    </w:pPr>
    <w:r>
      <w:rPr>
        <w:u w:val="singl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BN7bTBqwEAAE0DAAAO&#10;AAAAAAAAAAEAIAAAAB4BAABkcnMvZTJvRG9jLnhtbFBLBQYAAAAABgAGAFkBAAA7BQ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r>
      <w:rPr>
        <w:rFonts w:hint="eastAsia"/>
        <w:u w:val="single"/>
      </w:rPr>
      <w:tab/>
    </w:r>
    <w:r>
      <w:rPr>
        <w:rFonts w:hint="eastAsia"/>
        <w:u w:val="single"/>
      </w:rPr>
      <w:tab/>
    </w:r>
    <w:r>
      <w:rPr>
        <w:u w:val="single"/>
      </w:rPr>
      <w:t xml:space="preserve">                                                      </w:t>
    </w:r>
  </w:p>
  <w:p>
    <w:pPr>
      <w:pStyle w:val="19"/>
      <w:tabs>
        <w:tab w:val="left" w:pos="576"/>
        <w:tab w:val="center" w:pos="4933"/>
      </w:tabs>
      <w:jc w:val="left"/>
    </w:pPr>
    <w:r>
      <w:rPr>
        <w:rFonts w:hint="eastAsia"/>
      </w:rPr>
      <w:t xml:space="preserve">桂林市政府集中采购中心                        </w:t>
    </w:r>
    <w:r>
      <w:t xml:space="preserve"> </w:t>
    </w:r>
    <w:r>
      <w:rPr>
        <w:rFonts w:hint="eastAsia"/>
      </w:rPr>
      <w:t xml:space="preserve">                                                     公开招标</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r>
      <mc:AlternateContent>
        <mc:Choice Requires="wps">
          <w:drawing>
            <wp:anchor distT="0" distB="0" distL="114300" distR="114300" simplePos="0" relativeHeight="251659264" behindDoc="0" locked="0" layoutInCell="1" allowOverlap="1">
              <wp:simplePos x="0" y="0"/>
              <wp:positionH relativeFrom="margin">
                <wp:posOffset>2976880</wp:posOffset>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jc w:val="center"/>
                          </w:pPr>
                          <w:r>
                            <w:fldChar w:fldCharType="begin"/>
                          </w:r>
                          <w:r>
                            <w:rPr>
                              <w:rStyle w:val="120"/>
                            </w:rPr>
                            <w:instrText xml:space="preserve"> PAGE </w:instrText>
                          </w:r>
                          <w:r>
                            <w:fldChar w:fldCharType="separate"/>
                          </w:r>
                          <w:r>
                            <w:rPr>
                              <w:rStyle w:val="120"/>
                            </w:rPr>
                            <w:t>- 42 -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34.4pt;margin-top:-9.75pt;height:144pt;width:144pt;mso-position-horizontal-relative:margin;mso-wrap-style:none;z-index:251659264;mso-width-relative:page;mso-height-relative:page;" filled="f" stroked="f" coordsize="21600,21600" o:gfxdata="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9CRgN2QAAAAsBAAAPAAAA&#10;AAAAAAEAIAAAACIAAABkcnMvZG93bnJldi54bWxQSwECFAAUAAAACACHTuJAdBVQXRQCAAAVBAAA&#10;DgAAAAAAAAABACAAAAAoAQAAZHJzL2Uyb0RvYy54bWxQSwUGAAAAAAYABgBZAQAArgUAAAAA&#10;">
              <v:fill on="f" focussize="0,0"/>
              <v:stroke on="f" weight="0.5pt"/>
              <v:imagedata o:title=""/>
              <o:lock v:ext="edit" aspectratio="f"/>
              <v:textbox inset="0mm,0mm,0mm,0mm" style="mso-fit-shape-to-text:t;">
                <w:txbxContent>
                  <w:p>
                    <w:pPr>
                      <w:pStyle w:val="19"/>
                      <w:jc w:val="center"/>
                    </w:pPr>
                    <w:r>
                      <w:fldChar w:fldCharType="begin"/>
                    </w:r>
                    <w:r>
                      <w:rPr>
                        <w:rStyle w:val="120"/>
                      </w:rPr>
                      <w:instrText xml:space="preserve"> PAGE </w:instrText>
                    </w:r>
                    <w:r>
                      <w:fldChar w:fldCharType="separate"/>
                    </w:r>
                    <w:r>
                      <w:rPr>
                        <w:rStyle w:val="120"/>
                      </w:rPr>
                      <w:t>- 42 -</w:t>
                    </w:r>
                    <w:r>
                      <w:fldChar w:fldCharType="end"/>
                    </w:r>
                  </w:p>
                </w:txbxContent>
              </v:textbox>
            </v:shape>
          </w:pict>
        </mc:Fallback>
      </mc:AlternateContent>
    </w:r>
    <w:r>
      <w:rPr>
        <w:rFonts w:hint="eastAsia"/>
      </w:rPr>
      <w:t>桂林市政府集中采中心                                                                               公开招标</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jc w:val="left"/>
    </w:pPr>
    <w:r>
      <w:rPr>
        <w:rFonts w:hint="eastAsia"/>
      </w:rPr>
      <w:t>桂林市公安局临桂业务技术大楼物业管理                                               GLZC2020-G3-990561-JCZX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EBBE8"/>
    <w:multiLevelType w:val="singleLevel"/>
    <w:tmpl w:val="AE8EBBE8"/>
    <w:lvl w:ilvl="0" w:tentative="0">
      <w:start w:val="15"/>
      <w:numFmt w:val="decimal"/>
      <w:suff w:val="space"/>
      <w:lvlText w:val="%1."/>
      <w:lvlJc w:val="left"/>
    </w:lvl>
  </w:abstractNum>
  <w:abstractNum w:abstractNumId="1">
    <w:nsid w:val="08E27BF9"/>
    <w:multiLevelType w:val="singleLevel"/>
    <w:tmpl w:val="08E27BF9"/>
    <w:lvl w:ilvl="0" w:tentative="0">
      <w:start w:val="4"/>
      <w:numFmt w:val="chineseCounting"/>
      <w:suff w:val="space"/>
      <w:lvlText w:val="第%1章"/>
      <w:lvlJc w:val="left"/>
      <w:rPr>
        <w:rFonts w:hint="eastAsia"/>
      </w:rPr>
    </w:lvl>
  </w:abstractNum>
  <w:abstractNum w:abstractNumId="2">
    <w:nsid w:val="179A9516"/>
    <w:multiLevelType w:val="singleLevel"/>
    <w:tmpl w:val="179A9516"/>
    <w:lvl w:ilvl="0" w:tentative="0">
      <w:start w:val="4"/>
      <w:numFmt w:val="decimal"/>
      <w:suff w:val="nothing"/>
      <w:lvlText w:val="（%1）"/>
      <w:lvlJc w:val="left"/>
    </w:lvl>
  </w:abstractNum>
  <w:abstractNum w:abstractNumId="3">
    <w:nsid w:val="262694A4"/>
    <w:multiLevelType w:val="singleLevel"/>
    <w:tmpl w:val="262694A4"/>
    <w:lvl w:ilvl="0" w:tentative="0">
      <w:start w:val="1"/>
      <w:numFmt w:val="chineseCounting"/>
      <w:suff w:val="space"/>
      <w:lvlText w:val="第%1章"/>
      <w:lvlJc w:val="left"/>
      <w:rPr>
        <w:rFonts w:hint="eastAsia"/>
      </w:rPr>
    </w:lvl>
  </w:abstractNum>
  <w:abstractNum w:abstractNumId="4">
    <w:nsid w:val="2E3DCA9D"/>
    <w:multiLevelType w:val="singleLevel"/>
    <w:tmpl w:val="2E3DCA9D"/>
    <w:lvl w:ilvl="0" w:tentative="0">
      <w:start w:val="1"/>
      <w:numFmt w:val="chineseCounting"/>
      <w:suff w:val="space"/>
      <w:lvlText w:val="第%1条"/>
      <w:lvlJc w:val="left"/>
      <w:rPr>
        <w:rFonts w:hint="eastAsia"/>
      </w:rPr>
    </w:lvl>
  </w:abstractNum>
  <w:abstractNum w:abstractNumId="5">
    <w:nsid w:val="4603DC6E"/>
    <w:multiLevelType w:val="singleLevel"/>
    <w:tmpl w:val="4603DC6E"/>
    <w:lvl w:ilvl="0" w:tentative="0">
      <w:start w:val="2"/>
      <w:numFmt w:val="decimal"/>
      <w:suff w:val="nothing"/>
      <w:lvlText w:val="（%1）"/>
      <w:lvlJc w:val="left"/>
    </w:lvl>
  </w:abstractNum>
  <w:abstractNum w:abstractNumId="6">
    <w:nsid w:val="524A5894"/>
    <w:multiLevelType w:val="singleLevel"/>
    <w:tmpl w:val="524A5894"/>
    <w:lvl w:ilvl="0" w:tentative="0">
      <w:start w:val="1"/>
      <w:numFmt w:val="decimal"/>
      <w:suff w:val="nothing"/>
      <w:lvlText w:val="%1、"/>
      <w:lvlJc w:val="left"/>
    </w:lvl>
  </w:abstractNum>
  <w:abstractNum w:abstractNumId="7">
    <w:nsid w:val="59DC546A"/>
    <w:multiLevelType w:val="singleLevel"/>
    <w:tmpl w:val="59DC546A"/>
    <w:lvl w:ilvl="0" w:tentative="0">
      <w:start w:val="1"/>
      <w:numFmt w:val="decimal"/>
      <w:suff w:val="nothing"/>
      <w:lvlText w:val="（%1）"/>
      <w:lvlJc w:val="left"/>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7F"/>
    <w:rsid w:val="001D5546"/>
    <w:rsid w:val="003E41CD"/>
    <w:rsid w:val="00471A7F"/>
    <w:rsid w:val="004F1AE9"/>
    <w:rsid w:val="00545E83"/>
    <w:rsid w:val="00605518"/>
    <w:rsid w:val="00771D4B"/>
    <w:rsid w:val="007D05A4"/>
    <w:rsid w:val="008B188C"/>
    <w:rsid w:val="008E0918"/>
    <w:rsid w:val="00972737"/>
    <w:rsid w:val="00987AD2"/>
    <w:rsid w:val="009E237A"/>
    <w:rsid w:val="00B313D9"/>
    <w:rsid w:val="00C37C90"/>
    <w:rsid w:val="00D0147A"/>
    <w:rsid w:val="00D13316"/>
    <w:rsid w:val="00D370FA"/>
    <w:rsid w:val="00DD2D66"/>
    <w:rsid w:val="00E2141C"/>
    <w:rsid w:val="00E73987"/>
    <w:rsid w:val="00EA6A5E"/>
    <w:rsid w:val="00FC3920"/>
    <w:rsid w:val="014B2E5E"/>
    <w:rsid w:val="01661237"/>
    <w:rsid w:val="0175380D"/>
    <w:rsid w:val="017742F6"/>
    <w:rsid w:val="01B3537C"/>
    <w:rsid w:val="020D471A"/>
    <w:rsid w:val="02147597"/>
    <w:rsid w:val="021C21FE"/>
    <w:rsid w:val="02275CC8"/>
    <w:rsid w:val="025839ED"/>
    <w:rsid w:val="028114A0"/>
    <w:rsid w:val="02F7004C"/>
    <w:rsid w:val="031D13DF"/>
    <w:rsid w:val="03437D46"/>
    <w:rsid w:val="039D7501"/>
    <w:rsid w:val="03D32D87"/>
    <w:rsid w:val="03F575C3"/>
    <w:rsid w:val="03FE00CC"/>
    <w:rsid w:val="041A77F5"/>
    <w:rsid w:val="042135A6"/>
    <w:rsid w:val="045E2B49"/>
    <w:rsid w:val="047E6649"/>
    <w:rsid w:val="04B66365"/>
    <w:rsid w:val="057B6EA3"/>
    <w:rsid w:val="05CF1553"/>
    <w:rsid w:val="05D01809"/>
    <w:rsid w:val="05F759B8"/>
    <w:rsid w:val="06A93C31"/>
    <w:rsid w:val="07190DD8"/>
    <w:rsid w:val="077E53CD"/>
    <w:rsid w:val="07A90049"/>
    <w:rsid w:val="07C802B1"/>
    <w:rsid w:val="07D16986"/>
    <w:rsid w:val="08873D62"/>
    <w:rsid w:val="08FE3B62"/>
    <w:rsid w:val="09192CF6"/>
    <w:rsid w:val="091B1034"/>
    <w:rsid w:val="09D30BE5"/>
    <w:rsid w:val="0A0C4989"/>
    <w:rsid w:val="0A2D4847"/>
    <w:rsid w:val="0A9746E8"/>
    <w:rsid w:val="0B10722C"/>
    <w:rsid w:val="0B5727A9"/>
    <w:rsid w:val="0B9A0EA8"/>
    <w:rsid w:val="0BBA4006"/>
    <w:rsid w:val="0BF81194"/>
    <w:rsid w:val="0C1B4C1B"/>
    <w:rsid w:val="0C451BCF"/>
    <w:rsid w:val="0C545F40"/>
    <w:rsid w:val="0C8D52BB"/>
    <w:rsid w:val="0CA64CC1"/>
    <w:rsid w:val="0CA97CC2"/>
    <w:rsid w:val="0CAE38B2"/>
    <w:rsid w:val="0CC96D00"/>
    <w:rsid w:val="0CCB3E2D"/>
    <w:rsid w:val="0CD27B1C"/>
    <w:rsid w:val="0D0E0576"/>
    <w:rsid w:val="0D235D66"/>
    <w:rsid w:val="0D725F6E"/>
    <w:rsid w:val="0D9E1849"/>
    <w:rsid w:val="0DC328EE"/>
    <w:rsid w:val="0DC3680A"/>
    <w:rsid w:val="0E4654D1"/>
    <w:rsid w:val="0E707A02"/>
    <w:rsid w:val="0E854516"/>
    <w:rsid w:val="0E8C3220"/>
    <w:rsid w:val="0EB74F6E"/>
    <w:rsid w:val="0F29322F"/>
    <w:rsid w:val="0F990B42"/>
    <w:rsid w:val="0F9E028D"/>
    <w:rsid w:val="0FBE2371"/>
    <w:rsid w:val="0FEF0757"/>
    <w:rsid w:val="0FFF2C84"/>
    <w:rsid w:val="105B60CB"/>
    <w:rsid w:val="107609D5"/>
    <w:rsid w:val="10780D07"/>
    <w:rsid w:val="110235AA"/>
    <w:rsid w:val="112F2C85"/>
    <w:rsid w:val="11630326"/>
    <w:rsid w:val="11A838CF"/>
    <w:rsid w:val="120660C4"/>
    <w:rsid w:val="122826B1"/>
    <w:rsid w:val="12B314CE"/>
    <w:rsid w:val="130231F8"/>
    <w:rsid w:val="131170DC"/>
    <w:rsid w:val="13534DFE"/>
    <w:rsid w:val="13637A94"/>
    <w:rsid w:val="13DD2A04"/>
    <w:rsid w:val="14723BE6"/>
    <w:rsid w:val="148B63ED"/>
    <w:rsid w:val="14E421A6"/>
    <w:rsid w:val="15283971"/>
    <w:rsid w:val="15407F8F"/>
    <w:rsid w:val="15A80504"/>
    <w:rsid w:val="15B17314"/>
    <w:rsid w:val="169C6F6A"/>
    <w:rsid w:val="16A47325"/>
    <w:rsid w:val="16B874E5"/>
    <w:rsid w:val="16D8353F"/>
    <w:rsid w:val="172E62A3"/>
    <w:rsid w:val="177B683C"/>
    <w:rsid w:val="17800DA6"/>
    <w:rsid w:val="17E90732"/>
    <w:rsid w:val="18051D53"/>
    <w:rsid w:val="189F26F6"/>
    <w:rsid w:val="195E2B36"/>
    <w:rsid w:val="198B5D19"/>
    <w:rsid w:val="19D707EA"/>
    <w:rsid w:val="19E60739"/>
    <w:rsid w:val="19F2242F"/>
    <w:rsid w:val="1A077ED1"/>
    <w:rsid w:val="1A1B0A8D"/>
    <w:rsid w:val="1A774B7A"/>
    <w:rsid w:val="1A856D2D"/>
    <w:rsid w:val="1A893AD0"/>
    <w:rsid w:val="1AD17C70"/>
    <w:rsid w:val="1ADD64B3"/>
    <w:rsid w:val="1AE43D25"/>
    <w:rsid w:val="1B82591C"/>
    <w:rsid w:val="1BC91F31"/>
    <w:rsid w:val="1C9531CB"/>
    <w:rsid w:val="1CA20320"/>
    <w:rsid w:val="1CA233F7"/>
    <w:rsid w:val="1CCB0189"/>
    <w:rsid w:val="1D2C7A0A"/>
    <w:rsid w:val="1D310D22"/>
    <w:rsid w:val="1D4A5E98"/>
    <w:rsid w:val="1DB55174"/>
    <w:rsid w:val="1DF65287"/>
    <w:rsid w:val="1DF75438"/>
    <w:rsid w:val="1E355D69"/>
    <w:rsid w:val="1E49534D"/>
    <w:rsid w:val="1ECE4C3B"/>
    <w:rsid w:val="1F0B19DA"/>
    <w:rsid w:val="1F3D5E7C"/>
    <w:rsid w:val="1F9419DD"/>
    <w:rsid w:val="1FDE3E6E"/>
    <w:rsid w:val="20105C67"/>
    <w:rsid w:val="20270687"/>
    <w:rsid w:val="205F22A5"/>
    <w:rsid w:val="212B1795"/>
    <w:rsid w:val="215840C7"/>
    <w:rsid w:val="21B76C72"/>
    <w:rsid w:val="21E701BC"/>
    <w:rsid w:val="22123182"/>
    <w:rsid w:val="22237D88"/>
    <w:rsid w:val="22665176"/>
    <w:rsid w:val="228B5881"/>
    <w:rsid w:val="22BE30D8"/>
    <w:rsid w:val="22C13524"/>
    <w:rsid w:val="22CD19B7"/>
    <w:rsid w:val="231654A6"/>
    <w:rsid w:val="23391A1C"/>
    <w:rsid w:val="238F4829"/>
    <w:rsid w:val="23A2044D"/>
    <w:rsid w:val="23A86E16"/>
    <w:rsid w:val="23F56B1F"/>
    <w:rsid w:val="243D35C7"/>
    <w:rsid w:val="24CB515A"/>
    <w:rsid w:val="256A38CF"/>
    <w:rsid w:val="25B05999"/>
    <w:rsid w:val="2641766C"/>
    <w:rsid w:val="26E56076"/>
    <w:rsid w:val="27324CBA"/>
    <w:rsid w:val="27693113"/>
    <w:rsid w:val="27722F14"/>
    <w:rsid w:val="27791B19"/>
    <w:rsid w:val="27832366"/>
    <w:rsid w:val="27900F17"/>
    <w:rsid w:val="279D6177"/>
    <w:rsid w:val="27FE600E"/>
    <w:rsid w:val="2800531E"/>
    <w:rsid w:val="28530F5A"/>
    <w:rsid w:val="28653505"/>
    <w:rsid w:val="28771834"/>
    <w:rsid w:val="28864A5C"/>
    <w:rsid w:val="28895B16"/>
    <w:rsid w:val="288F4007"/>
    <w:rsid w:val="28D624F4"/>
    <w:rsid w:val="28D74E6B"/>
    <w:rsid w:val="28F653E2"/>
    <w:rsid w:val="290A5A0A"/>
    <w:rsid w:val="293743C5"/>
    <w:rsid w:val="29683C22"/>
    <w:rsid w:val="296E6040"/>
    <w:rsid w:val="297225B4"/>
    <w:rsid w:val="2A131A6F"/>
    <w:rsid w:val="2A7D04BB"/>
    <w:rsid w:val="2A801AED"/>
    <w:rsid w:val="2A9A292E"/>
    <w:rsid w:val="2AC66269"/>
    <w:rsid w:val="2AE64A08"/>
    <w:rsid w:val="2C0002DB"/>
    <w:rsid w:val="2C081B63"/>
    <w:rsid w:val="2C4C18A9"/>
    <w:rsid w:val="2C6D4B47"/>
    <w:rsid w:val="2C741C49"/>
    <w:rsid w:val="2CF00D7B"/>
    <w:rsid w:val="2D4A051E"/>
    <w:rsid w:val="2DC87F19"/>
    <w:rsid w:val="2DED054D"/>
    <w:rsid w:val="2EF471F2"/>
    <w:rsid w:val="2F111463"/>
    <w:rsid w:val="2F1D5E42"/>
    <w:rsid w:val="2F2B2253"/>
    <w:rsid w:val="2F654157"/>
    <w:rsid w:val="2F77527D"/>
    <w:rsid w:val="2FA44DC9"/>
    <w:rsid w:val="2FB750F3"/>
    <w:rsid w:val="2FCA661B"/>
    <w:rsid w:val="3012009E"/>
    <w:rsid w:val="30AA1BDC"/>
    <w:rsid w:val="30BF5E06"/>
    <w:rsid w:val="30D70061"/>
    <w:rsid w:val="313666C6"/>
    <w:rsid w:val="315A2A66"/>
    <w:rsid w:val="31A11E3B"/>
    <w:rsid w:val="31AD3D8F"/>
    <w:rsid w:val="31AF707C"/>
    <w:rsid w:val="31D719F2"/>
    <w:rsid w:val="31FF7FB0"/>
    <w:rsid w:val="32685EE5"/>
    <w:rsid w:val="32764907"/>
    <w:rsid w:val="32927BA9"/>
    <w:rsid w:val="32A47640"/>
    <w:rsid w:val="32A725F5"/>
    <w:rsid w:val="32AE4885"/>
    <w:rsid w:val="32BC4C12"/>
    <w:rsid w:val="32C6072A"/>
    <w:rsid w:val="32E921B3"/>
    <w:rsid w:val="3301713B"/>
    <w:rsid w:val="33AF24BE"/>
    <w:rsid w:val="33EE2624"/>
    <w:rsid w:val="340F54D5"/>
    <w:rsid w:val="342942D0"/>
    <w:rsid w:val="343A58F9"/>
    <w:rsid w:val="344125B2"/>
    <w:rsid w:val="344A7C35"/>
    <w:rsid w:val="346D16DB"/>
    <w:rsid w:val="3478496D"/>
    <w:rsid w:val="34A04EF7"/>
    <w:rsid w:val="353F2BE9"/>
    <w:rsid w:val="35A730B8"/>
    <w:rsid w:val="35AF6F0F"/>
    <w:rsid w:val="35F74147"/>
    <w:rsid w:val="362B25B9"/>
    <w:rsid w:val="3652509F"/>
    <w:rsid w:val="36577CEB"/>
    <w:rsid w:val="36B04C93"/>
    <w:rsid w:val="36BC6317"/>
    <w:rsid w:val="36D70E38"/>
    <w:rsid w:val="36F258B7"/>
    <w:rsid w:val="37426983"/>
    <w:rsid w:val="375F60FB"/>
    <w:rsid w:val="37674B9C"/>
    <w:rsid w:val="37B27C2A"/>
    <w:rsid w:val="38087235"/>
    <w:rsid w:val="383B27FA"/>
    <w:rsid w:val="387D602F"/>
    <w:rsid w:val="38A764B0"/>
    <w:rsid w:val="38F91A53"/>
    <w:rsid w:val="39700B02"/>
    <w:rsid w:val="3A125935"/>
    <w:rsid w:val="3A5D2050"/>
    <w:rsid w:val="3A74514F"/>
    <w:rsid w:val="3A85311F"/>
    <w:rsid w:val="3AAD1EAC"/>
    <w:rsid w:val="3AC83407"/>
    <w:rsid w:val="3AC96BCC"/>
    <w:rsid w:val="3AF52638"/>
    <w:rsid w:val="3B3D7ABC"/>
    <w:rsid w:val="3B7E2328"/>
    <w:rsid w:val="3B8E7A6F"/>
    <w:rsid w:val="3BD70384"/>
    <w:rsid w:val="3BE71D3C"/>
    <w:rsid w:val="3C094ABE"/>
    <w:rsid w:val="3C117B8C"/>
    <w:rsid w:val="3C2C5528"/>
    <w:rsid w:val="3CCE6985"/>
    <w:rsid w:val="3D1938AB"/>
    <w:rsid w:val="3D29037E"/>
    <w:rsid w:val="3D79659E"/>
    <w:rsid w:val="3DA67178"/>
    <w:rsid w:val="3DA952A4"/>
    <w:rsid w:val="3DA972AB"/>
    <w:rsid w:val="3DDB36D9"/>
    <w:rsid w:val="3DDC6B71"/>
    <w:rsid w:val="3E451B15"/>
    <w:rsid w:val="3E5629D9"/>
    <w:rsid w:val="3E791B61"/>
    <w:rsid w:val="3F5954AF"/>
    <w:rsid w:val="3F7C3898"/>
    <w:rsid w:val="400305DD"/>
    <w:rsid w:val="40323822"/>
    <w:rsid w:val="403E29D3"/>
    <w:rsid w:val="406E5B23"/>
    <w:rsid w:val="40962785"/>
    <w:rsid w:val="40A448CF"/>
    <w:rsid w:val="40CE1728"/>
    <w:rsid w:val="40E64E42"/>
    <w:rsid w:val="41582CFB"/>
    <w:rsid w:val="416928F1"/>
    <w:rsid w:val="416B31D3"/>
    <w:rsid w:val="417F57C9"/>
    <w:rsid w:val="419C25B3"/>
    <w:rsid w:val="41AC23D2"/>
    <w:rsid w:val="41B850D1"/>
    <w:rsid w:val="424D4F74"/>
    <w:rsid w:val="42693A1E"/>
    <w:rsid w:val="428102F6"/>
    <w:rsid w:val="42CB623B"/>
    <w:rsid w:val="42DF3732"/>
    <w:rsid w:val="42F47545"/>
    <w:rsid w:val="42F97B84"/>
    <w:rsid w:val="431B5EFE"/>
    <w:rsid w:val="43571EB1"/>
    <w:rsid w:val="437510C9"/>
    <w:rsid w:val="437B451B"/>
    <w:rsid w:val="43E64FD9"/>
    <w:rsid w:val="43EC4E48"/>
    <w:rsid w:val="44474255"/>
    <w:rsid w:val="44F331C9"/>
    <w:rsid w:val="45B33E2D"/>
    <w:rsid w:val="46C62C79"/>
    <w:rsid w:val="46CB1511"/>
    <w:rsid w:val="46E51E22"/>
    <w:rsid w:val="46E74AF1"/>
    <w:rsid w:val="47007210"/>
    <w:rsid w:val="47363549"/>
    <w:rsid w:val="478317A2"/>
    <w:rsid w:val="47AE4E88"/>
    <w:rsid w:val="481B0AA1"/>
    <w:rsid w:val="48463CF7"/>
    <w:rsid w:val="48A14C48"/>
    <w:rsid w:val="48A52BBB"/>
    <w:rsid w:val="48A827FB"/>
    <w:rsid w:val="48D73878"/>
    <w:rsid w:val="48EB4B98"/>
    <w:rsid w:val="49040EED"/>
    <w:rsid w:val="49371C72"/>
    <w:rsid w:val="49622298"/>
    <w:rsid w:val="49DE7E35"/>
    <w:rsid w:val="49F02382"/>
    <w:rsid w:val="4A3074A5"/>
    <w:rsid w:val="4A52539E"/>
    <w:rsid w:val="4A975098"/>
    <w:rsid w:val="4BA03B7E"/>
    <w:rsid w:val="4BCB0041"/>
    <w:rsid w:val="4C090449"/>
    <w:rsid w:val="4CF8600C"/>
    <w:rsid w:val="4D0D623B"/>
    <w:rsid w:val="4D203902"/>
    <w:rsid w:val="4D41297D"/>
    <w:rsid w:val="4DA37D6C"/>
    <w:rsid w:val="4DD64835"/>
    <w:rsid w:val="4E5C58CB"/>
    <w:rsid w:val="4E8C0F0C"/>
    <w:rsid w:val="4EB00753"/>
    <w:rsid w:val="4ECC7AF1"/>
    <w:rsid w:val="4EDE4020"/>
    <w:rsid w:val="4FA215E7"/>
    <w:rsid w:val="4FC81B49"/>
    <w:rsid w:val="4FF56B62"/>
    <w:rsid w:val="50160FC3"/>
    <w:rsid w:val="50422244"/>
    <w:rsid w:val="504248AE"/>
    <w:rsid w:val="50E94A3B"/>
    <w:rsid w:val="511D28C8"/>
    <w:rsid w:val="51491E18"/>
    <w:rsid w:val="515A4A02"/>
    <w:rsid w:val="516D1704"/>
    <w:rsid w:val="51731C77"/>
    <w:rsid w:val="51BC2171"/>
    <w:rsid w:val="51C24575"/>
    <w:rsid w:val="51F96FB1"/>
    <w:rsid w:val="51FB12AE"/>
    <w:rsid w:val="5285730E"/>
    <w:rsid w:val="52BA1E6F"/>
    <w:rsid w:val="52E306CA"/>
    <w:rsid w:val="52F21107"/>
    <w:rsid w:val="540111E9"/>
    <w:rsid w:val="5431227E"/>
    <w:rsid w:val="543472B7"/>
    <w:rsid w:val="552508BD"/>
    <w:rsid w:val="55A008E4"/>
    <w:rsid w:val="55AA1B8B"/>
    <w:rsid w:val="55B70772"/>
    <w:rsid w:val="55CE2601"/>
    <w:rsid w:val="561C4B8B"/>
    <w:rsid w:val="56880226"/>
    <w:rsid w:val="56CA1F2D"/>
    <w:rsid w:val="56CB3A10"/>
    <w:rsid w:val="56CD6C75"/>
    <w:rsid w:val="56E949C7"/>
    <w:rsid w:val="56F15909"/>
    <w:rsid w:val="573014FC"/>
    <w:rsid w:val="573D3D79"/>
    <w:rsid w:val="578100A7"/>
    <w:rsid w:val="57AB765D"/>
    <w:rsid w:val="57AE0E4F"/>
    <w:rsid w:val="581A0C84"/>
    <w:rsid w:val="584D44E0"/>
    <w:rsid w:val="58887ACD"/>
    <w:rsid w:val="588B2AB2"/>
    <w:rsid w:val="58925315"/>
    <w:rsid w:val="597C029D"/>
    <w:rsid w:val="59CB22B9"/>
    <w:rsid w:val="59DD468D"/>
    <w:rsid w:val="59F224E8"/>
    <w:rsid w:val="5A5B4264"/>
    <w:rsid w:val="5AD63C7A"/>
    <w:rsid w:val="5B5D6926"/>
    <w:rsid w:val="5B714553"/>
    <w:rsid w:val="5BBB78F1"/>
    <w:rsid w:val="5BDD46F2"/>
    <w:rsid w:val="5BE2773B"/>
    <w:rsid w:val="5C095BEC"/>
    <w:rsid w:val="5C4A6F5C"/>
    <w:rsid w:val="5D7C6A46"/>
    <w:rsid w:val="5DFE08F8"/>
    <w:rsid w:val="5E520C19"/>
    <w:rsid w:val="5E6909DE"/>
    <w:rsid w:val="5EB94DF3"/>
    <w:rsid w:val="5EDC375B"/>
    <w:rsid w:val="5F3D33FA"/>
    <w:rsid w:val="5F5A6DC6"/>
    <w:rsid w:val="60075FF8"/>
    <w:rsid w:val="60213FD3"/>
    <w:rsid w:val="604430A8"/>
    <w:rsid w:val="609B259F"/>
    <w:rsid w:val="60BA7D6F"/>
    <w:rsid w:val="60E350A2"/>
    <w:rsid w:val="610065B4"/>
    <w:rsid w:val="61036EB8"/>
    <w:rsid w:val="61077487"/>
    <w:rsid w:val="6129258F"/>
    <w:rsid w:val="61305C14"/>
    <w:rsid w:val="615C1991"/>
    <w:rsid w:val="6194586B"/>
    <w:rsid w:val="61F551CF"/>
    <w:rsid w:val="61FA7440"/>
    <w:rsid w:val="62127EF3"/>
    <w:rsid w:val="622003FB"/>
    <w:rsid w:val="624E5E18"/>
    <w:rsid w:val="62530887"/>
    <w:rsid w:val="62780478"/>
    <w:rsid w:val="631166DE"/>
    <w:rsid w:val="633260FC"/>
    <w:rsid w:val="633B58A1"/>
    <w:rsid w:val="634869BB"/>
    <w:rsid w:val="637577E6"/>
    <w:rsid w:val="63855735"/>
    <w:rsid w:val="63A81297"/>
    <w:rsid w:val="63FE3423"/>
    <w:rsid w:val="642035E2"/>
    <w:rsid w:val="645C05E8"/>
    <w:rsid w:val="646F1245"/>
    <w:rsid w:val="64A9379A"/>
    <w:rsid w:val="64D35F13"/>
    <w:rsid w:val="64EB3200"/>
    <w:rsid w:val="64F77026"/>
    <w:rsid w:val="652C4BF1"/>
    <w:rsid w:val="653E5892"/>
    <w:rsid w:val="656C3A32"/>
    <w:rsid w:val="657D7706"/>
    <w:rsid w:val="65862279"/>
    <w:rsid w:val="65905355"/>
    <w:rsid w:val="65B809B9"/>
    <w:rsid w:val="65DF082A"/>
    <w:rsid w:val="666077E3"/>
    <w:rsid w:val="666556B0"/>
    <w:rsid w:val="667445AD"/>
    <w:rsid w:val="66A018E0"/>
    <w:rsid w:val="671B651E"/>
    <w:rsid w:val="67384479"/>
    <w:rsid w:val="67424FD9"/>
    <w:rsid w:val="67F50476"/>
    <w:rsid w:val="68285D48"/>
    <w:rsid w:val="683C5C3D"/>
    <w:rsid w:val="68610D79"/>
    <w:rsid w:val="687878DB"/>
    <w:rsid w:val="687B3D21"/>
    <w:rsid w:val="688241D5"/>
    <w:rsid w:val="69BB0B55"/>
    <w:rsid w:val="6A39234A"/>
    <w:rsid w:val="6A412A6E"/>
    <w:rsid w:val="6A8E4C2A"/>
    <w:rsid w:val="6B4A324C"/>
    <w:rsid w:val="6B61115E"/>
    <w:rsid w:val="6B760248"/>
    <w:rsid w:val="6BC01720"/>
    <w:rsid w:val="6CC5089C"/>
    <w:rsid w:val="6CC6566B"/>
    <w:rsid w:val="6CCB2012"/>
    <w:rsid w:val="6CD12F60"/>
    <w:rsid w:val="6D4026CB"/>
    <w:rsid w:val="6DA31021"/>
    <w:rsid w:val="6DCA7DCC"/>
    <w:rsid w:val="6DCD6111"/>
    <w:rsid w:val="6DF4254C"/>
    <w:rsid w:val="6E076FB8"/>
    <w:rsid w:val="6E3957CA"/>
    <w:rsid w:val="6E635CEF"/>
    <w:rsid w:val="6E722052"/>
    <w:rsid w:val="6EB678C9"/>
    <w:rsid w:val="6EBB3CCC"/>
    <w:rsid w:val="6EE36A33"/>
    <w:rsid w:val="6F0C22C2"/>
    <w:rsid w:val="6F1D047E"/>
    <w:rsid w:val="6F3D7ACA"/>
    <w:rsid w:val="6F6C06AA"/>
    <w:rsid w:val="6F9D4784"/>
    <w:rsid w:val="6F9D6F5F"/>
    <w:rsid w:val="6FC627A3"/>
    <w:rsid w:val="6FF33B50"/>
    <w:rsid w:val="7009736D"/>
    <w:rsid w:val="701A591F"/>
    <w:rsid w:val="70326428"/>
    <w:rsid w:val="70581464"/>
    <w:rsid w:val="707E664C"/>
    <w:rsid w:val="70AB0D7B"/>
    <w:rsid w:val="70C95DAC"/>
    <w:rsid w:val="70D312C6"/>
    <w:rsid w:val="70DA2F04"/>
    <w:rsid w:val="70F93AE8"/>
    <w:rsid w:val="7151439C"/>
    <w:rsid w:val="717D297D"/>
    <w:rsid w:val="718F55B0"/>
    <w:rsid w:val="71E96190"/>
    <w:rsid w:val="71EB59B6"/>
    <w:rsid w:val="71EB6F81"/>
    <w:rsid w:val="7227588D"/>
    <w:rsid w:val="72881BBE"/>
    <w:rsid w:val="72AD670D"/>
    <w:rsid w:val="72C461B2"/>
    <w:rsid w:val="72F11FC5"/>
    <w:rsid w:val="73003305"/>
    <w:rsid w:val="734D135F"/>
    <w:rsid w:val="738848D9"/>
    <w:rsid w:val="739A67A2"/>
    <w:rsid w:val="742510C7"/>
    <w:rsid w:val="743B52B1"/>
    <w:rsid w:val="74477C3B"/>
    <w:rsid w:val="744D24A0"/>
    <w:rsid w:val="749D4D33"/>
    <w:rsid w:val="75154FB6"/>
    <w:rsid w:val="754B03C2"/>
    <w:rsid w:val="75565B81"/>
    <w:rsid w:val="755C709E"/>
    <w:rsid w:val="756C2AC9"/>
    <w:rsid w:val="75D646EA"/>
    <w:rsid w:val="76026BFB"/>
    <w:rsid w:val="761D1811"/>
    <w:rsid w:val="763C209C"/>
    <w:rsid w:val="764634A2"/>
    <w:rsid w:val="76615E56"/>
    <w:rsid w:val="766D1BD7"/>
    <w:rsid w:val="767E5EA3"/>
    <w:rsid w:val="76A90FD3"/>
    <w:rsid w:val="76EE703E"/>
    <w:rsid w:val="771F1A6E"/>
    <w:rsid w:val="77223A9F"/>
    <w:rsid w:val="7788061B"/>
    <w:rsid w:val="77E57F6A"/>
    <w:rsid w:val="78657460"/>
    <w:rsid w:val="78A42B4F"/>
    <w:rsid w:val="78B164E1"/>
    <w:rsid w:val="78D21EB5"/>
    <w:rsid w:val="78DD28CF"/>
    <w:rsid w:val="78E06F2F"/>
    <w:rsid w:val="78F25A80"/>
    <w:rsid w:val="79087B99"/>
    <w:rsid w:val="794F226C"/>
    <w:rsid w:val="796C230E"/>
    <w:rsid w:val="79A55C31"/>
    <w:rsid w:val="7AEC0398"/>
    <w:rsid w:val="7B6348A8"/>
    <w:rsid w:val="7B911076"/>
    <w:rsid w:val="7BEA3489"/>
    <w:rsid w:val="7BEB1D07"/>
    <w:rsid w:val="7BF21A83"/>
    <w:rsid w:val="7C13756E"/>
    <w:rsid w:val="7C2D44F1"/>
    <w:rsid w:val="7C7E04DF"/>
    <w:rsid w:val="7CA76321"/>
    <w:rsid w:val="7CF211D8"/>
    <w:rsid w:val="7D042837"/>
    <w:rsid w:val="7D8307D3"/>
    <w:rsid w:val="7DC476CC"/>
    <w:rsid w:val="7DE12767"/>
    <w:rsid w:val="7DE573DB"/>
    <w:rsid w:val="7E145509"/>
    <w:rsid w:val="7E1E0C0D"/>
    <w:rsid w:val="7F114F2E"/>
    <w:rsid w:val="7F832259"/>
    <w:rsid w:val="7FC0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9"/>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93"/>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119"/>
    <w:qFormat/>
    <w:uiPriority w:val="0"/>
    <w:pPr>
      <w:keepNext/>
      <w:keepLines/>
      <w:spacing w:before="240" w:after="64" w:line="320" w:lineRule="auto"/>
      <w:outlineLvl w:val="5"/>
    </w:pPr>
    <w:rPr>
      <w:rFonts w:ascii="Arial" w:hAnsi="Arial" w:eastAsia="黑体"/>
      <w:b/>
      <w:bCs/>
      <w:sz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8">
    <w:name w:val="index 8"/>
    <w:basedOn w:val="1"/>
    <w:next w:val="1"/>
    <w:qFormat/>
    <w:uiPriority w:val="0"/>
    <w:pPr>
      <w:ind w:left="2940"/>
    </w:pPr>
  </w:style>
  <w:style w:type="paragraph" w:styleId="9">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0">
    <w:name w:val="Normal Indent"/>
    <w:basedOn w:val="1"/>
    <w:link w:val="101"/>
    <w:qFormat/>
    <w:uiPriority w:val="0"/>
    <w:pPr>
      <w:ind w:firstLine="420"/>
    </w:pPr>
    <w:rPr>
      <w:szCs w:val="20"/>
    </w:rPr>
  </w:style>
  <w:style w:type="paragraph" w:styleId="11">
    <w:name w:val="Document Map"/>
    <w:basedOn w:val="1"/>
    <w:link w:val="112"/>
    <w:qFormat/>
    <w:uiPriority w:val="0"/>
    <w:rPr>
      <w:rFonts w:ascii="宋体" w:hAnsi="Tahoma"/>
      <w:sz w:val="18"/>
      <w:szCs w:val="18"/>
    </w:rPr>
  </w:style>
  <w:style w:type="paragraph" w:styleId="12">
    <w:name w:val="annotation text"/>
    <w:basedOn w:val="1"/>
    <w:link w:val="109"/>
    <w:semiHidden/>
    <w:qFormat/>
    <w:uiPriority w:val="0"/>
    <w:pPr>
      <w:jc w:val="left"/>
    </w:pPr>
  </w:style>
  <w:style w:type="paragraph" w:styleId="13">
    <w:name w:val="Body Text 3"/>
    <w:basedOn w:val="1"/>
    <w:qFormat/>
    <w:uiPriority w:val="0"/>
    <w:pPr>
      <w:spacing w:line="240" w:lineRule="exact"/>
    </w:pPr>
    <w:rPr>
      <w:rFonts w:ascii="宋体" w:hAnsi="宋体"/>
      <w:color w:val="000000"/>
      <w:szCs w:val="21"/>
    </w:rPr>
  </w:style>
  <w:style w:type="paragraph" w:styleId="14">
    <w:name w:val="Body Text"/>
    <w:basedOn w:val="1"/>
    <w:qFormat/>
    <w:uiPriority w:val="0"/>
    <w:pPr>
      <w:spacing w:line="380" w:lineRule="exact"/>
    </w:pPr>
    <w:rPr>
      <w:sz w:val="24"/>
    </w:rPr>
  </w:style>
  <w:style w:type="paragraph" w:styleId="15">
    <w:name w:val="Body Text Indent"/>
    <w:basedOn w:val="1"/>
    <w:link w:val="117"/>
    <w:qFormat/>
    <w:uiPriority w:val="0"/>
    <w:pPr>
      <w:spacing w:after="120"/>
      <w:ind w:left="420" w:leftChars="200"/>
    </w:pPr>
    <w:rPr>
      <w:rFonts w:ascii="Tahoma" w:hAnsi="Tahoma"/>
    </w:rPr>
  </w:style>
  <w:style w:type="paragraph" w:styleId="16">
    <w:name w:val="toc 3"/>
    <w:basedOn w:val="1"/>
    <w:next w:val="1"/>
    <w:qFormat/>
    <w:uiPriority w:val="39"/>
    <w:pPr>
      <w:ind w:left="840" w:leftChars="400"/>
    </w:pPr>
  </w:style>
  <w:style w:type="paragraph" w:styleId="17">
    <w:name w:val="Plain Text"/>
    <w:basedOn w:val="1"/>
    <w:next w:val="8"/>
    <w:link w:val="116"/>
    <w:qFormat/>
    <w:uiPriority w:val="0"/>
    <w:rPr>
      <w:rFonts w:ascii="宋体" w:hAnsi="Courier New"/>
      <w:szCs w:val="20"/>
    </w:rPr>
  </w:style>
  <w:style w:type="paragraph" w:styleId="18">
    <w:name w:val="Date"/>
    <w:basedOn w:val="1"/>
    <w:next w:val="1"/>
    <w:qFormat/>
    <w:uiPriority w:val="0"/>
    <w:pPr>
      <w:ind w:left="100" w:leftChars="2500"/>
    </w:pPr>
  </w:style>
  <w:style w:type="paragraph" w:styleId="19">
    <w:name w:val="Balloon Text"/>
    <w:basedOn w:val="1"/>
    <w:semiHidden/>
    <w:qFormat/>
    <w:uiPriority w:val="0"/>
    <w:rPr>
      <w:sz w:val="18"/>
      <w:szCs w:val="18"/>
    </w:rPr>
  </w:style>
  <w:style w:type="paragraph" w:styleId="20">
    <w:name w:val="footer"/>
    <w:basedOn w:val="1"/>
    <w:link w:val="107"/>
    <w:qFormat/>
    <w:uiPriority w:val="99"/>
    <w:pPr>
      <w:tabs>
        <w:tab w:val="center" w:pos="4153"/>
        <w:tab w:val="right" w:pos="8306"/>
      </w:tabs>
      <w:snapToGrid w:val="0"/>
      <w:jc w:val="left"/>
    </w:pPr>
    <w:rPr>
      <w:rFonts w:ascii="Tahoma" w:hAnsi="Tahoma"/>
      <w:sz w:val="18"/>
      <w:szCs w:val="18"/>
    </w:rPr>
  </w:style>
  <w:style w:type="paragraph" w:styleId="21">
    <w:name w:val="header"/>
    <w:basedOn w:val="1"/>
    <w:link w:val="94"/>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2">
    <w:name w:val="toc 1"/>
    <w:basedOn w:val="1"/>
    <w:next w:val="1"/>
    <w:qFormat/>
    <w:uiPriority w:val="39"/>
  </w:style>
  <w:style w:type="paragraph" w:styleId="23">
    <w:name w:val="toc 2"/>
    <w:basedOn w:val="1"/>
    <w:next w:val="1"/>
    <w:qFormat/>
    <w:uiPriority w:val="39"/>
    <w:pPr>
      <w:ind w:left="420" w:leftChars="200"/>
    </w:pPr>
  </w:style>
  <w:style w:type="paragraph" w:styleId="24">
    <w:name w:val="toc 9"/>
    <w:basedOn w:val="1"/>
    <w:next w:val="1"/>
    <w:qFormat/>
    <w:uiPriority w:val="39"/>
    <w:pPr>
      <w:ind w:left="1680"/>
      <w:jc w:val="left"/>
    </w:pPr>
    <w:rPr>
      <w:sz w:val="18"/>
      <w:szCs w:val="18"/>
    </w:rPr>
  </w:style>
  <w:style w:type="paragraph" w:styleId="25">
    <w:name w:val="List 4"/>
    <w:basedOn w:val="1"/>
    <w:unhideWhenUsed/>
    <w:qFormat/>
    <w:uiPriority w:val="99"/>
    <w:pPr>
      <w:ind w:left="100" w:leftChars="600" w:hanging="200" w:hangingChars="200"/>
      <w:contextualSpacing/>
    </w:p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7">
    <w:name w:val="annotation subject"/>
    <w:basedOn w:val="12"/>
    <w:next w:val="12"/>
    <w:semiHidden/>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rFonts w:ascii="Tahoma" w:hAnsi="Tahoma"/>
      <w:b/>
      <w:bCs/>
      <w:sz w:val="24"/>
      <w:szCs w:val="20"/>
    </w:rPr>
  </w:style>
  <w:style w:type="character" w:styleId="32">
    <w:name w:val="page number"/>
    <w:basedOn w:val="30"/>
    <w:qFormat/>
    <w:uiPriority w:val="0"/>
  </w:style>
  <w:style w:type="character" w:styleId="33">
    <w:name w:val="FollowedHyperlink"/>
    <w:unhideWhenUsed/>
    <w:qFormat/>
    <w:uiPriority w:val="99"/>
    <w:rPr>
      <w:color w:val="954F72"/>
      <w:u w:val="single"/>
    </w:rPr>
  </w:style>
  <w:style w:type="character" w:styleId="34">
    <w:name w:val="Emphasis"/>
    <w:qFormat/>
    <w:uiPriority w:val="0"/>
  </w:style>
  <w:style w:type="character" w:styleId="35">
    <w:name w:val="HTML Definition"/>
    <w:qFormat/>
    <w:uiPriority w:val="0"/>
  </w:style>
  <w:style w:type="character" w:styleId="36">
    <w:name w:val="HTML Typewriter"/>
    <w:qFormat/>
    <w:uiPriority w:val="0"/>
    <w:rPr>
      <w:rFonts w:hint="default" w:ascii="monospace" w:hAnsi="monospace" w:eastAsia="monospace" w:cs="monospace"/>
      <w:sz w:val="20"/>
    </w:rPr>
  </w:style>
  <w:style w:type="character" w:styleId="37">
    <w:name w:val="HTML Acronym"/>
    <w:basedOn w:val="30"/>
    <w:qFormat/>
    <w:uiPriority w:val="0"/>
  </w:style>
  <w:style w:type="character" w:styleId="38">
    <w:name w:val="HTML Variable"/>
    <w:qFormat/>
    <w:uiPriority w:val="0"/>
    <w:rPr>
      <w:rFonts w:ascii="Tahoma" w:hAnsi="Tahoma"/>
      <w:sz w:val="24"/>
      <w:szCs w:val="20"/>
    </w:rPr>
  </w:style>
  <w:style w:type="character" w:styleId="39">
    <w:name w:val="Hyperlink"/>
    <w:qFormat/>
    <w:uiPriority w:val="99"/>
    <w:rPr>
      <w:rFonts w:ascii="Tahoma" w:hAnsi="Tahoma"/>
      <w:color w:val="0000FF"/>
      <w:sz w:val="24"/>
      <w:szCs w:val="20"/>
      <w:u w:val="single"/>
    </w:rPr>
  </w:style>
  <w:style w:type="character" w:styleId="40">
    <w:name w:val="HTML Code"/>
    <w:qFormat/>
    <w:uiPriority w:val="0"/>
    <w:rPr>
      <w:rFonts w:ascii="monospace" w:hAnsi="monospace" w:eastAsia="monospace" w:cs="monospace"/>
      <w:sz w:val="20"/>
    </w:rPr>
  </w:style>
  <w:style w:type="character" w:styleId="41">
    <w:name w:val="annotation reference"/>
    <w:semiHidden/>
    <w:qFormat/>
    <w:uiPriority w:val="0"/>
    <w:rPr>
      <w:rFonts w:ascii="Tahoma" w:hAnsi="Tahoma"/>
      <w:sz w:val="21"/>
      <w:szCs w:val="21"/>
    </w:rPr>
  </w:style>
  <w:style w:type="character" w:styleId="42">
    <w:name w:val="HTML Cite"/>
    <w:qFormat/>
    <w:uiPriority w:val="0"/>
  </w:style>
  <w:style w:type="character" w:styleId="43">
    <w:name w:val="HTML Keyboard"/>
    <w:qFormat/>
    <w:uiPriority w:val="0"/>
    <w:rPr>
      <w:rFonts w:hint="default" w:ascii="monospace" w:hAnsi="monospace" w:eastAsia="monospace" w:cs="monospace"/>
      <w:sz w:val="20"/>
    </w:rPr>
  </w:style>
  <w:style w:type="character" w:styleId="44">
    <w:name w:val="HTML Sample"/>
    <w:qFormat/>
    <w:uiPriority w:val="0"/>
    <w:rPr>
      <w:rFonts w:hint="default" w:ascii="monospace" w:hAnsi="monospace" w:eastAsia="monospace" w:cs="monospace"/>
    </w:rPr>
  </w:style>
  <w:style w:type="paragraph" w:customStyle="1" w:styleId="4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6">
    <w:name w:val="p0"/>
    <w:basedOn w:val="1"/>
    <w:qFormat/>
    <w:uiPriority w:val="0"/>
    <w:pPr>
      <w:widowControl/>
    </w:pPr>
    <w:rPr>
      <w:kern w:val="0"/>
      <w:szCs w:val="20"/>
    </w:rPr>
  </w:style>
  <w:style w:type="paragraph" w:customStyle="1" w:styleId="47">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8">
    <w:name w:val="样式1"/>
    <w:basedOn w:val="1"/>
    <w:qFormat/>
    <w:uiPriority w:val="0"/>
    <w:pPr>
      <w:widowControl/>
      <w:jc w:val="left"/>
    </w:pPr>
    <w:rPr>
      <w:rFonts w:ascii="宋体" w:hAnsi="宋体"/>
      <w:kern w:val="0"/>
      <w:szCs w:val="21"/>
    </w:rPr>
  </w:style>
  <w:style w:type="paragraph" w:customStyle="1" w:styleId="49">
    <w:name w:val="普通(网站)1"/>
    <w:basedOn w:val="1"/>
    <w:qFormat/>
    <w:uiPriority w:val="0"/>
    <w:pPr>
      <w:jc w:val="left"/>
    </w:pPr>
    <w:rPr>
      <w:kern w:val="0"/>
      <w:sz w:val="24"/>
    </w:rPr>
  </w:style>
  <w:style w:type="paragraph" w:customStyle="1" w:styleId="50">
    <w:name w:val="1"/>
    <w:basedOn w:val="1"/>
    <w:next w:val="17"/>
    <w:qFormat/>
    <w:uiPriority w:val="0"/>
    <w:rPr>
      <w:rFonts w:ascii="宋体" w:hAnsi="Courier New"/>
      <w:szCs w:val="20"/>
    </w:rPr>
  </w:style>
  <w:style w:type="paragraph" w:customStyle="1" w:styleId="51">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2">
    <w:name w:val="CM14"/>
    <w:basedOn w:val="2"/>
    <w:next w:val="2"/>
    <w:qFormat/>
    <w:uiPriority w:val="0"/>
    <w:pPr>
      <w:spacing w:line="468" w:lineRule="atLeast"/>
    </w:pPr>
    <w:rPr>
      <w:rFonts w:ascii="Sim Sun" w:eastAsia="Sim Sun" w:cs="Times New Roman"/>
      <w:color w:val="auto"/>
    </w:rPr>
  </w:style>
  <w:style w:type="paragraph" w:customStyle="1" w:styleId="53">
    <w:name w:val="CM15"/>
    <w:basedOn w:val="2"/>
    <w:next w:val="2"/>
    <w:qFormat/>
    <w:uiPriority w:val="0"/>
    <w:pPr>
      <w:spacing w:line="468" w:lineRule="atLeast"/>
    </w:pPr>
    <w:rPr>
      <w:rFonts w:ascii="Sim Sun" w:eastAsia="Sim Sun" w:cs="Times New Roman"/>
      <w:color w:val="auto"/>
    </w:rPr>
  </w:style>
  <w:style w:type="paragraph" w:customStyle="1" w:styleId="54">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5">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6">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0">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7">
    <w:name w:val="列出段落1"/>
    <w:basedOn w:val="1"/>
    <w:link w:val="111"/>
    <w:qFormat/>
    <w:uiPriority w:val="0"/>
    <w:pPr>
      <w:ind w:firstLine="420" w:firstLineChars="200"/>
    </w:pPr>
  </w:style>
  <w:style w:type="paragraph" w:customStyle="1" w:styleId="68">
    <w:name w:val="Table Paragraph"/>
    <w:basedOn w:val="1"/>
    <w:qFormat/>
    <w:uiPriority w:val="1"/>
  </w:style>
  <w:style w:type="paragraph" w:customStyle="1" w:styleId="69">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7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2">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3">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4">
    <w:name w:val="Char Char8"/>
    <w:basedOn w:val="1"/>
    <w:qFormat/>
    <w:uiPriority w:val="0"/>
    <w:rPr>
      <w:rFonts w:ascii="Tahoma" w:hAnsi="Tahoma" w:eastAsia="Times New Roman"/>
      <w:kern w:val="0"/>
      <w:sz w:val="24"/>
      <w:szCs w:val="20"/>
    </w:rPr>
  </w:style>
  <w:style w:type="paragraph" w:customStyle="1" w:styleId="7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列出段落11"/>
    <w:basedOn w:val="1"/>
    <w:qFormat/>
    <w:uiPriority w:val="0"/>
    <w:pPr>
      <w:ind w:firstLine="420" w:firstLineChars="200"/>
    </w:pPr>
    <w:rPr>
      <w:rFonts w:ascii="仿宋_GB2312" w:eastAsia="仿宋_GB2312"/>
      <w:sz w:val="32"/>
    </w:rPr>
  </w:style>
  <w:style w:type="paragraph" w:customStyle="1" w:styleId="7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9">
    <w:name w:val="_Style 36"/>
    <w:basedOn w:val="1"/>
    <w:qFormat/>
    <w:uiPriority w:val="0"/>
    <w:rPr>
      <w:rFonts w:ascii="Tahoma" w:hAnsi="Tahoma"/>
      <w:sz w:val="24"/>
      <w:szCs w:val="20"/>
    </w:rPr>
  </w:style>
  <w:style w:type="paragraph" w:customStyle="1" w:styleId="80">
    <w:name w:val="Char Char2 Char Char"/>
    <w:basedOn w:val="1"/>
    <w:qFormat/>
    <w:uiPriority w:val="0"/>
    <w:rPr>
      <w:rFonts w:ascii="Tahoma" w:hAnsi="Tahoma"/>
      <w:sz w:val="24"/>
      <w:szCs w:val="20"/>
    </w:rPr>
  </w:style>
  <w:style w:type="paragraph" w:customStyle="1" w:styleId="8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3">
    <w:name w:val="p17"/>
    <w:basedOn w:val="1"/>
    <w:qFormat/>
    <w:uiPriority w:val="0"/>
    <w:pPr>
      <w:widowControl/>
    </w:pPr>
    <w:rPr>
      <w:rFonts w:ascii="宋体" w:hAnsi="宋体" w:cs="宋体"/>
      <w:kern w:val="0"/>
      <w:szCs w:val="21"/>
    </w:rPr>
  </w:style>
  <w:style w:type="paragraph" w:customStyle="1" w:styleId="84">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5">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6">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8">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9">
    <w:name w:val="标题 1 Char"/>
    <w:link w:val="3"/>
    <w:qFormat/>
    <w:uiPriority w:val="0"/>
    <w:rPr>
      <w:rFonts w:ascii="Tahoma" w:hAnsi="Tahoma"/>
      <w:b/>
      <w:bCs/>
      <w:kern w:val="44"/>
      <w:sz w:val="44"/>
      <w:szCs w:val="44"/>
    </w:rPr>
  </w:style>
  <w:style w:type="character" w:customStyle="1" w:styleId="90">
    <w:name w:val="main12"/>
    <w:qFormat/>
    <w:uiPriority w:val="0"/>
    <w:rPr>
      <w:rFonts w:ascii="Arial" w:hAnsi="Arial" w:cs="Arial"/>
      <w:color w:val="000000"/>
      <w:sz w:val="18"/>
      <w:szCs w:val="18"/>
    </w:rPr>
  </w:style>
  <w:style w:type="character" w:customStyle="1" w:styleId="91">
    <w:name w:val="纯文本 字符"/>
    <w:qFormat/>
    <w:uiPriority w:val="0"/>
    <w:rPr>
      <w:rFonts w:ascii="宋体" w:hAnsi="Courier New" w:eastAsia="宋体" w:cs="Courier New"/>
      <w:szCs w:val="21"/>
    </w:rPr>
  </w:style>
  <w:style w:type="character" w:customStyle="1" w:styleId="92">
    <w:name w:val="纯文本 字符2"/>
    <w:qFormat/>
    <w:uiPriority w:val="0"/>
    <w:rPr>
      <w:rFonts w:ascii="宋体" w:hAnsi="Courier New" w:eastAsia="宋体"/>
      <w:kern w:val="2"/>
      <w:sz w:val="21"/>
      <w:lang w:val="en-US" w:eastAsia="zh-CN" w:bidi="ar-SA"/>
    </w:rPr>
  </w:style>
  <w:style w:type="character" w:customStyle="1" w:styleId="93">
    <w:name w:val="标题 2 Char"/>
    <w:link w:val="4"/>
    <w:semiHidden/>
    <w:qFormat/>
    <w:uiPriority w:val="0"/>
    <w:rPr>
      <w:rFonts w:ascii="Cambria" w:hAnsi="Cambria" w:eastAsia="宋体" w:cs="Times New Roman"/>
      <w:b/>
      <w:bCs/>
      <w:kern w:val="2"/>
      <w:sz w:val="32"/>
      <w:szCs w:val="32"/>
    </w:rPr>
  </w:style>
  <w:style w:type="character" w:customStyle="1" w:styleId="94">
    <w:name w:val="页眉 Char"/>
    <w:link w:val="21"/>
    <w:qFormat/>
    <w:uiPriority w:val="99"/>
    <w:rPr>
      <w:rFonts w:ascii="Tahoma" w:hAnsi="Tahoma"/>
      <w:kern w:val="2"/>
      <w:sz w:val="18"/>
      <w:szCs w:val="18"/>
    </w:rPr>
  </w:style>
  <w:style w:type="character" w:customStyle="1" w:styleId="95">
    <w:name w:val="Char Char10"/>
    <w:qFormat/>
    <w:locked/>
    <w:uiPriority w:val="0"/>
    <w:rPr>
      <w:rFonts w:ascii="宋体" w:hAnsi="宋体" w:eastAsia="宋体"/>
      <w:kern w:val="2"/>
      <w:sz w:val="21"/>
      <w:szCs w:val="24"/>
      <w:lang w:val="en-US" w:eastAsia="zh-CN" w:bidi="ar-SA"/>
    </w:rPr>
  </w:style>
  <w:style w:type="character" w:customStyle="1" w:styleId="96">
    <w:name w:val="cfdate"/>
    <w:qFormat/>
    <w:uiPriority w:val="0"/>
    <w:rPr>
      <w:color w:val="333333"/>
      <w:sz w:val="18"/>
      <w:szCs w:val="18"/>
    </w:rPr>
  </w:style>
  <w:style w:type="character" w:customStyle="1" w:styleId="97">
    <w:name w:val="纯文本 字符1"/>
    <w:qFormat/>
    <w:uiPriority w:val="0"/>
    <w:rPr>
      <w:rFonts w:ascii="Ђˎ̥" w:hAnsi="Verdana" w:eastAsia="Ђˎ̥" w:cs="Verdana"/>
      <w:szCs w:val="21"/>
    </w:rPr>
  </w:style>
  <w:style w:type="character" w:customStyle="1" w:styleId="98">
    <w:name w:val="gjfg"/>
    <w:basedOn w:val="30"/>
    <w:qFormat/>
    <w:uiPriority w:val="0"/>
  </w:style>
  <w:style w:type="character" w:customStyle="1" w:styleId="99">
    <w:name w:val="正文文本缩进 Char"/>
    <w:qFormat/>
    <w:uiPriority w:val="0"/>
    <w:rPr>
      <w:rFonts w:ascii="Times New Roman" w:hAnsi="Times New Roman" w:eastAsia="宋体" w:cs="Times New Roman"/>
      <w:kern w:val="2"/>
      <w:sz w:val="21"/>
      <w:szCs w:val="24"/>
    </w:rPr>
  </w:style>
  <w:style w:type="character" w:customStyle="1" w:styleId="100">
    <w:name w:val="未处理的提及1"/>
    <w:unhideWhenUsed/>
    <w:qFormat/>
    <w:uiPriority w:val="99"/>
    <w:rPr>
      <w:rFonts w:ascii="Tahoma" w:hAnsi="Tahoma"/>
      <w:color w:val="808080"/>
      <w:sz w:val="24"/>
      <w:szCs w:val="20"/>
      <w:shd w:val="clear" w:color="auto" w:fill="E6E6E6"/>
    </w:rPr>
  </w:style>
  <w:style w:type="character" w:customStyle="1" w:styleId="101">
    <w:name w:val="正文缩进 Char"/>
    <w:link w:val="10"/>
    <w:qFormat/>
    <w:locked/>
    <w:uiPriority w:val="0"/>
    <w:rPr>
      <w:rFonts w:eastAsia="宋体"/>
      <w:kern w:val="2"/>
      <w:sz w:val="21"/>
      <w:lang w:val="en-US" w:eastAsia="zh-CN" w:bidi="ar-SA"/>
    </w:rPr>
  </w:style>
  <w:style w:type="character" w:customStyle="1" w:styleId="102">
    <w:name w:val="页脚 字符"/>
    <w:qFormat/>
    <w:uiPriority w:val="99"/>
  </w:style>
  <w:style w:type="character" w:customStyle="1" w:styleId="103">
    <w:name w:val="Char Char1"/>
    <w:qFormat/>
    <w:uiPriority w:val="0"/>
    <w:rPr>
      <w:rFonts w:eastAsia="宋体"/>
      <w:kern w:val="2"/>
      <w:sz w:val="21"/>
      <w:szCs w:val="24"/>
      <w:lang w:val="en-US" w:eastAsia="zh-CN" w:bidi="ar-SA"/>
    </w:rPr>
  </w:style>
  <w:style w:type="character" w:customStyle="1" w:styleId="104">
    <w:name w:val="qxdate"/>
    <w:qFormat/>
    <w:uiPriority w:val="0"/>
    <w:rPr>
      <w:color w:val="333333"/>
      <w:sz w:val="18"/>
      <w:szCs w:val="18"/>
    </w:rPr>
  </w:style>
  <w:style w:type="character" w:customStyle="1" w:styleId="105">
    <w:name w:val="fontstyle01"/>
    <w:qFormat/>
    <w:uiPriority w:val="0"/>
    <w:rPr>
      <w:rFonts w:hint="eastAsia" w:ascii="宋体" w:hAnsi="宋体" w:eastAsia="宋体"/>
      <w:color w:val="000000"/>
      <w:sz w:val="22"/>
      <w:szCs w:val="22"/>
    </w:rPr>
  </w:style>
  <w:style w:type="character" w:customStyle="1" w:styleId="106">
    <w:name w:val="redfilenumber"/>
    <w:qFormat/>
    <w:uiPriority w:val="0"/>
    <w:rPr>
      <w:color w:val="BA2636"/>
      <w:sz w:val="18"/>
      <w:szCs w:val="18"/>
    </w:rPr>
  </w:style>
  <w:style w:type="character" w:customStyle="1" w:styleId="107">
    <w:name w:val="页脚 Char"/>
    <w:link w:val="20"/>
    <w:qFormat/>
    <w:uiPriority w:val="99"/>
    <w:rPr>
      <w:rFonts w:ascii="Tahoma" w:hAnsi="Tahoma"/>
      <w:kern w:val="2"/>
      <w:sz w:val="18"/>
      <w:szCs w:val="18"/>
    </w:rPr>
  </w:style>
  <w:style w:type="character" w:customStyle="1" w:styleId="108">
    <w:name w:val="纯文本 Char"/>
    <w:qFormat/>
    <w:uiPriority w:val="0"/>
    <w:rPr>
      <w:rFonts w:ascii="宋体" w:hAnsi="Courier New" w:eastAsia="宋体"/>
    </w:rPr>
  </w:style>
  <w:style w:type="character" w:customStyle="1" w:styleId="109">
    <w:name w:val="批注文字 Char"/>
    <w:link w:val="12"/>
    <w:qFormat/>
    <w:uiPriority w:val="0"/>
    <w:rPr>
      <w:rFonts w:eastAsia="宋体"/>
      <w:kern w:val="2"/>
      <w:sz w:val="21"/>
      <w:szCs w:val="24"/>
      <w:lang w:val="en-US" w:eastAsia="zh-CN" w:bidi="ar-SA"/>
    </w:rPr>
  </w:style>
  <w:style w:type="character" w:customStyle="1" w:styleId="110">
    <w:name w:val="displayarti"/>
    <w:qFormat/>
    <w:uiPriority w:val="0"/>
    <w:rPr>
      <w:color w:val="FFFFFF"/>
      <w:shd w:val="clear" w:color="auto" w:fill="A00000"/>
    </w:rPr>
  </w:style>
  <w:style w:type="character" w:customStyle="1" w:styleId="111">
    <w:name w:val="列出段落 Char1"/>
    <w:link w:val="67"/>
    <w:qFormat/>
    <w:locked/>
    <w:uiPriority w:val="0"/>
    <w:rPr>
      <w:kern w:val="2"/>
      <w:sz w:val="21"/>
      <w:szCs w:val="24"/>
    </w:rPr>
  </w:style>
  <w:style w:type="character" w:customStyle="1" w:styleId="112">
    <w:name w:val="文档结构图 Char"/>
    <w:link w:val="11"/>
    <w:qFormat/>
    <w:uiPriority w:val="0"/>
    <w:rPr>
      <w:rFonts w:ascii="宋体" w:hAnsi="Tahoma"/>
      <w:kern w:val="2"/>
      <w:sz w:val="18"/>
      <w:szCs w:val="18"/>
    </w:rPr>
  </w:style>
  <w:style w:type="character" w:customStyle="1" w:styleId="113">
    <w:name w:val="正文缩进 Char1"/>
    <w:qFormat/>
    <w:locked/>
    <w:uiPriority w:val="0"/>
    <w:rPr>
      <w:rFonts w:eastAsia="宋体"/>
      <w:kern w:val="2"/>
      <w:sz w:val="21"/>
      <w:lang w:val="en-US" w:eastAsia="zh-CN" w:bidi="ar-SA"/>
    </w:rPr>
  </w:style>
  <w:style w:type="character" w:customStyle="1" w:styleId="114">
    <w:name w:val="普通文字 Char Char5"/>
    <w:qFormat/>
    <w:uiPriority w:val="0"/>
    <w:rPr>
      <w:rFonts w:ascii="宋体" w:hAnsi="Courier New" w:eastAsia="宋体"/>
      <w:szCs w:val="21"/>
      <w:lang w:bidi="ar-SA"/>
    </w:rPr>
  </w:style>
  <w:style w:type="character" w:customStyle="1" w:styleId="115">
    <w:name w:val="redfilefwwh"/>
    <w:qFormat/>
    <w:uiPriority w:val="0"/>
    <w:rPr>
      <w:color w:val="BA2636"/>
      <w:sz w:val="18"/>
      <w:szCs w:val="18"/>
    </w:rPr>
  </w:style>
  <w:style w:type="character" w:customStyle="1" w:styleId="116">
    <w:name w:val="纯文本 Char1"/>
    <w:link w:val="17"/>
    <w:qFormat/>
    <w:uiPriority w:val="0"/>
    <w:rPr>
      <w:rFonts w:ascii="宋体" w:hAnsi="Courier New" w:eastAsia="宋体"/>
      <w:kern w:val="2"/>
      <w:sz w:val="21"/>
      <w:szCs w:val="20"/>
      <w:lang w:val="en-US" w:eastAsia="zh-CN" w:bidi="ar-SA"/>
    </w:rPr>
  </w:style>
  <w:style w:type="character" w:customStyle="1" w:styleId="117">
    <w:name w:val="正文文本缩进 Char1"/>
    <w:link w:val="15"/>
    <w:qFormat/>
    <w:uiPriority w:val="0"/>
    <w:rPr>
      <w:rFonts w:ascii="Tahoma" w:hAnsi="Tahoma"/>
      <w:kern w:val="2"/>
      <w:sz w:val="21"/>
      <w:szCs w:val="24"/>
    </w:rPr>
  </w:style>
  <w:style w:type="character" w:customStyle="1" w:styleId="118">
    <w:name w:val="列出段落 Char"/>
    <w:qFormat/>
    <w:locked/>
    <w:uiPriority w:val="34"/>
    <w:rPr>
      <w:rFonts w:ascii="Times New Roman" w:hAnsi="Times New Roman" w:eastAsia="宋体" w:cs="Times New Roman"/>
      <w:kern w:val="0"/>
      <w:sz w:val="24"/>
      <w:szCs w:val="20"/>
    </w:rPr>
  </w:style>
  <w:style w:type="character" w:customStyle="1" w:styleId="119">
    <w:name w:val="标题 6 Char"/>
    <w:link w:val="7"/>
    <w:qFormat/>
    <w:uiPriority w:val="0"/>
    <w:rPr>
      <w:rFonts w:ascii="Arial" w:hAnsi="Arial" w:eastAsia="黑体"/>
      <w:b/>
      <w:bCs/>
      <w:kern w:val="2"/>
      <w:sz w:val="24"/>
      <w:szCs w:val="24"/>
      <w:lang w:val="en-US" w:eastAsia="zh-CN" w:bidi="ar-SA"/>
    </w:rPr>
  </w:style>
  <w:style w:type="character" w:customStyle="1" w:styleId="120">
    <w:name w:val="apple-converted-space"/>
    <w:basedOn w:val="30"/>
    <w:qFormat/>
    <w:uiPriority w:val="0"/>
  </w:style>
  <w:style w:type="paragraph" w:customStyle="1" w:styleId="121">
    <w:name w:val="正文-公1"/>
    <w:basedOn w:val="1"/>
    <w:qFormat/>
    <w:uiPriority w:val="0"/>
    <w:pPr>
      <w:ind w:firstLine="200" w:firstLineChars="200"/>
    </w:pPr>
  </w:style>
  <w:style w:type="paragraph" w:customStyle="1" w:styleId="122">
    <w:name w:val="标准文本"/>
    <w:basedOn w:val="1"/>
    <w:qFormat/>
    <w:uiPriority w:val="0"/>
    <w:pPr>
      <w:spacing w:line="360" w:lineRule="auto"/>
      <w:ind w:firstLine="480" w:firstLineChars="200"/>
    </w:pPr>
    <w:rPr>
      <w:sz w:val="24"/>
      <w:szCs w:val="20"/>
    </w:rPr>
  </w:style>
  <w:style w:type="paragraph" w:styleId="123">
    <w:name w:val="List Paragraph"/>
    <w:basedOn w:val="1"/>
    <w:unhideWhenUsed/>
    <w:qFormat/>
    <w:uiPriority w:val="99"/>
    <w:pPr>
      <w:ind w:firstLine="420" w:firstLineChars="200"/>
    </w:pPr>
  </w:style>
  <w:style w:type="character" w:customStyle="1" w:styleId="124">
    <w:name w:val="font41"/>
    <w:basedOn w:val="30"/>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94A1E-1E38-4099-A248-40D1091CAD1E}">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55</Pages>
  <Words>6900</Words>
  <Characters>39334</Characters>
  <Lines>327</Lines>
  <Paragraphs>92</Paragraphs>
  <TotalTime>6</TotalTime>
  <ScaleCrop>false</ScaleCrop>
  <LinksUpToDate>false</LinksUpToDate>
  <CharactersWithSpaces>46142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2020-03-09T21:34:00Z</dcterms:created>
  <dc:creator>微软用户</dc:creator>
  <cp:lastModifiedBy>ggzy-3</cp:lastModifiedBy>
  <cp:lastPrinted>2020-12-21T03:42:00Z</cp:lastPrinted>
  <dcterms:modified xsi:type="dcterms:W3CDTF">2020-12-21T06:52:33Z</dcterms:modified>
  <dc:title>医疗设备采购</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