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r>
        <w:rPr>
          <w:rFonts w:hint="eastAsia"/>
        </w:rPr>
        <w:t xml:space="preserve"> </w:t>
      </w:r>
    </w:p>
    <w:p>
      <w:pPr>
        <w:jc w:val="center"/>
      </w:pPr>
    </w:p>
    <w:p>
      <w:pPr>
        <w:jc w:val="center"/>
      </w:pPr>
    </w:p>
    <w:p>
      <w:pPr>
        <w:spacing w:line="600" w:lineRule="exact"/>
        <w:jc w:val="center"/>
        <w:rPr>
          <w:rFonts w:eastAsia="华文新魏"/>
          <w:b/>
          <w:sz w:val="52"/>
          <w:szCs w:val="52"/>
        </w:rPr>
      </w:pPr>
      <w:r>
        <w:rPr>
          <w:rFonts w:hint="eastAsia" w:eastAsia="华文新魏"/>
          <w:b/>
          <w:sz w:val="52"/>
          <w:szCs w:val="52"/>
        </w:rPr>
        <w:t>广西通观工程咨询有限公司</w:t>
      </w:r>
    </w:p>
    <w:p>
      <w:pPr>
        <w:spacing w:line="720" w:lineRule="exact"/>
        <w:jc w:val="center"/>
        <w:rPr>
          <w:sz w:val="52"/>
        </w:rPr>
      </w:pPr>
      <w:r>
        <w:drawing>
          <wp:anchor distT="0" distB="0" distL="114300" distR="114300" simplePos="0" relativeHeight="251661312" behindDoc="0" locked="0" layoutInCell="1" allowOverlap="1">
            <wp:simplePos x="0" y="0"/>
            <wp:positionH relativeFrom="column">
              <wp:posOffset>2847975</wp:posOffset>
            </wp:positionH>
            <wp:positionV relativeFrom="paragraph">
              <wp:posOffset>327660</wp:posOffset>
            </wp:positionV>
            <wp:extent cx="752475" cy="914400"/>
            <wp:effectExtent l="0" t="0" r="9525" b="0"/>
            <wp:wrapNone/>
            <wp:docPr id="3" name="图片 2" descr="file:///C:\Users\Administrator\AppData\Local\Temp\ksohtml1120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file:///C:\Users\Administrator\AppData\Local\Temp\ksohtml11208\wps1.jpg"/>
                    <pic:cNvPicPr>
                      <a:picLocks noChangeAspect="1"/>
                    </pic:cNvPicPr>
                  </pic:nvPicPr>
                  <pic:blipFill>
                    <a:blip r:embed="rId15" r:link="rId16" cstate="print"/>
                    <a:stretch>
                      <a:fillRect/>
                    </a:stretch>
                  </pic:blipFill>
                  <pic:spPr>
                    <a:xfrm>
                      <a:off x="0" y="0"/>
                      <a:ext cx="752475" cy="914400"/>
                    </a:xfrm>
                    <a:prstGeom prst="rect">
                      <a:avLst/>
                    </a:prstGeom>
                    <a:noFill/>
                    <a:ln w="9525">
                      <a:noFill/>
                    </a:ln>
                  </pic:spPr>
                </pic:pic>
              </a:graphicData>
            </a:graphic>
          </wp:anchor>
        </w:drawing>
      </w:r>
    </w:p>
    <w:p>
      <w:pPr>
        <w:spacing w:line="800" w:lineRule="exact"/>
        <w:jc w:val="center"/>
        <w:rPr>
          <w:sz w:val="52"/>
        </w:rPr>
      </w:pPr>
    </w:p>
    <w:p>
      <w:pPr>
        <w:spacing w:line="1000" w:lineRule="exact"/>
        <w:jc w:val="center"/>
        <w:rPr>
          <w:b/>
          <w:sz w:val="84"/>
          <w:szCs w:val="84"/>
        </w:rPr>
      </w:pPr>
    </w:p>
    <w:p>
      <w:pPr>
        <w:spacing w:line="1000" w:lineRule="exact"/>
        <w:jc w:val="center"/>
        <w:rPr>
          <w:b/>
          <w:sz w:val="84"/>
          <w:szCs w:val="84"/>
        </w:rPr>
      </w:pPr>
    </w:p>
    <w:p>
      <w:pPr>
        <w:spacing w:line="1000" w:lineRule="exact"/>
        <w:jc w:val="center"/>
        <w:rPr>
          <w:b/>
          <w:sz w:val="84"/>
          <w:szCs w:val="84"/>
        </w:rPr>
      </w:pPr>
      <w:r>
        <w:rPr>
          <w:b/>
          <w:sz w:val="84"/>
          <w:szCs w:val="84"/>
        </w:rPr>
        <w:t>竞争性磋商文件</w:t>
      </w:r>
      <w:r>
        <w:rPr>
          <w:b/>
          <w:sz w:val="84"/>
          <w:szCs w:val="84"/>
        </w:rPr>
        <w:cr/>
      </w:r>
      <w:r>
        <w:rPr>
          <w:b/>
          <w:sz w:val="84"/>
          <w:szCs w:val="84"/>
        </w:rPr>
        <w:cr/>
      </w:r>
    </w:p>
    <w:p>
      <w:pPr>
        <w:pStyle w:val="23"/>
        <w:rPr>
          <w:rFonts w:ascii="Times New Roman" w:hAnsi="Times New Roman"/>
        </w:rPr>
      </w:pPr>
    </w:p>
    <w:p>
      <w:pPr>
        <w:ind w:left="2938" w:leftChars="1066" w:hanging="700" w:hangingChars="250"/>
        <w:jc w:val="left"/>
        <w:rPr>
          <w:b/>
          <w:spacing w:val="-10"/>
          <w:sz w:val="30"/>
          <w:szCs w:val="30"/>
        </w:rPr>
      </w:pPr>
      <w:r>
        <w:rPr>
          <w:b/>
          <w:bCs/>
          <w:kern w:val="0"/>
          <w:sz w:val="28"/>
          <w:szCs w:val="28"/>
        </w:rPr>
        <w:t>项目名称：</w:t>
      </w:r>
      <w:r>
        <w:rPr>
          <w:rFonts w:hint="eastAsia"/>
          <w:b/>
          <w:bCs/>
          <w:kern w:val="0"/>
          <w:sz w:val="28"/>
          <w:szCs w:val="28"/>
        </w:rPr>
        <w:t>临桂区智能旅游系统采购项目</w:t>
      </w:r>
    </w:p>
    <w:p>
      <w:pPr>
        <w:ind w:firstLine="2520" w:firstLineChars="900"/>
        <w:jc w:val="left"/>
        <w:rPr>
          <w:b/>
          <w:bCs/>
          <w:kern w:val="0"/>
          <w:sz w:val="28"/>
          <w:szCs w:val="28"/>
        </w:rPr>
      </w:pPr>
    </w:p>
    <w:p>
      <w:pPr>
        <w:ind w:firstLine="2240" w:firstLineChars="800"/>
      </w:pPr>
      <w:r>
        <w:rPr>
          <w:b/>
          <w:bCs/>
          <w:kern w:val="0"/>
          <w:sz w:val="28"/>
          <w:szCs w:val="28"/>
        </w:rPr>
        <w:t>项目编号：</w:t>
      </w:r>
      <w:r>
        <w:rPr>
          <w:rFonts w:hint="eastAsia"/>
          <w:b/>
          <w:bCs/>
          <w:kern w:val="0"/>
          <w:sz w:val="28"/>
          <w:szCs w:val="28"/>
        </w:rPr>
        <w:t>GLZC2020-C3-120047-TGGC</w:t>
      </w:r>
      <w:r>
        <w:cr/>
      </w:r>
    </w:p>
    <w:p>
      <w:pPr>
        <w:rPr>
          <w:sz w:val="32"/>
          <w:szCs w:val="32"/>
        </w:rPr>
      </w:pPr>
    </w:p>
    <w:p>
      <w:pPr>
        <w:ind w:firstLine="1050" w:firstLineChars="500"/>
      </w:pPr>
    </w:p>
    <w:p>
      <w:pPr>
        <w:ind w:firstLine="1050" w:firstLineChars="500"/>
      </w:pPr>
    </w:p>
    <w:p>
      <w:pPr>
        <w:ind w:firstLine="1050" w:firstLineChars="500"/>
      </w:pPr>
    </w:p>
    <w:p>
      <w:pPr>
        <w:jc w:val="center"/>
        <w:rPr>
          <w:b/>
          <w:bCs/>
          <w:sz w:val="28"/>
          <w:szCs w:val="28"/>
        </w:rPr>
      </w:pPr>
      <w:r>
        <w:rPr>
          <w:b/>
          <w:bCs/>
          <w:sz w:val="28"/>
          <w:szCs w:val="28"/>
        </w:rPr>
        <w:t>采购代理机构：</w:t>
      </w:r>
      <w:r>
        <w:rPr>
          <w:rFonts w:hint="eastAsia"/>
          <w:b/>
          <w:bCs/>
          <w:sz w:val="28"/>
          <w:szCs w:val="28"/>
        </w:rPr>
        <w:t>广西通观工程咨询有限公司</w:t>
      </w:r>
    </w:p>
    <w:p>
      <w:pPr>
        <w:jc w:val="center"/>
        <w:rPr>
          <w:sz w:val="28"/>
          <w:szCs w:val="28"/>
        </w:rPr>
      </w:pPr>
      <w:r>
        <w:rPr>
          <w:b/>
          <w:sz w:val="28"/>
          <w:szCs w:val="28"/>
        </w:rPr>
        <w:t>20</w:t>
      </w:r>
      <w:r>
        <w:rPr>
          <w:rFonts w:hint="eastAsia"/>
          <w:b/>
          <w:sz w:val="28"/>
          <w:szCs w:val="28"/>
        </w:rPr>
        <w:t>20</w:t>
      </w:r>
      <w:r>
        <w:rPr>
          <w:b/>
          <w:bCs/>
          <w:sz w:val="28"/>
          <w:szCs w:val="28"/>
        </w:rPr>
        <w:t>年</w:t>
      </w:r>
      <w:r>
        <w:rPr>
          <w:rFonts w:hint="eastAsia"/>
          <w:b/>
          <w:bCs/>
          <w:sz w:val="28"/>
          <w:szCs w:val="28"/>
        </w:rPr>
        <w:t>10</w:t>
      </w:r>
      <w:r>
        <w:rPr>
          <w:b/>
          <w:sz w:val="28"/>
          <w:szCs w:val="28"/>
        </w:rPr>
        <w:t>月</w:t>
      </w:r>
    </w:p>
    <w:p/>
    <w:p>
      <w:pPr>
        <w:pStyle w:val="23"/>
        <w:spacing w:line="420" w:lineRule="exact"/>
        <w:jc w:val="center"/>
        <w:rPr>
          <w:rFonts w:ascii="Times New Roman" w:hAnsi="Times New Roman"/>
          <w:sz w:val="44"/>
        </w:rPr>
        <w:sectPr>
          <w:headerReference r:id="rId4" w:type="first"/>
          <w:footerReference r:id="rId6" w:type="first"/>
          <w:headerReference r:id="rId3" w:type="default"/>
          <w:footerReference r:id="rId5" w:type="default"/>
          <w:pgSz w:w="11906" w:h="16838"/>
          <w:pgMar w:top="1440" w:right="935" w:bottom="1440" w:left="779" w:header="851" w:footer="992" w:gutter="0"/>
          <w:pgNumType w:fmt="decimal" w:start="1"/>
          <w:cols w:space="720" w:num="1"/>
          <w:titlePg/>
          <w:docGrid w:type="linesAndChars" w:linePitch="312" w:charSpace="0"/>
        </w:sectPr>
      </w:pPr>
    </w:p>
    <w:p>
      <w:pPr>
        <w:pStyle w:val="23"/>
        <w:spacing w:line="420" w:lineRule="exact"/>
        <w:jc w:val="center"/>
        <w:rPr>
          <w:rFonts w:ascii="Times New Roman" w:hAnsi="Times New Roman"/>
          <w:sz w:val="44"/>
        </w:rPr>
      </w:pPr>
      <w:r>
        <w:rPr>
          <w:rFonts w:ascii="Times New Roman" w:hAnsi="Times New Roman"/>
          <w:sz w:val="44"/>
        </w:rPr>
        <w:t>目     录</w:t>
      </w:r>
    </w:p>
    <w:p>
      <w:pPr>
        <w:pStyle w:val="163"/>
        <w:rPr>
          <w:rFonts w:ascii="Times New Roman" w:hAnsi="Times New Roman"/>
          <w:color w:val="auto"/>
        </w:rPr>
      </w:pPr>
    </w:p>
    <w:p>
      <w:pPr>
        <w:pStyle w:val="34"/>
        <w:tabs>
          <w:tab w:val="right" w:leader="dot" w:pos="10192"/>
        </w:tabs>
        <w:spacing w:line="480" w:lineRule="auto"/>
        <w:rPr>
          <w:sz w:val="30"/>
          <w:szCs w:val="30"/>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"_Toc15567" </w:instrText>
      </w:r>
      <w:r>
        <w:fldChar w:fldCharType="separate"/>
      </w:r>
      <w:r>
        <w:rPr>
          <w:sz w:val="30"/>
          <w:szCs w:val="30"/>
        </w:rPr>
        <w:t>第一章、竞争性磋商公告</w:t>
      </w:r>
      <w:r>
        <w:rPr>
          <w:sz w:val="30"/>
          <w:szCs w:val="30"/>
        </w:rPr>
        <w:tab/>
      </w:r>
      <w:r>
        <w:rPr>
          <w:rFonts w:hint="eastAsia"/>
          <w:sz w:val="30"/>
          <w:szCs w:val="30"/>
          <w:lang w:val="en-US" w:eastAsia="zh-CN"/>
        </w:rPr>
        <w:t>2</w:t>
      </w:r>
      <w:r>
        <w:rPr>
          <w:sz w:val="30"/>
          <w:szCs w:val="30"/>
        </w:rPr>
        <w:fldChar w:fldCharType="end"/>
      </w:r>
    </w:p>
    <w:p>
      <w:pPr>
        <w:pStyle w:val="34"/>
        <w:tabs>
          <w:tab w:val="right" w:leader="dot" w:pos="10192"/>
        </w:tabs>
        <w:spacing w:line="480" w:lineRule="auto"/>
        <w:rPr>
          <w:rFonts w:hint="eastAsia" w:eastAsia="宋体"/>
          <w:sz w:val="30"/>
          <w:szCs w:val="30"/>
          <w:lang w:val="en-US" w:eastAsia="zh-CN"/>
        </w:rPr>
      </w:pPr>
      <w:r>
        <w:fldChar w:fldCharType="begin"/>
      </w:r>
      <w:r>
        <w:instrText xml:space="preserve"> HYPERLINK \l "_Toc16760" </w:instrText>
      </w:r>
      <w:r>
        <w:fldChar w:fldCharType="separate"/>
      </w:r>
      <w:r>
        <w:rPr>
          <w:sz w:val="30"/>
          <w:szCs w:val="30"/>
        </w:rPr>
        <w:t>第二章、磋商供应商须知</w:t>
      </w:r>
      <w:r>
        <w:rPr>
          <w:sz w:val="30"/>
          <w:szCs w:val="30"/>
        </w:rPr>
        <w:tab/>
      </w:r>
      <w:r>
        <w:rPr>
          <w:sz w:val="30"/>
          <w:szCs w:val="30"/>
        </w:rPr>
        <w:fldChar w:fldCharType="end"/>
      </w:r>
      <w:r>
        <w:rPr>
          <w:rFonts w:hint="eastAsia"/>
          <w:sz w:val="30"/>
          <w:szCs w:val="30"/>
          <w:lang w:val="en-US" w:eastAsia="zh-CN"/>
        </w:rPr>
        <w:t>5</w:t>
      </w:r>
    </w:p>
    <w:p>
      <w:pPr>
        <w:pStyle w:val="34"/>
        <w:tabs>
          <w:tab w:val="right" w:leader="dot" w:pos="10192"/>
        </w:tabs>
        <w:spacing w:line="480" w:lineRule="auto"/>
        <w:rPr>
          <w:rFonts w:hint="default" w:eastAsia="宋体"/>
          <w:sz w:val="30"/>
          <w:szCs w:val="30"/>
          <w:lang w:val="en-US" w:eastAsia="zh-CN"/>
        </w:rPr>
      </w:pPr>
      <w:r>
        <w:fldChar w:fldCharType="begin"/>
      </w:r>
      <w:r>
        <w:instrText xml:space="preserve"> HYPERLINK \l "_Toc686" </w:instrText>
      </w:r>
      <w:r>
        <w:fldChar w:fldCharType="separate"/>
      </w:r>
      <w:r>
        <w:rPr>
          <w:sz w:val="30"/>
          <w:szCs w:val="30"/>
        </w:rPr>
        <w:t>第三章、服务需求</w:t>
      </w:r>
      <w:r>
        <w:rPr>
          <w:sz w:val="30"/>
          <w:szCs w:val="30"/>
        </w:rPr>
        <w:tab/>
      </w:r>
      <w:r>
        <w:rPr>
          <w:sz w:val="30"/>
          <w:szCs w:val="30"/>
        </w:rPr>
        <w:fldChar w:fldCharType="end"/>
      </w:r>
      <w:r>
        <w:rPr>
          <w:rFonts w:hint="eastAsia"/>
          <w:sz w:val="30"/>
          <w:szCs w:val="30"/>
          <w:lang w:val="en-US" w:eastAsia="zh-CN"/>
        </w:rPr>
        <w:t>19</w:t>
      </w:r>
    </w:p>
    <w:p>
      <w:pPr>
        <w:pStyle w:val="34"/>
        <w:tabs>
          <w:tab w:val="right" w:leader="dot" w:pos="10192"/>
        </w:tabs>
        <w:spacing w:line="480" w:lineRule="auto"/>
        <w:rPr>
          <w:rFonts w:hint="default" w:eastAsia="宋体"/>
          <w:sz w:val="30"/>
          <w:szCs w:val="30"/>
          <w:lang w:val="en-US" w:eastAsia="zh-CN"/>
        </w:rPr>
      </w:pPr>
      <w:r>
        <w:fldChar w:fldCharType="begin"/>
      </w:r>
      <w:r>
        <w:instrText xml:space="preserve"> HYPERLINK \l "_Toc31914" </w:instrText>
      </w:r>
      <w:r>
        <w:fldChar w:fldCharType="separate"/>
      </w:r>
      <w:r>
        <w:rPr>
          <w:sz w:val="30"/>
          <w:szCs w:val="30"/>
        </w:rPr>
        <w:t>第四章、评审办法</w:t>
      </w:r>
      <w:r>
        <w:rPr>
          <w:sz w:val="30"/>
          <w:szCs w:val="30"/>
        </w:rPr>
        <w:tab/>
      </w:r>
      <w:r>
        <w:rPr>
          <w:sz w:val="30"/>
          <w:szCs w:val="30"/>
        </w:rPr>
        <w:fldChar w:fldCharType="end"/>
      </w:r>
      <w:r>
        <w:rPr>
          <w:rFonts w:hint="eastAsia"/>
          <w:sz w:val="30"/>
          <w:szCs w:val="30"/>
          <w:lang w:val="en-US" w:eastAsia="zh-CN"/>
        </w:rPr>
        <w:t>29</w:t>
      </w:r>
    </w:p>
    <w:p>
      <w:pPr>
        <w:pStyle w:val="34"/>
        <w:tabs>
          <w:tab w:val="right" w:leader="dot" w:pos="10192"/>
        </w:tabs>
        <w:spacing w:line="480" w:lineRule="auto"/>
        <w:rPr>
          <w:rFonts w:hint="default" w:eastAsia="宋体"/>
          <w:sz w:val="30"/>
          <w:szCs w:val="30"/>
          <w:lang w:val="en-US" w:eastAsia="zh-CN"/>
        </w:rPr>
      </w:pPr>
      <w:r>
        <w:fldChar w:fldCharType="begin"/>
      </w:r>
      <w:r>
        <w:instrText xml:space="preserve"> HYPERLINK \l "_Toc5200" </w:instrText>
      </w:r>
      <w:r>
        <w:fldChar w:fldCharType="separate"/>
      </w:r>
      <w:r>
        <w:rPr>
          <w:sz w:val="30"/>
          <w:szCs w:val="30"/>
        </w:rPr>
        <w:t>第五章、采购合同（合同主要条款及格式）</w:t>
      </w:r>
      <w:r>
        <w:rPr>
          <w:sz w:val="30"/>
          <w:szCs w:val="30"/>
        </w:rPr>
        <w:tab/>
      </w:r>
      <w:r>
        <w:rPr>
          <w:sz w:val="30"/>
          <w:szCs w:val="30"/>
        </w:rPr>
        <w:fldChar w:fldCharType="end"/>
      </w:r>
      <w:r>
        <w:rPr>
          <w:rFonts w:hint="eastAsia"/>
          <w:sz w:val="30"/>
          <w:szCs w:val="30"/>
          <w:lang w:val="en-US" w:eastAsia="zh-CN"/>
        </w:rPr>
        <w:t>32</w:t>
      </w:r>
    </w:p>
    <w:p>
      <w:pPr>
        <w:pStyle w:val="34"/>
        <w:tabs>
          <w:tab w:val="right" w:leader="dot" w:pos="10192"/>
        </w:tabs>
        <w:spacing w:line="480" w:lineRule="auto"/>
        <w:rPr>
          <w:rFonts w:hint="default" w:eastAsia="宋体"/>
          <w:sz w:val="30"/>
          <w:szCs w:val="30"/>
          <w:lang w:val="en-US" w:eastAsia="zh-CN"/>
        </w:rPr>
      </w:pPr>
      <w:r>
        <w:fldChar w:fldCharType="begin"/>
      </w:r>
      <w:r>
        <w:instrText xml:space="preserve"> HYPERLINK \l "_Toc16706" </w:instrText>
      </w:r>
      <w:r>
        <w:fldChar w:fldCharType="separate"/>
      </w:r>
      <w:r>
        <w:rPr>
          <w:sz w:val="30"/>
          <w:szCs w:val="30"/>
        </w:rPr>
        <w:t>第六章、响应文件格式</w:t>
      </w:r>
      <w:r>
        <w:rPr>
          <w:sz w:val="30"/>
          <w:szCs w:val="30"/>
        </w:rPr>
        <w:tab/>
      </w:r>
      <w:r>
        <w:rPr>
          <w:sz w:val="30"/>
          <w:szCs w:val="30"/>
        </w:rPr>
        <w:fldChar w:fldCharType="end"/>
      </w:r>
      <w:r>
        <w:rPr>
          <w:rFonts w:hint="eastAsia"/>
          <w:sz w:val="30"/>
          <w:szCs w:val="30"/>
          <w:lang w:val="en-US" w:eastAsia="zh-CN"/>
        </w:rPr>
        <w:t>35</w:t>
      </w:r>
    </w:p>
    <w:p>
      <w:pPr>
        <w:tabs>
          <w:tab w:val="right" w:leader="dot" w:pos="10192"/>
        </w:tabs>
        <w:spacing w:line="480" w:lineRule="auto"/>
        <w:rPr>
          <w:sz w:val="28"/>
          <w:szCs w:val="28"/>
        </w:rPr>
      </w:pPr>
      <w:r>
        <w:rPr>
          <w:bCs/>
          <w:sz w:val="28"/>
          <w:szCs w:val="28"/>
          <w:lang w:val="zh-CN"/>
        </w:rPr>
        <w:fldChar w:fldCharType="end"/>
      </w:r>
    </w:p>
    <w:p>
      <w:pPr>
        <w:pStyle w:val="23"/>
        <w:tabs>
          <w:tab w:val="left" w:pos="8860"/>
          <w:tab w:val="left" w:pos="9140"/>
        </w:tabs>
        <w:rPr>
          <w:rFonts w:ascii="Times New Roman" w:hAnsi="Times New Roman"/>
          <w:sz w:val="32"/>
        </w:rPr>
      </w:pPr>
    </w:p>
    <w:p>
      <w:pPr>
        <w:pStyle w:val="2"/>
        <w:spacing w:line="0" w:lineRule="atLeast"/>
        <w:jc w:val="center"/>
        <w:rPr>
          <w:rFonts w:ascii="Times New Roman" w:hAnsi="Times New Roman"/>
        </w:rPr>
        <w:sectPr>
          <w:footerReference r:id="rId8" w:type="first"/>
          <w:footerReference r:id="rId7" w:type="default"/>
          <w:pgSz w:w="11906" w:h="16838"/>
          <w:pgMar w:top="1440" w:right="935" w:bottom="1440" w:left="779" w:header="851" w:footer="992" w:gutter="0"/>
          <w:pgNumType w:fmt="decimal" w:start="1"/>
          <w:cols w:space="720" w:num="1"/>
          <w:titlePg/>
          <w:docGrid w:type="linesAndChars" w:linePitch="312" w:charSpace="0"/>
        </w:sectPr>
      </w:pPr>
    </w:p>
    <w:p>
      <w:pPr>
        <w:pStyle w:val="2"/>
        <w:spacing w:line="0" w:lineRule="atLeast"/>
        <w:jc w:val="center"/>
        <w:rPr>
          <w:rFonts w:ascii="Times New Roman" w:hAnsi="Times New Roman"/>
        </w:rPr>
      </w:pPr>
      <w:bookmarkStart w:id="0" w:name="_Toc9150"/>
      <w:bookmarkStart w:id="1" w:name="_Toc15567"/>
      <w:r>
        <w:rPr>
          <w:rFonts w:ascii="Times New Roman" w:hAnsi="Times New Roman"/>
        </w:rPr>
        <w:t>第一章、竞争性磋商</w:t>
      </w:r>
      <w:bookmarkEnd w:id="0"/>
      <w:bookmarkEnd w:id="1"/>
      <w:r>
        <w:rPr>
          <w:rFonts w:ascii="Times New Roman" w:hAnsi="Times New Roman"/>
        </w:rPr>
        <w:t>公告</w:t>
      </w:r>
    </w:p>
    <w:p>
      <w:bookmarkStart w:id="2" w:name="OLE_LINK9"/>
      <w:bookmarkStart w:id="3" w:name="OLE_LINK3"/>
    </w:p>
    <w:p>
      <w:bookmarkStart w:id="4" w:name="_Toc28359089"/>
      <w:bookmarkStart w:id="5" w:name="_Toc35393798"/>
      <w:bookmarkStart w:id="6" w:name="_Toc35393629"/>
      <w:bookmarkStart w:id="7" w:name="_Toc28359012"/>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sz w:val="21"/>
          <w:szCs w:val="21"/>
        </w:rPr>
      </w:pPr>
      <w:r>
        <w:rPr>
          <w:rFonts w:hint="eastAsia" w:ascii="宋体" w:hAnsi="宋体" w:eastAsia="宋体" w:cs="宋体"/>
          <w:sz w:val="21"/>
          <w:szCs w:val="21"/>
        </w:rPr>
        <w:t>项目概况</w:t>
      </w: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sz w:val="21"/>
          <w:szCs w:val="21"/>
        </w:rPr>
      </w:pPr>
      <w:r>
        <w:rPr>
          <w:rFonts w:hint="eastAsia" w:ascii="宋体" w:hAnsi="宋体" w:eastAsia="宋体" w:cs="宋体"/>
          <w:sz w:val="21"/>
          <w:szCs w:val="21"/>
          <w:u w:val="single"/>
        </w:rPr>
        <w:t xml:space="preserve"> 临桂区智能旅游系统采购项目</w:t>
      </w:r>
      <w:r>
        <w:rPr>
          <w:rFonts w:hint="eastAsia" w:ascii="宋体" w:hAnsi="宋体" w:eastAsia="宋体" w:cs="宋体"/>
          <w:sz w:val="21"/>
          <w:szCs w:val="21"/>
        </w:rPr>
        <w:t xml:space="preserve"> 的潜在供应商应应登陆http://glggzy.org.cn/gxglzbw/（桂林市公共资源交易中心网）、http://gl.zfcg.zcygov.cn/（桂林市政府采购网），从网上下载采购文件电子版，并于</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2020</w:t>
      </w:r>
      <w:r>
        <w:rPr>
          <w:rFonts w:hint="eastAsia" w:ascii="宋体" w:hAnsi="宋体" w:eastAsia="宋体" w:cs="宋体"/>
          <w:sz w:val="21"/>
          <w:szCs w:val="21"/>
          <w:u w:val="single"/>
        </w:rPr>
        <w:t xml:space="preserve"> </w:t>
      </w:r>
      <w:r>
        <w:rPr>
          <w:rFonts w:hint="eastAsia" w:ascii="宋体" w:hAnsi="宋体" w:eastAsia="宋体" w:cs="宋体"/>
          <w:bCs/>
          <w:sz w:val="21"/>
          <w:szCs w:val="21"/>
          <w:u w:val="single"/>
        </w:rPr>
        <w:t xml:space="preserve">年 </w:t>
      </w:r>
      <w:r>
        <w:rPr>
          <w:rFonts w:hint="eastAsia" w:ascii="宋体" w:hAnsi="宋体" w:cs="宋体"/>
          <w:bCs/>
          <w:sz w:val="21"/>
          <w:szCs w:val="21"/>
          <w:u w:val="single"/>
          <w:lang w:val="en-US" w:eastAsia="zh-CN"/>
        </w:rPr>
        <w:t>11</w:t>
      </w:r>
      <w:r>
        <w:rPr>
          <w:rFonts w:hint="eastAsia" w:ascii="宋体" w:hAnsi="宋体" w:eastAsia="宋体" w:cs="宋体"/>
          <w:bCs/>
          <w:sz w:val="21"/>
          <w:szCs w:val="21"/>
          <w:u w:val="single"/>
        </w:rPr>
        <w:t xml:space="preserve"> 月 </w:t>
      </w:r>
      <w:r>
        <w:rPr>
          <w:rFonts w:hint="eastAsia" w:ascii="宋体" w:hAnsi="宋体" w:cs="宋体"/>
          <w:bCs/>
          <w:sz w:val="21"/>
          <w:szCs w:val="21"/>
          <w:u w:val="single"/>
          <w:lang w:val="en-US" w:eastAsia="zh-CN"/>
        </w:rPr>
        <w:t>12</w:t>
      </w:r>
      <w:r>
        <w:rPr>
          <w:rFonts w:hint="eastAsia" w:ascii="宋体" w:hAnsi="宋体" w:eastAsia="宋体" w:cs="宋体"/>
          <w:bCs/>
          <w:sz w:val="21"/>
          <w:szCs w:val="21"/>
          <w:u w:val="single"/>
        </w:rPr>
        <w:t xml:space="preserve"> 日 </w:t>
      </w:r>
      <w:r>
        <w:rPr>
          <w:rFonts w:hint="eastAsia" w:ascii="宋体" w:hAnsi="宋体" w:cs="宋体"/>
          <w:bCs/>
          <w:sz w:val="21"/>
          <w:szCs w:val="21"/>
          <w:u w:val="single"/>
          <w:lang w:val="en-US" w:eastAsia="zh-CN"/>
        </w:rPr>
        <w:t>10时</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30</w:t>
      </w:r>
      <w:r>
        <w:rPr>
          <w:rFonts w:hint="eastAsia" w:ascii="宋体" w:hAnsi="宋体" w:eastAsia="宋体" w:cs="宋体"/>
          <w:bCs/>
          <w:sz w:val="21"/>
          <w:szCs w:val="21"/>
          <w:u w:val="single"/>
        </w:rPr>
        <w:t xml:space="preserve"> 分</w:t>
      </w:r>
      <w:r>
        <w:rPr>
          <w:rFonts w:hint="eastAsia" w:ascii="宋体" w:hAnsi="宋体" w:eastAsia="宋体" w:cs="宋体"/>
          <w:bCs/>
          <w:sz w:val="21"/>
          <w:szCs w:val="21"/>
        </w:rPr>
        <w:t>（北京时间）前提交响应文件</w:t>
      </w:r>
      <w:r>
        <w:rPr>
          <w:rFonts w:hint="eastAsia" w:ascii="宋体" w:hAnsi="宋体" w:eastAsia="宋体" w:cs="宋体"/>
          <w:sz w:val="21"/>
          <w:szCs w:val="21"/>
        </w:rPr>
        <w:t>。</w:t>
      </w:r>
    </w:p>
    <w:p>
      <w:pPr>
        <w:spacing w:line="360" w:lineRule="auto"/>
        <w:ind w:firstLine="420" w:firstLineChars="200"/>
        <w:rPr>
          <w:rFonts w:ascii="宋体" w:hAnsi="宋体" w:cs="宋体"/>
          <w:b/>
          <w:bCs/>
        </w:rPr>
      </w:pPr>
      <w:r>
        <w:rPr>
          <w:rFonts w:hint="eastAsia" w:ascii="宋体" w:hAnsi="宋体" w:cs="宋体"/>
          <w:b/>
          <w:bCs/>
        </w:rPr>
        <w:t>一、项目基本情况</w:t>
      </w:r>
      <w:bookmarkEnd w:id="4"/>
      <w:bookmarkEnd w:id="5"/>
      <w:bookmarkEnd w:id="6"/>
      <w:bookmarkEnd w:id="7"/>
    </w:p>
    <w:p>
      <w:pPr>
        <w:spacing w:line="360" w:lineRule="auto"/>
        <w:ind w:firstLine="420" w:firstLineChars="200"/>
        <w:rPr>
          <w:rFonts w:ascii="宋体" w:hAnsi="宋体" w:cs="宋体"/>
          <w:highlight w:val="none"/>
        </w:rPr>
      </w:pPr>
      <w:r>
        <w:rPr>
          <w:rFonts w:hint="eastAsia" w:ascii="宋体" w:hAnsi="宋体" w:cs="宋体"/>
          <w:highlight w:val="none"/>
        </w:rPr>
        <w:t xml:space="preserve">项目编号：GLZC2020-C3-120047-TGGC </w:t>
      </w:r>
    </w:p>
    <w:p>
      <w:pPr>
        <w:spacing w:line="360" w:lineRule="auto"/>
        <w:ind w:firstLine="420" w:firstLineChars="200"/>
        <w:rPr>
          <w:rFonts w:ascii="宋体" w:hAnsi="宋体" w:cs="宋体"/>
        </w:rPr>
      </w:pPr>
      <w:r>
        <w:rPr>
          <w:rFonts w:hint="eastAsia" w:ascii="宋体" w:hAnsi="宋体" w:cs="宋体"/>
        </w:rPr>
        <w:t>项目名称：临桂区智能旅游系统采购项目</w:t>
      </w:r>
    </w:p>
    <w:p>
      <w:pPr>
        <w:spacing w:line="360" w:lineRule="auto"/>
        <w:ind w:firstLine="420" w:firstLineChars="200"/>
        <w:rPr>
          <w:rFonts w:ascii="宋体" w:hAnsi="宋体" w:cs="宋体"/>
        </w:rPr>
      </w:pPr>
      <w:r>
        <w:rPr>
          <w:rFonts w:hint="eastAsia" w:ascii="宋体" w:hAnsi="宋体" w:cs="宋体"/>
        </w:rPr>
        <w:t xml:space="preserve">采购方式：竞争性磋商 </w:t>
      </w:r>
    </w:p>
    <w:p>
      <w:pPr>
        <w:spacing w:line="360" w:lineRule="auto"/>
        <w:ind w:firstLine="420" w:firstLineChars="200"/>
        <w:rPr>
          <w:rFonts w:ascii="宋体" w:hAnsi="宋体" w:cs="宋体"/>
          <w:b/>
          <w:bCs/>
        </w:rPr>
      </w:pPr>
      <w:r>
        <w:rPr>
          <w:rFonts w:hint="eastAsia" w:ascii="宋体" w:hAnsi="宋体" w:cs="宋体"/>
        </w:rPr>
        <w:t>预算金额（人民币）：壹佰伍拾万元整（￥1500000.00元）</w:t>
      </w:r>
    </w:p>
    <w:p>
      <w:pPr>
        <w:spacing w:line="360" w:lineRule="auto"/>
        <w:ind w:firstLine="420" w:firstLineChars="200"/>
        <w:rPr>
          <w:rFonts w:ascii="宋体" w:hAnsi="宋体" w:cs="宋体"/>
        </w:rPr>
      </w:pPr>
      <w:r>
        <w:rPr>
          <w:rFonts w:hint="eastAsia" w:ascii="宋体" w:hAnsi="宋体" w:cs="宋体"/>
        </w:rPr>
        <w:t>最高限价（如有）：与预算金额一致</w:t>
      </w:r>
    </w:p>
    <w:p>
      <w:pPr>
        <w:spacing w:line="360" w:lineRule="auto"/>
        <w:ind w:firstLine="420" w:firstLineChars="200"/>
        <w:rPr>
          <w:rFonts w:ascii="宋体" w:hAnsi="宋体" w:cs="宋体"/>
        </w:rPr>
      </w:pPr>
      <w:r>
        <w:rPr>
          <w:rFonts w:hint="eastAsia" w:ascii="宋体" w:hAnsi="宋体" w:cs="宋体"/>
        </w:rPr>
        <w:t>采购需求：</w:t>
      </w:r>
    </w:p>
    <w:tbl>
      <w:tblPr>
        <w:tblStyle w:val="44"/>
        <w:tblW w:w="10044" w:type="dxa"/>
        <w:tblInd w:w="8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85"/>
        <w:gridCol w:w="2646"/>
        <w:gridCol w:w="1005"/>
        <w:gridCol w:w="1200"/>
        <w:gridCol w:w="43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6" w:hRule="atLeast"/>
        </w:trPr>
        <w:tc>
          <w:tcPr>
            <w:tcW w:w="88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39"/>
              <w:widowControl/>
              <w:spacing w:line="340" w:lineRule="atLeast"/>
              <w:jc w:val="center"/>
            </w:pPr>
            <w:r>
              <w:rPr>
                <w:rFonts w:hint="eastAsia" w:ascii="宋体" w:hAnsi="宋体" w:eastAsia="宋体" w:cs="宋体"/>
                <w:b/>
                <w:color w:val="000000"/>
                <w:kern w:val="0"/>
                <w:sz w:val="21"/>
                <w:szCs w:val="21"/>
              </w:rPr>
              <w:t>项号</w:t>
            </w:r>
          </w:p>
        </w:tc>
        <w:tc>
          <w:tcPr>
            <w:tcW w:w="2646" w:type="dxa"/>
            <w:tcBorders>
              <w:top w:val="single" w:color="auto" w:sz="8" w:space="0"/>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pPr>
            <w:r>
              <w:rPr>
                <w:rFonts w:hint="eastAsia" w:ascii="宋体" w:hAnsi="宋体" w:eastAsia="宋体" w:cs="宋体"/>
                <w:b/>
                <w:color w:val="000000"/>
                <w:kern w:val="0"/>
              </w:rPr>
              <w:t>服务名称</w:t>
            </w:r>
          </w:p>
        </w:tc>
        <w:tc>
          <w:tcPr>
            <w:tcW w:w="1005" w:type="dxa"/>
            <w:tcBorders>
              <w:top w:val="single" w:color="auto" w:sz="8" w:space="0"/>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pPr>
            <w:r>
              <w:rPr>
                <w:rFonts w:hint="eastAsia" w:ascii="宋体" w:hAnsi="宋体" w:eastAsia="宋体" w:cs="宋体"/>
                <w:b/>
                <w:color w:val="000000"/>
                <w:kern w:val="0"/>
                <w:sz w:val="21"/>
                <w:szCs w:val="21"/>
              </w:rPr>
              <w:t>数量</w:t>
            </w:r>
          </w:p>
        </w:tc>
        <w:tc>
          <w:tcPr>
            <w:tcW w:w="1200" w:type="dxa"/>
            <w:tcBorders>
              <w:top w:val="single" w:color="auto" w:sz="8" w:space="0"/>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pPr>
            <w:r>
              <w:rPr>
                <w:rFonts w:hint="eastAsia" w:ascii="宋体" w:hAnsi="宋体" w:eastAsia="宋体" w:cs="宋体"/>
                <w:b/>
                <w:color w:val="000000"/>
                <w:kern w:val="0"/>
                <w:sz w:val="21"/>
                <w:szCs w:val="21"/>
              </w:rPr>
              <w:t>单位</w:t>
            </w:r>
          </w:p>
        </w:tc>
        <w:tc>
          <w:tcPr>
            <w:tcW w:w="4308" w:type="dxa"/>
            <w:tcBorders>
              <w:top w:val="single" w:color="auto" w:sz="8" w:space="0"/>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pPr>
            <w:r>
              <w:rPr>
                <w:rFonts w:hint="eastAsia" w:ascii="宋体" w:hAnsi="宋体" w:eastAsia="宋体" w:cs="宋体"/>
                <w:b/>
                <w:color w:val="000000"/>
                <w:kern w:val="0"/>
                <w:sz w:val="21"/>
                <w:szCs w:val="21"/>
              </w:rPr>
              <w:t>简要技术需求或服务要求等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6" w:hRule="atLeast"/>
        </w:trPr>
        <w:tc>
          <w:tcPr>
            <w:tcW w:w="88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39"/>
              <w:widowControl/>
              <w:spacing w:line="340" w:lineRule="atLeast"/>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w:t>
            </w:r>
          </w:p>
        </w:tc>
        <w:tc>
          <w:tcPr>
            <w:tcW w:w="2646" w:type="dxa"/>
            <w:tcBorders>
              <w:top w:val="single" w:color="auto" w:sz="8" w:space="0"/>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rPr>
                <w:rFonts w:hint="eastAsia" w:ascii="宋体" w:hAnsi="宋体" w:eastAsia="宋体" w:cs="宋体"/>
                <w:bCs/>
                <w:color w:val="000000"/>
                <w:kern w:val="0"/>
              </w:rPr>
            </w:pPr>
            <w:r>
              <w:rPr>
                <w:rFonts w:hint="eastAsia" w:ascii="宋体" w:hAnsi="宋体" w:eastAsia="宋体" w:cs="宋体"/>
                <w:bCs/>
                <w:color w:val="000000"/>
                <w:kern w:val="0"/>
              </w:rPr>
              <w:t>“智游临桂”微信小程序全域智慧旅游文旅融合服务平台</w:t>
            </w:r>
          </w:p>
        </w:tc>
        <w:tc>
          <w:tcPr>
            <w:tcW w:w="1005" w:type="dxa"/>
            <w:tcBorders>
              <w:top w:val="single" w:color="auto" w:sz="8" w:space="0"/>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rPr>
                <w:rFonts w:hint="eastAsia" w:ascii="宋体" w:hAnsi="宋体" w:eastAsia="宋体" w:cs="宋体"/>
                <w:b/>
                <w:color w:val="000000"/>
                <w:kern w:val="0"/>
                <w:sz w:val="21"/>
                <w:szCs w:val="21"/>
                <w:lang w:val="en-US" w:eastAsia="zh-CN"/>
              </w:rPr>
            </w:pPr>
            <w:r>
              <w:rPr>
                <w:rFonts w:hint="eastAsia" w:ascii="宋体" w:hAnsi="宋体" w:eastAsia="宋体" w:cs="宋体"/>
                <w:b/>
                <w:color w:val="000000"/>
                <w:kern w:val="0"/>
                <w:sz w:val="21"/>
                <w:szCs w:val="21"/>
                <w:lang w:val="en-US" w:eastAsia="zh-CN"/>
              </w:rPr>
              <w:t>1</w:t>
            </w:r>
          </w:p>
        </w:tc>
        <w:tc>
          <w:tcPr>
            <w:tcW w:w="1200" w:type="dxa"/>
            <w:tcBorders>
              <w:top w:val="single" w:color="auto" w:sz="8" w:space="0"/>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rPr>
                <w:rFonts w:hint="eastAsia" w:ascii="宋体" w:hAnsi="宋体" w:eastAsia="宋体" w:cs="宋体"/>
                <w:b/>
                <w:color w:val="000000"/>
                <w:kern w:val="0"/>
                <w:sz w:val="21"/>
                <w:szCs w:val="21"/>
                <w:lang w:val="en-US" w:eastAsia="zh-CN"/>
              </w:rPr>
            </w:pPr>
            <w:r>
              <w:rPr>
                <w:rFonts w:hint="eastAsia" w:ascii="宋体" w:hAnsi="宋体" w:eastAsia="宋体" w:cs="宋体"/>
                <w:b/>
                <w:color w:val="000000"/>
                <w:kern w:val="0"/>
                <w:sz w:val="21"/>
                <w:szCs w:val="21"/>
                <w:lang w:val="en-US" w:eastAsia="zh-CN"/>
              </w:rPr>
              <w:t>项</w:t>
            </w:r>
          </w:p>
        </w:tc>
        <w:tc>
          <w:tcPr>
            <w:tcW w:w="4308" w:type="dxa"/>
            <w:vMerge w:val="restart"/>
            <w:tcBorders>
              <w:left w:val="nil"/>
              <w:right w:val="single" w:color="auto" w:sz="8" w:space="0"/>
            </w:tcBorders>
            <w:tcMar>
              <w:left w:w="108" w:type="dxa"/>
              <w:right w:w="108" w:type="dxa"/>
            </w:tcMar>
            <w:vAlign w:val="center"/>
          </w:tcPr>
          <w:p>
            <w:pPr>
              <w:pStyle w:val="39"/>
              <w:widowControl/>
              <w:spacing w:line="340" w:lineRule="atLeast"/>
              <w:jc w:val="center"/>
              <w:rPr>
                <w:rFonts w:hint="eastAsia" w:ascii="宋体" w:hAnsi="宋体" w:eastAsia="宋体" w:cs="宋体"/>
                <w:color w:val="333333"/>
                <w:sz w:val="21"/>
                <w:szCs w:val="21"/>
              </w:rPr>
            </w:pPr>
            <w:r>
              <w:rPr>
                <w:rFonts w:hint="eastAsia" w:ascii="宋体" w:hAnsi="宋体" w:eastAsia="宋体" w:cs="宋体"/>
                <w:color w:val="333333"/>
                <w:sz w:val="21"/>
                <w:szCs w:val="21"/>
              </w:rPr>
              <w:t>如需进一步了解详细内容，详见竞争性磋商文件。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6" w:hRule="atLeast"/>
        </w:trPr>
        <w:tc>
          <w:tcPr>
            <w:tcW w:w="88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39"/>
              <w:widowControl/>
              <w:spacing w:line="340" w:lineRule="atLeast"/>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w:t>
            </w:r>
          </w:p>
        </w:tc>
        <w:tc>
          <w:tcPr>
            <w:tcW w:w="2646" w:type="dxa"/>
            <w:tcBorders>
              <w:top w:val="single" w:color="auto" w:sz="8" w:space="0"/>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rPr>
                <w:rFonts w:hint="eastAsia" w:ascii="宋体" w:hAnsi="宋体" w:eastAsia="宋体" w:cs="宋体"/>
                <w:bCs/>
                <w:color w:val="000000"/>
                <w:kern w:val="0"/>
              </w:rPr>
            </w:pPr>
            <w:r>
              <w:rPr>
                <w:rFonts w:hint="eastAsia" w:ascii="宋体" w:hAnsi="宋体" w:eastAsia="宋体" w:cs="宋体"/>
                <w:bCs/>
                <w:color w:val="000000"/>
                <w:kern w:val="0"/>
              </w:rPr>
              <w:t>全域全景图设计</w:t>
            </w:r>
          </w:p>
        </w:tc>
        <w:tc>
          <w:tcPr>
            <w:tcW w:w="1005" w:type="dxa"/>
            <w:tcBorders>
              <w:top w:val="single" w:color="auto" w:sz="8" w:space="0"/>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rPr>
                <w:rFonts w:hint="eastAsia" w:ascii="宋体" w:hAnsi="宋体" w:eastAsia="宋体" w:cs="宋体"/>
                <w:b/>
                <w:color w:val="000000"/>
                <w:kern w:val="0"/>
                <w:sz w:val="21"/>
                <w:szCs w:val="21"/>
                <w:lang w:val="en-US" w:eastAsia="zh-CN"/>
              </w:rPr>
            </w:pPr>
            <w:r>
              <w:rPr>
                <w:rFonts w:hint="eastAsia" w:ascii="宋体" w:hAnsi="宋体" w:eastAsia="宋体" w:cs="宋体"/>
                <w:b/>
                <w:color w:val="000000"/>
                <w:kern w:val="0"/>
                <w:sz w:val="21"/>
                <w:szCs w:val="21"/>
                <w:lang w:val="en-US" w:eastAsia="zh-CN"/>
              </w:rPr>
              <w:t>1</w:t>
            </w:r>
          </w:p>
        </w:tc>
        <w:tc>
          <w:tcPr>
            <w:tcW w:w="1200" w:type="dxa"/>
            <w:tcBorders>
              <w:top w:val="single" w:color="auto" w:sz="8" w:space="0"/>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rPr>
                <w:rFonts w:hint="eastAsia" w:ascii="宋体" w:hAnsi="宋体" w:eastAsia="宋体" w:cs="宋体"/>
                <w:b/>
                <w:color w:val="000000"/>
                <w:kern w:val="0"/>
                <w:sz w:val="21"/>
                <w:szCs w:val="21"/>
                <w:lang w:val="en-US" w:eastAsia="zh-CN"/>
              </w:rPr>
            </w:pPr>
            <w:r>
              <w:rPr>
                <w:rFonts w:hint="eastAsia" w:ascii="宋体" w:hAnsi="宋体" w:eastAsia="宋体" w:cs="宋体"/>
                <w:b/>
                <w:color w:val="000000"/>
                <w:kern w:val="0"/>
                <w:sz w:val="21"/>
                <w:szCs w:val="21"/>
                <w:lang w:val="en-US" w:eastAsia="zh-CN"/>
              </w:rPr>
              <w:t>项</w:t>
            </w:r>
          </w:p>
        </w:tc>
        <w:tc>
          <w:tcPr>
            <w:tcW w:w="4308" w:type="dxa"/>
            <w:vMerge w:val="continue"/>
            <w:tcBorders>
              <w:left w:val="nil"/>
              <w:right w:val="single" w:color="auto" w:sz="8" w:space="0"/>
            </w:tcBorders>
            <w:tcMar>
              <w:left w:w="108" w:type="dxa"/>
              <w:right w:w="108" w:type="dxa"/>
            </w:tcMar>
            <w:vAlign w:val="center"/>
          </w:tcPr>
          <w:p>
            <w:pPr>
              <w:pStyle w:val="39"/>
              <w:widowControl/>
              <w:spacing w:line="340" w:lineRule="atLeast"/>
              <w:jc w:val="center"/>
              <w:rPr>
                <w:rFonts w:hint="eastAsia" w:ascii="宋体" w:hAnsi="宋体" w:eastAsia="宋体" w:cs="宋体"/>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6" w:hRule="atLeast"/>
        </w:trPr>
        <w:tc>
          <w:tcPr>
            <w:tcW w:w="88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39"/>
              <w:widowControl/>
              <w:spacing w:line="340" w:lineRule="atLeast"/>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3</w:t>
            </w:r>
          </w:p>
        </w:tc>
        <w:tc>
          <w:tcPr>
            <w:tcW w:w="2646" w:type="dxa"/>
            <w:tcBorders>
              <w:top w:val="single" w:color="auto" w:sz="8" w:space="0"/>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rPr>
                <w:rFonts w:hint="eastAsia" w:ascii="宋体" w:hAnsi="宋体" w:eastAsia="宋体" w:cs="宋体"/>
                <w:bCs/>
                <w:color w:val="000000"/>
                <w:kern w:val="0"/>
              </w:rPr>
            </w:pPr>
            <w:r>
              <w:rPr>
                <w:rFonts w:hint="eastAsia" w:ascii="宋体" w:hAnsi="宋体" w:eastAsia="宋体" w:cs="宋体"/>
                <w:bCs/>
                <w:color w:val="000000"/>
                <w:kern w:val="0"/>
              </w:rPr>
              <w:t>核心吸引物全景导览图设计</w:t>
            </w:r>
          </w:p>
        </w:tc>
        <w:tc>
          <w:tcPr>
            <w:tcW w:w="1005" w:type="dxa"/>
            <w:tcBorders>
              <w:top w:val="single" w:color="auto" w:sz="8" w:space="0"/>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rPr>
                <w:rFonts w:hint="eastAsia" w:ascii="宋体" w:hAnsi="宋体" w:eastAsia="宋体" w:cs="宋体"/>
                <w:b/>
                <w:color w:val="000000"/>
                <w:kern w:val="0"/>
                <w:sz w:val="21"/>
                <w:szCs w:val="21"/>
                <w:lang w:val="en-US" w:eastAsia="zh-CN"/>
              </w:rPr>
            </w:pPr>
            <w:r>
              <w:rPr>
                <w:rFonts w:hint="eastAsia" w:ascii="宋体" w:hAnsi="宋体" w:eastAsia="宋体" w:cs="宋体"/>
                <w:b/>
                <w:color w:val="000000"/>
                <w:kern w:val="0"/>
                <w:sz w:val="21"/>
                <w:szCs w:val="21"/>
                <w:lang w:val="en-US" w:eastAsia="zh-CN"/>
              </w:rPr>
              <w:t>1</w:t>
            </w:r>
          </w:p>
        </w:tc>
        <w:tc>
          <w:tcPr>
            <w:tcW w:w="1200" w:type="dxa"/>
            <w:tcBorders>
              <w:top w:val="single" w:color="auto" w:sz="8" w:space="0"/>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rPr>
                <w:rFonts w:hint="eastAsia" w:ascii="宋体" w:hAnsi="宋体" w:eastAsia="宋体" w:cs="宋体"/>
                <w:b/>
                <w:color w:val="000000"/>
                <w:kern w:val="0"/>
                <w:sz w:val="21"/>
                <w:szCs w:val="21"/>
                <w:lang w:val="en-US" w:eastAsia="zh-CN"/>
              </w:rPr>
            </w:pPr>
            <w:r>
              <w:rPr>
                <w:rFonts w:hint="eastAsia" w:ascii="宋体" w:hAnsi="宋体" w:eastAsia="宋体" w:cs="宋体"/>
                <w:b/>
                <w:color w:val="000000"/>
                <w:kern w:val="0"/>
                <w:sz w:val="21"/>
                <w:szCs w:val="21"/>
                <w:lang w:val="en-US" w:eastAsia="zh-CN"/>
              </w:rPr>
              <w:t>项</w:t>
            </w:r>
          </w:p>
        </w:tc>
        <w:tc>
          <w:tcPr>
            <w:tcW w:w="4308" w:type="dxa"/>
            <w:vMerge w:val="continue"/>
            <w:tcBorders>
              <w:left w:val="nil"/>
              <w:right w:val="single" w:color="auto" w:sz="8" w:space="0"/>
            </w:tcBorders>
            <w:tcMar>
              <w:left w:w="108" w:type="dxa"/>
              <w:right w:w="108" w:type="dxa"/>
            </w:tcMar>
            <w:vAlign w:val="center"/>
          </w:tcPr>
          <w:p>
            <w:pPr>
              <w:pStyle w:val="39"/>
              <w:widowControl/>
              <w:spacing w:line="340" w:lineRule="atLeast"/>
              <w:jc w:val="center"/>
              <w:rPr>
                <w:rFonts w:hint="eastAsia" w:ascii="宋体" w:hAnsi="宋体" w:eastAsia="宋体" w:cs="宋体"/>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6" w:hRule="atLeast"/>
        </w:trPr>
        <w:tc>
          <w:tcPr>
            <w:tcW w:w="88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39"/>
              <w:widowControl/>
              <w:spacing w:line="340" w:lineRule="atLeast"/>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4</w:t>
            </w:r>
          </w:p>
        </w:tc>
        <w:tc>
          <w:tcPr>
            <w:tcW w:w="2646" w:type="dxa"/>
            <w:tcBorders>
              <w:top w:val="single" w:color="auto" w:sz="8" w:space="0"/>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rPr>
                <w:rFonts w:hint="eastAsia" w:ascii="宋体" w:hAnsi="宋体" w:eastAsia="宋体" w:cs="宋体"/>
                <w:bCs/>
                <w:color w:val="000000"/>
                <w:kern w:val="0"/>
              </w:rPr>
            </w:pPr>
            <w:r>
              <w:rPr>
                <w:rFonts w:hint="eastAsia" w:ascii="宋体" w:hAnsi="宋体" w:eastAsia="宋体" w:cs="宋体"/>
                <w:bCs/>
                <w:color w:val="000000"/>
                <w:kern w:val="0"/>
              </w:rPr>
              <w:t>电子触摸屏系统</w:t>
            </w:r>
          </w:p>
        </w:tc>
        <w:tc>
          <w:tcPr>
            <w:tcW w:w="1005" w:type="dxa"/>
            <w:tcBorders>
              <w:top w:val="single" w:color="auto" w:sz="8" w:space="0"/>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rPr>
                <w:rFonts w:hint="eastAsia" w:ascii="宋体" w:hAnsi="宋体" w:eastAsia="宋体" w:cs="宋体"/>
                <w:b/>
                <w:color w:val="000000"/>
                <w:kern w:val="0"/>
                <w:sz w:val="21"/>
                <w:szCs w:val="21"/>
                <w:lang w:val="en-US" w:eastAsia="zh-CN"/>
              </w:rPr>
            </w:pPr>
            <w:r>
              <w:rPr>
                <w:rFonts w:hint="eastAsia" w:ascii="宋体" w:hAnsi="宋体" w:eastAsia="宋体" w:cs="宋体"/>
                <w:b/>
                <w:color w:val="000000"/>
                <w:kern w:val="0"/>
                <w:sz w:val="21"/>
                <w:szCs w:val="21"/>
                <w:lang w:val="en-US" w:eastAsia="zh-CN"/>
              </w:rPr>
              <w:t>1</w:t>
            </w:r>
          </w:p>
        </w:tc>
        <w:tc>
          <w:tcPr>
            <w:tcW w:w="1200" w:type="dxa"/>
            <w:tcBorders>
              <w:top w:val="single" w:color="auto" w:sz="8" w:space="0"/>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rPr>
                <w:rFonts w:hint="eastAsia" w:ascii="宋体" w:hAnsi="宋体" w:eastAsia="宋体" w:cs="宋体"/>
                <w:b/>
                <w:color w:val="000000"/>
                <w:kern w:val="0"/>
                <w:sz w:val="21"/>
                <w:szCs w:val="21"/>
                <w:lang w:val="en-US" w:eastAsia="zh-CN"/>
              </w:rPr>
            </w:pPr>
            <w:r>
              <w:rPr>
                <w:rFonts w:hint="eastAsia" w:ascii="宋体" w:hAnsi="宋体" w:eastAsia="宋体" w:cs="宋体"/>
                <w:b/>
                <w:color w:val="000000"/>
                <w:kern w:val="0"/>
                <w:sz w:val="21"/>
                <w:szCs w:val="21"/>
                <w:lang w:val="en-US" w:eastAsia="zh-CN"/>
              </w:rPr>
              <w:t>项</w:t>
            </w:r>
          </w:p>
        </w:tc>
        <w:tc>
          <w:tcPr>
            <w:tcW w:w="4308" w:type="dxa"/>
            <w:vMerge w:val="continue"/>
            <w:tcBorders>
              <w:left w:val="nil"/>
              <w:bottom w:val="single" w:color="auto" w:sz="8" w:space="0"/>
              <w:right w:val="single" w:color="auto" w:sz="8" w:space="0"/>
            </w:tcBorders>
            <w:tcMar>
              <w:left w:w="108" w:type="dxa"/>
              <w:right w:w="108" w:type="dxa"/>
            </w:tcMar>
            <w:vAlign w:val="center"/>
          </w:tcPr>
          <w:p>
            <w:pPr>
              <w:pStyle w:val="39"/>
              <w:widowControl/>
              <w:spacing w:line="340" w:lineRule="atLeast"/>
              <w:jc w:val="center"/>
              <w:rPr>
                <w:rFonts w:hint="eastAsia" w:ascii="宋体" w:hAnsi="宋体" w:eastAsia="宋体" w:cs="宋体"/>
                <w:color w:val="333333"/>
                <w:sz w:val="21"/>
                <w:szCs w:val="21"/>
              </w:rPr>
            </w:pPr>
          </w:p>
        </w:tc>
      </w:tr>
    </w:tbl>
    <w:p>
      <w:pPr>
        <w:spacing w:line="360" w:lineRule="auto"/>
        <w:ind w:firstLine="420" w:firstLineChars="200"/>
        <w:rPr>
          <w:rFonts w:hint="eastAsia" w:ascii="宋体" w:hAnsi="宋体" w:eastAsia="宋体" w:cs="宋体"/>
          <w:highlight w:val="yellow"/>
          <w:lang w:val="en-US" w:eastAsia="zh-CN"/>
        </w:rPr>
      </w:pPr>
      <w:r>
        <w:rPr>
          <w:rFonts w:hint="eastAsia" w:ascii="宋体" w:hAnsi="宋体" w:cs="宋体"/>
        </w:rPr>
        <w:t>合同履行期限：</w:t>
      </w:r>
      <w:r>
        <w:rPr>
          <w:rFonts w:hint="eastAsia" w:ascii="宋体" w:hAnsi="宋体" w:cs="宋体"/>
          <w:lang w:val="en-US" w:eastAsia="zh-CN"/>
        </w:rPr>
        <w:t>30</w:t>
      </w:r>
      <w:r>
        <w:rPr>
          <w:rFonts w:hint="eastAsia" w:ascii="宋体" w:hAnsi="宋体" w:cs="宋体"/>
        </w:rPr>
        <w:t>日历</w:t>
      </w:r>
      <w:r>
        <w:rPr>
          <w:rFonts w:hint="eastAsia" w:ascii="宋体" w:hAnsi="宋体" w:cs="宋体"/>
          <w:lang w:val="en-US" w:eastAsia="zh-CN"/>
        </w:rPr>
        <w:t>天</w:t>
      </w:r>
      <w:bookmarkStart w:id="75" w:name="_GoBack"/>
      <w:bookmarkEnd w:id="75"/>
    </w:p>
    <w:p>
      <w:pPr>
        <w:spacing w:line="360" w:lineRule="auto"/>
        <w:ind w:firstLine="420" w:firstLineChars="200"/>
        <w:rPr>
          <w:rFonts w:ascii="宋体" w:hAnsi="宋体" w:cs="宋体"/>
        </w:rPr>
      </w:pPr>
      <w:r>
        <w:rPr>
          <w:rFonts w:hint="eastAsia" w:ascii="宋体" w:hAnsi="宋体" w:cs="宋体"/>
        </w:rPr>
        <w:t>本项目不接受联合体。</w:t>
      </w:r>
    </w:p>
    <w:p>
      <w:pPr>
        <w:spacing w:line="360" w:lineRule="auto"/>
        <w:ind w:firstLine="420" w:firstLineChars="200"/>
        <w:rPr>
          <w:rFonts w:ascii="宋体" w:hAnsi="宋体" w:cs="宋体"/>
          <w:b/>
          <w:bCs/>
        </w:rPr>
      </w:pPr>
      <w:bookmarkStart w:id="8" w:name="_Toc28359013"/>
      <w:bookmarkStart w:id="9" w:name="_Toc35393799"/>
      <w:bookmarkStart w:id="10" w:name="_Toc35393630"/>
      <w:bookmarkStart w:id="11" w:name="_Toc28359090"/>
      <w:r>
        <w:rPr>
          <w:rFonts w:hint="eastAsia" w:ascii="宋体" w:hAnsi="宋体" w:cs="宋体"/>
          <w:b/>
          <w:bCs/>
        </w:rPr>
        <w:t>二、申请人的资格要求：</w:t>
      </w:r>
      <w:bookmarkEnd w:id="8"/>
      <w:bookmarkEnd w:id="9"/>
      <w:bookmarkEnd w:id="10"/>
      <w:bookmarkEnd w:id="11"/>
    </w:p>
    <w:p>
      <w:pPr>
        <w:spacing w:line="360" w:lineRule="auto"/>
        <w:ind w:firstLine="420" w:firstLineChars="200"/>
        <w:rPr>
          <w:rFonts w:ascii="宋体" w:hAnsi="宋体" w:cs="宋体"/>
        </w:rPr>
      </w:pPr>
      <w:bookmarkStart w:id="12" w:name="_Toc35393631"/>
      <w:bookmarkStart w:id="13" w:name="_Toc28359091"/>
      <w:bookmarkStart w:id="14" w:name="_Toc28359014"/>
      <w:bookmarkStart w:id="15" w:name="_Toc35393800"/>
      <w:r>
        <w:rPr>
          <w:rFonts w:hint="eastAsia" w:ascii="宋体" w:hAnsi="宋体" w:cs="宋体"/>
        </w:rPr>
        <w:t>1.满足《中华人民共和国政府采购法》第二十二条规定；</w:t>
      </w:r>
    </w:p>
    <w:p>
      <w:pPr>
        <w:spacing w:line="360" w:lineRule="auto"/>
        <w:ind w:firstLine="420" w:firstLineChars="200"/>
        <w:rPr>
          <w:rFonts w:ascii="宋体" w:hAnsi="宋体" w:cs="宋体"/>
        </w:rPr>
      </w:pPr>
      <w:r>
        <w:rPr>
          <w:rFonts w:hint="eastAsia" w:ascii="宋体" w:hAnsi="宋体" w:cs="宋体"/>
        </w:rPr>
        <w:t>2.落实政府采购政策需满足的资格要求：</w:t>
      </w:r>
    </w:p>
    <w:p>
      <w:pPr>
        <w:spacing w:line="360" w:lineRule="auto"/>
        <w:ind w:firstLine="420" w:firstLineChars="200"/>
        <w:rPr>
          <w:rFonts w:ascii="宋体" w:hAnsi="宋体" w:cs="宋体"/>
        </w:rPr>
      </w:pPr>
      <w:r>
        <w:rPr>
          <w:rFonts w:hint="eastAsia" w:ascii="宋体" w:hAnsi="宋体" w:cs="宋体"/>
        </w:rPr>
        <w:t>（1）《政府采购促进中小企业发展暂行办法》（财库〔2011〕181号）；</w:t>
      </w:r>
    </w:p>
    <w:p>
      <w:pPr>
        <w:spacing w:line="360" w:lineRule="auto"/>
        <w:ind w:firstLine="420" w:firstLineChars="200"/>
        <w:rPr>
          <w:rFonts w:ascii="宋体" w:hAnsi="宋体" w:cs="宋体"/>
        </w:rPr>
      </w:pPr>
      <w:r>
        <w:rPr>
          <w:rFonts w:hint="eastAsia" w:ascii="宋体" w:hAnsi="宋体" w:cs="宋体"/>
        </w:rPr>
        <w:t>（2）《关于政府采购支持监狱企业发展有关问题的通知》(财库〔2014〕68号)；</w:t>
      </w:r>
    </w:p>
    <w:p>
      <w:pPr>
        <w:spacing w:line="360" w:lineRule="auto"/>
        <w:ind w:firstLine="420" w:firstLineChars="200"/>
        <w:rPr>
          <w:rFonts w:ascii="宋体" w:hAnsi="宋体" w:cs="宋体"/>
        </w:rPr>
      </w:pPr>
      <w:r>
        <w:rPr>
          <w:rFonts w:hint="eastAsia" w:ascii="宋体" w:hAnsi="宋体" w:cs="宋体"/>
        </w:rPr>
        <w:t>（3）《关于促进残疾人就业政府采购政策的通知》(财库〔2017〕141号)</w:t>
      </w:r>
    </w:p>
    <w:p>
      <w:pPr>
        <w:spacing w:line="360" w:lineRule="auto"/>
        <w:ind w:firstLine="420" w:firstLineChars="200"/>
        <w:rPr>
          <w:rFonts w:ascii="宋体" w:hAnsi="宋体" w:cs="宋体"/>
        </w:rPr>
      </w:pPr>
      <w:r>
        <w:rPr>
          <w:rFonts w:hint="eastAsia" w:ascii="宋体" w:hAnsi="宋体" w:cs="宋体"/>
        </w:rPr>
        <w:t>（4）《中华人民共和国政府采购法》、《中华人民共和国政府采购法实施条例》、《政府采购磋商采购方式管理暂行办法&gt;的通知》（财库〔2014〕214号）等相关法律法规。</w:t>
      </w:r>
    </w:p>
    <w:p>
      <w:pPr>
        <w:spacing w:line="400" w:lineRule="exact"/>
        <w:ind w:firstLine="420" w:firstLineChars="200"/>
        <w:rPr>
          <w:rFonts w:ascii="宋体" w:hAnsi="宋体" w:cs="宋体"/>
          <w:szCs w:val="21"/>
        </w:rPr>
      </w:pPr>
      <w:r>
        <w:rPr>
          <w:rFonts w:hint="eastAsia" w:ascii="宋体" w:hAnsi="宋体" w:cs="宋体"/>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40" w:lineRule="exact"/>
        <w:ind w:firstLine="480" w:firstLineChars="200"/>
        <w:rPr>
          <w:rFonts w:ascii="宋体"/>
          <w:sz w:val="24"/>
        </w:rPr>
      </w:pPr>
      <w:r>
        <w:rPr>
          <w:rFonts w:hint="eastAsia" w:ascii="宋体" w:hAnsi="宋体" w:cs="宋体"/>
          <w:sz w:val="24"/>
        </w:rPr>
        <w:t>4、供应商未被列入“信用中国”网站(www.creditchina.gov.cn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)“政府采购严重违法失信行为信息记录”中的禁止参加政府采购活动期间。（以采购代理机构于投标截止日当天在“信用中国”网站（www.creditchina.gov.cn ）及中国政府采购网查询结果为准，如相关失信记录已失效，供应商需提供相关证明资料）；</w:t>
      </w:r>
    </w:p>
    <w:p>
      <w:pPr>
        <w:spacing w:line="360" w:lineRule="auto"/>
        <w:ind w:firstLine="420" w:firstLineChars="200"/>
        <w:rPr>
          <w:rFonts w:ascii="宋体" w:hAnsi="宋体" w:cs="宋体"/>
          <w:b/>
          <w:bCs/>
        </w:rPr>
      </w:pPr>
      <w:r>
        <w:rPr>
          <w:rFonts w:hint="eastAsia" w:ascii="宋体" w:hAnsi="宋体" w:cs="宋体"/>
          <w:b/>
          <w:bCs/>
        </w:rPr>
        <w:t>三、获取采购文件</w:t>
      </w:r>
      <w:bookmarkEnd w:id="12"/>
      <w:bookmarkEnd w:id="13"/>
      <w:bookmarkEnd w:id="14"/>
      <w:bookmarkEnd w:id="15"/>
    </w:p>
    <w:p>
      <w:pPr>
        <w:spacing w:line="360" w:lineRule="auto"/>
        <w:ind w:firstLine="420" w:firstLineChars="200"/>
        <w:rPr>
          <w:rFonts w:ascii="宋体" w:hAnsi="宋体" w:cs="宋体"/>
        </w:rPr>
      </w:pPr>
      <w:r>
        <w:rPr>
          <w:rFonts w:hint="eastAsia" w:ascii="宋体" w:hAnsi="宋体" w:cs="宋体"/>
        </w:rPr>
        <w:t>时间：</w:t>
      </w:r>
      <w:r>
        <w:rPr>
          <w:rFonts w:hint="eastAsia" w:ascii="宋体" w:hAnsi="宋体" w:cs="宋体"/>
          <w:highlight w:val="yellow"/>
          <w:lang w:val="en-US" w:eastAsia="zh-CN"/>
        </w:rPr>
        <w:t>2020</w:t>
      </w:r>
      <w:r>
        <w:rPr>
          <w:rFonts w:hint="eastAsia" w:ascii="宋体" w:hAnsi="宋体" w:cs="宋体"/>
          <w:highlight w:val="yellow"/>
        </w:rPr>
        <w:t>年</w:t>
      </w:r>
      <w:r>
        <w:rPr>
          <w:rFonts w:hint="eastAsia" w:ascii="宋体" w:hAnsi="宋体" w:cs="宋体"/>
          <w:highlight w:val="yellow"/>
          <w:lang w:val="en-US" w:eastAsia="zh-CN"/>
        </w:rPr>
        <w:t>10</w:t>
      </w:r>
      <w:r>
        <w:rPr>
          <w:rFonts w:hint="eastAsia" w:ascii="宋体" w:hAnsi="宋体" w:cs="宋体"/>
          <w:highlight w:val="yellow"/>
        </w:rPr>
        <w:t xml:space="preserve"> 月 </w:t>
      </w:r>
      <w:r>
        <w:rPr>
          <w:rFonts w:hint="eastAsia" w:ascii="宋体" w:hAnsi="宋体" w:cs="宋体"/>
          <w:highlight w:val="yellow"/>
          <w:lang w:val="en-US" w:eastAsia="zh-CN"/>
        </w:rPr>
        <w:t>30</w:t>
      </w:r>
      <w:r>
        <w:rPr>
          <w:rFonts w:hint="eastAsia" w:ascii="宋体" w:hAnsi="宋体" w:cs="宋体"/>
          <w:highlight w:val="yellow"/>
        </w:rPr>
        <w:t xml:space="preserve"> 日至 </w:t>
      </w:r>
      <w:r>
        <w:rPr>
          <w:rFonts w:hint="eastAsia" w:ascii="宋体" w:hAnsi="宋体" w:cs="宋体"/>
          <w:highlight w:val="yellow"/>
          <w:lang w:val="en-US" w:eastAsia="zh-CN"/>
        </w:rPr>
        <w:t>2020</w:t>
      </w:r>
      <w:r>
        <w:rPr>
          <w:rFonts w:hint="eastAsia" w:ascii="宋体" w:hAnsi="宋体" w:cs="宋体"/>
          <w:highlight w:val="yellow"/>
        </w:rPr>
        <w:t xml:space="preserve"> 年</w:t>
      </w:r>
      <w:r>
        <w:rPr>
          <w:rFonts w:hint="eastAsia" w:ascii="宋体" w:hAnsi="宋体" w:cs="宋体"/>
          <w:highlight w:val="yellow"/>
          <w:lang w:val="en-US" w:eastAsia="zh-CN"/>
        </w:rPr>
        <w:t>11</w:t>
      </w:r>
      <w:r>
        <w:rPr>
          <w:rFonts w:hint="eastAsia" w:ascii="宋体" w:hAnsi="宋体" w:cs="宋体"/>
          <w:highlight w:val="yellow"/>
        </w:rPr>
        <w:t xml:space="preserve"> 月 </w:t>
      </w:r>
      <w:r>
        <w:rPr>
          <w:rFonts w:hint="eastAsia" w:ascii="宋体" w:hAnsi="宋体" w:cs="宋体"/>
          <w:highlight w:val="yellow"/>
          <w:lang w:val="en-US" w:eastAsia="zh-CN"/>
        </w:rPr>
        <w:t>11</w:t>
      </w:r>
      <w:r>
        <w:rPr>
          <w:rFonts w:hint="eastAsia" w:ascii="宋体" w:hAnsi="宋体" w:cs="宋体"/>
          <w:highlight w:val="yellow"/>
        </w:rPr>
        <w:t xml:space="preserve"> 日</w:t>
      </w:r>
      <w:r>
        <w:rPr>
          <w:rFonts w:hint="eastAsia" w:ascii="宋体" w:hAnsi="宋体" w:cs="宋体"/>
        </w:rPr>
        <w:t>（磋商文件的发售期限自开始之日起不得少于5个工作日，法定节假日除外 ）。</w:t>
      </w:r>
    </w:p>
    <w:p>
      <w:pPr>
        <w:spacing w:line="360" w:lineRule="auto"/>
        <w:ind w:firstLine="420" w:firstLineChars="200"/>
        <w:rPr>
          <w:rFonts w:ascii="宋体" w:hAnsi="宋体" w:cs="宋体"/>
        </w:rPr>
      </w:pPr>
      <w:r>
        <w:rPr>
          <w:rFonts w:hint="eastAsia" w:ascii="宋体" w:hAnsi="宋体" w:cs="宋体"/>
        </w:rPr>
        <w:t>地点：http://gl.zfcg.zcygov.cn/（桂林政府采购网）、http://glggzy.org.cn（桂林市公共资源交易中心网）</w:t>
      </w:r>
    </w:p>
    <w:p>
      <w:pPr>
        <w:spacing w:line="360" w:lineRule="auto"/>
        <w:ind w:firstLine="420" w:firstLineChars="200"/>
        <w:rPr>
          <w:rFonts w:ascii="宋体" w:hAnsi="宋体" w:cs="宋体"/>
        </w:rPr>
      </w:pPr>
      <w:r>
        <w:rPr>
          <w:rFonts w:hint="eastAsia" w:ascii="宋体" w:hAnsi="宋体" w:cs="宋体"/>
        </w:rPr>
        <w:t>方式：潜在供应商在竞标截止时间前登陆桂林市公共资源交易中心网（http://glggzy.org.cn）或桂林市政府采购网（http://gl.zfcg.zcygov.cn/）免费下载磋商文件电子版。</w:t>
      </w:r>
    </w:p>
    <w:p>
      <w:pPr>
        <w:spacing w:line="360" w:lineRule="auto"/>
        <w:ind w:firstLine="420" w:firstLineChars="200"/>
        <w:rPr>
          <w:rFonts w:ascii="宋体" w:hAnsi="宋体" w:cs="宋体"/>
          <w:b/>
          <w:bCs/>
        </w:rPr>
      </w:pPr>
      <w:bookmarkStart w:id="16" w:name="_Toc28359092"/>
      <w:bookmarkStart w:id="17" w:name="_Toc35393632"/>
      <w:bookmarkStart w:id="18" w:name="_Toc35393801"/>
      <w:bookmarkStart w:id="19" w:name="_Toc28359015"/>
      <w:r>
        <w:rPr>
          <w:rFonts w:hint="eastAsia" w:ascii="宋体" w:hAnsi="宋体" w:cs="宋体"/>
          <w:b/>
          <w:bCs/>
        </w:rPr>
        <w:t>四、响应文件提交</w:t>
      </w:r>
      <w:bookmarkEnd w:id="16"/>
      <w:bookmarkEnd w:id="17"/>
      <w:bookmarkEnd w:id="18"/>
      <w:bookmarkEnd w:id="19"/>
    </w:p>
    <w:p>
      <w:pPr>
        <w:spacing w:line="360" w:lineRule="auto"/>
        <w:ind w:firstLine="420" w:firstLineChars="200"/>
        <w:rPr>
          <w:rFonts w:ascii="宋体" w:hAnsi="宋体" w:cs="宋体"/>
        </w:rPr>
      </w:pPr>
      <w:r>
        <w:rPr>
          <w:rFonts w:hint="eastAsia" w:ascii="宋体" w:hAnsi="宋体" w:cs="宋体"/>
        </w:rPr>
        <w:t>截止时间：</w:t>
      </w:r>
      <w:r>
        <w:rPr>
          <w:rFonts w:hint="eastAsia" w:ascii="宋体" w:hAnsi="宋体" w:cs="宋体"/>
          <w:szCs w:val="21"/>
          <w:highlight w:val="yellow"/>
          <w:u w:val="single"/>
        </w:rPr>
        <w:t xml:space="preserve"> </w:t>
      </w:r>
      <w:r>
        <w:rPr>
          <w:rFonts w:hint="eastAsia" w:ascii="宋体" w:hAnsi="宋体" w:cs="宋体"/>
          <w:szCs w:val="21"/>
          <w:highlight w:val="yellow"/>
          <w:u w:val="single"/>
          <w:lang w:val="en-US" w:eastAsia="zh-CN"/>
        </w:rPr>
        <w:t>2020</w:t>
      </w:r>
      <w:r>
        <w:rPr>
          <w:rFonts w:hint="eastAsia" w:ascii="宋体" w:hAnsi="宋体" w:cs="宋体"/>
          <w:bCs/>
          <w:szCs w:val="21"/>
          <w:highlight w:val="yellow"/>
          <w:u w:val="single"/>
        </w:rPr>
        <w:t xml:space="preserve">年 </w:t>
      </w:r>
      <w:r>
        <w:rPr>
          <w:rFonts w:hint="eastAsia" w:ascii="宋体" w:hAnsi="宋体" w:cs="宋体"/>
          <w:bCs/>
          <w:szCs w:val="21"/>
          <w:highlight w:val="yellow"/>
          <w:u w:val="single"/>
          <w:lang w:val="en-US" w:eastAsia="zh-CN"/>
        </w:rPr>
        <w:t>11</w:t>
      </w:r>
      <w:r>
        <w:rPr>
          <w:rFonts w:hint="eastAsia" w:ascii="宋体" w:hAnsi="宋体" w:cs="宋体"/>
          <w:bCs/>
          <w:szCs w:val="21"/>
          <w:highlight w:val="yellow"/>
          <w:u w:val="single"/>
        </w:rPr>
        <w:t xml:space="preserve">月 </w:t>
      </w:r>
      <w:r>
        <w:rPr>
          <w:rFonts w:hint="eastAsia" w:ascii="宋体" w:hAnsi="宋体" w:cs="宋体"/>
          <w:bCs/>
          <w:szCs w:val="21"/>
          <w:highlight w:val="yellow"/>
          <w:u w:val="single"/>
          <w:lang w:val="en-US" w:eastAsia="zh-CN"/>
        </w:rPr>
        <w:t>12</w:t>
      </w:r>
      <w:r>
        <w:rPr>
          <w:rFonts w:hint="eastAsia" w:ascii="宋体" w:hAnsi="宋体" w:cs="宋体"/>
          <w:bCs/>
          <w:szCs w:val="21"/>
          <w:highlight w:val="yellow"/>
          <w:u w:val="single"/>
        </w:rPr>
        <w:t xml:space="preserve"> 日 </w:t>
      </w:r>
      <w:r>
        <w:rPr>
          <w:rFonts w:hint="eastAsia" w:ascii="宋体" w:hAnsi="宋体" w:cs="宋体"/>
          <w:bCs/>
          <w:szCs w:val="21"/>
          <w:highlight w:val="yellow"/>
          <w:u w:val="single"/>
          <w:lang w:val="en-US" w:eastAsia="zh-CN"/>
        </w:rPr>
        <w:t>10时30</w:t>
      </w:r>
      <w:r>
        <w:rPr>
          <w:rFonts w:hint="eastAsia" w:ascii="宋体" w:hAnsi="宋体" w:cs="宋体"/>
          <w:bCs/>
          <w:szCs w:val="21"/>
          <w:highlight w:val="yellow"/>
          <w:u w:val="single"/>
        </w:rPr>
        <w:t>分</w:t>
      </w:r>
      <w:r>
        <w:rPr>
          <w:rFonts w:hint="eastAsia" w:ascii="宋体" w:hAnsi="宋体" w:cs="宋体"/>
        </w:rPr>
        <w:t>（北京时间）</w:t>
      </w:r>
    </w:p>
    <w:p>
      <w:pPr>
        <w:spacing w:line="360" w:lineRule="auto"/>
        <w:ind w:firstLine="420" w:firstLineChars="200"/>
        <w:rPr>
          <w:rFonts w:ascii="宋体" w:hAnsi="宋体" w:cs="宋体"/>
        </w:rPr>
      </w:pPr>
      <w:r>
        <w:rPr>
          <w:rFonts w:hint="eastAsia" w:ascii="宋体" w:hAnsi="宋体" w:cs="宋体"/>
        </w:rPr>
        <w:t xml:space="preserve">地点：桂林市公共资源交易中心 </w:t>
      </w:r>
      <w:r>
        <w:rPr>
          <w:rFonts w:hint="eastAsia" w:ascii="宋体" w:hAnsi="宋体" w:cs="宋体"/>
          <w:lang w:val="en-US" w:eastAsia="zh-CN"/>
        </w:rPr>
        <w:t>2</w:t>
      </w:r>
      <w:r>
        <w:rPr>
          <w:rFonts w:hint="eastAsia" w:ascii="宋体" w:hAnsi="宋体" w:cs="宋体"/>
        </w:rPr>
        <w:t xml:space="preserve"> 号开标室（广西桂林市临桂区西城中路69号创业大厦西辅楼4楼北区）</w:t>
      </w:r>
    </w:p>
    <w:p>
      <w:pPr>
        <w:spacing w:line="360" w:lineRule="auto"/>
        <w:ind w:firstLine="420" w:firstLineChars="200"/>
        <w:rPr>
          <w:rFonts w:ascii="宋体" w:hAnsi="宋体" w:cs="宋体"/>
        </w:rPr>
      </w:pPr>
      <w:bookmarkStart w:id="20" w:name="_Toc28359093"/>
      <w:bookmarkStart w:id="21" w:name="_Toc35393802"/>
      <w:bookmarkStart w:id="22" w:name="_Toc28359016"/>
      <w:bookmarkStart w:id="23" w:name="_Toc35393633"/>
      <w:r>
        <w:rPr>
          <w:rFonts w:hint="eastAsia" w:ascii="宋体" w:hAnsi="宋体" w:cs="宋体"/>
          <w:b/>
          <w:bCs/>
        </w:rPr>
        <w:t>五、开启</w:t>
      </w:r>
      <w:bookmarkEnd w:id="20"/>
      <w:bookmarkEnd w:id="21"/>
      <w:bookmarkEnd w:id="22"/>
      <w:bookmarkEnd w:id="23"/>
    </w:p>
    <w:p>
      <w:pPr>
        <w:spacing w:line="360" w:lineRule="auto"/>
        <w:ind w:firstLine="420" w:firstLineChars="200"/>
        <w:rPr>
          <w:rFonts w:ascii="宋体" w:hAnsi="宋体" w:cs="宋体"/>
        </w:rPr>
      </w:pPr>
      <w:r>
        <w:rPr>
          <w:rFonts w:hint="eastAsia" w:ascii="宋体" w:hAnsi="宋体" w:cs="宋体"/>
        </w:rPr>
        <w:t>时间：</w:t>
      </w:r>
      <w:r>
        <w:rPr>
          <w:rFonts w:hint="eastAsia" w:ascii="宋体" w:hAnsi="宋体" w:cs="宋体"/>
          <w:szCs w:val="21"/>
          <w:highlight w:val="yellow"/>
          <w:u w:val="single"/>
        </w:rPr>
        <w:t xml:space="preserve"> </w:t>
      </w:r>
      <w:r>
        <w:rPr>
          <w:rFonts w:hint="eastAsia" w:ascii="宋体" w:hAnsi="宋体" w:cs="宋体"/>
          <w:szCs w:val="21"/>
          <w:highlight w:val="yellow"/>
          <w:u w:val="single"/>
          <w:lang w:val="en-US" w:eastAsia="zh-CN"/>
        </w:rPr>
        <w:t>2020</w:t>
      </w:r>
      <w:r>
        <w:rPr>
          <w:rFonts w:hint="eastAsia" w:ascii="宋体" w:hAnsi="宋体" w:cs="宋体"/>
          <w:bCs/>
          <w:szCs w:val="21"/>
          <w:highlight w:val="yellow"/>
          <w:u w:val="single"/>
        </w:rPr>
        <w:t>年</w:t>
      </w:r>
      <w:r>
        <w:rPr>
          <w:rFonts w:hint="eastAsia" w:ascii="宋体" w:hAnsi="宋体" w:cs="宋体"/>
          <w:bCs/>
          <w:szCs w:val="21"/>
          <w:highlight w:val="yellow"/>
          <w:u w:val="single"/>
          <w:lang w:val="en-US" w:eastAsia="zh-CN"/>
        </w:rPr>
        <w:t>11</w:t>
      </w:r>
      <w:r>
        <w:rPr>
          <w:rFonts w:hint="eastAsia" w:ascii="宋体" w:hAnsi="宋体" w:cs="宋体"/>
          <w:bCs/>
          <w:szCs w:val="21"/>
          <w:highlight w:val="yellow"/>
          <w:u w:val="single"/>
        </w:rPr>
        <w:t>月</w:t>
      </w:r>
      <w:r>
        <w:rPr>
          <w:rFonts w:hint="eastAsia" w:ascii="宋体" w:hAnsi="宋体" w:cs="宋体"/>
          <w:bCs/>
          <w:szCs w:val="21"/>
          <w:highlight w:val="yellow"/>
          <w:u w:val="single"/>
          <w:lang w:val="en-US" w:eastAsia="zh-CN"/>
        </w:rPr>
        <w:t>12</w:t>
      </w:r>
      <w:r>
        <w:rPr>
          <w:rFonts w:hint="eastAsia" w:ascii="宋体" w:hAnsi="宋体" w:cs="宋体"/>
          <w:bCs/>
          <w:szCs w:val="21"/>
          <w:highlight w:val="yellow"/>
          <w:u w:val="single"/>
        </w:rPr>
        <w:t xml:space="preserve"> 日 </w:t>
      </w:r>
      <w:r>
        <w:rPr>
          <w:rFonts w:hint="eastAsia" w:ascii="宋体" w:hAnsi="宋体" w:cs="宋体"/>
          <w:bCs/>
          <w:szCs w:val="21"/>
          <w:highlight w:val="yellow"/>
          <w:u w:val="single"/>
          <w:lang w:val="en-US" w:eastAsia="zh-CN"/>
        </w:rPr>
        <w:t>10</w:t>
      </w:r>
      <w:r>
        <w:rPr>
          <w:rFonts w:hint="eastAsia" w:ascii="宋体" w:hAnsi="宋体" w:cs="宋体"/>
          <w:bCs/>
          <w:szCs w:val="21"/>
          <w:highlight w:val="yellow"/>
          <w:u w:val="single"/>
        </w:rPr>
        <w:t xml:space="preserve"> </w:t>
      </w:r>
      <w:r>
        <w:rPr>
          <w:rFonts w:hint="eastAsia" w:ascii="宋体" w:hAnsi="宋体" w:cs="宋体"/>
          <w:bCs/>
          <w:szCs w:val="21"/>
          <w:highlight w:val="yellow"/>
          <w:u w:val="single"/>
          <w:lang w:val="en-US" w:eastAsia="zh-CN"/>
        </w:rPr>
        <w:t>时</w:t>
      </w:r>
      <w:r>
        <w:rPr>
          <w:rFonts w:hint="eastAsia" w:ascii="宋体" w:hAnsi="宋体" w:cs="宋体"/>
          <w:bCs/>
          <w:szCs w:val="21"/>
          <w:highlight w:val="yellow"/>
          <w:u w:val="single"/>
        </w:rPr>
        <w:t xml:space="preserve"> </w:t>
      </w:r>
      <w:r>
        <w:rPr>
          <w:rFonts w:hint="eastAsia" w:ascii="宋体" w:hAnsi="宋体" w:cs="宋体"/>
          <w:bCs/>
          <w:szCs w:val="21"/>
          <w:highlight w:val="yellow"/>
          <w:u w:val="single"/>
          <w:lang w:val="en-US" w:eastAsia="zh-CN"/>
        </w:rPr>
        <w:t>30</w:t>
      </w:r>
      <w:r>
        <w:rPr>
          <w:rFonts w:hint="eastAsia" w:ascii="宋体" w:hAnsi="宋体" w:cs="宋体"/>
          <w:bCs/>
          <w:szCs w:val="21"/>
          <w:highlight w:val="yellow"/>
          <w:u w:val="single"/>
        </w:rPr>
        <w:t xml:space="preserve"> 分</w:t>
      </w:r>
      <w:r>
        <w:rPr>
          <w:rFonts w:hint="eastAsia" w:ascii="宋体" w:hAnsi="宋体" w:cs="宋体"/>
          <w:bCs/>
          <w:szCs w:val="21"/>
          <w:highlight w:val="yellow"/>
          <w:u w:val="single"/>
          <w:lang w:val="en-US" w:eastAsia="zh-CN"/>
        </w:rPr>
        <w:t>截标后</w:t>
      </w:r>
      <w:r>
        <w:rPr>
          <w:rFonts w:hint="eastAsia" w:ascii="宋体" w:hAnsi="宋体" w:cs="宋体"/>
        </w:rPr>
        <w:t>（北京时间）</w:t>
      </w:r>
    </w:p>
    <w:p>
      <w:pPr>
        <w:spacing w:line="360" w:lineRule="auto"/>
        <w:ind w:firstLine="420" w:firstLineChars="200"/>
        <w:rPr>
          <w:rFonts w:ascii="宋体" w:hAnsi="宋体" w:cs="宋体"/>
        </w:rPr>
      </w:pPr>
      <w:r>
        <w:rPr>
          <w:rFonts w:hint="eastAsia" w:ascii="宋体" w:hAnsi="宋体" w:cs="宋体"/>
        </w:rPr>
        <w:t>地点：桂林市公共资源交易中心</w:t>
      </w:r>
      <w:r>
        <w:rPr>
          <w:rFonts w:hint="eastAsia" w:ascii="宋体" w:hAnsi="宋体" w:cs="宋体"/>
          <w:lang w:val="en-US" w:eastAsia="zh-CN"/>
        </w:rPr>
        <w:t>评标室</w:t>
      </w:r>
      <w:r>
        <w:rPr>
          <w:rFonts w:hint="eastAsia" w:ascii="宋体" w:hAnsi="宋体" w:cs="宋体"/>
        </w:rPr>
        <w:t>（广西桂林市临桂区西城中路69号创业大厦西辅楼4楼北区），逾期送达的将予以拒收。</w:t>
      </w:r>
    </w:p>
    <w:p>
      <w:pPr>
        <w:spacing w:line="360" w:lineRule="auto"/>
        <w:ind w:firstLine="420" w:firstLineChars="200"/>
        <w:rPr>
          <w:rFonts w:ascii="宋体" w:hAnsi="宋体" w:cs="宋体"/>
          <w:b/>
          <w:bCs/>
        </w:rPr>
      </w:pPr>
      <w:bookmarkStart w:id="24" w:name="_Toc28359094"/>
      <w:bookmarkStart w:id="25" w:name="_Toc28359017"/>
      <w:bookmarkStart w:id="26" w:name="_Toc35393803"/>
      <w:bookmarkStart w:id="27" w:name="_Toc35393634"/>
      <w:r>
        <w:rPr>
          <w:rFonts w:hint="eastAsia" w:ascii="宋体" w:hAnsi="宋体" w:cs="宋体"/>
          <w:b/>
          <w:bCs/>
        </w:rPr>
        <w:t>六、公告期限</w:t>
      </w:r>
      <w:bookmarkEnd w:id="24"/>
      <w:bookmarkEnd w:id="25"/>
      <w:bookmarkEnd w:id="26"/>
      <w:bookmarkEnd w:id="27"/>
    </w:p>
    <w:p>
      <w:pPr>
        <w:spacing w:line="360" w:lineRule="auto"/>
        <w:ind w:firstLine="420" w:firstLineChars="200"/>
        <w:rPr>
          <w:rFonts w:ascii="宋体" w:hAnsi="宋体" w:cs="宋体"/>
        </w:rPr>
      </w:pPr>
      <w:r>
        <w:rPr>
          <w:rFonts w:hint="eastAsia" w:ascii="宋体" w:hAnsi="宋体" w:cs="宋体"/>
        </w:rPr>
        <w:t>自本公告发布之日起5个工作日。</w:t>
      </w:r>
    </w:p>
    <w:p>
      <w:pPr>
        <w:spacing w:line="360" w:lineRule="auto"/>
        <w:ind w:firstLine="420" w:firstLineChars="200"/>
        <w:rPr>
          <w:rFonts w:ascii="宋体" w:hAnsi="宋体" w:cs="宋体"/>
          <w:b/>
          <w:bCs/>
        </w:rPr>
      </w:pPr>
      <w:bookmarkStart w:id="28" w:name="_Toc35393635"/>
      <w:bookmarkStart w:id="29" w:name="_Toc35393804"/>
      <w:r>
        <w:rPr>
          <w:rFonts w:hint="eastAsia" w:ascii="宋体" w:hAnsi="宋体" w:cs="宋体"/>
          <w:b/>
          <w:bCs/>
        </w:rPr>
        <w:t>七、其他补充事宜</w:t>
      </w:r>
      <w:bookmarkEnd w:id="28"/>
      <w:bookmarkEnd w:id="29"/>
    </w:p>
    <w:p>
      <w:pPr>
        <w:spacing w:line="360" w:lineRule="auto"/>
        <w:ind w:firstLine="420" w:firstLineChars="200"/>
        <w:rPr>
          <w:rFonts w:ascii="宋体" w:hAnsi="宋体" w:cs="宋体"/>
        </w:rPr>
      </w:pPr>
      <w:r>
        <w:rPr>
          <w:rFonts w:hint="eastAsia" w:ascii="宋体" w:hAnsi="宋体" w:cs="宋体"/>
        </w:rPr>
        <w:t>1、磋商时间及地点：于</w:t>
      </w:r>
      <w:r>
        <w:rPr>
          <w:rFonts w:hint="eastAsia" w:ascii="宋体" w:hAnsi="宋体" w:cs="宋体"/>
          <w:lang w:val="en-US" w:eastAsia="zh-CN"/>
        </w:rPr>
        <w:t>2020</w:t>
      </w:r>
      <w:r>
        <w:rPr>
          <w:rFonts w:hint="eastAsia" w:ascii="宋体" w:hAnsi="宋体" w:cs="宋体"/>
          <w:szCs w:val="21"/>
          <w:highlight w:val="yellow"/>
          <w:u w:val="single"/>
        </w:rPr>
        <w:t xml:space="preserve"> </w:t>
      </w:r>
      <w:r>
        <w:rPr>
          <w:rFonts w:hint="eastAsia" w:ascii="宋体" w:hAnsi="宋体" w:cs="宋体"/>
          <w:bCs/>
          <w:szCs w:val="21"/>
          <w:highlight w:val="yellow"/>
          <w:u w:val="single"/>
        </w:rPr>
        <w:t>年</w:t>
      </w:r>
      <w:r>
        <w:rPr>
          <w:rFonts w:hint="eastAsia" w:ascii="宋体" w:hAnsi="宋体" w:cs="宋体"/>
          <w:bCs/>
          <w:szCs w:val="21"/>
          <w:highlight w:val="yellow"/>
          <w:u w:val="single"/>
          <w:lang w:val="en-US" w:eastAsia="zh-CN"/>
        </w:rPr>
        <w:t>11</w:t>
      </w:r>
      <w:r>
        <w:rPr>
          <w:rFonts w:hint="eastAsia" w:ascii="宋体" w:hAnsi="宋体" w:cs="宋体"/>
          <w:bCs/>
          <w:szCs w:val="21"/>
          <w:highlight w:val="yellow"/>
          <w:u w:val="single"/>
        </w:rPr>
        <w:t xml:space="preserve">月 </w:t>
      </w:r>
      <w:r>
        <w:rPr>
          <w:rFonts w:hint="eastAsia" w:ascii="宋体" w:hAnsi="宋体" w:cs="宋体"/>
          <w:bCs/>
          <w:szCs w:val="21"/>
          <w:highlight w:val="yellow"/>
          <w:u w:val="single"/>
          <w:lang w:val="en-US" w:eastAsia="zh-CN"/>
        </w:rPr>
        <w:t>12</w:t>
      </w:r>
      <w:r>
        <w:rPr>
          <w:rFonts w:hint="eastAsia" w:ascii="宋体" w:hAnsi="宋体" w:cs="宋体"/>
          <w:bCs/>
          <w:szCs w:val="21"/>
          <w:highlight w:val="yellow"/>
          <w:u w:val="single"/>
        </w:rPr>
        <w:t xml:space="preserve"> 日 </w:t>
      </w:r>
      <w:r>
        <w:rPr>
          <w:rFonts w:hint="eastAsia" w:ascii="宋体" w:hAnsi="宋体" w:cs="宋体"/>
          <w:bCs/>
          <w:szCs w:val="21"/>
          <w:highlight w:val="yellow"/>
          <w:u w:val="single"/>
          <w:lang w:val="en-US" w:eastAsia="zh-CN"/>
        </w:rPr>
        <w:t>10</w:t>
      </w:r>
      <w:r>
        <w:rPr>
          <w:rFonts w:hint="eastAsia" w:ascii="宋体" w:hAnsi="宋体" w:cs="宋体"/>
          <w:bCs/>
          <w:szCs w:val="21"/>
          <w:highlight w:val="yellow"/>
          <w:u w:val="single"/>
        </w:rPr>
        <w:t xml:space="preserve"> </w:t>
      </w:r>
      <w:r>
        <w:rPr>
          <w:rFonts w:hint="eastAsia" w:ascii="宋体" w:hAnsi="宋体" w:cs="宋体"/>
          <w:bCs/>
          <w:szCs w:val="21"/>
          <w:highlight w:val="yellow"/>
          <w:u w:val="single"/>
          <w:lang w:val="en-US" w:eastAsia="zh-CN"/>
        </w:rPr>
        <w:t>时30</w:t>
      </w:r>
      <w:r>
        <w:rPr>
          <w:rFonts w:hint="eastAsia" w:ascii="宋体" w:hAnsi="宋体" w:cs="宋体"/>
          <w:bCs/>
          <w:szCs w:val="21"/>
          <w:highlight w:val="yellow"/>
          <w:u w:val="single"/>
        </w:rPr>
        <w:t xml:space="preserve"> 分</w:t>
      </w:r>
      <w:r>
        <w:rPr>
          <w:rFonts w:hint="eastAsia" w:ascii="宋体" w:hAnsi="宋体" w:cs="宋体"/>
        </w:rPr>
        <w:t>截标后为与供应商磋商时间，具体时间由采购代理机构另行通知。地点：桂林市公共资源交易中心评标室（以具体通知为准），参加磋商的供应商法定代表人或委托代理人必须持证件（法定代表人凭身份证或委托代理人凭法人授权委托书原件和身份证）依时到达指定地点等候（以上材料均须加盖投标人公章，不须密封，单独提交），未携带以上相关材料递交或逾期送达的将予以拒收。</w:t>
      </w:r>
    </w:p>
    <w:p>
      <w:pPr>
        <w:spacing w:line="360" w:lineRule="auto"/>
        <w:ind w:firstLine="420" w:firstLineChars="200"/>
        <w:rPr>
          <w:rFonts w:ascii="宋体" w:hAnsi="宋体" w:cs="宋体"/>
        </w:rPr>
      </w:pPr>
      <w:r>
        <w:rPr>
          <w:rFonts w:hint="eastAsia" w:ascii="宋体" w:hAnsi="宋体" w:cs="宋体"/>
        </w:rPr>
        <w:t>2、信息公告发布媒体：</w:t>
      </w:r>
      <w:r>
        <w:fldChar w:fldCharType="begin"/>
      </w:r>
      <w:r>
        <w:instrText xml:space="preserve"> HYPERLINK "http://www.ccgp.gov.cn（中国政府采购网）、http:/zfcg.gxzf.gov.cn（广西壮族自治区政府采购网）、http:/gl.zfcg.zcygov.cn（桂林市政府采购网）、http:/glggzy.org.cn（桂林市公共资源交易中心网）" </w:instrText>
      </w:r>
      <w:r>
        <w:fldChar w:fldCharType="separate"/>
      </w:r>
      <w:r>
        <w:rPr>
          <w:rStyle w:val="56"/>
          <w:rFonts w:hint="eastAsia" w:ascii="宋体" w:hAnsi="宋体" w:cs="宋体"/>
        </w:rPr>
        <w:t>http://www.ccgp.gov.cn（中国政府采购网）、http://zfcg.gxzf.gov.cn（广西壮族自治区政府采购网）、http://gl.zfcg.zcygov.cn（桂林市政府采购网）、http://glggzy.org.cn（桂林市公共资源交易中心网）</w:t>
      </w:r>
      <w:r>
        <w:rPr>
          <w:rStyle w:val="56"/>
          <w:rFonts w:hint="eastAsia" w:ascii="宋体" w:hAnsi="宋体" w:cs="宋体"/>
        </w:rPr>
        <w:fldChar w:fldCharType="end"/>
      </w:r>
    </w:p>
    <w:p>
      <w:pPr>
        <w:spacing w:line="360" w:lineRule="auto"/>
        <w:ind w:firstLine="420" w:firstLineChars="200"/>
        <w:rPr>
          <w:rFonts w:ascii="宋体" w:hAnsi="宋体" w:cs="宋体"/>
        </w:rPr>
      </w:pPr>
      <w:r>
        <w:rPr>
          <w:rFonts w:hint="eastAsia" w:ascii="宋体" w:hAnsi="宋体" w:cs="宋体"/>
        </w:rPr>
        <w:t>3、为配合采购人进行政府采购项目执行和备案，未在政采云注册的供应商可在获取竞争性磋商文件后登录政采云进行注册(https://www.zcygov.cn/)，如在操作过程中遇到问题或者需要技术支持，请致电政采云客服热线: 400-881-7190。</w:t>
      </w:r>
    </w:p>
    <w:p>
      <w:pPr>
        <w:spacing w:line="360" w:lineRule="auto"/>
        <w:ind w:firstLine="420" w:firstLineChars="200"/>
        <w:rPr>
          <w:rFonts w:ascii="宋体" w:hAnsi="宋体" w:cs="宋体"/>
          <w:b/>
          <w:bCs/>
        </w:rPr>
      </w:pPr>
      <w:bookmarkStart w:id="30" w:name="_Toc35393636"/>
      <w:bookmarkStart w:id="31" w:name="_Toc35393805"/>
      <w:bookmarkStart w:id="32" w:name="_Toc28359095"/>
      <w:bookmarkStart w:id="33" w:name="_Toc28359018"/>
      <w:r>
        <w:rPr>
          <w:rFonts w:hint="eastAsia" w:ascii="宋体" w:hAnsi="宋体" w:cs="宋体"/>
          <w:b/>
          <w:bCs/>
        </w:rPr>
        <w:t>八、凡对本次采购提出询问，请按以下方式联系。</w:t>
      </w:r>
      <w:bookmarkEnd w:id="30"/>
      <w:bookmarkEnd w:id="31"/>
      <w:bookmarkEnd w:id="32"/>
      <w:bookmarkEnd w:id="33"/>
    </w:p>
    <w:p>
      <w:pPr>
        <w:spacing w:line="360" w:lineRule="auto"/>
        <w:ind w:firstLine="420" w:firstLineChars="200"/>
        <w:rPr>
          <w:rFonts w:ascii="宋体" w:hAnsi="宋体" w:cs="宋体"/>
        </w:rPr>
      </w:pPr>
      <w:bookmarkStart w:id="34" w:name="_Toc28359019"/>
      <w:bookmarkStart w:id="35" w:name="_Toc35393806"/>
      <w:bookmarkStart w:id="36" w:name="_Toc35393637"/>
      <w:bookmarkStart w:id="37" w:name="_Toc28359096"/>
      <w:r>
        <w:rPr>
          <w:rFonts w:hint="eastAsia" w:ascii="宋体" w:hAnsi="宋体" w:cs="宋体"/>
        </w:rPr>
        <w:t>1.采购人信息</w:t>
      </w:r>
      <w:bookmarkEnd w:id="34"/>
      <w:bookmarkEnd w:id="35"/>
      <w:bookmarkEnd w:id="36"/>
      <w:bookmarkEnd w:id="37"/>
    </w:p>
    <w:p>
      <w:pPr>
        <w:spacing w:line="360" w:lineRule="auto"/>
        <w:ind w:firstLine="420" w:firstLineChars="200"/>
        <w:rPr>
          <w:rFonts w:ascii="宋体" w:hAnsi="宋体" w:cs="宋体"/>
          <w:color w:val="0000FF"/>
        </w:rPr>
      </w:pPr>
      <w:r>
        <w:rPr>
          <w:rFonts w:hint="eastAsia" w:ascii="宋体" w:hAnsi="宋体" w:cs="宋体"/>
          <w:color w:val="0000FF"/>
        </w:rPr>
        <w:t>名    称：桂林市临桂区文化广电体育和旅游局</w:t>
      </w:r>
    </w:p>
    <w:p>
      <w:pPr>
        <w:spacing w:line="360" w:lineRule="auto"/>
        <w:ind w:firstLine="420" w:firstLineChars="200"/>
        <w:rPr>
          <w:rFonts w:ascii="宋体" w:hAnsi="宋体" w:cs="宋体"/>
          <w:color w:val="0000FF"/>
        </w:rPr>
      </w:pPr>
      <w:r>
        <w:rPr>
          <w:rFonts w:hint="eastAsia" w:ascii="宋体" w:hAnsi="宋体" w:cs="宋体"/>
          <w:color w:val="0000FF"/>
        </w:rPr>
        <w:t>地    址：临桂区人民路一巷交叉口东南50米</w:t>
      </w:r>
    </w:p>
    <w:p>
      <w:pPr>
        <w:spacing w:line="360" w:lineRule="auto"/>
        <w:ind w:firstLine="420" w:firstLineChars="200"/>
        <w:rPr>
          <w:rFonts w:hint="default" w:ascii="宋体" w:hAnsi="宋体" w:eastAsia="宋体" w:cs="宋体"/>
          <w:color w:val="0000FF"/>
          <w:lang w:val="en-US" w:eastAsia="zh-CN"/>
        </w:rPr>
      </w:pPr>
      <w:r>
        <w:rPr>
          <w:rFonts w:hint="eastAsia" w:ascii="宋体" w:hAnsi="宋体" w:cs="宋体"/>
          <w:color w:val="0000FF"/>
        </w:rPr>
        <w:t>联系方式：</w:t>
      </w:r>
      <w:bookmarkStart w:id="38" w:name="_Toc28359020"/>
      <w:bookmarkStart w:id="39" w:name="_Toc35393807"/>
      <w:bookmarkStart w:id="40" w:name="_Toc28359097"/>
      <w:bookmarkStart w:id="41" w:name="_Toc35393638"/>
      <w:r>
        <w:rPr>
          <w:rFonts w:hint="eastAsia" w:ascii="宋体" w:hAnsi="宋体" w:cs="宋体"/>
          <w:color w:val="0000FF"/>
          <w:lang w:val="en-US" w:eastAsia="zh-CN"/>
        </w:rPr>
        <w:t>0773-5597811</w:t>
      </w:r>
    </w:p>
    <w:p>
      <w:pPr>
        <w:spacing w:line="360" w:lineRule="auto"/>
        <w:ind w:firstLine="420" w:firstLineChars="200"/>
        <w:rPr>
          <w:rFonts w:ascii="宋体" w:hAnsi="宋体" w:cs="宋体"/>
        </w:rPr>
      </w:pPr>
      <w:r>
        <w:rPr>
          <w:rFonts w:hint="eastAsia" w:ascii="宋体" w:hAnsi="宋体" w:cs="宋体"/>
        </w:rPr>
        <w:t>2.采购代理机构信息</w:t>
      </w:r>
      <w:bookmarkEnd w:id="38"/>
      <w:bookmarkEnd w:id="39"/>
      <w:bookmarkEnd w:id="40"/>
      <w:bookmarkEnd w:id="41"/>
    </w:p>
    <w:p>
      <w:pPr>
        <w:spacing w:line="360" w:lineRule="auto"/>
        <w:ind w:firstLine="420" w:firstLineChars="200"/>
        <w:rPr>
          <w:rFonts w:ascii="宋体" w:hAnsi="宋体"/>
          <w:szCs w:val="21"/>
        </w:rPr>
      </w:pPr>
      <w:r>
        <w:rPr>
          <w:rFonts w:hint="eastAsia" w:ascii="宋体" w:hAnsi="宋体"/>
          <w:szCs w:val="21"/>
        </w:rPr>
        <w:t>名    称：广西通观工程咨询有限公司</w:t>
      </w:r>
    </w:p>
    <w:p>
      <w:pPr>
        <w:spacing w:line="360" w:lineRule="auto"/>
        <w:ind w:firstLine="420" w:firstLineChars="200"/>
        <w:rPr>
          <w:rFonts w:ascii="宋体" w:hAnsi="宋体"/>
          <w:szCs w:val="21"/>
        </w:rPr>
      </w:pPr>
      <w:r>
        <w:rPr>
          <w:rFonts w:hint="eastAsia" w:ascii="宋体" w:hAnsi="宋体"/>
          <w:szCs w:val="21"/>
        </w:rPr>
        <w:t>地　　址：临桂区临桂镇凤凰西路西侧金贸中心3-3#幢21层22号</w:t>
      </w:r>
    </w:p>
    <w:p>
      <w:pPr>
        <w:spacing w:line="360" w:lineRule="auto"/>
        <w:ind w:firstLine="420" w:firstLineChars="200"/>
        <w:rPr>
          <w:rFonts w:ascii="宋体" w:hAnsi="宋体"/>
          <w:szCs w:val="21"/>
        </w:rPr>
      </w:pPr>
      <w:r>
        <w:rPr>
          <w:rFonts w:hint="eastAsia" w:ascii="宋体" w:hAnsi="宋体"/>
          <w:szCs w:val="21"/>
        </w:rPr>
        <w:t>联系方式：0773-5597304</w:t>
      </w:r>
    </w:p>
    <w:p>
      <w:pPr>
        <w:spacing w:line="360" w:lineRule="auto"/>
        <w:ind w:firstLine="420" w:firstLineChars="200"/>
        <w:rPr>
          <w:rFonts w:ascii="宋体" w:hAnsi="宋体"/>
          <w:szCs w:val="21"/>
        </w:rPr>
      </w:pPr>
      <w:bookmarkStart w:id="42" w:name="_Toc35393808"/>
      <w:bookmarkStart w:id="43" w:name="_Toc28359098"/>
      <w:bookmarkStart w:id="44" w:name="_Toc28359021"/>
      <w:bookmarkStart w:id="45" w:name="_Toc35393639"/>
      <w:r>
        <w:rPr>
          <w:rFonts w:hint="eastAsia" w:ascii="宋体" w:hAnsi="宋体"/>
          <w:szCs w:val="21"/>
        </w:rPr>
        <w:t>3.项目联系方式</w:t>
      </w:r>
      <w:bookmarkEnd w:id="42"/>
      <w:bookmarkEnd w:id="43"/>
      <w:bookmarkEnd w:id="44"/>
      <w:bookmarkEnd w:id="45"/>
    </w:p>
    <w:p>
      <w:pPr>
        <w:spacing w:line="360" w:lineRule="auto"/>
        <w:ind w:firstLine="420" w:firstLineChars="200"/>
        <w:rPr>
          <w:rFonts w:ascii="宋体" w:hAnsi="宋体"/>
          <w:szCs w:val="21"/>
        </w:rPr>
      </w:pPr>
      <w:r>
        <w:rPr>
          <w:rFonts w:hint="eastAsia" w:ascii="宋体" w:hAnsi="宋体"/>
          <w:szCs w:val="21"/>
        </w:rPr>
        <w:t>项目联系人：褚工</w:t>
      </w:r>
    </w:p>
    <w:p>
      <w:pPr>
        <w:spacing w:line="360" w:lineRule="auto"/>
        <w:ind w:firstLine="420" w:firstLineChars="200"/>
        <w:rPr>
          <w:rFonts w:ascii="宋体" w:hAnsi="宋体"/>
          <w:szCs w:val="21"/>
        </w:rPr>
      </w:pPr>
      <w:r>
        <w:rPr>
          <w:rFonts w:hint="eastAsia" w:ascii="宋体" w:hAnsi="宋体"/>
          <w:szCs w:val="21"/>
        </w:rPr>
        <w:t>电　　 话：0773-5597304</w:t>
      </w:r>
    </w:p>
    <w:p>
      <w:pPr>
        <w:spacing w:line="360" w:lineRule="exact"/>
        <w:ind w:firstLine="6615" w:firstLineChars="3150"/>
        <w:rPr>
          <w:szCs w:val="21"/>
        </w:rPr>
      </w:pPr>
    </w:p>
    <w:p>
      <w:pPr>
        <w:spacing w:line="360" w:lineRule="exact"/>
        <w:jc w:val="right"/>
        <w:rPr>
          <w:szCs w:val="21"/>
        </w:rPr>
      </w:pPr>
      <w:r>
        <w:rPr>
          <w:szCs w:val="21"/>
        </w:rPr>
        <w:t>代理机构：</w:t>
      </w:r>
      <w:bookmarkEnd w:id="2"/>
      <w:bookmarkEnd w:id="3"/>
      <w:r>
        <w:rPr>
          <w:rFonts w:hint="eastAsia"/>
          <w:szCs w:val="21"/>
        </w:rPr>
        <w:t>广西通观工程咨询有限公司</w:t>
      </w:r>
    </w:p>
    <w:p>
      <w:pPr>
        <w:spacing w:line="360" w:lineRule="exact"/>
        <w:jc w:val="right"/>
        <w:rPr>
          <w:szCs w:val="21"/>
          <w:highlight w:val="yellow"/>
        </w:rPr>
      </w:pPr>
      <w:r>
        <w:rPr>
          <w:szCs w:val="21"/>
          <w:highlight w:val="yellow"/>
        </w:rPr>
        <w:t>20</w:t>
      </w:r>
      <w:r>
        <w:rPr>
          <w:rFonts w:hint="eastAsia"/>
          <w:szCs w:val="21"/>
          <w:highlight w:val="yellow"/>
        </w:rPr>
        <w:t>20</w:t>
      </w:r>
      <w:r>
        <w:rPr>
          <w:szCs w:val="21"/>
          <w:highlight w:val="yellow"/>
        </w:rPr>
        <w:t>年</w:t>
      </w:r>
      <w:r>
        <w:rPr>
          <w:rFonts w:hint="eastAsia"/>
          <w:szCs w:val="21"/>
          <w:highlight w:val="yellow"/>
        </w:rPr>
        <w:t xml:space="preserve"> </w:t>
      </w:r>
      <w:r>
        <w:rPr>
          <w:rFonts w:hint="eastAsia"/>
          <w:szCs w:val="21"/>
          <w:highlight w:val="yellow"/>
          <w:lang w:val="en-US" w:eastAsia="zh-CN"/>
        </w:rPr>
        <w:t>10</w:t>
      </w:r>
      <w:r>
        <w:rPr>
          <w:szCs w:val="21"/>
          <w:highlight w:val="yellow"/>
        </w:rPr>
        <w:t>月</w:t>
      </w:r>
      <w:r>
        <w:rPr>
          <w:rFonts w:hint="eastAsia"/>
          <w:szCs w:val="21"/>
          <w:highlight w:val="yellow"/>
        </w:rPr>
        <w:t xml:space="preserve"> </w:t>
      </w:r>
      <w:r>
        <w:rPr>
          <w:rFonts w:hint="eastAsia"/>
          <w:szCs w:val="21"/>
          <w:highlight w:val="yellow"/>
          <w:lang w:val="en-US" w:eastAsia="zh-CN"/>
        </w:rPr>
        <w:t>30</w:t>
      </w:r>
      <w:r>
        <w:rPr>
          <w:szCs w:val="21"/>
          <w:highlight w:val="yellow"/>
        </w:rPr>
        <w:t>日</w:t>
      </w:r>
    </w:p>
    <w:p>
      <w:pPr>
        <w:rPr>
          <w:szCs w:val="21"/>
          <w:highlight w:val="yellow"/>
        </w:rPr>
      </w:pPr>
      <w:r>
        <w:rPr>
          <w:szCs w:val="21"/>
          <w:highlight w:val="yellow"/>
        </w:rPr>
        <w:br w:type="page"/>
      </w:r>
    </w:p>
    <w:p>
      <w:pPr>
        <w:pStyle w:val="2"/>
        <w:jc w:val="center"/>
        <w:rPr>
          <w:rFonts w:ascii="Times New Roman" w:hAnsi="Times New Roman"/>
        </w:rPr>
      </w:pPr>
      <w:bookmarkStart w:id="46" w:name="_Toc16760"/>
      <w:bookmarkStart w:id="47" w:name="_Toc12873"/>
      <w:r>
        <w:rPr>
          <w:rFonts w:ascii="Times New Roman" w:hAnsi="Times New Roman"/>
        </w:rPr>
        <w:t>第二章、磋商供应商须知</w:t>
      </w:r>
      <w:bookmarkEnd w:id="46"/>
      <w:bookmarkEnd w:id="47"/>
    </w:p>
    <w:p>
      <w:pPr>
        <w:tabs>
          <w:tab w:val="left" w:pos="1065"/>
          <w:tab w:val="center" w:pos="4411"/>
        </w:tabs>
        <w:spacing w:line="440" w:lineRule="atLeast"/>
        <w:jc w:val="center"/>
        <w:rPr>
          <w:b/>
          <w:sz w:val="24"/>
        </w:rPr>
      </w:pPr>
      <w:r>
        <w:rPr>
          <w:b/>
          <w:sz w:val="24"/>
        </w:rPr>
        <w:t>磋商供应商须知前附表</w:t>
      </w:r>
    </w:p>
    <w:tbl>
      <w:tblPr>
        <w:tblStyle w:val="44"/>
        <w:tblW w:w="10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670"/>
        <w:gridCol w:w="2057"/>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8" w:type="dxa"/>
            <w:vAlign w:val="center"/>
          </w:tcPr>
          <w:p>
            <w:pPr>
              <w:spacing w:line="340" w:lineRule="exact"/>
              <w:jc w:val="center"/>
              <w:rPr>
                <w:szCs w:val="21"/>
              </w:rPr>
            </w:pPr>
            <w:r>
              <w:rPr>
                <w:szCs w:val="21"/>
              </w:rPr>
              <w:t>序号</w:t>
            </w:r>
          </w:p>
        </w:tc>
        <w:tc>
          <w:tcPr>
            <w:tcW w:w="670" w:type="dxa"/>
            <w:vAlign w:val="center"/>
          </w:tcPr>
          <w:p>
            <w:pPr>
              <w:spacing w:line="340" w:lineRule="exact"/>
              <w:jc w:val="center"/>
              <w:rPr>
                <w:szCs w:val="21"/>
              </w:rPr>
            </w:pPr>
            <w:r>
              <w:rPr>
                <w:szCs w:val="21"/>
              </w:rPr>
              <w:t>条款号</w:t>
            </w:r>
          </w:p>
        </w:tc>
        <w:tc>
          <w:tcPr>
            <w:tcW w:w="2057" w:type="dxa"/>
            <w:vAlign w:val="center"/>
          </w:tcPr>
          <w:p>
            <w:pPr>
              <w:spacing w:line="340" w:lineRule="exact"/>
              <w:jc w:val="center"/>
              <w:rPr>
                <w:szCs w:val="21"/>
              </w:rPr>
            </w:pPr>
            <w:r>
              <w:rPr>
                <w:szCs w:val="21"/>
              </w:rPr>
              <w:t>条款名称</w:t>
            </w:r>
          </w:p>
        </w:tc>
        <w:tc>
          <w:tcPr>
            <w:tcW w:w="7513" w:type="dxa"/>
            <w:vAlign w:val="center"/>
          </w:tcPr>
          <w:p>
            <w:pPr>
              <w:spacing w:line="340" w:lineRule="exact"/>
              <w:jc w:val="center"/>
              <w:rPr>
                <w:szCs w:val="21"/>
              </w:rPr>
            </w:pPr>
            <w:r>
              <w:rPr>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8" w:type="dxa"/>
            <w:vAlign w:val="center"/>
          </w:tcPr>
          <w:p>
            <w:pPr>
              <w:spacing w:line="340" w:lineRule="exact"/>
              <w:jc w:val="center"/>
              <w:rPr>
                <w:szCs w:val="21"/>
              </w:rPr>
            </w:pPr>
            <w:r>
              <w:rPr>
                <w:szCs w:val="21"/>
              </w:rPr>
              <w:t>1</w:t>
            </w:r>
          </w:p>
        </w:tc>
        <w:tc>
          <w:tcPr>
            <w:tcW w:w="670" w:type="dxa"/>
            <w:vAlign w:val="center"/>
          </w:tcPr>
          <w:p>
            <w:pPr>
              <w:spacing w:line="340" w:lineRule="exact"/>
              <w:jc w:val="center"/>
              <w:rPr>
                <w:szCs w:val="21"/>
              </w:rPr>
            </w:pPr>
            <w:r>
              <w:rPr>
                <w:szCs w:val="21"/>
              </w:rPr>
              <w:t>1.1</w:t>
            </w:r>
          </w:p>
        </w:tc>
        <w:tc>
          <w:tcPr>
            <w:tcW w:w="2057" w:type="dxa"/>
            <w:vAlign w:val="center"/>
          </w:tcPr>
          <w:p>
            <w:pPr>
              <w:spacing w:line="340" w:lineRule="exact"/>
              <w:jc w:val="center"/>
              <w:rPr>
                <w:szCs w:val="21"/>
              </w:rPr>
            </w:pPr>
            <w:r>
              <w:rPr>
                <w:szCs w:val="21"/>
              </w:rPr>
              <w:t>项目名称及编号</w:t>
            </w:r>
          </w:p>
        </w:tc>
        <w:tc>
          <w:tcPr>
            <w:tcW w:w="7513" w:type="dxa"/>
          </w:tcPr>
          <w:p>
            <w:pPr>
              <w:spacing w:line="340" w:lineRule="exact"/>
              <w:rPr>
                <w:szCs w:val="21"/>
              </w:rPr>
            </w:pPr>
            <w:r>
              <w:rPr>
                <w:szCs w:val="21"/>
              </w:rPr>
              <w:t>项目名称：</w:t>
            </w:r>
            <w:r>
              <w:rPr>
                <w:rFonts w:hint="eastAsia"/>
                <w:szCs w:val="21"/>
              </w:rPr>
              <w:t>临桂区智能旅游系统采购项目</w:t>
            </w:r>
          </w:p>
          <w:p>
            <w:pPr>
              <w:spacing w:line="340" w:lineRule="exact"/>
              <w:rPr>
                <w:szCs w:val="21"/>
              </w:rPr>
            </w:pPr>
            <w:r>
              <w:rPr>
                <w:szCs w:val="21"/>
                <w:highlight w:val="none"/>
              </w:rPr>
              <w:t>项目编号：</w:t>
            </w:r>
            <w:r>
              <w:rPr>
                <w:rFonts w:hint="eastAsia"/>
                <w:szCs w:val="21"/>
                <w:highlight w:val="none"/>
              </w:rPr>
              <w:t xml:space="preserve">GLZC2020-C3-120047-TGGC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68" w:type="dxa"/>
            <w:vAlign w:val="center"/>
          </w:tcPr>
          <w:p>
            <w:pPr>
              <w:spacing w:line="340" w:lineRule="exact"/>
              <w:jc w:val="center"/>
              <w:rPr>
                <w:szCs w:val="21"/>
              </w:rPr>
            </w:pPr>
            <w:r>
              <w:rPr>
                <w:szCs w:val="21"/>
              </w:rPr>
              <w:t>2</w:t>
            </w:r>
          </w:p>
        </w:tc>
        <w:tc>
          <w:tcPr>
            <w:tcW w:w="670" w:type="dxa"/>
            <w:vAlign w:val="center"/>
          </w:tcPr>
          <w:p>
            <w:pPr>
              <w:spacing w:line="340" w:lineRule="exact"/>
              <w:jc w:val="center"/>
              <w:rPr>
                <w:szCs w:val="21"/>
              </w:rPr>
            </w:pPr>
            <w:r>
              <w:rPr>
                <w:szCs w:val="21"/>
              </w:rPr>
              <w:t>3</w:t>
            </w:r>
          </w:p>
        </w:tc>
        <w:tc>
          <w:tcPr>
            <w:tcW w:w="2057" w:type="dxa"/>
            <w:vAlign w:val="center"/>
          </w:tcPr>
          <w:p>
            <w:pPr>
              <w:spacing w:line="340" w:lineRule="exact"/>
              <w:jc w:val="center"/>
              <w:rPr>
                <w:szCs w:val="21"/>
              </w:rPr>
            </w:pPr>
            <w:r>
              <w:rPr>
                <w:szCs w:val="21"/>
              </w:rPr>
              <w:t>磋商供应商资格</w:t>
            </w:r>
          </w:p>
        </w:tc>
        <w:tc>
          <w:tcPr>
            <w:tcW w:w="7513" w:type="dxa"/>
            <w:vAlign w:val="center"/>
          </w:tcPr>
          <w:p>
            <w:pPr>
              <w:spacing w:line="360" w:lineRule="auto"/>
              <w:ind w:firstLine="420" w:firstLineChars="200"/>
              <w:rPr>
                <w:rFonts w:ascii="宋体" w:hAnsi="宋体" w:cs="宋体"/>
              </w:rPr>
            </w:pPr>
            <w:r>
              <w:rPr>
                <w:rFonts w:hint="eastAsia" w:ascii="宋体" w:hAnsi="宋体" w:cs="宋体"/>
              </w:rPr>
              <w:t>1.满足《中华人民共和国政府采购法》第二十二条规定；</w:t>
            </w:r>
          </w:p>
          <w:p>
            <w:pPr>
              <w:spacing w:line="360" w:lineRule="auto"/>
              <w:ind w:firstLine="420" w:firstLineChars="200"/>
              <w:rPr>
                <w:rFonts w:ascii="宋体" w:hAnsi="宋体" w:cs="宋体"/>
              </w:rPr>
            </w:pPr>
            <w:r>
              <w:rPr>
                <w:rFonts w:hint="eastAsia" w:ascii="宋体" w:hAnsi="宋体" w:cs="宋体"/>
              </w:rPr>
              <w:t>2.落实政府采购政策需满足的资格要求：</w:t>
            </w:r>
          </w:p>
          <w:p>
            <w:pPr>
              <w:spacing w:line="360" w:lineRule="auto"/>
              <w:ind w:firstLine="420" w:firstLineChars="200"/>
              <w:rPr>
                <w:rFonts w:ascii="宋体" w:hAnsi="宋体" w:cs="宋体"/>
              </w:rPr>
            </w:pPr>
            <w:r>
              <w:rPr>
                <w:rFonts w:hint="eastAsia" w:ascii="宋体" w:hAnsi="宋体" w:cs="宋体"/>
              </w:rPr>
              <w:t>（1）《政府采购促进中小企业发展暂行办法》（财库〔2011〕181号）；</w:t>
            </w:r>
          </w:p>
          <w:p>
            <w:pPr>
              <w:spacing w:line="360" w:lineRule="auto"/>
              <w:ind w:firstLine="420" w:firstLineChars="200"/>
              <w:rPr>
                <w:rFonts w:ascii="宋体" w:hAnsi="宋体" w:cs="宋体"/>
              </w:rPr>
            </w:pPr>
            <w:r>
              <w:rPr>
                <w:rFonts w:hint="eastAsia" w:ascii="宋体" w:hAnsi="宋体" w:cs="宋体"/>
              </w:rPr>
              <w:t>（2）《关于政府采购支持监狱企业发展有关问题的通知》(财库〔2014〕68号)；</w:t>
            </w:r>
          </w:p>
          <w:p>
            <w:pPr>
              <w:spacing w:line="360" w:lineRule="auto"/>
              <w:ind w:firstLine="420" w:firstLineChars="200"/>
              <w:rPr>
                <w:rFonts w:ascii="宋体" w:hAnsi="宋体" w:cs="宋体"/>
              </w:rPr>
            </w:pPr>
            <w:r>
              <w:rPr>
                <w:rFonts w:hint="eastAsia" w:ascii="宋体" w:hAnsi="宋体" w:cs="宋体"/>
              </w:rPr>
              <w:t>（3）《关于促进残疾人就业政府采购政策的通知》(财库〔2017〕141号)</w:t>
            </w:r>
          </w:p>
          <w:p>
            <w:pPr>
              <w:spacing w:line="360" w:lineRule="auto"/>
              <w:ind w:firstLine="420" w:firstLineChars="200"/>
              <w:rPr>
                <w:rFonts w:ascii="宋体" w:hAnsi="宋体" w:cs="宋体"/>
              </w:rPr>
            </w:pPr>
            <w:r>
              <w:rPr>
                <w:rFonts w:hint="eastAsia" w:ascii="宋体" w:hAnsi="宋体" w:cs="宋体"/>
              </w:rPr>
              <w:t>（4）《中华人民共和国政府采购法》、《中华人民共和国政府采购法实施条例》、《政府采购磋商采购方式管理暂行办法&gt;的通知》（财库〔2014〕214号）等相关法律法规。</w:t>
            </w:r>
          </w:p>
          <w:p>
            <w:pPr>
              <w:spacing w:line="360" w:lineRule="auto"/>
              <w:ind w:firstLine="420" w:firstLineChars="200"/>
              <w:rPr>
                <w:rFonts w:ascii="宋体" w:hAnsi="宋体" w:cs="宋体"/>
              </w:rPr>
            </w:pPr>
            <w:r>
              <w:rPr>
                <w:rFonts w:hint="eastAsia" w:ascii="宋体" w:hAnsi="宋体" w:cs="宋体"/>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w:t>
            </w:r>
            <w:r>
              <w:rPr>
                <w:rFonts w:hint="eastAsia" w:ascii="宋体" w:hAnsi="宋体" w:cs="宋体"/>
              </w:rPr>
              <w:t>项目的其他采购活动。</w:t>
            </w:r>
          </w:p>
          <w:p>
            <w:pPr>
              <w:spacing w:line="360" w:lineRule="auto"/>
              <w:ind w:firstLine="420" w:firstLineChars="200"/>
              <w:rPr>
                <w:szCs w:val="21"/>
                <w:highlight w:val="yellow"/>
              </w:rPr>
            </w:pPr>
            <w:r>
              <w:rPr>
                <w:rFonts w:hint="eastAsia" w:ascii="宋体" w:hAnsi="宋体" w:cs="宋体"/>
              </w:rPr>
              <w:t>4、供应商未被列入“信用中国”网站(www.creditchina.gov.cn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)“政府采购严重违法失信行为信息记录”中的禁止参加政府采购活动期间。（以采购代理机构于投标截止日当天在“信用中国”网站（www.creditchina.gov.cn ）及中国政府采购网查询结果为准，如相关失信记录已失效，供应商需提供相关证明资料）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68" w:type="dxa"/>
            <w:vAlign w:val="center"/>
          </w:tcPr>
          <w:p>
            <w:pPr>
              <w:spacing w:line="340" w:lineRule="exact"/>
              <w:jc w:val="center"/>
              <w:rPr>
                <w:szCs w:val="21"/>
              </w:rPr>
            </w:pPr>
            <w:r>
              <w:rPr>
                <w:szCs w:val="21"/>
              </w:rPr>
              <w:t>3</w:t>
            </w:r>
          </w:p>
        </w:tc>
        <w:tc>
          <w:tcPr>
            <w:tcW w:w="670" w:type="dxa"/>
            <w:vAlign w:val="center"/>
          </w:tcPr>
          <w:p>
            <w:pPr>
              <w:spacing w:line="340" w:lineRule="exact"/>
              <w:jc w:val="center"/>
              <w:rPr>
                <w:szCs w:val="21"/>
              </w:rPr>
            </w:pPr>
            <w:r>
              <w:rPr>
                <w:szCs w:val="21"/>
              </w:rPr>
              <w:t>4</w:t>
            </w:r>
          </w:p>
        </w:tc>
        <w:tc>
          <w:tcPr>
            <w:tcW w:w="2057" w:type="dxa"/>
            <w:vAlign w:val="center"/>
          </w:tcPr>
          <w:p>
            <w:pPr>
              <w:spacing w:line="340" w:lineRule="exact"/>
              <w:jc w:val="center"/>
              <w:rPr>
                <w:szCs w:val="21"/>
              </w:rPr>
            </w:pPr>
            <w:r>
              <w:rPr>
                <w:szCs w:val="21"/>
              </w:rPr>
              <w:t>磋商费用</w:t>
            </w:r>
          </w:p>
        </w:tc>
        <w:tc>
          <w:tcPr>
            <w:tcW w:w="7513" w:type="dxa"/>
            <w:vAlign w:val="center"/>
          </w:tcPr>
          <w:p>
            <w:pPr>
              <w:spacing w:line="340" w:lineRule="exact"/>
              <w:rPr>
                <w:szCs w:val="21"/>
              </w:rPr>
            </w:pPr>
            <w:r>
              <w:rPr>
                <w:szCs w:val="21"/>
              </w:rPr>
              <w:t>不论磋商结果如何，磋商供应商均应自行承担所有与磋商有关的全部费用。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68" w:type="dxa"/>
            <w:vAlign w:val="center"/>
          </w:tcPr>
          <w:p>
            <w:pPr>
              <w:spacing w:line="340" w:lineRule="exact"/>
              <w:jc w:val="center"/>
              <w:rPr>
                <w:szCs w:val="21"/>
              </w:rPr>
            </w:pPr>
            <w:r>
              <w:rPr>
                <w:szCs w:val="21"/>
              </w:rPr>
              <w:t>4</w:t>
            </w:r>
          </w:p>
        </w:tc>
        <w:tc>
          <w:tcPr>
            <w:tcW w:w="670" w:type="dxa"/>
            <w:vAlign w:val="center"/>
          </w:tcPr>
          <w:p>
            <w:pPr>
              <w:spacing w:line="340" w:lineRule="exact"/>
              <w:jc w:val="center"/>
              <w:rPr>
                <w:szCs w:val="21"/>
              </w:rPr>
            </w:pPr>
            <w:r>
              <w:rPr>
                <w:szCs w:val="21"/>
              </w:rPr>
              <w:t>13</w:t>
            </w:r>
          </w:p>
        </w:tc>
        <w:tc>
          <w:tcPr>
            <w:tcW w:w="2057" w:type="dxa"/>
            <w:vAlign w:val="center"/>
          </w:tcPr>
          <w:p>
            <w:pPr>
              <w:spacing w:line="340" w:lineRule="exact"/>
              <w:jc w:val="center"/>
            </w:pPr>
            <w:r>
              <w:t>磋商报价及采购预算总金额</w:t>
            </w:r>
          </w:p>
        </w:tc>
        <w:tc>
          <w:tcPr>
            <w:tcW w:w="7513" w:type="dxa"/>
            <w:vAlign w:val="center"/>
          </w:tcPr>
          <w:p>
            <w:pPr>
              <w:spacing w:line="340" w:lineRule="exact"/>
              <w:rPr>
                <w:position w:val="-2"/>
                <w:szCs w:val="21"/>
              </w:rPr>
            </w:pPr>
            <w:r>
              <w:rPr>
                <w:position w:val="-2"/>
                <w:szCs w:val="21"/>
              </w:rPr>
              <w:t>13.2、磋商供应商必须就“</w:t>
            </w:r>
            <w:r>
              <w:rPr>
                <w:szCs w:val="21"/>
              </w:rPr>
              <w:t>服务需求</w:t>
            </w:r>
            <w:r>
              <w:rPr>
                <w:position w:val="-2"/>
                <w:szCs w:val="21"/>
              </w:rPr>
              <w:t>”中公布的采购内容作完整唯一报价；</w:t>
            </w:r>
          </w:p>
          <w:p>
            <w:pPr>
              <w:spacing w:line="360" w:lineRule="exact"/>
              <w:rPr>
                <w:b/>
                <w:bCs/>
                <w:szCs w:val="21"/>
                <w:u w:val="single"/>
              </w:rPr>
            </w:pPr>
            <w:r>
              <w:rPr>
                <w:position w:val="-2"/>
                <w:szCs w:val="21"/>
              </w:rPr>
              <w:t>13.4、</w:t>
            </w:r>
            <w:r>
              <w:t>采购预算金额为</w:t>
            </w:r>
            <w:r>
              <w:rPr>
                <w:szCs w:val="21"/>
              </w:rPr>
              <w:t>（人民币）</w:t>
            </w:r>
            <w:r>
              <w:rPr>
                <w:rFonts w:hint="eastAsia"/>
                <w:szCs w:val="21"/>
              </w:rPr>
              <w:t>：壹佰伍拾万</w:t>
            </w:r>
            <w:r>
              <w:rPr>
                <w:szCs w:val="21"/>
              </w:rPr>
              <w:t>元整（￥</w:t>
            </w:r>
            <w:r>
              <w:rPr>
                <w:rFonts w:hint="eastAsia"/>
                <w:szCs w:val="21"/>
              </w:rPr>
              <w:t>1500000</w:t>
            </w:r>
            <w:r>
              <w:rPr>
                <w:szCs w:val="21"/>
              </w:rPr>
              <w:t>.00元）</w:t>
            </w:r>
            <w:r>
              <w:rPr>
                <w:rFonts w:hint="eastAsia"/>
                <w:szCs w:val="21"/>
              </w:rPr>
              <w:t>，</w:t>
            </w:r>
            <w:r>
              <w:rPr>
                <w:rFonts w:hint="eastAsia" w:ascii="宋体" w:hAnsi="宋体" w:cs="宋体"/>
              </w:rPr>
              <w:t>最高限价（如有）：与预算金额一致。</w:t>
            </w:r>
          </w:p>
          <w:p>
            <w:pPr>
              <w:spacing w:line="340" w:lineRule="exact"/>
            </w:pPr>
            <w:r>
              <w:rPr>
                <w:szCs w:val="21"/>
              </w:rPr>
              <w:t>13.6、</w:t>
            </w:r>
            <w:r>
              <w:rPr>
                <w:kern w:val="0"/>
                <w:szCs w:val="21"/>
              </w:rPr>
              <w:t>未书面退出磋商的供应商在规定时间内密封提交最后报价，其最后报价超出采购预算金额导致已通过评审的响应文件无效的，按供应商在提交响应文件截止时间后撤回响应文件处理。</w:t>
            </w:r>
          </w:p>
          <w:p>
            <w:pPr>
              <w:spacing w:line="340" w:lineRule="exact"/>
              <w:rPr>
                <w:szCs w:val="21"/>
              </w:rPr>
            </w:pPr>
            <w:r>
              <w:rPr>
                <w:position w:val="-2"/>
                <w:szCs w:val="21"/>
              </w:rPr>
              <w:t>1</w:t>
            </w:r>
            <w:r>
              <w:rPr>
                <w:kern w:val="0"/>
                <w:szCs w:val="21"/>
              </w:rPr>
              <w:t>3.7、最后磋商报价超出本项目采购预算金额的将被视为无效磋商。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68" w:type="dxa"/>
            <w:vAlign w:val="center"/>
          </w:tcPr>
          <w:p>
            <w:pPr>
              <w:spacing w:line="340" w:lineRule="exact"/>
              <w:ind w:firstLine="105" w:firstLineChars="50"/>
              <w:rPr>
                <w:szCs w:val="21"/>
              </w:rPr>
            </w:pPr>
            <w:r>
              <w:rPr>
                <w:szCs w:val="21"/>
              </w:rPr>
              <w:t>5</w:t>
            </w:r>
          </w:p>
        </w:tc>
        <w:tc>
          <w:tcPr>
            <w:tcW w:w="670" w:type="dxa"/>
            <w:vAlign w:val="center"/>
          </w:tcPr>
          <w:p>
            <w:pPr>
              <w:spacing w:line="340" w:lineRule="exact"/>
              <w:jc w:val="center"/>
              <w:rPr>
                <w:szCs w:val="21"/>
              </w:rPr>
            </w:pPr>
            <w:r>
              <w:rPr>
                <w:szCs w:val="21"/>
              </w:rPr>
              <w:t>14.1</w:t>
            </w:r>
          </w:p>
        </w:tc>
        <w:tc>
          <w:tcPr>
            <w:tcW w:w="2057" w:type="dxa"/>
            <w:vAlign w:val="center"/>
          </w:tcPr>
          <w:p>
            <w:pPr>
              <w:spacing w:line="340" w:lineRule="exact"/>
              <w:jc w:val="center"/>
              <w:rPr>
                <w:szCs w:val="21"/>
              </w:rPr>
            </w:pPr>
            <w:r>
              <w:rPr>
                <w:szCs w:val="21"/>
              </w:rPr>
              <w:t>响应文件有效期</w:t>
            </w:r>
          </w:p>
        </w:tc>
        <w:tc>
          <w:tcPr>
            <w:tcW w:w="7513" w:type="dxa"/>
            <w:vAlign w:val="center"/>
          </w:tcPr>
          <w:p>
            <w:pPr>
              <w:spacing w:line="340" w:lineRule="exact"/>
              <w:rPr>
                <w:szCs w:val="21"/>
              </w:rPr>
            </w:pPr>
            <w:r>
              <w:rPr>
                <w:szCs w:val="21"/>
              </w:rPr>
              <w:t>自响应文件递交截止时间之日起90天，有效期不足的响应文件将被拒绝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8" w:type="dxa"/>
            <w:vAlign w:val="center"/>
          </w:tcPr>
          <w:p>
            <w:pPr>
              <w:spacing w:line="340" w:lineRule="exact"/>
              <w:jc w:val="center"/>
              <w:rPr>
                <w:szCs w:val="21"/>
              </w:rPr>
            </w:pPr>
            <w:r>
              <w:rPr>
                <w:szCs w:val="21"/>
              </w:rPr>
              <w:t>6</w:t>
            </w:r>
          </w:p>
        </w:tc>
        <w:tc>
          <w:tcPr>
            <w:tcW w:w="670" w:type="dxa"/>
            <w:vAlign w:val="center"/>
          </w:tcPr>
          <w:p>
            <w:pPr>
              <w:spacing w:line="340" w:lineRule="exact"/>
              <w:jc w:val="center"/>
              <w:rPr>
                <w:szCs w:val="21"/>
              </w:rPr>
            </w:pPr>
            <w:r>
              <w:rPr>
                <w:szCs w:val="21"/>
              </w:rPr>
              <w:t>15.1</w:t>
            </w:r>
          </w:p>
        </w:tc>
        <w:tc>
          <w:tcPr>
            <w:tcW w:w="2057" w:type="dxa"/>
            <w:vAlign w:val="center"/>
          </w:tcPr>
          <w:p>
            <w:pPr>
              <w:spacing w:line="340" w:lineRule="exact"/>
              <w:jc w:val="center"/>
              <w:rPr>
                <w:szCs w:val="21"/>
              </w:rPr>
            </w:pPr>
            <w:r>
              <w:rPr>
                <w:szCs w:val="21"/>
              </w:rPr>
              <w:t>响应文件份数</w:t>
            </w:r>
          </w:p>
        </w:tc>
        <w:tc>
          <w:tcPr>
            <w:tcW w:w="7513" w:type="dxa"/>
            <w:vAlign w:val="center"/>
          </w:tcPr>
          <w:p>
            <w:pPr>
              <w:spacing w:line="340" w:lineRule="exact"/>
              <w:rPr>
                <w:szCs w:val="21"/>
              </w:rPr>
            </w:pPr>
            <w:r>
              <w:rPr>
                <w:b/>
                <w:bCs/>
                <w:szCs w:val="21"/>
              </w:rPr>
              <w:t>正本壹册，副本肆册，</w:t>
            </w:r>
            <w:r>
              <w:rPr>
                <w:szCs w:val="21"/>
              </w:rPr>
              <w:t>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68" w:type="dxa"/>
            <w:vAlign w:val="center"/>
          </w:tcPr>
          <w:p>
            <w:pPr>
              <w:spacing w:line="340" w:lineRule="exact"/>
              <w:jc w:val="center"/>
            </w:pPr>
            <w:r>
              <w:t>7</w:t>
            </w:r>
          </w:p>
        </w:tc>
        <w:tc>
          <w:tcPr>
            <w:tcW w:w="670" w:type="dxa"/>
            <w:vAlign w:val="center"/>
          </w:tcPr>
          <w:p>
            <w:pPr>
              <w:spacing w:line="340" w:lineRule="exact"/>
              <w:jc w:val="center"/>
            </w:pPr>
            <w:r>
              <w:t>15.2</w:t>
            </w:r>
          </w:p>
        </w:tc>
        <w:tc>
          <w:tcPr>
            <w:tcW w:w="2057" w:type="dxa"/>
            <w:vAlign w:val="center"/>
          </w:tcPr>
          <w:p>
            <w:pPr>
              <w:spacing w:line="340" w:lineRule="exact"/>
              <w:jc w:val="center"/>
              <w:rPr>
                <w:position w:val="10"/>
                <w:szCs w:val="21"/>
              </w:rPr>
            </w:pPr>
            <w:r>
              <w:rPr>
                <w:position w:val="10"/>
                <w:szCs w:val="21"/>
              </w:rPr>
              <w:t>响应文件</w:t>
            </w:r>
          </w:p>
          <w:p>
            <w:pPr>
              <w:spacing w:line="340" w:lineRule="exact"/>
              <w:jc w:val="center"/>
              <w:rPr>
                <w:position w:val="10"/>
                <w:szCs w:val="21"/>
              </w:rPr>
            </w:pPr>
            <w:r>
              <w:rPr>
                <w:position w:val="10"/>
                <w:szCs w:val="21"/>
              </w:rPr>
              <w:t>装订要求</w:t>
            </w:r>
          </w:p>
        </w:tc>
        <w:tc>
          <w:tcPr>
            <w:tcW w:w="7513" w:type="dxa"/>
            <w:vAlign w:val="center"/>
          </w:tcPr>
          <w:p>
            <w:pPr>
              <w:spacing w:line="340" w:lineRule="exact"/>
              <w:rPr>
                <w:szCs w:val="21"/>
              </w:rPr>
            </w:pPr>
            <w:r>
              <w:rPr>
                <w:szCs w:val="21"/>
              </w:rPr>
              <w:t>磋商供应商应按磋商供应商须知第11.1条响应文件的组成规定的顺序自编目录及页码，响应文件的“正本”、“副本”应当单独装订成册并标注页码，装订应牢固，不易拆散和换页</w:t>
            </w:r>
            <w:r>
              <w:rPr>
                <w:b/>
                <w:szCs w:val="21"/>
              </w:rPr>
              <w:t>（A4标准纸装订）</w:t>
            </w:r>
            <w:r>
              <w:rPr>
                <w:szCs w:val="21"/>
              </w:rPr>
              <w:t>。封面应注明“正本”、“副本”字样，封面上写明项目名称、项目编号、采购代理机构、磋商供应商名称。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568" w:type="dxa"/>
            <w:vAlign w:val="center"/>
          </w:tcPr>
          <w:p>
            <w:pPr>
              <w:spacing w:line="340" w:lineRule="exact"/>
              <w:jc w:val="center"/>
            </w:pPr>
            <w:r>
              <w:t>8</w:t>
            </w:r>
          </w:p>
        </w:tc>
        <w:tc>
          <w:tcPr>
            <w:tcW w:w="670" w:type="dxa"/>
            <w:vAlign w:val="center"/>
          </w:tcPr>
          <w:p>
            <w:pPr>
              <w:spacing w:line="340" w:lineRule="exact"/>
              <w:jc w:val="center"/>
            </w:pPr>
            <w:r>
              <w:t>15.6</w:t>
            </w:r>
          </w:p>
        </w:tc>
        <w:tc>
          <w:tcPr>
            <w:tcW w:w="2057" w:type="dxa"/>
            <w:vAlign w:val="center"/>
          </w:tcPr>
          <w:p>
            <w:pPr>
              <w:spacing w:line="340" w:lineRule="exact"/>
              <w:jc w:val="center"/>
              <w:rPr>
                <w:position w:val="10"/>
                <w:szCs w:val="21"/>
              </w:rPr>
            </w:pPr>
            <w:r>
              <w:rPr>
                <w:position w:val="10"/>
                <w:szCs w:val="21"/>
              </w:rPr>
              <w:t>响应文件包装、密封</w:t>
            </w:r>
          </w:p>
        </w:tc>
        <w:tc>
          <w:tcPr>
            <w:tcW w:w="7513" w:type="dxa"/>
            <w:vAlign w:val="center"/>
          </w:tcPr>
          <w:p>
            <w:pPr>
              <w:spacing w:line="340" w:lineRule="exact"/>
              <w:rPr>
                <w:szCs w:val="21"/>
              </w:rPr>
            </w:pPr>
            <w:r>
              <w:rPr>
                <w:szCs w:val="21"/>
              </w:rPr>
              <w:t>响应文件包装、密封：将响应文件“正本”、“副本”一并装入并密封在一个响应文件袋（盒、箱）中，并在密封处密封签章（公章或密封章或法定代表人或负责人或其授权委托代理人签字均可）。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8" w:type="dxa"/>
            <w:vAlign w:val="center"/>
          </w:tcPr>
          <w:p>
            <w:pPr>
              <w:spacing w:line="340" w:lineRule="exact"/>
              <w:jc w:val="center"/>
            </w:pPr>
            <w:r>
              <w:t>9</w:t>
            </w:r>
          </w:p>
        </w:tc>
        <w:tc>
          <w:tcPr>
            <w:tcW w:w="670" w:type="dxa"/>
            <w:vAlign w:val="center"/>
          </w:tcPr>
          <w:p>
            <w:pPr>
              <w:spacing w:line="340" w:lineRule="exact"/>
              <w:jc w:val="center"/>
            </w:pPr>
            <w:r>
              <w:t>15.7</w:t>
            </w:r>
          </w:p>
        </w:tc>
        <w:tc>
          <w:tcPr>
            <w:tcW w:w="2057" w:type="dxa"/>
            <w:vAlign w:val="center"/>
          </w:tcPr>
          <w:p>
            <w:pPr>
              <w:spacing w:line="340" w:lineRule="exact"/>
              <w:jc w:val="center"/>
              <w:rPr>
                <w:position w:val="10"/>
                <w:szCs w:val="21"/>
              </w:rPr>
            </w:pPr>
            <w:r>
              <w:rPr>
                <w:position w:val="10"/>
                <w:szCs w:val="21"/>
              </w:rPr>
              <w:t>响应文件包封袋上标记</w:t>
            </w:r>
          </w:p>
        </w:tc>
        <w:tc>
          <w:tcPr>
            <w:tcW w:w="7513" w:type="dxa"/>
            <w:vAlign w:val="center"/>
          </w:tcPr>
          <w:p>
            <w:pPr>
              <w:spacing w:line="340" w:lineRule="exact"/>
              <w:ind w:left="1050" w:hanging="1050" w:hangingChars="500"/>
              <w:rPr>
                <w:bCs/>
                <w:szCs w:val="21"/>
                <w:u w:val="single"/>
              </w:rPr>
            </w:pPr>
            <w:r>
              <w:rPr>
                <w:szCs w:val="21"/>
              </w:rPr>
              <w:t>项目名称：</w:t>
            </w:r>
            <w:r>
              <w:rPr>
                <w:rFonts w:hint="eastAsia"/>
                <w:szCs w:val="21"/>
              </w:rPr>
              <w:t>临桂区智能旅游系统采购项目</w:t>
            </w:r>
          </w:p>
          <w:p>
            <w:pPr>
              <w:spacing w:line="340" w:lineRule="exact"/>
              <w:rPr>
                <w:rFonts w:hint="eastAsia"/>
                <w:szCs w:val="21"/>
                <w:highlight w:val="none"/>
              </w:rPr>
            </w:pPr>
            <w:r>
              <w:rPr>
                <w:szCs w:val="21"/>
                <w:highlight w:val="none"/>
              </w:rPr>
              <w:t>项目编号：</w:t>
            </w:r>
            <w:r>
              <w:rPr>
                <w:rFonts w:hint="eastAsia"/>
                <w:szCs w:val="21"/>
                <w:highlight w:val="none"/>
              </w:rPr>
              <w:t>GLZC2020-C3-120047-TGGC</w:t>
            </w:r>
          </w:p>
          <w:p>
            <w:pPr>
              <w:spacing w:line="340" w:lineRule="exact"/>
              <w:rPr>
                <w:szCs w:val="21"/>
              </w:rPr>
            </w:pPr>
            <w:r>
              <w:rPr>
                <w:szCs w:val="21"/>
              </w:rPr>
              <w:t>采购代理机构：</w:t>
            </w:r>
            <w:r>
              <w:rPr>
                <w:rFonts w:hint="eastAsia"/>
                <w:szCs w:val="21"/>
              </w:rPr>
              <w:t>广西通观工程咨询有限公司</w:t>
            </w:r>
          </w:p>
          <w:p>
            <w:pPr>
              <w:spacing w:line="340" w:lineRule="exact"/>
              <w:rPr>
                <w:szCs w:val="21"/>
                <w:u w:val="single"/>
              </w:rPr>
            </w:pPr>
            <w:r>
              <w:rPr>
                <w:szCs w:val="21"/>
              </w:rPr>
              <w:t>磋商供应商名称：</w:t>
            </w:r>
          </w:p>
          <w:p>
            <w:pPr>
              <w:spacing w:line="340" w:lineRule="exact"/>
              <w:rPr>
                <w:szCs w:val="21"/>
              </w:rPr>
            </w:pPr>
            <w:r>
              <w:rPr>
                <w:szCs w:val="21"/>
              </w:rPr>
              <w:t>在     年   月   日   时   分前不得开启(此处填写响应文件递交截止时间)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68" w:type="dxa"/>
            <w:vAlign w:val="center"/>
          </w:tcPr>
          <w:p>
            <w:pPr>
              <w:spacing w:line="340" w:lineRule="exact"/>
              <w:jc w:val="center"/>
              <w:rPr>
                <w:szCs w:val="21"/>
              </w:rPr>
            </w:pPr>
            <w:r>
              <w:rPr>
                <w:szCs w:val="21"/>
              </w:rPr>
              <w:t>10</w:t>
            </w:r>
          </w:p>
        </w:tc>
        <w:tc>
          <w:tcPr>
            <w:tcW w:w="670" w:type="dxa"/>
            <w:vAlign w:val="center"/>
          </w:tcPr>
          <w:p>
            <w:pPr>
              <w:spacing w:line="340" w:lineRule="exact"/>
              <w:jc w:val="center"/>
              <w:rPr>
                <w:szCs w:val="21"/>
              </w:rPr>
            </w:pPr>
            <w:r>
              <w:rPr>
                <w:szCs w:val="21"/>
              </w:rPr>
              <w:t>15.8</w:t>
            </w:r>
          </w:p>
        </w:tc>
        <w:tc>
          <w:tcPr>
            <w:tcW w:w="2057" w:type="dxa"/>
            <w:vAlign w:val="center"/>
          </w:tcPr>
          <w:p>
            <w:pPr>
              <w:spacing w:line="340" w:lineRule="exact"/>
              <w:jc w:val="center"/>
              <w:rPr>
                <w:szCs w:val="21"/>
              </w:rPr>
            </w:pPr>
            <w:r>
              <w:rPr>
                <w:szCs w:val="21"/>
              </w:rPr>
              <w:t>磋商供应商公章</w:t>
            </w:r>
          </w:p>
        </w:tc>
        <w:tc>
          <w:tcPr>
            <w:tcW w:w="7513" w:type="dxa"/>
            <w:vAlign w:val="center"/>
          </w:tcPr>
          <w:p>
            <w:pPr>
              <w:spacing w:line="340" w:lineRule="exact"/>
              <w:rPr>
                <w:szCs w:val="21"/>
              </w:rPr>
            </w:pPr>
            <w:r>
              <w:rPr>
                <w:szCs w:val="21"/>
              </w:rPr>
              <w:t>本竞争性磋商文件中描述磋商供应商的“公章”是指根据我国对公章的管理规定，用磋商供应商法定主体行为名称制作的印章，除本文件有特殊规定外，磋商供应商的财务章、部门章、分公司章、工会章、合同章、磋商专用章、业务专用章及银行的转账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568" w:type="dxa"/>
            <w:vAlign w:val="center"/>
          </w:tcPr>
          <w:p>
            <w:pPr>
              <w:spacing w:line="340" w:lineRule="exact"/>
              <w:jc w:val="center"/>
              <w:rPr>
                <w:szCs w:val="21"/>
              </w:rPr>
            </w:pPr>
            <w:r>
              <w:rPr>
                <w:szCs w:val="21"/>
              </w:rPr>
              <w:t>11</w:t>
            </w:r>
          </w:p>
        </w:tc>
        <w:tc>
          <w:tcPr>
            <w:tcW w:w="670" w:type="dxa"/>
            <w:vAlign w:val="center"/>
          </w:tcPr>
          <w:p>
            <w:pPr>
              <w:spacing w:line="340" w:lineRule="exact"/>
              <w:jc w:val="center"/>
              <w:rPr>
                <w:szCs w:val="21"/>
              </w:rPr>
            </w:pPr>
            <w:r>
              <w:rPr>
                <w:szCs w:val="21"/>
              </w:rPr>
              <w:t>17.1</w:t>
            </w:r>
          </w:p>
        </w:tc>
        <w:tc>
          <w:tcPr>
            <w:tcW w:w="2057" w:type="dxa"/>
            <w:vAlign w:val="center"/>
          </w:tcPr>
          <w:p>
            <w:pPr>
              <w:spacing w:line="340" w:lineRule="exact"/>
              <w:jc w:val="center"/>
              <w:rPr>
                <w:spacing w:val="-4"/>
                <w:szCs w:val="21"/>
              </w:rPr>
            </w:pPr>
            <w:r>
              <w:rPr>
                <w:spacing w:val="-4"/>
                <w:szCs w:val="21"/>
              </w:rPr>
              <w:t>响应文件递交起止时间及递交截止时间</w:t>
            </w:r>
          </w:p>
        </w:tc>
        <w:tc>
          <w:tcPr>
            <w:tcW w:w="7513" w:type="dxa"/>
            <w:vAlign w:val="center"/>
          </w:tcPr>
          <w:p>
            <w:pPr>
              <w:spacing w:line="360" w:lineRule="exact"/>
              <w:rPr>
                <w:szCs w:val="21"/>
                <w:highlight w:val="yellow"/>
              </w:rPr>
            </w:pPr>
            <w:r>
              <w:rPr>
                <w:szCs w:val="21"/>
                <w:highlight w:val="yellow"/>
              </w:rPr>
              <w:t>响应文件递交起止时间：</w:t>
            </w:r>
            <w:r>
              <w:rPr>
                <w:rFonts w:hint="eastAsia"/>
                <w:szCs w:val="21"/>
                <w:highlight w:val="yellow"/>
                <w:lang w:val="en-US" w:eastAsia="zh-CN"/>
              </w:rPr>
              <w:t>2020</w:t>
            </w:r>
            <w:r>
              <w:rPr>
                <w:rFonts w:hint="eastAsia"/>
                <w:szCs w:val="21"/>
                <w:highlight w:val="yellow"/>
              </w:rPr>
              <w:t xml:space="preserve"> </w:t>
            </w:r>
            <w:r>
              <w:rPr>
                <w:szCs w:val="21"/>
                <w:highlight w:val="yellow"/>
              </w:rPr>
              <w:t>年</w:t>
            </w:r>
            <w:r>
              <w:rPr>
                <w:rFonts w:hint="eastAsia"/>
                <w:szCs w:val="21"/>
                <w:highlight w:val="yellow"/>
                <w:lang w:val="en-US" w:eastAsia="zh-CN"/>
              </w:rPr>
              <w:t>11</w:t>
            </w:r>
            <w:r>
              <w:rPr>
                <w:rFonts w:hint="eastAsia"/>
                <w:szCs w:val="21"/>
                <w:highlight w:val="yellow"/>
              </w:rPr>
              <w:t xml:space="preserve"> </w:t>
            </w:r>
            <w:r>
              <w:rPr>
                <w:szCs w:val="21"/>
                <w:highlight w:val="yellow"/>
              </w:rPr>
              <w:t>月</w:t>
            </w:r>
            <w:r>
              <w:rPr>
                <w:rFonts w:hint="eastAsia"/>
                <w:szCs w:val="21"/>
                <w:highlight w:val="yellow"/>
              </w:rPr>
              <w:t xml:space="preserve"> </w:t>
            </w:r>
            <w:r>
              <w:rPr>
                <w:rFonts w:hint="eastAsia"/>
                <w:szCs w:val="21"/>
                <w:highlight w:val="yellow"/>
                <w:lang w:val="en-US" w:eastAsia="zh-CN"/>
              </w:rPr>
              <w:t>12</w:t>
            </w:r>
            <w:r>
              <w:rPr>
                <w:rFonts w:hint="eastAsia"/>
                <w:szCs w:val="21"/>
                <w:highlight w:val="yellow"/>
              </w:rPr>
              <w:t xml:space="preserve"> </w:t>
            </w:r>
            <w:r>
              <w:rPr>
                <w:szCs w:val="21"/>
                <w:highlight w:val="yellow"/>
              </w:rPr>
              <w:t>日上午</w:t>
            </w:r>
            <w:r>
              <w:rPr>
                <w:rFonts w:hint="eastAsia"/>
                <w:szCs w:val="21"/>
                <w:highlight w:val="yellow"/>
              </w:rPr>
              <w:t xml:space="preserve"> </w:t>
            </w:r>
            <w:r>
              <w:rPr>
                <w:rFonts w:hint="eastAsia"/>
                <w:szCs w:val="21"/>
                <w:highlight w:val="yellow"/>
                <w:lang w:val="en-US" w:eastAsia="zh-CN"/>
              </w:rPr>
              <w:t>10</w:t>
            </w:r>
            <w:r>
              <w:rPr>
                <w:rFonts w:hint="eastAsia"/>
                <w:szCs w:val="21"/>
                <w:highlight w:val="yellow"/>
              </w:rPr>
              <w:t xml:space="preserve"> </w:t>
            </w:r>
            <w:r>
              <w:rPr>
                <w:szCs w:val="21"/>
                <w:highlight w:val="yellow"/>
              </w:rPr>
              <w:t>时</w:t>
            </w:r>
            <w:r>
              <w:rPr>
                <w:rFonts w:hint="eastAsia"/>
                <w:szCs w:val="21"/>
                <w:highlight w:val="yellow"/>
              </w:rPr>
              <w:t xml:space="preserve"> </w:t>
            </w:r>
            <w:r>
              <w:rPr>
                <w:rFonts w:hint="eastAsia"/>
                <w:szCs w:val="21"/>
                <w:highlight w:val="yellow"/>
                <w:lang w:val="en-US" w:eastAsia="zh-CN"/>
              </w:rPr>
              <w:t>00</w:t>
            </w:r>
            <w:r>
              <w:rPr>
                <w:rFonts w:hint="eastAsia"/>
                <w:szCs w:val="21"/>
                <w:highlight w:val="yellow"/>
              </w:rPr>
              <w:t xml:space="preserve"> </w:t>
            </w:r>
            <w:r>
              <w:rPr>
                <w:szCs w:val="21"/>
                <w:highlight w:val="yellow"/>
              </w:rPr>
              <w:t>分至</w:t>
            </w:r>
            <w:r>
              <w:rPr>
                <w:rFonts w:hint="eastAsia"/>
                <w:szCs w:val="21"/>
                <w:highlight w:val="yellow"/>
              </w:rPr>
              <w:t xml:space="preserve"> </w:t>
            </w:r>
            <w:r>
              <w:rPr>
                <w:rFonts w:hint="eastAsia"/>
                <w:szCs w:val="21"/>
                <w:highlight w:val="yellow"/>
                <w:lang w:val="en-US" w:eastAsia="zh-CN"/>
              </w:rPr>
              <w:t>10</w:t>
            </w:r>
            <w:r>
              <w:rPr>
                <w:rFonts w:hint="eastAsia"/>
                <w:szCs w:val="21"/>
                <w:highlight w:val="yellow"/>
              </w:rPr>
              <w:t xml:space="preserve"> </w:t>
            </w:r>
            <w:r>
              <w:rPr>
                <w:szCs w:val="21"/>
                <w:highlight w:val="yellow"/>
              </w:rPr>
              <w:t>时</w:t>
            </w:r>
            <w:r>
              <w:rPr>
                <w:rFonts w:hint="eastAsia"/>
                <w:szCs w:val="21"/>
                <w:highlight w:val="yellow"/>
              </w:rPr>
              <w:t xml:space="preserve"> </w:t>
            </w:r>
            <w:r>
              <w:rPr>
                <w:rFonts w:hint="eastAsia"/>
                <w:szCs w:val="21"/>
                <w:highlight w:val="yellow"/>
                <w:lang w:val="en-US" w:eastAsia="zh-CN"/>
              </w:rPr>
              <w:t>30</w:t>
            </w:r>
            <w:r>
              <w:rPr>
                <w:szCs w:val="21"/>
                <w:highlight w:val="yellow"/>
              </w:rPr>
              <w:t>分。</w:t>
            </w:r>
          </w:p>
          <w:p>
            <w:pPr>
              <w:spacing w:line="360" w:lineRule="exact"/>
            </w:pPr>
            <w:r>
              <w:rPr>
                <w:szCs w:val="21"/>
                <w:highlight w:val="yellow"/>
              </w:rPr>
              <w:t>响应文件递交截止时间</w:t>
            </w:r>
            <w:r>
              <w:rPr>
                <w:rFonts w:hint="eastAsia"/>
                <w:szCs w:val="21"/>
                <w:highlight w:val="yellow"/>
                <w:lang w:eastAsia="zh-CN"/>
              </w:rPr>
              <w:t>：</w:t>
            </w:r>
            <w:r>
              <w:rPr>
                <w:rFonts w:hint="eastAsia"/>
                <w:szCs w:val="21"/>
                <w:highlight w:val="yellow"/>
                <w:lang w:val="en-US" w:eastAsia="zh-CN"/>
              </w:rPr>
              <w:t>2020</w:t>
            </w:r>
            <w:r>
              <w:rPr>
                <w:rFonts w:hint="eastAsia"/>
                <w:szCs w:val="21"/>
                <w:highlight w:val="yellow"/>
              </w:rPr>
              <w:t xml:space="preserve"> </w:t>
            </w:r>
            <w:r>
              <w:rPr>
                <w:szCs w:val="21"/>
                <w:highlight w:val="yellow"/>
              </w:rPr>
              <w:t>年</w:t>
            </w:r>
            <w:r>
              <w:rPr>
                <w:rFonts w:hint="eastAsia"/>
                <w:szCs w:val="21"/>
                <w:highlight w:val="yellow"/>
              </w:rPr>
              <w:t xml:space="preserve"> </w:t>
            </w:r>
            <w:r>
              <w:rPr>
                <w:rFonts w:hint="eastAsia"/>
                <w:szCs w:val="21"/>
                <w:highlight w:val="yellow"/>
                <w:lang w:val="en-US" w:eastAsia="zh-CN"/>
              </w:rPr>
              <w:t>11</w:t>
            </w:r>
            <w:r>
              <w:rPr>
                <w:rFonts w:hint="eastAsia"/>
                <w:szCs w:val="21"/>
                <w:highlight w:val="yellow"/>
              </w:rPr>
              <w:t xml:space="preserve"> </w:t>
            </w:r>
            <w:r>
              <w:rPr>
                <w:szCs w:val="21"/>
                <w:highlight w:val="yellow"/>
              </w:rPr>
              <w:t>月</w:t>
            </w:r>
            <w:r>
              <w:rPr>
                <w:rFonts w:hint="eastAsia"/>
                <w:szCs w:val="21"/>
                <w:highlight w:val="yellow"/>
              </w:rPr>
              <w:t xml:space="preserve"> </w:t>
            </w:r>
            <w:r>
              <w:rPr>
                <w:rFonts w:hint="eastAsia"/>
                <w:szCs w:val="21"/>
                <w:highlight w:val="yellow"/>
                <w:lang w:val="en-US" w:eastAsia="zh-CN"/>
              </w:rPr>
              <w:t>12</w:t>
            </w:r>
            <w:r>
              <w:rPr>
                <w:rFonts w:hint="eastAsia"/>
                <w:szCs w:val="21"/>
                <w:highlight w:val="yellow"/>
              </w:rPr>
              <w:t xml:space="preserve">  </w:t>
            </w:r>
            <w:r>
              <w:rPr>
                <w:szCs w:val="21"/>
                <w:highlight w:val="yellow"/>
              </w:rPr>
              <w:t>日上午</w:t>
            </w:r>
            <w:r>
              <w:rPr>
                <w:rFonts w:hint="eastAsia"/>
                <w:szCs w:val="21"/>
                <w:highlight w:val="yellow"/>
              </w:rPr>
              <w:t xml:space="preserve"> </w:t>
            </w:r>
            <w:r>
              <w:rPr>
                <w:rFonts w:hint="eastAsia"/>
                <w:szCs w:val="21"/>
                <w:highlight w:val="yellow"/>
                <w:lang w:val="en-US" w:eastAsia="zh-CN"/>
              </w:rPr>
              <w:t>10</w:t>
            </w:r>
            <w:r>
              <w:rPr>
                <w:rFonts w:hint="eastAsia"/>
                <w:szCs w:val="21"/>
                <w:highlight w:val="yellow"/>
              </w:rPr>
              <w:t xml:space="preserve">  </w:t>
            </w:r>
            <w:r>
              <w:rPr>
                <w:szCs w:val="21"/>
                <w:highlight w:val="yellow"/>
              </w:rPr>
              <w:t>时</w:t>
            </w:r>
            <w:r>
              <w:rPr>
                <w:rFonts w:hint="eastAsia"/>
                <w:szCs w:val="21"/>
                <w:highlight w:val="yellow"/>
              </w:rPr>
              <w:t xml:space="preserve"> </w:t>
            </w:r>
            <w:r>
              <w:rPr>
                <w:rFonts w:hint="eastAsia"/>
                <w:szCs w:val="21"/>
                <w:highlight w:val="yellow"/>
                <w:lang w:val="en-US" w:eastAsia="zh-CN"/>
              </w:rPr>
              <w:t>30</w:t>
            </w:r>
            <w:r>
              <w:rPr>
                <w:rFonts w:hint="eastAsia"/>
                <w:szCs w:val="21"/>
                <w:highlight w:val="yellow"/>
              </w:rPr>
              <w:t xml:space="preserve">  </w:t>
            </w:r>
            <w:r>
              <w:rPr>
                <w:szCs w:val="21"/>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68" w:type="dxa"/>
            <w:vAlign w:val="center"/>
          </w:tcPr>
          <w:p>
            <w:pPr>
              <w:spacing w:line="340" w:lineRule="exact"/>
              <w:jc w:val="center"/>
              <w:rPr>
                <w:szCs w:val="21"/>
              </w:rPr>
            </w:pPr>
            <w:r>
              <w:rPr>
                <w:szCs w:val="21"/>
              </w:rPr>
              <w:t>12</w:t>
            </w:r>
          </w:p>
        </w:tc>
        <w:tc>
          <w:tcPr>
            <w:tcW w:w="670" w:type="dxa"/>
            <w:vAlign w:val="center"/>
          </w:tcPr>
          <w:p>
            <w:pPr>
              <w:spacing w:line="340" w:lineRule="exact"/>
              <w:jc w:val="center"/>
              <w:rPr>
                <w:position w:val="-2"/>
                <w:szCs w:val="21"/>
              </w:rPr>
            </w:pPr>
            <w:r>
              <w:rPr>
                <w:position w:val="-2"/>
                <w:szCs w:val="21"/>
              </w:rPr>
              <w:t>17.2</w:t>
            </w:r>
          </w:p>
        </w:tc>
        <w:tc>
          <w:tcPr>
            <w:tcW w:w="2057" w:type="dxa"/>
            <w:vAlign w:val="center"/>
          </w:tcPr>
          <w:p>
            <w:pPr>
              <w:spacing w:line="340" w:lineRule="exact"/>
              <w:jc w:val="center"/>
              <w:rPr>
                <w:position w:val="-2"/>
                <w:szCs w:val="21"/>
              </w:rPr>
            </w:pPr>
            <w:r>
              <w:rPr>
                <w:position w:val="-2"/>
                <w:szCs w:val="21"/>
              </w:rPr>
              <w:t>响应文件递交地点</w:t>
            </w:r>
          </w:p>
        </w:tc>
        <w:tc>
          <w:tcPr>
            <w:tcW w:w="7513" w:type="dxa"/>
            <w:vAlign w:val="center"/>
          </w:tcPr>
          <w:p>
            <w:pPr>
              <w:spacing w:line="340" w:lineRule="exact"/>
              <w:rPr>
                <w:szCs w:val="21"/>
              </w:rPr>
            </w:pPr>
            <w:r>
              <w:t>桂林市公共资源交易中心（临桂新区西城中路69号西辅</w:t>
            </w:r>
            <w:r>
              <w:rPr>
                <w:szCs w:val="21"/>
              </w:rPr>
              <w:t>楼四楼</w:t>
            </w:r>
            <w:r>
              <w:rPr>
                <w:rFonts w:hint="eastAsia"/>
                <w:szCs w:val="21"/>
                <w:highlight w:val="yellow"/>
              </w:rPr>
              <w:t xml:space="preserve"> </w:t>
            </w:r>
            <w:r>
              <w:rPr>
                <w:rFonts w:hint="eastAsia"/>
                <w:szCs w:val="21"/>
                <w:highlight w:val="yellow"/>
                <w:lang w:val="en-US" w:eastAsia="zh-CN"/>
              </w:rPr>
              <w:t>2</w:t>
            </w:r>
            <w:r>
              <w:rPr>
                <w:rFonts w:hint="eastAsia"/>
                <w:szCs w:val="21"/>
                <w:highlight w:val="yellow"/>
              </w:rPr>
              <w:t xml:space="preserve"> </w:t>
            </w:r>
            <w:r>
              <w:rPr>
                <w:szCs w:val="21"/>
                <w:highlight w:val="yellow"/>
              </w:rPr>
              <w:t>号</w:t>
            </w:r>
            <w:r>
              <w:rPr>
                <w:szCs w:val="21"/>
              </w:rPr>
              <w:t>开标室</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68" w:type="dxa"/>
            <w:vAlign w:val="center"/>
          </w:tcPr>
          <w:p>
            <w:pPr>
              <w:spacing w:line="340" w:lineRule="exact"/>
              <w:jc w:val="center"/>
            </w:pPr>
            <w:r>
              <w:t>13</w:t>
            </w:r>
          </w:p>
        </w:tc>
        <w:tc>
          <w:tcPr>
            <w:tcW w:w="670" w:type="dxa"/>
            <w:vAlign w:val="center"/>
          </w:tcPr>
          <w:p>
            <w:pPr>
              <w:spacing w:line="340" w:lineRule="exact"/>
              <w:jc w:val="center"/>
              <w:rPr>
                <w:szCs w:val="21"/>
              </w:rPr>
            </w:pPr>
            <w:r>
              <w:rPr>
                <w:szCs w:val="21"/>
              </w:rPr>
              <w:t>18.1</w:t>
            </w:r>
          </w:p>
        </w:tc>
        <w:tc>
          <w:tcPr>
            <w:tcW w:w="2057" w:type="dxa"/>
            <w:vAlign w:val="center"/>
          </w:tcPr>
          <w:p>
            <w:pPr>
              <w:spacing w:line="340" w:lineRule="exact"/>
              <w:jc w:val="center"/>
              <w:rPr>
                <w:szCs w:val="21"/>
              </w:rPr>
            </w:pPr>
            <w:r>
              <w:rPr>
                <w:position w:val="10"/>
                <w:szCs w:val="21"/>
              </w:rPr>
              <w:t>磋商小组的组成</w:t>
            </w:r>
          </w:p>
        </w:tc>
        <w:tc>
          <w:tcPr>
            <w:tcW w:w="7513" w:type="dxa"/>
          </w:tcPr>
          <w:p>
            <w:pPr>
              <w:spacing w:line="340" w:lineRule="exact"/>
            </w:pPr>
            <w:r>
              <w:t>磋商会议由采购代理机构负责组织，具体磋商评审工作由依法组建的磋商小组负责，磋商小组有采购人代表和有关方面的专家组成。</w:t>
            </w:r>
          </w:p>
          <w:p>
            <w:pPr>
              <w:spacing w:line="340" w:lineRule="exact"/>
              <w:rPr>
                <w:szCs w:val="21"/>
              </w:rPr>
            </w:pPr>
            <w:r>
              <w:rPr>
                <w:szCs w:val="21"/>
              </w:rPr>
              <w:t>磋商小组的构成：</w:t>
            </w:r>
            <w:r>
              <w:rPr>
                <w:szCs w:val="21"/>
                <w:u w:val="single"/>
              </w:rPr>
              <w:t>3</w:t>
            </w:r>
            <w:r>
              <w:rPr>
                <w:szCs w:val="21"/>
              </w:rPr>
              <w:t>人，其中采购人代表</w:t>
            </w:r>
            <w:r>
              <w:rPr>
                <w:szCs w:val="21"/>
                <w:u w:val="single"/>
              </w:rPr>
              <w:t>1</w:t>
            </w:r>
            <w:r>
              <w:rPr>
                <w:szCs w:val="21"/>
              </w:rPr>
              <w:t>人，有关专家</w:t>
            </w:r>
            <w:r>
              <w:rPr>
                <w:szCs w:val="21"/>
                <w:u w:val="single"/>
              </w:rPr>
              <w:t>2</w:t>
            </w:r>
            <w:r>
              <w:rPr>
                <w:szCs w:val="21"/>
              </w:rPr>
              <w:t>人。</w:t>
            </w:r>
          </w:p>
          <w:p>
            <w:pPr>
              <w:spacing w:line="340" w:lineRule="exact"/>
              <w:rPr>
                <w:szCs w:val="21"/>
              </w:rPr>
            </w:pPr>
            <w:r>
              <w:rPr>
                <w:szCs w:val="21"/>
              </w:rPr>
              <w:t>专家确定方式：开标前由招标</w:t>
            </w:r>
            <w:r>
              <w:rPr>
                <w:rFonts w:hint="eastAsia"/>
                <w:szCs w:val="21"/>
              </w:rPr>
              <w:t>代理</w:t>
            </w:r>
            <w:r>
              <w:rPr>
                <w:szCs w:val="21"/>
              </w:rPr>
              <w:t>单位从政府采购云平台中通过电脑随机抽取。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68" w:type="dxa"/>
            <w:vAlign w:val="center"/>
          </w:tcPr>
          <w:p>
            <w:pPr>
              <w:spacing w:line="340" w:lineRule="exact"/>
              <w:jc w:val="center"/>
              <w:rPr>
                <w:szCs w:val="21"/>
              </w:rPr>
            </w:pPr>
            <w:r>
              <w:rPr>
                <w:szCs w:val="21"/>
              </w:rPr>
              <w:t>14</w:t>
            </w:r>
          </w:p>
        </w:tc>
        <w:tc>
          <w:tcPr>
            <w:tcW w:w="670" w:type="dxa"/>
            <w:vAlign w:val="center"/>
          </w:tcPr>
          <w:p>
            <w:pPr>
              <w:spacing w:line="340" w:lineRule="exact"/>
              <w:jc w:val="center"/>
              <w:rPr>
                <w:szCs w:val="21"/>
              </w:rPr>
            </w:pPr>
            <w:r>
              <w:rPr>
                <w:szCs w:val="21"/>
              </w:rPr>
              <w:t>18.2</w:t>
            </w:r>
          </w:p>
        </w:tc>
        <w:tc>
          <w:tcPr>
            <w:tcW w:w="2057" w:type="dxa"/>
            <w:vAlign w:val="center"/>
          </w:tcPr>
          <w:p>
            <w:pPr>
              <w:spacing w:line="340" w:lineRule="exact"/>
              <w:jc w:val="center"/>
              <w:rPr>
                <w:szCs w:val="21"/>
              </w:rPr>
            </w:pPr>
            <w:r>
              <w:rPr>
                <w:szCs w:val="21"/>
              </w:rPr>
              <w:t>磋商时间、地点、人员</w:t>
            </w:r>
          </w:p>
        </w:tc>
        <w:tc>
          <w:tcPr>
            <w:tcW w:w="7513" w:type="dxa"/>
            <w:vAlign w:val="center"/>
          </w:tcPr>
          <w:p>
            <w:pPr>
              <w:spacing w:line="340" w:lineRule="exact"/>
              <w:rPr>
                <w:szCs w:val="21"/>
              </w:rPr>
            </w:pPr>
            <w:r>
              <w:rPr>
                <w:szCs w:val="21"/>
              </w:rPr>
              <w:t>1</w:t>
            </w:r>
            <w:r>
              <w:rPr>
                <w:rFonts w:hint="eastAsia"/>
                <w:szCs w:val="21"/>
              </w:rPr>
              <w:t>8</w:t>
            </w:r>
            <w:r>
              <w:rPr>
                <w:szCs w:val="21"/>
              </w:rPr>
              <w:t>.2.1、磋商时间：</w:t>
            </w:r>
            <w:r>
              <w:t>响应文件递交截止时间后。</w:t>
            </w:r>
          </w:p>
          <w:p>
            <w:pPr>
              <w:spacing w:line="340" w:lineRule="exact"/>
              <w:rPr>
                <w:szCs w:val="21"/>
              </w:rPr>
            </w:pPr>
            <w:r>
              <w:rPr>
                <w:szCs w:val="21"/>
              </w:rPr>
              <w:t>1</w:t>
            </w:r>
            <w:r>
              <w:rPr>
                <w:rFonts w:hint="eastAsia"/>
                <w:szCs w:val="21"/>
              </w:rPr>
              <w:t>8</w:t>
            </w:r>
            <w:r>
              <w:rPr>
                <w:szCs w:val="21"/>
              </w:rPr>
              <w:t>.2.2、磋商地点：</w:t>
            </w:r>
            <w:r>
              <w:t>桂林市公共资源交易中心（</w:t>
            </w:r>
            <w:r>
              <w:rPr>
                <w:szCs w:val="21"/>
              </w:rPr>
              <w:t>广西桂林市临桂区西城中路69号创业大厦西辅楼4楼北区，具体磋商评标室另行通知</w:t>
            </w:r>
            <w:r>
              <w:t>）。</w:t>
            </w:r>
          </w:p>
          <w:p>
            <w:pPr>
              <w:spacing w:line="340" w:lineRule="exact"/>
              <w:rPr>
                <w:szCs w:val="21"/>
              </w:rPr>
            </w:pPr>
            <w:r>
              <w:rPr>
                <w:szCs w:val="21"/>
              </w:rPr>
              <w:t>1</w:t>
            </w:r>
            <w:r>
              <w:rPr>
                <w:rFonts w:hint="eastAsia"/>
                <w:szCs w:val="21"/>
              </w:rPr>
              <w:t>8</w:t>
            </w:r>
            <w:r>
              <w:rPr>
                <w:szCs w:val="21"/>
              </w:rPr>
              <w:t>.2.3磋商参加人员：法定代表人或负责人或委托代理人持身份证原件参加磋商。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68" w:type="dxa"/>
            <w:vAlign w:val="center"/>
          </w:tcPr>
          <w:p>
            <w:pPr>
              <w:spacing w:line="340" w:lineRule="exact"/>
              <w:jc w:val="center"/>
              <w:rPr>
                <w:szCs w:val="21"/>
              </w:rPr>
            </w:pPr>
            <w:r>
              <w:rPr>
                <w:szCs w:val="21"/>
              </w:rPr>
              <w:t>15</w:t>
            </w:r>
          </w:p>
        </w:tc>
        <w:tc>
          <w:tcPr>
            <w:tcW w:w="670" w:type="dxa"/>
            <w:vAlign w:val="center"/>
          </w:tcPr>
          <w:p>
            <w:pPr>
              <w:spacing w:line="340" w:lineRule="exact"/>
              <w:jc w:val="center"/>
            </w:pPr>
            <w:r>
              <w:t>19.2</w:t>
            </w:r>
          </w:p>
        </w:tc>
        <w:tc>
          <w:tcPr>
            <w:tcW w:w="2057" w:type="dxa"/>
            <w:vAlign w:val="center"/>
          </w:tcPr>
          <w:p>
            <w:pPr>
              <w:spacing w:line="340" w:lineRule="exact"/>
              <w:jc w:val="center"/>
              <w:rPr>
                <w:position w:val="10"/>
                <w:szCs w:val="21"/>
              </w:rPr>
            </w:pPr>
            <w:r>
              <w:rPr>
                <w:szCs w:val="21"/>
              </w:rPr>
              <w:t>评审办法</w:t>
            </w:r>
          </w:p>
        </w:tc>
        <w:tc>
          <w:tcPr>
            <w:tcW w:w="7513" w:type="dxa"/>
            <w:vAlign w:val="center"/>
          </w:tcPr>
          <w:p>
            <w:pPr>
              <w:spacing w:line="340" w:lineRule="exact"/>
              <w:rPr>
                <w:szCs w:val="21"/>
              </w:rPr>
            </w:pPr>
            <w:r>
              <w:rPr>
                <w:szCs w:val="21"/>
              </w:rPr>
              <w:t>综合评分法，具体评审内容及标准详见第四章：评审办法。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68" w:type="dxa"/>
            <w:vAlign w:val="center"/>
          </w:tcPr>
          <w:p>
            <w:pPr>
              <w:spacing w:line="340" w:lineRule="exact"/>
              <w:jc w:val="center"/>
              <w:rPr>
                <w:szCs w:val="21"/>
              </w:rPr>
            </w:pPr>
            <w:r>
              <w:rPr>
                <w:szCs w:val="21"/>
              </w:rPr>
              <w:t>16</w:t>
            </w:r>
          </w:p>
        </w:tc>
        <w:tc>
          <w:tcPr>
            <w:tcW w:w="670" w:type="dxa"/>
            <w:vAlign w:val="center"/>
          </w:tcPr>
          <w:p>
            <w:pPr>
              <w:spacing w:line="340" w:lineRule="exact"/>
              <w:jc w:val="center"/>
              <w:rPr>
                <w:szCs w:val="21"/>
              </w:rPr>
            </w:pPr>
            <w:r>
              <w:rPr>
                <w:szCs w:val="21"/>
              </w:rPr>
              <w:t>22.4</w:t>
            </w:r>
          </w:p>
        </w:tc>
        <w:tc>
          <w:tcPr>
            <w:tcW w:w="2057" w:type="dxa"/>
            <w:vAlign w:val="center"/>
          </w:tcPr>
          <w:p>
            <w:pPr>
              <w:autoSpaceDE w:val="0"/>
              <w:autoSpaceDN w:val="0"/>
              <w:snapToGrid w:val="0"/>
              <w:spacing w:line="340" w:lineRule="exact"/>
              <w:jc w:val="center"/>
              <w:textAlignment w:val="bottom"/>
            </w:pPr>
            <w:r>
              <w:t>成交人信用信息查询</w:t>
            </w:r>
          </w:p>
        </w:tc>
        <w:tc>
          <w:tcPr>
            <w:tcW w:w="7513" w:type="dxa"/>
            <w:vAlign w:val="center"/>
          </w:tcPr>
          <w:p>
            <w:pPr>
              <w:autoSpaceDE w:val="0"/>
              <w:autoSpaceDN w:val="0"/>
              <w:snapToGrid w:val="0"/>
              <w:spacing w:line="340" w:lineRule="exact"/>
              <w:textAlignment w:val="bottom"/>
            </w:pPr>
            <w:r>
              <w:t>根据《关于做好政府采购有关信用主体标识码登记及在政府采购活动中查询使用信用记录有关问题的通知》桂财采〔2016〕37号的通知，采购代理机构在对成交人的成交资格进行信用查询：</w:t>
            </w:r>
          </w:p>
          <w:p>
            <w:pPr>
              <w:autoSpaceDE w:val="0"/>
              <w:autoSpaceDN w:val="0"/>
              <w:snapToGrid w:val="0"/>
              <w:spacing w:line="340" w:lineRule="exact"/>
              <w:textAlignment w:val="bottom"/>
            </w:pPr>
            <w:r>
              <w:t>（1）查询渠道：“信用中国”网站(www.creditchina.gov.cn)、中国政府采购网(www.ccgp.gov.cn)等；</w:t>
            </w:r>
          </w:p>
          <w:p>
            <w:pPr>
              <w:autoSpaceDE w:val="0"/>
              <w:autoSpaceDN w:val="0"/>
              <w:snapToGrid w:val="0"/>
              <w:spacing w:line="340" w:lineRule="exact"/>
              <w:textAlignment w:val="bottom"/>
            </w:pPr>
            <w:r>
              <w:t>（2）查询截止时点：成交通知书发出前；</w:t>
            </w:r>
          </w:p>
          <w:p>
            <w:pPr>
              <w:autoSpaceDE w:val="0"/>
              <w:autoSpaceDN w:val="0"/>
              <w:snapToGrid w:val="0"/>
              <w:spacing w:line="340" w:lineRule="exact"/>
              <w:textAlignment w:val="bottom"/>
            </w:pPr>
            <w:r>
              <w:t>（3）信用信息查询记录和证据留存方式：在查询网站中直接打印查询记录，打印材料作为采购活动资料保存。</w:t>
            </w:r>
          </w:p>
          <w:p>
            <w:pPr>
              <w:pStyle w:val="153"/>
              <w:spacing w:line="340" w:lineRule="exact"/>
              <w:rPr>
                <w:rFonts w:ascii="Times New Roman" w:hAnsi="Times New Roman"/>
              </w:rPr>
            </w:pPr>
            <w:r>
              <w:rPr>
                <w:rFonts w:ascii="Times New Roman" w:hAnsi="Times New Roman"/>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之后的成交候选人为成交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8" w:type="dxa"/>
            <w:vAlign w:val="center"/>
          </w:tcPr>
          <w:p>
            <w:pPr>
              <w:spacing w:line="340" w:lineRule="exact"/>
              <w:jc w:val="center"/>
              <w:rPr>
                <w:szCs w:val="21"/>
              </w:rPr>
            </w:pPr>
            <w:r>
              <w:rPr>
                <w:szCs w:val="21"/>
              </w:rPr>
              <w:t>17</w:t>
            </w:r>
          </w:p>
        </w:tc>
        <w:tc>
          <w:tcPr>
            <w:tcW w:w="670" w:type="dxa"/>
            <w:vAlign w:val="center"/>
          </w:tcPr>
          <w:p>
            <w:pPr>
              <w:spacing w:line="340" w:lineRule="exact"/>
              <w:jc w:val="center"/>
              <w:rPr>
                <w:szCs w:val="21"/>
              </w:rPr>
            </w:pPr>
            <w:r>
              <w:rPr>
                <w:szCs w:val="21"/>
              </w:rPr>
              <w:t>26</w:t>
            </w:r>
          </w:p>
        </w:tc>
        <w:tc>
          <w:tcPr>
            <w:tcW w:w="2057" w:type="dxa"/>
            <w:vAlign w:val="center"/>
          </w:tcPr>
          <w:p>
            <w:pPr>
              <w:spacing w:line="340" w:lineRule="exact"/>
              <w:jc w:val="center"/>
              <w:rPr>
                <w:szCs w:val="21"/>
              </w:rPr>
            </w:pPr>
            <w:r>
              <w:rPr>
                <w:szCs w:val="21"/>
              </w:rPr>
              <w:t>成交结果公告</w:t>
            </w:r>
          </w:p>
          <w:p>
            <w:pPr>
              <w:spacing w:line="340" w:lineRule="exact"/>
              <w:jc w:val="center"/>
              <w:rPr>
                <w:szCs w:val="21"/>
              </w:rPr>
            </w:pPr>
            <w:r>
              <w:rPr>
                <w:szCs w:val="21"/>
              </w:rPr>
              <w:t>及成交通知书</w:t>
            </w:r>
          </w:p>
        </w:tc>
        <w:tc>
          <w:tcPr>
            <w:tcW w:w="7513" w:type="dxa"/>
          </w:tcPr>
          <w:p>
            <w:pPr>
              <w:tabs>
                <w:tab w:val="left" w:pos="455"/>
              </w:tabs>
              <w:spacing w:line="340" w:lineRule="exact"/>
              <w:rPr>
                <w:szCs w:val="21"/>
              </w:rPr>
            </w:pPr>
            <w:r>
              <w:rPr>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340" w:lineRule="exact"/>
              <w:rPr>
                <w:szCs w:val="21"/>
              </w:rPr>
            </w:pPr>
            <w:r>
              <w:rPr>
                <w:szCs w:val="21"/>
              </w:rPr>
              <w:t>27.2、</w:t>
            </w:r>
            <w:r>
              <w:t>在发布成交结果公告的同时，采购代理机构向成交供应商发出成交通知书。</w:t>
            </w:r>
            <w:r>
              <w:rPr>
                <w:szCs w:val="21"/>
              </w:rPr>
              <w:t>成交供应商应自接到通知之日起七个工作日内，办理成交通知书领取手续。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68" w:type="dxa"/>
            <w:vAlign w:val="center"/>
          </w:tcPr>
          <w:p>
            <w:pPr>
              <w:spacing w:line="340" w:lineRule="exact"/>
              <w:jc w:val="center"/>
              <w:rPr>
                <w:szCs w:val="21"/>
              </w:rPr>
            </w:pPr>
            <w:r>
              <w:rPr>
                <w:szCs w:val="21"/>
              </w:rPr>
              <w:t>18</w:t>
            </w:r>
          </w:p>
        </w:tc>
        <w:tc>
          <w:tcPr>
            <w:tcW w:w="670" w:type="dxa"/>
            <w:vAlign w:val="center"/>
          </w:tcPr>
          <w:p>
            <w:pPr>
              <w:spacing w:line="340" w:lineRule="exact"/>
              <w:jc w:val="center"/>
              <w:rPr>
                <w:szCs w:val="21"/>
              </w:rPr>
            </w:pPr>
            <w:r>
              <w:rPr>
                <w:szCs w:val="21"/>
              </w:rPr>
              <w:t>27</w:t>
            </w:r>
          </w:p>
        </w:tc>
        <w:tc>
          <w:tcPr>
            <w:tcW w:w="2057" w:type="dxa"/>
            <w:vAlign w:val="center"/>
          </w:tcPr>
          <w:p>
            <w:pPr>
              <w:spacing w:line="340" w:lineRule="exact"/>
              <w:jc w:val="center"/>
            </w:pPr>
            <w:r>
              <w:t>合同履约担保</w:t>
            </w:r>
          </w:p>
        </w:tc>
        <w:tc>
          <w:tcPr>
            <w:tcW w:w="7513" w:type="dxa"/>
            <w:vAlign w:val="center"/>
          </w:tcPr>
          <w:p>
            <w:pPr>
              <w:spacing w:line="340" w:lineRule="exact"/>
              <w:rPr>
                <w:szCs w:val="21"/>
              </w:rPr>
            </w:pPr>
            <w:r>
              <w:rPr>
                <w:rFonts w:hint="eastAsia"/>
                <w:color w:val="000000"/>
                <w:szCs w:val="21"/>
              </w:rPr>
              <w:t>本项目无需缴纳履约保证金。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68" w:type="dxa"/>
            <w:vAlign w:val="center"/>
          </w:tcPr>
          <w:p>
            <w:pPr>
              <w:spacing w:line="340" w:lineRule="exact"/>
              <w:jc w:val="center"/>
              <w:rPr>
                <w:szCs w:val="21"/>
              </w:rPr>
            </w:pPr>
            <w:r>
              <w:rPr>
                <w:szCs w:val="21"/>
              </w:rPr>
              <w:t>19</w:t>
            </w:r>
          </w:p>
        </w:tc>
        <w:tc>
          <w:tcPr>
            <w:tcW w:w="670" w:type="dxa"/>
            <w:vAlign w:val="center"/>
          </w:tcPr>
          <w:p>
            <w:pPr>
              <w:spacing w:line="340" w:lineRule="exact"/>
              <w:jc w:val="center"/>
              <w:rPr>
                <w:szCs w:val="21"/>
              </w:rPr>
            </w:pPr>
            <w:r>
              <w:rPr>
                <w:szCs w:val="21"/>
              </w:rPr>
              <w:t>28.1</w:t>
            </w:r>
          </w:p>
        </w:tc>
        <w:tc>
          <w:tcPr>
            <w:tcW w:w="2057" w:type="dxa"/>
            <w:vAlign w:val="center"/>
          </w:tcPr>
          <w:p>
            <w:pPr>
              <w:spacing w:line="340" w:lineRule="exact"/>
              <w:jc w:val="center"/>
            </w:pPr>
            <w:r>
              <w:t>签订合同时间</w:t>
            </w:r>
          </w:p>
        </w:tc>
        <w:tc>
          <w:tcPr>
            <w:tcW w:w="7513" w:type="dxa"/>
            <w:vAlign w:val="center"/>
          </w:tcPr>
          <w:p>
            <w:pPr>
              <w:spacing w:line="340" w:lineRule="exact"/>
            </w:pPr>
            <w:r>
              <w:t>成交通知书发出后</w:t>
            </w:r>
            <w:r>
              <w:rPr>
                <w:rFonts w:hint="eastAsia"/>
              </w:rPr>
              <w:t>二十</w:t>
            </w:r>
            <w: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68" w:type="dxa"/>
            <w:vAlign w:val="center"/>
          </w:tcPr>
          <w:p>
            <w:pPr>
              <w:spacing w:line="340" w:lineRule="exact"/>
              <w:jc w:val="center"/>
              <w:rPr>
                <w:szCs w:val="21"/>
              </w:rPr>
            </w:pPr>
            <w:r>
              <w:rPr>
                <w:szCs w:val="21"/>
              </w:rPr>
              <w:t>20</w:t>
            </w:r>
          </w:p>
        </w:tc>
        <w:tc>
          <w:tcPr>
            <w:tcW w:w="670" w:type="dxa"/>
            <w:vAlign w:val="center"/>
          </w:tcPr>
          <w:p>
            <w:pPr>
              <w:spacing w:line="340" w:lineRule="exact"/>
              <w:jc w:val="center"/>
              <w:rPr>
                <w:szCs w:val="21"/>
              </w:rPr>
            </w:pPr>
            <w:r>
              <w:rPr>
                <w:szCs w:val="21"/>
              </w:rPr>
              <w:t>28.3</w:t>
            </w:r>
          </w:p>
        </w:tc>
        <w:tc>
          <w:tcPr>
            <w:tcW w:w="2057" w:type="dxa"/>
            <w:vAlign w:val="center"/>
          </w:tcPr>
          <w:p>
            <w:pPr>
              <w:spacing w:line="340" w:lineRule="exact"/>
              <w:jc w:val="center"/>
            </w:pPr>
            <w:r>
              <w:t>合同备案存档</w:t>
            </w:r>
          </w:p>
        </w:tc>
        <w:tc>
          <w:tcPr>
            <w:tcW w:w="7513" w:type="dxa"/>
            <w:vAlign w:val="center"/>
          </w:tcPr>
          <w:p>
            <w:pPr>
              <w:spacing w:line="340" w:lineRule="exact"/>
              <w:rPr>
                <w:szCs w:val="21"/>
              </w:rPr>
            </w:pPr>
            <w:r>
              <w:rPr>
                <w:szCs w:val="21"/>
              </w:rPr>
              <w:t>政府采购合同双方自签订之日起1个工作日内将合同原件两份交采购代理机构。采购代理机构将政府采购合同在省级以上人民政府财政部门指定媒体上公告并于合同签订之日起七个工作日内将一份合同原件送</w:t>
            </w:r>
            <w:r>
              <w:rPr>
                <w:rFonts w:hint="eastAsia"/>
                <w:szCs w:val="21"/>
              </w:rPr>
              <w:t>桂林市临桂区财政局政府采购监督管理股</w:t>
            </w:r>
            <w:r>
              <w:rPr>
                <w:color w:val="000000"/>
              </w:rPr>
              <w:t>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8" w:type="dxa"/>
            <w:vAlign w:val="center"/>
          </w:tcPr>
          <w:p>
            <w:pPr>
              <w:spacing w:line="340" w:lineRule="exact"/>
              <w:jc w:val="center"/>
              <w:rPr>
                <w:szCs w:val="21"/>
              </w:rPr>
            </w:pPr>
            <w:r>
              <w:rPr>
                <w:szCs w:val="21"/>
              </w:rPr>
              <w:t>21</w:t>
            </w:r>
          </w:p>
        </w:tc>
        <w:tc>
          <w:tcPr>
            <w:tcW w:w="670" w:type="dxa"/>
            <w:vAlign w:val="center"/>
          </w:tcPr>
          <w:p>
            <w:pPr>
              <w:spacing w:line="340" w:lineRule="exact"/>
              <w:jc w:val="center"/>
              <w:rPr>
                <w:szCs w:val="21"/>
              </w:rPr>
            </w:pPr>
            <w:r>
              <w:rPr>
                <w:szCs w:val="21"/>
              </w:rPr>
              <w:t>29</w:t>
            </w:r>
          </w:p>
        </w:tc>
        <w:tc>
          <w:tcPr>
            <w:tcW w:w="2057" w:type="dxa"/>
            <w:vAlign w:val="center"/>
          </w:tcPr>
          <w:p>
            <w:pPr>
              <w:spacing w:line="340" w:lineRule="exact"/>
              <w:jc w:val="center"/>
            </w:pPr>
            <w:r>
              <w:t>代理服务费</w:t>
            </w:r>
          </w:p>
        </w:tc>
        <w:tc>
          <w:tcPr>
            <w:tcW w:w="7513" w:type="dxa"/>
            <w:vAlign w:val="center"/>
          </w:tcPr>
          <w:p>
            <w:pPr>
              <w:spacing w:line="340" w:lineRule="exact"/>
              <w:rPr>
                <w:szCs w:val="21"/>
              </w:rPr>
            </w:pPr>
            <w:r>
              <w:rPr>
                <w:szCs w:val="21"/>
              </w:rPr>
              <w:t>成交供应商领取成交通知书前，参照计价格[2002]1980号《招标代理服务收费管理暂行办法》服务类收费标准向</w:t>
            </w:r>
            <w:r>
              <w:rPr>
                <w:rFonts w:hint="eastAsia"/>
                <w:szCs w:val="21"/>
              </w:rPr>
              <w:t>广西通观工程咨询有限公司</w:t>
            </w:r>
            <w:r>
              <w:rPr>
                <w:szCs w:val="21"/>
              </w:rPr>
              <w:t>一次性付清代理</w:t>
            </w:r>
            <w:r>
              <w:rPr>
                <w:rFonts w:hint="eastAsia"/>
                <w:szCs w:val="21"/>
              </w:rPr>
              <w:t xml:space="preserve">服务  </w:t>
            </w:r>
            <w:r>
              <w:rPr>
                <w:szCs w:val="21"/>
              </w:rPr>
              <w:t>费。</w:t>
            </w:r>
          </w:p>
          <w:p>
            <w:pPr>
              <w:spacing w:line="380" w:lineRule="exact"/>
            </w:pPr>
            <w:r>
              <w:rPr>
                <w:b/>
              </w:rPr>
              <w:t>交纳代理服务费的银行账户：</w:t>
            </w:r>
          </w:p>
          <w:p>
            <w:pPr>
              <w:spacing w:line="380" w:lineRule="exact"/>
              <w:ind w:firstLine="420" w:firstLineChars="200"/>
            </w:pPr>
            <w:r>
              <w:t>账户名称：</w:t>
            </w:r>
            <w:r>
              <w:rPr>
                <w:rFonts w:hint="eastAsia"/>
              </w:rPr>
              <w:t>广西通观工程咨询有限公司</w:t>
            </w:r>
          </w:p>
          <w:p>
            <w:pPr>
              <w:pStyle w:val="23"/>
              <w:snapToGrid w:val="0"/>
              <w:spacing w:line="360" w:lineRule="exact"/>
              <w:ind w:firstLine="420" w:firstLineChars="200"/>
              <w:rPr>
                <w:rFonts w:ascii="Times New Roman" w:hAnsi="Times New Roman"/>
              </w:rPr>
            </w:pPr>
            <w:r>
              <w:rPr>
                <w:rFonts w:ascii="Times New Roman" w:hAnsi="Times New Roman"/>
              </w:rPr>
              <w:t>银行开户行：中国工商银行桂林市临桂金山支行</w:t>
            </w:r>
          </w:p>
          <w:p>
            <w:pPr>
              <w:spacing w:line="380" w:lineRule="exact"/>
              <w:ind w:firstLine="420" w:firstLineChars="200"/>
            </w:pPr>
            <w:r>
              <w:t>银行账号：2103281809300013969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568" w:type="dxa"/>
            <w:vAlign w:val="center"/>
          </w:tcPr>
          <w:p>
            <w:pPr>
              <w:spacing w:line="340" w:lineRule="exact"/>
              <w:jc w:val="center"/>
              <w:rPr>
                <w:szCs w:val="21"/>
              </w:rPr>
            </w:pPr>
            <w:r>
              <w:rPr>
                <w:szCs w:val="21"/>
              </w:rPr>
              <w:t>22</w:t>
            </w:r>
          </w:p>
        </w:tc>
        <w:tc>
          <w:tcPr>
            <w:tcW w:w="670" w:type="dxa"/>
            <w:vAlign w:val="center"/>
          </w:tcPr>
          <w:p>
            <w:pPr>
              <w:spacing w:line="340" w:lineRule="exact"/>
              <w:jc w:val="center"/>
              <w:rPr>
                <w:szCs w:val="21"/>
              </w:rPr>
            </w:pPr>
            <w:r>
              <w:rPr>
                <w:szCs w:val="21"/>
              </w:rPr>
              <w:t>31</w:t>
            </w:r>
          </w:p>
        </w:tc>
        <w:tc>
          <w:tcPr>
            <w:tcW w:w="2057" w:type="dxa"/>
            <w:vAlign w:val="center"/>
          </w:tcPr>
          <w:p>
            <w:pPr>
              <w:spacing w:line="340" w:lineRule="exact"/>
              <w:jc w:val="center"/>
            </w:pPr>
            <w:r>
              <w:t>解释权</w:t>
            </w:r>
          </w:p>
        </w:tc>
        <w:tc>
          <w:tcPr>
            <w:tcW w:w="7513" w:type="dxa"/>
            <w:vAlign w:val="center"/>
          </w:tcPr>
          <w:p>
            <w:pPr>
              <w:spacing w:line="340" w:lineRule="exact"/>
              <w:rPr>
                <w:szCs w:val="21"/>
              </w:rPr>
            </w:pPr>
            <w:r>
              <w:rPr>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68" w:type="dxa"/>
            <w:vAlign w:val="center"/>
          </w:tcPr>
          <w:p>
            <w:pPr>
              <w:spacing w:line="340" w:lineRule="exact"/>
              <w:jc w:val="center"/>
              <w:rPr>
                <w:szCs w:val="21"/>
              </w:rPr>
            </w:pPr>
            <w:r>
              <w:rPr>
                <w:szCs w:val="21"/>
              </w:rPr>
              <w:t>23</w:t>
            </w:r>
          </w:p>
        </w:tc>
        <w:tc>
          <w:tcPr>
            <w:tcW w:w="670" w:type="dxa"/>
            <w:vAlign w:val="center"/>
          </w:tcPr>
          <w:p>
            <w:pPr>
              <w:spacing w:line="340" w:lineRule="exact"/>
              <w:jc w:val="center"/>
              <w:rPr>
                <w:szCs w:val="21"/>
              </w:rPr>
            </w:pPr>
            <w:r>
              <w:rPr>
                <w:szCs w:val="21"/>
              </w:rPr>
              <w:t>32</w:t>
            </w:r>
          </w:p>
        </w:tc>
        <w:tc>
          <w:tcPr>
            <w:tcW w:w="2057" w:type="dxa"/>
            <w:vAlign w:val="center"/>
          </w:tcPr>
          <w:p>
            <w:pPr>
              <w:spacing w:line="340" w:lineRule="exact"/>
              <w:jc w:val="center"/>
            </w:pPr>
            <w:r>
              <w:t>监督管理机构</w:t>
            </w:r>
          </w:p>
        </w:tc>
        <w:tc>
          <w:tcPr>
            <w:tcW w:w="7513" w:type="dxa"/>
            <w:vAlign w:val="center"/>
          </w:tcPr>
          <w:p>
            <w:pPr>
              <w:spacing w:line="340" w:lineRule="exact"/>
              <w:rPr>
                <w:szCs w:val="21"/>
              </w:rPr>
            </w:pPr>
            <w:r>
              <w:rPr>
                <w:rFonts w:hint="eastAsia"/>
                <w:szCs w:val="21"/>
              </w:rPr>
              <w:t>桂林市临桂区财政局政府采购监督管理股   联系电话：0773-5593932</w:t>
            </w:r>
          </w:p>
        </w:tc>
      </w:tr>
    </w:tbl>
    <w:p>
      <w:pPr>
        <w:spacing w:line="440" w:lineRule="atLeast"/>
        <w:ind w:firstLine="627" w:firstLineChars="196"/>
        <w:jc w:val="center"/>
        <w:rPr>
          <w:b/>
          <w:sz w:val="28"/>
          <w:szCs w:val="28"/>
        </w:rPr>
      </w:pPr>
      <w:r>
        <w:rPr>
          <w:b/>
          <w:sz w:val="32"/>
          <w:szCs w:val="32"/>
        </w:rPr>
        <w:br w:type="page"/>
      </w:r>
      <w:r>
        <w:rPr>
          <w:b/>
          <w:sz w:val="28"/>
          <w:szCs w:val="28"/>
        </w:rPr>
        <w:t>一、总则</w:t>
      </w:r>
    </w:p>
    <w:p>
      <w:pPr>
        <w:spacing w:line="390" w:lineRule="exact"/>
        <w:ind w:firstLine="411" w:firstLineChars="196"/>
        <w:rPr>
          <w:b/>
          <w:szCs w:val="21"/>
        </w:rPr>
      </w:pPr>
      <w:r>
        <w:rPr>
          <w:b/>
          <w:szCs w:val="21"/>
        </w:rPr>
        <w:t>1、适应范围</w:t>
      </w:r>
    </w:p>
    <w:p>
      <w:pPr>
        <w:spacing w:line="380" w:lineRule="exact"/>
        <w:ind w:firstLine="435"/>
        <w:rPr>
          <w:szCs w:val="21"/>
        </w:rPr>
      </w:pPr>
      <w:r>
        <w:rPr>
          <w:szCs w:val="21"/>
        </w:rPr>
        <w:t>1.1项目名称：</w:t>
      </w:r>
      <w:r>
        <w:rPr>
          <w:rFonts w:hint="eastAsia"/>
          <w:szCs w:val="21"/>
        </w:rPr>
        <w:t>临桂区智能旅游系统采购项目</w:t>
      </w:r>
    </w:p>
    <w:p>
      <w:pPr>
        <w:spacing w:line="380" w:lineRule="exact"/>
        <w:ind w:firstLine="435"/>
        <w:rPr>
          <w:szCs w:val="21"/>
        </w:rPr>
      </w:pPr>
      <w:r>
        <w:rPr>
          <w:rFonts w:hint="eastAsia"/>
          <w:szCs w:val="21"/>
        </w:rPr>
        <w:t xml:space="preserve">   项目编号：GLZC2020-C3-120047-TGGC</w:t>
      </w:r>
    </w:p>
    <w:p>
      <w:pPr>
        <w:spacing w:line="380" w:lineRule="exact"/>
        <w:ind w:firstLine="435"/>
        <w:rPr>
          <w:szCs w:val="21"/>
        </w:rPr>
      </w:pPr>
      <w:r>
        <w:rPr>
          <w:szCs w:val="21"/>
        </w:rPr>
        <w:t>1.2本竞争性磋商文件（以下简称磋商文件）适用于本磋商项目的磋商、评审、合同履约、验收、付款等行为（法律、法规另有规定的，从其规定）。</w:t>
      </w:r>
    </w:p>
    <w:p>
      <w:pPr>
        <w:spacing w:line="390" w:lineRule="exact"/>
        <w:ind w:firstLine="435"/>
        <w:rPr>
          <w:b/>
          <w:szCs w:val="21"/>
        </w:rPr>
      </w:pPr>
      <w:r>
        <w:rPr>
          <w:b/>
          <w:szCs w:val="21"/>
        </w:rPr>
        <w:t>2、定义</w:t>
      </w:r>
    </w:p>
    <w:p>
      <w:pPr>
        <w:spacing w:line="380" w:lineRule="exact"/>
        <w:ind w:firstLine="435"/>
        <w:rPr>
          <w:szCs w:val="21"/>
        </w:rPr>
      </w:pPr>
      <w:r>
        <w:rPr>
          <w:szCs w:val="21"/>
        </w:rPr>
        <w:t>2.1、“招标采购单位”是指组织本次采购的采购人和采购代理机构。</w:t>
      </w:r>
    </w:p>
    <w:p>
      <w:pPr>
        <w:spacing w:line="390" w:lineRule="exact"/>
        <w:ind w:firstLine="435"/>
        <w:rPr>
          <w:szCs w:val="21"/>
        </w:rPr>
      </w:pPr>
      <w:r>
        <w:rPr>
          <w:szCs w:val="21"/>
        </w:rPr>
        <w:t>2.2、“磋商供应商”是指符合本次采购项目的磋商供应商资格并提交响应文件、参加磋商的供应商。如果该供应商在本次磋商中成交，即成为“成交供应商”。</w:t>
      </w:r>
    </w:p>
    <w:p>
      <w:pPr>
        <w:spacing w:line="390" w:lineRule="exact"/>
        <w:ind w:firstLine="435"/>
        <w:rPr>
          <w:szCs w:val="21"/>
        </w:rPr>
      </w:pPr>
      <w:r>
        <w:rPr>
          <w:szCs w:val="21"/>
        </w:rPr>
        <w:t>2.3、“服务”系指按磋商文件规定，磋商供应商须承担的安装、调试、技术协助、校准、培训、技术指导以及其他类似的义务。</w:t>
      </w:r>
    </w:p>
    <w:p>
      <w:pPr>
        <w:spacing w:line="390" w:lineRule="exact"/>
        <w:ind w:firstLine="435"/>
        <w:rPr>
          <w:szCs w:val="21"/>
        </w:rPr>
      </w:pPr>
      <w:r>
        <w:rPr>
          <w:szCs w:val="21"/>
        </w:rPr>
        <w:t>2.4、“项目”系指磋商供应商按磋商文件规定向采购人提供服务。</w:t>
      </w:r>
    </w:p>
    <w:p>
      <w:pPr>
        <w:spacing w:line="390" w:lineRule="exact"/>
        <w:ind w:firstLine="435"/>
        <w:rPr>
          <w:szCs w:val="21"/>
        </w:rPr>
      </w:pPr>
      <w:r>
        <w:rPr>
          <w:szCs w:val="21"/>
        </w:rPr>
        <w:t>2.5、“书面形式”包括信函、传真、电报等。</w:t>
      </w:r>
    </w:p>
    <w:p>
      <w:pPr>
        <w:spacing w:line="390" w:lineRule="exact"/>
        <w:ind w:firstLine="435"/>
        <w:rPr>
          <w:szCs w:val="21"/>
        </w:rPr>
      </w:pPr>
      <w:r>
        <w:rPr>
          <w:szCs w:val="21"/>
        </w:rPr>
        <w:t>2.6、知识产权：指专利权、商标权、著作权等无形财产专有权的统称。</w:t>
      </w:r>
    </w:p>
    <w:p>
      <w:pPr>
        <w:spacing w:line="390" w:lineRule="exact"/>
        <w:ind w:firstLine="435"/>
        <w:rPr>
          <w:b/>
          <w:szCs w:val="21"/>
        </w:rPr>
      </w:pPr>
      <w:r>
        <w:rPr>
          <w:b/>
          <w:szCs w:val="21"/>
        </w:rPr>
        <w:t>3、磋商供应商资格</w:t>
      </w:r>
    </w:p>
    <w:p>
      <w:pPr>
        <w:spacing w:line="390" w:lineRule="exact"/>
        <w:ind w:firstLine="435"/>
        <w:rPr>
          <w:szCs w:val="21"/>
        </w:rPr>
      </w:pPr>
      <w:r>
        <w:rPr>
          <w:szCs w:val="21"/>
        </w:rPr>
        <w:t>见磋商供应商须知前附表第2条内容。</w:t>
      </w:r>
    </w:p>
    <w:p>
      <w:pPr>
        <w:spacing w:line="390" w:lineRule="exact"/>
        <w:ind w:firstLine="435"/>
        <w:rPr>
          <w:b/>
          <w:szCs w:val="21"/>
        </w:rPr>
      </w:pPr>
      <w:r>
        <w:rPr>
          <w:b/>
          <w:szCs w:val="21"/>
        </w:rPr>
        <w:t>4、磋商费用</w:t>
      </w:r>
    </w:p>
    <w:p>
      <w:pPr>
        <w:spacing w:line="390" w:lineRule="exact"/>
        <w:ind w:firstLine="435"/>
        <w:rPr>
          <w:szCs w:val="21"/>
        </w:rPr>
      </w:pPr>
      <w:r>
        <w:rPr>
          <w:szCs w:val="21"/>
        </w:rPr>
        <w:t>见磋商供应商须知前附表第3条内容。</w:t>
      </w:r>
    </w:p>
    <w:p>
      <w:pPr>
        <w:tabs>
          <w:tab w:val="left" w:pos="1635"/>
        </w:tabs>
        <w:spacing w:line="400" w:lineRule="exact"/>
        <w:ind w:firstLine="435"/>
        <w:rPr>
          <w:b/>
          <w:szCs w:val="21"/>
        </w:rPr>
      </w:pPr>
      <w:r>
        <w:rPr>
          <w:b/>
          <w:szCs w:val="21"/>
        </w:rPr>
        <w:t>5、联合体磋商要求（本项目不接受联合体磋商）</w:t>
      </w:r>
    </w:p>
    <w:p>
      <w:pPr>
        <w:tabs>
          <w:tab w:val="left" w:pos="2190"/>
        </w:tabs>
        <w:spacing w:line="390" w:lineRule="exact"/>
        <w:ind w:firstLine="411" w:firstLineChars="196"/>
        <w:rPr>
          <w:b/>
          <w:szCs w:val="21"/>
        </w:rPr>
      </w:pPr>
      <w:r>
        <w:rPr>
          <w:b/>
          <w:szCs w:val="21"/>
        </w:rPr>
        <w:t>6、质疑和投诉</w:t>
      </w:r>
      <w:r>
        <w:rPr>
          <w:b/>
          <w:szCs w:val="21"/>
        </w:rPr>
        <w:tab/>
      </w:r>
    </w:p>
    <w:p>
      <w:pPr>
        <w:tabs>
          <w:tab w:val="left" w:pos="2190"/>
        </w:tabs>
        <w:spacing w:line="400" w:lineRule="exact"/>
        <w:ind w:firstLine="435"/>
        <w:rPr>
          <w:szCs w:val="21"/>
        </w:rPr>
      </w:pPr>
      <w:r>
        <w:rPr>
          <w:szCs w:val="21"/>
        </w:rPr>
        <w:t>6.1、磋商供应商对政府采购活动事项有疑问的，可以向采购人、采购代理机构提出询问。</w:t>
      </w:r>
    </w:p>
    <w:p>
      <w:pPr>
        <w:tabs>
          <w:tab w:val="left" w:pos="2190"/>
        </w:tabs>
        <w:spacing w:line="400" w:lineRule="exact"/>
        <w:ind w:firstLine="435"/>
        <w:rPr>
          <w:szCs w:val="21"/>
        </w:rPr>
      </w:pPr>
      <w:r>
        <w:rPr>
          <w:szCs w:val="21"/>
        </w:rPr>
        <w:t>6.2、磋商供应商认为磋商文件使自己的合法权益受到损害的，应当在收到磋商文件之日起7个工作日内以书面形式向采购代理机构提出质疑。采购代理机构应认真做好质疑处理工作。</w:t>
      </w:r>
    </w:p>
    <w:p>
      <w:pPr>
        <w:tabs>
          <w:tab w:val="left" w:pos="2190"/>
        </w:tabs>
        <w:spacing w:line="400" w:lineRule="exact"/>
        <w:ind w:firstLine="435"/>
        <w:rPr>
          <w:szCs w:val="21"/>
        </w:rPr>
      </w:pPr>
      <w:r>
        <w:rPr>
          <w:szCs w:val="21"/>
        </w:rPr>
        <w:t>6.3、磋商供应商认为采购过程使自己的合法权益受到损害的，应当在为各采购程序环节结束之日起7个工作日内，以书面形式向采购代理机构提出质疑。采购代理机构应认真做好质疑处理工作。</w:t>
      </w:r>
    </w:p>
    <w:p>
      <w:pPr>
        <w:tabs>
          <w:tab w:val="left" w:pos="2190"/>
        </w:tabs>
        <w:spacing w:line="400" w:lineRule="exact"/>
        <w:ind w:firstLine="435"/>
        <w:rPr>
          <w:szCs w:val="21"/>
        </w:rPr>
      </w:pPr>
      <w:r>
        <w:rPr>
          <w:szCs w:val="21"/>
        </w:rPr>
        <w:t>6.4、磋商供应商认为磋商结果使自己的合法权益受到损害的，应当在成交结果公告期限届满之日起7个工作日内，以书面形式向采购代理机构提出质疑。采购代理机构应认真做好质疑处理工作。</w:t>
      </w:r>
    </w:p>
    <w:p>
      <w:pPr>
        <w:tabs>
          <w:tab w:val="left" w:pos="2190"/>
        </w:tabs>
        <w:spacing w:line="400" w:lineRule="exact"/>
        <w:ind w:firstLine="435"/>
        <w:rPr>
          <w:szCs w:val="21"/>
        </w:rPr>
      </w:pPr>
      <w:r>
        <w:rPr>
          <w:szCs w:val="21"/>
        </w:rPr>
        <w:t>6.5、磋商供应商对采购代理机构的答复不满意或者采购代理机构未在规定的时间内作出答复的，可以在答复期满后十五个工作日内向</w:t>
      </w:r>
      <w:r>
        <w:rPr>
          <w:rFonts w:hint="eastAsia"/>
          <w:szCs w:val="21"/>
        </w:rPr>
        <w:t>兴安县</w:t>
      </w:r>
      <w:r>
        <w:rPr>
          <w:color w:val="000000"/>
          <w:szCs w:val="21"/>
        </w:rPr>
        <w:t>人民政府采购</w:t>
      </w:r>
      <w:r>
        <w:rPr>
          <w:szCs w:val="21"/>
        </w:rPr>
        <w:t>监督管理机构投诉。</w:t>
      </w:r>
    </w:p>
    <w:p>
      <w:pPr>
        <w:tabs>
          <w:tab w:val="left" w:pos="2190"/>
        </w:tabs>
        <w:spacing w:line="380" w:lineRule="exact"/>
        <w:ind w:firstLine="435"/>
        <w:rPr>
          <w:szCs w:val="21"/>
        </w:rPr>
      </w:pPr>
      <w:r>
        <w:rPr>
          <w:szCs w:val="21"/>
        </w:rPr>
        <w:t>6.6、质疑、投诉应当采用书面形式，质疑书、投诉书实行实名制，均应明确阐述磋商文件、磋商过程或成交结果中使自己合法权益受到损害的实质性内容，提供相关事实、依据和证据及其来源或线索，必要的证明材料，便于有关单位调查、答复和处理。质疑函格式详见附件。</w:t>
      </w:r>
    </w:p>
    <w:p>
      <w:pPr>
        <w:tabs>
          <w:tab w:val="left" w:pos="2190"/>
        </w:tabs>
        <w:spacing w:line="380" w:lineRule="exact"/>
        <w:ind w:firstLine="435"/>
        <w:rPr>
          <w:szCs w:val="21"/>
        </w:rPr>
      </w:pPr>
      <w:r>
        <w:rPr>
          <w:szCs w:val="21"/>
        </w:rPr>
        <w:t>6.7、质疑联系部门：</w:t>
      </w:r>
      <w:r>
        <w:rPr>
          <w:rFonts w:hint="eastAsia"/>
          <w:szCs w:val="21"/>
        </w:rPr>
        <w:t>广西通观工程咨询有限公司</w:t>
      </w:r>
      <w:r>
        <w:rPr>
          <w:szCs w:val="21"/>
        </w:rPr>
        <w:t>；联系电话：</w:t>
      </w:r>
      <w:r>
        <w:rPr>
          <w:rFonts w:hint="eastAsia"/>
          <w:szCs w:val="21"/>
        </w:rPr>
        <w:t>0773-5597304</w:t>
      </w:r>
      <w:r>
        <w:rPr>
          <w:szCs w:val="21"/>
        </w:rPr>
        <w:t>；</w:t>
      </w:r>
    </w:p>
    <w:p>
      <w:pPr>
        <w:spacing w:line="360" w:lineRule="exact"/>
        <w:ind w:firstLine="840" w:firstLineChars="400"/>
        <w:rPr>
          <w:szCs w:val="21"/>
        </w:rPr>
      </w:pPr>
      <w:r>
        <w:rPr>
          <w:szCs w:val="21"/>
        </w:rPr>
        <w:t>通讯地址：</w:t>
      </w:r>
      <w:r>
        <w:rPr>
          <w:rFonts w:hint="eastAsia"/>
          <w:szCs w:val="21"/>
        </w:rPr>
        <w:t>临桂区</w:t>
      </w:r>
      <w:r>
        <w:rPr>
          <w:szCs w:val="21"/>
        </w:rPr>
        <w:t>临桂镇凤凰西路西侧金贸中心3-3#幢21层22号</w:t>
      </w:r>
    </w:p>
    <w:p>
      <w:pPr>
        <w:tabs>
          <w:tab w:val="left" w:pos="2190"/>
        </w:tabs>
        <w:spacing w:line="380" w:lineRule="exact"/>
        <w:ind w:firstLine="435"/>
        <w:rPr>
          <w:szCs w:val="21"/>
        </w:rPr>
      </w:pPr>
      <w:r>
        <w:rPr>
          <w:szCs w:val="21"/>
        </w:rPr>
        <w:t>6.8、投诉联系部门：</w:t>
      </w:r>
      <w:r>
        <w:rPr>
          <w:rFonts w:hint="eastAsia"/>
          <w:szCs w:val="21"/>
        </w:rPr>
        <w:t>桂林市临桂区财政局政府采购监督管理股   联系电话：0773-5593932</w:t>
      </w:r>
    </w:p>
    <w:p>
      <w:pPr>
        <w:tabs>
          <w:tab w:val="left" w:pos="2190"/>
        </w:tabs>
        <w:spacing w:line="380" w:lineRule="exact"/>
        <w:ind w:firstLine="435"/>
        <w:rPr>
          <w:b/>
          <w:szCs w:val="21"/>
        </w:rPr>
      </w:pPr>
      <w:r>
        <w:rPr>
          <w:b/>
          <w:szCs w:val="21"/>
        </w:rPr>
        <w:t>7、转包与分包</w:t>
      </w:r>
    </w:p>
    <w:p>
      <w:pPr>
        <w:tabs>
          <w:tab w:val="left" w:pos="2190"/>
        </w:tabs>
        <w:spacing w:line="380" w:lineRule="exact"/>
        <w:ind w:firstLine="435"/>
        <w:rPr>
          <w:szCs w:val="21"/>
        </w:rPr>
      </w:pPr>
      <w:r>
        <w:rPr>
          <w:szCs w:val="21"/>
        </w:rPr>
        <w:t>7.1、本项目不允许转包。</w:t>
      </w:r>
    </w:p>
    <w:p>
      <w:pPr>
        <w:tabs>
          <w:tab w:val="left" w:pos="2190"/>
        </w:tabs>
        <w:spacing w:line="380" w:lineRule="exact"/>
        <w:ind w:firstLine="435"/>
        <w:rPr>
          <w:szCs w:val="21"/>
        </w:rPr>
      </w:pPr>
      <w:r>
        <w:rPr>
          <w:szCs w:val="21"/>
        </w:rPr>
        <w:t>7.2、本项目不可以分包。</w:t>
      </w:r>
    </w:p>
    <w:p>
      <w:pPr>
        <w:tabs>
          <w:tab w:val="left" w:pos="2190"/>
        </w:tabs>
        <w:spacing w:line="380" w:lineRule="exact"/>
        <w:ind w:firstLine="435"/>
        <w:rPr>
          <w:b/>
          <w:szCs w:val="21"/>
        </w:rPr>
      </w:pPr>
      <w:r>
        <w:rPr>
          <w:b/>
          <w:szCs w:val="21"/>
        </w:rPr>
        <w:t>8、特别说明</w:t>
      </w:r>
    </w:p>
    <w:p>
      <w:pPr>
        <w:tabs>
          <w:tab w:val="left" w:pos="2190"/>
        </w:tabs>
        <w:spacing w:line="380" w:lineRule="exact"/>
        <w:ind w:firstLine="435"/>
        <w:rPr>
          <w:szCs w:val="21"/>
        </w:rPr>
      </w:pPr>
      <w:r>
        <w:rPr>
          <w:szCs w:val="21"/>
        </w:rPr>
        <w:t>8.1 单位负责人为同一人或者存在直接控股、管理关系的，不得参加同一分标或未划分分标的同一项目的磋商，否则，响应文件无效。</w:t>
      </w:r>
    </w:p>
    <w:p>
      <w:pPr>
        <w:tabs>
          <w:tab w:val="left" w:pos="2190"/>
        </w:tabs>
        <w:spacing w:line="380" w:lineRule="exact"/>
        <w:ind w:firstLine="435"/>
        <w:rPr>
          <w:szCs w:val="21"/>
        </w:rPr>
      </w:pPr>
      <w:r>
        <w:rPr>
          <w:szCs w:val="21"/>
        </w:rPr>
        <w:t>除单一来源采购项目外，为本采购项目提供整体设计、规范编制或者项目管理、监理、检测等服务的供应商，不得再参加该采购项目的其他采购活动，否则响应文件无效。</w:t>
      </w:r>
    </w:p>
    <w:p>
      <w:pPr>
        <w:tabs>
          <w:tab w:val="left" w:pos="2190"/>
        </w:tabs>
        <w:spacing w:line="380" w:lineRule="exact"/>
        <w:ind w:firstLine="435"/>
        <w:rPr>
          <w:szCs w:val="21"/>
        </w:rPr>
      </w:pPr>
    </w:p>
    <w:p>
      <w:pPr>
        <w:tabs>
          <w:tab w:val="left" w:pos="2190"/>
        </w:tabs>
        <w:spacing w:line="390" w:lineRule="exact"/>
        <w:ind w:firstLine="435"/>
        <w:jc w:val="center"/>
        <w:rPr>
          <w:b/>
          <w:sz w:val="28"/>
          <w:szCs w:val="28"/>
        </w:rPr>
      </w:pPr>
      <w:r>
        <w:rPr>
          <w:b/>
          <w:sz w:val="28"/>
          <w:szCs w:val="28"/>
        </w:rPr>
        <w:t>二、磋商文件</w:t>
      </w:r>
    </w:p>
    <w:p>
      <w:pPr>
        <w:tabs>
          <w:tab w:val="left" w:pos="2190"/>
        </w:tabs>
        <w:spacing w:line="390" w:lineRule="exact"/>
        <w:ind w:firstLine="437"/>
        <w:rPr>
          <w:b/>
          <w:szCs w:val="21"/>
        </w:rPr>
      </w:pPr>
    </w:p>
    <w:p>
      <w:pPr>
        <w:tabs>
          <w:tab w:val="left" w:pos="2190"/>
        </w:tabs>
        <w:spacing w:line="390" w:lineRule="exact"/>
        <w:ind w:firstLine="437"/>
        <w:rPr>
          <w:b/>
          <w:szCs w:val="21"/>
        </w:rPr>
      </w:pPr>
      <w:r>
        <w:rPr>
          <w:b/>
          <w:szCs w:val="21"/>
        </w:rPr>
        <w:t>9、磋商文件的构成</w:t>
      </w:r>
    </w:p>
    <w:p>
      <w:pPr>
        <w:tabs>
          <w:tab w:val="left" w:pos="2190"/>
        </w:tabs>
        <w:spacing w:line="390" w:lineRule="exact"/>
        <w:ind w:firstLine="437"/>
        <w:rPr>
          <w:szCs w:val="21"/>
        </w:rPr>
      </w:pPr>
      <w:r>
        <w:rPr>
          <w:szCs w:val="21"/>
        </w:rPr>
        <w:t xml:space="preserve">⑴ </w:t>
      </w:r>
      <w:r>
        <w:t>竞争性磋商公告</w:t>
      </w:r>
      <w:r>
        <w:rPr>
          <w:szCs w:val="21"/>
        </w:rPr>
        <w:t>；</w:t>
      </w:r>
    </w:p>
    <w:p>
      <w:pPr>
        <w:tabs>
          <w:tab w:val="left" w:pos="2190"/>
        </w:tabs>
        <w:spacing w:line="390" w:lineRule="exact"/>
        <w:ind w:firstLine="437"/>
        <w:rPr>
          <w:szCs w:val="21"/>
        </w:rPr>
      </w:pPr>
      <w:r>
        <w:rPr>
          <w:szCs w:val="21"/>
        </w:rPr>
        <w:t>⑵ 磋商供应商须知；</w:t>
      </w:r>
    </w:p>
    <w:p>
      <w:pPr>
        <w:spacing w:line="400" w:lineRule="exact"/>
        <w:ind w:firstLine="435"/>
        <w:rPr>
          <w:szCs w:val="21"/>
        </w:rPr>
      </w:pPr>
      <w:r>
        <w:rPr>
          <w:szCs w:val="21"/>
        </w:rPr>
        <w:t>⑶ 服务</w:t>
      </w:r>
      <w:r>
        <w:rPr>
          <w:rFonts w:hint="eastAsia"/>
          <w:szCs w:val="21"/>
        </w:rPr>
        <w:t>采购</w:t>
      </w:r>
      <w:r>
        <w:rPr>
          <w:szCs w:val="21"/>
        </w:rPr>
        <w:t>需求（“服务</w:t>
      </w:r>
      <w:r>
        <w:rPr>
          <w:rFonts w:hint="eastAsia"/>
          <w:szCs w:val="21"/>
        </w:rPr>
        <w:t>采购</w:t>
      </w:r>
      <w:r>
        <w:rPr>
          <w:szCs w:val="21"/>
        </w:rPr>
        <w:t>需求”中全部内容为实质性要求）；</w:t>
      </w:r>
    </w:p>
    <w:p>
      <w:pPr>
        <w:tabs>
          <w:tab w:val="left" w:pos="2190"/>
        </w:tabs>
        <w:spacing w:line="390" w:lineRule="exact"/>
        <w:ind w:firstLine="437"/>
        <w:rPr>
          <w:szCs w:val="21"/>
        </w:rPr>
      </w:pPr>
      <w:r>
        <w:rPr>
          <w:szCs w:val="21"/>
        </w:rPr>
        <w:t>⑷ 评审办法；</w:t>
      </w:r>
    </w:p>
    <w:p>
      <w:pPr>
        <w:tabs>
          <w:tab w:val="left" w:pos="2190"/>
        </w:tabs>
        <w:spacing w:line="390" w:lineRule="exact"/>
        <w:ind w:firstLine="437"/>
        <w:rPr>
          <w:szCs w:val="21"/>
        </w:rPr>
      </w:pPr>
      <w:r>
        <w:rPr>
          <w:szCs w:val="21"/>
        </w:rPr>
        <w:t>⑸ 采购合同（合同主要条款及格式）；</w:t>
      </w:r>
    </w:p>
    <w:p>
      <w:pPr>
        <w:tabs>
          <w:tab w:val="left" w:pos="2190"/>
        </w:tabs>
        <w:spacing w:line="390" w:lineRule="exact"/>
        <w:ind w:firstLine="437"/>
        <w:rPr>
          <w:szCs w:val="21"/>
        </w:rPr>
      </w:pPr>
      <w:r>
        <w:rPr>
          <w:szCs w:val="21"/>
        </w:rPr>
        <w:t>⑹ 响应文件格式。</w:t>
      </w:r>
    </w:p>
    <w:p>
      <w:pPr>
        <w:tabs>
          <w:tab w:val="left" w:pos="2190"/>
        </w:tabs>
        <w:spacing w:line="390" w:lineRule="exact"/>
        <w:ind w:firstLine="437"/>
        <w:rPr>
          <w:b/>
          <w:szCs w:val="21"/>
        </w:rPr>
      </w:pPr>
      <w:r>
        <w:rPr>
          <w:b/>
          <w:szCs w:val="21"/>
        </w:rPr>
        <w:t>10、磋商文件的澄清与修改</w:t>
      </w:r>
    </w:p>
    <w:p>
      <w:pPr>
        <w:tabs>
          <w:tab w:val="left" w:pos="2190"/>
        </w:tabs>
        <w:spacing w:line="400" w:lineRule="exact"/>
        <w:ind w:firstLine="437"/>
        <w:rPr>
          <w:szCs w:val="21"/>
        </w:rPr>
      </w:pPr>
      <w:r>
        <w:rPr>
          <w:szCs w:val="21"/>
        </w:rPr>
        <w:t>10.1供应商应认真阅读磋商文件，发现其中有误或有不合理要求的，应在磋商截止日期5日前以书面形式要求采购代理机构澄清。</w:t>
      </w:r>
    </w:p>
    <w:p>
      <w:pPr>
        <w:tabs>
          <w:tab w:val="left" w:pos="2190"/>
        </w:tabs>
        <w:spacing w:line="400" w:lineRule="exact"/>
        <w:ind w:firstLine="437"/>
        <w:rPr>
          <w:szCs w:val="21"/>
        </w:rPr>
      </w:pPr>
      <w:r>
        <w:rPr>
          <w:szCs w:val="21"/>
        </w:rPr>
        <w:t>10.2提交首次响应文件截止之日前，采购代理机构可以对已发出的磋商文件进行必要澄清或者修改，澄清或者修改的内容可能影响响应文件编制的，应当在响应文件递交截止时间5日前在本磋商项目竞争性磋商公告发布的同一媒体上发布更正公告，已下载竞争性磋商文件的供应商自行登录竞争性磋商公告发布的相关网站【http://www.ccgp.gov.cn（中国政府采购网）、http://zfcg.gxzf.gov.cn/（广西壮族自治区政府采购网）、</w:t>
      </w:r>
      <w:r>
        <w:rPr>
          <w:rFonts w:hint="eastAsia"/>
          <w:szCs w:val="21"/>
        </w:rPr>
        <w:t>http://gl.zfcg.zcygov.cn/</w:t>
      </w:r>
      <w:r>
        <w:rPr>
          <w:szCs w:val="21"/>
        </w:rPr>
        <w:t>（桂林市政府采购网）、http://glggzy.org.cn（桂林市公共资源交易中心网）】查询，不足5日的，应当顺延提交首次响应文件截止时间。</w:t>
      </w:r>
    </w:p>
    <w:p>
      <w:pPr>
        <w:tabs>
          <w:tab w:val="left" w:pos="2190"/>
        </w:tabs>
        <w:spacing w:line="400" w:lineRule="exact"/>
        <w:ind w:firstLine="437"/>
        <w:rPr>
          <w:szCs w:val="21"/>
        </w:rPr>
      </w:pPr>
      <w:r>
        <w:rPr>
          <w:szCs w:val="21"/>
        </w:rPr>
        <w:t>10.3采购代理机构在竞争性磋商公告发布的相关网站发布更正公告的同时，视同供应商已知晓竞争性磋商文件的澄清或者修改，供应商应将澄清或者修改的内容考虑在响应文件中，供应商在响应文件递交截止前未登录竞争性磋商公告发布的相关网站查看澄清或者修改的，造成供应商的响应文件不符合竞争性磋商文件要求或废标的，由供应商自行承担责任。</w:t>
      </w:r>
    </w:p>
    <w:p>
      <w:pPr>
        <w:tabs>
          <w:tab w:val="left" w:pos="2190"/>
        </w:tabs>
        <w:spacing w:line="400" w:lineRule="exact"/>
        <w:ind w:firstLine="437"/>
        <w:rPr>
          <w:szCs w:val="21"/>
        </w:rPr>
      </w:pPr>
      <w:r>
        <w:rPr>
          <w:szCs w:val="21"/>
        </w:rPr>
        <w:t>10.4澄清、答复、修改、补充的内容为磋商文件的组成部分。当澄清、答复、修改、补充通知就同一内容的表述不一致时，以最后发出的文件为准。</w:t>
      </w:r>
    </w:p>
    <w:p>
      <w:pPr>
        <w:tabs>
          <w:tab w:val="left" w:pos="2190"/>
        </w:tabs>
        <w:spacing w:line="400" w:lineRule="exact"/>
        <w:ind w:firstLine="437"/>
        <w:rPr>
          <w:szCs w:val="21"/>
        </w:rPr>
      </w:pPr>
      <w:r>
        <w:rPr>
          <w:szCs w:val="21"/>
        </w:rPr>
        <w:t>10.5磋商文件的澄清、答复、修改或补充都应该通过本项目采购代理机构以法定形式发布，采购人非通过本机构，不得擅自澄清、答复、修改或补充磋商文件。</w:t>
      </w:r>
    </w:p>
    <w:p>
      <w:pPr>
        <w:tabs>
          <w:tab w:val="left" w:pos="2190"/>
        </w:tabs>
        <w:spacing w:line="400" w:lineRule="exact"/>
        <w:ind w:firstLine="437"/>
        <w:rPr>
          <w:szCs w:val="21"/>
        </w:rPr>
      </w:pPr>
      <w:r>
        <w:rPr>
          <w:szCs w:val="21"/>
        </w:rPr>
        <w:t>10.6、采购人和采购代理机构可以视采购具体情况，延长响应文件截止时间和磋商时间，在本项目竞争性磋商公告发布的同一媒体上发布更正公告，已下载竞争性磋商文件的供应商自行登录竞争性磋商公告发布的相关网站【http://www.ccgp.gov.cn（中国政府采购网）、http://zfcg.gxzf.gov.cn/（广西壮族自治区政府采购网）、</w:t>
      </w:r>
      <w:r>
        <w:rPr>
          <w:rFonts w:hint="eastAsia"/>
          <w:szCs w:val="21"/>
        </w:rPr>
        <w:t>http://gl.zfcg.zcygov.cn/</w:t>
      </w:r>
      <w:r>
        <w:rPr>
          <w:szCs w:val="21"/>
        </w:rPr>
        <w:t>（桂林市政府采购网）、http://glggzy.org.cn（桂林市公共资源交易中心网）】查询，未在进行查询的，造成供应商未在规定的时间递交响应文件的，由供应商自行承担责任。</w:t>
      </w:r>
    </w:p>
    <w:p>
      <w:pPr>
        <w:tabs>
          <w:tab w:val="left" w:pos="2190"/>
        </w:tabs>
        <w:spacing w:line="380" w:lineRule="exact"/>
        <w:ind w:firstLine="437"/>
        <w:rPr>
          <w:szCs w:val="21"/>
        </w:rPr>
      </w:pPr>
    </w:p>
    <w:p>
      <w:pPr>
        <w:tabs>
          <w:tab w:val="left" w:pos="2190"/>
        </w:tabs>
        <w:spacing w:line="390" w:lineRule="exact"/>
        <w:ind w:firstLine="435"/>
        <w:jc w:val="center"/>
        <w:rPr>
          <w:b/>
          <w:sz w:val="28"/>
          <w:szCs w:val="28"/>
        </w:rPr>
      </w:pPr>
      <w:r>
        <w:rPr>
          <w:b/>
          <w:sz w:val="28"/>
          <w:szCs w:val="28"/>
        </w:rPr>
        <w:t>三、竞争性磋商响应文件的编制</w:t>
      </w:r>
    </w:p>
    <w:p>
      <w:pPr>
        <w:tabs>
          <w:tab w:val="left" w:pos="2190"/>
        </w:tabs>
        <w:spacing w:line="380" w:lineRule="exact"/>
        <w:ind w:firstLine="435"/>
        <w:rPr>
          <w:b/>
          <w:szCs w:val="21"/>
        </w:rPr>
      </w:pPr>
    </w:p>
    <w:p>
      <w:pPr>
        <w:tabs>
          <w:tab w:val="left" w:pos="2190"/>
        </w:tabs>
        <w:spacing w:line="380" w:lineRule="exact"/>
        <w:ind w:firstLine="435"/>
        <w:rPr>
          <w:b/>
          <w:szCs w:val="21"/>
        </w:rPr>
      </w:pPr>
      <w:r>
        <w:rPr>
          <w:b/>
          <w:szCs w:val="21"/>
        </w:rPr>
        <w:t>11、竞争性磋商响应文件（以下简称响应文件）的组成及要求</w:t>
      </w:r>
    </w:p>
    <w:p>
      <w:pPr>
        <w:tabs>
          <w:tab w:val="left" w:pos="1305"/>
        </w:tabs>
        <w:spacing w:line="380" w:lineRule="exact"/>
        <w:ind w:firstLine="420" w:firstLineChars="200"/>
        <w:rPr>
          <w:szCs w:val="21"/>
        </w:rPr>
      </w:pPr>
      <w:r>
        <w:rPr>
          <w:b/>
          <w:szCs w:val="21"/>
        </w:rPr>
        <w:t>11.1、响应文件组成（格式见第六章响应文件格式）</w:t>
      </w:r>
    </w:p>
    <w:p>
      <w:pPr>
        <w:tabs>
          <w:tab w:val="left" w:pos="1305"/>
        </w:tabs>
        <w:spacing w:line="400" w:lineRule="exact"/>
        <w:ind w:firstLine="420" w:firstLineChars="200"/>
        <w:rPr>
          <w:szCs w:val="21"/>
        </w:rPr>
      </w:pPr>
      <w:r>
        <w:rPr>
          <w:szCs w:val="21"/>
        </w:rPr>
        <w:t>（1）响应函</w:t>
      </w:r>
      <w:r>
        <w:rPr>
          <w:b/>
          <w:szCs w:val="21"/>
        </w:rPr>
        <w:t>（必须提供）；</w:t>
      </w:r>
    </w:p>
    <w:p>
      <w:pPr>
        <w:tabs>
          <w:tab w:val="left" w:pos="1305"/>
        </w:tabs>
        <w:spacing w:line="400" w:lineRule="exact"/>
        <w:ind w:firstLine="420" w:firstLineChars="200"/>
        <w:rPr>
          <w:szCs w:val="21"/>
        </w:rPr>
      </w:pPr>
      <w:r>
        <w:rPr>
          <w:szCs w:val="21"/>
        </w:rPr>
        <w:t>（2）磋商供应商的法定代表人或负责人的身份证正反面复印件</w:t>
      </w:r>
      <w:r>
        <w:rPr>
          <w:b/>
          <w:szCs w:val="21"/>
        </w:rPr>
        <w:t>（必须提供）</w:t>
      </w:r>
      <w:r>
        <w:rPr>
          <w:szCs w:val="21"/>
        </w:rPr>
        <w:t>；</w:t>
      </w:r>
    </w:p>
    <w:p>
      <w:pPr>
        <w:tabs>
          <w:tab w:val="left" w:pos="1305"/>
        </w:tabs>
        <w:spacing w:line="400" w:lineRule="exact"/>
        <w:ind w:firstLine="420" w:firstLineChars="200"/>
        <w:rPr>
          <w:szCs w:val="21"/>
        </w:rPr>
      </w:pPr>
      <w:r>
        <w:rPr>
          <w:color w:val="000000" w:themeColor="text1"/>
          <w:szCs w:val="21"/>
        </w:rPr>
        <w:t>（3）磋商供应商的授权委托书原件、委托代理人身份证正反面复印件以及</w:t>
      </w:r>
      <w:r>
        <w:rPr>
          <w:rFonts w:hint="eastAsia"/>
          <w:color w:val="000000" w:themeColor="text1"/>
          <w:szCs w:val="21"/>
        </w:rPr>
        <w:t>供应商</w:t>
      </w:r>
      <w:r>
        <w:rPr>
          <w:color w:val="000000" w:themeColor="text1"/>
          <w:szCs w:val="21"/>
        </w:rPr>
        <w:t>为委托代理人交纳的2020年1月份以来连续三个月缴纳的社保证明复印件（自然人投标的应提供自然人本人及委托代理人所交纳的2020年1月份以来连续三个月缴纳的社保证明复印件）</w:t>
      </w:r>
      <w:r>
        <w:rPr>
          <w:b/>
          <w:bCs/>
          <w:color w:val="000000" w:themeColor="text1"/>
          <w:szCs w:val="21"/>
        </w:rPr>
        <w:t>（</w:t>
      </w:r>
      <w:r>
        <w:rPr>
          <w:b/>
          <w:bCs/>
          <w:szCs w:val="21"/>
        </w:rPr>
        <w:t>委托代理时必须提供）</w:t>
      </w:r>
      <w:r>
        <w:rPr>
          <w:szCs w:val="21"/>
        </w:rPr>
        <w:t>；</w:t>
      </w:r>
    </w:p>
    <w:p>
      <w:pPr>
        <w:tabs>
          <w:tab w:val="left" w:pos="1305"/>
        </w:tabs>
        <w:spacing w:line="400" w:lineRule="exact"/>
        <w:ind w:firstLine="420" w:firstLineChars="200"/>
        <w:rPr>
          <w:b/>
          <w:szCs w:val="21"/>
        </w:rPr>
      </w:pPr>
      <w:r>
        <w:rPr>
          <w:szCs w:val="21"/>
        </w:rPr>
        <w:t>（4）磋商供应商参加政府采购活动前3年内在经营活动中没有重大违法记录及有关信用信息的书面声明</w:t>
      </w:r>
      <w:r>
        <w:rPr>
          <w:b/>
          <w:szCs w:val="21"/>
        </w:rPr>
        <w:t>（必须提供）；</w:t>
      </w:r>
    </w:p>
    <w:p>
      <w:pPr>
        <w:tabs>
          <w:tab w:val="left" w:pos="1305"/>
        </w:tabs>
        <w:spacing w:line="400" w:lineRule="exact"/>
        <w:ind w:firstLine="420" w:firstLineChars="200"/>
        <w:rPr>
          <w:szCs w:val="21"/>
        </w:rPr>
      </w:pPr>
      <w:r>
        <w:rPr>
          <w:szCs w:val="21"/>
        </w:rPr>
        <w:t>（5）磋商供应商的法人或者其他组织的营业执照副本复印件</w:t>
      </w:r>
      <w:r>
        <w:rPr>
          <w:b/>
          <w:bCs/>
          <w:szCs w:val="21"/>
        </w:rPr>
        <w:t>（必须提供）</w:t>
      </w:r>
      <w:r>
        <w:rPr>
          <w:szCs w:val="21"/>
        </w:rPr>
        <w:t>；</w:t>
      </w:r>
    </w:p>
    <w:p>
      <w:pPr>
        <w:tabs>
          <w:tab w:val="left" w:pos="1305"/>
        </w:tabs>
        <w:spacing w:line="400" w:lineRule="exact"/>
        <w:ind w:firstLine="420" w:firstLineChars="200"/>
        <w:rPr>
          <w:b/>
          <w:szCs w:val="21"/>
        </w:rPr>
      </w:pPr>
      <w:r>
        <w:rPr>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400" w:lineRule="exact"/>
        <w:ind w:firstLine="420" w:firstLineChars="200"/>
        <w:rPr>
          <w:szCs w:val="21"/>
        </w:rPr>
      </w:pPr>
      <w:r>
        <w:rPr>
          <w:szCs w:val="21"/>
        </w:rPr>
        <w:t>（6）</w:t>
      </w:r>
      <w:r>
        <w:rPr>
          <w:color w:val="0000FF"/>
          <w:szCs w:val="21"/>
          <w:u w:val="single"/>
        </w:rPr>
        <w:t>磋商报价表</w:t>
      </w:r>
      <w:r>
        <w:rPr>
          <w:b/>
          <w:szCs w:val="21"/>
        </w:rPr>
        <w:t>（必须提供）</w:t>
      </w:r>
      <w:r>
        <w:rPr>
          <w:b/>
          <w:bCs/>
          <w:szCs w:val="21"/>
        </w:rPr>
        <w:t>；</w:t>
      </w:r>
    </w:p>
    <w:p>
      <w:pPr>
        <w:tabs>
          <w:tab w:val="left" w:pos="1305"/>
        </w:tabs>
        <w:spacing w:line="380" w:lineRule="exact"/>
        <w:ind w:firstLine="420" w:firstLineChars="200"/>
        <w:rPr>
          <w:b/>
          <w:szCs w:val="21"/>
        </w:rPr>
      </w:pPr>
      <w:r>
        <w:rPr>
          <w:szCs w:val="21"/>
        </w:rPr>
        <w:t>（7）</w:t>
      </w:r>
      <w:r>
        <w:rPr>
          <w:rFonts w:hint="eastAsia"/>
          <w:color w:val="0000FF"/>
          <w:szCs w:val="21"/>
          <w:u w:val="single"/>
        </w:rPr>
        <w:t>服务采购需求偏离表</w:t>
      </w:r>
      <w:r>
        <w:rPr>
          <w:b/>
          <w:szCs w:val="21"/>
        </w:rPr>
        <w:t>（必须提供）；</w:t>
      </w:r>
    </w:p>
    <w:p>
      <w:pPr>
        <w:pStyle w:val="23"/>
        <w:spacing w:line="400" w:lineRule="exact"/>
        <w:ind w:firstLine="420" w:firstLineChars="200"/>
        <w:rPr>
          <w:rFonts w:ascii="Times New Roman" w:hAnsi="Times New Roman"/>
          <w:szCs w:val="21"/>
        </w:rPr>
      </w:pPr>
      <w:r>
        <w:rPr>
          <w:rFonts w:ascii="Times New Roman" w:hAnsi="Times New Roman"/>
          <w:szCs w:val="21"/>
        </w:rPr>
        <w:t>（8）供应商的服务技术方案（由竞标人根据项目实际情况和服务需求的要求自行编制）</w:t>
      </w:r>
      <w:r>
        <w:rPr>
          <w:rFonts w:ascii="Times New Roman" w:hAnsi="Times New Roman"/>
          <w:b/>
          <w:szCs w:val="21"/>
        </w:rPr>
        <w:t>（必须提供）；</w:t>
      </w:r>
    </w:p>
    <w:p>
      <w:pPr>
        <w:pStyle w:val="23"/>
        <w:spacing w:line="400" w:lineRule="exact"/>
        <w:ind w:firstLine="420" w:firstLineChars="200"/>
        <w:rPr>
          <w:rFonts w:ascii="Times New Roman" w:hAnsi="Times New Roman"/>
          <w:b/>
          <w:szCs w:val="21"/>
        </w:rPr>
      </w:pPr>
      <w:r>
        <w:rPr>
          <w:rFonts w:ascii="Times New Roman" w:hAnsi="Times New Roman"/>
          <w:szCs w:val="21"/>
        </w:rPr>
        <w:t>（9）供应商的服务承诺书（由竞标人根据项目实际情况和服务需求的要求自行编制）</w:t>
      </w:r>
      <w:r>
        <w:rPr>
          <w:rFonts w:ascii="Times New Roman" w:hAnsi="Times New Roman"/>
          <w:b/>
          <w:szCs w:val="21"/>
        </w:rPr>
        <w:t>（必须提供）；</w:t>
      </w:r>
    </w:p>
    <w:p>
      <w:pPr>
        <w:tabs>
          <w:tab w:val="left" w:pos="1305"/>
        </w:tabs>
        <w:spacing w:line="400" w:lineRule="exact"/>
        <w:ind w:firstLine="420" w:firstLineChars="200"/>
      </w:pPr>
      <w:r>
        <w:rPr>
          <w:szCs w:val="21"/>
        </w:rPr>
        <w:t>（10）</w:t>
      </w:r>
      <w:r>
        <w:rPr>
          <w:rFonts w:hint="eastAsia" w:hAnsi="宋体"/>
          <w:color w:val="000000"/>
          <w:sz w:val="24"/>
        </w:rPr>
        <w:t>供应商</w:t>
      </w:r>
      <w:r>
        <w:rPr>
          <w:rFonts w:hint="eastAsia" w:hAnsi="宋体" w:eastAsia="Times New Roman"/>
          <w:color w:val="000000"/>
          <w:sz w:val="24"/>
        </w:rPr>
        <w:t>近三年（</w:t>
      </w:r>
      <w:r>
        <w:rPr>
          <w:rFonts w:hint="eastAsia" w:eastAsia="Times New Roman" w:cs="Calibri"/>
          <w:color w:val="000000"/>
          <w:sz w:val="24"/>
        </w:rPr>
        <w:t>2</w:t>
      </w:r>
      <w:r>
        <w:rPr>
          <w:rFonts w:hAnsi="宋体" w:eastAsia="Times New Roman" w:cs="宋体"/>
          <w:color w:val="000000"/>
          <w:sz w:val="24"/>
        </w:rPr>
        <w:t>01</w:t>
      </w:r>
      <w:r>
        <w:rPr>
          <w:rFonts w:hint="eastAsia" w:hAnsi="宋体" w:eastAsia="Times New Roman"/>
          <w:color w:val="000000"/>
          <w:sz w:val="24"/>
        </w:rPr>
        <w:t>7-</w:t>
      </w:r>
      <w:r>
        <w:rPr>
          <w:rFonts w:hAnsi="宋体" w:eastAsia="Times New Roman" w:cs="宋体"/>
          <w:color w:val="000000"/>
          <w:sz w:val="24"/>
        </w:rPr>
        <w:t>201</w:t>
      </w:r>
      <w:r>
        <w:rPr>
          <w:rFonts w:hint="eastAsia" w:hAnsi="宋体" w:eastAsia="Times New Roman"/>
          <w:color w:val="000000"/>
          <w:sz w:val="24"/>
        </w:rPr>
        <w:t>9</w:t>
      </w:r>
      <w:r>
        <w:rPr>
          <w:rFonts w:hint="eastAsia" w:ascii="宋体" w:hAnsi="宋体" w:eastAsia="Times New Roman"/>
          <w:color w:val="000000"/>
          <w:sz w:val="24"/>
        </w:rPr>
        <w:t>）财务状况</w:t>
      </w:r>
      <w:r>
        <w:rPr>
          <w:rFonts w:hint="eastAsia" w:ascii="宋体" w:hAnsi="宋体"/>
          <w:color w:val="000000"/>
          <w:sz w:val="24"/>
        </w:rPr>
        <w:t>，</w:t>
      </w:r>
      <w:r>
        <w:rPr>
          <w:rFonts w:hint="eastAsia" w:hAnsi="宋体" w:eastAsia="Times New Roman"/>
          <w:color w:val="000000"/>
          <w:sz w:val="24"/>
        </w:rPr>
        <w:t>须提供会计师事务所的审计的财务报告复印件加盖公章</w:t>
      </w:r>
      <w:r>
        <w:rPr>
          <w:b/>
          <w:bCs/>
        </w:rPr>
        <w:t>（如有，请提供）</w:t>
      </w:r>
      <w:r>
        <w:t>；</w:t>
      </w:r>
    </w:p>
    <w:p>
      <w:pPr>
        <w:pStyle w:val="17"/>
        <w:ind w:firstLine="420" w:firstLineChars="200"/>
        <w:rPr>
          <w:rFonts w:ascii="Times New Roman" w:hAnsi="Times New Roman" w:eastAsia="宋体"/>
          <w:b w:val="0"/>
          <w:spacing w:val="0"/>
          <w:sz w:val="21"/>
          <w:szCs w:val="24"/>
        </w:rPr>
      </w:pPr>
      <w:r>
        <w:rPr>
          <w:rFonts w:ascii="Times New Roman" w:hAnsi="Times New Roman" w:eastAsia="宋体"/>
          <w:b w:val="0"/>
          <w:spacing w:val="0"/>
          <w:sz w:val="21"/>
          <w:szCs w:val="24"/>
        </w:rPr>
        <w:t>（11）项目实施人员一览表</w:t>
      </w:r>
      <w:r>
        <w:rPr>
          <w:rFonts w:ascii="Times New Roman" w:hAnsi="Times New Roman" w:eastAsia="宋体"/>
          <w:bCs/>
          <w:spacing w:val="0"/>
          <w:sz w:val="21"/>
          <w:szCs w:val="24"/>
        </w:rPr>
        <w:t>（如有，请提供）；</w:t>
      </w:r>
    </w:p>
    <w:p>
      <w:pPr>
        <w:tabs>
          <w:tab w:val="left" w:pos="1305"/>
        </w:tabs>
        <w:spacing w:line="400" w:lineRule="exact"/>
        <w:ind w:firstLine="420" w:firstLineChars="200"/>
        <w:rPr>
          <w:szCs w:val="21"/>
        </w:rPr>
      </w:pPr>
      <w:r>
        <w:rPr>
          <w:szCs w:val="21"/>
        </w:rPr>
        <w:t>（12）</w:t>
      </w:r>
      <w:r>
        <w:t>供应商</w:t>
      </w:r>
      <w:r>
        <w:rPr>
          <w:rFonts w:hint="eastAsia"/>
        </w:rPr>
        <w:t>2018年以来</w:t>
      </w:r>
      <w:r>
        <w:t>具有同类或类似服务业绩的相关证明材料</w:t>
      </w:r>
      <w:r>
        <w:rPr>
          <w:spacing w:val="-12"/>
          <w:szCs w:val="21"/>
        </w:rPr>
        <w:t>（无不良记录，以中标、成交通知书或签订的采购合同为准，并能清晰反映项目名称、种类、金额</w:t>
      </w:r>
      <w:r>
        <w:rPr>
          <w:rFonts w:hint="eastAsia"/>
          <w:spacing w:val="-12"/>
          <w:szCs w:val="21"/>
        </w:rPr>
        <w:t>，同一个编号的项目有两个或两个以上的分标中标的只算一次</w:t>
      </w:r>
      <w:r>
        <w:t>）</w:t>
      </w:r>
      <w:r>
        <w:rPr>
          <w:b/>
        </w:rPr>
        <w:t>（如有，请提供）；</w:t>
      </w:r>
    </w:p>
    <w:p>
      <w:pPr>
        <w:tabs>
          <w:tab w:val="left" w:pos="1305"/>
        </w:tabs>
        <w:spacing w:line="400" w:lineRule="exact"/>
        <w:ind w:firstLine="420" w:firstLineChars="200"/>
        <w:rPr>
          <w:b/>
          <w:bCs/>
          <w:szCs w:val="21"/>
        </w:rPr>
      </w:pPr>
      <w:r>
        <w:rPr>
          <w:szCs w:val="21"/>
        </w:rPr>
        <w:t>（13）供应商相关获奖证书、认证证书等复印件</w:t>
      </w:r>
      <w:r>
        <w:rPr>
          <w:b/>
          <w:bCs/>
          <w:szCs w:val="21"/>
        </w:rPr>
        <w:t>（如有，请提供）；</w:t>
      </w:r>
    </w:p>
    <w:p>
      <w:pPr>
        <w:tabs>
          <w:tab w:val="left" w:pos="1305"/>
        </w:tabs>
        <w:spacing w:line="400" w:lineRule="exact"/>
        <w:ind w:firstLine="420" w:firstLineChars="200"/>
        <w:rPr>
          <w:b/>
          <w:sz w:val="28"/>
          <w:szCs w:val="28"/>
        </w:rPr>
      </w:pPr>
      <w:r>
        <w:rPr>
          <w:szCs w:val="21"/>
        </w:rPr>
        <w:t>（1</w:t>
      </w:r>
      <w:r>
        <w:rPr>
          <w:rFonts w:hint="eastAsia"/>
          <w:szCs w:val="21"/>
        </w:rPr>
        <w:t>4</w:t>
      </w:r>
      <w:r>
        <w:rPr>
          <w:szCs w:val="21"/>
        </w:rPr>
        <w:t>）“服务采购需求”需提供的有效证明文件复印件</w:t>
      </w:r>
      <w:r>
        <w:rPr>
          <w:b/>
          <w:bCs/>
          <w:szCs w:val="21"/>
        </w:rPr>
        <w:t>（如有，请提供）</w:t>
      </w:r>
    </w:p>
    <w:p>
      <w:pPr>
        <w:tabs>
          <w:tab w:val="left" w:pos="1305"/>
        </w:tabs>
        <w:spacing w:line="400" w:lineRule="exact"/>
        <w:ind w:firstLine="420" w:firstLineChars="200"/>
        <w:rPr>
          <w:b/>
          <w:bCs/>
          <w:szCs w:val="21"/>
        </w:rPr>
      </w:pPr>
      <w:r>
        <w:rPr>
          <w:szCs w:val="21"/>
        </w:rPr>
        <w:t>（1</w:t>
      </w:r>
      <w:r>
        <w:rPr>
          <w:rFonts w:hint="eastAsia"/>
          <w:szCs w:val="21"/>
        </w:rPr>
        <w:t>5</w:t>
      </w:r>
      <w:r>
        <w:rPr>
          <w:szCs w:val="21"/>
        </w:rPr>
        <w:t>）如产品属于小型、微型企业，以提供的《中小企业声明函》为准；如产品属于监狱企业的，以提供的相关证明材料为准</w:t>
      </w:r>
      <w:r>
        <w:rPr>
          <w:b/>
          <w:bCs/>
          <w:szCs w:val="21"/>
        </w:rPr>
        <w:t>（如有，请提供）；</w:t>
      </w:r>
    </w:p>
    <w:p>
      <w:pPr>
        <w:tabs>
          <w:tab w:val="left" w:pos="1305"/>
        </w:tabs>
        <w:spacing w:line="400" w:lineRule="exact"/>
        <w:ind w:firstLine="420" w:firstLineChars="200"/>
        <w:rPr>
          <w:b/>
          <w:bCs/>
          <w:szCs w:val="21"/>
        </w:rPr>
      </w:pPr>
      <w:r>
        <w:rPr>
          <w:szCs w:val="21"/>
        </w:rPr>
        <w:t>（1</w:t>
      </w:r>
      <w:r>
        <w:rPr>
          <w:rFonts w:hint="eastAsia"/>
          <w:szCs w:val="21"/>
        </w:rPr>
        <w:t>6</w:t>
      </w:r>
      <w:r>
        <w:rPr>
          <w:szCs w:val="21"/>
        </w:rPr>
        <w:t>）符合条件的残疾人福利性单位在参加政府采购活动时，应当提供《残疾人福利性单位声明函》（见附件），并对声明的真实性负责</w:t>
      </w:r>
      <w:r>
        <w:rPr>
          <w:b/>
          <w:bCs/>
          <w:szCs w:val="21"/>
        </w:rPr>
        <w:t>（如有，请提供）；</w:t>
      </w:r>
    </w:p>
    <w:p>
      <w:pPr>
        <w:tabs>
          <w:tab w:val="left" w:pos="1305"/>
        </w:tabs>
        <w:spacing w:line="400" w:lineRule="exact"/>
        <w:ind w:firstLine="420" w:firstLineChars="200"/>
        <w:rPr>
          <w:b/>
          <w:bCs/>
          <w:szCs w:val="21"/>
        </w:rPr>
      </w:pPr>
      <w:r>
        <w:rPr>
          <w:szCs w:val="21"/>
        </w:rPr>
        <w:t>（1</w:t>
      </w:r>
      <w:r>
        <w:rPr>
          <w:rFonts w:hint="eastAsia"/>
          <w:szCs w:val="21"/>
        </w:rPr>
        <w:t>7</w:t>
      </w:r>
      <w:r>
        <w:rPr>
          <w:szCs w:val="21"/>
        </w:rPr>
        <w:t>）供应商可结合本项目自身情况自行提交其它相关证明材料</w:t>
      </w:r>
      <w:r>
        <w:rPr>
          <w:b/>
          <w:bCs/>
          <w:szCs w:val="21"/>
        </w:rPr>
        <w:t>（如有，请提供）。</w:t>
      </w:r>
    </w:p>
    <w:p>
      <w:pPr>
        <w:pStyle w:val="23"/>
        <w:spacing w:line="400" w:lineRule="exact"/>
        <w:ind w:firstLine="630" w:firstLineChars="300"/>
        <w:rPr>
          <w:rFonts w:ascii="Times New Roman" w:hAnsi="Times New Roman"/>
          <w:b/>
          <w:szCs w:val="21"/>
        </w:rPr>
      </w:pPr>
      <w:r>
        <w:rPr>
          <w:rFonts w:ascii="Times New Roman" w:hAnsi="Times New Roman"/>
          <w:b/>
        </w:rPr>
        <w:t>以上有关材料应真实有效，属于“必须提供”的文件必须于本项目截标前与响应文件同时提交，并加盖供应商公章（扫描公章无效</w:t>
      </w:r>
      <w:r>
        <w:rPr>
          <w:rFonts w:ascii="Times New Roman" w:hAnsi="Times New Roman"/>
          <w:b/>
          <w:szCs w:val="21"/>
        </w:rPr>
        <w:t>，自然人除外</w:t>
      </w:r>
      <w:r>
        <w:rPr>
          <w:rFonts w:ascii="Times New Roman" w:hAnsi="Times New Roman"/>
          <w:b/>
        </w:rPr>
        <w:t>）；如供应商提供的证明文件不齐全或不符合规定形式的的可在磋商小组规定的时间内当场补正或更正；在规定时间内未能补齐或更正的，响应文件无效。其余由供应商视自身情况自行提交</w:t>
      </w:r>
      <w:r>
        <w:rPr>
          <w:rFonts w:ascii="Times New Roman" w:hAnsi="Times New Roman"/>
          <w:b/>
          <w:szCs w:val="21"/>
        </w:rPr>
        <w:t>。</w:t>
      </w:r>
    </w:p>
    <w:p>
      <w:pPr>
        <w:pStyle w:val="23"/>
        <w:spacing w:line="400" w:lineRule="exact"/>
        <w:ind w:firstLine="630" w:firstLineChars="300"/>
        <w:rPr>
          <w:rFonts w:ascii="Times New Roman" w:hAnsi="Times New Roman"/>
        </w:rPr>
      </w:pPr>
      <w:r>
        <w:rPr>
          <w:rFonts w:ascii="Times New Roman" w:hAnsi="Times New Roman"/>
        </w:rPr>
        <w:t>11.2、磋商供应商应按磋商文件第六章响应文件格式编制响应文件。</w:t>
      </w:r>
    </w:p>
    <w:p>
      <w:pPr>
        <w:tabs>
          <w:tab w:val="left" w:pos="1305"/>
        </w:tabs>
        <w:spacing w:line="380" w:lineRule="exact"/>
        <w:ind w:firstLine="420" w:firstLineChars="200"/>
        <w:rPr>
          <w:b/>
          <w:szCs w:val="21"/>
        </w:rPr>
      </w:pPr>
      <w:r>
        <w:rPr>
          <w:b/>
          <w:szCs w:val="21"/>
        </w:rPr>
        <w:t>12、响应文件的语言及计量</w:t>
      </w:r>
    </w:p>
    <w:p>
      <w:pPr>
        <w:tabs>
          <w:tab w:val="left" w:pos="1305"/>
        </w:tabs>
        <w:spacing w:line="380" w:lineRule="exact"/>
        <w:ind w:firstLine="420" w:firstLineChars="200"/>
        <w:rPr>
          <w:szCs w:val="21"/>
        </w:rPr>
      </w:pPr>
      <w:r>
        <w:rPr>
          <w:szCs w:val="21"/>
        </w:rPr>
        <w:t>12.1、响应文件以及磋商供应商与采购代理机构就有关磋商事宜的所有来往函电，均应以中文汉语书写。磋商供应商提交的支持文件和印刷的文献可以使用别的语言，但其相应内容必须附有中文翻译文本，在解释响应文件时以中文翻译文本为主。</w:t>
      </w:r>
    </w:p>
    <w:p>
      <w:pPr>
        <w:tabs>
          <w:tab w:val="left" w:pos="1305"/>
        </w:tabs>
        <w:spacing w:line="380" w:lineRule="exact"/>
        <w:ind w:firstLine="420" w:firstLineChars="200"/>
        <w:rPr>
          <w:szCs w:val="21"/>
        </w:rPr>
      </w:pPr>
      <w:r>
        <w:rPr>
          <w:szCs w:val="21"/>
        </w:rPr>
        <w:t>12.2、磋商计量单位，磋商文件已有明确规定的，使用磋商文件规定的计量单位；磋商文件没有规定的，应采用中华人民共和国法定计量单位（货币单位：人民币元），否则视同未响应。</w:t>
      </w:r>
    </w:p>
    <w:p>
      <w:pPr>
        <w:tabs>
          <w:tab w:val="left" w:pos="1305"/>
        </w:tabs>
        <w:spacing w:line="380" w:lineRule="exact"/>
        <w:ind w:firstLine="420" w:firstLineChars="200"/>
        <w:rPr>
          <w:b/>
          <w:szCs w:val="21"/>
        </w:rPr>
      </w:pPr>
      <w:r>
        <w:rPr>
          <w:b/>
          <w:szCs w:val="21"/>
        </w:rPr>
        <w:t>13、磋商报价及采购预算总金额</w:t>
      </w:r>
    </w:p>
    <w:p>
      <w:pPr>
        <w:tabs>
          <w:tab w:val="left" w:pos="1305"/>
        </w:tabs>
        <w:spacing w:line="380" w:lineRule="exact"/>
        <w:ind w:firstLine="420" w:firstLineChars="200"/>
        <w:rPr>
          <w:szCs w:val="21"/>
        </w:rPr>
      </w:pPr>
      <w:r>
        <w:rPr>
          <w:szCs w:val="21"/>
        </w:rPr>
        <w:t>13.1、磋商报价应按磋商文件中相关附表格式填写。</w:t>
      </w:r>
    </w:p>
    <w:p>
      <w:pPr>
        <w:tabs>
          <w:tab w:val="left" w:pos="1305"/>
        </w:tabs>
        <w:spacing w:line="380" w:lineRule="exact"/>
        <w:ind w:firstLine="420" w:firstLineChars="200"/>
        <w:rPr>
          <w:szCs w:val="21"/>
        </w:rPr>
      </w:pPr>
      <w:r>
        <w:rPr>
          <w:szCs w:val="21"/>
        </w:rPr>
        <w:t>13.2、磋商供应商必须就“服务需求”中的内容作完整唯一报价，否则，其响应将被拒绝。响应文件只允许有一个报价，有选择的或有条件的报价将不予接受。</w:t>
      </w:r>
    </w:p>
    <w:p>
      <w:pPr>
        <w:pStyle w:val="153"/>
        <w:spacing w:line="360" w:lineRule="auto"/>
        <w:ind w:firstLine="420" w:firstLineChars="200"/>
        <w:rPr>
          <w:rFonts w:ascii="Times New Roman" w:hAnsi="Times New Roman"/>
        </w:rPr>
      </w:pPr>
      <w:r>
        <w:rPr>
          <w:rFonts w:ascii="Times New Roman" w:hAnsi="Times New Roman"/>
          <w:szCs w:val="21"/>
        </w:rPr>
        <w:t>13.3、磋商报价包括本次采购范围内一切服务价款的总和</w:t>
      </w:r>
      <w:r>
        <w:rPr>
          <w:rFonts w:ascii="Times New Roman" w:hAnsi="Times New Roman"/>
        </w:rPr>
        <w:t>；供应商综合考虑在报价中</w:t>
      </w:r>
      <w:r>
        <w:rPr>
          <w:rFonts w:ascii="Times New Roman" w:hAnsi="Times New Roman"/>
          <w:szCs w:val="21"/>
        </w:rPr>
        <w:t>。</w:t>
      </w:r>
    </w:p>
    <w:p>
      <w:pPr>
        <w:tabs>
          <w:tab w:val="left" w:pos="1305"/>
        </w:tabs>
        <w:spacing w:line="380" w:lineRule="exact"/>
        <w:ind w:firstLine="420" w:firstLineChars="200"/>
        <w:rPr>
          <w:szCs w:val="21"/>
        </w:rPr>
      </w:pPr>
      <w:r>
        <w:rPr>
          <w:szCs w:val="21"/>
        </w:rPr>
        <w:t>13.4、本项目采购预算总金额（人民币）：详见磋商供应商须知前附表第4条。</w:t>
      </w:r>
    </w:p>
    <w:p>
      <w:pPr>
        <w:tabs>
          <w:tab w:val="left" w:pos="1305"/>
        </w:tabs>
        <w:spacing w:line="400" w:lineRule="exact"/>
        <w:ind w:firstLine="420" w:firstLineChars="200"/>
        <w:rPr>
          <w:szCs w:val="21"/>
        </w:rPr>
      </w:pPr>
      <w:r>
        <w:rPr>
          <w:szCs w:val="21"/>
        </w:rPr>
        <w:t>13.5、响应文件中磋商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pPr>
        <w:tabs>
          <w:tab w:val="left" w:pos="1305"/>
        </w:tabs>
        <w:spacing w:line="380" w:lineRule="exact"/>
        <w:ind w:firstLine="420" w:firstLineChars="200"/>
        <w:rPr>
          <w:kern w:val="0"/>
          <w:szCs w:val="21"/>
        </w:rPr>
      </w:pPr>
      <w:r>
        <w:rPr>
          <w:szCs w:val="21"/>
        </w:rPr>
        <w:t>按上述勘误修正原则及方法调整或修正响应文件的磋商报价，供应商需签字确认。</w:t>
      </w:r>
    </w:p>
    <w:p>
      <w:pPr>
        <w:tabs>
          <w:tab w:val="left" w:pos="1305"/>
        </w:tabs>
        <w:spacing w:line="380" w:lineRule="exact"/>
        <w:ind w:firstLine="420" w:firstLineChars="200"/>
        <w:rPr>
          <w:kern w:val="0"/>
          <w:szCs w:val="21"/>
        </w:rPr>
      </w:pPr>
      <w:r>
        <w:rPr>
          <w:szCs w:val="21"/>
        </w:rPr>
        <w:t>13.6、</w:t>
      </w:r>
      <w:r>
        <w:rPr>
          <w:kern w:val="0"/>
          <w:szCs w:val="21"/>
        </w:rPr>
        <w:t>未书面退出磋商的供应商在规定时间内密封提交最后报价，其最后报价超出</w:t>
      </w:r>
      <w:r>
        <w:t>采购预算金额</w:t>
      </w:r>
      <w:r>
        <w:rPr>
          <w:kern w:val="0"/>
          <w:szCs w:val="21"/>
        </w:rPr>
        <w:t>导致已通过评审的响应文件无效的，按供应商在提交响应文件截止时间后撤回响应文件处理。</w:t>
      </w:r>
    </w:p>
    <w:p>
      <w:pPr>
        <w:tabs>
          <w:tab w:val="left" w:pos="1305"/>
        </w:tabs>
        <w:spacing w:line="380" w:lineRule="exact"/>
        <w:ind w:firstLine="420" w:firstLineChars="200"/>
        <w:rPr>
          <w:szCs w:val="21"/>
        </w:rPr>
      </w:pPr>
      <w:r>
        <w:rPr>
          <w:kern w:val="0"/>
          <w:szCs w:val="21"/>
        </w:rPr>
        <w:t>13.7、磋商供应商</w:t>
      </w:r>
      <w:r>
        <w:rPr>
          <w:szCs w:val="21"/>
        </w:rPr>
        <w:t>最后磋商报价</w:t>
      </w:r>
      <w:r>
        <w:rPr>
          <w:kern w:val="0"/>
          <w:szCs w:val="21"/>
        </w:rPr>
        <w:t>超出本次</w:t>
      </w:r>
      <w:r>
        <w:t>采购预算总金额</w:t>
      </w:r>
      <w:r>
        <w:rPr>
          <w:szCs w:val="21"/>
        </w:rPr>
        <w:t>的将被视为无效磋商。</w:t>
      </w:r>
    </w:p>
    <w:p>
      <w:pPr>
        <w:tabs>
          <w:tab w:val="left" w:pos="1305"/>
        </w:tabs>
        <w:spacing w:line="380" w:lineRule="exact"/>
        <w:ind w:firstLine="420" w:firstLineChars="200"/>
        <w:rPr>
          <w:b/>
          <w:szCs w:val="21"/>
        </w:rPr>
      </w:pPr>
      <w:r>
        <w:rPr>
          <w:b/>
          <w:szCs w:val="21"/>
        </w:rPr>
        <w:t>14、响应文件有效期</w:t>
      </w:r>
    </w:p>
    <w:p>
      <w:pPr>
        <w:tabs>
          <w:tab w:val="left" w:pos="1305"/>
        </w:tabs>
        <w:spacing w:line="380" w:lineRule="exact"/>
        <w:ind w:firstLine="420" w:firstLineChars="200"/>
        <w:rPr>
          <w:szCs w:val="21"/>
        </w:rPr>
      </w:pPr>
      <w:r>
        <w:rPr>
          <w:szCs w:val="21"/>
        </w:rPr>
        <w:t>14.1、按磋商供应商须知前附表规定的响应文件有效期，有效期不足的响应文件将被拒绝。</w:t>
      </w:r>
    </w:p>
    <w:p>
      <w:pPr>
        <w:tabs>
          <w:tab w:val="left" w:pos="1305"/>
        </w:tabs>
        <w:spacing w:line="380" w:lineRule="exact"/>
        <w:ind w:firstLine="420" w:firstLineChars="200"/>
        <w:rPr>
          <w:szCs w:val="21"/>
        </w:rPr>
      </w:pPr>
      <w:r>
        <w:rPr>
          <w:szCs w:val="21"/>
        </w:rPr>
        <w:t>14.2、出现特殊情况下，需要延长响应有效期的，采购代理机构以书面形式通知所有磋商供应商延长响应有效期。磋商供应商同意延长的，但不能修改响应文件。磋商供应商拒绝延长的，其响应无效。</w:t>
      </w:r>
    </w:p>
    <w:p>
      <w:pPr>
        <w:snapToGrid w:val="0"/>
        <w:spacing w:line="390" w:lineRule="exact"/>
        <w:ind w:firstLine="420" w:firstLineChars="200"/>
        <w:jc w:val="left"/>
        <w:rPr>
          <w:b/>
          <w:szCs w:val="21"/>
        </w:rPr>
      </w:pPr>
      <w:r>
        <w:rPr>
          <w:b/>
          <w:szCs w:val="21"/>
        </w:rPr>
        <w:t>15、响应文件的份数、装订、签署和包装、密封</w:t>
      </w:r>
    </w:p>
    <w:p>
      <w:pPr>
        <w:snapToGrid w:val="0"/>
        <w:spacing w:line="390" w:lineRule="exact"/>
        <w:ind w:firstLine="420" w:firstLineChars="200"/>
        <w:jc w:val="left"/>
        <w:rPr>
          <w:szCs w:val="21"/>
        </w:rPr>
      </w:pPr>
      <w:r>
        <w:rPr>
          <w:szCs w:val="21"/>
        </w:rPr>
        <w:t>15.1、响应文件份数：正本壹册，副本肆册，须完整提交。</w:t>
      </w:r>
    </w:p>
    <w:p>
      <w:pPr>
        <w:snapToGrid w:val="0"/>
        <w:spacing w:line="390" w:lineRule="exact"/>
        <w:ind w:firstLine="420" w:firstLineChars="200"/>
        <w:jc w:val="left"/>
        <w:rPr>
          <w:szCs w:val="21"/>
        </w:rPr>
      </w:pPr>
      <w:r>
        <w:rPr>
          <w:szCs w:val="21"/>
        </w:rPr>
        <w:t>15.2、响应文件装订：磋商供应商应按磋商供应商须知第11.1条响应文件的组成规定的顺序自编目录及页码。响应文件的“正本”、“副本”应当单独装订成册并标注页码，装订应牢固，不易拆散和换页</w:t>
      </w:r>
      <w:r>
        <w:rPr>
          <w:b/>
          <w:szCs w:val="21"/>
        </w:rPr>
        <w:t>（A4标准纸装订）</w:t>
      </w:r>
      <w:r>
        <w:rPr>
          <w:szCs w:val="21"/>
        </w:rPr>
        <w:t>。封面应注明“正本”、“副本”字样，封面上写明项目名称、项目编号、采购代理机构、磋商供应商名称。</w:t>
      </w:r>
    </w:p>
    <w:p>
      <w:pPr>
        <w:snapToGrid w:val="0"/>
        <w:spacing w:line="390" w:lineRule="exact"/>
        <w:ind w:firstLine="420" w:firstLineChars="200"/>
        <w:jc w:val="left"/>
        <w:rPr>
          <w:szCs w:val="21"/>
        </w:rPr>
      </w:pPr>
      <w:r>
        <w:rPr>
          <w:szCs w:val="21"/>
        </w:rPr>
        <w:t>15.3、响应文件的正本需打印或用不褪色的墨水填写，响应文件正本除本磋商文件中规定的可提供复印件外均须提供原件。</w:t>
      </w:r>
    </w:p>
    <w:p>
      <w:pPr>
        <w:snapToGrid w:val="0"/>
        <w:spacing w:line="390" w:lineRule="exact"/>
        <w:ind w:firstLine="420" w:firstLineChars="200"/>
        <w:jc w:val="left"/>
        <w:rPr>
          <w:szCs w:val="21"/>
        </w:rPr>
      </w:pPr>
      <w:r>
        <w:rPr>
          <w:szCs w:val="21"/>
        </w:rPr>
        <w:t>15.4、响应文件正本须由磋商供应商在规定位置加盖磋商供应商公章</w:t>
      </w:r>
      <w:r>
        <w:rPr>
          <w:bCs/>
          <w:szCs w:val="21"/>
        </w:rPr>
        <w:t>（扫描公章无效，自然人除外）</w:t>
      </w:r>
      <w:r>
        <w:rPr>
          <w:szCs w:val="21"/>
        </w:rPr>
        <w:t>并由法定代表人或负责人或授权委托代理人签署，磋商供应商应写全称，响应文件副本可以是正本的复印件，当正本与副本不一致时，以正本为准。</w:t>
      </w:r>
    </w:p>
    <w:p>
      <w:pPr>
        <w:snapToGrid w:val="0"/>
        <w:spacing w:line="390" w:lineRule="exact"/>
        <w:ind w:firstLine="420" w:firstLineChars="200"/>
        <w:jc w:val="left"/>
        <w:rPr>
          <w:szCs w:val="21"/>
        </w:rPr>
      </w:pPr>
      <w:r>
        <w:rPr>
          <w:szCs w:val="21"/>
        </w:rPr>
        <w:t>15.5、响应文件不得涂改，若有修改错漏处，须加盖磋商供应商公章（</w:t>
      </w:r>
      <w:r>
        <w:rPr>
          <w:bCs/>
          <w:szCs w:val="21"/>
        </w:rPr>
        <w:t>自然人除外</w:t>
      </w:r>
      <w:r>
        <w:rPr>
          <w:szCs w:val="21"/>
        </w:rPr>
        <w:t>）及法定代表人或负责人或授权委托代理人签字或盖法定代表人印章。响应文件因字迹潦草或表达不清所引起的后果由磋商供应商负责。</w:t>
      </w:r>
    </w:p>
    <w:p>
      <w:pPr>
        <w:snapToGrid w:val="0"/>
        <w:spacing w:line="390" w:lineRule="exact"/>
        <w:ind w:firstLine="420" w:firstLineChars="200"/>
        <w:jc w:val="left"/>
        <w:rPr>
          <w:szCs w:val="21"/>
        </w:rPr>
      </w:pPr>
      <w:r>
        <w:rPr>
          <w:szCs w:val="21"/>
        </w:rPr>
        <w:t>15.6、磋商供应商须将响应文件“正本”、“副本”一并装入并密封在一个响应文件袋（盒、箱）中，并在密封处密封签章（公章、密封章、法定代表人或其授权委托代理人签字均可）。</w:t>
      </w:r>
    </w:p>
    <w:p>
      <w:pPr>
        <w:tabs>
          <w:tab w:val="left" w:pos="1305"/>
        </w:tabs>
        <w:spacing w:line="460" w:lineRule="exact"/>
        <w:ind w:firstLine="420" w:firstLineChars="200"/>
        <w:rPr>
          <w:b/>
          <w:szCs w:val="21"/>
        </w:rPr>
      </w:pPr>
      <w:r>
        <w:rPr>
          <w:szCs w:val="21"/>
        </w:rPr>
        <w:t>15.7、响应文件袋（盒、箱）标记：</w:t>
      </w:r>
    </w:p>
    <w:p>
      <w:pPr>
        <w:spacing w:line="380" w:lineRule="exact"/>
        <w:ind w:firstLine="420" w:firstLineChars="200"/>
        <w:rPr>
          <w:b/>
          <w:szCs w:val="21"/>
        </w:rPr>
      </w:pPr>
      <w:r>
        <w:rPr>
          <w:b/>
          <w:szCs w:val="21"/>
        </w:rPr>
        <w:t>项目名称：</w:t>
      </w:r>
      <w:r>
        <w:rPr>
          <w:rFonts w:hint="eastAsia"/>
          <w:b/>
          <w:szCs w:val="21"/>
        </w:rPr>
        <w:t>临桂区智能旅游系统采购项目</w:t>
      </w:r>
    </w:p>
    <w:p>
      <w:pPr>
        <w:tabs>
          <w:tab w:val="left" w:pos="1305"/>
        </w:tabs>
        <w:spacing w:line="460" w:lineRule="exact"/>
        <w:ind w:firstLine="420" w:firstLineChars="200"/>
        <w:rPr>
          <w:rFonts w:hint="eastAsia"/>
          <w:b/>
          <w:szCs w:val="21"/>
        </w:rPr>
      </w:pPr>
      <w:r>
        <w:rPr>
          <w:rFonts w:hint="eastAsia"/>
          <w:b/>
          <w:szCs w:val="21"/>
        </w:rPr>
        <w:t>项目编号：GLZC2020-C3-120047-TGGC</w:t>
      </w:r>
    </w:p>
    <w:p>
      <w:pPr>
        <w:tabs>
          <w:tab w:val="left" w:pos="1305"/>
        </w:tabs>
        <w:spacing w:line="460" w:lineRule="exact"/>
        <w:ind w:firstLine="420" w:firstLineChars="200"/>
        <w:rPr>
          <w:szCs w:val="21"/>
        </w:rPr>
      </w:pPr>
      <w:r>
        <w:rPr>
          <w:b/>
          <w:szCs w:val="21"/>
        </w:rPr>
        <w:t>采购代理机构：</w:t>
      </w:r>
      <w:r>
        <w:rPr>
          <w:rFonts w:hint="eastAsia"/>
          <w:b/>
          <w:szCs w:val="21"/>
        </w:rPr>
        <w:t>广西通观工程咨询有限公司</w:t>
      </w:r>
    </w:p>
    <w:p>
      <w:pPr>
        <w:tabs>
          <w:tab w:val="left" w:pos="1305"/>
        </w:tabs>
        <w:spacing w:line="460" w:lineRule="exact"/>
        <w:ind w:firstLine="420" w:firstLineChars="200"/>
        <w:rPr>
          <w:b/>
          <w:bCs/>
          <w:szCs w:val="21"/>
        </w:rPr>
      </w:pPr>
      <w:r>
        <w:rPr>
          <w:b/>
          <w:bCs/>
          <w:szCs w:val="21"/>
        </w:rPr>
        <w:t>磋商供应商名称：</w:t>
      </w:r>
    </w:p>
    <w:p>
      <w:pPr>
        <w:snapToGrid w:val="0"/>
        <w:spacing w:line="460" w:lineRule="exact"/>
        <w:ind w:firstLine="420" w:firstLineChars="200"/>
        <w:jc w:val="left"/>
        <w:rPr>
          <w:b/>
          <w:bCs/>
          <w:szCs w:val="21"/>
        </w:rPr>
      </w:pPr>
      <w:r>
        <w:rPr>
          <w:b/>
          <w:bCs/>
          <w:szCs w:val="21"/>
        </w:rPr>
        <w:t>在    年  月  日  时  分前不得开启(此处供应商填写响应文件递交截止时间)</w:t>
      </w:r>
    </w:p>
    <w:p>
      <w:pPr>
        <w:snapToGrid w:val="0"/>
        <w:spacing w:line="460" w:lineRule="exact"/>
        <w:ind w:firstLine="420" w:firstLineChars="200"/>
        <w:jc w:val="left"/>
        <w:rPr>
          <w:szCs w:val="21"/>
        </w:rPr>
      </w:pPr>
      <w:r>
        <w:rPr>
          <w:szCs w:val="21"/>
        </w:rPr>
        <w:t>15.8、本磋商文件中描述磋商供应商的“公章”是指根据我国对公章的管理规定，用磋商供应商法定主体行为名称制作的印章，除本文件有特殊规定外，磋商供应商的财务章、部门章、分公司章、工会章、合同章、磋商专用章、业务专用章及银行的转账章、现金收讫章、现金付讫章等其它形式印章均不能代替公章。</w:t>
      </w:r>
    </w:p>
    <w:p>
      <w:pPr>
        <w:tabs>
          <w:tab w:val="left" w:pos="1305"/>
        </w:tabs>
        <w:spacing w:line="460" w:lineRule="exact"/>
        <w:ind w:firstLine="420" w:firstLineChars="200"/>
        <w:rPr>
          <w:b/>
          <w:szCs w:val="21"/>
        </w:rPr>
      </w:pPr>
      <w:r>
        <w:rPr>
          <w:b/>
          <w:szCs w:val="21"/>
        </w:rPr>
        <w:t>16、响应文件的修改和撤回</w:t>
      </w:r>
    </w:p>
    <w:p>
      <w:pPr>
        <w:tabs>
          <w:tab w:val="left" w:pos="1305"/>
        </w:tabs>
        <w:spacing w:line="460" w:lineRule="exact"/>
        <w:ind w:firstLine="420" w:firstLineChars="200"/>
        <w:rPr>
          <w:szCs w:val="21"/>
        </w:rPr>
      </w:pPr>
      <w:r>
        <w:rPr>
          <w:szCs w:val="21"/>
        </w:rPr>
        <w:t>16.1、磋商供应商在响应文件截止时间之前，可以对已递交的响应文件进行修改或撤回，并书面通知采购代理机构，该通知须有经磋商供应商法定代表人（负责人）或其正式授权的委托人签字。</w:t>
      </w:r>
    </w:p>
    <w:p>
      <w:pPr>
        <w:tabs>
          <w:tab w:val="left" w:pos="1305"/>
        </w:tabs>
        <w:spacing w:line="460" w:lineRule="exact"/>
        <w:ind w:firstLine="420" w:firstLineChars="200"/>
        <w:rPr>
          <w:szCs w:val="21"/>
        </w:rPr>
      </w:pPr>
      <w:r>
        <w:rPr>
          <w:szCs w:val="21"/>
        </w:rPr>
        <w:t>16.2、在响应文件截止时间后的磋商有效期内，磋商供应商不得撤回其响应文件。</w:t>
      </w:r>
    </w:p>
    <w:p>
      <w:pPr>
        <w:spacing w:line="460" w:lineRule="exact"/>
        <w:ind w:firstLine="435"/>
        <w:rPr>
          <w:b/>
          <w:szCs w:val="21"/>
        </w:rPr>
      </w:pPr>
      <w:r>
        <w:rPr>
          <w:b/>
          <w:szCs w:val="21"/>
        </w:rPr>
        <w:t>17、响应文件的递交</w:t>
      </w:r>
    </w:p>
    <w:p>
      <w:pPr>
        <w:tabs>
          <w:tab w:val="left" w:pos="1305"/>
        </w:tabs>
        <w:spacing w:line="460" w:lineRule="exact"/>
        <w:ind w:firstLine="420" w:firstLineChars="200"/>
        <w:rPr>
          <w:szCs w:val="21"/>
        </w:rPr>
      </w:pPr>
      <w:r>
        <w:rPr>
          <w:szCs w:val="21"/>
        </w:rPr>
        <w:t>17.1、磋商供应商应按磋商供应商须知前附表第12条规定的响应文件截止时间前递交响应文件。</w:t>
      </w:r>
    </w:p>
    <w:p>
      <w:pPr>
        <w:tabs>
          <w:tab w:val="left" w:pos="1305"/>
        </w:tabs>
        <w:spacing w:line="460" w:lineRule="exact"/>
        <w:ind w:firstLine="420" w:firstLineChars="200"/>
        <w:rPr>
          <w:szCs w:val="21"/>
        </w:rPr>
      </w:pPr>
      <w:r>
        <w:rPr>
          <w:szCs w:val="21"/>
        </w:rPr>
        <w:t>17.2、磋商供应商递交响应文件的地点：见磋商供应商须知前附表第13条。</w:t>
      </w:r>
    </w:p>
    <w:p>
      <w:pPr>
        <w:tabs>
          <w:tab w:val="left" w:pos="1305"/>
        </w:tabs>
        <w:spacing w:line="460" w:lineRule="exact"/>
        <w:ind w:firstLine="420" w:firstLineChars="200"/>
        <w:rPr>
          <w:szCs w:val="21"/>
        </w:rPr>
      </w:pPr>
      <w:r>
        <w:rPr>
          <w:szCs w:val="21"/>
        </w:rPr>
        <w:t>17.3、除磋商供应商须知前附表另有规定外，磋商供应商所递交的响应文件不予退还。</w:t>
      </w:r>
    </w:p>
    <w:p>
      <w:pPr>
        <w:tabs>
          <w:tab w:val="left" w:pos="1305"/>
        </w:tabs>
        <w:spacing w:line="460" w:lineRule="exact"/>
        <w:ind w:firstLine="420" w:firstLineChars="200"/>
        <w:rPr>
          <w:szCs w:val="21"/>
        </w:rPr>
      </w:pPr>
      <w:r>
        <w:rPr>
          <w:szCs w:val="21"/>
        </w:rPr>
        <w:t>17.4、逾期送达的或者未送达指定地点的响应文件，采购代理机构不予受理。</w:t>
      </w:r>
    </w:p>
    <w:p>
      <w:pPr>
        <w:tabs>
          <w:tab w:val="left" w:pos="1305"/>
        </w:tabs>
        <w:spacing w:line="390" w:lineRule="exact"/>
        <w:ind w:firstLine="420" w:firstLineChars="200"/>
        <w:rPr>
          <w:szCs w:val="21"/>
        </w:rPr>
      </w:pPr>
    </w:p>
    <w:p>
      <w:pPr>
        <w:tabs>
          <w:tab w:val="left" w:pos="1305"/>
        </w:tabs>
        <w:spacing w:line="390" w:lineRule="exact"/>
        <w:ind w:firstLine="560" w:firstLineChars="200"/>
        <w:jc w:val="center"/>
        <w:rPr>
          <w:b/>
          <w:sz w:val="28"/>
          <w:szCs w:val="28"/>
        </w:rPr>
      </w:pPr>
      <w:r>
        <w:rPr>
          <w:b/>
          <w:sz w:val="28"/>
          <w:szCs w:val="28"/>
        </w:rPr>
        <w:t>四、竞争性磋商（简称磋商）与评审</w:t>
      </w:r>
    </w:p>
    <w:p>
      <w:pPr>
        <w:spacing w:line="390" w:lineRule="exact"/>
        <w:ind w:firstLine="420" w:firstLineChars="200"/>
        <w:rPr>
          <w:b/>
          <w:szCs w:val="21"/>
        </w:rPr>
      </w:pPr>
    </w:p>
    <w:p>
      <w:pPr>
        <w:spacing w:line="390" w:lineRule="exact"/>
        <w:ind w:firstLine="420" w:firstLineChars="200"/>
        <w:rPr>
          <w:b/>
          <w:szCs w:val="21"/>
        </w:rPr>
      </w:pPr>
      <w:r>
        <w:rPr>
          <w:b/>
          <w:szCs w:val="21"/>
        </w:rPr>
        <w:t>18、磋商小组组成及磋商时间、地点、人员</w:t>
      </w:r>
    </w:p>
    <w:p>
      <w:pPr>
        <w:pStyle w:val="23"/>
        <w:spacing w:line="390" w:lineRule="exact"/>
        <w:ind w:firstLine="411" w:firstLineChars="196"/>
        <w:rPr>
          <w:rFonts w:ascii="Times New Roman" w:hAnsi="Times New Roman"/>
        </w:rPr>
      </w:pPr>
      <w:r>
        <w:rPr>
          <w:rFonts w:ascii="Times New Roman" w:hAnsi="Times New Roman"/>
        </w:rPr>
        <w:t>18.1、磋商小组组成：磋商会议由采购代理机构负责组织，具体磋商、评审工作由依法组建的磋商小组负责，磋商小组由采购人代表和有关方面的专家组成，磋商小组的组成见磋商供应商须知前附表第14条。</w:t>
      </w:r>
    </w:p>
    <w:p>
      <w:pPr>
        <w:pStyle w:val="23"/>
        <w:spacing w:line="390" w:lineRule="exact"/>
        <w:ind w:firstLine="411" w:firstLineChars="196"/>
        <w:rPr>
          <w:rFonts w:ascii="Times New Roman" w:hAnsi="Times New Roman"/>
        </w:rPr>
      </w:pPr>
      <w:r>
        <w:rPr>
          <w:rFonts w:ascii="Times New Roman" w:hAnsi="Times New Roman"/>
        </w:rPr>
        <w:t>18.2、</w:t>
      </w:r>
      <w:r>
        <w:rPr>
          <w:rFonts w:ascii="Times New Roman" w:hAnsi="Times New Roman"/>
          <w:szCs w:val="21"/>
        </w:rPr>
        <w:t>磋商时间、地点、人员</w:t>
      </w:r>
    </w:p>
    <w:p>
      <w:pPr>
        <w:pStyle w:val="23"/>
        <w:spacing w:line="390" w:lineRule="exact"/>
        <w:ind w:firstLine="411" w:firstLineChars="196"/>
        <w:rPr>
          <w:rFonts w:ascii="Times New Roman" w:hAnsi="Times New Roman"/>
        </w:rPr>
      </w:pPr>
      <w:r>
        <w:rPr>
          <w:rFonts w:ascii="Times New Roman" w:hAnsi="Times New Roman"/>
        </w:rPr>
        <w:t>18.2.1磋商时间：见磋商供应商须知前附表。</w:t>
      </w:r>
    </w:p>
    <w:p>
      <w:pPr>
        <w:pStyle w:val="23"/>
        <w:spacing w:line="390" w:lineRule="exact"/>
        <w:ind w:firstLine="411" w:firstLineChars="196"/>
        <w:rPr>
          <w:rFonts w:ascii="Times New Roman" w:hAnsi="Times New Roman"/>
        </w:rPr>
      </w:pPr>
      <w:r>
        <w:rPr>
          <w:rFonts w:ascii="Times New Roman" w:hAnsi="Times New Roman"/>
        </w:rPr>
        <w:t>18.2.2磋商地点：见磋商供应商须知前附表。</w:t>
      </w:r>
    </w:p>
    <w:p>
      <w:pPr>
        <w:pStyle w:val="23"/>
        <w:spacing w:line="390" w:lineRule="exact"/>
        <w:ind w:firstLine="411" w:firstLineChars="196"/>
        <w:rPr>
          <w:rFonts w:ascii="Times New Roman" w:hAnsi="Times New Roman"/>
        </w:rPr>
      </w:pPr>
      <w:r>
        <w:rPr>
          <w:rFonts w:ascii="Times New Roman" w:hAnsi="Times New Roman"/>
        </w:rPr>
        <w:t>18.2.3磋商参加人员：见磋商供应商须知前附表。</w:t>
      </w:r>
    </w:p>
    <w:p>
      <w:pPr>
        <w:pStyle w:val="23"/>
        <w:spacing w:line="390" w:lineRule="exact"/>
        <w:ind w:firstLine="411" w:firstLineChars="196"/>
        <w:rPr>
          <w:rFonts w:ascii="Times New Roman" w:hAnsi="Times New Roman"/>
          <w:b/>
          <w:szCs w:val="21"/>
        </w:rPr>
      </w:pPr>
      <w:r>
        <w:rPr>
          <w:rFonts w:ascii="Times New Roman" w:hAnsi="Times New Roman"/>
          <w:b/>
          <w:szCs w:val="21"/>
        </w:rPr>
        <w:t>19、评审原则和评审办法</w:t>
      </w:r>
    </w:p>
    <w:p>
      <w:pPr>
        <w:pStyle w:val="23"/>
        <w:spacing w:line="390" w:lineRule="exact"/>
        <w:ind w:firstLine="411" w:firstLineChars="196"/>
        <w:rPr>
          <w:rFonts w:ascii="Times New Roman" w:hAnsi="Times New Roman"/>
        </w:rPr>
      </w:pPr>
      <w:r>
        <w:rPr>
          <w:rFonts w:ascii="Times New Roman" w:hAnsi="Times New Roman"/>
        </w:rPr>
        <w:t>19.1、磋商小组必须坚持公平、公正、科学和择优的原则。</w:t>
      </w:r>
    </w:p>
    <w:p>
      <w:pPr>
        <w:pStyle w:val="23"/>
        <w:spacing w:line="390" w:lineRule="exact"/>
        <w:ind w:firstLine="411" w:firstLineChars="196"/>
        <w:rPr>
          <w:rFonts w:ascii="Times New Roman" w:hAnsi="Times New Roman"/>
        </w:rPr>
      </w:pPr>
      <w:r>
        <w:rPr>
          <w:rFonts w:ascii="Times New Roman" w:hAnsi="Times New Roman"/>
        </w:rPr>
        <w:t>19.2、评审办法：综合评分法，具体评审内容及标准详见第四章：评审办法。</w:t>
      </w:r>
    </w:p>
    <w:p>
      <w:pPr>
        <w:pStyle w:val="23"/>
        <w:spacing w:line="390" w:lineRule="exact"/>
        <w:ind w:firstLine="411" w:firstLineChars="196"/>
        <w:rPr>
          <w:rFonts w:ascii="Times New Roman" w:hAnsi="Times New Roman"/>
        </w:rPr>
      </w:pPr>
      <w:r>
        <w:rPr>
          <w:rFonts w:ascii="Times New Roman" w:hAnsi="Times New Roman"/>
        </w:rPr>
        <w:t>19.3、磋商小组应按磋商文件进行评审，不得擅自更改评审办法。</w:t>
      </w:r>
    </w:p>
    <w:p>
      <w:pPr>
        <w:pStyle w:val="23"/>
        <w:spacing w:line="390" w:lineRule="exact"/>
        <w:ind w:firstLine="411" w:firstLineChars="196"/>
        <w:rPr>
          <w:rFonts w:ascii="Times New Roman" w:hAnsi="Times New Roman"/>
        </w:rPr>
      </w:pPr>
      <w:r>
        <w:rPr>
          <w:rFonts w:ascii="Times New Roman" w:hAnsi="Times New Roman"/>
        </w:rPr>
        <w:t>19.4、在评审过程中，磋商小组任何人不得对某个磋商供应商发表任何倾向性意见，不得向其他磋商小组成员明示或者暗示自己的评审意见。</w:t>
      </w:r>
    </w:p>
    <w:p>
      <w:pPr>
        <w:pStyle w:val="23"/>
        <w:spacing w:line="390" w:lineRule="exact"/>
        <w:ind w:firstLine="411" w:firstLineChars="196"/>
        <w:rPr>
          <w:rFonts w:ascii="Times New Roman" w:hAnsi="Times New Roman"/>
        </w:rPr>
      </w:pPr>
      <w:r>
        <w:rPr>
          <w:rFonts w:ascii="Times New Roman" w:hAnsi="Times New Roman"/>
        </w:rPr>
        <w:t>19.5、磋商小组成员对需要共同认定的事项存在争议的，按照少数服从多数的原则作出结论。持不同意见的磋商小组成员应当在评审报告上签署不同意见并说明理由，否则视为同意。</w:t>
      </w:r>
    </w:p>
    <w:p>
      <w:pPr>
        <w:tabs>
          <w:tab w:val="left" w:pos="1140"/>
        </w:tabs>
        <w:spacing w:line="380" w:lineRule="exact"/>
        <w:ind w:left="419" w:leftChars="172" w:hanging="58" w:hangingChars="28"/>
        <w:rPr>
          <w:b/>
          <w:szCs w:val="21"/>
        </w:rPr>
      </w:pPr>
      <w:r>
        <w:rPr>
          <w:b/>
          <w:szCs w:val="21"/>
        </w:rPr>
        <w:t>20、评审程序及磋商要求</w:t>
      </w:r>
    </w:p>
    <w:p>
      <w:pPr>
        <w:pStyle w:val="23"/>
        <w:spacing w:line="390" w:lineRule="exact"/>
        <w:ind w:firstLine="420" w:firstLineChars="200"/>
        <w:rPr>
          <w:rFonts w:ascii="Times New Roman" w:hAnsi="Times New Roman"/>
          <w:szCs w:val="21"/>
        </w:rPr>
      </w:pPr>
      <w:r>
        <w:rPr>
          <w:rFonts w:ascii="Times New Roman" w:hAnsi="Times New Roman"/>
          <w:szCs w:val="21"/>
        </w:rPr>
        <w:t>20.1、采购代理机构核实磋商小组成员身份，告知回避要求，宣布评审工作纪律和程序，统一保管通讯工具或相关电子设备，推选磋商小组组长。</w:t>
      </w:r>
    </w:p>
    <w:p>
      <w:pPr>
        <w:pStyle w:val="23"/>
        <w:spacing w:line="390" w:lineRule="exact"/>
        <w:ind w:firstLine="420" w:firstLineChars="200"/>
        <w:rPr>
          <w:rFonts w:ascii="Times New Roman" w:hAnsi="Times New Roman"/>
          <w:szCs w:val="21"/>
        </w:rPr>
      </w:pPr>
      <w:r>
        <w:rPr>
          <w:rFonts w:ascii="Times New Roman" w:hAnsi="Times New Roman"/>
          <w:szCs w:val="21"/>
        </w:rPr>
        <w:t>20.2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spacing w:line="380" w:lineRule="exact"/>
        <w:ind w:firstLine="315" w:firstLineChars="150"/>
        <w:rPr>
          <w:szCs w:val="21"/>
        </w:rPr>
      </w:pPr>
      <w:r>
        <w:rPr>
          <w:szCs w:val="21"/>
        </w:rPr>
        <w:t>20.3</w:t>
      </w:r>
      <w:r>
        <w:rPr>
          <w:rFonts w:hint="eastAsia"/>
          <w:szCs w:val="21"/>
        </w:rPr>
        <w:t>、</w:t>
      </w:r>
      <w:r>
        <w:rPr>
          <w:kern w:val="0"/>
          <w:szCs w:val="21"/>
        </w:rPr>
        <w:t>磋商小组</w:t>
      </w:r>
      <w:r>
        <w:rPr>
          <w:szCs w:val="21"/>
        </w:rPr>
        <w:t>依据法律法规和竞争性磋商文件的规定，首先对响应文件中的资格证明等进行资格性审查，以确定供应商是否具备本项目供应商资格；再对通过资格性审查的供应商响应文件的有效性、完整性和对磋商文件的响应程度进行符合性审查，以确定是否对磋商文件的实质性要求做出响应。</w:t>
      </w:r>
    </w:p>
    <w:p>
      <w:pPr>
        <w:spacing w:line="380" w:lineRule="exact"/>
        <w:ind w:firstLine="420" w:firstLineChars="200"/>
        <w:rPr>
          <w:b/>
          <w:szCs w:val="21"/>
        </w:rPr>
      </w:pPr>
      <w:r>
        <w:rPr>
          <w:b/>
          <w:kern w:val="0"/>
          <w:szCs w:val="21"/>
        </w:rPr>
        <w:t>20.4</w:t>
      </w:r>
      <w:r>
        <w:rPr>
          <w:rFonts w:hint="eastAsia"/>
          <w:b/>
          <w:kern w:val="0"/>
          <w:szCs w:val="21"/>
        </w:rPr>
        <w:t>、</w:t>
      </w:r>
      <w:r>
        <w:rPr>
          <w:b/>
          <w:kern w:val="0"/>
          <w:szCs w:val="21"/>
        </w:rPr>
        <w:t>磋商小组</w:t>
      </w:r>
      <w:r>
        <w:rPr>
          <w:b/>
          <w:szCs w:val="21"/>
        </w:rPr>
        <w:t>如发现供应商提供的证明文件不齐全或不符合规定格式的，应一次性告知供应商，供应商应在规定的时间内当场补正或更正。</w:t>
      </w:r>
    </w:p>
    <w:p>
      <w:pPr>
        <w:tabs>
          <w:tab w:val="left" w:pos="1140"/>
        </w:tabs>
        <w:spacing w:line="380" w:lineRule="exact"/>
        <w:ind w:firstLine="420" w:firstLineChars="200"/>
        <w:rPr>
          <w:b/>
          <w:szCs w:val="21"/>
        </w:rPr>
      </w:pPr>
      <w:r>
        <w:rPr>
          <w:b/>
          <w:szCs w:val="21"/>
        </w:rPr>
        <w:t>20.5</w:t>
      </w:r>
      <w:r>
        <w:rPr>
          <w:rFonts w:hint="eastAsia"/>
          <w:b/>
          <w:szCs w:val="21"/>
        </w:rPr>
        <w:t>、</w:t>
      </w:r>
      <w:r>
        <w:rPr>
          <w:b/>
          <w:szCs w:val="21"/>
        </w:rPr>
        <w:t>企业股东及出资等信息进行查询</w:t>
      </w:r>
    </w:p>
    <w:p>
      <w:pPr>
        <w:tabs>
          <w:tab w:val="left" w:pos="1140"/>
        </w:tabs>
        <w:spacing w:line="380" w:lineRule="exact"/>
        <w:ind w:firstLine="420" w:firstLineChars="200"/>
        <w:rPr>
          <w:szCs w:val="21"/>
        </w:rPr>
      </w:pPr>
      <w:r>
        <w:rPr>
          <w:szCs w:val="21"/>
        </w:rPr>
        <w:t>20.5.1在进行资格性审查时，磋商小组进入《国家企业信用信息公示系统》对企业股东及出资等信息进行查询，对存在《中华人民共和国政府采购法实施条例》第十八条第一款情形的，其响应文件将被视为无效文件。</w:t>
      </w:r>
    </w:p>
    <w:p>
      <w:pPr>
        <w:tabs>
          <w:tab w:val="left" w:pos="1140"/>
        </w:tabs>
        <w:spacing w:line="380" w:lineRule="exact"/>
        <w:ind w:firstLine="420" w:firstLineChars="200"/>
        <w:rPr>
          <w:szCs w:val="21"/>
        </w:rPr>
      </w:pPr>
      <w:r>
        <w:rPr>
          <w:szCs w:val="21"/>
        </w:rPr>
        <w:t>20.5.2审查流程：</w:t>
      </w:r>
    </w:p>
    <w:p>
      <w:pPr>
        <w:tabs>
          <w:tab w:val="left" w:pos="1140"/>
        </w:tabs>
        <w:spacing w:line="380" w:lineRule="exact"/>
        <w:ind w:firstLine="420" w:firstLineChars="200"/>
        <w:rPr>
          <w:szCs w:val="21"/>
        </w:rPr>
      </w:pPr>
      <w:r>
        <w:rPr>
          <w:szCs w:val="21"/>
        </w:rPr>
        <w:t>2</w:t>
      </w:r>
      <w:r>
        <w:rPr>
          <w:rFonts w:hint="eastAsia"/>
          <w:szCs w:val="21"/>
        </w:rPr>
        <w:t>0</w:t>
      </w:r>
      <w:r>
        <w:rPr>
          <w:szCs w:val="21"/>
        </w:rPr>
        <w:t>.5.3进入《国家企业信用信息公示系统》（网址：http://www.gsxt.gov.cn/index.html），输入企业名称，进入企业信息主页面。</w:t>
      </w:r>
    </w:p>
    <w:p>
      <w:pPr>
        <w:tabs>
          <w:tab w:val="left" w:pos="1140"/>
        </w:tabs>
        <w:spacing w:line="380" w:lineRule="exact"/>
        <w:ind w:firstLine="420" w:firstLineChars="200"/>
        <w:rPr>
          <w:szCs w:val="21"/>
        </w:rPr>
      </w:pPr>
      <w:r>
        <w:rPr>
          <w:szCs w:val="21"/>
        </w:rPr>
        <w:t>2</w:t>
      </w:r>
      <w:r>
        <w:rPr>
          <w:rFonts w:hint="eastAsia"/>
          <w:szCs w:val="21"/>
        </w:rPr>
        <w:t>0</w:t>
      </w:r>
      <w:r>
        <w:rPr>
          <w:szCs w:val="21"/>
        </w:rPr>
        <w:t>.5.4查看主页 “股东及出资信息”栏，或年报中的“股东及出资信息”栏信息。</w:t>
      </w:r>
    </w:p>
    <w:p>
      <w:pPr>
        <w:tabs>
          <w:tab w:val="left" w:pos="1140"/>
        </w:tabs>
        <w:spacing w:line="380" w:lineRule="exact"/>
        <w:ind w:firstLine="420" w:firstLineChars="200"/>
        <w:rPr>
          <w:szCs w:val="21"/>
        </w:rPr>
      </w:pPr>
      <w:r>
        <w:rPr>
          <w:szCs w:val="21"/>
        </w:rPr>
        <w:t>2</w:t>
      </w:r>
      <w:r>
        <w:rPr>
          <w:rFonts w:hint="eastAsia"/>
          <w:szCs w:val="21"/>
        </w:rPr>
        <w:t>0</w:t>
      </w:r>
      <w:r>
        <w:rPr>
          <w:szCs w:val="21"/>
        </w:rPr>
        <w:t>.5.5将各供应商的股东及出资信息进行比对，如发现存在单位负责人为同一人或者存在直接控股、管理关系的不同供应商参加同一合同项下的政府采购活动，按无效处理。</w:t>
      </w:r>
    </w:p>
    <w:p>
      <w:pPr>
        <w:tabs>
          <w:tab w:val="left" w:pos="1140"/>
        </w:tabs>
        <w:spacing w:line="380" w:lineRule="exact"/>
        <w:ind w:firstLine="420" w:firstLineChars="200"/>
        <w:rPr>
          <w:szCs w:val="21"/>
        </w:rPr>
      </w:pPr>
      <w:r>
        <w:rPr>
          <w:szCs w:val="21"/>
        </w:rPr>
        <w:t>2</w:t>
      </w:r>
      <w:r>
        <w:rPr>
          <w:rFonts w:hint="eastAsia"/>
          <w:szCs w:val="21"/>
        </w:rPr>
        <w:t>0</w:t>
      </w:r>
      <w:r>
        <w:rPr>
          <w:szCs w:val="21"/>
        </w:rPr>
        <w:t>.5.6将相关资料打印存档。</w:t>
      </w:r>
    </w:p>
    <w:p>
      <w:pPr>
        <w:pStyle w:val="23"/>
        <w:spacing w:line="39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0</w:t>
      </w:r>
      <w:r>
        <w:rPr>
          <w:rFonts w:ascii="Times New Roman" w:hAnsi="Times New Roman"/>
          <w:szCs w:val="21"/>
        </w:rPr>
        <w:t>.6</w:t>
      </w:r>
      <w:r>
        <w:rPr>
          <w:rFonts w:hint="eastAsia" w:ascii="Times New Roman" w:hAnsi="Times New Roman"/>
          <w:szCs w:val="21"/>
        </w:rPr>
        <w:t>、</w:t>
      </w:r>
      <w:r>
        <w:rPr>
          <w:rFonts w:ascii="Times New Roman" w:hAnsi="Times New Roman"/>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负责人或授权委托代表签字或者加盖磋商供应商公章。由授权委托代表签字的，应当附授权委托书。</w:t>
      </w:r>
    </w:p>
    <w:p>
      <w:pPr>
        <w:pStyle w:val="23"/>
        <w:spacing w:line="390" w:lineRule="exact"/>
        <w:ind w:firstLine="420" w:firstLineChars="200"/>
        <w:rPr>
          <w:rFonts w:ascii="Times New Roman" w:hAnsi="Times New Roman"/>
          <w:szCs w:val="21"/>
        </w:rPr>
      </w:pPr>
      <w:r>
        <w:rPr>
          <w:rFonts w:ascii="Times New Roman" w:hAnsi="Times New Roman"/>
          <w:szCs w:val="21"/>
        </w:rPr>
        <w:t>根据磋商文件规定的程序、评定成交的标准等事项与实质性响应磋商文件要求的供应商进行磋商。未实质性响应磋商文件的响应文件按无效处理，磋商小组应当告知有关供应商。</w:t>
      </w:r>
    </w:p>
    <w:p>
      <w:pPr>
        <w:pStyle w:val="23"/>
        <w:spacing w:line="390" w:lineRule="exact"/>
        <w:ind w:firstLine="420" w:firstLineChars="200"/>
        <w:rPr>
          <w:rFonts w:ascii="Times New Roman" w:hAnsi="Times New Roman"/>
          <w:szCs w:val="21"/>
        </w:rPr>
      </w:pPr>
      <w:r>
        <w:rPr>
          <w:rFonts w:ascii="Times New Roman" w:hAnsi="Times New Roman"/>
          <w:szCs w:val="21"/>
        </w:rPr>
        <w:t>磋商小组所有成员应当按已确定的磋商顺序分别与单一供应商分别进行磋商，并给予所有实质性响应磋商文件要求的供应商平等的磋商机会。</w:t>
      </w:r>
    </w:p>
    <w:p>
      <w:pPr>
        <w:pStyle w:val="23"/>
        <w:spacing w:line="390" w:lineRule="exact"/>
        <w:ind w:firstLine="420" w:firstLineChars="200"/>
        <w:rPr>
          <w:rFonts w:ascii="Times New Roman" w:hAnsi="Times New Roman"/>
          <w:szCs w:val="21"/>
        </w:rPr>
      </w:pPr>
      <w:r>
        <w:rPr>
          <w:rFonts w:ascii="Times New Roman" w:hAnsi="Times New Roman"/>
          <w:szCs w:val="21"/>
        </w:rPr>
        <w:t>磋商中，磋商小组不得透露与磋商有关的其他供应商的技术资料、价格和其他信息。</w:t>
      </w:r>
    </w:p>
    <w:p>
      <w:pPr>
        <w:pStyle w:val="23"/>
        <w:spacing w:line="390" w:lineRule="exact"/>
        <w:ind w:firstLine="420" w:firstLineChars="200"/>
        <w:rPr>
          <w:rFonts w:ascii="Times New Roman" w:hAnsi="Times New Roman"/>
          <w:szCs w:val="21"/>
        </w:rPr>
      </w:pPr>
      <w:r>
        <w:rPr>
          <w:rFonts w:ascii="Times New Roman" w:hAnsi="Times New Roman"/>
          <w:szCs w:val="21"/>
        </w:rPr>
        <w:t>采购代理机构对磋商过程和重要磋商内容进行记录，磋商双方在记录上签字确认。</w:t>
      </w:r>
    </w:p>
    <w:p>
      <w:pPr>
        <w:pStyle w:val="23"/>
        <w:spacing w:line="390" w:lineRule="exact"/>
        <w:ind w:firstLine="420" w:firstLineChars="200"/>
        <w:rPr>
          <w:rFonts w:ascii="Times New Roman" w:hAnsi="Times New Roman"/>
          <w:szCs w:val="21"/>
        </w:rPr>
      </w:pPr>
      <w:r>
        <w:rPr>
          <w:rFonts w:ascii="Times New Roman" w:hAnsi="Times New Roman"/>
          <w:szCs w:val="21"/>
        </w:rPr>
        <w:t>20.7、在磋商过程中，磋商小组可以根据磋商文件和磋商情况实质性变动服务要求中的技术、服务要求以及合同草案条款，但不得变动磋商文件中的其他内容。实质性变动的内容，须经采购人代表确认。</w:t>
      </w:r>
    </w:p>
    <w:p>
      <w:pPr>
        <w:pStyle w:val="23"/>
        <w:spacing w:line="390" w:lineRule="exact"/>
        <w:ind w:firstLine="420" w:firstLineChars="200"/>
        <w:rPr>
          <w:rFonts w:ascii="Times New Roman" w:hAnsi="Times New Roman"/>
          <w:szCs w:val="21"/>
        </w:rPr>
      </w:pPr>
      <w:r>
        <w:rPr>
          <w:rFonts w:ascii="Times New Roman" w:hAnsi="Times New Roman"/>
          <w:szCs w:val="21"/>
        </w:rPr>
        <w:t>对磋商文件作出的实质性变动是磋商文件的有效组成部分，磋商小组应当及时以书面形式同时通知所有参加磋商的供应商。</w:t>
      </w:r>
    </w:p>
    <w:p>
      <w:pPr>
        <w:pStyle w:val="23"/>
        <w:spacing w:line="390" w:lineRule="exact"/>
        <w:ind w:firstLine="420" w:firstLineChars="200"/>
        <w:rPr>
          <w:rFonts w:ascii="Times New Roman" w:hAnsi="Times New Roman"/>
          <w:szCs w:val="21"/>
        </w:rPr>
      </w:pPr>
      <w:r>
        <w:rPr>
          <w:rFonts w:ascii="Times New Roman" w:hAnsi="Times New Roman"/>
          <w:szCs w:val="21"/>
        </w:rPr>
        <w:t>供应商应当按照磋商文件的变动情况和磋商小组的要求重新提交响应文件，并由其法定代表人或负责人或授权委托代表签字或者加盖磋商供应商公章。逾时不交的，视同放弃磋商。</w:t>
      </w:r>
    </w:p>
    <w:p>
      <w:pPr>
        <w:pStyle w:val="23"/>
        <w:spacing w:line="390" w:lineRule="exact"/>
        <w:ind w:firstLine="420" w:firstLineChars="200"/>
        <w:rPr>
          <w:rFonts w:ascii="Times New Roman" w:hAnsi="Times New Roman"/>
          <w:szCs w:val="21"/>
        </w:rPr>
      </w:pPr>
      <w:r>
        <w:rPr>
          <w:rFonts w:ascii="Times New Roman" w:hAnsi="Times New Roman"/>
          <w:szCs w:val="21"/>
        </w:rPr>
        <w:t>20.8、</w:t>
      </w:r>
      <w:r>
        <w:rPr>
          <w:rFonts w:ascii="Times New Roman" w:hAnsi="Times New Roman"/>
        </w:rPr>
        <w:t>最后报价</w:t>
      </w:r>
    </w:p>
    <w:p>
      <w:pPr>
        <w:pStyle w:val="23"/>
        <w:spacing w:line="390" w:lineRule="exact"/>
        <w:ind w:firstLine="420" w:firstLineChars="200"/>
        <w:rPr>
          <w:rFonts w:ascii="Times New Roman" w:hAnsi="Times New Roman"/>
          <w:szCs w:val="21"/>
        </w:rPr>
      </w:pPr>
      <w:r>
        <w:rPr>
          <w:rFonts w:ascii="Times New Roman" w:hAnsi="Times New Roman"/>
          <w:szCs w:val="21"/>
        </w:rPr>
        <w:t>20.8.1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pStyle w:val="23"/>
        <w:spacing w:line="390" w:lineRule="exact"/>
        <w:ind w:firstLine="420" w:firstLineChars="200"/>
        <w:rPr>
          <w:rFonts w:ascii="Times New Roman" w:hAnsi="Times New Roman"/>
          <w:szCs w:val="21"/>
        </w:rPr>
      </w:pPr>
      <w:r>
        <w:rPr>
          <w:rFonts w:ascii="Times New Roman" w:hAnsi="Times New Roman"/>
          <w:szCs w:val="21"/>
        </w:rPr>
        <w:t>20.8.2已提交响应文件的供应商，可以根据磋商情况书面退出磋商。</w:t>
      </w:r>
    </w:p>
    <w:p>
      <w:pPr>
        <w:pStyle w:val="23"/>
        <w:spacing w:line="390" w:lineRule="exact"/>
        <w:ind w:firstLine="420" w:firstLineChars="200"/>
        <w:rPr>
          <w:rFonts w:ascii="Times New Roman" w:hAnsi="Times New Roman"/>
          <w:szCs w:val="21"/>
        </w:rPr>
      </w:pPr>
      <w:r>
        <w:rPr>
          <w:rFonts w:ascii="Times New Roman" w:hAnsi="Times New Roman"/>
          <w:szCs w:val="21"/>
        </w:rPr>
        <w:t>20.8.3最后报价是供应商响应文件的有效组成部分。</w:t>
      </w:r>
      <w:r>
        <w:rPr>
          <w:rFonts w:ascii="Times New Roman" w:hAnsi="Times New Roman"/>
          <w:kern w:val="0"/>
          <w:szCs w:val="21"/>
        </w:rPr>
        <w:t>未书面退出磋商的供应商在规定时间内密封提交最后报价，其最后报价超出采购预算导致已通过评审的响应文件无效的，按供应商在提交响应文件截止时间后撤回响应文件处理。</w:t>
      </w:r>
    </w:p>
    <w:p>
      <w:pPr>
        <w:pStyle w:val="23"/>
        <w:spacing w:line="390" w:lineRule="exact"/>
        <w:ind w:firstLine="420" w:firstLineChars="200"/>
        <w:rPr>
          <w:rFonts w:ascii="Times New Roman" w:hAnsi="Times New Roman"/>
          <w:szCs w:val="21"/>
        </w:rPr>
      </w:pPr>
      <w:r>
        <w:rPr>
          <w:rFonts w:ascii="Times New Roman" w:hAnsi="Times New Roman"/>
          <w:szCs w:val="21"/>
        </w:rPr>
        <w:t>20.9、综合比较与评价</w:t>
      </w:r>
    </w:p>
    <w:p>
      <w:pPr>
        <w:pStyle w:val="23"/>
        <w:spacing w:line="390" w:lineRule="exact"/>
        <w:ind w:firstLine="420" w:firstLineChars="200"/>
        <w:rPr>
          <w:rFonts w:ascii="Times New Roman" w:hAnsi="Times New Roman"/>
          <w:szCs w:val="21"/>
        </w:rPr>
      </w:pPr>
      <w:r>
        <w:rPr>
          <w:rFonts w:ascii="Times New Roman" w:hAnsi="Times New Roman"/>
          <w:szCs w:val="21"/>
        </w:rPr>
        <w:t>20.9.1 磋商小组按竞争性磋商文件中规定的评审办法，对资格性审查和符合性审查合格的响应文件进行商务和技术评估，综合比较与评价。</w:t>
      </w:r>
    </w:p>
    <w:p>
      <w:pPr>
        <w:pStyle w:val="23"/>
        <w:spacing w:line="390" w:lineRule="exact"/>
        <w:ind w:firstLine="420" w:firstLineChars="200"/>
        <w:rPr>
          <w:rFonts w:ascii="Times New Roman" w:hAnsi="Times New Roman"/>
          <w:szCs w:val="21"/>
        </w:rPr>
      </w:pPr>
      <w:r>
        <w:rPr>
          <w:rFonts w:ascii="Times New Roman" w:hAnsi="Times New Roman"/>
          <w:szCs w:val="21"/>
        </w:rPr>
        <w:t>20.9.2 采购代理机构对评审数据进行校对、核对，对畸高、畸低的重大差异评分提示磋商小组复核或书面说明理由。</w:t>
      </w:r>
    </w:p>
    <w:p>
      <w:pPr>
        <w:pStyle w:val="23"/>
        <w:tabs>
          <w:tab w:val="left" w:pos="4214"/>
        </w:tabs>
        <w:spacing w:line="460" w:lineRule="exact"/>
        <w:ind w:firstLine="420" w:firstLineChars="200"/>
        <w:rPr>
          <w:rFonts w:ascii="Times New Roman" w:hAnsi="Times New Roman"/>
          <w:szCs w:val="21"/>
        </w:rPr>
      </w:pPr>
      <w:r>
        <w:rPr>
          <w:rFonts w:ascii="Times New Roman" w:hAnsi="Times New Roman"/>
          <w:szCs w:val="21"/>
        </w:rPr>
        <w:t>20.9.3磋商小组应当根据综合评分情况，按照评审得分由高到低顺序推荐3名以上（含3名）成交候选供应商，并编写评审报告；如进入详评的供应商不足3家，采购项目为政府购买服务项目（含政府和社会资本合作项目），在采购过程中符合要求的供应商（社会资本）只有2家的，竞争性磋商采购活动可以继续进行，磋商小组应当根据综合评分情况，按照评审得分由高到低顺序推荐2名以上（含2名）成交候选供应商，并编写评审报告。磋商小组根据综合得分由高到低排列次序，若得分相同时，以评标报价由低到高顺序排列；若得分相同且评标报价相同的，以磋商报价由低到高顺序排列；若仍相同时，按服务实施方案得分由高到低的顺序排列并推荐成交供应商。若仍相同时，则由磋商小组集体讨论确定。</w:t>
      </w:r>
    </w:p>
    <w:p>
      <w:pPr>
        <w:pStyle w:val="23"/>
        <w:spacing w:line="390" w:lineRule="exact"/>
        <w:ind w:firstLine="420" w:firstLineChars="200"/>
        <w:rPr>
          <w:rFonts w:ascii="Times New Roman" w:hAnsi="Times New Roman"/>
          <w:szCs w:val="21"/>
        </w:rPr>
      </w:pPr>
      <w:r>
        <w:rPr>
          <w:rFonts w:ascii="Times New Roman" w:hAnsi="Times New Roman"/>
          <w:szCs w:val="21"/>
        </w:rPr>
        <w:t>20.10、在评审过程中出现法律法规和磋商文件均没有明确规定的情形时，由磋商小组现场协商解决，协商不一致的，由全体磋商小组投票表决，以得票率二分之一以上专家的意见为准。</w:t>
      </w:r>
    </w:p>
    <w:p>
      <w:pPr>
        <w:pStyle w:val="23"/>
        <w:spacing w:line="390" w:lineRule="exact"/>
        <w:ind w:firstLine="420" w:firstLineChars="200"/>
        <w:rPr>
          <w:rFonts w:ascii="Times New Roman" w:hAnsi="Times New Roman"/>
          <w:szCs w:val="21"/>
        </w:rPr>
      </w:pPr>
      <w:r>
        <w:rPr>
          <w:rFonts w:ascii="Times New Roman" w:hAnsi="Times New Roman"/>
          <w:szCs w:val="21"/>
        </w:rPr>
        <w:t>20.11、采购代理机构发现磋商小组有明显的违规倾向或歧视现象，或不按评审办法进行，或其他不正常行为的，应当及时制止。如制止无效，应及时向</w:t>
      </w:r>
      <w:r>
        <w:rPr>
          <w:rFonts w:hint="eastAsia" w:ascii="Times New Roman" w:hAnsi="Times New Roman"/>
          <w:szCs w:val="21"/>
        </w:rPr>
        <w:t>兴安县</w:t>
      </w:r>
      <w:r>
        <w:rPr>
          <w:rFonts w:ascii="Times New Roman" w:hAnsi="Times New Roman"/>
          <w:color w:val="000000"/>
          <w:szCs w:val="21"/>
        </w:rPr>
        <w:t>人民政府采购</w:t>
      </w:r>
      <w:r>
        <w:rPr>
          <w:rFonts w:ascii="Times New Roman" w:hAnsi="Times New Roman"/>
          <w:szCs w:val="21"/>
        </w:rPr>
        <w:t>监督管理机构报告。</w:t>
      </w:r>
    </w:p>
    <w:p>
      <w:pPr>
        <w:pStyle w:val="23"/>
        <w:spacing w:line="390" w:lineRule="exact"/>
        <w:ind w:firstLine="420" w:firstLineChars="200"/>
        <w:rPr>
          <w:rFonts w:ascii="Times New Roman" w:hAnsi="Times New Roman"/>
          <w:szCs w:val="21"/>
        </w:rPr>
      </w:pPr>
      <w:r>
        <w:rPr>
          <w:rFonts w:ascii="Times New Roman" w:hAnsi="Times New Roman"/>
          <w:szCs w:val="21"/>
        </w:rPr>
        <w:t>20.12、磋商小组判断响应文件的响应性仅基于响应文件本身而不靠外部证据。</w:t>
      </w:r>
    </w:p>
    <w:p>
      <w:pPr>
        <w:pStyle w:val="23"/>
        <w:spacing w:line="390" w:lineRule="exact"/>
        <w:ind w:firstLine="420" w:firstLineChars="200"/>
        <w:rPr>
          <w:rFonts w:ascii="Times New Roman" w:hAnsi="Times New Roman"/>
          <w:szCs w:val="21"/>
        </w:rPr>
      </w:pPr>
      <w:r>
        <w:rPr>
          <w:rFonts w:ascii="Times New Roman" w:hAnsi="Times New Roman"/>
          <w:szCs w:val="21"/>
        </w:rPr>
        <w:t>21、本磋商项目是以采购预算总金额为最高限价，超出采购预算总金额的最后报价，磋商小组可以不予以评审。当全部最后报价均超出采购预算总金额时，磋商小组有权决定全部废标或以书面形式要求所有供应商在规定时间内以书面密封形式重新报价。</w:t>
      </w:r>
    </w:p>
    <w:p>
      <w:pPr>
        <w:pStyle w:val="23"/>
        <w:spacing w:line="380" w:lineRule="exact"/>
        <w:ind w:firstLine="420" w:firstLineChars="200"/>
        <w:rPr>
          <w:rFonts w:ascii="Times New Roman" w:hAnsi="Times New Roman"/>
          <w:b/>
          <w:bCs/>
          <w:szCs w:val="21"/>
        </w:rPr>
      </w:pPr>
      <w:r>
        <w:rPr>
          <w:rFonts w:ascii="Times New Roman" w:hAnsi="Times New Roman"/>
          <w:b/>
          <w:bCs/>
          <w:szCs w:val="21"/>
        </w:rPr>
        <w:t>22、确定成交供应商</w:t>
      </w:r>
    </w:p>
    <w:p>
      <w:pPr>
        <w:pStyle w:val="23"/>
        <w:tabs>
          <w:tab w:val="left" w:pos="4214"/>
        </w:tabs>
        <w:spacing w:line="380" w:lineRule="exact"/>
        <w:ind w:firstLine="420" w:firstLineChars="200"/>
        <w:rPr>
          <w:rFonts w:ascii="Times New Roman" w:hAnsi="Times New Roman"/>
          <w:szCs w:val="21"/>
        </w:rPr>
      </w:pPr>
      <w:r>
        <w:rPr>
          <w:rFonts w:ascii="Times New Roman" w:hAnsi="Times New Roman"/>
          <w:szCs w:val="21"/>
        </w:rPr>
        <w:t>22.1</w:t>
      </w:r>
      <w:r>
        <w:rPr>
          <w:rFonts w:hint="eastAsia" w:ascii="Times New Roman" w:hAnsi="Times New Roman"/>
          <w:szCs w:val="21"/>
        </w:rPr>
        <w:t>、</w:t>
      </w:r>
      <w:r>
        <w:rPr>
          <w:rFonts w:ascii="Times New Roman" w:hAnsi="Times New Roman"/>
          <w:szCs w:val="21"/>
        </w:rPr>
        <w:t>招标采购单位应当确定磋商小组推荐排名第一的磋商供应商为成交供应商。</w:t>
      </w:r>
    </w:p>
    <w:p>
      <w:pPr>
        <w:pStyle w:val="23"/>
        <w:spacing w:line="380" w:lineRule="exact"/>
        <w:ind w:firstLine="420" w:firstLineChars="200"/>
        <w:rPr>
          <w:rFonts w:ascii="Times New Roman" w:hAnsi="Times New Roman"/>
          <w:szCs w:val="21"/>
        </w:rPr>
      </w:pPr>
      <w:r>
        <w:rPr>
          <w:rFonts w:ascii="Times New Roman" w:hAnsi="Times New Roman"/>
          <w:szCs w:val="21"/>
        </w:rPr>
        <w:t>22.2</w:t>
      </w:r>
      <w:r>
        <w:rPr>
          <w:rFonts w:hint="eastAsia" w:ascii="Times New Roman" w:hAnsi="Times New Roman"/>
          <w:szCs w:val="21"/>
        </w:rPr>
        <w:t>、</w:t>
      </w:r>
      <w:r>
        <w:rPr>
          <w:rFonts w:ascii="Times New Roman" w:hAnsi="Times New Roman"/>
          <w:szCs w:val="21"/>
        </w:rPr>
        <w:t>排名第一的成交候选供应商放弃成交、因不可抗力提出不能履行合同，或者磋商文件规定应当提交履约保证金而在规定的期限内未能提交的，或因失信行为被取消中标候选人资格的，招标采购单位可以确定排名第二的成交候选人为成交供应商或重新采购。</w:t>
      </w:r>
    </w:p>
    <w:p>
      <w:pPr>
        <w:pStyle w:val="23"/>
        <w:spacing w:line="380" w:lineRule="exact"/>
        <w:ind w:firstLine="420" w:firstLineChars="200"/>
        <w:rPr>
          <w:rFonts w:ascii="Times New Roman" w:hAnsi="Times New Roman"/>
          <w:szCs w:val="21"/>
        </w:rPr>
      </w:pPr>
      <w:r>
        <w:rPr>
          <w:rFonts w:ascii="Times New Roman" w:hAnsi="Times New Roman"/>
          <w:szCs w:val="21"/>
        </w:rPr>
        <w:t>22.3</w:t>
      </w:r>
      <w:r>
        <w:rPr>
          <w:rFonts w:hint="eastAsia" w:ascii="Times New Roman" w:hAnsi="Times New Roman"/>
          <w:szCs w:val="21"/>
        </w:rPr>
        <w:t>、</w:t>
      </w:r>
      <w:r>
        <w:rPr>
          <w:rFonts w:ascii="Times New Roman" w:hAnsi="Times New Roman"/>
          <w:szCs w:val="21"/>
        </w:rPr>
        <w:t>第二成交候选人因前款规定的同样原因不能签订合同的，招标采购单位可以确定排名第三的成交候选人为成交供应商或重新采购。</w:t>
      </w:r>
    </w:p>
    <w:p>
      <w:pPr>
        <w:pStyle w:val="23"/>
        <w:spacing w:line="380" w:lineRule="exact"/>
        <w:ind w:firstLine="420" w:firstLineChars="200"/>
        <w:rPr>
          <w:rFonts w:ascii="Times New Roman" w:hAnsi="Times New Roman"/>
          <w:szCs w:val="21"/>
        </w:rPr>
      </w:pPr>
      <w:r>
        <w:rPr>
          <w:rFonts w:ascii="Times New Roman" w:hAnsi="Times New Roman"/>
          <w:szCs w:val="21"/>
        </w:rPr>
        <w:t>22.4</w:t>
      </w:r>
      <w:r>
        <w:rPr>
          <w:rFonts w:hint="eastAsia" w:ascii="Times New Roman" w:hAnsi="Times New Roman"/>
          <w:szCs w:val="21"/>
        </w:rPr>
        <w:t>、</w:t>
      </w:r>
      <w:r>
        <w:rPr>
          <w:rFonts w:ascii="Times New Roman" w:hAnsi="Times New Roman"/>
          <w:szCs w:val="21"/>
        </w:rPr>
        <w:t>成交人信用信息查询：</w:t>
      </w:r>
    </w:p>
    <w:p>
      <w:pPr>
        <w:pStyle w:val="23"/>
        <w:spacing w:line="380" w:lineRule="exact"/>
        <w:ind w:firstLine="420" w:firstLineChars="200"/>
        <w:rPr>
          <w:rFonts w:ascii="Times New Roman" w:hAnsi="Times New Roman"/>
          <w:szCs w:val="21"/>
        </w:rPr>
      </w:pPr>
      <w:r>
        <w:rPr>
          <w:rFonts w:ascii="Times New Roman" w:hAnsi="Times New Roman"/>
          <w:szCs w:val="21"/>
        </w:rPr>
        <w:t>根据《关于做好政府采购有关信用主体标识码登记及在政府采购活动中查询使用信用记录有关问题的通知》桂财采〔2016〕37号的通知，采购代理机构对成交人进行信用查询：</w:t>
      </w:r>
    </w:p>
    <w:p>
      <w:pPr>
        <w:pStyle w:val="23"/>
        <w:spacing w:line="380" w:lineRule="exact"/>
        <w:ind w:firstLine="420" w:firstLineChars="200"/>
        <w:rPr>
          <w:rFonts w:ascii="Times New Roman" w:hAnsi="Times New Roman"/>
          <w:szCs w:val="21"/>
        </w:rPr>
      </w:pPr>
      <w:r>
        <w:rPr>
          <w:rFonts w:ascii="Times New Roman" w:hAnsi="Times New Roman"/>
          <w:szCs w:val="21"/>
        </w:rPr>
        <w:t>①查询渠道：“信用中国”网站(www.creditchina.gov.cn)、中国政府采购网(www.ccgp.gov.cn)等；</w:t>
      </w:r>
    </w:p>
    <w:p>
      <w:pPr>
        <w:pStyle w:val="23"/>
        <w:spacing w:line="380" w:lineRule="exact"/>
        <w:ind w:firstLine="420" w:firstLineChars="200"/>
        <w:rPr>
          <w:rFonts w:ascii="Times New Roman" w:hAnsi="Times New Roman"/>
          <w:szCs w:val="21"/>
        </w:rPr>
      </w:pPr>
      <w:r>
        <w:rPr>
          <w:rFonts w:ascii="Times New Roman" w:hAnsi="Times New Roman"/>
          <w:szCs w:val="21"/>
        </w:rPr>
        <w:t>②查询截止时点：成交通知书发出前；</w:t>
      </w:r>
    </w:p>
    <w:p>
      <w:pPr>
        <w:pStyle w:val="23"/>
        <w:spacing w:line="380" w:lineRule="exact"/>
        <w:ind w:firstLine="420" w:firstLineChars="200"/>
        <w:rPr>
          <w:rFonts w:ascii="Times New Roman" w:hAnsi="Times New Roman"/>
          <w:szCs w:val="21"/>
        </w:rPr>
      </w:pPr>
      <w:r>
        <w:rPr>
          <w:rFonts w:ascii="Times New Roman" w:hAnsi="Times New Roman"/>
          <w:szCs w:val="21"/>
        </w:rPr>
        <w:t>③信用信息查询记录和证据留存方式：在查询网站中直接打印查询记录，打印材料作为采购活动资料保存。</w:t>
      </w:r>
    </w:p>
    <w:p>
      <w:pPr>
        <w:pStyle w:val="23"/>
        <w:spacing w:line="380" w:lineRule="exact"/>
        <w:ind w:firstLine="420" w:firstLineChars="200"/>
        <w:rPr>
          <w:rFonts w:ascii="Times New Roman" w:hAnsi="Times New Roman"/>
          <w:szCs w:val="21"/>
        </w:rPr>
      </w:pPr>
      <w:r>
        <w:rPr>
          <w:rFonts w:ascii="Times New Roman" w:hAnsi="Times New Roman"/>
          <w:szCs w:val="21"/>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之后的成交候选人为成交供应商或者重新组织采购。</w:t>
      </w:r>
    </w:p>
    <w:p>
      <w:pPr>
        <w:widowControl/>
        <w:shd w:val="clear" w:color="auto" w:fill="FFFFFF"/>
        <w:spacing w:line="380" w:lineRule="exact"/>
        <w:ind w:firstLine="480"/>
        <w:jc w:val="left"/>
        <w:rPr>
          <w:b/>
          <w:szCs w:val="21"/>
        </w:rPr>
      </w:pPr>
      <w:r>
        <w:rPr>
          <w:b/>
          <w:bCs/>
          <w:szCs w:val="21"/>
        </w:rPr>
        <w:t>23、</w:t>
      </w:r>
      <w:r>
        <w:rPr>
          <w:b/>
          <w:szCs w:val="21"/>
        </w:rPr>
        <w:t>属于下列情况之一者，磋商无效：</w:t>
      </w:r>
    </w:p>
    <w:p>
      <w:pPr>
        <w:snapToGrid w:val="0"/>
        <w:spacing w:line="380" w:lineRule="exact"/>
        <w:ind w:firstLine="411" w:firstLineChars="196"/>
        <w:outlineLvl w:val="4"/>
        <w:rPr>
          <w:szCs w:val="21"/>
        </w:rPr>
      </w:pPr>
      <w:r>
        <w:rPr>
          <w:szCs w:val="21"/>
        </w:rPr>
        <w:t>（1）未按磋商文件规定完整提交响应文件或未按规定要求密封、签字、盖章的；</w:t>
      </w:r>
    </w:p>
    <w:p>
      <w:pPr>
        <w:snapToGrid w:val="0"/>
        <w:spacing w:line="380" w:lineRule="exact"/>
        <w:ind w:firstLine="420" w:firstLineChars="200"/>
        <w:outlineLvl w:val="4"/>
        <w:rPr>
          <w:szCs w:val="21"/>
        </w:rPr>
      </w:pPr>
      <w:r>
        <w:rPr>
          <w:szCs w:val="21"/>
        </w:rPr>
        <w:t>（2）超越了行政审批的经营范围的；</w:t>
      </w:r>
    </w:p>
    <w:p>
      <w:pPr>
        <w:snapToGrid w:val="0"/>
        <w:spacing w:line="380" w:lineRule="exact"/>
        <w:ind w:firstLine="411" w:firstLineChars="196"/>
        <w:outlineLvl w:val="4"/>
        <w:rPr>
          <w:szCs w:val="21"/>
        </w:rPr>
      </w:pPr>
      <w:r>
        <w:rPr>
          <w:szCs w:val="21"/>
        </w:rPr>
        <w:t>（3）不具备磋商文件规定的资格要求的</w:t>
      </w:r>
      <w:r>
        <w:t>；</w:t>
      </w:r>
    </w:p>
    <w:p>
      <w:pPr>
        <w:snapToGrid w:val="0"/>
        <w:spacing w:line="380" w:lineRule="exact"/>
        <w:ind w:firstLine="411" w:firstLineChars="196"/>
        <w:outlineLvl w:val="4"/>
        <w:rPr>
          <w:szCs w:val="21"/>
        </w:rPr>
      </w:pPr>
      <w:r>
        <w:rPr>
          <w:szCs w:val="21"/>
        </w:rPr>
        <w:t>（4）响应文件未按磋商文件的内容和要求编制，或提供虚假材料的；</w:t>
      </w:r>
    </w:p>
    <w:p>
      <w:pPr>
        <w:snapToGrid w:val="0"/>
        <w:spacing w:line="380" w:lineRule="exact"/>
        <w:ind w:firstLine="420" w:firstLineChars="200"/>
        <w:outlineLvl w:val="4"/>
        <w:rPr>
          <w:szCs w:val="21"/>
        </w:rPr>
      </w:pPr>
      <w:r>
        <w:rPr>
          <w:szCs w:val="21"/>
        </w:rPr>
        <w:t>（5）属于“必须提供”的响应文件未能按时提供或补正、更正的；</w:t>
      </w:r>
    </w:p>
    <w:p>
      <w:pPr>
        <w:snapToGrid w:val="0"/>
        <w:spacing w:line="380" w:lineRule="exact"/>
        <w:ind w:firstLine="411" w:firstLineChars="196"/>
        <w:outlineLvl w:val="4"/>
        <w:rPr>
          <w:szCs w:val="21"/>
        </w:rPr>
      </w:pPr>
      <w:r>
        <w:rPr>
          <w:szCs w:val="21"/>
        </w:rPr>
        <w:t>（6）响应文件有效期、服务期不能满足磋商文件要求的；</w:t>
      </w:r>
    </w:p>
    <w:p>
      <w:pPr>
        <w:snapToGrid w:val="0"/>
        <w:spacing w:line="380" w:lineRule="exact"/>
        <w:ind w:firstLine="411" w:firstLineChars="196"/>
        <w:outlineLvl w:val="4"/>
      </w:pPr>
      <w:r>
        <w:rPr>
          <w:szCs w:val="21"/>
        </w:rPr>
        <w:t>（</w:t>
      </w:r>
      <w:r>
        <w:t>7）供应商</w:t>
      </w:r>
      <w:r>
        <w:rPr>
          <w:szCs w:val="21"/>
        </w:rPr>
        <w:t>未就“服务需求”中的所有服务内容作完整唯一报价的</w:t>
      </w:r>
      <w:r>
        <w:t>，或报价超出项目采购预算总金额的；</w:t>
      </w:r>
    </w:p>
    <w:p>
      <w:pPr>
        <w:pStyle w:val="23"/>
        <w:spacing w:line="380" w:lineRule="exact"/>
        <w:ind w:firstLine="420" w:firstLineChars="200"/>
        <w:rPr>
          <w:rFonts w:ascii="Times New Roman" w:hAnsi="Times New Roman"/>
        </w:rPr>
      </w:pPr>
      <w:r>
        <w:rPr>
          <w:rFonts w:ascii="Times New Roman" w:hAnsi="Times New Roman"/>
          <w:szCs w:val="24"/>
        </w:rPr>
        <w:t>（8）</w:t>
      </w:r>
      <w:r>
        <w:rPr>
          <w:rFonts w:ascii="Times New Roman" w:hAnsi="Times New Roman"/>
        </w:rPr>
        <w:t>未在磋商小组规定的时间内重新提交响应文件的；</w:t>
      </w:r>
    </w:p>
    <w:p>
      <w:pPr>
        <w:pStyle w:val="23"/>
        <w:spacing w:line="360" w:lineRule="exact"/>
        <w:ind w:firstLine="420"/>
        <w:rPr>
          <w:rFonts w:ascii="Times New Roman" w:hAnsi="Times New Roman"/>
          <w:szCs w:val="21"/>
        </w:rPr>
      </w:pPr>
      <w:r>
        <w:rPr>
          <w:rFonts w:ascii="Times New Roman" w:hAnsi="Times New Roman"/>
        </w:rPr>
        <w:t>（9）</w:t>
      </w:r>
      <w:r>
        <w:rPr>
          <w:rFonts w:ascii="Times New Roman" w:hAnsi="Times New Roman"/>
          <w:szCs w:val="21"/>
        </w:rPr>
        <w:t>单位负责人为同一人或者存在直接控股、管理关系的不同供应商参加同一合同项下的政府采购活动的；</w:t>
      </w:r>
    </w:p>
    <w:p>
      <w:pPr>
        <w:pStyle w:val="23"/>
        <w:spacing w:line="380" w:lineRule="exact"/>
        <w:ind w:firstLine="420" w:firstLineChars="200"/>
        <w:rPr>
          <w:rFonts w:ascii="Times New Roman" w:hAnsi="Times New Roman"/>
          <w:szCs w:val="24"/>
        </w:rPr>
      </w:pPr>
      <w:r>
        <w:rPr>
          <w:rFonts w:ascii="Times New Roman" w:hAnsi="Times New Roman"/>
          <w:szCs w:val="24"/>
        </w:rPr>
        <w:t>（10）未满足磋商文件全部实质性要求的或者响应文件有采购人不能接受的附加条件的；</w:t>
      </w:r>
    </w:p>
    <w:p>
      <w:pPr>
        <w:pStyle w:val="23"/>
        <w:spacing w:line="380" w:lineRule="exact"/>
        <w:ind w:firstLine="420" w:firstLineChars="200"/>
        <w:rPr>
          <w:rFonts w:ascii="Times New Roman" w:hAnsi="Times New Roman"/>
          <w:szCs w:val="21"/>
        </w:rPr>
      </w:pPr>
      <w:r>
        <w:rPr>
          <w:rFonts w:ascii="Times New Roman" w:hAnsi="Times New Roman"/>
        </w:rPr>
        <w:t>（11）未按规定向采购代理机构购买本项目磋商文件的（有文件规定除外）；</w:t>
      </w:r>
    </w:p>
    <w:p>
      <w:pPr>
        <w:snapToGrid w:val="0"/>
        <w:spacing w:line="380" w:lineRule="exact"/>
        <w:ind w:firstLine="411" w:firstLineChars="196"/>
        <w:outlineLvl w:val="4"/>
        <w:rPr>
          <w:szCs w:val="21"/>
        </w:rPr>
      </w:pPr>
      <w:r>
        <w:rPr>
          <w:szCs w:val="21"/>
        </w:rPr>
        <w:t>（12）不符合法律、法规和磋商文件规定的其他实质性要求和条件的。</w:t>
      </w:r>
    </w:p>
    <w:p>
      <w:pPr>
        <w:snapToGrid w:val="0"/>
        <w:spacing w:line="380" w:lineRule="exact"/>
        <w:ind w:firstLine="420" w:firstLineChars="200"/>
        <w:rPr>
          <w:b/>
          <w:szCs w:val="21"/>
        </w:rPr>
      </w:pPr>
      <w:r>
        <w:rPr>
          <w:b/>
          <w:szCs w:val="21"/>
        </w:rPr>
        <w:t>有下列情形之一的视为供应商相互串通谈判，响应文件将被视为无效：</w:t>
      </w:r>
    </w:p>
    <w:p>
      <w:pPr>
        <w:snapToGrid w:val="0"/>
        <w:spacing w:line="380" w:lineRule="exact"/>
        <w:ind w:firstLine="411" w:firstLineChars="196"/>
        <w:rPr>
          <w:szCs w:val="21"/>
        </w:rPr>
      </w:pPr>
      <w:r>
        <w:rPr>
          <w:szCs w:val="21"/>
        </w:rPr>
        <w:t>（1）不同供应商的响应文件由同一单位或者个人编制；</w:t>
      </w:r>
    </w:p>
    <w:p>
      <w:pPr>
        <w:snapToGrid w:val="0"/>
        <w:spacing w:line="380" w:lineRule="exact"/>
        <w:ind w:firstLine="411" w:firstLineChars="196"/>
        <w:rPr>
          <w:szCs w:val="21"/>
        </w:rPr>
      </w:pPr>
      <w:r>
        <w:rPr>
          <w:szCs w:val="21"/>
        </w:rPr>
        <w:t>（2）不同供应商委托同一单位或者个人办理谈判事宜；</w:t>
      </w:r>
    </w:p>
    <w:p>
      <w:pPr>
        <w:snapToGrid w:val="0"/>
        <w:spacing w:line="380" w:lineRule="exact"/>
        <w:ind w:firstLine="411" w:firstLineChars="196"/>
        <w:rPr>
          <w:szCs w:val="21"/>
        </w:rPr>
      </w:pPr>
      <w:r>
        <w:rPr>
          <w:szCs w:val="21"/>
        </w:rPr>
        <w:t>（3）不同的供应商的响应文件载明的项目管理员为同一个人；</w:t>
      </w:r>
    </w:p>
    <w:p>
      <w:pPr>
        <w:snapToGrid w:val="0"/>
        <w:spacing w:line="380" w:lineRule="exact"/>
        <w:ind w:firstLine="411" w:firstLineChars="196"/>
        <w:rPr>
          <w:szCs w:val="21"/>
        </w:rPr>
      </w:pPr>
      <w:r>
        <w:rPr>
          <w:szCs w:val="21"/>
        </w:rPr>
        <w:t>（4）不同供应商的响应文件异常一致或竞标报价呈规律性差异；</w:t>
      </w:r>
    </w:p>
    <w:p>
      <w:pPr>
        <w:snapToGrid w:val="0"/>
        <w:spacing w:line="380" w:lineRule="exact"/>
        <w:ind w:firstLine="411" w:firstLineChars="196"/>
        <w:rPr>
          <w:szCs w:val="21"/>
        </w:rPr>
      </w:pPr>
      <w:r>
        <w:rPr>
          <w:szCs w:val="21"/>
        </w:rPr>
        <w:t>（5）不同供应商的响应文件相互混装；</w:t>
      </w:r>
    </w:p>
    <w:p>
      <w:pPr>
        <w:snapToGrid w:val="0"/>
        <w:spacing w:line="380" w:lineRule="exact"/>
        <w:ind w:firstLine="411" w:firstLineChars="196"/>
      </w:pPr>
      <w:r>
        <w:rPr>
          <w:szCs w:val="21"/>
        </w:rPr>
        <w:t>（6）响应文件实质性要求未做变动，供应商最后报价高于第一次报价的。</w:t>
      </w:r>
    </w:p>
    <w:p>
      <w:pPr>
        <w:snapToGrid w:val="0"/>
        <w:spacing w:line="390" w:lineRule="exact"/>
        <w:ind w:firstLine="411" w:firstLineChars="196"/>
        <w:outlineLvl w:val="4"/>
        <w:rPr>
          <w:b/>
          <w:szCs w:val="21"/>
        </w:rPr>
      </w:pPr>
      <w:r>
        <w:rPr>
          <w:b/>
          <w:szCs w:val="21"/>
        </w:rPr>
        <w:t>24、出现下列情形之一的，采购人或者采购代理机构应当终止竞争性磋商采购活动，发布项目终止公告并说明原因，重新开展采购活动：</w:t>
      </w:r>
    </w:p>
    <w:p>
      <w:pPr>
        <w:snapToGrid w:val="0"/>
        <w:spacing w:line="390" w:lineRule="exact"/>
        <w:ind w:firstLine="411" w:firstLineChars="196"/>
        <w:outlineLvl w:val="4"/>
        <w:rPr>
          <w:szCs w:val="21"/>
        </w:rPr>
      </w:pPr>
      <w:r>
        <w:rPr>
          <w:szCs w:val="21"/>
        </w:rPr>
        <w:t>（1）因情况变化，不再符合规定的竞争性磋商采购方式适用情形的；</w:t>
      </w:r>
    </w:p>
    <w:p>
      <w:pPr>
        <w:snapToGrid w:val="0"/>
        <w:spacing w:line="390" w:lineRule="exact"/>
        <w:ind w:firstLine="411" w:firstLineChars="196"/>
        <w:outlineLvl w:val="4"/>
        <w:rPr>
          <w:szCs w:val="21"/>
        </w:rPr>
      </w:pPr>
      <w:r>
        <w:rPr>
          <w:szCs w:val="21"/>
        </w:rPr>
        <w:t xml:space="preserve">（2）出现影响采购公正的违法、违规行为的； </w:t>
      </w:r>
    </w:p>
    <w:p>
      <w:pPr>
        <w:snapToGrid w:val="0"/>
        <w:spacing w:line="390" w:lineRule="exact"/>
        <w:ind w:firstLine="420" w:firstLineChars="200"/>
        <w:outlineLvl w:val="4"/>
        <w:rPr>
          <w:szCs w:val="21"/>
        </w:rPr>
      </w:pPr>
      <w:r>
        <w:rPr>
          <w:szCs w:val="21"/>
        </w:rPr>
        <w:t>（3）采购项目为政府购买服务项目（含政府和社会资本合作项目），在采购过程中符合要求的供应商（社会资本）只有1家的。</w:t>
      </w:r>
    </w:p>
    <w:p>
      <w:pPr>
        <w:snapToGrid w:val="0"/>
        <w:spacing w:line="390" w:lineRule="exact"/>
        <w:ind w:firstLine="420" w:firstLineChars="200"/>
        <w:outlineLvl w:val="4"/>
        <w:rPr>
          <w:b/>
        </w:rPr>
      </w:pPr>
      <w:r>
        <w:rPr>
          <w:b/>
        </w:rPr>
        <w:t>25、磋商过程的监控</w:t>
      </w:r>
    </w:p>
    <w:p>
      <w:pPr>
        <w:pStyle w:val="23"/>
        <w:spacing w:line="390" w:lineRule="exact"/>
        <w:ind w:firstLine="411" w:firstLineChars="196"/>
        <w:rPr>
          <w:rFonts w:ascii="Times New Roman" w:hAnsi="Times New Roman"/>
        </w:rPr>
      </w:pPr>
      <w:r>
        <w:rPr>
          <w:rFonts w:ascii="Times New Roman" w:hAnsi="Times New Roman"/>
        </w:rPr>
        <w:t>本项目磋商过程实行全程录音、录像监控，磋商供应商在磋商过程中所进行的试图影响磋商结果的不公正活动，可能导致其磋商被拒绝。</w:t>
      </w:r>
    </w:p>
    <w:p>
      <w:pPr>
        <w:pStyle w:val="23"/>
        <w:spacing w:line="390" w:lineRule="exact"/>
        <w:ind w:firstLine="420" w:firstLineChars="200"/>
        <w:rPr>
          <w:rFonts w:ascii="Times New Roman" w:hAnsi="Times New Roman"/>
          <w:b/>
        </w:rPr>
      </w:pPr>
      <w:r>
        <w:rPr>
          <w:rFonts w:ascii="Times New Roman" w:hAnsi="Times New Roman"/>
          <w:b/>
        </w:rPr>
        <w:t>26、成交结果公告及成交通知</w:t>
      </w:r>
    </w:p>
    <w:p>
      <w:pPr>
        <w:spacing w:line="380" w:lineRule="exact"/>
        <w:ind w:firstLine="420" w:firstLineChars="200"/>
        <w:rPr>
          <w:szCs w:val="21"/>
        </w:rPr>
      </w:pPr>
      <w:r>
        <w:t>26.1</w:t>
      </w:r>
      <w:r>
        <w:rPr>
          <w:szCs w:val="21"/>
        </w:rPr>
        <w:t>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line="380" w:lineRule="exact"/>
        <w:ind w:firstLine="411" w:firstLineChars="196"/>
        <w:outlineLvl w:val="4"/>
        <w:rPr>
          <w:szCs w:val="21"/>
        </w:rPr>
      </w:pPr>
      <w:r>
        <w:rPr>
          <w:szCs w:val="21"/>
        </w:rPr>
        <w:t>26.2在发布成交结果公告的同时，采购代理机构向成交供应商发出成交通知书。成交供应商应自接到通知之日起七个工作日内，办理成交通知书领取手续。</w:t>
      </w:r>
    </w:p>
    <w:p>
      <w:pPr>
        <w:pStyle w:val="23"/>
        <w:spacing w:line="380" w:lineRule="exact"/>
        <w:ind w:firstLine="420" w:firstLineChars="200"/>
        <w:rPr>
          <w:rFonts w:ascii="Times New Roman" w:hAnsi="Times New Roman"/>
        </w:rPr>
      </w:pPr>
      <w:r>
        <w:rPr>
          <w:rFonts w:ascii="Times New Roman" w:hAnsi="Times New Roman"/>
        </w:rPr>
        <w:t>26.3采购代理机构无义务向未成交的磋商供应商解释未成交原因和退还响应文件。</w:t>
      </w:r>
    </w:p>
    <w:p>
      <w:pPr>
        <w:pStyle w:val="23"/>
        <w:spacing w:line="380" w:lineRule="exact"/>
        <w:ind w:firstLine="420" w:firstLineChars="200"/>
        <w:rPr>
          <w:rFonts w:ascii="Times New Roman" w:hAnsi="Times New Roman"/>
        </w:rPr>
      </w:pPr>
    </w:p>
    <w:p>
      <w:pPr>
        <w:tabs>
          <w:tab w:val="left" w:pos="1140"/>
        </w:tabs>
        <w:spacing w:line="390" w:lineRule="exact"/>
        <w:ind w:left="420" w:leftChars="200" w:firstLine="560" w:firstLineChars="200"/>
        <w:jc w:val="center"/>
        <w:rPr>
          <w:b/>
          <w:sz w:val="28"/>
          <w:szCs w:val="28"/>
        </w:rPr>
      </w:pPr>
      <w:r>
        <w:rPr>
          <w:b/>
          <w:sz w:val="28"/>
          <w:szCs w:val="28"/>
        </w:rPr>
        <w:t>五、签订合同</w:t>
      </w:r>
    </w:p>
    <w:p>
      <w:pPr>
        <w:spacing w:line="380" w:lineRule="exact"/>
        <w:ind w:firstLine="411" w:firstLineChars="196"/>
        <w:rPr>
          <w:b/>
        </w:rPr>
      </w:pPr>
    </w:p>
    <w:p>
      <w:pPr>
        <w:spacing w:line="400" w:lineRule="exact"/>
        <w:ind w:firstLine="411" w:firstLineChars="196"/>
        <w:rPr>
          <w:b/>
        </w:rPr>
      </w:pPr>
      <w:r>
        <w:rPr>
          <w:b/>
        </w:rPr>
        <w:t>27</w:t>
      </w:r>
      <w:r>
        <w:rPr>
          <w:b/>
          <w:szCs w:val="21"/>
        </w:rPr>
        <w:t>、</w:t>
      </w:r>
      <w:r>
        <w:rPr>
          <w:b/>
        </w:rPr>
        <w:t>合同履约担保</w:t>
      </w:r>
    </w:p>
    <w:p>
      <w:pPr>
        <w:pStyle w:val="23"/>
        <w:spacing w:line="400" w:lineRule="exact"/>
        <w:ind w:left="2" w:leftChars="1" w:firstLine="420" w:firstLineChars="200"/>
        <w:rPr>
          <w:rFonts w:ascii="Times New Roman" w:hAnsi="Times New Roman"/>
          <w:szCs w:val="21"/>
        </w:rPr>
      </w:pPr>
      <w:r>
        <w:rPr>
          <w:rFonts w:hint="eastAsia" w:ascii="Times New Roman" w:hAnsi="Times New Roman"/>
          <w:szCs w:val="21"/>
        </w:rPr>
        <w:t xml:space="preserve">   本项目无需缴纳履约保证金。</w:t>
      </w:r>
    </w:p>
    <w:p>
      <w:pPr>
        <w:tabs>
          <w:tab w:val="left" w:pos="1140"/>
        </w:tabs>
        <w:spacing w:line="400" w:lineRule="exact"/>
        <w:ind w:firstLine="420" w:firstLineChars="200"/>
        <w:rPr>
          <w:b/>
          <w:szCs w:val="21"/>
        </w:rPr>
      </w:pPr>
      <w:r>
        <w:rPr>
          <w:b/>
          <w:szCs w:val="21"/>
        </w:rPr>
        <w:t>28、签订合同</w:t>
      </w:r>
    </w:p>
    <w:p>
      <w:pPr>
        <w:pStyle w:val="23"/>
        <w:spacing w:line="440" w:lineRule="exact"/>
        <w:ind w:left="6" w:firstLine="420" w:firstLineChars="200"/>
        <w:rPr>
          <w:rFonts w:ascii="Times New Roman" w:hAnsi="Times New Roman"/>
        </w:rPr>
      </w:pPr>
      <w:r>
        <w:rPr>
          <w:rFonts w:ascii="Times New Roman" w:hAnsi="Times New Roman"/>
        </w:rPr>
        <w:t>28.1、签订合同时间：成交通知书发出后</w:t>
      </w:r>
      <w:r>
        <w:rPr>
          <w:rFonts w:hint="eastAsia" w:ascii="Times New Roman" w:hAnsi="Times New Roman"/>
        </w:rPr>
        <w:t>二十</w:t>
      </w:r>
      <w:r>
        <w:rPr>
          <w:rFonts w:ascii="Times New Roman" w:hAnsi="Times New Roman"/>
        </w:rPr>
        <w:t>日内。成交供应商领取成交通知书后，应按规定与采购人签订合同。</w:t>
      </w:r>
    </w:p>
    <w:p>
      <w:pPr>
        <w:pStyle w:val="23"/>
        <w:spacing w:line="440" w:lineRule="exact"/>
        <w:ind w:left="6" w:firstLine="420" w:firstLineChars="200"/>
        <w:rPr>
          <w:rFonts w:ascii="Times New Roman" w:hAnsi="Times New Roman"/>
        </w:rPr>
      </w:pPr>
      <w:r>
        <w:rPr>
          <w:rFonts w:ascii="Times New Roman" w:hAnsi="Times New Roman"/>
        </w:rPr>
        <w:t>28.2、如成交供应商有下列情形之一的，情节严重的，由财政部门将其列入不良行为记录名单，在一至三年内禁止参加政府采购活动，并予以通报。采购代理机构可从磋商小组推荐的成交候选供应商中按顺序重新确定成交供应商，组织供需双方签订合同或重新组织采购。拒绝签订政府采购合同的成交供应商不得参加对该项目重新开展的采购活动。</w:t>
      </w:r>
    </w:p>
    <w:p>
      <w:pPr>
        <w:pStyle w:val="23"/>
        <w:spacing w:line="440" w:lineRule="exact"/>
        <w:ind w:left="6" w:firstLine="420" w:firstLineChars="200"/>
        <w:rPr>
          <w:rFonts w:ascii="Times New Roman" w:hAnsi="Times New Roman"/>
        </w:rPr>
      </w:pPr>
      <w:r>
        <w:rPr>
          <w:rFonts w:ascii="Times New Roman" w:hAnsi="Times New Roman"/>
        </w:rPr>
        <w:t>（1）成交后不与采购人签订合同的（不可抗力除外）；</w:t>
      </w:r>
    </w:p>
    <w:p>
      <w:pPr>
        <w:pStyle w:val="23"/>
        <w:spacing w:line="440" w:lineRule="exact"/>
        <w:ind w:left="6" w:firstLine="420" w:firstLineChars="200"/>
        <w:rPr>
          <w:rFonts w:ascii="Times New Roman" w:hAnsi="Times New Roman"/>
        </w:rPr>
      </w:pPr>
      <w:r>
        <w:rPr>
          <w:rFonts w:ascii="Times New Roman" w:hAnsi="Times New Roman"/>
        </w:rPr>
        <w:t>（2）将成交项目转让给他人，或者在响应文件中未说明，且未经采购人同意，将成交项目分包给他人的；</w:t>
      </w:r>
    </w:p>
    <w:p>
      <w:pPr>
        <w:pStyle w:val="23"/>
        <w:spacing w:line="440" w:lineRule="exact"/>
        <w:ind w:left="6" w:firstLine="420" w:firstLineChars="200"/>
        <w:rPr>
          <w:rFonts w:ascii="Times New Roman" w:hAnsi="Times New Roman"/>
        </w:rPr>
      </w:pPr>
      <w:r>
        <w:rPr>
          <w:rFonts w:ascii="Times New Roman" w:hAnsi="Times New Roman"/>
        </w:rPr>
        <w:t>（3）拒绝履行合同义务的。</w:t>
      </w:r>
    </w:p>
    <w:p>
      <w:pPr>
        <w:spacing w:line="380" w:lineRule="exact"/>
        <w:ind w:firstLine="420" w:firstLineChars="200"/>
      </w:pPr>
      <w:r>
        <w:t>28.3</w:t>
      </w:r>
      <w:r>
        <w:rPr>
          <w:rFonts w:hint="eastAsia"/>
        </w:rPr>
        <w:t>、</w:t>
      </w:r>
      <w:r>
        <w:t>合同备案存档：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rPr>
        <w:t>桂林市临桂区财政局政府采购监督管理股</w:t>
      </w:r>
      <w:r>
        <w:t>备案，一份由采购代理机构存档。</w:t>
      </w:r>
    </w:p>
    <w:p>
      <w:pPr>
        <w:pStyle w:val="23"/>
        <w:spacing w:line="390" w:lineRule="exact"/>
        <w:ind w:left="3" w:firstLine="420" w:firstLineChars="200"/>
        <w:rPr>
          <w:rFonts w:ascii="Times New Roman" w:hAnsi="Times New Roman"/>
        </w:rPr>
      </w:pPr>
    </w:p>
    <w:p>
      <w:pPr>
        <w:pStyle w:val="23"/>
        <w:spacing w:line="390" w:lineRule="exact"/>
        <w:ind w:left="3"/>
        <w:jc w:val="center"/>
        <w:rPr>
          <w:rFonts w:ascii="Times New Roman" w:hAnsi="Times New Roman"/>
          <w:b/>
          <w:sz w:val="28"/>
          <w:szCs w:val="28"/>
        </w:rPr>
      </w:pPr>
      <w:r>
        <w:rPr>
          <w:rFonts w:ascii="Times New Roman" w:hAnsi="Times New Roman"/>
          <w:b/>
          <w:sz w:val="28"/>
          <w:szCs w:val="28"/>
        </w:rPr>
        <w:t>六、其他事项</w:t>
      </w:r>
    </w:p>
    <w:p>
      <w:pPr>
        <w:spacing w:line="440" w:lineRule="exact"/>
        <w:ind w:firstLine="514" w:firstLineChars="245"/>
        <w:rPr>
          <w:b/>
        </w:rPr>
      </w:pPr>
      <w:r>
        <w:rPr>
          <w:b/>
        </w:rPr>
        <w:t>29</w:t>
      </w:r>
      <w:r>
        <w:rPr>
          <w:b/>
          <w:szCs w:val="21"/>
        </w:rPr>
        <w:t>、</w:t>
      </w:r>
      <w:r>
        <w:rPr>
          <w:b/>
        </w:rPr>
        <w:t>采购代理服务费</w:t>
      </w:r>
    </w:p>
    <w:p>
      <w:pPr>
        <w:spacing w:line="340" w:lineRule="exact"/>
        <w:ind w:firstLine="420" w:firstLineChars="200"/>
        <w:rPr>
          <w:szCs w:val="21"/>
        </w:rPr>
      </w:pPr>
      <w:r>
        <w:rPr>
          <w:szCs w:val="21"/>
        </w:rPr>
        <w:t>成交供应商领取成交通知书前，参照计价格[2002]1980号《招标代理服务收费管理暂行办法》服务类收费标准向</w:t>
      </w:r>
      <w:r>
        <w:rPr>
          <w:rFonts w:hint="eastAsia"/>
          <w:szCs w:val="21"/>
        </w:rPr>
        <w:t>广西通观工程咨询有限公司</w:t>
      </w:r>
      <w:r>
        <w:rPr>
          <w:szCs w:val="21"/>
        </w:rPr>
        <w:t>一次性付清代理服务费。</w:t>
      </w:r>
    </w:p>
    <w:p>
      <w:pPr>
        <w:spacing w:line="400" w:lineRule="exact"/>
        <w:jc w:val="center"/>
        <w:rPr>
          <w:szCs w:val="21"/>
        </w:rPr>
      </w:pPr>
      <w:r>
        <w:rPr>
          <w:szCs w:val="21"/>
        </w:rPr>
        <w:t>采购代理服务收费标准</w:t>
      </w:r>
    </w:p>
    <w:tbl>
      <w:tblPr>
        <w:tblStyle w:val="44"/>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880" w:type="dxa"/>
          </w:tcPr>
          <w:p>
            <w:pPr>
              <w:pStyle w:val="23"/>
              <w:spacing w:line="380" w:lineRule="exact"/>
              <w:ind w:left="25"/>
              <w:rPr>
                <w:rFonts w:ascii="Times New Roman" w:hAnsi="Times New Roman"/>
              </w:rPr>
            </w:pPr>
            <w:r>
              <w:rPr>
                <w:rFonts w:ascii="Times New Roman" w:hAnsi="Times New Roman"/>
              </w:rPr>
              <w:pict>
                <v:line id="直线 9" o:spid="_x0000_s1026" o:spt="20" style="position:absolute;left:0pt;margin-left:23.35pt;margin-top:0.85pt;height:51.45pt;width:115.25pt;z-index:251659264;mso-width-relative:page;mso-height-relative:page;"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gFTNNYAAAAIAQAADwAAAAAAAAABACAAAAAiAAAAZHJz&#10;L2Rvd25yZXYueG1sUEsBAhQAFAAAAAgAh07iQPK6A1TNAQAAlAMAAA4AAAAAAAAAAQAgAAAAJQEA&#10;AGRycy9lMm9Eb2MueG1sUEsFBgAAAAAGAAYAWQEAAGQFAAAAAA==&#10;">
                  <v:path arrowok="t"/>
                  <v:fill focussize="0,0"/>
                  <v:stroke/>
                  <v:imagedata o:title=""/>
                  <o:lock v:ext="edit"/>
                </v:line>
              </w:pict>
            </w:r>
            <w:r>
              <w:rPr>
                <w:rFonts w:ascii="Times New Roman" w:hAnsi="Times New Roman"/>
              </w:rPr>
              <w:t>费率           服务类型</w:t>
            </w:r>
          </w:p>
          <w:p>
            <w:pPr>
              <w:pStyle w:val="23"/>
              <w:spacing w:line="380" w:lineRule="exact"/>
              <w:ind w:left="25"/>
              <w:rPr>
                <w:rFonts w:ascii="Times New Roman" w:hAnsi="Times New Roman"/>
              </w:rPr>
            </w:pPr>
            <w:r>
              <w:rPr>
                <w:rFonts w:ascii="Times New Roman" w:hAnsi="Times New Roman"/>
              </w:rPr>
              <w:pict>
                <v:line id="直线 10" o:spid="_x0000_s1028" o:spt="20" style="position:absolute;left:0pt;margin-left:-5.4pt;margin-top:3.1pt;height:31.2pt;width:144pt;z-index:251660288;mso-width-relative:page;mso-height-relative:page;"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AOr0TWAAAACAEAAA8AAAAAAAAAAQAgAAAAIgAAAGRy&#10;cy9kb3ducmV2LnhtbFBLAQIUABQAAAAIAIdO4kBsaDkezgEAAJUDAAAOAAAAAAAAAAEAIAAAACUB&#10;AABkcnMvZTJvRG9jLnhtbFBLBQYAAAAABgAGAFkBAABlBQAAAAA=&#10;">
                  <v:path arrowok="t"/>
                  <v:fill focussize="0,0"/>
                  <v:stroke/>
                  <v:imagedata o:title=""/>
                  <o:lock v:ext="edit"/>
                </v:line>
              </w:pict>
            </w:r>
          </w:p>
          <w:p>
            <w:pPr>
              <w:pStyle w:val="23"/>
              <w:spacing w:line="380" w:lineRule="exact"/>
              <w:ind w:left="25"/>
              <w:rPr>
                <w:rFonts w:ascii="Times New Roman" w:hAnsi="Times New Roman"/>
              </w:rPr>
            </w:pPr>
            <w:r>
              <w:rPr>
                <w:rFonts w:ascii="Times New Roman" w:hAnsi="Times New Roman"/>
              </w:rPr>
              <w:t>中标金额（万元）</w:t>
            </w:r>
          </w:p>
        </w:tc>
        <w:tc>
          <w:tcPr>
            <w:tcW w:w="1841" w:type="dxa"/>
            <w:vAlign w:val="center"/>
          </w:tcPr>
          <w:p>
            <w:pPr>
              <w:pStyle w:val="23"/>
              <w:spacing w:line="380" w:lineRule="exact"/>
              <w:ind w:left="25"/>
              <w:jc w:val="center"/>
              <w:rPr>
                <w:rFonts w:ascii="Times New Roman" w:hAnsi="Times New Roman"/>
              </w:rPr>
            </w:pPr>
            <w:r>
              <w:rPr>
                <w:rFonts w:ascii="Times New Roman" w:hAnsi="Times New Roman"/>
              </w:rPr>
              <w:t>货物招标</w:t>
            </w:r>
          </w:p>
        </w:tc>
        <w:tc>
          <w:tcPr>
            <w:tcW w:w="1992" w:type="dxa"/>
            <w:vAlign w:val="center"/>
          </w:tcPr>
          <w:p>
            <w:pPr>
              <w:pStyle w:val="23"/>
              <w:spacing w:line="380" w:lineRule="exact"/>
              <w:ind w:left="25"/>
              <w:jc w:val="center"/>
              <w:rPr>
                <w:rFonts w:ascii="Times New Roman" w:hAnsi="Times New Roman"/>
              </w:rPr>
            </w:pPr>
            <w:r>
              <w:rPr>
                <w:rFonts w:ascii="Times New Roman" w:hAnsi="Times New Roman"/>
              </w:rPr>
              <w:t>服务招标</w:t>
            </w:r>
          </w:p>
        </w:tc>
        <w:tc>
          <w:tcPr>
            <w:tcW w:w="2293" w:type="dxa"/>
            <w:vAlign w:val="center"/>
          </w:tcPr>
          <w:p>
            <w:pPr>
              <w:pStyle w:val="23"/>
              <w:spacing w:line="380" w:lineRule="exact"/>
              <w:ind w:left="25"/>
              <w:jc w:val="center"/>
              <w:rPr>
                <w:rFonts w:ascii="Times New Roman" w:hAnsi="Times New Roman"/>
              </w:rPr>
            </w:pPr>
            <w:r>
              <w:rPr>
                <w:rFonts w:ascii="Times New Roman" w:hAnsi="Times New Roma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2880" w:type="dxa"/>
          </w:tcPr>
          <w:p>
            <w:pPr>
              <w:pStyle w:val="23"/>
              <w:spacing w:line="380" w:lineRule="exact"/>
              <w:ind w:left="25"/>
              <w:rPr>
                <w:rFonts w:ascii="Times New Roman" w:hAnsi="Times New Roman"/>
              </w:rPr>
            </w:pPr>
            <w:r>
              <w:rPr>
                <w:rFonts w:ascii="Times New Roman" w:hAnsi="Times New Roman"/>
              </w:rPr>
              <w:t>100以下</w:t>
            </w:r>
          </w:p>
        </w:tc>
        <w:tc>
          <w:tcPr>
            <w:tcW w:w="1841" w:type="dxa"/>
          </w:tcPr>
          <w:p>
            <w:pPr>
              <w:pStyle w:val="23"/>
              <w:spacing w:line="380" w:lineRule="exact"/>
              <w:ind w:left="25"/>
              <w:jc w:val="center"/>
              <w:rPr>
                <w:rFonts w:ascii="Times New Roman" w:hAnsi="Times New Roman"/>
              </w:rPr>
            </w:pPr>
            <w:r>
              <w:rPr>
                <w:rFonts w:ascii="Times New Roman" w:hAnsi="Times New Roman"/>
              </w:rPr>
              <w:t>1.5%</w:t>
            </w:r>
          </w:p>
        </w:tc>
        <w:tc>
          <w:tcPr>
            <w:tcW w:w="1992" w:type="dxa"/>
          </w:tcPr>
          <w:p>
            <w:pPr>
              <w:pStyle w:val="23"/>
              <w:spacing w:line="380" w:lineRule="exact"/>
              <w:ind w:left="25"/>
              <w:jc w:val="center"/>
              <w:rPr>
                <w:rFonts w:ascii="Times New Roman" w:hAnsi="Times New Roman"/>
              </w:rPr>
            </w:pPr>
            <w:r>
              <w:rPr>
                <w:rFonts w:ascii="Times New Roman" w:hAnsi="Times New Roman"/>
              </w:rPr>
              <w:t>1.5%</w:t>
            </w:r>
          </w:p>
        </w:tc>
        <w:tc>
          <w:tcPr>
            <w:tcW w:w="2293" w:type="dxa"/>
          </w:tcPr>
          <w:p>
            <w:pPr>
              <w:pStyle w:val="23"/>
              <w:spacing w:line="380" w:lineRule="exact"/>
              <w:ind w:left="25"/>
              <w:jc w:val="center"/>
              <w:rPr>
                <w:rFonts w:ascii="Times New Roman" w:hAnsi="Times New Roman"/>
              </w:rPr>
            </w:pPr>
            <w:r>
              <w:rPr>
                <w:rFonts w:ascii="Times New Roman" w:hAnsi="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2880" w:type="dxa"/>
          </w:tcPr>
          <w:p>
            <w:pPr>
              <w:pStyle w:val="23"/>
              <w:spacing w:line="380" w:lineRule="exact"/>
              <w:ind w:left="25"/>
              <w:rPr>
                <w:rFonts w:ascii="Times New Roman" w:hAnsi="Times New Roman"/>
              </w:rPr>
            </w:pPr>
            <w:r>
              <w:rPr>
                <w:rFonts w:ascii="Times New Roman" w:hAnsi="Times New Roman"/>
              </w:rPr>
              <w:t>100-500</w:t>
            </w:r>
          </w:p>
        </w:tc>
        <w:tc>
          <w:tcPr>
            <w:tcW w:w="1841" w:type="dxa"/>
          </w:tcPr>
          <w:p>
            <w:pPr>
              <w:pStyle w:val="23"/>
              <w:spacing w:line="380" w:lineRule="exact"/>
              <w:ind w:left="25"/>
              <w:jc w:val="center"/>
              <w:rPr>
                <w:rFonts w:ascii="Times New Roman" w:hAnsi="Times New Roman"/>
              </w:rPr>
            </w:pPr>
            <w:r>
              <w:rPr>
                <w:rFonts w:ascii="Times New Roman" w:hAnsi="Times New Roman"/>
              </w:rPr>
              <w:t>1.1%</w:t>
            </w:r>
          </w:p>
        </w:tc>
        <w:tc>
          <w:tcPr>
            <w:tcW w:w="1992" w:type="dxa"/>
          </w:tcPr>
          <w:p>
            <w:pPr>
              <w:pStyle w:val="23"/>
              <w:spacing w:line="380" w:lineRule="exact"/>
              <w:ind w:left="25"/>
              <w:jc w:val="center"/>
              <w:rPr>
                <w:rFonts w:ascii="Times New Roman" w:hAnsi="Times New Roman"/>
              </w:rPr>
            </w:pPr>
            <w:r>
              <w:rPr>
                <w:rFonts w:ascii="Times New Roman" w:hAnsi="Times New Roman"/>
              </w:rPr>
              <w:t>0.8%</w:t>
            </w:r>
          </w:p>
        </w:tc>
        <w:tc>
          <w:tcPr>
            <w:tcW w:w="2293" w:type="dxa"/>
          </w:tcPr>
          <w:p>
            <w:pPr>
              <w:pStyle w:val="23"/>
              <w:spacing w:line="380" w:lineRule="exact"/>
              <w:ind w:left="25"/>
              <w:jc w:val="center"/>
              <w:rPr>
                <w:rFonts w:ascii="Times New Roman" w:hAnsi="Times New Roman"/>
              </w:rPr>
            </w:pPr>
            <w:r>
              <w:rPr>
                <w:rFonts w:ascii="Times New Roman" w:hAnsi="Times New Roma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880" w:type="dxa"/>
          </w:tcPr>
          <w:p>
            <w:pPr>
              <w:pStyle w:val="23"/>
              <w:spacing w:line="380" w:lineRule="exact"/>
              <w:ind w:left="25"/>
              <w:rPr>
                <w:rFonts w:ascii="Times New Roman" w:hAnsi="Times New Roman"/>
              </w:rPr>
            </w:pPr>
            <w:r>
              <w:rPr>
                <w:rFonts w:ascii="Times New Roman" w:hAnsi="Times New Roman"/>
              </w:rPr>
              <w:t>500-1000</w:t>
            </w:r>
          </w:p>
        </w:tc>
        <w:tc>
          <w:tcPr>
            <w:tcW w:w="1841" w:type="dxa"/>
          </w:tcPr>
          <w:p>
            <w:pPr>
              <w:pStyle w:val="23"/>
              <w:spacing w:line="380" w:lineRule="exact"/>
              <w:ind w:left="25"/>
              <w:jc w:val="center"/>
              <w:rPr>
                <w:rFonts w:ascii="Times New Roman" w:hAnsi="Times New Roman"/>
              </w:rPr>
            </w:pPr>
            <w:r>
              <w:rPr>
                <w:rFonts w:ascii="Times New Roman" w:hAnsi="Times New Roman"/>
              </w:rPr>
              <w:t>0.8%</w:t>
            </w:r>
          </w:p>
        </w:tc>
        <w:tc>
          <w:tcPr>
            <w:tcW w:w="1992" w:type="dxa"/>
          </w:tcPr>
          <w:p>
            <w:pPr>
              <w:pStyle w:val="23"/>
              <w:spacing w:line="380" w:lineRule="exact"/>
              <w:ind w:left="25"/>
              <w:jc w:val="center"/>
              <w:rPr>
                <w:rFonts w:ascii="Times New Roman" w:hAnsi="Times New Roman"/>
              </w:rPr>
            </w:pPr>
            <w:r>
              <w:rPr>
                <w:rFonts w:ascii="Times New Roman" w:hAnsi="Times New Roman"/>
              </w:rPr>
              <w:t>0.45%</w:t>
            </w:r>
          </w:p>
        </w:tc>
        <w:tc>
          <w:tcPr>
            <w:tcW w:w="2293" w:type="dxa"/>
          </w:tcPr>
          <w:p>
            <w:pPr>
              <w:pStyle w:val="23"/>
              <w:spacing w:line="380" w:lineRule="exact"/>
              <w:ind w:left="25"/>
              <w:jc w:val="center"/>
              <w:rPr>
                <w:rFonts w:ascii="Times New Roman" w:hAnsi="Times New Roman"/>
              </w:rPr>
            </w:pPr>
            <w:r>
              <w:rPr>
                <w:rFonts w:ascii="Times New Roman" w:hAnsi="Times New Roma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880" w:type="dxa"/>
          </w:tcPr>
          <w:p>
            <w:pPr>
              <w:pStyle w:val="23"/>
              <w:spacing w:line="380" w:lineRule="exact"/>
              <w:ind w:left="25"/>
              <w:rPr>
                <w:rFonts w:ascii="Times New Roman" w:hAnsi="Times New Roman"/>
              </w:rPr>
            </w:pPr>
            <w:r>
              <w:rPr>
                <w:rFonts w:ascii="Times New Roman" w:hAnsi="Times New Roman"/>
              </w:rPr>
              <w:t>1000-5000</w:t>
            </w:r>
          </w:p>
        </w:tc>
        <w:tc>
          <w:tcPr>
            <w:tcW w:w="1841" w:type="dxa"/>
          </w:tcPr>
          <w:p>
            <w:pPr>
              <w:pStyle w:val="23"/>
              <w:spacing w:line="380" w:lineRule="exact"/>
              <w:ind w:left="25"/>
              <w:jc w:val="center"/>
              <w:rPr>
                <w:rFonts w:ascii="Times New Roman" w:hAnsi="Times New Roman"/>
              </w:rPr>
            </w:pPr>
            <w:r>
              <w:rPr>
                <w:rFonts w:ascii="Times New Roman" w:hAnsi="Times New Roman"/>
              </w:rPr>
              <w:t>0.5%</w:t>
            </w:r>
          </w:p>
        </w:tc>
        <w:tc>
          <w:tcPr>
            <w:tcW w:w="1992" w:type="dxa"/>
          </w:tcPr>
          <w:p>
            <w:pPr>
              <w:pStyle w:val="23"/>
              <w:spacing w:line="380" w:lineRule="exact"/>
              <w:ind w:left="25"/>
              <w:jc w:val="center"/>
              <w:rPr>
                <w:rFonts w:ascii="Times New Roman" w:hAnsi="Times New Roman"/>
              </w:rPr>
            </w:pPr>
            <w:r>
              <w:rPr>
                <w:rFonts w:ascii="Times New Roman" w:hAnsi="Times New Roman"/>
              </w:rPr>
              <w:t>0.25%</w:t>
            </w:r>
          </w:p>
        </w:tc>
        <w:tc>
          <w:tcPr>
            <w:tcW w:w="2293" w:type="dxa"/>
          </w:tcPr>
          <w:p>
            <w:pPr>
              <w:pStyle w:val="23"/>
              <w:spacing w:line="380" w:lineRule="exact"/>
              <w:ind w:left="25"/>
              <w:jc w:val="center"/>
              <w:rPr>
                <w:rFonts w:ascii="Times New Roman" w:hAnsi="Times New Roman"/>
              </w:rPr>
            </w:pPr>
            <w:r>
              <w:rPr>
                <w:rFonts w:ascii="Times New Roman" w:hAnsi="Times New Roma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880" w:type="dxa"/>
          </w:tcPr>
          <w:p>
            <w:pPr>
              <w:pStyle w:val="23"/>
              <w:spacing w:line="380" w:lineRule="exact"/>
              <w:ind w:left="25"/>
              <w:rPr>
                <w:rFonts w:ascii="Times New Roman" w:hAnsi="Times New Roman"/>
              </w:rPr>
            </w:pPr>
            <w:r>
              <w:rPr>
                <w:rFonts w:ascii="Times New Roman" w:hAnsi="Times New Roman"/>
              </w:rPr>
              <w:t>5000-10000</w:t>
            </w:r>
          </w:p>
        </w:tc>
        <w:tc>
          <w:tcPr>
            <w:tcW w:w="1841" w:type="dxa"/>
          </w:tcPr>
          <w:p>
            <w:pPr>
              <w:pStyle w:val="23"/>
              <w:spacing w:line="380" w:lineRule="exact"/>
              <w:ind w:left="25"/>
              <w:jc w:val="center"/>
              <w:rPr>
                <w:rFonts w:ascii="Times New Roman" w:hAnsi="Times New Roman"/>
              </w:rPr>
            </w:pPr>
            <w:r>
              <w:rPr>
                <w:rFonts w:ascii="Times New Roman" w:hAnsi="Times New Roman"/>
              </w:rPr>
              <w:t>0.25%</w:t>
            </w:r>
          </w:p>
        </w:tc>
        <w:tc>
          <w:tcPr>
            <w:tcW w:w="1992" w:type="dxa"/>
          </w:tcPr>
          <w:p>
            <w:pPr>
              <w:pStyle w:val="23"/>
              <w:spacing w:line="380" w:lineRule="exact"/>
              <w:ind w:left="25"/>
              <w:jc w:val="center"/>
              <w:rPr>
                <w:rFonts w:ascii="Times New Roman" w:hAnsi="Times New Roman"/>
              </w:rPr>
            </w:pPr>
            <w:r>
              <w:rPr>
                <w:rFonts w:ascii="Times New Roman" w:hAnsi="Times New Roman"/>
              </w:rPr>
              <w:t>0.1%</w:t>
            </w:r>
          </w:p>
        </w:tc>
        <w:tc>
          <w:tcPr>
            <w:tcW w:w="2293" w:type="dxa"/>
          </w:tcPr>
          <w:p>
            <w:pPr>
              <w:pStyle w:val="23"/>
              <w:spacing w:line="380" w:lineRule="exact"/>
              <w:ind w:left="25"/>
              <w:jc w:val="center"/>
              <w:rPr>
                <w:rFonts w:ascii="Times New Roman" w:hAnsi="Times New Roman"/>
              </w:rPr>
            </w:pPr>
            <w:r>
              <w:rPr>
                <w:rFonts w:ascii="Times New Roman" w:hAnsi="Times New Roman"/>
              </w:rPr>
              <w:t>0.2%</w:t>
            </w:r>
          </w:p>
        </w:tc>
      </w:tr>
    </w:tbl>
    <w:p>
      <w:pPr>
        <w:pStyle w:val="23"/>
        <w:spacing w:line="440" w:lineRule="exact"/>
        <w:ind w:firstLine="420" w:firstLineChars="200"/>
        <w:rPr>
          <w:rFonts w:ascii="Times New Roman" w:hAnsi="Times New Roman"/>
          <w:szCs w:val="21"/>
        </w:rPr>
      </w:pPr>
    </w:p>
    <w:p>
      <w:pPr>
        <w:spacing w:line="380" w:lineRule="exact"/>
        <w:ind w:firstLine="420" w:firstLineChars="200"/>
      </w:pPr>
      <w:r>
        <w:rPr>
          <w:b/>
        </w:rPr>
        <w:t>30、交纳代理服务费的银行账户：</w:t>
      </w:r>
    </w:p>
    <w:p>
      <w:pPr>
        <w:spacing w:line="320" w:lineRule="exact"/>
        <w:ind w:firstLine="420" w:firstLineChars="200"/>
      </w:pPr>
      <w:r>
        <w:t>账户名称：广西通观工程咨询有限公司</w:t>
      </w:r>
    </w:p>
    <w:p>
      <w:pPr>
        <w:spacing w:line="320" w:lineRule="exact"/>
        <w:ind w:firstLine="420" w:firstLineChars="200"/>
      </w:pPr>
      <w:r>
        <w:t>银行开户行：中国工商银行桂林市临桂金山支行</w:t>
      </w:r>
    </w:p>
    <w:p>
      <w:pPr>
        <w:spacing w:line="320" w:lineRule="exact"/>
        <w:ind w:firstLine="420" w:firstLineChars="200"/>
        <w:rPr>
          <w:szCs w:val="21"/>
        </w:rPr>
      </w:pPr>
      <w:r>
        <w:t>银行账号：2103281809300013969</w:t>
      </w:r>
    </w:p>
    <w:p>
      <w:pPr>
        <w:spacing w:line="380" w:lineRule="exact"/>
        <w:ind w:firstLine="420" w:firstLineChars="200"/>
      </w:pPr>
      <w:r>
        <w:rPr>
          <w:b/>
        </w:rPr>
        <w:t>31、解释权：</w:t>
      </w:r>
    </w:p>
    <w:p>
      <w:pPr>
        <w:spacing w:line="380" w:lineRule="exact"/>
        <w:ind w:firstLine="420" w:firstLineChars="200"/>
      </w:pPr>
      <w:r>
        <w:t>本竞争性磋商文件是</w:t>
      </w:r>
      <w:r>
        <w:rPr>
          <w:szCs w:val="21"/>
        </w:rPr>
        <w:t>根据《中华人民共和国政府采购法》、《政府采购非招标采购方式管理办法》、《政府采购竞争性磋商采购方式管理暂行办法》</w:t>
      </w:r>
      <w:r>
        <w:t>和政府采购管理有关规定编制，本竞争性磋商文件的解释权属于采购代理机构。</w:t>
      </w:r>
    </w:p>
    <w:p>
      <w:pPr>
        <w:spacing w:line="380" w:lineRule="exact"/>
        <w:ind w:firstLine="420" w:firstLineChars="200"/>
      </w:pPr>
      <w:r>
        <w:rPr>
          <w:b/>
        </w:rPr>
        <w:t xml:space="preserve"> 32、监督管理机构：</w:t>
      </w:r>
      <w:r>
        <w:rPr>
          <w:rFonts w:hint="eastAsia"/>
          <w:bCs/>
        </w:rPr>
        <w:t>桂林市临桂区财政局政府采购监督管理股   联系电话：0773-5593932。</w:t>
      </w:r>
    </w:p>
    <w:p>
      <w:pPr>
        <w:spacing w:line="380" w:lineRule="exact"/>
      </w:pPr>
    </w:p>
    <w:p>
      <w:r>
        <w:br w:type="page"/>
      </w:r>
    </w:p>
    <w:p>
      <w:pPr>
        <w:pStyle w:val="2"/>
        <w:numPr>
          <w:ilvl w:val="0"/>
          <w:numId w:val="1"/>
        </w:numPr>
        <w:spacing w:line="0" w:lineRule="atLeast"/>
        <w:jc w:val="center"/>
        <w:rPr>
          <w:rFonts w:ascii="Times New Roman" w:hAnsi="Times New Roman" w:eastAsia="宋体"/>
        </w:rPr>
      </w:pPr>
      <w:bookmarkStart w:id="48" w:name="_Toc28855"/>
      <w:bookmarkStart w:id="49" w:name="_Toc686"/>
      <w:r>
        <w:rPr>
          <w:rFonts w:ascii="Times New Roman" w:hAnsi="Times New Roman" w:eastAsia="宋体"/>
        </w:rPr>
        <w:t>服务</w:t>
      </w:r>
      <w:r>
        <w:rPr>
          <w:rFonts w:hint="eastAsia" w:ascii="Times New Roman" w:hAnsi="Times New Roman" w:eastAsia="宋体"/>
        </w:rPr>
        <w:t>采购</w:t>
      </w:r>
      <w:r>
        <w:rPr>
          <w:rFonts w:ascii="Times New Roman" w:hAnsi="Times New Roman" w:eastAsia="宋体"/>
        </w:rPr>
        <w:t>需求</w:t>
      </w:r>
      <w:bookmarkEnd w:id="48"/>
      <w:bookmarkEnd w:id="49"/>
      <w:bookmarkStart w:id="50" w:name="_Toc191888425"/>
    </w:p>
    <w:p>
      <w:pPr>
        <w:spacing w:line="380" w:lineRule="exact"/>
        <w:ind w:firstLine="560" w:firstLineChars="200"/>
        <w:rPr>
          <w:b/>
          <w:bCs/>
          <w:sz w:val="28"/>
          <w:szCs w:val="28"/>
        </w:rPr>
      </w:pPr>
      <w:r>
        <w:rPr>
          <w:rFonts w:hint="eastAsia"/>
          <w:b/>
          <w:bCs/>
          <w:sz w:val="28"/>
          <w:szCs w:val="28"/>
        </w:rPr>
        <w:t>一、基本情况</w:t>
      </w:r>
    </w:p>
    <w:p>
      <w:pPr>
        <w:spacing w:line="360" w:lineRule="auto"/>
        <w:ind w:firstLine="480" w:firstLineChars="200"/>
        <w:rPr>
          <w:rFonts w:cs="宋体" w:asciiTheme="minorEastAsia" w:hAnsiTheme="minorEastAsia"/>
          <w:sz w:val="24"/>
        </w:rPr>
      </w:pPr>
      <w:r>
        <w:rPr>
          <w:rFonts w:hint="eastAsia" w:cs="宋体" w:asciiTheme="minorEastAsia" w:hAnsiTheme="minorEastAsia"/>
          <w:sz w:val="24"/>
        </w:rPr>
        <w:t>国家全域旅游示范区是指将一定行政区划作为完整旅游目的地，以旅游业为优势产业，统一规划布局，创新体制机制，优化公共服务，推进融合发展，提升服务品质，实施整体营销，具有较强示范作用，发展经验具备复制推广价值，且经文化和旅游部认定的区域。</w:t>
      </w:r>
    </w:p>
    <w:p>
      <w:pPr>
        <w:spacing w:line="360" w:lineRule="auto"/>
        <w:ind w:firstLine="480" w:firstLineChars="200"/>
        <w:rPr>
          <w:rFonts w:cs="宋体" w:asciiTheme="minorEastAsia" w:hAnsiTheme="minorEastAsia"/>
          <w:sz w:val="24"/>
        </w:rPr>
      </w:pPr>
      <w:r>
        <w:rPr>
          <w:rFonts w:hint="eastAsia" w:cs="宋体" w:asciiTheme="minorEastAsia" w:hAnsiTheme="minorEastAsia"/>
          <w:sz w:val="24"/>
        </w:rPr>
        <w:t>近年来，临桂区将创建国家级全域旅游示范区作为推动临桂区经济社会发展的重要抓手，加强全域智慧旅游信息化及配套硬件建设，推动临桂旅游、乡村旅游、工业旅游、红色旅游加快发展，着力打造全域旅游大格局，开创了临桂旅游发展新局面。</w:t>
      </w:r>
    </w:p>
    <w:p>
      <w:pPr>
        <w:numPr>
          <w:ilvl w:val="0"/>
          <w:numId w:val="2"/>
        </w:numPr>
        <w:spacing w:line="360" w:lineRule="auto"/>
        <w:ind w:firstLine="480" w:firstLineChars="200"/>
        <w:rPr>
          <w:rFonts w:cs="宋体" w:asciiTheme="minorEastAsia" w:hAnsiTheme="minorEastAsia"/>
          <w:sz w:val="24"/>
        </w:rPr>
      </w:pPr>
      <w:r>
        <w:rPr>
          <w:rFonts w:hint="eastAsia" w:cs="宋体" w:asciiTheme="minorEastAsia" w:hAnsiTheme="minorEastAsia"/>
          <w:sz w:val="24"/>
        </w:rPr>
        <w:t>本项目采购预算金额：人民币</w:t>
      </w:r>
      <w:r>
        <w:rPr>
          <w:rFonts w:hint="eastAsia" w:cs="宋体" w:asciiTheme="minorEastAsia" w:hAnsiTheme="minorEastAsia"/>
          <w:b/>
          <w:bCs/>
          <w:sz w:val="24"/>
        </w:rPr>
        <w:t>150</w:t>
      </w:r>
      <w:r>
        <w:rPr>
          <w:rFonts w:hint="eastAsia" w:cs="宋体" w:asciiTheme="minorEastAsia" w:hAnsiTheme="minorEastAsia"/>
          <w:sz w:val="24"/>
        </w:rPr>
        <w:t>万元，投标报价超出采购预算将作无效标处理。投标总价必须包括：软件系统开发、接口开发、实施服务、系统培训、建成后一年的维护费用及其他与本项目有关的全部费用等。</w:t>
      </w:r>
    </w:p>
    <w:p>
      <w:pPr>
        <w:numPr>
          <w:ilvl w:val="0"/>
          <w:numId w:val="2"/>
        </w:numPr>
        <w:spacing w:line="360" w:lineRule="auto"/>
        <w:ind w:firstLine="480" w:firstLineChars="200"/>
        <w:rPr>
          <w:rFonts w:cs="宋体" w:asciiTheme="minorEastAsia" w:hAnsiTheme="minorEastAsia"/>
          <w:sz w:val="24"/>
        </w:rPr>
      </w:pPr>
      <w:r>
        <w:rPr>
          <w:rFonts w:hint="eastAsia" w:cs="宋体" w:asciiTheme="minorEastAsia" w:hAnsiTheme="minorEastAsia"/>
          <w:sz w:val="24"/>
        </w:rPr>
        <w:t>本项目建设内容：</w:t>
      </w:r>
    </w:p>
    <w:p>
      <w:pPr>
        <w:spacing w:line="360" w:lineRule="auto"/>
        <w:ind w:firstLine="480" w:firstLineChars="200"/>
        <w:rPr>
          <w:rFonts w:cs="宋体" w:asciiTheme="minorEastAsia" w:hAnsiTheme="minorEastAsia"/>
          <w:sz w:val="24"/>
        </w:rPr>
      </w:pPr>
      <w:r>
        <w:rPr>
          <w:rFonts w:hint="eastAsia" w:cs="宋体" w:asciiTheme="minorEastAsia" w:hAnsiTheme="minorEastAsia"/>
          <w:sz w:val="24"/>
        </w:rPr>
        <w:t>1）景区3D智能导游系统（十二套）；</w:t>
      </w:r>
    </w:p>
    <w:p>
      <w:pPr>
        <w:spacing w:line="360" w:lineRule="auto"/>
        <w:ind w:firstLine="480" w:firstLineChars="200"/>
        <w:rPr>
          <w:rFonts w:cs="宋体" w:asciiTheme="minorEastAsia" w:hAnsiTheme="minorEastAsia"/>
          <w:sz w:val="24"/>
        </w:rPr>
      </w:pPr>
      <w:r>
        <w:rPr>
          <w:rFonts w:hint="eastAsia" w:cs="宋体" w:asciiTheme="minorEastAsia" w:hAnsiTheme="minorEastAsia"/>
          <w:sz w:val="24"/>
        </w:rPr>
        <w:t>2）“智游临桂”微信小程序全域智慧旅游文旅融合服务平台；</w:t>
      </w:r>
    </w:p>
    <w:p>
      <w:pPr>
        <w:spacing w:line="360" w:lineRule="auto"/>
        <w:ind w:firstLine="480" w:firstLineChars="200"/>
        <w:rPr>
          <w:rFonts w:cs="宋体" w:asciiTheme="minorEastAsia" w:hAnsiTheme="minorEastAsia"/>
          <w:sz w:val="24"/>
        </w:rPr>
      </w:pPr>
      <w:r>
        <w:rPr>
          <w:rFonts w:hint="eastAsia" w:cs="宋体" w:asciiTheme="minorEastAsia" w:hAnsiTheme="minorEastAsia"/>
          <w:sz w:val="24"/>
        </w:rPr>
        <w:t>3）全域全景图设计；</w:t>
      </w:r>
    </w:p>
    <w:p>
      <w:pPr>
        <w:spacing w:line="360" w:lineRule="auto"/>
        <w:ind w:firstLine="480" w:firstLineChars="200"/>
        <w:rPr>
          <w:rFonts w:cs="宋体" w:asciiTheme="minorEastAsia" w:hAnsiTheme="minorEastAsia"/>
          <w:sz w:val="24"/>
        </w:rPr>
      </w:pPr>
      <w:r>
        <w:rPr>
          <w:rFonts w:hint="eastAsia" w:cs="宋体" w:asciiTheme="minorEastAsia" w:hAnsiTheme="minorEastAsia"/>
          <w:sz w:val="24"/>
        </w:rPr>
        <w:t>4）核心吸引物全景导览图设计；</w:t>
      </w:r>
    </w:p>
    <w:p>
      <w:pPr>
        <w:spacing w:line="360" w:lineRule="auto"/>
        <w:ind w:firstLine="480" w:firstLineChars="200"/>
      </w:pPr>
      <w:r>
        <w:rPr>
          <w:rFonts w:hint="eastAsia" w:cs="宋体" w:asciiTheme="minorEastAsia" w:hAnsiTheme="minorEastAsia"/>
          <w:sz w:val="24"/>
        </w:rPr>
        <w:t>5）电子触摸屏系统。</w:t>
      </w:r>
    </w:p>
    <w:p>
      <w:pPr>
        <w:spacing w:line="360" w:lineRule="auto"/>
        <w:ind w:firstLine="480"/>
        <w:rPr>
          <w:rFonts w:cs="宋体" w:asciiTheme="minorEastAsia" w:hAnsiTheme="minorEastAsia"/>
          <w:sz w:val="24"/>
        </w:rPr>
      </w:pPr>
      <w:r>
        <w:rPr>
          <w:rFonts w:hint="eastAsia" w:cs="宋体" w:asciiTheme="minorEastAsia" w:hAnsiTheme="minorEastAsia"/>
          <w:sz w:val="24"/>
        </w:rPr>
        <w:t>3、本项目主要目的：</w:t>
      </w:r>
    </w:p>
    <w:p>
      <w:pPr>
        <w:spacing w:line="360" w:lineRule="auto"/>
        <w:ind w:firstLine="480" w:firstLineChars="200"/>
        <w:rPr>
          <w:rFonts w:cs="宋体" w:asciiTheme="minorEastAsia" w:hAnsiTheme="minorEastAsia"/>
          <w:sz w:val="24"/>
        </w:rPr>
      </w:pPr>
      <w:r>
        <w:rPr>
          <w:rFonts w:hint="eastAsia" w:cs="宋体" w:asciiTheme="minorEastAsia" w:hAnsiTheme="minorEastAsia"/>
          <w:sz w:val="24"/>
        </w:rPr>
        <w:t>建设以GIS为基础的游客智能导览、景区资源整合、旅游企业信息管理、服务和营销一体化管理平台，建立PC端综合监管/发布/管理服务平台、自助式手持/智能手机导览系统、基于3D地图一体化技术的网上在线导览系统等。“智游临桂”微信小程序将通过现代信息技术和旅游管理、旅游服务、旅游营销的融合，以满足游客需求为核心，使旅游资源和旅游信息得到系统化整合和深度开发应用，并服务于游客、企业和政府的旅游信息化的新阶段，包括智慧旅游管理、智慧旅游服务、智慧旅游营销等体系。</w:t>
      </w:r>
    </w:p>
    <w:p>
      <w:pPr>
        <w:spacing w:line="360" w:lineRule="auto"/>
        <w:ind w:firstLine="480" w:firstLineChars="200"/>
        <w:rPr>
          <w:rFonts w:cs="宋体" w:asciiTheme="minorEastAsia" w:hAnsiTheme="minorEastAsia"/>
          <w:sz w:val="24"/>
        </w:rPr>
      </w:pPr>
      <w:r>
        <w:rPr>
          <w:rFonts w:hint="eastAsia" w:cs="宋体" w:asciiTheme="minorEastAsia" w:hAnsiTheme="minorEastAsia"/>
          <w:sz w:val="24"/>
        </w:rPr>
        <w:t>智慧旅游是一种以物联网、</w:t>
      </w:r>
      <w:r>
        <w:fldChar w:fldCharType="begin"/>
      </w:r>
      <w:r>
        <w:instrText xml:space="preserve"> HYPERLINK "http://baike.baidu.com/view/1316082.htm" </w:instrText>
      </w:r>
      <w:r>
        <w:fldChar w:fldCharType="separate"/>
      </w:r>
      <w:r>
        <w:rPr>
          <w:rFonts w:hint="eastAsia" w:cs="宋体" w:asciiTheme="minorEastAsia" w:hAnsiTheme="minorEastAsia"/>
          <w:sz w:val="24"/>
        </w:rPr>
        <w:t>云计算</w:t>
      </w:r>
      <w:r>
        <w:rPr>
          <w:rFonts w:hint="eastAsia" w:cs="宋体" w:asciiTheme="minorEastAsia" w:hAnsiTheme="minorEastAsia"/>
          <w:sz w:val="24"/>
        </w:rPr>
        <w:fldChar w:fldCharType="end"/>
      </w:r>
      <w:r>
        <w:rPr>
          <w:rFonts w:hint="eastAsia" w:cs="宋体" w:asciiTheme="minorEastAsia" w:hAnsiTheme="minorEastAsia"/>
          <w:sz w:val="24"/>
        </w:rPr>
        <w:t>、</w:t>
      </w:r>
      <w:r>
        <w:fldChar w:fldCharType="begin"/>
      </w:r>
      <w:r>
        <w:instrText xml:space="preserve"> HYPERLINK "http://baike.baidu.com/view/466994.htm" </w:instrText>
      </w:r>
      <w:r>
        <w:fldChar w:fldCharType="separate"/>
      </w:r>
      <w:r>
        <w:rPr>
          <w:rFonts w:hint="eastAsia" w:cs="宋体" w:asciiTheme="minorEastAsia" w:hAnsiTheme="minorEastAsia"/>
          <w:sz w:val="24"/>
        </w:rPr>
        <w:t>移动互联网</w:t>
      </w:r>
      <w:r>
        <w:rPr>
          <w:rFonts w:hint="eastAsia" w:cs="宋体" w:asciiTheme="minorEastAsia" w:hAnsiTheme="minorEastAsia"/>
          <w:sz w:val="24"/>
        </w:rPr>
        <w:fldChar w:fldCharType="end"/>
      </w:r>
      <w:r>
        <w:rPr>
          <w:rFonts w:hint="eastAsia" w:cs="宋体" w:asciiTheme="minorEastAsia" w:hAnsiTheme="minorEastAsia"/>
          <w:sz w:val="24"/>
        </w:rPr>
        <w:t>、高性能信息处理、智能数据挖掘等技术在旅游体验、产业发展、行政管理等方面的应用，使旅游物理资源和信息资源得到高度系统化整合和深度开发激活，并服务于公众、企业、政府等的面向未来的全新的旅游形态。临桂区“智游临桂”微信小程序规划建设，将利用新一代信息化技术，把临桂区所有优质旅游资源进行整合，建设临桂区旅游资源“数据中心”；然后通过移动互联网技术搭建临桂区“智游临桂”微信小程序，提供适需对路的旅游产品。平台将能够满足旅游资讯、线路、景区、导航、休闲、文化、餐饮、购物、交通、酒店等多板块，集合最新的旅游信息、景区介绍和活动信息、自驾游线路、实时路况等信息。根据实际应用与业务需求，将各平台进行有机整合，实现资源有效利用与调度。</w:t>
      </w:r>
    </w:p>
    <w:p>
      <w:pPr>
        <w:spacing w:line="360" w:lineRule="auto"/>
        <w:ind w:firstLine="560" w:firstLineChars="200"/>
        <w:rPr>
          <w:b/>
          <w:bCs/>
          <w:sz w:val="28"/>
          <w:szCs w:val="28"/>
        </w:rPr>
      </w:pPr>
      <w:r>
        <w:rPr>
          <w:rFonts w:hint="eastAsia"/>
          <w:b/>
          <w:bCs/>
          <w:sz w:val="28"/>
          <w:szCs w:val="28"/>
        </w:rPr>
        <w:t>二、工作内容</w:t>
      </w:r>
    </w:p>
    <w:p>
      <w:pPr>
        <w:pStyle w:val="285"/>
        <w:spacing w:line="360" w:lineRule="auto"/>
        <w:ind w:left="425" w:firstLine="0" w:firstLineChars="0"/>
        <w:rPr>
          <w:rFonts w:hint="eastAsia" w:asciiTheme="minorEastAsia" w:hAnsiTheme="minorEastAsia" w:eastAsiaTheme="minorEastAsia" w:cstheme="minorEastAsia"/>
          <w:b/>
          <w:sz w:val="24"/>
        </w:rPr>
      </w:pPr>
      <w:bookmarkStart w:id="51" w:name="_Toc29146_WPSOffice_Level1"/>
      <w:bookmarkStart w:id="52" w:name="_Toc11033"/>
      <w:r>
        <w:rPr>
          <w:rFonts w:hint="eastAsia" w:asciiTheme="minorEastAsia" w:hAnsiTheme="minorEastAsia" w:eastAsiaTheme="minorEastAsia" w:cstheme="minorEastAsia"/>
          <w:b/>
          <w:sz w:val="24"/>
        </w:rPr>
        <w:t>需要提供证明材料的为重要技术参数，如不满足将导致扣分。</w:t>
      </w:r>
    </w:p>
    <w:p>
      <w:pPr>
        <w:pStyle w:val="2"/>
        <w:numPr>
          <w:ilvl w:val="0"/>
          <w:numId w:val="3"/>
        </w:numPr>
        <w:rPr>
          <w:rFonts w:hint="eastAsia" w:asciiTheme="minorEastAsia" w:hAnsiTheme="minorEastAsia" w:eastAsiaTheme="minorEastAsia" w:cstheme="minorEastAsia"/>
          <w:sz w:val="24"/>
          <w:szCs w:val="24"/>
        </w:rPr>
      </w:pPr>
      <w:bookmarkStart w:id="53" w:name="_Toc495"/>
      <w:r>
        <w:rPr>
          <w:rFonts w:hint="eastAsia" w:asciiTheme="minorEastAsia" w:hAnsiTheme="minorEastAsia" w:eastAsiaTheme="minorEastAsia" w:cstheme="minorEastAsia"/>
          <w:sz w:val="24"/>
          <w:szCs w:val="24"/>
        </w:rPr>
        <w:t>“智游临桂”微信小程序（含景区3D智能导游系统12套）</w:t>
      </w:r>
      <w:bookmarkEnd w:id="53"/>
    </w:p>
    <w:p>
      <w:pPr>
        <w:pStyle w:val="4"/>
        <w:ind w:left="420"/>
        <w:rPr>
          <w:sz w:val="24"/>
          <w:szCs w:val="24"/>
        </w:rPr>
      </w:pPr>
      <w:bookmarkStart w:id="54" w:name="_Toc18324"/>
      <w:r>
        <w:rPr>
          <w:rFonts w:hint="eastAsia"/>
          <w:sz w:val="24"/>
          <w:szCs w:val="24"/>
        </w:rPr>
        <w:t>1. 总体要求</w:t>
      </w:r>
      <w:bookmarkEnd w:id="54"/>
    </w:p>
    <w:tbl>
      <w:tblPr>
        <w:tblStyle w:val="4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17"/>
        <w:gridCol w:w="7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BFBFBF"/>
          </w:tcPr>
          <w:p>
            <w:pPr>
              <w:jc w:val="center"/>
              <w:rPr>
                <w:rFonts w:cs="宋体" w:asciiTheme="minorEastAsia" w:hAnsiTheme="minorEastAsia"/>
                <w:b/>
                <w:bCs/>
                <w:sz w:val="24"/>
              </w:rPr>
            </w:pPr>
            <w:r>
              <w:rPr>
                <w:rFonts w:hint="eastAsia" w:asciiTheme="minorEastAsia" w:hAnsiTheme="minorEastAsia"/>
                <w:b/>
                <w:bCs/>
                <w:sz w:val="24"/>
              </w:rPr>
              <w:t>序号</w:t>
            </w:r>
          </w:p>
        </w:tc>
        <w:tc>
          <w:tcPr>
            <w:tcW w:w="717" w:type="dxa"/>
            <w:tcBorders>
              <w:top w:val="single" w:color="auto" w:sz="4" w:space="0"/>
              <w:left w:val="nil"/>
              <w:bottom w:val="single" w:color="auto" w:sz="4" w:space="0"/>
              <w:right w:val="single" w:color="auto" w:sz="4" w:space="0"/>
            </w:tcBorders>
            <w:shd w:val="clear" w:color="auto" w:fill="BFBFBF"/>
          </w:tcPr>
          <w:p>
            <w:pPr>
              <w:jc w:val="center"/>
              <w:rPr>
                <w:rFonts w:cs="宋体" w:asciiTheme="minorEastAsia" w:hAnsiTheme="minorEastAsia"/>
                <w:b/>
                <w:bCs/>
                <w:sz w:val="24"/>
              </w:rPr>
            </w:pPr>
            <w:r>
              <w:rPr>
                <w:rFonts w:hint="eastAsia" w:asciiTheme="minorEastAsia" w:hAnsiTheme="minorEastAsia"/>
                <w:b/>
                <w:bCs/>
                <w:sz w:val="24"/>
              </w:rPr>
              <w:t>项目</w:t>
            </w:r>
          </w:p>
        </w:tc>
        <w:tc>
          <w:tcPr>
            <w:tcW w:w="7079" w:type="dxa"/>
            <w:tcBorders>
              <w:top w:val="single" w:color="auto" w:sz="4" w:space="0"/>
              <w:left w:val="nil"/>
              <w:bottom w:val="single" w:color="auto" w:sz="4" w:space="0"/>
              <w:right w:val="single" w:color="auto" w:sz="4" w:space="0"/>
            </w:tcBorders>
            <w:shd w:val="clear" w:color="auto" w:fill="BFBFBF"/>
          </w:tcPr>
          <w:p>
            <w:pPr>
              <w:jc w:val="center"/>
              <w:rPr>
                <w:rFonts w:cs="宋体" w:asciiTheme="minorEastAsia" w:hAnsiTheme="minorEastAsia"/>
                <w:b/>
                <w:bCs/>
                <w:sz w:val="24"/>
              </w:rPr>
            </w:pPr>
            <w:r>
              <w:rPr>
                <w:rFonts w:hint="eastAsia" w:asciiTheme="minorEastAsia" w:hAnsiTheme="minorEastAsia"/>
                <w:b/>
                <w:bCs/>
                <w:sz w:val="24"/>
              </w:rPr>
              <w:t>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24"/>
              </w:rPr>
            </w:pPr>
            <w:r>
              <w:rPr>
                <w:rFonts w:hint="eastAsia" w:asciiTheme="minorEastAsia" w:hAnsiTheme="minorEastAsia"/>
                <w:sz w:val="24"/>
              </w:rPr>
              <w:t>1</w:t>
            </w:r>
          </w:p>
        </w:tc>
        <w:tc>
          <w:tcPr>
            <w:tcW w:w="71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rPr>
            </w:pPr>
            <w:r>
              <w:rPr>
                <w:rFonts w:hint="eastAsia" w:asciiTheme="minorEastAsia" w:hAnsiTheme="minorEastAsia"/>
                <w:sz w:val="24"/>
              </w:rPr>
              <w:t>系统架构</w:t>
            </w:r>
          </w:p>
        </w:tc>
        <w:tc>
          <w:tcPr>
            <w:tcW w:w="7079"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 w:val="24"/>
              </w:rPr>
            </w:pPr>
            <w:r>
              <w:rPr>
                <w:rFonts w:hint="eastAsia" w:asciiTheme="minorEastAsia" w:hAnsiTheme="minorEastAsia"/>
                <w:sz w:val="24"/>
              </w:rPr>
              <w:t>系统要求基于 B/S 架构，采用 MVC 模式进行分层，程序上表示层、业务层、数据操作层三层清楚，为以后代码维护奠定基础。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24"/>
              </w:rPr>
            </w:pPr>
            <w:r>
              <w:rPr>
                <w:rFonts w:hint="eastAsia" w:asciiTheme="minorEastAsia" w:hAnsiTheme="minorEastAsia"/>
                <w:sz w:val="24"/>
              </w:rPr>
              <w:t>2</w:t>
            </w:r>
          </w:p>
        </w:tc>
        <w:tc>
          <w:tcPr>
            <w:tcW w:w="71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rPr>
            </w:pPr>
            <w:r>
              <w:rPr>
                <w:rFonts w:hint="eastAsia" w:asciiTheme="minorEastAsia" w:hAnsiTheme="minorEastAsia"/>
                <w:sz w:val="24"/>
              </w:rPr>
              <w:t>技术路线</w:t>
            </w:r>
          </w:p>
        </w:tc>
        <w:tc>
          <w:tcPr>
            <w:tcW w:w="7079"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 w:val="24"/>
              </w:rPr>
            </w:pPr>
            <w:r>
              <w:rPr>
                <w:rFonts w:hint="eastAsia" w:asciiTheme="minorEastAsia" w:hAnsiTheme="minorEastAsia"/>
                <w:sz w:val="24"/>
              </w:rPr>
              <w:t>系统应基于模块化的开发理念，高度集成各类应用，以适应未来系统和数据的扩展性要求；系统要求采用先进主流编程语言研发，MVC 模式进行分层。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24"/>
              </w:rPr>
            </w:pPr>
            <w:r>
              <w:rPr>
                <w:rFonts w:hint="eastAsia" w:asciiTheme="minorEastAsia" w:hAnsiTheme="minorEastAsia"/>
                <w:sz w:val="24"/>
              </w:rPr>
              <w:t>3</w:t>
            </w:r>
          </w:p>
        </w:tc>
        <w:tc>
          <w:tcPr>
            <w:tcW w:w="71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rPr>
            </w:pPr>
            <w:r>
              <w:rPr>
                <w:rFonts w:hint="eastAsia" w:asciiTheme="minorEastAsia" w:hAnsiTheme="minorEastAsia"/>
                <w:sz w:val="24"/>
              </w:rPr>
              <w:t>系统界面</w:t>
            </w:r>
          </w:p>
        </w:tc>
        <w:tc>
          <w:tcPr>
            <w:tcW w:w="7079"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 w:val="24"/>
              </w:rPr>
            </w:pPr>
            <w:r>
              <w:rPr>
                <w:rFonts w:hint="eastAsia" w:asciiTheme="minorEastAsia" w:hAnsiTheme="minorEastAsia"/>
                <w:sz w:val="24"/>
              </w:rPr>
              <w:t>系统界面要求功能鲜明、结构科学、布局合理、层次清晰、链接清楚、路径准确、页面美观。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24"/>
              </w:rPr>
            </w:pPr>
            <w:r>
              <w:rPr>
                <w:rFonts w:hint="eastAsia" w:asciiTheme="minorEastAsia" w:hAnsiTheme="minorEastAsia"/>
                <w:sz w:val="24"/>
              </w:rPr>
              <w:t>4</w:t>
            </w:r>
          </w:p>
        </w:tc>
        <w:tc>
          <w:tcPr>
            <w:tcW w:w="71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rPr>
            </w:pPr>
            <w:r>
              <w:rPr>
                <w:rFonts w:hint="eastAsia" w:asciiTheme="minorEastAsia" w:hAnsiTheme="minorEastAsia"/>
                <w:sz w:val="24"/>
              </w:rPr>
              <w:t>软件开发</w:t>
            </w:r>
          </w:p>
        </w:tc>
        <w:tc>
          <w:tcPr>
            <w:tcW w:w="7079"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 w:val="24"/>
              </w:rPr>
            </w:pPr>
            <w:r>
              <w:rPr>
                <w:rFonts w:hint="eastAsia" w:asciiTheme="minorEastAsia" w:hAnsiTheme="minorEastAsia"/>
                <w:sz w:val="24"/>
              </w:rPr>
              <w:t>1) 系统设计要求采用自顶向下的设计方法，需要清楚描述各个模块。</w:t>
            </w:r>
          </w:p>
          <w:p>
            <w:pPr>
              <w:rPr>
                <w:rFonts w:asciiTheme="minorEastAsia" w:hAnsiTheme="minorEastAsia"/>
                <w:sz w:val="24"/>
              </w:rPr>
            </w:pPr>
            <w:r>
              <w:rPr>
                <w:rFonts w:hint="eastAsia" w:asciiTheme="minorEastAsia" w:hAnsiTheme="minorEastAsia"/>
                <w:sz w:val="24"/>
              </w:rPr>
              <w:t>2) 系统开发要求遵循统一的命名规范、编码规范、用户界面规范、接口规范、控件规范等。</w:t>
            </w:r>
          </w:p>
          <w:p>
            <w:pPr>
              <w:rPr>
                <w:rFonts w:cs="宋体" w:asciiTheme="minorEastAsia" w:hAnsiTheme="minorEastAsia"/>
                <w:sz w:val="24"/>
              </w:rPr>
            </w:pPr>
            <w:r>
              <w:rPr>
                <w:rFonts w:hint="eastAsia" w:asciiTheme="minorEastAsia" w:hAnsiTheme="minorEastAsia"/>
                <w:sz w:val="24"/>
              </w:rPr>
              <w:t>3) 系统要求具有良好的容错能力，程序出现异常情况时，不应对系统和数据造成破坏，并应给出友好的提示。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24"/>
              </w:rPr>
            </w:pPr>
            <w:r>
              <w:rPr>
                <w:rFonts w:hint="eastAsia" w:asciiTheme="minorEastAsia" w:hAnsiTheme="minorEastAsia"/>
                <w:sz w:val="24"/>
              </w:rPr>
              <w:t>5</w:t>
            </w:r>
          </w:p>
        </w:tc>
        <w:tc>
          <w:tcPr>
            <w:tcW w:w="71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rPr>
            </w:pPr>
            <w:r>
              <w:rPr>
                <w:rFonts w:hint="eastAsia" w:asciiTheme="minorEastAsia" w:hAnsiTheme="minorEastAsia"/>
                <w:sz w:val="24"/>
              </w:rPr>
              <w:t>系统性能</w:t>
            </w:r>
          </w:p>
        </w:tc>
        <w:tc>
          <w:tcPr>
            <w:tcW w:w="7079"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 w:val="24"/>
              </w:rPr>
            </w:pPr>
            <w:r>
              <w:rPr>
                <w:rFonts w:hint="eastAsia" w:asciiTheme="minorEastAsia" w:hAnsiTheme="minorEastAsia"/>
                <w:sz w:val="24"/>
              </w:rPr>
              <w:t>1) 系统性能必须充分考虑今后横向和纵向的平滑扩张能力，采用模块化、面向对象的思路设计，采用面向服务的体系结构，做到灵活扩展、迁移和升级。</w:t>
            </w:r>
          </w:p>
          <w:p>
            <w:pPr>
              <w:rPr>
                <w:rFonts w:asciiTheme="minorEastAsia" w:hAnsiTheme="minorEastAsia"/>
                <w:sz w:val="24"/>
              </w:rPr>
            </w:pPr>
            <w:r>
              <w:rPr>
                <w:rFonts w:hint="eastAsia" w:asciiTheme="minorEastAsia" w:hAnsiTheme="minorEastAsia"/>
                <w:sz w:val="24"/>
              </w:rPr>
              <w:t>2) 系统要求支持 7*24 小时的连续运行，平均年故障时间小于1 天，对于系统中的相关操作应进行自动记录。</w:t>
            </w:r>
          </w:p>
          <w:p>
            <w:pPr>
              <w:rPr>
                <w:rFonts w:asciiTheme="minorEastAsia" w:hAnsiTheme="minorEastAsia"/>
                <w:sz w:val="24"/>
              </w:rPr>
            </w:pPr>
            <w:r>
              <w:rPr>
                <w:rFonts w:hint="eastAsia" w:asciiTheme="minorEastAsia" w:hAnsiTheme="minorEastAsia"/>
                <w:sz w:val="24"/>
              </w:rPr>
              <w:t>3) 在系统安全性方面，系统必须支持功能权限、数据类别权限，以及数据审核控制权限的快速设置。</w:t>
            </w:r>
          </w:p>
          <w:p>
            <w:pPr>
              <w:rPr>
                <w:rFonts w:asciiTheme="minorEastAsia" w:hAnsiTheme="minorEastAsia"/>
                <w:sz w:val="24"/>
              </w:rPr>
            </w:pPr>
            <w:r>
              <w:rPr>
                <w:rFonts w:hint="eastAsia" w:asciiTheme="minorEastAsia" w:hAnsiTheme="minorEastAsia"/>
                <w:sz w:val="24"/>
              </w:rPr>
              <w:t>4) 系统要求具有良好的可维护性，需采用公众熟悉的、易于维护的系统平台。</w:t>
            </w:r>
          </w:p>
          <w:p>
            <w:pPr>
              <w:rPr>
                <w:rFonts w:cs="宋体" w:asciiTheme="minorEastAsia" w:hAnsiTheme="minorEastAsia"/>
                <w:sz w:val="24"/>
              </w:rPr>
            </w:pPr>
            <w:r>
              <w:rPr>
                <w:rFonts w:hint="eastAsia" w:asciiTheme="minorEastAsia" w:hAnsiTheme="minorEastAsia"/>
                <w:sz w:val="24"/>
              </w:rPr>
              <w:t>5) 后台数据库要求采用关系型数据库，支持跨平台分布式部署。</w:t>
            </w:r>
          </w:p>
        </w:tc>
      </w:tr>
    </w:tbl>
    <w:p>
      <w:pPr>
        <w:pStyle w:val="4"/>
        <w:ind w:left="420"/>
        <w:rPr>
          <w:sz w:val="24"/>
          <w:szCs w:val="24"/>
        </w:rPr>
      </w:pPr>
      <w:bookmarkStart w:id="55" w:name="_Toc11818"/>
      <w:r>
        <w:rPr>
          <w:rFonts w:hint="eastAsia"/>
          <w:sz w:val="24"/>
          <w:szCs w:val="24"/>
        </w:rPr>
        <w:t>2.组成部分</w:t>
      </w:r>
      <w:bookmarkEnd w:id="55"/>
    </w:p>
    <w:p>
      <w:pPr>
        <w:ind w:firstLine="480"/>
        <w:rPr>
          <w:rFonts w:asciiTheme="minorEastAsia" w:hAnsiTheme="minorEastAsia"/>
          <w:sz w:val="24"/>
        </w:rPr>
      </w:pPr>
      <w:r>
        <w:rPr>
          <w:rFonts w:hint="eastAsia" w:asciiTheme="minorEastAsia" w:hAnsiTheme="minorEastAsia"/>
          <w:color w:val="000000" w:themeColor="text1"/>
          <w:sz w:val="24"/>
        </w:rPr>
        <w:t>“智游临桂”</w:t>
      </w:r>
      <w:r>
        <w:rPr>
          <w:rFonts w:hint="eastAsia" w:asciiTheme="minorEastAsia" w:hAnsiTheme="minorEastAsia"/>
          <w:sz w:val="24"/>
        </w:rPr>
        <w:t>其使用终端包含微信小程序。其业务版块包含临桂区的食住行游购娱</w:t>
      </w:r>
      <w:r>
        <w:rPr>
          <w:rFonts w:hint="eastAsia" w:asciiTheme="minorEastAsia" w:hAnsiTheme="minorEastAsia"/>
          <w:color w:val="000000" w:themeColor="text1"/>
          <w:sz w:val="24"/>
        </w:rPr>
        <w:t>商养闲学情奇十二要素</w:t>
      </w:r>
      <w:r>
        <w:rPr>
          <w:rFonts w:hint="eastAsia" w:asciiTheme="minorEastAsia" w:hAnsiTheme="minorEastAsia"/>
          <w:sz w:val="24"/>
        </w:rPr>
        <w:t>，全方位向游客介绍临桂区的旅游资源。</w:t>
      </w:r>
    </w:p>
    <w:p>
      <w:pPr>
        <w:pStyle w:val="4"/>
        <w:numPr>
          <w:ilvl w:val="0"/>
          <w:numId w:val="4"/>
        </w:numPr>
        <w:ind w:left="420"/>
        <w:rPr>
          <w:sz w:val="24"/>
          <w:szCs w:val="24"/>
        </w:rPr>
      </w:pPr>
      <w:bookmarkStart w:id="56" w:name="_Toc1541"/>
      <w:r>
        <w:rPr>
          <w:rFonts w:hint="eastAsia"/>
          <w:sz w:val="24"/>
          <w:szCs w:val="24"/>
        </w:rPr>
        <w:t>临桂区”智游临桂”项目需求</w:t>
      </w:r>
      <w:bookmarkEnd w:id="56"/>
    </w:p>
    <w:tbl>
      <w:tblPr>
        <w:tblStyle w:val="44"/>
        <w:tblW w:w="11239" w:type="dxa"/>
        <w:jc w:val="center"/>
        <w:tblLayout w:type="autofit"/>
        <w:tblCellMar>
          <w:top w:w="0" w:type="dxa"/>
          <w:left w:w="0" w:type="dxa"/>
          <w:bottom w:w="0" w:type="dxa"/>
          <w:right w:w="0" w:type="dxa"/>
        </w:tblCellMar>
      </w:tblPr>
      <w:tblGrid>
        <w:gridCol w:w="555"/>
        <w:gridCol w:w="717"/>
        <w:gridCol w:w="735"/>
        <w:gridCol w:w="655"/>
        <w:gridCol w:w="1138"/>
        <w:gridCol w:w="4432"/>
        <w:gridCol w:w="414"/>
        <w:gridCol w:w="425"/>
        <w:gridCol w:w="1230"/>
        <w:gridCol w:w="938"/>
      </w:tblGrid>
      <w:tr>
        <w:tblPrEx>
          <w:tblCellMar>
            <w:top w:w="0" w:type="dxa"/>
            <w:left w:w="0" w:type="dxa"/>
            <w:bottom w:w="0" w:type="dxa"/>
            <w:right w:w="0" w:type="dxa"/>
          </w:tblCellMar>
        </w:tblPrEx>
        <w:trPr>
          <w:trHeight w:val="48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rPr>
              <w:t>序号</w:t>
            </w:r>
          </w:p>
        </w:tc>
        <w:tc>
          <w:tcPr>
            <w:tcW w:w="717"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rPr>
              <w:t>建设内容</w:t>
            </w:r>
          </w:p>
        </w:tc>
        <w:tc>
          <w:tcPr>
            <w:tcW w:w="73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rPr>
              <w:t>主要</w:t>
            </w:r>
            <w:r>
              <w:rPr>
                <w:rFonts w:hint="eastAsia" w:asciiTheme="minorEastAsia" w:hAnsiTheme="minorEastAsia" w:cstheme="minorEastAsia"/>
                <w:b/>
                <w:color w:val="000000"/>
                <w:kern w:val="0"/>
                <w:sz w:val="24"/>
              </w:rPr>
              <w:br w:type="textWrapping"/>
            </w:r>
            <w:r>
              <w:rPr>
                <w:rFonts w:hint="eastAsia" w:asciiTheme="minorEastAsia" w:hAnsiTheme="minorEastAsia" w:cstheme="minorEastAsia"/>
                <w:b/>
                <w:color w:val="000000"/>
                <w:kern w:val="0"/>
                <w:sz w:val="24"/>
              </w:rPr>
              <w:t>版块</w:t>
            </w:r>
          </w:p>
        </w:tc>
        <w:tc>
          <w:tcPr>
            <w:tcW w:w="65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rPr>
              <w:t>一级功能</w:t>
            </w:r>
          </w:p>
        </w:tc>
        <w:tc>
          <w:tcPr>
            <w:tcW w:w="113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rPr>
              <w:t>二级功能</w:t>
            </w:r>
          </w:p>
        </w:tc>
        <w:tc>
          <w:tcPr>
            <w:tcW w:w="4432"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rPr>
              <w:t>功能描述及标准</w:t>
            </w:r>
          </w:p>
        </w:tc>
        <w:tc>
          <w:tcPr>
            <w:tcW w:w="41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rPr>
              <w:t>单位</w:t>
            </w:r>
          </w:p>
        </w:tc>
        <w:tc>
          <w:tcPr>
            <w:tcW w:w="42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rPr>
              <w:t>数量</w:t>
            </w:r>
          </w:p>
        </w:tc>
        <w:tc>
          <w:tcPr>
            <w:tcW w:w="123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hint="eastAsia" w:eastAsia="宋体" w:asciiTheme="minorEastAsia" w:hAnsiTheme="minorEastAsia" w:cstheme="minorEastAsia"/>
                <w:b/>
                <w:color w:val="000000"/>
                <w:sz w:val="24"/>
                <w:lang w:eastAsia="zh-CN"/>
              </w:rPr>
            </w:pPr>
            <w:r>
              <w:rPr>
                <w:rFonts w:hint="eastAsia" w:asciiTheme="minorEastAsia" w:hAnsiTheme="minorEastAsia" w:cstheme="minorEastAsia"/>
                <w:b/>
                <w:color w:val="000000"/>
                <w:kern w:val="0"/>
                <w:sz w:val="24"/>
                <w:lang w:val="en-US" w:eastAsia="zh-CN"/>
              </w:rPr>
              <w:t>单价（单位：元）</w:t>
            </w:r>
          </w:p>
        </w:tc>
        <w:tc>
          <w:tcPr>
            <w:tcW w:w="93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hint="default" w:eastAsia="宋体" w:asciiTheme="minorEastAsia" w:hAnsiTheme="minorEastAsia" w:cstheme="minorEastAsia"/>
                <w:b/>
                <w:color w:val="000000"/>
                <w:kern w:val="0"/>
                <w:sz w:val="24"/>
                <w:lang w:val="en-US" w:eastAsia="zh-CN"/>
              </w:rPr>
            </w:pPr>
            <w:r>
              <w:rPr>
                <w:rFonts w:hint="eastAsia" w:asciiTheme="minorEastAsia" w:hAnsiTheme="minorEastAsia" w:cstheme="minorEastAsia"/>
                <w:b/>
                <w:color w:val="000000"/>
                <w:kern w:val="0"/>
                <w:sz w:val="24"/>
                <w:lang w:val="en-US" w:eastAsia="zh-CN"/>
              </w:rPr>
              <w:t>单项总价</w:t>
            </w:r>
          </w:p>
        </w:tc>
      </w:tr>
      <w:tr>
        <w:tblPrEx>
          <w:tblCellMar>
            <w:top w:w="0" w:type="dxa"/>
            <w:left w:w="0" w:type="dxa"/>
            <w:bottom w:w="0" w:type="dxa"/>
            <w:right w:w="0" w:type="dxa"/>
          </w:tblCellMar>
        </w:tblPrEx>
        <w:trPr>
          <w:trHeight w:val="581"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rPr>
              <w:t>智游临桂微信小程序前端</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rPr>
              <w:t>畅游板块</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城市名片</w:t>
            </w:r>
          </w:p>
        </w:tc>
        <w:tc>
          <w:tcPr>
            <w:tcW w:w="113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图文介绍</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通过对临桂区涉旅资源（地理概况、气候、历史、文化、民俗、交通、特色景点、温泉分布、名宿分布等）概况进行综合阐述，概括性向公众介绍临桂区旅游资源。</w:t>
            </w:r>
          </w:p>
        </w:tc>
        <w:tc>
          <w:tcPr>
            <w:tcW w:w="41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9000.00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9000.00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景区介绍</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景区百科</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对景区历史、文化、发展、未来、管理团队、运营模式进行深度解读。</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12000.00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12000.00 </w:t>
            </w:r>
          </w:p>
        </w:tc>
      </w:tr>
      <w:tr>
        <w:tblPrEx>
          <w:tblCellMar>
            <w:top w:w="0" w:type="dxa"/>
            <w:left w:w="0" w:type="dxa"/>
            <w:bottom w:w="0" w:type="dxa"/>
            <w:right w:w="0" w:type="dxa"/>
          </w:tblCellMar>
        </w:tblPrEx>
        <w:trPr>
          <w:trHeight w:val="12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智能导览</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嵌入已制作的4家景区3D智能导游系统，智能实现“一步一景一语音”的实时导游功能，让游客听一个语音，了览一个敀事，走到哪里介绍到哪里。同时也为游客提供“景点推荐、推荐线路、自定义规划线路。</w:t>
            </w:r>
            <w:r>
              <w:rPr>
                <w:rFonts w:hint="eastAsia" w:ascii="宋体" w:hAnsi="宋体" w:eastAsia="宋体" w:cs="宋体"/>
                <w:b/>
                <w:color w:val="000000"/>
                <w:kern w:val="0"/>
                <w:sz w:val="24"/>
              </w:rPr>
              <w:t>（需提供10个案例系统页面含有“景区导览”功能截图）</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7900.00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7900.00 </w:t>
            </w:r>
          </w:p>
        </w:tc>
      </w:tr>
      <w:tr>
        <w:tblPrEx>
          <w:tblCellMar>
            <w:top w:w="0" w:type="dxa"/>
            <w:left w:w="0" w:type="dxa"/>
            <w:bottom w:w="0" w:type="dxa"/>
            <w:right w:w="0" w:type="dxa"/>
          </w:tblCellMar>
        </w:tblPrEx>
        <w:trPr>
          <w:trHeight w:val="9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游玩攻略</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按时间、路线、喜好等多维度为游客提供单个景区最详细的游玩攻略，并提供详情介绍（包括：图片、文字、导航等），完成覆盖景区所有景点的线路指引。</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9000.00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9000.00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景点相册</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展示当前景区的精美照片，让游客从视觉上感受景区的美景。</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8900.00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8900.00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酒店介绍</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酒店介绍</w:t>
            </w:r>
          </w:p>
        </w:tc>
        <w:tc>
          <w:tcPr>
            <w:tcW w:w="4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介绍临桂区的酒店详细，让游客了解当地酒店的星级，价格，联系方式，地理位置，酒店的服务内容，方便游客轻松直接找到合适的酒店。</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房型介绍</w:t>
            </w:r>
          </w:p>
        </w:tc>
        <w:tc>
          <w:tcPr>
            <w:tcW w:w="4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heme="minorEastAsia" w:hAnsiTheme="minorEastAsia" w:cstheme="minorEastAsia"/>
                <w:color w:val="000000"/>
                <w:sz w:val="24"/>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美食介绍</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美食介绍</w:t>
            </w:r>
          </w:p>
        </w:tc>
        <w:tc>
          <w:tcPr>
            <w:tcW w:w="4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分类列表式呈现临桂区美食、农家乐、特色小吃商家信息介绍，让游客了解当地美食的人均消费，联系方式，地理位置，美食特点，方便游客轻松直接找到合适的美食。</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菜单介绍</w:t>
            </w:r>
          </w:p>
        </w:tc>
        <w:tc>
          <w:tcPr>
            <w:tcW w:w="4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heme="minorEastAsia" w:hAnsiTheme="minorEastAsia" w:cstheme="minorEastAsia"/>
                <w:color w:val="000000"/>
                <w:sz w:val="24"/>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购物介绍</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根据游客当前的地理位置动态推送距离最近的商圈及相关信息。</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13900.00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13900.00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文化体育</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pPr>
            <w:r>
              <w:rPr>
                <w:rFonts w:hint="eastAsia"/>
              </w:rPr>
              <w:t>根据游客当前的地理位置动态推送距离最近的图书馆、体育场及相关信息。</w:t>
            </w:r>
            <w:r>
              <w:rPr>
                <w:rFonts w:hint="eastAsia" w:asciiTheme="minorEastAsia" w:hAnsiTheme="minorEastAsia" w:eastAsiaTheme="minorEastAsia" w:cstheme="minorEastAsia"/>
                <w:b/>
                <w:color w:val="000000"/>
                <w:kern w:val="0"/>
                <w:sz w:val="24"/>
              </w:rPr>
              <w:t>（需提供6个案例系统页面含有“文化体育”功能截图）</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17000.00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17000.00 </w:t>
            </w:r>
          </w:p>
        </w:tc>
      </w:tr>
      <w:tr>
        <w:tblPrEx>
          <w:tblCellMar>
            <w:top w:w="0" w:type="dxa"/>
            <w:left w:w="0" w:type="dxa"/>
            <w:bottom w:w="0" w:type="dxa"/>
            <w:right w:w="0" w:type="dxa"/>
          </w:tblCellMar>
        </w:tblPrEx>
        <w:trPr>
          <w:trHeight w:val="12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周边娱乐</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包含特色乡村体验、乡村旅游推荐信息介绍，并在产品地址信息内链接地图导航功能，游客轻松直接找到休闲娱乐场所、特色文化体验中心和乡村特色采摘基地，推广临桂区康养特色旅游。</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default" w:ascii="仿宋_GB2312" w:hAnsi="宋体" w:eastAsia="仿宋_GB2312" w:cs="仿宋_GB2312"/>
                <w:i w:val="0"/>
                <w:color w:val="000000"/>
                <w:kern w:val="0"/>
                <w:sz w:val="20"/>
                <w:szCs w:val="20"/>
                <w:u w:val="none"/>
                <w:lang w:val="en-US" w:eastAsia="zh-CN" w:bidi="ar"/>
              </w:rPr>
              <w:t xml:space="preserve">23500.00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23500.00 </w:t>
            </w:r>
          </w:p>
        </w:tc>
      </w:tr>
      <w:tr>
        <w:tblPrEx>
          <w:tblCellMar>
            <w:top w:w="0" w:type="dxa"/>
            <w:left w:w="0" w:type="dxa"/>
            <w:bottom w:w="0" w:type="dxa"/>
            <w:right w:w="0" w:type="dxa"/>
          </w:tblCellMar>
        </w:tblPrEx>
        <w:trPr>
          <w:trHeight w:val="72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游玩攻略</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以图文的方式展示临桂区的游玩攻略，游客通过游玩攻略，可以了解到临桂区怎么游玩，每个景点游玩路线和出行方式。</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default" w:ascii="仿宋_GB2312" w:hAnsi="宋体" w:eastAsia="仿宋_GB2312" w:cs="仿宋_GB2312"/>
                <w:i w:val="0"/>
                <w:color w:val="000000"/>
                <w:kern w:val="0"/>
                <w:sz w:val="20"/>
                <w:szCs w:val="20"/>
                <w:u w:val="none"/>
                <w:lang w:val="en-US" w:eastAsia="zh-CN" w:bidi="ar"/>
              </w:rPr>
              <w:t xml:space="preserve">27000.00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27000.00 </w:t>
            </w:r>
          </w:p>
        </w:tc>
      </w:tr>
      <w:tr>
        <w:tblPrEx>
          <w:tblCellMar>
            <w:top w:w="0" w:type="dxa"/>
            <w:left w:w="0" w:type="dxa"/>
            <w:bottom w:w="0" w:type="dxa"/>
            <w:right w:w="0" w:type="dxa"/>
          </w:tblCellMar>
        </w:tblPrEx>
        <w:trPr>
          <w:trHeight w:val="72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专题活动</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展示临桂区文旅局、临桂区相关涉旅企业、临桂区政府等在临桂区举行的诸如文化节、民俗文化节等影响范围广的活动（旅游活动）；</w:t>
            </w:r>
            <w:r>
              <w:rPr>
                <w:rFonts w:hint="eastAsia" w:ascii="宋体" w:hAnsi="宋体" w:eastAsia="宋体" w:cs="宋体"/>
                <w:b/>
                <w:color w:val="000000"/>
                <w:kern w:val="0"/>
                <w:sz w:val="24"/>
              </w:rPr>
              <w:t>（需提供6个案例系统页面含有“活动”功能截图）</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default" w:ascii="仿宋_GB2312" w:hAnsi="宋体" w:eastAsia="仿宋_GB2312" w:cs="仿宋_GB2312"/>
                <w:i w:val="0"/>
                <w:color w:val="000000"/>
                <w:kern w:val="0"/>
                <w:sz w:val="20"/>
                <w:szCs w:val="20"/>
                <w:u w:val="none"/>
                <w:lang w:val="en-US" w:eastAsia="zh-CN" w:bidi="ar"/>
              </w:rPr>
              <w:t xml:space="preserve">7900.00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7900.00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美景相册</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通过照片让游客了解临桂区的美景面貌，吸引游客对当地的旅游资源进行深度了解。</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default" w:ascii="仿宋_GB2312" w:hAnsi="宋体" w:eastAsia="仿宋_GB2312" w:cs="仿宋_GB2312"/>
                <w:i w:val="0"/>
                <w:color w:val="000000"/>
                <w:kern w:val="0"/>
                <w:sz w:val="20"/>
                <w:szCs w:val="20"/>
                <w:u w:val="none"/>
                <w:lang w:val="en-US" w:eastAsia="zh-CN" w:bidi="ar"/>
              </w:rPr>
              <w:t xml:space="preserve">12000.00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12000.00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旅游手信</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通过图文形式介绍临桂区各种各样的手信，比如特产、纪念品等产品。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default" w:ascii="仿宋_GB2312" w:hAnsi="宋体" w:eastAsia="仿宋_GB2312" w:cs="仿宋_GB2312"/>
                <w:i w:val="0"/>
                <w:color w:val="000000"/>
                <w:kern w:val="0"/>
                <w:sz w:val="20"/>
                <w:szCs w:val="20"/>
                <w:u w:val="none"/>
                <w:lang w:val="en-US" w:eastAsia="zh-CN" w:bidi="ar"/>
              </w:rPr>
              <w:t xml:space="preserve">13900.00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13900.00 </w:t>
            </w:r>
          </w:p>
        </w:tc>
      </w:tr>
      <w:tr>
        <w:tblPrEx>
          <w:tblCellMar>
            <w:top w:w="0" w:type="dxa"/>
            <w:left w:w="0" w:type="dxa"/>
            <w:bottom w:w="0" w:type="dxa"/>
            <w:right w:w="0" w:type="dxa"/>
          </w:tblCellMar>
        </w:tblPrEx>
        <w:trPr>
          <w:trHeight w:val="16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智能导游</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eastAsia="宋体" w:asciiTheme="minorEastAsia" w:hAnsiTheme="minorEastAsia" w:cstheme="minorEastAsia"/>
                <w:color w:val="000000"/>
                <w:sz w:val="24"/>
                <w:lang w:eastAsia="zh-CN"/>
              </w:rPr>
            </w:pPr>
            <w:r>
              <w:rPr>
                <w:rFonts w:hint="eastAsia" w:asciiTheme="minorEastAsia" w:hAnsiTheme="minorEastAsia" w:cstheme="minorEastAsia"/>
                <w:color w:val="000000"/>
                <w:kern w:val="0"/>
                <w:sz w:val="24"/>
              </w:rPr>
              <w:t>3D智能导游服务</w:t>
            </w:r>
            <w:r>
              <w:rPr>
                <w:rFonts w:hint="eastAsia" w:asciiTheme="minorEastAsia" w:hAnsiTheme="minorEastAsia" w:cstheme="minorEastAsia"/>
                <w:color w:val="000000"/>
                <w:kern w:val="0"/>
                <w:sz w:val="24"/>
                <w:lang w:eastAsia="zh-CN"/>
              </w:rPr>
              <w:t>（部署12个景区）</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1.通过3D导览图，游客直观的查看景区全景，可以放大缩小全景图；</w:t>
            </w:r>
            <w:r>
              <w:rPr>
                <w:rFonts w:hint="eastAsia" w:asciiTheme="minorEastAsia" w:hAnsiTheme="minorEastAsia" w:cstheme="minorEastAsia"/>
                <w:color w:val="000000"/>
                <w:kern w:val="0"/>
                <w:sz w:val="24"/>
              </w:rPr>
              <w:br w:type="textWrapping"/>
            </w:r>
            <w:r>
              <w:rPr>
                <w:rFonts w:hint="eastAsia" w:asciiTheme="minorEastAsia" w:hAnsiTheme="minorEastAsia" w:cstheme="minorEastAsia"/>
                <w:color w:val="000000"/>
                <w:kern w:val="0"/>
                <w:sz w:val="24"/>
              </w:rPr>
              <w:t>2.点击景点或其它设施，可以看到详细图片介绍、语音介绍等；</w:t>
            </w:r>
            <w:r>
              <w:rPr>
                <w:rFonts w:hint="eastAsia" w:asciiTheme="minorEastAsia" w:hAnsiTheme="minorEastAsia" w:cstheme="minorEastAsia"/>
                <w:color w:val="000000"/>
                <w:kern w:val="0"/>
                <w:sz w:val="24"/>
              </w:rPr>
              <w:br w:type="textWrapping"/>
            </w:r>
            <w:r>
              <w:rPr>
                <w:rFonts w:hint="eastAsia" w:asciiTheme="minorEastAsia" w:hAnsiTheme="minorEastAsia" w:cstheme="minorEastAsia"/>
                <w:color w:val="000000"/>
                <w:kern w:val="0"/>
                <w:sz w:val="24"/>
              </w:rPr>
              <w:t>3.GPS定位，游客可以定位自己所在位置，导览到达下个景点的路线，实时规划导航线路及查找周边服务设施等；</w:t>
            </w:r>
            <w:r>
              <w:rPr>
                <w:rFonts w:hint="eastAsia" w:asciiTheme="minorEastAsia" w:hAnsiTheme="minorEastAsia" w:eastAsiaTheme="minorEastAsia" w:cstheme="minorEastAsia"/>
                <w:b/>
                <w:color w:val="000000"/>
                <w:kern w:val="0"/>
                <w:sz w:val="24"/>
              </w:rPr>
              <w:t>（需提供案例系统功能截图）</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32500.00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32500.00 </w:t>
            </w:r>
          </w:p>
        </w:tc>
      </w:tr>
      <w:tr>
        <w:tblPrEx>
          <w:tblCellMar>
            <w:top w:w="0" w:type="dxa"/>
            <w:left w:w="0" w:type="dxa"/>
            <w:bottom w:w="0" w:type="dxa"/>
            <w:right w:w="0" w:type="dxa"/>
          </w:tblCellMar>
        </w:tblPrEx>
        <w:trPr>
          <w:trHeight w:val="72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POI兴趣点搜索</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满足景区景点、旅游线路、厕所、停车场、观光车、商铺、餐饮、售票点、出入口等POI兴趣点快速搜索等技术服务。</w:t>
            </w:r>
            <w:r>
              <w:rPr>
                <w:rFonts w:hint="eastAsia" w:asciiTheme="minorEastAsia" w:hAnsiTheme="minorEastAsia" w:eastAsiaTheme="minorEastAsia" w:cstheme="minorEastAsia"/>
                <w:b/>
                <w:color w:val="000000"/>
                <w:kern w:val="0"/>
                <w:sz w:val="24"/>
              </w:rPr>
              <w:t>（需提供案例系统功能截图）</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20000.00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20000.00 </w:t>
            </w:r>
          </w:p>
        </w:tc>
      </w:tr>
      <w:tr>
        <w:tblPrEx>
          <w:tblCellMar>
            <w:top w:w="0" w:type="dxa"/>
            <w:left w:w="0" w:type="dxa"/>
            <w:bottom w:w="0" w:type="dxa"/>
            <w:right w:w="0" w:type="dxa"/>
          </w:tblCellMar>
        </w:tblPrEx>
        <w:trPr>
          <w:trHeight w:val="401"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景点讲解</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联动3D导览地图，通过真人语音、图片、导航等对景区每一个景点进行详细的讲解及科普教育服务。</w:t>
            </w:r>
            <w:r>
              <w:rPr>
                <w:rFonts w:hint="eastAsia" w:asciiTheme="minorEastAsia" w:hAnsiTheme="minorEastAsia" w:eastAsiaTheme="minorEastAsia" w:cstheme="minorEastAsia"/>
                <w:b/>
                <w:color w:val="000000"/>
                <w:kern w:val="0"/>
                <w:sz w:val="24"/>
              </w:rPr>
              <w:t>（需提供案例系统功能截图）</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16000.00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16000.00 </w:t>
            </w:r>
          </w:p>
        </w:tc>
      </w:tr>
      <w:tr>
        <w:tblPrEx>
          <w:tblCellMar>
            <w:top w:w="0" w:type="dxa"/>
            <w:left w:w="0" w:type="dxa"/>
            <w:bottom w:w="0" w:type="dxa"/>
            <w:right w:w="0" w:type="dxa"/>
          </w:tblCellMar>
        </w:tblPrEx>
        <w:trPr>
          <w:trHeight w:val="72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自动语音播报</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满足基于地理位置的智能导游移步换景自动真人语音播报及地理位置导航、导览功能，满足所有景点的自动语音播报。</w:t>
            </w:r>
            <w:r>
              <w:rPr>
                <w:rFonts w:hint="eastAsia" w:asciiTheme="minorEastAsia" w:hAnsiTheme="minorEastAsia" w:eastAsiaTheme="minorEastAsia" w:cstheme="minorEastAsia"/>
                <w:b/>
                <w:color w:val="000000"/>
                <w:kern w:val="0"/>
                <w:sz w:val="24"/>
              </w:rPr>
              <w:t>（需提供6个“语音自动播放”关闭及开启的案例系统功能截图）</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10000.00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10000.00 </w:t>
            </w:r>
          </w:p>
        </w:tc>
      </w:tr>
      <w:tr>
        <w:tblPrEx>
          <w:tblCellMar>
            <w:top w:w="0" w:type="dxa"/>
            <w:left w:w="0" w:type="dxa"/>
            <w:bottom w:w="0" w:type="dxa"/>
            <w:right w:w="0" w:type="dxa"/>
          </w:tblCellMar>
        </w:tblPrEx>
        <w:trPr>
          <w:trHeight w:val="9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景区内旅游线路</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系统提供默认的官方旅游线路A、B、C、D……，点击任意一条旅游线路，地图自动规划浏览线路，游客也可以选择自己感兴趣的景点，自动形成新的旅游线路浏览。</w:t>
            </w:r>
            <w:r>
              <w:rPr>
                <w:rFonts w:hint="eastAsia" w:asciiTheme="minorEastAsia" w:hAnsiTheme="minorEastAsia" w:eastAsiaTheme="minorEastAsia" w:cstheme="minorEastAsia"/>
                <w:b/>
                <w:color w:val="000000"/>
                <w:kern w:val="0"/>
                <w:sz w:val="24"/>
              </w:rPr>
              <w:t>（提供6个案例系统具有自定义路线功能截图）</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17000.00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17000.00 </w:t>
            </w:r>
          </w:p>
        </w:tc>
      </w:tr>
      <w:tr>
        <w:tblPrEx>
          <w:tblCellMar>
            <w:top w:w="0" w:type="dxa"/>
            <w:left w:w="0" w:type="dxa"/>
            <w:bottom w:w="0" w:type="dxa"/>
            <w:right w:w="0" w:type="dxa"/>
          </w:tblCellMar>
        </w:tblPrEx>
        <w:trPr>
          <w:trHeight w:val="72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清晰度切换</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系统提供3D导览地图切片加载，并提供标清、高清两种模式的任意切换，满足游客在手机信号强、弱的情况下均可以访问地图数据。</w:t>
            </w:r>
            <w:r>
              <w:rPr>
                <w:rFonts w:hint="eastAsia" w:asciiTheme="minorEastAsia" w:hAnsiTheme="minorEastAsia" w:eastAsiaTheme="minorEastAsia" w:cstheme="minorEastAsia"/>
                <w:b/>
                <w:color w:val="000000"/>
                <w:kern w:val="0"/>
                <w:sz w:val="24"/>
              </w:rPr>
              <w:t>（需提供6个案例系统功能截图）</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5500.00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5500.00 </w:t>
            </w:r>
          </w:p>
        </w:tc>
      </w:tr>
      <w:tr>
        <w:tblPrEx>
          <w:tblCellMar>
            <w:top w:w="0" w:type="dxa"/>
            <w:left w:w="0" w:type="dxa"/>
            <w:bottom w:w="0" w:type="dxa"/>
            <w:right w:w="0" w:type="dxa"/>
          </w:tblCellMar>
        </w:tblPrEx>
        <w:trPr>
          <w:trHeight w:val="72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自定义菜单展示</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系统简介部分提供自定义配置菜单功能，可根据景区的需求自动配置视频介绍、景区软文、门票预订链接、酒店预订链接等；</w:t>
            </w:r>
            <w:r>
              <w:rPr>
                <w:rFonts w:hint="eastAsia" w:asciiTheme="minorEastAsia" w:hAnsiTheme="minorEastAsia" w:eastAsiaTheme="minorEastAsia" w:cstheme="minorEastAsia"/>
                <w:b/>
                <w:color w:val="000000"/>
                <w:kern w:val="0"/>
                <w:sz w:val="24"/>
              </w:rPr>
              <w:t>（需提供案例系统功能截图）</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14000.00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14000.00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rPr>
              <w:t>智游板块</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全域手绘图</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POI点分类</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按照景区、酒店、美食、休闲娱乐展示不同的热点分类。</w:t>
            </w:r>
            <w:r>
              <w:rPr>
                <w:rFonts w:hint="eastAsia" w:asciiTheme="minorEastAsia" w:hAnsiTheme="minorEastAsia" w:eastAsiaTheme="minorEastAsia" w:cstheme="minorEastAsia"/>
                <w:b/>
                <w:color w:val="000000"/>
                <w:kern w:val="0"/>
                <w:sz w:val="24"/>
              </w:rPr>
              <w:t>（需提供案例系统功能截图）</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23000.00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23000.00 </w:t>
            </w:r>
          </w:p>
        </w:tc>
      </w:tr>
      <w:tr>
        <w:tblPrEx>
          <w:tblCellMar>
            <w:top w:w="0" w:type="dxa"/>
            <w:left w:w="0" w:type="dxa"/>
            <w:bottom w:w="0" w:type="dxa"/>
            <w:right w:w="0" w:type="dxa"/>
          </w:tblCellMar>
        </w:tblPrEx>
        <w:trPr>
          <w:trHeight w:val="9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POI点导航</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展示每个POI点标注，点击标注可以导航到该地理位置。</w:t>
            </w:r>
            <w:r>
              <w:rPr>
                <w:rFonts w:hint="eastAsia" w:asciiTheme="minorEastAsia" w:hAnsiTheme="minorEastAsia" w:eastAsiaTheme="minorEastAsia" w:cstheme="minorEastAsia"/>
                <w:b/>
                <w:color w:val="000000"/>
                <w:kern w:val="0"/>
                <w:sz w:val="24"/>
              </w:rPr>
              <w:t>（需提供案例系统功能截图）</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25000.00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25000.00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POI明细</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展示每个POI点标注，点击标注可以查看标注点的详细信息。</w:t>
            </w:r>
            <w:r>
              <w:rPr>
                <w:rFonts w:hint="eastAsia" w:asciiTheme="minorEastAsia" w:hAnsiTheme="minorEastAsia" w:eastAsiaTheme="minorEastAsia" w:cstheme="minorEastAsia"/>
                <w:b/>
                <w:color w:val="000000"/>
                <w:kern w:val="0"/>
                <w:sz w:val="24"/>
              </w:rPr>
              <w:t>（需提供案例系统功能截图）</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27500.00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27500.00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交通出行</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查询临桂区的交通情况，方便游客到出行的目的地。</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21000.00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21000.00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找停车场</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附近停车场</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查询游客当前附近的停车场，并且提供导航功能。</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0"/>
                <w:szCs w:val="20"/>
                <w:u w:val="none"/>
                <w:lang w:val="en-US" w:eastAsia="zh-CN" w:bidi="ar"/>
              </w:rPr>
              <w:t xml:space="preserve">23500.00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23500.00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找卫生间</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查询游客当前附近的洗手间，并且提供导航功能。</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0"/>
                <w:szCs w:val="20"/>
                <w:u w:val="none"/>
                <w:lang w:val="en-US" w:eastAsia="zh-CN" w:bidi="ar"/>
              </w:rPr>
              <w:t xml:space="preserve">23500.00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23500.00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天气预报</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查看当前临桂区的天气情况。</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0"/>
                <w:szCs w:val="20"/>
                <w:u w:val="none"/>
                <w:lang w:val="en-US" w:eastAsia="zh-CN" w:bidi="ar"/>
              </w:rPr>
              <w:t xml:space="preserve">9700.00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9700.00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医疗服务</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查看当前临桂区的医疗服务机构。</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0"/>
                <w:szCs w:val="20"/>
                <w:u w:val="none"/>
                <w:lang w:val="en-US" w:eastAsia="zh-CN" w:bidi="ar"/>
              </w:rPr>
              <w:t xml:space="preserve">9700.00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9700.00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rPr>
              <w:t>乐游板块</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电话客服</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获取临桂区的客服电话，方便游客碰到突然事情进行联系。</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0"/>
                <w:szCs w:val="20"/>
                <w:u w:val="none"/>
                <w:lang w:val="en-US" w:eastAsia="zh-CN" w:bidi="ar"/>
              </w:rPr>
              <w:t xml:space="preserve">9700.00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9700.00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有问必答</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回答游客在游玩过程碰到的问题，及时响应游客的需求。</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11000.00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11000.00 </w:t>
            </w:r>
          </w:p>
        </w:tc>
      </w:tr>
      <w:tr>
        <w:tblPrEx>
          <w:tblCellMar>
            <w:top w:w="0" w:type="dxa"/>
            <w:left w:w="0" w:type="dxa"/>
            <w:bottom w:w="0" w:type="dxa"/>
            <w:right w:w="0" w:type="dxa"/>
          </w:tblCellMar>
        </w:tblPrEx>
        <w:trPr>
          <w:trHeight w:val="72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一键救援</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一键救援功能主要是为游客提供正确引导用户进行救援和快速的获取高速救援服务，同时支持一键救援、电话救援。</w:t>
            </w:r>
            <w:r>
              <w:rPr>
                <w:rFonts w:hint="eastAsia" w:asciiTheme="minorEastAsia" w:hAnsiTheme="minorEastAsia" w:eastAsiaTheme="minorEastAsia" w:cstheme="minorEastAsia"/>
                <w:b/>
                <w:color w:val="000000"/>
                <w:kern w:val="0"/>
                <w:sz w:val="24"/>
              </w:rPr>
              <w:t>（需提供案例系统功能截图）</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37000.00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37000.00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rPr>
              <w:t>用户中心</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身份授权</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提供用户登录和注册功能。</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8000.00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8000.00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投诉反馈</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游客上传投诉或者意见信息。</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i w:val="0"/>
                <w:color w:val="000000"/>
                <w:kern w:val="0"/>
                <w:sz w:val="20"/>
                <w:szCs w:val="20"/>
                <w:u w:val="none"/>
                <w:lang w:val="en-US" w:eastAsia="zh-CN" w:bidi="ar"/>
              </w:rPr>
              <w:t xml:space="preserve">7900.00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7900.00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我的收藏</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显示游客收藏的信息。</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i w:val="0"/>
                <w:color w:val="000000"/>
                <w:kern w:val="0"/>
                <w:sz w:val="20"/>
                <w:szCs w:val="20"/>
                <w:u w:val="none"/>
                <w:lang w:val="en-US" w:eastAsia="zh-CN" w:bidi="ar"/>
              </w:rPr>
              <w:t xml:space="preserve">7900.00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7900.00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浏览记录</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显示游客在小程序中浏览的信息。</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i w:val="0"/>
                <w:color w:val="000000"/>
                <w:kern w:val="0"/>
                <w:sz w:val="20"/>
                <w:szCs w:val="20"/>
                <w:u w:val="none"/>
                <w:lang w:val="en-US" w:eastAsia="zh-CN" w:bidi="ar"/>
              </w:rPr>
              <w:t xml:space="preserve">7900.00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7900.00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基本信息</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显示用户的个人基本信息，提供编辑和保存功能。</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i w:val="0"/>
                <w:color w:val="000000"/>
                <w:kern w:val="0"/>
                <w:sz w:val="20"/>
                <w:szCs w:val="20"/>
                <w:u w:val="none"/>
                <w:lang w:val="en-US" w:eastAsia="zh-CN" w:bidi="ar"/>
              </w:rPr>
              <w:t xml:space="preserve">7900.00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7900.00 </w:t>
            </w:r>
          </w:p>
        </w:tc>
      </w:tr>
      <w:tr>
        <w:tblPrEx>
          <w:tblCellMar>
            <w:top w:w="0" w:type="dxa"/>
            <w:left w:w="0" w:type="dxa"/>
            <w:bottom w:w="0" w:type="dxa"/>
            <w:right w:w="0" w:type="dxa"/>
          </w:tblCellMar>
        </w:tblPrEx>
        <w:trPr>
          <w:trHeight w:val="48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rPr>
              <w:t>智游临桂微信小程序后台管理</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rPr>
              <w:t>系统管理</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用户管理</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管理后台的用户账号，提供账号的增删改查和权限分配。</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8000.00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8000.00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菜单管理</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管理后台系统的功能菜单和权限。</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系统登录日志</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记录后台账号的登录日志，方便管理员知道查看账号使用的情况。</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字典管理</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维护系统使用的基础数据。</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系统操作日志</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记录系统中每项操作的情况。</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基本信息设置</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设置小程序的名称和数据调用范围。</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IP防火墙</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设置小程序访问的IP名单。</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6500.00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6500.00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安全设置</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设置小程序访问的安全策略。</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云存储设置</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设置系统数据资源的存储配置。</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微信配置</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设置小程序在微信平台的基础配置。</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rPr>
              <w:t>内容管理</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景区类型</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设置景区分类信息。</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7500.00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7500.00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关于我们</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维护小程序版权信息和小程序功能介绍。</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酒店类型</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维护酒店类型，为酒店详细信息提供基础数据服务。</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酒店主题</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维护酒店主题，为酒店详细信息提供基础数据服务。</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酒店服务</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维护酒店服务，为酒店详细信息提供基础数据服务。</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rPr>
              <w:t>运营管理</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城市名片</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维护城市的图文信息。</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景区介绍</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维护景区的信息，包含景区名称、运营时间、基本介绍、级别、相册、攻略等。</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13500.00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13500.00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酒店介绍</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维护酒店的信息，包含名称、房型、星级、价格、电话、地址等信息。</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7000.00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美食介绍</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维护美食的信息，包含名称、菜单、人均消费、电话、地址等信息。</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7000.00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购物介绍</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维护购物圈信息，包含名称、电话、地址等信息。</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6500.00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6500.00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文化体育</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维护文化体育信息，包含名称、电话、地址等信息。</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6500.00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6500.00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周边娱乐</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维护周边娱乐信息，包含名称、电话、地址等信息。</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7000.00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游玩攻略</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维护临桂区的游玩攻略，提供增删改查功能。</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专题活动</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维护临桂区的专题活动，提供增删改查功能。</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7000.00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美景相册</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维护临桂区的美景相册，提供增删改查功能。</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7000.00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旅游手信</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维护临桂区的手信，提供增删改查功能。</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7000.00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智能导游</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维护景区3D地图、文字、图片、语音、视频等相关数据，设置相关的游玩路线。 </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30000.00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30000.00 </w:t>
            </w:r>
          </w:p>
        </w:tc>
      </w:tr>
      <w:tr>
        <w:tblPrEx>
          <w:tblCellMar>
            <w:top w:w="0" w:type="dxa"/>
            <w:left w:w="0" w:type="dxa"/>
            <w:bottom w:w="0" w:type="dxa"/>
            <w:right w:w="0" w:type="dxa"/>
          </w:tblCellMar>
        </w:tblPrEx>
        <w:trPr>
          <w:trHeight w:val="4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医疗服务</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维护医疗机构信息，包含名称、电话、地址等信息。</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电话客服</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维护临桂区的电话客服，提供增删改查功能。</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6000.00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意见反馈</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维护临桂区的意见反馈，提供增删改查功能。</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7000.00 </w:t>
            </w:r>
          </w:p>
        </w:tc>
      </w:tr>
      <w:tr>
        <w:tblPrEx>
          <w:tblCellMar>
            <w:top w:w="0" w:type="dxa"/>
            <w:left w:w="0" w:type="dxa"/>
            <w:bottom w:w="0" w:type="dxa"/>
            <w:right w:w="0" w:type="dxa"/>
          </w:tblCellMar>
        </w:tblPrEx>
        <w:trPr>
          <w:trHeight w:val="192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rPr>
              <w:t>数据建设</w:t>
            </w:r>
          </w:p>
        </w:tc>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eastAsia="宋体" w:asciiTheme="minorEastAsia" w:hAnsiTheme="minorEastAsia" w:cstheme="minorEastAsia"/>
                <w:b/>
                <w:color w:val="000000"/>
                <w:sz w:val="24"/>
                <w:lang w:eastAsia="zh-CN"/>
              </w:rPr>
            </w:pPr>
            <w:r>
              <w:rPr>
                <w:rFonts w:hint="eastAsia" w:asciiTheme="minorEastAsia" w:hAnsiTheme="minorEastAsia" w:cstheme="minorEastAsia"/>
                <w:b/>
                <w:color w:val="000000"/>
                <w:kern w:val="0"/>
                <w:sz w:val="24"/>
              </w:rPr>
              <w:t>景区三维导览地图制作</w:t>
            </w:r>
            <w:r>
              <w:rPr>
                <w:rFonts w:hint="eastAsia" w:asciiTheme="minorEastAsia" w:hAnsiTheme="minorEastAsia" w:cstheme="minorEastAsia"/>
                <w:b/>
                <w:color w:val="000000"/>
                <w:kern w:val="0"/>
                <w:sz w:val="24"/>
                <w:lang w:eastAsia="zh-CN"/>
              </w:rPr>
              <w:t>（</w:t>
            </w:r>
            <w:r>
              <w:rPr>
                <w:rFonts w:hint="eastAsia" w:ascii="宋体" w:hAnsi="宋体" w:cs="宋体"/>
                <w:color w:val="000000" w:themeColor="text1"/>
                <w:kern w:val="0"/>
                <w:sz w:val="24"/>
              </w:rPr>
              <w:t>5个4Ａ、7个3Ａ</w:t>
            </w:r>
            <w:r>
              <w:rPr>
                <w:rFonts w:hint="eastAsia" w:asciiTheme="minorEastAsia" w:hAnsiTheme="minorEastAsia" w:cstheme="minorEastAsia"/>
                <w:color w:val="000000"/>
                <w:kern w:val="0"/>
                <w:sz w:val="24"/>
              </w:rPr>
              <w:t>景区</w:t>
            </w:r>
            <w:r>
              <w:rPr>
                <w:rFonts w:hint="eastAsia" w:asciiTheme="minorEastAsia" w:hAnsiTheme="minorEastAsia" w:cstheme="minorEastAsia"/>
                <w:b/>
                <w:color w:val="000000"/>
                <w:kern w:val="0"/>
                <w:sz w:val="24"/>
                <w:lang w:eastAsia="zh-CN"/>
              </w:rPr>
              <w:t>）</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1比例3D实景导游图制作；采集临桂区核心景区基础数据，以3dMax建模的方式建设完整3D虚拟导览模型图的制作，能够实现直观明了的表达景区功能分区、道路网、主要景点、标志性建筑、山体地等，并以艺术创作的手法对景区地图进行化；坐标体系采用WGS-84坐标系，可完整叠加到高德地图、百度地图进行分层展示。 制作临桂区4家重点景区三维导览地图。</w:t>
            </w:r>
          </w:p>
          <w:p>
            <w:pPr>
              <w:pStyle w:val="43"/>
              <w:ind w:left="399" w:leftChars="190" w:firstLine="0" w:firstLineChars="0"/>
              <w:rPr>
                <w:rFonts w:hint="eastAsia" w:asciiTheme="minorEastAsia" w:hAnsiTheme="minorEastAsia" w:eastAsiaTheme="minorEastAsia" w:cstheme="minorEastAsia"/>
                <w:b/>
                <w:color w:val="000000"/>
                <w:kern w:val="0"/>
              </w:rPr>
            </w:pPr>
            <w:r>
              <w:rPr>
                <w:rFonts w:hint="eastAsia" w:asciiTheme="minorEastAsia" w:hAnsiTheme="minorEastAsia" w:eastAsiaTheme="minorEastAsia" w:cstheme="minorEastAsia"/>
                <w:b/>
                <w:color w:val="000000"/>
                <w:kern w:val="0"/>
              </w:rPr>
              <w:t>（须提供不低于10张以3dMax建模方式制作的同类型景区/公园的3D(三维)导览样图）</w:t>
            </w:r>
          </w:p>
          <w:p>
            <w:pPr>
              <w:pStyle w:val="43"/>
              <w:ind w:left="399" w:leftChars="190" w:firstLine="0" w:firstLineChars="0"/>
              <w:rPr>
                <w:b/>
              </w:rPr>
            </w:pPr>
            <w:r>
              <w:rPr>
                <w:rFonts w:hint="eastAsia" w:asciiTheme="minorEastAsia" w:hAnsiTheme="minorEastAsia" w:eastAsiaTheme="minorEastAsia" w:cstheme="minorEastAsia"/>
                <w:b/>
                <w:color w:val="000000"/>
                <w:kern w:val="0"/>
              </w:rPr>
              <w:t>（须提供3张临桂区4A景区的3D(三维)导览样图）</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cstheme="minorEastAsia"/>
                <w:color w:val="000000"/>
                <w:kern w:val="0"/>
                <w:sz w:val="24"/>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23500.00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themeColor="text1"/>
                <w:kern w:val="0"/>
                <w:sz w:val="24"/>
              </w:rPr>
            </w:pPr>
            <w:r>
              <w:rPr>
                <w:rFonts w:hint="eastAsia" w:ascii="宋体" w:hAnsi="宋体" w:eastAsia="宋体" w:cs="宋体"/>
                <w:i w:val="0"/>
                <w:color w:val="000000"/>
                <w:kern w:val="0"/>
                <w:sz w:val="20"/>
                <w:szCs w:val="20"/>
                <w:u w:val="none"/>
                <w:lang w:val="en-US" w:eastAsia="zh-CN" w:bidi="ar"/>
              </w:rPr>
              <w:t xml:space="preserve">282000.00 </w:t>
            </w:r>
          </w:p>
        </w:tc>
      </w:tr>
      <w:tr>
        <w:tblPrEx>
          <w:tblCellMar>
            <w:top w:w="0" w:type="dxa"/>
            <w:left w:w="0" w:type="dxa"/>
            <w:bottom w:w="0" w:type="dxa"/>
            <w:right w:w="0" w:type="dxa"/>
          </w:tblCellMar>
        </w:tblPrEx>
        <w:trPr>
          <w:trHeight w:val="9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color w:val="000000"/>
                <w:kern w:val="0"/>
                <w:sz w:val="24"/>
              </w:rPr>
            </w:pPr>
            <w:r>
              <w:rPr>
                <w:rFonts w:hint="eastAsia" w:asciiTheme="minorEastAsia" w:hAnsiTheme="minorEastAsia" w:cstheme="minorEastAsia"/>
                <w:b/>
                <w:color w:val="000000"/>
                <w:kern w:val="0"/>
                <w:sz w:val="24"/>
              </w:rPr>
              <w:t>景区导游词语音录制</w:t>
            </w:r>
          </w:p>
          <w:p>
            <w:pPr>
              <w:widowControl/>
              <w:jc w:val="center"/>
              <w:textAlignment w:val="center"/>
              <w:rPr>
                <w:rFonts w:hint="eastAsia" w:eastAsia="宋体" w:asciiTheme="minorEastAsia" w:hAnsiTheme="minorEastAsia" w:cstheme="minorEastAsia"/>
                <w:b/>
                <w:color w:val="000000"/>
                <w:sz w:val="24"/>
                <w:lang w:eastAsia="zh-CN"/>
              </w:rPr>
            </w:pPr>
            <w:r>
              <w:rPr>
                <w:rFonts w:hint="eastAsia" w:asciiTheme="minorEastAsia" w:hAnsiTheme="minorEastAsia" w:cstheme="minorEastAsia"/>
                <w:b/>
                <w:color w:val="000000"/>
                <w:kern w:val="0"/>
                <w:sz w:val="24"/>
                <w:lang w:eastAsia="zh-CN"/>
              </w:rPr>
              <w:t>（</w:t>
            </w:r>
            <w:r>
              <w:rPr>
                <w:rFonts w:hint="eastAsia" w:ascii="宋体" w:hAnsi="宋体" w:cs="宋体"/>
                <w:color w:val="000000" w:themeColor="text1"/>
                <w:kern w:val="0"/>
                <w:sz w:val="24"/>
              </w:rPr>
              <w:t>5个4Ａ、7个3Ａ</w:t>
            </w:r>
            <w:r>
              <w:rPr>
                <w:rFonts w:hint="eastAsia" w:asciiTheme="minorEastAsia" w:hAnsiTheme="minorEastAsia" w:cstheme="minorEastAsia"/>
                <w:color w:val="000000"/>
                <w:kern w:val="0"/>
                <w:sz w:val="24"/>
              </w:rPr>
              <w:t>景区</w:t>
            </w:r>
            <w:r>
              <w:rPr>
                <w:rFonts w:hint="eastAsia" w:asciiTheme="minorEastAsia" w:hAnsiTheme="minorEastAsia" w:cstheme="minorEastAsia"/>
                <w:b/>
                <w:color w:val="000000"/>
                <w:kern w:val="0"/>
                <w:sz w:val="24"/>
                <w:lang w:eastAsia="zh-CN"/>
              </w:rPr>
              <w:t>）</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1.安排专业电台女主播运用专业设备对景点导游词语音录制；</w:t>
            </w:r>
            <w:r>
              <w:rPr>
                <w:rFonts w:hint="eastAsia" w:asciiTheme="minorEastAsia" w:hAnsiTheme="minorEastAsia" w:cstheme="minorEastAsia"/>
                <w:color w:val="000000"/>
                <w:kern w:val="0"/>
                <w:sz w:val="24"/>
              </w:rPr>
              <w:br w:type="textWrapping"/>
            </w:r>
            <w:r>
              <w:rPr>
                <w:rFonts w:hint="eastAsia" w:asciiTheme="minorEastAsia" w:hAnsiTheme="minorEastAsia" w:cstheme="minorEastAsia"/>
                <w:color w:val="000000"/>
                <w:kern w:val="0"/>
                <w:sz w:val="24"/>
              </w:rPr>
              <w:t>2.录制景区主要景点的导游词真人语音播报（只限中文）；</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cstheme="minorEastAsia"/>
                <w:color w:val="000000"/>
                <w:kern w:val="0"/>
                <w:sz w:val="24"/>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2900.00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themeColor="text1"/>
                <w:kern w:val="0"/>
                <w:sz w:val="24"/>
              </w:rPr>
            </w:pPr>
            <w:r>
              <w:rPr>
                <w:rFonts w:hint="eastAsia" w:ascii="宋体" w:hAnsi="宋体" w:eastAsia="宋体" w:cs="宋体"/>
                <w:i w:val="0"/>
                <w:color w:val="000000"/>
                <w:kern w:val="0"/>
                <w:sz w:val="20"/>
                <w:szCs w:val="20"/>
                <w:u w:val="none"/>
                <w:lang w:val="en-US" w:eastAsia="zh-CN" w:bidi="ar"/>
              </w:rPr>
              <w:t xml:space="preserve">34800.00 </w:t>
            </w:r>
          </w:p>
        </w:tc>
      </w:tr>
      <w:tr>
        <w:tblPrEx>
          <w:tblCellMar>
            <w:top w:w="0" w:type="dxa"/>
            <w:left w:w="0" w:type="dxa"/>
            <w:bottom w:w="0" w:type="dxa"/>
            <w:right w:w="0" w:type="dxa"/>
          </w:tblCellMar>
        </w:tblPrEx>
        <w:trPr>
          <w:trHeight w:val="72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rPr>
              <w:t>基础数据录入</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全域手绘图</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绘制临桂区全区域手绘地图，重点突出本地区主要景点、酒店、主干道等，色彩鲜艳、生动，符合临桂区发展风格。</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29000.00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29000.00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城市名片</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维护城市的图文资料和视频资料。</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7000.00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7000.00 </w:t>
            </w:r>
          </w:p>
        </w:tc>
      </w:tr>
      <w:tr>
        <w:tblPrEx>
          <w:tblCellMar>
            <w:top w:w="0" w:type="dxa"/>
            <w:left w:w="0" w:type="dxa"/>
            <w:bottom w:w="0" w:type="dxa"/>
            <w:right w:w="0" w:type="dxa"/>
          </w:tblCellMar>
        </w:tblPrEx>
        <w:trPr>
          <w:trHeight w:val="2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景区介绍</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按照要求维护景区的基本资料和图文资料。</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19500.00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19500.00 </w:t>
            </w:r>
          </w:p>
        </w:tc>
      </w:tr>
      <w:tr>
        <w:tblPrEx>
          <w:tblCellMar>
            <w:top w:w="0" w:type="dxa"/>
            <w:left w:w="0" w:type="dxa"/>
            <w:bottom w:w="0" w:type="dxa"/>
            <w:right w:w="0" w:type="dxa"/>
          </w:tblCellMar>
        </w:tblPrEx>
        <w:trPr>
          <w:trHeight w:val="144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 w:val="24"/>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
                <w:color w:val="000000"/>
                <w:sz w:val="24"/>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其他板块的数据初始化</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按照临桂区的要求对以下：酒店介绍、美食介绍、购物介绍、文化体育、周边娱乐、游玩攻略、资讯头条、专题活动、精彩视频 、美景相册、旅游手信、智能导游、全域手绘图 、找停车场 、医疗服务、旅游保障、电话客服、有问必答等功能板块进行数据初始化。</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套</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34000.00</w:t>
            </w:r>
          </w:p>
        </w:tc>
        <w:tc>
          <w:tcPr>
            <w:tcW w:w="93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color w:val="000000"/>
                <w:sz w:val="24"/>
              </w:rPr>
            </w:pPr>
            <w:r>
              <w:rPr>
                <w:rFonts w:hint="eastAsia" w:ascii="宋体" w:hAnsi="宋体" w:eastAsia="宋体" w:cs="宋体"/>
                <w:i w:val="0"/>
                <w:color w:val="000000"/>
                <w:kern w:val="0"/>
                <w:sz w:val="20"/>
                <w:szCs w:val="20"/>
                <w:u w:val="none"/>
                <w:lang w:val="en-US" w:eastAsia="zh-CN" w:bidi="ar"/>
              </w:rPr>
              <w:t xml:space="preserve">34000.00 </w:t>
            </w:r>
          </w:p>
        </w:tc>
      </w:tr>
      <w:tr>
        <w:tblPrEx>
          <w:tblCellMar>
            <w:top w:w="0" w:type="dxa"/>
            <w:left w:w="0" w:type="dxa"/>
            <w:bottom w:w="0" w:type="dxa"/>
            <w:right w:w="0" w:type="dxa"/>
          </w:tblCellMar>
        </w:tblPrEx>
        <w:trPr>
          <w:trHeight w:val="48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rPr>
              <w:t>存储服务</w:t>
            </w:r>
          </w:p>
        </w:tc>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color w:val="000000"/>
                <w:sz w:val="24"/>
              </w:rPr>
            </w:pPr>
            <w:r>
              <w:rPr>
                <w:rFonts w:hint="eastAsia" w:asciiTheme="minorEastAsia" w:hAnsiTheme="minorEastAsia" w:cstheme="minorEastAsia"/>
                <w:b/>
                <w:color w:val="000000"/>
                <w:kern w:val="0"/>
                <w:sz w:val="24"/>
              </w:rPr>
              <w:t>云服务器租赁服务</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提供三年系统云服务</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年</w:t>
            </w:r>
          </w:p>
        </w:tc>
        <w:tc>
          <w:tcPr>
            <w:tcW w:w="42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0"/>
                <w:szCs w:val="20"/>
                <w:lang w:val="en-US" w:eastAsia="zh-CN"/>
              </w:rPr>
              <w:t>50000.00</w:t>
            </w:r>
          </w:p>
        </w:tc>
        <w:tc>
          <w:tcPr>
            <w:tcW w:w="938"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Theme="minorEastAsia" w:hAnsiTheme="minorEastAsia" w:cstheme="minorEastAsia"/>
                <w:color w:val="000000"/>
                <w:sz w:val="24"/>
              </w:rPr>
            </w:pPr>
            <w:r>
              <w:rPr>
                <w:rFonts w:hint="eastAsia" w:asciiTheme="minorEastAsia" w:hAnsiTheme="minorEastAsia" w:cstheme="minorEastAsia"/>
                <w:color w:val="000000"/>
                <w:sz w:val="24"/>
              </w:rPr>
              <w:t>三年免费（合计60万）</w:t>
            </w:r>
          </w:p>
        </w:tc>
      </w:tr>
      <w:tr>
        <w:tblPrEx>
          <w:tblCellMar>
            <w:top w:w="0" w:type="dxa"/>
            <w:left w:w="0" w:type="dxa"/>
            <w:bottom w:w="0" w:type="dxa"/>
            <w:right w:w="0" w:type="dxa"/>
          </w:tblCellMar>
        </w:tblPrEx>
        <w:trPr>
          <w:trHeight w:val="651"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24"/>
              </w:rPr>
              <w:t>运维服务</w:t>
            </w:r>
          </w:p>
        </w:tc>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b/>
                <w:color w:val="000000"/>
                <w:sz w:val="24"/>
              </w:rPr>
            </w:pPr>
            <w:r>
              <w:rPr>
                <w:rFonts w:hint="eastAsia" w:asciiTheme="minorEastAsia" w:hAnsiTheme="minorEastAsia" w:cstheme="minorEastAsia"/>
                <w:b/>
                <w:color w:val="000000"/>
                <w:sz w:val="24"/>
              </w:rPr>
              <w:t>运行维护</w:t>
            </w:r>
          </w:p>
        </w:tc>
        <w:tc>
          <w:tcPr>
            <w:tcW w:w="4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提供三年系统运维服务(软件的安全漏洞修补/平台故障维护)，以确保系统正常转运；维护期从项目验收合格之日起算，系统维护不涉及到新增功能。</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kern w:val="0"/>
                <w:sz w:val="24"/>
                <w:lang w:val="en-US" w:eastAsia="zh-CN"/>
              </w:rPr>
              <w:t>年</w:t>
            </w:r>
          </w:p>
        </w:tc>
        <w:tc>
          <w:tcPr>
            <w:tcW w:w="42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150000.00</w:t>
            </w:r>
          </w:p>
        </w:tc>
        <w:tc>
          <w:tcPr>
            <w:tcW w:w="93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651" w:hRule="atLeast"/>
          <w:jc w:val="center"/>
        </w:trPr>
        <w:tc>
          <w:tcPr>
            <w:tcW w:w="9071"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宋体" w:asciiTheme="minorEastAsia" w:hAnsi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小计</w:t>
            </w:r>
          </w:p>
        </w:tc>
        <w:tc>
          <w:tcPr>
            <w:tcW w:w="1230" w:type="dxa"/>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1191000.00</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color w:val="000000"/>
                <w:sz w:val="24"/>
              </w:rPr>
            </w:pPr>
          </w:p>
        </w:tc>
      </w:tr>
    </w:tbl>
    <w:p>
      <w:pPr>
        <w:pStyle w:val="43"/>
        <w:ind w:left="0" w:leftChars="0" w:firstLine="0" w:firstLineChars="0"/>
        <w:jc w:val="left"/>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color w:val="000000"/>
          <w:kern w:val="0"/>
        </w:rPr>
        <w:t>须提供投标人的“全域旅游文旅业态融合导览服务平台软件”及“手机旅行助手软件”软件著作权证书复印件并加盖公章。</w:t>
      </w:r>
    </w:p>
    <w:p>
      <w:pPr>
        <w:pStyle w:val="2"/>
        <w:numPr>
          <w:ilvl w:val="0"/>
          <w:numId w:val="3"/>
        </w:numPr>
        <w:rPr>
          <w:sz w:val="24"/>
          <w:szCs w:val="24"/>
        </w:rPr>
      </w:pPr>
      <w:bookmarkStart w:id="57" w:name="_Toc1297"/>
      <w:r>
        <w:rPr>
          <w:rFonts w:hint="eastAsia"/>
          <w:sz w:val="24"/>
          <w:szCs w:val="24"/>
        </w:rPr>
        <w:t>全域全景图设计</w:t>
      </w:r>
      <w:bookmarkEnd w:id="57"/>
    </w:p>
    <w:tbl>
      <w:tblPr>
        <w:tblStyle w:val="44"/>
        <w:tblW w:w="10626" w:type="dxa"/>
        <w:jc w:val="center"/>
        <w:tblLayout w:type="fixed"/>
        <w:tblCellMar>
          <w:top w:w="0" w:type="dxa"/>
          <w:left w:w="0" w:type="dxa"/>
          <w:bottom w:w="0" w:type="dxa"/>
          <w:right w:w="0" w:type="dxa"/>
        </w:tblCellMar>
      </w:tblPr>
      <w:tblGrid>
        <w:gridCol w:w="1060"/>
        <w:gridCol w:w="5838"/>
        <w:gridCol w:w="735"/>
        <w:gridCol w:w="555"/>
        <w:gridCol w:w="1388"/>
        <w:gridCol w:w="1050"/>
      </w:tblGrid>
      <w:tr>
        <w:tblPrEx>
          <w:tblCellMar>
            <w:top w:w="0" w:type="dxa"/>
            <w:left w:w="0" w:type="dxa"/>
            <w:bottom w:w="0" w:type="dxa"/>
            <w:right w:w="0" w:type="dxa"/>
          </w:tblCellMar>
        </w:tblPrEx>
        <w:trPr>
          <w:trHeight w:val="285"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建设内容</w:t>
            </w:r>
          </w:p>
        </w:tc>
        <w:tc>
          <w:tcPr>
            <w:tcW w:w="5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内容说明</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w:t>
            </w:r>
          </w:p>
        </w:tc>
        <w:tc>
          <w:tcPr>
            <w:tcW w:w="1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单价</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单项总价</w:t>
            </w:r>
          </w:p>
        </w:tc>
      </w:tr>
      <w:tr>
        <w:tblPrEx>
          <w:tblCellMar>
            <w:top w:w="0" w:type="dxa"/>
            <w:left w:w="0" w:type="dxa"/>
            <w:bottom w:w="0" w:type="dxa"/>
            <w:right w:w="0" w:type="dxa"/>
          </w:tblCellMar>
        </w:tblPrEx>
        <w:trPr>
          <w:trHeight w:val="1995"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全域全景图设计</w:t>
            </w:r>
          </w:p>
        </w:tc>
        <w:tc>
          <w:tcPr>
            <w:tcW w:w="5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设计/绘制全域全景旅游导览地图（标识出主要旅游吸引物及旅游公共服务设施的位置，包括旅游集散中心、旅游主题线路、旅游风景道、旅游景点、乡村旅游点、重要城市游憩区（点）、旅游厕所、高速公路出入口、停车场等，并明示咨询、投诉、救援电话等）</w:t>
            </w:r>
          </w:p>
          <w:p>
            <w:pPr>
              <w:pStyle w:val="43"/>
              <w:ind w:left="0" w:leftChars="0" w:firstLine="0" w:firstLineChars="0"/>
              <w:rPr>
                <w:rFonts w:eastAsia="仿宋_GB2312"/>
                <w:b/>
              </w:rPr>
            </w:pPr>
            <w:r>
              <w:rPr>
                <w:rFonts w:hint="eastAsia" w:asciiTheme="minorEastAsia" w:hAnsiTheme="minorEastAsia" w:eastAsiaTheme="minorEastAsia" w:cstheme="minorEastAsia"/>
                <w:b/>
                <w:kern w:val="0"/>
              </w:rPr>
              <w:t>（</w:t>
            </w:r>
            <w:r>
              <w:rPr>
                <w:rFonts w:hint="eastAsia" w:asciiTheme="minorEastAsia" w:hAnsiTheme="minorEastAsia" w:eastAsiaTheme="minorEastAsia" w:cstheme="minorEastAsia"/>
                <w:b/>
                <w:color w:val="000000"/>
                <w:kern w:val="0"/>
              </w:rPr>
              <w:t>需提供符合临桂区发展风格全域全景图设计稿</w:t>
            </w:r>
            <w:r>
              <w:rPr>
                <w:rFonts w:hint="eastAsia" w:asciiTheme="minorEastAsia" w:hAnsiTheme="minorEastAsia" w:eastAsiaTheme="minorEastAsia" w:cstheme="minorEastAsia"/>
                <w:b/>
                <w:kern w:val="0"/>
              </w:rPr>
              <w:t>）</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0"/>
                <w:szCs w:val="20"/>
                <w:lang w:val="en-US" w:eastAsia="zh-CN"/>
              </w:rPr>
              <w:t>30000.00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0"/>
                <w:szCs w:val="20"/>
                <w:lang w:val="en-US" w:eastAsia="zh-CN"/>
              </w:rPr>
              <w:t>30000.00</w:t>
            </w:r>
          </w:p>
        </w:tc>
      </w:tr>
      <w:tr>
        <w:tblPrEx>
          <w:tblCellMar>
            <w:top w:w="0" w:type="dxa"/>
            <w:left w:w="0" w:type="dxa"/>
            <w:bottom w:w="0" w:type="dxa"/>
            <w:right w:w="0" w:type="dxa"/>
          </w:tblCellMar>
        </w:tblPrEx>
        <w:trPr>
          <w:trHeight w:val="147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制作安装</w:t>
            </w:r>
          </w:p>
        </w:tc>
        <w:tc>
          <w:tcPr>
            <w:tcW w:w="5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43"/>
              <w:tabs>
                <w:tab w:val="left" w:pos="1682"/>
              </w:tabs>
              <w:ind w:left="0" w:leftChars="0" w:firstLine="0" w:firstLineChars="0"/>
              <w:rPr>
                <w:rFonts w:hint="eastAsia" w:asciiTheme="minorEastAsia" w:hAnsiTheme="minorEastAsia" w:eastAsiaTheme="minorEastAsia" w:cstheme="minorEastAsia"/>
                <w:b/>
                <w:kern w:val="0"/>
                <w:lang w:eastAsia="zh-CN"/>
              </w:rPr>
            </w:pPr>
            <w:r>
              <w:rPr>
                <w:rFonts w:hint="eastAsia" w:asciiTheme="minorEastAsia" w:hAnsiTheme="minorEastAsia" w:eastAsiaTheme="minorEastAsia" w:cstheme="minorEastAsia"/>
                <w:b w:val="0"/>
                <w:bCs/>
                <w:kern w:val="0"/>
                <w:lang w:eastAsia="zh-CN"/>
              </w:rPr>
              <w:t>客户安排印刷制作和安装</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c>
          <w:tcPr>
            <w:tcW w:w="1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客户负责</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0.00</w:t>
            </w:r>
          </w:p>
        </w:tc>
      </w:tr>
      <w:tr>
        <w:tblPrEx>
          <w:tblCellMar>
            <w:top w:w="0" w:type="dxa"/>
            <w:left w:w="0" w:type="dxa"/>
            <w:bottom w:w="0" w:type="dxa"/>
            <w:right w:w="0" w:type="dxa"/>
          </w:tblCellMar>
        </w:tblPrEx>
        <w:trPr>
          <w:trHeight w:val="810" w:hRule="atLeast"/>
          <w:jc w:val="center"/>
        </w:trPr>
        <w:tc>
          <w:tcPr>
            <w:tcW w:w="9576"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小计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0"/>
                <w:szCs w:val="20"/>
                <w:lang w:val="en-US" w:eastAsia="zh-CN"/>
              </w:rPr>
              <w:t>30000.00</w:t>
            </w:r>
          </w:p>
        </w:tc>
      </w:tr>
    </w:tbl>
    <w:p>
      <w:pPr>
        <w:pStyle w:val="2"/>
        <w:numPr>
          <w:ilvl w:val="0"/>
          <w:numId w:val="3"/>
        </w:numPr>
        <w:rPr>
          <w:sz w:val="24"/>
          <w:szCs w:val="24"/>
        </w:rPr>
      </w:pPr>
      <w:bookmarkStart w:id="58" w:name="_Toc14276"/>
      <w:r>
        <w:rPr>
          <w:rFonts w:hint="eastAsia"/>
          <w:sz w:val="24"/>
          <w:szCs w:val="24"/>
        </w:rPr>
        <w:t>景区导游全景图设计</w:t>
      </w:r>
      <w:bookmarkEnd w:id="58"/>
    </w:p>
    <w:tbl>
      <w:tblPr>
        <w:tblStyle w:val="44"/>
        <w:tblW w:w="10722" w:type="dxa"/>
        <w:jc w:val="center"/>
        <w:tblLayout w:type="fixed"/>
        <w:tblCellMar>
          <w:top w:w="0" w:type="dxa"/>
          <w:left w:w="0" w:type="dxa"/>
          <w:bottom w:w="0" w:type="dxa"/>
          <w:right w:w="0" w:type="dxa"/>
        </w:tblCellMar>
      </w:tblPr>
      <w:tblGrid>
        <w:gridCol w:w="1632"/>
        <w:gridCol w:w="5746"/>
        <w:gridCol w:w="675"/>
        <w:gridCol w:w="705"/>
        <w:gridCol w:w="915"/>
        <w:gridCol w:w="1049"/>
      </w:tblGrid>
      <w:tr>
        <w:tblPrEx>
          <w:tblCellMar>
            <w:top w:w="0" w:type="dxa"/>
            <w:left w:w="0" w:type="dxa"/>
            <w:bottom w:w="0" w:type="dxa"/>
            <w:right w:w="0" w:type="dxa"/>
          </w:tblCellMar>
        </w:tblPrEx>
        <w:trPr>
          <w:trHeight w:val="285" w:hRule="atLeast"/>
          <w:jc w:val="center"/>
        </w:trPr>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建设内容</w:t>
            </w:r>
          </w:p>
        </w:tc>
        <w:tc>
          <w:tcPr>
            <w:tcW w:w="57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内容说明</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单价</w:t>
            </w:r>
          </w:p>
        </w:tc>
        <w:tc>
          <w:tcPr>
            <w:tcW w:w="1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单项总价</w:t>
            </w:r>
          </w:p>
        </w:tc>
      </w:tr>
      <w:tr>
        <w:tblPrEx>
          <w:tblCellMar>
            <w:top w:w="0" w:type="dxa"/>
            <w:left w:w="0" w:type="dxa"/>
            <w:bottom w:w="0" w:type="dxa"/>
            <w:right w:w="0" w:type="dxa"/>
          </w:tblCellMar>
        </w:tblPrEx>
        <w:trPr>
          <w:trHeight w:val="855" w:hRule="atLeast"/>
          <w:jc w:val="center"/>
        </w:trPr>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景区导游全景图设计</w:t>
            </w:r>
          </w:p>
        </w:tc>
        <w:tc>
          <w:tcPr>
            <w:tcW w:w="57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设计/绘制</w:t>
            </w:r>
            <w:r>
              <w:rPr>
                <w:rFonts w:hint="eastAsia" w:ascii="宋体" w:hAnsi="宋体" w:cs="宋体"/>
                <w:color w:val="000000" w:themeColor="text1"/>
                <w:kern w:val="0"/>
                <w:sz w:val="24"/>
              </w:rPr>
              <w:t>12个景区（5个4Ａ、7个3Ａ）</w:t>
            </w:r>
            <w:r>
              <w:rPr>
                <w:rFonts w:hint="eastAsia" w:ascii="宋体" w:hAnsi="宋体" w:cs="宋体"/>
                <w:color w:val="000000"/>
                <w:kern w:val="0"/>
                <w:sz w:val="24"/>
              </w:rPr>
              <w:t>导游全景图（标识出主要景点及旅游服务设施的位置，包括各主要旅游活动的地点、游客中心、停车场、厕所、出入口、医务室等，并明示咨询、投诉、救援电话号码。）</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themeColor="text1"/>
                <w:kern w:val="0"/>
                <w:sz w:val="24"/>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themeColor="text1"/>
                <w:kern w:val="0"/>
                <w:sz w:val="24"/>
                <w:lang w:val="en-US" w:eastAsia="zh-CN"/>
              </w:rPr>
            </w:pPr>
            <w:r>
              <w:rPr>
                <w:rFonts w:hint="eastAsia" w:ascii="宋体" w:hAnsi="宋体" w:cs="宋体"/>
                <w:color w:val="000000" w:themeColor="text1"/>
                <w:kern w:val="0"/>
                <w:sz w:val="20"/>
                <w:szCs w:val="20"/>
                <w:lang w:val="en-US" w:eastAsia="zh-CN"/>
              </w:rPr>
              <w:t>9500.00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themeColor="text1"/>
                <w:kern w:val="0"/>
                <w:sz w:val="24"/>
                <w:lang w:val="en-US" w:eastAsia="zh-CN"/>
              </w:rPr>
            </w:pPr>
            <w:r>
              <w:rPr>
                <w:rFonts w:hint="eastAsia" w:ascii="宋体" w:hAnsi="宋体" w:cs="宋体"/>
                <w:color w:val="000000" w:themeColor="text1"/>
                <w:kern w:val="0"/>
                <w:sz w:val="20"/>
                <w:szCs w:val="20"/>
                <w:lang w:val="en-US" w:eastAsia="zh-CN"/>
              </w:rPr>
              <w:t>114000.00</w:t>
            </w:r>
          </w:p>
        </w:tc>
      </w:tr>
      <w:tr>
        <w:tblPrEx>
          <w:tblCellMar>
            <w:top w:w="0" w:type="dxa"/>
            <w:left w:w="0" w:type="dxa"/>
            <w:bottom w:w="0" w:type="dxa"/>
            <w:right w:w="0" w:type="dxa"/>
          </w:tblCellMar>
        </w:tblPrEx>
        <w:trPr>
          <w:trHeight w:val="855" w:hRule="atLeast"/>
          <w:jc w:val="center"/>
        </w:trPr>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制作安装</w:t>
            </w:r>
          </w:p>
        </w:tc>
        <w:tc>
          <w:tcPr>
            <w:tcW w:w="57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景区安排印刷制作和安装</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color w:val="000000" w:themeColor="text1"/>
                <w:kern w:val="0"/>
                <w:sz w:val="24"/>
                <w:lang w:val="en-US" w:eastAsia="zh-CN"/>
              </w:rPr>
            </w:pPr>
            <w:r>
              <w:rPr>
                <w:rFonts w:hint="eastAsia" w:ascii="宋体" w:hAnsi="宋体" w:cs="宋体"/>
                <w:color w:val="000000" w:themeColor="text1"/>
                <w:kern w:val="0"/>
                <w:sz w:val="24"/>
                <w:lang w:val="en-US" w:eastAsia="zh-CN"/>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color w:val="000000" w:themeColor="text1"/>
                <w:kern w:val="0"/>
                <w:sz w:val="24"/>
                <w:lang w:val="en-US" w:eastAsia="zh-CN"/>
              </w:rPr>
            </w:pPr>
            <w:r>
              <w:rPr>
                <w:rFonts w:hint="eastAsia" w:ascii="宋体" w:hAnsi="宋体" w:cs="宋体"/>
                <w:color w:val="000000" w:themeColor="text1"/>
                <w:kern w:val="0"/>
                <w:sz w:val="24"/>
                <w:lang w:val="en-US" w:eastAsia="zh-CN"/>
              </w:rPr>
              <w:t>景区负责</w:t>
            </w:r>
          </w:p>
        </w:tc>
        <w:tc>
          <w:tcPr>
            <w:tcW w:w="1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color w:val="000000" w:themeColor="text1"/>
                <w:kern w:val="0"/>
                <w:sz w:val="24"/>
                <w:lang w:val="en-US" w:eastAsia="zh-CN"/>
              </w:rPr>
            </w:pPr>
            <w:r>
              <w:rPr>
                <w:rFonts w:hint="eastAsia" w:ascii="宋体" w:hAnsi="宋体" w:cs="宋体"/>
                <w:color w:val="000000" w:themeColor="text1"/>
                <w:kern w:val="0"/>
                <w:sz w:val="24"/>
                <w:lang w:val="en-US" w:eastAsia="zh-CN"/>
              </w:rPr>
              <w:t>0.00</w:t>
            </w:r>
          </w:p>
        </w:tc>
      </w:tr>
      <w:tr>
        <w:tblPrEx>
          <w:tblCellMar>
            <w:top w:w="0" w:type="dxa"/>
            <w:left w:w="0" w:type="dxa"/>
            <w:bottom w:w="0" w:type="dxa"/>
            <w:right w:w="0" w:type="dxa"/>
          </w:tblCellMar>
        </w:tblPrEx>
        <w:trPr>
          <w:trHeight w:val="510" w:hRule="atLeast"/>
          <w:jc w:val="center"/>
        </w:trPr>
        <w:tc>
          <w:tcPr>
            <w:tcW w:w="9673"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color w:val="000000" w:themeColor="text1"/>
                <w:kern w:val="0"/>
                <w:sz w:val="24"/>
                <w:lang w:val="en-US" w:eastAsia="zh-CN"/>
              </w:rPr>
            </w:pPr>
            <w:r>
              <w:rPr>
                <w:rFonts w:hint="eastAsia" w:ascii="宋体" w:hAnsi="宋体" w:cs="宋体"/>
                <w:color w:val="000000" w:themeColor="text1"/>
                <w:kern w:val="0"/>
                <w:sz w:val="24"/>
                <w:lang w:val="en-US" w:eastAsia="zh-CN"/>
              </w:rPr>
              <w:t>小计</w:t>
            </w:r>
          </w:p>
        </w:tc>
        <w:tc>
          <w:tcPr>
            <w:tcW w:w="1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color w:val="000000" w:themeColor="text1"/>
                <w:kern w:val="0"/>
                <w:sz w:val="24"/>
                <w:lang w:val="en-US" w:eastAsia="zh-CN"/>
              </w:rPr>
            </w:pPr>
            <w:r>
              <w:rPr>
                <w:rFonts w:hint="eastAsia" w:ascii="宋体" w:hAnsi="宋体" w:cs="宋体"/>
                <w:color w:val="000000" w:themeColor="text1"/>
                <w:kern w:val="0"/>
                <w:sz w:val="20"/>
                <w:szCs w:val="20"/>
                <w:lang w:val="en-US" w:eastAsia="zh-CN"/>
              </w:rPr>
              <w:t>114000.00</w:t>
            </w:r>
          </w:p>
        </w:tc>
      </w:tr>
    </w:tbl>
    <w:p>
      <w:pPr>
        <w:pStyle w:val="2"/>
        <w:numPr>
          <w:ilvl w:val="0"/>
          <w:numId w:val="3"/>
        </w:numPr>
        <w:rPr>
          <w:sz w:val="24"/>
          <w:szCs w:val="24"/>
        </w:rPr>
      </w:pPr>
      <w:bookmarkStart w:id="59" w:name="_Toc1300"/>
      <w:r>
        <w:rPr>
          <w:rFonts w:hint="eastAsia"/>
          <w:sz w:val="24"/>
          <w:szCs w:val="24"/>
        </w:rPr>
        <w:t>电子触摸屏系统</w:t>
      </w:r>
      <w:bookmarkEnd w:id="59"/>
    </w:p>
    <w:tbl>
      <w:tblPr>
        <w:tblStyle w:val="44"/>
        <w:tblW w:w="10512" w:type="dxa"/>
        <w:jc w:val="center"/>
        <w:tblLayout w:type="fixed"/>
        <w:tblCellMar>
          <w:top w:w="0" w:type="dxa"/>
          <w:left w:w="0" w:type="dxa"/>
          <w:bottom w:w="0" w:type="dxa"/>
          <w:right w:w="0" w:type="dxa"/>
        </w:tblCellMar>
      </w:tblPr>
      <w:tblGrid>
        <w:gridCol w:w="735"/>
        <w:gridCol w:w="945"/>
        <w:gridCol w:w="1050"/>
        <w:gridCol w:w="4515"/>
        <w:gridCol w:w="690"/>
        <w:gridCol w:w="561"/>
        <w:gridCol w:w="951"/>
        <w:gridCol w:w="1065"/>
      </w:tblGrid>
      <w:tr>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分项内容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名称</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能描述及标准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单位</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数量</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000000"/>
                <w:sz w:val="22"/>
                <w:lang w:eastAsia="zh-CN"/>
              </w:rPr>
            </w:pPr>
            <w:r>
              <w:rPr>
                <w:rFonts w:hint="eastAsia" w:ascii="宋体" w:hAnsi="宋体" w:cs="宋体"/>
                <w:b/>
                <w:color w:val="000000"/>
                <w:kern w:val="0"/>
                <w:sz w:val="22"/>
                <w:lang w:val="en-US" w:eastAsia="zh-CN"/>
              </w:rPr>
              <w:t>单价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2"/>
                <w:lang w:val="en-US" w:eastAsia="zh-CN"/>
              </w:rPr>
            </w:pPr>
            <w:r>
              <w:rPr>
                <w:rFonts w:hint="eastAsia" w:ascii="宋体" w:hAnsi="宋体" w:cs="宋体"/>
                <w:b/>
                <w:color w:val="000000"/>
                <w:kern w:val="0"/>
                <w:sz w:val="22"/>
                <w:lang w:val="en-US" w:eastAsia="zh-CN"/>
              </w:rPr>
              <w:t>单项总价</w:t>
            </w:r>
          </w:p>
        </w:tc>
      </w:tr>
      <w:tr>
        <w:tblPrEx>
          <w:tblCellMar>
            <w:top w:w="0" w:type="dxa"/>
            <w:left w:w="0" w:type="dxa"/>
            <w:bottom w:w="0" w:type="dxa"/>
            <w:right w:w="0" w:type="dxa"/>
          </w:tblCellMar>
        </w:tblPrEx>
        <w:trPr>
          <w:trHeight w:val="4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4"/>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4"/>
              </w:rPr>
              <w:t>软件部分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4"/>
              </w:rPr>
              <w:t>触摸屏APP系统</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sz w:val="24"/>
                <w:szCs w:val="28"/>
              </w:rPr>
            </w:pPr>
            <w:r>
              <w:rPr>
                <w:rFonts w:hint="eastAsia"/>
                <w:sz w:val="24"/>
                <w:szCs w:val="28"/>
              </w:rPr>
              <w:t>同步“智游临桂”微信小程序文旅业态融合导览服务平台系统功能；分辨率适配于电子触摸屏设备进行使用；</w:t>
            </w:r>
          </w:p>
          <w:p>
            <w:pPr>
              <w:pStyle w:val="43"/>
              <w:ind w:left="0" w:leftChars="0" w:firstLine="0" w:firstLineChars="0"/>
              <w:rPr>
                <w:b/>
              </w:rPr>
            </w:pPr>
            <w:r>
              <w:rPr>
                <w:rFonts w:hint="eastAsia" w:asciiTheme="minorEastAsia" w:hAnsiTheme="minorEastAsia" w:eastAsiaTheme="minorEastAsia" w:cstheme="minorEastAsia"/>
                <w:b/>
                <w:kern w:val="0"/>
              </w:rPr>
              <w:t>（为确保良好的兼容性，须提供投标人的</w:t>
            </w:r>
            <w:r>
              <w:rPr>
                <w:rFonts w:hint="eastAsia" w:asciiTheme="minorEastAsia" w:hAnsiTheme="minorEastAsia" w:eastAsiaTheme="minorEastAsia" w:cstheme="minorEastAsia"/>
                <w:b/>
                <w:color w:val="000000"/>
                <w:kern w:val="0"/>
              </w:rPr>
              <w:t>“</w:t>
            </w:r>
            <w:r>
              <w:rPr>
                <w:rFonts w:hint="eastAsia" w:asciiTheme="minorEastAsia" w:hAnsiTheme="minorEastAsia" w:eastAsiaTheme="minorEastAsia" w:cstheme="minorEastAsia"/>
                <w:b/>
                <w:kern w:val="0"/>
              </w:rPr>
              <w:t>智慧景区触摸屏查询终端系统</w:t>
            </w:r>
            <w:r>
              <w:rPr>
                <w:rFonts w:hint="eastAsia" w:asciiTheme="minorEastAsia" w:hAnsiTheme="minorEastAsia" w:eastAsiaTheme="minorEastAsia" w:cstheme="minorEastAsia"/>
                <w:b/>
                <w:color w:val="000000"/>
                <w:kern w:val="0"/>
              </w:rPr>
              <w:t>”</w:t>
            </w:r>
            <w:r>
              <w:rPr>
                <w:rFonts w:hint="eastAsia" w:asciiTheme="minorEastAsia" w:hAnsiTheme="minorEastAsia" w:eastAsiaTheme="minorEastAsia" w:cstheme="minorEastAsia"/>
                <w:b/>
                <w:kern w:val="0"/>
              </w:rPr>
              <w:t>软件著作权证书复印件并加盖公章。）</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套</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22"/>
                <w:lang w:val="en-US" w:eastAsia="zh-CN"/>
              </w:rPr>
            </w:pPr>
            <w:r>
              <w:rPr>
                <w:rFonts w:hint="eastAsia" w:ascii="宋体" w:hAnsi="宋体" w:cs="宋体"/>
                <w:color w:val="000000"/>
                <w:sz w:val="20"/>
                <w:szCs w:val="20"/>
                <w:lang w:val="en-US" w:eastAsia="zh-CN"/>
              </w:rPr>
              <w:t>165000.00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22"/>
                <w:lang w:val="en-US" w:eastAsia="zh-CN"/>
              </w:rPr>
            </w:pPr>
            <w:r>
              <w:rPr>
                <w:rFonts w:hint="eastAsia" w:ascii="宋体" w:hAnsi="宋体" w:cs="宋体"/>
                <w:color w:val="000000"/>
                <w:sz w:val="20"/>
                <w:szCs w:val="20"/>
                <w:lang w:val="en-US" w:eastAsia="zh-CN"/>
              </w:rPr>
              <w:t>165000.00</w:t>
            </w:r>
          </w:p>
        </w:tc>
      </w:tr>
      <w:tr>
        <w:tblPrEx>
          <w:tblCellMar>
            <w:top w:w="0" w:type="dxa"/>
            <w:left w:w="0" w:type="dxa"/>
            <w:bottom w:w="0" w:type="dxa"/>
            <w:right w:w="0" w:type="dxa"/>
          </w:tblCellMar>
        </w:tblPrEx>
        <w:trPr>
          <w:trHeight w:val="480" w:hRule="atLeast"/>
          <w:jc w:val="center"/>
        </w:trPr>
        <w:tc>
          <w:tcPr>
            <w:tcW w:w="9447"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小计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165000.00</w:t>
            </w:r>
          </w:p>
        </w:tc>
      </w:tr>
    </w:tbl>
    <w:p>
      <w:pPr>
        <w:pStyle w:val="3"/>
        <w:spacing w:line="360" w:lineRule="auto"/>
        <w:rPr>
          <w:rFonts w:hint="default" w:eastAsia="宋体" w:asciiTheme="minorEastAsia" w:hAnsiTheme="minorEastAsia"/>
          <w:sz w:val="28"/>
          <w:szCs w:val="28"/>
          <w:lang w:val="en-US" w:eastAsia="zh-CN"/>
        </w:rPr>
      </w:pPr>
      <w:r>
        <w:rPr>
          <w:rFonts w:hint="eastAsia" w:asciiTheme="minorEastAsia" w:hAnsiTheme="minorEastAsia"/>
          <w:sz w:val="28"/>
          <w:szCs w:val="28"/>
          <w:lang w:val="en-US" w:eastAsia="zh-CN"/>
        </w:rPr>
        <w:t>项目总费用（含税）合计：人民币人民币壹佰伍拾万元整（1500000.00）。</w:t>
      </w:r>
    </w:p>
    <w:p>
      <w:pPr>
        <w:pStyle w:val="3"/>
        <w:spacing w:line="360" w:lineRule="auto"/>
        <w:rPr>
          <w:rFonts w:asciiTheme="minorEastAsia" w:hAnsiTheme="minorEastAsia"/>
          <w:sz w:val="28"/>
          <w:szCs w:val="28"/>
        </w:rPr>
      </w:pPr>
      <w:r>
        <w:rPr>
          <w:rFonts w:hint="eastAsia" w:asciiTheme="minorEastAsia" w:hAnsiTheme="minorEastAsia"/>
          <w:sz w:val="28"/>
          <w:szCs w:val="28"/>
        </w:rPr>
        <w:t>三、项目</w:t>
      </w:r>
      <w:r>
        <w:rPr>
          <w:rFonts w:asciiTheme="minorEastAsia" w:hAnsiTheme="minorEastAsia"/>
          <w:sz w:val="28"/>
          <w:szCs w:val="28"/>
        </w:rPr>
        <w:t>管理</w:t>
      </w:r>
      <w:r>
        <w:rPr>
          <w:rFonts w:hint="eastAsia" w:asciiTheme="minorEastAsia" w:hAnsiTheme="minorEastAsia"/>
          <w:sz w:val="28"/>
          <w:szCs w:val="28"/>
        </w:rPr>
        <w:t>建设</w:t>
      </w:r>
      <w:r>
        <w:rPr>
          <w:rFonts w:asciiTheme="minorEastAsia" w:hAnsiTheme="minorEastAsia"/>
          <w:sz w:val="28"/>
          <w:szCs w:val="28"/>
        </w:rPr>
        <w:t>要求</w:t>
      </w:r>
      <w:bookmarkEnd w:id="51"/>
      <w:bookmarkEnd w:id="52"/>
    </w:p>
    <w:p>
      <w:pPr>
        <w:ind w:firstLine="420"/>
        <w:rPr>
          <w:rFonts w:asciiTheme="minorEastAsia" w:hAnsiTheme="minorEastAsia"/>
          <w:sz w:val="24"/>
        </w:rPr>
      </w:pPr>
      <w:bookmarkStart w:id="60" w:name="_Toc20000_WPSOffice_Level1"/>
      <w:bookmarkStart w:id="61" w:name="_Toc12192"/>
      <w:r>
        <w:rPr>
          <w:rFonts w:hint="eastAsia" w:asciiTheme="minorEastAsia" w:hAnsiTheme="minorEastAsia"/>
          <w:sz w:val="24"/>
        </w:rPr>
        <w:t>本项目建设周期30天。30天内完成硬件部署和平台建设工作，进入试运行；试运行通过后7天内进行验收；验收通过后，进入维护期。</w:t>
      </w:r>
    </w:p>
    <w:p>
      <w:pPr>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投标人提供建设周期承诺函（格式自拟），承诺30天内完成本项目建设。</w:t>
      </w:r>
    </w:p>
    <w:p>
      <w:pPr>
        <w:ind w:firstLine="420"/>
        <w:rPr>
          <w:rFonts w:asciiTheme="minorEastAsia" w:hAnsiTheme="minorEastAsia"/>
          <w:sz w:val="24"/>
        </w:rPr>
      </w:pPr>
      <w:r>
        <w:rPr>
          <w:rFonts w:hint="eastAsia" w:asciiTheme="minorEastAsia" w:hAnsiTheme="minorEastAsia"/>
          <w:sz w:val="24"/>
        </w:rPr>
        <w:t>投标人应根据项目建设内容制定详细的项目建设计划和实施方案，明确各项工作任务的执行策略、进度安排和初步设想。</w:t>
      </w:r>
    </w:p>
    <w:p>
      <w:pPr>
        <w:ind w:firstLine="420"/>
        <w:rPr>
          <w:rFonts w:asciiTheme="minorEastAsia" w:hAnsiTheme="minorEastAsia"/>
          <w:sz w:val="24"/>
        </w:rPr>
      </w:pPr>
      <w:r>
        <w:rPr>
          <w:rFonts w:hint="eastAsia" w:asciiTheme="minorEastAsia" w:hAnsiTheme="minorEastAsia"/>
          <w:sz w:val="24"/>
        </w:rPr>
        <w:t>投标人必须成立合理的组织机构，建立健全保障项目顺利实施的各项管理制度和质量保证体系，按照招标要求安排好项目管理团队参加本项目的建设。</w:t>
      </w:r>
    </w:p>
    <w:p>
      <w:pPr>
        <w:pStyle w:val="3"/>
        <w:numPr>
          <w:ilvl w:val="0"/>
          <w:numId w:val="5"/>
        </w:numPr>
        <w:spacing w:line="360" w:lineRule="auto"/>
        <w:rPr>
          <w:rFonts w:asciiTheme="minorEastAsia" w:hAnsiTheme="minorEastAsia"/>
          <w:sz w:val="28"/>
          <w:szCs w:val="28"/>
        </w:rPr>
      </w:pPr>
      <w:r>
        <w:rPr>
          <w:rFonts w:hint="eastAsia" w:asciiTheme="minorEastAsia" w:hAnsiTheme="minorEastAsia"/>
          <w:sz w:val="28"/>
          <w:szCs w:val="28"/>
        </w:rPr>
        <w:t>培训</w:t>
      </w:r>
      <w:r>
        <w:rPr>
          <w:rFonts w:asciiTheme="minorEastAsia" w:hAnsiTheme="minorEastAsia"/>
          <w:sz w:val="28"/>
          <w:szCs w:val="28"/>
        </w:rPr>
        <w:t>要求</w:t>
      </w:r>
      <w:bookmarkEnd w:id="60"/>
      <w:bookmarkEnd w:id="61"/>
    </w:p>
    <w:p>
      <w:pPr>
        <w:shd w:val="clear" w:color="auto" w:fill="FFFFFF"/>
        <w:ind w:firstLine="420"/>
        <w:rPr>
          <w:rFonts w:asciiTheme="minorEastAsia" w:hAnsiTheme="minorEastAsia"/>
          <w:sz w:val="24"/>
        </w:rPr>
      </w:pPr>
      <w:bookmarkStart w:id="62" w:name="_Toc5480"/>
      <w:bookmarkStart w:id="63" w:name="_Toc23081_WPSOffice_Level1"/>
      <w:r>
        <w:rPr>
          <w:rFonts w:hint="eastAsia" w:asciiTheme="minorEastAsia" w:hAnsiTheme="minorEastAsia"/>
          <w:sz w:val="24"/>
        </w:rPr>
        <w:t>包括系统安装和配置、系统架构、设计、开发、数据建模、运行管理和维护、故障处理等内容，业务培训包括系统的操作方法、技巧、业务流程说明等。</w:t>
      </w:r>
    </w:p>
    <w:p>
      <w:pPr>
        <w:shd w:val="clear" w:color="auto" w:fill="FFFFFF"/>
        <w:ind w:firstLine="420"/>
        <w:rPr>
          <w:rFonts w:asciiTheme="minorEastAsia" w:hAnsiTheme="minorEastAsia"/>
          <w:sz w:val="24"/>
        </w:rPr>
      </w:pPr>
      <w:r>
        <w:rPr>
          <w:rFonts w:hint="eastAsia" w:asciiTheme="minorEastAsia" w:hAnsiTheme="minorEastAsia"/>
          <w:sz w:val="24"/>
        </w:rPr>
        <w:t>投标人需要有详细的培训计划（用户培训、推广）、管理员培训等内容。</w:t>
      </w:r>
    </w:p>
    <w:p>
      <w:pPr>
        <w:pStyle w:val="3"/>
        <w:spacing w:line="360" w:lineRule="auto"/>
        <w:rPr>
          <w:rFonts w:asciiTheme="minorEastAsia" w:hAnsiTheme="minorEastAsia"/>
          <w:sz w:val="28"/>
          <w:szCs w:val="28"/>
        </w:rPr>
      </w:pPr>
      <w:r>
        <w:rPr>
          <w:rFonts w:hint="eastAsia" w:asciiTheme="minorEastAsia" w:hAnsiTheme="minorEastAsia"/>
          <w:sz w:val="28"/>
          <w:szCs w:val="28"/>
        </w:rPr>
        <w:t>五、维护</w:t>
      </w:r>
      <w:r>
        <w:rPr>
          <w:rFonts w:asciiTheme="minorEastAsia" w:hAnsiTheme="minorEastAsia"/>
          <w:sz w:val="28"/>
          <w:szCs w:val="28"/>
        </w:rPr>
        <w:t>服务要求</w:t>
      </w:r>
      <w:bookmarkEnd w:id="62"/>
      <w:bookmarkEnd w:id="63"/>
    </w:p>
    <w:p>
      <w:pPr>
        <w:shd w:val="clear" w:color="auto" w:fill="FFFFFF"/>
        <w:ind w:firstLine="420"/>
        <w:rPr>
          <w:rFonts w:asciiTheme="minorEastAsia" w:hAnsiTheme="minorEastAsia"/>
          <w:sz w:val="24"/>
        </w:rPr>
      </w:pPr>
      <w:bookmarkStart w:id="64" w:name="_Toc5160"/>
      <w:bookmarkStart w:id="65" w:name="_Toc15219_WPSOffice_Level1"/>
      <w:r>
        <w:rPr>
          <w:rFonts w:hint="eastAsia" w:asciiTheme="minorEastAsia" w:hAnsiTheme="minorEastAsia"/>
          <w:sz w:val="24"/>
        </w:rPr>
        <w:t>中标人必须在项目完成验收后提供三年的售后服务，服务期自项目验收之日算起。投标人必须提供详细的服务期内售后服务方案和应急服务响应措施，具体要求如下：</w:t>
      </w:r>
    </w:p>
    <w:p>
      <w:pPr>
        <w:shd w:val="clear" w:color="auto" w:fill="FFFFFF"/>
        <w:ind w:firstLine="422" w:firstLineChars="176"/>
        <w:rPr>
          <w:rFonts w:asciiTheme="minorEastAsia" w:hAnsiTheme="minorEastAsia"/>
          <w:sz w:val="24"/>
        </w:rPr>
      </w:pPr>
      <w:r>
        <w:rPr>
          <w:rFonts w:cs="宋体" w:asciiTheme="minorEastAsia" w:hAnsiTheme="minorEastAsia"/>
          <w:b/>
          <w:sz w:val="24"/>
        </w:rPr>
        <w:t>A</w:t>
      </w:r>
      <w:r>
        <w:rPr>
          <w:rFonts w:hint="eastAsia" w:cs="宋体" w:asciiTheme="minorEastAsia" w:hAnsiTheme="minorEastAsia"/>
          <w:b/>
          <w:sz w:val="24"/>
        </w:rPr>
        <w:t>、</w:t>
      </w:r>
      <w:r>
        <w:rPr>
          <w:rFonts w:hint="eastAsia" w:asciiTheme="minorEastAsia" w:hAnsiTheme="minorEastAsia"/>
          <w:b/>
          <w:sz w:val="24"/>
        </w:rPr>
        <w:t>系统周期性巡检</w:t>
      </w:r>
      <w:r>
        <w:rPr>
          <w:rFonts w:hint="eastAsia" w:asciiTheme="minorEastAsia" w:hAnsiTheme="minorEastAsia"/>
          <w:sz w:val="24"/>
        </w:rPr>
        <w:t>：进行必要的监控，以保证系统正常稳定的运行，定期发布系统运行监控记录。监控数据的周期性采集运行情况，数据源包括市局统计信息库的采集，网络数据爬虫，外购数据采集等，监控数据采集程序运行状况，检测数据采集质量，历史数据归档，发现异常及时解决。监控数据库运行状况和性能指标，收集运行异常信息并及时解决。监控大数据应用中心各种应用的运行状况，收集运行异常信息并及时解决。监控视频平台中心各种应用的运行状况，收集运行异常信息并及时解决。驻场人员及时检查和处理平台及应用的各种报警、报错信息。定期向局方提供日常运维周报和日常运维问题报告。</w:t>
      </w:r>
    </w:p>
    <w:p>
      <w:pPr>
        <w:shd w:val="clear" w:color="auto" w:fill="FFFFFF"/>
        <w:ind w:firstLine="422" w:firstLineChars="176"/>
        <w:rPr>
          <w:rFonts w:asciiTheme="minorEastAsia" w:hAnsiTheme="minorEastAsia"/>
          <w:sz w:val="24"/>
        </w:rPr>
      </w:pPr>
      <w:r>
        <w:rPr>
          <w:rFonts w:hint="eastAsia" w:cs="宋体" w:asciiTheme="minorEastAsia" w:hAnsiTheme="minorEastAsia"/>
          <w:b/>
          <w:sz w:val="24"/>
        </w:rPr>
        <w:t>B、</w:t>
      </w:r>
      <w:r>
        <w:rPr>
          <w:rFonts w:hint="eastAsia" w:asciiTheme="minorEastAsia" w:hAnsiTheme="minorEastAsia"/>
          <w:b/>
          <w:sz w:val="24"/>
        </w:rPr>
        <w:t>系统备份：</w:t>
      </w:r>
      <w:r>
        <w:rPr>
          <w:rFonts w:hint="eastAsia" w:asciiTheme="minorEastAsia" w:hAnsiTheme="minorEastAsia"/>
          <w:sz w:val="24"/>
        </w:rPr>
        <w:t>定期对系统进行全面的数据备份，确保备份数据的完整性和一致性。</w:t>
      </w:r>
    </w:p>
    <w:p>
      <w:pPr>
        <w:shd w:val="clear" w:color="auto" w:fill="FFFFFF"/>
        <w:ind w:firstLine="422" w:firstLineChars="176"/>
        <w:rPr>
          <w:rFonts w:asciiTheme="minorEastAsia" w:hAnsiTheme="minorEastAsia"/>
          <w:sz w:val="24"/>
        </w:rPr>
      </w:pPr>
      <w:r>
        <w:rPr>
          <w:rFonts w:hint="eastAsia" w:asciiTheme="minorEastAsia" w:hAnsiTheme="minorEastAsia"/>
          <w:b/>
          <w:sz w:val="24"/>
        </w:rPr>
        <w:t>C、系统技术支持：</w:t>
      </w:r>
      <w:r>
        <w:rPr>
          <w:rFonts w:hint="eastAsia" w:asciiTheme="minorEastAsia" w:hAnsiTheme="minorEastAsia"/>
          <w:sz w:val="24"/>
        </w:rPr>
        <w:t>解答用户在系统使用中的各类问题，针对局方提出的技术问题，进行解答并提供相关的技术方案。</w:t>
      </w:r>
    </w:p>
    <w:p>
      <w:pPr>
        <w:shd w:val="clear" w:color="auto" w:fill="FFFFFF"/>
        <w:ind w:firstLine="422" w:firstLineChars="176"/>
        <w:rPr>
          <w:rFonts w:asciiTheme="minorEastAsia" w:hAnsiTheme="minorEastAsia"/>
          <w:sz w:val="24"/>
        </w:rPr>
      </w:pPr>
      <w:r>
        <w:rPr>
          <w:rFonts w:hint="eastAsia" w:asciiTheme="minorEastAsia" w:hAnsiTheme="minorEastAsia"/>
          <w:b/>
          <w:sz w:val="24"/>
        </w:rPr>
        <w:t>D、系统故障处理：</w:t>
      </w:r>
      <w:r>
        <w:rPr>
          <w:rFonts w:hint="eastAsia" w:asciiTheme="minorEastAsia" w:hAnsiTheme="minorEastAsia"/>
          <w:sz w:val="24"/>
        </w:rPr>
        <w:t>负责诊断、分析、解决系统故障，对其程序错误及缺陷进行排错。后台技术人员接到用户人员反馈后，0.5小时内给出实质性响应，需要现场维护的，按双方协商时间到达现场，并提供7×24小时的电话技术支持。</w:t>
      </w:r>
    </w:p>
    <w:p>
      <w:pPr>
        <w:shd w:val="clear" w:color="auto" w:fill="FFFFFF"/>
        <w:ind w:firstLine="422" w:firstLineChars="176"/>
        <w:rPr>
          <w:rFonts w:asciiTheme="minorEastAsia" w:hAnsiTheme="minorEastAsia"/>
          <w:sz w:val="24"/>
        </w:rPr>
      </w:pPr>
      <w:r>
        <w:rPr>
          <w:rFonts w:hint="eastAsia" w:asciiTheme="minorEastAsia" w:hAnsiTheme="minorEastAsia"/>
          <w:b/>
          <w:sz w:val="24"/>
        </w:rPr>
        <w:t>E、系统优化：</w:t>
      </w:r>
      <w:r>
        <w:rPr>
          <w:rFonts w:hint="eastAsia" w:asciiTheme="minorEastAsia" w:hAnsiTheme="minorEastAsia"/>
          <w:sz w:val="24"/>
        </w:rPr>
        <w:t>根据系统运行状况对系统软件参数进行调整，以保证系统高效运行。与其他系统接口有变化时，调整系统接口，适应其他系统接口要求。</w:t>
      </w:r>
    </w:p>
    <w:p>
      <w:pPr>
        <w:shd w:val="clear" w:color="auto" w:fill="FFFFFF"/>
        <w:ind w:firstLine="422" w:firstLineChars="176"/>
        <w:rPr>
          <w:rFonts w:asciiTheme="minorEastAsia" w:hAnsiTheme="minorEastAsia"/>
          <w:sz w:val="24"/>
        </w:rPr>
      </w:pPr>
      <w:r>
        <w:rPr>
          <w:rFonts w:hint="eastAsia" w:asciiTheme="minorEastAsia" w:hAnsiTheme="minorEastAsia"/>
          <w:b/>
          <w:sz w:val="24"/>
        </w:rPr>
        <w:t>F</w:t>
      </w:r>
      <w:r>
        <w:rPr>
          <w:rFonts w:hint="eastAsia" w:asciiTheme="minorEastAsia" w:hAnsiTheme="minorEastAsia"/>
          <w:sz w:val="24"/>
        </w:rPr>
        <w:t>、维护服务期间，需要对生产环境进行维护时，必须严格遵守局方的有关管理制度、操作规程。</w:t>
      </w:r>
    </w:p>
    <w:p>
      <w:pPr>
        <w:shd w:val="clear" w:color="auto" w:fill="FFFFFF"/>
        <w:ind w:firstLine="422" w:firstLineChars="176"/>
        <w:rPr>
          <w:rFonts w:asciiTheme="minorEastAsia" w:hAnsiTheme="minorEastAsia"/>
          <w:sz w:val="24"/>
        </w:rPr>
      </w:pPr>
      <w:r>
        <w:rPr>
          <w:rFonts w:hint="eastAsia" w:asciiTheme="minorEastAsia" w:hAnsiTheme="minorEastAsia"/>
          <w:b/>
          <w:sz w:val="24"/>
        </w:rPr>
        <w:t>G</w:t>
      </w:r>
      <w:r>
        <w:rPr>
          <w:rFonts w:hint="eastAsia" w:asciiTheme="minorEastAsia" w:hAnsiTheme="minorEastAsia"/>
          <w:sz w:val="24"/>
        </w:rPr>
        <w:t>、对于不能明确是否是由软件系统引起的故障，中标人应尽力配合其它设备和系统供应商进行检查，并能在上述响应时间内到达现场协助排除故障。</w:t>
      </w:r>
    </w:p>
    <w:p>
      <w:pPr>
        <w:pStyle w:val="3"/>
        <w:spacing w:line="360" w:lineRule="auto"/>
        <w:rPr>
          <w:rFonts w:asciiTheme="minorEastAsia" w:hAnsiTheme="minorEastAsia"/>
          <w:sz w:val="24"/>
          <w:szCs w:val="24"/>
        </w:rPr>
      </w:pPr>
      <w:r>
        <w:rPr>
          <w:rFonts w:hint="eastAsia" w:asciiTheme="minorEastAsia" w:hAnsiTheme="minorEastAsia"/>
          <w:sz w:val="24"/>
          <w:szCs w:val="24"/>
        </w:rPr>
        <w:t>H、应急服务响应措施包括应急基本流程、预防措施和突发事件应急策略。</w:t>
      </w:r>
    </w:p>
    <w:p>
      <w:pPr>
        <w:pStyle w:val="3"/>
        <w:spacing w:line="360" w:lineRule="auto"/>
        <w:rPr>
          <w:rFonts w:asciiTheme="minorEastAsia" w:hAnsiTheme="minorEastAsia"/>
          <w:sz w:val="24"/>
          <w:szCs w:val="24"/>
        </w:rPr>
      </w:pPr>
      <w:r>
        <w:rPr>
          <w:rFonts w:hint="eastAsia" w:asciiTheme="minorEastAsia" w:hAnsiTheme="minorEastAsia"/>
          <w:sz w:val="24"/>
          <w:szCs w:val="24"/>
        </w:rPr>
        <w:t>六、付款</w:t>
      </w:r>
      <w:r>
        <w:rPr>
          <w:rFonts w:asciiTheme="minorEastAsia" w:hAnsiTheme="minorEastAsia"/>
          <w:sz w:val="24"/>
          <w:szCs w:val="24"/>
        </w:rPr>
        <w:t>要求</w:t>
      </w:r>
      <w:bookmarkEnd w:id="64"/>
      <w:bookmarkEnd w:id="65"/>
    </w:p>
    <w:p>
      <w:pPr>
        <w:pStyle w:val="17"/>
        <w:ind w:firstLine="420" w:firstLineChars="200"/>
        <w:rPr>
          <w:rFonts w:ascii="Times New Roman" w:hAnsi="Times New Roman" w:eastAsia="宋体"/>
          <w:b w:val="0"/>
          <w:spacing w:val="0"/>
          <w:sz w:val="21"/>
          <w:szCs w:val="24"/>
        </w:rPr>
      </w:pPr>
      <w:r>
        <w:rPr>
          <w:rFonts w:ascii="Times New Roman" w:hAnsi="Times New Roman" w:eastAsia="宋体"/>
          <w:b w:val="0"/>
          <w:spacing w:val="0"/>
          <w:sz w:val="21"/>
          <w:szCs w:val="24"/>
        </w:rPr>
        <w:t>本项目在采购预算金额内结算，采购人在合同签定后 7 个工作日内向中标人支付合同总价的45%；项目完成建设并验收合格，支付合同总价的50%，三年服务期满后再支付合同总价的5%。具体支付方式与中标人签订合同时确定。如中标人违约或达不到既定要求，将根据合同的有关规定赔偿采购人的损失。</w:t>
      </w:r>
    </w:p>
    <w:p>
      <w:pPr>
        <w:spacing w:line="380" w:lineRule="exact"/>
        <w:rPr>
          <w:rFonts w:ascii="宋体" w:hAnsi="宋体" w:cs="宋体"/>
          <w:b/>
          <w:bCs/>
          <w:kern w:val="0"/>
          <w:szCs w:val="21"/>
        </w:rPr>
      </w:pPr>
    </w:p>
    <w:p>
      <w:pPr>
        <w:spacing w:line="380" w:lineRule="exact"/>
      </w:pPr>
      <w:r>
        <w:rPr>
          <w:rFonts w:hint="eastAsia" w:ascii="宋体" w:hAnsi="宋体" w:cs="宋体"/>
          <w:b/>
          <w:bCs/>
          <w:kern w:val="0"/>
          <w:szCs w:val="21"/>
        </w:rPr>
        <w:t>七、其他要求</w:t>
      </w:r>
    </w:p>
    <w:p>
      <w:pPr>
        <w:ind w:firstLine="420" w:firstLineChars="200"/>
      </w:pPr>
      <w:r>
        <w:rPr>
          <w:rFonts w:hint="eastAsia"/>
        </w:rPr>
        <w:t>1.中标人须尊重和服从采购人的领导和管理，很好的配合采购人的工作安排。</w:t>
      </w:r>
    </w:p>
    <w:p>
      <w:pPr>
        <w:ind w:firstLine="420" w:firstLineChars="200"/>
      </w:pPr>
      <w:r>
        <w:rPr>
          <w:rFonts w:hint="eastAsia"/>
        </w:rPr>
        <w:t>2.中标人保证合同项下提供的服务不侵犯任何第三方的专利、商标和版权或其他合法权利。否则，中标人须对第三方承担全部责任并承担因此而发生的所有费用。</w:t>
      </w:r>
    </w:p>
    <w:p>
      <w:pPr>
        <w:spacing w:beforeLines="50" w:afterLines="50" w:line="520" w:lineRule="exact"/>
        <w:jc w:val="center"/>
        <w:rPr>
          <w:rStyle w:val="229"/>
        </w:rPr>
      </w:pPr>
      <w:r>
        <w:br w:type="page"/>
      </w:r>
      <w:bookmarkStart w:id="66" w:name="_Toc31914"/>
      <w:bookmarkStart w:id="67" w:name="_Toc7466"/>
      <w:r>
        <w:rPr>
          <w:rStyle w:val="229"/>
        </w:rPr>
        <w:t>第四章、评审办法</w:t>
      </w:r>
      <w:bookmarkEnd w:id="66"/>
      <w:bookmarkEnd w:id="67"/>
    </w:p>
    <w:p>
      <w:pPr>
        <w:pStyle w:val="23"/>
        <w:spacing w:line="500" w:lineRule="exact"/>
        <w:ind w:firstLine="411" w:firstLineChars="196"/>
        <w:rPr>
          <w:rFonts w:ascii="Times New Roman" w:hAnsi="Times New Roman"/>
          <w:b/>
          <w:bCs/>
        </w:rPr>
      </w:pPr>
      <w:r>
        <w:rPr>
          <w:rFonts w:ascii="Times New Roman" w:hAnsi="Times New Roman"/>
          <w:b/>
          <w:bCs/>
        </w:rPr>
        <w:t>一、评审原则</w:t>
      </w:r>
      <w:r>
        <w:rPr>
          <w:rFonts w:hint="eastAsia" w:ascii="Times New Roman" w:hAnsi="Times New Roman"/>
          <w:b/>
          <w:bCs/>
        </w:rPr>
        <w:t xml:space="preserve"> </w:t>
      </w:r>
    </w:p>
    <w:p>
      <w:pPr>
        <w:pStyle w:val="23"/>
        <w:spacing w:line="500" w:lineRule="exact"/>
        <w:ind w:firstLine="420" w:firstLineChars="200"/>
        <w:rPr>
          <w:rFonts w:ascii="Times New Roman" w:hAnsi="Times New Roman"/>
        </w:rPr>
      </w:pPr>
      <w:r>
        <w:rPr>
          <w:rFonts w:ascii="Times New Roman" w:hAnsi="Times New Roman"/>
        </w:rPr>
        <w:t>1、评审依据：磋商小组以竞争性磋商文件和响应文件为评审依据，对磋商供应商的最后磋商报价</w:t>
      </w:r>
      <w:r>
        <w:rPr>
          <w:rFonts w:hint="eastAsia" w:ascii="Times New Roman" w:hAnsi="Times New Roman"/>
        </w:rPr>
        <w:t>、</w:t>
      </w:r>
      <w:r>
        <w:rPr>
          <w:rFonts w:ascii="Times New Roman" w:hAnsi="Times New Roman"/>
        </w:rPr>
        <w:t>服务技术方案分、服务承诺分、拟投入本项目人员配置</w:t>
      </w:r>
      <w:r>
        <w:rPr>
          <w:rFonts w:hint="eastAsia" w:ascii="Times New Roman" w:hAnsi="Times New Roman"/>
        </w:rPr>
        <w:t>、</w:t>
      </w:r>
      <w:r>
        <w:rPr>
          <w:rFonts w:ascii="Times New Roman" w:hAnsi="Times New Roman"/>
        </w:rPr>
        <w:t>信誉业绩分等方面内容按百分制打分。</w:t>
      </w:r>
    </w:p>
    <w:p>
      <w:pPr>
        <w:pStyle w:val="23"/>
        <w:spacing w:line="500" w:lineRule="exact"/>
        <w:ind w:firstLine="420" w:firstLineChars="200"/>
        <w:rPr>
          <w:rFonts w:ascii="Times New Roman" w:hAnsi="Times New Roman"/>
        </w:rPr>
      </w:pPr>
      <w:r>
        <w:rPr>
          <w:rFonts w:ascii="Times New Roman" w:hAnsi="Times New Roman"/>
        </w:rPr>
        <w:t>2、评审方式：以封闭方式进行评审。</w:t>
      </w:r>
    </w:p>
    <w:p>
      <w:pPr>
        <w:pStyle w:val="23"/>
        <w:spacing w:line="500" w:lineRule="exact"/>
        <w:ind w:firstLine="420" w:firstLineChars="200"/>
        <w:rPr>
          <w:rFonts w:ascii="Times New Roman" w:hAnsi="Times New Roman"/>
        </w:rPr>
      </w:pPr>
      <w:r>
        <w:rPr>
          <w:rFonts w:ascii="Times New Roman" w:hAnsi="Times New Roman"/>
          <w:szCs w:val="21"/>
        </w:rPr>
        <w:t>3、</w:t>
      </w:r>
      <w:r>
        <w:rPr>
          <w:rFonts w:ascii="Times New Roman" w:hAnsi="Times New Roman"/>
        </w:rPr>
        <w:t>根据财库〔2012〕69号文规定，采购人和采购代理机构、磋商小组成员要严格遵守政府采购相关法律制度，依法履行各自职责，公正、客观、审慎地组织和参与评审工作。</w:t>
      </w:r>
    </w:p>
    <w:p>
      <w:pPr>
        <w:pStyle w:val="23"/>
        <w:spacing w:line="500" w:lineRule="exact"/>
        <w:ind w:firstLine="420" w:firstLineChars="200"/>
        <w:rPr>
          <w:rFonts w:ascii="Times New Roman" w:hAnsi="Times New Roman"/>
          <w:b/>
          <w:bCs/>
        </w:rPr>
      </w:pPr>
      <w:r>
        <w:rPr>
          <w:rFonts w:ascii="Times New Roman" w:hAnsi="Times New Roman"/>
          <w:b/>
          <w:bCs/>
        </w:rPr>
        <w:t>二、评审办法</w:t>
      </w:r>
    </w:p>
    <w:p>
      <w:pPr>
        <w:pStyle w:val="23"/>
        <w:spacing w:line="500" w:lineRule="exact"/>
        <w:ind w:firstLine="420" w:firstLineChars="200"/>
        <w:rPr>
          <w:rFonts w:ascii="Times New Roman" w:hAnsi="Times New Roman"/>
          <w:bCs/>
        </w:rPr>
      </w:pPr>
      <w:r>
        <w:rPr>
          <w:rFonts w:ascii="Times New Roman" w:hAnsi="Times New Roman"/>
          <w:bCs/>
        </w:rPr>
        <w:t>㈠ 对进入详评的，采用综合评分法。</w:t>
      </w:r>
    </w:p>
    <w:p>
      <w:pPr>
        <w:pStyle w:val="23"/>
        <w:spacing w:line="500" w:lineRule="exact"/>
        <w:ind w:firstLine="420" w:firstLineChars="200"/>
        <w:rPr>
          <w:rFonts w:ascii="Times New Roman" w:hAnsi="Times New Roman"/>
          <w:bCs/>
        </w:rPr>
      </w:pPr>
      <w:r>
        <w:rPr>
          <w:rFonts w:ascii="Times New Roman" w:hAnsi="Times New Roman"/>
          <w:bCs/>
        </w:rPr>
        <w:t>㈡ 计分办法（按四舍五入取至小数点后二位）</w:t>
      </w:r>
    </w:p>
    <w:p>
      <w:pPr>
        <w:spacing w:line="360" w:lineRule="auto"/>
        <w:jc w:val="left"/>
        <w:rPr>
          <w:rFonts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w:t>
      </w:r>
      <w:r>
        <w:rPr>
          <w:rFonts w:asciiTheme="minorEastAsia" w:hAnsiTheme="minorEastAsia" w:eastAsiaTheme="minorEastAsia"/>
          <w:b/>
          <w:szCs w:val="21"/>
        </w:rPr>
        <w:t>价格分………………………………………………………………………………………………30分</w:t>
      </w:r>
    </w:p>
    <w:p>
      <w:pPr>
        <w:pStyle w:val="23"/>
        <w:spacing w:line="400" w:lineRule="exact"/>
        <w:ind w:firstLine="420"/>
        <w:rPr>
          <w:rFonts w:ascii="Times New Roman" w:hAnsi="Times New Roman"/>
          <w:szCs w:val="21"/>
        </w:rPr>
      </w:pPr>
      <w:r>
        <w:rPr>
          <w:rFonts w:ascii="Times New Roman" w:hAnsi="Times New Roman"/>
          <w:szCs w:val="21"/>
        </w:rPr>
        <w:t>（1）供应商磋商的最终报价必须低于或等于采购预算价（经磋商小组根据上述要求评审为低于供应商成本价的报价除外），否则报价无效，无效报价不予计分。</w:t>
      </w:r>
    </w:p>
    <w:p>
      <w:pPr>
        <w:pStyle w:val="23"/>
        <w:spacing w:line="400" w:lineRule="exact"/>
        <w:ind w:firstLine="420"/>
        <w:rPr>
          <w:rFonts w:ascii="Times New Roman" w:hAnsi="Times New Roman"/>
          <w:szCs w:val="21"/>
        </w:rPr>
      </w:pPr>
      <w:r>
        <w:rPr>
          <w:rFonts w:ascii="Times New Roman" w:hAnsi="Times New Roman"/>
          <w:szCs w:val="21"/>
        </w:rPr>
        <w:t>①评标价为满足磋商文件要求且最终报价最低的供应商报价（如属政策性扣除的须进行政策性扣除后的价格），评标价只是作为评标时使用。最终成交人的成交金额＝磋商后的最终报价。</w:t>
      </w:r>
    </w:p>
    <w:p>
      <w:pPr>
        <w:pStyle w:val="23"/>
        <w:spacing w:line="400" w:lineRule="exact"/>
        <w:ind w:firstLine="420"/>
        <w:rPr>
          <w:rFonts w:ascii="Times New Roman" w:hAnsi="Times New Roman"/>
          <w:szCs w:val="21"/>
        </w:rPr>
      </w:pPr>
      <w:r>
        <w:rPr>
          <w:rFonts w:ascii="Times New Roman" w:hAnsi="Times New Roman"/>
          <w:szCs w:val="21"/>
        </w:rPr>
        <w:t>②政策性扣除计算方法：</w:t>
      </w:r>
    </w:p>
    <w:p>
      <w:pPr>
        <w:pStyle w:val="23"/>
        <w:spacing w:line="400" w:lineRule="exact"/>
        <w:ind w:firstLine="420"/>
        <w:rPr>
          <w:rFonts w:ascii="Times New Roman" w:hAnsi="Times New Roman"/>
          <w:szCs w:val="21"/>
        </w:rPr>
      </w:pPr>
      <w:r>
        <w:rPr>
          <w:rFonts w:ascii="Times New Roman" w:hAnsi="Times New Roman"/>
          <w:szCs w:val="21"/>
        </w:rPr>
        <w:t>供应商符合小型、微型企业或监狱企业条件的，其最终报价将按相应比例进行扣除，用扣除后的价格参与评审（计算价格分）。</w:t>
      </w:r>
    </w:p>
    <w:p>
      <w:pPr>
        <w:pStyle w:val="23"/>
        <w:spacing w:line="400" w:lineRule="exact"/>
        <w:ind w:firstLine="420"/>
        <w:rPr>
          <w:rFonts w:ascii="Times New Roman" w:hAnsi="Times New Roman"/>
          <w:szCs w:val="21"/>
        </w:rPr>
      </w:pPr>
      <w:r>
        <w:rPr>
          <w:rFonts w:ascii="Times New Roman" w:hAnsi="Times New Roman"/>
          <w:szCs w:val="21"/>
        </w:rPr>
        <w:t>③按照《财政部、司法部关于政府采购支持监狱企业发展有关问题的通知》（财库〔2014〕68号）之规定，监狱企业视同小型、微型企业。</w:t>
      </w:r>
    </w:p>
    <w:p>
      <w:pPr>
        <w:pStyle w:val="23"/>
        <w:spacing w:line="400" w:lineRule="exact"/>
        <w:ind w:firstLine="420"/>
        <w:rPr>
          <w:rFonts w:ascii="Times New Roman" w:hAnsi="Times New Roman"/>
          <w:szCs w:val="21"/>
        </w:rPr>
      </w:pPr>
      <w:r>
        <w:rPr>
          <w:rFonts w:ascii="Times New Roman" w:hAnsi="Times New Roman"/>
          <w:szCs w:val="21"/>
        </w:rPr>
        <w:t>④按照《政府采购促进中小企业发展暂行办法》（财库[2011]181号）之规定，投标产品被认定为小型和微型企业产品（以具有认定职能的部门出具的证明材料为准）的，对小型和微型企业产品的价格给予</w:t>
      </w:r>
      <w:r>
        <w:rPr>
          <w:rFonts w:hint="eastAsia" w:ascii="Times New Roman" w:hAnsi="Times New Roman"/>
          <w:szCs w:val="21"/>
        </w:rPr>
        <w:t>10</w:t>
      </w:r>
      <w:r>
        <w:rPr>
          <w:rFonts w:ascii="Times New Roman" w:hAnsi="Times New Roman"/>
          <w:szCs w:val="21"/>
        </w:rPr>
        <w:t>%的扣除，扣除后的价格为评标报价，即评标报价=投标价×（1-</w:t>
      </w:r>
      <w:r>
        <w:rPr>
          <w:rFonts w:hint="eastAsia" w:ascii="Times New Roman" w:hAnsi="Times New Roman"/>
          <w:szCs w:val="21"/>
        </w:rPr>
        <w:t>10</w:t>
      </w:r>
      <w:r>
        <w:rPr>
          <w:rFonts w:ascii="Times New Roman" w:hAnsi="Times New Roman"/>
          <w:szCs w:val="21"/>
        </w:rPr>
        <w:t>%）；大中型企业和其他自然人、法人或者其他组织与小型、微型企业组成联合体投标，联合协议中约定，小型、微型企业的协议合同金额占到联合体协议合同总金额30%以上的，可给予联合体2%-3%的价格扣除。 附《中小企业声明函》。</w:t>
      </w:r>
    </w:p>
    <w:p>
      <w:pPr>
        <w:pStyle w:val="23"/>
        <w:spacing w:line="400" w:lineRule="exact"/>
        <w:ind w:firstLine="420"/>
        <w:rPr>
          <w:rFonts w:ascii="Times New Roman" w:hAnsi="Times New Roman"/>
          <w:bCs/>
        </w:rPr>
      </w:pPr>
      <w:r>
        <w:rPr>
          <w:rFonts w:ascii="Times New Roman" w:hAnsi="Times New Roman"/>
          <w:szCs w:val="21"/>
        </w:rPr>
        <w:t>⑤满足磋商文件要求，进入综合评分环节的评标价最低供应商的价格分得满分30分。其他供应商的价格分统一按照下列公式计算：</w:t>
      </w:r>
    </w:p>
    <w:p>
      <w:pPr>
        <w:pStyle w:val="23"/>
        <w:spacing w:line="360" w:lineRule="exact"/>
        <w:ind w:firstLine="3150" w:firstLineChars="1500"/>
        <w:rPr>
          <w:rFonts w:ascii="Times New Roman" w:hAnsi="Times New Roman"/>
          <w:bCs/>
        </w:rPr>
      </w:pPr>
      <w:r>
        <w:rPr>
          <w:rFonts w:ascii="Times New Roman" w:hAnsi="Times New Roman"/>
          <w:bCs/>
        </w:rPr>
        <w:t>最低</w:t>
      </w:r>
      <w:r>
        <w:rPr>
          <w:rFonts w:ascii="Times New Roman" w:hAnsi="Times New Roman"/>
        </w:rPr>
        <w:t>磋商供应商评审报价</w:t>
      </w:r>
      <w:r>
        <w:rPr>
          <w:rFonts w:ascii="Times New Roman" w:hAnsi="Times New Roman"/>
          <w:bCs/>
        </w:rPr>
        <w:t xml:space="preserve">         </w:t>
      </w:r>
    </w:p>
    <w:p>
      <w:pPr>
        <w:pStyle w:val="23"/>
        <w:spacing w:line="400" w:lineRule="exact"/>
        <w:ind w:firstLine="420"/>
        <w:rPr>
          <w:rFonts w:ascii="Times New Roman" w:hAnsi="Times New Roman"/>
          <w:bCs/>
        </w:rPr>
      </w:pPr>
      <w:r>
        <w:rPr>
          <w:rFonts w:ascii="Times New Roman" w:hAnsi="Times New Roman"/>
          <w:bCs/>
        </w:rPr>
        <w:pict>
          <v:line id="Line 105" o:spid="_x0000_s1027" o:spt="20" style="position:absolute;left:0pt;margin-left:144pt;margin-top:15.5pt;height:0pt;width:173.1pt;z-index:251663360;mso-width-relative:page;mso-height-relative:page;" coordsize="21600,21600" o:gfxdata="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BEoVNcAAAAJAQAADwAAAAAAAAABACAAAAAiAAAAZHJzL2Rvd25yZXYueG1sUEsBAhQAFAAAAAgA&#10;h07iQDT/Owe0AQAAYQMAAA4AAAAAAAAAAQAgAAAAJgEAAGRycy9lMm9Eb2MueG1sUEsFBgAAAAAG&#10;AAYAWQEAAEwFAAAAAA==&#10;">
            <v:path arrowok="t"/>
            <v:fill focussize="0,0"/>
            <v:stroke/>
            <v:imagedata o:title=""/>
            <o:lock v:ext="edit"/>
          </v:line>
        </w:pict>
      </w:r>
      <w:r>
        <w:rPr>
          <w:rFonts w:ascii="Times New Roman" w:hAnsi="Times New Roman"/>
        </w:rPr>
        <w:t>磋商供应商</w:t>
      </w:r>
      <w:r>
        <w:rPr>
          <w:rFonts w:ascii="Times New Roman" w:hAnsi="Times New Roman"/>
          <w:bCs/>
        </w:rPr>
        <w:t>价格分 =                                  　    ×30分</w:t>
      </w:r>
    </w:p>
    <w:p>
      <w:pPr>
        <w:pStyle w:val="23"/>
        <w:spacing w:line="400" w:lineRule="exact"/>
        <w:ind w:firstLine="420" w:firstLineChars="200"/>
        <w:rPr>
          <w:rFonts w:ascii="Times New Roman" w:hAnsi="Times New Roman"/>
          <w:bCs/>
        </w:rPr>
      </w:pPr>
      <w:r>
        <w:rPr>
          <w:rFonts w:ascii="Times New Roman" w:hAnsi="Times New Roman"/>
          <w:bCs/>
        </w:rPr>
        <w:t xml:space="preserve">                           </w:t>
      </w:r>
      <w:r>
        <w:rPr>
          <w:rFonts w:ascii="Times New Roman" w:hAnsi="Times New Roman"/>
        </w:rPr>
        <w:t>磋商供应商评审报价</w:t>
      </w:r>
      <w:r>
        <w:rPr>
          <w:rFonts w:ascii="Times New Roman" w:hAnsi="Times New Roman"/>
          <w:bCs/>
        </w:rPr>
        <w:t xml:space="preserve">  </w:t>
      </w:r>
    </w:p>
    <w:p>
      <w:pPr>
        <w:spacing w:line="360" w:lineRule="auto"/>
        <w:jc w:val="left"/>
        <w:rPr>
          <w:rFonts w:asciiTheme="minorEastAsia" w:hAnsiTheme="minorEastAsia" w:eastAsiaTheme="minorEastAsia"/>
          <w:b/>
          <w:szCs w:val="21"/>
        </w:rPr>
      </w:pPr>
      <w:r>
        <w:rPr>
          <w:rFonts w:asciiTheme="minorEastAsia" w:hAnsiTheme="minorEastAsia" w:eastAsiaTheme="minorEastAsia"/>
          <w:b/>
          <w:szCs w:val="21"/>
        </w:rPr>
        <w:t>2、技术</w:t>
      </w:r>
      <w:r>
        <w:rPr>
          <w:rFonts w:hint="eastAsia" w:asciiTheme="minorEastAsia" w:hAnsiTheme="minorEastAsia" w:eastAsiaTheme="minorEastAsia"/>
          <w:b/>
          <w:szCs w:val="21"/>
        </w:rPr>
        <w:t>评审分</w:t>
      </w:r>
      <w:r>
        <w:rPr>
          <w:rFonts w:asciiTheme="minorEastAsia" w:hAnsiTheme="minorEastAsia" w:eastAsiaTheme="minorEastAsia"/>
          <w:b/>
          <w:szCs w:val="21"/>
        </w:rPr>
        <w:t>……………………………………………………………………………………4</w:t>
      </w:r>
      <w:r>
        <w:rPr>
          <w:rFonts w:hint="eastAsia" w:asciiTheme="minorEastAsia" w:hAnsiTheme="minorEastAsia" w:eastAsiaTheme="minorEastAsia"/>
          <w:b/>
          <w:szCs w:val="21"/>
        </w:rPr>
        <w:t>0</w:t>
      </w:r>
      <w:r>
        <w:rPr>
          <w:rFonts w:asciiTheme="minorEastAsia" w:hAnsiTheme="minorEastAsia" w:eastAsiaTheme="minorEastAsia"/>
          <w:b/>
          <w:szCs w:val="21"/>
        </w:rPr>
        <w:t>分</w:t>
      </w:r>
    </w:p>
    <w:p>
      <w:pPr>
        <w:pStyle w:val="23"/>
        <w:spacing w:line="500" w:lineRule="exact"/>
        <w:ind w:firstLine="420" w:firstLineChars="200"/>
        <w:rPr>
          <w:rFonts w:ascii="Times New Roman" w:hAnsi="Times New Roman"/>
          <w:szCs w:val="21"/>
        </w:rPr>
      </w:pPr>
      <w:r>
        <w:rPr>
          <w:rFonts w:ascii="Times New Roman" w:hAnsi="Times New Roman"/>
          <w:b/>
          <w:bCs/>
          <w:szCs w:val="21"/>
        </w:rPr>
        <w:t>（1）</w:t>
      </w:r>
      <w:r>
        <w:rPr>
          <w:rFonts w:hint="eastAsia" w:asciiTheme="minorEastAsia" w:hAnsiTheme="minorEastAsia" w:cstheme="minorEastAsia"/>
          <w:b/>
          <w:bCs/>
          <w:sz w:val="24"/>
          <w:szCs w:val="24"/>
        </w:rPr>
        <w:t xml:space="preserve">项目实施服务方案   </w:t>
      </w:r>
      <w:r>
        <w:rPr>
          <w:rFonts w:hint="eastAsia" w:asciiTheme="minorEastAsia" w:hAnsiTheme="minorEastAsia" w:cstheme="minorEastAsia"/>
          <w:sz w:val="24"/>
          <w:szCs w:val="24"/>
        </w:rPr>
        <w:t>对本项目背景、现状、目标、内容和要求的理解情况</w:t>
      </w:r>
      <w:r>
        <w:rPr>
          <w:rFonts w:hAnsi="宋体" w:cs="宋体"/>
          <w:sz w:val="24"/>
          <w:szCs w:val="24"/>
        </w:rPr>
        <w:t>（</w:t>
      </w:r>
      <w:r>
        <w:rPr>
          <w:rFonts w:hAnsi="宋体" w:cs="宋体"/>
          <w:b/>
          <w:bCs/>
          <w:sz w:val="24"/>
          <w:szCs w:val="24"/>
        </w:rPr>
        <w:t>满分3分</w:t>
      </w:r>
      <w:r>
        <w:rPr>
          <w:rFonts w:hAnsi="宋体" w:cs="宋体"/>
          <w:sz w:val="24"/>
          <w:szCs w:val="24"/>
        </w:rPr>
        <w:t>）</w:t>
      </w:r>
    </w:p>
    <w:p>
      <w:pPr>
        <w:snapToGrid w:val="0"/>
        <w:ind w:firstLine="480" w:firstLineChars="200"/>
        <w:jc w:val="left"/>
        <w:rPr>
          <w:rFonts w:asciiTheme="minorEastAsia" w:hAnsiTheme="minorEastAsia" w:cstheme="minorEastAsia"/>
          <w:sz w:val="24"/>
        </w:rPr>
      </w:pPr>
      <w:r>
        <w:rPr>
          <w:rFonts w:hint="eastAsia" w:asciiTheme="minorEastAsia" w:hAnsiTheme="minorEastAsia" w:cstheme="minorEastAsia"/>
          <w:sz w:val="24"/>
        </w:rPr>
        <w:t>综合对比各投标人是否准确、透彻、理解到位，是否能提出切实可行、亮点突出的规划思路和建设方案。</w:t>
      </w:r>
    </w:p>
    <w:p>
      <w:pPr>
        <w:pStyle w:val="23"/>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优：3分，中：1-2分，差：0分。</w:t>
      </w:r>
    </w:p>
    <w:p>
      <w:pPr>
        <w:pStyle w:val="23"/>
        <w:spacing w:line="500" w:lineRule="exact"/>
        <w:ind w:firstLine="420" w:firstLineChars="200"/>
        <w:rPr>
          <w:rFonts w:ascii="Times New Roman" w:hAnsi="Times New Roman"/>
          <w:szCs w:val="21"/>
        </w:rPr>
      </w:pPr>
      <w:r>
        <w:rPr>
          <w:rFonts w:ascii="Times New Roman" w:hAnsi="Times New Roman"/>
          <w:b/>
          <w:bCs/>
          <w:szCs w:val="21"/>
        </w:rPr>
        <w:t>（</w:t>
      </w:r>
      <w:r>
        <w:rPr>
          <w:rFonts w:hint="eastAsia" w:ascii="Times New Roman" w:hAnsi="Times New Roman"/>
          <w:b/>
          <w:bCs/>
          <w:szCs w:val="21"/>
        </w:rPr>
        <w:t>2</w:t>
      </w:r>
      <w:r>
        <w:rPr>
          <w:rFonts w:ascii="Times New Roman" w:hAnsi="Times New Roman"/>
          <w:b/>
          <w:bCs/>
          <w:szCs w:val="21"/>
        </w:rPr>
        <w:t>）</w:t>
      </w:r>
      <w:r>
        <w:rPr>
          <w:rFonts w:hint="eastAsia" w:asciiTheme="minorEastAsia" w:hAnsiTheme="minorEastAsia" w:cstheme="minorEastAsia"/>
          <w:b/>
          <w:bCs/>
          <w:sz w:val="24"/>
          <w:szCs w:val="24"/>
        </w:rPr>
        <w:t>售后服务方案</w:t>
      </w:r>
      <w:r>
        <w:rPr>
          <w:rFonts w:hAnsi="宋体" w:cs="宋体"/>
          <w:sz w:val="24"/>
          <w:szCs w:val="24"/>
        </w:rPr>
        <w:t>（</w:t>
      </w:r>
      <w:r>
        <w:rPr>
          <w:rFonts w:hAnsi="宋体" w:cs="宋体"/>
          <w:b/>
          <w:bCs/>
          <w:sz w:val="24"/>
          <w:szCs w:val="24"/>
        </w:rPr>
        <w:t>满分</w:t>
      </w:r>
      <w:r>
        <w:rPr>
          <w:rFonts w:hint="eastAsia" w:hAnsi="宋体" w:cs="宋体"/>
          <w:b/>
          <w:bCs/>
          <w:sz w:val="24"/>
          <w:szCs w:val="24"/>
        </w:rPr>
        <w:t>2分</w:t>
      </w:r>
      <w:r>
        <w:rPr>
          <w:rFonts w:hAnsi="宋体" w:cs="宋体"/>
          <w:sz w:val="24"/>
          <w:szCs w:val="24"/>
        </w:rPr>
        <w:t>）</w:t>
      </w:r>
    </w:p>
    <w:p>
      <w:pPr>
        <w:pStyle w:val="23"/>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根据采购人的实际情况提供完善的售后服务方案，包括售后服务体系、服务流程、售后服务承诺、售后服务团队。根据投标人提供的售后服务方案的针对性、科学性、合理性、优越性等综合评价。</w:t>
      </w:r>
    </w:p>
    <w:p>
      <w:pPr>
        <w:pStyle w:val="23"/>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评价为优秀:计2分；评价为良好：计1分；评价为一般：计0.5分；未提供计0分。</w:t>
      </w:r>
    </w:p>
    <w:p>
      <w:pPr>
        <w:pStyle w:val="2"/>
        <w:numPr>
          <w:ilvl w:val="0"/>
          <w:numId w:val="6"/>
        </w:numPr>
        <w:ind w:firstLine="210" w:firstLineChars="100"/>
        <w:rPr>
          <w:rFonts w:ascii="Times New Roman" w:hAnsi="Times New Roman" w:eastAsia="宋体"/>
          <w:sz w:val="21"/>
          <w:szCs w:val="21"/>
        </w:rPr>
      </w:pPr>
      <w:r>
        <w:rPr>
          <w:rFonts w:hint="eastAsia" w:ascii="Times New Roman" w:hAnsi="Times New Roman" w:eastAsia="宋体"/>
          <w:sz w:val="21"/>
          <w:szCs w:val="21"/>
        </w:rPr>
        <w:t>技术服务响应程度 （满分35分）</w:t>
      </w:r>
    </w:p>
    <w:p>
      <w:pPr>
        <w:rPr>
          <w:rFonts w:asciiTheme="minorEastAsia" w:hAnsiTheme="minorEastAsia" w:cstheme="minorEastAsia"/>
          <w:color w:val="0000FF"/>
          <w:sz w:val="24"/>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Theme="minorEastAsia" w:hAnsiTheme="minorEastAsia" w:cstheme="minorEastAsia"/>
          <w:color w:val="0000FF"/>
          <w:sz w:val="24"/>
        </w:rPr>
        <w:t>对项目的技术参数响应程度作为评审依据。</w:t>
      </w:r>
    </w:p>
    <w:p>
      <w:pPr>
        <w:ind w:firstLine="480" w:firstLineChars="200"/>
        <w:rPr>
          <w:color w:val="0000FF"/>
        </w:rPr>
      </w:pPr>
      <w:r>
        <w:rPr>
          <w:rFonts w:hint="eastAsia" w:asciiTheme="minorEastAsia" w:hAnsiTheme="minorEastAsia" w:cstheme="minorEastAsia"/>
          <w:color w:val="0000FF"/>
          <w:sz w:val="24"/>
        </w:rPr>
        <w:t>需要提供证明材料的重要技术参数不满足招标文件要求的，每项扣2分；一般技术参数不满足招标文件要求的，每项扣1分；扣完即止。</w:t>
      </w:r>
    </w:p>
    <w:p>
      <w:pPr>
        <w:ind w:left="210" w:leftChars="100"/>
      </w:pPr>
      <w:r>
        <w:rPr>
          <w:rFonts w:hint="eastAsia"/>
        </w:rPr>
        <w:t xml:space="preserve"> </w:t>
      </w:r>
    </w:p>
    <w:p>
      <w:pPr>
        <w:pStyle w:val="13"/>
        <w:spacing w:line="360" w:lineRule="auto"/>
        <w:ind w:firstLine="0"/>
        <w:rPr>
          <w:b/>
          <w:bCs/>
          <w:szCs w:val="21"/>
        </w:rPr>
      </w:pPr>
      <w:bookmarkStart w:id="68" w:name="_Toc27411_WPSOffice_Level2"/>
      <w:r>
        <w:rPr>
          <w:rFonts w:hint="eastAsia" w:cs="仿宋" w:asciiTheme="minorEastAsia" w:hAnsiTheme="minorEastAsia" w:eastAsiaTheme="minorEastAsia"/>
          <w:b/>
          <w:bCs/>
          <w:sz w:val="24"/>
          <w:szCs w:val="24"/>
        </w:rPr>
        <w:t>3.商务评审</w:t>
      </w:r>
      <w:bookmarkEnd w:id="68"/>
      <w:r>
        <w:rPr>
          <w:rFonts w:hint="eastAsia" w:cs="仿宋" w:asciiTheme="minorEastAsia" w:hAnsiTheme="minorEastAsia" w:eastAsiaTheme="minorEastAsia"/>
          <w:b/>
          <w:bCs/>
          <w:sz w:val="24"/>
          <w:szCs w:val="24"/>
        </w:rPr>
        <w:t>分</w:t>
      </w:r>
      <w:r>
        <w:rPr>
          <w:b/>
          <w:bCs/>
          <w:szCs w:val="21"/>
        </w:rPr>
        <w:t>……………………………………………………………………………………………</w:t>
      </w:r>
      <w:r>
        <w:rPr>
          <w:rFonts w:hint="eastAsia"/>
          <w:b/>
          <w:bCs/>
          <w:szCs w:val="21"/>
        </w:rPr>
        <w:t>30</w:t>
      </w:r>
      <w:r>
        <w:rPr>
          <w:b/>
          <w:bCs/>
          <w:szCs w:val="21"/>
        </w:rPr>
        <w:t>分</w:t>
      </w:r>
    </w:p>
    <w:p>
      <w:pPr>
        <w:pStyle w:val="2"/>
        <w:spacing w:line="0" w:lineRule="atLeast"/>
        <w:ind w:firstLine="240" w:firstLineChars="100"/>
        <w:rPr>
          <w:rFonts w:ascii="宋体" w:hAnsi="宋体" w:eastAsia="宋体" w:cs="宋体"/>
          <w:color w:val="000000"/>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企业实力</w:t>
      </w:r>
      <w:r>
        <w:rPr>
          <w:rFonts w:hint="eastAsia" w:ascii="宋体" w:hAnsi="宋体" w:eastAsia="宋体" w:cs="宋体"/>
          <w:b w:val="0"/>
          <w:bCs w:val="0"/>
          <w:color w:val="000000"/>
          <w:sz w:val="24"/>
          <w:szCs w:val="24"/>
        </w:rPr>
        <w:t xml:space="preserve"> </w:t>
      </w:r>
      <w:r>
        <w:rPr>
          <w:rFonts w:hint="eastAsia" w:ascii="宋体" w:hAnsi="宋体" w:eastAsia="宋体" w:cs="宋体"/>
          <w:color w:val="000000"/>
          <w:sz w:val="24"/>
          <w:szCs w:val="24"/>
        </w:rPr>
        <w:t>（满分23分）</w:t>
      </w:r>
    </w:p>
    <w:p>
      <w:pPr>
        <w:widowControl/>
        <w:snapToGrid w:val="0"/>
        <w:spacing w:line="276" w:lineRule="auto"/>
        <w:ind w:firstLine="480" w:firstLineChars="200"/>
        <w:jc w:val="left"/>
        <w:textAlignment w:val="center"/>
        <w:rPr>
          <w:rFonts w:ascii="宋体" w:hAnsi="宋体" w:eastAsiaTheme="minorEastAsia"/>
          <w:color w:val="000000"/>
          <w:sz w:val="24"/>
        </w:rPr>
      </w:pPr>
      <w:r>
        <w:rPr>
          <w:rFonts w:hint="eastAsia" w:hAnsi="宋体"/>
          <w:color w:val="000000"/>
          <w:sz w:val="24"/>
        </w:rPr>
        <w:t>1）</w:t>
      </w:r>
      <w:r>
        <w:rPr>
          <w:rFonts w:hint="eastAsia" w:hAnsi="宋体" w:eastAsia="Times New Roman"/>
          <w:color w:val="000000"/>
          <w:sz w:val="24"/>
        </w:rPr>
        <w:t>投标人具有行政部门或行业协会颁发的智能导游系统高新技术产品证书、软件产品证书、软件产品测试报告、智慧城市大数据十佳技术创新奖、新型智慧城市行业信息化示范产品证书的，每提供一项得</w:t>
      </w:r>
      <w:r>
        <w:rPr>
          <w:rFonts w:hint="eastAsia" w:cs="Calibri"/>
          <w:color w:val="000000"/>
          <w:sz w:val="24"/>
        </w:rPr>
        <w:t>1</w:t>
      </w:r>
      <w:r>
        <w:rPr>
          <w:rFonts w:hint="eastAsia" w:ascii="宋体" w:hAnsi="宋体" w:eastAsia="Times New Roman"/>
          <w:color w:val="000000"/>
          <w:sz w:val="24"/>
        </w:rPr>
        <w:t>分，</w:t>
      </w:r>
      <w:r>
        <w:rPr>
          <w:rFonts w:hint="eastAsia" w:ascii="宋体" w:hAnsi="宋体" w:eastAsia="Times New Roman"/>
          <w:b/>
          <w:bCs/>
          <w:color w:val="000000"/>
          <w:sz w:val="24"/>
        </w:rPr>
        <w:t>本项满分为</w:t>
      </w:r>
      <w:r>
        <w:rPr>
          <w:rFonts w:hint="eastAsia" w:cs="Calibri"/>
          <w:b/>
          <w:bCs/>
          <w:color w:val="000000"/>
          <w:sz w:val="24"/>
        </w:rPr>
        <w:t>5</w:t>
      </w:r>
      <w:r>
        <w:rPr>
          <w:rFonts w:hint="eastAsia" w:ascii="宋体" w:hAnsi="宋体" w:eastAsia="Times New Roman"/>
          <w:b/>
          <w:bCs/>
          <w:color w:val="000000"/>
          <w:sz w:val="24"/>
        </w:rPr>
        <w:t>分</w:t>
      </w:r>
      <w:r>
        <w:rPr>
          <w:rFonts w:hint="eastAsia" w:ascii="宋体" w:hAnsi="宋体" w:eastAsia="Times New Roman"/>
          <w:color w:val="000000"/>
          <w:sz w:val="24"/>
        </w:rPr>
        <w:t>。</w:t>
      </w:r>
    </w:p>
    <w:p>
      <w:pPr>
        <w:widowControl/>
        <w:snapToGrid w:val="0"/>
        <w:spacing w:line="276" w:lineRule="auto"/>
        <w:ind w:firstLine="480" w:firstLineChars="200"/>
        <w:jc w:val="left"/>
        <w:textAlignment w:val="center"/>
        <w:rPr>
          <w:rFonts w:hAnsi="宋体" w:eastAsia="Times New Roman"/>
          <w:color w:val="000000"/>
          <w:sz w:val="24"/>
        </w:rPr>
      </w:pPr>
      <w:r>
        <w:rPr>
          <w:rFonts w:hint="eastAsia" w:hAnsi="宋体"/>
          <w:color w:val="000000"/>
          <w:sz w:val="24"/>
        </w:rPr>
        <w:t>2）</w:t>
      </w:r>
      <w:r>
        <w:rPr>
          <w:rFonts w:hint="eastAsia" w:hAnsi="宋体" w:eastAsia="Times New Roman"/>
          <w:color w:val="000000"/>
          <w:sz w:val="24"/>
        </w:rPr>
        <w:t>投标人具有行政部门或行业协会颁发的全域旅游小程序</w:t>
      </w:r>
      <w:r>
        <w:rPr>
          <w:rFonts w:hint="eastAsia" w:hAnsi="宋体" w:eastAsiaTheme="minorEastAsia"/>
          <w:color w:val="000000"/>
          <w:sz w:val="24"/>
        </w:rPr>
        <w:t>/APP软件</w:t>
      </w:r>
      <w:r>
        <w:rPr>
          <w:rFonts w:hint="eastAsia" w:hAnsi="宋体" w:eastAsia="Times New Roman"/>
          <w:color w:val="000000"/>
          <w:sz w:val="24"/>
        </w:rPr>
        <w:t>高新技术产品证书、软件产品测试报告的，每提供一项得</w:t>
      </w:r>
      <w:r>
        <w:rPr>
          <w:rFonts w:hint="eastAsia" w:cs="Calibri"/>
          <w:color w:val="000000"/>
          <w:sz w:val="24"/>
        </w:rPr>
        <w:t>1.5</w:t>
      </w:r>
      <w:r>
        <w:rPr>
          <w:rFonts w:hint="eastAsia" w:ascii="宋体" w:hAnsi="宋体" w:eastAsia="Times New Roman"/>
          <w:color w:val="000000"/>
          <w:sz w:val="24"/>
        </w:rPr>
        <w:t>分，</w:t>
      </w:r>
      <w:r>
        <w:rPr>
          <w:rFonts w:hint="eastAsia" w:ascii="宋体" w:hAnsi="宋体" w:eastAsia="Times New Roman"/>
          <w:b/>
          <w:bCs/>
          <w:color w:val="000000"/>
          <w:sz w:val="24"/>
        </w:rPr>
        <w:t>本项满分为</w:t>
      </w:r>
      <w:r>
        <w:rPr>
          <w:rFonts w:hint="eastAsia" w:cs="Calibri"/>
          <w:b/>
          <w:bCs/>
          <w:color w:val="000000"/>
          <w:sz w:val="24"/>
        </w:rPr>
        <w:t>3</w:t>
      </w:r>
      <w:r>
        <w:rPr>
          <w:rFonts w:hint="eastAsia" w:ascii="宋体" w:hAnsi="宋体" w:eastAsia="Times New Roman"/>
          <w:b/>
          <w:bCs/>
          <w:color w:val="000000"/>
          <w:sz w:val="24"/>
        </w:rPr>
        <w:t>分</w:t>
      </w:r>
      <w:r>
        <w:rPr>
          <w:rFonts w:hint="eastAsia" w:ascii="宋体" w:hAnsi="宋体" w:eastAsia="Times New Roman"/>
          <w:color w:val="000000"/>
          <w:sz w:val="24"/>
        </w:rPr>
        <w:t>。</w:t>
      </w:r>
    </w:p>
    <w:p>
      <w:pPr>
        <w:widowControl/>
        <w:snapToGrid w:val="0"/>
        <w:spacing w:line="276" w:lineRule="auto"/>
        <w:ind w:firstLine="480" w:firstLineChars="200"/>
        <w:jc w:val="left"/>
        <w:textAlignment w:val="center"/>
        <w:rPr>
          <w:rFonts w:hAnsi="宋体" w:eastAsia="Times New Roman"/>
          <w:color w:val="000000"/>
          <w:sz w:val="24"/>
        </w:rPr>
      </w:pPr>
      <w:r>
        <w:rPr>
          <w:rFonts w:hint="eastAsia" w:hAnsi="宋体"/>
          <w:color w:val="000000"/>
          <w:sz w:val="24"/>
        </w:rPr>
        <w:t>3）</w:t>
      </w:r>
      <w:r>
        <w:rPr>
          <w:rFonts w:hint="eastAsia" w:hAnsi="宋体" w:eastAsia="Times New Roman"/>
          <w:color w:val="000000"/>
          <w:sz w:val="24"/>
        </w:rPr>
        <w:t>投标人具有</w:t>
      </w:r>
      <w:r>
        <w:rPr>
          <w:rFonts w:hAnsi="宋体" w:eastAsia="Times New Roman"/>
          <w:color w:val="000000"/>
          <w:sz w:val="24"/>
        </w:rPr>
        <w:t>ISO</w:t>
      </w:r>
      <w:r>
        <w:rPr>
          <w:rFonts w:hint="eastAsia" w:ascii="宋体" w:hAnsi="宋体" w:cs="宋体"/>
          <w:color w:val="000000"/>
          <w:sz w:val="24"/>
        </w:rPr>
        <w:t>质量管理体系证书</w:t>
      </w:r>
      <w:r>
        <w:rPr>
          <w:rFonts w:hint="eastAsia" w:hAnsi="宋体" w:eastAsia="Times New Roman"/>
          <w:color w:val="000000"/>
          <w:sz w:val="24"/>
        </w:rPr>
        <w:t>的，得1分；具有行政部门或行业协会颁发的科技创新小巨人企业证书的，得1分；具有由政府颁发的高新技术企业证书的，得1分；具有工商行政部门颁发的守合同重信用企业（连续3年）的得</w:t>
      </w:r>
      <w:r>
        <w:rPr>
          <w:rFonts w:hint="eastAsia" w:hAnsi="宋体" w:eastAsiaTheme="minorEastAsia"/>
          <w:color w:val="000000"/>
          <w:sz w:val="24"/>
        </w:rPr>
        <w:t>1</w:t>
      </w:r>
      <w:r>
        <w:rPr>
          <w:rFonts w:hint="eastAsia" w:hAnsi="宋体" w:eastAsia="Times New Roman"/>
          <w:color w:val="000000"/>
          <w:sz w:val="24"/>
        </w:rPr>
        <w:t>分；</w:t>
      </w:r>
      <w:r>
        <w:rPr>
          <w:rFonts w:hint="eastAsia" w:ascii="宋体" w:hAnsi="宋体" w:cs="宋体"/>
          <w:color w:val="000000"/>
          <w:sz w:val="24"/>
        </w:rPr>
        <w:t>具有行政部门或行业协会颁发的</w:t>
      </w:r>
      <w:r>
        <w:rPr>
          <w:rFonts w:hint="eastAsia" w:ascii="宋体" w:hAnsi="宋体" w:cs="宋体"/>
          <w:sz w:val="24"/>
        </w:rPr>
        <w:t>大数据最具成长价值企业证书的</w:t>
      </w:r>
      <w:r>
        <w:rPr>
          <w:rFonts w:hint="eastAsia" w:ascii="宋体" w:hAnsi="宋体" w:cs="宋体"/>
          <w:color w:val="000000"/>
          <w:sz w:val="24"/>
        </w:rPr>
        <w:t>，得</w:t>
      </w:r>
      <w:r>
        <w:rPr>
          <w:rFonts w:hint="eastAsia" w:hAnsi="宋体" w:eastAsia="Times New Roman"/>
          <w:color w:val="000000"/>
          <w:sz w:val="24"/>
        </w:rPr>
        <w:t>1</w:t>
      </w:r>
      <w:r>
        <w:rPr>
          <w:rFonts w:hint="eastAsia" w:ascii="宋体" w:hAnsi="宋体" w:cs="宋体"/>
          <w:color w:val="000000"/>
          <w:sz w:val="24"/>
        </w:rPr>
        <w:t>分。</w:t>
      </w:r>
      <w:r>
        <w:rPr>
          <w:rFonts w:hint="eastAsia" w:hAnsi="宋体" w:eastAsia="Times New Roman"/>
          <w:b/>
          <w:bCs/>
          <w:color w:val="000000"/>
          <w:sz w:val="24"/>
        </w:rPr>
        <w:t>本项满分为</w:t>
      </w:r>
      <w:r>
        <w:rPr>
          <w:rFonts w:hint="eastAsia" w:hAnsi="宋体" w:eastAsiaTheme="minorEastAsia"/>
          <w:b/>
          <w:bCs/>
          <w:color w:val="000000"/>
          <w:sz w:val="24"/>
        </w:rPr>
        <w:t>5</w:t>
      </w:r>
      <w:r>
        <w:rPr>
          <w:rFonts w:hint="eastAsia" w:hAnsi="宋体" w:eastAsia="Times New Roman"/>
          <w:b/>
          <w:bCs/>
          <w:color w:val="000000"/>
          <w:sz w:val="24"/>
        </w:rPr>
        <w:t>分。</w:t>
      </w:r>
    </w:p>
    <w:p>
      <w:pPr>
        <w:widowControl/>
        <w:snapToGrid w:val="0"/>
        <w:spacing w:line="276" w:lineRule="auto"/>
        <w:ind w:firstLine="480" w:firstLineChars="200"/>
        <w:jc w:val="left"/>
        <w:textAlignment w:val="center"/>
        <w:rPr>
          <w:rFonts w:hAnsi="宋体" w:eastAsia="Times New Roman"/>
          <w:color w:val="000000"/>
          <w:sz w:val="24"/>
        </w:rPr>
      </w:pPr>
      <w:r>
        <w:rPr>
          <w:rFonts w:hint="eastAsia" w:hAnsi="宋体"/>
          <w:color w:val="000000"/>
          <w:sz w:val="24"/>
        </w:rPr>
        <w:t>4）</w:t>
      </w:r>
      <w:r>
        <w:rPr>
          <w:rFonts w:hint="eastAsia" w:hAnsi="宋体" w:eastAsia="Times New Roman"/>
          <w:color w:val="000000"/>
          <w:sz w:val="24"/>
        </w:rPr>
        <w:t>投标人</w:t>
      </w:r>
      <w:r>
        <w:rPr>
          <w:rFonts w:hint="eastAsia" w:hAnsi="宋体" w:eastAsia="Times New Roman"/>
          <w:color w:val="0000FF"/>
          <w:sz w:val="24"/>
        </w:rPr>
        <w:t>201</w:t>
      </w:r>
      <w:r>
        <w:rPr>
          <w:rFonts w:hint="eastAsia" w:hAnsi="宋体"/>
          <w:color w:val="0000FF"/>
          <w:sz w:val="24"/>
        </w:rPr>
        <w:t>6</w:t>
      </w:r>
      <w:r>
        <w:rPr>
          <w:rFonts w:hint="eastAsia" w:hAnsi="宋体" w:eastAsia="Times New Roman"/>
          <w:color w:val="0000FF"/>
          <w:sz w:val="24"/>
        </w:rPr>
        <w:t>年</w:t>
      </w:r>
      <w:r>
        <w:rPr>
          <w:rFonts w:hint="eastAsia" w:hAnsi="宋体" w:eastAsia="Times New Roman"/>
          <w:color w:val="000000"/>
          <w:sz w:val="24"/>
        </w:rPr>
        <w:t>以来获得由中华人民共和国国家版权局颁发的计算机软件著作权登记证书（证书中含全域旅游、智慧旅游、景区或智能导游），每提供一个证书得0.5分</w:t>
      </w:r>
      <w:r>
        <w:rPr>
          <w:rFonts w:hint="eastAsia" w:hAnsi="宋体"/>
          <w:color w:val="000000"/>
          <w:sz w:val="24"/>
        </w:rPr>
        <w:t>，</w:t>
      </w:r>
      <w:r>
        <w:rPr>
          <w:rFonts w:hint="eastAsia" w:hAnsi="宋体" w:eastAsia="Times New Roman"/>
          <w:b/>
          <w:bCs/>
          <w:color w:val="000000"/>
          <w:sz w:val="24"/>
        </w:rPr>
        <w:t>本项满分为</w:t>
      </w:r>
      <w:r>
        <w:rPr>
          <w:rFonts w:hint="eastAsia" w:hAnsi="宋体" w:eastAsiaTheme="minorEastAsia"/>
          <w:b/>
          <w:bCs/>
          <w:color w:val="000000"/>
          <w:sz w:val="24"/>
        </w:rPr>
        <w:t>10</w:t>
      </w:r>
      <w:r>
        <w:rPr>
          <w:rFonts w:hint="eastAsia" w:hAnsi="宋体" w:eastAsia="Times New Roman"/>
          <w:b/>
          <w:bCs/>
          <w:color w:val="000000"/>
          <w:sz w:val="24"/>
        </w:rPr>
        <w:t>分</w:t>
      </w:r>
      <w:r>
        <w:rPr>
          <w:rFonts w:hint="eastAsia" w:hAnsi="宋体" w:eastAsia="Times New Roman"/>
          <w:color w:val="000000"/>
          <w:sz w:val="24"/>
        </w:rPr>
        <w:t>。</w:t>
      </w:r>
    </w:p>
    <w:p>
      <w:pPr>
        <w:pStyle w:val="2"/>
        <w:numPr>
          <w:ilvl w:val="0"/>
          <w:numId w:val="7"/>
        </w:numPr>
        <w:rPr>
          <w:rFonts w:ascii="宋体" w:hAnsi="宋体" w:eastAsia="宋体" w:cs="宋体"/>
          <w:color w:val="000000"/>
          <w:sz w:val="24"/>
          <w:szCs w:val="24"/>
        </w:rPr>
      </w:pPr>
      <w:r>
        <w:rPr>
          <w:rFonts w:hint="eastAsia" w:ascii="宋体" w:hAnsi="宋体" w:eastAsia="宋体" w:cs="宋体"/>
          <w:color w:val="000000"/>
          <w:sz w:val="24"/>
          <w:szCs w:val="24"/>
        </w:rPr>
        <w:t>业绩情况 （满分7分）</w:t>
      </w:r>
    </w:p>
    <w:p>
      <w:pPr>
        <w:spacing w:line="273" w:lineRule="auto"/>
        <w:ind w:firstLine="480" w:firstLineChars="200"/>
        <w:rPr>
          <w:rFonts w:hAnsi="宋体" w:eastAsia="Times New Roman"/>
          <w:color w:val="000000"/>
          <w:sz w:val="24"/>
        </w:rPr>
      </w:pPr>
      <w:r>
        <w:rPr>
          <w:rFonts w:hint="eastAsia" w:hAnsi="宋体"/>
          <w:color w:val="000000"/>
          <w:sz w:val="24"/>
        </w:rPr>
        <w:t>具有</w:t>
      </w:r>
      <w:r>
        <w:rPr>
          <w:rFonts w:hint="eastAsia" w:hAnsi="宋体"/>
          <w:color w:val="0000FF"/>
          <w:sz w:val="24"/>
        </w:rPr>
        <w:t>2018年以来</w:t>
      </w:r>
      <w:r>
        <w:rPr>
          <w:rFonts w:hint="eastAsia" w:hAnsi="宋体"/>
          <w:color w:val="000000"/>
          <w:sz w:val="24"/>
        </w:rPr>
        <w:t>同</w:t>
      </w:r>
      <w:r>
        <w:rPr>
          <w:rFonts w:hint="eastAsia" w:hAnsi="宋体" w:eastAsia="Times New Roman"/>
          <w:color w:val="000000"/>
          <w:sz w:val="24"/>
        </w:rPr>
        <w:t>类型</w:t>
      </w:r>
      <w:r>
        <w:rPr>
          <w:rFonts w:hint="eastAsia" w:hAnsi="宋体"/>
          <w:color w:val="000000"/>
          <w:sz w:val="24"/>
        </w:rPr>
        <w:t>旅游局（文旅局）</w:t>
      </w:r>
      <w:r>
        <w:rPr>
          <w:rFonts w:hint="eastAsia" w:hAnsi="宋体"/>
          <w:color w:val="0000FF"/>
          <w:sz w:val="24"/>
        </w:rPr>
        <w:t>一部手机游系统项目或旅游</w:t>
      </w:r>
      <w:r>
        <w:rPr>
          <w:rFonts w:hint="eastAsia" w:hAnsi="宋体" w:eastAsia="Times New Roman"/>
          <w:color w:val="0000FF"/>
          <w:sz w:val="24"/>
        </w:rPr>
        <w:t>景区</w:t>
      </w:r>
      <w:r>
        <w:rPr>
          <w:rFonts w:hint="eastAsia" w:hAnsi="宋体"/>
          <w:color w:val="0000FF"/>
          <w:sz w:val="24"/>
        </w:rPr>
        <w:t>智能导游系统</w:t>
      </w:r>
      <w:r>
        <w:rPr>
          <w:rFonts w:hint="eastAsia" w:hAnsi="宋体" w:eastAsia="Times New Roman"/>
          <w:color w:val="0000FF"/>
          <w:sz w:val="24"/>
        </w:rPr>
        <w:t>项</w:t>
      </w:r>
      <w:r>
        <w:rPr>
          <w:rFonts w:hint="eastAsia" w:hAnsi="宋体" w:eastAsia="Times New Roman"/>
          <w:color w:val="000000"/>
          <w:sz w:val="24"/>
        </w:rPr>
        <w:t>目经验案例</w:t>
      </w:r>
      <w:r>
        <w:rPr>
          <w:rFonts w:hint="eastAsia" w:hAnsi="宋体"/>
          <w:color w:val="000000"/>
          <w:sz w:val="24"/>
        </w:rPr>
        <w:t>（单个合同金额20万或以上）</w:t>
      </w:r>
      <w:r>
        <w:rPr>
          <w:rFonts w:hint="eastAsia" w:hAnsi="宋体" w:eastAsia="Times New Roman"/>
          <w:color w:val="000000"/>
          <w:sz w:val="24"/>
        </w:rPr>
        <w:t>，</w:t>
      </w:r>
      <w:r>
        <w:rPr>
          <w:rFonts w:hint="eastAsia" w:hAnsi="宋体"/>
          <w:color w:val="000000"/>
          <w:sz w:val="24"/>
        </w:rPr>
        <w:t>提供</w:t>
      </w:r>
      <w:r>
        <w:rPr>
          <w:rFonts w:hint="eastAsia" w:eastAsia="Times New Roman" w:cs="Calibri"/>
          <w:color w:val="000000"/>
          <w:sz w:val="24"/>
        </w:rPr>
        <w:t>1</w:t>
      </w:r>
      <w:r>
        <w:rPr>
          <w:rFonts w:hint="eastAsia" w:ascii="宋体" w:hAnsi="宋体" w:eastAsia="Times New Roman"/>
          <w:color w:val="000000"/>
          <w:sz w:val="24"/>
        </w:rPr>
        <w:t>个得</w:t>
      </w:r>
      <w:r>
        <w:rPr>
          <w:rFonts w:hint="eastAsia" w:eastAsia="Times New Roman" w:cs="Calibri"/>
          <w:color w:val="000000"/>
          <w:sz w:val="24"/>
        </w:rPr>
        <w:t>1</w:t>
      </w:r>
      <w:r>
        <w:rPr>
          <w:rFonts w:hint="eastAsia" w:ascii="宋体" w:hAnsi="宋体" w:eastAsia="Times New Roman"/>
          <w:color w:val="000000"/>
          <w:sz w:val="24"/>
        </w:rPr>
        <w:t>分；总分</w:t>
      </w:r>
      <w:r>
        <w:rPr>
          <w:rFonts w:hint="eastAsia" w:hAnsi="宋体" w:eastAsiaTheme="minorEastAsia"/>
          <w:color w:val="000000"/>
          <w:sz w:val="24"/>
        </w:rPr>
        <w:t>7</w:t>
      </w:r>
      <w:r>
        <w:rPr>
          <w:rFonts w:hint="eastAsia" w:hAnsi="宋体" w:eastAsia="Times New Roman"/>
          <w:color w:val="000000"/>
          <w:sz w:val="24"/>
        </w:rPr>
        <w:t>分</w:t>
      </w:r>
      <w:r>
        <w:rPr>
          <w:rFonts w:hint="eastAsia" w:ascii="宋体" w:hAnsi="宋体" w:eastAsia="Times New Roman"/>
          <w:color w:val="000000"/>
          <w:sz w:val="24"/>
        </w:rPr>
        <w:t>。</w:t>
      </w:r>
    </w:p>
    <w:p>
      <w:pPr>
        <w:ind w:firstLine="400" w:firstLineChars="200"/>
        <w:rPr>
          <w:rFonts w:ascii="宋体" w:hAnsi="宋体" w:cs="宋体"/>
          <w:b/>
          <w:bCs/>
          <w:color w:val="0000FF"/>
          <w:kern w:val="0"/>
          <w:sz w:val="20"/>
          <w:szCs w:val="20"/>
        </w:rPr>
      </w:pPr>
      <w:r>
        <w:rPr>
          <w:rFonts w:hint="eastAsia" w:ascii="宋体" w:hAnsi="宋体" w:cs="宋体"/>
          <w:b/>
          <w:bCs/>
          <w:color w:val="0000FF"/>
          <w:kern w:val="0"/>
          <w:sz w:val="20"/>
          <w:szCs w:val="20"/>
        </w:rPr>
        <w:t>注：以上</w:t>
      </w:r>
      <w:r>
        <w:rPr>
          <w:rFonts w:hint="eastAsia"/>
          <w:b/>
          <w:bCs/>
          <w:color w:val="0000FF"/>
          <w:szCs w:val="21"/>
        </w:rPr>
        <w:t>项目</w:t>
      </w:r>
      <w:r>
        <w:rPr>
          <w:rFonts w:hint="eastAsia" w:ascii="宋体" w:hAnsi="宋体" w:cs="宋体"/>
          <w:b/>
          <w:bCs/>
          <w:color w:val="0000FF"/>
          <w:kern w:val="0"/>
          <w:sz w:val="20"/>
          <w:szCs w:val="20"/>
        </w:rPr>
        <w:t>业绩，提供的原件件备查，否则不计分。</w:t>
      </w:r>
    </w:p>
    <w:p>
      <w:pPr>
        <w:pStyle w:val="23"/>
        <w:spacing w:line="400" w:lineRule="exact"/>
        <w:ind w:firstLine="420" w:firstLineChars="200"/>
        <w:rPr>
          <w:rFonts w:ascii="Times New Roman" w:hAnsi="Times New Roman"/>
          <w:b/>
          <w:bCs/>
          <w:szCs w:val="21"/>
        </w:rPr>
      </w:pPr>
      <w:r>
        <w:rPr>
          <w:rFonts w:ascii="Times New Roman" w:hAnsi="Times New Roman"/>
          <w:b/>
          <w:bCs/>
          <w:szCs w:val="21"/>
        </w:rPr>
        <w:t>总得分 =1+2+3</w:t>
      </w:r>
    </w:p>
    <w:p>
      <w:pPr>
        <w:tabs>
          <w:tab w:val="left" w:pos="3811"/>
        </w:tabs>
        <w:spacing w:line="400" w:lineRule="exact"/>
        <w:ind w:firstLine="420" w:firstLineChars="200"/>
        <w:outlineLvl w:val="1"/>
        <w:rPr>
          <w:b/>
          <w:bCs/>
          <w:szCs w:val="21"/>
        </w:rPr>
      </w:pPr>
      <w:r>
        <w:rPr>
          <w:b/>
          <w:bCs/>
          <w:szCs w:val="21"/>
        </w:rPr>
        <w:t>三、成交供应商推荐原则</w:t>
      </w:r>
    </w:p>
    <w:p>
      <w:pPr>
        <w:spacing w:line="400" w:lineRule="exact"/>
        <w:ind w:firstLine="420"/>
        <w:rPr>
          <w:bCs/>
          <w:szCs w:val="21"/>
        </w:rPr>
      </w:pPr>
      <w:r>
        <w:rPr>
          <w:bCs/>
          <w:szCs w:val="21"/>
        </w:rPr>
        <w:t>（1）磋商小组根据综合得分由高到低排列次序，若得分相同时，以评审报价由低到高顺序排列；若得分相同且评审报价相同的，以最后报价由低到高顺序排列；若仍相同的，按技术方案分由高到低顺序排列并推荐成交候选供应商。</w:t>
      </w:r>
    </w:p>
    <w:p>
      <w:pPr>
        <w:spacing w:line="400" w:lineRule="exact"/>
        <w:ind w:firstLine="420"/>
        <w:rPr>
          <w:bCs/>
          <w:szCs w:val="21"/>
        </w:rPr>
      </w:pPr>
      <w:r>
        <w:rPr>
          <w:bCs/>
          <w:szCs w:val="21"/>
        </w:rPr>
        <w:t>（2）进入详评的磋商供应商为五家以上(含五家)的，可推荐前三名为成交候选供应商，进入详评的磋商供应商为四家以下(含四家)的，可推荐前两名为成交候选供应商。采购单位应当确定磋商小组推荐排名第一的成交候选供应商为成交供应商。</w:t>
      </w:r>
    </w:p>
    <w:p>
      <w:pPr>
        <w:spacing w:line="400" w:lineRule="exact"/>
        <w:ind w:firstLine="420"/>
        <w:rPr>
          <w:bCs/>
          <w:szCs w:val="21"/>
        </w:rPr>
      </w:pPr>
      <w:r>
        <w:rPr>
          <w:bCs/>
          <w:szCs w:val="21"/>
        </w:rPr>
        <w:t>（3）排名第一的成交候选供应商放弃成交、因不可抗力提出不能履行合同，或者采购文件规定应当提交履约保证金而在规定的期限内未能提交的，采购人可以确定排名第二的成交候选供应商为成交供应商。</w:t>
      </w:r>
    </w:p>
    <w:p>
      <w:pPr>
        <w:spacing w:line="400" w:lineRule="exact"/>
        <w:ind w:firstLine="420"/>
        <w:rPr>
          <w:b/>
          <w:w w:val="150"/>
          <w:szCs w:val="21"/>
        </w:rPr>
      </w:pPr>
      <w:r>
        <w:rPr>
          <w:bCs/>
          <w:szCs w:val="21"/>
        </w:rPr>
        <w:t>（4）排名第二的成交候选供应商因前款规定的同样原因不能签订合同的，采购人可以确定排名第三的成交候选供应商为成交供应商。</w:t>
      </w:r>
    </w:p>
    <w:p/>
    <w:p>
      <w:pPr>
        <w:pStyle w:val="28"/>
      </w:pPr>
    </w:p>
    <w:p>
      <w:pPr>
        <w:pStyle w:val="2"/>
        <w:spacing w:line="0" w:lineRule="atLeast"/>
        <w:ind w:firstLine="960" w:firstLineChars="300"/>
        <w:rPr>
          <w:rFonts w:ascii="Times New Roman" w:hAnsi="Times New Roman"/>
        </w:rPr>
      </w:pPr>
      <w:r>
        <w:rPr>
          <w:rFonts w:ascii="Times New Roman" w:hAnsi="Times New Roman"/>
          <w:szCs w:val="21"/>
        </w:rPr>
        <w:br w:type="page"/>
      </w:r>
      <w:bookmarkEnd w:id="50"/>
      <w:bookmarkStart w:id="69" w:name="_Toc5200"/>
      <w:bookmarkStart w:id="70" w:name="_Toc11977"/>
      <w:r>
        <w:rPr>
          <w:rFonts w:ascii="Times New Roman" w:hAnsi="Times New Roman"/>
        </w:rPr>
        <w:t>第五章、采购合同（合同主要条款及格式）</w:t>
      </w:r>
      <w:bookmarkEnd w:id="69"/>
      <w:bookmarkEnd w:id="70"/>
    </w:p>
    <w:p>
      <w:pPr>
        <w:spacing w:line="400" w:lineRule="exact"/>
      </w:pPr>
      <w:r>
        <w:t>项目名称：</w:t>
      </w:r>
    </w:p>
    <w:p>
      <w:pPr>
        <w:spacing w:line="400" w:lineRule="exact"/>
      </w:pPr>
      <w:r>
        <w:t>项目编号：</w:t>
      </w:r>
    </w:p>
    <w:p>
      <w:pPr>
        <w:spacing w:line="400" w:lineRule="exact"/>
      </w:pPr>
      <w:r>
        <w:t>甲方：</w:t>
      </w:r>
      <w:r>
        <w:rPr>
          <w:u w:val="single"/>
        </w:rPr>
        <w:t xml:space="preserve">                                                      </w:t>
      </w:r>
      <w:r>
        <w:t>（采购人）</w:t>
      </w:r>
    </w:p>
    <w:p>
      <w:pPr>
        <w:spacing w:line="400" w:lineRule="exact"/>
      </w:pPr>
      <w:r>
        <w:t>乙方：</w:t>
      </w:r>
      <w:r>
        <w:rPr>
          <w:u w:val="single"/>
        </w:rPr>
        <w:t xml:space="preserve">                                                      </w:t>
      </w:r>
      <w:r>
        <w:t>（成交供应商）</w:t>
      </w:r>
    </w:p>
    <w:p>
      <w:pPr>
        <w:spacing w:line="400" w:lineRule="exact"/>
        <w:ind w:firstLine="420" w:firstLineChars="200"/>
      </w:pPr>
      <w:r>
        <w:t>根据《中华人民共和国政府采购法》、《中华人民共和国合同法》等法律、法规规定，按照竞争性磋商文件（以下简称磋商文件）、竞争性磋商响应文件（以下简称响应文件）规定条款和成交供应商的承诺、甲乙双方签订本合同。</w:t>
      </w:r>
    </w:p>
    <w:p>
      <w:pPr>
        <w:spacing w:line="400" w:lineRule="exact"/>
        <w:ind w:firstLine="315" w:firstLineChars="150"/>
        <w:rPr>
          <w:b/>
        </w:rPr>
      </w:pPr>
      <w:r>
        <w:rPr>
          <w:b/>
        </w:rPr>
        <w:t>第一条 合同文件</w:t>
      </w:r>
    </w:p>
    <w:p>
      <w:pPr>
        <w:spacing w:line="400" w:lineRule="exact"/>
        <w:ind w:firstLine="525" w:firstLineChars="250"/>
      </w:pPr>
      <w:r>
        <w:t>1、本合同所附下列文件是构成本合同不可分割的部分：</w:t>
      </w:r>
    </w:p>
    <w:p>
      <w:pPr>
        <w:spacing w:line="400" w:lineRule="exact"/>
        <w:ind w:firstLine="315" w:firstLineChars="150"/>
      </w:pPr>
      <w:r>
        <w:t>（1）成交供应商提交的</w:t>
      </w:r>
      <w:r>
        <w:rPr>
          <w:szCs w:val="21"/>
        </w:rPr>
        <w:t>磋商</w:t>
      </w:r>
      <w:r>
        <w:t>报价表、</w:t>
      </w:r>
      <w:r>
        <w:rPr>
          <w:szCs w:val="21"/>
        </w:rPr>
        <w:t>针对本项目的服务项目编制方案</w:t>
      </w:r>
      <w:r>
        <w:t>；</w:t>
      </w:r>
    </w:p>
    <w:p>
      <w:pPr>
        <w:spacing w:line="400" w:lineRule="exact"/>
        <w:ind w:firstLine="315" w:firstLineChars="150"/>
      </w:pPr>
      <w:r>
        <w:t>（2）成交通知书；</w:t>
      </w:r>
    </w:p>
    <w:p>
      <w:pPr>
        <w:spacing w:line="400" w:lineRule="exact"/>
        <w:ind w:firstLine="315" w:firstLineChars="150"/>
      </w:pPr>
      <w:r>
        <w:t>（3）本合同协议书及有关补充资料；</w:t>
      </w:r>
    </w:p>
    <w:p>
      <w:pPr>
        <w:spacing w:line="400" w:lineRule="exact"/>
        <w:ind w:firstLine="315" w:firstLineChars="150"/>
      </w:pPr>
      <w:r>
        <w:t>（4）磋商文件的条款要求。</w:t>
      </w:r>
    </w:p>
    <w:p>
      <w:pPr>
        <w:tabs>
          <w:tab w:val="left" w:pos="1305"/>
        </w:tabs>
        <w:spacing w:line="380" w:lineRule="exact"/>
        <w:ind w:firstLine="420" w:firstLineChars="200"/>
        <w:rPr>
          <w:szCs w:val="21"/>
        </w:rPr>
      </w:pPr>
      <w:r>
        <w:rPr>
          <w:szCs w:val="21"/>
        </w:rPr>
        <w:t>2、合同价金额包括：服务过程中相关的一切费用。</w:t>
      </w:r>
    </w:p>
    <w:p>
      <w:pPr>
        <w:spacing w:line="400" w:lineRule="exact"/>
        <w:ind w:firstLine="411" w:firstLineChars="196"/>
        <w:rPr>
          <w:b/>
          <w:szCs w:val="21"/>
        </w:rPr>
      </w:pPr>
      <w:r>
        <w:rPr>
          <w:b/>
          <w:szCs w:val="21"/>
        </w:rPr>
        <w:t>第二条　合同金额</w:t>
      </w:r>
    </w:p>
    <w:p>
      <w:pPr>
        <w:widowControl/>
        <w:spacing w:line="360" w:lineRule="auto"/>
        <w:ind w:firstLine="420" w:firstLineChars="200"/>
        <w:jc w:val="left"/>
        <w:rPr>
          <w:szCs w:val="21"/>
        </w:rPr>
      </w:pPr>
      <w:r>
        <w:rPr>
          <w:szCs w:val="21"/>
        </w:rPr>
        <w:t>根据《成交通知书》的成交内容，合同的总金额为：（大写）</w:t>
      </w:r>
      <w:r>
        <w:rPr>
          <w:szCs w:val="21"/>
          <w:u w:val="single"/>
        </w:rPr>
        <w:t xml:space="preserve">                           </w:t>
      </w:r>
      <w:r>
        <w:rPr>
          <w:szCs w:val="21"/>
        </w:rPr>
        <w:t>人民币（</w:t>
      </w:r>
      <w:r>
        <w:t>￥</w:t>
      </w:r>
      <w:r>
        <w:rPr>
          <w:szCs w:val="21"/>
          <w:u w:val="single"/>
        </w:rPr>
        <w:t xml:space="preserve">                 </w:t>
      </w:r>
      <w:r>
        <w:rPr>
          <w:szCs w:val="21"/>
        </w:rPr>
        <w:t>元）</w:t>
      </w:r>
      <w:r>
        <w:rPr>
          <w:rFonts w:hint="eastAsia"/>
          <w:szCs w:val="21"/>
        </w:rPr>
        <w:t>。</w:t>
      </w:r>
    </w:p>
    <w:p>
      <w:pPr>
        <w:widowControl/>
        <w:spacing w:line="360" w:lineRule="auto"/>
        <w:ind w:firstLine="420" w:firstLineChars="200"/>
        <w:jc w:val="left"/>
        <w:rPr>
          <w:color w:val="0000FF"/>
          <w:szCs w:val="21"/>
        </w:rPr>
      </w:pPr>
      <w:r>
        <w:rPr>
          <w:rFonts w:hint="eastAsia"/>
          <w:color w:val="0000FF"/>
          <w:szCs w:val="21"/>
        </w:rPr>
        <w:t>合同合计金额包括了乙方完成本项目所需的一切工作内容而发生的所有直接费用、间接费用、其它费用、税金等全部费用和乙方要求获得的利润以及应由乙方承担的义务、责任和风险所发生的一切费用。</w:t>
      </w:r>
    </w:p>
    <w:p>
      <w:pPr>
        <w:spacing w:line="400" w:lineRule="exact"/>
        <w:ind w:firstLine="411" w:firstLineChars="196"/>
        <w:rPr>
          <w:szCs w:val="21"/>
        </w:rPr>
      </w:pPr>
    </w:p>
    <w:p>
      <w:pPr>
        <w:spacing w:line="400" w:lineRule="exact"/>
        <w:ind w:firstLine="411" w:firstLineChars="196"/>
        <w:rPr>
          <w:b/>
          <w:szCs w:val="21"/>
        </w:rPr>
      </w:pPr>
      <w:r>
        <w:rPr>
          <w:b/>
          <w:szCs w:val="21"/>
        </w:rPr>
        <w:t>第三条  服务保证</w:t>
      </w:r>
    </w:p>
    <w:p>
      <w:pPr>
        <w:spacing w:line="400" w:lineRule="exact"/>
        <w:ind w:firstLine="411" w:firstLineChars="196"/>
        <w:rPr>
          <w:szCs w:val="21"/>
          <w:u w:val="single"/>
        </w:rPr>
      </w:pPr>
      <w:r>
        <w:rPr>
          <w:rFonts w:hint="eastAsia"/>
          <w:color w:val="0000FF"/>
          <w:szCs w:val="21"/>
        </w:rPr>
        <w:t>乙方所提供的服务内容必须与磋商文件和承诺相一致。</w:t>
      </w:r>
    </w:p>
    <w:p>
      <w:pPr>
        <w:spacing w:line="400" w:lineRule="exact"/>
        <w:ind w:firstLine="411" w:firstLineChars="196"/>
        <w:rPr>
          <w:b/>
          <w:szCs w:val="21"/>
        </w:rPr>
      </w:pPr>
      <w:r>
        <w:rPr>
          <w:b/>
          <w:szCs w:val="21"/>
        </w:rPr>
        <w:t>第四条  交付</w:t>
      </w:r>
    </w:p>
    <w:p>
      <w:pPr>
        <w:spacing w:line="400" w:lineRule="exact"/>
        <w:ind w:firstLine="420" w:firstLineChars="200"/>
        <w:rPr>
          <w:szCs w:val="21"/>
        </w:rPr>
      </w:pPr>
      <w:r>
        <w:rPr>
          <w:szCs w:val="21"/>
        </w:rPr>
        <w:t>1、</w:t>
      </w:r>
      <w:r>
        <w:rPr>
          <w:bCs/>
          <w:kern w:val="0"/>
          <w:szCs w:val="21"/>
        </w:rPr>
        <w:t>提交服务成果时间</w:t>
      </w:r>
      <w:r>
        <w:rPr>
          <w:szCs w:val="21"/>
          <w:u w:val="single"/>
        </w:rPr>
        <w:t xml:space="preserve">                         </w:t>
      </w:r>
      <w:r>
        <w:rPr>
          <w:szCs w:val="21"/>
        </w:rPr>
        <w:t>、地点：</w:t>
      </w:r>
      <w:r>
        <w:rPr>
          <w:szCs w:val="21"/>
          <w:u w:val="single"/>
        </w:rPr>
        <w:t xml:space="preserve">                             </w:t>
      </w:r>
      <w:r>
        <w:rPr>
          <w:szCs w:val="21"/>
        </w:rPr>
        <w:t>。</w:t>
      </w:r>
    </w:p>
    <w:p>
      <w:pPr>
        <w:spacing w:line="400" w:lineRule="exact"/>
        <w:ind w:firstLine="420" w:firstLineChars="200"/>
        <w:rPr>
          <w:szCs w:val="21"/>
        </w:rPr>
      </w:pPr>
      <w:r>
        <w:rPr>
          <w:szCs w:val="21"/>
        </w:rPr>
        <w:t>2、乙方提供不符合磋商文件、响应文件和本合同规定的服务，甲方有权拒绝接受。</w:t>
      </w:r>
    </w:p>
    <w:p>
      <w:pPr>
        <w:spacing w:line="400" w:lineRule="exact"/>
        <w:ind w:firstLine="405"/>
        <w:rPr>
          <w:b/>
          <w:szCs w:val="21"/>
        </w:rPr>
      </w:pPr>
      <w:r>
        <w:rPr>
          <w:b/>
          <w:szCs w:val="21"/>
        </w:rPr>
        <w:t>第五条  甲方权利义务</w:t>
      </w:r>
    </w:p>
    <w:p>
      <w:pPr>
        <w:spacing w:line="400" w:lineRule="exact"/>
        <w:ind w:firstLine="411" w:firstLineChars="196"/>
        <w:rPr>
          <w:szCs w:val="21"/>
        </w:rPr>
      </w:pPr>
      <w:r>
        <w:rPr>
          <w:szCs w:val="21"/>
        </w:rPr>
        <w:t>1、自合同签订之日起5日内向乙方提交有关资料。</w:t>
      </w:r>
    </w:p>
    <w:p>
      <w:pPr>
        <w:spacing w:line="400" w:lineRule="exact"/>
        <w:ind w:firstLine="411" w:firstLineChars="196"/>
        <w:rPr>
          <w:szCs w:val="21"/>
        </w:rPr>
      </w:pPr>
      <w:r>
        <w:rPr>
          <w:szCs w:val="21"/>
        </w:rPr>
        <w:t>2、该合同工作成果属于甲方专利，未经甲方批准，乙方不得将工作成果用于商业性经营。</w:t>
      </w:r>
    </w:p>
    <w:p>
      <w:pPr>
        <w:spacing w:line="400" w:lineRule="exact"/>
        <w:ind w:firstLine="411" w:firstLineChars="196"/>
        <w:rPr>
          <w:szCs w:val="21"/>
        </w:rPr>
      </w:pPr>
      <w:r>
        <w:rPr>
          <w:szCs w:val="21"/>
        </w:rPr>
        <w:t>3、监督并配合乙方管理服务工作的实施及制度的执行。</w:t>
      </w:r>
    </w:p>
    <w:p>
      <w:pPr>
        <w:spacing w:line="400" w:lineRule="exact"/>
        <w:ind w:firstLine="411" w:firstLineChars="196"/>
        <w:rPr>
          <w:szCs w:val="21"/>
        </w:rPr>
      </w:pPr>
      <w:r>
        <w:rPr>
          <w:rFonts w:hint="eastAsia"/>
          <w:szCs w:val="21"/>
        </w:rPr>
        <w:t>4</w:t>
      </w:r>
      <w:r>
        <w:rPr>
          <w:szCs w:val="21"/>
        </w:rPr>
        <w:t>、按合同规定支付乙方本合同所指编制费用。</w:t>
      </w:r>
    </w:p>
    <w:p>
      <w:pPr>
        <w:spacing w:line="400" w:lineRule="exact"/>
        <w:ind w:firstLine="411" w:firstLineChars="196"/>
        <w:rPr>
          <w:szCs w:val="21"/>
        </w:rPr>
      </w:pPr>
      <w:r>
        <w:rPr>
          <w:rFonts w:hint="eastAsia"/>
          <w:szCs w:val="21"/>
        </w:rPr>
        <w:t>5</w:t>
      </w:r>
      <w:r>
        <w:rPr>
          <w:szCs w:val="21"/>
        </w:rPr>
        <w:t>、有权对乙方工作情况进行检查监督，提出整改意见。</w:t>
      </w:r>
    </w:p>
    <w:p>
      <w:pPr>
        <w:spacing w:line="340" w:lineRule="exact"/>
        <w:ind w:firstLine="420" w:firstLineChars="200"/>
        <w:rPr>
          <w:b/>
          <w:szCs w:val="21"/>
        </w:rPr>
      </w:pPr>
      <w:r>
        <w:rPr>
          <w:b/>
          <w:szCs w:val="21"/>
        </w:rPr>
        <w:t>第六条</w:t>
      </w:r>
      <w:r>
        <w:rPr>
          <w:rFonts w:hint="eastAsia"/>
          <w:b/>
          <w:szCs w:val="21"/>
        </w:rPr>
        <w:t xml:space="preserve"> </w:t>
      </w:r>
      <w:r>
        <w:rPr>
          <w:b/>
          <w:szCs w:val="21"/>
        </w:rPr>
        <w:t>乙方的权利义务</w:t>
      </w:r>
    </w:p>
    <w:p>
      <w:pPr>
        <w:spacing w:line="400" w:lineRule="exact"/>
        <w:ind w:left="420" w:leftChars="200"/>
        <w:rPr>
          <w:bCs/>
          <w:szCs w:val="21"/>
        </w:rPr>
      </w:pPr>
      <w:r>
        <w:rPr>
          <w:rFonts w:hint="eastAsia"/>
          <w:bCs/>
          <w:szCs w:val="21"/>
        </w:rPr>
        <w:t>1、乙方应当成立项目工作组，配备业务熟练的专业技术骨干和相关技术人员，保障本项目各项工作顺利开展。</w:t>
      </w:r>
    </w:p>
    <w:p>
      <w:pPr>
        <w:spacing w:line="400" w:lineRule="exact"/>
        <w:ind w:left="420" w:leftChars="200"/>
        <w:rPr>
          <w:bCs/>
          <w:szCs w:val="21"/>
        </w:rPr>
      </w:pPr>
      <w:r>
        <w:rPr>
          <w:rFonts w:hint="eastAsia"/>
          <w:bCs/>
          <w:szCs w:val="21"/>
        </w:rPr>
        <w:t>2、乙方应当做好基础资料的收集整理分析和外业调查工作。</w:t>
      </w:r>
    </w:p>
    <w:p>
      <w:pPr>
        <w:spacing w:line="400" w:lineRule="exact"/>
        <w:ind w:left="420" w:leftChars="200"/>
        <w:rPr>
          <w:bCs/>
          <w:szCs w:val="21"/>
        </w:rPr>
      </w:pPr>
      <w:r>
        <w:rPr>
          <w:rFonts w:hint="eastAsia"/>
          <w:bCs/>
          <w:szCs w:val="21"/>
        </w:rPr>
        <w:t>3、乙方有义务解答甲方提出的与项目有关的询问，接受甲方或甲方授权的机构或人员的监督和检查。</w:t>
      </w:r>
    </w:p>
    <w:p>
      <w:pPr>
        <w:spacing w:line="400" w:lineRule="exact"/>
        <w:ind w:left="420" w:leftChars="200"/>
        <w:rPr>
          <w:bCs/>
          <w:szCs w:val="21"/>
        </w:rPr>
      </w:pPr>
      <w:r>
        <w:rPr>
          <w:rFonts w:hint="eastAsia"/>
          <w:bCs/>
          <w:szCs w:val="21"/>
        </w:rPr>
        <w:t>4、乙方应当按约定向甲方提交符合相关技术要求的规划成果。</w:t>
      </w:r>
    </w:p>
    <w:p>
      <w:pPr>
        <w:spacing w:line="400" w:lineRule="exact"/>
        <w:ind w:left="420" w:leftChars="200"/>
        <w:rPr>
          <w:bCs/>
          <w:szCs w:val="21"/>
        </w:rPr>
      </w:pPr>
      <w:r>
        <w:rPr>
          <w:rFonts w:hint="eastAsia"/>
          <w:bCs/>
          <w:szCs w:val="21"/>
        </w:rPr>
        <w:t>5、乙方应当协助甲方接受自然资源主管部门对项目成果的评审和验收工作，负责承担听证论证、专家评审等相关费用，并按评审专家的意见做好成果修改。</w:t>
      </w:r>
    </w:p>
    <w:p>
      <w:pPr>
        <w:spacing w:line="400" w:lineRule="exact"/>
        <w:ind w:left="420" w:leftChars="200"/>
        <w:rPr>
          <w:bCs/>
          <w:szCs w:val="21"/>
        </w:rPr>
      </w:pPr>
      <w:r>
        <w:rPr>
          <w:rFonts w:hint="eastAsia"/>
          <w:bCs/>
          <w:szCs w:val="21"/>
        </w:rPr>
        <w:t>6、</w:t>
      </w:r>
      <w:r>
        <w:rPr>
          <w:rFonts w:hint="eastAsia" w:ascii="宋体" w:hAnsi="宋体" w:cs="宋体"/>
          <w:szCs w:val="21"/>
          <w:highlight w:val="yellow"/>
        </w:rPr>
        <w:t>项目权属甲方所有，未经甲方书面</w:t>
      </w:r>
      <w:r>
        <w:rPr>
          <w:rFonts w:hint="eastAsia" w:ascii="宋体" w:hAnsi="宋体" w:cs="宋体"/>
          <w:szCs w:val="21"/>
          <w:highlight w:val="yellow"/>
          <w:lang w:val="en-US" w:eastAsia="zh-CN"/>
        </w:rPr>
        <w:t>允</w:t>
      </w:r>
      <w:r>
        <w:rPr>
          <w:rFonts w:hint="eastAsia" w:ascii="宋体" w:hAnsi="宋体" w:cs="宋体"/>
          <w:szCs w:val="21"/>
          <w:highlight w:val="yellow"/>
        </w:rPr>
        <w:t>许私自使用，甲方将依法追究其法律责任。</w:t>
      </w:r>
    </w:p>
    <w:p>
      <w:pPr>
        <w:spacing w:line="400" w:lineRule="exact"/>
        <w:ind w:left="420" w:leftChars="200"/>
        <w:rPr>
          <w:b/>
          <w:szCs w:val="21"/>
        </w:rPr>
      </w:pPr>
      <w:r>
        <w:rPr>
          <w:b/>
          <w:szCs w:val="21"/>
        </w:rPr>
        <w:t>第七条  税费</w:t>
      </w:r>
    </w:p>
    <w:p>
      <w:pPr>
        <w:spacing w:line="400" w:lineRule="exact"/>
        <w:ind w:firstLine="411" w:firstLineChars="196"/>
        <w:rPr>
          <w:szCs w:val="21"/>
        </w:rPr>
      </w:pPr>
      <w:r>
        <w:rPr>
          <w:szCs w:val="21"/>
        </w:rPr>
        <w:t>本合同执行中相关的一切税费均由乙方负担。</w:t>
      </w:r>
    </w:p>
    <w:p>
      <w:pPr>
        <w:spacing w:line="400" w:lineRule="exact"/>
        <w:ind w:firstLine="411" w:firstLineChars="196"/>
        <w:rPr>
          <w:b/>
          <w:szCs w:val="21"/>
        </w:rPr>
      </w:pPr>
      <w:r>
        <w:rPr>
          <w:b/>
          <w:szCs w:val="21"/>
        </w:rPr>
        <w:t>第八条  付款方式</w:t>
      </w:r>
    </w:p>
    <w:p>
      <w:pPr>
        <w:pStyle w:val="17"/>
        <w:ind w:firstLine="420" w:firstLineChars="200"/>
        <w:rPr>
          <w:rFonts w:ascii="Times New Roman" w:hAnsi="Times New Roman" w:eastAsia="宋体"/>
          <w:b w:val="0"/>
          <w:spacing w:val="0"/>
          <w:sz w:val="21"/>
          <w:szCs w:val="24"/>
        </w:rPr>
      </w:pPr>
      <w:r>
        <w:rPr>
          <w:rFonts w:ascii="Times New Roman" w:hAnsi="Times New Roman" w:eastAsia="宋体"/>
          <w:b w:val="0"/>
          <w:spacing w:val="0"/>
          <w:sz w:val="21"/>
          <w:szCs w:val="24"/>
        </w:rPr>
        <w:t>本项目在采购预算金额内结算，采购人在合同签定后 7 个工作日内向中标人支付合同总价的45%；项目完成建设并验收合格，支付合同总价的50%，三年服务期满后再支付合同总价的5%。具体支付方式与中标人签订合同时确定。如中标人违约或达不到既定要求，将根据合同的有关规定赔偿采购人的损失。</w:t>
      </w:r>
    </w:p>
    <w:p>
      <w:pPr>
        <w:spacing w:line="380" w:lineRule="exact"/>
        <w:ind w:firstLine="411" w:firstLineChars="196"/>
        <w:rPr>
          <w:b/>
          <w:szCs w:val="21"/>
        </w:rPr>
      </w:pPr>
      <w:r>
        <w:rPr>
          <w:b/>
          <w:szCs w:val="21"/>
        </w:rPr>
        <w:t>第九条  违约责任</w:t>
      </w:r>
    </w:p>
    <w:p>
      <w:pPr>
        <w:spacing w:line="400" w:lineRule="exact"/>
        <w:ind w:firstLine="420" w:firstLineChars="200"/>
        <w:rPr>
          <w:szCs w:val="21"/>
        </w:rPr>
      </w:pPr>
      <w:r>
        <w:rPr>
          <w:szCs w:val="21"/>
        </w:rPr>
        <w:t>1、乙方所提供的服务质量不合格的，应及时调整，调整不及时的按逾期处罚，乙方应向甲方支付合同金额</w:t>
      </w:r>
      <w:r>
        <w:rPr>
          <w:szCs w:val="21"/>
          <w:u w:val="single"/>
        </w:rPr>
        <w:t>5</w:t>
      </w:r>
      <w:r>
        <w:rPr>
          <w:szCs w:val="21"/>
        </w:rPr>
        <w:t>%违约金并赔偿甲方经济损失。</w:t>
      </w:r>
    </w:p>
    <w:p>
      <w:pPr>
        <w:spacing w:line="400" w:lineRule="exact"/>
        <w:ind w:firstLine="359" w:firstLineChars="171"/>
        <w:rPr>
          <w:szCs w:val="21"/>
        </w:rPr>
      </w:pPr>
      <w:r>
        <w:rPr>
          <w:szCs w:val="21"/>
        </w:rPr>
        <w:t>2、乙方提供的服务如果侵犯了第三方合法权益而引发的任何纠纷或诉讼，均由乙方负责交涉并承担全部责任。</w:t>
      </w:r>
    </w:p>
    <w:p>
      <w:pPr>
        <w:spacing w:line="400" w:lineRule="exact"/>
        <w:ind w:firstLine="420" w:firstLineChars="200"/>
        <w:rPr>
          <w:szCs w:val="21"/>
        </w:rPr>
      </w:pPr>
      <w:r>
        <w:rPr>
          <w:szCs w:val="21"/>
        </w:rPr>
        <w:t>3、乙方未按本合同和响应文件中规定的服务承诺提供服务的，乙方应按本合同合同金额</w:t>
      </w:r>
      <w:r>
        <w:rPr>
          <w:szCs w:val="21"/>
          <w:u w:val="single"/>
        </w:rPr>
        <w:t xml:space="preserve"> 5</w:t>
      </w:r>
      <w:r>
        <w:rPr>
          <w:szCs w:val="21"/>
        </w:rPr>
        <w:t>%向甲方支付违约金。</w:t>
      </w:r>
    </w:p>
    <w:p>
      <w:pPr>
        <w:spacing w:line="380" w:lineRule="exact"/>
        <w:ind w:firstLine="411" w:firstLineChars="196"/>
        <w:rPr>
          <w:b/>
          <w:szCs w:val="21"/>
        </w:rPr>
      </w:pPr>
      <w:r>
        <w:rPr>
          <w:szCs w:val="21"/>
        </w:rPr>
        <w:t>4、其他违约行为按违约款额</w:t>
      </w:r>
      <w:r>
        <w:rPr>
          <w:szCs w:val="21"/>
          <w:u w:val="single"/>
        </w:rPr>
        <w:t xml:space="preserve"> 5%</w:t>
      </w:r>
      <w:r>
        <w:rPr>
          <w:szCs w:val="21"/>
        </w:rPr>
        <w:t>收取违约金并赔偿经济损失。</w:t>
      </w:r>
    </w:p>
    <w:p>
      <w:pPr>
        <w:spacing w:line="380" w:lineRule="exact"/>
        <w:ind w:firstLine="411" w:firstLineChars="196"/>
        <w:rPr>
          <w:b/>
          <w:szCs w:val="21"/>
        </w:rPr>
      </w:pPr>
      <w:r>
        <w:rPr>
          <w:b/>
          <w:szCs w:val="21"/>
        </w:rPr>
        <w:t>第十条  不可抗力事件处理</w:t>
      </w:r>
    </w:p>
    <w:p>
      <w:pPr>
        <w:spacing w:line="400" w:lineRule="exact"/>
        <w:ind w:firstLine="420" w:firstLineChars="200"/>
        <w:rPr>
          <w:szCs w:val="21"/>
        </w:rPr>
      </w:pPr>
      <w:r>
        <w:rPr>
          <w:szCs w:val="21"/>
        </w:rPr>
        <w:t>1、在合同有效期内，乙方因不可抗力事件导致不能履行合同，则合同履行期可延长，其延长期与不可抗力影响期相同。</w:t>
      </w:r>
    </w:p>
    <w:p>
      <w:pPr>
        <w:numPr>
          <w:ilvl w:val="0"/>
          <w:numId w:val="8"/>
        </w:numPr>
        <w:spacing w:line="400" w:lineRule="exact"/>
        <w:rPr>
          <w:szCs w:val="21"/>
        </w:rPr>
      </w:pPr>
      <w:r>
        <w:rPr>
          <w:szCs w:val="21"/>
        </w:rPr>
        <w:t>不可抗力事件发生后，应立即通知对方，并寄送有关权威机构出具的证明。</w:t>
      </w:r>
    </w:p>
    <w:p>
      <w:pPr>
        <w:numPr>
          <w:ilvl w:val="0"/>
          <w:numId w:val="8"/>
        </w:numPr>
        <w:spacing w:line="400" w:lineRule="exact"/>
        <w:rPr>
          <w:szCs w:val="21"/>
        </w:rPr>
      </w:pPr>
      <w:r>
        <w:rPr>
          <w:szCs w:val="21"/>
        </w:rPr>
        <w:t>不可抗力事件延续一百二十天以上，双方应通过友好协商，确定是否继续履行合同。</w:t>
      </w:r>
    </w:p>
    <w:p>
      <w:pPr>
        <w:spacing w:line="380" w:lineRule="exact"/>
        <w:ind w:firstLine="411" w:firstLineChars="196"/>
        <w:rPr>
          <w:b/>
          <w:szCs w:val="21"/>
        </w:rPr>
      </w:pPr>
      <w:r>
        <w:rPr>
          <w:b/>
          <w:szCs w:val="21"/>
        </w:rPr>
        <w:t>第十一条  合同争议解决</w:t>
      </w:r>
    </w:p>
    <w:p>
      <w:pPr>
        <w:spacing w:line="400" w:lineRule="exact"/>
        <w:ind w:firstLine="420" w:firstLineChars="200"/>
        <w:rPr>
          <w:szCs w:val="21"/>
        </w:rPr>
      </w:pPr>
      <w:r>
        <w:rPr>
          <w:szCs w:val="21"/>
        </w:rPr>
        <w:t>1、因服务问题发生争议的，应邀请国家认可的相关机构进行鉴定。服务符合要求的，鉴定费由甲方承担；服务不符合要求的，鉴定费由乙方承担。</w:t>
      </w:r>
    </w:p>
    <w:p>
      <w:pPr>
        <w:spacing w:line="400" w:lineRule="exact"/>
        <w:ind w:firstLine="420" w:firstLineChars="200"/>
        <w:rPr>
          <w:szCs w:val="21"/>
        </w:rPr>
      </w:pPr>
      <w:r>
        <w:rPr>
          <w:szCs w:val="21"/>
        </w:rPr>
        <w:t>2、因履行本合同引起的或与本合同有关的争议，甲乙双方应首先通过友好协商解决，如果协商不能解决，可向</w:t>
      </w:r>
      <w:r>
        <w:rPr>
          <w:rFonts w:hint="eastAsia"/>
          <w:szCs w:val="21"/>
        </w:rPr>
        <w:t>兴安县</w:t>
      </w:r>
      <w:r>
        <w:rPr>
          <w:szCs w:val="21"/>
        </w:rPr>
        <w:t>人民法院提起诉讼。</w:t>
      </w:r>
    </w:p>
    <w:p>
      <w:pPr>
        <w:spacing w:line="400" w:lineRule="exact"/>
        <w:ind w:left="435"/>
        <w:rPr>
          <w:szCs w:val="21"/>
        </w:rPr>
      </w:pPr>
      <w:r>
        <w:rPr>
          <w:szCs w:val="21"/>
        </w:rPr>
        <w:t>3、诉讼期间，本合同继续履行。</w:t>
      </w:r>
    </w:p>
    <w:p>
      <w:pPr>
        <w:spacing w:line="380" w:lineRule="exact"/>
        <w:ind w:firstLine="411" w:firstLineChars="196"/>
        <w:rPr>
          <w:b/>
          <w:szCs w:val="21"/>
        </w:rPr>
      </w:pPr>
      <w:r>
        <w:rPr>
          <w:b/>
          <w:szCs w:val="21"/>
        </w:rPr>
        <w:t>第十二条  合同生效及其它</w:t>
      </w:r>
    </w:p>
    <w:p>
      <w:pPr>
        <w:spacing w:line="380" w:lineRule="exact"/>
        <w:ind w:firstLine="420" w:firstLineChars="200"/>
        <w:rPr>
          <w:szCs w:val="21"/>
        </w:rPr>
      </w:pPr>
      <w:r>
        <w:rPr>
          <w:szCs w:val="21"/>
        </w:rPr>
        <w:t>1、合同经甲乙双方法定代表人或授权代表签字并加盖单位公章后生效。</w:t>
      </w:r>
    </w:p>
    <w:p>
      <w:pPr>
        <w:spacing w:line="380" w:lineRule="exact"/>
        <w:ind w:firstLine="420" w:firstLineChars="200"/>
        <w:rPr>
          <w:szCs w:val="21"/>
        </w:rPr>
      </w:pPr>
      <w:r>
        <w:rPr>
          <w:szCs w:val="21"/>
        </w:rPr>
        <w:t>2、合同执行中涉及采购资金和采购内容修改或补充的，需</w:t>
      </w:r>
      <w:r>
        <w:rPr>
          <w:rFonts w:hint="eastAsia"/>
          <w:szCs w:val="21"/>
        </w:rPr>
        <w:t>兴安县</w:t>
      </w:r>
      <w:r>
        <w:rPr>
          <w:szCs w:val="21"/>
        </w:rPr>
        <w:t>财政部门审批，并签订书面补充协议报</w:t>
      </w:r>
      <w:r>
        <w:rPr>
          <w:rFonts w:hint="eastAsia"/>
          <w:szCs w:val="21"/>
        </w:rPr>
        <w:t>兴安县</w:t>
      </w:r>
      <w:r>
        <w:t>人民政府采购管理办公室</w:t>
      </w:r>
      <w:r>
        <w:rPr>
          <w:szCs w:val="21"/>
        </w:rPr>
        <w:t>备案，方可作为主合同不可分割的一部分。</w:t>
      </w:r>
    </w:p>
    <w:p>
      <w:pPr>
        <w:spacing w:line="380" w:lineRule="exact"/>
        <w:ind w:left="435"/>
        <w:rPr>
          <w:szCs w:val="21"/>
        </w:rPr>
      </w:pPr>
      <w:r>
        <w:rPr>
          <w:szCs w:val="21"/>
        </w:rPr>
        <w:t>3、本合同未尽事宜，遵照《合同法》有关条文执行。</w:t>
      </w:r>
    </w:p>
    <w:p>
      <w:pPr>
        <w:spacing w:line="380" w:lineRule="exact"/>
        <w:ind w:firstLine="411" w:firstLineChars="196"/>
        <w:rPr>
          <w:b/>
          <w:szCs w:val="21"/>
        </w:rPr>
      </w:pPr>
      <w:r>
        <w:rPr>
          <w:b/>
          <w:szCs w:val="21"/>
        </w:rPr>
        <w:t>第十三条  合同的变更、终止与转让</w:t>
      </w:r>
    </w:p>
    <w:p>
      <w:pPr>
        <w:spacing w:line="380" w:lineRule="exact"/>
        <w:ind w:firstLine="420" w:firstLineChars="200"/>
        <w:rPr>
          <w:szCs w:val="21"/>
        </w:rPr>
      </w:pPr>
      <w:r>
        <w:rPr>
          <w:szCs w:val="21"/>
        </w:rPr>
        <w:t>1、除《中华人民共和国政府采购法》第五十条规定的情形外，本合同一经签订，甲乙双方不得擅自变更，中止或终止。</w:t>
      </w:r>
    </w:p>
    <w:p>
      <w:pPr>
        <w:numPr>
          <w:ilvl w:val="0"/>
          <w:numId w:val="9"/>
        </w:numPr>
        <w:spacing w:line="380" w:lineRule="exact"/>
        <w:rPr>
          <w:szCs w:val="21"/>
        </w:rPr>
      </w:pPr>
      <w:r>
        <w:rPr>
          <w:szCs w:val="21"/>
        </w:rPr>
        <w:t>乙方不得擅自转让其应履行的合同义务。</w:t>
      </w:r>
    </w:p>
    <w:p>
      <w:pPr>
        <w:spacing w:line="400" w:lineRule="exact"/>
        <w:ind w:firstLine="411" w:firstLineChars="196"/>
        <w:rPr>
          <w:b/>
          <w:szCs w:val="21"/>
        </w:rPr>
      </w:pPr>
      <w:r>
        <w:rPr>
          <w:b/>
          <w:szCs w:val="21"/>
        </w:rPr>
        <w:t>第十四条  签订本合同依据</w:t>
      </w:r>
    </w:p>
    <w:p>
      <w:pPr>
        <w:spacing w:line="400" w:lineRule="exact"/>
        <w:ind w:left="420"/>
        <w:rPr>
          <w:szCs w:val="21"/>
        </w:rPr>
      </w:pPr>
      <w:r>
        <w:rPr>
          <w:szCs w:val="21"/>
        </w:rPr>
        <w:t>1、竞争性磋商文件；</w:t>
      </w:r>
    </w:p>
    <w:p>
      <w:pPr>
        <w:spacing w:line="400" w:lineRule="exact"/>
        <w:ind w:left="224" w:leftChars="107" w:firstLine="210" w:firstLineChars="100"/>
        <w:rPr>
          <w:szCs w:val="21"/>
        </w:rPr>
      </w:pPr>
      <w:r>
        <w:rPr>
          <w:szCs w:val="21"/>
        </w:rPr>
        <w:t>2、成交供应商的磋商</w:t>
      </w:r>
      <w:r>
        <w:t>报价表、</w:t>
      </w:r>
      <w:r>
        <w:rPr>
          <w:szCs w:val="21"/>
        </w:rPr>
        <w:t>针对本项目的服务技术方案；</w:t>
      </w:r>
    </w:p>
    <w:p>
      <w:pPr>
        <w:spacing w:line="400" w:lineRule="exact"/>
        <w:ind w:left="224" w:leftChars="107" w:firstLine="210" w:firstLineChars="100"/>
        <w:rPr>
          <w:szCs w:val="21"/>
        </w:rPr>
      </w:pPr>
      <w:r>
        <w:rPr>
          <w:szCs w:val="21"/>
        </w:rPr>
        <w:t>3、服务方案及承诺书；</w:t>
      </w:r>
    </w:p>
    <w:p>
      <w:pPr>
        <w:spacing w:line="400" w:lineRule="exact"/>
        <w:ind w:left="224" w:leftChars="107" w:firstLine="210" w:firstLineChars="100"/>
        <w:rPr>
          <w:szCs w:val="21"/>
        </w:rPr>
      </w:pPr>
      <w:r>
        <w:rPr>
          <w:szCs w:val="21"/>
        </w:rPr>
        <w:t>4、成交通知书。</w:t>
      </w:r>
    </w:p>
    <w:p>
      <w:pPr>
        <w:spacing w:line="400" w:lineRule="exact"/>
        <w:ind w:firstLine="420" w:firstLineChars="200"/>
      </w:pPr>
      <w:r>
        <w:rPr>
          <w:szCs w:val="21"/>
        </w:rPr>
        <w:t>本合同甲乙双方签字盖章后生效，一式四份，具有同等法律效力，甲、乙双方各一份。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szCs w:val="21"/>
        </w:rPr>
        <w:t>桂林市临桂区财政局政府采购监督管理股备案</w:t>
      </w:r>
      <w:r>
        <w:rPr>
          <w:szCs w:val="21"/>
        </w:rPr>
        <w:t>，一份由采购代理机构存档。</w:t>
      </w:r>
    </w:p>
    <w:p>
      <w:pPr>
        <w:spacing w:line="400" w:lineRule="exact"/>
        <w:ind w:firstLine="420" w:firstLineChars="200"/>
      </w:pPr>
    </w:p>
    <w:p>
      <w:pPr>
        <w:spacing w:line="360" w:lineRule="exact"/>
        <w:ind w:firstLine="420" w:firstLineChars="200"/>
      </w:pPr>
    </w:p>
    <w:p>
      <w:pPr>
        <w:spacing w:line="360" w:lineRule="exact"/>
      </w:pPr>
    </w:p>
    <w:p>
      <w:pPr>
        <w:tabs>
          <w:tab w:val="left" w:pos="4320"/>
          <w:tab w:val="left" w:pos="4500"/>
        </w:tabs>
        <w:spacing w:line="360" w:lineRule="exact"/>
        <w:rPr>
          <w:szCs w:val="21"/>
          <w:u w:val="single"/>
        </w:rPr>
      </w:pPr>
      <w:r>
        <w:rPr>
          <w:szCs w:val="21"/>
        </w:rPr>
        <w:t>甲方名称（公章）：</w:t>
      </w:r>
      <w:r>
        <w:rPr>
          <w:szCs w:val="21"/>
          <w:u w:val="single"/>
        </w:rPr>
        <w:t xml:space="preserve">                      </w:t>
      </w:r>
      <w:r>
        <w:rPr>
          <w:szCs w:val="21"/>
        </w:rPr>
        <w:t xml:space="preserve">     乙方名称（公章，自然人除外）：</w:t>
      </w:r>
      <w:r>
        <w:rPr>
          <w:szCs w:val="21"/>
          <w:u w:val="single"/>
        </w:rPr>
        <w:t xml:space="preserve">             </w:t>
      </w:r>
      <w:r>
        <w:rPr>
          <w:szCs w:val="21"/>
        </w:rPr>
        <w:t>.</w:t>
      </w:r>
    </w:p>
    <w:p>
      <w:pPr>
        <w:spacing w:line="360" w:lineRule="exact"/>
        <w:rPr>
          <w:szCs w:val="21"/>
          <w:u w:val="single"/>
        </w:rPr>
      </w:pPr>
      <w:r>
        <w:rPr>
          <w:szCs w:val="21"/>
        </w:rPr>
        <w:t>法定代表人签字或盖章：</w:t>
      </w:r>
      <w:r>
        <w:rPr>
          <w:szCs w:val="21"/>
          <w:u w:val="single"/>
        </w:rPr>
        <w:t xml:space="preserve">                  </w:t>
      </w:r>
      <w:r>
        <w:rPr>
          <w:szCs w:val="21"/>
        </w:rPr>
        <w:t xml:space="preserve">     法定代表人签字或盖章：</w:t>
      </w:r>
      <w:r>
        <w:rPr>
          <w:szCs w:val="21"/>
          <w:u w:val="single"/>
        </w:rPr>
        <w:t xml:space="preserve">                     .</w:t>
      </w:r>
    </w:p>
    <w:p>
      <w:pPr>
        <w:spacing w:line="360" w:lineRule="exact"/>
        <w:rPr>
          <w:szCs w:val="21"/>
        </w:rPr>
      </w:pPr>
      <w:r>
        <w:rPr>
          <w:szCs w:val="21"/>
        </w:rPr>
        <w:t>地址：</w:t>
      </w:r>
      <w:r>
        <w:rPr>
          <w:szCs w:val="21"/>
          <w:u w:val="single"/>
        </w:rPr>
        <w:t xml:space="preserve">                                  .</w:t>
      </w:r>
      <w:r>
        <w:rPr>
          <w:szCs w:val="21"/>
        </w:rPr>
        <w:t xml:space="preserve">    地址：</w:t>
      </w:r>
      <w:r>
        <w:rPr>
          <w:szCs w:val="21"/>
          <w:u w:val="single"/>
        </w:rPr>
        <w:t xml:space="preserve">                                      .</w:t>
      </w:r>
    </w:p>
    <w:p>
      <w:pPr>
        <w:tabs>
          <w:tab w:val="left" w:pos="4680"/>
        </w:tabs>
        <w:spacing w:line="360" w:lineRule="exact"/>
        <w:rPr>
          <w:szCs w:val="21"/>
          <w:u w:val="single"/>
        </w:rPr>
      </w:pPr>
      <w:r>
        <w:rPr>
          <w:szCs w:val="21"/>
        </w:rPr>
        <w:t>委托代理人：</w:t>
      </w:r>
      <w:r>
        <w:rPr>
          <w:szCs w:val="21"/>
          <w:u w:val="single"/>
        </w:rPr>
        <w:t xml:space="preserve">                           </w:t>
      </w:r>
      <w:r>
        <w:rPr>
          <w:szCs w:val="21"/>
        </w:rPr>
        <w:t xml:space="preserve">     委托代理人：</w:t>
      </w:r>
      <w:r>
        <w:rPr>
          <w:szCs w:val="21"/>
          <w:u w:val="single"/>
        </w:rPr>
        <w:t xml:space="preserve">                                .</w:t>
      </w:r>
    </w:p>
    <w:p>
      <w:pPr>
        <w:tabs>
          <w:tab w:val="left" w:pos="5040"/>
        </w:tabs>
        <w:spacing w:line="360" w:lineRule="exact"/>
        <w:rPr>
          <w:szCs w:val="21"/>
          <w:u w:val="single"/>
        </w:rPr>
      </w:pPr>
      <w:r>
        <w:rPr>
          <w:szCs w:val="21"/>
        </w:rPr>
        <w:t>电  话：</w:t>
      </w:r>
      <w:r>
        <w:rPr>
          <w:szCs w:val="21"/>
          <w:u w:val="single"/>
        </w:rPr>
        <w:t xml:space="preserve">                               </w:t>
      </w:r>
      <w:r>
        <w:rPr>
          <w:szCs w:val="21"/>
        </w:rPr>
        <w:t xml:space="preserve">     电   话： </w:t>
      </w:r>
      <w:r>
        <w:rPr>
          <w:szCs w:val="21"/>
          <w:u w:val="single"/>
        </w:rPr>
        <w:t xml:space="preserve">                                  .</w:t>
      </w:r>
    </w:p>
    <w:p>
      <w:pPr>
        <w:tabs>
          <w:tab w:val="left" w:pos="5040"/>
        </w:tabs>
        <w:spacing w:line="360" w:lineRule="exact"/>
        <w:rPr>
          <w:szCs w:val="21"/>
        </w:rPr>
      </w:pPr>
      <w:r>
        <w:rPr>
          <w:szCs w:val="21"/>
        </w:rPr>
        <w:t>开户名称：</w:t>
      </w:r>
      <w:r>
        <w:rPr>
          <w:szCs w:val="21"/>
          <w:u w:val="single"/>
        </w:rPr>
        <w:t xml:space="preserve">                             </w:t>
      </w:r>
      <w:r>
        <w:rPr>
          <w:szCs w:val="21"/>
        </w:rPr>
        <w:t xml:space="preserve">     开户名称：</w:t>
      </w:r>
      <w:r>
        <w:rPr>
          <w:szCs w:val="21"/>
          <w:u w:val="single"/>
        </w:rPr>
        <w:t xml:space="preserve">                                  .</w:t>
      </w:r>
    </w:p>
    <w:p>
      <w:pPr>
        <w:tabs>
          <w:tab w:val="left" w:pos="5040"/>
        </w:tabs>
        <w:spacing w:line="360" w:lineRule="exact"/>
        <w:rPr>
          <w:szCs w:val="21"/>
        </w:rPr>
      </w:pPr>
      <w:r>
        <w:rPr>
          <w:szCs w:val="21"/>
        </w:rPr>
        <w:t>开户银行：</w:t>
      </w:r>
      <w:r>
        <w:rPr>
          <w:szCs w:val="21"/>
          <w:u w:val="single"/>
        </w:rPr>
        <w:t xml:space="preserve">                             </w:t>
      </w:r>
      <w:r>
        <w:rPr>
          <w:szCs w:val="21"/>
        </w:rPr>
        <w:t xml:space="preserve">     开户银行：</w:t>
      </w:r>
      <w:r>
        <w:rPr>
          <w:szCs w:val="21"/>
          <w:u w:val="single"/>
        </w:rPr>
        <w:t xml:space="preserve">                                  . </w:t>
      </w:r>
    </w:p>
    <w:p>
      <w:pPr>
        <w:tabs>
          <w:tab w:val="left" w:pos="5040"/>
        </w:tabs>
        <w:spacing w:line="360" w:lineRule="exact"/>
        <w:rPr>
          <w:szCs w:val="21"/>
        </w:rPr>
      </w:pPr>
      <w:r>
        <w:rPr>
          <w:szCs w:val="21"/>
        </w:rPr>
        <w:t>银行账号：</w:t>
      </w:r>
      <w:r>
        <w:rPr>
          <w:szCs w:val="21"/>
          <w:u w:val="single"/>
        </w:rPr>
        <w:t xml:space="preserve">                             </w:t>
      </w:r>
      <w:r>
        <w:rPr>
          <w:szCs w:val="21"/>
        </w:rPr>
        <w:t xml:space="preserve">     银行账号：</w:t>
      </w:r>
      <w:r>
        <w:rPr>
          <w:szCs w:val="21"/>
          <w:u w:val="single"/>
        </w:rPr>
        <w:t xml:space="preserve">                                  </w:t>
      </w:r>
      <w:r>
        <w:rPr>
          <w:szCs w:val="21"/>
        </w:rPr>
        <w:t>.</w:t>
      </w:r>
    </w:p>
    <w:p>
      <w:pPr>
        <w:tabs>
          <w:tab w:val="left" w:pos="5040"/>
        </w:tabs>
        <w:spacing w:line="360" w:lineRule="exact"/>
        <w:rPr>
          <w:szCs w:val="21"/>
        </w:rPr>
      </w:pPr>
      <w:r>
        <w:rPr>
          <w:szCs w:val="21"/>
        </w:rPr>
        <w:t>日    期：</w:t>
      </w:r>
      <w:r>
        <w:rPr>
          <w:szCs w:val="21"/>
          <w:u w:val="single"/>
        </w:rPr>
        <w:t xml:space="preserve">                             </w:t>
      </w:r>
      <w:r>
        <w:rPr>
          <w:szCs w:val="21"/>
        </w:rPr>
        <w:t xml:space="preserve">     日    期：</w:t>
      </w:r>
      <w:r>
        <w:rPr>
          <w:szCs w:val="21"/>
          <w:u w:val="single"/>
        </w:rPr>
        <w:t xml:space="preserve">                                   .</w:t>
      </w:r>
    </w:p>
    <w:p>
      <w:pPr>
        <w:pStyle w:val="2"/>
        <w:spacing w:line="0" w:lineRule="atLeast"/>
        <w:jc w:val="center"/>
        <w:rPr>
          <w:rFonts w:ascii="Times New Roman" w:hAnsi="Times New Roman"/>
        </w:rPr>
      </w:pPr>
      <w:r>
        <w:rPr>
          <w:rFonts w:ascii="Times New Roman" w:hAnsi="Times New Roman"/>
          <w:b w:val="0"/>
        </w:rPr>
        <w:br w:type="page"/>
      </w:r>
      <w:bookmarkStart w:id="71" w:name="_Toc2681"/>
      <w:bookmarkStart w:id="72" w:name="_Toc16706"/>
      <w:r>
        <w:rPr>
          <w:rFonts w:ascii="Times New Roman" w:hAnsi="Times New Roman"/>
        </w:rPr>
        <w:t>第六章、响应文件格式</w:t>
      </w:r>
      <w:bookmarkEnd w:id="71"/>
      <w:bookmarkEnd w:id="72"/>
    </w:p>
    <w:p>
      <w:pPr>
        <w:spacing w:line="440" w:lineRule="atLeast"/>
        <w:rPr>
          <w:b/>
          <w:sz w:val="24"/>
        </w:rPr>
      </w:pPr>
      <w:r>
        <w:rPr>
          <w:b/>
          <w:sz w:val="24"/>
        </w:rPr>
        <w:t>附件：</w:t>
      </w:r>
    </w:p>
    <w:p>
      <w:pPr>
        <w:spacing w:line="440" w:lineRule="atLeast"/>
        <w:jc w:val="center"/>
        <w:rPr>
          <w:b/>
          <w:sz w:val="28"/>
          <w:szCs w:val="28"/>
        </w:rPr>
      </w:pPr>
      <w:r>
        <w:rPr>
          <w:b/>
          <w:sz w:val="28"/>
          <w:szCs w:val="28"/>
        </w:rPr>
        <w:t>1、响应函（格式见附件）（必须提供）；</w:t>
      </w:r>
    </w:p>
    <w:p>
      <w:pPr>
        <w:spacing w:line="440" w:lineRule="atLeast"/>
        <w:jc w:val="center"/>
        <w:rPr>
          <w:b/>
          <w:sz w:val="28"/>
          <w:szCs w:val="28"/>
        </w:rPr>
      </w:pPr>
      <w:r>
        <w:rPr>
          <w:b/>
          <w:sz w:val="28"/>
          <w:szCs w:val="28"/>
        </w:rPr>
        <w:t>响应函（格式）</w:t>
      </w:r>
    </w:p>
    <w:p>
      <w:pPr>
        <w:spacing w:line="400" w:lineRule="exact"/>
      </w:pPr>
      <w:r>
        <w:rPr>
          <w:szCs w:val="21"/>
        </w:rPr>
        <w:t>致</w:t>
      </w:r>
      <w:r>
        <w:rPr>
          <w:szCs w:val="21"/>
          <w:u w:val="single"/>
        </w:rPr>
        <w:t>：</w:t>
      </w:r>
      <w:r>
        <w:rPr>
          <w:rFonts w:hint="eastAsia"/>
          <w:szCs w:val="21"/>
          <w:u w:val="single"/>
        </w:rPr>
        <w:t>广西通观工程咨询有限公司</w:t>
      </w:r>
    </w:p>
    <w:p>
      <w:pPr>
        <w:pStyle w:val="23"/>
        <w:spacing w:line="400" w:lineRule="exact"/>
        <w:ind w:firstLine="420"/>
        <w:rPr>
          <w:rFonts w:ascii="Times New Roman" w:hAnsi="Times New Roman"/>
          <w:szCs w:val="21"/>
        </w:rPr>
      </w:pPr>
      <w:r>
        <w:rPr>
          <w:rFonts w:ascii="Times New Roman" w:hAnsi="Times New Roman"/>
        </w:rPr>
        <w:t>根据贵方项目</w:t>
      </w:r>
      <w:r>
        <w:rPr>
          <w:rFonts w:ascii="Times New Roman" w:hAnsi="Times New Roman"/>
          <w:bCs/>
          <w:szCs w:val="21"/>
          <w:u w:val="single"/>
        </w:rPr>
        <w:t xml:space="preserve">        </w:t>
      </w:r>
      <w:r>
        <w:rPr>
          <w:rFonts w:ascii="Times New Roman" w:hAnsi="Times New Roman"/>
          <w:bCs/>
          <w:szCs w:val="21"/>
        </w:rPr>
        <w:t>竞争性</w:t>
      </w:r>
      <w:r>
        <w:rPr>
          <w:rFonts w:ascii="Times New Roman" w:hAnsi="Times New Roman"/>
        </w:rPr>
        <w:t>磋商文件，项目编号：</w:t>
      </w:r>
      <w:r>
        <w:rPr>
          <w:rFonts w:ascii="Times New Roman" w:hAnsi="Times New Roman"/>
          <w:bCs/>
          <w:szCs w:val="21"/>
          <w:u w:val="single"/>
        </w:rPr>
        <w:t xml:space="preserve">          </w:t>
      </w:r>
      <w:r>
        <w:rPr>
          <w:rFonts w:ascii="Times New Roman" w:hAnsi="Times New Roman"/>
          <w:szCs w:val="21"/>
        </w:rPr>
        <w:t>，签字代表</w:t>
      </w:r>
      <w:r>
        <w:rPr>
          <w:rFonts w:ascii="Times New Roman" w:hAnsi="Times New Roman"/>
          <w:szCs w:val="21"/>
          <w:u w:val="single"/>
        </w:rPr>
        <w:t xml:space="preserve">       </w:t>
      </w:r>
      <w:r>
        <w:rPr>
          <w:rFonts w:ascii="Times New Roman" w:hAnsi="Times New Roman"/>
        </w:rPr>
        <w:t xml:space="preserve">（姓名）经正式授权并代表磋商供应商 </w:t>
      </w:r>
      <w:r>
        <w:rPr>
          <w:rFonts w:ascii="Times New Roman" w:hAnsi="Times New Roman"/>
          <w:u w:val="single"/>
        </w:rPr>
        <w:t xml:space="preserve">                  （磋商单位名称）</w:t>
      </w:r>
      <w:r>
        <w:rPr>
          <w:rFonts w:ascii="Times New Roman" w:hAnsi="Times New Roman"/>
        </w:rPr>
        <w:t>，提交响应文件正本一份，副本肆份。</w:t>
      </w:r>
    </w:p>
    <w:p>
      <w:pPr>
        <w:pStyle w:val="23"/>
        <w:spacing w:line="400" w:lineRule="exact"/>
        <w:ind w:firstLine="420"/>
        <w:rPr>
          <w:rFonts w:ascii="Times New Roman" w:hAnsi="Times New Roman"/>
        </w:rPr>
      </w:pPr>
      <w:r>
        <w:rPr>
          <w:rFonts w:ascii="Times New Roman" w:hAnsi="Times New Roman"/>
        </w:rPr>
        <w:t>据此函，签字代表宣布同意如下：</w:t>
      </w:r>
    </w:p>
    <w:p>
      <w:pPr>
        <w:pStyle w:val="23"/>
        <w:spacing w:line="400" w:lineRule="exact"/>
        <w:ind w:firstLine="420"/>
        <w:rPr>
          <w:rFonts w:ascii="Times New Roman" w:hAnsi="Times New Roman"/>
        </w:rPr>
      </w:pPr>
      <w:r>
        <w:rPr>
          <w:rFonts w:ascii="Times New Roman" w:hAnsi="Times New Roman"/>
        </w:rPr>
        <w:t>1、按磋商文件服务要求和磋商报价表：</w:t>
      </w:r>
    </w:p>
    <w:p>
      <w:pPr>
        <w:pStyle w:val="23"/>
        <w:spacing w:line="400" w:lineRule="exact"/>
        <w:ind w:firstLine="420"/>
        <w:rPr>
          <w:rFonts w:ascii="Times New Roman" w:hAnsi="Times New Roman"/>
        </w:rPr>
      </w:pPr>
      <w:r>
        <w:rPr>
          <w:rFonts w:ascii="Times New Roman" w:hAnsi="Times New Roman"/>
        </w:rPr>
        <w:t>竞标总报价（大写）</w:t>
      </w:r>
      <w:r>
        <w:rPr>
          <w:rFonts w:ascii="Times New Roman" w:hAnsi="Times New Roman"/>
          <w:bCs/>
          <w:szCs w:val="21"/>
          <w:u w:val="single"/>
        </w:rPr>
        <w:t xml:space="preserve">        </w:t>
      </w:r>
      <w:r>
        <w:rPr>
          <w:rFonts w:ascii="Times New Roman" w:hAnsi="Times New Roman"/>
        </w:rPr>
        <w:t>元人民币(￥</w:t>
      </w:r>
      <w:r>
        <w:rPr>
          <w:rFonts w:ascii="Times New Roman" w:hAnsi="Times New Roman"/>
          <w:bCs/>
          <w:szCs w:val="21"/>
          <w:u w:val="single"/>
        </w:rPr>
        <w:t xml:space="preserve">        </w:t>
      </w:r>
      <w:r>
        <w:rPr>
          <w:rFonts w:ascii="Times New Roman" w:hAnsi="Times New Roman"/>
        </w:rPr>
        <w:t>)；</w:t>
      </w:r>
    </w:p>
    <w:p>
      <w:pPr>
        <w:pStyle w:val="23"/>
        <w:spacing w:line="400" w:lineRule="exact"/>
        <w:ind w:firstLine="420"/>
        <w:rPr>
          <w:rFonts w:ascii="Times New Roman" w:hAnsi="Times New Roman"/>
        </w:rPr>
      </w:pPr>
      <w:r>
        <w:rPr>
          <w:rFonts w:ascii="Times New Roman" w:hAnsi="Times New Roman"/>
        </w:rPr>
        <w:t>2、我方承诺已具备磋商文件规定的磋商供应商资格条件。</w:t>
      </w:r>
    </w:p>
    <w:p>
      <w:pPr>
        <w:pStyle w:val="23"/>
        <w:spacing w:line="400" w:lineRule="exact"/>
        <w:ind w:firstLine="420"/>
        <w:rPr>
          <w:rFonts w:ascii="Times New Roman" w:hAnsi="Times New Roman"/>
        </w:rPr>
      </w:pPr>
      <w:r>
        <w:rPr>
          <w:rFonts w:ascii="Times New Roman" w:hAnsi="Times New Roman"/>
        </w:rPr>
        <w:t>3、我方已详细审核磋商文件，包括修改文件（如有的话）和有关附件，完全理解并接受竞争性磋商文件的各项规定和要求，对竞争性磋商文件的合理性、合法性不再有异议。</w:t>
      </w:r>
    </w:p>
    <w:p>
      <w:pPr>
        <w:pStyle w:val="23"/>
        <w:spacing w:line="400" w:lineRule="exact"/>
        <w:ind w:firstLine="420"/>
        <w:rPr>
          <w:rFonts w:ascii="Times New Roman" w:hAnsi="Times New Roman"/>
        </w:rPr>
      </w:pPr>
      <w:r>
        <w:rPr>
          <w:rFonts w:ascii="Times New Roman" w:hAnsi="Times New Roman"/>
        </w:rPr>
        <w:t>4、响应文件有效期：响应文件递交截止时间之日起90天。</w:t>
      </w:r>
    </w:p>
    <w:p>
      <w:pPr>
        <w:pStyle w:val="23"/>
        <w:spacing w:line="400" w:lineRule="exact"/>
        <w:ind w:firstLine="420"/>
        <w:rPr>
          <w:rFonts w:ascii="Times New Roman" w:hAnsi="Times New Roman"/>
        </w:rPr>
      </w:pPr>
      <w:r>
        <w:rPr>
          <w:rFonts w:ascii="Times New Roman" w:hAnsi="Times New Roman"/>
        </w:rPr>
        <w:t>5、如我方成交：</w:t>
      </w:r>
    </w:p>
    <w:p>
      <w:pPr>
        <w:pStyle w:val="23"/>
        <w:spacing w:line="400" w:lineRule="exact"/>
        <w:ind w:firstLine="420"/>
        <w:rPr>
          <w:rFonts w:ascii="Times New Roman" w:hAnsi="Times New Roman"/>
        </w:rPr>
      </w:pPr>
      <w:r>
        <w:rPr>
          <w:rFonts w:ascii="Times New Roman" w:hAnsi="Times New Roman"/>
        </w:rPr>
        <w:t>（1）我方承诺在收到成交通知书后，在成交通知书规定的期限内与采购人签订合同。</w:t>
      </w:r>
    </w:p>
    <w:p>
      <w:pPr>
        <w:pStyle w:val="23"/>
        <w:spacing w:line="400" w:lineRule="exact"/>
        <w:ind w:firstLine="420"/>
        <w:rPr>
          <w:rFonts w:ascii="Times New Roman" w:hAnsi="Times New Roman"/>
        </w:rPr>
      </w:pPr>
      <w:r>
        <w:rPr>
          <w:rFonts w:ascii="Times New Roman" w:hAnsi="Times New Roman"/>
        </w:rPr>
        <w:t>（2）我方承诺按照磋商文件规定递交履约担保。</w:t>
      </w:r>
    </w:p>
    <w:p>
      <w:pPr>
        <w:pStyle w:val="23"/>
        <w:spacing w:line="400" w:lineRule="exact"/>
        <w:ind w:firstLine="420"/>
        <w:rPr>
          <w:rFonts w:ascii="Times New Roman" w:hAnsi="Times New Roman"/>
        </w:rPr>
      </w:pPr>
      <w:r>
        <w:rPr>
          <w:rFonts w:ascii="Times New Roman" w:hAnsi="Times New Roman"/>
        </w:rPr>
        <w:t>（3）我方承诺本响应文件至本项目合同履行完毕止均保持有效，按磋商文件及政府采购法律、法规的规定履行合同责任和义务。</w:t>
      </w:r>
    </w:p>
    <w:p>
      <w:pPr>
        <w:pStyle w:val="23"/>
        <w:spacing w:line="400" w:lineRule="exact"/>
        <w:ind w:firstLine="420"/>
        <w:rPr>
          <w:rFonts w:ascii="Times New Roman" w:hAnsi="Times New Roman"/>
        </w:rPr>
      </w:pPr>
      <w:r>
        <w:rPr>
          <w:rFonts w:ascii="Times New Roman" w:hAnsi="Times New Roman"/>
        </w:rPr>
        <w:t>与本磋商有关的正式通讯地址为：</w:t>
      </w:r>
    </w:p>
    <w:p>
      <w:pPr>
        <w:pStyle w:val="23"/>
        <w:spacing w:line="400" w:lineRule="exact"/>
        <w:ind w:firstLine="420"/>
        <w:rPr>
          <w:rFonts w:ascii="Times New Roman" w:hAnsi="Times New Roman"/>
          <w:u w:val="single"/>
        </w:rPr>
      </w:pPr>
      <w:r>
        <w:rPr>
          <w:rFonts w:ascii="Times New Roman" w:hAnsi="Times New Roman"/>
        </w:rPr>
        <w:t>地址：</w:t>
      </w:r>
      <w:r>
        <w:rPr>
          <w:rFonts w:ascii="Times New Roman" w:hAnsi="Times New Roman"/>
          <w:u w:val="single"/>
        </w:rPr>
        <w:t xml:space="preserve">                       </w:t>
      </w:r>
      <w:r>
        <w:rPr>
          <w:rFonts w:ascii="Times New Roman" w:hAnsi="Times New Roman"/>
        </w:rPr>
        <w:t xml:space="preserve"> 邮编：</w:t>
      </w:r>
      <w:r>
        <w:rPr>
          <w:rFonts w:ascii="Times New Roman" w:hAnsi="Times New Roman"/>
          <w:u w:val="single"/>
        </w:rPr>
        <w:t xml:space="preserve">           </w:t>
      </w:r>
      <w:r>
        <w:rPr>
          <w:rFonts w:ascii="Times New Roman" w:hAnsi="Times New Roman"/>
        </w:rPr>
        <w:t xml:space="preserve">  电话、传真：</w:t>
      </w:r>
      <w:r>
        <w:rPr>
          <w:rFonts w:ascii="Times New Roman" w:hAnsi="Times New Roman"/>
          <w:u w:val="single"/>
        </w:rPr>
        <w:t xml:space="preserve">           </w:t>
      </w:r>
      <w:r>
        <w:rPr>
          <w:rFonts w:ascii="Times New Roman" w:hAnsi="Times New Roman"/>
          <w:szCs w:val="21"/>
        </w:rPr>
        <w:t>。</w:t>
      </w:r>
    </w:p>
    <w:p>
      <w:pPr>
        <w:pStyle w:val="23"/>
        <w:spacing w:line="400" w:lineRule="exact"/>
        <w:ind w:firstLine="420"/>
        <w:rPr>
          <w:rFonts w:ascii="Times New Roman" w:hAnsi="Times New Roman"/>
          <w:szCs w:val="21"/>
        </w:rPr>
      </w:pPr>
      <w:r>
        <w:rPr>
          <w:rFonts w:ascii="Times New Roman" w:hAnsi="Times New Roman"/>
        </w:rPr>
        <w:t>开户名称：</w:t>
      </w:r>
      <w:r>
        <w:rPr>
          <w:rFonts w:ascii="Times New Roman" w:hAnsi="Times New Roman"/>
          <w:u w:val="single"/>
        </w:rPr>
        <w:t xml:space="preserve">                                       </w:t>
      </w:r>
      <w:r>
        <w:rPr>
          <w:rFonts w:ascii="Times New Roman" w:hAnsi="Times New Roman"/>
          <w:szCs w:val="21"/>
        </w:rPr>
        <w:t>；</w:t>
      </w:r>
    </w:p>
    <w:p>
      <w:pPr>
        <w:pStyle w:val="23"/>
        <w:spacing w:line="400" w:lineRule="exact"/>
        <w:ind w:firstLine="420"/>
        <w:rPr>
          <w:rFonts w:ascii="Times New Roman" w:hAnsi="Times New Roman"/>
          <w:szCs w:val="21"/>
        </w:rPr>
      </w:pPr>
      <w:r>
        <w:rPr>
          <w:rFonts w:ascii="Times New Roman" w:hAnsi="Times New Roman"/>
        </w:rPr>
        <w:t>开户银行：</w:t>
      </w:r>
      <w:r>
        <w:rPr>
          <w:rFonts w:ascii="Times New Roman" w:hAnsi="Times New Roman"/>
          <w:u w:val="single"/>
        </w:rPr>
        <w:t xml:space="preserve">                                       </w:t>
      </w:r>
      <w:r>
        <w:rPr>
          <w:rFonts w:ascii="Times New Roman" w:hAnsi="Times New Roman"/>
          <w:szCs w:val="21"/>
        </w:rPr>
        <w:t>；</w:t>
      </w:r>
    </w:p>
    <w:p>
      <w:pPr>
        <w:pStyle w:val="23"/>
        <w:spacing w:line="400" w:lineRule="exact"/>
        <w:ind w:firstLine="420"/>
        <w:rPr>
          <w:rFonts w:ascii="Times New Roman" w:hAnsi="Times New Roman"/>
        </w:rPr>
      </w:pPr>
      <w:r>
        <w:rPr>
          <w:rFonts w:ascii="Times New Roman" w:hAnsi="Times New Roman"/>
        </w:rPr>
        <w:t>账号：</w:t>
      </w:r>
      <w:r>
        <w:rPr>
          <w:rFonts w:ascii="Times New Roman" w:hAnsi="Times New Roman"/>
          <w:u w:val="single"/>
        </w:rPr>
        <w:t xml:space="preserve">                                           </w:t>
      </w:r>
      <w:r>
        <w:rPr>
          <w:rFonts w:ascii="Times New Roman" w:hAnsi="Times New Roman"/>
          <w:szCs w:val="21"/>
        </w:rPr>
        <w:t>；</w:t>
      </w:r>
    </w:p>
    <w:p>
      <w:pPr>
        <w:pStyle w:val="23"/>
        <w:spacing w:line="400" w:lineRule="exact"/>
        <w:ind w:firstLine="420"/>
        <w:rPr>
          <w:rFonts w:ascii="Times New Roman" w:hAnsi="Times New Roman"/>
        </w:rPr>
      </w:pPr>
      <w:r>
        <w:rPr>
          <w:rFonts w:ascii="Times New Roman" w:hAnsi="Times New Roman"/>
        </w:rPr>
        <w:t>磋商供应商（公章，自然人除外）：</w:t>
      </w:r>
      <w:r>
        <w:rPr>
          <w:rFonts w:ascii="Times New Roman" w:hAnsi="Times New Roman"/>
          <w:u w:val="single"/>
        </w:rPr>
        <w:t xml:space="preserve">                         </w:t>
      </w:r>
      <w:r>
        <w:rPr>
          <w:rFonts w:ascii="Times New Roman" w:hAnsi="Times New Roman"/>
          <w:szCs w:val="21"/>
        </w:rPr>
        <w:t>；</w:t>
      </w:r>
    </w:p>
    <w:p>
      <w:pPr>
        <w:pStyle w:val="23"/>
        <w:spacing w:line="400" w:lineRule="exact"/>
        <w:ind w:firstLine="420"/>
        <w:rPr>
          <w:rFonts w:ascii="Times New Roman" w:hAnsi="Times New Roman"/>
        </w:rPr>
      </w:pPr>
      <w:r>
        <w:rPr>
          <w:rFonts w:ascii="Times New Roman" w:hAnsi="Times New Roman"/>
        </w:rPr>
        <w:t>法定代表人或负责人或相应的委托代理人签字（或盖章）：</w:t>
      </w:r>
      <w:r>
        <w:rPr>
          <w:rFonts w:ascii="Times New Roman" w:hAnsi="Times New Roman"/>
          <w:u w:val="single"/>
        </w:rPr>
        <w:t xml:space="preserve">                   </w:t>
      </w:r>
      <w:r>
        <w:rPr>
          <w:rFonts w:ascii="Times New Roman" w:hAnsi="Times New Roman"/>
        </w:rPr>
        <w:t>；</w:t>
      </w:r>
    </w:p>
    <w:p>
      <w:pPr>
        <w:pStyle w:val="23"/>
        <w:spacing w:line="400" w:lineRule="exact"/>
        <w:ind w:firstLine="420"/>
        <w:rPr>
          <w:rFonts w:ascii="Times New Roman" w:hAnsi="Times New Roman"/>
          <w:u w:val="single"/>
        </w:rPr>
      </w:pPr>
      <w:r>
        <w:rPr>
          <w:rFonts w:ascii="Times New Roman" w:hAnsi="Times New Roman"/>
        </w:rPr>
        <w:t>响应日期：</w:t>
      </w:r>
      <w:r>
        <w:rPr>
          <w:rFonts w:ascii="Times New Roman" w:hAnsi="Times New Roman"/>
          <w:szCs w:val="21"/>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pPr>
        <w:pStyle w:val="23"/>
        <w:spacing w:line="400" w:lineRule="exact"/>
        <w:ind w:firstLine="404" w:firstLineChars="200"/>
        <w:rPr>
          <w:rFonts w:ascii="Times New Roman" w:hAnsi="Times New Roman"/>
          <w:bCs/>
          <w:spacing w:val="-4"/>
        </w:rPr>
      </w:pPr>
    </w:p>
    <w:p>
      <w:pPr>
        <w:pStyle w:val="23"/>
        <w:spacing w:line="400" w:lineRule="exact"/>
        <w:ind w:firstLine="404" w:firstLineChars="200"/>
        <w:rPr>
          <w:rFonts w:ascii="Times New Roman" w:hAnsi="Times New Roman"/>
          <w:bCs/>
          <w:szCs w:val="21"/>
        </w:rPr>
      </w:pPr>
      <w:r>
        <w:rPr>
          <w:rFonts w:ascii="Times New Roman" w:hAnsi="Times New Roman"/>
          <w:bCs/>
          <w:spacing w:val="-4"/>
        </w:rPr>
        <w:t>注：</w:t>
      </w:r>
      <w:r>
        <w:rPr>
          <w:rFonts w:ascii="Times New Roman" w:hAnsi="Times New Roman"/>
          <w:bCs/>
        </w:rPr>
        <w:t>响应函须由</w:t>
      </w:r>
      <w:r>
        <w:rPr>
          <w:rFonts w:ascii="Times New Roman" w:hAnsi="Times New Roman"/>
          <w:bCs/>
          <w:szCs w:val="21"/>
        </w:rPr>
        <w:t>法定代表人或负责人或相应的委托代理人签字（或盖章）并加盖供应商公章。</w:t>
      </w:r>
    </w:p>
    <w:p>
      <w:pPr>
        <w:widowControl/>
        <w:ind w:firstLine="548" w:firstLineChars="196"/>
        <w:jc w:val="left"/>
        <w:rPr>
          <w:b/>
          <w:sz w:val="28"/>
          <w:szCs w:val="28"/>
        </w:rPr>
      </w:pPr>
      <w:r>
        <w:rPr>
          <w:b/>
          <w:sz w:val="28"/>
          <w:szCs w:val="28"/>
        </w:rPr>
        <w:br w:type="page"/>
      </w:r>
      <w:r>
        <w:rPr>
          <w:b/>
          <w:sz w:val="28"/>
          <w:szCs w:val="28"/>
        </w:rPr>
        <w:t>2、磋商供应商的法定代表人或负责人身份证正反两面复印件（必须提供）；</w:t>
      </w:r>
    </w:p>
    <w:p>
      <w:pPr>
        <w:widowControl/>
        <w:ind w:firstLine="548" w:firstLineChars="196"/>
        <w:jc w:val="left"/>
        <w:rPr>
          <w:b/>
          <w:sz w:val="28"/>
          <w:szCs w:val="28"/>
        </w:rPr>
      </w:pPr>
    </w:p>
    <w:p>
      <w:pPr>
        <w:pStyle w:val="145"/>
        <w:rPr>
          <w:b/>
          <w:sz w:val="28"/>
          <w:szCs w:val="28"/>
        </w:rPr>
      </w:pPr>
    </w:p>
    <w:p>
      <w:pPr>
        <w:pStyle w:val="145"/>
        <w:rPr>
          <w:b/>
          <w:sz w:val="28"/>
          <w:szCs w:val="28"/>
        </w:rPr>
      </w:pPr>
    </w:p>
    <w:p>
      <w:pPr>
        <w:pStyle w:val="23"/>
        <w:ind w:firstLine="548" w:firstLineChars="196"/>
        <w:rPr>
          <w:rFonts w:ascii="Times New Roman" w:hAnsi="Times New Roman"/>
          <w:b/>
          <w:sz w:val="28"/>
          <w:szCs w:val="28"/>
        </w:rPr>
      </w:pPr>
      <w:r>
        <w:rPr>
          <w:rFonts w:ascii="Times New Roman" w:hAnsi="Times New Roman"/>
          <w:b/>
          <w:sz w:val="28"/>
          <w:szCs w:val="28"/>
        </w:rPr>
        <w:t>3、磋商供应商的授权委托书原件、委托代理人身份证正反面复印件</w:t>
      </w:r>
      <w:r>
        <w:rPr>
          <w:rFonts w:hint="eastAsia" w:ascii="Times New Roman" w:hAnsi="Times New Roman"/>
          <w:b/>
          <w:sz w:val="28"/>
          <w:szCs w:val="28"/>
        </w:rPr>
        <w:t>以及</w:t>
      </w:r>
      <w:r>
        <w:rPr>
          <w:rFonts w:ascii="Times New Roman" w:hAnsi="Times New Roman"/>
          <w:b/>
          <w:sz w:val="28"/>
          <w:szCs w:val="28"/>
        </w:rPr>
        <w:t>供应商为委托代理人交纳的2020年</w:t>
      </w:r>
      <w:r>
        <w:rPr>
          <w:rFonts w:hint="eastAsia" w:ascii="Times New Roman" w:hAnsi="Times New Roman"/>
          <w:b/>
          <w:sz w:val="28"/>
          <w:szCs w:val="28"/>
        </w:rPr>
        <w:t>7-9</w:t>
      </w:r>
      <w:r>
        <w:rPr>
          <w:rFonts w:ascii="Times New Roman" w:hAnsi="Times New Roman"/>
          <w:b/>
          <w:sz w:val="28"/>
          <w:szCs w:val="28"/>
        </w:rPr>
        <w:t>月份连续三个月缴纳的社保证明复印件（自然人投标的应提供自然人本人及委托代理人所交纳的2020年</w:t>
      </w:r>
      <w:r>
        <w:rPr>
          <w:rFonts w:hint="eastAsia" w:ascii="Times New Roman" w:hAnsi="Times New Roman"/>
          <w:b/>
          <w:sz w:val="28"/>
          <w:szCs w:val="28"/>
        </w:rPr>
        <w:t>7-9</w:t>
      </w:r>
      <w:r>
        <w:rPr>
          <w:rFonts w:ascii="Times New Roman" w:hAnsi="Times New Roman"/>
          <w:b/>
          <w:sz w:val="28"/>
          <w:szCs w:val="28"/>
        </w:rPr>
        <w:t>月份连续三个月缴纳的社保证明复印件）（委托代理时必须提供）；</w:t>
      </w:r>
    </w:p>
    <w:p>
      <w:pPr>
        <w:pStyle w:val="23"/>
        <w:ind w:firstLine="548" w:firstLineChars="196"/>
        <w:rPr>
          <w:rFonts w:ascii="Times New Roman" w:hAnsi="Times New Roman"/>
          <w:b/>
          <w:sz w:val="28"/>
          <w:szCs w:val="28"/>
        </w:rPr>
      </w:pPr>
      <w:r>
        <w:rPr>
          <w:rFonts w:ascii="Times New Roman" w:hAnsi="Times New Roman"/>
          <w:b/>
          <w:sz w:val="28"/>
          <w:szCs w:val="28"/>
        </w:rPr>
        <w:t>附件：</w:t>
      </w:r>
    </w:p>
    <w:p>
      <w:pPr>
        <w:pStyle w:val="23"/>
        <w:ind w:firstLine="548" w:firstLineChars="196"/>
        <w:jc w:val="center"/>
        <w:rPr>
          <w:rFonts w:ascii="Times New Roman" w:hAnsi="Times New Roman"/>
          <w:b/>
          <w:sz w:val="28"/>
          <w:szCs w:val="28"/>
        </w:rPr>
      </w:pPr>
      <w:r>
        <w:rPr>
          <w:rFonts w:ascii="Times New Roman" w:hAnsi="Times New Roman"/>
          <w:b/>
          <w:sz w:val="28"/>
          <w:szCs w:val="28"/>
        </w:rPr>
        <w:t>授权委托书（格式一）</w:t>
      </w:r>
    </w:p>
    <w:p>
      <w:pPr>
        <w:pStyle w:val="23"/>
        <w:rPr>
          <w:rFonts w:ascii="Times New Roman" w:hAnsi="Times New Roman"/>
        </w:rPr>
      </w:pPr>
    </w:p>
    <w:p>
      <w:pPr>
        <w:spacing w:line="400" w:lineRule="exact"/>
        <w:rPr>
          <w:szCs w:val="21"/>
        </w:rPr>
      </w:pPr>
      <w:r>
        <w:rPr>
          <w:szCs w:val="21"/>
        </w:rPr>
        <w:t>致：</w:t>
      </w:r>
      <w:r>
        <w:rPr>
          <w:szCs w:val="21"/>
          <w:u w:val="single"/>
        </w:rPr>
        <w:t xml:space="preserve"> </w:t>
      </w:r>
      <w:r>
        <w:rPr>
          <w:rFonts w:hint="eastAsia"/>
          <w:szCs w:val="21"/>
          <w:u w:val="single"/>
        </w:rPr>
        <w:t>广西通观工程咨询有限公司</w:t>
      </w:r>
    </w:p>
    <w:p>
      <w:pPr>
        <w:pStyle w:val="23"/>
        <w:spacing w:line="400" w:lineRule="exact"/>
        <w:ind w:firstLine="420" w:firstLineChars="200"/>
        <w:rPr>
          <w:rFonts w:ascii="Times New Roman" w:hAnsi="Times New Roman"/>
        </w:rPr>
      </w:pPr>
      <w:r>
        <w:rPr>
          <w:rFonts w:ascii="Times New Roman" w:hAnsi="Times New Roman"/>
          <w:kern w:val="0"/>
        </w:rPr>
        <w:t>我</w:t>
      </w:r>
      <w:r>
        <w:rPr>
          <w:rFonts w:ascii="Times New Roman" w:hAnsi="Times New Roman"/>
          <w:kern w:val="0"/>
          <w:u w:val="single"/>
        </w:rPr>
        <w:t xml:space="preserve">       </w:t>
      </w:r>
      <w:r>
        <w:rPr>
          <w:rFonts w:ascii="Times New Roman" w:hAnsi="Times New Roman"/>
          <w:kern w:val="0"/>
        </w:rPr>
        <w:t>（姓名）系</w:t>
      </w:r>
      <w:r>
        <w:rPr>
          <w:rFonts w:ascii="Times New Roman" w:hAnsi="Times New Roman"/>
          <w:kern w:val="0"/>
          <w:u w:val="single"/>
        </w:rPr>
        <w:t xml:space="preserve">             </w:t>
      </w:r>
      <w:r>
        <w:rPr>
          <w:rFonts w:ascii="Times New Roman" w:hAnsi="Times New Roman"/>
          <w:kern w:val="0"/>
        </w:rPr>
        <w:t>（供应商名称）的法定代表人（负责人），现授权委托本单位在职职工</w:t>
      </w:r>
      <w:r>
        <w:rPr>
          <w:rFonts w:ascii="Times New Roman" w:hAnsi="Times New Roman"/>
          <w:kern w:val="0"/>
          <w:u w:val="single"/>
        </w:rPr>
        <w:t xml:space="preserve">        </w:t>
      </w:r>
      <w:r>
        <w:rPr>
          <w:rFonts w:ascii="Times New Roman" w:hAnsi="Times New Roman"/>
          <w:kern w:val="0"/>
        </w:rPr>
        <w:t>（姓 名）以我公司名义参加</w:t>
      </w:r>
      <w:r>
        <w:rPr>
          <w:rFonts w:ascii="Times New Roman" w:hAnsi="Times New Roman"/>
          <w:kern w:val="0"/>
          <w:u w:val="single"/>
        </w:rPr>
        <w:t xml:space="preserve">     </w:t>
      </w:r>
      <w:r>
        <w:rPr>
          <w:rFonts w:ascii="Times New Roman" w:hAnsi="Times New Roman"/>
          <w:bCs/>
          <w:szCs w:val="21"/>
          <w:u w:val="single"/>
        </w:rPr>
        <w:t>（</w:t>
      </w:r>
      <w:r>
        <w:rPr>
          <w:rFonts w:ascii="Times New Roman" w:hAnsi="Times New Roman"/>
          <w:u w:val="single"/>
        </w:rPr>
        <w:t xml:space="preserve"> 项目名称、项目编号）      </w:t>
      </w:r>
      <w:r>
        <w:rPr>
          <w:rFonts w:ascii="Times New Roman" w:hAnsi="Times New Roman"/>
        </w:rPr>
        <w:t>项目的磋商活动，并代表我方全权办理针对上述项目的磋商、签约等具体事务和签署相关文件。</w:t>
      </w:r>
    </w:p>
    <w:p>
      <w:pPr>
        <w:pStyle w:val="23"/>
        <w:spacing w:line="400" w:lineRule="exact"/>
        <w:ind w:firstLine="420" w:firstLineChars="200"/>
        <w:rPr>
          <w:rFonts w:ascii="Times New Roman" w:hAnsi="Times New Roman"/>
        </w:rPr>
      </w:pPr>
      <w:r>
        <w:rPr>
          <w:rFonts w:ascii="Times New Roman" w:hAnsi="Times New Roman"/>
        </w:rPr>
        <w:t>我方对被授权人的签字事项负全部责任。</w:t>
      </w:r>
    </w:p>
    <w:p>
      <w:pPr>
        <w:pStyle w:val="23"/>
        <w:spacing w:beforeLines="50" w:line="400" w:lineRule="exact"/>
        <w:ind w:firstLine="420" w:firstLineChars="200"/>
        <w:rPr>
          <w:rFonts w:hAnsi="宋体"/>
          <w:u w:val="single"/>
        </w:rPr>
      </w:pPr>
      <w:r>
        <w:rPr>
          <w:rFonts w:hint="eastAsia" w:hAnsi="宋体"/>
        </w:rPr>
        <w:t>授权委托代理期限：</w:t>
      </w:r>
      <w:r>
        <w:rPr>
          <w:rFonts w:hint="eastAsia" w:hAnsi="宋体" w:cs="宋体"/>
        </w:rPr>
        <w:t>自即日起至该项目政府采购活动结束。</w:t>
      </w:r>
    </w:p>
    <w:p/>
    <w:p>
      <w:pPr>
        <w:spacing w:line="400" w:lineRule="exact"/>
        <w:ind w:firstLine="420" w:firstLineChars="200"/>
        <w:rPr>
          <w:kern w:val="0"/>
        </w:rPr>
      </w:pPr>
      <w:r>
        <w:rPr>
          <w:kern w:val="0"/>
        </w:rPr>
        <w:t>代理人无转委托权,特此委托。</w:t>
      </w:r>
    </w:p>
    <w:p>
      <w:pPr>
        <w:snapToGrid w:val="0"/>
        <w:spacing w:line="400" w:lineRule="exact"/>
        <w:ind w:firstLine="525"/>
        <w:outlineLvl w:val="4"/>
        <w:rPr>
          <w:szCs w:val="21"/>
        </w:rPr>
      </w:pPr>
    </w:p>
    <w:p>
      <w:pPr>
        <w:snapToGrid w:val="0"/>
        <w:spacing w:line="400" w:lineRule="exact"/>
        <w:ind w:firstLine="420"/>
        <w:outlineLvl w:val="4"/>
        <w:rPr>
          <w:szCs w:val="21"/>
        </w:rPr>
      </w:pPr>
      <w:r>
        <w:rPr>
          <w:szCs w:val="21"/>
        </w:rPr>
        <w:t>我已在下面签字，以资证明。</w:t>
      </w:r>
    </w:p>
    <w:p>
      <w:pPr>
        <w:snapToGrid w:val="0"/>
        <w:spacing w:line="400" w:lineRule="exact"/>
        <w:ind w:firstLine="420"/>
        <w:outlineLvl w:val="4"/>
        <w:rPr>
          <w:szCs w:val="21"/>
        </w:rPr>
      </w:pPr>
    </w:p>
    <w:p>
      <w:pPr>
        <w:snapToGrid w:val="0"/>
        <w:spacing w:line="400" w:lineRule="exact"/>
        <w:ind w:firstLine="420"/>
        <w:outlineLvl w:val="4"/>
        <w:rPr>
          <w:szCs w:val="21"/>
          <w:u w:val="single"/>
        </w:rPr>
      </w:pPr>
      <w:r>
        <w:rPr>
          <w:szCs w:val="21"/>
        </w:rPr>
        <w:t>供应商（公章）：</w:t>
      </w:r>
    </w:p>
    <w:p>
      <w:pPr>
        <w:snapToGrid w:val="0"/>
        <w:spacing w:line="400" w:lineRule="exact"/>
        <w:ind w:firstLine="420"/>
        <w:outlineLvl w:val="4"/>
        <w:rPr>
          <w:szCs w:val="21"/>
        </w:rPr>
      </w:pPr>
    </w:p>
    <w:p>
      <w:pPr>
        <w:snapToGrid w:val="0"/>
        <w:spacing w:line="400" w:lineRule="exact"/>
        <w:ind w:firstLine="420"/>
        <w:outlineLvl w:val="4"/>
        <w:rPr>
          <w:szCs w:val="21"/>
        </w:rPr>
      </w:pPr>
      <w:r>
        <w:rPr>
          <w:szCs w:val="21"/>
        </w:rPr>
        <w:t xml:space="preserve">法定代表人（负责人）签字或盖章：        　　 </w:t>
      </w:r>
    </w:p>
    <w:p>
      <w:pPr>
        <w:snapToGrid w:val="0"/>
        <w:spacing w:line="400" w:lineRule="exact"/>
        <w:ind w:firstLine="420"/>
        <w:outlineLvl w:val="4"/>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napToGrid w:val="0"/>
        <w:spacing w:line="400" w:lineRule="exact"/>
        <w:ind w:firstLine="420"/>
        <w:outlineLvl w:val="4"/>
        <w:rPr>
          <w:szCs w:val="21"/>
        </w:rPr>
      </w:pPr>
    </w:p>
    <w:p>
      <w:pPr>
        <w:pStyle w:val="23"/>
        <w:spacing w:line="320" w:lineRule="exact"/>
        <w:rPr>
          <w:rFonts w:hAnsi="宋体"/>
          <w:b/>
          <w:bCs/>
          <w:szCs w:val="21"/>
        </w:rPr>
      </w:pPr>
      <w:r>
        <w:rPr>
          <w:rFonts w:hint="eastAsia" w:hAnsi="宋体"/>
          <w:b/>
          <w:bCs/>
          <w:szCs w:val="21"/>
        </w:rPr>
        <w:t>附：委托代理人身份证正反面复印件以及自然人本人及委托代理人所交纳的2020年7-9月份连续三个月缴纳的社保证明复印件（委托代理时必须提供）。</w:t>
      </w:r>
    </w:p>
    <w:p>
      <w:pPr>
        <w:snapToGrid w:val="0"/>
        <w:spacing w:line="400" w:lineRule="exact"/>
        <w:jc w:val="center"/>
        <w:outlineLvl w:val="4"/>
        <w:rPr>
          <w:rFonts w:hAnsi="宋体"/>
          <w:b/>
          <w:bCs/>
          <w:szCs w:val="21"/>
        </w:rPr>
      </w:pPr>
      <w:r>
        <w:rPr>
          <w:rFonts w:hint="eastAsia" w:hAnsi="宋体"/>
          <w:b/>
          <w:sz w:val="32"/>
        </w:rPr>
        <w:t>授权委托书（格式二）</w:t>
      </w:r>
    </w:p>
    <w:p>
      <w:pPr>
        <w:snapToGrid w:val="0"/>
        <w:spacing w:line="400" w:lineRule="exact"/>
        <w:outlineLvl w:val="4"/>
        <w:rPr>
          <w:rFonts w:hAnsi="宋体"/>
          <w:b/>
          <w:bCs/>
          <w:szCs w:val="21"/>
        </w:rPr>
      </w:pPr>
    </w:p>
    <w:p>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u w:val="single"/>
        </w:rPr>
        <w:t xml:space="preserve"> 广西通观工程咨询有限公司</w:t>
      </w:r>
    </w:p>
    <w:p>
      <w:pPr>
        <w:snapToGrid w:val="0"/>
        <w:spacing w:line="400" w:lineRule="exact"/>
        <w:outlineLvl w:val="4"/>
        <w:rPr>
          <w:rFonts w:ascii="宋体" w:hAnsi="宋体"/>
          <w:szCs w:val="21"/>
          <w:u w:val="single"/>
        </w:rPr>
      </w:pPr>
    </w:p>
    <w:p>
      <w:pPr>
        <w:pStyle w:val="23"/>
        <w:spacing w:line="400" w:lineRule="exact"/>
        <w:ind w:firstLine="525" w:firstLineChars="250"/>
        <w:rPr>
          <w:rFonts w:hAnsi="宋体"/>
        </w:rPr>
      </w:pPr>
      <w:r>
        <w:rPr>
          <w:rFonts w:hint="eastAsia" w:hAnsi="宋体"/>
          <w:kern w:val="0"/>
        </w:rPr>
        <w:t>我</w:t>
      </w:r>
      <w:r>
        <w:rPr>
          <w:rFonts w:hint="eastAsia" w:hAnsi="宋体"/>
          <w:kern w:val="0"/>
          <w:u w:val="single"/>
        </w:rPr>
        <w:t xml:space="preserve">              </w:t>
      </w:r>
      <w:r>
        <w:rPr>
          <w:rFonts w:hint="eastAsia" w:hAnsi="宋体"/>
          <w:kern w:val="0"/>
        </w:rPr>
        <w:t>（姓名）系自然人，现授权委托</w:t>
      </w:r>
      <w:r>
        <w:rPr>
          <w:rFonts w:hint="eastAsia" w:hAnsi="宋体"/>
          <w:kern w:val="0"/>
          <w:u w:val="single"/>
        </w:rPr>
        <w:t xml:space="preserve">            </w:t>
      </w:r>
      <w:r>
        <w:rPr>
          <w:rFonts w:hint="eastAsia" w:hAnsi="宋体"/>
          <w:kern w:val="0"/>
        </w:rPr>
        <w:t>（姓名）以本人名义参加</w:t>
      </w:r>
      <w:r>
        <w:rPr>
          <w:rFonts w:hint="eastAsia" w:hAnsi="宋体"/>
          <w:kern w:val="0"/>
          <w:u w:val="single"/>
        </w:rPr>
        <w:t xml:space="preserve">      </w:t>
      </w:r>
      <w:r>
        <w:rPr>
          <w:rFonts w:hint="eastAsia" w:hAnsi="宋体"/>
          <w:u w:val="single"/>
        </w:rPr>
        <w:t xml:space="preserve">（项目名称及项目编号）        </w:t>
      </w:r>
      <w:r>
        <w:rPr>
          <w:rFonts w:hint="eastAsia" w:hAnsi="宋体"/>
        </w:rPr>
        <w:t>项目的投标活动，并代表本人全权办理针对上述项目的投标、开标、评标、签约等具体事务和签署相关文件。</w:t>
      </w:r>
    </w:p>
    <w:p>
      <w:pPr>
        <w:pStyle w:val="23"/>
        <w:spacing w:line="400" w:lineRule="exact"/>
        <w:ind w:firstLine="420" w:firstLineChars="200"/>
        <w:rPr>
          <w:rFonts w:hAnsi="宋体"/>
        </w:rPr>
      </w:pPr>
      <w:r>
        <w:rPr>
          <w:rFonts w:hint="eastAsia" w:hAnsi="宋体"/>
        </w:rPr>
        <w:t>我方对被授权人的签字事项负全部责任。</w:t>
      </w:r>
    </w:p>
    <w:p>
      <w:pPr>
        <w:pStyle w:val="23"/>
        <w:spacing w:beforeLines="50" w:line="400" w:lineRule="exact"/>
        <w:ind w:firstLine="420" w:firstLineChars="200"/>
        <w:rPr>
          <w:rFonts w:hAnsi="宋体"/>
          <w:u w:val="single"/>
        </w:rPr>
      </w:pPr>
      <w:r>
        <w:rPr>
          <w:rFonts w:hint="eastAsia" w:hAnsi="宋体"/>
        </w:rPr>
        <w:t>授权委托代理期限：</w:t>
      </w:r>
      <w:r>
        <w:rPr>
          <w:rFonts w:hint="eastAsia" w:hAnsi="宋体" w:cs="宋体"/>
        </w:rPr>
        <w:t>自即日起至该项目政府采购活动结束。</w:t>
      </w:r>
    </w:p>
    <w:p>
      <w:pPr>
        <w:pStyle w:val="23"/>
        <w:spacing w:line="400" w:lineRule="exact"/>
        <w:rPr>
          <w:rFonts w:hAnsi="宋体"/>
          <w:u w:val="single"/>
        </w:rPr>
      </w:pPr>
      <w:r>
        <w:rPr>
          <w:rFonts w:hint="eastAsia" w:hAnsi="宋体"/>
        </w:rPr>
        <w:t xml:space="preserve">                                                                                             </w:t>
      </w:r>
    </w:p>
    <w:p>
      <w:pPr>
        <w:spacing w:line="400" w:lineRule="exact"/>
        <w:ind w:firstLine="420" w:firstLineChars="200"/>
        <w:rPr>
          <w:rFonts w:ascii="宋体" w:hAnsi="宋体"/>
          <w:kern w:val="0"/>
        </w:rPr>
      </w:pPr>
      <w:r>
        <w:rPr>
          <w:rFonts w:hint="eastAsia" w:ascii="宋体" w:hAnsi="宋体"/>
          <w:kern w:val="0"/>
        </w:rPr>
        <w:t>代理人无转委托权,特此委托。</w:t>
      </w:r>
      <w:r>
        <w:rPr>
          <w:rFonts w:ascii="宋体" w:hAnsi="宋体"/>
          <w:kern w:val="0"/>
        </w:rPr>
        <w:t xml:space="preserve"> </w:t>
      </w:r>
    </w:p>
    <w:p>
      <w:pPr>
        <w:snapToGrid w:val="0"/>
        <w:spacing w:line="400" w:lineRule="exact"/>
        <w:ind w:firstLine="525"/>
        <w:outlineLvl w:val="4"/>
        <w:rPr>
          <w:rFonts w:ascii="宋体" w:hAnsi="宋体"/>
          <w:szCs w:val="21"/>
        </w:rPr>
      </w:pPr>
    </w:p>
    <w:p>
      <w:pPr>
        <w:snapToGrid w:val="0"/>
        <w:spacing w:line="400" w:lineRule="exact"/>
        <w:ind w:firstLine="420"/>
        <w:outlineLvl w:val="4"/>
        <w:rPr>
          <w:rFonts w:ascii="宋体" w:hAnsi="宋体"/>
          <w:szCs w:val="21"/>
        </w:rPr>
      </w:pPr>
      <w:r>
        <w:rPr>
          <w:rFonts w:hint="eastAsia" w:ascii="宋体" w:hAnsi="宋体"/>
          <w:szCs w:val="21"/>
        </w:rPr>
        <w:t>我已在下面签字，以资证明。</w:t>
      </w:r>
    </w:p>
    <w:p>
      <w:pPr>
        <w:snapToGrid w:val="0"/>
        <w:spacing w:line="400" w:lineRule="exact"/>
        <w:ind w:firstLine="420"/>
        <w:outlineLvl w:val="4"/>
        <w:rPr>
          <w:rFonts w:ascii="宋体" w:hAnsi="宋体"/>
          <w:szCs w:val="21"/>
        </w:rPr>
      </w:pPr>
    </w:p>
    <w:p>
      <w:pPr>
        <w:snapToGrid w:val="0"/>
        <w:spacing w:line="400" w:lineRule="exact"/>
        <w:ind w:firstLine="420"/>
        <w:outlineLvl w:val="4"/>
        <w:rPr>
          <w:rFonts w:ascii="宋体" w:hAnsi="宋体"/>
          <w:szCs w:val="21"/>
        </w:rPr>
      </w:pPr>
    </w:p>
    <w:p>
      <w:pPr>
        <w:snapToGrid w:val="0"/>
        <w:spacing w:line="400" w:lineRule="exact"/>
        <w:ind w:firstLine="420"/>
        <w:outlineLvl w:val="4"/>
        <w:rPr>
          <w:rFonts w:ascii="宋体" w:hAnsi="宋体"/>
          <w:szCs w:val="21"/>
        </w:rPr>
      </w:pPr>
      <w:r>
        <w:rPr>
          <w:rFonts w:hint="eastAsia" w:ascii="宋体" w:hAnsi="宋体"/>
          <w:szCs w:val="21"/>
        </w:rPr>
        <w:t>自然人签字并在签名处加盖大拇指指印：</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12"/>
      </w:pPr>
    </w:p>
    <w:p>
      <w:pPr>
        <w:pStyle w:val="23"/>
        <w:spacing w:line="320" w:lineRule="exact"/>
        <w:rPr>
          <w:rFonts w:hAnsi="宋体"/>
          <w:b/>
          <w:bCs/>
          <w:szCs w:val="21"/>
        </w:rPr>
      </w:pPr>
      <w:r>
        <w:rPr>
          <w:rFonts w:hint="eastAsia" w:hAnsi="宋体"/>
          <w:b/>
          <w:bCs/>
          <w:szCs w:val="21"/>
        </w:rPr>
        <w:t>附：委托代理人身份证正反面复印件以及由县级以上（含县级）社会养老保险经办机构出具的自然人本人及委托代理人所交纳的（2020年7-9月）社保证明复印件（委托代理时必须提供）。</w:t>
      </w:r>
    </w:p>
    <w:p>
      <w:pPr>
        <w:pStyle w:val="23"/>
        <w:spacing w:line="400" w:lineRule="exact"/>
        <w:ind w:left="420" w:leftChars="200" w:firstLine="408" w:firstLineChars="146"/>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t>4、磋商供应商参加政府采购活动前3年内在经营活动中没有重大违法记录及有关信用信息的书面声明（必须提供）</w:t>
      </w:r>
    </w:p>
    <w:p>
      <w:pPr>
        <w:pStyle w:val="23"/>
        <w:spacing w:line="400" w:lineRule="exact"/>
        <w:ind w:left="420" w:leftChars="200" w:firstLine="156" w:firstLineChars="49"/>
        <w:rPr>
          <w:rFonts w:ascii="Times New Roman" w:hAnsi="Times New Roman"/>
          <w:b/>
          <w:sz w:val="32"/>
          <w:szCs w:val="32"/>
        </w:rPr>
      </w:pPr>
    </w:p>
    <w:p>
      <w:pPr>
        <w:pStyle w:val="23"/>
        <w:spacing w:line="400" w:lineRule="exact"/>
        <w:ind w:left="420" w:leftChars="200" w:firstLine="137" w:firstLineChars="49"/>
        <w:rPr>
          <w:rFonts w:ascii="Times New Roman" w:hAnsi="Times New Roman"/>
          <w:b/>
          <w:sz w:val="28"/>
          <w:szCs w:val="28"/>
        </w:rPr>
      </w:pPr>
      <w:r>
        <w:rPr>
          <w:rFonts w:ascii="Times New Roman" w:hAnsi="Times New Roman"/>
          <w:b/>
          <w:sz w:val="28"/>
          <w:szCs w:val="28"/>
        </w:rPr>
        <w:t>附件：</w:t>
      </w:r>
    </w:p>
    <w:p>
      <w:pPr>
        <w:pStyle w:val="23"/>
        <w:spacing w:line="400" w:lineRule="exact"/>
        <w:jc w:val="center"/>
        <w:rPr>
          <w:rFonts w:ascii="Times New Roman" w:hAnsi="Times New Roman"/>
          <w:b/>
          <w:sz w:val="32"/>
          <w:szCs w:val="32"/>
        </w:rPr>
      </w:pPr>
      <w:r>
        <w:rPr>
          <w:rFonts w:ascii="Times New Roman" w:hAnsi="Times New Roman"/>
          <w:b/>
          <w:sz w:val="32"/>
          <w:szCs w:val="32"/>
        </w:rPr>
        <w:t>声   明</w:t>
      </w:r>
    </w:p>
    <w:p>
      <w:pPr>
        <w:snapToGrid w:val="0"/>
        <w:spacing w:line="400" w:lineRule="exact"/>
        <w:outlineLvl w:val="4"/>
        <w:rPr>
          <w:szCs w:val="21"/>
          <w:u w:val="single"/>
        </w:rPr>
      </w:pPr>
      <w:r>
        <w:rPr>
          <w:b/>
          <w:szCs w:val="21"/>
        </w:rPr>
        <w:t>致</w:t>
      </w:r>
      <w:r>
        <w:rPr>
          <w:szCs w:val="21"/>
        </w:rPr>
        <w:t>：</w:t>
      </w:r>
      <w:r>
        <w:rPr>
          <w:rFonts w:hint="eastAsia"/>
          <w:u w:val="single"/>
        </w:rPr>
        <w:t>广西通观工程咨询有限公司</w:t>
      </w:r>
    </w:p>
    <w:p>
      <w:pPr>
        <w:pStyle w:val="23"/>
        <w:spacing w:line="380" w:lineRule="exact"/>
        <w:ind w:firstLine="420" w:firstLineChars="200"/>
        <w:rPr>
          <w:rFonts w:ascii="Times New Roman" w:hAnsi="Times New Roman"/>
        </w:rPr>
      </w:pPr>
      <w:r>
        <w:rPr>
          <w:rFonts w:ascii="Times New Roman" w:hAnsi="Times New Roman"/>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20"/>
        <w:outlineLvl w:val="4"/>
        <w:rPr>
          <w:szCs w:val="21"/>
        </w:rPr>
      </w:pPr>
    </w:p>
    <w:p>
      <w:pPr>
        <w:snapToGrid w:val="0"/>
        <w:spacing w:line="400" w:lineRule="exact"/>
        <w:ind w:firstLine="420"/>
        <w:outlineLvl w:val="4"/>
        <w:rPr>
          <w:szCs w:val="21"/>
        </w:rPr>
      </w:pPr>
    </w:p>
    <w:p>
      <w:pPr>
        <w:snapToGrid w:val="0"/>
        <w:spacing w:line="400" w:lineRule="exact"/>
        <w:ind w:firstLine="420"/>
        <w:outlineLvl w:val="4"/>
        <w:rPr>
          <w:szCs w:val="21"/>
        </w:rPr>
      </w:pPr>
    </w:p>
    <w:p>
      <w:pPr>
        <w:snapToGrid w:val="0"/>
        <w:spacing w:line="400" w:lineRule="exact"/>
        <w:ind w:firstLine="420"/>
        <w:outlineLvl w:val="4"/>
        <w:rPr>
          <w:szCs w:val="21"/>
        </w:rPr>
      </w:pPr>
    </w:p>
    <w:p>
      <w:pPr>
        <w:snapToGrid w:val="0"/>
        <w:spacing w:line="400" w:lineRule="exact"/>
        <w:ind w:firstLine="420"/>
        <w:outlineLvl w:val="4"/>
        <w:rPr>
          <w:szCs w:val="21"/>
        </w:rPr>
      </w:pPr>
    </w:p>
    <w:p>
      <w:pPr>
        <w:snapToGrid w:val="0"/>
        <w:spacing w:line="400" w:lineRule="exact"/>
        <w:ind w:firstLine="4935" w:firstLineChars="2350"/>
        <w:outlineLvl w:val="4"/>
        <w:rPr>
          <w:szCs w:val="21"/>
          <w:u w:val="single"/>
        </w:rPr>
      </w:pPr>
      <w:r>
        <w:rPr>
          <w:szCs w:val="21"/>
        </w:rPr>
        <w:t>磋商供应商（公章）：</w:t>
      </w:r>
      <w:r>
        <w:rPr>
          <w:szCs w:val="21"/>
          <w:u w:val="single"/>
        </w:rPr>
        <w:t xml:space="preserve">          .                               </w:t>
      </w:r>
    </w:p>
    <w:p>
      <w:pPr>
        <w:snapToGrid w:val="0"/>
        <w:spacing w:line="400" w:lineRule="exact"/>
        <w:ind w:firstLine="420"/>
        <w:outlineLvl w:val="4"/>
        <w:rPr>
          <w:szCs w:val="21"/>
        </w:rPr>
      </w:pPr>
    </w:p>
    <w:p>
      <w:pPr>
        <w:spacing w:line="340" w:lineRule="exact"/>
        <w:ind w:left="4935" w:leftChars="2350"/>
        <w:rPr>
          <w:szCs w:val="21"/>
          <w:u w:val="single"/>
        </w:rPr>
      </w:pPr>
      <w:r>
        <w:t>法定代表人或负责人或相应的委托代理人签字或盖章：</w:t>
      </w:r>
      <w:r>
        <w:rPr>
          <w:szCs w:val="21"/>
          <w:u w:val="single"/>
        </w:rPr>
        <w:t xml:space="preserve">                        .</w:t>
      </w:r>
    </w:p>
    <w:p>
      <w:pPr>
        <w:spacing w:line="340" w:lineRule="exact"/>
        <w:ind w:firstLine="420" w:firstLineChars="200"/>
      </w:pPr>
    </w:p>
    <w:p>
      <w:pPr>
        <w:pStyle w:val="23"/>
        <w:ind w:firstLine="4935" w:firstLineChars="2350"/>
        <w:rPr>
          <w:rFonts w:ascii="Times New Roman" w:hAnsi="Times New Roman"/>
          <w:b/>
          <w:sz w:val="32"/>
        </w:rPr>
      </w:pPr>
      <w:r>
        <w:rPr>
          <w:rFonts w:ascii="Times New Roman" w:hAnsi="Times New Roman"/>
        </w:rPr>
        <w:t>日      期：</w:t>
      </w:r>
      <w:r>
        <w:rPr>
          <w:rFonts w:ascii="Times New Roman" w:hAnsi="Times New Roman"/>
          <w:u w:val="single"/>
        </w:rPr>
        <w:t xml:space="preserve">                         </w:t>
      </w:r>
      <w:r>
        <w:rPr>
          <w:rFonts w:ascii="Times New Roman" w:hAnsi="Times New Roman"/>
        </w:rPr>
        <w:t>.</w:t>
      </w:r>
    </w:p>
    <w:p>
      <w:pPr>
        <w:spacing w:line="340" w:lineRule="exact"/>
        <w:ind w:firstLine="420" w:firstLineChars="200"/>
      </w:pPr>
    </w:p>
    <w:p>
      <w:pPr>
        <w:spacing w:line="340" w:lineRule="exact"/>
        <w:ind w:firstLine="420" w:firstLineChars="200"/>
      </w:pPr>
    </w:p>
    <w:p>
      <w:pPr>
        <w:spacing w:line="340" w:lineRule="exact"/>
        <w:ind w:firstLine="420" w:firstLineChars="200"/>
      </w:pPr>
    </w:p>
    <w:p>
      <w:pPr>
        <w:spacing w:line="340" w:lineRule="exact"/>
        <w:ind w:firstLine="420" w:firstLineChars="200"/>
      </w:pPr>
    </w:p>
    <w:p>
      <w:pPr>
        <w:spacing w:line="340" w:lineRule="exact"/>
        <w:ind w:firstLine="420" w:firstLineChars="200"/>
      </w:pPr>
    </w:p>
    <w:p>
      <w:pPr>
        <w:spacing w:line="340" w:lineRule="exact"/>
        <w:ind w:firstLine="420" w:firstLineChars="200"/>
      </w:pPr>
    </w:p>
    <w:p>
      <w:pPr>
        <w:spacing w:line="340" w:lineRule="exact"/>
        <w:ind w:firstLine="420" w:firstLineChars="200"/>
      </w:pPr>
    </w:p>
    <w:p>
      <w:pPr>
        <w:spacing w:line="340" w:lineRule="exact"/>
        <w:ind w:firstLine="420" w:firstLineChars="200"/>
      </w:pPr>
    </w:p>
    <w:p>
      <w:pPr>
        <w:spacing w:line="340" w:lineRule="exact"/>
        <w:ind w:firstLine="420" w:firstLineChars="200"/>
      </w:pPr>
    </w:p>
    <w:p>
      <w:pPr>
        <w:spacing w:line="340" w:lineRule="exact"/>
        <w:ind w:firstLine="420" w:firstLineChars="200"/>
      </w:pPr>
    </w:p>
    <w:p>
      <w:pPr>
        <w:spacing w:line="340" w:lineRule="exact"/>
        <w:ind w:firstLine="420" w:firstLineChars="200"/>
      </w:pPr>
    </w:p>
    <w:p>
      <w:pPr>
        <w:spacing w:line="340" w:lineRule="exact"/>
        <w:ind w:firstLine="420" w:firstLineChars="200"/>
      </w:pPr>
    </w:p>
    <w:p>
      <w:pPr>
        <w:spacing w:line="340" w:lineRule="exact"/>
        <w:ind w:firstLine="420" w:firstLineChars="200"/>
      </w:pPr>
    </w:p>
    <w:p>
      <w:pPr>
        <w:spacing w:line="340" w:lineRule="exact"/>
        <w:ind w:firstLine="420" w:firstLineChars="200"/>
      </w:pPr>
    </w:p>
    <w:p>
      <w:pPr>
        <w:pStyle w:val="23"/>
        <w:rPr>
          <w:rFonts w:ascii="Times New Roman" w:hAnsi="Times New Roman"/>
          <w:b/>
          <w:sz w:val="32"/>
        </w:rPr>
      </w:pPr>
    </w:p>
    <w:p>
      <w:pPr>
        <w:spacing w:line="340" w:lineRule="exact"/>
        <w:ind w:firstLine="640" w:firstLineChars="200"/>
        <w:rPr>
          <w:b/>
          <w:sz w:val="32"/>
          <w:szCs w:val="20"/>
        </w:rPr>
      </w:pPr>
    </w:p>
    <w:p>
      <w:pPr>
        <w:pStyle w:val="23"/>
        <w:ind w:firstLine="627" w:firstLineChars="196"/>
        <w:rPr>
          <w:rFonts w:ascii="Times New Roman" w:hAnsi="Times New Roman"/>
          <w:b/>
          <w:sz w:val="32"/>
        </w:rPr>
      </w:pPr>
    </w:p>
    <w:p>
      <w:pPr>
        <w:pStyle w:val="23"/>
        <w:ind w:firstLine="548" w:firstLineChars="196"/>
        <w:rPr>
          <w:rFonts w:ascii="Times New Roman" w:hAnsi="Times New Roman"/>
          <w:b/>
          <w:sz w:val="28"/>
          <w:szCs w:val="28"/>
        </w:rPr>
      </w:pPr>
      <w:r>
        <w:rPr>
          <w:rFonts w:hint="eastAsia" w:ascii="Times New Roman" w:hAnsi="Times New Roman"/>
          <w:b/>
          <w:sz w:val="28"/>
          <w:szCs w:val="28"/>
        </w:rPr>
        <w:t>5</w:t>
      </w:r>
      <w:r>
        <w:rPr>
          <w:rFonts w:ascii="Times New Roman" w:hAnsi="Times New Roman"/>
          <w:b/>
          <w:sz w:val="28"/>
          <w:szCs w:val="28"/>
        </w:rPr>
        <w:t>、磋商供应商的法人或其他组织的营业执照副本复印件（必须提供）；</w:t>
      </w:r>
    </w:p>
    <w:p>
      <w:pPr>
        <w:pStyle w:val="23"/>
        <w:ind w:firstLine="617" w:firstLineChars="294"/>
        <w:rPr>
          <w:rFonts w:ascii="Times New Roman" w:hAnsi="Times New Roman"/>
          <w:b/>
          <w:szCs w:val="21"/>
        </w:rPr>
      </w:pPr>
      <w:r>
        <w:rPr>
          <w:rFonts w:ascii="Times New Roman" w:hAnsi="Times New Roman"/>
          <w:b/>
          <w:szCs w:val="21"/>
        </w:rPr>
        <w:t>注：</w:t>
      </w:r>
      <w:r>
        <w:rPr>
          <w:rFonts w:hint="eastAsia" w:hAnsi="宋体" w:cs="宋体"/>
          <w:b/>
          <w:szCs w:val="21"/>
        </w:rPr>
        <w:t>①</w:t>
      </w:r>
      <w:r>
        <w:rPr>
          <w:rFonts w:ascii="Times New Roman" w:hAnsi="Times New Roman"/>
          <w:b/>
          <w:szCs w:val="21"/>
        </w:rPr>
        <w:t>法人包括企业法人、机关法人、事业单位法人和社会团体法人；其他组织主要包括合伙企业、非企业专业服务机构、个体工商户、农村承包经营户。</w:t>
      </w:r>
      <w:r>
        <w:rPr>
          <w:rFonts w:hint="eastAsia" w:hAnsi="宋体" w:cs="宋体"/>
          <w:b/>
          <w:szCs w:val="21"/>
        </w:rPr>
        <w:t>②</w:t>
      </w:r>
      <w:r>
        <w:rPr>
          <w:rFonts w:ascii="Times New Roman" w:hAnsi="Times New Roman"/>
          <w:b/>
          <w:szCs w:val="21"/>
        </w:rPr>
        <w:t>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12"/>
      </w:pPr>
    </w:p>
    <w:p/>
    <w:p>
      <w:pPr>
        <w:pStyle w:val="23"/>
        <w:spacing w:line="300" w:lineRule="exact"/>
        <w:ind w:left="420"/>
        <w:rPr>
          <w:rFonts w:ascii="Times New Roman" w:hAnsi="Times New Roman"/>
          <w:b/>
          <w:sz w:val="28"/>
          <w:szCs w:val="28"/>
        </w:rPr>
      </w:pPr>
      <w:r>
        <w:rPr>
          <w:rFonts w:hint="eastAsia" w:ascii="Times New Roman" w:hAnsi="Times New Roman"/>
          <w:b/>
          <w:sz w:val="28"/>
          <w:szCs w:val="28"/>
        </w:rPr>
        <w:t>6</w:t>
      </w:r>
      <w:r>
        <w:rPr>
          <w:rFonts w:ascii="Times New Roman" w:hAnsi="Times New Roman"/>
          <w:b/>
          <w:sz w:val="28"/>
          <w:szCs w:val="28"/>
        </w:rPr>
        <w:t>、磋商报价表（必须提供）</w:t>
      </w:r>
    </w:p>
    <w:p>
      <w:pPr>
        <w:pStyle w:val="23"/>
        <w:spacing w:line="300" w:lineRule="exact"/>
        <w:ind w:left="420"/>
        <w:rPr>
          <w:b/>
          <w:color w:val="0000FF"/>
          <w:sz w:val="28"/>
          <w:szCs w:val="28"/>
        </w:rPr>
      </w:pPr>
    </w:p>
    <w:p>
      <w:pPr>
        <w:pStyle w:val="23"/>
        <w:spacing w:line="300" w:lineRule="exact"/>
        <w:ind w:left="420"/>
        <w:rPr>
          <w:rFonts w:ascii="Times New Roman" w:hAnsi="Times New Roman"/>
          <w:b/>
          <w:sz w:val="28"/>
          <w:szCs w:val="28"/>
        </w:rPr>
      </w:pPr>
      <w:r>
        <w:rPr>
          <w:rFonts w:hint="eastAsia"/>
          <w:b/>
          <w:color w:val="0000FF"/>
          <w:sz w:val="28"/>
          <w:szCs w:val="28"/>
        </w:rPr>
        <w:t>投标人需根椐招标文件“第三章 服务采购需求”中的“二、工作内容”进行分项报价。（格式自拟）</w:t>
      </w:r>
    </w:p>
    <w:p>
      <w:pPr>
        <w:tabs>
          <w:tab w:val="left" w:pos="1305"/>
        </w:tabs>
        <w:spacing w:line="400" w:lineRule="exact"/>
        <w:ind w:firstLine="560" w:firstLineChars="200"/>
        <w:rPr>
          <w:b/>
          <w:color w:val="0000FF"/>
          <w:sz w:val="28"/>
          <w:szCs w:val="28"/>
        </w:rPr>
      </w:pPr>
    </w:p>
    <w:p>
      <w:pPr>
        <w:tabs>
          <w:tab w:val="left" w:pos="1305"/>
        </w:tabs>
        <w:spacing w:line="400" w:lineRule="exact"/>
        <w:ind w:firstLine="560" w:firstLineChars="200"/>
        <w:rPr>
          <w:b/>
          <w:color w:val="0000FF"/>
          <w:sz w:val="28"/>
          <w:szCs w:val="28"/>
        </w:rPr>
      </w:pPr>
    </w:p>
    <w:p>
      <w:pPr>
        <w:spacing w:line="340" w:lineRule="exact"/>
        <w:rPr>
          <w:szCs w:val="21"/>
          <w:u w:val="single"/>
        </w:rPr>
      </w:pPr>
      <w:r>
        <w:rPr>
          <w:szCs w:val="21"/>
        </w:rPr>
        <w:t>供应商（公章）：</w:t>
      </w:r>
      <w:r>
        <w:rPr>
          <w:szCs w:val="21"/>
          <w:u w:val="single"/>
        </w:rPr>
        <w:t xml:space="preserve">                                        ；</w:t>
      </w:r>
    </w:p>
    <w:p>
      <w:pPr>
        <w:spacing w:line="340" w:lineRule="exact"/>
        <w:rPr>
          <w:szCs w:val="21"/>
          <w:u w:val="single"/>
        </w:rPr>
      </w:pPr>
      <w:r>
        <w:t>法定代表人或负责人或相应的委托代理人签字或盖章：</w:t>
      </w:r>
      <w:r>
        <w:rPr>
          <w:szCs w:val="21"/>
          <w:u w:val="single"/>
        </w:rPr>
        <w:t xml:space="preserve">                       . </w:t>
      </w:r>
    </w:p>
    <w:p>
      <w:pPr>
        <w:spacing w:line="340" w:lineRule="exact"/>
        <w:rPr>
          <w:szCs w:val="21"/>
          <w:u w:val="single"/>
        </w:rPr>
      </w:pPr>
      <w:r>
        <w:rPr>
          <w:szCs w:val="21"/>
        </w:rPr>
        <w:t>日期：</w:t>
      </w:r>
      <w:r>
        <w:rPr>
          <w:szCs w:val="21"/>
          <w:u w:val="single"/>
        </w:rPr>
        <w:t xml:space="preserve">                        </w:t>
      </w:r>
      <w:r>
        <w:rPr>
          <w:szCs w:val="21"/>
        </w:rPr>
        <w:t>。</w:t>
      </w:r>
    </w:p>
    <w:p>
      <w:pPr>
        <w:spacing w:line="340" w:lineRule="exact"/>
      </w:pPr>
      <w:r>
        <w:t xml:space="preserve"> </w:t>
      </w:r>
    </w:p>
    <w:p>
      <w:pPr>
        <w:tabs>
          <w:tab w:val="left" w:pos="1305"/>
        </w:tabs>
        <w:spacing w:line="340" w:lineRule="exact"/>
        <w:ind w:firstLine="205" w:firstLineChars="98"/>
        <w:rPr>
          <w:bCs/>
          <w:szCs w:val="21"/>
        </w:rPr>
      </w:pPr>
      <w:r>
        <w:rPr>
          <w:bCs/>
          <w:szCs w:val="21"/>
        </w:rPr>
        <w:t>注</w:t>
      </w:r>
      <w:r>
        <w:rPr>
          <w:b/>
          <w:bCs/>
          <w:szCs w:val="21"/>
        </w:rPr>
        <w:t>：</w:t>
      </w:r>
      <w:r>
        <w:rPr>
          <w:bCs/>
          <w:szCs w:val="21"/>
        </w:rPr>
        <w:t>1、各供应商</w:t>
      </w:r>
      <w:r>
        <w:rPr>
          <w:szCs w:val="21"/>
        </w:rPr>
        <w:t>必须就“服务需求”中内容作完整唯一报价，否则，其响应文件无效。</w:t>
      </w:r>
    </w:p>
    <w:p>
      <w:pPr>
        <w:pStyle w:val="23"/>
        <w:spacing w:line="360" w:lineRule="exact"/>
        <w:ind w:firstLine="630" w:firstLineChars="300"/>
        <w:rPr>
          <w:rFonts w:ascii="Times New Roman" w:hAnsi="Times New Roman"/>
          <w:bCs/>
          <w:szCs w:val="21"/>
        </w:rPr>
      </w:pPr>
      <w:r>
        <w:rPr>
          <w:rFonts w:ascii="Times New Roman" w:hAnsi="Times New Roman"/>
        </w:rPr>
        <w:t>2、</w:t>
      </w:r>
      <w:r>
        <w:rPr>
          <w:rFonts w:ascii="Times New Roman" w:hAnsi="Times New Roman"/>
          <w:szCs w:val="21"/>
        </w:rPr>
        <w:t>供应商</w:t>
      </w:r>
      <w:r>
        <w:rPr>
          <w:rFonts w:ascii="Times New Roman" w:hAnsi="Times New Roman"/>
        </w:rPr>
        <w:t>应根据服务如实填写</w:t>
      </w:r>
      <w:r>
        <w:rPr>
          <w:rFonts w:ascii="Times New Roman" w:hAnsi="Times New Roman"/>
          <w:szCs w:val="21"/>
        </w:rPr>
        <w:t>磋商</w:t>
      </w:r>
      <w:r>
        <w:rPr>
          <w:rFonts w:ascii="Times New Roman" w:hAnsi="Times New Roman"/>
        </w:rPr>
        <w:t>报价表</w:t>
      </w:r>
      <w:r>
        <w:rPr>
          <w:rFonts w:ascii="Times New Roman" w:hAnsi="Times New Roman"/>
          <w:bCs/>
          <w:szCs w:val="21"/>
        </w:rPr>
        <w:t>的各项内容。</w:t>
      </w:r>
    </w:p>
    <w:p>
      <w:pPr>
        <w:pStyle w:val="23"/>
        <w:spacing w:line="360" w:lineRule="exact"/>
        <w:ind w:firstLine="630" w:firstLineChars="300"/>
        <w:rPr>
          <w:rFonts w:ascii="Times New Roman" w:hAnsi="Times New Roman"/>
        </w:rPr>
      </w:pPr>
      <w:r>
        <w:rPr>
          <w:rFonts w:ascii="Times New Roman" w:hAnsi="Times New Roman"/>
        </w:rPr>
        <w:t>3、磋商</w:t>
      </w:r>
      <w:r>
        <w:rPr>
          <w:rFonts w:ascii="Times New Roman" w:hAnsi="Times New Roman"/>
          <w:bCs/>
          <w:szCs w:val="21"/>
        </w:rPr>
        <w:t>报价表须由</w:t>
      </w:r>
      <w:r>
        <w:rPr>
          <w:rFonts w:ascii="Times New Roman" w:hAnsi="Times New Roman"/>
        </w:rPr>
        <w:t>法定代表人或负责人或相应的</w:t>
      </w:r>
      <w:r>
        <w:rPr>
          <w:rFonts w:ascii="Times New Roman" w:hAnsi="Times New Roman"/>
          <w:bCs/>
          <w:szCs w:val="21"/>
        </w:rPr>
        <w:t>委托代理人签名或盖章并加盖</w:t>
      </w:r>
      <w:r>
        <w:rPr>
          <w:rFonts w:ascii="Times New Roman" w:hAnsi="Times New Roman"/>
          <w:szCs w:val="21"/>
        </w:rPr>
        <w:t>供应商</w:t>
      </w:r>
      <w:r>
        <w:rPr>
          <w:rFonts w:ascii="Times New Roman" w:hAnsi="Times New Roman"/>
          <w:bCs/>
          <w:szCs w:val="21"/>
        </w:rPr>
        <w:t>公章。</w:t>
      </w:r>
      <w:r>
        <w:rPr>
          <w:rFonts w:ascii="Times New Roman" w:hAnsi="Times New Roman"/>
        </w:rPr>
        <w:t>当本表由多页构成时，需逐页加盖供应商公章</w:t>
      </w:r>
      <w:r>
        <w:rPr>
          <w:rFonts w:ascii="Times New Roman" w:hAnsi="Times New Roman"/>
          <w:bCs/>
        </w:rPr>
        <w:t>。</w:t>
      </w:r>
    </w:p>
    <w:p>
      <w:pPr>
        <w:tabs>
          <w:tab w:val="left" w:pos="1305"/>
        </w:tabs>
        <w:spacing w:line="340" w:lineRule="exact"/>
        <w:rPr>
          <w:bCs/>
          <w:szCs w:val="21"/>
        </w:rPr>
      </w:pPr>
    </w:p>
    <w:p>
      <w:pPr>
        <w:tabs>
          <w:tab w:val="left" w:pos="1305"/>
        </w:tabs>
        <w:spacing w:line="400" w:lineRule="exact"/>
        <w:ind w:firstLine="560" w:firstLineChars="200"/>
        <w:rPr>
          <w:b/>
          <w:color w:val="0000FF"/>
          <w:sz w:val="28"/>
          <w:szCs w:val="28"/>
        </w:rPr>
      </w:pPr>
    </w:p>
    <w:p>
      <w:pPr>
        <w:pStyle w:val="2"/>
      </w:pPr>
    </w:p>
    <w:p/>
    <w:p>
      <w:pPr>
        <w:pStyle w:val="2"/>
      </w:pPr>
    </w:p>
    <w:p/>
    <w:p>
      <w:pPr>
        <w:pStyle w:val="2"/>
      </w:pPr>
    </w:p>
    <w:p/>
    <w:p>
      <w:pPr>
        <w:tabs>
          <w:tab w:val="left" w:pos="1305"/>
        </w:tabs>
        <w:spacing w:line="400" w:lineRule="exact"/>
        <w:rPr>
          <w:rFonts w:ascii="Arial" w:hAnsi="Arial" w:eastAsia="黑体"/>
          <w:b/>
          <w:bCs/>
          <w:sz w:val="32"/>
          <w:szCs w:val="32"/>
        </w:rPr>
      </w:pPr>
    </w:p>
    <w:p>
      <w:pPr>
        <w:tabs>
          <w:tab w:val="left" w:pos="1305"/>
        </w:tabs>
        <w:spacing w:line="400" w:lineRule="exact"/>
        <w:rPr>
          <w:rFonts w:ascii="Arial" w:hAnsi="Arial" w:eastAsia="黑体"/>
          <w:b/>
          <w:bCs/>
          <w:sz w:val="32"/>
          <w:szCs w:val="32"/>
        </w:rPr>
      </w:pPr>
    </w:p>
    <w:p>
      <w:pPr>
        <w:tabs>
          <w:tab w:val="left" w:pos="1305"/>
        </w:tabs>
        <w:spacing w:line="400" w:lineRule="exact"/>
        <w:rPr>
          <w:b/>
          <w:color w:val="0000FF"/>
          <w:sz w:val="28"/>
          <w:szCs w:val="28"/>
        </w:rPr>
      </w:pPr>
      <w:r>
        <w:rPr>
          <w:rFonts w:hint="eastAsia"/>
          <w:b/>
          <w:color w:val="0000FF"/>
          <w:sz w:val="28"/>
          <w:szCs w:val="28"/>
        </w:rPr>
        <w:t>7</w:t>
      </w:r>
      <w:r>
        <w:rPr>
          <w:b/>
          <w:color w:val="0000FF"/>
          <w:sz w:val="28"/>
          <w:szCs w:val="28"/>
        </w:rPr>
        <w:t>、</w:t>
      </w:r>
      <w:r>
        <w:rPr>
          <w:rFonts w:hint="eastAsia"/>
          <w:b/>
          <w:color w:val="0000FF"/>
          <w:sz w:val="28"/>
          <w:szCs w:val="28"/>
        </w:rPr>
        <w:t>服务采购需求偏离表</w:t>
      </w:r>
      <w:r>
        <w:rPr>
          <w:b/>
          <w:color w:val="0000FF"/>
          <w:sz w:val="28"/>
          <w:szCs w:val="28"/>
        </w:rPr>
        <w:t>（必须提供）；</w:t>
      </w:r>
    </w:p>
    <w:p>
      <w:pPr>
        <w:widowControl/>
        <w:jc w:val="left"/>
        <w:rPr>
          <w:b/>
          <w:bCs/>
        </w:rPr>
      </w:pPr>
    </w:p>
    <w:p>
      <w:pPr>
        <w:widowControl/>
        <w:jc w:val="left"/>
        <w:rPr>
          <w:b/>
          <w:bCs/>
        </w:rPr>
      </w:pPr>
    </w:p>
    <w:p>
      <w:pPr>
        <w:widowControl/>
        <w:jc w:val="left"/>
      </w:pPr>
      <w:r>
        <w:rPr>
          <w:rFonts w:hint="eastAsia"/>
          <w:b/>
          <w:bCs/>
        </w:rPr>
        <w:t>附件</w:t>
      </w:r>
      <w:r>
        <w:rPr>
          <w:rFonts w:hint="eastAsia"/>
        </w:rPr>
        <w:t xml:space="preserve">    </w:t>
      </w:r>
    </w:p>
    <w:p>
      <w:pPr>
        <w:widowControl/>
        <w:jc w:val="center"/>
        <w:rPr>
          <w:rFonts w:ascii="宋体" w:hAnsi="宋体" w:cs="宋体"/>
          <w:b/>
          <w:color w:val="000000"/>
          <w:kern w:val="0"/>
          <w:sz w:val="31"/>
          <w:szCs w:val="31"/>
        </w:rPr>
      </w:pPr>
      <w:r>
        <w:rPr>
          <w:rFonts w:hint="eastAsia" w:ascii="宋体" w:hAnsi="宋体" w:cs="宋体"/>
          <w:b/>
          <w:color w:val="000000"/>
          <w:kern w:val="0"/>
          <w:sz w:val="31"/>
          <w:szCs w:val="31"/>
        </w:rPr>
        <w:t>服务采购需求（技术）偏离表（格式）</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939"/>
        <w:gridCol w:w="2741"/>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spacing w:line="400" w:lineRule="exact"/>
              <w:jc w:val="center"/>
              <w:rPr>
                <w:b/>
                <w:bCs/>
              </w:rPr>
            </w:pPr>
            <w:r>
              <w:rPr>
                <w:rFonts w:hint="eastAsia"/>
                <w:b/>
                <w:bCs/>
              </w:rPr>
              <w:t>序号</w:t>
            </w:r>
          </w:p>
        </w:tc>
        <w:tc>
          <w:tcPr>
            <w:tcW w:w="2939" w:type="dxa"/>
            <w:vAlign w:val="center"/>
          </w:tcPr>
          <w:p>
            <w:pPr>
              <w:spacing w:line="400" w:lineRule="exact"/>
              <w:jc w:val="center"/>
              <w:rPr>
                <w:b/>
                <w:bCs/>
              </w:rPr>
            </w:pPr>
            <w:r>
              <w:rPr>
                <w:rFonts w:hint="eastAsia"/>
                <w:b/>
                <w:bCs/>
              </w:rPr>
              <w:t>“柖标文件第三章服务采购需求”中“二、工作内容”</w:t>
            </w:r>
          </w:p>
        </w:tc>
        <w:tc>
          <w:tcPr>
            <w:tcW w:w="2741" w:type="dxa"/>
            <w:vAlign w:val="center"/>
          </w:tcPr>
          <w:p>
            <w:pPr>
              <w:spacing w:line="400" w:lineRule="exact"/>
              <w:jc w:val="center"/>
              <w:rPr>
                <w:b/>
                <w:bCs/>
              </w:rPr>
            </w:pPr>
            <w:r>
              <w:rPr>
                <w:rFonts w:hint="eastAsia"/>
                <w:b/>
                <w:bCs/>
              </w:rPr>
              <w:t>响应文件的响应情况</w:t>
            </w:r>
          </w:p>
        </w:tc>
        <w:tc>
          <w:tcPr>
            <w:tcW w:w="1875" w:type="dxa"/>
            <w:vAlign w:val="center"/>
          </w:tcPr>
          <w:p>
            <w:pPr>
              <w:spacing w:line="400" w:lineRule="exact"/>
              <w:jc w:val="center"/>
              <w:rPr>
                <w:b/>
                <w:bCs/>
              </w:rPr>
            </w:pPr>
            <w:r>
              <w:rPr>
                <w:rFonts w:hint="eastAsia"/>
                <w:b/>
                <w:bCs/>
              </w:rPr>
              <w:t>偏离情况说明(正偏离、完全响应、负偏离)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83" w:type="dxa"/>
            <w:vAlign w:val="center"/>
          </w:tcPr>
          <w:p>
            <w:pPr>
              <w:pStyle w:val="28"/>
              <w:jc w:val="center"/>
              <w:rPr>
                <w:sz w:val="21"/>
                <w:szCs w:val="24"/>
              </w:rPr>
            </w:pPr>
            <w:r>
              <w:rPr>
                <w:rFonts w:hint="eastAsia"/>
                <w:sz w:val="21"/>
                <w:szCs w:val="24"/>
              </w:rPr>
              <w:t>1</w:t>
            </w:r>
          </w:p>
        </w:tc>
        <w:tc>
          <w:tcPr>
            <w:tcW w:w="2939" w:type="dxa"/>
            <w:vAlign w:val="center"/>
          </w:tcPr>
          <w:p>
            <w:pPr>
              <w:pStyle w:val="28"/>
              <w:rPr>
                <w:sz w:val="21"/>
                <w:szCs w:val="24"/>
              </w:rPr>
            </w:pPr>
          </w:p>
        </w:tc>
        <w:tc>
          <w:tcPr>
            <w:tcW w:w="2741" w:type="dxa"/>
            <w:vAlign w:val="center"/>
          </w:tcPr>
          <w:p>
            <w:pPr>
              <w:pStyle w:val="28"/>
              <w:jc w:val="center"/>
            </w:pPr>
          </w:p>
        </w:tc>
        <w:tc>
          <w:tcPr>
            <w:tcW w:w="1875" w:type="dxa"/>
            <w:vAlign w:val="center"/>
          </w:tcPr>
          <w:p>
            <w:pPr>
              <w:pStyle w:val="2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83" w:type="dxa"/>
            <w:vAlign w:val="center"/>
          </w:tcPr>
          <w:p>
            <w:pPr>
              <w:pStyle w:val="28"/>
              <w:jc w:val="center"/>
              <w:rPr>
                <w:sz w:val="21"/>
                <w:szCs w:val="24"/>
              </w:rPr>
            </w:pPr>
            <w:r>
              <w:rPr>
                <w:rFonts w:hint="eastAsia"/>
                <w:sz w:val="21"/>
                <w:szCs w:val="24"/>
              </w:rPr>
              <w:t>2</w:t>
            </w:r>
          </w:p>
        </w:tc>
        <w:tc>
          <w:tcPr>
            <w:tcW w:w="2939" w:type="dxa"/>
            <w:vAlign w:val="center"/>
          </w:tcPr>
          <w:p>
            <w:pPr>
              <w:spacing w:line="360" w:lineRule="auto"/>
              <w:jc w:val="left"/>
            </w:pPr>
          </w:p>
        </w:tc>
        <w:tc>
          <w:tcPr>
            <w:tcW w:w="2741" w:type="dxa"/>
            <w:vAlign w:val="center"/>
          </w:tcPr>
          <w:p>
            <w:pPr>
              <w:pStyle w:val="28"/>
              <w:jc w:val="center"/>
            </w:pPr>
          </w:p>
        </w:tc>
        <w:tc>
          <w:tcPr>
            <w:tcW w:w="1875" w:type="dxa"/>
            <w:vAlign w:val="center"/>
          </w:tcPr>
          <w:p>
            <w:pPr>
              <w:pStyle w:val="2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83" w:type="dxa"/>
            <w:vAlign w:val="center"/>
          </w:tcPr>
          <w:p>
            <w:pPr>
              <w:pStyle w:val="28"/>
              <w:jc w:val="center"/>
              <w:rPr>
                <w:sz w:val="21"/>
                <w:szCs w:val="24"/>
              </w:rPr>
            </w:pPr>
            <w:r>
              <w:rPr>
                <w:rFonts w:hint="eastAsia"/>
                <w:sz w:val="21"/>
                <w:szCs w:val="24"/>
              </w:rPr>
              <w:t>3</w:t>
            </w:r>
          </w:p>
        </w:tc>
        <w:tc>
          <w:tcPr>
            <w:tcW w:w="2939" w:type="dxa"/>
            <w:vAlign w:val="center"/>
          </w:tcPr>
          <w:p>
            <w:pPr>
              <w:pStyle w:val="28"/>
              <w:rPr>
                <w:sz w:val="21"/>
                <w:szCs w:val="24"/>
              </w:rPr>
            </w:pPr>
          </w:p>
        </w:tc>
        <w:tc>
          <w:tcPr>
            <w:tcW w:w="2741" w:type="dxa"/>
            <w:vAlign w:val="center"/>
          </w:tcPr>
          <w:p>
            <w:pPr>
              <w:pStyle w:val="28"/>
              <w:jc w:val="center"/>
            </w:pPr>
          </w:p>
        </w:tc>
        <w:tc>
          <w:tcPr>
            <w:tcW w:w="1875" w:type="dxa"/>
            <w:vAlign w:val="center"/>
          </w:tcPr>
          <w:p>
            <w:pPr>
              <w:pStyle w:val="2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83" w:type="dxa"/>
            <w:vAlign w:val="center"/>
          </w:tcPr>
          <w:p>
            <w:pPr>
              <w:pStyle w:val="28"/>
              <w:jc w:val="center"/>
              <w:rPr>
                <w:sz w:val="21"/>
                <w:szCs w:val="24"/>
              </w:rPr>
            </w:pPr>
            <w:r>
              <w:rPr>
                <w:rFonts w:hint="eastAsia"/>
                <w:sz w:val="21"/>
                <w:szCs w:val="24"/>
              </w:rPr>
              <w:t>4</w:t>
            </w:r>
          </w:p>
        </w:tc>
        <w:tc>
          <w:tcPr>
            <w:tcW w:w="2939" w:type="dxa"/>
            <w:vAlign w:val="center"/>
          </w:tcPr>
          <w:p>
            <w:pPr>
              <w:pStyle w:val="28"/>
              <w:rPr>
                <w:sz w:val="21"/>
                <w:szCs w:val="24"/>
              </w:rPr>
            </w:pPr>
          </w:p>
        </w:tc>
        <w:tc>
          <w:tcPr>
            <w:tcW w:w="2741" w:type="dxa"/>
            <w:vAlign w:val="center"/>
          </w:tcPr>
          <w:p>
            <w:pPr>
              <w:pStyle w:val="28"/>
              <w:jc w:val="center"/>
            </w:pPr>
          </w:p>
        </w:tc>
        <w:tc>
          <w:tcPr>
            <w:tcW w:w="1875" w:type="dxa"/>
            <w:vAlign w:val="center"/>
          </w:tcPr>
          <w:p>
            <w:pPr>
              <w:pStyle w:val="2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83" w:type="dxa"/>
            <w:vAlign w:val="center"/>
          </w:tcPr>
          <w:p>
            <w:pPr>
              <w:pStyle w:val="28"/>
              <w:jc w:val="center"/>
              <w:rPr>
                <w:sz w:val="21"/>
                <w:szCs w:val="24"/>
              </w:rPr>
            </w:pPr>
            <w:r>
              <w:rPr>
                <w:rFonts w:hint="eastAsia"/>
                <w:sz w:val="21"/>
                <w:szCs w:val="24"/>
              </w:rPr>
              <w:t>5</w:t>
            </w:r>
          </w:p>
        </w:tc>
        <w:tc>
          <w:tcPr>
            <w:tcW w:w="2939" w:type="dxa"/>
            <w:vAlign w:val="center"/>
          </w:tcPr>
          <w:p>
            <w:pPr>
              <w:pStyle w:val="28"/>
              <w:rPr>
                <w:sz w:val="21"/>
                <w:szCs w:val="24"/>
              </w:rPr>
            </w:pPr>
          </w:p>
        </w:tc>
        <w:tc>
          <w:tcPr>
            <w:tcW w:w="2741" w:type="dxa"/>
            <w:vAlign w:val="center"/>
          </w:tcPr>
          <w:p>
            <w:pPr>
              <w:pStyle w:val="28"/>
              <w:jc w:val="center"/>
              <w:rPr>
                <w:sz w:val="21"/>
                <w:szCs w:val="24"/>
              </w:rPr>
            </w:pPr>
          </w:p>
        </w:tc>
        <w:tc>
          <w:tcPr>
            <w:tcW w:w="1875" w:type="dxa"/>
            <w:vAlign w:val="center"/>
          </w:tcPr>
          <w:p>
            <w:pPr>
              <w:pStyle w:val="28"/>
              <w:jc w:val="center"/>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83" w:type="dxa"/>
            <w:vAlign w:val="center"/>
          </w:tcPr>
          <w:p>
            <w:pPr>
              <w:pStyle w:val="28"/>
              <w:jc w:val="center"/>
              <w:rPr>
                <w:sz w:val="21"/>
                <w:szCs w:val="24"/>
              </w:rPr>
            </w:pPr>
            <w:r>
              <w:rPr>
                <w:rFonts w:hint="eastAsia"/>
                <w:sz w:val="21"/>
                <w:szCs w:val="24"/>
              </w:rPr>
              <w:t>6</w:t>
            </w:r>
          </w:p>
        </w:tc>
        <w:tc>
          <w:tcPr>
            <w:tcW w:w="2939" w:type="dxa"/>
            <w:vAlign w:val="center"/>
          </w:tcPr>
          <w:p>
            <w:pPr>
              <w:pStyle w:val="28"/>
              <w:rPr>
                <w:sz w:val="21"/>
                <w:szCs w:val="24"/>
              </w:rPr>
            </w:pPr>
          </w:p>
        </w:tc>
        <w:tc>
          <w:tcPr>
            <w:tcW w:w="2741" w:type="dxa"/>
            <w:vAlign w:val="center"/>
          </w:tcPr>
          <w:p>
            <w:pPr>
              <w:pStyle w:val="28"/>
              <w:jc w:val="center"/>
              <w:rPr>
                <w:sz w:val="21"/>
                <w:szCs w:val="24"/>
              </w:rPr>
            </w:pPr>
          </w:p>
        </w:tc>
        <w:tc>
          <w:tcPr>
            <w:tcW w:w="1875" w:type="dxa"/>
            <w:vAlign w:val="center"/>
          </w:tcPr>
          <w:p>
            <w:pPr>
              <w:pStyle w:val="28"/>
              <w:jc w:val="center"/>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83" w:type="dxa"/>
            <w:vAlign w:val="center"/>
          </w:tcPr>
          <w:p>
            <w:pPr>
              <w:pStyle w:val="28"/>
              <w:jc w:val="center"/>
              <w:rPr>
                <w:sz w:val="21"/>
                <w:szCs w:val="24"/>
              </w:rPr>
            </w:pPr>
            <w:r>
              <w:rPr>
                <w:rFonts w:hint="eastAsia"/>
                <w:sz w:val="21"/>
                <w:szCs w:val="24"/>
              </w:rPr>
              <w:t>7</w:t>
            </w:r>
          </w:p>
        </w:tc>
        <w:tc>
          <w:tcPr>
            <w:tcW w:w="2939" w:type="dxa"/>
            <w:vAlign w:val="center"/>
          </w:tcPr>
          <w:p>
            <w:pPr>
              <w:pStyle w:val="28"/>
              <w:rPr>
                <w:sz w:val="21"/>
                <w:szCs w:val="24"/>
              </w:rPr>
            </w:pPr>
          </w:p>
        </w:tc>
        <w:tc>
          <w:tcPr>
            <w:tcW w:w="2741" w:type="dxa"/>
            <w:vAlign w:val="center"/>
          </w:tcPr>
          <w:p>
            <w:pPr>
              <w:pStyle w:val="28"/>
              <w:jc w:val="center"/>
              <w:rPr>
                <w:sz w:val="21"/>
                <w:szCs w:val="24"/>
              </w:rPr>
            </w:pPr>
          </w:p>
        </w:tc>
        <w:tc>
          <w:tcPr>
            <w:tcW w:w="1875" w:type="dxa"/>
            <w:vAlign w:val="center"/>
          </w:tcPr>
          <w:p>
            <w:pPr>
              <w:pStyle w:val="28"/>
              <w:jc w:val="center"/>
              <w:rPr>
                <w:sz w:val="21"/>
                <w:szCs w:val="24"/>
              </w:rPr>
            </w:pPr>
          </w:p>
        </w:tc>
      </w:tr>
    </w:tbl>
    <w:p>
      <w:pPr>
        <w:pStyle w:val="28"/>
        <w:jc w:val="center"/>
        <w:rPr>
          <w:sz w:val="21"/>
          <w:szCs w:val="24"/>
        </w:rPr>
      </w:pPr>
    </w:p>
    <w:p>
      <w:pPr>
        <w:pStyle w:val="23"/>
        <w:spacing w:line="400" w:lineRule="exact"/>
        <w:rPr>
          <w:rFonts w:ascii="Times New Roman" w:hAnsi="Times New Roman"/>
          <w:b/>
          <w:sz w:val="28"/>
          <w:szCs w:val="28"/>
        </w:rPr>
      </w:pPr>
    </w:p>
    <w:p>
      <w:pPr>
        <w:ind w:firstLine="3465" w:firstLineChars="1650"/>
        <w:rPr>
          <w:szCs w:val="21"/>
          <w:u w:val="single"/>
        </w:rPr>
      </w:pPr>
      <w:r>
        <w:rPr>
          <w:szCs w:val="21"/>
        </w:rPr>
        <w:t xml:space="preserve">磋商供应商：(公章) </w:t>
      </w:r>
      <w:r>
        <w:rPr>
          <w:szCs w:val="21"/>
          <w:u w:val="single"/>
        </w:rPr>
        <w:t xml:space="preserve">                   .</w:t>
      </w:r>
    </w:p>
    <w:p>
      <w:pPr>
        <w:ind w:firstLine="3465" w:firstLineChars="1650"/>
        <w:rPr>
          <w:szCs w:val="21"/>
        </w:rPr>
      </w:pPr>
    </w:p>
    <w:p>
      <w:pPr>
        <w:pStyle w:val="23"/>
        <w:ind w:firstLine="3465" w:firstLineChars="1650"/>
        <w:rPr>
          <w:rFonts w:ascii="Times New Roman" w:hAnsi="Times New Roman"/>
          <w:u w:val="single"/>
        </w:rPr>
      </w:pPr>
      <w:r>
        <w:rPr>
          <w:rFonts w:ascii="Times New Roman" w:hAnsi="Times New Roman"/>
        </w:rPr>
        <w:t>法定代表人或负责人或相应的委托代理人签字或盖章：</w:t>
      </w:r>
      <w:r>
        <w:rPr>
          <w:rFonts w:ascii="Times New Roman" w:hAnsi="Times New Roman"/>
          <w:u w:val="single"/>
        </w:rPr>
        <w:t xml:space="preserve">     </w:t>
      </w:r>
    </w:p>
    <w:p>
      <w:pPr>
        <w:pStyle w:val="23"/>
        <w:ind w:firstLine="3570" w:firstLineChars="1700"/>
        <w:rPr>
          <w:rFonts w:ascii="Times New Roman" w:hAnsi="Times New Roman"/>
          <w:u w:val="single"/>
        </w:rPr>
      </w:pPr>
    </w:p>
    <w:p>
      <w:pPr>
        <w:pStyle w:val="23"/>
        <w:ind w:firstLine="3570" w:firstLineChars="1700"/>
        <w:rPr>
          <w:rFonts w:ascii="Times New Roman" w:hAnsi="Times New Roman"/>
        </w:rPr>
      </w:pPr>
      <w:r>
        <w:rPr>
          <w:rFonts w:ascii="Times New Roman" w:hAnsi="Times New Roman"/>
        </w:rPr>
        <w:t xml:space="preserve"> 日 期：</w:t>
      </w:r>
    </w:p>
    <w:p>
      <w:pPr>
        <w:pStyle w:val="23"/>
        <w:rPr>
          <w:rFonts w:ascii="Times New Roman" w:hAnsi="Times New Roman"/>
          <w:b/>
          <w:color w:val="0000FF"/>
          <w:sz w:val="28"/>
          <w:szCs w:val="28"/>
        </w:rPr>
      </w:pPr>
    </w:p>
    <w:p>
      <w:pPr>
        <w:widowControl/>
        <w:jc w:val="left"/>
        <w:rPr>
          <w:b/>
          <w:bCs/>
        </w:rPr>
      </w:pPr>
    </w:p>
    <w:p>
      <w:pPr>
        <w:widowControl/>
        <w:jc w:val="left"/>
        <w:rPr>
          <w:b/>
          <w:bCs/>
        </w:rPr>
      </w:pPr>
    </w:p>
    <w:p>
      <w:pPr>
        <w:widowControl/>
        <w:jc w:val="left"/>
        <w:rPr>
          <w:b/>
          <w:bCs/>
        </w:rPr>
      </w:pPr>
    </w:p>
    <w:p>
      <w:pPr>
        <w:widowControl/>
        <w:jc w:val="left"/>
        <w:rPr>
          <w:b/>
          <w:bCs/>
        </w:rPr>
      </w:pPr>
    </w:p>
    <w:p>
      <w:pPr>
        <w:widowControl/>
        <w:jc w:val="left"/>
        <w:rPr>
          <w:b/>
          <w:bCs/>
        </w:rPr>
      </w:pPr>
    </w:p>
    <w:p>
      <w:pPr>
        <w:widowControl/>
        <w:jc w:val="left"/>
        <w:rPr>
          <w:b/>
          <w:bCs/>
        </w:rPr>
      </w:pPr>
    </w:p>
    <w:p>
      <w:pPr>
        <w:widowControl/>
        <w:jc w:val="left"/>
        <w:rPr>
          <w:b/>
          <w:bCs/>
        </w:rPr>
      </w:pPr>
    </w:p>
    <w:p>
      <w:pPr>
        <w:widowControl/>
        <w:jc w:val="left"/>
        <w:rPr>
          <w:b/>
          <w:bCs/>
        </w:rPr>
      </w:pPr>
    </w:p>
    <w:p>
      <w:pPr>
        <w:widowControl/>
        <w:jc w:val="left"/>
        <w:rPr>
          <w:b/>
          <w:bCs/>
        </w:rPr>
      </w:pPr>
    </w:p>
    <w:p>
      <w:pPr>
        <w:widowControl/>
        <w:jc w:val="left"/>
        <w:rPr>
          <w:b/>
          <w:bCs/>
        </w:rPr>
      </w:pPr>
    </w:p>
    <w:p>
      <w:pPr>
        <w:widowControl/>
        <w:jc w:val="left"/>
        <w:rPr>
          <w:b/>
          <w:bCs/>
        </w:rPr>
      </w:pPr>
    </w:p>
    <w:p>
      <w:pPr>
        <w:widowControl/>
        <w:jc w:val="left"/>
        <w:rPr>
          <w:b/>
          <w:bCs/>
        </w:rPr>
      </w:pPr>
    </w:p>
    <w:p>
      <w:pPr>
        <w:widowControl/>
        <w:jc w:val="left"/>
        <w:rPr>
          <w:b/>
          <w:bCs/>
        </w:rPr>
      </w:pPr>
    </w:p>
    <w:p>
      <w:pPr>
        <w:widowControl/>
        <w:jc w:val="left"/>
        <w:rPr>
          <w:b/>
          <w:bCs/>
        </w:rPr>
      </w:pPr>
    </w:p>
    <w:p>
      <w:pPr>
        <w:widowControl/>
        <w:jc w:val="left"/>
        <w:rPr>
          <w:b/>
          <w:bCs/>
        </w:rPr>
      </w:pPr>
    </w:p>
    <w:p>
      <w:pPr>
        <w:widowControl/>
        <w:jc w:val="left"/>
        <w:rPr>
          <w:b/>
          <w:bCs/>
        </w:rPr>
      </w:pPr>
    </w:p>
    <w:p>
      <w:pPr>
        <w:widowControl/>
        <w:jc w:val="left"/>
      </w:pPr>
      <w:r>
        <w:rPr>
          <w:rFonts w:hint="eastAsia"/>
          <w:b/>
          <w:bCs/>
        </w:rPr>
        <w:t>附件</w:t>
      </w:r>
      <w:r>
        <w:rPr>
          <w:rFonts w:hint="eastAsia"/>
        </w:rPr>
        <w:t xml:space="preserve">    </w:t>
      </w:r>
    </w:p>
    <w:p>
      <w:pPr>
        <w:widowControl/>
        <w:jc w:val="center"/>
        <w:rPr>
          <w:rFonts w:ascii="宋体" w:hAnsi="宋体" w:cs="宋体"/>
          <w:b/>
          <w:color w:val="000000"/>
          <w:kern w:val="0"/>
          <w:sz w:val="31"/>
          <w:szCs w:val="31"/>
        </w:rPr>
      </w:pPr>
      <w:r>
        <w:rPr>
          <w:rFonts w:hint="eastAsia" w:ascii="宋体" w:hAnsi="宋体" w:cs="宋体"/>
          <w:b/>
          <w:color w:val="000000"/>
          <w:kern w:val="0"/>
          <w:sz w:val="31"/>
          <w:szCs w:val="31"/>
        </w:rPr>
        <w:t>服务采购需求（商务）偏离表（格式）</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939"/>
        <w:gridCol w:w="2741"/>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spacing w:line="400" w:lineRule="exact"/>
              <w:jc w:val="center"/>
              <w:rPr>
                <w:b/>
                <w:bCs/>
              </w:rPr>
            </w:pPr>
            <w:r>
              <w:rPr>
                <w:rFonts w:hint="eastAsia"/>
                <w:b/>
                <w:bCs/>
              </w:rPr>
              <w:t>序号</w:t>
            </w:r>
          </w:p>
        </w:tc>
        <w:tc>
          <w:tcPr>
            <w:tcW w:w="2939" w:type="dxa"/>
            <w:vAlign w:val="center"/>
          </w:tcPr>
          <w:p>
            <w:pPr>
              <w:spacing w:line="400" w:lineRule="exact"/>
              <w:rPr>
                <w:b/>
                <w:bCs/>
              </w:rPr>
            </w:pPr>
            <w:r>
              <w:rPr>
                <w:rFonts w:hint="eastAsia"/>
                <w:b/>
                <w:bCs/>
              </w:rPr>
              <w:t>竞争性磋商文件条款描述</w:t>
            </w:r>
          </w:p>
        </w:tc>
        <w:tc>
          <w:tcPr>
            <w:tcW w:w="2741" w:type="dxa"/>
            <w:vAlign w:val="center"/>
          </w:tcPr>
          <w:p>
            <w:pPr>
              <w:spacing w:line="400" w:lineRule="exact"/>
              <w:jc w:val="center"/>
              <w:rPr>
                <w:b/>
                <w:bCs/>
              </w:rPr>
            </w:pPr>
            <w:r>
              <w:rPr>
                <w:rFonts w:hint="eastAsia"/>
                <w:b/>
                <w:bCs/>
              </w:rPr>
              <w:t>响应文件的响应情况</w:t>
            </w:r>
          </w:p>
        </w:tc>
        <w:tc>
          <w:tcPr>
            <w:tcW w:w="1875" w:type="dxa"/>
            <w:vAlign w:val="center"/>
          </w:tcPr>
          <w:p>
            <w:pPr>
              <w:spacing w:line="400" w:lineRule="exact"/>
              <w:jc w:val="center"/>
              <w:rPr>
                <w:b/>
                <w:bCs/>
              </w:rPr>
            </w:pPr>
            <w:r>
              <w:rPr>
                <w:rFonts w:hint="eastAsia"/>
                <w:b/>
                <w:bCs/>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83" w:type="dxa"/>
            <w:vAlign w:val="center"/>
          </w:tcPr>
          <w:p>
            <w:pPr>
              <w:pStyle w:val="28"/>
              <w:jc w:val="center"/>
              <w:rPr>
                <w:sz w:val="21"/>
                <w:szCs w:val="24"/>
              </w:rPr>
            </w:pPr>
            <w:r>
              <w:rPr>
                <w:rFonts w:hint="eastAsia"/>
                <w:sz w:val="21"/>
                <w:szCs w:val="24"/>
              </w:rPr>
              <w:t>1</w:t>
            </w:r>
          </w:p>
        </w:tc>
        <w:tc>
          <w:tcPr>
            <w:tcW w:w="2939" w:type="dxa"/>
            <w:vAlign w:val="center"/>
          </w:tcPr>
          <w:p>
            <w:pPr>
              <w:pStyle w:val="28"/>
              <w:rPr>
                <w:sz w:val="21"/>
                <w:szCs w:val="24"/>
              </w:rPr>
            </w:pPr>
            <w:r>
              <w:rPr>
                <w:rFonts w:hint="eastAsia"/>
                <w:sz w:val="21"/>
                <w:szCs w:val="24"/>
              </w:rPr>
              <w:t>（项目管理建设要求）</w:t>
            </w:r>
          </w:p>
        </w:tc>
        <w:tc>
          <w:tcPr>
            <w:tcW w:w="2741" w:type="dxa"/>
            <w:vAlign w:val="center"/>
          </w:tcPr>
          <w:p>
            <w:pPr>
              <w:pStyle w:val="28"/>
              <w:jc w:val="center"/>
            </w:pPr>
          </w:p>
        </w:tc>
        <w:tc>
          <w:tcPr>
            <w:tcW w:w="1875" w:type="dxa"/>
            <w:vAlign w:val="center"/>
          </w:tcPr>
          <w:p>
            <w:pPr>
              <w:pStyle w:val="2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83" w:type="dxa"/>
            <w:vAlign w:val="center"/>
          </w:tcPr>
          <w:p>
            <w:pPr>
              <w:pStyle w:val="28"/>
              <w:jc w:val="center"/>
              <w:rPr>
                <w:sz w:val="21"/>
                <w:szCs w:val="24"/>
              </w:rPr>
            </w:pPr>
            <w:r>
              <w:rPr>
                <w:rFonts w:hint="eastAsia"/>
                <w:sz w:val="21"/>
                <w:szCs w:val="24"/>
              </w:rPr>
              <w:t>2</w:t>
            </w:r>
          </w:p>
        </w:tc>
        <w:tc>
          <w:tcPr>
            <w:tcW w:w="2939" w:type="dxa"/>
            <w:vAlign w:val="center"/>
          </w:tcPr>
          <w:p>
            <w:pPr>
              <w:spacing w:line="360" w:lineRule="auto"/>
              <w:jc w:val="left"/>
            </w:pPr>
            <w:r>
              <w:rPr>
                <w:rFonts w:hint="eastAsia"/>
              </w:rPr>
              <w:t>（培训要求）</w:t>
            </w:r>
          </w:p>
        </w:tc>
        <w:tc>
          <w:tcPr>
            <w:tcW w:w="2741" w:type="dxa"/>
            <w:vAlign w:val="center"/>
          </w:tcPr>
          <w:p>
            <w:pPr>
              <w:pStyle w:val="28"/>
              <w:jc w:val="center"/>
            </w:pPr>
          </w:p>
        </w:tc>
        <w:tc>
          <w:tcPr>
            <w:tcW w:w="1875" w:type="dxa"/>
            <w:vAlign w:val="center"/>
          </w:tcPr>
          <w:p>
            <w:pPr>
              <w:pStyle w:val="2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83" w:type="dxa"/>
            <w:vAlign w:val="center"/>
          </w:tcPr>
          <w:p>
            <w:pPr>
              <w:pStyle w:val="28"/>
              <w:jc w:val="center"/>
              <w:rPr>
                <w:sz w:val="21"/>
                <w:szCs w:val="24"/>
              </w:rPr>
            </w:pPr>
            <w:r>
              <w:rPr>
                <w:rFonts w:hint="eastAsia"/>
                <w:sz w:val="21"/>
                <w:szCs w:val="24"/>
              </w:rPr>
              <w:t>3</w:t>
            </w:r>
          </w:p>
        </w:tc>
        <w:tc>
          <w:tcPr>
            <w:tcW w:w="2939" w:type="dxa"/>
            <w:vAlign w:val="center"/>
          </w:tcPr>
          <w:p>
            <w:pPr>
              <w:pStyle w:val="28"/>
              <w:rPr>
                <w:sz w:val="21"/>
                <w:szCs w:val="24"/>
              </w:rPr>
            </w:pPr>
            <w:r>
              <w:rPr>
                <w:rFonts w:hint="eastAsia"/>
                <w:sz w:val="21"/>
                <w:szCs w:val="24"/>
              </w:rPr>
              <w:t>维护服务要求</w:t>
            </w:r>
          </w:p>
        </w:tc>
        <w:tc>
          <w:tcPr>
            <w:tcW w:w="2741" w:type="dxa"/>
            <w:vAlign w:val="center"/>
          </w:tcPr>
          <w:p>
            <w:pPr>
              <w:pStyle w:val="28"/>
              <w:jc w:val="center"/>
            </w:pPr>
          </w:p>
        </w:tc>
        <w:tc>
          <w:tcPr>
            <w:tcW w:w="1875" w:type="dxa"/>
            <w:vAlign w:val="center"/>
          </w:tcPr>
          <w:p>
            <w:pPr>
              <w:pStyle w:val="2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83" w:type="dxa"/>
            <w:vAlign w:val="center"/>
          </w:tcPr>
          <w:p>
            <w:pPr>
              <w:pStyle w:val="28"/>
              <w:jc w:val="center"/>
              <w:rPr>
                <w:sz w:val="21"/>
                <w:szCs w:val="24"/>
              </w:rPr>
            </w:pPr>
            <w:r>
              <w:rPr>
                <w:rFonts w:hint="eastAsia"/>
                <w:sz w:val="21"/>
                <w:szCs w:val="24"/>
              </w:rPr>
              <w:t>4</w:t>
            </w:r>
          </w:p>
        </w:tc>
        <w:tc>
          <w:tcPr>
            <w:tcW w:w="2939" w:type="dxa"/>
            <w:vAlign w:val="center"/>
          </w:tcPr>
          <w:p>
            <w:pPr>
              <w:pStyle w:val="28"/>
              <w:rPr>
                <w:sz w:val="21"/>
                <w:szCs w:val="24"/>
              </w:rPr>
            </w:pPr>
            <w:r>
              <w:rPr>
                <w:rFonts w:hint="eastAsia"/>
                <w:sz w:val="21"/>
                <w:szCs w:val="24"/>
              </w:rPr>
              <w:t>付款要求</w:t>
            </w:r>
          </w:p>
        </w:tc>
        <w:tc>
          <w:tcPr>
            <w:tcW w:w="2741" w:type="dxa"/>
            <w:vAlign w:val="center"/>
          </w:tcPr>
          <w:p>
            <w:pPr>
              <w:pStyle w:val="28"/>
              <w:jc w:val="center"/>
            </w:pPr>
          </w:p>
        </w:tc>
        <w:tc>
          <w:tcPr>
            <w:tcW w:w="1875" w:type="dxa"/>
            <w:vAlign w:val="center"/>
          </w:tcPr>
          <w:p>
            <w:pPr>
              <w:pStyle w:val="2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83" w:type="dxa"/>
            <w:vAlign w:val="center"/>
          </w:tcPr>
          <w:p>
            <w:pPr>
              <w:pStyle w:val="28"/>
              <w:jc w:val="center"/>
              <w:rPr>
                <w:sz w:val="21"/>
                <w:szCs w:val="24"/>
              </w:rPr>
            </w:pPr>
            <w:r>
              <w:rPr>
                <w:rFonts w:hint="eastAsia"/>
                <w:sz w:val="21"/>
                <w:szCs w:val="24"/>
              </w:rPr>
              <w:t>5</w:t>
            </w:r>
          </w:p>
        </w:tc>
        <w:tc>
          <w:tcPr>
            <w:tcW w:w="2939" w:type="dxa"/>
            <w:vAlign w:val="center"/>
          </w:tcPr>
          <w:p>
            <w:pPr>
              <w:pStyle w:val="28"/>
              <w:rPr>
                <w:sz w:val="21"/>
                <w:szCs w:val="24"/>
              </w:rPr>
            </w:pPr>
            <w:r>
              <w:rPr>
                <w:rFonts w:hint="eastAsia"/>
                <w:sz w:val="21"/>
                <w:szCs w:val="24"/>
              </w:rPr>
              <w:t>其他要求</w:t>
            </w:r>
          </w:p>
        </w:tc>
        <w:tc>
          <w:tcPr>
            <w:tcW w:w="2741" w:type="dxa"/>
            <w:vAlign w:val="center"/>
          </w:tcPr>
          <w:p>
            <w:pPr>
              <w:pStyle w:val="28"/>
              <w:jc w:val="center"/>
              <w:rPr>
                <w:sz w:val="21"/>
                <w:szCs w:val="24"/>
              </w:rPr>
            </w:pPr>
          </w:p>
        </w:tc>
        <w:tc>
          <w:tcPr>
            <w:tcW w:w="1875" w:type="dxa"/>
            <w:vAlign w:val="center"/>
          </w:tcPr>
          <w:p>
            <w:pPr>
              <w:pStyle w:val="28"/>
              <w:jc w:val="center"/>
              <w:rPr>
                <w:sz w:val="21"/>
                <w:szCs w:val="24"/>
              </w:rPr>
            </w:pPr>
          </w:p>
        </w:tc>
      </w:tr>
    </w:tbl>
    <w:p>
      <w:pPr>
        <w:pStyle w:val="28"/>
        <w:jc w:val="center"/>
        <w:rPr>
          <w:sz w:val="21"/>
          <w:szCs w:val="24"/>
        </w:rPr>
      </w:pPr>
    </w:p>
    <w:p>
      <w:pPr>
        <w:pStyle w:val="23"/>
        <w:spacing w:line="400" w:lineRule="exact"/>
        <w:rPr>
          <w:rFonts w:ascii="Times New Roman" w:hAnsi="Times New Roman"/>
          <w:b/>
          <w:sz w:val="28"/>
          <w:szCs w:val="28"/>
        </w:rPr>
      </w:pPr>
    </w:p>
    <w:p>
      <w:pPr>
        <w:ind w:firstLine="3465" w:firstLineChars="1650"/>
        <w:rPr>
          <w:szCs w:val="21"/>
          <w:u w:val="single"/>
        </w:rPr>
      </w:pPr>
      <w:r>
        <w:rPr>
          <w:szCs w:val="21"/>
        </w:rPr>
        <w:t xml:space="preserve">磋商供应商：(公章) </w:t>
      </w:r>
      <w:r>
        <w:rPr>
          <w:szCs w:val="21"/>
          <w:u w:val="single"/>
        </w:rPr>
        <w:t xml:space="preserve">                   .</w:t>
      </w:r>
    </w:p>
    <w:p>
      <w:pPr>
        <w:ind w:firstLine="3465" w:firstLineChars="1650"/>
        <w:rPr>
          <w:szCs w:val="21"/>
        </w:rPr>
      </w:pPr>
    </w:p>
    <w:p>
      <w:pPr>
        <w:pStyle w:val="23"/>
        <w:ind w:firstLine="3465" w:firstLineChars="1650"/>
        <w:rPr>
          <w:rFonts w:ascii="Times New Roman" w:hAnsi="Times New Roman"/>
          <w:u w:val="single"/>
        </w:rPr>
      </w:pPr>
      <w:r>
        <w:rPr>
          <w:rFonts w:ascii="Times New Roman" w:hAnsi="Times New Roman"/>
        </w:rPr>
        <w:t>法定代表人或负责人或相应的委托代理人签字或盖章：</w:t>
      </w:r>
      <w:r>
        <w:rPr>
          <w:rFonts w:ascii="Times New Roman" w:hAnsi="Times New Roman"/>
          <w:u w:val="single"/>
        </w:rPr>
        <w:t xml:space="preserve">     </w:t>
      </w:r>
    </w:p>
    <w:p>
      <w:pPr>
        <w:pStyle w:val="23"/>
        <w:ind w:firstLine="3570" w:firstLineChars="1700"/>
        <w:rPr>
          <w:rFonts w:ascii="Times New Roman" w:hAnsi="Times New Roman"/>
          <w:u w:val="single"/>
        </w:rPr>
      </w:pPr>
    </w:p>
    <w:p>
      <w:pPr>
        <w:pStyle w:val="23"/>
        <w:ind w:firstLine="3570" w:firstLineChars="1700"/>
        <w:sectPr>
          <w:footerReference r:id="rId11" w:type="first"/>
          <w:headerReference r:id="rId9" w:type="default"/>
          <w:footerReference r:id="rId10" w:type="default"/>
          <w:pgSz w:w="11906" w:h="16838"/>
          <w:pgMar w:top="1440" w:right="935" w:bottom="1440" w:left="999" w:header="851" w:footer="992" w:gutter="0"/>
          <w:pgNumType w:fmt="decimal"/>
          <w:cols w:space="720" w:num="1"/>
          <w:titlePg/>
          <w:docGrid w:type="linesAndChars" w:linePitch="312" w:charSpace="0"/>
        </w:sectPr>
      </w:pPr>
      <w:r>
        <w:rPr>
          <w:rFonts w:ascii="Times New Roman" w:hAnsi="Times New Roman"/>
        </w:rPr>
        <w:t xml:space="preserve"> 日 期：</w:t>
      </w:r>
      <w:r>
        <w:t xml:space="preserve"> </w:t>
      </w:r>
    </w:p>
    <w:p>
      <w:pPr>
        <w:pStyle w:val="23"/>
        <w:spacing w:line="400" w:lineRule="exact"/>
        <w:rPr>
          <w:rFonts w:ascii="Times New Roman" w:hAnsi="Times New Roman"/>
          <w:b/>
          <w:sz w:val="28"/>
          <w:szCs w:val="28"/>
        </w:rPr>
      </w:pPr>
      <w:r>
        <w:rPr>
          <w:rFonts w:ascii="Times New Roman" w:hAnsi="Times New Roman"/>
          <w:b/>
          <w:sz w:val="28"/>
          <w:szCs w:val="28"/>
        </w:rPr>
        <w:t>8、供应商的服务技术方案（由竞标人根据项目实际情况和服务需求的要求自行编制）（必须提供）；</w:t>
      </w:r>
    </w:p>
    <w:p>
      <w:pPr>
        <w:tabs>
          <w:tab w:val="left" w:pos="1305"/>
        </w:tabs>
        <w:spacing w:line="340" w:lineRule="exact"/>
        <w:ind w:firstLine="315" w:firstLineChars="98"/>
        <w:rPr>
          <w:b/>
          <w:bCs/>
          <w:sz w:val="32"/>
          <w:szCs w:val="32"/>
        </w:rPr>
      </w:pPr>
    </w:p>
    <w:p>
      <w:pPr>
        <w:pStyle w:val="23"/>
        <w:spacing w:line="360" w:lineRule="exact"/>
        <w:rPr>
          <w:rFonts w:ascii="Times New Roman" w:hAnsi="Times New Roman"/>
          <w:b/>
          <w:bCs/>
          <w:sz w:val="32"/>
          <w:szCs w:val="32"/>
        </w:rPr>
      </w:pPr>
    </w:p>
    <w:p>
      <w:pPr>
        <w:pStyle w:val="23"/>
        <w:spacing w:line="360" w:lineRule="exact"/>
        <w:rPr>
          <w:rFonts w:ascii="Times New Roman" w:hAnsi="Times New Roman"/>
          <w:bCs/>
          <w:szCs w:val="21"/>
        </w:rPr>
      </w:pPr>
    </w:p>
    <w:p>
      <w:pPr>
        <w:pStyle w:val="23"/>
        <w:spacing w:line="360" w:lineRule="exact"/>
        <w:rPr>
          <w:rFonts w:ascii="Times New Roman" w:hAnsi="Times New Roman"/>
          <w:b/>
          <w:sz w:val="32"/>
          <w:szCs w:val="32"/>
        </w:rPr>
      </w:pPr>
    </w:p>
    <w:p>
      <w:pPr>
        <w:ind w:firstLine="3465" w:firstLineChars="1650"/>
        <w:rPr>
          <w:szCs w:val="21"/>
          <w:u w:val="single"/>
        </w:rPr>
      </w:pPr>
      <w:r>
        <w:rPr>
          <w:szCs w:val="21"/>
        </w:rPr>
        <w:t xml:space="preserve">磋商供应商：(公章) </w:t>
      </w:r>
      <w:r>
        <w:rPr>
          <w:szCs w:val="21"/>
          <w:u w:val="single"/>
        </w:rPr>
        <w:t xml:space="preserve">                   .</w:t>
      </w:r>
    </w:p>
    <w:p>
      <w:pPr>
        <w:ind w:firstLine="3465" w:firstLineChars="1650"/>
        <w:rPr>
          <w:szCs w:val="21"/>
        </w:rPr>
      </w:pPr>
    </w:p>
    <w:p>
      <w:pPr>
        <w:pStyle w:val="23"/>
        <w:ind w:firstLine="3465" w:firstLineChars="1650"/>
        <w:rPr>
          <w:rFonts w:ascii="Times New Roman" w:hAnsi="Times New Roman"/>
          <w:u w:val="single"/>
        </w:rPr>
      </w:pPr>
      <w:r>
        <w:rPr>
          <w:rFonts w:ascii="Times New Roman" w:hAnsi="Times New Roman"/>
        </w:rPr>
        <w:t>法定代表人或负责人或相应的委托代理人签字或盖章：</w:t>
      </w:r>
      <w:r>
        <w:rPr>
          <w:rFonts w:ascii="Times New Roman" w:hAnsi="Times New Roman"/>
          <w:u w:val="single"/>
        </w:rPr>
        <w:t xml:space="preserve">     </w:t>
      </w:r>
    </w:p>
    <w:p>
      <w:pPr>
        <w:pStyle w:val="23"/>
        <w:ind w:firstLine="3570" w:firstLineChars="1700"/>
        <w:rPr>
          <w:rFonts w:ascii="Times New Roman" w:hAnsi="Times New Roman"/>
          <w:u w:val="single"/>
        </w:rPr>
      </w:pPr>
    </w:p>
    <w:p>
      <w:pPr>
        <w:pStyle w:val="23"/>
        <w:ind w:firstLine="3570" w:firstLineChars="1700"/>
        <w:rPr>
          <w:rFonts w:ascii="Times New Roman" w:hAnsi="Times New Roman"/>
        </w:rPr>
      </w:pPr>
      <w:r>
        <w:rPr>
          <w:rFonts w:ascii="Times New Roman" w:hAnsi="Times New Roman"/>
        </w:rPr>
        <w:t xml:space="preserve"> 日 期：</w:t>
      </w:r>
    </w:p>
    <w:p>
      <w:pPr>
        <w:tabs>
          <w:tab w:val="left" w:pos="1305"/>
        </w:tabs>
        <w:ind w:firstLine="7537" w:firstLineChars="2346"/>
        <w:rPr>
          <w:b/>
          <w:sz w:val="32"/>
          <w:szCs w:val="32"/>
        </w:rPr>
      </w:pPr>
    </w:p>
    <w:p>
      <w:pPr>
        <w:pStyle w:val="17"/>
      </w:pPr>
    </w:p>
    <w:p>
      <w:pPr>
        <w:tabs>
          <w:tab w:val="left" w:pos="1305"/>
        </w:tabs>
        <w:spacing w:line="340" w:lineRule="exact"/>
        <w:ind w:firstLine="275" w:firstLineChars="98"/>
        <w:rPr>
          <w:b/>
          <w:sz w:val="28"/>
          <w:szCs w:val="28"/>
        </w:rPr>
      </w:pPr>
    </w:p>
    <w:p>
      <w:pPr>
        <w:tabs>
          <w:tab w:val="left" w:pos="1305"/>
        </w:tabs>
        <w:spacing w:line="340" w:lineRule="exact"/>
        <w:rPr>
          <w:b/>
          <w:sz w:val="28"/>
          <w:szCs w:val="28"/>
        </w:rPr>
      </w:pPr>
      <w:r>
        <w:rPr>
          <w:b/>
          <w:sz w:val="28"/>
          <w:szCs w:val="28"/>
        </w:rPr>
        <w:t>9、供应商的服务承诺书（由竞标人根据项目实际情况和服务需求的要求自行编制）（必须提供）；</w:t>
      </w:r>
    </w:p>
    <w:p>
      <w:pPr>
        <w:tabs>
          <w:tab w:val="left" w:pos="1305"/>
        </w:tabs>
        <w:ind w:firstLine="6594" w:firstLineChars="2346"/>
        <w:rPr>
          <w:b/>
          <w:sz w:val="28"/>
          <w:szCs w:val="28"/>
        </w:rPr>
      </w:pPr>
    </w:p>
    <w:p>
      <w:pPr>
        <w:tabs>
          <w:tab w:val="left" w:pos="1305"/>
        </w:tabs>
        <w:ind w:firstLine="7537" w:firstLineChars="2346"/>
        <w:rPr>
          <w:b/>
          <w:sz w:val="32"/>
          <w:szCs w:val="32"/>
        </w:rPr>
      </w:pPr>
    </w:p>
    <w:p>
      <w:pPr>
        <w:tabs>
          <w:tab w:val="left" w:pos="1305"/>
        </w:tabs>
        <w:ind w:firstLine="7537" w:firstLineChars="2346"/>
        <w:rPr>
          <w:b/>
          <w:sz w:val="32"/>
          <w:szCs w:val="32"/>
        </w:rPr>
      </w:pPr>
    </w:p>
    <w:p>
      <w:pPr>
        <w:pStyle w:val="23"/>
        <w:rPr>
          <w:rFonts w:ascii="Times New Roman" w:hAnsi="Times New Roman"/>
          <w:b/>
          <w:bCs/>
          <w:sz w:val="32"/>
          <w:szCs w:val="32"/>
        </w:rPr>
      </w:pPr>
    </w:p>
    <w:p>
      <w:pPr>
        <w:pStyle w:val="23"/>
        <w:rPr>
          <w:rFonts w:ascii="Times New Roman" w:hAnsi="Times New Roman"/>
          <w:b/>
          <w:bCs/>
          <w:sz w:val="32"/>
          <w:szCs w:val="32"/>
        </w:rPr>
      </w:pPr>
    </w:p>
    <w:p>
      <w:pPr>
        <w:ind w:firstLine="3465" w:firstLineChars="1650"/>
        <w:rPr>
          <w:szCs w:val="21"/>
          <w:u w:val="single"/>
        </w:rPr>
      </w:pPr>
      <w:r>
        <w:rPr>
          <w:szCs w:val="21"/>
        </w:rPr>
        <w:t xml:space="preserve">磋商供应商：(公章) </w:t>
      </w:r>
      <w:r>
        <w:rPr>
          <w:szCs w:val="21"/>
          <w:u w:val="single"/>
        </w:rPr>
        <w:t xml:space="preserve">                   .</w:t>
      </w:r>
    </w:p>
    <w:p>
      <w:pPr>
        <w:ind w:firstLine="3465" w:firstLineChars="1650"/>
        <w:rPr>
          <w:szCs w:val="21"/>
        </w:rPr>
      </w:pPr>
    </w:p>
    <w:p>
      <w:pPr>
        <w:pStyle w:val="23"/>
        <w:ind w:firstLine="3465" w:firstLineChars="1650"/>
        <w:rPr>
          <w:rFonts w:ascii="Times New Roman" w:hAnsi="Times New Roman"/>
        </w:rPr>
      </w:pPr>
      <w:r>
        <w:rPr>
          <w:rFonts w:ascii="Times New Roman" w:hAnsi="Times New Roman"/>
        </w:rPr>
        <w:t>法定代表人或负责人或相应的委托代理人签字或盖章：</w:t>
      </w:r>
      <w:r>
        <w:rPr>
          <w:rFonts w:ascii="Times New Roman" w:hAnsi="Times New Roman"/>
          <w:u w:val="single"/>
        </w:rPr>
        <w:t xml:space="preserve">       .</w:t>
      </w:r>
    </w:p>
    <w:p>
      <w:pPr>
        <w:pStyle w:val="23"/>
        <w:rPr>
          <w:rFonts w:ascii="Times New Roman" w:hAnsi="Times New Roman"/>
        </w:rPr>
      </w:pPr>
      <w:r>
        <w:rPr>
          <w:rFonts w:ascii="Times New Roman" w:hAnsi="Times New Roman"/>
          <w:b/>
          <w:sz w:val="32"/>
          <w:szCs w:val="32"/>
        </w:rPr>
        <w:t xml:space="preserve"> </w:t>
      </w:r>
      <w:r>
        <w:rPr>
          <w:rFonts w:ascii="Times New Roman" w:hAnsi="Times New Roman"/>
        </w:rPr>
        <w:t xml:space="preserve">              </w:t>
      </w:r>
    </w:p>
    <w:p>
      <w:pPr>
        <w:pStyle w:val="23"/>
        <w:ind w:firstLine="3465" w:firstLineChars="1650"/>
        <w:rPr>
          <w:rFonts w:ascii="Times New Roman" w:hAnsi="Times New Roman"/>
          <w:b/>
          <w:bCs/>
          <w:sz w:val="32"/>
          <w:szCs w:val="32"/>
        </w:rPr>
      </w:pPr>
      <w:r>
        <w:rPr>
          <w:rFonts w:ascii="Times New Roman" w:hAnsi="Times New Roman"/>
        </w:rPr>
        <w:t>日 期：</w:t>
      </w:r>
    </w:p>
    <w:p>
      <w:pPr>
        <w:pStyle w:val="23"/>
        <w:rPr>
          <w:rFonts w:ascii="Times New Roman" w:hAnsi="Times New Roman"/>
          <w:b/>
          <w:bCs/>
          <w:sz w:val="32"/>
          <w:szCs w:val="32"/>
        </w:rPr>
      </w:pPr>
    </w:p>
    <w:p>
      <w:pPr>
        <w:pStyle w:val="12"/>
        <w:rPr>
          <w:b/>
          <w:bCs/>
          <w:sz w:val="32"/>
          <w:szCs w:val="32"/>
        </w:rPr>
      </w:pPr>
    </w:p>
    <w:p>
      <w:pPr>
        <w:rPr>
          <w:b/>
          <w:bCs/>
          <w:sz w:val="32"/>
          <w:szCs w:val="32"/>
        </w:rPr>
      </w:pPr>
    </w:p>
    <w:p>
      <w:pPr>
        <w:pStyle w:val="17"/>
        <w:rPr>
          <w:rFonts w:ascii="Times New Roman" w:hAnsi="Times New Roman"/>
          <w:b w:val="0"/>
          <w:bCs/>
          <w:sz w:val="32"/>
          <w:szCs w:val="32"/>
        </w:rPr>
      </w:pPr>
    </w:p>
    <w:p>
      <w:pPr>
        <w:pStyle w:val="17"/>
        <w:rPr>
          <w:rFonts w:ascii="Times New Roman" w:hAnsi="Times New Roman"/>
          <w:b w:val="0"/>
          <w:bCs/>
          <w:sz w:val="28"/>
          <w:szCs w:val="28"/>
        </w:rPr>
      </w:pPr>
    </w:p>
    <w:p>
      <w:pPr>
        <w:tabs>
          <w:tab w:val="left" w:pos="1305"/>
        </w:tabs>
        <w:spacing w:line="400" w:lineRule="exact"/>
        <w:rPr>
          <w:sz w:val="28"/>
          <w:szCs w:val="28"/>
        </w:rPr>
      </w:pPr>
      <w:r>
        <w:rPr>
          <w:b/>
          <w:sz w:val="28"/>
          <w:szCs w:val="28"/>
        </w:rPr>
        <w:t>10、</w:t>
      </w:r>
      <w:r>
        <w:rPr>
          <w:rFonts w:hint="eastAsia"/>
          <w:b/>
          <w:sz w:val="28"/>
          <w:szCs w:val="28"/>
        </w:rPr>
        <w:t>供应商近三年（2017-2019）财务状况，须提供会计师事务所的审计的财务报告复印件加盖公章（如有，请提供）；</w:t>
      </w:r>
    </w:p>
    <w:p>
      <w:pPr>
        <w:tabs>
          <w:tab w:val="left" w:pos="1305"/>
        </w:tabs>
        <w:spacing w:line="400" w:lineRule="exact"/>
        <w:rPr>
          <w:b/>
          <w:sz w:val="28"/>
          <w:szCs w:val="28"/>
        </w:rPr>
      </w:pPr>
    </w:p>
    <w:p>
      <w:pPr>
        <w:pStyle w:val="17"/>
        <w:rPr>
          <w:rFonts w:ascii="Times New Roman" w:hAnsi="Times New Roman"/>
          <w:sz w:val="28"/>
          <w:szCs w:val="28"/>
        </w:rPr>
      </w:pPr>
    </w:p>
    <w:p>
      <w:pPr>
        <w:tabs>
          <w:tab w:val="left" w:pos="1305"/>
        </w:tabs>
        <w:spacing w:line="400" w:lineRule="exact"/>
        <w:ind w:firstLine="562" w:firstLineChars="200"/>
        <w:rPr>
          <w:b/>
          <w:sz w:val="28"/>
          <w:szCs w:val="28"/>
        </w:rPr>
      </w:pPr>
    </w:p>
    <w:p>
      <w:pPr>
        <w:pStyle w:val="17"/>
        <w:rPr>
          <w:rFonts w:ascii="Times New Roman" w:hAnsi="Times New Roman"/>
          <w:b w:val="0"/>
          <w:sz w:val="28"/>
          <w:szCs w:val="28"/>
        </w:rPr>
      </w:pPr>
    </w:p>
    <w:p>
      <w:pPr>
        <w:pStyle w:val="17"/>
        <w:rPr>
          <w:rFonts w:ascii="Times New Roman" w:hAnsi="Times New Roman"/>
          <w:b w:val="0"/>
          <w:sz w:val="28"/>
          <w:szCs w:val="28"/>
        </w:rPr>
      </w:pPr>
    </w:p>
    <w:p>
      <w:pPr>
        <w:pStyle w:val="17"/>
        <w:rPr>
          <w:rFonts w:ascii="Times New Roman" w:hAnsi="Times New Roman"/>
          <w:b w:val="0"/>
          <w:sz w:val="28"/>
          <w:szCs w:val="28"/>
        </w:rPr>
      </w:pPr>
    </w:p>
    <w:p>
      <w:pPr>
        <w:pStyle w:val="17"/>
        <w:rPr>
          <w:rFonts w:ascii="Times New Roman" w:hAnsi="Times New Roman"/>
          <w:b w:val="0"/>
          <w:sz w:val="28"/>
          <w:szCs w:val="28"/>
        </w:rPr>
      </w:pPr>
    </w:p>
    <w:p>
      <w:pPr>
        <w:pStyle w:val="17"/>
        <w:rPr>
          <w:rFonts w:ascii="Times New Roman" w:hAnsi="Times New Roman"/>
          <w:b w:val="0"/>
          <w:sz w:val="28"/>
          <w:szCs w:val="28"/>
        </w:rPr>
      </w:pPr>
    </w:p>
    <w:p>
      <w:pPr>
        <w:pStyle w:val="17"/>
        <w:rPr>
          <w:rFonts w:ascii="Times New Roman" w:hAnsi="Times New Roman"/>
          <w:b w:val="0"/>
          <w:sz w:val="28"/>
          <w:szCs w:val="28"/>
        </w:rPr>
      </w:pPr>
    </w:p>
    <w:p>
      <w:pPr>
        <w:pStyle w:val="17"/>
        <w:rPr>
          <w:rFonts w:ascii="Times New Roman" w:hAnsi="Times New Roman"/>
          <w:b w:val="0"/>
          <w:sz w:val="28"/>
          <w:szCs w:val="28"/>
        </w:rPr>
      </w:pPr>
    </w:p>
    <w:p>
      <w:pPr>
        <w:tabs>
          <w:tab w:val="left" w:pos="1305"/>
        </w:tabs>
        <w:spacing w:line="400" w:lineRule="exact"/>
        <w:rPr>
          <w:sz w:val="28"/>
          <w:szCs w:val="28"/>
        </w:rPr>
      </w:pPr>
      <w:r>
        <w:rPr>
          <w:b/>
          <w:sz w:val="28"/>
          <w:szCs w:val="28"/>
        </w:rPr>
        <w:t>11、项目实施人员一览表（如有，请提供）；</w:t>
      </w:r>
    </w:p>
    <w:p>
      <w:pPr>
        <w:tabs>
          <w:tab w:val="left" w:pos="1305"/>
        </w:tabs>
        <w:spacing w:line="400" w:lineRule="exact"/>
        <w:rPr>
          <w:b/>
          <w:sz w:val="32"/>
          <w:szCs w:val="32"/>
        </w:rPr>
      </w:pPr>
    </w:p>
    <w:p>
      <w:pPr>
        <w:tabs>
          <w:tab w:val="left" w:pos="1305"/>
        </w:tabs>
        <w:spacing w:line="400" w:lineRule="exact"/>
        <w:jc w:val="center"/>
        <w:rPr>
          <w:b/>
          <w:sz w:val="28"/>
          <w:szCs w:val="28"/>
        </w:rPr>
      </w:pPr>
      <w:r>
        <w:rPr>
          <w:b/>
          <w:sz w:val="28"/>
          <w:szCs w:val="28"/>
        </w:rPr>
        <w:t>项目实施人员一览表</w:t>
      </w:r>
    </w:p>
    <w:tbl>
      <w:tblPr>
        <w:tblStyle w:val="44"/>
        <w:tblW w:w="951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200"/>
        <w:gridCol w:w="1601"/>
        <w:gridCol w:w="1401"/>
        <w:gridCol w:w="1604"/>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1106" w:type="dxa"/>
            <w:vAlign w:val="center"/>
          </w:tcPr>
          <w:p>
            <w:pPr>
              <w:jc w:val="center"/>
              <w:rPr>
                <w:szCs w:val="21"/>
              </w:rPr>
            </w:pPr>
            <w:r>
              <w:rPr>
                <w:szCs w:val="21"/>
              </w:rPr>
              <w:t>序号</w:t>
            </w:r>
          </w:p>
        </w:tc>
        <w:tc>
          <w:tcPr>
            <w:tcW w:w="1200" w:type="dxa"/>
            <w:vAlign w:val="center"/>
          </w:tcPr>
          <w:p>
            <w:pPr>
              <w:jc w:val="center"/>
              <w:rPr>
                <w:szCs w:val="21"/>
              </w:rPr>
            </w:pPr>
            <w:r>
              <w:rPr>
                <w:szCs w:val="21"/>
              </w:rPr>
              <w:t>姓名</w:t>
            </w:r>
          </w:p>
        </w:tc>
        <w:tc>
          <w:tcPr>
            <w:tcW w:w="1601" w:type="dxa"/>
            <w:vAlign w:val="center"/>
          </w:tcPr>
          <w:p>
            <w:pPr>
              <w:jc w:val="center"/>
              <w:rPr>
                <w:szCs w:val="21"/>
              </w:rPr>
            </w:pPr>
            <w:r>
              <w:rPr>
                <w:szCs w:val="21"/>
              </w:rPr>
              <w:t>性别</w:t>
            </w:r>
          </w:p>
        </w:tc>
        <w:tc>
          <w:tcPr>
            <w:tcW w:w="1401" w:type="dxa"/>
            <w:vAlign w:val="center"/>
          </w:tcPr>
          <w:p>
            <w:pPr>
              <w:jc w:val="center"/>
              <w:rPr>
                <w:szCs w:val="21"/>
              </w:rPr>
            </w:pPr>
            <w:r>
              <w:rPr>
                <w:szCs w:val="21"/>
              </w:rPr>
              <w:t>专业</w:t>
            </w:r>
          </w:p>
        </w:tc>
        <w:tc>
          <w:tcPr>
            <w:tcW w:w="1604" w:type="dxa"/>
            <w:vAlign w:val="center"/>
          </w:tcPr>
          <w:p>
            <w:pPr>
              <w:jc w:val="center"/>
              <w:rPr>
                <w:szCs w:val="21"/>
              </w:rPr>
            </w:pPr>
            <w:r>
              <w:rPr>
                <w:szCs w:val="21"/>
              </w:rPr>
              <w:t>技术职称</w:t>
            </w:r>
          </w:p>
        </w:tc>
        <w:tc>
          <w:tcPr>
            <w:tcW w:w="2604" w:type="dxa"/>
            <w:vAlign w:val="center"/>
          </w:tcPr>
          <w:p>
            <w:pPr>
              <w:jc w:val="center"/>
              <w:rPr>
                <w:szCs w:val="21"/>
              </w:rPr>
            </w:pPr>
            <w:r>
              <w:rPr>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06" w:type="dxa"/>
            <w:vAlign w:val="center"/>
          </w:tcPr>
          <w:p>
            <w:pPr>
              <w:ind w:firstLine="420"/>
              <w:rPr>
                <w:szCs w:val="21"/>
              </w:rPr>
            </w:pPr>
            <w:r>
              <w:rPr>
                <w:szCs w:val="21"/>
              </w:rPr>
              <w:t>1</w:t>
            </w:r>
          </w:p>
        </w:tc>
        <w:tc>
          <w:tcPr>
            <w:tcW w:w="1200" w:type="dxa"/>
            <w:vAlign w:val="center"/>
          </w:tcPr>
          <w:p>
            <w:pPr>
              <w:ind w:firstLine="420"/>
              <w:jc w:val="center"/>
              <w:rPr>
                <w:szCs w:val="21"/>
              </w:rPr>
            </w:pPr>
          </w:p>
        </w:tc>
        <w:tc>
          <w:tcPr>
            <w:tcW w:w="1601" w:type="dxa"/>
            <w:vAlign w:val="center"/>
          </w:tcPr>
          <w:p>
            <w:pPr>
              <w:ind w:firstLine="420"/>
              <w:jc w:val="center"/>
              <w:rPr>
                <w:szCs w:val="21"/>
              </w:rPr>
            </w:pPr>
          </w:p>
        </w:tc>
        <w:tc>
          <w:tcPr>
            <w:tcW w:w="1401" w:type="dxa"/>
            <w:vAlign w:val="center"/>
          </w:tcPr>
          <w:p>
            <w:pPr>
              <w:ind w:firstLine="420"/>
              <w:jc w:val="center"/>
              <w:rPr>
                <w:szCs w:val="21"/>
              </w:rPr>
            </w:pPr>
          </w:p>
        </w:tc>
        <w:tc>
          <w:tcPr>
            <w:tcW w:w="1604" w:type="dxa"/>
            <w:vAlign w:val="center"/>
          </w:tcPr>
          <w:p>
            <w:pPr>
              <w:ind w:firstLine="420"/>
              <w:jc w:val="center"/>
              <w:rPr>
                <w:szCs w:val="21"/>
              </w:rPr>
            </w:pPr>
          </w:p>
        </w:tc>
        <w:tc>
          <w:tcPr>
            <w:tcW w:w="2604" w:type="dxa"/>
            <w:vAlign w:val="center"/>
          </w:tcPr>
          <w:p>
            <w:pPr>
              <w:ind w:firstLine="4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06" w:type="dxa"/>
            <w:vAlign w:val="center"/>
          </w:tcPr>
          <w:p>
            <w:pPr>
              <w:ind w:firstLine="420"/>
              <w:rPr>
                <w:szCs w:val="21"/>
              </w:rPr>
            </w:pPr>
            <w:r>
              <w:rPr>
                <w:szCs w:val="21"/>
              </w:rPr>
              <w:t>2</w:t>
            </w:r>
          </w:p>
        </w:tc>
        <w:tc>
          <w:tcPr>
            <w:tcW w:w="1200" w:type="dxa"/>
            <w:vAlign w:val="center"/>
          </w:tcPr>
          <w:p>
            <w:pPr>
              <w:ind w:firstLine="420"/>
              <w:jc w:val="center"/>
              <w:rPr>
                <w:szCs w:val="21"/>
              </w:rPr>
            </w:pPr>
          </w:p>
        </w:tc>
        <w:tc>
          <w:tcPr>
            <w:tcW w:w="1601" w:type="dxa"/>
            <w:vAlign w:val="center"/>
          </w:tcPr>
          <w:p>
            <w:pPr>
              <w:ind w:firstLine="420"/>
              <w:jc w:val="center"/>
              <w:rPr>
                <w:szCs w:val="21"/>
              </w:rPr>
            </w:pPr>
          </w:p>
        </w:tc>
        <w:tc>
          <w:tcPr>
            <w:tcW w:w="1401" w:type="dxa"/>
            <w:vAlign w:val="center"/>
          </w:tcPr>
          <w:p>
            <w:pPr>
              <w:ind w:firstLine="420"/>
              <w:jc w:val="center"/>
              <w:rPr>
                <w:szCs w:val="21"/>
              </w:rPr>
            </w:pPr>
          </w:p>
        </w:tc>
        <w:tc>
          <w:tcPr>
            <w:tcW w:w="1604" w:type="dxa"/>
            <w:vAlign w:val="center"/>
          </w:tcPr>
          <w:p>
            <w:pPr>
              <w:ind w:firstLine="420"/>
              <w:jc w:val="center"/>
              <w:rPr>
                <w:szCs w:val="21"/>
              </w:rPr>
            </w:pPr>
          </w:p>
        </w:tc>
        <w:tc>
          <w:tcPr>
            <w:tcW w:w="2604" w:type="dxa"/>
            <w:vAlign w:val="center"/>
          </w:tcPr>
          <w:p>
            <w:pPr>
              <w:ind w:firstLine="4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06" w:type="dxa"/>
            <w:vAlign w:val="center"/>
          </w:tcPr>
          <w:p>
            <w:pPr>
              <w:ind w:firstLine="420"/>
              <w:jc w:val="center"/>
              <w:rPr>
                <w:szCs w:val="21"/>
              </w:rPr>
            </w:pPr>
          </w:p>
        </w:tc>
        <w:tc>
          <w:tcPr>
            <w:tcW w:w="1200" w:type="dxa"/>
            <w:vAlign w:val="center"/>
          </w:tcPr>
          <w:p>
            <w:pPr>
              <w:ind w:firstLine="420"/>
              <w:jc w:val="center"/>
              <w:rPr>
                <w:szCs w:val="21"/>
              </w:rPr>
            </w:pPr>
          </w:p>
        </w:tc>
        <w:tc>
          <w:tcPr>
            <w:tcW w:w="1601" w:type="dxa"/>
            <w:vAlign w:val="center"/>
          </w:tcPr>
          <w:p>
            <w:pPr>
              <w:ind w:firstLine="420"/>
              <w:jc w:val="center"/>
              <w:rPr>
                <w:szCs w:val="21"/>
              </w:rPr>
            </w:pPr>
          </w:p>
        </w:tc>
        <w:tc>
          <w:tcPr>
            <w:tcW w:w="1401" w:type="dxa"/>
            <w:vAlign w:val="center"/>
          </w:tcPr>
          <w:p>
            <w:pPr>
              <w:ind w:firstLine="420"/>
              <w:jc w:val="center"/>
              <w:rPr>
                <w:szCs w:val="21"/>
              </w:rPr>
            </w:pPr>
          </w:p>
        </w:tc>
        <w:tc>
          <w:tcPr>
            <w:tcW w:w="1604" w:type="dxa"/>
            <w:vAlign w:val="center"/>
          </w:tcPr>
          <w:p>
            <w:pPr>
              <w:ind w:firstLine="420"/>
              <w:jc w:val="center"/>
              <w:rPr>
                <w:szCs w:val="21"/>
              </w:rPr>
            </w:pPr>
          </w:p>
        </w:tc>
        <w:tc>
          <w:tcPr>
            <w:tcW w:w="2604" w:type="dxa"/>
            <w:vAlign w:val="center"/>
          </w:tcPr>
          <w:p>
            <w:pPr>
              <w:ind w:firstLine="420"/>
              <w:jc w:val="center"/>
              <w:rPr>
                <w:szCs w:val="21"/>
              </w:rPr>
            </w:pPr>
          </w:p>
        </w:tc>
      </w:tr>
    </w:tbl>
    <w:p>
      <w:pPr>
        <w:pStyle w:val="23"/>
        <w:ind w:firstLine="420" w:firstLineChars="200"/>
        <w:rPr>
          <w:rFonts w:ascii="Times New Roman" w:hAnsi="Times New Roman"/>
        </w:rPr>
      </w:pPr>
    </w:p>
    <w:p>
      <w:pPr>
        <w:pStyle w:val="23"/>
        <w:ind w:firstLine="420" w:firstLineChars="200"/>
        <w:rPr>
          <w:rFonts w:ascii="Times New Roman" w:hAnsi="Times New Roman"/>
        </w:rPr>
      </w:pPr>
      <w:r>
        <w:rPr>
          <w:rFonts w:ascii="Times New Roman" w:hAnsi="Times New Roman"/>
        </w:rPr>
        <w:t>注：</w:t>
      </w:r>
      <w:r>
        <w:rPr>
          <w:rFonts w:hint="eastAsia" w:hAnsi="宋体" w:cs="宋体"/>
          <w:b/>
          <w:bCs/>
          <w:color w:val="000000"/>
          <w:kern w:val="0"/>
          <w:sz w:val="20"/>
        </w:rPr>
        <w:t>提供的职称证书、资格证书复印件</w:t>
      </w:r>
      <w:r>
        <w:rPr>
          <w:rFonts w:ascii="Times New Roman" w:hAnsi="Times New Roman"/>
        </w:rPr>
        <w:t>。</w:t>
      </w:r>
    </w:p>
    <w:p>
      <w:pPr>
        <w:pStyle w:val="17"/>
        <w:rPr>
          <w:rFonts w:ascii="Times New Roman" w:hAnsi="Times New Roman"/>
        </w:rPr>
      </w:pPr>
    </w:p>
    <w:p>
      <w:pPr>
        <w:pStyle w:val="17"/>
        <w:rPr>
          <w:rFonts w:ascii="Times New Roman" w:hAnsi="Times New Roman"/>
        </w:rPr>
      </w:pPr>
    </w:p>
    <w:p>
      <w:pPr>
        <w:ind w:firstLine="3465" w:firstLineChars="1650"/>
        <w:rPr>
          <w:szCs w:val="21"/>
          <w:u w:val="single"/>
        </w:rPr>
      </w:pPr>
      <w:r>
        <w:rPr>
          <w:szCs w:val="21"/>
        </w:rPr>
        <w:t xml:space="preserve">磋商供应商：(公章) </w:t>
      </w:r>
      <w:r>
        <w:rPr>
          <w:szCs w:val="21"/>
          <w:u w:val="single"/>
        </w:rPr>
        <w:t xml:space="preserve">                   .</w:t>
      </w:r>
    </w:p>
    <w:p>
      <w:pPr>
        <w:ind w:firstLine="3465" w:firstLineChars="1650"/>
        <w:rPr>
          <w:szCs w:val="21"/>
        </w:rPr>
      </w:pPr>
    </w:p>
    <w:p>
      <w:pPr>
        <w:pStyle w:val="23"/>
        <w:ind w:firstLine="3465" w:firstLineChars="1650"/>
        <w:rPr>
          <w:rFonts w:ascii="Times New Roman" w:hAnsi="Times New Roman"/>
        </w:rPr>
      </w:pPr>
      <w:r>
        <w:rPr>
          <w:rFonts w:ascii="Times New Roman" w:hAnsi="Times New Roman"/>
        </w:rPr>
        <w:t>法定代表人或负责人或相应的委托代理人签字或盖章：</w:t>
      </w:r>
      <w:r>
        <w:rPr>
          <w:rFonts w:ascii="Times New Roman" w:hAnsi="Times New Roman"/>
          <w:u w:val="single"/>
        </w:rPr>
        <w:t xml:space="preserve">       .</w:t>
      </w:r>
    </w:p>
    <w:p>
      <w:pPr>
        <w:pStyle w:val="23"/>
        <w:rPr>
          <w:rFonts w:ascii="Times New Roman" w:hAnsi="Times New Roman"/>
        </w:rPr>
      </w:pPr>
      <w:r>
        <w:rPr>
          <w:rFonts w:ascii="Times New Roman" w:hAnsi="Times New Roman"/>
          <w:b/>
          <w:sz w:val="32"/>
          <w:szCs w:val="32"/>
        </w:rPr>
        <w:t xml:space="preserve"> </w:t>
      </w:r>
      <w:r>
        <w:rPr>
          <w:rFonts w:ascii="Times New Roman" w:hAnsi="Times New Roman"/>
        </w:rPr>
        <w:t xml:space="preserve">              </w:t>
      </w:r>
    </w:p>
    <w:p>
      <w:pPr>
        <w:pStyle w:val="23"/>
        <w:ind w:firstLine="3465" w:firstLineChars="1650"/>
        <w:rPr>
          <w:rFonts w:ascii="Times New Roman" w:hAnsi="Times New Roman"/>
          <w:b/>
          <w:bCs/>
          <w:sz w:val="32"/>
          <w:szCs w:val="32"/>
        </w:rPr>
      </w:pPr>
      <w:r>
        <w:rPr>
          <w:rFonts w:ascii="Times New Roman" w:hAnsi="Times New Roman"/>
        </w:rPr>
        <w:t>日 期：</w:t>
      </w:r>
    </w:p>
    <w:p>
      <w:pPr>
        <w:pStyle w:val="17"/>
        <w:rPr>
          <w:rFonts w:ascii="Times New Roman" w:hAnsi="Times New Roman"/>
        </w:rPr>
      </w:pPr>
    </w:p>
    <w:p>
      <w:pPr>
        <w:tabs>
          <w:tab w:val="left" w:pos="1305"/>
        </w:tabs>
        <w:spacing w:line="400" w:lineRule="exact"/>
        <w:rPr>
          <w:b/>
          <w:sz w:val="28"/>
          <w:szCs w:val="28"/>
        </w:rPr>
      </w:pPr>
      <w:r>
        <w:rPr>
          <w:rFonts w:hint="eastAsia"/>
          <w:b/>
          <w:sz w:val="28"/>
          <w:szCs w:val="28"/>
        </w:rPr>
        <w:t>12</w:t>
      </w:r>
      <w:r>
        <w:rPr>
          <w:b/>
          <w:sz w:val="28"/>
          <w:szCs w:val="28"/>
        </w:rPr>
        <w:t>、供应商具有同类或类似服务业绩的相关证明材料（无不良记录，以中标、成交通知书或签订的采购合同为准，并能清晰反映项目名称、种类、金额）（如有，请提供）；</w:t>
      </w:r>
    </w:p>
    <w:p>
      <w:pPr>
        <w:tabs>
          <w:tab w:val="left" w:pos="1305"/>
        </w:tabs>
        <w:spacing w:line="400" w:lineRule="exact"/>
        <w:rPr>
          <w:b/>
          <w:sz w:val="28"/>
          <w:szCs w:val="28"/>
        </w:rPr>
      </w:pPr>
    </w:p>
    <w:p>
      <w:pPr>
        <w:tabs>
          <w:tab w:val="left" w:pos="1305"/>
        </w:tabs>
        <w:spacing w:line="400" w:lineRule="exact"/>
        <w:rPr>
          <w:b/>
          <w:sz w:val="28"/>
          <w:szCs w:val="28"/>
        </w:rPr>
      </w:pPr>
    </w:p>
    <w:p>
      <w:pPr>
        <w:tabs>
          <w:tab w:val="left" w:pos="1305"/>
        </w:tabs>
        <w:spacing w:line="400" w:lineRule="exact"/>
        <w:rPr>
          <w:b/>
          <w:sz w:val="28"/>
          <w:szCs w:val="28"/>
        </w:rPr>
      </w:pPr>
    </w:p>
    <w:p>
      <w:pPr>
        <w:pStyle w:val="17"/>
        <w:rPr>
          <w:rFonts w:ascii="Times New Roman" w:hAnsi="Times New Roman"/>
          <w:sz w:val="28"/>
          <w:szCs w:val="28"/>
        </w:rPr>
      </w:pPr>
    </w:p>
    <w:p>
      <w:pPr>
        <w:numPr>
          <w:ilvl w:val="0"/>
          <w:numId w:val="10"/>
        </w:numPr>
        <w:tabs>
          <w:tab w:val="left" w:pos="1305"/>
        </w:tabs>
        <w:spacing w:line="400" w:lineRule="exact"/>
        <w:rPr>
          <w:b/>
          <w:sz w:val="28"/>
          <w:szCs w:val="28"/>
        </w:rPr>
      </w:pPr>
      <w:r>
        <w:rPr>
          <w:b/>
          <w:sz w:val="28"/>
          <w:szCs w:val="28"/>
        </w:rPr>
        <w:t>供应商相关获奖证书、认证证书等复印件（如有，请提供）</w:t>
      </w:r>
      <w:r>
        <w:rPr>
          <w:rFonts w:hint="eastAsia"/>
          <w:b/>
          <w:sz w:val="28"/>
          <w:szCs w:val="28"/>
        </w:rPr>
        <w:t>；</w:t>
      </w:r>
    </w:p>
    <w:p>
      <w:pPr>
        <w:tabs>
          <w:tab w:val="left" w:pos="1305"/>
        </w:tabs>
        <w:spacing w:line="400" w:lineRule="exact"/>
        <w:rPr>
          <w:b/>
          <w:sz w:val="28"/>
          <w:szCs w:val="28"/>
        </w:rPr>
      </w:pPr>
    </w:p>
    <w:p>
      <w:pPr>
        <w:tabs>
          <w:tab w:val="left" w:pos="1305"/>
        </w:tabs>
        <w:spacing w:line="400" w:lineRule="exact"/>
        <w:rPr>
          <w:b/>
          <w:sz w:val="28"/>
          <w:szCs w:val="28"/>
        </w:rPr>
      </w:pPr>
    </w:p>
    <w:p>
      <w:pPr>
        <w:tabs>
          <w:tab w:val="left" w:pos="1305"/>
        </w:tabs>
        <w:spacing w:line="400" w:lineRule="exact"/>
        <w:rPr>
          <w:b/>
          <w:sz w:val="28"/>
          <w:szCs w:val="28"/>
        </w:rPr>
      </w:pPr>
    </w:p>
    <w:p>
      <w:pPr>
        <w:pStyle w:val="17"/>
      </w:pPr>
    </w:p>
    <w:p>
      <w:pPr>
        <w:tabs>
          <w:tab w:val="left" w:pos="1305"/>
        </w:tabs>
        <w:spacing w:line="400" w:lineRule="exact"/>
        <w:rPr>
          <w:b/>
          <w:sz w:val="28"/>
          <w:szCs w:val="28"/>
        </w:rPr>
      </w:pPr>
    </w:p>
    <w:p>
      <w:pPr>
        <w:tabs>
          <w:tab w:val="left" w:pos="1305"/>
        </w:tabs>
        <w:spacing w:line="400" w:lineRule="exact"/>
        <w:rPr>
          <w:b/>
          <w:sz w:val="28"/>
          <w:szCs w:val="28"/>
        </w:rPr>
      </w:pPr>
    </w:p>
    <w:p>
      <w:pPr>
        <w:tabs>
          <w:tab w:val="left" w:pos="1305"/>
        </w:tabs>
        <w:spacing w:line="400" w:lineRule="exact"/>
        <w:rPr>
          <w:b/>
          <w:sz w:val="28"/>
          <w:szCs w:val="28"/>
        </w:rPr>
      </w:pPr>
    </w:p>
    <w:p>
      <w:pPr>
        <w:tabs>
          <w:tab w:val="left" w:pos="1305"/>
        </w:tabs>
        <w:spacing w:line="400" w:lineRule="exact"/>
        <w:rPr>
          <w:b/>
          <w:sz w:val="28"/>
          <w:szCs w:val="28"/>
        </w:rPr>
      </w:pPr>
    </w:p>
    <w:p>
      <w:pPr>
        <w:tabs>
          <w:tab w:val="left" w:pos="1305"/>
        </w:tabs>
        <w:spacing w:line="400" w:lineRule="exact"/>
        <w:rPr>
          <w:b/>
          <w:sz w:val="28"/>
          <w:szCs w:val="28"/>
        </w:rPr>
      </w:pPr>
    </w:p>
    <w:p>
      <w:pPr>
        <w:tabs>
          <w:tab w:val="left" w:pos="1305"/>
        </w:tabs>
        <w:spacing w:line="400" w:lineRule="exact"/>
        <w:rPr>
          <w:b/>
          <w:sz w:val="28"/>
          <w:szCs w:val="28"/>
        </w:rPr>
      </w:pPr>
      <w:r>
        <w:rPr>
          <w:rFonts w:hint="eastAsia"/>
          <w:b/>
          <w:sz w:val="28"/>
          <w:szCs w:val="28"/>
        </w:rPr>
        <w:t>14、</w:t>
      </w:r>
      <w:r>
        <w:rPr>
          <w:b/>
          <w:sz w:val="28"/>
          <w:szCs w:val="28"/>
        </w:rPr>
        <w:t>“服务采购需求”需提供的有效证明文件复印件（如有，请提供）；</w:t>
      </w:r>
    </w:p>
    <w:p>
      <w:pPr>
        <w:widowControl/>
        <w:jc w:val="left"/>
        <w:rPr>
          <w:b/>
          <w:bCs/>
        </w:rPr>
      </w:pPr>
    </w:p>
    <w:p>
      <w:pPr>
        <w:widowControl/>
        <w:jc w:val="left"/>
        <w:rPr>
          <w:b/>
          <w:bCs/>
        </w:rPr>
      </w:pPr>
    </w:p>
    <w:p>
      <w:pPr>
        <w:widowControl/>
        <w:jc w:val="left"/>
        <w:rPr>
          <w:b/>
          <w:bCs/>
        </w:rPr>
      </w:pPr>
    </w:p>
    <w:p>
      <w:pPr>
        <w:widowControl/>
        <w:jc w:val="left"/>
        <w:rPr>
          <w:b/>
          <w:bCs/>
        </w:rPr>
      </w:pPr>
    </w:p>
    <w:p>
      <w:pPr>
        <w:tabs>
          <w:tab w:val="left" w:pos="1305"/>
        </w:tabs>
        <w:spacing w:line="400" w:lineRule="exact"/>
        <w:rPr>
          <w:b/>
          <w:sz w:val="28"/>
          <w:szCs w:val="28"/>
        </w:rPr>
      </w:pPr>
      <w:r>
        <w:rPr>
          <w:b/>
          <w:sz w:val="28"/>
          <w:szCs w:val="28"/>
        </w:rPr>
        <w:t>1</w:t>
      </w:r>
      <w:r>
        <w:rPr>
          <w:rFonts w:hint="eastAsia"/>
          <w:b/>
          <w:sz w:val="28"/>
          <w:szCs w:val="28"/>
        </w:rPr>
        <w:t>5</w:t>
      </w:r>
      <w:r>
        <w:rPr>
          <w:b/>
          <w:sz w:val="28"/>
          <w:szCs w:val="28"/>
        </w:rPr>
        <w:t>、如产品属于小型、微型企业，以提供的《中小企业声明函》为准；如产品属于监狱企业的，以提供的相关证明材料为准（如有，请提供）；</w:t>
      </w:r>
    </w:p>
    <w:p>
      <w:pPr>
        <w:tabs>
          <w:tab w:val="left" w:pos="1305"/>
        </w:tabs>
        <w:spacing w:line="400" w:lineRule="exact"/>
        <w:rPr>
          <w:b/>
          <w:sz w:val="28"/>
          <w:szCs w:val="28"/>
        </w:rPr>
      </w:pPr>
    </w:p>
    <w:p>
      <w:pPr>
        <w:tabs>
          <w:tab w:val="left" w:pos="1305"/>
        </w:tabs>
        <w:spacing w:line="400" w:lineRule="exact"/>
        <w:ind w:firstLine="562" w:firstLineChars="200"/>
        <w:rPr>
          <w:b/>
          <w:sz w:val="28"/>
          <w:szCs w:val="18"/>
        </w:rPr>
      </w:pPr>
    </w:p>
    <w:p>
      <w:pPr>
        <w:spacing w:line="360" w:lineRule="exact"/>
        <w:rPr>
          <w:b/>
          <w:bCs/>
          <w:sz w:val="28"/>
          <w:szCs w:val="28"/>
        </w:rPr>
      </w:pPr>
      <w:r>
        <w:rPr>
          <w:b/>
          <w:bCs/>
          <w:sz w:val="28"/>
          <w:szCs w:val="28"/>
        </w:rPr>
        <w:t>附：</w:t>
      </w:r>
    </w:p>
    <w:p>
      <w:pPr>
        <w:tabs>
          <w:tab w:val="center" w:pos="4501"/>
          <w:tab w:val="left" w:pos="5985"/>
        </w:tabs>
        <w:spacing w:line="360" w:lineRule="exact"/>
        <w:jc w:val="left"/>
        <w:rPr>
          <w:b/>
          <w:sz w:val="28"/>
        </w:rPr>
      </w:pPr>
      <w:r>
        <w:rPr>
          <w:b/>
          <w:sz w:val="28"/>
        </w:rPr>
        <w:tab/>
      </w:r>
      <w:r>
        <w:rPr>
          <w:b/>
          <w:sz w:val="28"/>
        </w:rPr>
        <w:t>中小企业声明函</w:t>
      </w:r>
      <w:r>
        <w:rPr>
          <w:b/>
          <w:sz w:val="28"/>
        </w:rPr>
        <w:tab/>
      </w:r>
    </w:p>
    <w:p>
      <w:pPr>
        <w:spacing w:line="360" w:lineRule="exact"/>
        <w:ind w:firstLine="480" w:firstLineChars="200"/>
        <w:rPr>
          <w:sz w:val="24"/>
        </w:rPr>
      </w:pPr>
    </w:p>
    <w:p>
      <w:pPr>
        <w:tabs>
          <w:tab w:val="left" w:pos="1305"/>
        </w:tabs>
        <w:spacing w:line="380" w:lineRule="exact"/>
        <w:ind w:firstLine="420" w:firstLineChars="200"/>
        <w:rPr>
          <w:szCs w:val="20"/>
        </w:rPr>
      </w:pPr>
      <w:r>
        <w:rPr>
          <w:szCs w:val="20"/>
        </w:rPr>
        <w:t>本公司郑重声明，根据《政府采购促进中小企业发展暂行办法》（财库〔2011〕181号）的规定，本公司为______（请填写：中型、小型、微型）企业。即，本公司同时满足以下条件：</w:t>
      </w:r>
    </w:p>
    <w:p>
      <w:pPr>
        <w:tabs>
          <w:tab w:val="left" w:pos="1305"/>
        </w:tabs>
        <w:spacing w:line="380" w:lineRule="exact"/>
        <w:rPr>
          <w:szCs w:val="20"/>
        </w:rPr>
      </w:pPr>
    </w:p>
    <w:p>
      <w:pPr>
        <w:tabs>
          <w:tab w:val="left" w:pos="1305"/>
        </w:tabs>
        <w:spacing w:line="380" w:lineRule="exact"/>
        <w:rPr>
          <w:szCs w:val="20"/>
        </w:rPr>
      </w:pPr>
      <w:r>
        <w:rPr>
          <w:szCs w:val="20"/>
        </w:rPr>
        <w:t>1.根据《工业和信息化部、国家统计局、国家发展和改革委员会、财政部关于印发中小企业划型标准规定的通知》（工信部联企业〔2011〕300号）规定的划分标准，本公司为______（请填写：中型、小型、微型）企业。</w:t>
      </w:r>
    </w:p>
    <w:p>
      <w:pPr>
        <w:tabs>
          <w:tab w:val="left" w:pos="1305"/>
        </w:tabs>
        <w:spacing w:line="380" w:lineRule="exact"/>
        <w:rPr>
          <w:szCs w:val="20"/>
        </w:rPr>
      </w:pPr>
    </w:p>
    <w:p>
      <w:pPr>
        <w:tabs>
          <w:tab w:val="left" w:pos="1305"/>
        </w:tabs>
        <w:spacing w:line="380" w:lineRule="exact"/>
        <w:rPr>
          <w:szCs w:val="20"/>
        </w:rPr>
      </w:pPr>
    </w:p>
    <w:p>
      <w:pPr>
        <w:tabs>
          <w:tab w:val="left" w:pos="1305"/>
        </w:tabs>
        <w:spacing w:line="380" w:lineRule="exact"/>
        <w:rPr>
          <w:szCs w:val="20"/>
        </w:rPr>
      </w:pPr>
      <w:r>
        <w:rPr>
          <w:szCs w:val="20"/>
        </w:rPr>
        <w:t>本公司对上述声明的真实性负责。如有虚假，将依法承担相应责任。</w:t>
      </w:r>
    </w:p>
    <w:p>
      <w:pPr>
        <w:tabs>
          <w:tab w:val="left" w:pos="1305"/>
        </w:tabs>
        <w:spacing w:line="380" w:lineRule="exact"/>
        <w:rPr>
          <w:szCs w:val="20"/>
        </w:rPr>
      </w:pPr>
    </w:p>
    <w:p>
      <w:pPr>
        <w:tabs>
          <w:tab w:val="left" w:pos="1305"/>
        </w:tabs>
        <w:spacing w:line="380" w:lineRule="exact"/>
        <w:ind w:firstLine="5460" w:firstLineChars="2600"/>
        <w:rPr>
          <w:szCs w:val="20"/>
        </w:rPr>
      </w:pPr>
      <w:r>
        <w:rPr>
          <w:szCs w:val="20"/>
        </w:rPr>
        <w:t>企业名称（盖章）：</w:t>
      </w:r>
    </w:p>
    <w:p>
      <w:pPr>
        <w:tabs>
          <w:tab w:val="left" w:pos="1305"/>
        </w:tabs>
        <w:spacing w:line="380" w:lineRule="exact"/>
        <w:rPr>
          <w:szCs w:val="20"/>
        </w:rPr>
      </w:pPr>
    </w:p>
    <w:p>
      <w:pPr>
        <w:tabs>
          <w:tab w:val="left" w:pos="1305"/>
        </w:tabs>
        <w:spacing w:line="380" w:lineRule="exact"/>
        <w:ind w:firstLine="5460" w:firstLineChars="2600"/>
        <w:rPr>
          <w:szCs w:val="20"/>
        </w:rPr>
      </w:pPr>
      <w:r>
        <w:rPr>
          <w:szCs w:val="20"/>
        </w:rPr>
        <w:t>日</w:t>
      </w:r>
      <w:r>
        <w:rPr>
          <w:rFonts w:hint="eastAsia"/>
          <w:szCs w:val="20"/>
        </w:rPr>
        <w:t xml:space="preserve">    </w:t>
      </w:r>
      <w:r>
        <w:rPr>
          <w:szCs w:val="20"/>
        </w:rPr>
        <w:t xml:space="preserve">期： </w:t>
      </w:r>
    </w:p>
    <w:p>
      <w:pPr>
        <w:tabs>
          <w:tab w:val="left" w:pos="1305"/>
        </w:tabs>
        <w:spacing w:line="360" w:lineRule="exact"/>
        <w:ind w:firstLine="562" w:firstLineChars="200"/>
        <w:rPr>
          <w:b/>
          <w:sz w:val="28"/>
          <w:szCs w:val="18"/>
        </w:rPr>
      </w:pPr>
    </w:p>
    <w:p>
      <w:pPr>
        <w:snapToGrid w:val="0"/>
        <w:spacing w:line="390" w:lineRule="exact"/>
        <w:jc w:val="center"/>
        <w:outlineLvl w:val="4"/>
        <w:rPr>
          <w:b/>
          <w:sz w:val="28"/>
          <w:szCs w:val="28"/>
        </w:rPr>
      </w:pPr>
    </w:p>
    <w:p>
      <w:pPr>
        <w:tabs>
          <w:tab w:val="left" w:pos="1305"/>
        </w:tabs>
        <w:spacing w:line="380" w:lineRule="exact"/>
        <w:rPr>
          <w:b/>
          <w:bCs/>
          <w:kern w:val="0"/>
          <w:sz w:val="32"/>
          <w:szCs w:val="32"/>
        </w:rPr>
      </w:pPr>
      <w:r>
        <w:rPr>
          <w:b/>
          <w:bCs/>
          <w:kern w:val="0"/>
          <w:sz w:val="32"/>
          <w:szCs w:val="32"/>
        </w:rPr>
        <w:br w:type="page"/>
      </w:r>
    </w:p>
    <w:p>
      <w:pPr>
        <w:tabs>
          <w:tab w:val="left" w:pos="1305"/>
        </w:tabs>
        <w:spacing w:line="400" w:lineRule="exact"/>
        <w:rPr>
          <w:b/>
          <w:sz w:val="28"/>
          <w:szCs w:val="28"/>
        </w:rPr>
      </w:pPr>
      <w:r>
        <w:rPr>
          <w:b/>
          <w:sz w:val="28"/>
          <w:szCs w:val="28"/>
        </w:rPr>
        <w:t>1</w:t>
      </w:r>
      <w:r>
        <w:rPr>
          <w:rFonts w:hint="eastAsia"/>
          <w:b/>
          <w:sz w:val="28"/>
          <w:szCs w:val="28"/>
        </w:rPr>
        <w:t>6</w:t>
      </w:r>
      <w:r>
        <w:rPr>
          <w:b/>
          <w:sz w:val="28"/>
          <w:szCs w:val="28"/>
        </w:rPr>
        <w:t>、符合条件的残疾人福利性单位在参加政府采购活动时，应当提供《残疾人福利性单位声明函》（见附件），并对声明的真实性负责（如有，请提供）；</w:t>
      </w:r>
    </w:p>
    <w:p>
      <w:pPr>
        <w:spacing w:line="588" w:lineRule="exact"/>
        <w:jc w:val="center"/>
        <w:rPr>
          <w:b/>
          <w:kern w:val="0"/>
          <w:sz w:val="32"/>
          <w:szCs w:val="32"/>
        </w:rPr>
      </w:pPr>
      <w:bookmarkStart w:id="73" w:name="OLE_LINK14"/>
      <w:bookmarkStart w:id="74" w:name="OLE_LINK13"/>
      <w:r>
        <w:rPr>
          <w:rFonts w:eastAsia="仿宋_GB2312"/>
          <w:b/>
          <w:kern w:val="0"/>
          <w:sz w:val="32"/>
          <w:szCs w:val="32"/>
        </w:rPr>
        <w:t>残疾人福利性单位</w:t>
      </w:r>
      <w:bookmarkEnd w:id="73"/>
      <w:bookmarkEnd w:id="74"/>
      <w:r>
        <w:rPr>
          <w:rFonts w:eastAsia="仿宋_GB2312"/>
          <w:b/>
          <w:kern w:val="0"/>
          <w:sz w:val="32"/>
          <w:szCs w:val="32"/>
        </w:rPr>
        <w:t>声明</w:t>
      </w:r>
      <w:r>
        <w:rPr>
          <w:b/>
          <w:kern w:val="0"/>
          <w:sz w:val="32"/>
          <w:szCs w:val="32"/>
        </w:rPr>
        <w:t>函</w:t>
      </w:r>
    </w:p>
    <w:p>
      <w:pPr>
        <w:spacing w:line="588" w:lineRule="exact"/>
        <w:ind w:firstLine="600" w:firstLineChars="200"/>
        <w:rPr>
          <w:rFonts w:eastAsia="仿宋_GB2312"/>
          <w:kern w:val="0"/>
          <w:sz w:val="30"/>
          <w:szCs w:val="30"/>
        </w:rPr>
      </w:pPr>
      <w:r>
        <w:rPr>
          <w:rFonts w:eastAsia="仿宋_GB2312"/>
          <w:kern w:val="0"/>
          <w:sz w:val="30"/>
          <w:szCs w:val="30"/>
        </w:rPr>
        <w:t>本单位郑重声明，根据《财政部 民政部 中国残疾人联合会关于促进残疾人就业政府采购政策的通知》（财库</w:t>
      </w:r>
      <w:r>
        <w:rPr>
          <w:rFonts w:eastAsia="仿宋_GB2312"/>
          <w:kern w:val="0"/>
          <w:sz w:val="32"/>
          <w:szCs w:val="32"/>
        </w:rPr>
        <w:t>〔2017〕 141</w:t>
      </w:r>
      <w:r>
        <w:rPr>
          <w:rFonts w:eastAsia="仿宋_GB2312"/>
          <w:kern w:val="0"/>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00" w:firstLineChars="200"/>
        <w:rPr>
          <w:rFonts w:eastAsia="仿宋_GB2312"/>
          <w:kern w:val="0"/>
          <w:sz w:val="30"/>
          <w:szCs w:val="30"/>
        </w:rPr>
      </w:pPr>
      <w:r>
        <w:rPr>
          <w:rFonts w:eastAsia="仿宋_GB2312"/>
          <w:kern w:val="0"/>
          <w:sz w:val="30"/>
          <w:szCs w:val="30"/>
        </w:rPr>
        <w:t>本单位对上述声明的真实性负责。如有虚假，将依法承担相应责任。</w:t>
      </w:r>
    </w:p>
    <w:p>
      <w:pPr>
        <w:spacing w:line="588" w:lineRule="exact"/>
        <w:ind w:firstLine="600" w:firstLineChars="200"/>
        <w:rPr>
          <w:rFonts w:eastAsia="仿宋_GB2312"/>
          <w:kern w:val="0"/>
          <w:sz w:val="30"/>
          <w:szCs w:val="30"/>
        </w:rPr>
      </w:pPr>
    </w:p>
    <w:p>
      <w:pPr>
        <w:spacing w:line="588" w:lineRule="exact"/>
        <w:ind w:firstLine="600" w:firstLineChars="200"/>
        <w:rPr>
          <w:rFonts w:eastAsia="仿宋_GB2312"/>
          <w:kern w:val="0"/>
          <w:sz w:val="30"/>
          <w:szCs w:val="30"/>
        </w:rPr>
      </w:pPr>
    </w:p>
    <w:p>
      <w:pPr>
        <w:tabs>
          <w:tab w:val="left" w:pos="4860"/>
        </w:tabs>
        <w:spacing w:line="588" w:lineRule="exact"/>
        <w:ind w:right="1560" w:firstLine="600" w:firstLineChars="200"/>
        <w:jc w:val="center"/>
        <w:rPr>
          <w:rFonts w:eastAsia="仿宋_GB2312"/>
          <w:kern w:val="0"/>
          <w:sz w:val="30"/>
          <w:szCs w:val="30"/>
        </w:rPr>
      </w:pPr>
      <w:r>
        <w:rPr>
          <w:rFonts w:hint="eastAsia" w:eastAsia="仿宋_GB2312"/>
          <w:kern w:val="0"/>
          <w:sz w:val="30"/>
          <w:szCs w:val="30"/>
        </w:rPr>
        <w:t xml:space="preserve">                   </w:t>
      </w:r>
      <w:r>
        <w:rPr>
          <w:rFonts w:eastAsia="仿宋_GB2312"/>
          <w:kern w:val="0"/>
          <w:sz w:val="30"/>
          <w:szCs w:val="30"/>
        </w:rPr>
        <w:t>单位名称（盖章）：</w:t>
      </w:r>
    </w:p>
    <w:p>
      <w:pPr>
        <w:tabs>
          <w:tab w:val="left" w:pos="4860"/>
        </w:tabs>
        <w:spacing w:line="588" w:lineRule="exact"/>
        <w:ind w:right="1560" w:firstLine="600" w:firstLineChars="200"/>
        <w:jc w:val="center"/>
        <w:rPr>
          <w:rFonts w:eastAsia="仿宋_GB2312"/>
          <w:kern w:val="0"/>
          <w:sz w:val="30"/>
          <w:szCs w:val="30"/>
        </w:rPr>
      </w:pPr>
      <w:r>
        <w:rPr>
          <w:rFonts w:hint="eastAsia" w:eastAsia="仿宋_GB2312"/>
          <w:kern w:val="0"/>
          <w:sz w:val="30"/>
          <w:szCs w:val="30"/>
        </w:rPr>
        <w:t xml:space="preserve">                      </w:t>
      </w:r>
      <w:r>
        <w:rPr>
          <w:rFonts w:eastAsia="仿宋_GB2312"/>
          <w:kern w:val="0"/>
          <w:sz w:val="30"/>
          <w:szCs w:val="30"/>
        </w:rPr>
        <w:t>日  期：</w:t>
      </w:r>
    </w:p>
    <w:p>
      <w:pPr>
        <w:pStyle w:val="17"/>
        <w:rPr>
          <w:rFonts w:ascii="Times New Roman" w:hAnsi="Times New Roman"/>
        </w:rPr>
      </w:pPr>
    </w:p>
    <w:p>
      <w:pPr>
        <w:pStyle w:val="17"/>
        <w:rPr>
          <w:rFonts w:ascii="Times New Roman" w:hAnsi="Times New Roman"/>
        </w:rPr>
      </w:pPr>
    </w:p>
    <w:p>
      <w:pPr>
        <w:pStyle w:val="17"/>
        <w:rPr>
          <w:rFonts w:ascii="Times New Roman" w:hAnsi="Times New Roman"/>
        </w:rPr>
      </w:pPr>
    </w:p>
    <w:p>
      <w:pPr>
        <w:pStyle w:val="17"/>
        <w:rPr>
          <w:rFonts w:ascii="Times New Roman" w:hAnsi="Times New Roman"/>
        </w:rPr>
      </w:pPr>
    </w:p>
    <w:p>
      <w:pPr>
        <w:tabs>
          <w:tab w:val="left" w:pos="1305"/>
        </w:tabs>
        <w:spacing w:line="400" w:lineRule="exact"/>
        <w:rPr>
          <w:b/>
          <w:sz w:val="28"/>
          <w:szCs w:val="18"/>
        </w:rPr>
      </w:pPr>
      <w:r>
        <w:rPr>
          <w:b/>
          <w:sz w:val="28"/>
          <w:szCs w:val="18"/>
        </w:rPr>
        <w:t>1</w:t>
      </w:r>
      <w:r>
        <w:rPr>
          <w:rFonts w:hint="eastAsia"/>
          <w:b/>
          <w:sz w:val="28"/>
          <w:szCs w:val="18"/>
        </w:rPr>
        <w:t>7</w:t>
      </w:r>
      <w:r>
        <w:rPr>
          <w:b/>
          <w:sz w:val="28"/>
          <w:szCs w:val="18"/>
        </w:rPr>
        <w:t>、供应商可结合本项目自身情况自行提交其它相关证明材料</w:t>
      </w:r>
      <w:r>
        <w:rPr>
          <w:b/>
          <w:kern w:val="0"/>
          <w:sz w:val="28"/>
          <w:szCs w:val="28"/>
        </w:rPr>
        <w:t>（如有，请提供）</w:t>
      </w:r>
      <w:r>
        <w:rPr>
          <w:b/>
          <w:sz w:val="28"/>
          <w:szCs w:val="18"/>
        </w:rPr>
        <w:t>。</w:t>
      </w:r>
    </w:p>
    <w:p>
      <w:pPr>
        <w:spacing w:line="360" w:lineRule="exact"/>
        <w:rPr>
          <w:b/>
          <w:sz w:val="32"/>
          <w:szCs w:val="32"/>
        </w:rPr>
      </w:pPr>
    </w:p>
    <w:p>
      <w:pPr>
        <w:snapToGrid w:val="0"/>
        <w:spacing w:line="380" w:lineRule="exact"/>
        <w:ind w:firstLine="826" w:firstLineChars="257"/>
        <w:outlineLvl w:val="4"/>
        <w:rPr>
          <w:b/>
          <w:sz w:val="32"/>
          <w:szCs w:val="32"/>
        </w:rPr>
      </w:pPr>
    </w:p>
    <w:p>
      <w:pPr>
        <w:snapToGrid w:val="0"/>
        <w:spacing w:line="380" w:lineRule="exact"/>
        <w:ind w:firstLine="826" w:firstLineChars="257"/>
        <w:outlineLvl w:val="4"/>
        <w:rPr>
          <w:b/>
          <w:sz w:val="32"/>
          <w:szCs w:val="32"/>
        </w:rPr>
      </w:pPr>
    </w:p>
    <w:sectPr>
      <w:headerReference r:id="rId12" w:type="default"/>
      <w:footerReference r:id="rId13" w:type="default"/>
      <w:pgSz w:w="11906" w:h="16838"/>
      <w:pgMar w:top="1440" w:right="936" w:bottom="1440" w:left="141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w:pict>
        <v:shape id="_x0000_s2055" o:spid="_x0000_s205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w:pict>
        <v:shape id="_x0000_s2056" o:spid="_x0000_s205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w:pict>
        <v:shape id="_x0000_s2057" o:spid="_x0000_s205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lear" w:pos="4153"/>
      </w:tabs>
      <w:jc w:val="center"/>
    </w:pPr>
    <w:r>
      <w:rPr>
        <w:sz w:val="18"/>
      </w:rPr>
      <w:pict>
        <v:shape id="_x0000_s2058" o:spid="_x0000_s205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before="120" w:after="120"/>
      <w:jc w:val="center"/>
    </w:pPr>
    <w:r>
      <w:rPr>
        <w:sz w:val="18"/>
      </w:rPr>
      <w:pict>
        <v:shape id="_x0000_s2059" o:spid="_x0000_s205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ED1F8"/>
    <w:multiLevelType w:val="singleLevel"/>
    <w:tmpl w:val="870ED1F8"/>
    <w:lvl w:ilvl="0" w:tentative="0">
      <w:start w:val="3"/>
      <w:numFmt w:val="chineseCounting"/>
      <w:suff w:val="nothing"/>
      <w:lvlText w:val="第%1章、"/>
      <w:lvlJc w:val="left"/>
      <w:rPr>
        <w:rFonts w:hint="eastAsia"/>
      </w:rPr>
    </w:lvl>
  </w:abstractNum>
  <w:abstractNum w:abstractNumId="1">
    <w:nsid w:val="B89E3E07"/>
    <w:multiLevelType w:val="singleLevel"/>
    <w:tmpl w:val="B89E3E07"/>
    <w:lvl w:ilvl="0" w:tentative="0">
      <w:start w:val="3"/>
      <w:numFmt w:val="decimal"/>
      <w:suff w:val="nothing"/>
      <w:lvlText w:val="（%1）"/>
      <w:lvlJc w:val="left"/>
    </w:lvl>
  </w:abstractNum>
  <w:abstractNum w:abstractNumId="2">
    <w:nsid w:val="D7D46C61"/>
    <w:multiLevelType w:val="singleLevel"/>
    <w:tmpl w:val="D7D46C61"/>
    <w:lvl w:ilvl="0" w:tentative="0">
      <w:start w:val="4"/>
      <w:numFmt w:val="chineseCounting"/>
      <w:suff w:val="nothing"/>
      <w:lvlText w:val="%1、"/>
      <w:lvlJc w:val="left"/>
      <w:rPr>
        <w:rFonts w:hint="eastAsia"/>
      </w:rPr>
    </w:lvl>
  </w:abstractNum>
  <w:abstractNum w:abstractNumId="3">
    <w:nsid w:val="12390E2E"/>
    <w:multiLevelType w:val="singleLevel"/>
    <w:tmpl w:val="12390E2E"/>
    <w:lvl w:ilvl="0" w:tentative="0">
      <w:start w:val="3"/>
      <w:numFmt w:val="decimal"/>
      <w:lvlText w:val="%1."/>
      <w:lvlJc w:val="left"/>
      <w:pPr>
        <w:tabs>
          <w:tab w:val="left" w:pos="312"/>
        </w:tabs>
      </w:pPr>
    </w:lvl>
  </w:abstractNum>
  <w:abstractNum w:abstractNumId="4">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FA7185D"/>
    <w:multiLevelType w:val="singleLevel"/>
    <w:tmpl w:val="2FA7185D"/>
    <w:lvl w:ilvl="0" w:tentative="0">
      <w:start w:val="1"/>
      <w:numFmt w:val="decimal"/>
      <w:suff w:val="nothing"/>
      <w:lvlText w:val="%1、"/>
      <w:lvlJc w:val="left"/>
    </w:lvl>
  </w:abstractNum>
  <w:abstractNum w:abstractNumId="6">
    <w:nsid w:val="42C20249"/>
    <w:multiLevelType w:val="singleLevel"/>
    <w:tmpl w:val="42C20249"/>
    <w:lvl w:ilvl="0" w:tentative="0">
      <w:start w:val="2"/>
      <w:numFmt w:val="decimal"/>
      <w:suff w:val="nothing"/>
      <w:lvlText w:val="（%1）"/>
      <w:lvlJc w:val="left"/>
    </w:lvl>
  </w:abstractNum>
  <w:abstractNum w:abstractNumId="7">
    <w:nsid w:val="5E5D72CD"/>
    <w:multiLevelType w:val="multilevel"/>
    <w:tmpl w:val="5E5D72C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71D81328"/>
    <w:multiLevelType w:val="singleLevel"/>
    <w:tmpl w:val="71D81328"/>
    <w:lvl w:ilvl="0" w:tentative="0">
      <w:start w:val="13"/>
      <w:numFmt w:val="decimal"/>
      <w:suff w:val="nothing"/>
      <w:lvlText w:val="%1、"/>
      <w:lvlJc w:val="left"/>
    </w:lvl>
  </w:abstractNum>
  <w:num w:numId="1">
    <w:abstractNumId w:val="0"/>
  </w:num>
  <w:num w:numId="2">
    <w:abstractNumId w:val="5"/>
  </w:num>
  <w:num w:numId="3">
    <w:abstractNumId w:val="7"/>
  </w:num>
  <w:num w:numId="4">
    <w:abstractNumId w:val="3"/>
  </w:num>
  <w:num w:numId="5">
    <w:abstractNumId w:val="2"/>
  </w:num>
  <w:num w:numId="6">
    <w:abstractNumId w:val="1"/>
  </w:num>
  <w:num w:numId="7">
    <w:abstractNumId w:val="6"/>
  </w:num>
  <w:num w:numId="8">
    <w:abstractNumId w:val="8"/>
    <w:lvlOverride w:ilvl="0">
      <w:startOverride w:val="2"/>
    </w:lvlOverride>
  </w:num>
  <w:num w:numId="9">
    <w:abstractNumId w:val="4"/>
    <w:lvlOverride w:ilvl="0">
      <w:startOverride w:val="2"/>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9163D"/>
    <w:rsid w:val="000000D2"/>
    <w:rsid w:val="00000719"/>
    <w:rsid w:val="000008F3"/>
    <w:rsid w:val="00002467"/>
    <w:rsid w:val="0000341F"/>
    <w:rsid w:val="000036BE"/>
    <w:rsid w:val="00003E5F"/>
    <w:rsid w:val="00003FA1"/>
    <w:rsid w:val="000041A5"/>
    <w:rsid w:val="00005D46"/>
    <w:rsid w:val="00006B33"/>
    <w:rsid w:val="0000776E"/>
    <w:rsid w:val="000101A1"/>
    <w:rsid w:val="00011AAB"/>
    <w:rsid w:val="00011F49"/>
    <w:rsid w:val="00017220"/>
    <w:rsid w:val="000222A0"/>
    <w:rsid w:val="000233FC"/>
    <w:rsid w:val="0002422F"/>
    <w:rsid w:val="00026A8B"/>
    <w:rsid w:val="00030E87"/>
    <w:rsid w:val="00031C1B"/>
    <w:rsid w:val="00032977"/>
    <w:rsid w:val="0003353C"/>
    <w:rsid w:val="000336B5"/>
    <w:rsid w:val="00033BA9"/>
    <w:rsid w:val="00034898"/>
    <w:rsid w:val="00034915"/>
    <w:rsid w:val="0003549A"/>
    <w:rsid w:val="0003697E"/>
    <w:rsid w:val="00036EC3"/>
    <w:rsid w:val="000370A2"/>
    <w:rsid w:val="0004264E"/>
    <w:rsid w:val="000428F4"/>
    <w:rsid w:val="00043CE1"/>
    <w:rsid w:val="0004456C"/>
    <w:rsid w:val="00044814"/>
    <w:rsid w:val="00045520"/>
    <w:rsid w:val="00045825"/>
    <w:rsid w:val="00045BA7"/>
    <w:rsid w:val="000460DE"/>
    <w:rsid w:val="00046DB2"/>
    <w:rsid w:val="00050D20"/>
    <w:rsid w:val="00051C40"/>
    <w:rsid w:val="0005259E"/>
    <w:rsid w:val="00052618"/>
    <w:rsid w:val="00052E3F"/>
    <w:rsid w:val="00053F32"/>
    <w:rsid w:val="00055072"/>
    <w:rsid w:val="000558D9"/>
    <w:rsid w:val="00055F1B"/>
    <w:rsid w:val="0005611E"/>
    <w:rsid w:val="000566A9"/>
    <w:rsid w:val="000578A9"/>
    <w:rsid w:val="00060635"/>
    <w:rsid w:val="00061652"/>
    <w:rsid w:val="00061663"/>
    <w:rsid w:val="00061CAC"/>
    <w:rsid w:val="00063964"/>
    <w:rsid w:val="000645A5"/>
    <w:rsid w:val="000652C8"/>
    <w:rsid w:val="00071092"/>
    <w:rsid w:val="0007174C"/>
    <w:rsid w:val="00072133"/>
    <w:rsid w:val="000733EC"/>
    <w:rsid w:val="0007372A"/>
    <w:rsid w:val="000755C6"/>
    <w:rsid w:val="00075C28"/>
    <w:rsid w:val="00075DBD"/>
    <w:rsid w:val="00076DA5"/>
    <w:rsid w:val="00080096"/>
    <w:rsid w:val="00081CCA"/>
    <w:rsid w:val="000826A7"/>
    <w:rsid w:val="0008280D"/>
    <w:rsid w:val="00083BEB"/>
    <w:rsid w:val="00084ADC"/>
    <w:rsid w:val="00084B64"/>
    <w:rsid w:val="000868AE"/>
    <w:rsid w:val="000873C7"/>
    <w:rsid w:val="0009024E"/>
    <w:rsid w:val="00090931"/>
    <w:rsid w:val="000913BF"/>
    <w:rsid w:val="00092728"/>
    <w:rsid w:val="000937A9"/>
    <w:rsid w:val="00093E27"/>
    <w:rsid w:val="0009478D"/>
    <w:rsid w:val="00094F28"/>
    <w:rsid w:val="0009626A"/>
    <w:rsid w:val="0009690B"/>
    <w:rsid w:val="00097619"/>
    <w:rsid w:val="000A3F31"/>
    <w:rsid w:val="000A5CA1"/>
    <w:rsid w:val="000B025D"/>
    <w:rsid w:val="000B05E0"/>
    <w:rsid w:val="000B2991"/>
    <w:rsid w:val="000B46EE"/>
    <w:rsid w:val="000B77E7"/>
    <w:rsid w:val="000C07AD"/>
    <w:rsid w:val="000C11F0"/>
    <w:rsid w:val="000C3151"/>
    <w:rsid w:val="000C57DC"/>
    <w:rsid w:val="000C5CDF"/>
    <w:rsid w:val="000C5D4D"/>
    <w:rsid w:val="000C6480"/>
    <w:rsid w:val="000C779D"/>
    <w:rsid w:val="000D0174"/>
    <w:rsid w:val="000D0890"/>
    <w:rsid w:val="000D127E"/>
    <w:rsid w:val="000D2331"/>
    <w:rsid w:val="000D42EA"/>
    <w:rsid w:val="000D4565"/>
    <w:rsid w:val="000D4602"/>
    <w:rsid w:val="000E3ADD"/>
    <w:rsid w:val="000E6FE2"/>
    <w:rsid w:val="000F0C62"/>
    <w:rsid w:val="000F49D6"/>
    <w:rsid w:val="000F5D12"/>
    <w:rsid w:val="0010376C"/>
    <w:rsid w:val="0010534F"/>
    <w:rsid w:val="00107633"/>
    <w:rsid w:val="00110B31"/>
    <w:rsid w:val="0011386D"/>
    <w:rsid w:val="00115271"/>
    <w:rsid w:val="001177FB"/>
    <w:rsid w:val="00117EF6"/>
    <w:rsid w:val="00121DDF"/>
    <w:rsid w:val="001236B3"/>
    <w:rsid w:val="00123F99"/>
    <w:rsid w:val="0012631C"/>
    <w:rsid w:val="00130E8A"/>
    <w:rsid w:val="00131EDB"/>
    <w:rsid w:val="001330C6"/>
    <w:rsid w:val="00133DAD"/>
    <w:rsid w:val="00134120"/>
    <w:rsid w:val="001355FD"/>
    <w:rsid w:val="00136114"/>
    <w:rsid w:val="0014048A"/>
    <w:rsid w:val="00140771"/>
    <w:rsid w:val="001409FD"/>
    <w:rsid w:val="00140D20"/>
    <w:rsid w:val="00143682"/>
    <w:rsid w:val="00143714"/>
    <w:rsid w:val="00144A1F"/>
    <w:rsid w:val="00150460"/>
    <w:rsid w:val="00150F01"/>
    <w:rsid w:val="00152364"/>
    <w:rsid w:val="00153538"/>
    <w:rsid w:val="00153604"/>
    <w:rsid w:val="001548C7"/>
    <w:rsid w:val="0015671F"/>
    <w:rsid w:val="001570AE"/>
    <w:rsid w:val="00157CD1"/>
    <w:rsid w:val="001608BB"/>
    <w:rsid w:val="00162FD6"/>
    <w:rsid w:val="00163C56"/>
    <w:rsid w:val="0016440A"/>
    <w:rsid w:val="00164BBE"/>
    <w:rsid w:val="00165710"/>
    <w:rsid w:val="00166E03"/>
    <w:rsid w:val="001674B5"/>
    <w:rsid w:val="001678B5"/>
    <w:rsid w:val="00167BFF"/>
    <w:rsid w:val="001703BD"/>
    <w:rsid w:val="001703C3"/>
    <w:rsid w:val="001711E0"/>
    <w:rsid w:val="00171A21"/>
    <w:rsid w:val="001738E6"/>
    <w:rsid w:val="001766C5"/>
    <w:rsid w:val="00177D09"/>
    <w:rsid w:val="001804A5"/>
    <w:rsid w:val="00181A83"/>
    <w:rsid w:val="00181CEA"/>
    <w:rsid w:val="001833FE"/>
    <w:rsid w:val="00184B7C"/>
    <w:rsid w:val="00187130"/>
    <w:rsid w:val="0019161B"/>
    <w:rsid w:val="001916B5"/>
    <w:rsid w:val="001921F3"/>
    <w:rsid w:val="00192C4E"/>
    <w:rsid w:val="001937A0"/>
    <w:rsid w:val="00195144"/>
    <w:rsid w:val="00196A43"/>
    <w:rsid w:val="001A11DD"/>
    <w:rsid w:val="001A129A"/>
    <w:rsid w:val="001A1C07"/>
    <w:rsid w:val="001A22F1"/>
    <w:rsid w:val="001A2549"/>
    <w:rsid w:val="001A2A10"/>
    <w:rsid w:val="001A2C85"/>
    <w:rsid w:val="001A34F5"/>
    <w:rsid w:val="001A5B8D"/>
    <w:rsid w:val="001A6477"/>
    <w:rsid w:val="001A7AFE"/>
    <w:rsid w:val="001B18AF"/>
    <w:rsid w:val="001B2BC7"/>
    <w:rsid w:val="001B2F14"/>
    <w:rsid w:val="001B7F00"/>
    <w:rsid w:val="001C00F3"/>
    <w:rsid w:val="001C0377"/>
    <w:rsid w:val="001C3CF2"/>
    <w:rsid w:val="001C4DDA"/>
    <w:rsid w:val="001C6B55"/>
    <w:rsid w:val="001D147C"/>
    <w:rsid w:val="001D1BB1"/>
    <w:rsid w:val="001D2D3E"/>
    <w:rsid w:val="001D37F7"/>
    <w:rsid w:val="001D4419"/>
    <w:rsid w:val="001D5850"/>
    <w:rsid w:val="001D6827"/>
    <w:rsid w:val="001E1BDA"/>
    <w:rsid w:val="001E43A5"/>
    <w:rsid w:val="001E52C7"/>
    <w:rsid w:val="001E5407"/>
    <w:rsid w:val="001F0E35"/>
    <w:rsid w:val="001F2A45"/>
    <w:rsid w:val="001F5D90"/>
    <w:rsid w:val="001F6773"/>
    <w:rsid w:val="002029A5"/>
    <w:rsid w:val="0020317C"/>
    <w:rsid w:val="00205A1E"/>
    <w:rsid w:val="002061F5"/>
    <w:rsid w:val="00206839"/>
    <w:rsid w:val="002127DF"/>
    <w:rsid w:val="00212F2E"/>
    <w:rsid w:val="00213157"/>
    <w:rsid w:val="002137AD"/>
    <w:rsid w:val="002138E0"/>
    <w:rsid w:val="002169CB"/>
    <w:rsid w:val="002177E0"/>
    <w:rsid w:val="002201FB"/>
    <w:rsid w:val="00221080"/>
    <w:rsid w:val="002225FD"/>
    <w:rsid w:val="00225D54"/>
    <w:rsid w:val="00225D57"/>
    <w:rsid w:val="002306CE"/>
    <w:rsid w:val="00230D0A"/>
    <w:rsid w:val="002330A1"/>
    <w:rsid w:val="00233BA5"/>
    <w:rsid w:val="0023703F"/>
    <w:rsid w:val="002371BA"/>
    <w:rsid w:val="0024043E"/>
    <w:rsid w:val="002410D1"/>
    <w:rsid w:val="0024221F"/>
    <w:rsid w:val="002429E5"/>
    <w:rsid w:val="002437E3"/>
    <w:rsid w:val="002444DC"/>
    <w:rsid w:val="00246940"/>
    <w:rsid w:val="00247E75"/>
    <w:rsid w:val="00251BFA"/>
    <w:rsid w:val="00252A44"/>
    <w:rsid w:val="00252D64"/>
    <w:rsid w:val="00253E9E"/>
    <w:rsid w:val="0025550A"/>
    <w:rsid w:val="00256200"/>
    <w:rsid w:val="002563B6"/>
    <w:rsid w:val="002608CA"/>
    <w:rsid w:val="00260BED"/>
    <w:rsid w:val="00261F15"/>
    <w:rsid w:val="00263185"/>
    <w:rsid w:val="0026338A"/>
    <w:rsid w:val="00264A6A"/>
    <w:rsid w:val="00266CBA"/>
    <w:rsid w:val="00267BD3"/>
    <w:rsid w:val="002713CD"/>
    <w:rsid w:val="002726E4"/>
    <w:rsid w:val="002741CC"/>
    <w:rsid w:val="0027702D"/>
    <w:rsid w:val="002776BF"/>
    <w:rsid w:val="00280064"/>
    <w:rsid w:val="00280347"/>
    <w:rsid w:val="002811D5"/>
    <w:rsid w:val="00283E65"/>
    <w:rsid w:val="002843DE"/>
    <w:rsid w:val="00285CD0"/>
    <w:rsid w:val="00287811"/>
    <w:rsid w:val="00287B12"/>
    <w:rsid w:val="00291370"/>
    <w:rsid w:val="00291F91"/>
    <w:rsid w:val="002927FD"/>
    <w:rsid w:val="00293F83"/>
    <w:rsid w:val="00295210"/>
    <w:rsid w:val="002955D9"/>
    <w:rsid w:val="00297BAF"/>
    <w:rsid w:val="00297C81"/>
    <w:rsid w:val="002A0121"/>
    <w:rsid w:val="002A064F"/>
    <w:rsid w:val="002A0BF6"/>
    <w:rsid w:val="002A1CB2"/>
    <w:rsid w:val="002A2FC2"/>
    <w:rsid w:val="002A3BD9"/>
    <w:rsid w:val="002A464B"/>
    <w:rsid w:val="002A5A9F"/>
    <w:rsid w:val="002B0BAA"/>
    <w:rsid w:val="002B104F"/>
    <w:rsid w:val="002B27D4"/>
    <w:rsid w:val="002B4799"/>
    <w:rsid w:val="002B49CF"/>
    <w:rsid w:val="002B6104"/>
    <w:rsid w:val="002C1BFD"/>
    <w:rsid w:val="002C1FAD"/>
    <w:rsid w:val="002C215B"/>
    <w:rsid w:val="002C2C67"/>
    <w:rsid w:val="002C3613"/>
    <w:rsid w:val="002C37FE"/>
    <w:rsid w:val="002C4562"/>
    <w:rsid w:val="002C49ED"/>
    <w:rsid w:val="002C7904"/>
    <w:rsid w:val="002D0789"/>
    <w:rsid w:val="002D0D2B"/>
    <w:rsid w:val="002D3906"/>
    <w:rsid w:val="002D57D7"/>
    <w:rsid w:val="002D7872"/>
    <w:rsid w:val="002D7F12"/>
    <w:rsid w:val="002E1922"/>
    <w:rsid w:val="002E20F1"/>
    <w:rsid w:val="002E29BB"/>
    <w:rsid w:val="002E4567"/>
    <w:rsid w:val="002E4638"/>
    <w:rsid w:val="002E7F42"/>
    <w:rsid w:val="002F2A86"/>
    <w:rsid w:val="002F4270"/>
    <w:rsid w:val="00301DBB"/>
    <w:rsid w:val="003036E5"/>
    <w:rsid w:val="00304E9E"/>
    <w:rsid w:val="00307269"/>
    <w:rsid w:val="00311EC1"/>
    <w:rsid w:val="003126B9"/>
    <w:rsid w:val="00313704"/>
    <w:rsid w:val="00313F41"/>
    <w:rsid w:val="0031475C"/>
    <w:rsid w:val="003160DE"/>
    <w:rsid w:val="0031661A"/>
    <w:rsid w:val="00316B76"/>
    <w:rsid w:val="00316EEA"/>
    <w:rsid w:val="00317C80"/>
    <w:rsid w:val="003206C0"/>
    <w:rsid w:val="003258CD"/>
    <w:rsid w:val="00326F5C"/>
    <w:rsid w:val="0033097E"/>
    <w:rsid w:val="00330A82"/>
    <w:rsid w:val="00332DF9"/>
    <w:rsid w:val="00334B55"/>
    <w:rsid w:val="00336F48"/>
    <w:rsid w:val="0034064E"/>
    <w:rsid w:val="00342475"/>
    <w:rsid w:val="003426B9"/>
    <w:rsid w:val="00343005"/>
    <w:rsid w:val="0034421F"/>
    <w:rsid w:val="00344DA0"/>
    <w:rsid w:val="00344EB5"/>
    <w:rsid w:val="003452C7"/>
    <w:rsid w:val="003459F6"/>
    <w:rsid w:val="00345AED"/>
    <w:rsid w:val="00345F70"/>
    <w:rsid w:val="003463E7"/>
    <w:rsid w:val="0034644B"/>
    <w:rsid w:val="00346BF4"/>
    <w:rsid w:val="003472BD"/>
    <w:rsid w:val="003479F1"/>
    <w:rsid w:val="003507F2"/>
    <w:rsid w:val="00351029"/>
    <w:rsid w:val="00351206"/>
    <w:rsid w:val="003513F7"/>
    <w:rsid w:val="003516E5"/>
    <w:rsid w:val="00353062"/>
    <w:rsid w:val="0035315F"/>
    <w:rsid w:val="00356479"/>
    <w:rsid w:val="003602CE"/>
    <w:rsid w:val="00360E94"/>
    <w:rsid w:val="00364422"/>
    <w:rsid w:val="00364D25"/>
    <w:rsid w:val="00365C3D"/>
    <w:rsid w:val="00370F2C"/>
    <w:rsid w:val="00371BA2"/>
    <w:rsid w:val="00373019"/>
    <w:rsid w:val="00373434"/>
    <w:rsid w:val="00373A50"/>
    <w:rsid w:val="00380537"/>
    <w:rsid w:val="003822E7"/>
    <w:rsid w:val="003834C2"/>
    <w:rsid w:val="0038467F"/>
    <w:rsid w:val="00385D58"/>
    <w:rsid w:val="0038695B"/>
    <w:rsid w:val="003914F7"/>
    <w:rsid w:val="00391B64"/>
    <w:rsid w:val="00391C59"/>
    <w:rsid w:val="003920CF"/>
    <w:rsid w:val="0039273C"/>
    <w:rsid w:val="003937E6"/>
    <w:rsid w:val="00393E8F"/>
    <w:rsid w:val="00394FDA"/>
    <w:rsid w:val="003966AE"/>
    <w:rsid w:val="00397F99"/>
    <w:rsid w:val="003A537F"/>
    <w:rsid w:val="003A58EE"/>
    <w:rsid w:val="003B3BF8"/>
    <w:rsid w:val="003B42E0"/>
    <w:rsid w:val="003B4852"/>
    <w:rsid w:val="003B74B9"/>
    <w:rsid w:val="003C1DAA"/>
    <w:rsid w:val="003C6BDA"/>
    <w:rsid w:val="003D3BEB"/>
    <w:rsid w:val="003D54BC"/>
    <w:rsid w:val="003D5E1A"/>
    <w:rsid w:val="003D7625"/>
    <w:rsid w:val="003E05B7"/>
    <w:rsid w:val="003E064F"/>
    <w:rsid w:val="003E1371"/>
    <w:rsid w:val="003E3E2F"/>
    <w:rsid w:val="003E4A0E"/>
    <w:rsid w:val="003E4C22"/>
    <w:rsid w:val="003E5101"/>
    <w:rsid w:val="003E5E80"/>
    <w:rsid w:val="003E6987"/>
    <w:rsid w:val="003F1349"/>
    <w:rsid w:val="003F179F"/>
    <w:rsid w:val="003F1C40"/>
    <w:rsid w:val="003F2D6C"/>
    <w:rsid w:val="003F313A"/>
    <w:rsid w:val="003F3F2A"/>
    <w:rsid w:val="003F4DDE"/>
    <w:rsid w:val="003F70A1"/>
    <w:rsid w:val="003F7424"/>
    <w:rsid w:val="003F7664"/>
    <w:rsid w:val="003F7F0D"/>
    <w:rsid w:val="00401DC8"/>
    <w:rsid w:val="00402B87"/>
    <w:rsid w:val="004032E3"/>
    <w:rsid w:val="00403D4A"/>
    <w:rsid w:val="0041045D"/>
    <w:rsid w:val="004106A9"/>
    <w:rsid w:val="00412D97"/>
    <w:rsid w:val="00413A6A"/>
    <w:rsid w:val="00414B47"/>
    <w:rsid w:val="004155AD"/>
    <w:rsid w:val="00417908"/>
    <w:rsid w:val="004200AA"/>
    <w:rsid w:val="00421090"/>
    <w:rsid w:val="0042121F"/>
    <w:rsid w:val="004224F4"/>
    <w:rsid w:val="00422557"/>
    <w:rsid w:val="00423C24"/>
    <w:rsid w:val="00424A42"/>
    <w:rsid w:val="00424F6F"/>
    <w:rsid w:val="00425124"/>
    <w:rsid w:val="004266E8"/>
    <w:rsid w:val="00432F72"/>
    <w:rsid w:val="004332EB"/>
    <w:rsid w:val="004425D0"/>
    <w:rsid w:val="0044299C"/>
    <w:rsid w:val="00442C10"/>
    <w:rsid w:val="0044356B"/>
    <w:rsid w:val="00444839"/>
    <w:rsid w:val="0045168D"/>
    <w:rsid w:val="00452D71"/>
    <w:rsid w:val="00452E99"/>
    <w:rsid w:val="00455EF1"/>
    <w:rsid w:val="0045629B"/>
    <w:rsid w:val="00456A62"/>
    <w:rsid w:val="004604CE"/>
    <w:rsid w:val="00461A94"/>
    <w:rsid w:val="004622DA"/>
    <w:rsid w:val="004632C6"/>
    <w:rsid w:val="004635B7"/>
    <w:rsid w:val="00465955"/>
    <w:rsid w:val="004716E1"/>
    <w:rsid w:val="00474042"/>
    <w:rsid w:val="004745B3"/>
    <w:rsid w:val="00474DE4"/>
    <w:rsid w:val="004758B6"/>
    <w:rsid w:val="004758FF"/>
    <w:rsid w:val="0047604C"/>
    <w:rsid w:val="00476B26"/>
    <w:rsid w:val="00477C44"/>
    <w:rsid w:val="004843E4"/>
    <w:rsid w:val="00484FD7"/>
    <w:rsid w:val="00485525"/>
    <w:rsid w:val="004906CE"/>
    <w:rsid w:val="004925F2"/>
    <w:rsid w:val="00492B21"/>
    <w:rsid w:val="004939EE"/>
    <w:rsid w:val="004944D6"/>
    <w:rsid w:val="004966A1"/>
    <w:rsid w:val="004966C1"/>
    <w:rsid w:val="00496CD3"/>
    <w:rsid w:val="004979E5"/>
    <w:rsid w:val="00497D59"/>
    <w:rsid w:val="004A4126"/>
    <w:rsid w:val="004A4871"/>
    <w:rsid w:val="004A5C3D"/>
    <w:rsid w:val="004A5C74"/>
    <w:rsid w:val="004A68E4"/>
    <w:rsid w:val="004A7890"/>
    <w:rsid w:val="004B0756"/>
    <w:rsid w:val="004B1012"/>
    <w:rsid w:val="004B12A9"/>
    <w:rsid w:val="004B1EA9"/>
    <w:rsid w:val="004B21E3"/>
    <w:rsid w:val="004B76F2"/>
    <w:rsid w:val="004B7725"/>
    <w:rsid w:val="004C09E7"/>
    <w:rsid w:val="004C1392"/>
    <w:rsid w:val="004C5094"/>
    <w:rsid w:val="004D364A"/>
    <w:rsid w:val="004D36B9"/>
    <w:rsid w:val="004D410C"/>
    <w:rsid w:val="004D6B76"/>
    <w:rsid w:val="004E0CF9"/>
    <w:rsid w:val="004E141F"/>
    <w:rsid w:val="004E14CE"/>
    <w:rsid w:val="004E2435"/>
    <w:rsid w:val="004E2D7F"/>
    <w:rsid w:val="004E32B7"/>
    <w:rsid w:val="004E4609"/>
    <w:rsid w:val="004E5196"/>
    <w:rsid w:val="004E664A"/>
    <w:rsid w:val="004F038B"/>
    <w:rsid w:val="004F1A85"/>
    <w:rsid w:val="004F2431"/>
    <w:rsid w:val="004F3C4E"/>
    <w:rsid w:val="004F54B4"/>
    <w:rsid w:val="004F6A5B"/>
    <w:rsid w:val="004F6CF8"/>
    <w:rsid w:val="005021F8"/>
    <w:rsid w:val="00503238"/>
    <w:rsid w:val="00503757"/>
    <w:rsid w:val="00504872"/>
    <w:rsid w:val="00504D24"/>
    <w:rsid w:val="00504E66"/>
    <w:rsid w:val="00506794"/>
    <w:rsid w:val="00507469"/>
    <w:rsid w:val="00511109"/>
    <w:rsid w:val="00512151"/>
    <w:rsid w:val="005121AF"/>
    <w:rsid w:val="005171B6"/>
    <w:rsid w:val="0052568A"/>
    <w:rsid w:val="00525837"/>
    <w:rsid w:val="00525B00"/>
    <w:rsid w:val="00525F9C"/>
    <w:rsid w:val="005327DA"/>
    <w:rsid w:val="0053281C"/>
    <w:rsid w:val="0053789F"/>
    <w:rsid w:val="00542936"/>
    <w:rsid w:val="00542B57"/>
    <w:rsid w:val="005438DF"/>
    <w:rsid w:val="00547666"/>
    <w:rsid w:val="00550891"/>
    <w:rsid w:val="00554D50"/>
    <w:rsid w:val="00556546"/>
    <w:rsid w:val="005601A1"/>
    <w:rsid w:val="00561D96"/>
    <w:rsid w:val="00563C4E"/>
    <w:rsid w:val="00564B46"/>
    <w:rsid w:val="00567ECF"/>
    <w:rsid w:val="0057042F"/>
    <w:rsid w:val="0057057F"/>
    <w:rsid w:val="00572090"/>
    <w:rsid w:val="005754E0"/>
    <w:rsid w:val="00577F8D"/>
    <w:rsid w:val="00580925"/>
    <w:rsid w:val="005902EC"/>
    <w:rsid w:val="00590CFA"/>
    <w:rsid w:val="005917F3"/>
    <w:rsid w:val="0059221C"/>
    <w:rsid w:val="00592D44"/>
    <w:rsid w:val="00596BB2"/>
    <w:rsid w:val="00596EB8"/>
    <w:rsid w:val="005A075F"/>
    <w:rsid w:val="005A1575"/>
    <w:rsid w:val="005A3CE3"/>
    <w:rsid w:val="005A5F8C"/>
    <w:rsid w:val="005A6695"/>
    <w:rsid w:val="005A6C6D"/>
    <w:rsid w:val="005A6E51"/>
    <w:rsid w:val="005A7E35"/>
    <w:rsid w:val="005B05C9"/>
    <w:rsid w:val="005B30C6"/>
    <w:rsid w:val="005B3E43"/>
    <w:rsid w:val="005B7DC5"/>
    <w:rsid w:val="005C0F5C"/>
    <w:rsid w:val="005C24AC"/>
    <w:rsid w:val="005C3351"/>
    <w:rsid w:val="005C423E"/>
    <w:rsid w:val="005C4931"/>
    <w:rsid w:val="005C6266"/>
    <w:rsid w:val="005C6483"/>
    <w:rsid w:val="005C66C9"/>
    <w:rsid w:val="005C67E9"/>
    <w:rsid w:val="005C7CD8"/>
    <w:rsid w:val="005D2665"/>
    <w:rsid w:val="005D290C"/>
    <w:rsid w:val="005D4A11"/>
    <w:rsid w:val="005D779A"/>
    <w:rsid w:val="005E144A"/>
    <w:rsid w:val="005E1D66"/>
    <w:rsid w:val="005E3D2A"/>
    <w:rsid w:val="005E3E73"/>
    <w:rsid w:val="005E4118"/>
    <w:rsid w:val="005E5907"/>
    <w:rsid w:val="005E644A"/>
    <w:rsid w:val="005F07FC"/>
    <w:rsid w:val="005F1725"/>
    <w:rsid w:val="005F1C0D"/>
    <w:rsid w:val="005F3032"/>
    <w:rsid w:val="005F427B"/>
    <w:rsid w:val="005F4D04"/>
    <w:rsid w:val="005F7D43"/>
    <w:rsid w:val="0060028B"/>
    <w:rsid w:val="00602371"/>
    <w:rsid w:val="00603E6D"/>
    <w:rsid w:val="00604383"/>
    <w:rsid w:val="00604E58"/>
    <w:rsid w:val="006101BB"/>
    <w:rsid w:val="006112F4"/>
    <w:rsid w:val="00611C2B"/>
    <w:rsid w:val="00612B6A"/>
    <w:rsid w:val="00613C14"/>
    <w:rsid w:val="00616DBC"/>
    <w:rsid w:val="006174B3"/>
    <w:rsid w:val="00620AA1"/>
    <w:rsid w:val="00624062"/>
    <w:rsid w:val="006250E6"/>
    <w:rsid w:val="00631F34"/>
    <w:rsid w:val="00631FF5"/>
    <w:rsid w:val="00632207"/>
    <w:rsid w:val="00632D5F"/>
    <w:rsid w:val="006350B9"/>
    <w:rsid w:val="00635741"/>
    <w:rsid w:val="00635E72"/>
    <w:rsid w:val="00636C65"/>
    <w:rsid w:val="006427C8"/>
    <w:rsid w:val="0064305B"/>
    <w:rsid w:val="006435F6"/>
    <w:rsid w:val="00643E07"/>
    <w:rsid w:val="0064765B"/>
    <w:rsid w:val="006507CF"/>
    <w:rsid w:val="00650C4D"/>
    <w:rsid w:val="00651EBF"/>
    <w:rsid w:val="00652C05"/>
    <w:rsid w:val="00653411"/>
    <w:rsid w:val="00653DA8"/>
    <w:rsid w:val="00656305"/>
    <w:rsid w:val="006571EC"/>
    <w:rsid w:val="00661E58"/>
    <w:rsid w:val="00662EA2"/>
    <w:rsid w:val="006642D2"/>
    <w:rsid w:val="006646A5"/>
    <w:rsid w:val="0066543A"/>
    <w:rsid w:val="00670E01"/>
    <w:rsid w:val="00676544"/>
    <w:rsid w:val="006766BD"/>
    <w:rsid w:val="00677A85"/>
    <w:rsid w:val="00680702"/>
    <w:rsid w:val="00680CEA"/>
    <w:rsid w:val="00682937"/>
    <w:rsid w:val="00683417"/>
    <w:rsid w:val="00684B36"/>
    <w:rsid w:val="00685C58"/>
    <w:rsid w:val="0068681A"/>
    <w:rsid w:val="00686ABD"/>
    <w:rsid w:val="00687B28"/>
    <w:rsid w:val="0069035C"/>
    <w:rsid w:val="006903C9"/>
    <w:rsid w:val="00691AA6"/>
    <w:rsid w:val="0069285A"/>
    <w:rsid w:val="006956A3"/>
    <w:rsid w:val="006A136F"/>
    <w:rsid w:val="006A48D3"/>
    <w:rsid w:val="006A4B62"/>
    <w:rsid w:val="006A4CE9"/>
    <w:rsid w:val="006B0279"/>
    <w:rsid w:val="006B0B2F"/>
    <w:rsid w:val="006B2814"/>
    <w:rsid w:val="006B436A"/>
    <w:rsid w:val="006B4A49"/>
    <w:rsid w:val="006B5550"/>
    <w:rsid w:val="006B627B"/>
    <w:rsid w:val="006B669C"/>
    <w:rsid w:val="006B7207"/>
    <w:rsid w:val="006C0138"/>
    <w:rsid w:val="006C0BCB"/>
    <w:rsid w:val="006C0F1E"/>
    <w:rsid w:val="006C286B"/>
    <w:rsid w:val="006C2C0B"/>
    <w:rsid w:val="006C303C"/>
    <w:rsid w:val="006C43DB"/>
    <w:rsid w:val="006C462D"/>
    <w:rsid w:val="006C4C2F"/>
    <w:rsid w:val="006C68A4"/>
    <w:rsid w:val="006C734B"/>
    <w:rsid w:val="006D06DE"/>
    <w:rsid w:val="006D08D6"/>
    <w:rsid w:val="006D1DA0"/>
    <w:rsid w:val="006D5B86"/>
    <w:rsid w:val="006D6910"/>
    <w:rsid w:val="006E1CDB"/>
    <w:rsid w:val="006E2BE2"/>
    <w:rsid w:val="006E4830"/>
    <w:rsid w:val="006E6D96"/>
    <w:rsid w:val="006E760D"/>
    <w:rsid w:val="006E7A96"/>
    <w:rsid w:val="006F0331"/>
    <w:rsid w:val="006F2F5C"/>
    <w:rsid w:val="006F3264"/>
    <w:rsid w:val="006F5744"/>
    <w:rsid w:val="006F5F18"/>
    <w:rsid w:val="006F6E8E"/>
    <w:rsid w:val="006F782F"/>
    <w:rsid w:val="006F7D87"/>
    <w:rsid w:val="007020AB"/>
    <w:rsid w:val="0070517F"/>
    <w:rsid w:val="00705430"/>
    <w:rsid w:val="007064ED"/>
    <w:rsid w:val="00707296"/>
    <w:rsid w:val="00710915"/>
    <w:rsid w:val="00711434"/>
    <w:rsid w:val="007123B9"/>
    <w:rsid w:val="00712C91"/>
    <w:rsid w:val="00713805"/>
    <w:rsid w:val="00713A2F"/>
    <w:rsid w:val="00714682"/>
    <w:rsid w:val="007158A7"/>
    <w:rsid w:val="00717141"/>
    <w:rsid w:val="00717835"/>
    <w:rsid w:val="007204B5"/>
    <w:rsid w:val="00720608"/>
    <w:rsid w:val="00723D0A"/>
    <w:rsid w:val="007247CA"/>
    <w:rsid w:val="00724862"/>
    <w:rsid w:val="00725369"/>
    <w:rsid w:val="007268D4"/>
    <w:rsid w:val="00726BF2"/>
    <w:rsid w:val="00732FC7"/>
    <w:rsid w:val="00735E1F"/>
    <w:rsid w:val="00737672"/>
    <w:rsid w:val="00737D3C"/>
    <w:rsid w:val="0074080B"/>
    <w:rsid w:val="00740D9A"/>
    <w:rsid w:val="00742FA4"/>
    <w:rsid w:val="00743475"/>
    <w:rsid w:val="00743C68"/>
    <w:rsid w:val="00743CC0"/>
    <w:rsid w:val="00744690"/>
    <w:rsid w:val="0074779F"/>
    <w:rsid w:val="00750C42"/>
    <w:rsid w:val="00752689"/>
    <w:rsid w:val="0075369E"/>
    <w:rsid w:val="00755740"/>
    <w:rsid w:val="00762DC7"/>
    <w:rsid w:val="00764B2C"/>
    <w:rsid w:val="00765413"/>
    <w:rsid w:val="007659E4"/>
    <w:rsid w:val="00765D00"/>
    <w:rsid w:val="007662D4"/>
    <w:rsid w:val="00767013"/>
    <w:rsid w:val="0077120D"/>
    <w:rsid w:val="00771B07"/>
    <w:rsid w:val="0077685F"/>
    <w:rsid w:val="00782C4A"/>
    <w:rsid w:val="007836AF"/>
    <w:rsid w:val="007872D3"/>
    <w:rsid w:val="00790202"/>
    <w:rsid w:val="00791C21"/>
    <w:rsid w:val="0079205D"/>
    <w:rsid w:val="007921F4"/>
    <w:rsid w:val="0079428D"/>
    <w:rsid w:val="007943BC"/>
    <w:rsid w:val="00795669"/>
    <w:rsid w:val="00797E52"/>
    <w:rsid w:val="007A0B66"/>
    <w:rsid w:val="007A16CC"/>
    <w:rsid w:val="007A1831"/>
    <w:rsid w:val="007A1E13"/>
    <w:rsid w:val="007A27C6"/>
    <w:rsid w:val="007A2DC0"/>
    <w:rsid w:val="007A44DA"/>
    <w:rsid w:val="007A7B47"/>
    <w:rsid w:val="007B0F26"/>
    <w:rsid w:val="007B207E"/>
    <w:rsid w:val="007B2948"/>
    <w:rsid w:val="007B458A"/>
    <w:rsid w:val="007B6824"/>
    <w:rsid w:val="007B78A2"/>
    <w:rsid w:val="007C18E4"/>
    <w:rsid w:val="007C216A"/>
    <w:rsid w:val="007C2E12"/>
    <w:rsid w:val="007C4550"/>
    <w:rsid w:val="007C53C2"/>
    <w:rsid w:val="007C6793"/>
    <w:rsid w:val="007C6911"/>
    <w:rsid w:val="007C6C3B"/>
    <w:rsid w:val="007D0C8D"/>
    <w:rsid w:val="007D16A2"/>
    <w:rsid w:val="007D1ABF"/>
    <w:rsid w:val="007D2857"/>
    <w:rsid w:val="007D4E58"/>
    <w:rsid w:val="007D5B56"/>
    <w:rsid w:val="007D5F36"/>
    <w:rsid w:val="007D6F92"/>
    <w:rsid w:val="007E0ECE"/>
    <w:rsid w:val="007E2A2C"/>
    <w:rsid w:val="007E377B"/>
    <w:rsid w:val="007E4F15"/>
    <w:rsid w:val="007E5219"/>
    <w:rsid w:val="007E5870"/>
    <w:rsid w:val="007E7516"/>
    <w:rsid w:val="007E7544"/>
    <w:rsid w:val="007F367D"/>
    <w:rsid w:val="007F3F22"/>
    <w:rsid w:val="007F4759"/>
    <w:rsid w:val="007F5AAE"/>
    <w:rsid w:val="0080036D"/>
    <w:rsid w:val="00803618"/>
    <w:rsid w:val="00803AB6"/>
    <w:rsid w:val="008045C1"/>
    <w:rsid w:val="00804AB4"/>
    <w:rsid w:val="00804B77"/>
    <w:rsid w:val="0080505F"/>
    <w:rsid w:val="00806659"/>
    <w:rsid w:val="00806D03"/>
    <w:rsid w:val="00807410"/>
    <w:rsid w:val="008079D9"/>
    <w:rsid w:val="008122B6"/>
    <w:rsid w:val="0082041A"/>
    <w:rsid w:val="0082125E"/>
    <w:rsid w:val="008218C0"/>
    <w:rsid w:val="00821F38"/>
    <w:rsid w:val="00823DC4"/>
    <w:rsid w:val="00823F4F"/>
    <w:rsid w:val="00824DAD"/>
    <w:rsid w:val="008266F8"/>
    <w:rsid w:val="00826DBC"/>
    <w:rsid w:val="00827440"/>
    <w:rsid w:val="00830BC1"/>
    <w:rsid w:val="0083288B"/>
    <w:rsid w:val="008341FD"/>
    <w:rsid w:val="0083559B"/>
    <w:rsid w:val="00840103"/>
    <w:rsid w:val="00840F1A"/>
    <w:rsid w:val="00843510"/>
    <w:rsid w:val="008450F2"/>
    <w:rsid w:val="008474E5"/>
    <w:rsid w:val="00850074"/>
    <w:rsid w:val="008501D2"/>
    <w:rsid w:val="00852B10"/>
    <w:rsid w:val="008536C0"/>
    <w:rsid w:val="00853866"/>
    <w:rsid w:val="0085582F"/>
    <w:rsid w:val="00855DBF"/>
    <w:rsid w:val="0085613B"/>
    <w:rsid w:val="00856911"/>
    <w:rsid w:val="00857270"/>
    <w:rsid w:val="0085757B"/>
    <w:rsid w:val="008615CC"/>
    <w:rsid w:val="0086182E"/>
    <w:rsid w:val="008624DF"/>
    <w:rsid w:val="008628F0"/>
    <w:rsid w:val="00862AA8"/>
    <w:rsid w:val="00864E6A"/>
    <w:rsid w:val="00866492"/>
    <w:rsid w:val="00866BCF"/>
    <w:rsid w:val="0087039E"/>
    <w:rsid w:val="0087088A"/>
    <w:rsid w:val="00871F6E"/>
    <w:rsid w:val="00873344"/>
    <w:rsid w:val="008747BE"/>
    <w:rsid w:val="0087663D"/>
    <w:rsid w:val="00876B33"/>
    <w:rsid w:val="008778EF"/>
    <w:rsid w:val="00881B66"/>
    <w:rsid w:val="00883B05"/>
    <w:rsid w:val="008852DA"/>
    <w:rsid w:val="0088650E"/>
    <w:rsid w:val="00887BFF"/>
    <w:rsid w:val="00887FA7"/>
    <w:rsid w:val="00891E85"/>
    <w:rsid w:val="008952B6"/>
    <w:rsid w:val="00895CD0"/>
    <w:rsid w:val="00896B56"/>
    <w:rsid w:val="0089730C"/>
    <w:rsid w:val="008A4E43"/>
    <w:rsid w:val="008B00AE"/>
    <w:rsid w:val="008B061D"/>
    <w:rsid w:val="008B0648"/>
    <w:rsid w:val="008B4B1C"/>
    <w:rsid w:val="008B6BA2"/>
    <w:rsid w:val="008C117D"/>
    <w:rsid w:val="008C2661"/>
    <w:rsid w:val="008C335D"/>
    <w:rsid w:val="008C3FFF"/>
    <w:rsid w:val="008C505E"/>
    <w:rsid w:val="008D0D16"/>
    <w:rsid w:val="008D1E72"/>
    <w:rsid w:val="008D5525"/>
    <w:rsid w:val="008D5D98"/>
    <w:rsid w:val="008D7400"/>
    <w:rsid w:val="008E0493"/>
    <w:rsid w:val="008E0596"/>
    <w:rsid w:val="008E2BA1"/>
    <w:rsid w:val="008E3952"/>
    <w:rsid w:val="008E3BAB"/>
    <w:rsid w:val="008E41D9"/>
    <w:rsid w:val="008E6631"/>
    <w:rsid w:val="008E76C1"/>
    <w:rsid w:val="008F037E"/>
    <w:rsid w:val="008F071F"/>
    <w:rsid w:val="008F336F"/>
    <w:rsid w:val="008F3804"/>
    <w:rsid w:val="008F52E1"/>
    <w:rsid w:val="008F680F"/>
    <w:rsid w:val="008F6D4A"/>
    <w:rsid w:val="008F7444"/>
    <w:rsid w:val="008F7A34"/>
    <w:rsid w:val="0090101E"/>
    <w:rsid w:val="009027B9"/>
    <w:rsid w:val="00903DB6"/>
    <w:rsid w:val="009043B2"/>
    <w:rsid w:val="0090469B"/>
    <w:rsid w:val="00910DCF"/>
    <w:rsid w:val="0091403E"/>
    <w:rsid w:val="00914884"/>
    <w:rsid w:val="009156C9"/>
    <w:rsid w:val="009160B6"/>
    <w:rsid w:val="009213BA"/>
    <w:rsid w:val="00921409"/>
    <w:rsid w:val="009214B0"/>
    <w:rsid w:val="00922053"/>
    <w:rsid w:val="00922851"/>
    <w:rsid w:val="0092305A"/>
    <w:rsid w:val="0092481F"/>
    <w:rsid w:val="00925B3F"/>
    <w:rsid w:val="0092610B"/>
    <w:rsid w:val="0092618C"/>
    <w:rsid w:val="00926F96"/>
    <w:rsid w:val="009277C4"/>
    <w:rsid w:val="00927881"/>
    <w:rsid w:val="009304C7"/>
    <w:rsid w:val="00932458"/>
    <w:rsid w:val="0093255A"/>
    <w:rsid w:val="00932D05"/>
    <w:rsid w:val="00934439"/>
    <w:rsid w:val="009357E7"/>
    <w:rsid w:val="00935D73"/>
    <w:rsid w:val="00935E87"/>
    <w:rsid w:val="00943148"/>
    <w:rsid w:val="009438A0"/>
    <w:rsid w:val="009440BD"/>
    <w:rsid w:val="00944237"/>
    <w:rsid w:val="00944C0A"/>
    <w:rsid w:val="00946C8F"/>
    <w:rsid w:val="00947C69"/>
    <w:rsid w:val="0095154E"/>
    <w:rsid w:val="00952439"/>
    <w:rsid w:val="009546BA"/>
    <w:rsid w:val="00955070"/>
    <w:rsid w:val="00960E23"/>
    <w:rsid w:val="0096342D"/>
    <w:rsid w:val="00963647"/>
    <w:rsid w:val="00964A98"/>
    <w:rsid w:val="0096503C"/>
    <w:rsid w:val="009650B2"/>
    <w:rsid w:val="00965C4D"/>
    <w:rsid w:val="00967FD8"/>
    <w:rsid w:val="00972377"/>
    <w:rsid w:val="0097347D"/>
    <w:rsid w:val="00973C5F"/>
    <w:rsid w:val="00974659"/>
    <w:rsid w:val="00974770"/>
    <w:rsid w:val="0097641A"/>
    <w:rsid w:val="00976F6C"/>
    <w:rsid w:val="009772A2"/>
    <w:rsid w:val="0098051D"/>
    <w:rsid w:val="00982001"/>
    <w:rsid w:val="00983087"/>
    <w:rsid w:val="0099133E"/>
    <w:rsid w:val="0099181D"/>
    <w:rsid w:val="00991C2B"/>
    <w:rsid w:val="00994097"/>
    <w:rsid w:val="009948E4"/>
    <w:rsid w:val="00994C35"/>
    <w:rsid w:val="009A20A7"/>
    <w:rsid w:val="009A7BCD"/>
    <w:rsid w:val="009A7EB0"/>
    <w:rsid w:val="009B0169"/>
    <w:rsid w:val="009B0659"/>
    <w:rsid w:val="009B0D91"/>
    <w:rsid w:val="009B328C"/>
    <w:rsid w:val="009B3839"/>
    <w:rsid w:val="009B547C"/>
    <w:rsid w:val="009B559B"/>
    <w:rsid w:val="009B57C5"/>
    <w:rsid w:val="009B5CE3"/>
    <w:rsid w:val="009B60DC"/>
    <w:rsid w:val="009B797C"/>
    <w:rsid w:val="009C0C5A"/>
    <w:rsid w:val="009C410C"/>
    <w:rsid w:val="009C41EF"/>
    <w:rsid w:val="009C4B73"/>
    <w:rsid w:val="009C561F"/>
    <w:rsid w:val="009C62C7"/>
    <w:rsid w:val="009C6DDB"/>
    <w:rsid w:val="009C75A0"/>
    <w:rsid w:val="009D100F"/>
    <w:rsid w:val="009D2A7D"/>
    <w:rsid w:val="009D6EA9"/>
    <w:rsid w:val="009D7ECB"/>
    <w:rsid w:val="009E0423"/>
    <w:rsid w:val="009E1939"/>
    <w:rsid w:val="009E289B"/>
    <w:rsid w:val="009E3526"/>
    <w:rsid w:val="009E36F8"/>
    <w:rsid w:val="009E454F"/>
    <w:rsid w:val="009E6159"/>
    <w:rsid w:val="009F1971"/>
    <w:rsid w:val="009F3B90"/>
    <w:rsid w:val="009F7032"/>
    <w:rsid w:val="009F7DFB"/>
    <w:rsid w:val="00A00194"/>
    <w:rsid w:val="00A014CC"/>
    <w:rsid w:val="00A02A25"/>
    <w:rsid w:val="00A07761"/>
    <w:rsid w:val="00A0786B"/>
    <w:rsid w:val="00A11623"/>
    <w:rsid w:val="00A11C1A"/>
    <w:rsid w:val="00A12F10"/>
    <w:rsid w:val="00A1402D"/>
    <w:rsid w:val="00A1485B"/>
    <w:rsid w:val="00A16337"/>
    <w:rsid w:val="00A16BEF"/>
    <w:rsid w:val="00A16D54"/>
    <w:rsid w:val="00A17E7E"/>
    <w:rsid w:val="00A17EE0"/>
    <w:rsid w:val="00A20CE9"/>
    <w:rsid w:val="00A2131D"/>
    <w:rsid w:val="00A21900"/>
    <w:rsid w:val="00A21B3B"/>
    <w:rsid w:val="00A2377A"/>
    <w:rsid w:val="00A26F42"/>
    <w:rsid w:val="00A30103"/>
    <w:rsid w:val="00A3281A"/>
    <w:rsid w:val="00A3381E"/>
    <w:rsid w:val="00A3415F"/>
    <w:rsid w:val="00A359B9"/>
    <w:rsid w:val="00A3656A"/>
    <w:rsid w:val="00A36A3C"/>
    <w:rsid w:val="00A37D5E"/>
    <w:rsid w:val="00A37DC8"/>
    <w:rsid w:val="00A409E3"/>
    <w:rsid w:val="00A43BBA"/>
    <w:rsid w:val="00A44B3E"/>
    <w:rsid w:val="00A500CE"/>
    <w:rsid w:val="00A51364"/>
    <w:rsid w:val="00A51556"/>
    <w:rsid w:val="00A520AA"/>
    <w:rsid w:val="00A5588D"/>
    <w:rsid w:val="00A56A9D"/>
    <w:rsid w:val="00A56B74"/>
    <w:rsid w:val="00A6127C"/>
    <w:rsid w:val="00A61FC0"/>
    <w:rsid w:val="00A623CB"/>
    <w:rsid w:val="00A62491"/>
    <w:rsid w:val="00A664DD"/>
    <w:rsid w:val="00A70739"/>
    <w:rsid w:val="00A71BC7"/>
    <w:rsid w:val="00A74283"/>
    <w:rsid w:val="00A758EE"/>
    <w:rsid w:val="00A7622D"/>
    <w:rsid w:val="00A803F6"/>
    <w:rsid w:val="00A82DF7"/>
    <w:rsid w:val="00A84FD5"/>
    <w:rsid w:val="00A85D9A"/>
    <w:rsid w:val="00A86776"/>
    <w:rsid w:val="00A86CC5"/>
    <w:rsid w:val="00A90F78"/>
    <w:rsid w:val="00A90F7E"/>
    <w:rsid w:val="00A9163D"/>
    <w:rsid w:val="00A91BEF"/>
    <w:rsid w:val="00A93DB3"/>
    <w:rsid w:val="00A951A2"/>
    <w:rsid w:val="00A957CD"/>
    <w:rsid w:val="00AA0445"/>
    <w:rsid w:val="00AA2113"/>
    <w:rsid w:val="00AA2B70"/>
    <w:rsid w:val="00AA3E27"/>
    <w:rsid w:val="00AA3F44"/>
    <w:rsid w:val="00AA5A7D"/>
    <w:rsid w:val="00AB6C5A"/>
    <w:rsid w:val="00AB71D5"/>
    <w:rsid w:val="00AC1133"/>
    <w:rsid w:val="00AC1423"/>
    <w:rsid w:val="00AC1FAE"/>
    <w:rsid w:val="00AC2365"/>
    <w:rsid w:val="00AC2860"/>
    <w:rsid w:val="00AC3229"/>
    <w:rsid w:val="00AC394C"/>
    <w:rsid w:val="00AC3BD7"/>
    <w:rsid w:val="00AC4C04"/>
    <w:rsid w:val="00AC79D1"/>
    <w:rsid w:val="00AD1608"/>
    <w:rsid w:val="00AD1A06"/>
    <w:rsid w:val="00AD1B49"/>
    <w:rsid w:val="00AD2E17"/>
    <w:rsid w:val="00AD3116"/>
    <w:rsid w:val="00AD3338"/>
    <w:rsid w:val="00AD3E3B"/>
    <w:rsid w:val="00AD4AE9"/>
    <w:rsid w:val="00AD5ED0"/>
    <w:rsid w:val="00AD6718"/>
    <w:rsid w:val="00AD7BD2"/>
    <w:rsid w:val="00AE1321"/>
    <w:rsid w:val="00AE4830"/>
    <w:rsid w:val="00AE4A84"/>
    <w:rsid w:val="00AE567C"/>
    <w:rsid w:val="00AE63A7"/>
    <w:rsid w:val="00AE778F"/>
    <w:rsid w:val="00AE7B35"/>
    <w:rsid w:val="00AF2622"/>
    <w:rsid w:val="00AF3AE6"/>
    <w:rsid w:val="00AF5131"/>
    <w:rsid w:val="00AF7F6E"/>
    <w:rsid w:val="00B0072D"/>
    <w:rsid w:val="00B02295"/>
    <w:rsid w:val="00B034A0"/>
    <w:rsid w:val="00B04C84"/>
    <w:rsid w:val="00B063A9"/>
    <w:rsid w:val="00B07EA4"/>
    <w:rsid w:val="00B11CA9"/>
    <w:rsid w:val="00B11CE5"/>
    <w:rsid w:val="00B132D3"/>
    <w:rsid w:val="00B159F2"/>
    <w:rsid w:val="00B15C21"/>
    <w:rsid w:val="00B2007B"/>
    <w:rsid w:val="00B2185B"/>
    <w:rsid w:val="00B23A91"/>
    <w:rsid w:val="00B24C40"/>
    <w:rsid w:val="00B25950"/>
    <w:rsid w:val="00B26616"/>
    <w:rsid w:val="00B338B4"/>
    <w:rsid w:val="00B35FC7"/>
    <w:rsid w:val="00B42EA5"/>
    <w:rsid w:val="00B4381A"/>
    <w:rsid w:val="00B46DEE"/>
    <w:rsid w:val="00B503DA"/>
    <w:rsid w:val="00B52FAE"/>
    <w:rsid w:val="00B53676"/>
    <w:rsid w:val="00B544BA"/>
    <w:rsid w:val="00B54798"/>
    <w:rsid w:val="00B55E66"/>
    <w:rsid w:val="00B56E6B"/>
    <w:rsid w:val="00B56E8E"/>
    <w:rsid w:val="00B63F3F"/>
    <w:rsid w:val="00B64B32"/>
    <w:rsid w:val="00B64DA3"/>
    <w:rsid w:val="00B65B09"/>
    <w:rsid w:val="00B66375"/>
    <w:rsid w:val="00B66A00"/>
    <w:rsid w:val="00B67047"/>
    <w:rsid w:val="00B728DC"/>
    <w:rsid w:val="00B76DA3"/>
    <w:rsid w:val="00B8016B"/>
    <w:rsid w:val="00B81E4D"/>
    <w:rsid w:val="00B82CF0"/>
    <w:rsid w:val="00B83086"/>
    <w:rsid w:val="00B83C3F"/>
    <w:rsid w:val="00B842FC"/>
    <w:rsid w:val="00B85F9E"/>
    <w:rsid w:val="00B90072"/>
    <w:rsid w:val="00B91430"/>
    <w:rsid w:val="00B929FA"/>
    <w:rsid w:val="00B94943"/>
    <w:rsid w:val="00BA0159"/>
    <w:rsid w:val="00BA2602"/>
    <w:rsid w:val="00BA4C65"/>
    <w:rsid w:val="00BA711F"/>
    <w:rsid w:val="00BA736F"/>
    <w:rsid w:val="00BA7C3E"/>
    <w:rsid w:val="00BB0DC4"/>
    <w:rsid w:val="00BB18B9"/>
    <w:rsid w:val="00BB2AD7"/>
    <w:rsid w:val="00BB39AC"/>
    <w:rsid w:val="00BB4CEB"/>
    <w:rsid w:val="00BB52AF"/>
    <w:rsid w:val="00BB60DA"/>
    <w:rsid w:val="00BB6776"/>
    <w:rsid w:val="00BC3807"/>
    <w:rsid w:val="00BC4ABC"/>
    <w:rsid w:val="00BC54AF"/>
    <w:rsid w:val="00BC5A59"/>
    <w:rsid w:val="00BC629D"/>
    <w:rsid w:val="00BC675C"/>
    <w:rsid w:val="00BC6E75"/>
    <w:rsid w:val="00BC7429"/>
    <w:rsid w:val="00BC7946"/>
    <w:rsid w:val="00BC796F"/>
    <w:rsid w:val="00BD083A"/>
    <w:rsid w:val="00BD49E9"/>
    <w:rsid w:val="00BD61A3"/>
    <w:rsid w:val="00BD6281"/>
    <w:rsid w:val="00BD6A36"/>
    <w:rsid w:val="00BD6B24"/>
    <w:rsid w:val="00BD7178"/>
    <w:rsid w:val="00BD7339"/>
    <w:rsid w:val="00BE0445"/>
    <w:rsid w:val="00BE089F"/>
    <w:rsid w:val="00BE2039"/>
    <w:rsid w:val="00BE386D"/>
    <w:rsid w:val="00BE410A"/>
    <w:rsid w:val="00BE7DEB"/>
    <w:rsid w:val="00BF0B9D"/>
    <w:rsid w:val="00BF0F69"/>
    <w:rsid w:val="00BF65D9"/>
    <w:rsid w:val="00C0329D"/>
    <w:rsid w:val="00C03595"/>
    <w:rsid w:val="00C05EAD"/>
    <w:rsid w:val="00C07E2E"/>
    <w:rsid w:val="00C10486"/>
    <w:rsid w:val="00C10D37"/>
    <w:rsid w:val="00C116C8"/>
    <w:rsid w:val="00C1482A"/>
    <w:rsid w:val="00C14C8F"/>
    <w:rsid w:val="00C15BA4"/>
    <w:rsid w:val="00C16094"/>
    <w:rsid w:val="00C161DB"/>
    <w:rsid w:val="00C17DDA"/>
    <w:rsid w:val="00C2140C"/>
    <w:rsid w:val="00C2186A"/>
    <w:rsid w:val="00C22AD1"/>
    <w:rsid w:val="00C24110"/>
    <w:rsid w:val="00C24263"/>
    <w:rsid w:val="00C261C5"/>
    <w:rsid w:val="00C30B6D"/>
    <w:rsid w:val="00C315ED"/>
    <w:rsid w:val="00C330A6"/>
    <w:rsid w:val="00C33558"/>
    <w:rsid w:val="00C348F4"/>
    <w:rsid w:val="00C34B89"/>
    <w:rsid w:val="00C34C83"/>
    <w:rsid w:val="00C37491"/>
    <w:rsid w:val="00C37F86"/>
    <w:rsid w:val="00C40535"/>
    <w:rsid w:val="00C409D8"/>
    <w:rsid w:val="00C4118F"/>
    <w:rsid w:val="00C453AF"/>
    <w:rsid w:val="00C4563D"/>
    <w:rsid w:val="00C46C49"/>
    <w:rsid w:val="00C522CE"/>
    <w:rsid w:val="00C534A3"/>
    <w:rsid w:val="00C55CE2"/>
    <w:rsid w:val="00C56E55"/>
    <w:rsid w:val="00C571CD"/>
    <w:rsid w:val="00C57EA7"/>
    <w:rsid w:val="00C61846"/>
    <w:rsid w:val="00C624C8"/>
    <w:rsid w:val="00C64D44"/>
    <w:rsid w:val="00C65874"/>
    <w:rsid w:val="00C677F1"/>
    <w:rsid w:val="00C70349"/>
    <w:rsid w:val="00C70E40"/>
    <w:rsid w:val="00C71DB6"/>
    <w:rsid w:val="00C721DB"/>
    <w:rsid w:val="00C72BFE"/>
    <w:rsid w:val="00C753F4"/>
    <w:rsid w:val="00C77A85"/>
    <w:rsid w:val="00C77AA0"/>
    <w:rsid w:val="00C80E86"/>
    <w:rsid w:val="00C844A8"/>
    <w:rsid w:val="00C84AB8"/>
    <w:rsid w:val="00C875C9"/>
    <w:rsid w:val="00C9037F"/>
    <w:rsid w:val="00C911EC"/>
    <w:rsid w:val="00C93DDF"/>
    <w:rsid w:val="00C953FD"/>
    <w:rsid w:val="00C9648D"/>
    <w:rsid w:val="00CA0062"/>
    <w:rsid w:val="00CA0797"/>
    <w:rsid w:val="00CA0D15"/>
    <w:rsid w:val="00CA37D5"/>
    <w:rsid w:val="00CA4613"/>
    <w:rsid w:val="00CA74C0"/>
    <w:rsid w:val="00CB082B"/>
    <w:rsid w:val="00CB08C3"/>
    <w:rsid w:val="00CB08CE"/>
    <w:rsid w:val="00CB284E"/>
    <w:rsid w:val="00CB2975"/>
    <w:rsid w:val="00CB4E51"/>
    <w:rsid w:val="00CB649D"/>
    <w:rsid w:val="00CC0F35"/>
    <w:rsid w:val="00CC1E8F"/>
    <w:rsid w:val="00CC2035"/>
    <w:rsid w:val="00CC2AC8"/>
    <w:rsid w:val="00CC620F"/>
    <w:rsid w:val="00CD3623"/>
    <w:rsid w:val="00CD4C3D"/>
    <w:rsid w:val="00CD5292"/>
    <w:rsid w:val="00CD5FB3"/>
    <w:rsid w:val="00CD6CC4"/>
    <w:rsid w:val="00CD70B3"/>
    <w:rsid w:val="00CE1B81"/>
    <w:rsid w:val="00CE2520"/>
    <w:rsid w:val="00CE3510"/>
    <w:rsid w:val="00CE3772"/>
    <w:rsid w:val="00CE37DA"/>
    <w:rsid w:val="00CE4497"/>
    <w:rsid w:val="00CE7620"/>
    <w:rsid w:val="00CE7EF0"/>
    <w:rsid w:val="00CE7F02"/>
    <w:rsid w:val="00CF0E80"/>
    <w:rsid w:val="00CF12C6"/>
    <w:rsid w:val="00CF160F"/>
    <w:rsid w:val="00CF1E2F"/>
    <w:rsid w:val="00CF34DB"/>
    <w:rsid w:val="00CF5849"/>
    <w:rsid w:val="00CF7D49"/>
    <w:rsid w:val="00D01DC4"/>
    <w:rsid w:val="00D033E1"/>
    <w:rsid w:val="00D055F9"/>
    <w:rsid w:val="00D05C09"/>
    <w:rsid w:val="00D06BF0"/>
    <w:rsid w:val="00D1052D"/>
    <w:rsid w:val="00D110D9"/>
    <w:rsid w:val="00D11C0F"/>
    <w:rsid w:val="00D133BA"/>
    <w:rsid w:val="00D14318"/>
    <w:rsid w:val="00D16BEE"/>
    <w:rsid w:val="00D171C4"/>
    <w:rsid w:val="00D1736B"/>
    <w:rsid w:val="00D22BED"/>
    <w:rsid w:val="00D23586"/>
    <w:rsid w:val="00D27FEB"/>
    <w:rsid w:val="00D328B9"/>
    <w:rsid w:val="00D32E28"/>
    <w:rsid w:val="00D32E83"/>
    <w:rsid w:val="00D342D8"/>
    <w:rsid w:val="00D347AB"/>
    <w:rsid w:val="00D350F7"/>
    <w:rsid w:val="00D36005"/>
    <w:rsid w:val="00D37EB8"/>
    <w:rsid w:val="00D4081F"/>
    <w:rsid w:val="00D4180F"/>
    <w:rsid w:val="00D41B6C"/>
    <w:rsid w:val="00D41FAA"/>
    <w:rsid w:val="00D426BF"/>
    <w:rsid w:val="00D43653"/>
    <w:rsid w:val="00D44195"/>
    <w:rsid w:val="00D477F2"/>
    <w:rsid w:val="00D51A2B"/>
    <w:rsid w:val="00D51B64"/>
    <w:rsid w:val="00D52DF5"/>
    <w:rsid w:val="00D52F1F"/>
    <w:rsid w:val="00D53ECC"/>
    <w:rsid w:val="00D54FA5"/>
    <w:rsid w:val="00D56370"/>
    <w:rsid w:val="00D5691D"/>
    <w:rsid w:val="00D56AA8"/>
    <w:rsid w:val="00D57DC0"/>
    <w:rsid w:val="00D57ED8"/>
    <w:rsid w:val="00D62C54"/>
    <w:rsid w:val="00D636E2"/>
    <w:rsid w:val="00D6378A"/>
    <w:rsid w:val="00D64CD8"/>
    <w:rsid w:val="00D65A5F"/>
    <w:rsid w:val="00D66250"/>
    <w:rsid w:val="00D67F7B"/>
    <w:rsid w:val="00D713C6"/>
    <w:rsid w:val="00D71736"/>
    <w:rsid w:val="00D71D3E"/>
    <w:rsid w:val="00D72098"/>
    <w:rsid w:val="00D77181"/>
    <w:rsid w:val="00D77280"/>
    <w:rsid w:val="00D823FE"/>
    <w:rsid w:val="00D82C0D"/>
    <w:rsid w:val="00D844F5"/>
    <w:rsid w:val="00D860A0"/>
    <w:rsid w:val="00D86E8E"/>
    <w:rsid w:val="00D91B60"/>
    <w:rsid w:val="00D91F03"/>
    <w:rsid w:val="00D92F22"/>
    <w:rsid w:val="00D9424D"/>
    <w:rsid w:val="00D94B9F"/>
    <w:rsid w:val="00D954FE"/>
    <w:rsid w:val="00D95804"/>
    <w:rsid w:val="00D97620"/>
    <w:rsid w:val="00D97AE8"/>
    <w:rsid w:val="00D97B2C"/>
    <w:rsid w:val="00DA0C27"/>
    <w:rsid w:val="00DA2106"/>
    <w:rsid w:val="00DA3BCD"/>
    <w:rsid w:val="00DA3C7E"/>
    <w:rsid w:val="00DA3D6B"/>
    <w:rsid w:val="00DA4112"/>
    <w:rsid w:val="00DA4138"/>
    <w:rsid w:val="00DA5D53"/>
    <w:rsid w:val="00DA6CA0"/>
    <w:rsid w:val="00DA6D3A"/>
    <w:rsid w:val="00DA751D"/>
    <w:rsid w:val="00DB0BAF"/>
    <w:rsid w:val="00DB1DCB"/>
    <w:rsid w:val="00DB21C4"/>
    <w:rsid w:val="00DB4EB2"/>
    <w:rsid w:val="00DB5ACD"/>
    <w:rsid w:val="00DB7EAA"/>
    <w:rsid w:val="00DC294B"/>
    <w:rsid w:val="00DC2FEC"/>
    <w:rsid w:val="00DC39C1"/>
    <w:rsid w:val="00DC5F67"/>
    <w:rsid w:val="00DC6808"/>
    <w:rsid w:val="00DC688E"/>
    <w:rsid w:val="00DC6E1F"/>
    <w:rsid w:val="00DC786C"/>
    <w:rsid w:val="00DD0CAA"/>
    <w:rsid w:val="00DD2990"/>
    <w:rsid w:val="00DD3283"/>
    <w:rsid w:val="00DD3592"/>
    <w:rsid w:val="00DD3C7C"/>
    <w:rsid w:val="00DD40CF"/>
    <w:rsid w:val="00DD4107"/>
    <w:rsid w:val="00DD7B2C"/>
    <w:rsid w:val="00DE21A8"/>
    <w:rsid w:val="00DE2650"/>
    <w:rsid w:val="00DE59AB"/>
    <w:rsid w:val="00DE638F"/>
    <w:rsid w:val="00DE79F3"/>
    <w:rsid w:val="00DF39BE"/>
    <w:rsid w:val="00DF6F11"/>
    <w:rsid w:val="00DF7464"/>
    <w:rsid w:val="00DF7842"/>
    <w:rsid w:val="00E00E7F"/>
    <w:rsid w:val="00E0369A"/>
    <w:rsid w:val="00E04BF2"/>
    <w:rsid w:val="00E0509E"/>
    <w:rsid w:val="00E0671E"/>
    <w:rsid w:val="00E1053C"/>
    <w:rsid w:val="00E10D98"/>
    <w:rsid w:val="00E11FF3"/>
    <w:rsid w:val="00E1230E"/>
    <w:rsid w:val="00E14175"/>
    <w:rsid w:val="00E14269"/>
    <w:rsid w:val="00E148A6"/>
    <w:rsid w:val="00E14A96"/>
    <w:rsid w:val="00E15B6E"/>
    <w:rsid w:val="00E16104"/>
    <w:rsid w:val="00E21C0C"/>
    <w:rsid w:val="00E21F30"/>
    <w:rsid w:val="00E241B3"/>
    <w:rsid w:val="00E24BC6"/>
    <w:rsid w:val="00E26743"/>
    <w:rsid w:val="00E3072B"/>
    <w:rsid w:val="00E30BA0"/>
    <w:rsid w:val="00E34FA9"/>
    <w:rsid w:val="00E3589B"/>
    <w:rsid w:val="00E37565"/>
    <w:rsid w:val="00E37BE2"/>
    <w:rsid w:val="00E416C5"/>
    <w:rsid w:val="00E44006"/>
    <w:rsid w:val="00E44741"/>
    <w:rsid w:val="00E46EF8"/>
    <w:rsid w:val="00E474DA"/>
    <w:rsid w:val="00E47EB8"/>
    <w:rsid w:val="00E56CD2"/>
    <w:rsid w:val="00E570B9"/>
    <w:rsid w:val="00E60266"/>
    <w:rsid w:val="00E62C5A"/>
    <w:rsid w:val="00E62E2C"/>
    <w:rsid w:val="00E63363"/>
    <w:rsid w:val="00E63487"/>
    <w:rsid w:val="00E63B25"/>
    <w:rsid w:val="00E6418E"/>
    <w:rsid w:val="00E65441"/>
    <w:rsid w:val="00E67835"/>
    <w:rsid w:val="00E71594"/>
    <w:rsid w:val="00E72F2D"/>
    <w:rsid w:val="00E73B28"/>
    <w:rsid w:val="00E73B97"/>
    <w:rsid w:val="00E74138"/>
    <w:rsid w:val="00E75173"/>
    <w:rsid w:val="00E75308"/>
    <w:rsid w:val="00E7662C"/>
    <w:rsid w:val="00E76B6B"/>
    <w:rsid w:val="00E779B9"/>
    <w:rsid w:val="00E806E8"/>
    <w:rsid w:val="00E8147D"/>
    <w:rsid w:val="00E82150"/>
    <w:rsid w:val="00E837B8"/>
    <w:rsid w:val="00E8387F"/>
    <w:rsid w:val="00E8518D"/>
    <w:rsid w:val="00E8588B"/>
    <w:rsid w:val="00E86201"/>
    <w:rsid w:val="00E92D01"/>
    <w:rsid w:val="00E93AE4"/>
    <w:rsid w:val="00E9686A"/>
    <w:rsid w:val="00EA01DB"/>
    <w:rsid w:val="00EA0C1E"/>
    <w:rsid w:val="00EA1BCF"/>
    <w:rsid w:val="00EA1DA5"/>
    <w:rsid w:val="00EA2321"/>
    <w:rsid w:val="00EA4972"/>
    <w:rsid w:val="00EA626D"/>
    <w:rsid w:val="00EA653A"/>
    <w:rsid w:val="00EB1C13"/>
    <w:rsid w:val="00EB2F55"/>
    <w:rsid w:val="00EB4066"/>
    <w:rsid w:val="00EB43A8"/>
    <w:rsid w:val="00EC0CF8"/>
    <w:rsid w:val="00EC176C"/>
    <w:rsid w:val="00EC23CE"/>
    <w:rsid w:val="00EC4183"/>
    <w:rsid w:val="00EC5630"/>
    <w:rsid w:val="00ED0689"/>
    <w:rsid w:val="00ED19A3"/>
    <w:rsid w:val="00ED2202"/>
    <w:rsid w:val="00ED23ED"/>
    <w:rsid w:val="00ED352E"/>
    <w:rsid w:val="00ED3F5D"/>
    <w:rsid w:val="00ED52DF"/>
    <w:rsid w:val="00ED66A2"/>
    <w:rsid w:val="00EE0D1F"/>
    <w:rsid w:val="00EE257D"/>
    <w:rsid w:val="00EE3FE4"/>
    <w:rsid w:val="00EE56CB"/>
    <w:rsid w:val="00EF0DED"/>
    <w:rsid w:val="00EF15EF"/>
    <w:rsid w:val="00EF19E1"/>
    <w:rsid w:val="00EF1D28"/>
    <w:rsid w:val="00EF2DF2"/>
    <w:rsid w:val="00EF3C6F"/>
    <w:rsid w:val="00EF44DB"/>
    <w:rsid w:val="00EF690A"/>
    <w:rsid w:val="00EF6F90"/>
    <w:rsid w:val="00F00D41"/>
    <w:rsid w:val="00F00E64"/>
    <w:rsid w:val="00F0124D"/>
    <w:rsid w:val="00F0179E"/>
    <w:rsid w:val="00F036F0"/>
    <w:rsid w:val="00F037CC"/>
    <w:rsid w:val="00F0541B"/>
    <w:rsid w:val="00F07124"/>
    <w:rsid w:val="00F07FA4"/>
    <w:rsid w:val="00F118CF"/>
    <w:rsid w:val="00F14768"/>
    <w:rsid w:val="00F16744"/>
    <w:rsid w:val="00F20F8C"/>
    <w:rsid w:val="00F21F3D"/>
    <w:rsid w:val="00F229E5"/>
    <w:rsid w:val="00F23919"/>
    <w:rsid w:val="00F2408C"/>
    <w:rsid w:val="00F26CFC"/>
    <w:rsid w:val="00F26D9D"/>
    <w:rsid w:val="00F27D23"/>
    <w:rsid w:val="00F31D4A"/>
    <w:rsid w:val="00F33A13"/>
    <w:rsid w:val="00F33A90"/>
    <w:rsid w:val="00F421D1"/>
    <w:rsid w:val="00F42B8F"/>
    <w:rsid w:val="00F439A5"/>
    <w:rsid w:val="00F45FA1"/>
    <w:rsid w:val="00F468DF"/>
    <w:rsid w:val="00F53200"/>
    <w:rsid w:val="00F53881"/>
    <w:rsid w:val="00F57140"/>
    <w:rsid w:val="00F616A7"/>
    <w:rsid w:val="00F626BB"/>
    <w:rsid w:val="00F640AF"/>
    <w:rsid w:val="00F6722D"/>
    <w:rsid w:val="00F704BD"/>
    <w:rsid w:val="00F710DC"/>
    <w:rsid w:val="00F73B70"/>
    <w:rsid w:val="00F746BE"/>
    <w:rsid w:val="00F7770E"/>
    <w:rsid w:val="00F81043"/>
    <w:rsid w:val="00F81459"/>
    <w:rsid w:val="00F82815"/>
    <w:rsid w:val="00F837D6"/>
    <w:rsid w:val="00F8580E"/>
    <w:rsid w:val="00F866BE"/>
    <w:rsid w:val="00F86DB5"/>
    <w:rsid w:val="00F87031"/>
    <w:rsid w:val="00F936B8"/>
    <w:rsid w:val="00F94596"/>
    <w:rsid w:val="00F94CAE"/>
    <w:rsid w:val="00F95D3F"/>
    <w:rsid w:val="00F967A5"/>
    <w:rsid w:val="00F97A30"/>
    <w:rsid w:val="00FA34C6"/>
    <w:rsid w:val="00FA40AC"/>
    <w:rsid w:val="00FA46E4"/>
    <w:rsid w:val="00FA5054"/>
    <w:rsid w:val="00FA53CF"/>
    <w:rsid w:val="00FA5783"/>
    <w:rsid w:val="00FA5B65"/>
    <w:rsid w:val="00FA773E"/>
    <w:rsid w:val="00FB0AB9"/>
    <w:rsid w:val="00FB0B98"/>
    <w:rsid w:val="00FB2C17"/>
    <w:rsid w:val="00FB3027"/>
    <w:rsid w:val="00FB3A33"/>
    <w:rsid w:val="00FB4444"/>
    <w:rsid w:val="00FB56AB"/>
    <w:rsid w:val="00FB5DBF"/>
    <w:rsid w:val="00FB5FCE"/>
    <w:rsid w:val="00FB7C27"/>
    <w:rsid w:val="00FC009B"/>
    <w:rsid w:val="00FC01B3"/>
    <w:rsid w:val="00FC2AC2"/>
    <w:rsid w:val="00FC2B01"/>
    <w:rsid w:val="00FC3A35"/>
    <w:rsid w:val="00FC6FDE"/>
    <w:rsid w:val="00FC7380"/>
    <w:rsid w:val="00FC7865"/>
    <w:rsid w:val="00FD11C9"/>
    <w:rsid w:val="00FD381C"/>
    <w:rsid w:val="00FD5732"/>
    <w:rsid w:val="00FD6E0F"/>
    <w:rsid w:val="00FD74A4"/>
    <w:rsid w:val="00FD78AB"/>
    <w:rsid w:val="00FE0147"/>
    <w:rsid w:val="00FE0662"/>
    <w:rsid w:val="00FE2B15"/>
    <w:rsid w:val="00FE2C0E"/>
    <w:rsid w:val="00FE3E91"/>
    <w:rsid w:val="00FE45CA"/>
    <w:rsid w:val="00FE559F"/>
    <w:rsid w:val="00FE6ACF"/>
    <w:rsid w:val="00FF01FD"/>
    <w:rsid w:val="00FF29E5"/>
    <w:rsid w:val="00FF3DD6"/>
    <w:rsid w:val="00FF6228"/>
    <w:rsid w:val="00FF6914"/>
    <w:rsid w:val="012073D2"/>
    <w:rsid w:val="0147138D"/>
    <w:rsid w:val="01532C24"/>
    <w:rsid w:val="01787024"/>
    <w:rsid w:val="01E06346"/>
    <w:rsid w:val="01E93F1C"/>
    <w:rsid w:val="02217B6C"/>
    <w:rsid w:val="02265BC6"/>
    <w:rsid w:val="023E6E48"/>
    <w:rsid w:val="023F7DC5"/>
    <w:rsid w:val="02622CD7"/>
    <w:rsid w:val="02B74E19"/>
    <w:rsid w:val="02C25EF6"/>
    <w:rsid w:val="03892FCA"/>
    <w:rsid w:val="04501A8A"/>
    <w:rsid w:val="0465766A"/>
    <w:rsid w:val="04B876BE"/>
    <w:rsid w:val="057654DD"/>
    <w:rsid w:val="05D4049D"/>
    <w:rsid w:val="05E20502"/>
    <w:rsid w:val="065D39E1"/>
    <w:rsid w:val="06C30208"/>
    <w:rsid w:val="07011E42"/>
    <w:rsid w:val="071400F7"/>
    <w:rsid w:val="07440111"/>
    <w:rsid w:val="081F34FF"/>
    <w:rsid w:val="08510226"/>
    <w:rsid w:val="0869052C"/>
    <w:rsid w:val="08A15F58"/>
    <w:rsid w:val="0915476C"/>
    <w:rsid w:val="09692BEC"/>
    <w:rsid w:val="0A645B43"/>
    <w:rsid w:val="0AC0209B"/>
    <w:rsid w:val="0BCE68A2"/>
    <w:rsid w:val="0BEE1BFC"/>
    <w:rsid w:val="0BEE275F"/>
    <w:rsid w:val="0C493935"/>
    <w:rsid w:val="0C59614E"/>
    <w:rsid w:val="0CA45950"/>
    <w:rsid w:val="0DE3722F"/>
    <w:rsid w:val="0DFB4717"/>
    <w:rsid w:val="0E352121"/>
    <w:rsid w:val="0EA448C0"/>
    <w:rsid w:val="0F345BA3"/>
    <w:rsid w:val="0F9E3116"/>
    <w:rsid w:val="10041DE2"/>
    <w:rsid w:val="10562ED3"/>
    <w:rsid w:val="11AE4206"/>
    <w:rsid w:val="11D37E96"/>
    <w:rsid w:val="12837D5F"/>
    <w:rsid w:val="12F87F77"/>
    <w:rsid w:val="130C4D10"/>
    <w:rsid w:val="1363327A"/>
    <w:rsid w:val="13992BE0"/>
    <w:rsid w:val="13CB4D9B"/>
    <w:rsid w:val="14275486"/>
    <w:rsid w:val="147409ED"/>
    <w:rsid w:val="14874B4A"/>
    <w:rsid w:val="14964AA6"/>
    <w:rsid w:val="15011905"/>
    <w:rsid w:val="16190602"/>
    <w:rsid w:val="163D12B9"/>
    <w:rsid w:val="16727788"/>
    <w:rsid w:val="173F22D4"/>
    <w:rsid w:val="17442DB9"/>
    <w:rsid w:val="1759066D"/>
    <w:rsid w:val="17674272"/>
    <w:rsid w:val="18693172"/>
    <w:rsid w:val="18D229BE"/>
    <w:rsid w:val="18F52F4F"/>
    <w:rsid w:val="18FC4E16"/>
    <w:rsid w:val="1954059A"/>
    <w:rsid w:val="195928F0"/>
    <w:rsid w:val="196B053C"/>
    <w:rsid w:val="19935749"/>
    <w:rsid w:val="19B06130"/>
    <w:rsid w:val="19BC7DCB"/>
    <w:rsid w:val="1A3F729E"/>
    <w:rsid w:val="1A7E1AB2"/>
    <w:rsid w:val="1AE20047"/>
    <w:rsid w:val="1AE74D14"/>
    <w:rsid w:val="1B200AE1"/>
    <w:rsid w:val="1B480219"/>
    <w:rsid w:val="1B792CFE"/>
    <w:rsid w:val="1B7C1D61"/>
    <w:rsid w:val="1C0A7317"/>
    <w:rsid w:val="1C50282D"/>
    <w:rsid w:val="1C647D64"/>
    <w:rsid w:val="1C6D7E55"/>
    <w:rsid w:val="1CB241C1"/>
    <w:rsid w:val="1D686BC1"/>
    <w:rsid w:val="1E48429F"/>
    <w:rsid w:val="1EBA3850"/>
    <w:rsid w:val="1ED010A2"/>
    <w:rsid w:val="1F6762E9"/>
    <w:rsid w:val="1F692D2A"/>
    <w:rsid w:val="1F79498A"/>
    <w:rsid w:val="1F9C5DF3"/>
    <w:rsid w:val="1FF06B07"/>
    <w:rsid w:val="200E198E"/>
    <w:rsid w:val="200E308B"/>
    <w:rsid w:val="204F6EDD"/>
    <w:rsid w:val="215F02AA"/>
    <w:rsid w:val="21F0569A"/>
    <w:rsid w:val="21FF6F6C"/>
    <w:rsid w:val="222A701B"/>
    <w:rsid w:val="227D1281"/>
    <w:rsid w:val="229E1B9C"/>
    <w:rsid w:val="22D966E3"/>
    <w:rsid w:val="230B412B"/>
    <w:rsid w:val="23165D38"/>
    <w:rsid w:val="234378E8"/>
    <w:rsid w:val="239E143D"/>
    <w:rsid w:val="23E11F78"/>
    <w:rsid w:val="241930CC"/>
    <w:rsid w:val="25034340"/>
    <w:rsid w:val="25B0246A"/>
    <w:rsid w:val="25B54E10"/>
    <w:rsid w:val="26361525"/>
    <w:rsid w:val="263E6655"/>
    <w:rsid w:val="26506CC4"/>
    <w:rsid w:val="265D4F8B"/>
    <w:rsid w:val="26857C12"/>
    <w:rsid w:val="26FA5BA3"/>
    <w:rsid w:val="2715206D"/>
    <w:rsid w:val="27556BF5"/>
    <w:rsid w:val="279168B4"/>
    <w:rsid w:val="27966ED9"/>
    <w:rsid w:val="27DA5B92"/>
    <w:rsid w:val="28024270"/>
    <w:rsid w:val="284515C5"/>
    <w:rsid w:val="289C2243"/>
    <w:rsid w:val="29204814"/>
    <w:rsid w:val="29C77492"/>
    <w:rsid w:val="2A1B771C"/>
    <w:rsid w:val="2A867CDB"/>
    <w:rsid w:val="2A8E4FE2"/>
    <w:rsid w:val="2AF12AF5"/>
    <w:rsid w:val="2B757ECD"/>
    <w:rsid w:val="2B9A58DB"/>
    <w:rsid w:val="2BE93591"/>
    <w:rsid w:val="2C6E5401"/>
    <w:rsid w:val="2C8A1E1F"/>
    <w:rsid w:val="2D416F94"/>
    <w:rsid w:val="2D800D96"/>
    <w:rsid w:val="2D8639BE"/>
    <w:rsid w:val="2DBE7BC9"/>
    <w:rsid w:val="2DF54B3F"/>
    <w:rsid w:val="2E2D3B8E"/>
    <w:rsid w:val="2E4B3BA1"/>
    <w:rsid w:val="2E5D0CE1"/>
    <w:rsid w:val="2F182471"/>
    <w:rsid w:val="2F234995"/>
    <w:rsid w:val="2FB338AE"/>
    <w:rsid w:val="30623B75"/>
    <w:rsid w:val="306B519A"/>
    <w:rsid w:val="30835B92"/>
    <w:rsid w:val="30AA577B"/>
    <w:rsid w:val="31150F53"/>
    <w:rsid w:val="3167603F"/>
    <w:rsid w:val="31800D59"/>
    <w:rsid w:val="31C3368B"/>
    <w:rsid w:val="31E6703A"/>
    <w:rsid w:val="32063C8D"/>
    <w:rsid w:val="329A3F01"/>
    <w:rsid w:val="33251005"/>
    <w:rsid w:val="33392F35"/>
    <w:rsid w:val="337C77DB"/>
    <w:rsid w:val="345F07E5"/>
    <w:rsid w:val="34890916"/>
    <w:rsid w:val="34E0733D"/>
    <w:rsid w:val="356263B6"/>
    <w:rsid w:val="357E5877"/>
    <w:rsid w:val="35860398"/>
    <w:rsid w:val="358C5502"/>
    <w:rsid w:val="35DE4A6E"/>
    <w:rsid w:val="362348C7"/>
    <w:rsid w:val="36804B7F"/>
    <w:rsid w:val="36DF5796"/>
    <w:rsid w:val="36E62C68"/>
    <w:rsid w:val="36F337A6"/>
    <w:rsid w:val="370B5EA7"/>
    <w:rsid w:val="379667DB"/>
    <w:rsid w:val="37C8784B"/>
    <w:rsid w:val="37D30034"/>
    <w:rsid w:val="37E27120"/>
    <w:rsid w:val="385477C9"/>
    <w:rsid w:val="38947B17"/>
    <w:rsid w:val="39123D4E"/>
    <w:rsid w:val="3923531A"/>
    <w:rsid w:val="395A68C7"/>
    <w:rsid w:val="39624394"/>
    <w:rsid w:val="3ACC3463"/>
    <w:rsid w:val="3AE1297B"/>
    <w:rsid w:val="3B216204"/>
    <w:rsid w:val="3B42286C"/>
    <w:rsid w:val="3B511AF6"/>
    <w:rsid w:val="3B5D465A"/>
    <w:rsid w:val="3C453393"/>
    <w:rsid w:val="3C6A4F6C"/>
    <w:rsid w:val="3C885697"/>
    <w:rsid w:val="3CC9414B"/>
    <w:rsid w:val="3D1B26B3"/>
    <w:rsid w:val="3D483470"/>
    <w:rsid w:val="3DD20B66"/>
    <w:rsid w:val="3E592141"/>
    <w:rsid w:val="3EAE4FAE"/>
    <w:rsid w:val="3EDC57DB"/>
    <w:rsid w:val="3F2E10B4"/>
    <w:rsid w:val="3F2F110F"/>
    <w:rsid w:val="3F386988"/>
    <w:rsid w:val="3F88114C"/>
    <w:rsid w:val="3FD505E3"/>
    <w:rsid w:val="3FE65C1C"/>
    <w:rsid w:val="3FEE68F8"/>
    <w:rsid w:val="3FEF2549"/>
    <w:rsid w:val="3FF43B50"/>
    <w:rsid w:val="3FF7224B"/>
    <w:rsid w:val="3FFB24A8"/>
    <w:rsid w:val="402862F0"/>
    <w:rsid w:val="40437F2D"/>
    <w:rsid w:val="40F9286F"/>
    <w:rsid w:val="41745BDC"/>
    <w:rsid w:val="41CC5E9F"/>
    <w:rsid w:val="42181C01"/>
    <w:rsid w:val="4246413A"/>
    <w:rsid w:val="42D52372"/>
    <w:rsid w:val="42D74ACB"/>
    <w:rsid w:val="430248D0"/>
    <w:rsid w:val="43170E3F"/>
    <w:rsid w:val="43425844"/>
    <w:rsid w:val="434E02B5"/>
    <w:rsid w:val="43B56C37"/>
    <w:rsid w:val="44B0663B"/>
    <w:rsid w:val="45774548"/>
    <w:rsid w:val="45F2147F"/>
    <w:rsid w:val="46103A1C"/>
    <w:rsid w:val="46916512"/>
    <w:rsid w:val="46DE412F"/>
    <w:rsid w:val="47270031"/>
    <w:rsid w:val="4781378B"/>
    <w:rsid w:val="47B80FDE"/>
    <w:rsid w:val="47FB6552"/>
    <w:rsid w:val="48057B4E"/>
    <w:rsid w:val="48404515"/>
    <w:rsid w:val="485965B8"/>
    <w:rsid w:val="48B63248"/>
    <w:rsid w:val="492D2C6F"/>
    <w:rsid w:val="49A22212"/>
    <w:rsid w:val="49AA3C55"/>
    <w:rsid w:val="49D12969"/>
    <w:rsid w:val="4A763A9F"/>
    <w:rsid w:val="4AEF6C0F"/>
    <w:rsid w:val="4B656487"/>
    <w:rsid w:val="4C073E51"/>
    <w:rsid w:val="4C3B0AA6"/>
    <w:rsid w:val="4C5A312A"/>
    <w:rsid w:val="4C680FB7"/>
    <w:rsid w:val="4D404DD2"/>
    <w:rsid w:val="4DF3262B"/>
    <w:rsid w:val="4E15647B"/>
    <w:rsid w:val="4E692B99"/>
    <w:rsid w:val="4E693B02"/>
    <w:rsid w:val="4E961997"/>
    <w:rsid w:val="4ED42BE1"/>
    <w:rsid w:val="4EE05DE7"/>
    <w:rsid w:val="4F475F38"/>
    <w:rsid w:val="4F764402"/>
    <w:rsid w:val="4F974B2D"/>
    <w:rsid w:val="4FB97CFF"/>
    <w:rsid w:val="502379F8"/>
    <w:rsid w:val="50552471"/>
    <w:rsid w:val="5081226E"/>
    <w:rsid w:val="50B04B0A"/>
    <w:rsid w:val="5181184F"/>
    <w:rsid w:val="52BD36ED"/>
    <w:rsid w:val="52DF65D9"/>
    <w:rsid w:val="53B44A11"/>
    <w:rsid w:val="54407C91"/>
    <w:rsid w:val="545B4365"/>
    <w:rsid w:val="54795E44"/>
    <w:rsid w:val="549507B0"/>
    <w:rsid w:val="54E072EE"/>
    <w:rsid w:val="555F75B0"/>
    <w:rsid w:val="55B2218A"/>
    <w:rsid w:val="55CD562C"/>
    <w:rsid w:val="56F87636"/>
    <w:rsid w:val="5702343C"/>
    <w:rsid w:val="574A4666"/>
    <w:rsid w:val="58103B9E"/>
    <w:rsid w:val="585C7357"/>
    <w:rsid w:val="58A73F55"/>
    <w:rsid w:val="58CE57A7"/>
    <w:rsid w:val="59BC41C0"/>
    <w:rsid w:val="5A1F4FC1"/>
    <w:rsid w:val="5A6854D6"/>
    <w:rsid w:val="5A6B178D"/>
    <w:rsid w:val="5A96762A"/>
    <w:rsid w:val="5AA96899"/>
    <w:rsid w:val="5AB8609C"/>
    <w:rsid w:val="5AC7520A"/>
    <w:rsid w:val="5BF223D5"/>
    <w:rsid w:val="5DAF35E9"/>
    <w:rsid w:val="5E0B51F0"/>
    <w:rsid w:val="5E4740F2"/>
    <w:rsid w:val="5E6928C6"/>
    <w:rsid w:val="5E9D1AB1"/>
    <w:rsid w:val="5EB5727C"/>
    <w:rsid w:val="60311348"/>
    <w:rsid w:val="60975E6C"/>
    <w:rsid w:val="60DD4E54"/>
    <w:rsid w:val="60EC3212"/>
    <w:rsid w:val="6104250E"/>
    <w:rsid w:val="610D62B7"/>
    <w:rsid w:val="61D813BF"/>
    <w:rsid w:val="62D4689C"/>
    <w:rsid w:val="62D8060E"/>
    <w:rsid w:val="62F80DEE"/>
    <w:rsid w:val="62FC09F3"/>
    <w:rsid w:val="631270A2"/>
    <w:rsid w:val="632A3402"/>
    <w:rsid w:val="6335348C"/>
    <w:rsid w:val="63A97C89"/>
    <w:rsid w:val="64184C8C"/>
    <w:rsid w:val="647A5870"/>
    <w:rsid w:val="64805BBD"/>
    <w:rsid w:val="648C3F8C"/>
    <w:rsid w:val="6582678B"/>
    <w:rsid w:val="65EE51A2"/>
    <w:rsid w:val="660B06B9"/>
    <w:rsid w:val="66704597"/>
    <w:rsid w:val="667F09D4"/>
    <w:rsid w:val="6772334D"/>
    <w:rsid w:val="67847F11"/>
    <w:rsid w:val="67E10A0B"/>
    <w:rsid w:val="680C0733"/>
    <w:rsid w:val="681A7133"/>
    <w:rsid w:val="6838096D"/>
    <w:rsid w:val="68905180"/>
    <w:rsid w:val="68E637ED"/>
    <w:rsid w:val="693A30B2"/>
    <w:rsid w:val="695A5F00"/>
    <w:rsid w:val="69735414"/>
    <w:rsid w:val="69856E31"/>
    <w:rsid w:val="69ED1E23"/>
    <w:rsid w:val="6AEA0AF6"/>
    <w:rsid w:val="6B23631B"/>
    <w:rsid w:val="6B4C21EF"/>
    <w:rsid w:val="6B502890"/>
    <w:rsid w:val="6B5D7E8C"/>
    <w:rsid w:val="6BF14B1C"/>
    <w:rsid w:val="6C833762"/>
    <w:rsid w:val="6C870005"/>
    <w:rsid w:val="6CD63FDD"/>
    <w:rsid w:val="6CE853E4"/>
    <w:rsid w:val="6D282CA2"/>
    <w:rsid w:val="6D3651D9"/>
    <w:rsid w:val="6D3E2A81"/>
    <w:rsid w:val="6D674E80"/>
    <w:rsid w:val="6DAC0AE7"/>
    <w:rsid w:val="6DF27BBC"/>
    <w:rsid w:val="6E653DCB"/>
    <w:rsid w:val="6EAD5264"/>
    <w:rsid w:val="6ED31988"/>
    <w:rsid w:val="6EF040B3"/>
    <w:rsid w:val="6F20309A"/>
    <w:rsid w:val="701C070E"/>
    <w:rsid w:val="712335EA"/>
    <w:rsid w:val="71310B94"/>
    <w:rsid w:val="717C4F1E"/>
    <w:rsid w:val="71903C59"/>
    <w:rsid w:val="71F16F3E"/>
    <w:rsid w:val="72AA58EC"/>
    <w:rsid w:val="72C4130A"/>
    <w:rsid w:val="72DB3E7D"/>
    <w:rsid w:val="73474FC2"/>
    <w:rsid w:val="737D2865"/>
    <w:rsid w:val="73C16107"/>
    <w:rsid w:val="73EA4CF4"/>
    <w:rsid w:val="740D107B"/>
    <w:rsid w:val="740F3317"/>
    <w:rsid w:val="74663E55"/>
    <w:rsid w:val="74772E97"/>
    <w:rsid w:val="74F95404"/>
    <w:rsid w:val="75111E9E"/>
    <w:rsid w:val="75482575"/>
    <w:rsid w:val="7567257E"/>
    <w:rsid w:val="75683C3F"/>
    <w:rsid w:val="75795EBB"/>
    <w:rsid w:val="75A04B22"/>
    <w:rsid w:val="75C26A17"/>
    <w:rsid w:val="75D34606"/>
    <w:rsid w:val="76512412"/>
    <w:rsid w:val="76AF4C4E"/>
    <w:rsid w:val="76EB011A"/>
    <w:rsid w:val="77736979"/>
    <w:rsid w:val="778A3850"/>
    <w:rsid w:val="77C14E10"/>
    <w:rsid w:val="77C362DF"/>
    <w:rsid w:val="77D07534"/>
    <w:rsid w:val="77D2507E"/>
    <w:rsid w:val="783C720C"/>
    <w:rsid w:val="78CB6318"/>
    <w:rsid w:val="78DD18D6"/>
    <w:rsid w:val="790118AA"/>
    <w:rsid w:val="791D770B"/>
    <w:rsid w:val="793A0243"/>
    <w:rsid w:val="794C2FCD"/>
    <w:rsid w:val="795A17AF"/>
    <w:rsid w:val="79767240"/>
    <w:rsid w:val="797F35F9"/>
    <w:rsid w:val="79ED08FA"/>
    <w:rsid w:val="7A07105C"/>
    <w:rsid w:val="7A895BFC"/>
    <w:rsid w:val="7AC574E2"/>
    <w:rsid w:val="7B570BAB"/>
    <w:rsid w:val="7B6654BF"/>
    <w:rsid w:val="7B997290"/>
    <w:rsid w:val="7BA47C86"/>
    <w:rsid w:val="7C4349A7"/>
    <w:rsid w:val="7C4F7C82"/>
    <w:rsid w:val="7CB337D4"/>
    <w:rsid w:val="7D155E65"/>
    <w:rsid w:val="7D2C2E29"/>
    <w:rsid w:val="7D4F3817"/>
    <w:rsid w:val="7D956C94"/>
    <w:rsid w:val="7DE07011"/>
    <w:rsid w:val="7F885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qFormat="1"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9"/>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27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60"/>
    <w:qFormat/>
    <w:uiPriority w:val="0"/>
    <w:pPr>
      <w:keepNext/>
      <w:keepLines/>
      <w:spacing w:before="260" w:after="260" w:line="416" w:lineRule="auto"/>
      <w:outlineLvl w:val="2"/>
    </w:pPr>
    <w:rPr>
      <w:b/>
      <w:bCs/>
      <w:sz w:val="32"/>
      <w:szCs w:val="32"/>
    </w:rPr>
  </w:style>
  <w:style w:type="paragraph" w:styleId="5">
    <w:name w:val="heading 4"/>
    <w:basedOn w:val="1"/>
    <w:next w:val="1"/>
    <w:link w:val="25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11"/>
    <w:qFormat/>
    <w:uiPriority w:val="0"/>
    <w:pPr>
      <w:keepNext/>
      <w:keepLines/>
      <w:spacing w:before="280" w:after="290" w:line="376" w:lineRule="auto"/>
      <w:outlineLvl w:val="4"/>
    </w:pPr>
    <w:rPr>
      <w:b/>
      <w:bCs/>
      <w:sz w:val="28"/>
      <w:szCs w:val="28"/>
    </w:rPr>
  </w:style>
  <w:style w:type="paragraph" w:styleId="7">
    <w:name w:val="heading 6"/>
    <w:basedOn w:val="1"/>
    <w:next w:val="1"/>
    <w:link w:val="219"/>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226"/>
    <w:qFormat/>
    <w:uiPriority w:val="0"/>
    <w:pPr>
      <w:keepNext/>
      <w:keepLines/>
      <w:spacing w:before="240" w:after="64" w:line="320" w:lineRule="auto"/>
      <w:outlineLvl w:val="6"/>
    </w:pPr>
    <w:rPr>
      <w:b/>
      <w:bCs/>
      <w:sz w:val="24"/>
    </w:rPr>
  </w:style>
  <w:style w:type="paragraph" w:styleId="9">
    <w:name w:val="heading 8"/>
    <w:basedOn w:val="1"/>
    <w:next w:val="1"/>
    <w:link w:val="218"/>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232"/>
    <w:qFormat/>
    <w:uiPriority w:val="0"/>
    <w:pPr>
      <w:keepNext/>
      <w:keepLines/>
      <w:spacing w:before="240" w:after="64" w:line="320" w:lineRule="auto"/>
      <w:outlineLvl w:val="8"/>
    </w:pPr>
    <w:rPr>
      <w:rFonts w:ascii="Arial" w:hAnsi="Arial" w:eastAsia="黑体"/>
      <w:sz w:val="28"/>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1260"/>
      <w:jc w:val="left"/>
    </w:pPr>
    <w:rPr>
      <w:rFonts w:ascii="Calibri" w:hAnsi="Calibri"/>
      <w:sz w:val="18"/>
      <w:szCs w:val="18"/>
    </w:rPr>
  </w:style>
  <w:style w:type="paragraph" w:styleId="12">
    <w:name w:val="index 8"/>
    <w:basedOn w:val="1"/>
    <w:next w:val="1"/>
    <w:unhideWhenUsed/>
    <w:qFormat/>
    <w:uiPriority w:val="0"/>
    <w:pPr>
      <w:ind w:left="2940"/>
    </w:pPr>
  </w:style>
  <w:style w:type="paragraph" w:styleId="13">
    <w:name w:val="Normal Indent"/>
    <w:basedOn w:val="1"/>
    <w:link w:val="227"/>
    <w:qFormat/>
    <w:uiPriority w:val="0"/>
    <w:pPr>
      <w:ind w:firstLine="420"/>
    </w:pPr>
    <w:rPr>
      <w:szCs w:val="20"/>
    </w:rPr>
  </w:style>
  <w:style w:type="paragraph" w:styleId="14">
    <w:name w:val="Document Map"/>
    <w:basedOn w:val="1"/>
    <w:link w:val="207"/>
    <w:qFormat/>
    <w:uiPriority w:val="0"/>
    <w:pPr>
      <w:shd w:val="clear" w:color="auto" w:fill="000080"/>
    </w:pPr>
  </w:style>
  <w:style w:type="paragraph" w:styleId="15">
    <w:name w:val="annotation text"/>
    <w:basedOn w:val="1"/>
    <w:link w:val="230"/>
    <w:qFormat/>
    <w:uiPriority w:val="0"/>
    <w:pPr>
      <w:jc w:val="left"/>
    </w:pPr>
  </w:style>
  <w:style w:type="paragraph" w:styleId="16">
    <w:name w:val="Body Text 3"/>
    <w:basedOn w:val="1"/>
    <w:link w:val="253"/>
    <w:qFormat/>
    <w:uiPriority w:val="0"/>
    <w:rPr>
      <w:b/>
      <w:bCs/>
    </w:rPr>
  </w:style>
  <w:style w:type="paragraph" w:styleId="17">
    <w:name w:val="Body Text"/>
    <w:basedOn w:val="1"/>
    <w:link w:val="257"/>
    <w:qFormat/>
    <w:uiPriority w:val="0"/>
    <w:rPr>
      <w:rFonts w:ascii="金山简黑体" w:hAnsi="Courier New" w:eastAsia="金山简黑体"/>
      <w:b/>
      <w:spacing w:val="-8"/>
      <w:sz w:val="44"/>
      <w:szCs w:val="20"/>
    </w:rPr>
  </w:style>
  <w:style w:type="paragraph" w:styleId="18">
    <w:name w:val="Body Text Indent"/>
    <w:basedOn w:val="1"/>
    <w:link w:val="261"/>
    <w:qFormat/>
    <w:uiPriority w:val="0"/>
    <w:pPr>
      <w:spacing w:line="200" w:lineRule="exact"/>
      <w:ind w:firstLine="301"/>
    </w:pPr>
    <w:rPr>
      <w:rFonts w:ascii="宋体" w:hAnsi="Courier New"/>
      <w:spacing w:val="-4"/>
      <w:sz w:val="18"/>
      <w:szCs w:val="20"/>
    </w:rPr>
  </w:style>
  <w:style w:type="paragraph" w:styleId="19">
    <w:name w:val="List 2"/>
    <w:basedOn w:val="1"/>
    <w:qFormat/>
    <w:uiPriority w:val="0"/>
    <w:pPr>
      <w:ind w:left="100" w:leftChars="200" w:hanging="200" w:hangingChars="200"/>
    </w:pPr>
    <w:rPr>
      <w:rFonts w:ascii="宋体" w:hAnsi="Courier New"/>
      <w:szCs w:val="20"/>
    </w:rPr>
  </w:style>
  <w:style w:type="paragraph" w:styleId="20">
    <w:name w:val="Block Text"/>
    <w:basedOn w:val="1"/>
    <w:qFormat/>
    <w:uiPriority w:val="0"/>
    <w:pPr>
      <w:autoSpaceDE w:val="0"/>
      <w:autoSpaceDN w:val="0"/>
      <w:spacing w:line="500" w:lineRule="exact"/>
      <w:ind w:left="391" w:right="246"/>
    </w:pPr>
    <w:rPr>
      <w:rFonts w:ascii="仿宋_GB2312" w:eastAsia="仿宋_GB2312" w:cs="仿宋_GB2312"/>
      <w:sz w:val="24"/>
    </w:rPr>
  </w:style>
  <w:style w:type="paragraph" w:styleId="21">
    <w:name w:val="toc 5"/>
    <w:basedOn w:val="1"/>
    <w:next w:val="1"/>
    <w:unhideWhenUsed/>
    <w:qFormat/>
    <w:uiPriority w:val="0"/>
    <w:pPr>
      <w:ind w:left="840"/>
      <w:jc w:val="left"/>
    </w:pPr>
    <w:rPr>
      <w:rFonts w:ascii="Calibri" w:hAnsi="Calibri"/>
      <w:sz w:val="18"/>
      <w:szCs w:val="18"/>
    </w:rPr>
  </w:style>
  <w:style w:type="paragraph" w:styleId="22">
    <w:name w:val="toc 3"/>
    <w:basedOn w:val="1"/>
    <w:next w:val="1"/>
    <w:qFormat/>
    <w:uiPriority w:val="39"/>
    <w:pPr>
      <w:ind w:left="840" w:leftChars="400"/>
    </w:pPr>
  </w:style>
  <w:style w:type="paragraph" w:styleId="23">
    <w:name w:val="Plain Text"/>
    <w:basedOn w:val="1"/>
    <w:next w:val="12"/>
    <w:link w:val="231"/>
    <w:qFormat/>
    <w:uiPriority w:val="0"/>
    <w:rPr>
      <w:rFonts w:ascii="宋体" w:hAnsi="Courier New"/>
      <w:szCs w:val="20"/>
    </w:rPr>
  </w:style>
  <w:style w:type="paragraph" w:styleId="24">
    <w:name w:val="toc 8"/>
    <w:basedOn w:val="1"/>
    <w:next w:val="1"/>
    <w:unhideWhenUsed/>
    <w:qFormat/>
    <w:uiPriority w:val="0"/>
    <w:pPr>
      <w:ind w:left="1470"/>
      <w:jc w:val="left"/>
    </w:pPr>
    <w:rPr>
      <w:rFonts w:ascii="Calibri" w:hAnsi="Calibri"/>
      <w:sz w:val="18"/>
      <w:szCs w:val="18"/>
    </w:rPr>
  </w:style>
  <w:style w:type="paragraph" w:styleId="25">
    <w:name w:val="Date"/>
    <w:basedOn w:val="1"/>
    <w:next w:val="1"/>
    <w:link w:val="271"/>
    <w:qFormat/>
    <w:uiPriority w:val="0"/>
    <w:pPr>
      <w:ind w:left="100" w:leftChars="2500"/>
    </w:pPr>
    <w:rPr>
      <w:rFonts w:ascii="宋体" w:hAnsi="Courier New"/>
      <w:bCs/>
      <w:sz w:val="24"/>
      <w:szCs w:val="20"/>
    </w:rPr>
  </w:style>
  <w:style w:type="paragraph" w:styleId="26">
    <w:name w:val="Body Text Indent 2"/>
    <w:basedOn w:val="1"/>
    <w:link w:val="274"/>
    <w:qFormat/>
    <w:uiPriority w:val="0"/>
    <w:pPr>
      <w:ind w:firstLine="412" w:firstLineChars="196"/>
    </w:pPr>
  </w:style>
  <w:style w:type="paragraph" w:styleId="27">
    <w:name w:val="Balloon Text"/>
    <w:basedOn w:val="1"/>
    <w:link w:val="208"/>
    <w:qFormat/>
    <w:uiPriority w:val="0"/>
    <w:rPr>
      <w:sz w:val="18"/>
      <w:szCs w:val="18"/>
    </w:rPr>
  </w:style>
  <w:style w:type="paragraph" w:styleId="28">
    <w:name w:val="footer"/>
    <w:basedOn w:val="1"/>
    <w:link w:val="266"/>
    <w:qFormat/>
    <w:uiPriority w:val="0"/>
    <w:pPr>
      <w:tabs>
        <w:tab w:val="center" w:pos="4153"/>
        <w:tab w:val="right" w:pos="8306"/>
      </w:tabs>
      <w:snapToGrid w:val="0"/>
      <w:jc w:val="left"/>
    </w:pPr>
    <w:rPr>
      <w:sz w:val="18"/>
      <w:szCs w:val="18"/>
    </w:rPr>
  </w:style>
  <w:style w:type="paragraph" w:styleId="29">
    <w:name w:val="header"/>
    <w:basedOn w:val="1"/>
    <w:link w:val="268"/>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unhideWhenUsed/>
    <w:qFormat/>
    <w:uiPriority w:val="0"/>
    <w:pPr>
      <w:ind w:left="630"/>
      <w:jc w:val="left"/>
    </w:pPr>
    <w:rPr>
      <w:rFonts w:ascii="Calibri" w:hAnsi="Calibri"/>
      <w:sz w:val="18"/>
      <w:szCs w:val="18"/>
    </w:rPr>
  </w:style>
  <w:style w:type="paragraph" w:styleId="32">
    <w:name w:val="toc 6"/>
    <w:basedOn w:val="1"/>
    <w:next w:val="1"/>
    <w:unhideWhenUsed/>
    <w:qFormat/>
    <w:uiPriority w:val="0"/>
    <w:pPr>
      <w:ind w:left="1050"/>
      <w:jc w:val="left"/>
    </w:pPr>
    <w:rPr>
      <w:rFonts w:ascii="Calibri" w:hAnsi="Calibri"/>
      <w:sz w:val="18"/>
      <w:szCs w:val="18"/>
    </w:rPr>
  </w:style>
  <w:style w:type="paragraph" w:styleId="33">
    <w:name w:val="Body Text Indent 3"/>
    <w:basedOn w:val="1"/>
    <w:link w:val="233"/>
    <w:qFormat/>
    <w:uiPriority w:val="0"/>
    <w:pPr>
      <w:ind w:firstLine="420"/>
    </w:pPr>
    <w:rPr>
      <w:color w:val="000000"/>
    </w:rPr>
  </w:style>
  <w:style w:type="paragraph" w:styleId="34">
    <w:name w:val="toc 2"/>
    <w:basedOn w:val="1"/>
    <w:next w:val="1"/>
    <w:qFormat/>
    <w:uiPriority w:val="39"/>
    <w:pPr>
      <w:ind w:left="420" w:leftChars="200"/>
    </w:pPr>
  </w:style>
  <w:style w:type="paragraph" w:styleId="35">
    <w:name w:val="toc 9"/>
    <w:basedOn w:val="1"/>
    <w:next w:val="1"/>
    <w:unhideWhenUsed/>
    <w:qFormat/>
    <w:uiPriority w:val="0"/>
    <w:pPr>
      <w:ind w:left="1680"/>
      <w:jc w:val="left"/>
    </w:pPr>
    <w:rPr>
      <w:rFonts w:ascii="Calibri" w:hAnsi="Calibri"/>
      <w:sz w:val="18"/>
      <w:szCs w:val="18"/>
    </w:rPr>
  </w:style>
  <w:style w:type="paragraph" w:styleId="36">
    <w:name w:val="Body Text 2"/>
    <w:basedOn w:val="1"/>
    <w:link w:val="250"/>
    <w:qFormat/>
    <w:uiPriority w:val="0"/>
    <w:pPr>
      <w:jc w:val="center"/>
    </w:pPr>
    <w:rPr>
      <w:rFonts w:ascii="宋体" w:hAnsi="宋体"/>
      <w:color w:val="0000FF"/>
      <w:szCs w:val="18"/>
    </w:rPr>
  </w:style>
  <w:style w:type="paragraph" w:styleId="37">
    <w:name w:val="List 4"/>
    <w:basedOn w:val="1"/>
    <w:qFormat/>
    <w:uiPriority w:val="0"/>
    <w:pPr>
      <w:ind w:left="100" w:leftChars="600" w:hanging="200" w:hangingChars="200"/>
    </w:pPr>
  </w:style>
  <w:style w:type="paragraph" w:styleId="38">
    <w:name w:val="HTML Preformatted"/>
    <w:basedOn w:val="1"/>
    <w:link w:val="2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39">
    <w:name w:val="Normal (Web)"/>
    <w:basedOn w:val="1"/>
    <w:qFormat/>
    <w:uiPriority w:val="99"/>
    <w:pPr>
      <w:spacing w:line="360" w:lineRule="auto"/>
    </w:pPr>
    <w:rPr>
      <w:rFonts w:eastAsia="仿宋_GB2312"/>
      <w:sz w:val="24"/>
    </w:rPr>
  </w:style>
  <w:style w:type="paragraph" w:styleId="40">
    <w:name w:val="index 1"/>
    <w:basedOn w:val="1"/>
    <w:next w:val="1"/>
    <w:qFormat/>
    <w:uiPriority w:val="0"/>
    <w:pPr>
      <w:spacing w:line="240" w:lineRule="exact"/>
      <w:ind w:firstLine="420" w:firstLineChars="200"/>
    </w:pPr>
    <w:rPr>
      <w:rFonts w:ascii="宋体" w:hAnsi="宋体"/>
      <w:bCs/>
      <w:szCs w:val="21"/>
    </w:rPr>
  </w:style>
  <w:style w:type="paragraph" w:styleId="41">
    <w:name w:val="Title"/>
    <w:basedOn w:val="1"/>
    <w:next w:val="1"/>
    <w:link w:val="222"/>
    <w:qFormat/>
    <w:uiPriority w:val="0"/>
    <w:pPr>
      <w:spacing w:before="240" w:after="60"/>
      <w:jc w:val="center"/>
      <w:outlineLvl w:val="0"/>
    </w:pPr>
    <w:rPr>
      <w:rFonts w:ascii="Cambria" w:hAnsi="Cambria"/>
      <w:b/>
      <w:bCs/>
      <w:sz w:val="32"/>
      <w:szCs w:val="32"/>
    </w:rPr>
  </w:style>
  <w:style w:type="paragraph" w:styleId="42">
    <w:name w:val="annotation subject"/>
    <w:basedOn w:val="15"/>
    <w:next w:val="15"/>
    <w:link w:val="236"/>
    <w:qFormat/>
    <w:uiPriority w:val="0"/>
  </w:style>
  <w:style w:type="paragraph" w:styleId="43">
    <w:name w:val="Body Text First Indent"/>
    <w:basedOn w:val="1"/>
    <w:link w:val="286"/>
    <w:qFormat/>
    <w:uiPriority w:val="0"/>
    <w:pPr>
      <w:spacing w:after="120" w:line="360" w:lineRule="exact"/>
      <w:ind w:left="400" w:leftChars="400" w:firstLine="420" w:firstLineChars="100"/>
    </w:pPr>
    <w:rPr>
      <w:rFonts w:eastAsia="楷体_GB2312"/>
      <w:sz w:val="24"/>
    </w:rPr>
  </w:style>
  <w:style w:type="table" w:styleId="45">
    <w:name w:val="Table Grid"/>
    <w:basedOn w:val="4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99"/>
  </w:style>
  <w:style w:type="character" w:styleId="49">
    <w:name w:val="FollowedHyperlink"/>
    <w:qFormat/>
    <w:uiPriority w:val="0"/>
    <w:rPr>
      <w:color w:val="800080"/>
      <w:u w:val="none"/>
    </w:rPr>
  </w:style>
  <w:style w:type="character" w:styleId="50">
    <w:name w:val="Emphasis"/>
    <w:qFormat/>
    <w:uiPriority w:val="0"/>
    <w:rPr>
      <w:color w:val="CC0000"/>
    </w:rPr>
  </w:style>
  <w:style w:type="character" w:styleId="51">
    <w:name w:val="line number"/>
    <w:basedOn w:val="46"/>
    <w:qFormat/>
    <w:uiPriority w:val="0"/>
  </w:style>
  <w:style w:type="character" w:styleId="52">
    <w:name w:val="HTML Definition"/>
    <w:unhideWhenUsed/>
    <w:qFormat/>
    <w:uiPriority w:val="0"/>
  </w:style>
  <w:style w:type="character" w:styleId="53">
    <w:name w:val="HTML Typewriter"/>
    <w:unhideWhenUsed/>
    <w:qFormat/>
    <w:uiPriority w:val="0"/>
    <w:rPr>
      <w:rFonts w:ascii="monospace" w:hAnsi="monospace" w:eastAsia="monospace" w:cs="monospace"/>
      <w:sz w:val="20"/>
    </w:rPr>
  </w:style>
  <w:style w:type="character" w:styleId="54">
    <w:name w:val="HTML Acronym"/>
    <w:basedOn w:val="46"/>
    <w:unhideWhenUsed/>
    <w:qFormat/>
    <w:uiPriority w:val="0"/>
  </w:style>
  <w:style w:type="character" w:styleId="55">
    <w:name w:val="HTML Variable"/>
    <w:unhideWhenUsed/>
    <w:qFormat/>
    <w:uiPriority w:val="0"/>
  </w:style>
  <w:style w:type="character" w:styleId="56">
    <w:name w:val="Hyperlink"/>
    <w:qFormat/>
    <w:uiPriority w:val="99"/>
    <w:rPr>
      <w:rFonts w:hint="default" w:ascii="Arial" w:hAnsi="Arial" w:cs="Arial"/>
      <w:color w:val="003399"/>
      <w:sz w:val="18"/>
      <w:szCs w:val="18"/>
      <w:u w:val="none"/>
    </w:rPr>
  </w:style>
  <w:style w:type="character" w:styleId="57">
    <w:name w:val="HTML Code"/>
    <w:unhideWhenUsed/>
    <w:qFormat/>
    <w:uiPriority w:val="0"/>
    <w:rPr>
      <w:rFonts w:hint="default" w:ascii="monospace" w:hAnsi="monospace" w:eastAsia="monospace" w:cs="monospace"/>
      <w:sz w:val="20"/>
    </w:rPr>
  </w:style>
  <w:style w:type="character" w:styleId="58">
    <w:name w:val="annotation reference"/>
    <w:qFormat/>
    <w:uiPriority w:val="0"/>
    <w:rPr>
      <w:sz w:val="21"/>
      <w:szCs w:val="21"/>
    </w:rPr>
  </w:style>
  <w:style w:type="character" w:styleId="59">
    <w:name w:val="HTML Cite"/>
    <w:unhideWhenUsed/>
    <w:qFormat/>
    <w:uiPriority w:val="0"/>
  </w:style>
  <w:style w:type="character" w:styleId="60">
    <w:name w:val="HTML Keyboard"/>
    <w:unhideWhenUsed/>
    <w:qFormat/>
    <w:uiPriority w:val="0"/>
    <w:rPr>
      <w:rFonts w:hint="default" w:ascii="monospace" w:hAnsi="monospace" w:eastAsia="monospace" w:cs="monospace"/>
      <w:sz w:val="20"/>
    </w:rPr>
  </w:style>
  <w:style w:type="character" w:styleId="61">
    <w:name w:val="HTML Sample"/>
    <w:unhideWhenUsed/>
    <w:qFormat/>
    <w:uiPriority w:val="0"/>
    <w:rPr>
      <w:rFonts w:hint="default" w:ascii="monospace" w:hAnsi="monospace" w:eastAsia="monospace" w:cs="monospace"/>
    </w:rPr>
  </w:style>
  <w:style w:type="paragraph" w:customStyle="1" w:styleId="62">
    <w:name w:val="font7"/>
    <w:basedOn w:val="1"/>
    <w:qFormat/>
    <w:uiPriority w:val="0"/>
    <w:pPr>
      <w:widowControl/>
      <w:spacing w:before="100" w:beforeAutospacing="1" w:after="100" w:afterAutospacing="1"/>
      <w:jc w:val="left"/>
    </w:pPr>
    <w:rPr>
      <w:rFonts w:hint="eastAsia" w:ascii="宋体" w:hAnsi="宋体" w:cs="Arial Unicode MS"/>
      <w:color w:val="000000"/>
      <w:kern w:val="0"/>
      <w:sz w:val="18"/>
      <w:szCs w:val="18"/>
    </w:rPr>
  </w:style>
  <w:style w:type="paragraph" w:customStyle="1" w:styleId="63">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64">
    <w:name w:val="Char Char1 Char Char Char Char Char Char"/>
    <w:basedOn w:val="1"/>
    <w:qFormat/>
    <w:uiPriority w:val="0"/>
    <w:pPr>
      <w:widowControl/>
      <w:adjustRightInd w:val="0"/>
      <w:snapToGrid w:val="0"/>
      <w:spacing w:beforeLines="25" w:line="240" w:lineRule="exact"/>
      <w:ind w:firstLine="560" w:firstLineChars="192"/>
      <w:jc w:val="left"/>
    </w:pPr>
    <w:rPr>
      <w:szCs w:val="20"/>
    </w:rPr>
  </w:style>
  <w:style w:type="paragraph" w:customStyle="1" w:styleId="65">
    <w:name w:val="font9"/>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66">
    <w:name w:val="正文（雅黑四号）"/>
    <w:basedOn w:val="1"/>
    <w:link w:val="282"/>
    <w:qFormat/>
    <w:uiPriority w:val="0"/>
    <w:pPr>
      <w:autoSpaceDE w:val="0"/>
      <w:autoSpaceDN w:val="0"/>
      <w:adjustRightInd w:val="0"/>
      <w:spacing w:line="240" w:lineRule="atLeast"/>
      <w:ind w:firstLine="200" w:firstLineChars="200"/>
      <w:jc w:val="left"/>
    </w:pPr>
    <w:rPr>
      <w:rFonts w:ascii="微软雅黑" w:hAnsi="微软雅黑" w:eastAsia="微软雅黑"/>
      <w:kern w:val="0"/>
      <w:sz w:val="24"/>
      <w:szCs w:val="28"/>
    </w:rPr>
  </w:style>
  <w:style w:type="paragraph" w:customStyle="1" w:styleId="6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69">
    <w:name w:val="font11"/>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70">
    <w:name w:val="表格"/>
    <w:basedOn w:val="1"/>
    <w:qFormat/>
    <w:uiPriority w:val="0"/>
    <w:pPr>
      <w:spacing w:line="400" w:lineRule="exact"/>
    </w:pPr>
    <w:rPr>
      <w:sz w:val="24"/>
    </w:rPr>
  </w:style>
  <w:style w:type="paragraph" w:customStyle="1" w:styleId="71">
    <w:name w:val="Char Char Char Char Char Char"/>
    <w:basedOn w:val="1"/>
    <w:qFormat/>
    <w:uiPriority w:val="0"/>
    <w:rPr>
      <w:rFonts w:ascii="仿宋_GB2312" w:eastAsia="仿宋_GB2312" w:cs="仿宋_GB2312"/>
      <w:b/>
      <w:bCs/>
      <w:sz w:val="32"/>
      <w:szCs w:val="32"/>
    </w:rPr>
  </w:style>
  <w:style w:type="paragraph" w:customStyle="1" w:styleId="7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7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74">
    <w:name w:val="正文文本缩进 31"/>
    <w:basedOn w:val="1"/>
    <w:link w:val="221"/>
    <w:qFormat/>
    <w:uiPriority w:val="0"/>
    <w:pPr>
      <w:spacing w:after="120"/>
      <w:ind w:left="420" w:leftChars="200"/>
    </w:pPr>
    <w:rPr>
      <w:kern w:val="0"/>
      <w:sz w:val="16"/>
      <w:szCs w:val="16"/>
    </w:rPr>
  </w:style>
  <w:style w:type="paragraph" w:customStyle="1" w:styleId="75">
    <w:name w:val="纯文本1"/>
    <w:basedOn w:val="1"/>
    <w:qFormat/>
    <w:uiPriority w:val="0"/>
    <w:rPr>
      <w:rFonts w:ascii="宋体" w:hAnsi="Courier New"/>
      <w:szCs w:val="22"/>
    </w:rPr>
  </w:style>
  <w:style w:type="paragraph" w:customStyle="1" w:styleId="76">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7">
    <w:name w:val="Table Paragraph"/>
    <w:basedOn w:val="1"/>
    <w:qFormat/>
    <w:uiPriority w:val="1"/>
    <w:pPr>
      <w:jc w:val="left"/>
    </w:pPr>
    <w:rPr>
      <w:rFonts w:ascii="宋体" w:hAnsi="宋体" w:cs="宋体"/>
      <w:kern w:val="0"/>
      <w:sz w:val="22"/>
      <w:szCs w:val="22"/>
      <w:lang w:eastAsia="en-US"/>
    </w:rPr>
  </w:style>
  <w:style w:type="paragraph" w:customStyle="1" w:styleId="7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79">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Unicode MS" w:hAnsi="Arial Unicode MS"/>
      <w:kern w:val="0"/>
      <w:sz w:val="20"/>
      <w:szCs w:val="20"/>
    </w:rPr>
  </w:style>
  <w:style w:type="paragraph" w:customStyle="1" w:styleId="80">
    <w:name w:val="Char Char Char1 Char Char Char Char"/>
    <w:basedOn w:val="14"/>
    <w:qFormat/>
    <w:uiPriority w:val="0"/>
    <w:pPr>
      <w:spacing w:line="360" w:lineRule="auto"/>
    </w:pPr>
    <w:rPr>
      <w:sz w:val="24"/>
      <w:szCs w:val="20"/>
    </w:rPr>
  </w:style>
  <w:style w:type="paragraph" w:customStyle="1" w:styleId="81">
    <w:name w:val="font18"/>
    <w:basedOn w:val="1"/>
    <w:qFormat/>
    <w:uiPriority w:val="0"/>
    <w:pPr>
      <w:widowControl/>
      <w:spacing w:before="100" w:beforeAutospacing="1" w:after="100" w:afterAutospacing="1"/>
      <w:jc w:val="left"/>
    </w:pPr>
    <w:rPr>
      <w:rFonts w:hint="eastAsia" w:ascii="仿宋_GB2312" w:hAnsi="Arial Unicode MS" w:eastAsia="仿宋_GB2312"/>
      <w:color w:val="FF0000"/>
      <w:kern w:val="0"/>
      <w:sz w:val="20"/>
      <w:szCs w:val="20"/>
    </w:rPr>
  </w:style>
  <w:style w:type="paragraph" w:customStyle="1" w:styleId="82">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b/>
      <w:bCs/>
      <w:kern w:val="0"/>
      <w:sz w:val="20"/>
      <w:szCs w:val="20"/>
    </w:rPr>
  </w:style>
  <w:style w:type="paragraph" w:customStyle="1" w:styleId="84">
    <w:name w:val="pa-1"/>
    <w:basedOn w:val="1"/>
    <w:qFormat/>
    <w:uiPriority w:val="0"/>
    <w:pPr>
      <w:widowControl/>
      <w:spacing w:line="240" w:lineRule="atLeast"/>
    </w:pPr>
    <w:rPr>
      <w:rFonts w:ascii="宋体" w:hAnsi="宋体" w:cs="宋体"/>
      <w:kern w:val="0"/>
      <w:sz w:val="24"/>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86">
    <w:name w:val="px12black"/>
    <w:basedOn w:val="1"/>
    <w:qFormat/>
    <w:uiPriority w:val="0"/>
    <w:pPr>
      <w:widowControl/>
      <w:spacing w:before="100" w:beforeAutospacing="1" w:after="100" w:afterAutospacing="1"/>
      <w:jc w:val="left"/>
    </w:pPr>
    <w:rPr>
      <w:rFonts w:ascii="宋体" w:hAnsi="宋体" w:cs="宋体"/>
      <w:sz w:val="24"/>
    </w:rPr>
  </w:style>
  <w:style w:type="paragraph" w:customStyle="1" w:styleId="87">
    <w:name w:val="A正文小四"/>
    <w:basedOn w:val="1"/>
    <w:link w:val="205"/>
    <w:qFormat/>
    <w:uiPriority w:val="0"/>
    <w:pPr>
      <w:spacing w:line="360" w:lineRule="auto"/>
      <w:ind w:firstLine="200" w:firstLineChars="200"/>
    </w:pPr>
    <w:rPr>
      <w:sz w:val="24"/>
    </w:rPr>
  </w:style>
  <w:style w:type="paragraph" w:customStyle="1" w:styleId="8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89">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9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92">
    <w:name w:val="Char Char"/>
    <w:basedOn w:val="1"/>
    <w:qFormat/>
    <w:uiPriority w:val="0"/>
    <w:rPr>
      <w:rFonts w:ascii="仿宋_GB2312" w:eastAsia="仿宋_GB2312"/>
      <w:b/>
      <w:sz w:val="32"/>
      <w:szCs w:val="32"/>
    </w:rPr>
  </w:style>
  <w:style w:type="paragraph" w:customStyle="1" w:styleId="93">
    <w:name w:val="列出段落11"/>
    <w:basedOn w:val="1"/>
    <w:qFormat/>
    <w:uiPriority w:val="0"/>
    <w:pPr>
      <w:ind w:firstLine="420" w:firstLineChars="200"/>
    </w:pPr>
    <w:rPr>
      <w:szCs w:val="21"/>
    </w:rPr>
  </w:style>
  <w:style w:type="paragraph" w:customStyle="1" w:styleId="94">
    <w:name w:val="方案正文"/>
    <w:basedOn w:val="1"/>
    <w:link w:val="255"/>
    <w:qFormat/>
    <w:uiPriority w:val="0"/>
    <w:pPr>
      <w:spacing w:line="360" w:lineRule="auto"/>
      <w:ind w:firstLine="420"/>
      <w:jc w:val="left"/>
    </w:pPr>
    <w:rPr>
      <w:rFonts w:eastAsia="仿宋_GB2312"/>
      <w:sz w:val="24"/>
      <w:szCs w:val="20"/>
    </w:rPr>
  </w:style>
  <w:style w:type="paragraph" w:customStyle="1" w:styleId="9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9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9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00">
    <w:name w:val="xl92"/>
    <w:basedOn w:val="1"/>
    <w:qFormat/>
    <w:uiPriority w:val="0"/>
    <w:pPr>
      <w:widowControl/>
      <w:spacing w:before="100" w:beforeAutospacing="1" w:after="100" w:afterAutospacing="1"/>
      <w:jc w:val="center"/>
    </w:pPr>
    <w:rPr>
      <w:rFonts w:ascii="新宋体" w:hAnsi="新宋体" w:eastAsia="新宋体" w:cs="宋体"/>
      <w:b/>
      <w:bCs/>
      <w:kern w:val="0"/>
      <w:sz w:val="36"/>
      <w:szCs w:val="36"/>
    </w:rPr>
  </w:style>
  <w:style w:type="paragraph" w:customStyle="1" w:styleId="101">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102">
    <w:name w:val="标题 61"/>
    <w:basedOn w:val="1"/>
    <w:qFormat/>
    <w:uiPriority w:val="1"/>
    <w:pPr>
      <w:ind w:left="148" w:right="144"/>
      <w:jc w:val="left"/>
      <w:outlineLvl w:val="6"/>
    </w:pPr>
    <w:rPr>
      <w:rFonts w:ascii="微软雅黑" w:hAnsi="微软雅黑" w:eastAsia="微软雅黑" w:cs="微软雅黑"/>
      <w:b/>
      <w:bCs/>
      <w:kern w:val="0"/>
      <w:sz w:val="24"/>
      <w:lang w:eastAsia="en-US"/>
    </w:rPr>
  </w:style>
  <w:style w:type="paragraph" w:customStyle="1" w:styleId="10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4">
    <w:name w:val="Char Char Char2"/>
    <w:basedOn w:val="1"/>
    <w:qFormat/>
    <w:uiPriority w:val="0"/>
    <w:rPr>
      <w:rFonts w:ascii="Tahoma" w:hAnsi="Tahoma"/>
      <w:sz w:val="24"/>
      <w:szCs w:val="20"/>
    </w:rPr>
  </w:style>
  <w:style w:type="paragraph" w:customStyle="1" w:styleId="10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纯文本11"/>
    <w:basedOn w:val="1"/>
    <w:next w:val="1"/>
    <w:qFormat/>
    <w:uiPriority w:val="0"/>
    <w:pPr>
      <w:shd w:val="clear" w:color="auto" w:fill="FFFFFF"/>
      <w:autoSpaceDE w:val="0"/>
      <w:autoSpaceDN w:val="0"/>
      <w:adjustRightInd w:val="0"/>
      <w:jc w:val="left"/>
    </w:pPr>
    <w:rPr>
      <w:rFonts w:ascii="Arial" w:hAnsi="Arial" w:cs="Arial"/>
      <w:kern w:val="0"/>
      <w:sz w:val="20"/>
      <w:szCs w:val="20"/>
      <w:shd w:val="clear" w:color="auto" w:fill="FFFFFF"/>
    </w:rPr>
  </w:style>
  <w:style w:type="paragraph" w:customStyle="1" w:styleId="107">
    <w:name w:val="-"/>
    <w:basedOn w:val="1"/>
    <w:qFormat/>
    <w:uiPriority w:val="0"/>
    <w:pPr>
      <w:spacing w:line="360" w:lineRule="auto"/>
    </w:pPr>
    <w:rPr>
      <w:rFonts w:ascii="Arial" w:hAnsi="Arial" w:cs="Arial"/>
      <w:b/>
      <w:bCs/>
      <w:sz w:val="24"/>
      <w:szCs w:val="32"/>
    </w:rPr>
  </w:style>
  <w:style w:type="paragraph" w:customStyle="1" w:styleId="108">
    <w:name w:val="Char1 Char Char Char Char Char Char"/>
    <w:basedOn w:val="1"/>
    <w:qFormat/>
    <w:uiPriority w:val="0"/>
    <w:rPr>
      <w:rFonts w:ascii="Tahoma" w:hAnsi="Tahoma"/>
      <w:sz w:val="24"/>
      <w:szCs w:val="20"/>
    </w:rPr>
  </w:style>
  <w:style w:type="paragraph" w:customStyle="1" w:styleId="109">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
    <w:name w:val="Char Char Char1"/>
    <w:basedOn w:val="1"/>
    <w:qFormat/>
    <w:uiPriority w:val="0"/>
    <w:rPr>
      <w:rFonts w:ascii="Tahoma" w:hAnsi="Tahoma" w:cs="宋体"/>
      <w:sz w:val="24"/>
    </w:rPr>
  </w:style>
  <w:style w:type="paragraph" w:customStyle="1" w:styleId="11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12">
    <w:name w:val="font8"/>
    <w:basedOn w:val="1"/>
    <w:qFormat/>
    <w:uiPriority w:val="0"/>
    <w:pPr>
      <w:widowControl/>
      <w:spacing w:before="100" w:beforeAutospacing="1" w:after="100" w:afterAutospacing="1"/>
      <w:jc w:val="left"/>
    </w:pPr>
    <w:rPr>
      <w:rFonts w:hint="eastAsia" w:ascii="仿宋_GB2312" w:hAnsi="Arial Unicode MS" w:eastAsia="仿宋_GB2312"/>
      <w:kern w:val="0"/>
      <w:sz w:val="20"/>
      <w:szCs w:val="20"/>
    </w:rPr>
  </w:style>
  <w:style w:type="paragraph" w:customStyle="1" w:styleId="113">
    <w:name w:val="Char Char Char Char Char Char Char"/>
    <w:basedOn w:val="1"/>
    <w:qFormat/>
    <w:uiPriority w:val="0"/>
    <w:rPr>
      <w:szCs w:val="20"/>
    </w:rPr>
  </w:style>
  <w:style w:type="paragraph" w:customStyle="1" w:styleId="11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1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6">
    <w:name w:val="正文（绿盟科技）"/>
    <w:qFormat/>
    <w:uiPriority w:val="0"/>
    <w:pPr>
      <w:spacing w:line="300" w:lineRule="auto"/>
    </w:pPr>
    <w:rPr>
      <w:rFonts w:ascii="Arial" w:hAnsi="Arial" w:eastAsia="宋体" w:cs="宋体"/>
      <w:sz w:val="21"/>
      <w:szCs w:val="21"/>
      <w:lang w:val="en-US" w:eastAsia="zh-CN" w:bidi="ar-SA"/>
    </w:rPr>
  </w:style>
  <w:style w:type="paragraph" w:customStyle="1" w:styleId="117">
    <w:name w:val="font17"/>
    <w:basedOn w:val="1"/>
    <w:qFormat/>
    <w:uiPriority w:val="0"/>
    <w:pPr>
      <w:widowControl/>
      <w:spacing w:before="100" w:beforeAutospacing="1" w:after="100" w:afterAutospacing="1"/>
      <w:jc w:val="left"/>
    </w:pPr>
    <w:rPr>
      <w:rFonts w:ascii="Arial" w:hAnsi="Arial" w:cs="Arial"/>
      <w:color w:val="FF0000"/>
      <w:kern w:val="0"/>
      <w:sz w:val="20"/>
      <w:szCs w:val="20"/>
    </w:rPr>
  </w:style>
  <w:style w:type="paragraph" w:customStyle="1" w:styleId="118">
    <w:name w:val="font10"/>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19">
    <w:name w:val="标题 21"/>
    <w:basedOn w:val="1"/>
    <w:qFormat/>
    <w:uiPriority w:val="1"/>
    <w:pPr>
      <w:spacing w:before="1"/>
      <w:ind w:left="148" w:right="144"/>
      <w:jc w:val="left"/>
      <w:outlineLvl w:val="2"/>
    </w:pPr>
    <w:rPr>
      <w:rFonts w:ascii="宋体" w:hAnsi="宋体" w:cs="宋体"/>
      <w:kern w:val="0"/>
      <w:sz w:val="32"/>
      <w:szCs w:val="32"/>
      <w:lang w:eastAsia="en-US"/>
    </w:rPr>
  </w:style>
  <w:style w:type="paragraph" w:customStyle="1" w:styleId="120">
    <w:name w:val="font16"/>
    <w:basedOn w:val="1"/>
    <w:qFormat/>
    <w:uiPriority w:val="0"/>
    <w:pPr>
      <w:widowControl/>
      <w:spacing w:before="100" w:beforeAutospacing="1" w:after="100" w:afterAutospacing="1"/>
      <w:jc w:val="left"/>
    </w:pPr>
    <w:rPr>
      <w:color w:val="FF0000"/>
      <w:kern w:val="0"/>
      <w:sz w:val="20"/>
      <w:szCs w:val="20"/>
    </w:rPr>
  </w:style>
  <w:style w:type="paragraph" w:customStyle="1" w:styleId="121">
    <w:name w:val="0"/>
    <w:basedOn w:val="1"/>
    <w:qFormat/>
    <w:uiPriority w:val="0"/>
    <w:pPr>
      <w:widowControl/>
      <w:snapToGrid w:val="0"/>
      <w:spacing w:line="365" w:lineRule="atLeast"/>
      <w:ind w:left="1"/>
      <w:textAlignment w:val="bottom"/>
    </w:pPr>
    <w:rPr>
      <w:kern w:val="0"/>
      <w:sz w:val="20"/>
      <w:szCs w:val="20"/>
    </w:rPr>
  </w:style>
  <w:style w:type="paragraph" w:customStyle="1" w:styleId="122">
    <w:name w:val="font15"/>
    <w:basedOn w:val="1"/>
    <w:qFormat/>
    <w:uiPriority w:val="0"/>
    <w:pPr>
      <w:widowControl/>
      <w:spacing w:before="100" w:beforeAutospacing="1" w:after="100" w:afterAutospacing="1"/>
      <w:jc w:val="left"/>
    </w:pPr>
    <w:rPr>
      <w:b/>
      <w:bCs/>
      <w:color w:val="000000"/>
      <w:kern w:val="0"/>
      <w:sz w:val="20"/>
      <w:szCs w:val="20"/>
    </w:rPr>
  </w:style>
  <w:style w:type="paragraph" w:customStyle="1" w:styleId="123">
    <w:name w:val="List Paragraph1"/>
    <w:basedOn w:val="1"/>
    <w:qFormat/>
    <w:uiPriority w:val="0"/>
    <w:pPr>
      <w:ind w:firstLine="420" w:firstLineChars="200"/>
    </w:pPr>
    <w:rPr>
      <w:rFonts w:ascii="Calibri" w:hAnsi="Calibri" w:cs="Calibri"/>
      <w:szCs w:val="21"/>
    </w:rPr>
  </w:style>
  <w:style w:type="paragraph" w:customStyle="1" w:styleId="124">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7">
    <w:name w:val="p0"/>
    <w:basedOn w:val="1"/>
    <w:qFormat/>
    <w:uiPriority w:val="0"/>
    <w:pPr>
      <w:widowControl/>
    </w:pPr>
    <w:rPr>
      <w:rFonts w:hint="eastAsia"/>
      <w:szCs w:val="20"/>
    </w:rPr>
  </w:style>
  <w:style w:type="paragraph" w:customStyle="1" w:styleId="128">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2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30">
    <w:name w:val="Char Char Char Char Char Char1 Char"/>
    <w:basedOn w:val="14"/>
    <w:qFormat/>
    <w:uiPriority w:val="0"/>
    <w:rPr>
      <w:rFonts w:ascii="Tahoma" w:hAnsi="Tahoma"/>
      <w:sz w:val="24"/>
    </w:rPr>
  </w:style>
  <w:style w:type="paragraph" w:customStyle="1" w:styleId="131">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20"/>
      <w:szCs w:val="20"/>
    </w:rPr>
  </w:style>
  <w:style w:type="paragraph" w:customStyle="1" w:styleId="133">
    <w:name w:val="font12"/>
    <w:basedOn w:val="1"/>
    <w:qFormat/>
    <w:uiPriority w:val="0"/>
    <w:pPr>
      <w:widowControl/>
      <w:spacing w:before="100" w:beforeAutospacing="1" w:after="100" w:afterAutospacing="1"/>
      <w:jc w:val="left"/>
    </w:pPr>
    <w:rPr>
      <w:rFonts w:hint="eastAsia" w:ascii="宋体" w:hAnsi="宋体"/>
      <w:color w:val="333333"/>
      <w:kern w:val="0"/>
      <w:sz w:val="20"/>
      <w:szCs w:val="20"/>
    </w:rPr>
  </w:style>
  <w:style w:type="paragraph" w:customStyle="1" w:styleId="13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36">
    <w:name w:val="样式 宋体 三号 加粗 居中 行距: 最小值 12 磅"/>
    <w:basedOn w:val="1"/>
    <w:qFormat/>
    <w:uiPriority w:val="0"/>
    <w:pPr>
      <w:spacing w:line="240" w:lineRule="atLeast"/>
      <w:jc w:val="center"/>
    </w:pPr>
    <w:rPr>
      <w:rFonts w:ascii="宋体" w:hAnsi="宋体" w:cs="宋体"/>
      <w:b/>
      <w:bCs/>
      <w:szCs w:val="21"/>
    </w:rPr>
  </w:style>
  <w:style w:type="paragraph" w:customStyle="1" w:styleId="137">
    <w:name w:val="font6"/>
    <w:basedOn w:val="1"/>
    <w:qFormat/>
    <w:uiPriority w:val="0"/>
    <w:pPr>
      <w:widowControl/>
      <w:spacing w:before="100" w:beforeAutospacing="1" w:after="100" w:afterAutospacing="1"/>
      <w:jc w:val="left"/>
    </w:pPr>
    <w:rPr>
      <w:rFonts w:hint="eastAsia" w:ascii="宋体" w:hAnsi="宋体" w:cs="Arial Unicode MS"/>
      <w:b/>
      <w:bCs/>
      <w:color w:val="000000"/>
      <w:kern w:val="0"/>
      <w:sz w:val="18"/>
      <w:szCs w:val="18"/>
    </w:rPr>
  </w:style>
  <w:style w:type="paragraph" w:customStyle="1" w:styleId="138">
    <w:name w:val="中等深浅网格 21"/>
    <w:basedOn w:val="1"/>
    <w:qFormat/>
    <w:uiPriority w:val="0"/>
    <w:rPr>
      <w:szCs w:val="32"/>
    </w:rPr>
  </w:style>
  <w:style w:type="paragraph" w:customStyle="1" w:styleId="139">
    <w:name w:val="xl32"/>
    <w:basedOn w:val="1"/>
    <w:qFormat/>
    <w:uiPriority w:val="0"/>
    <w:pPr>
      <w:widowControl/>
      <w:shd w:val="clear" w:color="auto" w:fill="FFFFFF"/>
      <w:spacing w:before="100" w:beforeAutospacing="1" w:after="100" w:afterAutospacing="1"/>
      <w:jc w:val="center"/>
    </w:pPr>
    <w:rPr>
      <w:rFonts w:ascii="Arial Unicode MS" w:hAnsi="Arial Unicode MS"/>
      <w:kern w:val="0"/>
      <w:sz w:val="20"/>
      <w:szCs w:val="20"/>
    </w:rPr>
  </w:style>
  <w:style w:type="paragraph" w:customStyle="1" w:styleId="14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1">
    <w:name w:val="Char Char Char1 Char Char Char Char Char Char"/>
    <w:basedOn w:val="1"/>
    <w:qFormat/>
    <w:uiPriority w:val="0"/>
    <w:pPr>
      <w:spacing w:line="240" w:lineRule="atLeast"/>
    </w:pPr>
    <w:rPr>
      <w:sz w:val="24"/>
      <w:szCs w:val="20"/>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3">
    <w:name w:val="样式1"/>
    <w:basedOn w:val="1"/>
    <w:qFormat/>
    <w:uiPriority w:val="0"/>
    <w:rPr>
      <w:szCs w:val="20"/>
    </w:rPr>
  </w:style>
  <w:style w:type="paragraph" w:customStyle="1" w:styleId="144">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45">
    <w:name w:val="表格文字"/>
    <w:basedOn w:val="1"/>
    <w:qFormat/>
    <w:uiPriority w:val="0"/>
    <w:pPr>
      <w:jc w:val="left"/>
    </w:pPr>
    <w:rPr>
      <w:bCs/>
      <w:spacing w:val="10"/>
      <w:sz w:val="24"/>
    </w:rPr>
  </w:style>
  <w:style w:type="paragraph" w:customStyle="1" w:styleId="14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49">
    <w:name w:val="Body text (7)1"/>
    <w:basedOn w:val="1"/>
    <w:link w:val="279"/>
    <w:qFormat/>
    <w:uiPriority w:val="0"/>
    <w:pPr>
      <w:shd w:val="clear" w:color="auto" w:fill="FFFFFF"/>
      <w:spacing w:line="298" w:lineRule="exact"/>
      <w:jc w:val="distribute"/>
    </w:pPr>
    <w:rPr>
      <w:rFonts w:ascii="宋体"/>
      <w:kern w:val="0"/>
      <w:sz w:val="22"/>
      <w:szCs w:val="22"/>
    </w:rPr>
  </w:style>
  <w:style w:type="paragraph" w:customStyle="1" w:styleId="15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53">
    <w:name w:val="1"/>
    <w:basedOn w:val="1"/>
    <w:next w:val="23"/>
    <w:qFormat/>
    <w:uiPriority w:val="0"/>
    <w:rPr>
      <w:rFonts w:ascii="宋体" w:hAnsi="Courier New"/>
      <w:szCs w:val="20"/>
    </w:rPr>
  </w:style>
  <w:style w:type="paragraph" w:customStyle="1" w:styleId="15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55">
    <w:name w:val="列出段落1"/>
    <w:basedOn w:val="1"/>
    <w:semiHidden/>
    <w:qFormat/>
    <w:uiPriority w:val="0"/>
    <w:pPr>
      <w:ind w:firstLine="420" w:firstLineChars="200"/>
    </w:pPr>
    <w:rPr>
      <w:rFonts w:ascii="Calibri" w:hAnsi="Calibri" w:cs="宋体"/>
      <w:szCs w:val="21"/>
    </w:rPr>
  </w:style>
  <w:style w:type="paragraph" w:customStyle="1" w:styleId="156">
    <w:name w:val="Char Char1 Char Char Char Char"/>
    <w:basedOn w:val="14"/>
    <w:qFormat/>
    <w:uiPriority w:val="0"/>
    <w:rPr>
      <w:rFonts w:ascii="Tahoma" w:hAnsi="Tahoma"/>
      <w:sz w:val="24"/>
    </w:rPr>
  </w:style>
  <w:style w:type="paragraph" w:customStyle="1" w:styleId="157">
    <w:name w:val="标题 11"/>
    <w:basedOn w:val="1"/>
    <w:qFormat/>
    <w:uiPriority w:val="1"/>
    <w:pPr>
      <w:spacing w:line="459" w:lineRule="exact"/>
      <w:ind w:left="3237" w:right="144"/>
      <w:jc w:val="center"/>
      <w:outlineLvl w:val="1"/>
    </w:pPr>
    <w:rPr>
      <w:rFonts w:ascii="微软雅黑" w:hAnsi="微软雅黑" w:eastAsia="微软雅黑" w:cs="微软雅黑"/>
      <w:b/>
      <w:bCs/>
      <w:kern w:val="0"/>
      <w:sz w:val="32"/>
      <w:szCs w:val="32"/>
      <w:lang w:eastAsia="en-US"/>
    </w:rPr>
  </w:style>
  <w:style w:type="paragraph" w:customStyle="1" w:styleId="158">
    <w:name w:val="font14"/>
    <w:basedOn w:val="1"/>
    <w:qFormat/>
    <w:uiPriority w:val="0"/>
    <w:pPr>
      <w:widowControl/>
      <w:spacing w:before="100" w:beforeAutospacing="1" w:after="100" w:afterAutospacing="1"/>
      <w:jc w:val="left"/>
    </w:pPr>
    <w:rPr>
      <w:rFonts w:hint="eastAsia" w:ascii="宋体" w:hAnsi="宋体"/>
      <w:b/>
      <w:bCs/>
      <w:color w:val="000000"/>
      <w:kern w:val="0"/>
      <w:sz w:val="20"/>
      <w:szCs w:val="20"/>
    </w:rPr>
  </w:style>
  <w:style w:type="paragraph" w:customStyle="1" w:styleId="159">
    <w:name w:val="标题 51"/>
    <w:basedOn w:val="1"/>
    <w:qFormat/>
    <w:uiPriority w:val="1"/>
    <w:pPr>
      <w:spacing w:before="15"/>
      <w:ind w:left="665"/>
      <w:jc w:val="left"/>
      <w:outlineLvl w:val="5"/>
    </w:pPr>
    <w:rPr>
      <w:rFonts w:ascii="宋体" w:hAnsi="宋体" w:cs="宋体"/>
      <w:kern w:val="0"/>
      <w:sz w:val="28"/>
      <w:szCs w:val="28"/>
      <w:lang w:eastAsia="en-US"/>
    </w:rPr>
  </w:style>
  <w:style w:type="paragraph" w:customStyle="1" w:styleId="160">
    <w:name w:val="列出段落2"/>
    <w:basedOn w:val="1"/>
    <w:qFormat/>
    <w:uiPriority w:val="0"/>
    <w:pPr>
      <w:ind w:firstLine="420" w:firstLineChars="200"/>
    </w:pPr>
    <w:rPr>
      <w:rFonts w:ascii="Calibri" w:hAnsi="Calibri"/>
      <w:szCs w:val="22"/>
    </w:rPr>
  </w:style>
  <w:style w:type="paragraph" w:customStyle="1" w:styleId="161">
    <w:name w:val="font13"/>
    <w:basedOn w:val="1"/>
    <w:qFormat/>
    <w:uiPriority w:val="0"/>
    <w:pPr>
      <w:widowControl/>
      <w:spacing w:before="100" w:beforeAutospacing="1" w:after="100" w:afterAutospacing="1"/>
      <w:jc w:val="left"/>
    </w:pPr>
    <w:rPr>
      <w:rFonts w:hint="eastAsia" w:ascii="宋体" w:hAnsi="宋体"/>
      <w:color w:val="FF0000"/>
      <w:kern w:val="0"/>
      <w:sz w:val="20"/>
      <w:szCs w:val="20"/>
    </w:rPr>
  </w:style>
  <w:style w:type="paragraph" w:customStyle="1" w:styleId="162">
    <w:name w:val="xl93"/>
    <w:basedOn w:val="1"/>
    <w:qFormat/>
    <w:uiPriority w:val="0"/>
    <w:pPr>
      <w:widowControl/>
      <w:spacing w:before="100" w:beforeAutospacing="1" w:after="100" w:afterAutospacing="1"/>
      <w:jc w:val="center"/>
    </w:pPr>
    <w:rPr>
      <w:b/>
      <w:bCs/>
      <w:kern w:val="0"/>
      <w:sz w:val="36"/>
      <w:szCs w:val="36"/>
    </w:rPr>
  </w:style>
  <w:style w:type="paragraph" w:customStyle="1" w:styleId="163">
    <w:name w:val="TOC 标题1"/>
    <w:basedOn w:val="3"/>
    <w:next w:val="1"/>
    <w:unhideWhenUsed/>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6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6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16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67">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8">
    <w:name w:val="Char Char Char1 Char8"/>
    <w:basedOn w:val="1"/>
    <w:qFormat/>
    <w:uiPriority w:val="0"/>
    <w:pPr>
      <w:spacing w:line="360" w:lineRule="auto"/>
      <w:ind w:firstLine="200" w:firstLineChars="200"/>
    </w:pPr>
    <w:rPr>
      <w:rFonts w:ascii="宋体" w:hAnsi="宋体" w:cs="宋体"/>
      <w:sz w:val="24"/>
    </w:rPr>
  </w:style>
  <w:style w:type="paragraph" w:customStyle="1" w:styleId="1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2">
    <w:name w:val="_Style 1"/>
    <w:basedOn w:val="1"/>
    <w:qFormat/>
    <w:uiPriority w:val="34"/>
    <w:pPr>
      <w:ind w:firstLine="420" w:firstLineChars="200"/>
    </w:pPr>
    <w:rPr>
      <w:rFonts w:ascii="Calibri" w:hAnsi="Calibri"/>
      <w:szCs w:val="22"/>
    </w:rPr>
  </w:style>
  <w:style w:type="paragraph" w:customStyle="1" w:styleId="173">
    <w:name w:val="Char2"/>
    <w:basedOn w:val="1"/>
    <w:qFormat/>
    <w:uiPriority w:val="0"/>
    <w:rPr>
      <w:rFonts w:ascii="Tahoma" w:hAnsi="Tahoma"/>
      <w:sz w:val="24"/>
      <w:szCs w:val="20"/>
    </w:rPr>
  </w:style>
  <w:style w:type="paragraph" w:customStyle="1" w:styleId="174">
    <w:name w:val="p121"/>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17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9">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0">
    <w:name w:val="xl31"/>
    <w:basedOn w:val="1"/>
    <w:qFormat/>
    <w:uiPriority w:val="0"/>
    <w:pPr>
      <w:widowControl/>
      <w:shd w:val="clear" w:color="auto" w:fill="FFFFFF"/>
      <w:spacing w:before="100" w:beforeAutospacing="1" w:after="100" w:afterAutospacing="1"/>
      <w:jc w:val="left"/>
    </w:pPr>
    <w:rPr>
      <w:rFonts w:ascii="Arial Unicode MS" w:hAnsi="Arial Unicode MS"/>
      <w:kern w:val="0"/>
      <w:sz w:val="20"/>
      <w:szCs w:val="20"/>
    </w:rPr>
  </w:style>
  <w:style w:type="paragraph" w:customStyle="1" w:styleId="181">
    <w:name w:val="font19"/>
    <w:basedOn w:val="1"/>
    <w:qFormat/>
    <w:uiPriority w:val="0"/>
    <w:pPr>
      <w:widowControl/>
      <w:spacing w:before="100" w:beforeAutospacing="1" w:after="100" w:afterAutospacing="1"/>
      <w:jc w:val="left"/>
    </w:pPr>
    <w:rPr>
      <w:rFonts w:ascii="Helv" w:hAnsi="Helv"/>
      <w:color w:val="000000"/>
      <w:kern w:val="0"/>
      <w:sz w:val="20"/>
      <w:szCs w:val="20"/>
      <w:u w:val="single"/>
    </w:rPr>
  </w:style>
  <w:style w:type="paragraph" w:customStyle="1" w:styleId="182">
    <w:name w:val="xl94"/>
    <w:basedOn w:val="1"/>
    <w:qFormat/>
    <w:uiPriority w:val="0"/>
    <w:pPr>
      <w:widowControl/>
      <w:spacing w:before="100" w:beforeAutospacing="1" w:after="100" w:afterAutospacing="1"/>
      <w:jc w:val="center"/>
    </w:pPr>
    <w:rPr>
      <w:b/>
      <w:bCs/>
      <w:kern w:val="0"/>
      <w:sz w:val="36"/>
      <w:szCs w:val="36"/>
    </w:rPr>
  </w:style>
  <w:style w:type="paragraph" w:customStyle="1" w:styleId="183">
    <w:name w:val="style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8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8">
    <w:name w:val="列出段落111"/>
    <w:basedOn w:val="1"/>
    <w:link w:val="245"/>
    <w:qFormat/>
    <w:uiPriority w:val="0"/>
    <w:pPr>
      <w:ind w:firstLine="420" w:firstLineChars="200"/>
    </w:pPr>
  </w:style>
  <w:style w:type="paragraph" w:customStyle="1" w:styleId="189">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0">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b/>
      <w:bCs/>
      <w:kern w:val="0"/>
      <w:sz w:val="20"/>
      <w:szCs w:val="20"/>
    </w:rPr>
  </w:style>
  <w:style w:type="paragraph" w:customStyle="1" w:styleId="191">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0"/>
      <w:szCs w:val="20"/>
    </w:rPr>
  </w:style>
  <w:style w:type="paragraph" w:customStyle="1" w:styleId="192">
    <w:name w:val="_Style 76"/>
    <w:basedOn w:val="1"/>
    <w:qFormat/>
    <w:uiPriority w:val="34"/>
    <w:pPr>
      <w:ind w:firstLine="420" w:firstLineChars="200"/>
    </w:pPr>
  </w:style>
  <w:style w:type="paragraph" w:customStyle="1" w:styleId="193">
    <w:name w:val="Char Char8"/>
    <w:basedOn w:val="1"/>
    <w:qFormat/>
    <w:uiPriority w:val="0"/>
    <w:pPr>
      <w:widowControl/>
      <w:spacing w:after="160" w:line="240" w:lineRule="exact"/>
      <w:jc w:val="left"/>
    </w:pPr>
    <w:rPr>
      <w:rFonts w:ascii="Verdana" w:hAnsi="Verdana" w:eastAsia="仿宋_GB2312" w:cs="仿宋_GB2312"/>
      <w:sz w:val="24"/>
      <w:lang w:eastAsia="en-US"/>
    </w:rPr>
  </w:style>
  <w:style w:type="paragraph" w:customStyle="1" w:styleId="19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95">
    <w:name w:val="Char Char Char"/>
    <w:basedOn w:val="1"/>
    <w:qFormat/>
    <w:uiPriority w:val="0"/>
    <w:rPr>
      <w:rFonts w:ascii="Tahoma" w:hAnsi="Tahoma"/>
      <w:sz w:val="24"/>
      <w:szCs w:val="20"/>
    </w:rPr>
  </w:style>
  <w:style w:type="paragraph" w:customStyle="1" w:styleId="196">
    <w:name w:val="Char"/>
    <w:basedOn w:val="1"/>
    <w:qFormat/>
    <w:uiPriority w:val="0"/>
    <w:pPr>
      <w:widowControl/>
      <w:adjustRightInd w:val="0"/>
      <w:snapToGrid w:val="0"/>
      <w:spacing w:after="160" w:line="240" w:lineRule="exact"/>
      <w:jc w:val="left"/>
    </w:pPr>
    <w:rPr>
      <w:szCs w:val="20"/>
    </w:rPr>
  </w:style>
  <w:style w:type="paragraph" w:customStyle="1" w:styleId="19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9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0">
    <w:name w:val="标题A"/>
    <w:basedOn w:val="1"/>
    <w:qFormat/>
    <w:uiPriority w:val="0"/>
    <w:pPr>
      <w:autoSpaceDE w:val="0"/>
      <w:autoSpaceDN w:val="0"/>
      <w:adjustRightInd w:val="0"/>
      <w:ind w:left="720" w:right="-866"/>
      <w:jc w:val="left"/>
      <w:textAlignment w:val="baseline"/>
    </w:pPr>
    <w:rPr>
      <w:rFonts w:hAnsi="Arial" w:eastAsia="黑体"/>
      <w:i/>
      <w:kern w:val="0"/>
      <w:sz w:val="28"/>
      <w:szCs w:val="20"/>
    </w:rPr>
  </w:style>
  <w:style w:type="paragraph" w:customStyle="1" w:styleId="201">
    <w:name w:val="标题 41"/>
    <w:basedOn w:val="1"/>
    <w:qFormat/>
    <w:uiPriority w:val="1"/>
    <w:pPr>
      <w:spacing w:line="415" w:lineRule="exact"/>
      <w:ind w:left="3237" w:right="144"/>
      <w:jc w:val="left"/>
      <w:outlineLvl w:val="4"/>
    </w:pPr>
    <w:rPr>
      <w:rFonts w:ascii="微软雅黑" w:hAnsi="微软雅黑" w:eastAsia="微软雅黑" w:cs="微软雅黑"/>
      <w:b/>
      <w:bCs/>
      <w:kern w:val="0"/>
      <w:sz w:val="28"/>
      <w:szCs w:val="28"/>
      <w:lang w:eastAsia="en-US"/>
    </w:rPr>
  </w:style>
  <w:style w:type="paragraph" w:customStyle="1" w:styleId="202">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20"/>
      <w:szCs w:val="20"/>
    </w:rPr>
  </w:style>
  <w:style w:type="character" w:customStyle="1" w:styleId="204">
    <w:name w:val="批注主题 Char1"/>
    <w:qFormat/>
    <w:uiPriority w:val="0"/>
    <w:rPr>
      <w:kern w:val="2"/>
      <w:sz w:val="21"/>
      <w:szCs w:val="24"/>
    </w:rPr>
  </w:style>
  <w:style w:type="character" w:customStyle="1" w:styleId="205">
    <w:name w:val="A正文小四 Char"/>
    <w:link w:val="87"/>
    <w:qFormat/>
    <w:locked/>
    <w:uiPriority w:val="0"/>
    <w:rPr>
      <w:kern w:val="2"/>
      <w:sz w:val="24"/>
      <w:szCs w:val="24"/>
    </w:rPr>
  </w:style>
  <w:style w:type="character" w:customStyle="1" w:styleId="206">
    <w:name w:val="font"/>
    <w:basedOn w:val="46"/>
    <w:qFormat/>
    <w:uiPriority w:val="0"/>
  </w:style>
  <w:style w:type="character" w:customStyle="1" w:styleId="207">
    <w:name w:val="文档结构图 Char"/>
    <w:link w:val="14"/>
    <w:qFormat/>
    <w:uiPriority w:val="0"/>
    <w:rPr>
      <w:kern w:val="2"/>
      <w:sz w:val="21"/>
      <w:szCs w:val="24"/>
      <w:shd w:val="clear" w:color="auto" w:fill="000080"/>
    </w:rPr>
  </w:style>
  <w:style w:type="character" w:customStyle="1" w:styleId="208">
    <w:name w:val="批注框文本 Char"/>
    <w:link w:val="27"/>
    <w:qFormat/>
    <w:locked/>
    <w:uiPriority w:val="0"/>
    <w:rPr>
      <w:kern w:val="2"/>
      <w:sz w:val="18"/>
      <w:szCs w:val="18"/>
    </w:rPr>
  </w:style>
  <w:style w:type="character" w:customStyle="1" w:styleId="209">
    <w:name w:val="Body text (7)"/>
    <w:qFormat/>
    <w:uiPriority w:val="0"/>
    <w:rPr>
      <w:rFonts w:ascii="宋体"/>
      <w:sz w:val="22"/>
      <w:szCs w:val="22"/>
      <w:shd w:val="clear" w:color="auto" w:fill="FFFFFF"/>
    </w:rPr>
  </w:style>
  <w:style w:type="character" w:customStyle="1" w:styleId="210">
    <w:name w:val="HTML 预设格式 Char2"/>
    <w:semiHidden/>
    <w:qFormat/>
    <w:uiPriority w:val="0"/>
    <w:rPr>
      <w:rFonts w:ascii="Courier New" w:hAnsi="Courier New" w:cs="Courier New"/>
      <w:kern w:val="2"/>
    </w:rPr>
  </w:style>
  <w:style w:type="character" w:customStyle="1" w:styleId="211">
    <w:name w:val="标题 5 Char"/>
    <w:link w:val="6"/>
    <w:qFormat/>
    <w:uiPriority w:val="0"/>
    <w:rPr>
      <w:b/>
      <w:bCs/>
      <w:kern w:val="2"/>
      <w:sz w:val="28"/>
      <w:szCs w:val="28"/>
    </w:rPr>
  </w:style>
  <w:style w:type="character" w:customStyle="1" w:styleId="212">
    <w:name w:val="marklong"/>
    <w:basedOn w:val="46"/>
    <w:qFormat/>
    <w:uiPriority w:val="0"/>
  </w:style>
  <w:style w:type="character" w:customStyle="1" w:styleId="213">
    <w:name w:val="apple-converted-space"/>
    <w:basedOn w:val="46"/>
    <w:qFormat/>
    <w:uiPriority w:val="0"/>
  </w:style>
  <w:style w:type="character" w:customStyle="1" w:styleId="214">
    <w:name w:val="font71"/>
    <w:qFormat/>
    <w:uiPriority w:val="0"/>
    <w:rPr>
      <w:rFonts w:hint="eastAsia" w:ascii="宋体" w:hAnsi="宋体" w:eastAsia="宋体" w:cs="宋体"/>
      <w:color w:val="000000"/>
      <w:sz w:val="21"/>
      <w:szCs w:val="21"/>
      <w:u w:val="none"/>
    </w:rPr>
  </w:style>
  <w:style w:type="character" w:customStyle="1" w:styleId="215">
    <w:name w:val="标题 Char1"/>
    <w:qFormat/>
    <w:uiPriority w:val="0"/>
    <w:rPr>
      <w:rFonts w:ascii="Cambria" w:hAnsi="Cambria" w:cs="Times New Roman"/>
      <w:b/>
      <w:bCs/>
      <w:kern w:val="2"/>
      <w:sz w:val="32"/>
      <w:szCs w:val="32"/>
    </w:rPr>
  </w:style>
  <w:style w:type="character" w:customStyle="1" w:styleId="216">
    <w:name w:val="正文文本缩进 Char1"/>
    <w:semiHidden/>
    <w:qFormat/>
    <w:uiPriority w:val="0"/>
    <w:rPr>
      <w:kern w:val="2"/>
      <w:sz w:val="21"/>
      <w:szCs w:val="24"/>
    </w:rPr>
  </w:style>
  <w:style w:type="character" w:customStyle="1" w:styleId="217">
    <w:name w:val="正文文本缩进 2 Char1"/>
    <w:semiHidden/>
    <w:qFormat/>
    <w:uiPriority w:val="0"/>
    <w:rPr>
      <w:kern w:val="2"/>
      <w:sz w:val="21"/>
      <w:szCs w:val="24"/>
    </w:rPr>
  </w:style>
  <w:style w:type="character" w:customStyle="1" w:styleId="218">
    <w:name w:val="标题 8 Char"/>
    <w:link w:val="9"/>
    <w:qFormat/>
    <w:uiPriority w:val="0"/>
    <w:rPr>
      <w:rFonts w:ascii="Arial" w:hAnsi="Arial" w:eastAsia="黑体"/>
      <w:kern w:val="2"/>
      <w:sz w:val="24"/>
      <w:szCs w:val="24"/>
    </w:rPr>
  </w:style>
  <w:style w:type="character" w:customStyle="1" w:styleId="219">
    <w:name w:val="标题 6 Char"/>
    <w:link w:val="7"/>
    <w:qFormat/>
    <w:uiPriority w:val="0"/>
    <w:rPr>
      <w:rFonts w:ascii="Arial" w:hAnsi="Arial" w:eastAsia="黑体"/>
      <w:b/>
      <w:bCs/>
      <w:kern w:val="2"/>
      <w:sz w:val="24"/>
      <w:szCs w:val="24"/>
    </w:rPr>
  </w:style>
  <w:style w:type="character" w:customStyle="1" w:styleId="220">
    <w:name w:val="标题 Char2"/>
    <w:qFormat/>
    <w:uiPriority w:val="0"/>
    <w:rPr>
      <w:rFonts w:ascii="Cambria" w:hAnsi="Cambria" w:cs="Times New Roman"/>
      <w:b/>
      <w:bCs/>
      <w:kern w:val="2"/>
      <w:sz w:val="32"/>
      <w:szCs w:val="32"/>
    </w:rPr>
  </w:style>
  <w:style w:type="character" w:customStyle="1" w:styleId="221">
    <w:name w:val="正文文本缩进 3 Char Char"/>
    <w:link w:val="74"/>
    <w:qFormat/>
    <w:uiPriority w:val="0"/>
    <w:rPr>
      <w:sz w:val="16"/>
      <w:szCs w:val="16"/>
    </w:rPr>
  </w:style>
  <w:style w:type="character" w:customStyle="1" w:styleId="222">
    <w:name w:val="标题 Char"/>
    <w:link w:val="41"/>
    <w:qFormat/>
    <w:uiPriority w:val="0"/>
    <w:rPr>
      <w:rFonts w:ascii="Cambria" w:hAnsi="Cambria"/>
      <w:b/>
      <w:bCs/>
      <w:kern w:val="2"/>
      <w:sz w:val="32"/>
      <w:szCs w:val="32"/>
    </w:rPr>
  </w:style>
  <w:style w:type="character" w:customStyle="1" w:styleId="223">
    <w:name w:val="style141"/>
    <w:qFormat/>
    <w:uiPriority w:val="0"/>
    <w:rPr>
      <w:color w:val="76738E"/>
      <w:sz w:val="18"/>
      <w:szCs w:val="18"/>
    </w:rPr>
  </w:style>
  <w:style w:type="character" w:customStyle="1" w:styleId="224">
    <w:name w:val="ca-51"/>
    <w:qFormat/>
    <w:uiPriority w:val="0"/>
    <w:rPr>
      <w:rFonts w:hint="default" w:ascii="Times New Roman" w:hAnsi="Times New Roman" w:cs="Times New Roman"/>
      <w:sz w:val="21"/>
      <w:szCs w:val="21"/>
    </w:rPr>
  </w:style>
  <w:style w:type="character" w:customStyle="1" w:styleId="225">
    <w:name w:val="apple-style-span"/>
    <w:basedOn w:val="46"/>
    <w:qFormat/>
    <w:uiPriority w:val="0"/>
  </w:style>
  <w:style w:type="character" w:customStyle="1" w:styleId="226">
    <w:name w:val="标题 7 Char"/>
    <w:link w:val="8"/>
    <w:qFormat/>
    <w:uiPriority w:val="0"/>
    <w:rPr>
      <w:b/>
      <w:bCs/>
      <w:kern w:val="2"/>
      <w:sz w:val="24"/>
      <w:szCs w:val="24"/>
    </w:rPr>
  </w:style>
  <w:style w:type="character" w:customStyle="1" w:styleId="227">
    <w:name w:val="正文缩进 Char"/>
    <w:link w:val="13"/>
    <w:qFormat/>
    <w:uiPriority w:val="0"/>
    <w:rPr>
      <w:kern w:val="2"/>
      <w:sz w:val="21"/>
    </w:rPr>
  </w:style>
  <w:style w:type="character" w:customStyle="1" w:styleId="228">
    <w:name w:val="profont1"/>
    <w:qFormat/>
    <w:uiPriority w:val="0"/>
    <w:rPr>
      <w:rFonts w:ascii="Verdana" w:cs="Verdana"/>
      <w:b/>
      <w:bCs/>
    </w:rPr>
  </w:style>
  <w:style w:type="character" w:customStyle="1" w:styleId="229">
    <w:name w:val="标题 1 Char"/>
    <w:link w:val="3"/>
    <w:qFormat/>
    <w:uiPriority w:val="0"/>
    <w:rPr>
      <w:b/>
      <w:bCs/>
      <w:kern w:val="44"/>
      <w:sz w:val="44"/>
      <w:szCs w:val="44"/>
    </w:rPr>
  </w:style>
  <w:style w:type="character" w:customStyle="1" w:styleId="230">
    <w:name w:val="批注文字 Char1"/>
    <w:link w:val="15"/>
    <w:qFormat/>
    <w:uiPriority w:val="0"/>
    <w:rPr>
      <w:kern w:val="2"/>
      <w:sz w:val="21"/>
      <w:szCs w:val="24"/>
    </w:rPr>
  </w:style>
  <w:style w:type="character" w:customStyle="1" w:styleId="231">
    <w:name w:val="纯文本 Char"/>
    <w:link w:val="23"/>
    <w:qFormat/>
    <w:uiPriority w:val="0"/>
    <w:rPr>
      <w:rFonts w:ascii="宋体" w:hAnsi="Courier New"/>
      <w:kern w:val="2"/>
      <w:sz w:val="21"/>
    </w:rPr>
  </w:style>
  <w:style w:type="character" w:customStyle="1" w:styleId="232">
    <w:name w:val="标题 9 Char"/>
    <w:link w:val="10"/>
    <w:qFormat/>
    <w:uiPriority w:val="0"/>
    <w:rPr>
      <w:rFonts w:ascii="Arial" w:hAnsi="Arial" w:eastAsia="黑体"/>
      <w:kern w:val="2"/>
      <w:sz w:val="28"/>
      <w:szCs w:val="21"/>
    </w:rPr>
  </w:style>
  <w:style w:type="character" w:customStyle="1" w:styleId="233">
    <w:name w:val="正文文本缩进 3 Char"/>
    <w:link w:val="33"/>
    <w:qFormat/>
    <w:locked/>
    <w:uiPriority w:val="0"/>
    <w:rPr>
      <w:color w:val="000000"/>
      <w:kern w:val="2"/>
      <w:sz w:val="21"/>
      <w:szCs w:val="24"/>
    </w:rPr>
  </w:style>
  <w:style w:type="character" w:customStyle="1" w:styleId="234">
    <w:name w:val="headline-content"/>
    <w:basedOn w:val="46"/>
    <w:qFormat/>
    <w:uiPriority w:val="0"/>
  </w:style>
  <w:style w:type="character" w:customStyle="1" w:styleId="235">
    <w:name w:val="正文文本 Char2"/>
    <w:semiHidden/>
    <w:qFormat/>
    <w:uiPriority w:val="0"/>
    <w:rPr>
      <w:kern w:val="2"/>
      <w:sz w:val="21"/>
      <w:szCs w:val="24"/>
    </w:rPr>
  </w:style>
  <w:style w:type="character" w:customStyle="1" w:styleId="236">
    <w:name w:val="批注主题 Char"/>
    <w:link w:val="42"/>
    <w:qFormat/>
    <w:uiPriority w:val="0"/>
    <w:rPr>
      <w:kern w:val="2"/>
      <w:sz w:val="21"/>
      <w:szCs w:val="24"/>
    </w:rPr>
  </w:style>
  <w:style w:type="character" w:customStyle="1" w:styleId="237">
    <w:name w:val="正文（雅黑四号） Char Char"/>
    <w:qFormat/>
    <w:uiPriority w:val="0"/>
    <w:rPr>
      <w:rFonts w:ascii="微软雅黑" w:hAnsi="微软雅黑" w:eastAsia="微软雅黑"/>
      <w:sz w:val="24"/>
      <w:szCs w:val="28"/>
      <w:lang w:bidi="ar-SA"/>
    </w:rPr>
  </w:style>
  <w:style w:type="character" w:customStyle="1" w:styleId="238">
    <w:name w:val="Footer Char"/>
    <w:qFormat/>
    <w:locked/>
    <w:uiPriority w:val="0"/>
    <w:rPr>
      <w:rFonts w:cs="Times New Roman"/>
      <w:sz w:val="18"/>
      <w:szCs w:val="18"/>
    </w:rPr>
  </w:style>
  <w:style w:type="character" w:customStyle="1" w:styleId="239">
    <w:name w:val="批注文字 Char"/>
    <w:qFormat/>
    <w:uiPriority w:val="0"/>
    <w:rPr>
      <w:kern w:val="2"/>
      <w:sz w:val="21"/>
      <w:szCs w:val="24"/>
    </w:rPr>
  </w:style>
  <w:style w:type="character" w:customStyle="1" w:styleId="240">
    <w:name w:val="普通文字1 Char1"/>
    <w:qFormat/>
    <w:uiPriority w:val="0"/>
    <w:rPr>
      <w:rFonts w:ascii="宋体" w:hAnsi="Courier New"/>
      <w:kern w:val="2"/>
      <w:sz w:val="24"/>
    </w:rPr>
  </w:style>
  <w:style w:type="character" w:customStyle="1" w:styleId="241">
    <w:name w:val="正文文本 Char"/>
    <w:qFormat/>
    <w:uiPriority w:val="0"/>
    <w:rPr>
      <w:rFonts w:eastAsia="宋体"/>
      <w:sz w:val="30"/>
      <w:szCs w:val="24"/>
      <w:lang w:bidi="ar-SA"/>
    </w:rPr>
  </w:style>
  <w:style w:type="character" w:customStyle="1" w:styleId="242">
    <w:name w:val="f141"/>
    <w:qFormat/>
    <w:uiPriority w:val="0"/>
    <w:rPr>
      <w:sz w:val="21"/>
      <w:szCs w:val="21"/>
    </w:rPr>
  </w:style>
  <w:style w:type="character" w:customStyle="1" w:styleId="243">
    <w:name w:val="ca-21"/>
    <w:qFormat/>
    <w:uiPriority w:val="0"/>
    <w:rPr>
      <w:rFonts w:hint="eastAsia" w:ascii="宋体" w:hAnsi="宋体" w:eastAsia="宋体"/>
      <w:sz w:val="21"/>
      <w:szCs w:val="21"/>
    </w:rPr>
  </w:style>
  <w:style w:type="character" w:customStyle="1" w:styleId="244">
    <w:name w:val="mark13"/>
    <w:basedOn w:val="46"/>
    <w:qFormat/>
    <w:uiPriority w:val="0"/>
  </w:style>
  <w:style w:type="character" w:customStyle="1" w:styleId="245">
    <w:name w:val="列出段落 Char"/>
    <w:link w:val="188"/>
    <w:qFormat/>
    <w:uiPriority w:val="0"/>
    <w:rPr>
      <w:kern w:val="2"/>
      <w:sz w:val="21"/>
      <w:szCs w:val="24"/>
    </w:rPr>
  </w:style>
  <w:style w:type="character" w:customStyle="1" w:styleId="246">
    <w:name w:val="日期 Char1"/>
    <w:qFormat/>
    <w:uiPriority w:val="0"/>
    <w:rPr>
      <w:kern w:val="2"/>
      <w:sz w:val="21"/>
      <w:szCs w:val="24"/>
    </w:rPr>
  </w:style>
  <w:style w:type="character" w:customStyle="1" w:styleId="247">
    <w:name w:val="style1"/>
    <w:basedOn w:val="46"/>
    <w:qFormat/>
    <w:uiPriority w:val="0"/>
  </w:style>
  <w:style w:type="character" w:customStyle="1" w:styleId="248">
    <w:name w:val="ca-71"/>
    <w:qFormat/>
    <w:uiPriority w:val="0"/>
    <w:rPr>
      <w:rFonts w:hint="default" w:ascii="Times New Roman" w:hAnsi="Times New Roman" w:cs="Times New Roman"/>
      <w:b/>
      <w:bCs/>
      <w:spacing w:val="-20"/>
      <w:sz w:val="21"/>
      <w:szCs w:val="21"/>
    </w:rPr>
  </w:style>
  <w:style w:type="character" w:customStyle="1" w:styleId="249">
    <w:name w:val="正文文本缩进 3 Char1"/>
    <w:semiHidden/>
    <w:qFormat/>
    <w:uiPriority w:val="0"/>
    <w:rPr>
      <w:kern w:val="2"/>
      <w:sz w:val="16"/>
      <w:szCs w:val="16"/>
    </w:rPr>
  </w:style>
  <w:style w:type="character" w:customStyle="1" w:styleId="250">
    <w:name w:val="正文文本 2 Char"/>
    <w:link w:val="36"/>
    <w:qFormat/>
    <w:uiPriority w:val="0"/>
    <w:rPr>
      <w:rFonts w:ascii="宋体" w:hAnsi="宋体"/>
      <w:color w:val="0000FF"/>
      <w:kern w:val="2"/>
      <w:sz w:val="21"/>
      <w:szCs w:val="18"/>
    </w:rPr>
  </w:style>
  <w:style w:type="character" w:customStyle="1" w:styleId="251">
    <w:name w:val="批注框文本 Char1"/>
    <w:semiHidden/>
    <w:qFormat/>
    <w:uiPriority w:val="0"/>
    <w:rPr>
      <w:kern w:val="2"/>
      <w:sz w:val="18"/>
      <w:szCs w:val="18"/>
    </w:rPr>
  </w:style>
  <w:style w:type="character" w:customStyle="1" w:styleId="252">
    <w:name w:val="ca-61"/>
    <w:qFormat/>
    <w:uiPriority w:val="0"/>
    <w:rPr>
      <w:rFonts w:hint="eastAsia" w:ascii="宋体" w:hAnsi="宋体" w:eastAsia="宋体"/>
      <w:b/>
      <w:bCs/>
      <w:spacing w:val="-20"/>
      <w:sz w:val="21"/>
      <w:szCs w:val="21"/>
    </w:rPr>
  </w:style>
  <w:style w:type="character" w:customStyle="1" w:styleId="253">
    <w:name w:val="正文文本 3 Char"/>
    <w:link w:val="16"/>
    <w:qFormat/>
    <w:uiPriority w:val="0"/>
    <w:rPr>
      <w:b/>
      <w:bCs/>
      <w:kern w:val="2"/>
      <w:sz w:val="21"/>
      <w:szCs w:val="24"/>
    </w:rPr>
  </w:style>
  <w:style w:type="character" w:customStyle="1" w:styleId="254">
    <w:name w:val="文档结构图 Char1"/>
    <w:semiHidden/>
    <w:qFormat/>
    <w:uiPriority w:val="0"/>
    <w:rPr>
      <w:rFonts w:ascii="宋体"/>
      <w:kern w:val="2"/>
      <w:sz w:val="18"/>
      <w:szCs w:val="18"/>
    </w:rPr>
  </w:style>
  <w:style w:type="character" w:customStyle="1" w:styleId="255">
    <w:name w:val="方案正文 Char"/>
    <w:link w:val="94"/>
    <w:qFormat/>
    <w:uiPriority w:val="0"/>
    <w:rPr>
      <w:rFonts w:eastAsia="仿宋_GB2312" w:cs="宋体"/>
      <w:kern w:val="2"/>
      <w:sz w:val="24"/>
    </w:rPr>
  </w:style>
  <w:style w:type="character" w:customStyle="1" w:styleId="256">
    <w:name w:val="标题 4 Char"/>
    <w:link w:val="5"/>
    <w:qFormat/>
    <w:uiPriority w:val="0"/>
    <w:rPr>
      <w:rFonts w:ascii="Arial" w:hAnsi="Arial" w:eastAsia="黑体"/>
      <w:b/>
      <w:bCs/>
      <w:kern w:val="2"/>
      <w:sz w:val="28"/>
      <w:szCs w:val="28"/>
    </w:rPr>
  </w:style>
  <w:style w:type="character" w:customStyle="1" w:styleId="257">
    <w:name w:val="正文文本 Char1"/>
    <w:link w:val="17"/>
    <w:qFormat/>
    <w:uiPriority w:val="0"/>
    <w:rPr>
      <w:rFonts w:ascii="金山简黑体" w:hAnsi="Courier New" w:eastAsia="金山简黑体"/>
      <w:b/>
      <w:spacing w:val="-8"/>
      <w:kern w:val="2"/>
      <w:sz w:val="44"/>
    </w:rPr>
  </w:style>
  <w:style w:type="character" w:customStyle="1" w:styleId="258">
    <w:name w:val="H1 Char"/>
    <w:qFormat/>
    <w:uiPriority w:val="0"/>
    <w:rPr>
      <w:rFonts w:eastAsia="黑体"/>
      <w:b/>
      <w:kern w:val="44"/>
      <w:sz w:val="28"/>
      <w:lang w:val="en-US" w:eastAsia="zh-CN" w:bidi="ar-SA"/>
    </w:rPr>
  </w:style>
  <w:style w:type="character" w:customStyle="1" w:styleId="259">
    <w:name w:val="style91"/>
    <w:qFormat/>
    <w:uiPriority w:val="0"/>
    <w:rPr>
      <w:color w:val="000000"/>
    </w:rPr>
  </w:style>
  <w:style w:type="character" w:customStyle="1" w:styleId="260">
    <w:name w:val="标题 3 Char"/>
    <w:link w:val="4"/>
    <w:qFormat/>
    <w:uiPriority w:val="0"/>
    <w:rPr>
      <w:b/>
      <w:bCs/>
      <w:kern w:val="2"/>
      <w:sz w:val="32"/>
      <w:szCs w:val="32"/>
    </w:rPr>
  </w:style>
  <w:style w:type="character" w:customStyle="1" w:styleId="261">
    <w:name w:val="正文文本缩进 Char"/>
    <w:link w:val="18"/>
    <w:qFormat/>
    <w:uiPriority w:val="0"/>
    <w:rPr>
      <w:rFonts w:ascii="宋体" w:hAnsi="Courier New"/>
      <w:spacing w:val="-4"/>
      <w:kern w:val="2"/>
      <w:sz w:val="18"/>
    </w:rPr>
  </w:style>
  <w:style w:type="character" w:customStyle="1" w:styleId="262">
    <w:name w:val="bottom1"/>
    <w:qFormat/>
    <w:uiPriority w:val="0"/>
    <w:rPr>
      <w:rFonts w:ascii="??" w:cs="??"/>
      <w:sz w:val="20"/>
      <w:szCs w:val="20"/>
    </w:rPr>
  </w:style>
  <w:style w:type="character" w:customStyle="1" w:styleId="263">
    <w:name w:val="H2 Char"/>
    <w:qFormat/>
    <w:uiPriority w:val="0"/>
    <w:rPr>
      <w:rFonts w:ascii="Times New Roman" w:hAnsi="Times New Roman" w:eastAsia="黑体" w:cs="Times New Roman"/>
      <w:b/>
      <w:kern w:val="0"/>
      <w:sz w:val="28"/>
      <w:szCs w:val="20"/>
    </w:rPr>
  </w:style>
  <w:style w:type="character" w:customStyle="1" w:styleId="264">
    <w:name w:val="u3"/>
    <w:basedOn w:val="46"/>
    <w:qFormat/>
    <w:uiPriority w:val="0"/>
  </w:style>
  <w:style w:type="character" w:customStyle="1" w:styleId="265">
    <w:name w:val="Char Char1"/>
    <w:qFormat/>
    <w:uiPriority w:val="0"/>
    <w:rPr>
      <w:rFonts w:eastAsia="宋体"/>
      <w:b/>
      <w:kern w:val="44"/>
      <w:sz w:val="44"/>
      <w:lang w:val="en-US" w:eastAsia="zh-CN"/>
    </w:rPr>
  </w:style>
  <w:style w:type="character" w:customStyle="1" w:styleId="266">
    <w:name w:val="页脚 Char"/>
    <w:link w:val="28"/>
    <w:qFormat/>
    <w:uiPriority w:val="0"/>
    <w:rPr>
      <w:kern w:val="2"/>
      <w:sz w:val="18"/>
      <w:szCs w:val="18"/>
    </w:rPr>
  </w:style>
  <w:style w:type="character" w:customStyle="1" w:styleId="267">
    <w:name w:val="blacktext"/>
    <w:basedOn w:val="46"/>
    <w:qFormat/>
    <w:uiPriority w:val="0"/>
  </w:style>
  <w:style w:type="character" w:customStyle="1" w:styleId="268">
    <w:name w:val="页眉 Char"/>
    <w:link w:val="29"/>
    <w:qFormat/>
    <w:uiPriority w:val="0"/>
    <w:rPr>
      <w:kern w:val="2"/>
      <w:sz w:val="18"/>
      <w:szCs w:val="18"/>
    </w:rPr>
  </w:style>
  <w:style w:type="character" w:customStyle="1" w:styleId="269">
    <w:name w:val="纯文本 Char1"/>
    <w:qFormat/>
    <w:uiPriority w:val="0"/>
    <w:rPr>
      <w:rFonts w:ascii="宋体" w:hAnsi="Courier New" w:eastAsia="宋体"/>
      <w:kern w:val="2"/>
      <w:sz w:val="21"/>
      <w:lang w:val="en-US" w:eastAsia="zh-CN" w:bidi="ar-SA"/>
    </w:rPr>
  </w:style>
  <w:style w:type="character" w:customStyle="1" w:styleId="270">
    <w:name w:val="HTML 预设格式 Char1"/>
    <w:qFormat/>
    <w:uiPriority w:val="0"/>
    <w:rPr>
      <w:rFonts w:ascii="Courier New" w:hAnsi="Courier New" w:cs="Courier New"/>
      <w:kern w:val="2"/>
    </w:rPr>
  </w:style>
  <w:style w:type="character" w:customStyle="1" w:styleId="271">
    <w:name w:val="日期 Char"/>
    <w:link w:val="25"/>
    <w:qFormat/>
    <w:locked/>
    <w:uiPriority w:val="0"/>
    <w:rPr>
      <w:rFonts w:ascii="宋体" w:hAnsi="Courier New"/>
      <w:bCs/>
      <w:kern w:val="2"/>
      <w:sz w:val="24"/>
    </w:rPr>
  </w:style>
  <w:style w:type="character" w:customStyle="1" w:styleId="272">
    <w:name w:val="标题 2 Char"/>
    <w:link w:val="2"/>
    <w:qFormat/>
    <w:uiPriority w:val="0"/>
    <w:rPr>
      <w:rFonts w:ascii="Arial" w:hAnsi="Arial" w:eastAsia="黑体"/>
      <w:b/>
      <w:bCs/>
      <w:kern w:val="2"/>
      <w:sz w:val="32"/>
      <w:szCs w:val="32"/>
    </w:rPr>
  </w:style>
  <w:style w:type="character" w:customStyle="1" w:styleId="273">
    <w:name w:val="标题 3 Char1"/>
    <w:qFormat/>
    <w:uiPriority w:val="0"/>
    <w:rPr>
      <w:rFonts w:eastAsia="宋体"/>
      <w:b/>
      <w:bCs/>
      <w:kern w:val="2"/>
      <w:sz w:val="32"/>
      <w:szCs w:val="32"/>
      <w:lang w:val="en-US" w:eastAsia="zh-CN" w:bidi="ar-SA"/>
    </w:rPr>
  </w:style>
  <w:style w:type="character" w:customStyle="1" w:styleId="274">
    <w:name w:val="正文文本缩进 2 Char"/>
    <w:link w:val="26"/>
    <w:qFormat/>
    <w:locked/>
    <w:uiPriority w:val="0"/>
    <w:rPr>
      <w:kern w:val="2"/>
      <w:sz w:val="21"/>
      <w:szCs w:val="24"/>
    </w:rPr>
  </w:style>
  <w:style w:type="character" w:customStyle="1" w:styleId="275">
    <w:name w:val="wj1"/>
    <w:qFormat/>
    <w:uiPriority w:val="0"/>
    <w:rPr>
      <w:color w:val="000000"/>
      <w:sz w:val="18"/>
      <w:szCs w:val="18"/>
      <w:u w:val="none"/>
    </w:rPr>
  </w:style>
  <w:style w:type="character" w:customStyle="1" w:styleId="276">
    <w:name w:val="PIM 4 Char"/>
    <w:qFormat/>
    <w:uiPriority w:val="0"/>
    <w:rPr>
      <w:rFonts w:ascii="Arial" w:hAnsi="Times New Roman" w:eastAsia="黑体"/>
      <w:sz w:val="28"/>
    </w:rPr>
  </w:style>
  <w:style w:type="character" w:customStyle="1" w:styleId="277">
    <w:name w:val="HTML 预设格式 Char"/>
    <w:link w:val="38"/>
    <w:qFormat/>
    <w:uiPriority w:val="0"/>
    <w:rPr>
      <w:rFonts w:ascii="Arial" w:hAnsi="Arial" w:cs="Arial"/>
      <w:sz w:val="21"/>
      <w:szCs w:val="21"/>
    </w:rPr>
  </w:style>
  <w:style w:type="character" w:customStyle="1" w:styleId="278">
    <w:name w:val="gray s"/>
    <w:basedOn w:val="46"/>
    <w:qFormat/>
    <w:uiPriority w:val="0"/>
  </w:style>
  <w:style w:type="character" w:customStyle="1" w:styleId="279">
    <w:name w:val="Body text (7)_"/>
    <w:link w:val="149"/>
    <w:qFormat/>
    <w:locked/>
    <w:uiPriority w:val="0"/>
    <w:rPr>
      <w:rFonts w:ascii="宋体"/>
      <w:sz w:val="22"/>
      <w:szCs w:val="22"/>
      <w:shd w:val="clear" w:color="auto" w:fill="FFFFFF"/>
    </w:rPr>
  </w:style>
  <w:style w:type="character" w:customStyle="1" w:styleId="280">
    <w:name w:val="style111"/>
    <w:qFormat/>
    <w:uiPriority w:val="0"/>
    <w:rPr>
      <w:sz w:val="22"/>
      <w:szCs w:val="22"/>
    </w:rPr>
  </w:style>
  <w:style w:type="character" w:customStyle="1" w:styleId="281">
    <w:name w:val="mark16"/>
    <w:basedOn w:val="46"/>
    <w:qFormat/>
    <w:uiPriority w:val="0"/>
  </w:style>
  <w:style w:type="character" w:customStyle="1" w:styleId="282">
    <w:name w:val="正文（雅黑四号） Char"/>
    <w:link w:val="66"/>
    <w:qFormat/>
    <w:uiPriority w:val="0"/>
    <w:rPr>
      <w:rFonts w:ascii="微软雅黑" w:hAnsi="微软雅黑" w:eastAsia="微软雅黑"/>
      <w:sz w:val="24"/>
      <w:szCs w:val="28"/>
    </w:rPr>
  </w:style>
  <w:style w:type="character" w:customStyle="1" w:styleId="283">
    <w:name w:val="font01"/>
    <w:qFormat/>
    <w:uiPriority w:val="0"/>
    <w:rPr>
      <w:rFonts w:hint="eastAsia" w:ascii="宋体" w:hAnsi="宋体" w:eastAsia="宋体" w:cs="宋体"/>
      <w:color w:val="000000"/>
      <w:sz w:val="22"/>
      <w:szCs w:val="22"/>
      <w:u w:val="none"/>
    </w:rPr>
  </w:style>
  <w:style w:type="character" w:customStyle="1" w:styleId="284">
    <w:name w:val="unnamed11"/>
    <w:qFormat/>
    <w:uiPriority w:val="0"/>
    <w:rPr>
      <w:sz w:val="20"/>
      <w:szCs w:val="20"/>
    </w:rPr>
  </w:style>
  <w:style w:type="paragraph" w:styleId="285">
    <w:name w:val="List Paragraph"/>
    <w:basedOn w:val="1"/>
    <w:qFormat/>
    <w:uiPriority w:val="0"/>
    <w:pPr>
      <w:ind w:firstLine="420" w:firstLineChars="200"/>
    </w:pPr>
  </w:style>
  <w:style w:type="character" w:customStyle="1" w:styleId="286">
    <w:name w:val="正文首行缩进 Char"/>
    <w:basedOn w:val="241"/>
    <w:link w:val="43"/>
    <w:uiPriority w:val="0"/>
    <w:rPr>
      <w:rFonts w:eastAsia="楷体_GB2312"/>
      <w:kern w:val="2"/>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file:///C:\Users\Administrator\AppData\Local\Temp\ksohtml11208\wps1.jpg" TargetMode="Externa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5" textRotate="1"/>
    <customShpInfo spid="_x0000_s2056" textRotate="1"/>
    <customShpInfo spid="_x0000_s2057" textRotate="1"/>
    <customShpInfo spid="_x0000_s2058" textRotate="1"/>
    <customShpInfo spid="_x0000_s2059" textRotate="1"/>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45</Pages>
  <Words>5353</Words>
  <Characters>30515</Characters>
  <Lines>254</Lines>
  <Paragraphs>71</Paragraphs>
  <TotalTime>3</TotalTime>
  <ScaleCrop>false</ScaleCrop>
  <LinksUpToDate>false</LinksUpToDate>
  <CharactersWithSpaces>35797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2020-10-10T07:02:00Z</dcterms:created>
  <dc:creator>Administrator</dc:creator>
  <cp:lastModifiedBy>Ailishen</cp:lastModifiedBy>
  <cp:lastPrinted>2018-08-08T00:30:00Z</cp:lastPrinted>
  <dcterms:modified xsi:type="dcterms:W3CDTF">2020-10-30T08:19:06Z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