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360" w:lineRule="auto"/>
        <w:rPr>
          <w:rFonts w:hint="eastAsia" w:ascii="宋体" w:hAnsi="宋体" w:eastAsia="宋体" w:cs="宋体"/>
          <w:color w:val="000000"/>
          <w:sz w:val="28"/>
          <w:szCs w:val="28"/>
        </w:rPr>
      </w:pPr>
      <w:bookmarkStart w:id="96" w:name="_GoBack"/>
      <w:bookmarkEnd w:id="96"/>
    </w:p>
    <w:p>
      <w:pPr>
        <w:spacing w:line="360" w:lineRule="auto"/>
        <w:jc w:val="center"/>
        <w:rPr>
          <w:rFonts w:hint="eastAsia" w:ascii="宋体" w:hAnsi="宋体" w:eastAsia="宋体" w:cs="宋体"/>
          <w:b/>
          <w:color w:val="000000"/>
          <w:sz w:val="28"/>
          <w:szCs w:val="28"/>
        </w:rPr>
      </w:pPr>
    </w:p>
    <w:p>
      <w:pPr>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2021年度青山水库运行维护及工程</w:t>
      </w:r>
    </w:p>
    <w:p>
      <w:pPr>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维修项目——运行管理及日常维护项目</w:t>
      </w:r>
    </w:p>
    <w:p>
      <w:pPr>
        <w:pStyle w:val="19"/>
        <w:rPr>
          <w:rFonts w:hint="eastAsia"/>
          <w:color w:val="000000"/>
        </w:rPr>
      </w:pPr>
    </w:p>
    <w:p>
      <w:pPr>
        <w:spacing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公开招标文件</w:t>
      </w:r>
    </w:p>
    <w:p>
      <w:pPr>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（电子交易）</w:t>
      </w:r>
    </w:p>
    <w:p>
      <w:pPr>
        <w:spacing w:line="360" w:lineRule="auto"/>
        <w:jc w:val="center"/>
        <w:rPr>
          <w:rFonts w:hint="eastAsia" w:ascii="宋体" w:hAnsi="宋体" w:eastAsia="宋体" w:cs="宋体"/>
          <w:b/>
          <w:color w:val="000000"/>
          <w:sz w:val="32"/>
          <w:szCs w:val="32"/>
        </w:rPr>
      </w:pPr>
    </w:p>
    <w:p>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采购编号：HLSJHZ-2021-002</w:t>
      </w:r>
    </w:p>
    <w:p>
      <w:pPr>
        <w:adjustRightInd w:val="0"/>
        <w:spacing w:line="360" w:lineRule="auto"/>
        <w:jc w:val="center"/>
        <w:rPr>
          <w:rFonts w:hint="eastAsia" w:ascii="宋体" w:hAnsi="宋体" w:eastAsia="宋体" w:cs="宋体"/>
          <w:color w:val="000000"/>
          <w:sz w:val="28"/>
          <w:szCs w:val="28"/>
        </w:rPr>
      </w:pPr>
    </w:p>
    <w:p>
      <w:pPr>
        <w:adjustRightInd w:val="0"/>
        <w:spacing w:line="360" w:lineRule="auto"/>
        <w:rPr>
          <w:rFonts w:hint="eastAsia" w:ascii="宋体" w:hAnsi="宋体" w:eastAsia="宋体" w:cs="宋体"/>
          <w:color w:val="000000"/>
          <w:sz w:val="28"/>
          <w:szCs w:val="28"/>
        </w:rPr>
      </w:pPr>
    </w:p>
    <w:p>
      <w:pPr>
        <w:adjustRightInd w:val="0"/>
        <w:spacing w:line="360" w:lineRule="auto"/>
        <w:jc w:val="center"/>
        <w:rPr>
          <w:rFonts w:hint="eastAsia" w:ascii="宋体" w:hAnsi="宋体" w:eastAsia="宋体" w:cs="宋体"/>
          <w:color w:val="000000"/>
          <w:sz w:val="28"/>
          <w:szCs w:val="28"/>
        </w:rPr>
      </w:pPr>
    </w:p>
    <w:p>
      <w:pPr>
        <w:adjustRightInd w:val="0"/>
        <w:spacing w:line="360" w:lineRule="auto"/>
        <w:jc w:val="center"/>
        <w:rPr>
          <w:rFonts w:hint="eastAsia" w:ascii="宋体" w:hAnsi="宋体" w:eastAsia="宋体" w:cs="宋体"/>
          <w:color w:val="000000"/>
          <w:sz w:val="28"/>
          <w:szCs w:val="28"/>
        </w:rPr>
      </w:pPr>
    </w:p>
    <w:p>
      <w:pPr>
        <w:adjustRightInd w:val="0"/>
        <w:spacing w:line="360" w:lineRule="auto"/>
        <w:jc w:val="center"/>
        <w:rPr>
          <w:rFonts w:hint="eastAsia" w:ascii="宋体" w:hAnsi="宋体" w:eastAsia="宋体" w:cs="宋体"/>
          <w:color w:val="000000"/>
          <w:sz w:val="28"/>
          <w:szCs w:val="28"/>
        </w:rPr>
      </w:pPr>
    </w:p>
    <w:p>
      <w:pPr>
        <w:adjustRightInd w:val="0"/>
        <w:spacing w:line="360" w:lineRule="auto"/>
        <w:jc w:val="center"/>
        <w:rPr>
          <w:rFonts w:hint="eastAsia" w:ascii="宋体" w:hAnsi="宋体" w:eastAsia="宋体" w:cs="宋体"/>
          <w:color w:val="000000"/>
          <w:sz w:val="28"/>
          <w:szCs w:val="28"/>
        </w:rPr>
      </w:pPr>
    </w:p>
    <w:p>
      <w:pPr>
        <w:adjustRightInd w:val="0"/>
        <w:spacing w:line="360" w:lineRule="auto"/>
        <w:jc w:val="center"/>
        <w:rPr>
          <w:rFonts w:hint="eastAsia" w:ascii="宋体" w:hAnsi="宋体" w:eastAsia="宋体" w:cs="宋体"/>
          <w:color w:val="000000"/>
          <w:sz w:val="36"/>
          <w:szCs w:val="36"/>
        </w:rPr>
      </w:pPr>
      <w:r>
        <w:rPr>
          <w:rFonts w:hint="eastAsia" w:ascii="宋体" w:hAnsi="宋体" w:eastAsia="宋体" w:cs="宋体"/>
          <w:color w:val="000000"/>
          <w:sz w:val="36"/>
          <w:szCs w:val="36"/>
        </w:rPr>
        <w:t>采购人：杭州市水库管理服务中心</w:t>
      </w:r>
    </w:p>
    <w:p>
      <w:pPr>
        <w:pStyle w:val="19"/>
        <w:spacing w:line="360" w:lineRule="auto"/>
        <w:ind w:firstLine="0" w:firstLineChars="0"/>
        <w:jc w:val="center"/>
        <w:rPr>
          <w:rFonts w:hint="eastAsia" w:eastAsia="宋体" w:cs="宋体"/>
          <w:color w:val="000000"/>
          <w:sz w:val="36"/>
          <w:szCs w:val="36"/>
        </w:rPr>
      </w:pPr>
      <w:r>
        <w:rPr>
          <w:rFonts w:hint="eastAsia" w:eastAsia="宋体" w:cs="宋体"/>
          <w:color w:val="000000"/>
          <w:sz w:val="36"/>
          <w:szCs w:val="36"/>
        </w:rPr>
        <w:t>采购代理机构：华联世纪工程咨询股份有限公司</w:t>
      </w:r>
    </w:p>
    <w:p>
      <w:pPr>
        <w:pStyle w:val="19"/>
        <w:spacing w:line="360" w:lineRule="auto"/>
        <w:ind w:firstLine="0" w:firstLineChars="0"/>
        <w:jc w:val="center"/>
        <w:rPr>
          <w:rFonts w:hint="eastAsia" w:eastAsia="宋体" w:cs="宋体"/>
          <w:color w:val="000000"/>
          <w:sz w:val="36"/>
          <w:szCs w:val="36"/>
        </w:rPr>
      </w:pPr>
      <w:r>
        <w:rPr>
          <w:rFonts w:hint="eastAsia" w:eastAsia="宋体" w:cs="宋体"/>
          <w:color w:val="000000"/>
          <w:sz w:val="36"/>
          <w:szCs w:val="36"/>
        </w:rPr>
        <w:t>日期：2021年4月</w:t>
      </w:r>
    </w:p>
    <w:p>
      <w:pPr>
        <w:spacing w:line="360" w:lineRule="auto"/>
        <w:jc w:val="center"/>
        <w:rPr>
          <w:rFonts w:hint="eastAsia" w:ascii="宋体" w:hAnsi="宋体" w:eastAsia="宋体" w:cs="宋体"/>
          <w:color w:val="000000"/>
          <w:kern w:val="0"/>
          <w:sz w:val="28"/>
          <w:szCs w:val="28"/>
        </w:rPr>
      </w:pPr>
    </w:p>
    <w:p>
      <w:pPr>
        <w:adjustRightInd w:val="0"/>
        <w:spacing w:line="360" w:lineRule="auto"/>
        <w:jc w:val="center"/>
        <w:rPr>
          <w:rFonts w:hint="eastAsia" w:ascii="宋体" w:hAnsi="宋体" w:eastAsia="宋体" w:cs="宋体"/>
          <w:color w:val="000000"/>
          <w:sz w:val="28"/>
          <w:szCs w:val="28"/>
        </w:rPr>
      </w:pPr>
    </w:p>
    <w:p>
      <w:pPr>
        <w:adjustRightInd w:val="0"/>
        <w:spacing w:line="360" w:lineRule="auto"/>
        <w:rPr>
          <w:rFonts w:hint="eastAsia" w:ascii="宋体" w:hAnsi="宋体" w:eastAsia="宋体" w:cs="宋体"/>
          <w:color w:val="000000"/>
          <w:sz w:val="28"/>
          <w:szCs w:val="28"/>
        </w:rPr>
      </w:pPr>
    </w:p>
    <w:p>
      <w:pPr>
        <w:adjustRightInd w:val="0"/>
        <w:spacing w:line="360" w:lineRule="auto"/>
        <w:jc w:val="center"/>
        <w:rPr>
          <w:rFonts w:hint="eastAsia" w:ascii="宋体" w:hAnsi="宋体" w:eastAsia="宋体" w:cs="宋体"/>
          <w:color w:val="000000"/>
          <w:sz w:val="28"/>
          <w:szCs w:val="28"/>
        </w:rPr>
      </w:pPr>
    </w:p>
    <w:p>
      <w:pPr>
        <w:adjustRightInd w:val="0"/>
        <w:spacing w:line="360" w:lineRule="auto"/>
        <w:jc w:val="center"/>
        <w:rPr>
          <w:rFonts w:hint="eastAsia" w:ascii="宋体" w:hAnsi="宋体" w:eastAsia="宋体" w:cs="宋体"/>
          <w:color w:val="000000"/>
          <w:sz w:val="28"/>
          <w:szCs w:val="28"/>
        </w:rPr>
      </w:pPr>
    </w:p>
    <w:p>
      <w:pPr>
        <w:adjustRightInd w:val="0"/>
        <w:spacing w:line="360" w:lineRule="auto"/>
        <w:rPr>
          <w:rFonts w:hint="eastAsia" w:ascii="宋体" w:hAnsi="宋体" w:eastAsia="宋体" w:cs="宋体"/>
          <w:color w:val="000000"/>
          <w:sz w:val="28"/>
          <w:szCs w:val="28"/>
        </w:rPr>
      </w:pPr>
    </w:p>
    <w:p>
      <w:pPr>
        <w:adjustRightInd w:val="0"/>
        <w:spacing w:line="360" w:lineRule="auto"/>
        <w:rPr>
          <w:rFonts w:hint="eastAsia" w:ascii="宋体" w:hAnsi="宋体" w:eastAsia="宋体" w:cs="宋体"/>
          <w:b/>
          <w:color w:val="000000"/>
          <w:sz w:val="36"/>
        </w:rPr>
        <w:sectPr>
          <w:headerReference r:id="rId6" w:type="first"/>
          <w:footerReference r:id="rId9" w:type="first"/>
          <w:headerReference r:id="rId5" w:type="default"/>
          <w:footerReference r:id="rId7" w:type="default"/>
          <w:footerReference r:id="rId8" w:type="even"/>
          <w:pgSz w:w="11906" w:h="16838"/>
          <w:pgMar w:top="1134" w:right="1134" w:bottom="1134" w:left="1304" w:header="567" w:footer="567" w:gutter="0"/>
          <w:pgNumType w:start="1"/>
          <w:cols w:space="720" w:num="1"/>
          <w:titlePg/>
          <w:docGrid w:linePitch="312" w:charSpace="0"/>
        </w:sectPr>
      </w:pPr>
    </w:p>
    <w:p>
      <w:pPr>
        <w:adjustRightInd w:val="0"/>
        <w:spacing w:line="360" w:lineRule="auto"/>
        <w:jc w:val="center"/>
        <w:rPr>
          <w:rFonts w:hint="eastAsia" w:ascii="宋体" w:hAnsi="宋体" w:eastAsia="宋体" w:cs="宋体"/>
          <w:b/>
          <w:color w:val="000000"/>
          <w:sz w:val="36"/>
        </w:rPr>
      </w:pPr>
    </w:p>
    <w:p>
      <w:pPr>
        <w:adjustRightInd w:val="0"/>
        <w:spacing w:line="360" w:lineRule="auto"/>
        <w:jc w:val="center"/>
        <w:rPr>
          <w:rFonts w:ascii="宋体" w:hAnsi="宋体" w:eastAsia="宋体" w:cs="宋体"/>
          <w:b/>
          <w:color w:val="000000"/>
          <w:sz w:val="36"/>
        </w:rPr>
      </w:pPr>
      <w:r>
        <w:rPr>
          <w:rFonts w:hint="eastAsia" w:ascii="宋体" w:hAnsi="宋体" w:eastAsia="宋体" w:cs="宋体"/>
          <w:b/>
          <w:color w:val="000000"/>
          <w:sz w:val="36"/>
        </w:rPr>
        <w:t>电子交易说明</w:t>
      </w:r>
    </w:p>
    <w:p>
      <w:pPr>
        <w:adjustRightInd w:val="0"/>
        <w:spacing w:line="360" w:lineRule="auto"/>
        <w:jc w:val="center"/>
        <w:rPr>
          <w:rFonts w:hint="eastAsia" w:ascii="宋体" w:hAnsi="宋体" w:eastAsia="宋体" w:cs="宋体"/>
          <w:b/>
          <w:color w:val="000000"/>
          <w:sz w:val="36"/>
        </w:rPr>
      </w:pPr>
    </w:p>
    <w:p>
      <w:pPr>
        <w:spacing w:line="360" w:lineRule="auto"/>
        <w:ind w:firstLine="482" w:firstLineChars="200"/>
        <w:rPr>
          <w:rFonts w:hint="eastAsia" w:ascii="宋体" w:hAnsi="宋体" w:eastAsia="宋体" w:cs="宋体"/>
          <w:color w:val="000000"/>
          <w:szCs w:val="24"/>
        </w:rPr>
      </w:pPr>
      <w:r>
        <w:rPr>
          <w:rFonts w:hint="eastAsia" w:ascii="宋体" w:hAnsi="宋体" w:eastAsia="宋体" w:cs="宋体"/>
          <w:b/>
          <w:bCs/>
          <w:color w:val="000000"/>
          <w:szCs w:val="24"/>
        </w:rPr>
        <w:t>电子交易：</w:t>
      </w:r>
      <w:r>
        <w:rPr>
          <w:rFonts w:hint="eastAsia" w:ascii="宋体" w:hAnsi="宋体" w:eastAsia="宋体" w:cs="宋体"/>
          <w:color w:val="000000"/>
          <w:szCs w:val="24"/>
        </w:rPr>
        <w:t>本项目以数据电文形式，依托“政府采购云平台（www.zcygov.cn）”进行招投标活动，不接受纸质投标文件。</w:t>
      </w:r>
    </w:p>
    <w:p>
      <w:pPr>
        <w:spacing w:line="360" w:lineRule="auto"/>
        <w:ind w:firstLine="482" w:firstLineChars="200"/>
        <w:rPr>
          <w:rFonts w:hint="eastAsia" w:ascii="宋体" w:hAnsi="宋体" w:eastAsia="宋体" w:cs="宋体"/>
          <w:color w:val="000000"/>
          <w:szCs w:val="24"/>
        </w:rPr>
      </w:pPr>
      <w:r>
        <w:rPr>
          <w:rFonts w:hint="eastAsia" w:ascii="宋体" w:hAnsi="宋体" w:eastAsia="宋体" w:cs="宋体"/>
          <w:b/>
          <w:bCs/>
          <w:color w:val="000000"/>
          <w:szCs w:val="24"/>
        </w:rPr>
        <w:t>投标准备：</w:t>
      </w:r>
      <w:r>
        <w:rPr>
          <w:rFonts w:hint="eastAsia" w:ascii="宋体" w:hAnsi="宋体" w:eastAsia="宋体" w:cs="宋体"/>
          <w:color w:val="000000"/>
          <w:szCs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2" w:firstLineChars="200"/>
        <w:rPr>
          <w:rFonts w:hint="eastAsia" w:ascii="宋体" w:hAnsi="宋体" w:eastAsia="宋体" w:cs="宋体"/>
          <w:color w:val="000000"/>
          <w:szCs w:val="24"/>
        </w:rPr>
      </w:pPr>
      <w:r>
        <w:rPr>
          <w:rFonts w:hint="eastAsia" w:ascii="宋体" w:hAnsi="宋体" w:eastAsia="宋体" w:cs="宋体"/>
          <w:b/>
          <w:bCs/>
          <w:color w:val="000000"/>
          <w:szCs w:val="24"/>
        </w:rPr>
        <w:t>招标文件的获取：</w:t>
      </w:r>
      <w:r>
        <w:rPr>
          <w:rFonts w:hint="eastAsia" w:ascii="宋体" w:hAnsi="宋体" w:eastAsia="宋体" w:cs="宋体"/>
          <w:color w:val="000000"/>
          <w:szCs w:val="24"/>
        </w:rPr>
        <w:t>使用账号登录或者使用CA登录政采云平台；进入“项目采购”应用，在获取采购文件菜单中选择项目，获取招标文件。</w:t>
      </w:r>
    </w:p>
    <w:p>
      <w:pPr>
        <w:spacing w:line="360" w:lineRule="auto"/>
        <w:ind w:firstLine="482" w:firstLineChars="200"/>
        <w:rPr>
          <w:rFonts w:hint="eastAsia" w:ascii="宋体" w:hAnsi="宋体" w:eastAsia="宋体" w:cs="宋体"/>
          <w:color w:val="000000"/>
          <w:szCs w:val="24"/>
        </w:rPr>
      </w:pPr>
      <w:r>
        <w:rPr>
          <w:rFonts w:hint="eastAsia" w:ascii="宋体" w:hAnsi="宋体" w:eastAsia="宋体" w:cs="宋体"/>
          <w:b/>
          <w:bCs/>
          <w:color w:val="000000"/>
          <w:szCs w:val="24"/>
        </w:rPr>
        <w:t>投标文件的制作：</w:t>
      </w:r>
      <w:r>
        <w:rPr>
          <w:rFonts w:hint="eastAsia" w:ascii="宋体" w:hAnsi="宋体" w:eastAsia="宋体" w:cs="宋体"/>
          <w:color w:val="000000"/>
          <w:szCs w:val="24"/>
        </w:rPr>
        <w:t>在“政采云电子交易客户端”中完成“填写基本信息”、“导入投标文件”、“标书关联”、“标书检查”、“电子签名”、“生成电子标书”等操作。</w:t>
      </w:r>
    </w:p>
    <w:p>
      <w:pPr>
        <w:spacing w:line="360" w:lineRule="auto"/>
        <w:ind w:firstLine="482" w:firstLineChars="200"/>
        <w:rPr>
          <w:rFonts w:hint="eastAsia" w:ascii="宋体" w:hAnsi="宋体" w:eastAsia="宋体" w:cs="宋体"/>
          <w:color w:val="000000"/>
          <w:szCs w:val="24"/>
        </w:rPr>
      </w:pPr>
      <w:r>
        <w:rPr>
          <w:rFonts w:hint="eastAsia" w:ascii="宋体" w:hAnsi="宋体" w:eastAsia="宋体" w:cs="宋体"/>
          <w:b/>
          <w:bCs/>
          <w:color w:val="000000"/>
          <w:szCs w:val="24"/>
        </w:rPr>
        <w:t>投标文件的传输递交：</w:t>
      </w:r>
      <w:r>
        <w:rPr>
          <w:rFonts w:hint="eastAsia" w:ascii="宋体" w:hAnsi="宋体" w:eastAsia="宋体" w:cs="宋体"/>
          <w:color w:val="000000"/>
          <w:szCs w:val="24"/>
        </w:rPr>
        <w:t>投标人在投标截止时间前将加密的投标文件上传至政府采购云平台，还可以在投标截止时间前直接提交或者以快递方式递交备份投标文件1份至招标文件规定的地点,备份投标文件的制作、存储、密封详见招标文件。</w:t>
      </w:r>
    </w:p>
    <w:p>
      <w:pPr>
        <w:spacing w:line="360" w:lineRule="auto"/>
        <w:ind w:firstLine="482" w:firstLineChars="200"/>
        <w:rPr>
          <w:rFonts w:hint="eastAsia" w:ascii="宋体" w:hAnsi="宋体" w:eastAsia="宋体" w:cs="宋体"/>
          <w:color w:val="000000"/>
          <w:szCs w:val="24"/>
        </w:rPr>
      </w:pPr>
      <w:r>
        <w:rPr>
          <w:rFonts w:hint="eastAsia" w:ascii="宋体" w:hAnsi="宋体" w:eastAsia="宋体" w:cs="宋体"/>
          <w:b/>
          <w:bCs/>
          <w:color w:val="000000"/>
          <w:szCs w:val="24"/>
        </w:rPr>
        <w:t>投标文件的解密：</w:t>
      </w:r>
      <w:r>
        <w:rPr>
          <w:rFonts w:hint="eastAsia" w:ascii="宋体" w:hAnsi="宋体" w:eastAsia="宋体" w:cs="宋体"/>
          <w:color w:val="000000"/>
          <w:szCs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2" w:firstLineChars="200"/>
        <w:rPr>
          <w:rFonts w:hint="eastAsia" w:ascii="宋体" w:hAnsi="宋体" w:eastAsia="宋体" w:cs="宋体"/>
          <w:color w:val="000000"/>
          <w:szCs w:val="24"/>
        </w:rPr>
      </w:pPr>
      <w:r>
        <w:rPr>
          <w:rFonts w:hint="eastAsia" w:ascii="宋体" w:hAnsi="宋体" w:eastAsia="宋体" w:cs="宋体"/>
          <w:b/>
          <w:bCs/>
          <w:color w:val="000000"/>
          <w:szCs w:val="24"/>
        </w:rPr>
        <w:t>具体操作指南：</w:t>
      </w:r>
      <w:r>
        <w:rPr>
          <w:rFonts w:hint="eastAsia" w:ascii="宋体" w:hAnsi="宋体" w:eastAsia="宋体" w:cs="宋体"/>
          <w:color w:val="000000"/>
          <w:szCs w:val="24"/>
        </w:rPr>
        <w:t>详见政采云平台“服务中心-帮助文档-项目采购-操作流程-电子招投标-政府采购项目电子交易管理操作指南-供应商”。</w:t>
      </w:r>
    </w:p>
    <w:p>
      <w:pPr>
        <w:spacing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政府采购云平台技术咨询电话：400-881-7190。</w:t>
      </w:r>
    </w:p>
    <w:p>
      <w:pPr>
        <w:adjustRightInd w:val="0"/>
        <w:spacing w:line="360" w:lineRule="auto"/>
        <w:jc w:val="center"/>
        <w:rPr>
          <w:rFonts w:hint="eastAsia" w:ascii="宋体" w:hAnsi="宋体" w:eastAsia="宋体" w:cs="宋体"/>
          <w:b/>
          <w:color w:val="000000"/>
          <w:szCs w:val="24"/>
        </w:rPr>
      </w:pPr>
    </w:p>
    <w:p>
      <w:pPr>
        <w:adjustRightInd w:val="0"/>
        <w:spacing w:line="360" w:lineRule="auto"/>
        <w:jc w:val="center"/>
        <w:rPr>
          <w:rFonts w:hint="eastAsia" w:ascii="宋体" w:hAnsi="宋体" w:eastAsia="宋体" w:cs="宋体"/>
          <w:b/>
          <w:color w:val="000000"/>
          <w:sz w:val="36"/>
        </w:rPr>
      </w:pPr>
      <w:r>
        <w:rPr>
          <w:rFonts w:hint="eastAsia" w:ascii="宋体" w:hAnsi="宋体" w:eastAsia="宋体" w:cs="宋体"/>
          <w:b/>
          <w:color w:val="000000"/>
          <w:sz w:val="36"/>
        </w:rPr>
        <w:br w:type="page"/>
      </w:r>
      <w:r>
        <w:rPr>
          <w:rFonts w:hint="eastAsia" w:ascii="宋体" w:hAnsi="宋体" w:eastAsia="宋体" w:cs="宋体"/>
          <w:b/>
          <w:color w:val="000000"/>
          <w:sz w:val="36"/>
        </w:rPr>
        <w:t>目    录</w:t>
      </w:r>
    </w:p>
    <w:p>
      <w:pPr>
        <w:pStyle w:val="31"/>
        <w:tabs>
          <w:tab w:val="right" w:leader="dot" w:pos="9468"/>
        </w:tabs>
        <w:spacing w:line="360" w:lineRule="auto"/>
        <w:rPr>
          <w:rFonts w:hint="eastAsia" w:ascii="宋体" w:hAnsi="宋体" w:eastAsia="宋体" w:cs="宋体"/>
          <w:color w:val="000000"/>
          <w:sz w:val="28"/>
          <w:szCs w:val="28"/>
        </w:rPr>
      </w:pPr>
      <w:bookmarkStart w:id="0" w:name="_Toc91899869"/>
    </w:p>
    <w:p>
      <w:pPr>
        <w:pStyle w:val="31"/>
        <w:tabs>
          <w:tab w:val="right" w:leader="dot" w:pos="9468"/>
        </w:tabs>
        <w:spacing w:before="72" w:beforeLines="30" w:after="72" w:afterLines="30" w:line="360" w:lineRule="auto"/>
        <w:rPr>
          <w:rFonts w:hint="eastAsia" w:ascii="宋体" w:hAnsi="宋体" w:eastAsia="宋体" w:cs="宋体"/>
          <w:b/>
          <w:bCs/>
          <w:color w:val="000000"/>
        </w:rPr>
      </w:pPr>
      <w:r>
        <w:rPr>
          <w:rFonts w:hint="eastAsia" w:ascii="宋体" w:hAnsi="宋体" w:eastAsia="宋体" w:cs="宋体"/>
          <w:color w:val="000000"/>
          <w:szCs w:val="24"/>
        </w:rPr>
        <w:fldChar w:fldCharType="begin"/>
      </w:r>
      <w:r>
        <w:rPr>
          <w:rFonts w:hint="eastAsia" w:ascii="宋体" w:hAnsi="宋体" w:eastAsia="宋体" w:cs="宋体"/>
          <w:color w:val="000000"/>
          <w:szCs w:val="24"/>
        </w:rPr>
        <w:instrText xml:space="preserve">TOC \o "1-2" \h  \u </w:instrText>
      </w:r>
      <w:r>
        <w:rPr>
          <w:rFonts w:hint="eastAsia" w:ascii="宋体" w:hAnsi="宋体" w:eastAsia="宋体" w:cs="宋体"/>
          <w:color w:val="000000"/>
          <w:szCs w:val="24"/>
        </w:rPr>
        <w:fldChar w:fldCharType="separate"/>
      </w:r>
      <w:r>
        <w:rPr>
          <w:rFonts w:hint="eastAsia" w:ascii="宋体" w:hAnsi="宋体" w:eastAsia="宋体" w:cs="宋体"/>
          <w:b/>
          <w:bCs/>
          <w:color w:val="000000"/>
          <w:szCs w:val="24"/>
        </w:rPr>
        <w:fldChar w:fldCharType="begin"/>
      </w:r>
      <w:r>
        <w:rPr>
          <w:rFonts w:hint="eastAsia" w:ascii="宋体" w:hAnsi="宋体" w:eastAsia="宋体" w:cs="宋体"/>
          <w:b/>
          <w:bCs/>
          <w:color w:val="000000"/>
          <w:szCs w:val="24"/>
        </w:rPr>
        <w:instrText xml:space="preserve"> HYPERLINK \l _Toc1881 </w:instrText>
      </w:r>
      <w:r>
        <w:rPr>
          <w:rFonts w:hint="eastAsia" w:ascii="宋体" w:hAnsi="宋体" w:eastAsia="宋体" w:cs="宋体"/>
          <w:b/>
          <w:bCs/>
          <w:color w:val="000000"/>
          <w:szCs w:val="24"/>
        </w:rPr>
        <w:fldChar w:fldCharType="separate"/>
      </w:r>
      <w:r>
        <w:rPr>
          <w:rFonts w:hint="eastAsia" w:ascii="宋体" w:hAnsi="宋体" w:eastAsia="宋体" w:cs="宋体"/>
          <w:b/>
          <w:bCs/>
          <w:color w:val="000000"/>
        </w:rPr>
        <w:t>第一部分 招标公告</w:t>
      </w:r>
      <w:r>
        <w:rPr>
          <w:rFonts w:hint="eastAsia" w:ascii="宋体" w:hAnsi="宋体" w:eastAsia="宋体" w:cs="宋体"/>
          <w:b/>
          <w:bCs/>
          <w:color w:val="000000"/>
        </w:rPr>
        <w:tab/>
      </w:r>
      <w:r>
        <w:rPr>
          <w:rFonts w:hint="eastAsia" w:ascii="宋体" w:hAnsi="宋体" w:eastAsia="宋体" w:cs="宋体"/>
          <w:b/>
          <w:bCs/>
          <w:color w:val="000000"/>
        </w:rPr>
        <w:fldChar w:fldCharType="begin"/>
      </w:r>
      <w:r>
        <w:rPr>
          <w:rFonts w:hint="eastAsia" w:ascii="宋体" w:hAnsi="宋体" w:eastAsia="宋体" w:cs="宋体"/>
          <w:b/>
          <w:bCs/>
          <w:color w:val="000000"/>
        </w:rPr>
        <w:instrText xml:space="preserve"> PAGEREF _Toc1881 </w:instrText>
      </w:r>
      <w:r>
        <w:rPr>
          <w:rFonts w:hint="eastAsia" w:ascii="宋体" w:hAnsi="宋体" w:eastAsia="宋体" w:cs="宋体"/>
          <w:b/>
          <w:bCs/>
          <w:color w:val="000000"/>
        </w:rPr>
        <w:fldChar w:fldCharType="separate"/>
      </w:r>
      <w:r>
        <w:rPr>
          <w:rFonts w:hint="eastAsia" w:ascii="宋体" w:hAnsi="宋体" w:eastAsia="宋体" w:cs="宋体"/>
          <w:b/>
          <w:bCs/>
          <w:color w:val="000000"/>
        </w:rPr>
        <w:t>1</w:t>
      </w:r>
      <w:r>
        <w:rPr>
          <w:rFonts w:hint="eastAsia" w:ascii="宋体" w:hAnsi="宋体" w:eastAsia="宋体" w:cs="宋体"/>
          <w:b/>
          <w:bCs/>
          <w:color w:val="000000"/>
        </w:rPr>
        <w:fldChar w:fldCharType="end"/>
      </w:r>
      <w:r>
        <w:rPr>
          <w:rFonts w:hint="eastAsia" w:ascii="宋体" w:hAnsi="宋体" w:eastAsia="宋体" w:cs="宋体"/>
          <w:b/>
          <w:bCs/>
          <w:color w:val="000000"/>
          <w:szCs w:val="24"/>
        </w:rPr>
        <w:fldChar w:fldCharType="end"/>
      </w:r>
    </w:p>
    <w:p>
      <w:pPr>
        <w:pStyle w:val="31"/>
        <w:tabs>
          <w:tab w:val="right" w:leader="dot" w:pos="9468"/>
        </w:tabs>
        <w:spacing w:before="72" w:beforeLines="30" w:after="72" w:afterLines="30" w:line="360" w:lineRule="auto"/>
        <w:rPr>
          <w:rFonts w:hint="eastAsia" w:ascii="宋体" w:hAnsi="宋体" w:eastAsia="宋体" w:cs="宋体"/>
          <w:b/>
          <w:bCs/>
          <w:color w:val="000000"/>
        </w:rPr>
      </w:pPr>
      <w:r>
        <w:rPr>
          <w:rFonts w:hint="eastAsia" w:ascii="宋体" w:hAnsi="宋体" w:eastAsia="宋体" w:cs="宋体"/>
          <w:b/>
          <w:bCs/>
          <w:color w:val="000000"/>
          <w:szCs w:val="24"/>
        </w:rPr>
        <w:fldChar w:fldCharType="begin"/>
      </w:r>
      <w:r>
        <w:rPr>
          <w:rFonts w:hint="eastAsia" w:ascii="宋体" w:hAnsi="宋体" w:eastAsia="宋体" w:cs="宋体"/>
          <w:b/>
          <w:bCs/>
          <w:color w:val="000000"/>
          <w:szCs w:val="24"/>
        </w:rPr>
        <w:instrText xml:space="preserve"> HYPERLINK \l _Toc2328 </w:instrText>
      </w:r>
      <w:r>
        <w:rPr>
          <w:rFonts w:hint="eastAsia" w:ascii="宋体" w:hAnsi="宋体" w:eastAsia="宋体" w:cs="宋体"/>
          <w:b/>
          <w:bCs/>
          <w:color w:val="000000"/>
          <w:szCs w:val="24"/>
        </w:rPr>
        <w:fldChar w:fldCharType="separate"/>
      </w:r>
      <w:r>
        <w:rPr>
          <w:rFonts w:hint="eastAsia" w:ascii="宋体" w:hAnsi="宋体" w:eastAsia="宋体" w:cs="宋体"/>
          <w:b/>
          <w:bCs/>
          <w:color w:val="000000"/>
        </w:rPr>
        <w:t>第二部分 投标须知</w:t>
      </w:r>
      <w:r>
        <w:rPr>
          <w:rFonts w:hint="eastAsia" w:ascii="宋体" w:hAnsi="宋体" w:eastAsia="宋体" w:cs="宋体"/>
          <w:b/>
          <w:bCs/>
          <w:color w:val="000000"/>
        </w:rPr>
        <w:tab/>
      </w:r>
      <w:r>
        <w:rPr>
          <w:rFonts w:hint="eastAsia" w:ascii="宋体" w:hAnsi="宋体" w:eastAsia="宋体" w:cs="宋体"/>
          <w:b/>
          <w:bCs/>
          <w:color w:val="000000"/>
        </w:rPr>
        <w:fldChar w:fldCharType="begin"/>
      </w:r>
      <w:r>
        <w:rPr>
          <w:rFonts w:hint="eastAsia" w:ascii="宋体" w:hAnsi="宋体" w:eastAsia="宋体" w:cs="宋体"/>
          <w:b/>
          <w:bCs/>
          <w:color w:val="000000"/>
        </w:rPr>
        <w:instrText xml:space="preserve"> PAGEREF _Toc2328 </w:instrText>
      </w:r>
      <w:r>
        <w:rPr>
          <w:rFonts w:hint="eastAsia" w:ascii="宋体" w:hAnsi="宋体" w:eastAsia="宋体" w:cs="宋体"/>
          <w:b/>
          <w:bCs/>
          <w:color w:val="000000"/>
        </w:rPr>
        <w:fldChar w:fldCharType="separate"/>
      </w:r>
      <w:r>
        <w:rPr>
          <w:rFonts w:hint="eastAsia" w:ascii="宋体" w:hAnsi="宋体" w:eastAsia="宋体" w:cs="宋体"/>
          <w:b/>
          <w:bCs/>
          <w:color w:val="000000"/>
        </w:rPr>
        <w:t>4</w:t>
      </w:r>
      <w:r>
        <w:rPr>
          <w:rFonts w:hint="eastAsia" w:ascii="宋体" w:hAnsi="宋体" w:eastAsia="宋体" w:cs="宋体"/>
          <w:b/>
          <w:bCs/>
          <w:color w:val="000000"/>
        </w:rPr>
        <w:fldChar w:fldCharType="end"/>
      </w:r>
      <w:r>
        <w:rPr>
          <w:rFonts w:hint="eastAsia" w:ascii="宋体" w:hAnsi="宋体" w:eastAsia="宋体" w:cs="宋体"/>
          <w:b/>
          <w:bCs/>
          <w:color w:val="000000"/>
          <w:szCs w:val="24"/>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_Toc11138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前附表</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_Toc11138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4</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_Toc25282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一、总  则</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_Toc25282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9</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_Toc24892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二、招  标</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_Toc24892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10</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_Toc14860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三、投  标</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_Toc14860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12</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_Toc12308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四、开标、评标</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_Toc12308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16</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_Toc5381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五、中标和合同</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_Toc5381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18</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_Toc30662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六、验  收</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_Toc30662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19</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_Toc9916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七、其  他</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_Toc9916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19</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1"/>
        <w:tabs>
          <w:tab w:val="right" w:leader="dot" w:pos="9468"/>
        </w:tabs>
        <w:spacing w:before="72" w:beforeLines="30" w:after="72" w:afterLines="30" w:line="360" w:lineRule="auto"/>
        <w:rPr>
          <w:rFonts w:hint="eastAsia" w:ascii="宋体" w:hAnsi="宋体" w:eastAsia="宋体" w:cs="宋体"/>
          <w:b/>
          <w:bCs/>
          <w:color w:val="000000"/>
        </w:rPr>
      </w:pPr>
      <w:r>
        <w:rPr>
          <w:rFonts w:hint="eastAsia" w:ascii="宋体" w:hAnsi="宋体" w:eastAsia="宋体" w:cs="宋体"/>
          <w:b/>
          <w:bCs/>
          <w:color w:val="000000"/>
          <w:szCs w:val="24"/>
        </w:rPr>
        <w:fldChar w:fldCharType="begin"/>
      </w:r>
      <w:r>
        <w:rPr>
          <w:rFonts w:hint="eastAsia" w:ascii="宋体" w:hAnsi="宋体" w:eastAsia="宋体" w:cs="宋体"/>
          <w:b/>
          <w:bCs/>
          <w:color w:val="000000"/>
          <w:szCs w:val="24"/>
        </w:rPr>
        <w:instrText xml:space="preserve"> HYPERLINK \l _Toc12381 </w:instrText>
      </w:r>
      <w:r>
        <w:rPr>
          <w:rFonts w:hint="eastAsia" w:ascii="宋体" w:hAnsi="宋体" w:eastAsia="宋体" w:cs="宋体"/>
          <w:b/>
          <w:bCs/>
          <w:color w:val="000000"/>
          <w:szCs w:val="24"/>
        </w:rPr>
        <w:fldChar w:fldCharType="separate"/>
      </w:r>
      <w:r>
        <w:rPr>
          <w:rFonts w:hint="eastAsia" w:ascii="宋体" w:hAnsi="宋体" w:eastAsia="宋体" w:cs="宋体"/>
          <w:b/>
          <w:bCs/>
          <w:color w:val="000000"/>
        </w:rPr>
        <w:t>第三部分 评标方法及标准</w:t>
      </w:r>
      <w:r>
        <w:rPr>
          <w:rFonts w:hint="eastAsia" w:ascii="宋体" w:hAnsi="宋体" w:eastAsia="宋体" w:cs="宋体"/>
          <w:b/>
          <w:bCs/>
          <w:color w:val="000000"/>
        </w:rPr>
        <w:tab/>
      </w:r>
      <w:r>
        <w:rPr>
          <w:rFonts w:hint="eastAsia" w:ascii="宋体" w:hAnsi="宋体" w:eastAsia="宋体" w:cs="宋体"/>
          <w:b/>
          <w:bCs/>
          <w:color w:val="000000"/>
        </w:rPr>
        <w:fldChar w:fldCharType="begin"/>
      </w:r>
      <w:r>
        <w:rPr>
          <w:rFonts w:hint="eastAsia" w:ascii="宋体" w:hAnsi="宋体" w:eastAsia="宋体" w:cs="宋体"/>
          <w:b/>
          <w:bCs/>
          <w:color w:val="000000"/>
        </w:rPr>
        <w:instrText xml:space="preserve"> PAGEREF _Toc12381 </w:instrText>
      </w:r>
      <w:r>
        <w:rPr>
          <w:rFonts w:hint="eastAsia" w:ascii="宋体" w:hAnsi="宋体" w:eastAsia="宋体" w:cs="宋体"/>
          <w:b/>
          <w:bCs/>
          <w:color w:val="000000"/>
        </w:rPr>
        <w:fldChar w:fldCharType="separate"/>
      </w:r>
      <w:r>
        <w:rPr>
          <w:rFonts w:hint="eastAsia" w:ascii="宋体" w:hAnsi="宋体" w:eastAsia="宋体" w:cs="宋体"/>
          <w:b/>
          <w:bCs/>
          <w:color w:val="000000"/>
        </w:rPr>
        <w:t>22</w:t>
      </w:r>
      <w:r>
        <w:rPr>
          <w:rFonts w:hint="eastAsia" w:ascii="宋体" w:hAnsi="宋体" w:eastAsia="宋体" w:cs="宋体"/>
          <w:b/>
          <w:bCs/>
          <w:color w:val="000000"/>
        </w:rPr>
        <w:fldChar w:fldCharType="end"/>
      </w:r>
      <w:r>
        <w:rPr>
          <w:rFonts w:hint="eastAsia" w:ascii="宋体" w:hAnsi="宋体" w:eastAsia="宋体" w:cs="宋体"/>
          <w:b/>
          <w:bCs/>
          <w:color w:val="000000"/>
          <w:szCs w:val="24"/>
        </w:rPr>
        <w:fldChar w:fldCharType="end"/>
      </w:r>
    </w:p>
    <w:p>
      <w:pPr>
        <w:pStyle w:val="31"/>
        <w:tabs>
          <w:tab w:val="right" w:leader="dot" w:pos="9468"/>
        </w:tabs>
        <w:spacing w:before="72" w:beforeLines="30" w:after="72" w:afterLines="30" w:line="360" w:lineRule="auto"/>
        <w:rPr>
          <w:rFonts w:hint="eastAsia" w:ascii="宋体" w:hAnsi="宋体" w:eastAsia="宋体" w:cs="宋体"/>
          <w:b/>
          <w:bCs/>
          <w:color w:val="000000"/>
        </w:rPr>
      </w:pPr>
      <w:r>
        <w:rPr>
          <w:rFonts w:hint="eastAsia" w:ascii="宋体" w:hAnsi="宋体" w:eastAsia="宋体" w:cs="宋体"/>
          <w:b/>
          <w:bCs/>
          <w:color w:val="000000"/>
          <w:szCs w:val="24"/>
        </w:rPr>
        <w:fldChar w:fldCharType="begin"/>
      </w:r>
      <w:r>
        <w:rPr>
          <w:rFonts w:hint="eastAsia" w:ascii="宋体" w:hAnsi="宋体" w:eastAsia="宋体" w:cs="宋体"/>
          <w:b/>
          <w:bCs/>
          <w:color w:val="000000"/>
          <w:szCs w:val="24"/>
        </w:rPr>
        <w:instrText xml:space="preserve"> HYPERLINK \l _Toc15197 </w:instrText>
      </w:r>
      <w:r>
        <w:rPr>
          <w:rFonts w:hint="eastAsia" w:ascii="宋体" w:hAnsi="宋体" w:eastAsia="宋体" w:cs="宋体"/>
          <w:b/>
          <w:bCs/>
          <w:color w:val="000000"/>
          <w:szCs w:val="24"/>
        </w:rPr>
        <w:fldChar w:fldCharType="separate"/>
      </w:r>
      <w:r>
        <w:rPr>
          <w:rFonts w:hint="eastAsia" w:ascii="宋体" w:hAnsi="宋体" w:eastAsia="宋体" w:cs="宋体"/>
          <w:b/>
          <w:bCs/>
          <w:color w:val="000000"/>
        </w:rPr>
        <w:t>第四部分 采购需求</w:t>
      </w:r>
      <w:r>
        <w:rPr>
          <w:rFonts w:hint="eastAsia" w:ascii="宋体" w:hAnsi="宋体" w:eastAsia="宋体" w:cs="宋体"/>
          <w:b/>
          <w:bCs/>
          <w:color w:val="000000"/>
        </w:rPr>
        <w:tab/>
      </w:r>
      <w:r>
        <w:rPr>
          <w:rFonts w:hint="eastAsia" w:ascii="宋体" w:hAnsi="宋体" w:eastAsia="宋体" w:cs="宋体"/>
          <w:b/>
          <w:bCs/>
          <w:color w:val="000000"/>
        </w:rPr>
        <w:fldChar w:fldCharType="begin"/>
      </w:r>
      <w:r>
        <w:rPr>
          <w:rFonts w:hint="eastAsia" w:ascii="宋体" w:hAnsi="宋体" w:eastAsia="宋体" w:cs="宋体"/>
          <w:b/>
          <w:bCs/>
          <w:color w:val="000000"/>
        </w:rPr>
        <w:instrText xml:space="preserve"> PAGEREF _Toc15197 </w:instrText>
      </w:r>
      <w:r>
        <w:rPr>
          <w:rFonts w:hint="eastAsia" w:ascii="宋体" w:hAnsi="宋体" w:eastAsia="宋体" w:cs="宋体"/>
          <w:b/>
          <w:bCs/>
          <w:color w:val="000000"/>
        </w:rPr>
        <w:fldChar w:fldCharType="separate"/>
      </w:r>
      <w:r>
        <w:rPr>
          <w:rFonts w:hint="eastAsia" w:ascii="宋体" w:hAnsi="宋体" w:eastAsia="宋体" w:cs="宋体"/>
          <w:b/>
          <w:bCs/>
          <w:color w:val="000000"/>
        </w:rPr>
        <w:t>32</w:t>
      </w:r>
      <w:r>
        <w:rPr>
          <w:rFonts w:hint="eastAsia" w:ascii="宋体" w:hAnsi="宋体" w:eastAsia="宋体" w:cs="宋体"/>
          <w:b/>
          <w:bCs/>
          <w:color w:val="000000"/>
        </w:rPr>
        <w:fldChar w:fldCharType="end"/>
      </w:r>
      <w:r>
        <w:rPr>
          <w:rFonts w:hint="eastAsia" w:ascii="宋体" w:hAnsi="宋体" w:eastAsia="宋体" w:cs="宋体"/>
          <w:b/>
          <w:bCs/>
          <w:color w:val="000000"/>
          <w:szCs w:val="24"/>
        </w:rPr>
        <w:fldChar w:fldCharType="end"/>
      </w:r>
    </w:p>
    <w:p>
      <w:pPr>
        <w:pStyle w:val="31"/>
        <w:tabs>
          <w:tab w:val="right" w:leader="dot" w:pos="9468"/>
        </w:tabs>
        <w:spacing w:before="72" w:beforeLines="30" w:after="72" w:afterLines="30" w:line="360" w:lineRule="auto"/>
        <w:rPr>
          <w:rFonts w:hint="eastAsia" w:ascii="宋体" w:hAnsi="宋体" w:eastAsia="宋体" w:cs="宋体"/>
          <w:b/>
          <w:bCs/>
          <w:color w:val="000000"/>
        </w:rPr>
      </w:pPr>
      <w:r>
        <w:rPr>
          <w:rFonts w:hint="eastAsia" w:ascii="宋体" w:hAnsi="宋体" w:eastAsia="宋体" w:cs="宋体"/>
          <w:b/>
          <w:bCs/>
          <w:color w:val="000000"/>
          <w:szCs w:val="24"/>
        </w:rPr>
        <w:fldChar w:fldCharType="begin"/>
      </w:r>
      <w:r>
        <w:rPr>
          <w:rFonts w:hint="eastAsia" w:ascii="宋体" w:hAnsi="宋体" w:eastAsia="宋体" w:cs="宋体"/>
          <w:b/>
          <w:bCs/>
          <w:color w:val="000000"/>
          <w:szCs w:val="24"/>
        </w:rPr>
        <w:instrText xml:space="preserve"> HYPERLINK \l _Toc8291 </w:instrText>
      </w:r>
      <w:r>
        <w:rPr>
          <w:rFonts w:hint="eastAsia" w:ascii="宋体" w:hAnsi="宋体" w:eastAsia="宋体" w:cs="宋体"/>
          <w:b/>
          <w:bCs/>
          <w:color w:val="000000"/>
          <w:szCs w:val="24"/>
        </w:rPr>
        <w:fldChar w:fldCharType="separate"/>
      </w:r>
      <w:r>
        <w:rPr>
          <w:rFonts w:hint="eastAsia" w:ascii="宋体" w:hAnsi="宋体" w:eastAsia="宋体" w:cs="宋体"/>
          <w:b/>
          <w:bCs/>
          <w:color w:val="000000"/>
        </w:rPr>
        <w:t>第五部分 拟签订的合同文本</w:t>
      </w:r>
      <w:r>
        <w:rPr>
          <w:rFonts w:hint="eastAsia" w:ascii="宋体" w:hAnsi="宋体" w:eastAsia="宋体" w:cs="宋体"/>
          <w:b/>
          <w:bCs/>
          <w:color w:val="000000"/>
        </w:rPr>
        <w:tab/>
      </w:r>
      <w:r>
        <w:rPr>
          <w:rFonts w:hint="eastAsia" w:ascii="宋体" w:hAnsi="宋体" w:eastAsia="宋体" w:cs="宋体"/>
          <w:b/>
          <w:bCs/>
          <w:color w:val="000000"/>
        </w:rPr>
        <w:fldChar w:fldCharType="begin"/>
      </w:r>
      <w:r>
        <w:rPr>
          <w:rFonts w:hint="eastAsia" w:ascii="宋体" w:hAnsi="宋体" w:eastAsia="宋体" w:cs="宋体"/>
          <w:b/>
          <w:bCs/>
          <w:color w:val="000000"/>
        </w:rPr>
        <w:instrText xml:space="preserve"> PAGEREF _Toc8291 </w:instrText>
      </w:r>
      <w:r>
        <w:rPr>
          <w:rFonts w:hint="eastAsia" w:ascii="宋体" w:hAnsi="宋体" w:eastAsia="宋体" w:cs="宋体"/>
          <w:b/>
          <w:bCs/>
          <w:color w:val="000000"/>
        </w:rPr>
        <w:fldChar w:fldCharType="separate"/>
      </w:r>
      <w:r>
        <w:rPr>
          <w:rFonts w:hint="eastAsia" w:ascii="宋体" w:hAnsi="宋体" w:eastAsia="宋体" w:cs="宋体"/>
          <w:b/>
          <w:bCs/>
          <w:color w:val="000000"/>
        </w:rPr>
        <w:t>93</w:t>
      </w:r>
      <w:r>
        <w:rPr>
          <w:rFonts w:hint="eastAsia" w:ascii="宋体" w:hAnsi="宋体" w:eastAsia="宋体" w:cs="宋体"/>
          <w:b/>
          <w:bCs/>
          <w:color w:val="000000"/>
        </w:rPr>
        <w:fldChar w:fldCharType="end"/>
      </w:r>
      <w:r>
        <w:rPr>
          <w:rFonts w:hint="eastAsia" w:ascii="宋体" w:hAnsi="宋体" w:eastAsia="宋体" w:cs="宋体"/>
          <w:b/>
          <w:bCs/>
          <w:color w:val="000000"/>
          <w:szCs w:val="24"/>
        </w:rPr>
        <w:fldChar w:fldCharType="end"/>
      </w:r>
    </w:p>
    <w:p>
      <w:pPr>
        <w:pStyle w:val="31"/>
        <w:tabs>
          <w:tab w:val="right" w:leader="dot" w:pos="9468"/>
        </w:tabs>
        <w:spacing w:before="72" w:beforeLines="30" w:after="72" w:afterLines="30" w:line="360" w:lineRule="auto"/>
        <w:rPr>
          <w:rFonts w:hint="eastAsia" w:ascii="宋体" w:hAnsi="宋体" w:eastAsia="宋体" w:cs="宋体"/>
          <w:b/>
          <w:bCs/>
          <w:color w:val="000000"/>
        </w:rPr>
      </w:pPr>
      <w:r>
        <w:rPr>
          <w:rFonts w:hint="eastAsia" w:ascii="宋体" w:hAnsi="宋体" w:eastAsia="宋体" w:cs="宋体"/>
          <w:b/>
          <w:bCs/>
          <w:color w:val="000000"/>
          <w:szCs w:val="24"/>
        </w:rPr>
        <w:fldChar w:fldCharType="begin"/>
      </w:r>
      <w:r>
        <w:rPr>
          <w:rFonts w:hint="eastAsia" w:ascii="宋体" w:hAnsi="宋体" w:eastAsia="宋体" w:cs="宋体"/>
          <w:b/>
          <w:bCs/>
          <w:color w:val="000000"/>
          <w:szCs w:val="24"/>
        </w:rPr>
        <w:instrText xml:space="preserve"> HYPERLINK \l _Toc9776 </w:instrText>
      </w:r>
      <w:r>
        <w:rPr>
          <w:rFonts w:hint="eastAsia" w:ascii="宋体" w:hAnsi="宋体" w:eastAsia="宋体" w:cs="宋体"/>
          <w:b/>
          <w:bCs/>
          <w:color w:val="000000"/>
          <w:szCs w:val="24"/>
        </w:rPr>
        <w:fldChar w:fldCharType="separate"/>
      </w:r>
      <w:r>
        <w:rPr>
          <w:rFonts w:hint="eastAsia" w:ascii="宋体" w:hAnsi="宋体" w:eastAsia="宋体" w:cs="宋体"/>
          <w:b/>
          <w:bCs/>
          <w:color w:val="000000"/>
        </w:rPr>
        <w:t>第六部分 投标文件格式</w:t>
      </w:r>
      <w:r>
        <w:rPr>
          <w:rFonts w:hint="eastAsia" w:ascii="宋体" w:hAnsi="宋体" w:eastAsia="宋体" w:cs="宋体"/>
          <w:b/>
          <w:bCs/>
          <w:color w:val="000000"/>
        </w:rPr>
        <w:tab/>
      </w:r>
      <w:r>
        <w:rPr>
          <w:rFonts w:hint="eastAsia" w:ascii="宋体" w:hAnsi="宋体" w:eastAsia="宋体" w:cs="宋体"/>
          <w:b/>
          <w:bCs/>
          <w:color w:val="000000"/>
        </w:rPr>
        <w:fldChar w:fldCharType="begin"/>
      </w:r>
      <w:r>
        <w:rPr>
          <w:rFonts w:hint="eastAsia" w:ascii="宋体" w:hAnsi="宋体" w:eastAsia="宋体" w:cs="宋体"/>
          <w:b/>
          <w:bCs/>
          <w:color w:val="000000"/>
        </w:rPr>
        <w:instrText xml:space="preserve"> PAGEREF _Toc9776 </w:instrText>
      </w:r>
      <w:r>
        <w:rPr>
          <w:rFonts w:hint="eastAsia" w:ascii="宋体" w:hAnsi="宋体" w:eastAsia="宋体" w:cs="宋体"/>
          <w:b/>
          <w:bCs/>
          <w:color w:val="000000"/>
        </w:rPr>
        <w:fldChar w:fldCharType="separate"/>
      </w:r>
      <w:r>
        <w:rPr>
          <w:rFonts w:hint="eastAsia" w:ascii="宋体" w:hAnsi="宋体" w:eastAsia="宋体" w:cs="宋体"/>
          <w:b/>
          <w:bCs/>
          <w:color w:val="000000"/>
        </w:rPr>
        <w:t>99</w:t>
      </w:r>
      <w:r>
        <w:rPr>
          <w:rFonts w:hint="eastAsia" w:ascii="宋体" w:hAnsi="宋体" w:eastAsia="宋体" w:cs="宋体"/>
          <w:b/>
          <w:bCs/>
          <w:color w:val="000000"/>
        </w:rPr>
        <w:fldChar w:fldCharType="end"/>
      </w:r>
      <w:r>
        <w:rPr>
          <w:rFonts w:hint="eastAsia" w:ascii="宋体" w:hAnsi="宋体" w:eastAsia="宋体" w:cs="宋体"/>
          <w:b/>
          <w:bCs/>
          <w:color w:val="000000"/>
          <w:szCs w:val="24"/>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_Toc24919 </w:instrText>
      </w:r>
      <w:r>
        <w:rPr>
          <w:rFonts w:hint="eastAsia" w:ascii="宋体" w:hAnsi="宋体" w:eastAsia="宋体" w:cs="宋体"/>
          <w:color w:val="000000"/>
          <w:sz w:val="21"/>
          <w:szCs w:val="21"/>
        </w:rPr>
        <w:fldChar w:fldCharType="separate"/>
      </w:r>
      <w:r>
        <w:rPr>
          <w:rFonts w:hint="eastAsia" w:ascii="宋体" w:hAnsi="宋体" w:eastAsia="宋体" w:cs="宋体"/>
          <w:bCs/>
          <w:color w:val="000000"/>
          <w:sz w:val="21"/>
          <w:szCs w:val="21"/>
          <w:lang w:val="zh-CN"/>
        </w:rPr>
        <w:t>资格文件</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_Toc24919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101</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_Toc18604 </w:instrText>
      </w:r>
      <w:r>
        <w:rPr>
          <w:rFonts w:hint="eastAsia" w:ascii="宋体" w:hAnsi="宋体" w:eastAsia="宋体" w:cs="宋体"/>
          <w:color w:val="000000"/>
          <w:sz w:val="21"/>
          <w:szCs w:val="21"/>
        </w:rPr>
        <w:fldChar w:fldCharType="separate"/>
      </w:r>
      <w:r>
        <w:rPr>
          <w:rFonts w:hint="eastAsia" w:ascii="宋体" w:hAnsi="宋体" w:eastAsia="宋体" w:cs="宋体"/>
          <w:color w:val="000000"/>
          <w:kern w:val="0"/>
          <w:sz w:val="21"/>
          <w:szCs w:val="21"/>
        </w:rPr>
        <w:t>商务技术文件</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_Toc18604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105</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6"/>
        <w:tabs>
          <w:tab w:val="right" w:leader="dot" w:pos="9468"/>
        </w:tabs>
        <w:spacing w:line="360" w:lineRule="auto"/>
        <w:ind w:left="480"/>
        <w:rPr>
          <w:rFonts w:hint="eastAsia" w:ascii="宋体" w:hAnsi="宋体" w:eastAsia="宋体" w:cs="宋体"/>
          <w:color w:val="000000"/>
          <w:sz w:val="21"/>
          <w:szCs w:val="21"/>
        </w:rPr>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\l _Toc3329 </w:instrText>
      </w:r>
      <w:r>
        <w:rPr>
          <w:rFonts w:hint="eastAsia" w:ascii="宋体" w:hAnsi="宋体" w:eastAsia="宋体" w:cs="宋体"/>
          <w:color w:val="000000"/>
          <w:sz w:val="21"/>
          <w:szCs w:val="21"/>
        </w:rPr>
        <w:fldChar w:fldCharType="separate"/>
      </w:r>
      <w:r>
        <w:rPr>
          <w:rFonts w:hint="eastAsia" w:ascii="宋体" w:hAnsi="宋体" w:eastAsia="宋体" w:cs="宋体"/>
          <w:color w:val="000000"/>
          <w:kern w:val="0"/>
          <w:sz w:val="21"/>
          <w:szCs w:val="21"/>
        </w:rPr>
        <w:t>报价文件</w:t>
      </w:r>
      <w:r>
        <w:rPr>
          <w:rFonts w:hint="eastAsia" w:ascii="宋体" w:hAnsi="宋体" w:eastAsia="宋体" w:cs="宋体"/>
          <w:color w:val="000000"/>
          <w:sz w:val="21"/>
          <w:szCs w:val="21"/>
        </w:rPr>
        <w:tab/>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PAGEREF _Toc3329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114</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end"/>
      </w:r>
    </w:p>
    <w:p>
      <w:pPr>
        <w:pStyle w:val="31"/>
        <w:tabs>
          <w:tab w:val="right" w:leader="dot" w:pos="9468"/>
        </w:tabs>
        <w:spacing w:before="72" w:beforeLines="30" w:after="72" w:afterLines="30" w:line="360" w:lineRule="auto"/>
        <w:rPr>
          <w:rFonts w:hint="eastAsia" w:ascii="宋体" w:hAnsi="宋体" w:eastAsia="宋体" w:cs="宋体"/>
          <w:b/>
          <w:bCs/>
          <w:color w:val="000000"/>
        </w:rPr>
      </w:pPr>
      <w:r>
        <w:rPr>
          <w:rFonts w:hint="eastAsia" w:ascii="宋体" w:hAnsi="宋体" w:eastAsia="宋体" w:cs="宋体"/>
          <w:b/>
          <w:bCs/>
          <w:color w:val="000000"/>
          <w:szCs w:val="24"/>
        </w:rPr>
        <w:fldChar w:fldCharType="begin"/>
      </w:r>
      <w:r>
        <w:rPr>
          <w:rFonts w:hint="eastAsia" w:ascii="宋体" w:hAnsi="宋体" w:eastAsia="宋体" w:cs="宋体"/>
          <w:b/>
          <w:bCs/>
          <w:color w:val="000000"/>
          <w:szCs w:val="24"/>
        </w:rPr>
        <w:instrText xml:space="preserve"> HYPERLINK \l _Toc17141 </w:instrText>
      </w:r>
      <w:r>
        <w:rPr>
          <w:rFonts w:hint="eastAsia" w:ascii="宋体" w:hAnsi="宋体" w:eastAsia="宋体" w:cs="宋体"/>
          <w:b/>
          <w:bCs/>
          <w:color w:val="000000"/>
          <w:szCs w:val="24"/>
        </w:rPr>
        <w:fldChar w:fldCharType="separate"/>
      </w:r>
      <w:r>
        <w:rPr>
          <w:rFonts w:hint="eastAsia" w:ascii="宋体" w:hAnsi="宋体" w:eastAsia="宋体" w:cs="宋体"/>
          <w:b/>
          <w:bCs/>
          <w:color w:val="000000"/>
          <w:szCs w:val="30"/>
        </w:rPr>
        <w:t>政府采购支持中小企业信用融资相关事项通知</w:t>
      </w:r>
      <w:r>
        <w:rPr>
          <w:rFonts w:hint="eastAsia" w:ascii="宋体" w:hAnsi="宋体" w:eastAsia="宋体" w:cs="宋体"/>
          <w:b/>
          <w:bCs/>
          <w:color w:val="000000"/>
        </w:rPr>
        <w:tab/>
      </w:r>
      <w:r>
        <w:rPr>
          <w:rFonts w:hint="eastAsia" w:ascii="宋体" w:hAnsi="宋体" w:eastAsia="宋体" w:cs="宋体"/>
          <w:b/>
          <w:bCs/>
          <w:color w:val="000000"/>
        </w:rPr>
        <w:fldChar w:fldCharType="begin"/>
      </w:r>
      <w:r>
        <w:rPr>
          <w:rFonts w:hint="eastAsia" w:ascii="宋体" w:hAnsi="宋体" w:eastAsia="宋体" w:cs="宋体"/>
          <w:b/>
          <w:bCs/>
          <w:color w:val="000000"/>
        </w:rPr>
        <w:instrText xml:space="preserve"> PAGEREF _Toc17141 </w:instrText>
      </w:r>
      <w:r>
        <w:rPr>
          <w:rFonts w:hint="eastAsia" w:ascii="宋体" w:hAnsi="宋体" w:eastAsia="宋体" w:cs="宋体"/>
          <w:b/>
          <w:bCs/>
          <w:color w:val="000000"/>
        </w:rPr>
        <w:fldChar w:fldCharType="separate"/>
      </w:r>
      <w:r>
        <w:rPr>
          <w:rFonts w:hint="eastAsia" w:ascii="宋体" w:hAnsi="宋体" w:eastAsia="宋体" w:cs="宋体"/>
          <w:b/>
          <w:bCs/>
          <w:color w:val="000000"/>
        </w:rPr>
        <w:t>123</w:t>
      </w:r>
      <w:r>
        <w:rPr>
          <w:rFonts w:hint="eastAsia" w:ascii="宋体" w:hAnsi="宋体" w:eastAsia="宋体" w:cs="宋体"/>
          <w:b/>
          <w:bCs/>
          <w:color w:val="000000"/>
        </w:rPr>
        <w:fldChar w:fldCharType="end"/>
      </w:r>
      <w:r>
        <w:rPr>
          <w:rFonts w:hint="eastAsia" w:ascii="宋体" w:hAnsi="宋体" w:eastAsia="宋体" w:cs="宋体"/>
          <w:b/>
          <w:bCs/>
          <w:color w:val="000000"/>
          <w:szCs w:val="24"/>
        </w:rPr>
        <w:fldChar w:fldCharType="end"/>
      </w:r>
    </w:p>
    <w:p>
      <w:pPr>
        <w:spacing w:line="360" w:lineRule="auto"/>
        <w:jc w:val="center"/>
        <w:rPr>
          <w:rFonts w:hint="eastAsia" w:ascii="宋体" w:hAnsi="宋体" w:eastAsia="宋体" w:cs="宋体"/>
          <w:b/>
          <w:color w:val="000000"/>
          <w:sz w:val="28"/>
          <w:szCs w:val="28"/>
        </w:rPr>
      </w:pPr>
      <w:r>
        <w:rPr>
          <w:rFonts w:hint="eastAsia" w:ascii="宋体" w:hAnsi="宋体" w:eastAsia="宋体" w:cs="宋体"/>
          <w:color w:val="000000"/>
          <w:szCs w:val="24"/>
        </w:rPr>
        <w:fldChar w:fldCharType="end"/>
      </w:r>
    </w:p>
    <w:p>
      <w:pPr>
        <w:spacing w:line="360" w:lineRule="auto"/>
        <w:jc w:val="center"/>
        <w:outlineLvl w:val="0"/>
        <w:rPr>
          <w:rFonts w:hint="eastAsia" w:ascii="宋体" w:hAnsi="宋体" w:eastAsia="宋体" w:cs="宋体"/>
          <w:b/>
          <w:color w:val="000000"/>
          <w:sz w:val="44"/>
        </w:rPr>
        <w:sectPr>
          <w:pgSz w:w="11906" w:h="16838"/>
          <w:pgMar w:top="1162" w:right="1276" w:bottom="992" w:left="1701" w:header="851" w:footer="850" w:gutter="0"/>
          <w:cols w:space="720" w:num="1"/>
          <w:titlePg/>
          <w:docGrid w:linePitch="312" w:charSpace="0"/>
        </w:sectPr>
      </w:pPr>
    </w:p>
    <w:bookmarkEnd w:id="0"/>
    <w:p>
      <w:pPr>
        <w:spacing w:line="360" w:lineRule="auto"/>
        <w:jc w:val="center"/>
        <w:outlineLvl w:val="0"/>
        <w:rPr>
          <w:rFonts w:hint="eastAsia" w:ascii="宋体" w:hAnsi="宋体" w:eastAsia="宋体" w:cs="宋体"/>
          <w:b/>
          <w:color w:val="000000"/>
          <w:sz w:val="36"/>
        </w:rPr>
      </w:pPr>
      <w:bookmarkStart w:id="1" w:name="_Toc1881"/>
      <w:bookmarkStart w:id="2" w:name="_Toc91899870"/>
      <w:bookmarkStart w:id="3" w:name="_Toc91899871"/>
      <w:r>
        <w:rPr>
          <w:rFonts w:hint="eastAsia" w:ascii="宋体" w:hAnsi="宋体" w:eastAsia="宋体" w:cs="宋体"/>
          <w:b/>
          <w:color w:val="000000"/>
          <w:sz w:val="36"/>
        </w:rPr>
        <w:t>第一部分 招标公告</w:t>
      </w:r>
      <w:bookmarkEnd w:id="1"/>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Layout w:type="fixed"/>
        <w:tblCellMar>
          <w:top w:w="0" w:type="dxa"/>
          <w:left w:w="108" w:type="dxa"/>
          <w:bottom w:w="0" w:type="dxa"/>
          <w:right w:w="108" w:type="dxa"/>
        </w:tblCellMar>
      </w:tblPr>
      <w:tblGrid>
        <w:gridCol w:w="9684"/>
      </w:tblGrid>
      <w:tr>
        <w:tblPrEx>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CellMar>
            <w:top w:w="0" w:type="dxa"/>
            <w:left w:w="108" w:type="dxa"/>
            <w:bottom w:w="0" w:type="dxa"/>
            <w:right w:w="108" w:type="dxa"/>
          </w:tblCellMar>
        </w:tblPrEx>
        <w:trPr>
          <w:trHeight w:val="1413" w:hRule="atLeast"/>
        </w:trPr>
        <w:tc>
          <w:tcPr>
            <w:tcW w:w="9684" w:type="dxa"/>
            <w:shd w:val="clear" w:color="auto" w:fill="auto"/>
            <w:noWrap w:val="0"/>
            <w:vAlign w:val="top"/>
          </w:tcPr>
          <w:p>
            <w:pPr>
              <w:pStyle w:val="144"/>
              <w:widowControl w:val="0"/>
              <w:spacing w:line="460" w:lineRule="exact"/>
              <w:ind w:firstLine="482"/>
              <w:rPr>
                <w:rFonts w:ascii="宋体" w:hAnsi="宋体" w:eastAsia="宋体" w:cs="宋体"/>
                <w:b/>
                <w:bCs/>
                <w:color w:val="000000"/>
                <w:sz w:val="21"/>
                <w:szCs w:val="21"/>
              </w:rPr>
            </w:pPr>
            <w:r>
              <w:rPr>
                <w:rFonts w:ascii="宋体" w:hAnsi="宋体" w:eastAsia="宋体" w:cs="宋体"/>
                <w:b/>
                <w:bCs/>
                <w:color w:val="000000"/>
                <w:sz w:val="21"/>
                <w:szCs w:val="21"/>
              </w:rPr>
              <w:t>项目概况</w:t>
            </w:r>
          </w:p>
          <w:p>
            <w:pPr>
              <w:pStyle w:val="144"/>
              <w:widowControl w:val="0"/>
              <w:spacing w:line="460" w:lineRule="exact"/>
              <w:ind w:firstLine="482"/>
              <w:rPr>
                <w:rFonts w:ascii="宋体" w:hAnsi="宋体" w:eastAsia="宋体" w:cs="宋体"/>
                <w:b/>
                <w:bCs/>
                <w:color w:val="000000"/>
                <w:sz w:val="21"/>
                <w:szCs w:val="21"/>
              </w:rPr>
            </w:pPr>
            <w:r>
              <w:rPr>
                <w:rFonts w:ascii="宋体" w:hAnsi="宋体" w:eastAsia="宋体" w:cs="宋体"/>
                <w:color w:val="000000"/>
                <w:sz w:val="21"/>
                <w:szCs w:val="21"/>
              </w:rPr>
              <w:t>2021年度青山水库运行维护及工程维修项目——运行管理及日常维护项目</w:t>
            </w:r>
            <w:r>
              <w:rPr>
                <w:rFonts w:ascii="宋体" w:hAnsi="宋体" w:eastAsia="宋体" w:cs="宋体"/>
                <w:bCs/>
                <w:color w:val="000000"/>
                <w:sz w:val="21"/>
                <w:szCs w:val="21"/>
              </w:rPr>
              <w:t>的潜在投标人应在政采云平台（www.zcygov.cn）获取（下载）招标文件，并于2021年4月29日 09:30（北京时间）前递交（上传）投标文件。</w:t>
            </w:r>
          </w:p>
        </w:tc>
      </w:tr>
    </w:tbl>
    <w:p>
      <w:pPr>
        <w:pStyle w:val="144"/>
        <w:widowControl w:val="0"/>
        <w:spacing w:line="360" w:lineRule="auto"/>
        <w:ind w:firstLine="482"/>
        <w:rPr>
          <w:rFonts w:ascii="宋体" w:hAnsi="宋体" w:eastAsia="宋体" w:cs="宋体"/>
          <w:bCs/>
          <w:color w:val="000000"/>
          <w:sz w:val="21"/>
          <w:szCs w:val="21"/>
        </w:rPr>
      </w:pPr>
    </w:p>
    <w:p>
      <w:pPr>
        <w:pStyle w:val="144"/>
        <w:widowControl w:val="0"/>
        <w:spacing w:line="360" w:lineRule="auto"/>
        <w:rPr>
          <w:rFonts w:ascii="宋体" w:hAnsi="宋体" w:eastAsia="宋体" w:cs="宋体"/>
          <w:b/>
          <w:bCs/>
          <w:color w:val="000000"/>
          <w:sz w:val="21"/>
          <w:szCs w:val="21"/>
        </w:rPr>
      </w:pPr>
      <w:bookmarkStart w:id="4" w:name="_Toc35393621"/>
      <w:bookmarkStart w:id="5" w:name="_Toc28359002"/>
      <w:bookmarkStart w:id="6" w:name="_Toc28359079"/>
      <w:bookmarkStart w:id="7" w:name="_Toc35393790"/>
      <w:bookmarkStart w:id="8" w:name="_Hlk24379207"/>
      <w:r>
        <w:rPr>
          <w:rFonts w:ascii="宋体" w:hAnsi="宋体" w:eastAsia="宋体" w:cs="宋体"/>
          <w:b/>
          <w:bCs/>
          <w:color w:val="000000"/>
          <w:sz w:val="21"/>
          <w:szCs w:val="21"/>
        </w:rPr>
        <w:t>一、项目基本情况</w:t>
      </w:r>
      <w:bookmarkEnd w:id="4"/>
      <w:bookmarkEnd w:id="5"/>
      <w:bookmarkEnd w:id="6"/>
      <w:bookmarkEnd w:id="7"/>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项目编号：</w:t>
      </w:r>
      <w:r>
        <w:rPr>
          <w:rFonts w:hint="eastAsia" w:ascii="宋体" w:hAnsi="宋体" w:eastAsia="宋体" w:cs="宋体"/>
          <w:color w:val="000000"/>
          <w:sz w:val="21"/>
          <w:szCs w:val="21"/>
          <w:lang w:val="zh-TW"/>
        </w:rPr>
        <w:t>HLSJHZ-2021-002</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bookmarkEnd w:id="8"/>
      <w:r>
        <w:rPr>
          <w:rFonts w:hint="eastAsia" w:ascii="宋体" w:hAnsi="宋体" w:eastAsia="宋体" w:cs="宋体"/>
          <w:color w:val="000000"/>
          <w:sz w:val="21"/>
          <w:szCs w:val="21"/>
        </w:rPr>
        <w:t>2021年度青山水库运行维护及工程维修项目——运行管理及日常维护项目</w:t>
      </w:r>
    </w:p>
    <w:p>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预算金额（元）：9600000</w:t>
      </w:r>
    </w:p>
    <w:p>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最高限价（元）：9600000</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采购需求：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青山水库运行维护及工程维修项目——运行管理及日常维护项目,主要内容：</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（1）大坝等水工建筑物运行，设施设备的运行，机电设备的日常维修养护。</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（2）电站5台机组运行及日常维修养护。</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（3）**怖防范安全保卫服务。</w:t>
      </w:r>
    </w:p>
    <w:p>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（4）水文设施的观测及日常维修养护。</w:t>
      </w:r>
    </w:p>
    <w:p>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项目履行期限：2021年5月1日至2024年4月30日。合同需每年签订一次，合同金额为中标价的三分之一，</w:t>
      </w:r>
      <w:r>
        <w:rPr>
          <w:rFonts w:hint="eastAsia" w:ascii="宋体" w:hAnsi="宋体" w:eastAsia="宋体" w:cs="宋体"/>
          <w:color w:val="000000"/>
          <w:sz w:val="21"/>
          <w:szCs w:val="21"/>
          <w:lang w:val="zh-TW"/>
        </w:rPr>
        <w:t>每合同为一周期</w:t>
      </w:r>
      <w:r>
        <w:rPr>
          <w:rFonts w:hint="eastAsia" w:ascii="宋体" w:hAnsi="宋体" w:eastAsia="宋体" w:cs="宋体"/>
          <w:color w:val="000000"/>
          <w:sz w:val="21"/>
          <w:szCs w:val="21"/>
        </w:rPr>
        <w:t>。如上一周期合同考核优秀，经采购人同意，可续签合同。续签最多2次。</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本项目（否）联合体投标。</w:t>
      </w:r>
    </w:p>
    <w:p>
      <w:pPr>
        <w:pStyle w:val="144"/>
        <w:widowControl w:val="0"/>
        <w:spacing w:line="360" w:lineRule="auto"/>
        <w:rPr>
          <w:rFonts w:ascii="宋体" w:hAnsi="宋体" w:eastAsia="宋体" w:cs="宋体"/>
          <w:b/>
          <w:bCs/>
          <w:color w:val="000000"/>
          <w:sz w:val="21"/>
          <w:szCs w:val="21"/>
        </w:rPr>
      </w:pPr>
      <w:bookmarkStart w:id="9" w:name="_Toc35393791"/>
      <w:bookmarkStart w:id="10" w:name="_Toc28359080"/>
      <w:bookmarkStart w:id="11" w:name="_Toc35393622"/>
      <w:bookmarkStart w:id="12" w:name="_Toc28359003"/>
      <w:r>
        <w:rPr>
          <w:rFonts w:ascii="宋体" w:hAnsi="宋体" w:eastAsia="宋体" w:cs="宋体"/>
          <w:b/>
          <w:bCs/>
          <w:color w:val="000000"/>
          <w:sz w:val="21"/>
          <w:szCs w:val="21"/>
        </w:rPr>
        <w:t>二、申请人的资格要求：</w:t>
      </w:r>
      <w:bookmarkEnd w:id="9"/>
      <w:bookmarkEnd w:id="10"/>
      <w:bookmarkEnd w:id="11"/>
      <w:bookmarkEnd w:id="12"/>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eastAsia="宋体" w:cs="宋体"/>
          <w:color w:val="000000"/>
          <w:sz w:val="21"/>
          <w:szCs w:val="21"/>
        </w:rPr>
      </w:pPr>
      <w:bookmarkStart w:id="13" w:name="_Toc28359081"/>
      <w:bookmarkStart w:id="14" w:name="_Toc28359004"/>
      <w:r>
        <w:rPr>
          <w:rFonts w:hint="eastAsia" w:ascii="宋体" w:hAnsi="宋体" w:eastAsia="宋体" w:cs="宋体"/>
          <w:color w:val="000000"/>
          <w:sz w:val="21"/>
          <w:szCs w:val="21"/>
        </w:rPr>
        <w:t>2、落实政府采购政策需满足的资格要求：供应商为中小企业/小微企；</w:t>
      </w:r>
    </w:p>
    <w:p>
      <w:pPr>
        <w:spacing w:line="360" w:lineRule="auto"/>
        <w:ind w:firstLine="420" w:firstLineChars="200"/>
        <w:rPr>
          <w:color w:val="000000"/>
          <w:sz w:val="21"/>
          <w:szCs w:val="21"/>
        </w:rPr>
      </w:pPr>
      <w:r>
        <w:rPr>
          <w:rFonts w:hint="eastAsia" w:ascii="宋体" w:hAnsi="宋体" w:eastAsia="宋体" w:cs="宋体"/>
          <w:color w:val="000000"/>
          <w:sz w:val="21"/>
          <w:szCs w:val="21"/>
        </w:rPr>
        <w:t>3、本项目的特定资格要求：无。</w:t>
      </w:r>
    </w:p>
    <w:p>
      <w:pPr>
        <w:pStyle w:val="144"/>
        <w:widowControl w:val="0"/>
        <w:spacing w:line="360" w:lineRule="auto"/>
        <w:rPr>
          <w:rFonts w:ascii="宋体" w:hAnsi="宋体" w:eastAsia="宋体" w:cs="宋体"/>
          <w:b/>
          <w:bCs/>
          <w:color w:val="000000"/>
          <w:sz w:val="21"/>
          <w:szCs w:val="21"/>
        </w:rPr>
      </w:pPr>
      <w:bookmarkStart w:id="15" w:name="_Toc35393623"/>
      <w:bookmarkStart w:id="16" w:name="_Toc35393792"/>
      <w:r>
        <w:rPr>
          <w:rFonts w:ascii="宋体" w:hAnsi="宋体" w:eastAsia="宋体" w:cs="宋体"/>
          <w:b/>
          <w:bCs/>
          <w:color w:val="000000"/>
          <w:sz w:val="21"/>
          <w:szCs w:val="21"/>
        </w:rPr>
        <w:t>三、获取招标文件：</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1.获取期限：</w:t>
      </w:r>
      <w:bookmarkStart w:id="17" w:name="B19_招标文件发售起始日期"/>
      <w:bookmarkEnd w:id="17"/>
      <w:r>
        <w:rPr>
          <w:rFonts w:hint="eastAsia" w:ascii="宋体" w:hAnsi="宋体" w:eastAsia="宋体" w:cs="宋体"/>
          <w:color w:val="000000"/>
          <w:sz w:val="21"/>
          <w:szCs w:val="21"/>
        </w:rPr>
        <w:t>/至2021年04月29日，每天上午00:00至12:00，下午12:00至23:59（北京时间，线上获取法定节假日均可，线下获取文件法定节假日除外）</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2.地点（网址）：</w:t>
      </w:r>
      <w:r>
        <w:rPr>
          <w:rFonts w:hint="eastAsia" w:ascii="宋体" w:hAnsi="宋体" w:eastAsia="宋体" w:cs="宋体"/>
          <w:color w:val="000000"/>
          <w:sz w:val="21"/>
          <w:szCs w:val="21"/>
        </w:rPr>
        <w:tab/>
      </w:r>
      <w:r>
        <w:rPr>
          <w:rFonts w:hint="eastAsia" w:ascii="宋体" w:hAnsi="宋体" w:eastAsia="宋体" w:cs="宋体"/>
          <w:color w:val="000000"/>
          <w:sz w:val="21"/>
          <w:szCs w:val="21"/>
        </w:rPr>
        <w:t>供应商在浙江政府采购云平台(https://login.zcygov.cn)网上报名后下载。  </w:t>
      </w:r>
    </w:p>
    <w:p>
      <w:pPr>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3、方式：采购公告发布后，在政采云平台已完成注册的供应商登陆系统，申请获取采购文件。如果“已申请”标签页显示状态为“审核通过”即为成功。 路径：用户中心——项目采购——获取采购文件管理。</w:t>
      </w:r>
    </w:p>
    <w:p>
      <w:pPr>
        <w:pStyle w:val="40"/>
        <w:spacing w:before="50" w:beforeAutospacing="0" w:after="50" w:afterAutospacing="0" w:line="200" w:lineRule="atLeast"/>
        <w:rPr>
          <w:rFonts w:hint="eastAsia" w:eastAsia="宋体" w:cs="宋体"/>
          <w:color w:val="000000"/>
          <w:kern w:val="2"/>
          <w:sz w:val="21"/>
          <w:szCs w:val="21"/>
        </w:rPr>
      </w:pPr>
      <w:r>
        <w:rPr>
          <w:rFonts w:hint="eastAsia" w:eastAsia="宋体" w:cs="宋体"/>
          <w:color w:val="000000"/>
          <w:sz w:val="18"/>
          <w:szCs w:val="18"/>
        </w:rPr>
        <w:t xml:space="preserve">     </w:t>
      </w:r>
      <w:r>
        <w:rPr>
          <w:rFonts w:hint="eastAsia" w:eastAsia="宋体" w:cs="宋体"/>
          <w:color w:val="000000"/>
          <w:kern w:val="2"/>
          <w:sz w:val="21"/>
          <w:szCs w:val="21"/>
        </w:rPr>
        <w:t>4、售价（元）：0 </w:t>
      </w:r>
    </w:p>
    <w:bookmarkEnd w:id="13"/>
    <w:bookmarkEnd w:id="14"/>
    <w:bookmarkEnd w:id="15"/>
    <w:bookmarkEnd w:id="16"/>
    <w:p>
      <w:pPr>
        <w:pStyle w:val="144"/>
        <w:widowControl w:val="0"/>
        <w:spacing w:line="360" w:lineRule="auto"/>
        <w:rPr>
          <w:rFonts w:ascii="宋体" w:hAnsi="宋体" w:eastAsia="宋体" w:cs="宋体"/>
          <w:b/>
          <w:bCs/>
          <w:color w:val="000000"/>
          <w:sz w:val="21"/>
          <w:szCs w:val="21"/>
        </w:rPr>
      </w:pPr>
      <w:bookmarkStart w:id="18" w:name="_Toc28359005"/>
      <w:bookmarkStart w:id="19" w:name="_Toc28359082"/>
      <w:bookmarkStart w:id="20" w:name="_Toc35393793"/>
      <w:bookmarkStart w:id="21" w:name="_Toc35393624"/>
      <w:r>
        <w:rPr>
          <w:rFonts w:ascii="宋体" w:hAnsi="宋体" w:eastAsia="宋体" w:cs="宋体"/>
          <w:b/>
          <w:bCs/>
          <w:color w:val="000000"/>
          <w:sz w:val="21"/>
          <w:szCs w:val="21"/>
        </w:rPr>
        <w:t>四、提交投标文件</w:t>
      </w:r>
      <w:bookmarkEnd w:id="18"/>
      <w:bookmarkEnd w:id="19"/>
      <w:r>
        <w:rPr>
          <w:rFonts w:ascii="宋体" w:hAnsi="宋体" w:eastAsia="宋体" w:cs="宋体"/>
          <w:b/>
          <w:bCs/>
          <w:color w:val="000000"/>
          <w:sz w:val="21"/>
          <w:szCs w:val="21"/>
        </w:rPr>
        <w:t>截止时间、开标时间和地点</w:t>
      </w:r>
      <w:bookmarkEnd w:id="20"/>
      <w:bookmarkEnd w:id="21"/>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bCs/>
          <w:color w:val="000000"/>
          <w:sz w:val="21"/>
          <w:szCs w:val="21"/>
        </w:rPr>
        <w:t>提交投标文件截止时间：</w:t>
      </w:r>
      <w:r>
        <w:rPr>
          <w:rFonts w:hint="eastAsia" w:ascii="宋体" w:hAnsi="宋体" w:eastAsia="宋体" w:cs="宋体"/>
          <w:color w:val="000000"/>
          <w:sz w:val="21"/>
          <w:szCs w:val="21"/>
        </w:rPr>
        <w:t>2021年4月29日 09:30（北京时间）</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bCs/>
          <w:color w:val="000000"/>
          <w:sz w:val="21"/>
          <w:szCs w:val="21"/>
        </w:rPr>
        <w:t>投标地点（网址）：</w:t>
      </w:r>
      <w:r>
        <w:rPr>
          <w:rFonts w:hint="eastAsia" w:ascii="宋体" w:hAnsi="宋体" w:eastAsia="宋体" w:cs="宋体"/>
          <w:color w:val="000000"/>
          <w:sz w:val="21"/>
          <w:szCs w:val="21"/>
        </w:rPr>
        <w:t>通过“浙江政府采购云平台（http://zfcg.czt.zj.gov.cn/）”在线递交。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bCs/>
          <w:color w:val="000000"/>
          <w:sz w:val="21"/>
          <w:szCs w:val="21"/>
        </w:rPr>
        <w:t>开标时间：</w:t>
      </w:r>
      <w:r>
        <w:rPr>
          <w:rFonts w:hint="eastAsia" w:ascii="宋体" w:hAnsi="宋体" w:eastAsia="宋体" w:cs="宋体"/>
          <w:color w:val="000000"/>
          <w:sz w:val="21"/>
          <w:szCs w:val="21"/>
        </w:rPr>
        <w:t>2020年4月29日 09:30</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bCs/>
          <w:color w:val="000000"/>
          <w:sz w:val="21"/>
          <w:szCs w:val="21"/>
        </w:rPr>
        <w:t>开标地点（网址）：</w:t>
      </w:r>
      <w:r>
        <w:rPr>
          <w:rFonts w:hint="eastAsia" w:ascii="宋体" w:hAnsi="宋体" w:eastAsia="宋体" w:cs="宋体"/>
          <w:color w:val="000000"/>
          <w:sz w:val="21"/>
          <w:szCs w:val="21"/>
        </w:rPr>
        <w:t>杭州市滨江区长河街道长河路351号三号楼B215室，投标人在线参加 </w:t>
      </w:r>
    </w:p>
    <w:p>
      <w:pPr>
        <w:pStyle w:val="144"/>
        <w:widowControl w:val="0"/>
        <w:spacing w:line="360" w:lineRule="auto"/>
        <w:rPr>
          <w:rFonts w:ascii="宋体" w:hAnsi="宋体" w:eastAsia="宋体" w:cs="宋体"/>
          <w:b/>
          <w:bCs/>
          <w:color w:val="000000"/>
          <w:sz w:val="21"/>
          <w:szCs w:val="21"/>
        </w:rPr>
      </w:pPr>
      <w:bookmarkStart w:id="22" w:name="_Toc28359007"/>
      <w:bookmarkStart w:id="23" w:name="_Toc35393625"/>
      <w:bookmarkStart w:id="24" w:name="_Toc28359084"/>
      <w:bookmarkStart w:id="25" w:name="_Toc35393794"/>
      <w:r>
        <w:rPr>
          <w:rFonts w:ascii="宋体" w:hAnsi="宋体" w:eastAsia="宋体" w:cs="宋体"/>
          <w:b/>
          <w:bCs/>
          <w:color w:val="000000"/>
          <w:sz w:val="21"/>
          <w:szCs w:val="21"/>
        </w:rPr>
        <w:t>五、公告期限</w:t>
      </w:r>
      <w:bookmarkEnd w:id="22"/>
      <w:bookmarkEnd w:id="23"/>
      <w:bookmarkEnd w:id="24"/>
      <w:bookmarkEnd w:id="25"/>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自本公告发布之日起5个工作日。</w:t>
      </w:r>
    </w:p>
    <w:p>
      <w:pPr>
        <w:pStyle w:val="144"/>
        <w:widowControl w:val="0"/>
        <w:spacing w:line="360" w:lineRule="auto"/>
        <w:rPr>
          <w:rFonts w:ascii="宋体" w:hAnsi="宋体" w:eastAsia="宋体" w:cs="宋体"/>
          <w:b/>
          <w:bCs/>
          <w:color w:val="000000"/>
          <w:sz w:val="21"/>
          <w:szCs w:val="21"/>
        </w:rPr>
      </w:pPr>
      <w:bookmarkStart w:id="26" w:name="_Toc35393795"/>
      <w:bookmarkStart w:id="27" w:name="_Toc35393626"/>
      <w:r>
        <w:rPr>
          <w:rFonts w:ascii="宋体" w:hAnsi="宋体" w:eastAsia="宋体" w:cs="宋体"/>
          <w:b/>
          <w:bCs/>
          <w:color w:val="000000"/>
          <w:sz w:val="21"/>
          <w:szCs w:val="21"/>
        </w:rPr>
        <w:t>六、其他补充事宜</w:t>
      </w:r>
      <w:bookmarkEnd w:id="26"/>
      <w:bookmarkEnd w:id="27"/>
    </w:p>
    <w:p>
      <w:pPr>
        <w:spacing w:line="360" w:lineRule="auto"/>
        <w:ind w:firstLine="422" w:firstLineChars="200"/>
        <w:rPr>
          <w:rFonts w:hint="eastAsia" w:ascii="宋体" w:hAnsi="宋体" w:eastAsia="宋体" w:cs="宋体"/>
          <w:color w:val="000000"/>
          <w:sz w:val="21"/>
          <w:szCs w:val="21"/>
          <w:lang w:val="zh-TW" w:eastAsia="zh-TW"/>
        </w:rPr>
      </w:pPr>
      <w:r>
        <w:rPr>
          <w:rFonts w:hint="eastAsia" w:ascii="宋体" w:hAnsi="宋体" w:eastAsia="宋体" w:cs="宋体"/>
          <w:b/>
          <w:bCs/>
          <w:color w:val="000000"/>
          <w:sz w:val="21"/>
          <w:szCs w:val="21"/>
        </w:rPr>
        <w:t>1、</w:t>
      </w:r>
      <w:r>
        <w:rPr>
          <w:rFonts w:hint="eastAsia" w:ascii="宋体" w:hAnsi="宋体" w:eastAsia="宋体" w:cs="宋体"/>
          <w:color w:val="000000"/>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2、本项目为专门面向中小企业采购的项目。</w:t>
      </w:r>
    </w:p>
    <w:p>
      <w:pPr>
        <w:spacing w:line="360" w:lineRule="auto"/>
        <w:ind w:firstLine="422" w:firstLineChars="200"/>
        <w:rPr>
          <w:rFonts w:ascii="宋体" w:hAnsi="宋体" w:eastAsia="宋体" w:cs="宋体"/>
          <w:b/>
          <w:bCs/>
          <w:color w:val="000000"/>
          <w:sz w:val="21"/>
          <w:szCs w:val="21"/>
        </w:rPr>
      </w:pPr>
      <w:r>
        <w:rPr>
          <w:rFonts w:ascii="宋体" w:hAnsi="宋体" w:eastAsia="宋体" w:cs="宋体"/>
          <w:b/>
          <w:bCs/>
          <w:color w:val="000000"/>
          <w:sz w:val="21"/>
          <w:szCs w:val="21"/>
        </w:rPr>
        <w:t>3</w:t>
      </w:r>
      <w:r>
        <w:rPr>
          <w:rFonts w:hint="eastAsia" w:ascii="宋体" w:hAnsi="宋体" w:eastAsia="宋体" w:cs="宋体"/>
          <w:b/>
          <w:bCs/>
          <w:color w:val="000000"/>
          <w:sz w:val="21"/>
          <w:szCs w:val="21"/>
        </w:rPr>
        <w:t>、采购项目需要落实的政府采购政策：</w:t>
      </w:r>
      <w:r>
        <w:rPr>
          <w:rFonts w:hint="eastAsia" w:ascii="宋体" w:hAnsi="宋体" w:eastAsia="宋体" w:cs="宋体"/>
          <w:color w:val="000000"/>
          <w:sz w:val="21"/>
          <w:szCs w:val="21"/>
        </w:rPr>
        <w:t>节约能源、保护环境、扶持不发达地区和少数民族地区、促进中小企业发展、支持监狱企业发展、促进残疾人就业、支持中小企业信用融资等政府采购政策。</w:t>
      </w:r>
      <w:r>
        <w:rPr>
          <w:rFonts w:hint="eastAsia" w:ascii="宋体" w:hAnsi="宋体" w:eastAsia="宋体" w:cs="宋体"/>
          <w:b/>
          <w:bCs/>
          <w:color w:val="000000"/>
          <w:sz w:val="21"/>
          <w:szCs w:val="21"/>
        </w:rPr>
        <w:t>为支持和促进中小企业发展，杭州市财政局出台了政府采购信用融资政策，供应商可凭中标合同申请贷款，利率一般在基准利率左右（不同银行略有差异）。具体可登录</w:t>
      </w:r>
      <w:r>
        <w:rPr>
          <w:rFonts w:ascii="宋体" w:hAnsi="宋体" w:eastAsia="宋体" w:cs="宋体"/>
          <w:b/>
          <w:bCs/>
          <w:color w:val="000000"/>
          <w:sz w:val="21"/>
          <w:szCs w:val="21"/>
        </w:rPr>
        <w:fldChar w:fldCharType="begin"/>
      </w:r>
      <w:r>
        <w:rPr>
          <w:rFonts w:ascii="宋体" w:hAnsi="宋体" w:eastAsia="宋体" w:cs="宋体"/>
          <w:b/>
          <w:bCs/>
          <w:color w:val="000000"/>
          <w:sz w:val="21"/>
          <w:szCs w:val="21"/>
        </w:rPr>
        <w:instrText xml:space="preserve"> HYPERLINK "http://220.191.208.230:8080/login.do</w:instrText>
      </w:r>
      <w:r>
        <w:rPr>
          <w:rFonts w:hint="eastAsia" w:ascii="宋体" w:hAnsi="宋体" w:eastAsia="宋体" w:cs="宋体"/>
          <w:b/>
          <w:bCs/>
          <w:color w:val="000000"/>
          <w:sz w:val="21"/>
          <w:szCs w:val="21"/>
        </w:rPr>
        <w:instrText xml:space="preserve">办理业务。4</w:instrText>
      </w:r>
      <w:r>
        <w:rPr>
          <w:rFonts w:ascii="宋体" w:hAnsi="宋体" w:eastAsia="宋体" w:cs="宋体"/>
          <w:b/>
          <w:bCs/>
          <w:color w:val="000000"/>
          <w:sz w:val="21"/>
          <w:szCs w:val="21"/>
        </w:rPr>
        <w:instrText xml:space="preserve">" </w:instrText>
      </w:r>
      <w:r>
        <w:rPr>
          <w:rFonts w:ascii="宋体" w:hAnsi="宋体" w:eastAsia="宋体" w:cs="宋体"/>
          <w:b/>
          <w:bCs/>
          <w:color w:val="000000"/>
          <w:sz w:val="21"/>
          <w:szCs w:val="21"/>
        </w:rPr>
        <w:fldChar w:fldCharType="separate"/>
      </w:r>
      <w:r>
        <w:rPr>
          <w:rStyle w:val="52"/>
          <w:rFonts w:ascii="宋体" w:hAnsi="宋体" w:eastAsia="宋体" w:cs="宋体"/>
          <w:b/>
          <w:bCs/>
          <w:color w:val="000000"/>
          <w:sz w:val="21"/>
          <w:szCs w:val="21"/>
        </w:rPr>
        <w:t>http://220.191.208.230:8080/login.do</w:t>
      </w:r>
      <w:r>
        <w:rPr>
          <w:rStyle w:val="52"/>
          <w:rFonts w:hint="eastAsia" w:ascii="宋体" w:hAnsi="宋体" w:eastAsia="宋体" w:cs="宋体"/>
          <w:b/>
          <w:bCs/>
          <w:color w:val="000000"/>
          <w:sz w:val="21"/>
          <w:szCs w:val="21"/>
        </w:rPr>
        <w:t>办理业务。</w:t>
      </w:r>
      <w:bookmarkStart w:id="28" w:name="_Hlt68790053"/>
      <w:bookmarkEnd w:id="28"/>
      <w:bookmarkStart w:id="29" w:name="_Hlt68790052"/>
      <w:bookmarkEnd w:id="29"/>
      <w:r>
        <w:rPr>
          <w:rFonts w:ascii="宋体" w:hAnsi="宋体" w:eastAsia="宋体" w:cs="宋体"/>
          <w:b/>
          <w:bCs/>
          <w:color w:val="000000"/>
          <w:sz w:val="21"/>
          <w:szCs w:val="21"/>
        </w:rPr>
        <w:fldChar w:fldCharType="end"/>
      </w:r>
    </w:p>
    <w:p>
      <w:pPr>
        <w:spacing w:line="360" w:lineRule="auto"/>
        <w:ind w:firstLine="422" w:firstLineChars="200"/>
        <w:rPr>
          <w:rFonts w:ascii="宋体" w:hAnsi="宋体" w:eastAsia="宋体" w:cs="宋体"/>
          <w:color w:val="000000"/>
          <w:sz w:val="21"/>
          <w:szCs w:val="21"/>
        </w:rPr>
      </w:pPr>
      <w:r>
        <w:rPr>
          <w:rFonts w:ascii="宋体" w:hAnsi="宋体" w:eastAsia="宋体" w:cs="宋体"/>
          <w:b/>
          <w:bCs/>
          <w:color w:val="000000"/>
          <w:sz w:val="21"/>
          <w:szCs w:val="21"/>
        </w:rPr>
        <w:t>4</w:t>
      </w:r>
      <w:r>
        <w:rPr>
          <w:rFonts w:hint="eastAsia" w:ascii="宋体" w:hAnsi="宋体" w:eastAsia="宋体" w:cs="宋体"/>
          <w:b/>
          <w:bCs/>
          <w:color w:val="000000"/>
          <w:sz w:val="21"/>
          <w:szCs w:val="21"/>
        </w:rPr>
        <w:t>、</w:t>
      </w:r>
      <w:r>
        <w:rPr>
          <w:rFonts w:hint="eastAsia" w:ascii="宋体" w:hAnsi="宋体" w:eastAsia="宋体" w:cs="宋体"/>
          <w:color w:val="000000"/>
          <w:sz w:val="21"/>
          <w:szCs w:val="21"/>
        </w:rPr>
        <w:t>电子交易平台为政采云平台。登录网址：</w:t>
      </w:r>
      <w:r>
        <w:rPr>
          <w:rFonts w:ascii="宋体" w:hAnsi="宋体" w:eastAsia="宋体" w:cs="宋体"/>
          <w:color w:val="000000"/>
          <w:sz w:val="21"/>
          <w:szCs w:val="21"/>
        </w:rPr>
        <w:fldChar w:fldCharType="begin"/>
      </w:r>
      <w:r>
        <w:rPr>
          <w:rFonts w:ascii="宋体" w:hAnsi="宋体" w:eastAsia="宋体" w:cs="宋体"/>
          <w:color w:val="000000"/>
          <w:sz w:val="21"/>
          <w:szCs w:val="21"/>
        </w:rPr>
        <w:instrText xml:space="preserve"> </w:instrText>
      </w:r>
      <w:r>
        <w:rPr>
          <w:rFonts w:hint="eastAsia" w:ascii="宋体" w:hAnsi="宋体" w:eastAsia="宋体" w:cs="宋体"/>
          <w:color w:val="000000"/>
          <w:sz w:val="21"/>
          <w:szCs w:val="21"/>
        </w:rPr>
        <w:instrText xml:space="preserve">HYPERLINK "https://www.zcygov.cn。"</w:instrText>
      </w:r>
      <w:r>
        <w:rPr>
          <w:rFonts w:ascii="宋体" w:hAnsi="宋体" w:eastAsia="宋体" w:cs="宋体"/>
          <w:color w:val="000000"/>
          <w:sz w:val="21"/>
          <w:szCs w:val="21"/>
        </w:rPr>
        <w:instrText xml:space="preserve"> </w:instrText>
      </w:r>
      <w:r>
        <w:rPr>
          <w:rFonts w:ascii="宋体" w:hAnsi="宋体" w:eastAsia="宋体" w:cs="宋体"/>
          <w:color w:val="000000"/>
          <w:sz w:val="21"/>
          <w:szCs w:val="21"/>
        </w:rPr>
        <w:fldChar w:fldCharType="separate"/>
      </w:r>
      <w:r>
        <w:rPr>
          <w:rStyle w:val="52"/>
          <w:rFonts w:hint="eastAsia" w:ascii="宋体" w:hAnsi="宋体" w:eastAsia="宋体" w:cs="宋体"/>
          <w:color w:val="000000"/>
          <w:sz w:val="21"/>
          <w:szCs w:val="21"/>
        </w:rPr>
        <w:t>https://www.zcygov.cn。</w:t>
      </w:r>
      <w:r>
        <w:rPr>
          <w:rFonts w:ascii="宋体" w:hAnsi="宋体" w:eastAsia="宋体" w:cs="宋体"/>
          <w:color w:val="000000"/>
          <w:sz w:val="21"/>
          <w:szCs w:val="21"/>
        </w:rPr>
        <w:fldChar w:fldCharType="end"/>
      </w:r>
    </w:p>
    <w:p>
      <w:pPr>
        <w:spacing w:line="360" w:lineRule="auto"/>
        <w:ind w:firstLine="420" w:firstLineChars="200"/>
        <w:rPr>
          <w:rFonts w:hint="eastAsia" w:ascii="宋体" w:hAnsi="宋体" w:eastAsia="宋体" w:cs="宋体"/>
          <w:b/>
          <w:color w:val="000000"/>
          <w:sz w:val="21"/>
          <w:szCs w:val="21"/>
        </w:rPr>
      </w:pPr>
      <w:r>
        <w:rPr>
          <w:rFonts w:ascii="宋体" w:hAnsi="宋体" w:eastAsia="宋体" w:cs="宋体"/>
          <w:color w:val="000000"/>
          <w:sz w:val="21"/>
          <w:szCs w:val="21"/>
        </w:rPr>
        <w:t>5</w:t>
      </w:r>
      <w:r>
        <w:rPr>
          <w:rFonts w:hint="eastAsia" w:ascii="宋体" w:hAnsi="宋体" w:eastAsia="宋体" w:cs="宋体"/>
          <w:color w:val="000000"/>
          <w:sz w:val="21"/>
          <w:szCs w:val="21"/>
        </w:rPr>
        <w:t>、供应商如中标，必须在签订政府采购合同前完成纸质材料递交、公示结束成为正式供应商。</w:t>
      </w:r>
    </w:p>
    <w:p>
      <w:pPr>
        <w:pStyle w:val="144"/>
        <w:widowControl w:val="0"/>
        <w:spacing w:line="360" w:lineRule="auto"/>
        <w:rPr>
          <w:rFonts w:ascii="宋体" w:hAnsi="宋体" w:eastAsia="宋体" w:cs="宋体"/>
          <w:b/>
          <w:bCs/>
          <w:color w:val="000000"/>
          <w:sz w:val="21"/>
          <w:szCs w:val="21"/>
        </w:rPr>
      </w:pPr>
      <w:bookmarkStart w:id="30" w:name="_Toc35393796"/>
      <w:bookmarkStart w:id="31" w:name="_Toc28359008"/>
      <w:bookmarkStart w:id="32" w:name="_Toc28359085"/>
      <w:bookmarkStart w:id="33" w:name="_Toc35393627"/>
      <w:r>
        <w:rPr>
          <w:rFonts w:ascii="宋体" w:hAnsi="宋体" w:eastAsia="宋体" w:cs="宋体"/>
          <w:b/>
          <w:bCs/>
          <w:color w:val="000000"/>
          <w:sz w:val="21"/>
          <w:szCs w:val="21"/>
        </w:rPr>
        <w:t>七、对本次采购提出询问、质疑、投诉，请按以下方式联系</w:t>
      </w:r>
      <w:bookmarkEnd w:id="30"/>
      <w:bookmarkEnd w:id="31"/>
      <w:bookmarkEnd w:id="32"/>
      <w:bookmarkEnd w:id="33"/>
    </w:p>
    <w:p>
      <w:pPr>
        <w:spacing w:line="360" w:lineRule="auto"/>
        <w:ind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1、采购人信息</w:t>
      </w:r>
    </w:p>
    <w:p>
      <w:pPr>
        <w:spacing w:line="360" w:lineRule="auto"/>
        <w:ind w:left="720" w:leftChars="300"/>
        <w:jc w:val="left"/>
        <w:rPr>
          <w:rFonts w:hint="eastAsia" w:ascii="宋体" w:hAnsi="宋体" w:eastAsia="宋体" w:cs="宋体"/>
          <w:color w:val="000000"/>
          <w:sz w:val="21"/>
          <w:szCs w:val="21"/>
        </w:rPr>
      </w:pPr>
      <w:r>
        <w:rPr>
          <w:rFonts w:hint="eastAsia" w:ascii="宋体" w:hAnsi="宋体" w:eastAsia="宋体" w:cs="宋体"/>
          <w:color w:val="000000"/>
          <w:sz w:val="21"/>
          <w:szCs w:val="21"/>
        </w:rPr>
        <w:t>名    称：杭州市水库管理服务中心</w:t>
      </w:r>
    </w:p>
    <w:p>
      <w:pPr>
        <w:spacing w:line="360" w:lineRule="auto"/>
        <w:ind w:left="720" w:leftChars="3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地    址：杭州市余杭区闲林街道源峰街218号</w:t>
      </w:r>
    </w:p>
    <w:p>
      <w:pPr>
        <w:spacing w:line="360" w:lineRule="auto"/>
        <w:ind w:left="720" w:leftChars="300"/>
        <w:jc w:val="left"/>
        <w:rPr>
          <w:rFonts w:ascii="宋体" w:hAnsi="宋体" w:eastAsia="宋体" w:cs="宋体"/>
          <w:color w:val="000000"/>
          <w:sz w:val="21"/>
          <w:szCs w:val="21"/>
        </w:rPr>
      </w:pPr>
      <w:r>
        <w:rPr>
          <w:rFonts w:hint="eastAsia" w:ascii="宋体" w:hAnsi="宋体" w:eastAsia="宋体" w:cs="宋体"/>
          <w:color w:val="000000"/>
          <w:sz w:val="21"/>
          <w:szCs w:val="21"/>
        </w:rPr>
        <w:t>传    真：/</w:t>
      </w:r>
    </w:p>
    <w:p>
      <w:pPr>
        <w:spacing w:line="360" w:lineRule="auto"/>
        <w:ind w:left="720" w:leftChars="300"/>
        <w:jc w:val="left"/>
        <w:rPr>
          <w:rFonts w:ascii="宋体" w:hAnsi="宋体" w:eastAsia="宋体" w:cs="宋体"/>
          <w:color w:val="000000"/>
          <w:sz w:val="21"/>
          <w:szCs w:val="21"/>
        </w:rPr>
      </w:pPr>
      <w:r>
        <w:rPr>
          <w:rFonts w:hint="eastAsia" w:ascii="宋体" w:hAnsi="宋体" w:eastAsia="宋体" w:cs="宋体"/>
          <w:color w:val="000000"/>
          <w:sz w:val="21"/>
          <w:szCs w:val="21"/>
        </w:rPr>
        <w:t>项目联系人（询问）：姚先生</w:t>
      </w:r>
    </w:p>
    <w:p>
      <w:pPr>
        <w:spacing w:line="360" w:lineRule="auto"/>
        <w:ind w:left="720" w:leftChars="300"/>
        <w:jc w:val="left"/>
        <w:rPr>
          <w:rFonts w:ascii="宋体" w:hAnsi="宋体" w:eastAsia="宋体" w:cs="宋体"/>
          <w:color w:val="000000"/>
          <w:sz w:val="21"/>
          <w:szCs w:val="21"/>
        </w:rPr>
      </w:pPr>
      <w:r>
        <w:rPr>
          <w:rFonts w:hint="eastAsia" w:ascii="宋体" w:hAnsi="宋体" w:eastAsia="宋体" w:cs="宋体"/>
          <w:color w:val="000000"/>
          <w:sz w:val="21"/>
          <w:szCs w:val="21"/>
        </w:rPr>
        <w:t>项目联系方式（询问）：15158114512</w:t>
      </w:r>
    </w:p>
    <w:p>
      <w:pPr>
        <w:spacing w:line="360" w:lineRule="auto"/>
        <w:ind w:left="720" w:leftChars="300"/>
        <w:jc w:val="left"/>
        <w:rPr>
          <w:rFonts w:ascii="宋体" w:hAnsi="宋体" w:eastAsia="宋体" w:cs="宋体"/>
          <w:color w:val="000000"/>
          <w:sz w:val="21"/>
          <w:szCs w:val="21"/>
        </w:rPr>
      </w:pPr>
      <w:r>
        <w:rPr>
          <w:rFonts w:hint="eastAsia" w:ascii="宋体" w:hAnsi="宋体" w:eastAsia="宋体" w:cs="宋体"/>
          <w:color w:val="000000"/>
          <w:sz w:val="21"/>
          <w:szCs w:val="21"/>
        </w:rPr>
        <w:t>质疑联系人：金女士</w:t>
      </w:r>
    </w:p>
    <w:p>
      <w:pPr>
        <w:spacing w:line="360" w:lineRule="auto"/>
        <w:ind w:left="720" w:leftChars="300"/>
        <w:jc w:val="left"/>
        <w:rPr>
          <w:rFonts w:ascii="宋体" w:hAnsi="宋体" w:eastAsia="宋体" w:cs="宋体"/>
          <w:color w:val="000000"/>
          <w:sz w:val="21"/>
          <w:szCs w:val="21"/>
        </w:rPr>
      </w:pPr>
      <w:r>
        <w:rPr>
          <w:rFonts w:hint="eastAsia" w:ascii="宋体" w:hAnsi="宋体" w:eastAsia="宋体" w:cs="宋体"/>
          <w:color w:val="000000"/>
          <w:sz w:val="21"/>
          <w:szCs w:val="21"/>
        </w:rPr>
        <w:t>质疑联系方式：13735864929</w:t>
      </w:r>
    </w:p>
    <w:p>
      <w:pPr>
        <w:spacing w:line="360" w:lineRule="auto"/>
        <w:ind w:left="720" w:leftChars="300"/>
        <w:jc w:val="left"/>
        <w:rPr>
          <w:rFonts w:hint="eastAsia" w:ascii="宋体" w:hAnsi="宋体" w:eastAsia="宋体" w:cs="宋体"/>
          <w:color w:val="000000"/>
          <w:sz w:val="21"/>
          <w:szCs w:val="21"/>
        </w:rPr>
      </w:pPr>
      <w:bookmarkStart w:id="34" w:name="_Toc28359086"/>
      <w:bookmarkStart w:id="35" w:name="_Toc28359009"/>
    </w:p>
    <w:bookmarkEnd w:id="34"/>
    <w:bookmarkEnd w:id="35"/>
    <w:p>
      <w:pPr>
        <w:spacing w:line="360" w:lineRule="auto"/>
        <w:ind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2、采购代理机构信息</w:t>
      </w:r>
    </w:p>
    <w:p>
      <w:pPr>
        <w:spacing w:line="360" w:lineRule="auto"/>
        <w:ind w:left="720" w:leftChars="300"/>
        <w:rPr>
          <w:rFonts w:hint="eastAsia" w:ascii="宋体" w:hAnsi="宋体" w:eastAsia="宋体" w:cs="宋体"/>
          <w:color w:val="000000"/>
          <w:sz w:val="21"/>
          <w:szCs w:val="21"/>
        </w:rPr>
      </w:pPr>
      <w:r>
        <w:rPr>
          <w:rFonts w:hint="eastAsia" w:ascii="宋体" w:hAnsi="宋体" w:eastAsia="宋体" w:cs="宋体"/>
          <w:color w:val="000000"/>
          <w:sz w:val="21"/>
          <w:szCs w:val="21"/>
        </w:rPr>
        <w:t>名    称：华联世纪工程咨询股份有限公司</w:t>
      </w:r>
    </w:p>
    <w:p>
      <w:pPr>
        <w:spacing w:line="360" w:lineRule="auto"/>
        <w:ind w:left="720" w:leftChars="300"/>
        <w:rPr>
          <w:rFonts w:hint="eastAsia" w:ascii="宋体" w:hAnsi="宋体" w:eastAsia="宋体" w:cs="宋体"/>
          <w:color w:val="000000"/>
          <w:sz w:val="21"/>
          <w:szCs w:val="21"/>
        </w:rPr>
      </w:pPr>
      <w:r>
        <w:rPr>
          <w:rFonts w:hint="eastAsia" w:ascii="宋体" w:hAnsi="宋体" w:eastAsia="宋体" w:cs="宋体"/>
          <w:color w:val="000000"/>
          <w:sz w:val="21"/>
          <w:szCs w:val="21"/>
        </w:rPr>
        <w:t>地    址：杭州市滨江区长河街道长河路351号三号楼B座215室</w:t>
      </w:r>
    </w:p>
    <w:p>
      <w:pPr>
        <w:spacing w:line="360" w:lineRule="auto"/>
        <w:ind w:left="720" w:leftChars="300"/>
        <w:rPr>
          <w:rFonts w:hint="eastAsia" w:ascii="宋体" w:hAnsi="宋体" w:eastAsia="宋体" w:cs="宋体"/>
          <w:color w:val="000000"/>
          <w:sz w:val="21"/>
          <w:szCs w:val="21"/>
        </w:rPr>
      </w:pPr>
      <w:r>
        <w:rPr>
          <w:rFonts w:hint="eastAsia" w:ascii="宋体" w:hAnsi="宋体" w:eastAsia="宋体" w:cs="宋体"/>
          <w:color w:val="000000"/>
          <w:sz w:val="21"/>
          <w:szCs w:val="21"/>
        </w:rPr>
        <w:t>传    真：0571-86783385</w:t>
      </w:r>
    </w:p>
    <w:p>
      <w:pPr>
        <w:spacing w:line="360" w:lineRule="auto"/>
        <w:ind w:left="720" w:leftChars="300"/>
        <w:rPr>
          <w:rFonts w:ascii="宋体" w:hAnsi="宋体" w:eastAsia="宋体" w:cs="宋体"/>
          <w:color w:val="000000"/>
          <w:sz w:val="21"/>
          <w:szCs w:val="21"/>
        </w:rPr>
      </w:pPr>
      <w:r>
        <w:rPr>
          <w:rFonts w:hint="eastAsia" w:ascii="宋体" w:hAnsi="宋体" w:eastAsia="宋体" w:cs="宋体"/>
          <w:color w:val="000000"/>
          <w:sz w:val="21"/>
          <w:szCs w:val="21"/>
        </w:rPr>
        <w:t xml:space="preserve">项目联系人（询问）：褚震宇  </w:t>
      </w:r>
    </w:p>
    <w:p>
      <w:pPr>
        <w:spacing w:line="360" w:lineRule="auto"/>
        <w:ind w:left="720" w:leftChars="300"/>
        <w:rPr>
          <w:rFonts w:ascii="宋体" w:hAnsi="宋体" w:eastAsia="宋体" w:cs="宋体"/>
          <w:color w:val="000000"/>
          <w:sz w:val="21"/>
          <w:szCs w:val="21"/>
        </w:rPr>
      </w:pPr>
      <w:r>
        <w:rPr>
          <w:rFonts w:hint="eastAsia" w:ascii="宋体" w:hAnsi="宋体" w:eastAsia="宋体" w:cs="宋体"/>
          <w:color w:val="000000"/>
          <w:sz w:val="21"/>
          <w:szCs w:val="21"/>
        </w:rPr>
        <w:t>项目联系方式（询问）：0571-86783385  15057194701</w:t>
      </w:r>
    </w:p>
    <w:p>
      <w:pPr>
        <w:spacing w:line="360" w:lineRule="auto"/>
        <w:ind w:left="720" w:leftChars="300"/>
        <w:rPr>
          <w:rFonts w:ascii="宋体" w:hAnsi="宋体" w:eastAsia="宋体" w:cs="宋体"/>
          <w:color w:val="000000"/>
          <w:sz w:val="21"/>
          <w:szCs w:val="21"/>
        </w:rPr>
      </w:pPr>
      <w:r>
        <w:rPr>
          <w:rFonts w:hint="eastAsia" w:ascii="宋体" w:hAnsi="宋体" w:eastAsia="宋体" w:cs="宋体"/>
          <w:color w:val="000000"/>
          <w:sz w:val="21"/>
          <w:szCs w:val="21"/>
        </w:rPr>
        <w:t>质疑联系人：</w:t>
      </w:r>
      <w:r>
        <w:rPr>
          <w:rFonts w:ascii="宋体" w:hAnsi="宋体" w:eastAsia="宋体" w:cs="宋体"/>
          <w:color w:val="000000"/>
          <w:sz w:val="21"/>
          <w:szCs w:val="21"/>
        </w:rPr>
        <w:t>桂剑臣</w:t>
      </w:r>
    </w:p>
    <w:p>
      <w:pPr>
        <w:spacing w:line="360" w:lineRule="auto"/>
        <w:ind w:left="720" w:leftChars="300"/>
        <w:rPr>
          <w:rFonts w:hint="eastAsia" w:ascii="宋体" w:hAnsi="宋体" w:eastAsia="宋体" w:cs="宋体"/>
          <w:color w:val="000000"/>
          <w:sz w:val="21"/>
          <w:szCs w:val="21"/>
        </w:rPr>
      </w:pPr>
      <w:r>
        <w:rPr>
          <w:rFonts w:hint="eastAsia" w:ascii="宋体" w:hAnsi="宋体" w:eastAsia="宋体" w:cs="宋体"/>
          <w:color w:val="000000"/>
          <w:sz w:val="21"/>
          <w:szCs w:val="21"/>
        </w:rPr>
        <w:t>质疑联系方式：</w:t>
      </w:r>
      <w:r>
        <w:rPr>
          <w:rFonts w:ascii="宋体" w:hAnsi="宋体" w:eastAsia="宋体" w:cs="宋体"/>
          <w:color w:val="000000"/>
          <w:sz w:val="21"/>
          <w:szCs w:val="21"/>
        </w:rPr>
        <w:t>15397023359</w:t>
      </w:r>
    </w:p>
    <w:p>
      <w:pPr>
        <w:spacing w:line="360" w:lineRule="auto"/>
        <w:ind w:left="720" w:leftChars="300"/>
        <w:rPr>
          <w:rFonts w:hint="eastAsia" w:ascii="宋体" w:hAnsi="宋体" w:eastAsia="宋体" w:cs="宋体"/>
          <w:color w:val="000000"/>
          <w:sz w:val="21"/>
          <w:szCs w:val="21"/>
        </w:rPr>
      </w:pPr>
    </w:p>
    <w:p>
      <w:pPr>
        <w:spacing w:line="360" w:lineRule="auto"/>
        <w:ind w:firstLine="422" w:firstLineChars="200"/>
        <w:rPr>
          <w:rFonts w:ascii="宋体" w:hAnsi="宋体" w:eastAsia="宋体" w:cs="宋体"/>
          <w:b/>
          <w:bCs/>
          <w:color w:val="000000"/>
          <w:kern w:val="0"/>
          <w:sz w:val="21"/>
          <w:szCs w:val="21"/>
        </w:rPr>
      </w:pPr>
      <w:bookmarkStart w:id="36" w:name="_Toc28359087"/>
      <w:bookmarkStart w:id="37" w:name="_Toc28359010"/>
      <w:r>
        <w:rPr>
          <w:rFonts w:hint="eastAsia" w:ascii="宋体" w:hAnsi="宋体" w:eastAsia="宋体" w:cs="宋体"/>
          <w:b/>
          <w:bCs/>
          <w:color w:val="000000"/>
          <w:kern w:val="0"/>
          <w:sz w:val="21"/>
          <w:szCs w:val="21"/>
        </w:rPr>
        <w:t>3</w:t>
      </w:r>
      <w:bookmarkEnd w:id="36"/>
      <w:bookmarkEnd w:id="37"/>
      <w:r>
        <w:rPr>
          <w:rFonts w:hint="eastAsia" w:ascii="宋体" w:hAnsi="宋体" w:eastAsia="宋体" w:cs="宋体"/>
          <w:b/>
          <w:bCs/>
          <w:color w:val="000000"/>
          <w:kern w:val="0"/>
          <w:sz w:val="21"/>
          <w:szCs w:val="21"/>
        </w:rPr>
        <w:t>、同级财政监督管理部门信息</w:t>
      </w:r>
    </w:p>
    <w:p>
      <w:pPr>
        <w:spacing w:line="360" w:lineRule="auto"/>
        <w:ind w:left="720" w:leftChars="300"/>
        <w:rPr>
          <w:rFonts w:hint="eastAsia" w:ascii="宋体" w:hAnsi="宋体" w:eastAsia="宋体" w:cs="宋体"/>
          <w:color w:val="000000"/>
          <w:sz w:val="21"/>
          <w:szCs w:val="21"/>
        </w:rPr>
      </w:pPr>
      <w:r>
        <w:rPr>
          <w:rFonts w:hint="eastAsia" w:ascii="宋体" w:hAnsi="宋体" w:eastAsia="宋体" w:cs="宋体"/>
          <w:color w:val="000000"/>
          <w:sz w:val="21"/>
          <w:szCs w:val="21"/>
        </w:rPr>
        <w:t>名    称：杭州市财政局政府采购监管处</w:t>
      </w:r>
    </w:p>
    <w:p>
      <w:pPr>
        <w:spacing w:line="360" w:lineRule="auto"/>
        <w:ind w:left="720" w:leftChars="300"/>
        <w:rPr>
          <w:rFonts w:hint="eastAsia" w:ascii="宋体" w:hAnsi="宋体" w:eastAsia="宋体" w:cs="宋体"/>
          <w:color w:val="000000"/>
          <w:sz w:val="21"/>
          <w:szCs w:val="21"/>
        </w:rPr>
      </w:pPr>
      <w:r>
        <w:rPr>
          <w:rFonts w:hint="eastAsia" w:ascii="宋体" w:hAnsi="宋体" w:eastAsia="宋体" w:cs="宋体"/>
          <w:color w:val="000000"/>
          <w:sz w:val="21"/>
          <w:szCs w:val="21"/>
        </w:rPr>
        <w:t>地    址：杭州市中河中路152号617办公室</w:t>
      </w:r>
    </w:p>
    <w:p>
      <w:pPr>
        <w:spacing w:line="360" w:lineRule="auto"/>
        <w:ind w:left="720" w:leftChars="300"/>
        <w:rPr>
          <w:rFonts w:hint="eastAsia" w:ascii="宋体" w:hAnsi="宋体" w:eastAsia="宋体" w:cs="宋体"/>
          <w:color w:val="000000"/>
          <w:sz w:val="21"/>
          <w:szCs w:val="21"/>
        </w:rPr>
      </w:pPr>
      <w:r>
        <w:rPr>
          <w:rFonts w:hint="eastAsia" w:ascii="宋体" w:hAnsi="宋体" w:eastAsia="宋体" w:cs="宋体"/>
          <w:color w:val="000000"/>
          <w:sz w:val="21"/>
          <w:szCs w:val="21"/>
        </w:rPr>
        <w:t>传    真：87715261</w:t>
      </w:r>
    </w:p>
    <w:p>
      <w:pPr>
        <w:spacing w:line="360" w:lineRule="auto"/>
        <w:ind w:left="720" w:leftChars="300"/>
        <w:rPr>
          <w:rFonts w:ascii="宋体" w:hAnsi="宋体" w:eastAsia="宋体" w:cs="宋体"/>
          <w:color w:val="000000"/>
          <w:sz w:val="21"/>
          <w:szCs w:val="21"/>
        </w:rPr>
      </w:pPr>
      <w:r>
        <w:rPr>
          <w:rFonts w:hint="eastAsia" w:ascii="宋体" w:hAnsi="宋体" w:eastAsia="宋体" w:cs="宋体"/>
          <w:color w:val="000000"/>
          <w:sz w:val="21"/>
          <w:szCs w:val="21"/>
        </w:rPr>
        <w:t>联系人：吕先生</w:t>
      </w:r>
    </w:p>
    <w:p>
      <w:pPr>
        <w:spacing w:line="360" w:lineRule="auto"/>
        <w:ind w:left="720" w:leftChars="3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监督投诉电话：87715261 </w:t>
      </w:r>
    </w:p>
    <w:p>
      <w:pPr>
        <w:pStyle w:val="19"/>
        <w:ind w:firstLine="420"/>
        <w:rPr>
          <w:rFonts w:hint="eastAsia" w:eastAsia="宋体" w:cs="宋体"/>
          <w:color w:val="000000"/>
          <w:sz w:val="21"/>
          <w:szCs w:val="21"/>
        </w:rPr>
      </w:pPr>
    </w:p>
    <w:p>
      <w:pPr>
        <w:pStyle w:val="19"/>
        <w:ind w:firstLine="420"/>
        <w:rPr>
          <w:rFonts w:hint="eastAsia" w:eastAsia="宋体" w:cs="宋体"/>
          <w:color w:val="000000"/>
          <w:sz w:val="21"/>
          <w:szCs w:val="21"/>
        </w:rPr>
      </w:pPr>
    </w:p>
    <w:p>
      <w:pPr>
        <w:pStyle w:val="19"/>
        <w:ind w:firstLine="420"/>
        <w:rPr>
          <w:rFonts w:hint="eastAsia" w:eastAsia="宋体" w:cs="宋体"/>
          <w:color w:val="000000"/>
          <w:sz w:val="21"/>
          <w:szCs w:val="21"/>
        </w:rPr>
      </w:pPr>
    </w:p>
    <w:p>
      <w:pPr>
        <w:pStyle w:val="144"/>
        <w:widowControl w:val="0"/>
        <w:spacing w:line="360" w:lineRule="auto"/>
        <w:ind w:firstLine="482"/>
        <w:rPr>
          <w:rFonts w:ascii="宋体" w:hAnsi="宋体" w:eastAsia="宋体" w:cs="宋体"/>
          <w:b/>
          <w:bCs/>
          <w:color w:val="000000"/>
          <w:sz w:val="21"/>
          <w:szCs w:val="21"/>
        </w:rPr>
      </w:pPr>
      <w:r>
        <w:rPr>
          <w:rFonts w:ascii="宋体" w:hAnsi="宋体" w:eastAsia="宋体" w:cs="宋体"/>
          <w:b/>
          <w:bCs/>
          <w:color w:val="000000"/>
          <w:sz w:val="21"/>
          <w:szCs w:val="21"/>
        </w:rPr>
        <w:t>若对项目采购电子交易系统操作有疑问，可登录政采云（https://www.zcygov.cn/），点击右侧咨询小采，获取采小蜜智能服务管家帮助，或拨打政采云服务热线400-881-7190获取热线服务帮助。</w:t>
      </w:r>
    </w:p>
    <w:p>
      <w:pPr>
        <w:pStyle w:val="144"/>
        <w:widowControl w:val="0"/>
        <w:spacing w:line="360" w:lineRule="auto"/>
        <w:ind w:firstLine="482"/>
        <w:rPr>
          <w:rFonts w:ascii="宋体" w:hAnsi="宋体" w:eastAsia="宋体" w:cs="宋体"/>
          <w:b/>
          <w:bCs/>
          <w:color w:val="000000"/>
          <w:sz w:val="21"/>
          <w:szCs w:val="21"/>
        </w:rPr>
      </w:pPr>
      <w:r>
        <w:rPr>
          <w:rFonts w:ascii="宋体" w:hAnsi="宋体" w:eastAsia="宋体" w:cs="宋体"/>
          <w:b/>
          <w:bCs/>
          <w:color w:val="000000"/>
          <w:sz w:val="21"/>
          <w:szCs w:val="21"/>
        </w:rPr>
        <w:t>CA问题联系电话（人工）：汇信CA  400-888-4636；天谷CA  400-087-8198。</w:t>
      </w:r>
    </w:p>
    <w:p>
      <w:pPr>
        <w:pStyle w:val="144"/>
        <w:widowControl w:val="0"/>
        <w:spacing w:line="360" w:lineRule="auto"/>
        <w:ind w:firstLine="482"/>
        <w:rPr>
          <w:rFonts w:ascii="宋体" w:hAnsi="宋体" w:eastAsia="宋体" w:cs="宋体"/>
          <w:color w:val="000000"/>
          <w:sz w:val="21"/>
          <w:szCs w:val="21"/>
        </w:rPr>
      </w:pPr>
    </w:p>
    <w:p>
      <w:pPr>
        <w:adjustRightInd w:val="0"/>
        <w:spacing w:line="360" w:lineRule="auto"/>
        <w:ind w:firstLine="200"/>
        <w:jc w:val="center"/>
        <w:outlineLvl w:val="0"/>
        <w:rPr>
          <w:rFonts w:hint="eastAsia" w:ascii="宋体" w:hAnsi="宋体" w:eastAsia="宋体" w:cs="宋体"/>
          <w:b/>
          <w:color w:val="000000"/>
          <w:sz w:val="36"/>
        </w:rPr>
      </w:pPr>
      <w:r>
        <w:rPr>
          <w:rFonts w:hint="eastAsia" w:ascii="宋体" w:hAnsi="宋体" w:eastAsia="宋体" w:cs="宋体"/>
          <w:b/>
          <w:color w:val="000000"/>
          <w:sz w:val="36"/>
        </w:rPr>
        <w:br w:type="page"/>
      </w:r>
      <w:bookmarkStart w:id="38" w:name="_Toc2328"/>
      <w:r>
        <w:rPr>
          <w:rFonts w:hint="eastAsia" w:ascii="宋体" w:hAnsi="宋体" w:eastAsia="宋体" w:cs="宋体"/>
          <w:b/>
          <w:color w:val="000000"/>
          <w:sz w:val="36"/>
        </w:rPr>
        <w:t>第二部分 投标须知</w:t>
      </w:r>
      <w:bookmarkEnd w:id="2"/>
      <w:bookmarkEnd w:id="38"/>
    </w:p>
    <w:p>
      <w:pPr>
        <w:adjustRightInd w:val="0"/>
        <w:spacing w:line="360" w:lineRule="auto"/>
        <w:jc w:val="center"/>
        <w:outlineLvl w:val="1"/>
        <w:rPr>
          <w:rFonts w:hint="eastAsia" w:ascii="宋体" w:hAnsi="宋体" w:eastAsia="宋体" w:cs="宋体"/>
          <w:b/>
          <w:color w:val="000000"/>
          <w:sz w:val="32"/>
        </w:rPr>
      </w:pPr>
      <w:bookmarkStart w:id="39" w:name="_Toc11138"/>
      <w:r>
        <w:rPr>
          <w:rFonts w:hint="eastAsia" w:ascii="宋体" w:hAnsi="宋体" w:eastAsia="宋体" w:cs="宋体"/>
          <w:b/>
          <w:color w:val="000000"/>
          <w:sz w:val="32"/>
        </w:rPr>
        <w:t>前附表</w:t>
      </w:r>
      <w:bookmarkEnd w:id="39"/>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28"/>
        <w:gridCol w:w="74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003" w:type="dxa"/>
            <w:shd w:val="clear" w:color="auto" w:fill="auto"/>
            <w:noWrap w:val="0"/>
            <w:vAlign w:val="top"/>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条款号</w:t>
            </w:r>
          </w:p>
        </w:tc>
        <w:tc>
          <w:tcPr>
            <w:tcW w:w="1228" w:type="dxa"/>
            <w:shd w:val="clear" w:color="auto" w:fill="auto"/>
            <w:noWrap w:val="0"/>
            <w:vAlign w:val="top"/>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lang w:val="zh-TW"/>
              </w:rPr>
              <w:t>条款</w:t>
            </w:r>
          </w:p>
        </w:tc>
        <w:tc>
          <w:tcPr>
            <w:tcW w:w="7453" w:type="dxa"/>
            <w:shd w:val="clear" w:color="auto" w:fill="auto"/>
            <w:noWrap w:val="0"/>
            <w:vAlign w:val="top"/>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lang w:val="zh-TW"/>
              </w:rPr>
              <w:t>条款内容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1.1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lang w:val="zh-TW"/>
              </w:rPr>
              <w:t>项目名称</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lang w:val="zh-TW" w:eastAsia="zh-TW"/>
              </w:rPr>
            </w:pPr>
            <w:r>
              <w:rPr>
                <w:rFonts w:ascii="宋体" w:hAnsi="宋体" w:eastAsia="宋体" w:cs="宋体"/>
                <w:color w:val="000000"/>
                <w:sz w:val="21"/>
                <w:szCs w:val="21"/>
              </w:rPr>
              <w:t>2021年度青山水库运行维护及工程维修项目——运行管理及日常维护项目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color w:val="000000"/>
                <w:sz w:val="21"/>
                <w:szCs w:val="21"/>
              </w:rPr>
              <w:t>1.1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lang w:val="zh-TW"/>
              </w:rPr>
              <w:t>项目编号</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lang w:val="zh-TW" w:eastAsia="zh-TW"/>
              </w:rPr>
            </w:pPr>
            <w:r>
              <w:rPr>
                <w:rFonts w:ascii="宋体" w:hAnsi="宋体" w:eastAsia="宋体" w:cs="宋体"/>
                <w:color w:val="000000"/>
                <w:sz w:val="21"/>
                <w:szCs w:val="21"/>
                <w:lang w:val="zh-TW"/>
              </w:rPr>
              <w:t>HLSJHZ-2021-002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color w:val="000000"/>
                <w:sz w:val="21"/>
                <w:szCs w:val="21"/>
              </w:rPr>
              <w:t>1.1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采购方式</w:t>
            </w:r>
          </w:p>
        </w:tc>
        <w:tc>
          <w:tcPr>
            <w:tcW w:w="7453" w:type="dxa"/>
            <w:shd w:val="clear" w:color="auto" w:fill="auto"/>
            <w:noWrap w:val="0"/>
            <w:vAlign w:val="center"/>
          </w:tcPr>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t>公开招标（电子交易）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color w:val="000000"/>
                <w:sz w:val="21"/>
                <w:szCs w:val="21"/>
              </w:rPr>
              <w:t>1.1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lang w:val="zh-TW"/>
              </w:rPr>
              <w:t>项目概况</w:t>
            </w:r>
          </w:p>
        </w:tc>
        <w:tc>
          <w:tcPr>
            <w:tcW w:w="7453" w:type="dxa"/>
            <w:shd w:val="clear" w:color="auto" w:fill="auto"/>
            <w:noWrap w:val="0"/>
            <w:vAlign w:val="center"/>
          </w:tcPr>
          <w:p>
            <w:pPr>
              <w:pStyle w:val="144"/>
              <w:rPr>
                <w:rFonts w:ascii="宋体" w:hAnsi="宋体" w:eastAsia="宋体" w:cs="宋体"/>
                <w:color w:val="000000"/>
                <w:sz w:val="21"/>
                <w:szCs w:val="21"/>
              </w:rPr>
            </w:pPr>
            <w:r>
              <w:rPr>
                <w:rFonts w:ascii="宋体" w:hAnsi="宋体" w:eastAsia="宋体" w:cs="宋体"/>
                <w:color w:val="000000"/>
                <w:sz w:val="21"/>
                <w:szCs w:val="21"/>
              </w:rPr>
              <w:t>青山水库运行维护及工程维修项目——运行管理及日常维护项目,主要内容：</w:t>
            </w:r>
          </w:p>
          <w:p>
            <w:pPr>
              <w:pStyle w:val="144"/>
              <w:widowControl w:val="0"/>
              <w:spacing w:line="360" w:lineRule="auto"/>
              <w:rPr>
                <w:rFonts w:ascii="宋体" w:hAnsi="宋体" w:eastAsia="宋体" w:cs="宋体"/>
                <w:color w:val="000000"/>
                <w:sz w:val="21"/>
                <w:szCs w:val="21"/>
                <w:lang w:val="zh-TW"/>
              </w:rPr>
            </w:pPr>
            <w:r>
              <w:rPr>
                <w:rFonts w:ascii="宋体" w:hAnsi="宋体" w:eastAsia="宋体" w:cs="宋体"/>
                <w:color w:val="000000"/>
                <w:sz w:val="21"/>
                <w:szCs w:val="21"/>
                <w:lang w:val="zh-TW"/>
              </w:rPr>
              <w:t>（1）大坝等水工建筑物运行，设施设备的运行，机电设备的日常维修养护。</w:t>
            </w:r>
          </w:p>
          <w:p>
            <w:pPr>
              <w:pStyle w:val="144"/>
              <w:widowControl w:val="0"/>
              <w:spacing w:line="360" w:lineRule="auto"/>
              <w:rPr>
                <w:rFonts w:ascii="宋体" w:hAnsi="宋体" w:eastAsia="宋体" w:cs="宋体"/>
                <w:color w:val="000000"/>
                <w:sz w:val="21"/>
                <w:szCs w:val="21"/>
                <w:lang w:val="zh-TW"/>
              </w:rPr>
            </w:pPr>
            <w:r>
              <w:rPr>
                <w:rFonts w:ascii="宋体" w:hAnsi="宋体" w:eastAsia="宋体" w:cs="宋体"/>
                <w:color w:val="000000"/>
                <w:sz w:val="21"/>
                <w:szCs w:val="21"/>
                <w:lang w:val="zh-TW"/>
              </w:rPr>
              <w:t>（2）电站5台机组运行及日常维修养护。</w:t>
            </w:r>
          </w:p>
          <w:p>
            <w:pPr>
              <w:pStyle w:val="144"/>
              <w:widowControl w:val="0"/>
              <w:spacing w:line="360" w:lineRule="auto"/>
              <w:rPr>
                <w:rFonts w:ascii="宋体" w:hAnsi="宋体" w:eastAsia="宋体" w:cs="宋体"/>
                <w:color w:val="000000"/>
                <w:sz w:val="21"/>
                <w:szCs w:val="21"/>
                <w:lang w:val="zh-TW"/>
              </w:rPr>
            </w:pPr>
            <w:r>
              <w:rPr>
                <w:rFonts w:ascii="宋体" w:hAnsi="宋体" w:eastAsia="宋体" w:cs="宋体"/>
                <w:color w:val="000000"/>
                <w:sz w:val="21"/>
                <w:szCs w:val="21"/>
                <w:lang w:val="zh-TW"/>
              </w:rPr>
              <w:t>（3）**怖防范安全保卫服务。</w:t>
            </w:r>
          </w:p>
          <w:p>
            <w:pPr>
              <w:pStyle w:val="144"/>
              <w:widowControl w:val="0"/>
              <w:spacing w:line="360" w:lineRule="auto"/>
              <w:rPr>
                <w:rFonts w:hint="default" w:ascii="宋体" w:hAnsi="宋体" w:eastAsia="宋体" w:cs="宋体"/>
                <w:color w:val="000000"/>
                <w:sz w:val="21"/>
                <w:szCs w:val="21"/>
              </w:rPr>
            </w:pPr>
            <w:r>
              <w:rPr>
                <w:rFonts w:ascii="宋体" w:hAnsi="宋体" w:eastAsia="宋体" w:cs="宋体"/>
                <w:color w:val="000000"/>
                <w:sz w:val="21"/>
                <w:szCs w:val="21"/>
                <w:lang w:val="zh-TW"/>
              </w:rPr>
              <w:t>（4）水文设施的观测及日常维修养护。</w:t>
            </w:r>
          </w:p>
          <w:p>
            <w:pPr>
              <w:pStyle w:val="144"/>
              <w:widowControl w:val="0"/>
              <w:spacing w:line="360" w:lineRule="auto"/>
              <w:rPr>
                <w:rFonts w:ascii="宋体" w:hAnsi="宋体" w:eastAsia="宋体" w:cs="宋体"/>
                <w:color w:val="000000"/>
                <w:sz w:val="21"/>
                <w:szCs w:val="21"/>
                <w:lang w:val="zh-TW"/>
              </w:rPr>
            </w:pPr>
            <w:r>
              <w:rPr>
                <w:rFonts w:ascii="宋体" w:hAnsi="宋体" w:eastAsia="宋体" w:cs="宋体"/>
                <w:color w:val="000000"/>
                <w:sz w:val="21"/>
                <w:szCs w:val="21"/>
                <w:lang w:val="zh-TW"/>
              </w:rPr>
              <w:t>项目实施地点：</w:t>
            </w:r>
            <w:r>
              <w:rPr>
                <w:rFonts w:ascii="宋体" w:hAnsi="宋体" w:eastAsia="宋体" w:cs="宋体"/>
                <w:color w:val="000000"/>
                <w:sz w:val="21"/>
                <w:szCs w:val="21"/>
              </w:rPr>
              <w:t>杭州</w:t>
            </w:r>
            <w:r>
              <w:rPr>
                <w:rFonts w:ascii="宋体" w:hAnsi="宋体" w:eastAsia="宋体" w:cs="宋体"/>
                <w:color w:val="000000"/>
                <w:sz w:val="21"/>
                <w:szCs w:val="21"/>
                <w:lang w:val="zh-TW"/>
              </w:rPr>
              <w:t>。</w:t>
            </w:r>
          </w:p>
          <w:p>
            <w:pPr>
              <w:pStyle w:val="144"/>
              <w:widowControl w:val="0"/>
              <w:spacing w:line="360" w:lineRule="auto"/>
              <w:rPr>
                <w:rFonts w:ascii="宋体" w:hAnsi="宋体" w:eastAsia="宋体" w:cs="宋体"/>
                <w:color w:val="000000"/>
                <w:sz w:val="21"/>
                <w:szCs w:val="21"/>
                <w:lang w:val="zh-TW" w:eastAsia="zh-TW"/>
              </w:rPr>
            </w:pPr>
            <w:r>
              <w:rPr>
                <w:rFonts w:ascii="宋体" w:hAnsi="宋体" w:eastAsia="宋体" w:cs="宋体"/>
                <w:color w:val="000000"/>
                <w:sz w:val="21"/>
                <w:szCs w:val="21"/>
              </w:rPr>
              <w:t>项目履行期限</w:t>
            </w:r>
            <w:r>
              <w:rPr>
                <w:rFonts w:ascii="宋体" w:hAnsi="宋体" w:eastAsia="宋体" w:cs="宋体"/>
                <w:color w:val="000000"/>
                <w:sz w:val="21"/>
                <w:szCs w:val="21"/>
                <w:lang w:val="zh-TW"/>
              </w:rPr>
              <w:t>：2021年5月1日至2024年4月30日。合同需每年签订一次，合同金额为中标价的三分之一，每合同为一周期。如上一周期合同考核优秀，经采购人同意，可续签合同。续签最多2次</w:t>
            </w:r>
            <w:r>
              <w:rPr>
                <w:rFonts w:ascii="宋体" w:hAnsi="宋体" w:eastAsia="宋体" w:cs="宋体"/>
                <w:color w:val="000000"/>
                <w:sz w:val="21"/>
                <w:szCs w:val="21"/>
              </w:rPr>
              <w:t>。</w:t>
            </w:r>
          </w:p>
          <w:p>
            <w:pPr>
              <w:pStyle w:val="144"/>
              <w:widowControl w:val="0"/>
              <w:spacing w:line="360" w:lineRule="auto"/>
              <w:rPr>
                <w:rFonts w:ascii="宋体" w:hAnsi="宋体" w:eastAsia="宋体" w:cs="宋体"/>
                <w:color w:val="000000"/>
                <w:sz w:val="21"/>
                <w:szCs w:val="21"/>
                <w:lang w:val="zh-TW" w:eastAsia="zh-TW"/>
              </w:rPr>
            </w:pPr>
            <w:r>
              <w:rPr>
                <w:rFonts w:ascii="宋体" w:hAnsi="宋体" w:eastAsia="宋体" w:cs="宋体"/>
                <w:color w:val="000000"/>
                <w:sz w:val="21"/>
                <w:szCs w:val="21"/>
                <w:lang w:val="zh-TW" w:eastAsia="zh-TW"/>
              </w:rPr>
              <w:t>本项目</w:t>
            </w:r>
            <w:r>
              <w:rPr>
                <w:rFonts w:ascii="宋体" w:hAnsi="宋体" w:eastAsia="宋体" w:cs="宋体"/>
                <w:color w:val="000000"/>
                <w:sz w:val="21"/>
                <w:szCs w:val="21"/>
              </w:rPr>
              <w:t>不接受</w:t>
            </w:r>
            <w:r>
              <w:rPr>
                <w:rFonts w:ascii="宋体" w:hAnsi="宋体" w:eastAsia="宋体" w:cs="宋体"/>
                <w:color w:val="000000"/>
                <w:sz w:val="21"/>
                <w:szCs w:val="21"/>
                <w:lang w:val="zh-TW" w:eastAsia="zh-TW"/>
              </w:rPr>
              <w:t>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color w:val="000000"/>
                <w:sz w:val="21"/>
                <w:szCs w:val="21"/>
              </w:rPr>
              <w:t>1.1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lang w:val="zh-TW"/>
              </w:rPr>
              <w:t>采购</w:t>
            </w:r>
            <w:r>
              <w:rPr>
                <w:rFonts w:ascii="宋体" w:hAnsi="宋体" w:eastAsia="宋体" w:cs="宋体"/>
                <w:b/>
                <w:bCs/>
                <w:color w:val="000000"/>
                <w:sz w:val="21"/>
                <w:szCs w:val="21"/>
              </w:rPr>
              <w:t>计划</w:t>
            </w:r>
          </w:p>
        </w:tc>
        <w:tc>
          <w:tcPr>
            <w:tcW w:w="7453" w:type="dxa"/>
            <w:shd w:val="clear" w:color="auto" w:fill="auto"/>
            <w:noWrap w:val="0"/>
            <w:vAlign w:val="center"/>
          </w:tcPr>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lang w:val="zh-TW"/>
              </w:rPr>
              <w:t>采购计划文号：</w:t>
            </w:r>
            <w:r>
              <w:rPr>
                <w:rFonts w:ascii="宋体" w:hAnsi="宋体" w:eastAsia="宋体" w:cs="宋体"/>
                <w:color w:val="000000"/>
                <w:sz w:val="21"/>
                <w:szCs w:val="21"/>
              </w:rPr>
              <w:t>杭政采分-2021-00147和杭政采分-2021-00522</w:t>
            </w:r>
          </w:p>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t>本项目为</w:t>
            </w:r>
            <w:r>
              <w:rPr>
                <w:rFonts w:ascii="宋体" w:hAnsi="宋体" w:eastAsia="宋体" w:cs="宋体"/>
                <w:color w:val="000000"/>
                <w:sz w:val="21"/>
                <w:szCs w:val="21"/>
                <w:lang w:val="zh-TW"/>
              </w:rPr>
              <w:t>专门面向中小企业采购。</w:t>
            </w:r>
          </w:p>
          <w:p>
            <w:pPr>
              <w:pStyle w:val="144"/>
              <w:widowControl w:val="0"/>
              <w:spacing w:line="460" w:lineRule="exact"/>
              <w:rPr>
                <w:rFonts w:hint="default" w:ascii="宋体" w:hAnsi="宋体" w:eastAsia="宋体" w:cs="宋体"/>
                <w:color w:val="000000"/>
                <w:sz w:val="21"/>
                <w:szCs w:val="21"/>
              </w:rPr>
            </w:pPr>
            <w:r>
              <w:rPr>
                <w:rFonts w:hint="default" w:ascii="宋体" w:hAnsi="宋体" w:eastAsia="宋体" w:cs="宋体"/>
                <w:color w:val="000000"/>
                <w:sz w:val="21"/>
                <w:szCs w:val="21"/>
              </w:rPr>
              <w:t>所属采购目录：</w:t>
            </w:r>
            <w:r>
              <w:rPr>
                <w:rFonts w:ascii="宋体" w:hAnsi="宋体" w:eastAsia="宋体" w:cs="宋体"/>
                <w:color w:val="000000"/>
                <w:sz w:val="21"/>
                <w:szCs w:val="21"/>
              </w:rPr>
              <w:t>C11水利管理服务。</w:t>
            </w:r>
          </w:p>
          <w:p>
            <w:pPr>
              <w:pStyle w:val="144"/>
              <w:widowControl w:val="0"/>
              <w:spacing w:line="460" w:lineRule="exact"/>
              <w:rPr>
                <w:rFonts w:hint="default" w:ascii="宋体" w:hAnsi="宋体" w:eastAsia="宋体" w:cs="宋体"/>
                <w:color w:val="000000"/>
                <w:sz w:val="21"/>
                <w:szCs w:val="21"/>
                <w:lang w:eastAsia="zh-TW"/>
              </w:rPr>
            </w:pPr>
            <w:r>
              <w:rPr>
                <w:rFonts w:ascii="宋体" w:hAnsi="宋体" w:eastAsia="宋体" w:cs="宋体"/>
                <w:color w:val="000000"/>
                <w:sz w:val="21"/>
                <w:szCs w:val="21"/>
                <w:lang w:val="zh-TW"/>
              </w:rPr>
              <w:t>采购预算：</w:t>
            </w:r>
            <w:r>
              <w:rPr>
                <w:rFonts w:ascii="宋体" w:hAnsi="宋体" w:eastAsia="宋体" w:cs="宋体"/>
                <w:color w:val="000000"/>
                <w:sz w:val="21"/>
                <w:szCs w:val="21"/>
              </w:rPr>
              <w:t>960万元，</w:t>
            </w:r>
            <w:r>
              <w:rPr>
                <w:rFonts w:ascii="宋体" w:hAnsi="宋体" w:eastAsia="宋体" w:cs="宋体"/>
                <w:color w:val="000000"/>
                <w:sz w:val="21"/>
                <w:szCs w:val="21"/>
                <w:lang w:val="zh-TW"/>
              </w:rPr>
              <w:t>最高限价：</w:t>
            </w:r>
            <w:r>
              <w:rPr>
                <w:rFonts w:ascii="宋体" w:hAnsi="宋体" w:eastAsia="宋体" w:cs="宋体"/>
                <w:color w:val="000000"/>
                <w:sz w:val="21"/>
                <w:szCs w:val="21"/>
              </w:rPr>
              <w:t>960万元。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color w:val="000000"/>
                <w:sz w:val="21"/>
                <w:szCs w:val="21"/>
              </w:rPr>
              <w:t>2.1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采购人</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t>名称：</w:t>
            </w:r>
            <w:r>
              <w:rPr>
                <w:rFonts w:ascii="宋体" w:hAnsi="宋体" w:eastAsia="宋体" w:cs="宋体"/>
                <w:b/>
                <w:bCs/>
                <w:color w:val="000000"/>
                <w:sz w:val="21"/>
                <w:szCs w:val="21"/>
              </w:rPr>
              <w:t>杭州市水库管理服务中心</w:t>
            </w:r>
          </w:p>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t>地址：杭州市余杭区闲林街道源峰街218号</w:t>
            </w:r>
          </w:p>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t>项目联系人：姚先生</w:t>
            </w:r>
          </w:p>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t>联系电话：15158114512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color w:val="000000"/>
                <w:sz w:val="21"/>
                <w:szCs w:val="21"/>
              </w:rPr>
              <w:t>2.2</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采购代理机构</w:t>
            </w:r>
          </w:p>
        </w:tc>
        <w:tc>
          <w:tcPr>
            <w:tcW w:w="7453" w:type="dxa"/>
            <w:shd w:val="clear" w:color="auto" w:fill="auto"/>
            <w:noWrap w:val="0"/>
            <w:vAlign w:val="center"/>
          </w:tcPr>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t>名称：华联世纪工程咨询股份有限公司</w:t>
            </w:r>
          </w:p>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t>地址：杭州市滨江区长河街道长河路351号三号楼B215室</w:t>
            </w:r>
          </w:p>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t>项目经办人：褚震宇</w:t>
            </w:r>
          </w:p>
          <w:p>
            <w:pPr>
              <w:pStyle w:val="144"/>
              <w:widowControl w:val="0"/>
              <w:spacing w:line="460" w:lineRule="exact"/>
              <w:rPr>
                <w:rFonts w:hint="default" w:ascii="宋体" w:hAnsi="宋体" w:eastAsia="宋体" w:cs="宋体"/>
                <w:color w:val="000000"/>
                <w:sz w:val="21"/>
                <w:szCs w:val="21"/>
                <w:lang w:eastAsia="zh-TW"/>
              </w:rPr>
            </w:pPr>
            <w:r>
              <w:rPr>
                <w:rFonts w:ascii="宋体" w:hAnsi="宋体" w:eastAsia="宋体" w:cs="宋体"/>
                <w:color w:val="000000"/>
                <w:sz w:val="21"/>
                <w:szCs w:val="21"/>
              </w:rPr>
              <w:t>联系电话：0571-86783385  15057194701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b/>
                <w:bCs/>
                <w:color w:val="000000"/>
                <w:sz w:val="21"/>
                <w:szCs w:val="21"/>
              </w:rPr>
            </w:pPr>
            <w:r>
              <w:rPr>
                <w:rFonts w:ascii="宋体" w:hAnsi="宋体" w:eastAsia="宋体" w:cs="宋体"/>
                <w:color w:val="000000"/>
                <w:sz w:val="21"/>
                <w:szCs w:val="21"/>
              </w:rPr>
              <w:t>2.7</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电子交易平台</w:t>
            </w:r>
          </w:p>
        </w:tc>
        <w:tc>
          <w:tcPr>
            <w:tcW w:w="7453" w:type="dxa"/>
            <w:shd w:val="clear" w:color="auto" w:fill="auto"/>
            <w:noWrap w:val="0"/>
            <w:vAlign w:val="center"/>
          </w:tcPr>
          <w:p>
            <w:pPr>
              <w:spacing w:line="46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浙江政府采购网政府采购云平台（政采云平台）（www.zcygov.cn）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2.8</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发布媒体</w:t>
            </w:r>
          </w:p>
        </w:tc>
        <w:tc>
          <w:tcPr>
            <w:tcW w:w="7453" w:type="dxa"/>
            <w:shd w:val="clear" w:color="auto" w:fill="auto"/>
            <w:noWrap w:val="0"/>
            <w:vAlign w:val="center"/>
          </w:tcPr>
          <w:p>
            <w:pPr>
              <w:pStyle w:val="23"/>
              <w:spacing w:line="460" w:lineRule="exact"/>
              <w:rPr>
                <w:rFonts w:hint="eastAsia" w:hAnsi="宋体" w:eastAsia="宋体" w:cs="宋体"/>
                <w:b/>
                <w:color w:val="000000"/>
                <w:kern w:val="10"/>
                <w:sz w:val="21"/>
                <w:szCs w:val="21"/>
              </w:rPr>
            </w:pPr>
            <w:r>
              <w:rPr>
                <w:rFonts w:hint="eastAsia" w:hAnsi="宋体" w:eastAsia="宋体" w:cs="宋体"/>
                <w:b/>
                <w:color w:val="000000"/>
                <w:kern w:val="10"/>
                <w:sz w:val="21"/>
                <w:szCs w:val="21"/>
              </w:rPr>
              <w:t>指定信息发布媒体：浙江政府采购网</w:t>
            </w:r>
          </w:p>
          <w:p>
            <w:pPr>
              <w:pStyle w:val="23"/>
              <w:spacing w:line="460" w:lineRule="exact"/>
              <w:rPr>
                <w:rFonts w:hint="eastAsia" w:hAnsi="宋体" w:eastAsia="宋体" w:cs="宋体"/>
                <w:b/>
                <w:color w:val="000000"/>
                <w:kern w:val="10"/>
                <w:sz w:val="21"/>
                <w:szCs w:val="21"/>
              </w:rPr>
            </w:pPr>
            <w:r>
              <w:rPr>
                <w:rFonts w:hint="eastAsia" w:hAnsi="宋体" w:eastAsia="宋体" w:cs="宋体"/>
                <w:b/>
                <w:color w:val="000000"/>
                <w:kern w:val="10"/>
                <w:sz w:val="21"/>
                <w:szCs w:val="21"/>
              </w:rPr>
              <w:t>其他媒体：</w:t>
            </w:r>
            <w:r>
              <w:rPr>
                <w:rFonts w:hint="eastAsia" w:hAnsi="宋体" w:eastAsia="宋体" w:cs="宋体"/>
                <w:b/>
                <w:color w:val="000000"/>
                <w:kern w:val="10"/>
                <w:sz w:val="21"/>
                <w:szCs w:val="21"/>
                <w:u w:val="single"/>
              </w:rPr>
              <w:t xml:space="preserve"> 杭州市林业水利局官网 </w:t>
            </w:r>
            <w:r>
              <w:rPr>
                <w:rFonts w:hint="eastAsia" w:hAnsi="宋体" w:eastAsia="宋体" w:cs="宋体"/>
                <w:b/>
                <w:color w:val="000000"/>
                <w:kern w:val="1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3.1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lang w:val="zh-TW"/>
              </w:rPr>
              <w:t>资格</w:t>
            </w:r>
            <w:r>
              <w:rPr>
                <w:rFonts w:ascii="宋体" w:hAnsi="宋体" w:eastAsia="宋体" w:cs="宋体"/>
                <w:b/>
                <w:bCs/>
                <w:color w:val="000000"/>
                <w:sz w:val="21"/>
                <w:szCs w:val="21"/>
              </w:rPr>
              <w:t>条件</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lang w:val="zh-TW" w:eastAsia="zh-TW"/>
              </w:rPr>
            </w:pPr>
            <w:r>
              <w:rPr>
                <w:rFonts w:ascii="宋体" w:hAnsi="宋体" w:eastAsia="宋体" w:cs="宋体"/>
                <w:color w:val="000000"/>
                <w:sz w:val="21"/>
                <w:szCs w:val="21"/>
                <w:lang w:val="zh-TW" w:eastAsia="zh-TW"/>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44"/>
              <w:widowControl w:val="0"/>
              <w:spacing w:line="460" w:lineRule="exact"/>
              <w:rPr>
                <w:rFonts w:ascii="宋体" w:hAnsi="宋体" w:eastAsia="宋体" w:cs="宋体"/>
                <w:color w:val="000000"/>
                <w:sz w:val="21"/>
                <w:szCs w:val="21"/>
                <w:lang w:val="zh-TW" w:eastAsia="zh-TW"/>
              </w:rPr>
            </w:pPr>
            <w:r>
              <w:rPr>
                <w:rFonts w:ascii="宋体" w:hAnsi="宋体" w:eastAsia="宋体" w:cs="宋体"/>
                <w:color w:val="000000"/>
                <w:sz w:val="21"/>
                <w:szCs w:val="21"/>
                <w:lang w:val="zh-TW" w:eastAsia="zh-TW"/>
              </w:rPr>
              <w:t>2、落实政府采购政策需满足的资格要求：</w:t>
            </w:r>
            <w:r>
              <w:rPr>
                <w:rFonts w:ascii="宋体" w:hAnsi="宋体" w:eastAsia="宋体" w:cs="宋体"/>
                <w:color w:val="000000"/>
                <w:sz w:val="21"/>
                <w:szCs w:val="21"/>
              </w:rPr>
              <w:t>无。</w:t>
            </w:r>
          </w:p>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lang w:val="zh-TW" w:eastAsia="zh-TW"/>
              </w:rPr>
              <w:t>3、本项目的特定资格要求：</w:t>
            </w:r>
            <w:r>
              <w:rPr>
                <w:rFonts w:ascii="宋体" w:hAnsi="宋体" w:eastAsia="宋体" w:cs="宋体"/>
                <w:color w:val="00000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7.2</w:t>
            </w:r>
          </w:p>
        </w:tc>
        <w:tc>
          <w:tcPr>
            <w:tcW w:w="1228" w:type="dxa"/>
            <w:shd w:val="clear" w:color="auto" w:fill="auto"/>
            <w:noWrap w:val="0"/>
            <w:vAlign w:val="center"/>
          </w:tcPr>
          <w:p>
            <w:pPr>
              <w:pStyle w:val="144"/>
              <w:widowControl w:val="0"/>
              <w:spacing w:line="460" w:lineRule="exact"/>
              <w:jc w:val="center"/>
              <w:rPr>
                <w:rFonts w:hint="default" w:ascii="宋体" w:hAnsi="宋体" w:eastAsia="宋体" w:cs="宋体"/>
                <w:b/>
                <w:bCs/>
                <w:color w:val="000000"/>
                <w:sz w:val="21"/>
                <w:szCs w:val="21"/>
              </w:rPr>
            </w:pPr>
            <w:r>
              <w:rPr>
                <w:rFonts w:ascii="宋体" w:hAnsi="宋体" w:eastAsia="宋体" w:cs="宋体"/>
                <w:b/>
                <w:bCs/>
                <w:color w:val="000000"/>
                <w:sz w:val="21"/>
                <w:szCs w:val="21"/>
              </w:rPr>
              <w:t>招标文件获取</w:t>
            </w:r>
          </w:p>
        </w:tc>
        <w:tc>
          <w:tcPr>
            <w:tcW w:w="7453" w:type="dxa"/>
            <w:shd w:val="clear" w:color="auto" w:fill="auto"/>
            <w:noWrap w:val="0"/>
            <w:vAlign w:val="center"/>
          </w:tcPr>
          <w:p>
            <w:pPr>
              <w:pStyle w:val="23"/>
              <w:spacing w:line="460" w:lineRule="exact"/>
              <w:rPr>
                <w:rFonts w:hint="eastAsia" w:hAnsi="宋体" w:eastAsia="宋体" w:cs="宋体"/>
                <w:bCs/>
                <w:color w:val="000000"/>
                <w:kern w:val="10"/>
                <w:sz w:val="21"/>
                <w:szCs w:val="21"/>
              </w:rPr>
            </w:pPr>
            <w:r>
              <w:rPr>
                <w:rFonts w:hint="eastAsia" w:hAnsi="宋体" w:eastAsia="宋体" w:cs="宋体"/>
                <w:b/>
                <w:color w:val="000000"/>
                <w:kern w:val="10"/>
                <w:sz w:val="21"/>
                <w:szCs w:val="21"/>
              </w:rPr>
              <w:t>获取方式：</w:t>
            </w:r>
            <w:r>
              <w:rPr>
                <w:rFonts w:hint="eastAsia" w:hAnsi="宋体" w:eastAsia="宋体" w:cs="宋体"/>
                <w:color w:val="000000"/>
                <w:sz w:val="21"/>
                <w:szCs w:val="21"/>
              </w:rPr>
              <w:t>政采云平台（www.zcygov.cn）用户登录-项目采购-获取采购文件-申请完成-下载文件</w:t>
            </w:r>
            <w:r>
              <w:rPr>
                <w:rFonts w:hint="eastAsia" w:hAnsi="宋体" w:eastAsia="宋体" w:cs="宋体"/>
                <w:bCs/>
                <w:color w:val="000000"/>
                <w:kern w:val="10"/>
                <w:sz w:val="21"/>
                <w:szCs w:val="21"/>
              </w:rPr>
              <w:t>；</w:t>
            </w:r>
          </w:p>
          <w:p>
            <w:pPr>
              <w:pStyle w:val="23"/>
              <w:spacing w:line="460" w:lineRule="exact"/>
              <w:rPr>
                <w:rFonts w:hint="eastAsia" w:hAnsi="宋体" w:eastAsia="宋体" w:cs="宋体"/>
                <w:bCs/>
                <w:color w:val="000000"/>
                <w:kern w:val="10"/>
                <w:sz w:val="21"/>
                <w:szCs w:val="21"/>
              </w:rPr>
            </w:pPr>
            <w:r>
              <w:rPr>
                <w:rFonts w:hint="eastAsia" w:hAnsi="宋体" w:eastAsia="宋体" w:cs="宋体"/>
                <w:b/>
                <w:color w:val="000000"/>
                <w:kern w:val="10"/>
                <w:sz w:val="21"/>
                <w:szCs w:val="21"/>
              </w:rPr>
              <w:t>获取状态：</w:t>
            </w:r>
            <w:r>
              <w:rPr>
                <w:rFonts w:hint="eastAsia" w:hAnsi="宋体" w:eastAsia="宋体" w:cs="宋体"/>
                <w:color w:val="000000"/>
                <w:sz w:val="21"/>
                <w:szCs w:val="21"/>
              </w:rPr>
              <w:t>政采云平台（www.zcygov.cn）</w:t>
            </w:r>
            <w:r>
              <w:rPr>
                <w:rFonts w:hint="eastAsia" w:hAnsi="宋体" w:eastAsia="宋体" w:cs="宋体"/>
                <w:bCs/>
                <w:color w:val="000000"/>
                <w:kern w:val="10"/>
                <w:sz w:val="21"/>
                <w:szCs w:val="21"/>
              </w:rPr>
              <w:t>用户登录-项目采购-获取采购文件-已申请-状态。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7.4</w:t>
            </w:r>
          </w:p>
        </w:tc>
        <w:tc>
          <w:tcPr>
            <w:tcW w:w="1228" w:type="dxa"/>
            <w:shd w:val="clear" w:color="auto" w:fill="auto"/>
            <w:noWrap w:val="0"/>
            <w:vAlign w:val="center"/>
          </w:tcPr>
          <w:p>
            <w:pPr>
              <w:pStyle w:val="144"/>
              <w:widowControl w:val="0"/>
              <w:spacing w:line="460" w:lineRule="exact"/>
              <w:jc w:val="center"/>
              <w:rPr>
                <w:rFonts w:hint="default" w:ascii="宋体" w:hAnsi="宋体" w:eastAsia="宋体" w:cs="宋体"/>
                <w:b/>
                <w:bCs/>
                <w:color w:val="000000"/>
                <w:sz w:val="21"/>
                <w:szCs w:val="21"/>
              </w:rPr>
            </w:pPr>
            <w:r>
              <w:rPr>
                <w:rFonts w:ascii="宋体" w:hAnsi="宋体" w:eastAsia="宋体" w:cs="宋体"/>
                <w:b/>
                <w:bCs/>
                <w:color w:val="000000"/>
                <w:sz w:val="21"/>
                <w:szCs w:val="21"/>
              </w:rPr>
              <w:t>招标文件的询问</w:t>
            </w:r>
          </w:p>
        </w:tc>
        <w:tc>
          <w:tcPr>
            <w:tcW w:w="7453" w:type="dxa"/>
            <w:shd w:val="clear" w:color="auto" w:fill="auto"/>
            <w:noWrap w:val="0"/>
            <w:vAlign w:val="center"/>
          </w:tcPr>
          <w:p>
            <w:pPr>
              <w:pStyle w:val="23"/>
              <w:spacing w:line="460" w:lineRule="exact"/>
              <w:rPr>
                <w:rFonts w:hAnsi="宋体" w:eastAsia="宋体" w:cs="宋体"/>
                <w:b/>
                <w:color w:val="000000"/>
                <w:kern w:val="10"/>
                <w:sz w:val="21"/>
                <w:szCs w:val="21"/>
              </w:rPr>
            </w:pPr>
            <w:r>
              <w:rPr>
                <w:rFonts w:hint="eastAsia" w:hAnsi="宋体" w:eastAsia="宋体" w:cs="宋体"/>
                <w:bCs/>
                <w:color w:val="000000"/>
                <w:kern w:val="10"/>
                <w:sz w:val="21"/>
                <w:szCs w:val="21"/>
              </w:rPr>
              <w:t>已获取招标文件的潜在投标人如对招标文件有疑问的，请将询问函以</w:t>
            </w:r>
            <w:r>
              <w:rPr>
                <w:rFonts w:hint="eastAsia" w:hAnsi="宋体" w:eastAsia="宋体" w:cs="宋体"/>
                <w:b/>
                <w:color w:val="000000"/>
                <w:kern w:val="10"/>
                <w:sz w:val="21"/>
                <w:szCs w:val="21"/>
              </w:rPr>
              <w:t>纸质形式</w:t>
            </w:r>
            <w:r>
              <w:rPr>
                <w:rFonts w:hint="eastAsia" w:hAnsi="宋体" w:eastAsia="宋体" w:cs="宋体"/>
                <w:bCs/>
                <w:color w:val="000000"/>
                <w:kern w:val="10"/>
                <w:sz w:val="21"/>
                <w:szCs w:val="21"/>
              </w:rPr>
              <w:t>送达采购代理机构。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color w:val="000000"/>
                <w:sz w:val="21"/>
                <w:szCs w:val="21"/>
              </w:rPr>
              <w:t>9.1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答疑会或</w:t>
            </w:r>
            <w:r>
              <w:rPr>
                <w:rFonts w:ascii="宋体" w:hAnsi="宋体" w:eastAsia="宋体" w:cs="宋体"/>
                <w:b/>
                <w:bCs/>
                <w:color w:val="000000"/>
                <w:sz w:val="21"/>
                <w:szCs w:val="21"/>
                <w:lang w:val="zh-TW"/>
              </w:rPr>
              <w:t>现场踏勘</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sym w:font="Wingdings" w:char="00FE"/>
            </w:r>
            <w:r>
              <w:rPr>
                <w:rFonts w:ascii="宋体" w:hAnsi="宋体" w:eastAsia="宋体" w:cs="宋体"/>
                <w:color w:val="000000"/>
                <w:sz w:val="21"/>
                <w:szCs w:val="21"/>
              </w:rPr>
              <w:t xml:space="preserve"> 不组织。</w:t>
            </w:r>
          </w:p>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sym w:font="Wingdings" w:char="00A8"/>
            </w:r>
            <w:r>
              <w:rPr>
                <w:rFonts w:ascii="宋体" w:hAnsi="宋体" w:eastAsia="宋体" w:cs="宋体"/>
                <w:color w:val="000000"/>
                <w:sz w:val="21"/>
                <w:szCs w:val="21"/>
              </w:rPr>
              <w:t xml:space="preserve"> 组织，时间为：/年/月/日至/年/月/日（上午/至下午/），联系人：/，联系方式：/。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color w:val="000000"/>
                <w:sz w:val="21"/>
                <w:szCs w:val="21"/>
              </w:rPr>
              <w:t>12</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投标文件的组成</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kern w:val="0"/>
                <w:sz w:val="21"/>
                <w:szCs w:val="21"/>
              </w:rPr>
              <w:t>投标文件由</w:t>
            </w:r>
            <w:r>
              <w:rPr>
                <w:rFonts w:ascii="宋体" w:hAnsi="宋体" w:eastAsia="宋体" w:cs="宋体"/>
                <w:b/>
                <w:bCs/>
                <w:color w:val="000000"/>
                <w:kern w:val="0"/>
                <w:sz w:val="21"/>
                <w:szCs w:val="21"/>
              </w:rPr>
              <w:t>资格文件、</w:t>
            </w:r>
            <w:r>
              <w:rPr>
                <w:rFonts w:ascii="宋体" w:hAnsi="宋体" w:eastAsia="宋体" w:cs="宋体"/>
                <w:b/>
                <w:color w:val="000000"/>
                <w:sz w:val="21"/>
                <w:szCs w:val="21"/>
              </w:rPr>
              <w:t>商务技术文件、报价文件三部分组成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color w:val="000000"/>
                <w:sz w:val="21"/>
                <w:szCs w:val="21"/>
              </w:rPr>
              <w:t>12.4</w:t>
            </w:r>
          </w:p>
        </w:tc>
        <w:tc>
          <w:tcPr>
            <w:tcW w:w="1228" w:type="dxa"/>
            <w:shd w:val="clear" w:color="auto" w:fill="auto"/>
            <w:noWrap w:val="0"/>
            <w:vAlign w:val="center"/>
          </w:tcPr>
          <w:p>
            <w:pPr>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投标文件</w:t>
            </w:r>
          </w:p>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的编制</w:t>
            </w:r>
          </w:p>
        </w:tc>
        <w:tc>
          <w:tcPr>
            <w:tcW w:w="7453" w:type="dxa"/>
            <w:shd w:val="clear" w:color="auto" w:fill="auto"/>
            <w:noWrap w:val="0"/>
            <w:vAlign w:val="center"/>
          </w:tcPr>
          <w:p>
            <w:pPr>
              <w:pStyle w:val="210"/>
              <w:adjustRightInd/>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12.4.1“电子加密投标文件”：</w:t>
            </w:r>
          </w:p>
          <w:p>
            <w:pPr>
              <w:pStyle w:val="210"/>
              <w:adjustRightInd/>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（1）“电子加密投标文件”是指通过“政采云电子交易客户端”完成投标文件编制后生成并加密的数据电文形式的投标文件。</w:t>
            </w:r>
          </w:p>
          <w:p>
            <w:pPr>
              <w:pStyle w:val="210"/>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（2）供应商应先安装“政采云电子交易客户端”，并按照本招标文件和“政府采购云平台”的要求，通过“政采云电子交易客户端”编制并加密投标文件。</w:t>
            </w:r>
          </w:p>
          <w:p>
            <w:pPr>
              <w:pStyle w:val="210"/>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12.4.2“电子备份投标文件”：</w:t>
            </w:r>
          </w:p>
          <w:p>
            <w:pPr>
              <w:pStyle w:val="210"/>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（1）“电子备份投标文件”是指与“电子加密投标文件”同时生成的数据电文形式的电子文件。</w:t>
            </w:r>
          </w:p>
          <w:p>
            <w:pPr>
              <w:pStyle w:val="210"/>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（2）供应商可自主选择是否编制“电子备份投标文件”。</w:t>
            </w:r>
          </w:p>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t xml:space="preserve">  （3）其他方式编制的备份投标文件视为无效备份投标文件。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14</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投标有效期</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t>自投标截止日起</w:t>
            </w:r>
            <w:r>
              <w:rPr>
                <w:rFonts w:ascii="宋体" w:hAnsi="宋体" w:eastAsia="宋体" w:cs="宋体"/>
                <w:color w:val="000000"/>
                <w:sz w:val="21"/>
                <w:szCs w:val="21"/>
                <w:u w:val="single"/>
              </w:rPr>
              <w:t>90</w:t>
            </w:r>
            <w:r>
              <w:rPr>
                <w:rFonts w:ascii="宋体" w:hAnsi="宋体" w:eastAsia="宋体" w:cs="宋体"/>
                <w:color w:val="000000"/>
                <w:sz w:val="21"/>
                <w:szCs w:val="21"/>
              </w:rPr>
              <w:t>天内有效。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16.1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lang w:val="zh-TW"/>
              </w:rPr>
              <w:t>分包</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sym w:font="Wingdings" w:char="00FE"/>
            </w:r>
            <w:r>
              <w:rPr>
                <w:rFonts w:ascii="宋体" w:hAnsi="宋体" w:eastAsia="宋体" w:cs="宋体"/>
                <w:color w:val="000000"/>
                <w:sz w:val="21"/>
                <w:szCs w:val="21"/>
              </w:rPr>
              <w:t xml:space="preserve"> 不允许。</w:t>
            </w:r>
          </w:p>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sym w:font="Wingdings" w:char="00A8"/>
            </w:r>
            <w:r>
              <w:rPr>
                <w:rFonts w:ascii="宋体" w:hAnsi="宋体" w:eastAsia="宋体" w:cs="宋体"/>
                <w:color w:val="000000"/>
                <w:sz w:val="21"/>
                <w:szCs w:val="21"/>
              </w:rPr>
              <w:t xml:space="preserve"> 允许对非主体、非关键性工作分包。投标文件须列明分包承担主体及相应资质条件。</w:t>
            </w:r>
            <w:r>
              <w:rPr>
                <w:rFonts w:ascii="宋体" w:hAnsi="宋体" w:eastAsia="宋体" w:cs="宋体"/>
                <w:b/>
                <w:bCs/>
                <w:color w:val="000000"/>
                <w:sz w:val="21"/>
                <w:szCs w:val="21"/>
              </w:rPr>
              <w:t>特别提醒：享受政府采购政策的中小企业不得分包给大型、中型企业。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vMerge w:val="restart"/>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19.1</w:t>
            </w:r>
          </w:p>
        </w:tc>
        <w:tc>
          <w:tcPr>
            <w:tcW w:w="1228" w:type="dxa"/>
            <w:vMerge w:val="restart"/>
            <w:shd w:val="clear" w:color="auto" w:fill="auto"/>
            <w:noWrap w:val="0"/>
            <w:vAlign w:val="center"/>
          </w:tcPr>
          <w:p>
            <w:pPr>
              <w:pStyle w:val="144"/>
              <w:widowControl w:val="0"/>
              <w:spacing w:line="460" w:lineRule="exact"/>
              <w:jc w:val="center"/>
              <w:rPr>
                <w:rFonts w:hint="default" w:ascii="宋体" w:hAnsi="宋体" w:eastAsia="宋体" w:cs="宋体"/>
                <w:b/>
                <w:bCs/>
                <w:color w:val="000000"/>
                <w:sz w:val="21"/>
                <w:szCs w:val="21"/>
              </w:rPr>
            </w:pPr>
            <w:r>
              <w:rPr>
                <w:rFonts w:ascii="宋体" w:hAnsi="宋体" w:eastAsia="宋体" w:cs="宋体"/>
                <w:b/>
                <w:bCs/>
                <w:color w:val="000000"/>
                <w:sz w:val="21"/>
                <w:szCs w:val="21"/>
              </w:rPr>
              <w:t>投标文件的递交</w:t>
            </w:r>
          </w:p>
        </w:tc>
        <w:tc>
          <w:tcPr>
            <w:tcW w:w="7453" w:type="dxa"/>
            <w:shd w:val="clear" w:color="auto" w:fill="auto"/>
            <w:noWrap w:val="0"/>
            <w:vAlign w:val="center"/>
          </w:tcPr>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t>投标截止时间：2021年4月29日09点30分</w:t>
            </w:r>
            <w:r>
              <w:rPr>
                <w:rFonts w:ascii="宋体" w:hAnsi="宋体" w:eastAsia="宋体" w:cs="宋体"/>
                <w:bCs/>
                <w:color w:val="000000"/>
                <w:sz w:val="21"/>
                <w:szCs w:val="21"/>
              </w:rPr>
              <w:t>（北京时间</w:t>
            </w:r>
            <w:r>
              <w:rPr>
                <w:rFonts w:hint="default" w:ascii="宋体" w:hAnsi="宋体" w:eastAsia="宋体" w:cs="宋体"/>
                <w:bCs/>
                <w:color w:val="000000"/>
                <w:sz w:val="21"/>
                <w:szCs w:val="21"/>
              </w:rPr>
              <w:t>）</w:t>
            </w:r>
            <w:r>
              <w:rPr>
                <w:rFonts w:ascii="宋体" w:hAnsi="宋体" w:eastAsia="宋体" w:cs="宋体"/>
                <w:color w:val="000000"/>
                <w:sz w:val="21"/>
                <w:szCs w:val="21"/>
              </w:rPr>
              <w:t>；</w:t>
            </w:r>
          </w:p>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t>递交方式：</w:t>
            </w:r>
            <w:r>
              <w:rPr>
                <w:rFonts w:ascii="宋体" w:hAnsi="宋体" w:eastAsia="宋体" w:cs="宋体"/>
                <w:b/>
                <w:bCs/>
                <w:color w:val="000000"/>
                <w:sz w:val="21"/>
                <w:szCs w:val="21"/>
              </w:rPr>
              <w:t>投标截止时间前成功上传至电子交易平台。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vMerge w:val="continue"/>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p>
        </w:tc>
        <w:tc>
          <w:tcPr>
            <w:tcW w:w="1228" w:type="dxa"/>
            <w:vMerge w:val="continue"/>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b/>
                <w:bCs/>
                <w:color w:val="000000"/>
                <w:sz w:val="21"/>
                <w:szCs w:val="21"/>
              </w:rPr>
              <w:t>备份投标文件的递交：</w:t>
            </w:r>
            <w:r>
              <w:rPr>
                <w:rFonts w:ascii="宋体" w:hAnsi="宋体" w:eastAsia="宋体" w:cs="宋体"/>
                <w:color w:val="000000"/>
                <w:sz w:val="21"/>
                <w:szCs w:val="21"/>
              </w:rPr>
              <w:t>投标人如需要递交备份投标文件（后缀格式为.bfbs）的，请将</w:t>
            </w:r>
            <w:r>
              <w:rPr>
                <w:rFonts w:ascii="宋体" w:hAnsi="宋体" w:eastAsia="宋体" w:cs="宋体"/>
                <w:b/>
                <w:bCs/>
                <w:color w:val="000000"/>
                <w:sz w:val="21"/>
                <w:szCs w:val="21"/>
              </w:rPr>
              <w:t>u盘形式</w:t>
            </w:r>
            <w:r>
              <w:rPr>
                <w:rFonts w:ascii="宋体" w:hAnsi="宋体" w:eastAsia="宋体" w:cs="宋体"/>
                <w:color w:val="000000"/>
                <w:sz w:val="21"/>
                <w:szCs w:val="21"/>
              </w:rPr>
              <w:t>的备份投标文件密封包装后以邮寄形式递交。</w:t>
            </w:r>
          </w:p>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t>邮寄地址：杭州市滨江区长河街道长河路351号三号楼B215室，褚震宇收，电话：0571-86783385/15057194701。截止签收时间：同投标截止时间。</w:t>
            </w:r>
          </w:p>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t>备份投标文件的密封：</w:t>
            </w:r>
            <w:r>
              <w:rPr>
                <w:rFonts w:ascii="宋体" w:hAnsi="宋体" w:eastAsia="宋体" w:cs="宋体"/>
                <w:b/>
                <w:bCs/>
                <w:color w:val="000000"/>
                <w:sz w:val="21"/>
                <w:szCs w:val="21"/>
              </w:rPr>
              <w:t>外包装须注明项目名称、项目编号、投标截止时间。</w:t>
            </w:r>
          </w:p>
          <w:p>
            <w:pPr>
              <w:pStyle w:val="144"/>
              <w:widowControl w:val="0"/>
              <w:spacing w:line="460" w:lineRule="exact"/>
              <w:rPr>
                <w:rFonts w:ascii="宋体" w:hAnsi="宋体" w:eastAsia="宋体" w:cs="宋体"/>
                <w:b/>
                <w:bCs/>
                <w:color w:val="000000"/>
                <w:sz w:val="21"/>
                <w:szCs w:val="21"/>
              </w:rPr>
            </w:pPr>
            <w:r>
              <w:rPr>
                <w:rFonts w:ascii="宋体" w:hAnsi="宋体" w:eastAsia="宋体" w:cs="宋体"/>
                <w:b/>
                <w:bCs/>
                <w:color w:val="000000"/>
                <w:sz w:val="21"/>
                <w:szCs w:val="21"/>
              </w:rPr>
              <w:t>未按要求密封和标志的备份投标文件，被遗漏、误拆是投标人的责任。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23.1</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lang w:val="zh-TW"/>
              </w:rPr>
              <w:t>开标时间和地点</w:t>
            </w:r>
          </w:p>
        </w:tc>
        <w:tc>
          <w:tcPr>
            <w:tcW w:w="7453" w:type="dxa"/>
            <w:shd w:val="clear" w:color="auto" w:fill="auto"/>
            <w:noWrap w:val="0"/>
            <w:vAlign w:val="center"/>
          </w:tcPr>
          <w:p>
            <w:pPr>
              <w:pStyle w:val="12"/>
              <w:adjustRightInd/>
              <w:snapToGrid/>
              <w:spacing w:line="460" w:lineRule="exact"/>
              <w:ind w:firstLine="0"/>
              <w:rPr>
                <w:rFonts w:hint="eastAsia" w:hAnsi="宋体" w:cs="宋体"/>
                <w:color w:val="000000"/>
                <w:szCs w:val="21"/>
                <w:lang w:val="zh-TW"/>
              </w:rPr>
            </w:pPr>
            <w:r>
              <w:rPr>
                <w:rFonts w:hint="eastAsia" w:hAnsi="宋体" w:cs="宋体"/>
                <w:color w:val="000000"/>
                <w:szCs w:val="21"/>
                <w:lang w:val="zh-TW"/>
              </w:rPr>
              <w:t>时间：</w:t>
            </w:r>
            <w:r>
              <w:rPr>
                <w:rFonts w:hint="eastAsia" w:hAnsi="宋体" w:cs="宋体"/>
                <w:color w:val="000000"/>
                <w:szCs w:val="21"/>
              </w:rPr>
              <w:t>2021年4月29日09点30分</w:t>
            </w:r>
            <w:r>
              <w:rPr>
                <w:rFonts w:hint="eastAsia" w:hAnsi="宋体" w:cs="宋体"/>
                <w:bCs/>
                <w:color w:val="000000"/>
                <w:szCs w:val="21"/>
              </w:rPr>
              <w:t>（北京时间</w:t>
            </w:r>
            <w:r>
              <w:rPr>
                <w:rFonts w:hAnsi="宋体" w:cs="宋体"/>
                <w:bCs/>
                <w:color w:val="000000"/>
                <w:szCs w:val="21"/>
              </w:rPr>
              <w:t>）</w:t>
            </w:r>
            <w:r>
              <w:rPr>
                <w:rFonts w:hint="eastAsia" w:hAnsi="宋体" w:cs="宋体"/>
                <w:color w:val="000000"/>
                <w:szCs w:val="21"/>
              </w:rPr>
              <w:t>；</w:t>
            </w:r>
          </w:p>
          <w:p>
            <w:pPr>
              <w:pStyle w:val="144"/>
              <w:widowControl w:val="0"/>
              <w:spacing w:line="460" w:lineRule="exact"/>
              <w:rPr>
                <w:rFonts w:hint="default" w:ascii="宋体" w:hAnsi="宋体" w:eastAsia="宋体" w:cs="宋体"/>
                <w:color w:val="000000"/>
                <w:sz w:val="21"/>
                <w:szCs w:val="21"/>
                <w:lang w:eastAsia="zh-TW"/>
              </w:rPr>
            </w:pPr>
            <w:r>
              <w:rPr>
                <w:rFonts w:ascii="宋体" w:hAnsi="宋体" w:eastAsia="宋体" w:cs="宋体"/>
                <w:color w:val="000000"/>
                <w:sz w:val="21"/>
                <w:szCs w:val="21"/>
                <w:lang w:val="zh-TW" w:eastAsia="zh-TW"/>
              </w:rPr>
              <w:t>地点：</w:t>
            </w:r>
            <w:r>
              <w:rPr>
                <w:rFonts w:ascii="宋体" w:hAnsi="宋体" w:eastAsia="宋体" w:cs="宋体"/>
                <w:color w:val="000000"/>
                <w:sz w:val="21"/>
                <w:szCs w:val="21"/>
                <w:lang w:eastAsia="zh-TW"/>
              </w:rPr>
              <w:t>政采云平台（www.zcygov.cn）</w:t>
            </w:r>
            <w:r>
              <w:rPr>
                <w:rFonts w:hint="default" w:ascii="宋体" w:hAnsi="宋体" w:eastAsia="宋体" w:cs="宋体"/>
                <w:color w:val="000000"/>
                <w:sz w:val="21"/>
                <w:szCs w:val="21"/>
                <w:lang w:eastAsia="zh-TW"/>
              </w:rPr>
              <w:t>，</w:t>
            </w:r>
            <w:r>
              <w:rPr>
                <w:rFonts w:ascii="宋体" w:hAnsi="宋体" w:eastAsia="宋体" w:cs="宋体"/>
                <w:color w:val="000000"/>
                <w:sz w:val="21"/>
                <w:szCs w:val="21"/>
                <w:lang w:eastAsia="zh-TW"/>
              </w:rPr>
              <w:t>杭州市滨江区长河街道长河路351号三号楼B215室</w:t>
            </w:r>
            <w:r>
              <w:rPr>
                <w:rFonts w:hint="default" w:ascii="宋体" w:hAnsi="宋体" w:eastAsia="宋体" w:cs="宋体"/>
                <w:b/>
                <w:bCs/>
                <w:color w:val="000000"/>
                <w:sz w:val="21"/>
                <w:szCs w:val="21"/>
                <w:lang w:eastAsia="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23.3.1</w:t>
            </w:r>
          </w:p>
        </w:tc>
        <w:tc>
          <w:tcPr>
            <w:tcW w:w="1228" w:type="dxa"/>
            <w:shd w:val="clear" w:color="auto" w:fill="auto"/>
            <w:noWrap w:val="0"/>
            <w:vAlign w:val="center"/>
          </w:tcPr>
          <w:p>
            <w:pPr>
              <w:pStyle w:val="144"/>
              <w:widowControl w:val="0"/>
              <w:spacing w:line="460" w:lineRule="exact"/>
              <w:jc w:val="center"/>
              <w:rPr>
                <w:rFonts w:hint="default" w:ascii="宋体" w:hAnsi="宋体" w:eastAsia="宋体" w:cs="宋体"/>
                <w:b/>
                <w:bCs/>
                <w:color w:val="000000"/>
                <w:sz w:val="21"/>
                <w:szCs w:val="21"/>
              </w:rPr>
            </w:pPr>
            <w:r>
              <w:rPr>
                <w:rFonts w:ascii="宋体" w:hAnsi="宋体" w:eastAsia="宋体" w:cs="宋体"/>
                <w:b/>
                <w:bCs/>
                <w:color w:val="000000"/>
                <w:sz w:val="21"/>
                <w:szCs w:val="21"/>
              </w:rPr>
              <w:t>解密时间</w:t>
            </w:r>
          </w:p>
        </w:tc>
        <w:tc>
          <w:tcPr>
            <w:tcW w:w="7453" w:type="dxa"/>
            <w:shd w:val="clear" w:color="auto" w:fill="auto"/>
            <w:noWrap w:val="0"/>
            <w:vAlign w:val="center"/>
          </w:tcPr>
          <w:p>
            <w:pPr>
              <w:pStyle w:val="144"/>
              <w:widowControl w:val="0"/>
              <w:spacing w:line="460" w:lineRule="exact"/>
              <w:rPr>
                <w:rFonts w:hint="default" w:ascii="宋体" w:hAnsi="宋体" w:eastAsia="宋体" w:cs="宋体"/>
                <w:b/>
                <w:bCs/>
                <w:color w:val="000000"/>
                <w:sz w:val="21"/>
                <w:szCs w:val="21"/>
              </w:rPr>
            </w:pPr>
            <w:r>
              <w:rPr>
                <w:rFonts w:ascii="宋体" w:hAnsi="宋体" w:eastAsia="宋体" w:cs="宋体"/>
                <w:b/>
                <w:bCs/>
                <w:color w:val="000000"/>
                <w:sz w:val="21"/>
                <w:szCs w:val="21"/>
              </w:rPr>
              <w:t>投标文件解密时间为开标后30分钟。（以电子交易平台设定时间为准，给予投标人解密的时间不少于30分钟）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23.3.2</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解密失败的异常处理</w:t>
            </w:r>
          </w:p>
        </w:tc>
        <w:tc>
          <w:tcPr>
            <w:tcW w:w="7453" w:type="dxa"/>
            <w:shd w:val="clear" w:color="auto" w:fill="auto"/>
            <w:noWrap w:val="0"/>
            <w:vAlign w:val="center"/>
          </w:tcPr>
          <w:p>
            <w:pPr>
              <w:pStyle w:val="144"/>
              <w:widowControl w:val="0"/>
              <w:spacing w:line="460" w:lineRule="exact"/>
              <w:rPr>
                <w:rFonts w:ascii="宋体" w:hAnsi="宋体" w:eastAsia="宋体" w:cs="宋体"/>
                <w:b/>
                <w:bCs/>
                <w:color w:val="000000"/>
                <w:sz w:val="21"/>
                <w:szCs w:val="21"/>
              </w:rPr>
            </w:pPr>
            <w:r>
              <w:rPr>
                <w:rFonts w:ascii="宋体" w:hAnsi="宋体" w:eastAsia="宋体" w:cs="宋体"/>
                <w:b/>
                <w:bCs/>
                <w:color w:val="000000"/>
                <w:sz w:val="21"/>
                <w:szCs w:val="21"/>
              </w:rPr>
              <w:t>投标文件未按时解密，投标人提供了备份投标文件的，以备份投标文件作为依据，否则视为投标文件撤回。投标文件已按时解密的，备份投标文件自动失效。</w:t>
            </w:r>
          </w:p>
          <w:p>
            <w:pPr>
              <w:pStyle w:val="144"/>
              <w:widowControl w:val="0"/>
              <w:spacing w:line="460" w:lineRule="exact"/>
              <w:rPr>
                <w:rFonts w:ascii="宋体" w:hAnsi="宋体" w:eastAsia="宋体" w:cs="宋体"/>
                <w:b/>
                <w:bCs/>
                <w:color w:val="000000"/>
                <w:sz w:val="21"/>
                <w:szCs w:val="21"/>
              </w:rPr>
            </w:pPr>
            <w:r>
              <w:rPr>
                <w:rFonts w:ascii="宋体" w:hAnsi="宋体" w:eastAsia="宋体" w:cs="宋体"/>
                <w:b/>
                <w:bCs/>
                <w:color w:val="000000"/>
                <w:sz w:val="21"/>
                <w:szCs w:val="21"/>
              </w:rPr>
              <w:t>投标文件未按时解密且未提供备份投标文件的，视为投标文件撤回，后果由投标人自行承担。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24.3</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rPr>
              <w:t>信用记录查询</w:t>
            </w:r>
          </w:p>
        </w:tc>
        <w:tc>
          <w:tcPr>
            <w:tcW w:w="7453" w:type="dxa"/>
            <w:shd w:val="clear" w:color="auto" w:fill="auto"/>
            <w:noWrap w:val="0"/>
            <w:vAlign w:val="center"/>
          </w:tcPr>
          <w:p>
            <w:pPr>
              <w:pStyle w:val="23"/>
              <w:spacing w:line="460" w:lineRule="exact"/>
              <w:rPr>
                <w:rFonts w:hint="eastAsia" w:hAnsi="宋体" w:eastAsia="宋体" w:cs="宋体"/>
                <w:b/>
                <w:bCs/>
                <w:color w:val="000000"/>
                <w:sz w:val="21"/>
                <w:szCs w:val="21"/>
                <w:lang w:eastAsia="zh-TW"/>
              </w:rPr>
            </w:pPr>
            <w:r>
              <w:rPr>
                <w:rFonts w:hint="eastAsia" w:hAnsi="宋体" w:eastAsia="宋体" w:cs="宋体"/>
                <w:b/>
                <w:bCs/>
                <w:color w:val="000000"/>
                <w:sz w:val="21"/>
                <w:szCs w:val="21"/>
                <w:lang w:eastAsia="zh-TW"/>
              </w:rPr>
              <w:t>依据财库[2016]125号文件执行</w:t>
            </w:r>
          </w:p>
          <w:p>
            <w:pPr>
              <w:pStyle w:val="23"/>
              <w:spacing w:line="460" w:lineRule="exact"/>
              <w:rPr>
                <w:rFonts w:hint="eastAsia" w:hAnsi="宋体" w:eastAsia="宋体" w:cs="宋体"/>
                <w:b/>
                <w:bCs/>
                <w:color w:val="000000"/>
                <w:sz w:val="21"/>
                <w:szCs w:val="21"/>
                <w:lang w:eastAsia="zh-TW"/>
              </w:rPr>
            </w:pPr>
            <w:r>
              <w:rPr>
                <w:rFonts w:hint="eastAsia" w:hAnsi="宋体" w:eastAsia="宋体" w:cs="宋体"/>
                <w:b/>
                <w:bCs/>
                <w:color w:val="000000"/>
                <w:sz w:val="21"/>
                <w:szCs w:val="21"/>
                <w:lang w:eastAsia="zh-TW"/>
              </w:rPr>
              <w:t>查询渠道：信用中国（www.creditchina.gov.cn）、中国政府采购网（www.ccgp.gov.cn）；</w:t>
            </w:r>
          </w:p>
          <w:p>
            <w:pPr>
              <w:pStyle w:val="23"/>
              <w:spacing w:line="460" w:lineRule="exact"/>
              <w:rPr>
                <w:rFonts w:hint="eastAsia" w:hAnsi="宋体" w:eastAsia="宋体" w:cs="宋体"/>
                <w:bCs/>
                <w:color w:val="000000"/>
                <w:sz w:val="21"/>
                <w:szCs w:val="21"/>
              </w:rPr>
            </w:pPr>
            <w:r>
              <w:rPr>
                <w:rFonts w:hint="eastAsia" w:hAnsi="宋体" w:eastAsia="宋体" w:cs="宋体"/>
                <w:b/>
                <w:bCs/>
                <w:color w:val="000000"/>
                <w:sz w:val="21"/>
                <w:szCs w:val="21"/>
              </w:rPr>
              <w:t>截止时点：</w:t>
            </w:r>
            <w:r>
              <w:rPr>
                <w:rFonts w:hint="eastAsia" w:hAnsi="宋体" w:eastAsia="宋体" w:cs="宋体"/>
                <w:bCs/>
                <w:color w:val="000000"/>
                <w:sz w:val="21"/>
                <w:szCs w:val="21"/>
              </w:rPr>
              <w:t>投标</w:t>
            </w:r>
            <w:r>
              <w:rPr>
                <w:rFonts w:hint="eastAsia" w:hAnsi="宋体" w:eastAsia="宋体" w:cs="宋体"/>
                <w:bCs/>
                <w:color w:val="000000"/>
                <w:sz w:val="21"/>
                <w:szCs w:val="21"/>
                <w:lang w:val="zh-TW" w:eastAsia="zh-TW"/>
              </w:rPr>
              <w:t>截止时间</w:t>
            </w:r>
            <w:r>
              <w:rPr>
                <w:rFonts w:hint="eastAsia" w:hAnsi="宋体" w:eastAsia="宋体" w:cs="宋体"/>
                <w:bCs/>
                <w:color w:val="000000"/>
                <w:sz w:val="21"/>
                <w:szCs w:val="21"/>
                <w:lang w:val="zh-TW"/>
              </w:rPr>
              <w:t>前</w:t>
            </w:r>
            <w:r>
              <w:rPr>
                <w:rFonts w:hint="eastAsia" w:hAnsi="宋体" w:eastAsia="宋体" w:cs="宋体"/>
                <w:bCs/>
                <w:color w:val="000000"/>
                <w:sz w:val="21"/>
                <w:szCs w:val="21"/>
              </w:rPr>
              <w:t>3年内；</w:t>
            </w:r>
          </w:p>
          <w:p>
            <w:pPr>
              <w:spacing w:line="460" w:lineRule="exact"/>
              <w:rPr>
                <w:rFonts w:hint="eastAsia" w:ascii="宋体" w:hAnsi="宋体" w:eastAsia="宋体" w:cs="宋体"/>
                <w:color w:val="000000"/>
                <w:sz w:val="21"/>
                <w:szCs w:val="21"/>
              </w:rPr>
            </w:pPr>
            <w:r>
              <w:rPr>
                <w:rFonts w:hint="eastAsia" w:ascii="宋体" w:hAnsi="宋体" w:eastAsia="宋体" w:cs="宋体"/>
                <w:b/>
                <w:bCs/>
                <w:color w:val="000000"/>
                <w:sz w:val="21"/>
                <w:szCs w:val="21"/>
              </w:rPr>
              <w:t>查询记录和证据的留存：</w:t>
            </w:r>
            <w:r>
              <w:rPr>
                <w:rFonts w:hint="eastAsia" w:ascii="宋体" w:hAnsi="宋体" w:eastAsia="宋体" w:cs="宋体"/>
                <w:color w:val="000000"/>
                <w:sz w:val="21"/>
                <w:szCs w:val="21"/>
              </w:rPr>
              <w:t>网站查询，打印留存。</w:t>
            </w:r>
          </w:p>
          <w:p>
            <w:pPr>
              <w:spacing w:line="460" w:lineRule="exact"/>
              <w:rPr>
                <w:rFonts w:hint="eastAsia" w:ascii="宋体" w:hAnsi="宋体" w:eastAsia="宋体" w:cs="宋体"/>
                <w:bCs/>
                <w:color w:val="000000"/>
                <w:sz w:val="21"/>
                <w:szCs w:val="21"/>
              </w:rPr>
            </w:pPr>
            <w:r>
              <w:rPr>
                <w:rFonts w:hint="eastAsia" w:ascii="宋体" w:hAnsi="宋体" w:eastAsia="宋体" w:cs="宋体"/>
                <w:b/>
                <w:bCs/>
                <w:color w:val="000000"/>
                <w:sz w:val="21"/>
                <w:szCs w:val="21"/>
              </w:rPr>
              <w:t>使用规则：</w:t>
            </w:r>
            <w:r>
              <w:rPr>
                <w:rFonts w:hint="eastAsia" w:ascii="宋体" w:hAnsi="宋体" w:eastAsia="宋体" w:cs="宋体"/>
                <w:color w:val="000000"/>
                <w:sz w:val="21"/>
                <w:szCs w:val="21"/>
              </w:rPr>
              <w:t>被列入失信被执行人、重大税收违法案件当事人名单、政府采购严重违法失信行为记录名单及其他不符合《中华人民共和国政府采购法》第二十二条规定条件的，其投标将被拒绝。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30</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lang w:val="zh-TW"/>
              </w:rPr>
              <w:t>履约保证金</w:t>
            </w:r>
          </w:p>
        </w:tc>
        <w:tc>
          <w:tcPr>
            <w:tcW w:w="7453" w:type="dxa"/>
            <w:shd w:val="clear" w:color="auto" w:fill="auto"/>
            <w:noWrap w:val="0"/>
            <w:vAlign w:val="center"/>
          </w:tcPr>
          <w:p>
            <w:pPr>
              <w:pStyle w:val="144"/>
              <w:widowControl w:val="0"/>
              <w:spacing w:line="460" w:lineRule="exact"/>
              <w:rPr>
                <w:rFonts w:ascii="宋体" w:hAnsi="宋体" w:eastAsia="宋体" w:cs="宋体"/>
                <w:b/>
                <w:bCs/>
                <w:color w:val="000000"/>
                <w:sz w:val="21"/>
                <w:szCs w:val="21"/>
              </w:rPr>
            </w:pPr>
            <w:r>
              <w:rPr>
                <w:rFonts w:ascii="宋体" w:hAnsi="宋体" w:eastAsia="宋体" w:cs="宋体"/>
                <w:color w:val="000000"/>
                <w:sz w:val="21"/>
                <w:szCs w:val="21"/>
              </w:rPr>
              <w:sym w:font="Wingdings" w:char="00FE"/>
            </w:r>
            <w:r>
              <w:rPr>
                <w:rFonts w:ascii="宋体" w:hAnsi="宋体" w:eastAsia="宋体" w:cs="宋体"/>
                <w:color w:val="000000"/>
                <w:sz w:val="21"/>
                <w:szCs w:val="21"/>
              </w:rPr>
              <w:t xml:space="preserve"> 不要求</w:t>
            </w:r>
            <w:r>
              <w:rPr>
                <w:rFonts w:ascii="宋体" w:hAnsi="宋体" w:eastAsia="宋体" w:cs="宋体"/>
                <w:b/>
                <w:bCs/>
                <w:color w:val="000000"/>
                <w:sz w:val="21"/>
                <w:szCs w:val="21"/>
              </w:rPr>
              <w:t>。</w:t>
            </w:r>
          </w:p>
          <w:p>
            <w:pPr>
              <w:pStyle w:val="144"/>
              <w:widowControl w:val="0"/>
              <w:spacing w:line="460" w:lineRule="exact"/>
              <w:rPr>
                <w:rFonts w:ascii="宋体" w:hAnsi="宋体" w:eastAsia="宋体" w:cs="宋体"/>
                <w:bCs/>
                <w:color w:val="000000"/>
                <w:sz w:val="21"/>
                <w:szCs w:val="21"/>
              </w:rPr>
            </w:pPr>
            <w:r>
              <w:rPr>
                <w:rFonts w:ascii="宋体" w:hAnsi="宋体" w:eastAsia="宋体" w:cs="宋体"/>
                <w:color w:val="000000"/>
                <w:sz w:val="21"/>
                <w:szCs w:val="21"/>
              </w:rPr>
              <w:sym w:font="Wingdings" w:char="00A8"/>
            </w:r>
            <w:r>
              <w:rPr>
                <w:rFonts w:ascii="宋体" w:hAnsi="宋体" w:eastAsia="宋体" w:cs="宋体"/>
                <w:color w:val="000000"/>
                <w:sz w:val="21"/>
                <w:szCs w:val="21"/>
              </w:rPr>
              <w:t xml:space="preserve"> </w:t>
            </w:r>
            <w:r>
              <w:rPr>
                <w:rFonts w:ascii="宋体" w:hAnsi="宋体" w:eastAsia="宋体" w:cs="宋体"/>
                <w:b/>
                <w:bCs/>
                <w:color w:val="000000"/>
                <w:sz w:val="21"/>
                <w:szCs w:val="21"/>
              </w:rPr>
              <w:t>要求。形式：</w:t>
            </w:r>
            <w:r>
              <w:rPr>
                <w:rFonts w:ascii="宋体" w:hAnsi="宋体" w:eastAsia="宋体" w:cs="宋体"/>
                <w:color w:val="000000"/>
                <w:sz w:val="21"/>
                <w:szCs w:val="21"/>
              </w:rPr>
              <w:t>以支票、汇票、本票或者金融机构、担保机构出具的保函等非现金形式提交。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ascii="宋体" w:hAnsi="宋体" w:eastAsia="宋体" w:cs="宋体"/>
                <w:color w:val="000000"/>
                <w:sz w:val="21"/>
                <w:szCs w:val="21"/>
                <w:lang w:val="zh-TW" w:eastAsia="zh-TW"/>
              </w:rPr>
            </w:pPr>
            <w:r>
              <w:rPr>
                <w:rFonts w:ascii="宋体" w:hAnsi="宋体" w:eastAsia="宋体" w:cs="宋体"/>
                <w:color w:val="000000"/>
                <w:sz w:val="21"/>
                <w:szCs w:val="21"/>
              </w:rPr>
              <w:t>32.2</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lang w:val="zh-TW"/>
              </w:rPr>
              <w:t>质疑</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lang w:val="zh-TW" w:eastAsia="zh-TW"/>
              </w:rPr>
            </w:pPr>
            <w:r>
              <w:rPr>
                <w:rFonts w:ascii="宋体" w:hAnsi="宋体" w:eastAsia="宋体" w:cs="宋体"/>
                <w:color w:val="000000"/>
                <w:sz w:val="21"/>
                <w:szCs w:val="21"/>
                <w:lang w:val="zh-TW" w:eastAsia="zh-TW"/>
              </w:rPr>
              <w:t>质疑：投标人在法定质疑期内应当一次性提出针对同一采购程序环节的质疑。</w:t>
            </w:r>
          </w:p>
          <w:p>
            <w:pPr>
              <w:pStyle w:val="144"/>
              <w:widowControl w:val="0"/>
              <w:spacing w:line="460" w:lineRule="exact"/>
              <w:rPr>
                <w:rFonts w:ascii="宋体" w:hAnsi="宋体" w:eastAsia="宋体" w:cs="宋体"/>
                <w:color w:val="000000"/>
                <w:sz w:val="21"/>
                <w:szCs w:val="21"/>
                <w:lang w:eastAsia="zh-TW"/>
              </w:rPr>
            </w:pPr>
            <w:r>
              <w:rPr>
                <w:rFonts w:ascii="宋体" w:hAnsi="宋体" w:eastAsia="宋体" w:cs="宋体"/>
                <w:color w:val="000000"/>
                <w:sz w:val="21"/>
                <w:szCs w:val="21"/>
                <w:lang w:val="zh-TW" w:eastAsia="zh-TW"/>
              </w:rPr>
              <w:t>接收质疑函的方式：</w:t>
            </w:r>
            <w:r>
              <w:rPr>
                <w:rFonts w:ascii="宋体" w:hAnsi="宋体" w:eastAsia="宋体" w:cs="宋体"/>
                <w:b/>
                <w:bCs/>
                <w:color w:val="000000"/>
                <w:sz w:val="21"/>
                <w:szCs w:val="21"/>
              </w:rPr>
              <w:t>纸质</w:t>
            </w:r>
            <w:r>
              <w:rPr>
                <w:rFonts w:ascii="宋体" w:hAnsi="宋体" w:eastAsia="宋体" w:cs="宋体"/>
                <w:b/>
                <w:bCs/>
                <w:color w:val="000000"/>
                <w:sz w:val="21"/>
                <w:szCs w:val="21"/>
                <w:lang w:val="zh-TW" w:eastAsia="zh-TW"/>
              </w:rPr>
              <w:t>形式</w:t>
            </w:r>
            <w:r>
              <w:rPr>
                <w:rFonts w:ascii="宋体" w:hAnsi="宋体" w:eastAsia="宋体" w:cs="宋体"/>
                <w:b/>
                <w:bCs/>
                <w:color w:val="000000"/>
                <w:sz w:val="21"/>
                <w:szCs w:val="21"/>
                <w:lang w:val="zh-TW"/>
              </w:rPr>
              <w:t>，</w:t>
            </w:r>
            <w:r>
              <w:rPr>
                <w:rFonts w:ascii="宋体" w:hAnsi="宋体" w:eastAsia="宋体" w:cs="宋体"/>
                <w:b/>
                <w:bCs/>
                <w:color w:val="000000"/>
                <w:sz w:val="21"/>
                <w:szCs w:val="21"/>
              </w:rPr>
              <w:t>以快递方式送达。</w:t>
            </w:r>
            <w:r>
              <w:rPr>
                <w:rFonts w:ascii="宋体" w:hAnsi="宋体" w:eastAsia="宋体" w:cs="宋体"/>
                <w:b/>
                <w:bCs/>
                <w:color w:val="000000"/>
                <w:sz w:val="21"/>
                <w:szCs w:val="21"/>
                <w:lang w:val="zh-TW" w:eastAsia="zh-TW"/>
              </w:rPr>
              <w:t>联系人：</w:t>
            </w:r>
            <w:r>
              <w:rPr>
                <w:rFonts w:ascii="宋体" w:hAnsi="宋体" w:eastAsia="宋体" w:cs="宋体"/>
                <w:b/>
                <w:bCs/>
                <w:color w:val="000000"/>
                <w:sz w:val="21"/>
                <w:szCs w:val="21"/>
                <w:lang w:val="zh-TW"/>
              </w:rPr>
              <w:t>褚震宇</w:t>
            </w:r>
            <w:r>
              <w:rPr>
                <w:rFonts w:ascii="宋体" w:hAnsi="宋体" w:eastAsia="宋体" w:cs="宋体"/>
                <w:b/>
                <w:bCs/>
                <w:color w:val="000000"/>
                <w:sz w:val="21"/>
                <w:szCs w:val="21"/>
                <w:lang w:val="zh-TW" w:eastAsia="zh-TW"/>
              </w:rPr>
              <w:t>，联系电话：0571-</w:t>
            </w:r>
            <w:r>
              <w:rPr>
                <w:rFonts w:ascii="宋体" w:hAnsi="宋体" w:eastAsia="宋体" w:cs="宋体"/>
                <w:b/>
                <w:bCs/>
                <w:color w:val="000000"/>
                <w:sz w:val="21"/>
                <w:szCs w:val="21"/>
              </w:rPr>
              <w:t>86783385/15057194701</w:t>
            </w:r>
            <w:r>
              <w:rPr>
                <w:rFonts w:ascii="宋体" w:hAnsi="宋体" w:eastAsia="宋体" w:cs="宋体"/>
                <w:b/>
                <w:bCs/>
                <w:color w:val="000000"/>
                <w:sz w:val="21"/>
                <w:szCs w:val="21"/>
                <w:lang w:val="zh-TW" w:eastAsia="zh-TW"/>
              </w:rPr>
              <w:t>，地址：</w:t>
            </w:r>
            <w:r>
              <w:rPr>
                <w:rFonts w:ascii="宋体" w:hAnsi="宋体" w:eastAsia="宋体" w:cs="宋体"/>
                <w:b/>
                <w:bCs/>
                <w:color w:val="000000"/>
                <w:sz w:val="21"/>
                <w:szCs w:val="21"/>
              </w:rPr>
              <w:t>杭州市滨江区长河街道长河路351号三号楼B215室</w:t>
            </w:r>
            <w:r>
              <w:rPr>
                <w:rFonts w:ascii="宋体" w:hAnsi="宋体" w:eastAsia="宋体" w:cs="宋体"/>
                <w:b/>
                <w:bCs/>
                <w:color w:val="000000"/>
                <w:sz w:val="21"/>
                <w:szCs w:val="21"/>
                <w:lang w:val="zh-TW" w:eastAsia="zh-TW"/>
              </w:rPr>
              <w:t>。</w:t>
            </w:r>
            <w:r>
              <w:rPr>
                <w:rFonts w:ascii="宋体" w:hAnsi="宋体" w:eastAsia="宋体" w:cs="宋体"/>
                <w:b/>
                <w:bCs/>
                <w:color w:val="000000"/>
                <w:sz w:val="21"/>
                <w:szCs w:val="21"/>
                <w:lang w:eastAsia="zh-TW"/>
              </w:rPr>
              <w:t>同时请将质疑函的word格式文件发送至邮箱</w:t>
            </w:r>
            <w:r>
              <w:rPr>
                <w:rFonts w:ascii="宋体" w:hAnsi="宋体" w:eastAsia="宋体" w:cs="宋体"/>
                <w:b/>
                <w:bCs/>
                <w:color w:val="000000"/>
                <w:sz w:val="21"/>
                <w:szCs w:val="21"/>
                <w:lang w:val="zh-TW" w:eastAsia="zh-TW"/>
              </w:rPr>
              <w:t>email：</w:t>
            </w:r>
            <w:r>
              <w:rPr>
                <w:rFonts w:ascii="宋体" w:hAnsi="宋体" w:eastAsia="宋体" w:cs="宋体"/>
                <w:b/>
                <w:bCs/>
                <w:color w:val="000000"/>
                <w:sz w:val="21"/>
                <w:szCs w:val="21"/>
                <w:lang w:eastAsia="zh-TW"/>
              </w:rPr>
              <w:t>578558394@qq.com</w:t>
            </w:r>
            <w:r>
              <w:rPr>
                <w:rFonts w:ascii="宋体" w:hAnsi="宋体" w:eastAsia="宋体" w:cs="宋体"/>
                <w:b/>
                <w:bCs/>
                <w:color w:val="000000"/>
                <w:sz w:val="21"/>
                <w:szCs w:val="21"/>
                <w:lang w:val="zh-TW" w:eastAsia="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vMerge w:val="restart"/>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34</w:t>
            </w:r>
          </w:p>
        </w:tc>
        <w:tc>
          <w:tcPr>
            <w:tcW w:w="1228" w:type="dxa"/>
            <w:vMerge w:val="restart"/>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需落实的政府采购</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b/>
                <w:bCs/>
                <w:color w:val="000000"/>
                <w:sz w:val="21"/>
                <w:szCs w:val="21"/>
                <w:lang w:val="zh-TW"/>
              </w:rPr>
              <w:t>节约能源、保护环境</w:t>
            </w:r>
          </w:p>
          <w:p>
            <w:pPr>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根据《关于调整优化节能产品、环境标志产品政府采购执行机制的通知》（财库〔2019〕9号）文件的规定，本项目如需采购节能产品、环境标志产品品目清单内的产品的，投标人所投的相应产品须提供经国家确定的认证机构出具的、处于有效期之内的节能产品、环境标志产品认证证书，采购人对获得证书的产品实施政府优先采购或强制采购。</w:t>
            </w:r>
          </w:p>
          <w:p>
            <w:pPr>
              <w:spacing w:line="46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提供中国政府采购网（www.ccgp.gov.cn）网页查询打印材料等证明材料。</w:t>
            </w:r>
          </w:p>
          <w:p>
            <w:pPr>
              <w:pStyle w:val="144"/>
              <w:widowControl w:val="0"/>
              <w:spacing w:line="460" w:lineRule="exact"/>
              <w:rPr>
                <w:rFonts w:ascii="宋体" w:hAnsi="宋体" w:eastAsia="宋体" w:cs="宋体"/>
                <w:bCs/>
                <w:color w:val="000000"/>
                <w:sz w:val="21"/>
                <w:szCs w:val="21"/>
              </w:rPr>
            </w:pPr>
            <w:r>
              <w:rPr>
                <w:rFonts w:ascii="宋体" w:hAnsi="宋体" w:eastAsia="宋体" w:cs="宋体"/>
                <w:color w:val="000000"/>
                <w:sz w:val="21"/>
                <w:szCs w:val="21"/>
              </w:rPr>
              <w:t>注：</w:t>
            </w:r>
            <w:r>
              <w:rPr>
                <w:rFonts w:ascii="宋体" w:hAnsi="宋体" w:eastAsia="宋体" w:cs="宋体"/>
                <w:b/>
                <w:bCs/>
                <w:color w:val="000000"/>
                <w:sz w:val="21"/>
                <w:szCs w:val="21"/>
              </w:rPr>
              <w:t>属于强制采购品目清单中的产品如未获得证书，其投标将被拒绝。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vMerge w:val="continue"/>
            <w:shd w:val="clear" w:color="auto" w:fill="auto"/>
            <w:noWrap w:val="0"/>
            <w:vAlign w:val="center"/>
          </w:tcPr>
          <w:p>
            <w:pPr>
              <w:pStyle w:val="144"/>
              <w:widowControl w:val="0"/>
              <w:spacing w:line="460" w:lineRule="exact"/>
              <w:jc w:val="center"/>
              <w:rPr>
                <w:rFonts w:ascii="宋体" w:hAnsi="宋体" w:eastAsia="宋体" w:cs="宋体"/>
                <w:color w:val="000000"/>
                <w:sz w:val="21"/>
                <w:szCs w:val="21"/>
                <w:lang w:val="zh-TW" w:eastAsia="zh-TW"/>
              </w:rPr>
            </w:pPr>
          </w:p>
        </w:tc>
        <w:tc>
          <w:tcPr>
            <w:tcW w:w="1228" w:type="dxa"/>
            <w:vMerge w:val="continue"/>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rPr>
            </w:pPr>
          </w:p>
        </w:tc>
        <w:tc>
          <w:tcPr>
            <w:tcW w:w="7453" w:type="dxa"/>
            <w:shd w:val="clear" w:color="auto" w:fill="auto"/>
            <w:noWrap w:val="0"/>
            <w:vAlign w:val="center"/>
          </w:tcPr>
          <w:p>
            <w:pPr>
              <w:spacing w:line="460" w:lineRule="exact"/>
              <w:rPr>
                <w:rFonts w:hint="eastAsia" w:ascii="宋体" w:hAnsi="宋体" w:eastAsia="宋体" w:cs="宋体"/>
                <w:color w:val="000000"/>
                <w:sz w:val="21"/>
                <w:szCs w:val="21"/>
                <w:lang w:val="zh-CN"/>
              </w:rPr>
            </w:pPr>
            <w:r>
              <w:rPr>
                <w:rFonts w:hint="eastAsia" w:ascii="宋体" w:hAnsi="宋体" w:eastAsia="宋体" w:cs="宋体"/>
                <w:b/>
                <w:bCs/>
                <w:color w:val="000000"/>
                <w:sz w:val="21"/>
                <w:szCs w:val="21"/>
              </w:rPr>
              <w:t>扶持中小企业（监狱企业、残疾人福利性单位）：</w:t>
            </w:r>
          </w:p>
          <w:p>
            <w:pPr>
              <w:spacing w:line="46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根据《政府采购促进中小企业发展管理办法》（财库〔2020〕46号）文件、《浙江省财政厅、浙江省中小企业局转发财政部、工业和信息化部关于印发</w:t>
            </w:r>
            <w:r>
              <w:rPr>
                <w:rFonts w:hint="eastAsia" w:ascii="宋体" w:hAnsi="宋体" w:eastAsia="宋体" w:cs="宋体"/>
                <w:color w:val="000000"/>
                <w:sz w:val="21"/>
                <w:szCs w:val="21"/>
              </w:rPr>
              <w:t>&lt;</w:t>
            </w:r>
            <w:r>
              <w:rPr>
                <w:rFonts w:hint="eastAsia" w:ascii="宋体" w:hAnsi="宋体" w:eastAsia="宋体" w:cs="宋体"/>
                <w:color w:val="000000"/>
                <w:sz w:val="21"/>
                <w:szCs w:val="21"/>
                <w:lang w:val="zh-CN"/>
              </w:rPr>
              <w:t>政府采购促进中小企业发展暂行办法</w:t>
            </w:r>
            <w:r>
              <w:rPr>
                <w:rFonts w:hint="eastAsia" w:ascii="宋体" w:hAnsi="宋体" w:eastAsia="宋体" w:cs="宋体"/>
                <w:color w:val="000000"/>
                <w:sz w:val="21"/>
                <w:szCs w:val="21"/>
              </w:rPr>
              <w:t>&gt;</w:t>
            </w:r>
            <w:r>
              <w:rPr>
                <w:rFonts w:hint="eastAsia" w:ascii="宋体" w:hAnsi="宋体" w:eastAsia="宋体" w:cs="宋体"/>
                <w:color w:val="000000"/>
                <w:sz w:val="21"/>
                <w:szCs w:val="21"/>
                <w:lang w:val="zh-CN"/>
              </w:rPr>
              <w:t>的通知》（浙财采监[2012]11号）及《浙江省财政厅 浙江省经济和信息化委员会关于简化中小企业类别确认流程有关事项的通知》（浙财采监〔2018〕2号），对小型、微型企业或监狱企业、残疾人福利性单位的投标报价给予</w:t>
            </w:r>
            <w:r>
              <w:rPr>
                <w:rFonts w:hint="eastAsia" w:ascii="宋体" w:hAnsi="宋体" w:eastAsia="宋体" w:cs="宋体"/>
                <w:color w:val="000000"/>
                <w:sz w:val="21"/>
                <w:szCs w:val="21"/>
              </w:rPr>
              <w:t>8</w:t>
            </w:r>
            <w:r>
              <w:rPr>
                <w:rFonts w:hint="eastAsia" w:ascii="宋体" w:hAnsi="宋体" w:eastAsia="宋体" w:cs="宋体"/>
                <w:color w:val="000000"/>
                <w:sz w:val="21"/>
                <w:szCs w:val="21"/>
                <w:lang w:val="zh-CN"/>
              </w:rPr>
              <w:t>%的扣除，并用扣除后的价格计算价格评分。</w:t>
            </w:r>
          </w:p>
          <w:p>
            <w:pPr>
              <w:pStyle w:val="144"/>
              <w:widowControl w:val="0"/>
              <w:spacing w:line="460" w:lineRule="exact"/>
              <w:rPr>
                <w:rFonts w:hint="default" w:ascii="宋体" w:hAnsi="宋体" w:eastAsia="宋体" w:cs="宋体"/>
                <w:b/>
                <w:bCs/>
                <w:color w:val="000000"/>
                <w:sz w:val="21"/>
                <w:szCs w:val="21"/>
                <w:lang w:val="zh-CN"/>
              </w:rPr>
            </w:pPr>
            <w:r>
              <w:rPr>
                <w:rFonts w:ascii="宋体" w:hAnsi="宋体" w:eastAsia="宋体" w:cs="宋体"/>
                <w:b/>
                <w:bCs/>
                <w:color w:val="000000"/>
                <w:sz w:val="21"/>
                <w:szCs w:val="21"/>
                <w:lang w:val="zh-CN"/>
              </w:rPr>
              <w:t>需提供的相关证明材料，未提供的不享受上述扶持政策。</w:t>
            </w:r>
          </w:p>
          <w:p>
            <w:pPr>
              <w:pStyle w:val="144"/>
              <w:widowControl w:val="0"/>
              <w:spacing w:line="460" w:lineRule="exact"/>
              <w:rPr>
                <w:rFonts w:hint="default" w:ascii="宋体" w:hAnsi="宋体" w:eastAsia="宋体" w:cs="宋体"/>
                <w:b/>
                <w:bCs/>
                <w:color w:val="000000"/>
                <w:sz w:val="21"/>
                <w:szCs w:val="21"/>
                <w:lang w:val="zh-CN"/>
              </w:rPr>
            </w:pPr>
          </w:p>
          <w:p>
            <w:pPr>
              <w:pStyle w:val="144"/>
              <w:widowControl w:val="0"/>
              <w:spacing w:line="460" w:lineRule="exact"/>
              <w:rPr>
                <w:rFonts w:hint="default" w:ascii="宋体" w:hAnsi="宋体" w:eastAsia="宋体" w:cs="宋体"/>
                <w:b/>
                <w:bCs/>
                <w:color w:val="000000"/>
                <w:sz w:val="21"/>
                <w:szCs w:val="21"/>
                <w:lang w:val="zh-CN"/>
              </w:rPr>
            </w:pPr>
          </w:p>
          <w:p>
            <w:pPr>
              <w:pStyle w:val="144"/>
              <w:widowControl w:val="0"/>
              <w:spacing w:line="460" w:lineRule="exact"/>
              <w:rPr>
                <w:rFonts w:ascii="宋体" w:hAnsi="宋体" w:eastAsia="宋体" w:cs="宋体"/>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vMerge w:val="continue"/>
            <w:shd w:val="clear" w:color="auto" w:fill="auto"/>
            <w:noWrap w:val="0"/>
            <w:vAlign w:val="center"/>
          </w:tcPr>
          <w:p>
            <w:pPr>
              <w:pStyle w:val="144"/>
              <w:widowControl w:val="0"/>
              <w:spacing w:line="460" w:lineRule="exact"/>
              <w:jc w:val="center"/>
              <w:rPr>
                <w:rFonts w:ascii="宋体" w:hAnsi="宋体" w:eastAsia="宋体" w:cs="宋体"/>
                <w:color w:val="000000"/>
                <w:sz w:val="21"/>
                <w:szCs w:val="21"/>
                <w:lang w:val="zh-TW" w:eastAsia="zh-TW"/>
              </w:rPr>
            </w:pPr>
          </w:p>
        </w:tc>
        <w:tc>
          <w:tcPr>
            <w:tcW w:w="1228" w:type="dxa"/>
            <w:vMerge w:val="continue"/>
            <w:shd w:val="clear" w:color="auto" w:fill="auto"/>
            <w:noWrap w:val="0"/>
            <w:vAlign w:val="center"/>
          </w:tcPr>
          <w:p>
            <w:pPr>
              <w:spacing w:line="460" w:lineRule="exact"/>
              <w:jc w:val="center"/>
              <w:rPr>
                <w:rFonts w:hint="eastAsia" w:ascii="宋体" w:hAnsi="宋体" w:eastAsia="宋体" w:cs="宋体"/>
                <w:b/>
                <w:bCs/>
                <w:color w:val="000000"/>
                <w:sz w:val="21"/>
                <w:szCs w:val="21"/>
                <w:lang w:val="zh-TW"/>
              </w:rPr>
            </w:pP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b/>
                <w:bCs/>
                <w:color w:val="000000"/>
                <w:sz w:val="21"/>
                <w:szCs w:val="21"/>
              </w:rPr>
              <w:t>企业信用融资</w:t>
            </w:r>
          </w:p>
          <w:p>
            <w:pPr>
              <w:pStyle w:val="144"/>
              <w:widowControl w:val="0"/>
              <w:spacing w:line="460" w:lineRule="exact"/>
              <w:rPr>
                <w:rFonts w:ascii="宋体" w:hAnsi="宋体" w:eastAsia="宋体" w:cs="宋体"/>
                <w:color w:val="000000"/>
                <w:sz w:val="21"/>
                <w:szCs w:val="21"/>
                <w:lang w:val="zh-CN" w:eastAsia="zh-TW"/>
              </w:rPr>
            </w:pPr>
            <w:r>
              <w:rPr>
                <w:rFonts w:ascii="宋体" w:hAnsi="宋体" w:eastAsia="宋体" w:cs="宋体"/>
                <w:color w:val="000000"/>
                <w:sz w:val="21"/>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shd w:val="clear" w:color="auto" w:fill="auto"/>
            <w:noWrap w:val="0"/>
            <w:vAlign w:val="center"/>
          </w:tcPr>
          <w:p>
            <w:pPr>
              <w:pStyle w:val="144"/>
              <w:widowControl w:val="0"/>
              <w:spacing w:line="460" w:lineRule="exact"/>
              <w:jc w:val="center"/>
              <w:rPr>
                <w:rFonts w:hint="default" w:ascii="宋体" w:hAnsi="宋体" w:eastAsia="宋体" w:cs="宋体"/>
                <w:color w:val="000000"/>
                <w:sz w:val="21"/>
                <w:szCs w:val="21"/>
              </w:rPr>
            </w:pPr>
            <w:r>
              <w:rPr>
                <w:rFonts w:ascii="宋体" w:hAnsi="宋体" w:eastAsia="宋体" w:cs="宋体"/>
                <w:color w:val="000000"/>
                <w:sz w:val="21"/>
                <w:szCs w:val="21"/>
              </w:rPr>
              <w:t>35</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lang w:val="zh-TW"/>
              </w:rPr>
              <w:t>采购代理服务费</w:t>
            </w:r>
          </w:p>
        </w:tc>
        <w:tc>
          <w:tcPr>
            <w:tcW w:w="7453" w:type="dxa"/>
            <w:shd w:val="clear" w:color="auto" w:fill="auto"/>
            <w:noWrap w:val="0"/>
            <w:vAlign w:val="center"/>
          </w:tcPr>
          <w:p>
            <w:pPr>
              <w:pStyle w:val="144"/>
              <w:widowControl w:val="0"/>
              <w:spacing w:line="460" w:lineRule="exact"/>
              <w:jc w:val="left"/>
              <w:rPr>
                <w:rFonts w:ascii="宋体" w:hAnsi="宋体" w:eastAsia="宋体" w:cs="宋体"/>
                <w:bCs/>
                <w:color w:val="000000"/>
                <w:sz w:val="21"/>
                <w:szCs w:val="21"/>
                <w:lang w:val="zh-TW" w:eastAsia="zh-TW"/>
              </w:rPr>
            </w:pPr>
            <w:r>
              <w:rPr>
                <w:rFonts w:ascii="宋体" w:hAnsi="宋体" w:eastAsia="宋体" w:cs="宋体"/>
                <w:b/>
                <w:bCs/>
                <w:color w:val="000000"/>
                <w:sz w:val="21"/>
                <w:szCs w:val="21"/>
              </w:rPr>
              <w:t>由采购人支付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vMerge w:val="restart"/>
            <w:shd w:val="clear" w:color="auto" w:fill="auto"/>
            <w:noWrap w:val="0"/>
            <w:vAlign w:val="center"/>
          </w:tcPr>
          <w:p>
            <w:pPr>
              <w:pStyle w:val="144"/>
              <w:widowControl w:val="0"/>
              <w:spacing w:line="460" w:lineRule="exact"/>
              <w:jc w:val="center"/>
              <w:rPr>
                <w:rFonts w:ascii="宋体" w:hAnsi="宋体" w:eastAsia="宋体" w:cs="宋体"/>
                <w:color w:val="000000"/>
                <w:sz w:val="21"/>
                <w:szCs w:val="21"/>
              </w:rPr>
            </w:pPr>
            <w:r>
              <w:rPr>
                <w:rFonts w:ascii="宋体" w:hAnsi="宋体" w:eastAsia="宋体" w:cs="宋体"/>
                <w:b/>
                <w:bCs/>
                <w:color w:val="000000"/>
                <w:sz w:val="21"/>
                <w:szCs w:val="21"/>
                <w:lang w:val="zh-TW"/>
              </w:rPr>
              <w:t>其他</w:t>
            </w: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lang w:val="zh-TW"/>
              </w:rPr>
              <w:t>现场演示</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sym w:font="Wingdings" w:char="00FE"/>
            </w:r>
            <w:r>
              <w:rPr>
                <w:rFonts w:ascii="宋体" w:hAnsi="宋体" w:eastAsia="宋体" w:cs="宋体"/>
                <w:color w:val="000000"/>
                <w:sz w:val="21"/>
                <w:szCs w:val="21"/>
              </w:rPr>
              <w:t xml:space="preserve"> 不要求；</w:t>
            </w:r>
          </w:p>
          <w:p>
            <w:pPr>
              <w:pStyle w:val="144"/>
              <w:widowControl w:val="0"/>
              <w:spacing w:line="460" w:lineRule="exact"/>
              <w:rPr>
                <w:rFonts w:ascii="宋体" w:hAnsi="宋体" w:eastAsia="宋体" w:cs="宋体"/>
                <w:color w:val="000000"/>
                <w:sz w:val="21"/>
                <w:szCs w:val="21"/>
                <w:lang w:val="zh-TW" w:eastAsia="zh-TW"/>
              </w:rPr>
            </w:pPr>
            <w:r>
              <w:rPr>
                <w:rFonts w:ascii="宋体" w:hAnsi="宋体" w:eastAsia="宋体" w:cs="宋体"/>
                <w:color w:val="000000"/>
                <w:sz w:val="21"/>
                <w:szCs w:val="21"/>
              </w:rPr>
              <w:sym w:font="Wingdings" w:char="00A8"/>
            </w:r>
            <w:r>
              <w:rPr>
                <w:rFonts w:ascii="宋体" w:hAnsi="宋体" w:eastAsia="宋体" w:cs="宋体"/>
                <w:color w:val="000000"/>
                <w:sz w:val="21"/>
                <w:szCs w:val="21"/>
              </w:rPr>
              <w:t xml:space="preserve"> 本项目要求进行现场演示，具体要求：</w:t>
            </w:r>
            <w:r>
              <w:rPr>
                <w:rFonts w:ascii="宋体" w:hAnsi="宋体" w:eastAsia="宋体" w:cs="宋体"/>
                <w:color w:val="000000"/>
                <w:sz w:val="21"/>
                <w:szCs w:val="21"/>
                <w:u w:val="single"/>
              </w:rPr>
              <w:t xml:space="preserve"> / </w:t>
            </w:r>
            <w:r>
              <w:rPr>
                <w:rFonts w:ascii="宋体" w:hAnsi="宋体" w:eastAsia="宋体" w:cs="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vMerge w:val="continue"/>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lang w:val="zh-TW"/>
              </w:rPr>
            </w:pP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rPr>
              <w:t>方案讲解</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sym w:font="Wingdings" w:char="00A8"/>
            </w:r>
            <w:r>
              <w:rPr>
                <w:rFonts w:ascii="宋体" w:hAnsi="宋体" w:eastAsia="宋体" w:cs="宋体"/>
                <w:color w:val="000000"/>
                <w:sz w:val="21"/>
                <w:szCs w:val="21"/>
              </w:rPr>
              <w:t xml:space="preserve"> 不要求；</w:t>
            </w:r>
          </w:p>
          <w:p>
            <w:pPr>
              <w:pStyle w:val="144"/>
              <w:widowControl w:val="0"/>
              <w:spacing w:line="460" w:lineRule="exact"/>
              <w:rPr>
                <w:rFonts w:hint="default" w:ascii="宋体" w:hAnsi="宋体" w:eastAsia="宋体" w:cs="宋体"/>
                <w:color w:val="000000"/>
                <w:sz w:val="21"/>
                <w:szCs w:val="21"/>
              </w:rPr>
            </w:pPr>
            <w:r>
              <w:rPr>
                <w:rFonts w:ascii="宋体" w:hAnsi="宋体" w:eastAsia="宋体" w:cs="宋体"/>
                <w:color w:val="000000"/>
                <w:sz w:val="21"/>
                <w:szCs w:val="21"/>
              </w:rPr>
              <w:sym w:font="Wingdings" w:char="00FE"/>
            </w:r>
            <w:r>
              <w:rPr>
                <w:rFonts w:ascii="宋体" w:hAnsi="宋体" w:eastAsia="宋体" w:cs="宋体"/>
                <w:color w:val="000000"/>
                <w:sz w:val="21"/>
                <w:szCs w:val="21"/>
              </w:rPr>
              <w:t xml:space="preserve"> </w:t>
            </w:r>
            <w:r>
              <w:rPr>
                <w:rFonts w:ascii="宋体" w:hAnsi="宋体" w:eastAsia="宋体" w:cs="宋体"/>
                <w:b/>
                <w:bCs/>
                <w:color w:val="000000"/>
                <w:sz w:val="21"/>
                <w:szCs w:val="21"/>
              </w:rPr>
              <w:t>本项目要求进行现场方案讲解，每个投标人时间不超过</w:t>
            </w:r>
            <w:r>
              <w:rPr>
                <w:rFonts w:ascii="宋体" w:hAnsi="宋体" w:eastAsia="宋体" w:cs="宋体"/>
                <w:b/>
                <w:bCs/>
                <w:color w:val="000000"/>
                <w:sz w:val="21"/>
                <w:szCs w:val="21"/>
                <w:u w:val="single"/>
              </w:rPr>
              <w:t xml:space="preserve"> 10 </w:t>
            </w:r>
            <w:r>
              <w:rPr>
                <w:rFonts w:ascii="宋体" w:hAnsi="宋体" w:eastAsia="宋体" w:cs="宋体"/>
                <w:b/>
                <w:bCs/>
                <w:color w:val="000000"/>
                <w:sz w:val="21"/>
                <w:szCs w:val="21"/>
              </w:rPr>
              <w:t>分钟，并解答评标委员会的提问，解答提问时间另计。讲解顺序：</w:t>
            </w:r>
            <w:r>
              <w:rPr>
                <w:rFonts w:ascii="宋体" w:hAnsi="宋体" w:eastAsia="宋体" w:cs="宋体"/>
                <w:b/>
                <w:bCs/>
                <w:color w:val="000000"/>
                <w:sz w:val="21"/>
                <w:szCs w:val="21"/>
                <w:u w:val="single"/>
              </w:rPr>
              <w:t xml:space="preserve"> / </w:t>
            </w:r>
            <w:r>
              <w:rPr>
                <w:rFonts w:ascii="宋体" w:hAnsi="宋体" w:eastAsia="宋体" w:cs="宋体"/>
                <w:b/>
                <w:bCs/>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3" w:type="dxa"/>
            <w:vMerge w:val="continue"/>
            <w:shd w:val="clear" w:color="auto" w:fill="auto"/>
            <w:noWrap w:val="0"/>
            <w:vAlign w:val="center"/>
          </w:tcPr>
          <w:p>
            <w:pPr>
              <w:pStyle w:val="144"/>
              <w:widowControl w:val="0"/>
              <w:spacing w:line="460" w:lineRule="exact"/>
              <w:jc w:val="center"/>
              <w:rPr>
                <w:rFonts w:ascii="宋体" w:hAnsi="宋体" w:eastAsia="宋体" w:cs="宋体"/>
                <w:color w:val="000000"/>
                <w:sz w:val="21"/>
                <w:szCs w:val="21"/>
                <w:lang w:val="zh-TW" w:eastAsia="zh-TW"/>
              </w:rPr>
            </w:pPr>
          </w:p>
        </w:tc>
        <w:tc>
          <w:tcPr>
            <w:tcW w:w="1228" w:type="dxa"/>
            <w:shd w:val="clear" w:color="auto" w:fill="auto"/>
            <w:noWrap w:val="0"/>
            <w:vAlign w:val="center"/>
          </w:tcPr>
          <w:p>
            <w:pPr>
              <w:pStyle w:val="144"/>
              <w:widowControl w:val="0"/>
              <w:spacing w:line="460" w:lineRule="exact"/>
              <w:jc w:val="center"/>
              <w:rPr>
                <w:rFonts w:ascii="宋体" w:hAnsi="宋体" w:eastAsia="宋体" w:cs="宋体"/>
                <w:b/>
                <w:bCs/>
                <w:color w:val="000000"/>
                <w:sz w:val="21"/>
                <w:szCs w:val="21"/>
                <w:lang w:val="zh-TW"/>
              </w:rPr>
            </w:pPr>
            <w:r>
              <w:rPr>
                <w:rFonts w:ascii="宋体" w:hAnsi="宋体" w:eastAsia="宋体" w:cs="宋体"/>
                <w:b/>
                <w:bCs/>
                <w:color w:val="000000"/>
                <w:sz w:val="21"/>
                <w:szCs w:val="21"/>
                <w:lang w:val="zh-TW"/>
              </w:rPr>
              <w:t>样品</w:t>
            </w:r>
          </w:p>
        </w:tc>
        <w:tc>
          <w:tcPr>
            <w:tcW w:w="7453" w:type="dxa"/>
            <w:shd w:val="clear" w:color="auto" w:fill="auto"/>
            <w:noWrap w:val="0"/>
            <w:vAlign w:val="center"/>
          </w:tcPr>
          <w:p>
            <w:pPr>
              <w:pStyle w:val="144"/>
              <w:widowControl w:val="0"/>
              <w:spacing w:line="460" w:lineRule="exact"/>
              <w:rPr>
                <w:rFonts w:ascii="宋体" w:hAnsi="宋体" w:eastAsia="宋体" w:cs="宋体"/>
                <w:color w:val="000000"/>
                <w:sz w:val="21"/>
                <w:szCs w:val="21"/>
              </w:rPr>
            </w:pPr>
            <w:r>
              <w:rPr>
                <w:rFonts w:ascii="宋体" w:hAnsi="宋体" w:eastAsia="宋体" w:cs="宋体"/>
                <w:color w:val="000000"/>
                <w:sz w:val="21"/>
                <w:szCs w:val="21"/>
              </w:rPr>
              <w:sym w:font="Wingdings" w:char="00FE"/>
            </w:r>
            <w:r>
              <w:rPr>
                <w:rFonts w:ascii="宋体" w:hAnsi="宋体" w:eastAsia="宋体" w:cs="宋体"/>
                <w:color w:val="000000"/>
                <w:sz w:val="21"/>
                <w:szCs w:val="21"/>
              </w:rPr>
              <w:t xml:space="preserve"> 不提供。</w:t>
            </w:r>
          </w:p>
          <w:p>
            <w:pPr>
              <w:pStyle w:val="144"/>
              <w:widowControl w:val="0"/>
              <w:spacing w:line="460" w:lineRule="exact"/>
              <w:rPr>
                <w:rFonts w:ascii="宋体" w:hAnsi="宋体" w:eastAsia="宋体" w:cs="宋体"/>
                <w:color w:val="000000"/>
                <w:sz w:val="21"/>
                <w:szCs w:val="21"/>
                <w:lang w:val="zh-TW"/>
              </w:rPr>
            </w:pPr>
            <w:r>
              <w:rPr>
                <w:rFonts w:ascii="宋体" w:hAnsi="宋体" w:eastAsia="宋体" w:cs="宋体"/>
                <w:color w:val="000000"/>
                <w:sz w:val="21"/>
                <w:szCs w:val="21"/>
              </w:rPr>
              <w:sym w:font="Wingdings" w:char="00A8"/>
            </w:r>
            <w:r>
              <w:rPr>
                <w:rFonts w:ascii="宋体" w:hAnsi="宋体" w:eastAsia="宋体" w:cs="宋体"/>
                <w:color w:val="000000"/>
                <w:sz w:val="21"/>
                <w:szCs w:val="21"/>
              </w:rPr>
              <w:t xml:space="preserve"> 提供，按招标文件第四部分要求。</w:t>
            </w:r>
          </w:p>
        </w:tc>
      </w:tr>
    </w:tbl>
    <w:p>
      <w:pPr>
        <w:pStyle w:val="18"/>
        <w:rPr>
          <w:rFonts w:hint="eastAsia" w:hAnsi="宋体" w:eastAsia="宋体" w:cs="宋体"/>
          <w:b/>
          <w:bCs/>
          <w:color w:val="000000"/>
          <w:lang w:val="zh-TW"/>
        </w:rPr>
      </w:pPr>
      <w:r>
        <w:rPr>
          <w:rFonts w:hint="eastAsia" w:hAnsi="宋体" w:eastAsia="宋体" w:cs="宋体"/>
          <w:b/>
          <w:bCs/>
          <w:color w:val="000000"/>
          <w:lang w:val="zh-TW" w:eastAsia="zh-TW"/>
        </w:rPr>
        <w:t>说明：本前附表是对投标须知的修改、补充和摘要，其内容与投标须知不一致时，以本前附表为准</w:t>
      </w:r>
      <w:r>
        <w:rPr>
          <w:rFonts w:hint="eastAsia" w:hAnsi="宋体" w:eastAsia="宋体" w:cs="宋体"/>
          <w:b/>
          <w:bCs/>
          <w:color w:val="000000"/>
          <w:lang w:val="zh-TW"/>
        </w:rPr>
        <w:t>。</w:t>
      </w:r>
    </w:p>
    <w:p>
      <w:pPr>
        <w:pStyle w:val="95"/>
        <w:spacing w:before="0"/>
        <w:ind w:firstLine="0" w:firstLineChars="0"/>
        <w:rPr>
          <w:rFonts w:hint="eastAsia" w:ascii="宋体" w:hAnsi="宋体" w:eastAsia="宋体" w:cs="宋体"/>
          <w:color w:val="000000"/>
          <w:sz w:val="21"/>
          <w:szCs w:val="21"/>
        </w:rPr>
      </w:pPr>
    </w:p>
    <w:p>
      <w:pPr>
        <w:pStyle w:val="3"/>
        <w:rPr>
          <w:rStyle w:val="63"/>
          <w:rFonts w:hint="eastAsia" w:ascii="宋体" w:hAnsi="宋体" w:cs="宋体"/>
          <w:b/>
          <w:color w:val="000000"/>
          <w:lang w:val="en-US"/>
        </w:rPr>
      </w:pPr>
      <w:r>
        <w:rPr>
          <w:rFonts w:hint="eastAsia" w:ascii="宋体" w:hAnsi="宋体" w:cs="宋体"/>
          <w:color w:val="000000"/>
          <w:szCs w:val="22"/>
        </w:rPr>
        <w:br w:type="page"/>
      </w:r>
      <w:bookmarkStart w:id="40" w:name="_Toc25282"/>
      <w:r>
        <w:rPr>
          <w:rStyle w:val="63"/>
          <w:rFonts w:hint="eastAsia" w:ascii="宋体" w:hAnsi="宋体" w:cs="宋体"/>
          <w:b/>
          <w:color w:val="000000"/>
          <w:lang w:val="en-US"/>
        </w:rPr>
        <w:t>总  则</w:t>
      </w:r>
      <w:bookmarkEnd w:id="3"/>
      <w:bookmarkEnd w:id="40"/>
    </w:p>
    <w:p>
      <w:pPr>
        <w:pStyle w:val="95"/>
        <w:spacing w:before="0"/>
        <w:ind w:firstLine="420"/>
        <w:rPr>
          <w:rFonts w:hint="eastAsia" w:ascii="宋体" w:hAnsi="宋体" w:eastAsia="宋体" w:cs="宋体"/>
          <w:color w:val="000000"/>
          <w:sz w:val="21"/>
          <w:szCs w:val="21"/>
        </w:rPr>
      </w:pPr>
      <w:bookmarkStart w:id="41" w:name="_Hlt74714665"/>
      <w:bookmarkEnd w:id="41"/>
      <w:bookmarkStart w:id="42" w:name="_Hlt74730295"/>
      <w:bookmarkEnd w:id="42"/>
      <w:bookmarkStart w:id="43" w:name="_Hlt74730208"/>
      <w:bookmarkStart w:id="44" w:name="_Hlt74730112"/>
      <w:r>
        <w:rPr>
          <w:rFonts w:hint="eastAsia" w:ascii="宋体" w:hAnsi="宋体" w:eastAsia="宋体" w:cs="宋体"/>
          <w:color w:val="000000"/>
          <w:sz w:val="21"/>
          <w:szCs w:val="21"/>
        </w:rPr>
        <w:t>本次招标工作是按照《中华人民共和国政府采购法》、《中华人民共和国政府采购法实施条例》、《政府采购货物和服务招标投标管理办法》等有关法律、法规、规章、文件的规定组织和实施。采购活动现场组织按照《浙江省政府采购活动现场组织管理办法》浙财采监〔2015〕13号文件和《浙江省政府采购项目电子交易管理暂行办法》浙财采监〔2019〕10号文件执行。</w:t>
      </w:r>
    </w:p>
    <w:p>
      <w:pPr>
        <w:pStyle w:val="4"/>
        <w:rPr>
          <w:rFonts w:hint="eastAsia" w:ascii="宋体" w:hAnsi="宋体" w:cs="宋体"/>
          <w:color w:val="000000"/>
          <w:sz w:val="21"/>
          <w:szCs w:val="21"/>
        </w:rPr>
      </w:pPr>
      <w:r>
        <w:rPr>
          <w:rFonts w:hint="eastAsia" w:ascii="宋体" w:hAnsi="宋体" w:cs="宋体"/>
          <w:color w:val="000000"/>
          <w:sz w:val="21"/>
          <w:szCs w:val="21"/>
        </w:rPr>
        <w:t>适用范围</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 本项目概况详见前附表。</w:t>
      </w:r>
    </w:p>
    <w:p>
      <w:pPr>
        <w:pStyle w:val="95"/>
        <w:spacing w:before="0"/>
        <w:ind w:firstLine="420"/>
        <w:rPr>
          <w:rFonts w:ascii="宋体" w:hAnsi="宋体" w:eastAsia="宋体" w:cs="宋体"/>
          <w:color w:val="000000"/>
          <w:sz w:val="21"/>
          <w:szCs w:val="21"/>
        </w:rPr>
      </w:pPr>
      <w:r>
        <w:rPr>
          <w:rFonts w:hint="eastAsia" w:ascii="宋体" w:hAnsi="宋体" w:eastAsia="宋体" w:cs="宋体"/>
          <w:color w:val="000000"/>
          <w:sz w:val="21"/>
          <w:szCs w:val="21"/>
        </w:rPr>
        <w:t>1.2 本招标文件仅用于本项目。</w:t>
      </w:r>
    </w:p>
    <w:p>
      <w:pPr>
        <w:pStyle w:val="4"/>
        <w:rPr>
          <w:rFonts w:hint="eastAsia" w:ascii="宋体" w:hAnsi="宋体" w:cs="宋体"/>
          <w:color w:val="000000"/>
          <w:sz w:val="21"/>
          <w:szCs w:val="21"/>
        </w:rPr>
      </w:pPr>
      <w:bookmarkStart w:id="45" w:name="_Hlt74730303"/>
      <w:bookmarkStart w:id="46" w:name="_Toc91899877"/>
      <w:r>
        <w:rPr>
          <w:rFonts w:hint="eastAsia" w:ascii="宋体" w:hAnsi="宋体" w:cs="宋体"/>
          <w:color w:val="000000"/>
          <w:sz w:val="21"/>
          <w:szCs w:val="21"/>
          <w:lang w:val="zh-CN"/>
        </w:rPr>
        <w:t>定义</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2.1 </w:t>
      </w:r>
      <w:r>
        <w:rPr>
          <w:rFonts w:hint="eastAsia" w:ascii="宋体" w:hAnsi="宋体" w:eastAsia="宋体" w:cs="宋体"/>
          <w:b/>
          <w:bCs/>
          <w:color w:val="000000"/>
          <w:sz w:val="21"/>
          <w:szCs w:val="21"/>
        </w:rPr>
        <w:t>“采购人”</w:t>
      </w:r>
      <w:r>
        <w:rPr>
          <w:rFonts w:hint="eastAsia" w:ascii="宋体" w:hAnsi="宋体" w:eastAsia="宋体" w:cs="宋体"/>
          <w:color w:val="000000"/>
          <w:sz w:val="21"/>
          <w:szCs w:val="21"/>
        </w:rPr>
        <w:t>：详见前附表。</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2.2 </w:t>
      </w:r>
      <w:r>
        <w:rPr>
          <w:rFonts w:hint="eastAsia" w:ascii="宋体" w:hAnsi="宋体" w:eastAsia="宋体" w:cs="宋体"/>
          <w:b/>
          <w:bCs/>
          <w:color w:val="000000"/>
          <w:sz w:val="21"/>
          <w:szCs w:val="21"/>
        </w:rPr>
        <w:t>“采购代理机构”</w:t>
      </w:r>
      <w:r>
        <w:rPr>
          <w:rFonts w:hint="eastAsia" w:ascii="宋体" w:hAnsi="宋体" w:eastAsia="宋体" w:cs="宋体"/>
          <w:color w:val="000000"/>
          <w:sz w:val="21"/>
          <w:szCs w:val="21"/>
        </w:rPr>
        <w:t>：详见前附表。</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2.3 </w:t>
      </w:r>
      <w:r>
        <w:rPr>
          <w:rFonts w:hint="eastAsia" w:ascii="宋体" w:hAnsi="宋体" w:eastAsia="宋体" w:cs="宋体"/>
          <w:b/>
          <w:bCs/>
          <w:color w:val="000000"/>
          <w:sz w:val="21"/>
          <w:szCs w:val="21"/>
        </w:rPr>
        <w:t>“投标人”</w:t>
      </w:r>
      <w:r>
        <w:rPr>
          <w:rFonts w:hint="eastAsia" w:ascii="宋体" w:hAnsi="宋体" w:eastAsia="宋体" w:cs="宋体"/>
          <w:color w:val="000000"/>
          <w:sz w:val="21"/>
          <w:szCs w:val="21"/>
        </w:rPr>
        <w:t>系指响应招标、参加本次投标竞争的法人、其他组织或自然人。</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2.4 </w:t>
      </w:r>
      <w:r>
        <w:rPr>
          <w:rFonts w:hint="eastAsia" w:ascii="宋体" w:hAnsi="宋体" w:eastAsia="宋体" w:cs="宋体"/>
          <w:b/>
          <w:bCs/>
          <w:color w:val="000000"/>
          <w:sz w:val="21"/>
          <w:szCs w:val="21"/>
        </w:rPr>
        <w:t>“货物”</w:t>
      </w:r>
      <w:r>
        <w:rPr>
          <w:rFonts w:hint="eastAsia" w:ascii="宋体" w:hAnsi="宋体" w:eastAsia="宋体" w:cs="宋体"/>
          <w:color w:val="000000"/>
          <w:sz w:val="21"/>
          <w:szCs w:val="21"/>
        </w:rPr>
        <w:t>系指投标人按招标文件或合同要求，须向采购人提供的一切材料、设备、机械、仪器、备件、配件、工具、手册及其他技术资料和文字材料。</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2.5 </w:t>
      </w:r>
      <w:r>
        <w:rPr>
          <w:rFonts w:hint="eastAsia" w:ascii="宋体" w:hAnsi="宋体" w:eastAsia="宋体" w:cs="宋体"/>
          <w:b/>
          <w:bCs/>
          <w:color w:val="000000"/>
          <w:sz w:val="21"/>
          <w:szCs w:val="21"/>
        </w:rPr>
        <w:t>“服务”</w:t>
      </w:r>
      <w:r>
        <w:rPr>
          <w:rFonts w:hint="eastAsia" w:ascii="宋体" w:hAnsi="宋体" w:eastAsia="宋体" w:cs="宋体"/>
          <w:color w:val="000000"/>
          <w:sz w:val="21"/>
          <w:szCs w:val="21"/>
        </w:rPr>
        <w:t>系指投标人按招标文件或合同要求须承担的相关服务及义务。</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2.6 </w:t>
      </w:r>
      <w:r>
        <w:rPr>
          <w:rFonts w:hint="eastAsia" w:ascii="宋体" w:hAnsi="宋体" w:eastAsia="宋体" w:cs="宋体"/>
          <w:b/>
          <w:bCs/>
          <w:color w:val="000000"/>
          <w:sz w:val="21"/>
          <w:szCs w:val="21"/>
        </w:rPr>
        <w:t>“书面形式”</w:t>
      </w:r>
      <w:r>
        <w:rPr>
          <w:rFonts w:hint="eastAsia" w:ascii="宋体" w:hAnsi="宋体" w:eastAsia="宋体" w:cs="宋体"/>
          <w:color w:val="000000"/>
          <w:sz w:val="21"/>
          <w:szCs w:val="21"/>
        </w:rPr>
        <w:t>包括数据电文形式与纸质形式。数据电文形式与纸质形式的采购活动具有同等法律效力。</w:t>
      </w:r>
    </w:p>
    <w:p>
      <w:pPr>
        <w:pStyle w:val="95"/>
        <w:spacing w:before="0"/>
        <w:ind w:firstLine="420"/>
        <w:rPr>
          <w:rFonts w:hint="eastAsia" w:eastAsia="宋体" w:cs="宋体"/>
          <w:color w:val="000000"/>
          <w:sz w:val="21"/>
          <w:szCs w:val="21"/>
        </w:rPr>
      </w:pPr>
      <w:r>
        <w:rPr>
          <w:rFonts w:hint="eastAsia" w:ascii="宋体" w:hAnsi="宋体" w:eastAsia="宋体" w:cs="宋体"/>
          <w:color w:val="000000"/>
          <w:sz w:val="21"/>
          <w:szCs w:val="21"/>
        </w:rPr>
        <w:t xml:space="preserve">2.7 </w:t>
      </w:r>
      <w:r>
        <w:rPr>
          <w:rFonts w:hint="eastAsia" w:ascii="宋体" w:hAnsi="宋体" w:eastAsia="宋体" w:cs="宋体"/>
          <w:b/>
          <w:bCs/>
          <w:color w:val="000000"/>
          <w:sz w:val="21"/>
          <w:szCs w:val="21"/>
        </w:rPr>
        <w:t>“</w:t>
      </w:r>
      <w:r>
        <w:rPr>
          <w:rFonts w:hint="eastAsia" w:eastAsia="宋体" w:cs="宋体"/>
          <w:b/>
          <w:bCs/>
          <w:color w:val="000000"/>
          <w:sz w:val="21"/>
          <w:szCs w:val="21"/>
        </w:rPr>
        <w:t>电子交易活动</w:t>
      </w:r>
      <w:r>
        <w:rPr>
          <w:rFonts w:hint="eastAsia" w:ascii="宋体" w:hAnsi="宋体" w:eastAsia="宋体" w:cs="宋体"/>
          <w:b/>
          <w:bCs/>
          <w:color w:val="000000"/>
          <w:sz w:val="21"/>
          <w:szCs w:val="21"/>
        </w:rPr>
        <w:t>”</w:t>
      </w:r>
      <w:r>
        <w:rPr>
          <w:rFonts w:hint="eastAsia" w:eastAsia="宋体" w:cs="宋体"/>
          <w:color w:val="000000"/>
          <w:sz w:val="21"/>
          <w:szCs w:val="21"/>
        </w:rPr>
        <w:t>是指以数据电文形式，依托政府采购项目电子交易平台（简称电子交易平台，</w:t>
      </w:r>
      <w:r>
        <w:rPr>
          <w:rFonts w:hint="eastAsia" w:eastAsia="宋体" w:cs="宋体"/>
          <w:b/>
          <w:bCs/>
          <w:color w:val="000000"/>
          <w:sz w:val="21"/>
          <w:szCs w:val="21"/>
        </w:rPr>
        <w:t>详见前附表</w:t>
      </w:r>
      <w:r>
        <w:rPr>
          <w:rFonts w:hint="eastAsia" w:eastAsia="宋体" w:cs="宋体"/>
          <w:color w:val="000000"/>
          <w:sz w:val="21"/>
          <w:szCs w:val="21"/>
        </w:rPr>
        <w:t>）进行的政府采购交易活动。</w:t>
      </w:r>
    </w:p>
    <w:p>
      <w:pPr>
        <w:pStyle w:val="95"/>
        <w:spacing w:before="0"/>
        <w:ind w:firstLine="420"/>
        <w:rPr>
          <w:rFonts w:ascii="宋体" w:hAnsi="宋体" w:eastAsia="宋体" w:cs="宋体"/>
          <w:b/>
          <w:bCs/>
          <w:color w:val="000000"/>
          <w:sz w:val="21"/>
          <w:szCs w:val="21"/>
        </w:rPr>
      </w:pPr>
      <w:r>
        <w:rPr>
          <w:rFonts w:hint="eastAsia" w:ascii="宋体" w:hAnsi="宋体" w:eastAsia="宋体" w:cs="宋体"/>
          <w:color w:val="000000"/>
          <w:sz w:val="21"/>
          <w:szCs w:val="21"/>
        </w:rPr>
        <w:t xml:space="preserve">2.8 </w:t>
      </w:r>
      <w:r>
        <w:rPr>
          <w:rFonts w:hint="eastAsia" w:ascii="宋体" w:hAnsi="宋体" w:eastAsia="宋体" w:cs="宋体"/>
          <w:b/>
          <w:bCs/>
          <w:color w:val="000000"/>
          <w:sz w:val="21"/>
          <w:szCs w:val="21"/>
        </w:rPr>
        <w:t>“</w:t>
      </w:r>
      <w:r>
        <w:rPr>
          <w:rFonts w:hint="eastAsia" w:eastAsia="宋体" w:cs="宋体"/>
          <w:b/>
          <w:bCs/>
          <w:color w:val="000000"/>
          <w:sz w:val="21"/>
          <w:szCs w:val="21"/>
        </w:rPr>
        <w:t>指定信息发布媒体</w:t>
      </w:r>
      <w:r>
        <w:rPr>
          <w:rFonts w:hint="eastAsia" w:ascii="宋体" w:hAnsi="宋体" w:eastAsia="宋体" w:cs="宋体"/>
          <w:b/>
          <w:bCs/>
          <w:color w:val="000000"/>
          <w:sz w:val="21"/>
          <w:szCs w:val="21"/>
        </w:rPr>
        <w:t>”：详见前附表。</w:t>
      </w:r>
    </w:p>
    <w:bookmarkEnd w:id="45"/>
    <w:bookmarkEnd w:id="46"/>
    <w:p>
      <w:pPr>
        <w:pStyle w:val="4"/>
        <w:rPr>
          <w:rFonts w:hint="eastAsia" w:ascii="宋体" w:hAnsi="宋体" w:cs="宋体"/>
          <w:color w:val="000000"/>
          <w:sz w:val="21"/>
          <w:szCs w:val="21"/>
        </w:rPr>
      </w:pPr>
      <w:r>
        <w:rPr>
          <w:rFonts w:hint="eastAsia" w:ascii="宋体" w:hAnsi="宋体" w:cs="宋体"/>
          <w:color w:val="000000"/>
          <w:sz w:val="21"/>
          <w:szCs w:val="21"/>
        </w:rPr>
        <w:t>合格的投标人</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3.1 投标人应当符合前附表中规定的投标人基本资格</w:t>
      </w:r>
      <w:r>
        <w:rPr>
          <w:rFonts w:ascii="宋体" w:hAnsi="宋体" w:eastAsia="宋体" w:cs="宋体"/>
          <w:color w:val="000000"/>
          <w:sz w:val="21"/>
          <w:szCs w:val="21"/>
        </w:rPr>
        <w:t>要求、</w:t>
      </w:r>
      <w:r>
        <w:rPr>
          <w:rFonts w:hint="eastAsia" w:ascii="宋体" w:hAnsi="宋体" w:eastAsia="宋体" w:cs="宋体"/>
          <w:color w:val="000000"/>
          <w:sz w:val="21"/>
          <w:szCs w:val="21"/>
        </w:rPr>
        <w:t>特定资格</w:t>
      </w:r>
      <w:r>
        <w:rPr>
          <w:rFonts w:ascii="宋体" w:hAnsi="宋体" w:eastAsia="宋体" w:cs="宋体"/>
          <w:color w:val="000000"/>
          <w:sz w:val="21"/>
          <w:szCs w:val="21"/>
        </w:rPr>
        <w:t>要求以及为落实政府采购政策所需满足的资格要求</w:t>
      </w:r>
      <w:r>
        <w:rPr>
          <w:rFonts w:hint="eastAsia" w:ascii="宋体" w:hAnsi="宋体" w:eastAsia="宋体" w:cs="宋体"/>
          <w:color w:val="000000"/>
          <w:sz w:val="21"/>
          <w:szCs w:val="21"/>
        </w:rPr>
        <w:t>。</w:t>
      </w:r>
    </w:p>
    <w:p>
      <w:pPr>
        <w:pStyle w:val="95"/>
        <w:spacing w:before="0"/>
        <w:ind w:firstLine="420"/>
        <w:rPr>
          <w:rFonts w:hint="eastAsia" w:ascii="宋体" w:hAnsi="宋体" w:eastAsia="宋体" w:cs="宋体"/>
          <w:b/>
          <w:bCs/>
          <w:color w:val="000000"/>
          <w:sz w:val="21"/>
          <w:szCs w:val="21"/>
        </w:rPr>
      </w:pPr>
      <w:r>
        <w:rPr>
          <w:rFonts w:hint="eastAsia" w:ascii="宋体" w:hAnsi="宋体" w:eastAsia="宋体" w:cs="宋体"/>
          <w:color w:val="000000"/>
          <w:sz w:val="21"/>
          <w:szCs w:val="21"/>
        </w:rPr>
        <w:t>3.2 本项目不接受联合体投标</w:t>
      </w:r>
      <w:r>
        <w:rPr>
          <w:rFonts w:hint="eastAsia" w:ascii="宋体" w:hAnsi="宋体" w:eastAsia="宋体" w:cs="宋体"/>
          <w:b/>
          <w:bCs/>
          <w:color w:val="000000"/>
          <w:sz w:val="21"/>
          <w:szCs w:val="21"/>
        </w:rPr>
        <w:t>。</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3.3 对供应商、采购人员及相关人员的限制：</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（1）单位负责人为同一人或者存在直接控股、管理关系的不同投标人，不得参加同一合同项下的政府采购活动。</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（2）为采购项目提供整体设计、规范编制或者项目管理、监理、检测等服务的投标人，不得再参加该采购项目的其他采购活动。</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列入失信被执行人、重大税收违法案件当事人名单、政府采购严重违法失信行为记录名单及其他不符合《中华人民共和国政府采购法》第二十二条规定条件（联合体形式投标的，联合体成员存在不良信用记录，视同联合体存在不良信用记录）。</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（4）在政府采购活动中，采购人员及相关人员与供应商有下列利害关系之一的，应当回避：</w:t>
      </w:r>
    </w:p>
    <w:p>
      <w:pPr>
        <w:pStyle w:val="95"/>
        <w:spacing w:before="0"/>
        <w:ind w:left="240" w:leftChars="100" w:firstLine="420"/>
        <w:rPr>
          <w:rFonts w:hint="eastAsia" w:ascii="宋体" w:hAnsi="宋体" w:eastAsia="宋体" w:cs="宋体"/>
          <w:color w:val="000000"/>
          <w:sz w:val="21"/>
          <w:szCs w:val="21"/>
        </w:rPr>
      </w:pPr>
      <w:r>
        <w:rPr>
          <w:rFonts w:hint="eastAsia" w:ascii="宋体" w:hAnsi="宋体" w:eastAsia="宋体" w:cs="宋体"/>
          <w:color w:val="000000"/>
          <w:sz w:val="21"/>
          <w:szCs w:val="21"/>
        </w:rPr>
        <w:t>（a）参加采购活动前3年内与供应商存在劳动关系；</w:t>
      </w:r>
    </w:p>
    <w:p>
      <w:pPr>
        <w:pStyle w:val="95"/>
        <w:spacing w:before="0"/>
        <w:ind w:left="240" w:leftChars="100" w:firstLine="420"/>
        <w:rPr>
          <w:rFonts w:hint="eastAsia" w:ascii="宋体" w:hAnsi="宋体" w:eastAsia="宋体" w:cs="宋体"/>
          <w:color w:val="000000"/>
          <w:sz w:val="21"/>
          <w:szCs w:val="21"/>
        </w:rPr>
      </w:pPr>
      <w:r>
        <w:rPr>
          <w:rFonts w:hint="eastAsia" w:ascii="宋体" w:hAnsi="宋体" w:eastAsia="宋体" w:cs="宋体"/>
          <w:color w:val="000000"/>
          <w:sz w:val="21"/>
          <w:szCs w:val="21"/>
        </w:rPr>
        <w:t>（b）参加采购活动前3年内担任供应商的董事、监事；</w:t>
      </w:r>
    </w:p>
    <w:p>
      <w:pPr>
        <w:pStyle w:val="95"/>
        <w:spacing w:before="0"/>
        <w:ind w:left="240" w:leftChars="100" w:firstLine="420"/>
        <w:rPr>
          <w:rFonts w:hint="eastAsia" w:ascii="宋体" w:hAnsi="宋体" w:eastAsia="宋体" w:cs="宋体"/>
          <w:color w:val="000000"/>
          <w:sz w:val="21"/>
          <w:szCs w:val="21"/>
        </w:rPr>
      </w:pPr>
      <w:r>
        <w:rPr>
          <w:rFonts w:hint="eastAsia" w:ascii="宋体" w:hAnsi="宋体" w:eastAsia="宋体" w:cs="宋体"/>
          <w:color w:val="000000"/>
          <w:sz w:val="21"/>
          <w:szCs w:val="21"/>
        </w:rPr>
        <w:t>（c）参加采购活动前3年内是供应商的控股股东或者实际控制人；</w:t>
      </w:r>
    </w:p>
    <w:p>
      <w:pPr>
        <w:pStyle w:val="95"/>
        <w:spacing w:before="0"/>
        <w:ind w:left="240" w:leftChars="100" w:firstLine="420"/>
        <w:rPr>
          <w:rFonts w:hint="eastAsia" w:ascii="宋体" w:hAnsi="宋体" w:eastAsia="宋体" w:cs="宋体"/>
          <w:color w:val="000000"/>
          <w:sz w:val="21"/>
          <w:szCs w:val="21"/>
        </w:rPr>
      </w:pPr>
      <w:r>
        <w:rPr>
          <w:rFonts w:hint="eastAsia" w:ascii="宋体" w:hAnsi="宋体" w:eastAsia="宋体" w:cs="宋体"/>
          <w:color w:val="000000"/>
          <w:sz w:val="21"/>
          <w:szCs w:val="21"/>
        </w:rPr>
        <w:t>（d）与供应商的法定代表人或者负责人有夫妻、直系血亲、三代以内旁系血亲或者近姻亲关系；</w:t>
      </w:r>
    </w:p>
    <w:p>
      <w:pPr>
        <w:pStyle w:val="95"/>
        <w:spacing w:before="0"/>
        <w:ind w:left="240" w:leftChars="100" w:firstLine="420"/>
        <w:rPr>
          <w:rFonts w:hint="eastAsia" w:ascii="宋体" w:hAnsi="宋体" w:eastAsia="宋体" w:cs="宋体"/>
          <w:color w:val="000000"/>
          <w:sz w:val="21"/>
          <w:szCs w:val="21"/>
        </w:rPr>
      </w:pPr>
      <w:r>
        <w:rPr>
          <w:rFonts w:hint="eastAsia" w:ascii="宋体" w:hAnsi="宋体" w:eastAsia="宋体" w:cs="宋体"/>
          <w:color w:val="000000"/>
          <w:sz w:val="21"/>
          <w:szCs w:val="21"/>
        </w:rPr>
        <w:t>（e）与供应商有其他可能影响政府采购活动公平、公正进行的关系。</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bookmarkEnd w:id="43"/>
    <w:bookmarkEnd w:id="44"/>
    <w:p>
      <w:pPr>
        <w:pStyle w:val="4"/>
        <w:rPr>
          <w:rFonts w:hint="eastAsia" w:ascii="宋体" w:hAnsi="宋体" w:cs="宋体"/>
          <w:bCs/>
          <w:color w:val="000000"/>
          <w:sz w:val="21"/>
          <w:szCs w:val="21"/>
        </w:rPr>
      </w:pPr>
      <w:r>
        <w:rPr>
          <w:rFonts w:hint="eastAsia" w:ascii="宋体" w:hAnsi="宋体" w:cs="宋体"/>
          <w:bCs/>
          <w:color w:val="000000"/>
          <w:sz w:val="21"/>
          <w:szCs w:val="21"/>
        </w:rPr>
        <w:t>保密</w:t>
      </w:r>
    </w:p>
    <w:p>
      <w:pPr>
        <w:spacing w:line="360" w:lineRule="auto"/>
        <w:ind w:firstLine="457" w:firstLineChars="218"/>
        <w:rPr>
          <w:rFonts w:hint="eastAsia" w:ascii="宋体" w:hAnsi="宋体" w:eastAsia="宋体" w:cs="宋体"/>
          <w:color w:val="000000"/>
          <w:sz w:val="21"/>
          <w:szCs w:val="21"/>
        </w:rPr>
      </w:pPr>
      <w:r>
        <w:rPr>
          <w:rFonts w:hint="eastAsia" w:ascii="宋体" w:hAnsi="宋体" w:eastAsia="宋体" w:cs="宋体"/>
          <w:color w:val="000000"/>
          <w:sz w:val="21"/>
          <w:szCs w:val="21"/>
        </w:rPr>
        <w:t>参与采购活动的各方应对招标文件和投标文件中的商业和技术等秘密保密，违者应对由此造成的后果承担法律责任。</w:t>
      </w:r>
    </w:p>
    <w:p>
      <w:pPr>
        <w:pStyle w:val="4"/>
        <w:rPr>
          <w:rFonts w:hint="eastAsia" w:ascii="宋体" w:hAnsi="宋体" w:cs="宋体"/>
          <w:color w:val="000000"/>
          <w:sz w:val="21"/>
          <w:szCs w:val="21"/>
        </w:rPr>
      </w:pPr>
      <w:r>
        <w:rPr>
          <w:rFonts w:hint="eastAsia" w:ascii="宋体" w:hAnsi="宋体" w:cs="宋体"/>
          <w:color w:val="000000"/>
          <w:sz w:val="21"/>
          <w:szCs w:val="21"/>
        </w:rPr>
        <w:t>相关说明</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5.1 投标人应自行承担所有参与投标的相关费用，不论投标的结果如何，采购人或者采购代理机构均无义务和责任承担这些费用。</w:t>
      </w:r>
    </w:p>
    <w:p>
      <w:pPr>
        <w:pStyle w:val="19"/>
        <w:ind w:firstLine="420"/>
        <w:rPr>
          <w:rFonts w:hint="eastAsia" w:eastAsia="宋体" w:cs="宋体"/>
          <w:color w:val="000000"/>
          <w:sz w:val="21"/>
          <w:szCs w:val="21"/>
        </w:rPr>
      </w:pPr>
      <w:r>
        <w:rPr>
          <w:rFonts w:hint="eastAsia" w:eastAsia="宋体" w:cs="宋体"/>
          <w:color w:val="000000"/>
          <w:sz w:val="21"/>
          <w:szCs w:val="21"/>
        </w:rPr>
        <w:t xml:space="preserve">5.2 </w:t>
      </w:r>
      <w:r>
        <w:rPr>
          <w:rFonts w:hint="eastAsia" w:eastAsia="宋体" w:cs="宋体"/>
          <w:b/>
          <w:bCs/>
          <w:color w:val="000000"/>
          <w:sz w:val="21"/>
          <w:szCs w:val="21"/>
        </w:rPr>
        <w:t>采购项目需要公开的有关信息，包括招标公告、招标文件澄清或修改公告、中标结果公告等通知，采购代理机构将通过指定信息发布媒体公开。</w:t>
      </w:r>
    </w:p>
    <w:p>
      <w:pPr>
        <w:pStyle w:val="19"/>
        <w:ind w:firstLine="422"/>
        <w:rPr>
          <w:rFonts w:hint="eastAsia" w:eastAsia="宋体" w:cs="宋体"/>
          <w:b/>
          <w:bCs/>
          <w:color w:val="000000"/>
          <w:sz w:val="21"/>
          <w:szCs w:val="21"/>
        </w:rPr>
      </w:pPr>
      <w:r>
        <w:rPr>
          <w:rFonts w:hint="eastAsia" w:eastAsia="宋体" w:cs="宋体"/>
          <w:b/>
          <w:bCs/>
          <w:color w:val="000000"/>
          <w:sz w:val="21"/>
          <w:szCs w:val="21"/>
        </w:rPr>
        <w:t>投标人在参与本项目电子交易活动期间，请及时关注指定信息发布媒体的相关信息，投标人因没有及时关注而未能如期获取相关信息，是投标人的风险，采购人或者采购代理机构对此不承担任何责任。</w:t>
      </w:r>
    </w:p>
    <w:p>
      <w:pPr>
        <w:spacing w:line="360" w:lineRule="auto"/>
        <w:rPr>
          <w:rFonts w:hint="eastAsia" w:ascii="宋体" w:hAnsi="宋体" w:eastAsia="宋体" w:cs="宋体"/>
          <w:color w:val="000000"/>
          <w:szCs w:val="24"/>
        </w:rPr>
      </w:pPr>
    </w:p>
    <w:p>
      <w:pPr>
        <w:pStyle w:val="3"/>
        <w:rPr>
          <w:rFonts w:hint="eastAsia" w:ascii="宋体" w:hAnsi="宋体" w:cs="宋体"/>
          <w:color w:val="000000"/>
        </w:rPr>
      </w:pPr>
      <w:bookmarkStart w:id="47" w:name="_Hlt74707468"/>
      <w:bookmarkEnd w:id="47"/>
      <w:bookmarkStart w:id="48" w:name="_Hlt68072990"/>
      <w:bookmarkEnd w:id="48"/>
      <w:bookmarkStart w:id="49" w:name="_Hlt75236290"/>
      <w:bookmarkEnd w:id="49"/>
      <w:bookmarkStart w:id="50" w:name="_Hlt68057669"/>
      <w:bookmarkEnd w:id="50"/>
      <w:bookmarkStart w:id="51" w:name="_Hlt74729768"/>
      <w:bookmarkEnd w:id="51"/>
      <w:bookmarkStart w:id="52" w:name="_Toc24892"/>
      <w:r>
        <w:rPr>
          <w:rFonts w:hint="eastAsia" w:ascii="宋体" w:hAnsi="宋体" w:cs="宋体"/>
          <w:color w:val="000000"/>
        </w:rPr>
        <w:t>招</w:t>
      </w:r>
      <w:r>
        <w:rPr>
          <w:rFonts w:hint="eastAsia" w:ascii="宋体" w:hAnsi="宋体" w:cs="宋体"/>
          <w:color w:val="000000"/>
          <w:lang w:val="en-US"/>
        </w:rPr>
        <w:t xml:space="preserve">  </w:t>
      </w:r>
      <w:r>
        <w:rPr>
          <w:rFonts w:hint="eastAsia" w:ascii="宋体" w:hAnsi="宋体" w:cs="宋体"/>
          <w:color w:val="000000"/>
        </w:rPr>
        <w:t>标</w:t>
      </w:r>
      <w:bookmarkEnd w:id="52"/>
    </w:p>
    <w:p>
      <w:pPr>
        <w:pStyle w:val="4"/>
        <w:rPr>
          <w:rFonts w:hint="eastAsia" w:ascii="宋体" w:hAnsi="宋体" w:cs="宋体"/>
          <w:color w:val="000000"/>
          <w:sz w:val="21"/>
          <w:szCs w:val="21"/>
        </w:rPr>
      </w:pPr>
      <w:bookmarkStart w:id="53" w:name="_Toc91899880"/>
      <w:bookmarkStart w:id="54" w:name="_Hlt74730307"/>
      <w:r>
        <w:rPr>
          <w:rFonts w:hint="eastAsia" w:ascii="宋体" w:hAnsi="宋体" w:cs="宋体"/>
          <w:color w:val="000000"/>
          <w:sz w:val="21"/>
          <w:szCs w:val="21"/>
        </w:rPr>
        <w:t>招标文件的</w:t>
      </w:r>
      <w:bookmarkEnd w:id="53"/>
      <w:r>
        <w:rPr>
          <w:rFonts w:hint="eastAsia" w:ascii="宋体" w:hAnsi="宋体" w:cs="宋体"/>
          <w:color w:val="000000"/>
          <w:sz w:val="21"/>
          <w:szCs w:val="21"/>
        </w:rPr>
        <w:t>组成</w:t>
      </w:r>
    </w:p>
    <w:bookmarkEnd w:id="54"/>
    <w:p>
      <w:pPr>
        <w:pStyle w:val="23"/>
        <w:spacing w:line="360" w:lineRule="auto"/>
        <w:ind w:firstLine="420" w:firstLineChars="200"/>
        <w:rPr>
          <w:rFonts w:hAnsi="宋体" w:eastAsia="宋体" w:cs="宋体"/>
          <w:color w:val="000000"/>
          <w:sz w:val="21"/>
          <w:szCs w:val="21"/>
        </w:rPr>
      </w:pPr>
      <w:r>
        <w:rPr>
          <w:rFonts w:hint="eastAsia" w:hAnsi="宋体" w:eastAsia="宋体" w:cs="宋体"/>
          <w:color w:val="000000"/>
          <w:sz w:val="21"/>
          <w:szCs w:val="21"/>
        </w:rPr>
        <w:t>6.1 招标文件包括下列内容</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 xml:space="preserve">第一部分 </w:t>
      </w:r>
      <w:r>
        <w:rPr>
          <w:rFonts w:hAnsi="宋体" w:eastAsia="宋体" w:cs="宋体"/>
          <w:color w:val="000000"/>
          <w:sz w:val="21"/>
          <w:szCs w:val="21"/>
        </w:rPr>
        <w:t>招标</w:t>
      </w:r>
      <w:r>
        <w:rPr>
          <w:rFonts w:hint="eastAsia" w:hAnsi="宋体" w:eastAsia="宋体" w:cs="宋体"/>
          <w:color w:val="000000"/>
          <w:sz w:val="21"/>
          <w:szCs w:val="21"/>
        </w:rPr>
        <w:t>公告</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第二部分 投标须知</w:t>
      </w:r>
    </w:p>
    <w:p>
      <w:pPr>
        <w:pStyle w:val="23"/>
        <w:spacing w:line="360" w:lineRule="auto"/>
        <w:ind w:firstLine="420" w:firstLineChars="200"/>
        <w:rPr>
          <w:rFonts w:hAnsi="宋体" w:eastAsia="宋体" w:cs="宋体"/>
          <w:color w:val="000000"/>
          <w:sz w:val="21"/>
          <w:szCs w:val="21"/>
        </w:rPr>
      </w:pPr>
      <w:r>
        <w:rPr>
          <w:rFonts w:hint="eastAsia" w:hAnsi="宋体" w:eastAsia="宋体" w:cs="宋体"/>
          <w:color w:val="000000"/>
          <w:sz w:val="21"/>
          <w:szCs w:val="21"/>
        </w:rPr>
        <w:t>第三部分 评标办法及标准</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第四部分 采购需求</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第五部分 合同条款</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第六部分 投标文件格式</w:t>
      </w:r>
    </w:p>
    <w:p>
      <w:pPr>
        <w:pStyle w:val="23"/>
        <w:spacing w:line="360" w:lineRule="auto"/>
        <w:ind w:firstLine="420" w:firstLineChars="200"/>
        <w:rPr>
          <w:rFonts w:hAnsi="宋体" w:eastAsia="宋体" w:cs="宋体"/>
          <w:color w:val="000000"/>
          <w:sz w:val="21"/>
          <w:szCs w:val="21"/>
        </w:rPr>
      </w:pPr>
      <w:r>
        <w:rPr>
          <w:rFonts w:hint="eastAsia" w:hAnsi="宋体" w:eastAsia="宋体" w:cs="宋体"/>
          <w:color w:val="000000"/>
          <w:sz w:val="21"/>
          <w:szCs w:val="21"/>
        </w:rPr>
        <w:t>6.2 按本须知规定对招标文件所做的澄清或者修改，构成招标文件的组成部分。</w:t>
      </w:r>
    </w:p>
    <w:p>
      <w:pPr>
        <w:pStyle w:val="23"/>
        <w:spacing w:line="360" w:lineRule="auto"/>
        <w:ind w:firstLine="422" w:firstLineChars="200"/>
        <w:rPr>
          <w:rFonts w:hint="eastAsia" w:hAnsi="宋体" w:eastAsia="宋体" w:cs="宋体"/>
          <w:b/>
          <w:bCs/>
          <w:color w:val="000000"/>
          <w:sz w:val="21"/>
          <w:szCs w:val="21"/>
        </w:rPr>
      </w:pPr>
      <w:r>
        <w:rPr>
          <w:rFonts w:hint="eastAsia" w:hAnsi="宋体" w:eastAsia="宋体" w:cs="宋体"/>
          <w:b/>
          <w:bCs/>
          <w:color w:val="000000"/>
          <w:sz w:val="21"/>
          <w:szCs w:val="21"/>
        </w:rPr>
        <w:t>特别提示：</w:t>
      </w:r>
      <w:r>
        <w:rPr>
          <w:rFonts w:hint="eastAsia" w:hAnsi="宋体" w:eastAsia="宋体" w:cs="宋体"/>
          <w:color w:val="000000"/>
          <w:sz w:val="21"/>
          <w:szCs w:val="21"/>
        </w:rPr>
        <w:t>投标人应认真审阅招标文件中所有的内容，</w:t>
      </w:r>
      <w:r>
        <w:rPr>
          <w:rFonts w:hint="eastAsia" w:hAnsi="宋体" w:eastAsia="宋体" w:cs="宋体"/>
          <w:b/>
          <w:bCs/>
          <w:color w:val="000000"/>
          <w:sz w:val="21"/>
          <w:szCs w:val="21"/>
        </w:rPr>
        <w:t>如果投标人编制的投标文件没有从实质上响应招标文件的要求，其投标文件将被拒绝。</w:t>
      </w:r>
    </w:p>
    <w:p>
      <w:pPr>
        <w:pStyle w:val="4"/>
        <w:rPr>
          <w:rFonts w:hint="eastAsia" w:ascii="宋体" w:hAnsi="宋体" w:cs="宋体"/>
          <w:color w:val="000000"/>
          <w:sz w:val="21"/>
          <w:szCs w:val="21"/>
        </w:rPr>
      </w:pPr>
      <w:r>
        <w:rPr>
          <w:rFonts w:hint="eastAsia" w:ascii="宋体" w:hAnsi="宋体" w:cs="宋体"/>
          <w:color w:val="000000"/>
          <w:sz w:val="21"/>
          <w:szCs w:val="21"/>
        </w:rPr>
        <w:t>招标文件的获取和询问</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7.1 招标文件提供期限自开始发出之日起不少于五个工作日。</w:t>
      </w:r>
    </w:p>
    <w:p>
      <w:pPr>
        <w:pStyle w:val="23"/>
        <w:spacing w:line="360" w:lineRule="auto"/>
        <w:ind w:firstLine="420" w:firstLineChars="200"/>
        <w:rPr>
          <w:rFonts w:hAnsi="宋体" w:eastAsia="宋体" w:cs="宋体"/>
          <w:b/>
          <w:bCs/>
          <w:color w:val="000000"/>
          <w:sz w:val="21"/>
          <w:szCs w:val="21"/>
        </w:rPr>
      </w:pPr>
      <w:r>
        <w:rPr>
          <w:rFonts w:hint="eastAsia" w:hAnsi="宋体" w:eastAsia="宋体" w:cs="宋体"/>
          <w:color w:val="000000"/>
          <w:sz w:val="21"/>
          <w:szCs w:val="21"/>
        </w:rPr>
        <w:t>7.2 凡符合资格要求并有意参加投标的投标人,登录电子交易平台申请免费获取招标文件，采购代理机构不再收取任何招标文件费用。</w:t>
      </w:r>
      <w:r>
        <w:rPr>
          <w:rFonts w:hint="eastAsia" w:hAnsi="宋体" w:eastAsia="宋体" w:cs="宋体"/>
          <w:b/>
          <w:bCs/>
          <w:color w:val="000000"/>
          <w:sz w:val="21"/>
          <w:szCs w:val="21"/>
        </w:rPr>
        <w:t>获取方式及获取状态详见前附表。</w:t>
      </w:r>
    </w:p>
    <w:p>
      <w:pPr>
        <w:pStyle w:val="23"/>
        <w:spacing w:line="360" w:lineRule="auto"/>
        <w:ind w:firstLine="420" w:firstLineChars="200"/>
        <w:rPr>
          <w:rFonts w:hint="eastAsia" w:hAnsi="宋体" w:eastAsia="宋体" w:cs="宋体"/>
          <w:b/>
          <w:bCs/>
          <w:color w:val="000000"/>
          <w:sz w:val="21"/>
          <w:szCs w:val="21"/>
        </w:rPr>
      </w:pPr>
      <w:r>
        <w:rPr>
          <w:rFonts w:hint="eastAsia" w:hAnsi="宋体" w:eastAsia="宋体" w:cs="宋体"/>
          <w:color w:val="000000"/>
          <w:sz w:val="21"/>
          <w:szCs w:val="21"/>
        </w:rPr>
        <w:t xml:space="preserve">7.3 </w:t>
      </w:r>
      <w:r>
        <w:rPr>
          <w:rFonts w:hint="eastAsia" w:hAnsi="宋体" w:eastAsia="宋体" w:cs="宋体"/>
          <w:b/>
          <w:bCs/>
          <w:color w:val="000000"/>
          <w:sz w:val="21"/>
          <w:szCs w:val="21"/>
        </w:rPr>
        <w:t>未按规定获取的招标文件视为非依法获取。</w:t>
      </w:r>
    </w:p>
    <w:p>
      <w:pPr>
        <w:pStyle w:val="23"/>
        <w:spacing w:line="360" w:lineRule="auto"/>
        <w:ind w:firstLine="420" w:firstLineChars="200"/>
        <w:rPr>
          <w:rFonts w:hAnsi="宋体" w:eastAsia="宋体" w:cs="宋体"/>
          <w:color w:val="000000"/>
          <w:sz w:val="21"/>
          <w:szCs w:val="21"/>
        </w:rPr>
      </w:pPr>
      <w:r>
        <w:rPr>
          <w:rFonts w:hint="eastAsia" w:hAnsi="宋体" w:eastAsia="宋体" w:cs="宋体"/>
          <w:color w:val="000000"/>
          <w:sz w:val="21"/>
          <w:szCs w:val="21"/>
        </w:rPr>
        <w:t>7.4 潜在投标人获取招标文件后，对招标文件有疑问的，可以向采购人和采购代理机构提出询问。询问函送达方式同质疑函送达方式。</w:t>
      </w:r>
    </w:p>
    <w:p>
      <w:pPr>
        <w:pStyle w:val="4"/>
        <w:rPr>
          <w:rFonts w:hint="eastAsia" w:ascii="宋体" w:hAnsi="宋体" w:cs="宋体"/>
          <w:color w:val="000000"/>
          <w:sz w:val="21"/>
          <w:szCs w:val="21"/>
        </w:rPr>
      </w:pPr>
      <w:r>
        <w:rPr>
          <w:rFonts w:hint="eastAsia" w:ascii="宋体" w:hAnsi="宋体" w:cs="宋体"/>
          <w:color w:val="000000"/>
          <w:sz w:val="21"/>
          <w:szCs w:val="21"/>
        </w:rPr>
        <w:t>招标文件的澄清或者修改</w:t>
      </w:r>
    </w:p>
    <w:p>
      <w:pPr>
        <w:spacing w:line="360" w:lineRule="auto"/>
        <w:ind w:firstLine="420" w:firstLineChars="200"/>
        <w:rPr>
          <w:rFonts w:hint="eastAsia" w:ascii="宋体" w:hAnsi="宋体" w:eastAsia="宋体" w:cs="宋体"/>
          <w:color w:val="000000"/>
          <w:sz w:val="21"/>
          <w:szCs w:val="21"/>
        </w:rPr>
      </w:pPr>
      <w:bookmarkStart w:id="55" w:name="_Toc91899884"/>
      <w:r>
        <w:rPr>
          <w:rFonts w:hint="eastAsia" w:ascii="宋体" w:hAnsi="宋体" w:eastAsia="宋体" w:cs="宋体"/>
          <w:color w:val="000000"/>
          <w:sz w:val="21"/>
          <w:szCs w:val="21"/>
        </w:rPr>
        <w:t>8.1 采购人或者采购代理机构可以对已发出的招标文件进行必要的澄清或者修改，</w:t>
      </w:r>
      <w:r>
        <w:rPr>
          <w:rFonts w:hint="eastAsia" w:ascii="宋体" w:hAnsi="宋体" w:eastAsia="宋体" w:cs="宋体"/>
          <w:b/>
          <w:bCs/>
          <w:color w:val="000000"/>
          <w:sz w:val="21"/>
          <w:szCs w:val="21"/>
        </w:rPr>
        <w:t>但不得改变采购标的和资格条件。</w:t>
      </w:r>
      <w:r>
        <w:rPr>
          <w:rFonts w:hint="eastAsia" w:ascii="宋体" w:hAnsi="宋体" w:eastAsia="宋体" w:cs="宋体"/>
          <w:color w:val="000000"/>
          <w:sz w:val="21"/>
          <w:szCs w:val="21"/>
        </w:rPr>
        <w:t>澄清或者修改应当在原公告发布媒体上发布澄清公告。</w:t>
      </w:r>
      <w:r>
        <w:rPr>
          <w:rFonts w:hint="eastAsia" w:ascii="宋体" w:hAnsi="宋体" w:eastAsia="宋体" w:cs="宋体"/>
          <w:b/>
          <w:bCs/>
          <w:color w:val="000000"/>
          <w:sz w:val="21"/>
          <w:szCs w:val="21"/>
        </w:rPr>
        <w:t>澄清或者修改的内容为招标文件的组成部分。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spacing w:line="360" w:lineRule="auto"/>
        <w:ind w:firstLine="420" w:firstLineChars="200"/>
        <w:rPr>
          <w:rFonts w:hint="eastAsia" w:ascii="宋体" w:hAnsi="宋体" w:eastAsia="宋体" w:cs="宋体"/>
          <w:b/>
          <w:bCs/>
          <w:color w:val="000000"/>
          <w:sz w:val="21"/>
          <w:szCs w:val="21"/>
        </w:rPr>
      </w:pPr>
      <w:r>
        <w:rPr>
          <w:rFonts w:hint="eastAsia" w:ascii="宋体" w:hAnsi="宋体" w:eastAsia="宋体" w:cs="宋体"/>
          <w:color w:val="000000"/>
          <w:sz w:val="21"/>
          <w:szCs w:val="21"/>
        </w:rPr>
        <w:t xml:space="preserve">8.3 </w:t>
      </w:r>
      <w:r>
        <w:rPr>
          <w:rFonts w:hint="eastAsia" w:ascii="宋体" w:hAnsi="宋体" w:eastAsia="宋体" w:cs="宋体"/>
          <w:b/>
          <w:bCs/>
          <w:color w:val="000000"/>
          <w:sz w:val="21"/>
          <w:szCs w:val="21"/>
        </w:rPr>
        <w:t>招标文件与招标文件的澄清、修改、补充通知就同一内容的表述不一致时，以最后发出的为准。</w:t>
      </w:r>
    </w:p>
    <w:p>
      <w:pPr>
        <w:pStyle w:val="4"/>
        <w:rPr>
          <w:rFonts w:hint="eastAsia" w:ascii="宋体" w:hAnsi="宋体" w:cs="宋体"/>
          <w:color w:val="000000"/>
          <w:sz w:val="21"/>
          <w:szCs w:val="21"/>
        </w:rPr>
      </w:pPr>
      <w:r>
        <w:rPr>
          <w:rFonts w:hint="eastAsia" w:ascii="宋体" w:hAnsi="宋体" w:cs="宋体"/>
          <w:color w:val="000000"/>
          <w:sz w:val="21"/>
          <w:szCs w:val="21"/>
        </w:rPr>
        <w:t>答疑会或现场踏勘</w:t>
      </w:r>
    </w:p>
    <w:p>
      <w:pPr>
        <w:pStyle w:val="95"/>
        <w:spacing w:before="0"/>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9.1 采购人视采购项目的具体情况，如果采购人组织潜在投标人现场踏勘或者召开开标前答疑会的，潜在投标人按前附表的规定参加现场踏勘或者开标前答疑会。</w:t>
      </w:r>
      <w:r>
        <w:rPr>
          <w:rFonts w:hint="eastAsia" w:ascii="宋体" w:hAnsi="宋体" w:eastAsia="宋体" w:cs="宋体"/>
          <w:b/>
          <w:bCs/>
          <w:color w:val="000000"/>
          <w:kern w:val="0"/>
          <w:sz w:val="21"/>
          <w:szCs w:val="21"/>
        </w:rPr>
        <w:t>采购人不单独或分别组织只有一个供应商参加的</w:t>
      </w:r>
      <w:r>
        <w:rPr>
          <w:rFonts w:hint="eastAsia" w:ascii="宋体" w:hAnsi="宋体" w:eastAsia="宋体" w:cs="宋体"/>
          <w:b/>
          <w:bCs/>
          <w:color w:val="000000"/>
          <w:sz w:val="21"/>
          <w:szCs w:val="21"/>
          <w:lang w:val="zh-TW"/>
        </w:rPr>
        <w:t>答疑会或现场踏勘</w:t>
      </w:r>
      <w:r>
        <w:rPr>
          <w:rFonts w:hint="eastAsia" w:ascii="宋体" w:hAnsi="宋体" w:eastAsia="宋体" w:cs="宋体"/>
          <w:b/>
          <w:bCs/>
          <w:color w:val="000000"/>
          <w:kern w:val="0"/>
          <w:sz w:val="21"/>
          <w:szCs w:val="21"/>
        </w:rPr>
        <w:t>。</w:t>
      </w:r>
    </w:p>
    <w:p>
      <w:pPr>
        <w:pStyle w:val="4"/>
        <w:rPr>
          <w:rFonts w:hint="eastAsia" w:ascii="宋体" w:hAnsi="宋体" w:cs="宋体"/>
          <w:color w:val="000000"/>
          <w:sz w:val="21"/>
          <w:szCs w:val="21"/>
        </w:rPr>
      </w:pPr>
      <w:r>
        <w:rPr>
          <w:rFonts w:hint="eastAsia" w:ascii="宋体" w:hAnsi="宋体" w:cs="宋体"/>
          <w:color w:val="000000"/>
          <w:sz w:val="21"/>
          <w:szCs w:val="21"/>
        </w:rPr>
        <w:t>终止招标</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采购人、采购代理机构在发布招标公告后，</w:t>
      </w:r>
      <w:r>
        <w:rPr>
          <w:rFonts w:hint="eastAsia" w:ascii="宋体" w:hAnsi="宋体" w:eastAsia="宋体" w:cs="宋体"/>
          <w:b/>
          <w:bCs/>
          <w:color w:val="000000"/>
          <w:sz w:val="21"/>
          <w:szCs w:val="21"/>
        </w:rPr>
        <w:t>除因重大变故采购任务取消情况外</w:t>
      </w:r>
      <w:r>
        <w:rPr>
          <w:rFonts w:hint="eastAsia" w:ascii="宋体" w:hAnsi="宋体" w:eastAsia="宋体" w:cs="宋体"/>
          <w:color w:val="000000"/>
          <w:sz w:val="21"/>
          <w:szCs w:val="21"/>
        </w:rPr>
        <w:t>，不得擅自终止招标活动。终止招标的，采购人或者采购代理机构应当及时在原公告发布媒体上发布终止公告，以书面形式通知已经获取招标文件的潜在投标人，并将项目实施情况和采购任务取消原因报告本级财政部门。</w:t>
      </w:r>
    </w:p>
    <w:p>
      <w:pPr>
        <w:pStyle w:val="19"/>
        <w:ind w:firstLine="420"/>
        <w:rPr>
          <w:rFonts w:hint="eastAsia"/>
          <w:color w:val="000000"/>
          <w:sz w:val="21"/>
          <w:szCs w:val="21"/>
        </w:rPr>
      </w:pPr>
    </w:p>
    <w:p>
      <w:pPr>
        <w:pStyle w:val="3"/>
        <w:rPr>
          <w:rFonts w:hint="eastAsia" w:ascii="宋体" w:hAnsi="宋体" w:cs="宋体"/>
          <w:color w:val="000000"/>
        </w:rPr>
      </w:pPr>
      <w:bookmarkStart w:id="56" w:name="_Toc14860"/>
      <w:r>
        <w:rPr>
          <w:rFonts w:hint="eastAsia" w:ascii="宋体" w:hAnsi="宋体" w:cs="宋体"/>
          <w:color w:val="000000"/>
        </w:rPr>
        <w:t>投</w:t>
      </w:r>
      <w:r>
        <w:rPr>
          <w:rFonts w:hint="eastAsia" w:ascii="宋体" w:hAnsi="宋体" w:cs="宋体"/>
          <w:color w:val="000000"/>
          <w:lang w:val="en-US"/>
        </w:rPr>
        <w:t xml:space="preserve">  </w:t>
      </w:r>
      <w:r>
        <w:rPr>
          <w:rFonts w:hint="eastAsia" w:ascii="宋体" w:hAnsi="宋体" w:cs="宋体"/>
          <w:color w:val="000000"/>
        </w:rPr>
        <w:t>标</w:t>
      </w:r>
      <w:bookmarkEnd w:id="55"/>
      <w:bookmarkEnd w:id="56"/>
    </w:p>
    <w:p>
      <w:pPr>
        <w:pStyle w:val="4"/>
        <w:rPr>
          <w:rFonts w:hint="eastAsia" w:ascii="宋体" w:hAnsi="宋体" w:cs="宋体"/>
          <w:color w:val="000000"/>
          <w:sz w:val="21"/>
          <w:szCs w:val="21"/>
        </w:rPr>
      </w:pPr>
      <w:r>
        <w:rPr>
          <w:rFonts w:hint="eastAsia" w:ascii="宋体" w:hAnsi="宋体" w:cs="宋体"/>
          <w:color w:val="000000"/>
          <w:sz w:val="21"/>
          <w:szCs w:val="21"/>
        </w:rPr>
        <w:t>投标语言和计量单位</w:t>
      </w:r>
    </w:p>
    <w:p>
      <w:pPr>
        <w:pStyle w:val="95"/>
        <w:spacing w:before="0"/>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 投标语言：除专用术语外，投标人提交的投标文件及投标人与采购代理机构就有关投标的所有来往函电均使用中文。投标人可以提交其他语言的资料，但应附有中文注释，有差异时以中文为准。</w:t>
      </w:r>
    </w:p>
    <w:p>
      <w:pPr>
        <w:pStyle w:val="95"/>
        <w:spacing w:before="0"/>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 计量单位：所有计量均采用中华人民共和国法定计量单位。</w:t>
      </w:r>
    </w:p>
    <w:p>
      <w:pPr>
        <w:pStyle w:val="4"/>
        <w:rPr>
          <w:rFonts w:hint="eastAsia" w:ascii="宋体" w:hAnsi="宋体" w:cs="宋体"/>
          <w:color w:val="000000"/>
          <w:sz w:val="21"/>
          <w:szCs w:val="21"/>
        </w:rPr>
      </w:pPr>
      <w:r>
        <w:rPr>
          <w:rFonts w:hint="eastAsia" w:ascii="宋体" w:hAnsi="宋体" w:cs="宋体"/>
          <w:color w:val="000000"/>
          <w:sz w:val="21"/>
          <w:szCs w:val="21"/>
        </w:rPr>
        <w:t>投标文件的组成</w:t>
      </w:r>
    </w:p>
    <w:p>
      <w:pPr>
        <w:pStyle w:val="95"/>
        <w:spacing w:before="0"/>
        <w:ind w:firstLine="420"/>
        <w:rPr>
          <w:rFonts w:hint="eastAsia" w:ascii="宋体" w:hAnsi="宋体" w:eastAsia="宋体" w:cs="宋体"/>
          <w:b/>
          <w:color w:val="000000"/>
          <w:sz w:val="21"/>
          <w:szCs w:val="21"/>
        </w:rPr>
      </w:pPr>
      <w:r>
        <w:rPr>
          <w:rFonts w:hint="eastAsia" w:ascii="宋体" w:hAnsi="宋体" w:eastAsia="宋体" w:cs="宋体"/>
          <w:color w:val="000000"/>
          <w:kern w:val="0"/>
          <w:sz w:val="21"/>
          <w:szCs w:val="21"/>
        </w:rPr>
        <w:t>投标文件由</w:t>
      </w:r>
      <w:r>
        <w:rPr>
          <w:rFonts w:hint="eastAsia" w:ascii="宋体" w:hAnsi="宋体" w:eastAsia="宋体" w:cs="宋体"/>
          <w:b/>
          <w:bCs/>
          <w:color w:val="000000"/>
          <w:kern w:val="0"/>
          <w:sz w:val="21"/>
          <w:szCs w:val="21"/>
        </w:rPr>
        <w:t>资格文件、</w:t>
      </w:r>
      <w:r>
        <w:rPr>
          <w:rFonts w:hint="eastAsia" w:ascii="宋体" w:hAnsi="宋体" w:eastAsia="宋体" w:cs="宋体"/>
          <w:b/>
          <w:color w:val="000000"/>
          <w:sz w:val="21"/>
          <w:szCs w:val="21"/>
        </w:rPr>
        <w:t>商务技术文件、报价文件三部分组成，具体内容如下：</w:t>
      </w:r>
    </w:p>
    <w:p>
      <w:pPr>
        <w:spacing w:line="360" w:lineRule="auto"/>
        <w:ind w:firstLine="420" w:firstLineChars="200"/>
        <w:outlineLvl w:val="3"/>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zh-CN"/>
        </w:rPr>
        <w:t xml:space="preserve"> </w:t>
      </w:r>
      <w:r>
        <w:rPr>
          <w:rFonts w:hint="eastAsia" w:ascii="宋体" w:hAnsi="宋体" w:eastAsia="宋体" w:cs="宋体"/>
          <w:b/>
          <w:bCs/>
          <w:color w:val="000000"/>
          <w:kern w:val="0"/>
          <w:sz w:val="21"/>
          <w:szCs w:val="21"/>
          <w:lang w:val="zh-CN"/>
        </w:rPr>
        <w:t>资格文件</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（1）投标人的营业执照；</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（2）财务状况报告，依法缴纳税收和社会保障资金的相关材料；</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（3）投标人资格声明；</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（4）采购项目有特殊要求的，投标人还应当提供其符合特殊要求的证明材料或者情况说明。</w:t>
      </w:r>
    </w:p>
    <w:p>
      <w:pPr>
        <w:spacing w:line="360" w:lineRule="auto"/>
        <w:ind w:firstLine="420" w:firstLineChars="200"/>
        <w:outlineLvl w:val="3"/>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zh-CN"/>
        </w:rPr>
        <w:t>.2</w:t>
      </w:r>
      <w:r>
        <w:rPr>
          <w:rFonts w:hint="eastAsia" w:ascii="宋体" w:hAnsi="宋体" w:eastAsia="宋体" w:cs="宋体"/>
          <w:color w:val="000000"/>
          <w:kern w:val="0"/>
          <w:sz w:val="21"/>
          <w:szCs w:val="21"/>
        </w:rPr>
        <w:t xml:space="preserve"> </w:t>
      </w:r>
      <w:r>
        <w:rPr>
          <w:rFonts w:hint="eastAsia" w:ascii="宋体" w:hAnsi="宋体" w:eastAsia="宋体" w:cs="宋体"/>
          <w:b/>
          <w:color w:val="000000"/>
          <w:kern w:val="0"/>
          <w:sz w:val="21"/>
          <w:szCs w:val="21"/>
          <w:lang w:val="zh-CN"/>
        </w:rPr>
        <w:t>商务技术文件</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（1）法人授权委托书；</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（2）法定代表人及其授权代表的身份证（复印件）；</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（3）声明书；</w:t>
      </w:r>
    </w:p>
    <w:p>
      <w:pPr>
        <w:pStyle w:val="210"/>
        <w:adjustRightInd/>
        <w:spacing w:line="360" w:lineRule="auto"/>
        <w:ind w:left="240" w:leftChars="100"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（4）采购需求响应；</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（5）采购需求偏离说明表；</w:t>
      </w:r>
    </w:p>
    <w:p>
      <w:pPr>
        <w:pStyle w:val="210"/>
        <w:adjustRightInd/>
        <w:spacing w:line="360" w:lineRule="auto"/>
        <w:ind w:left="240" w:leftChars="100"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（6）合同条款偏离说明表；</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（7）廉政承诺书；</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（8）关于对招标文件中有关条款的拒绝声明（如有）；</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（9）投标人认为需要的其他材料。</w:t>
      </w:r>
    </w:p>
    <w:p>
      <w:pPr>
        <w:spacing w:line="360" w:lineRule="auto"/>
        <w:ind w:firstLine="420" w:firstLineChars="200"/>
        <w:outlineLvl w:val="3"/>
        <w:rPr>
          <w:rFonts w:hint="eastAsia" w:ascii="宋体" w:hAnsi="宋体" w:eastAsia="宋体" w:cs="宋体"/>
          <w:color w:val="000000"/>
          <w:sz w:val="21"/>
          <w:szCs w:val="21"/>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zh-CN"/>
        </w:rPr>
        <w:t xml:space="preserve"> </w:t>
      </w:r>
      <w:r>
        <w:rPr>
          <w:rFonts w:hint="eastAsia" w:ascii="宋体" w:hAnsi="宋体" w:eastAsia="宋体" w:cs="宋体"/>
          <w:b/>
          <w:color w:val="000000"/>
          <w:sz w:val="21"/>
          <w:szCs w:val="21"/>
        </w:rPr>
        <w:t>报价文件</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（1）投标响应函；</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（2）开标一览表（报价表）；</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（3）分项报价表或报价明细表；</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（4）享受政府采购政策优惠的证明资料（如有）；</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（5）交纳采购代理服务费承诺书。</w:t>
      </w:r>
    </w:p>
    <w:p>
      <w:pPr>
        <w:spacing w:line="360" w:lineRule="auto"/>
        <w:ind w:firstLine="420" w:firstLineChars="200"/>
        <w:outlineLvl w:val="3"/>
        <w:rPr>
          <w:rFonts w:hint="eastAsia" w:ascii="宋体" w:hAnsi="宋体" w:eastAsia="宋体" w:cs="宋体"/>
          <w:b/>
          <w:color w:val="000000"/>
          <w:sz w:val="21"/>
          <w:szCs w:val="21"/>
        </w:rPr>
      </w:pPr>
      <w:r>
        <w:rPr>
          <w:rFonts w:hint="eastAsia" w:ascii="宋体" w:hAnsi="宋体" w:eastAsia="宋体" w:cs="宋体"/>
          <w:color w:val="000000"/>
          <w:kern w:val="0"/>
          <w:sz w:val="21"/>
          <w:szCs w:val="21"/>
        </w:rPr>
        <w:t>12</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4</w:t>
      </w:r>
      <w:r>
        <w:rPr>
          <w:rFonts w:hint="eastAsia" w:ascii="宋体" w:hAnsi="宋体" w:eastAsia="宋体" w:cs="宋体"/>
          <w:b/>
          <w:color w:val="000000"/>
          <w:sz w:val="21"/>
          <w:szCs w:val="21"/>
        </w:rPr>
        <w:t>投标文件的编制</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12.4.1“电子加密投标文件”：</w:t>
      </w:r>
    </w:p>
    <w:p>
      <w:pPr>
        <w:pStyle w:val="210"/>
        <w:adjustRightInd/>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（1）“电子加密投标文件”是指通过“政采云电子交易客户端”完成投标文件编制后生成并加密的数据电文形式的投标文件。</w:t>
      </w:r>
    </w:p>
    <w:p>
      <w:pPr>
        <w:pStyle w:val="210"/>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（2）供应商应先安装“政采云电子交易客户端”，并按照本招标文件和“政府采购云平台”的要求，通过“政采云电子交易客户端”编制并加密投标文件。</w:t>
      </w:r>
    </w:p>
    <w:p>
      <w:pPr>
        <w:pStyle w:val="210"/>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12.4.2“电子备份投标文件”：</w:t>
      </w:r>
    </w:p>
    <w:p>
      <w:pPr>
        <w:pStyle w:val="210"/>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（1）“电子备份投标文件”是指与“电子加密投标文件”同时生成的数据电文形式的电子文件。</w:t>
      </w:r>
    </w:p>
    <w:p>
      <w:pPr>
        <w:pStyle w:val="210"/>
        <w:spacing w:line="360" w:lineRule="auto"/>
        <w:ind w:left="240" w:leftChars="10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（2）供应商可自主选择是否编制“电子备份投标文件”。</w:t>
      </w:r>
    </w:p>
    <w:p>
      <w:pPr>
        <w:pStyle w:val="210"/>
        <w:spacing w:line="360" w:lineRule="auto"/>
        <w:ind w:left="240" w:leftChars="100" w:firstLine="420"/>
        <w:rPr>
          <w:rFonts w:hint="eastAsia" w:eastAsia="宋体" w:cs="宋体"/>
          <w:b/>
          <w:bCs/>
          <w:color w:val="000000"/>
          <w:sz w:val="21"/>
          <w:szCs w:val="21"/>
        </w:rPr>
      </w:pPr>
      <w:r>
        <w:rPr>
          <w:rFonts w:hint="eastAsia" w:ascii="宋体" w:hAnsi="宋体" w:eastAsia="宋体" w:cs="宋体"/>
          <w:color w:val="000000"/>
          <w:sz w:val="21"/>
          <w:szCs w:val="21"/>
        </w:rPr>
        <w:t>（3）其他方式编制的备份投标文件视为无效备份投标文件。</w:t>
      </w:r>
    </w:p>
    <w:p>
      <w:pPr>
        <w:pStyle w:val="19"/>
        <w:ind w:firstLine="422"/>
        <w:rPr>
          <w:rFonts w:hint="eastAsia"/>
          <w:color w:val="000000"/>
        </w:rPr>
      </w:pPr>
      <w:r>
        <w:rPr>
          <w:rFonts w:hint="eastAsia" w:eastAsia="宋体" w:cs="宋体"/>
          <w:b/>
          <w:bCs/>
          <w:color w:val="000000"/>
          <w:sz w:val="21"/>
          <w:szCs w:val="21"/>
        </w:rPr>
        <w:t>特别提示：投标人应仔细阅读招标文件（包括澄清或者修改）的所有内容，按照要求提交投标文件，并对所提交的全部资料的真实性承担法律责任。投标人在投标活动中提交虚假材料的，其投标无效，其行为将依法上报监管部门进行查处，追究其法律责任。</w:t>
      </w:r>
    </w:p>
    <w:p>
      <w:pPr>
        <w:pStyle w:val="4"/>
        <w:rPr>
          <w:rFonts w:hint="eastAsia" w:ascii="宋体" w:hAnsi="宋体" w:cs="宋体"/>
          <w:color w:val="000000"/>
          <w:sz w:val="21"/>
          <w:szCs w:val="21"/>
        </w:rPr>
      </w:pPr>
      <w:r>
        <w:rPr>
          <w:rFonts w:hint="eastAsia" w:ascii="宋体" w:hAnsi="宋体" w:cs="宋体"/>
          <w:color w:val="000000"/>
          <w:sz w:val="21"/>
          <w:szCs w:val="21"/>
        </w:rPr>
        <w:t>投标报价</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13.1 报价要求</w:t>
      </w:r>
    </w:p>
    <w:p>
      <w:pPr>
        <w:pStyle w:val="95"/>
        <w:spacing w:before="0"/>
        <w:ind w:firstLine="420"/>
        <w:rPr>
          <w:rFonts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投标人的报价应按招标文件规定的采购需求、合同条款等内容以及可能发生的各项成本费用进行报价，应包括但不限于为成功完成本项目投标人的各项成本支出、合理的利润、应交纳的税金等，以及为完成本项目所可能发生的全部费用。</w:t>
      </w:r>
      <w:r>
        <w:rPr>
          <w:rFonts w:ascii="宋体" w:hAnsi="宋体" w:eastAsia="宋体" w:cs="宋体"/>
          <w:b/>
          <w:bCs/>
          <w:snapToGrid w:val="0"/>
          <w:color w:val="000000"/>
          <w:kern w:val="0"/>
          <w:sz w:val="21"/>
          <w:szCs w:val="21"/>
        </w:rPr>
        <w:t>投标总价中不得包含招标文件要求以外的内容。否则，在评标时不予核减。</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13.2 招标文件未列明，而投标人认为必需的费用也需列入报价。</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13.3 投标文件中价格全部采用人民币报价。</w:t>
      </w:r>
    </w:p>
    <w:p>
      <w:pPr>
        <w:pStyle w:val="95"/>
        <w:spacing w:before="0"/>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13.4 报价应是唯一的，不接受有选择的报价。否则，其投标无效。</w:t>
      </w:r>
    </w:p>
    <w:p>
      <w:pPr>
        <w:pStyle w:val="18"/>
        <w:autoSpaceDE/>
        <w:autoSpaceDN/>
        <w:adjustRightInd/>
        <w:ind w:firstLine="422" w:firstLineChars="200"/>
        <w:rPr>
          <w:rFonts w:hint="eastAsia" w:hAnsi="宋体" w:eastAsia="宋体" w:cs="宋体"/>
          <w:b/>
          <w:bCs/>
          <w:color w:val="000000"/>
          <w:sz w:val="21"/>
          <w:szCs w:val="21"/>
          <w:lang w:val="en-US"/>
        </w:rPr>
      </w:pPr>
      <w:r>
        <w:rPr>
          <w:rFonts w:hint="eastAsia" w:hAnsi="宋体" w:eastAsia="宋体" w:cs="宋体"/>
          <w:b/>
          <w:bCs/>
          <w:color w:val="000000"/>
          <w:sz w:val="21"/>
          <w:szCs w:val="21"/>
          <w:lang w:val="en-US"/>
        </w:rPr>
        <w:t>13.5 采购人可以在采购预算额度内合理设定最高限价。投标人的投标报价不得超过采购项目最高限价，否则，其投标无效。</w:t>
      </w:r>
    </w:p>
    <w:p>
      <w:pPr>
        <w:pStyle w:val="18"/>
        <w:autoSpaceDE/>
        <w:autoSpaceDN/>
        <w:adjustRightInd/>
        <w:ind w:firstLine="422" w:firstLineChars="200"/>
        <w:rPr>
          <w:rFonts w:hint="eastAsia" w:hAnsi="宋体" w:eastAsia="宋体" w:cs="宋体"/>
          <w:b/>
          <w:bCs/>
          <w:color w:val="000000"/>
          <w:sz w:val="21"/>
          <w:szCs w:val="21"/>
          <w:lang w:val="en-US"/>
        </w:rPr>
      </w:pPr>
      <w:r>
        <w:rPr>
          <w:rFonts w:hint="eastAsia" w:hAnsi="宋体" w:eastAsia="宋体" w:cs="宋体"/>
          <w:b/>
          <w:bCs/>
          <w:color w:val="000000"/>
          <w:sz w:val="21"/>
          <w:szCs w:val="21"/>
          <w:lang w:val="en-US"/>
        </w:rPr>
        <w:t>13.6 采购人不接受投标人给予的赠品、回扣或者与采购无关的其他商品、服务。报价不得出现赠送（或零报价），否则，其投标无效。</w:t>
      </w:r>
    </w:p>
    <w:p>
      <w:pPr>
        <w:pStyle w:val="4"/>
        <w:rPr>
          <w:rFonts w:hint="eastAsia" w:ascii="宋体" w:hAnsi="宋体" w:cs="宋体"/>
          <w:color w:val="000000"/>
          <w:sz w:val="21"/>
          <w:szCs w:val="21"/>
        </w:rPr>
      </w:pPr>
      <w:r>
        <w:rPr>
          <w:rFonts w:hint="eastAsia" w:ascii="宋体" w:hAnsi="宋体" w:cs="宋体"/>
          <w:color w:val="000000"/>
          <w:sz w:val="21"/>
          <w:szCs w:val="21"/>
        </w:rPr>
        <w:t>投标有效期</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本项目投标有效期详见前附表。</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投标有效期从提交投标文件的截止之日起算。投标文件中承诺的投标有效期应当不少于招标文件中载明的投标有效期。</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在原定投标有效期之前，如果出现特殊情况，采购代理机构可以以纸质形式通知投标人延长投标有效期。</w:t>
      </w:r>
    </w:p>
    <w:p>
      <w:pPr>
        <w:pStyle w:val="4"/>
        <w:rPr>
          <w:rFonts w:hint="eastAsia" w:ascii="宋体" w:hAnsi="宋体" w:cs="宋体"/>
          <w:color w:val="000000"/>
          <w:sz w:val="21"/>
          <w:szCs w:val="21"/>
        </w:rPr>
      </w:pPr>
      <w:r>
        <w:rPr>
          <w:rFonts w:hint="eastAsia" w:ascii="宋体" w:hAnsi="宋体" w:cs="宋体"/>
          <w:color w:val="000000"/>
          <w:sz w:val="21"/>
          <w:szCs w:val="21"/>
        </w:rPr>
        <w:t>投标保证金</w:t>
      </w:r>
    </w:p>
    <w:p>
      <w:pPr>
        <w:pStyle w:val="95"/>
        <w:spacing w:before="0"/>
        <w:ind w:firstLine="420"/>
        <w:rPr>
          <w:rFonts w:hint="eastAsia" w:ascii="宋体" w:hAnsi="宋体" w:eastAsia="宋体" w:cs="宋体"/>
          <w:b/>
          <w:bCs/>
          <w:color w:val="000000"/>
          <w:sz w:val="21"/>
          <w:szCs w:val="21"/>
        </w:rPr>
      </w:pPr>
      <w:r>
        <w:rPr>
          <w:rFonts w:hint="eastAsia" w:ascii="宋体" w:hAnsi="宋体" w:eastAsia="宋体" w:cs="宋体"/>
          <w:color w:val="000000"/>
          <w:sz w:val="21"/>
          <w:szCs w:val="21"/>
        </w:rPr>
        <w:t>15.1 本项目不要求提交投标保证金。</w:t>
      </w:r>
    </w:p>
    <w:p>
      <w:pPr>
        <w:pStyle w:val="4"/>
        <w:rPr>
          <w:rFonts w:hint="eastAsia" w:ascii="宋体" w:hAnsi="宋体" w:cs="宋体"/>
          <w:color w:val="000000"/>
          <w:sz w:val="21"/>
          <w:szCs w:val="21"/>
        </w:rPr>
      </w:pPr>
      <w:r>
        <w:rPr>
          <w:rFonts w:hint="eastAsia" w:ascii="宋体" w:hAnsi="宋体" w:cs="宋体"/>
          <w:color w:val="000000"/>
          <w:sz w:val="21"/>
          <w:szCs w:val="21"/>
        </w:rPr>
        <w:t>分包</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本项目不允许分包</w:t>
      </w:r>
      <w:r>
        <w:rPr>
          <w:rFonts w:hint="eastAsia" w:ascii="宋体" w:hAnsi="宋体" w:eastAsia="宋体" w:cs="宋体"/>
          <w:b/>
          <w:bCs/>
          <w:color w:val="000000"/>
          <w:sz w:val="21"/>
          <w:szCs w:val="21"/>
        </w:rPr>
        <w:t>。</w:t>
      </w:r>
    </w:p>
    <w:p>
      <w:pPr>
        <w:pStyle w:val="4"/>
        <w:rPr>
          <w:rFonts w:hint="eastAsia" w:ascii="宋体" w:hAnsi="宋体" w:cs="宋体"/>
          <w:color w:val="000000"/>
          <w:sz w:val="21"/>
          <w:szCs w:val="21"/>
        </w:rPr>
      </w:pPr>
      <w:bookmarkStart w:id="57" w:name="_Toc91899887"/>
      <w:r>
        <w:rPr>
          <w:rFonts w:hint="eastAsia" w:ascii="宋体" w:hAnsi="宋体" w:cs="宋体"/>
          <w:color w:val="000000"/>
          <w:sz w:val="21"/>
          <w:szCs w:val="21"/>
        </w:rPr>
        <w:t>投标文件的编制要求</w:t>
      </w:r>
    </w:p>
    <w:p>
      <w:pPr>
        <w:spacing w:line="360" w:lineRule="auto"/>
        <w:ind w:firstLine="422" w:firstLineChars="200"/>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17.1 投标文件的编制</w:t>
      </w:r>
    </w:p>
    <w:p>
      <w:pPr>
        <w:spacing w:line="360" w:lineRule="auto"/>
        <w:ind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投标人应仔细阅读招标文件（包括澄清或者修改）的所有内容。投标人应当按照招标文件的要求编制投标文件。投标文件应当对招标文件提出的要求和条件作出明确响应。投标人应对所提交的全部资料的真实性承担法律责任。</w:t>
      </w:r>
    </w:p>
    <w:p>
      <w:pPr>
        <w:spacing w:line="360" w:lineRule="auto"/>
        <w:ind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（2）投标人应准确设置评审关联点。未设置或设置错误导致投标文件被误读、漏读或者查找不到相关内容的，是投标人的责任。</w:t>
      </w:r>
    </w:p>
    <w:p>
      <w:pPr>
        <w:spacing w:line="360" w:lineRule="auto"/>
        <w:ind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（3）投标文件所提供的相关材料的尺寸和清晰度应该能够在电脑上被阅读、识别和判断。投标文件内容无法阅读、识别和判断的，视为未提供。</w:t>
      </w:r>
    </w:p>
    <w:p>
      <w:pPr>
        <w:spacing w:line="360" w:lineRule="auto"/>
        <w:ind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（4）投标人编制投标文件过程中，资格文件和商务技术文件部分不得出现本项目投标报价，如因投标人原因提前泄露投标报价，是投标人的责任。</w:t>
      </w:r>
    </w:p>
    <w:p>
      <w:pPr>
        <w:spacing w:line="360" w:lineRule="auto"/>
        <w:ind w:firstLine="422" w:firstLineChars="200"/>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17.2 投标文件的签署、盖章</w:t>
      </w:r>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17.2.1 为确保网上操作合法、有效和安全，投标人应当在投标截止时间前，完成电子交易平台上的身份认证，并对相关数据电文使用电子签名。</w:t>
      </w:r>
    </w:p>
    <w:p>
      <w:pPr>
        <w:spacing w:line="360" w:lineRule="auto"/>
        <w:ind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（1）投标人</w:t>
      </w:r>
      <w:r>
        <w:rPr>
          <w:rFonts w:hint="eastAsia" w:ascii="宋体" w:hAnsi="宋体" w:eastAsia="宋体" w:cs="宋体"/>
          <w:b/>
          <w:bCs/>
          <w:color w:val="000000"/>
          <w:sz w:val="21"/>
          <w:szCs w:val="21"/>
        </w:rPr>
        <w:t>应按照招标文件的要求，使用</w:t>
      </w:r>
      <w:r>
        <w:rPr>
          <w:rFonts w:hint="eastAsia" w:ascii="宋体" w:hAnsi="宋体" w:eastAsia="宋体" w:cs="宋体"/>
          <w:b/>
          <w:bCs/>
          <w:color w:val="000000"/>
          <w:kern w:val="0"/>
          <w:sz w:val="21"/>
          <w:szCs w:val="21"/>
        </w:rPr>
        <w:t>电子交易平台CA数字证书对投标文件进行电子签章。</w:t>
      </w:r>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（2）电子交易平台CA数字证书仅限于本单位在电子交易活动中使用，不得转让和出借。</w:t>
      </w:r>
    </w:p>
    <w:p>
      <w:pPr>
        <w:spacing w:line="360" w:lineRule="auto"/>
        <w:ind w:firstLine="422" w:firstLineChars="200"/>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17.2.2 投标人应按招标文件第六部分的规定签署、盖章。</w:t>
      </w:r>
    </w:p>
    <w:p>
      <w:pPr>
        <w:spacing w:line="360" w:lineRule="auto"/>
        <w:ind w:firstLine="422" w:firstLineChars="200"/>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17.3 投标文件的加密</w:t>
      </w:r>
    </w:p>
    <w:p>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本项目实行电子交易。</w:t>
      </w:r>
      <w:r>
        <w:rPr>
          <w:rFonts w:hint="eastAsia" w:ascii="宋体" w:hAnsi="宋体" w:eastAsia="宋体" w:cs="宋体"/>
          <w:b/>
          <w:color w:val="000000"/>
          <w:sz w:val="21"/>
          <w:szCs w:val="21"/>
        </w:rPr>
        <w:t>投标人获取招标文件后，应下载电子交易客户端、申请及绑定CA数字证书，并按照招标文件和电子交易平台的要求编制并加密投标文件。未按规定加密的投标文件，电子交易平台将拒收。</w:t>
      </w:r>
    </w:p>
    <w:bookmarkEnd w:id="57"/>
    <w:p>
      <w:pPr>
        <w:pStyle w:val="4"/>
        <w:rPr>
          <w:rFonts w:hint="eastAsia" w:ascii="宋体" w:hAnsi="宋体" w:cs="宋体"/>
          <w:color w:val="000000"/>
          <w:sz w:val="21"/>
          <w:szCs w:val="21"/>
        </w:rPr>
      </w:pPr>
      <w:r>
        <w:rPr>
          <w:rFonts w:hint="eastAsia" w:ascii="宋体" w:hAnsi="宋体" w:cs="宋体"/>
          <w:color w:val="000000"/>
          <w:sz w:val="21"/>
          <w:szCs w:val="21"/>
        </w:rPr>
        <w:t>备份投标文件</w:t>
      </w:r>
    </w:p>
    <w:p>
      <w:pPr>
        <w:pStyle w:val="95"/>
        <w:adjustRightInd w:val="0"/>
        <w:spacing w:before="0"/>
        <w:ind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18.1 备份投标文件是指与电子交易平台上传的电子投标文件同时生成的备份文件，其他方式编制的备份投标文件视为无效的备份投标文件。</w:t>
      </w:r>
    </w:p>
    <w:p>
      <w:pPr>
        <w:pStyle w:val="95"/>
        <w:adjustRightInd w:val="0"/>
        <w:spacing w:before="0"/>
        <w:ind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18.2 通过电子交易平台完成传输递交的投标文件已按时解密的，备份投标文件自动失效。</w:t>
      </w:r>
    </w:p>
    <w:p>
      <w:pPr>
        <w:pStyle w:val="95"/>
        <w:adjustRightInd w:val="0"/>
        <w:spacing w:before="0"/>
        <w:ind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18.3 备份投标文件不是投标备选方案。</w:t>
      </w:r>
    </w:p>
    <w:p>
      <w:pPr>
        <w:pStyle w:val="4"/>
        <w:jc w:val="left"/>
        <w:rPr>
          <w:rFonts w:hint="eastAsia" w:ascii="宋体" w:hAnsi="宋体" w:cs="宋体"/>
          <w:color w:val="000000"/>
          <w:sz w:val="21"/>
          <w:szCs w:val="21"/>
        </w:rPr>
      </w:pPr>
      <w:r>
        <w:rPr>
          <w:rFonts w:hint="eastAsia" w:ascii="宋体" w:hAnsi="宋体" w:cs="宋体"/>
          <w:color w:val="000000"/>
          <w:sz w:val="21"/>
          <w:szCs w:val="21"/>
        </w:rPr>
        <w:t>投标文件的递交</w:t>
      </w:r>
    </w:p>
    <w:p>
      <w:pPr>
        <w:pStyle w:val="144"/>
        <w:widowControl w:val="0"/>
        <w:spacing w:line="360" w:lineRule="auto"/>
        <w:ind w:firstLine="482"/>
        <w:rPr>
          <w:rFonts w:hint="default" w:ascii="宋体" w:hAnsi="宋体" w:eastAsia="宋体" w:cs="宋体"/>
          <w:b/>
          <w:color w:val="000000"/>
          <w:sz w:val="21"/>
          <w:szCs w:val="21"/>
        </w:rPr>
      </w:pPr>
      <w:r>
        <w:rPr>
          <w:rFonts w:ascii="宋体" w:hAnsi="宋体" w:eastAsia="宋体" w:cs="宋体"/>
          <w:bCs/>
          <w:color w:val="000000"/>
          <w:sz w:val="21"/>
          <w:szCs w:val="21"/>
        </w:rPr>
        <w:t>19.1 投标人应当在招标文件要求提交投标文件的截止时间前，通过电子交易平台完成传投标文件的传输递交。</w:t>
      </w:r>
      <w:r>
        <w:rPr>
          <w:rFonts w:ascii="宋体" w:hAnsi="宋体" w:eastAsia="宋体" w:cs="宋体"/>
          <w:b/>
          <w:color w:val="000000"/>
          <w:sz w:val="21"/>
          <w:szCs w:val="21"/>
        </w:rPr>
        <w:t>投标截止时间前未完成传输递交的，视为撤回投标文件。</w:t>
      </w:r>
    </w:p>
    <w:p>
      <w:pPr>
        <w:pStyle w:val="144"/>
        <w:widowControl w:val="0"/>
        <w:spacing w:line="360" w:lineRule="auto"/>
        <w:ind w:firstLine="482"/>
        <w:rPr>
          <w:rFonts w:hint="default" w:ascii="宋体" w:hAnsi="宋体" w:eastAsia="宋体" w:cs="宋体"/>
          <w:bCs/>
          <w:color w:val="000000"/>
          <w:sz w:val="21"/>
          <w:szCs w:val="21"/>
        </w:rPr>
      </w:pPr>
      <w:r>
        <w:rPr>
          <w:rFonts w:ascii="宋体" w:hAnsi="宋体" w:eastAsia="宋体" w:cs="宋体"/>
          <w:bCs/>
          <w:color w:val="000000"/>
          <w:sz w:val="21"/>
          <w:szCs w:val="21"/>
        </w:rPr>
        <w:t>19.2 备份投标文件的递交：见前附表。</w:t>
      </w:r>
    </w:p>
    <w:p>
      <w:pPr>
        <w:pStyle w:val="144"/>
        <w:widowControl w:val="0"/>
        <w:spacing w:line="360" w:lineRule="auto"/>
        <w:ind w:firstLine="482"/>
        <w:rPr>
          <w:rFonts w:hint="default" w:ascii="宋体" w:hAnsi="宋体" w:eastAsia="宋体" w:cs="宋体"/>
          <w:b/>
          <w:color w:val="000000"/>
          <w:sz w:val="21"/>
          <w:szCs w:val="21"/>
        </w:rPr>
      </w:pPr>
      <w:r>
        <w:rPr>
          <w:rFonts w:ascii="宋体" w:hAnsi="宋体" w:eastAsia="宋体" w:cs="宋体"/>
          <w:b/>
          <w:color w:val="000000"/>
          <w:sz w:val="21"/>
          <w:szCs w:val="21"/>
        </w:rPr>
        <w:t>19.3 投标截止时间前，投标人仅递交了备份投标文件而未完成传投标文件的传输递交的，投标无效。</w:t>
      </w:r>
    </w:p>
    <w:p>
      <w:pPr>
        <w:pStyle w:val="4"/>
        <w:rPr>
          <w:rFonts w:hint="eastAsia" w:ascii="宋体" w:hAnsi="宋体" w:cs="宋体"/>
          <w:color w:val="000000"/>
          <w:sz w:val="21"/>
          <w:szCs w:val="21"/>
        </w:rPr>
      </w:pPr>
      <w:r>
        <w:rPr>
          <w:rFonts w:hint="eastAsia" w:ascii="宋体" w:hAnsi="宋体" w:cs="宋体"/>
          <w:color w:val="000000"/>
          <w:sz w:val="21"/>
          <w:szCs w:val="21"/>
        </w:rPr>
        <w:t>投标文件修改与撤回</w:t>
      </w:r>
    </w:p>
    <w:p>
      <w:pPr>
        <w:pStyle w:val="95"/>
        <w:spacing w:before="0"/>
        <w:ind w:firstLine="420"/>
        <w:rPr>
          <w:rFonts w:hint="eastAsia" w:ascii="宋体" w:hAnsi="宋体" w:eastAsia="宋体" w:cs="宋体"/>
          <w:b/>
          <w:bCs/>
          <w:color w:val="000000"/>
          <w:sz w:val="21"/>
          <w:szCs w:val="21"/>
        </w:rPr>
      </w:pPr>
      <w:r>
        <w:rPr>
          <w:rFonts w:hint="eastAsia" w:ascii="宋体" w:hAnsi="宋体" w:eastAsia="宋体" w:cs="宋体"/>
          <w:color w:val="000000"/>
          <w:sz w:val="21"/>
          <w:szCs w:val="21"/>
        </w:rPr>
        <w:t>20.1 投标人在投标截止时间前，可以对所递交的投标文件进行补充、修改或者撤回。</w:t>
      </w:r>
      <w:r>
        <w:rPr>
          <w:rFonts w:hint="eastAsia" w:ascii="宋体" w:hAnsi="宋体" w:eastAsia="宋体" w:cs="宋体"/>
          <w:b/>
          <w:bCs/>
          <w:color w:val="000000"/>
          <w:sz w:val="21"/>
          <w:szCs w:val="21"/>
        </w:rPr>
        <w:t>补充或者修改投标文件的，应当先行撤回原文件，补充、修改后重新传输递交</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投标截止时间前未完成传输的，视为撤回投标文件。</w:t>
      </w:r>
    </w:p>
    <w:p>
      <w:pPr>
        <w:pStyle w:val="95"/>
        <w:spacing w:before="0"/>
        <w:ind w:firstLine="420"/>
        <w:rPr>
          <w:rFonts w:ascii="宋体" w:hAnsi="宋体" w:eastAsia="宋体" w:cs="宋体"/>
          <w:b/>
          <w:bCs/>
          <w:color w:val="000000"/>
          <w:sz w:val="21"/>
          <w:szCs w:val="21"/>
        </w:rPr>
      </w:pPr>
      <w:r>
        <w:rPr>
          <w:rFonts w:hint="eastAsia" w:ascii="宋体" w:hAnsi="宋体" w:eastAsia="宋体" w:cs="宋体"/>
          <w:color w:val="000000"/>
          <w:sz w:val="21"/>
          <w:szCs w:val="21"/>
        </w:rPr>
        <w:t xml:space="preserve">20.2 </w:t>
      </w:r>
      <w:r>
        <w:rPr>
          <w:rFonts w:hint="eastAsia" w:ascii="宋体" w:hAnsi="宋体" w:eastAsia="宋体" w:cs="宋体"/>
          <w:b/>
          <w:bCs/>
          <w:color w:val="000000"/>
          <w:sz w:val="21"/>
          <w:szCs w:val="21"/>
        </w:rPr>
        <w:t>当招标文件发生实质性澄清、修改后，投标人须根据最新招标文件重新制作投标文件并再次完成传输递交。</w:t>
      </w:r>
    </w:p>
    <w:p>
      <w:pPr>
        <w:pStyle w:val="95"/>
        <w:spacing w:before="0"/>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20.3 投标截止时间后，投标人不得撤销已递交的投标文件。</w:t>
      </w:r>
    </w:p>
    <w:p>
      <w:pPr>
        <w:pStyle w:val="4"/>
        <w:rPr>
          <w:rFonts w:hint="eastAsia" w:ascii="宋体" w:hAnsi="宋体" w:cs="宋体"/>
          <w:color w:val="000000"/>
          <w:sz w:val="21"/>
          <w:szCs w:val="21"/>
        </w:rPr>
      </w:pPr>
      <w:bookmarkStart w:id="58" w:name="_Toc91899892"/>
      <w:r>
        <w:rPr>
          <w:rFonts w:hint="eastAsia" w:ascii="宋体" w:hAnsi="宋体" w:cs="宋体"/>
          <w:color w:val="000000"/>
          <w:sz w:val="21"/>
          <w:szCs w:val="21"/>
        </w:rPr>
        <w:t>投标文件的拒收</w:t>
      </w:r>
    </w:p>
    <w:p>
      <w:pPr>
        <w:pStyle w:val="95"/>
        <w:adjustRightInd w:val="0"/>
        <w:spacing w:before="0"/>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21.1 逾期递交的投标文件将拒收；</w:t>
      </w:r>
    </w:p>
    <w:p>
      <w:pPr>
        <w:pStyle w:val="95"/>
        <w:adjustRightInd w:val="0"/>
        <w:spacing w:before="0"/>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21.2 逾期送达或者未按照招标文件要求密封的备份投标文件将被拒收。</w:t>
      </w:r>
    </w:p>
    <w:p>
      <w:pPr>
        <w:pStyle w:val="4"/>
        <w:rPr>
          <w:rFonts w:hint="eastAsia" w:ascii="宋体" w:hAnsi="宋体" w:cs="宋体"/>
          <w:color w:val="000000"/>
          <w:sz w:val="21"/>
          <w:szCs w:val="21"/>
        </w:rPr>
      </w:pPr>
      <w:r>
        <w:rPr>
          <w:rFonts w:hint="eastAsia" w:ascii="宋体" w:hAnsi="宋体" w:cs="宋体"/>
          <w:color w:val="000000"/>
          <w:sz w:val="21"/>
          <w:szCs w:val="21"/>
        </w:rPr>
        <w:t>串通投标行为</w:t>
      </w:r>
    </w:p>
    <w:p>
      <w:pPr>
        <w:pStyle w:val="95"/>
        <w:adjustRightInd w:val="0"/>
        <w:spacing w:before="0"/>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22.1有下列情形之一的，属于恶意串通，对投标人依照政府采购法第七十七条第一款的规定追究法律责任：</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（1）投标人直接或者间接从采购人或者采购代理机构处获得其他投标人的相关情况并修改其投标文件；</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（2）投标人按照采购人或者采购代理机构的授意撤换、修改投标文件；</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（3）投标人之间协商报价、技术方案等投标文件的实质性内容；</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（4）属于同一集团、协会、商会等组织成员的投标人按照该组织要求协同参加政府采购活动；</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（5）投标人之间事先约定由某一特定投标人中标；</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（6）投标人之间商定部分投标人放弃参加政府采购活动或者放弃中标；</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（7）投标人与采购人或者采购代理机构之间、投标人相互之间，为谋求特定投标人中标或者排斥其他投标人的其他串通行为。</w:t>
      </w:r>
    </w:p>
    <w:p>
      <w:pPr>
        <w:pStyle w:val="95"/>
        <w:adjustRightInd w:val="0"/>
        <w:spacing w:before="0"/>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22.2有下列情形之一的，视为投标人串通投标，其投标无效：</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（1）不同投标人的投标文件由同一单位或者个人编制；</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（2）不同投标人委托同一单位或者个人办理投标事宜；</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（3）不同投标人的投标文件载明的项目管理成员或者联系人员为同一人；</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（4）不同投标人的投标文件异常一致或者投标报价呈规律性差异；</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（5）不同投标人的投标文件相互混装；</w:t>
      </w:r>
    </w:p>
    <w:p>
      <w:pPr>
        <w:pStyle w:val="95"/>
        <w:adjustRightIn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（6）不同投标人的投标保证金从同一单位或者个人的账户转出。</w:t>
      </w:r>
    </w:p>
    <w:p>
      <w:pPr>
        <w:pStyle w:val="95"/>
        <w:adjustRightInd w:val="0"/>
        <w:spacing w:before="0"/>
        <w:ind w:firstLine="422"/>
        <w:rPr>
          <w:rFonts w:hint="eastAsia" w:ascii="宋体" w:hAnsi="宋体" w:eastAsia="宋体" w:cs="宋体"/>
          <w:b/>
          <w:bCs/>
          <w:color w:val="000000"/>
          <w:sz w:val="21"/>
          <w:szCs w:val="21"/>
        </w:rPr>
      </w:pPr>
    </w:p>
    <w:bookmarkEnd w:id="58"/>
    <w:p>
      <w:pPr>
        <w:pStyle w:val="3"/>
        <w:rPr>
          <w:rFonts w:hint="eastAsia" w:ascii="宋体" w:hAnsi="宋体" w:cs="宋体"/>
          <w:color w:val="000000"/>
        </w:rPr>
      </w:pPr>
      <w:bookmarkStart w:id="59" w:name="_Toc91899897"/>
      <w:bookmarkStart w:id="60" w:name="_Toc12308"/>
      <w:r>
        <w:rPr>
          <w:rFonts w:hint="eastAsia" w:ascii="宋体" w:hAnsi="宋体" w:cs="宋体"/>
          <w:color w:val="000000"/>
        </w:rPr>
        <w:t>开标</w:t>
      </w:r>
      <w:bookmarkEnd w:id="59"/>
      <w:r>
        <w:rPr>
          <w:rFonts w:hint="eastAsia" w:ascii="宋体" w:hAnsi="宋体" w:cs="宋体"/>
          <w:color w:val="000000"/>
        </w:rPr>
        <w:t>、</w:t>
      </w:r>
      <w:r>
        <w:rPr>
          <w:rFonts w:hint="eastAsia" w:ascii="宋体" w:hAnsi="宋体" w:cs="宋体"/>
          <w:color w:val="000000"/>
          <w:lang w:val="en-US"/>
        </w:rPr>
        <w:t>评标</w:t>
      </w:r>
      <w:bookmarkEnd w:id="60"/>
    </w:p>
    <w:p>
      <w:pPr>
        <w:pStyle w:val="4"/>
        <w:rPr>
          <w:rFonts w:hint="eastAsia" w:ascii="宋体" w:hAnsi="宋体" w:cs="宋体"/>
          <w:color w:val="000000"/>
          <w:sz w:val="21"/>
          <w:szCs w:val="21"/>
        </w:rPr>
      </w:pPr>
      <w:r>
        <w:rPr>
          <w:rFonts w:hint="eastAsia" w:ascii="宋体" w:hAnsi="宋体" w:cs="宋体"/>
          <w:color w:val="000000"/>
          <w:sz w:val="21"/>
          <w:szCs w:val="21"/>
        </w:rPr>
        <w:t>开评标现场组织</w:t>
      </w:r>
    </w:p>
    <w:p>
      <w:pPr>
        <w:pStyle w:val="208"/>
        <w:spacing w:before="0" w:line="360" w:lineRule="auto"/>
        <w:ind w:left="0" w:firstLine="420" w:firstLineChars="200"/>
        <w:rPr>
          <w:rFonts w:hint="eastAsia" w:ascii="宋体" w:hAnsi="宋体" w:cs="宋体"/>
          <w:b/>
          <w:bCs/>
          <w:color w:val="000000"/>
          <w:sz w:val="21"/>
          <w:szCs w:val="21"/>
        </w:rPr>
      </w:pPr>
      <w:r>
        <w:rPr>
          <w:rFonts w:hint="eastAsia" w:ascii="宋体" w:hAnsi="宋体" w:cs="宋体"/>
          <w:color w:val="000000"/>
          <w:sz w:val="21"/>
          <w:szCs w:val="21"/>
        </w:rPr>
        <w:t xml:space="preserve">23.1 </w:t>
      </w:r>
      <w:r>
        <w:rPr>
          <w:rFonts w:ascii="宋体" w:hAnsi="宋体" w:cs="宋体"/>
          <w:color w:val="000000"/>
          <w:sz w:val="21"/>
          <w:szCs w:val="21"/>
        </w:rPr>
        <w:t>采购</w:t>
      </w:r>
      <w:r>
        <w:rPr>
          <w:rFonts w:hint="eastAsia" w:ascii="宋体" w:hAnsi="宋体" w:cs="宋体"/>
          <w:color w:val="000000"/>
          <w:sz w:val="21"/>
          <w:szCs w:val="21"/>
        </w:rPr>
        <w:t>代理</w:t>
      </w:r>
      <w:r>
        <w:rPr>
          <w:rFonts w:ascii="宋体" w:hAnsi="宋体" w:cs="宋体"/>
          <w:color w:val="000000"/>
          <w:sz w:val="21"/>
          <w:szCs w:val="21"/>
        </w:rPr>
        <w:t>机构按照</w:t>
      </w:r>
      <w:r>
        <w:rPr>
          <w:rFonts w:hint="eastAsia" w:ascii="宋体" w:hAnsi="宋体" w:cs="宋体"/>
          <w:color w:val="000000"/>
          <w:sz w:val="21"/>
          <w:szCs w:val="21"/>
        </w:rPr>
        <w:t>招标</w:t>
      </w:r>
      <w:r>
        <w:rPr>
          <w:rFonts w:ascii="宋体" w:hAnsi="宋体" w:cs="宋体"/>
          <w:color w:val="000000"/>
          <w:sz w:val="21"/>
          <w:szCs w:val="21"/>
        </w:rPr>
        <w:t>文件规定的时间通过电子交易平台组织开标、开启</w:t>
      </w:r>
      <w:r>
        <w:rPr>
          <w:rFonts w:hint="eastAsia" w:ascii="宋体" w:hAnsi="宋体" w:cs="宋体"/>
          <w:color w:val="000000"/>
          <w:sz w:val="21"/>
          <w:szCs w:val="21"/>
        </w:rPr>
        <w:t>投标</w:t>
      </w:r>
      <w:r>
        <w:rPr>
          <w:rFonts w:ascii="宋体" w:hAnsi="宋体" w:cs="宋体"/>
          <w:color w:val="000000"/>
          <w:sz w:val="21"/>
          <w:szCs w:val="21"/>
        </w:rPr>
        <w:t>文件，所有</w:t>
      </w:r>
      <w:r>
        <w:rPr>
          <w:rFonts w:hint="eastAsia" w:ascii="宋体" w:hAnsi="宋体" w:cs="宋体"/>
          <w:color w:val="000000"/>
          <w:sz w:val="21"/>
          <w:szCs w:val="21"/>
        </w:rPr>
        <w:t>投标人</w:t>
      </w:r>
      <w:r>
        <w:rPr>
          <w:rFonts w:ascii="宋体" w:hAnsi="宋体" w:cs="宋体"/>
          <w:color w:val="000000"/>
          <w:sz w:val="21"/>
          <w:szCs w:val="21"/>
        </w:rPr>
        <w:t>均应当准时在线参加</w:t>
      </w:r>
      <w:r>
        <w:rPr>
          <w:rFonts w:hint="eastAsia" w:ascii="宋体" w:hAnsi="宋体" w:cs="宋体"/>
          <w:color w:val="000000"/>
          <w:sz w:val="21"/>
          <w:szCs w:val="21"/>
        </w:rPr>
        <w:t>。</w:t>
      </w:r>
      <w:r>
        <w:rPr>
          <w:rFonts w:hint="eastAsia" w:ascii="宋体" w:hAnsi="宋体" w:cs="宋体"/>
          <w:b/>
          <w:bCs/>
          <w:color w:val="000000"/>
          <w:sz w:val="21"/>
          <w:szCs w:val="21"/>
        </w:rPr>
        <w:t>投标人如不在线参加开标大会的，视同认可开标结果，事后不得对采购相关人员、开标过程和开标结果提出异议。</w:t>
      </w:r>
    </w:p>
    <w:p>
      <w:pPr>
        <w:pStyle w:val="208"/>
        <w:spacing w:before="0" w:line="360" w:lineRule="auto"/>
        <w:ind w:left="0" w:firstLine="422" w:firstLineChars="200"/>
        <w:rPr>
          <w:rFonts w:ascii="宋体" w:hAnsi="宋体" w:cs="宋体"/>
          <w:b/>
          <w:bCs/>
          <w:color w:val="000000"/>
          <w:sz w:val="21"/>
          <w:szCs w:val="21"/>
        </w:rPr>
      </w:pPr>
      <w:r>
        <w:rPr>
          <w:rFonts w:hint="eastAsia" w:ascii="宋体" w:hAnsi="宋体" w:cs="宋体"/>
          <w:b/>
          <w:bCs/>
          <w:color w:val="000000"/>
          <w:sz w:val="21"/>
          <w:szCs w:val="21"/>
        </w:rPr>
        <w:t>23.2 投标文件的提取</w:t>
      </w:r>
    </w:p>
    <w:p>
      <w:pPr>
        <w:pStyle w:val="208"/>
        <w:spacing w:before="0" w:line="360" w:lineRule="auto"/>
        <w:ind w:left="0" w:firstLine="420" w:firstLineChars="200"/>
        <w:rPr>
          <w:rFonts w:hint="eastAsia" w:ascii="宋体" w:hAnsi="宋体" w:cs="宋体"/>
          <w:b/>
          <w:bCs/>
          <w:color w:val="000000"/>
          <w:sz w:val="21"/>
          <w:szCs w:val="21"/>
        </w:rPr>
      </w:pPr>
      <w:r>
        <w:rPr>
          <w:rFonts w:hint="eastAsia" w:ascii="宋体" w:hAnsi="宋体" w:cs="宋体"/>
          <w:color w:val="000000"/>
          <w:sz w:val="21"/>
          <w:szCs w:val="21"/>
        </w:rPr>
        <w:t>开标、开启投标文件时，电子交易平台自动提取所有投标文件。</w:t>
      </w:r>
    </w:p>
    <w:p>
      <w:pPr>
        <w:pStyle w:val="208"/>
        <w:spacing w:before="0" w:line="360" w:lineRule="auto"/>
        <w:ind w:left="0" w:firstLine="422" w:firstLineChars="200"/>
        <w:rPr>
          <w:rFonts w:ascii="宋体" w:hAnsi="宋体" w:cs="宋体"/>
          <w:b/>
          <w:bCs/>
          <w:color w:val="000000"/>
          <w:sz w:val="21"/>
          <w:szCs w:val="21"/>
        </w:rPr>
      </w:pPr>
      <w:r>
        <w:rPr>
          <w:rFonts w:hint="eastAsia" w:ascii="宋体" w:hAnsi="宋体" w:cs="宋体"/>
          <w:b/>
          <w:bCs/>
          <w:color w:val="000000"/>
          <w:sz w:val="21"/>
          <w:szCs w:val="21"/>
        </w:rPr>
        <w:t xml:space="preserve">23.3 </w:t>
      </w:r>
      <w:r>
        <w:rPr>
          <w:rFonts w:ascii="宋体" w:hAnsi="宋体" w:cs="宋体"/>
          <w:b/>
          <w:bCs/>
          <w:color w:val="000000"/>
          <w:sz w:val="21"/>
          <w:szCs w:val="21"/>
        </w:rPr>
        <w:t>投标文件的解密</w:t>
      </w:r>
    </w:p>
    <w:p>
      <w:pPr>
        <w:pStyle w:val="208"/>
        <w:spacing w:before="0"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23.3.1 解密</w:t>
      </w:r>
    </w:p>
    <w:p>
      <w:pPr>
        <w:pStyle w:val="208"/>
        <w:spacing w:before="0"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（1）投标人应在电子交易平台规定的时间内完成在线解密工作。</w:t>
      </w:r>
    </w:p>
    <w:p>
      <w:pPr>
        <w:pStyle w:val="208"/>
        <w:spacing w:before="0"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解密完成的时间根据投标人的网速、硬件环境、投标文件的大小而不同，开标后请投标人尽量提前启动解密，否则将可能未按时解密。</w:t>
      </w:r>
    </w:p>
    <w:p>
      <w:pPr>
        <w:pStyle w:val="208"/>
        <w:spacing w:before="0" w:line="360" w:lineRule="auto"/>
        <w:ind w:left="0" w:firstLine="422" w:firstLineChars="200"/>
        <w:rPr>
          <w:rFonts w:ascii="宋体" w:hAnsi="宋体" w:cs="宋体"/>
          <w:b/>
          <w:bCs/>
          <w:color w:val="000000"/>
          <w:sz w:val="21"/>
          <w:szCs w:val="21"/>
        </w:rPr>
      </w:pPr>
      <w:r>
        <w:rPr>
          <w:rFonts w:hint="eastAsia" w:ascii="宋体" w:hAnsi="宋体" w:cs="宋体"/>
          <w:b/>
          <w:bCs/>
          <w:color w:val="000000"/>
          <w:sz w:val="21"/>
          <w:szCs w:val="21"/>
        </w:rPr>
        <w:t>（2）投标文件的制作和解密应使用同一个数字证书，否则将可能解密失败。</w:t>
      </w:r>
    </w:p>
    <w:p>
      <w:pPr>
        <w:pStyle w:val="208"/>
        <w:spacing w:before="0"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23.3.2 解密失败的异常处理</w:t>
      </w:r>
    </w:p>
    <w:p>
      <w:pPr>
        <w:pStyle w:val="208"/>
        <w:spacing w:before="0"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（1）投标文件未按时解密，投标人提供了备份投标文件的，以备份投标文件作为依据，否则视为投标文件撤回。投标文件已按时解密的，备份投标文件自动失效。</w:t>
      </w:r>
    </w:p>
    <w:p>
      <w:pPr>
        <w:pStyle w:val="208"/>
        <w:spacing w:before="0" w:line="360" w:lineRule="auto"/>
        <w:ind w:left="0" w:firstLine="422" w:firstLineChars="200"/>
        <w:rPr>
          <w:rFonts w:ascii="宋体" w:hAnsi="宋体" w:cs="宋体"/>
          <w:b/>
          <w:bCs/>
          <w:color w:val="000000"/>
          <w:sz w:val="21"/>
          <w:szCs w:val="21"/>
        </w:rPr>
      </w:pPr>
      <w:r>
        <w:rPr>
          <w:rFonts w:hint="eastAsia" w:ascii="宋体" w:hAnsi="宋体" w:cs="宋体"/>
          <w:b/>
          <w:bCs/>
          <w:color w:val="000000"/>
          <w:sz w:val="21"/>
          <w:szCs w:val="21"/>
        </w:rPr>
        <w:t>（2）投标文件未按时解密且未提供备份投标文件的，视为投标文件撤回，后果由投标人自行承担。</w:t>
      </w:r>
    </w:p>
    <w:p>
      <w:pPr>
        <w:pStyle w:val="208"/>
        <w:spacing w:before="0"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23.4 投标文件的开启</w:t>
      </w:r>
    </w:p>
    <w:p>
      <w:pPr>
        <w:pStyle w:val="208"/>
        <w:spacing w:before="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解密及其异常处理完成后，开启投标文件，公布投标人名单，并组织签署《政府采购活动现场确认声明书》。</w:t>
      </w:r>
    </w:p>
    <w:p>
      <w:pPr>
        <w:pStyle w:val="208"/>
        <w:spacing w:before="0"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23.5 资格审查</w:t>
      </w:r>
    </w:p>
    <w:p>
      <w:pPr>
        <w:pStyle w:val="208"/>
        <w:spacing w:before="0" w:line="360" w:lineRule="auto"/>
        <w:ind w:left="0" w:firstLine="420" w:firstLineChars="200"/>
        <w:rPr>
          <w:rFonts w:ascii="宋体" w:hAnsi="宋体" w:cs="宋体"/>
          <w:color w:val="000000"/>
          <w:sz w:val="21"/>
          <w:szCs w:val="21"/>
        </w:rPr>
      </w:pPr>
      <w:r>
        <w:rPr>
          <w:rFonts w:hint="eastAsia" w:ascii="宋体" w:hAnsi="宋体" w:cs="宋体"/>
          <w:color w:val="000000"/>
          <w:sz w:val="21"/>
          <w:szCs w:val="21"/>
        </w:rPr>
        <w:t>开启各投标人的资格文件，进行审查，审查完成后公布结果。</w:t>
      </w:r>
    </w:p>
    <w:p>
      <w:pPr>
        <w:pStyle w:val="208"/>
        <w:spacing w:before="0"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23.6 符合性审查、商务技术评审</w:t>
      </w:r>
    </w:p>
    <w:p>
      <w:pPr>
        <w:pStyle w:val="208"/>
        <w:spacing w:before="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开启资格审查通过的投标人的商务技术文件进入符合性审查、商务技术评审。公布符合性审查、商务技术评审无效供应商名称及理由；公布经商务技术评审后有效投标人的名单，同时公布其商务技术部分得分情况。</w:t>
      </w:r>
    </w:p>
    <w:p>
      <w:pPr>
        <w:pStyle w:val="208"/>
        <w:spacing w:before="0" w:line="360" w:lineRule="auto"/>
        <w:ind w:left="0" w:firstLine="422" w:firstLineChars="200"/>
        <w:rPr>
          <w:rFonts w:ascii="宋体" w:hAnsi="宋体" w:cs="宋体"/>
          <w:b/>
          <w:bCs/>
          <w:color w:val="000000"/>
          <w:sz w:val="21"/>
          <w:szCs w:val="21"/>
        </w:rPr>
      </w:pPr>
      <w:r>
        <w:rPr>
          <w:rFonts w:hint="eastAsia" w:ascii="宋体" w:hAnsi="宋体" w:cs="宋体"/>
          <w:b/>
          <w:bCs/>
          <w:color w:val="000000"/>
          <w:sz w:val="21"/>
          <w:szCs w:val="21"/>
        </w:rPr>
        <w:t>23.7 报价评审</w:t>
      </w:r>
    </w:p>
    <w:p>
      <w:pPr>
        <w:pStyle w:val="208"/>
        <w:spacing w:before="0"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开启符合性审查、商务技术评审有效投标人的报价文件，公布开标一览表有关内容，同时当场制作开标记录表，投标人通过</w:t>
      </w:r>
      <w:r>
        <w:rPr>
          <w:rFonts w:ascii="宋体" w:hAnsi="宋体" w:cs="宋体"/>
          <w:color w:val="000000"/>
          <w:sz w:val="21"/>
          <w:szCs w:val="21"/>
        </w:rPr>
        <w:t>电子交易平台</w:t>
      </w:r>
      <w:r>
        <w:rPr>
          <w:rFonts w:hint="eastAsia" w:ascii="宋体" w:hAnsi="宋体" w:cs="宋体"/>
          <w:color w:val="000000"/>
          <w:sz w:val="21"/>
          <w:szCs w:val="21"/>
        </w:rPr>
        <w:t>确认（不予确认的应说明理由，否则视为无异议）。报价文件开标结束后，由评标委员会对报价的合理性、准确性等进行审查核实。</w:t>
      </w:r>
    </w:p>
    <w:p>
      <w:pPr>
        <w:pStyle w:val="208"/>
        <w:spacing w:before="0" w:line="360" w:lineRule="auto"/>
        <w:ind w:left="0" w:firstLine="422" w:firstLineChars="200"/>
        <w:rPr>
          <w:rFonts w:ascii="宋体" w:hAnsi="宋体" w:cs="宋体"/>
          <w:b/>
          <w:bCs/>
          <w:color w:val="000000"/>
          <w:sz w:val="21"/>
          <w:szCs w:val="21"/>
        </w:rPr>
      </w:pPr>
      <w:r>
        <w:rPr>
          <w:rFonts w:hint="eastAsia" w:ascii="宋体" w:hAnsi="宋体" w:cs="宋体"/>
          <w:b/>
          <w:bCs/>
          <w:color w:val="000000"/>
          <w:sz w:val="21"/>
          <w:szCs w:val="21"/>
        </w:rPr>
        <w:t>23.8 结果公布</w:t>
      </w:r>
    </w:p>
    <w:p>
      <w:pPr>
        <w:pStyle w:val="208"/>
        <w:spacing w:before="0" w:line="360" w:lineRule="auto"/>
        <w:ind w:left="0" w:firstLine="420" w:firstLineChars="200"/>
        <w:rPr>
          <w:rFonts w:ascii="宋体" w:hAnsi="宋体" w:cs="宋体"/>
          <w:color w:val="000000"/>
          <w:sz w:val="21"/>
          <w:szCs w:val="21"/>
        </w:rPr>
      </w:pPr>
      <w:r>
        <w:rPr>
          <w:rFonts w:hint="eastAsia" w:ascii="宋体" w:hAnsi="宋体" w:cs="宋体"/>
          <w:color w:val="000000"/>
          <w:sz w:val="21"/>
          <w:szCs w:val="21"/>
        </w:rPr>
        <w:t>评审结束后，通过发送邮件形式公布中标候选人名单，及采购人最终确定中标人名单的时间和公告方式等。</w:t>
      </w:r>
    </w:p>
    <w:p>
      <w:pPr>
        <w:pStyle w:val="208"/>
        <w:spacing w:before="0"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特别说明：如遇电子交易平台电子化开标或评审程序调整的，按调整后程序执行。</w:t>
      </w:r>
    </w:p>
    <w:p>
      <w:pPr>
        <w:pStyle w:val="4"/>
        <w:rPr>
          <w:rFonts w:hint="eastAsia" w:ascii="宋体" w:hAnsi="宋体" w:cs="宋体"/>
          <w:color w:val="000000"/>
          <w:sz w:val="21"/>
          <w:szCs w:val="21"/>
        </w:rPr>
      </w:pPr>
      <w:r>
        <w:rPr>
          <w:rFonts w:hint="eastAsia" w:ascii="宋体" w:hAnsi="宋体" w:cs="宋体"/>
          <w:color w:val="000000"/>
          <w:sz w:val="21"/>
          <w:szCs w:val="21"/>
        </w:rPr>
        <w:t>资格审查</w:t>
      </w:r>
    </w:p>
    <w:p>
      <w:pPr>
        <w:pStyle w:val="95"/>
        <w:spacing w:before="0"/>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24.1 </w:t>
      </w:r>
      <w:r>
        <w:rPr>
          <w:rFonts w:hint="eastAsia" w:ascii="宋体" w:hAnsi="宋体" w:eastAsia="宋体" w:cs="宋体"/>
          <w:b/>
          <w:bCs/>
          <w:color w:val="000000"/>
          <w:kern w:val="0"/>
          <w:sz w:val="21"/>
          <w:szCs w:val="21"/>
        </w:rPr>
        <w:t>资格审查主体</w:t>
      </w:r>
      <w:r>
        <w:rPr>
          <w:rFonts w:hint="eastAsia" w:ascii="宋体" w:hAnsi="宋体" w:eastAsia="宋体" w:cs="宋体"/>
          <w:color w:val="000000"/>
          <w:kern w:val="0"/>
          <w:sz w:val="21"/>
          <w:szCs w:val="21"/>
        </w:rPr>
        <w:t>：采购人、采购代理机构负责资格审查。</w:t>
      </w:r>
    </w:p>
    <w:p>
      <w:pPr>
        <w:pStyle w:val="95"/>
        <w:spacing w:before="0"/>
        <w:ind w:firstLine="420"/>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24.2 采购人或采购代理机构依据法律法规和招标文件的规定，对投标人的资格文件进行审查，以确定投标供应商是否具备投标资格。</w:t>
      </w:r>
      <w:r>
        <w:rPr>
          <w:rFonts w:hint="eastAsia" w:ascii="宋体" w:hAnsi="宋体" w:eastAsia="宋体" w:cs="宋体"/>
          <w:b/>
          <w:bCs/>
          <w:color w:val="000000"/>
          <w:kern w:val="0"/>
          <w:sz w:val="21"/>
          <w:szCs w:val="21"/>
        </w:rPr>
        <w:t>在资格审查时，投标人存在下列情况之一的，资格审查不合格，其投标无效：</w:t>
      </w:r>
    </w:p>
    <w:p>
      <w:pPr>
        <w:pStyle w:val="95"/>
        <w:spacing w:before="0"/>
        <w:ind w:firstLine="420"/>
        <w:rPr>
          <w:rFonts w:ascii="宋体" w:hAnsi="宋体" w:eastAsia="宋体" w:cs="宋体"/>
          <w:color w:val="000000"/>
          <w:kern w:val="0"/>
          <w:sz w:val="21"/>
          <w:szCs w:val="21"/>
        </w:rPr>
      </w:pPr>
      <w:r>
        <w:rPr>
          <w:rFonts w:ascii="宋体" w:hAnsi="宋体" w:eastAsia="宋体" w:cs="宋体"/>
          <w:color w:val="000000"/>
          <w:kern w:val="0"/>
          <w:sz w:val="21"/>
          <w:szCs w:val="21"/>
        </w:rPr>
        <w:t>（1）不具备招标文件中规定的资格要求的，或提交的资格证明文件不符合招标文件要求的；</w:t>
      </w:r>
    </w:p>
    <w:p>
      <w:pPr>
        <w:pStyle w:val="95"/>
        <w:spacing w:before="0"/>
        <w:ind w:firstLine="420"/>
        <w:rPr>
          <w:rFonts w:ascii="宋体" w:hAnsi="宋体" w:eastAsia="宋体" w:cs="宋体"/>
          <w:color w:val="000000"/>
          <w:kern w:val="0"/>
          <w:sz w:val="21"/>
          <w:szCs w:val="21"/>
        </w:rPr>
      </w:pPr>
      <w:r>
        <w:rPr>
          <w:rFonts w:ascii="宋体" w:hAnsi="宋体" w:eastAsia="宋体" w:cs="宋体"/>
          <w:color w:val="000000"/>
          <w:kern w:val="0"/>
          <w:sz w:val="21"/>
          <w:szCs w:val="21"/>
        </w:rPr>
        <w:t>（2）联合体投标未提交联合体协议书，或未提交联合体各方资格证明文件的；</w:t>
      </w:r>
    </w:p>
    <w:p>
      <w:pPr>
        <w:pStyle w:val="95"/>
        <w:spacing w:before="0"/>
        <w:ind w:firstLine="420"/>
        <w:rPr>
          <w:rFonts w:ascii="宋体" w:hAnsi="宋体" w:eastAsia="宋体" w:cs="宋体"/>
          <w:color w:val="000000"/>
          <w:kern w:val="0"/>
          <w:sz w:val="21"/>
          <w:szCs w:val="21"/>
        </w:rPr>
      </w:pPr>
      <w:r>
        <w:rPr>
          <w:rFonts w:ascii="宋体" w:hAnsi="宋体" w:eastAsia="宋体" w:cs="宋体"/>
          <w:color w:val="000000"/>
          <w:kern w:val="0"/>
          <w:sz w:val="21"/>
          <w:szCs w:val="21"/>
        </w:rPr>
        <w:t>（3）投标文件的资格证明文件未按照招标文件要求签署、盖章的；</w:t>
      </w:r>
    </w:p>
    <w:p>
      <w:pPr>
        <w:pStyle w:val="95"/>
        <w:spacing w:before="0"/>
        <w:ind w:firstLine="420"/>
        <w:rPr>
          <w:rFonts w:ascii="宋体" w:hAnsi="宋体" w:eastAsia="宋体" w:cs="宋体"/>
          <w:color w:val="000000"/>
          <w:kern w:val="0"/>
          <w:sz w:val="21"/>
          <w:szCs w:val="21"/>
        </w:rPr>
      </w:pP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w:t>
      </w:r>
      <w:r>
        <w:rPr>
          <w:rFonts w:ascii="宋体" w:hAnsi="宋体" w:eastAsia="宋体" w:cs="宋体"/>
          <w:color w:val="000000"/>
          <w:kern w:val="0"/>
          <w:sz w:val="21"/>
          <w:szCs w:val="21"/>
        </w:rPr>
        <w:t>）法律、法规和招标文件规定的其他投标无效情形的。</w:t>
      </w:r>
    </w:p>
    <w:p>
      <w:pPr>
        <w:pStyle w:val="95"/>
        <w:spacing w:before="0"/>
        <w:ind w:firstLine="420"/>
        <w:rPr>
          <w:rFonts w:ascii="宋体" w:hAnsi="宋体" w:eastAsia="宋体" w:cs="宋体"/>
          <w:b/>
          <w:bCs/>
          <w:color w:val="000000"/>
          <w:kern w:val="0"/>
          <w:sz w:val="21"/>
          <w:szCs w:val="21"/>
        </w:rPr>
      </w:pPr>
      <w:r>
        <w:rPr>
          <w:rFonts w:hint="eastAsia" w:ascii="宋体" w:hAnsi="宋体" w:eastAsia="宋体" w:cs="宋体"/>
          <w:color w:val="000000"/>
          <w:kern w:val="0"/>
          <w:sz w:val="21"/>
          <w:szCs w:val="21"/>
        </w:rPr>
        <w:t>24.3 开标结束后资格审查时，采购人、采购代理机构将对投标人信用记录进行甄别。</w:t>
      </w:r>
      <w:r>
        <w:rPr>
          <w:rFonts w:hint="eastAsia" w:ascii="宋体" w:hAnsi="宋体" w:eastAsia="宋体" w:cs="宋体"/>
          <w:b/>
          <w:bCs/>
          <w:color w:val="000000"/>
          <w:kern w:val="0"/>
          <w:sz w:val="21"/>
          <w:szCs w:val="21"/>
        </w:rPr>
        <w:t>合格的投标人须符合《关于在政府采购活动中查询及使用信用记录有关问题的通知》的规定。信用记录查询详见前附表。</w:t>
      </w:r>
    </w:p>
    <w:p>
      <w:pPr>
        <w:pStyle w:val="95"/>
        <w:spacing w:before="0"/>
        <w:ind w:firstLine="422"/>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24.4 开标结束后资格审查时，投标人须符合《中华人民共和国政府采购法实施条例》第十八条的规定：</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（1）单位负责人为同一人或者存在直接控股、管理关系的不同投标人，不得参加同一合同项下的政府采购活动。</w:t>
      </w:r>
    </w:p>
    <w:p>
      <w:pPr>
        <w:pStyle w:val="95"/>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（2）为采购项目提供整体设计、规范编制或者项目管理、监理、检测等服务的投标人，不得再参加该采购项目的其他采购活动。</w:t>
      </w:r>
    </w:p>
    <w:p>
      <w:pPr>
        <w:pStyle w:val="95"/>
        <w:spacing w:before="0"/>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24.5 资格审查结束后，采购人、采购代理机构将资格审查结果告知评标委员会。对未通过资格审查的投标人，采购人或采购代理机构告知其未通过的原因。</w:t>
      </w:r>
    </w:p>
    <w:p>
      <w:pPr>
        <w:pStyle w:val="95"/>
        <w:spacing w:before="0"/>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24.6 合格投标人不足3家的，不再评标。</w:t>
      </w:r>
    </w:p>
    <w:p>
      <w:pPr>
        <w:pStyle w:val="4"/>
        <w:rPr>
          <w:rFonts w:hint="eastAsia" w:ascii="宋体" w:hAnsi="宋体" w:cs="宋体"/>
          <w:color w:val="000000"/>
          <w:sz w:val="21"/>
          <w:szCs w:val="21"/>
        </w:rPr>
      </w:pPr>
      <w:bookmarkStart w:id="61" w:name="_Hlt75236101"/>
      <w:bookmarkEnd w:id="61"/>
      <w:bookmarkStart w:id="62" w:name="_Toc91899903"/>
      <w:r>
        <w:rPr>
          <w:rFonts w:hint="eastAsia" w:ascii="宋体" w:hAnsi="宋体" w:cs="宋体"/>
          <w:color w:val="000000"/>
          <w:sz w:val="21"/>
          <w:szCs w:val="21"/>
          <w:lang w:val="zh-CN"/>
        </w:rPr>
        <w:t>评标</w:t>
      </w:r>
    </w:p>
    <w:bookmarkEnd w:id="62"/>
    <w:p>
      <w:pPr>
        <w:pStyle w:val="95"/>
        <w:spacing w:before="0"/>
        <w:ind w:firstLine="420"/>
        <w:rPr>
          <w:rFonts w:hint="eastAsia" w:ascii="宋体" w:hAnsi="宋体" w:eastAsia="宋体" w:cs="宋体"/>
          <w:b/>
          <w:bCs/>
          <w:color w:val="000000"/>
          <w:kern w:val="0"/>
          <w:sz w:val="21"/>
          <w:szCs w:val="21"/>
        </w:rPr>
      </w:pPr>
      <w:bookmarkStart w:id="63" w:name="_Toc86216994"/>
      <w:r>
        <w:rPr>
          <w:rFonts w:hint="eastAsia" w:ascii="宋体" w:hAnsi="宋体" w:eastAsia="宋体" w:cs="宋体"/>
          <w:color w:val="000000"/>
          <w:kern w:val="0"/>
          <w:sz w:val="21"/>
          <w:szCs w:val="21"/>
        </w:rPr>
        <w:t>25.1 评标委员会将根据招标文件和有关规定，履行评标工作职责，并按照评标方法及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color w:val="000000"/>
          <w:kern w:val="0"/>
          <w:sz w:val="21"/>
          <w:szCs w:val="21"/>
        </w:rPr>
        <w:t>详见招标文件第三部分“评标方法及标准”。</w:t>
      </w:r>
    </w:p>
    <w:p>
      <w:pPr>
        <w:pStyle w:val="4"/>
        <w:rPr>
          <w:rFonts w:hint="eastAsia" w:ascii="宋体" w:hAnsi="宋体" w:cs="宋体"/>
          <w:color w:val="000000"/>
          <w:sz w:val="21"/>
          <w:szCs w:val="21"/>
        </w:rPr>
      </w:pPr>
      <w:r>
        <w:rPr>
          <w:rFonts w:hint="eastAsia" w:ascii="宋体" w:hAnsi="宋体" w:cs="宋体"/>
          <w:color w:val="000000"/>
          <w:sz w:val="21"/>
          <w:szCs w:val="21"/>
          <w:lang w:val="zh-CN"/>
        </w:rPr>
        <w:t>可中止电子交易活动的情形</w:t>
      </w:r>
    </w:p>
    <w:p>
      <w:pPr>
        <w:pStyle w:val="95"/>
        <w:spacing w:before="0"/>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采购过程中出现以下情形，导致电子交易平台无法正常运行，或者无法保证电子交易的公平、公正和安全时，采购人或其委托的采购代理机构可中止电子交易活动：</w:t>
      </w:r>
    </w:p>
    <w:p>
      <w:pPr>
        <w:pStyle w:val="95"/>
        <w:spacing w:before="0"/>
        <w:ind w:firstLine="422"/>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（1）电子交易平台发生故障而无法登录访问的；</w:t>
      </w:r>
    </w:p>
    <w:p>
      <w:pPr>
        <w:pStyle w:val="95"/>
        <w:spacing w:before="0"/>
        <w:ind w:firstLine="422"/>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（2）电子交易平台应用或数据库出现错误，不能进行正常操作的；</w:t>
      </w:r>
    </w:p>
    <w:p>
      <w:pPr>
        <w:pStyle w:val="95"/>
        <w:spacing w:before="0"/>
        <w:ind w:firstLine="422"/>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（3）电子交易平台发现严重安全漏洞，有潜在泄密危险的；</w:t>
      </w:r>
    </w:p>
    <w:p>
      <w:pPr>
        <w:pStyle w:val="95"/>
        <w:spacing w:before="0"/>
        <w:ind w:firstLine="422"/>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（4）病毒发作导致不能进行正常操作的；</w:t>
      </w:r>
    </w:p>
    <w:p>
      <w:pPr>
        <w:pStyle w:val="95"/>
        <w:spacing w:before="0"/>
        <w:ind w:firstLine="422"/>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（5）其他无法保证电子交易的公平、公正和安全的情况。</w:t>
      </w:r>
    </w:p>
    <w:p>
      <w:pPr>
        <w:pStyle w:val="95"/>
        <w:spacing w:before="0"/>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出现前款规定情形，不影响采购公平、公正性的，采购人或其委托的采购代理机构可以待上述情形消除后继续组织电子交易活动；影响或可能影响采购公平、公正性的，应当重新采购。</w:t>
      </w:r>
    </w:p>
    <w:p>
      <w:pPr>
        <w:pStyle w:val="19"/>
        <w:ind w:firstLine="0" w:firstLineChars="0"/>
        <w:rPr>
          <w:rFonts w:hint="eastAsia" w:eastAsia="宋体" w:cs="宋体"/>
          <w:color w:val="000000"/>
          <w:sz w:val="21"/>
          <w:szCs w:val="21"/>
        </w:rPr>
      </w:pPr>
    </w:p>
    <w:bookmarkEnd w:id="63"/>
    <w:p>
      <w:pPr>
        <w:pStyle w:val="3"/>
        <w:rPr>
          <w:rFonts w:hint="eastAsia" w:ascii="宋体" w:hAnsi="宋体" w:cs="宋体"/>
          <w:color w:val="000000"/>
        </w:rPr>
      </w:pPr>
      <w:bookmarkStart w:id="64" w:name="_Toc5381"/>
      <w:r>
        <w:rPr>
          <w:rFonts w:hint="eastAsia" w:ascii="宋体" w:hAnsi="宋体" w:cs="宋体"/>
          <w:color w:val="000000"/>
          <w:lang w:val="en-US"/>
        </w:rPr>
        <w:t>中标和合同</w:t>
      </w:r>
      <w:bookmarkEnd w:id="64"/>
    </w:p>
    <w:p>
      <w:pPr>
        <w:pStyle w:val="4"/>
        <w:rPr>
          <w:rFonts w:hint="eastAsia" w:ascii="宋体" w:hAnsi="宋体" w:cs="宋体"/>
          <w:color w:val="000000"/>
          <w:sz w:val="21"/>
          <w:szCs w:val="21"/>
        </w:rPr>
      </w:pPr>
      <w:r>
        <w:rPr>
          <w:rFonts w:hint="eastAsia" w:ascii="宋体" w:hAnsi="宋体" w:cs="宋体"/>
          <w:color w:val="000000"/>
          <w:sz w:val="21"/>
          <w:szCs w:val="21"/>
        </w:rPr>
        <w:t>确定中标人</w:t>
      </w:r>
    </w:p>
    <w:p>
      <w:pPr>
        <w:pStyle w:val="95"/>
        <w:spacing w:before="0"/>
        <w:ind w:firstLine="420"/>
        <w:rPr>
          <w:rFonts w:hint="eastAsia" w:ascii="宋体" w:hAnsi="宋体" w:eastAsia="宋体" w:cs="宋体"/>
          <w:color w:val="000000"/>
          <w:kern w:val="0"/>
          <w:sz w:val="21"/>
          <w:szCs w:val="21"/>
          <w:lang w:val="zh-CN"/>
        </w:rPr>
      </w:pPr>
      <w:bookmarkStart w:id="65" w:name="_Toc91899910"/>
      <w:bookmarkStart w:id="66" w:name="_Toc86216995"/>
      <w:r>
        <w:rPr>
          <w:rFonts w:hint="eastAsia" w:ascii="宋体" w:hAnsi="宋体" w:eastAsia="宋体" w:cs="宋体"/>
          <w:color w:val="000000"/>
          <w:kern w:val="0"/>
          <w:sz w:val="21"/>
          <w:szCs w:val="21"/>
        </w:rPr>
        <w:t xml:space="preserve">27.1 </w:t>
      </w:r>
      <w:r>
        <w:rPr>
          <w:rFonts w:hint="eastAsia" w:ascii="宋体" w:hAnsi="宋体" w:eastAsia="宋体" w:cs="宋体"/>
          <w:color w:val="000000"/>
          <w:kern w:val="0"/>
          <w:sz w:val="21"/>
          <w:szCs w:val="21"/>
          <w:lang w:val="zh-CN"/>
        </w:rPr>
        <w:t>采购代理机构应当在评标结束后2个工作日内将评标报告送采购人确认。采购人应当自收到评标报告之日起</w:t>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zh-CN"/>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95"/>
        <w:spacing w:before="0"/>
        <w:ind w:firstLine="42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rPr>
        <w:t xml:space="preserve">27.2 </w:t>
      </w:r>
      <w:r>
        <w:rPr>
          <w:rFonts w:hint="eastAsia" w:ascii="宋体" w:hAnsi="宋体" w:eastAsia="宋体" w:cs="宋体"/>
          <w:color w:val="000000"/>
          <w:kern w:val="0"/>
          <w:sz w:val="21"/>
          <w:szCs w:val="21"/>
          <w:lang w:val="zh-CN"/>
        </w:rPr>
        <w:t>采购人在收到评标报告</w:t>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zh-CN"/>
        </w:rPr>
        <w:t>个工作日内未按评标报告推荐的中标候选人顺序确定中标人，又不能说明合法理由的，视同按评标报告推荐的顺序确定排名第一的中标候选人为中标人。</w:t>
      </w:r>
    </w:p>
    <w:p>
      <w:pPr>
        <w:pStyle w:val="4"/>
        <w:rPr>
          <w:rFonts w:hint="eastAsia" w:ascii="宋体" w:hAnsi="宋体" w:cs="宋体"/>
          <w:color w:val="000000"/>
          <w:sz w:val="21"/>
          <w:szCs w:val="21"/>
        </w:rPr>
      </w:pPr>
      <w:r>
        <w:rPr>
          <w:rFonts w:hint="eastAsia" w:ascii="宋体" w:hAnsi="宋体" w:cs="宋体"/>
          <w:color w:val="000000"/>
          <w:sz w:val="21"/>
          <w:szCs w:val="21"/>
        </w:rPr>
        <w:t>中标通知</w:t>
      </w:r>
    </w:p>
    <w:p>
      <w:pPr>
        <w:pStyle w:val="95"/>
        <w:spacing w:before="0"/>
        <w:ind w:firstLine="420"/>
        <w:rPr>
          <w:rFonts w:hint="eastAsia" w:ascii="宋体" w:hAnsi="宋体" w:eastAsia="宋体" w:cs="宋体"/>
          <w:color w:val="000000"/>
          <w:kern w:val="0"/>
          <w:sz w:val="21"/>
          <w:szCs w:val="21"/>
          <w:lang w:val="zh-CN"/>
        </w:rPr>
      </w:pPr>
      <w:bookmarkStart w:id="67" w:name="OLE_LINK17"/>
      <w:r>
        <w:rPr>
          <w:rFonts w:hint="eastAsia" w:ascii="宋体" w:hAnsi="宋体" w:eastAsia="宋体" w:cs="宋体"/>
          <w:color w:val="000000"/>
          <w:kern w:val="0"/>
          <w:sz w:val="21"/>
          <w:szCs w:val="21"/>
        </w:rPr>
        <w:t>28</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zh-CN"/>
        </w:rPr>
        <w:t xml:space="preserve"> 采购</w:t>
      </w:r>
      <w:r>
        <w:rPr>
          <w:rFonts w:hint="eastAsia" w:ascii="宋体" w:hAnsi="宋体" w:eastAsia="宋体" w:cs="宋体"/>
          <w:color w:val="000000"/>
          <w:kern w:val="0"/>
          <w:sz w:val="21"/>
          <w:szCs w:val="21"/>
        </w:rPr>
        <w:t>代理</w:t>
      </w:r>
      <w:r>
        <w:rPr>
          <w:rFonts w:hint="eastAsia" w:ascii="宋体" w:hAnsi="宋体" w:eastAsia="宋体" w:cs="宋体"/>
          <w:color w:val="000000"/>
          <w:kern w:val="0"/>
          <w:sz w:val="21"/>
          <w:szCs w:val="21"/>
          <w:lang w:val="zh-CN"/>
        </w:rPr>
        <w:t>机构将在自中标人确定之日起2个工作日内，发出中标通知书，并在</w:t>
      </w:r>
      <w:r>
        <w:rPr>
          <w:rFonts w:hint="eastAsia" w:ascii="宋体" w:hAnsi="宋体" w:eastAsia="宋体" w:cs="宋体"/>
          <w:color w:val="000000"/>
          <w:kern w:val="0"/>
          <w:sz w:val="21"/>
          <w:szCs w:val="21"/>
        </w:rPr>
        <w:t>指定信息发布媒体上</w:t>
      </w:r>
      <w:r>
        <w:rPr>
          <w:rFonts w:hint="eastAsia" w:ascii="宋体" w:hAnsi="宋体" w:eastAsia="宋体" w:cs="宋体"/>
          <w:color w:val="000000"/>
          <w:kern w:val="0"/>
          <w:sz w:val="21"/>
          <w:szCs w:val="21"/>
          <w:lang w:val="zh-CN"/>
        </w:rPr>
        <w:t>公告中标结果。结果公告期限为</w:t>
      </w:r>
      <w:r>
        <w:rPr>
          <w:rFonts w:hint="eastAsia" w:ascii="宋体" w:hAnsi="宋体" w:eastAsia="宋体" w:cs="宋体"/>
          <w:color w:val="000000"/>
          <w:kern w:val="0"/>
          <w:sz w:val="21"/>
          <w:szCs w:val="21"/>
        </w:rPr>
        <w:t>1个工作日。</w:t>
      </w:r>
    </w:p>
    <w:p>
      <w:pPr>
        <w:pStyle w:val="95"/>
        <w:spacing w:before="0"/>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 xml:space="preserve"> 中标通知书对采购人和中标人均具有法律效力。中标通知书发出后，采购人不得违法改变中标结果，中标人无正当理由不得放弃中标，否则应当依法承担法律责任。</w:t>
      </w:r>
    </w:p>
    <w:p>
      <w:pPr>
        <w:pStyle w:val="95"/>
        <w:spacing w:before="0"/>
        <w:ind w:firstLine="420"/>
        <w:rPr>
          <w:rFonts w:ascii="宋体" w:hAnsi="宋体" w:eastAsia="宋体" w:cs="宋体"/>
          <w:color w:val="000000"/>
          <w:kern w:val="0"/>
          <w:sz w:val="21"/>
          <w:szCs w:val="21"/>
        </w:rPr>
      </w:pPr>
      <w:r>
        <w:rPr>
          <w:rFonts w:hint="eastAsia" w:ascii="宋体" w:hAnsi="宋体" w:eastAsia="宋体" w:cs="宋体"/>
          <w:color w:val="000000"/>
          <w:kern w:val="0"/>
          <w:sz w:val="21"/>
          <w:szCs w:val="21"/>
        </w:rPr>
        <w:t>28.3 中标人因不可抗力或者自身原因不能履行合同的，采购人可以与排位在中标人之后的下一顺位的中标候选人签订合同，以此类推。如中标人放弃中标后，剩余有效投标人不具有竞争性的，依法重新组织招标或经批准按其他方式执行。</w:t>
      </w:r>
    </w:p>
    <w:bookmarkEnd w:id="65"/>
    <w:bookmarkEnd w:id="66"/>
    <w:bookmarkEnd w:id="67"/>
    <w:p>
      <w:pPr>
        <w:pStyle w:val="4"/>
        <w:rPr>
          <w:rFonts w:hint="eastAsia" w:ascii="宋体" w:hAnsi="宋体" w:cs="宋体"/>
          <w:color w:val="000000"/>
          <w:sz w:val="21"/>
          <w:szCs w:val="21"/>
        </w:rPr>
      </w:pPr>
      <w:bookmarkStart w:id="68" w:name="_Toc36110187"/>
      <w:bookmarkStart w:id="69" w:name="_Toc91899912"/>
      <w:r>
        <w:rPr>
          <w:rFonts w:hint="eastAsia" w:ascii="宋体" w:hAnsi="宋体" w:cs="宋体"/>
          <w:color w:val="000000"/>
          <w:sz w:val="21"/>
          <w:szCs w:val="21"/>
        </w:rPr>
        <w:t>合同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29.1 采购人应当自中标通知书发出之日起三十日内，按照招标文件和中标人投标文件的规定，与中标人签订书面政府采购合同。</w:t>
      </w:r>
      <w:r>
        <w:rPr>
          <w:rFonts w:hint="eastAsia" w:ascii="宋体" w:hAnsi="宋体" w:eastAsia="宋体" w:cs="宋体"/>
          <w:b/>
          <w:bCs/>
          <w:color w:val="000000"/>
          <w:sz w:val="21"/>
          <w:szCs w:val="21"/>
        </w:rPr>
        <w:t>所签订的合同不得对招标文件确定的事项和中标人投标文件作实质性修改。</w:t>
      </w:r>
      <w:r>
        <w:rPr>
          <w:rFonts w:hint="eastAsia" w:ascii="宋体" w:hAnsi="宋体" w:eastAsia="宋体" w:cs="宋体"/>
          <w:color w:val="000000"/>
          <w:sz w:val="21"/>
          <w:szCs w:val="21"/>
        </w:rPr>
        <w:t>采购人不得向中标人提出任何不合理的要求作为签订合同的条件。</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29.2 招标文件、中标人的投标文件及投标修改文件、评标过程中有关澄清文件及经投标人电子签章确认的询标回复和承诺及中标通知书均作为合同组成部分。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29.3 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29.4 采购人与中标人应当根据合同的约定依法履行合同义务。政府采购合同的履行、违约责任和解决争议的方法等适用《中华人民共和国合同法》。</w:t>
      </w:r>
    </w:p>
    <w:p>
      <w:pPr>
        <w:pStyle w:val="4"/>
        <w:rPr>
          <w:rFonts w:hint="eastAsia" w:ascii="宋体" w:hAnsi="宋体" w:cs="宋体"/>
          <w:color w:val="000000"/>
          <w:sz w:val="21"/>
          <w:szCs w:val="21"/>
        </w:rPr>
      </w:pPr>
      <w:r>
        <w:rPr>
          <w:rFonts w:hint="eastAsia" w:ascii="宋体" w:hAnsi="宋体" w:cs="宋体"/>
          <w:color w:val="000000"/>
          <w:sz w:val="21"/>
          <w:szCs w:val="21"/>
        </w:rPr>
        <w:t>履约保证</w:t>
      </w:r>
    </w:p>
    <w:p>
      <w:pPr>
        <w:tabs>
          <w:tab w:val="left" w:pos="0"/>
        </w:tabs>
        <w:spacing w:line="360" w:lineRule="auto"/>
        <w:ind w:firstLine="480"/>
        <w:rPr>
          <w:rFonts w:hint="eastAsia" w:ascii="宋体" w:hAnsi="宋体" w:eastAsia="宋体" w:cs="宋体"/>
          <w:b/>
          <w:bCs/>
          <w:color w:val="000000"/>
          <w:sz w:val="21"/>
          <w:szCs w:val="21"/>
        </w:rPr>
      </w:pPr>
      <w:r>
        <w:rPr>
          <w:rFonts w:hint="eastAsia" w:ascii="宋体" w:hAnsi="宋体" w:eastAsia="宋体" w:cs="宋体"/>
          <w:color w:val="000000"/>
          <w:sz w:val="21"/>
          <w:szCs w:val="21"/>
        </w:rPr>
        <w:t>招标文件要求中标人提交履约保证金的，中标人应当以支票、汇票、本票或者金融机构、担保机构出具的保函等非现金形式提交。本项目不设置履约保证金。</w:t>
      </w:r>
    </w:p>
    <w:p>
      <w:pPr>
        <w:tabs>
          <w:tab w:val="left" w:pos="0"/>
        </w:tabs>
        <w:spacing w:line="360" w:lineRule="auto"/>
        <w:ind w:firstLine="480"/>
        <w:rPr>
          <w:rFonts w:hint="eastAsia" w:ascii="宋体" w:hAnsi="宋体" w:eastAsia="宋体" w:cs="宋体"/>
          <w:color w:val="000000"/>
          <w:sz w:val="21"/>
          <w:szCs w:val="21"/>
        </w:rPr>
      </w:pPr>
    </w:p>
    <w:p>
      <w:pPr>
        <w:pStyle w:val="3"/>
        <w:keepLines w:val="0"/>
        <w:rPr>
          <w:rFonts w:hint="eastAsia" w:ascii="宋体" w:hAnsi="宋体" w:cs="宋体"/>
          <w:color w:val="000000"/>
        </w:rPr>
      </w:pPr>
      <w:bookmarkStart w:id="70" w:name="_Toc30662"/>
      <w:r>
        <w:rPr>
          <w:rFonts w:hint="eastAsia" w:ascii="宋体" w:hAnsi="宋体" w:cs="宋体"/>
          <w:color w:val="000000"/>
          <w:lang w:val="en-US"/>
        </w:rPr>
        <w:t>验  收</w:t>
      </w:r>
      <w:bookmarkEnd w:id="70"/>
    </w:p>
    <w:p>
      <w:pPr>
        <w:pStyle w:val="4"/>
        <w:keepLines w:val="0"/>
        <w:rPr>
          <w:rFonts w:hint="eastAsia" w:ascii="宋体" w:hAnsi="宋体" w:cs="宋体"/>
          <w:color w:val="000000"/>
          <w:sz w:val="21"/>
          <w:szCs w:val="21"/>
        </w:rPr>
      </w:pPr>
      <w:r>
        <w:rPr>
          <w:rFonts w:hint="eastAsia" w:ascii="宋体" w:hAnsi="宋体" w:cs="宋体"/>
          <w:color w:val="000000"/>
          <w:sz w:val="21"/>
          <w:szCs w:val="21"/>
        </w:rPr>
        <w:t>验收</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31.1 采购人或其委托的采购代理机构组织对供应商履约的验收。大型或者复杂的政府采购项目，应当邀请国家认可的质量检测机构参加验收工作。验收方成员应当在验收书上签字，并承担相应的法律责任。</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31.2 采购人或者采购代理机构按照政府采购合同规定的技术、服务、安全标准组织对供应商履约情况进行验收，并出具验收书。验收书包括每一项技术、服务、安全标准的履约情况。</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31.3 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31.4 采购人根据验收结果，按照采购合同约定，及时向中标人支付采购资金。对于中标人违反采购合同约定的行为，采购人将依法追究其违约责任。</w:t>
      </w:r>
    </w:p>
    <w:p>
      <w:pPr>
        <w:pStyle w:val="19"/>
        <w:ind w:firstLine="0" w:firstLineChars="0"/>
        <w:rPr>
          <w:rFonts w:hint="eastAsia"/>
          <w:color w:val="000000"/>
          <w:sz w:val="21"/>
          <w:szCs w:val="21"/>
        </w:rPr>
      </w:pPr>
    </w:p>
    <w:p>
      <w:pPr>
        <w:pStyle w:val="3"/>
        <w:keepLines w:val="0"/>
        <w:rPr>
          <w:rFonts w:hint="eastAsia"/>
          <w:color w:val="000000"/>
          <w:lang w:val="en-US"/>
        </w:rPr>
      </w:pPr>
      <w:bookmarkStart w:id="71" w:name="_Toc9916"/>
      <w:r>
        <w:rPr>
          <w:rFonts w:hint="eastAsia" w:ascii="宋体" w:hAnsi="宋体" w:cs="宋体"/>
          <w:color w:val="000000"/>
          <w:lang w:val="en-US"/>
        </w:rPr>
        <w:t>其  他</w:t>
      </w:r>
      <w:bookmarkEnd w:id="71"/>
    </w:p>
    <w:p>
      <w:pPr>
        <w:pStyle w:val="4"/>
        <w:rPr>
          <w:rFonts w:hint="eastAsia" w:ascii="宋体" w:hAnsi="宋体" w:cs="宋体"/>
          <w:color w:val="000000"/>
          <w:sz w:val="21"/>
          <w:szCs w:val="21"/>
        </w:rPr>
      </w:pPr>
      <w:r>
        <w:rPr>
          <w:rFonts w:hint="eastAsia" w:ascii="宋体" w:hAnsi="宋体" w:cs="宋体"/>
          <w:color w:val="000000"/>
          <w:sz w:val="21"/>
          <w:szCs w:val="21"/>
        </w:rPr>
        <w:t>询问、质疑和投诉</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32.1 投标人对政府采购活动事项有疑问的，可以向采购人和采购代理机构提出询问，采购人和采购代理机构应当及时作出答复，但答复的内容不得涉及商业秘密。</w:t>
      </w:r>
    </w:p>
    <w:p>
      <w:pPr>
        <w:tabs>
          <w:tab w:val="left" w:pos="0"/>
        </w:tabs>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32.2 投标人认为招标文件、采购过程和中标结果使自己的权益受到损害的，可以在知道或者应知其权益受到损害之日起七个工作日内，以</w:t>
      </w:r>
      <w:r>
        <w:rPr>
          <w:rFonts w:hint="eastAsia" w:ascii="宋体" w:hAnsi="宋体" w:eastAsia="宋体" w:cs="宋体"/>
          <w:b/>
          <w:bCs/>
          <w:color w:val="000000"/>
          <w:sz w:val="21"/>
          <w:szCs w:val="21"/>
        </w:rPr>
        <w:t>纸质形式</w:t>
      </w:r>
      <w:r>
        <w:rPr>
          <w:rFonts w:hint="eastAsia" w:ascii="宋体" w:hAnsi="宋体" w:eastAsia="宋体" w:cs="宋体"/>
          <w:color w:val="000000"/>
          <w:sz w:val="21"/>
          <w:szCs w:val="21"/>
        </w:rPr>
        <w:t>向采购人和采购代理机构提出质疑。质疑函格式详见附件。</w:t>
      </w:r>
      <w:r>
        <w:rPr>
          <w:rFonts w:ascii="宋体" w:hAnsi="宋体" w:eastAsia="宋体" w:cs="宋体"/>
          <w:color w:val="000000"/>
          <w:sz w:val="21"/>
          <w:szCs w:val="21"/>
        </w:rPr>
        <w:t>其中：</w:t>
      </w:r>
    </w:p>
    <w:p>
      <w:pPr>
        <w:tabs>
          <w:tab w:val="left" w:pos="0"/>
        </w:tabs>
        <w:spacing w:line="360" w:lineRule="auto"/>
        <w:ind w:firstLine="480"/>
        <w:rPr>
          <w:rFonts w:ascii="宋体" w:hAnsi="宋体" w:eastAsia="宋体" w:cs="宋体"/>
          <w:color w:val="000000"/>
          <w:sz w:val="21"/>
          <w:szCs w:val="21"/>
        </w:rPr>
      </w:pPr>
      <w:r>
        <w:rPr>
          <w:rFonts w:ascii="宋体" w:hAnsi="宋体" w:eastAsia="宋体" w:cs="宋体"/>
          <w:color w:val="000000"/>
          <w:sz w:val="21"/>
          <w:szCs w:val="21"/>
        </w:rPr>
        <w:t>32.2.1 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tabs>
          <w:tab w:val="left" w:pos="0"/>
        </w:tabs>
        <w:spacing w:line="360" w:lineRule="auto"/>
        <w:ind w:firstLine="480"/>
        <w:rPr>
          <w:rFonts w:ascii="宋体" w:hAnsi="宋体" w:eastAsia="宋体" w:cs="宋体"/>
          <w:color w:val="000000"/>
          <w:sz w:val="21"/>
          <w:szCs w:val="21"/>
        </w:rPr>
      </w:pPr>
      <w:r>
        <w:rPr>
          <w:rFonts w:ascii="宋体" w:hAnsi="宋体" w:eastAsia="宋体" w:cs="宋体"/>
          <w:color w:val="000000"/>
          <w:sz w:val="21"/>
          <w:szCs w:val="21"/>
        </w:rPr>
        <w:t>32.2.2 对采购过程提出质疑的，质疑期限为各采购程序环节结束之日起计算。对同一采购程序环节的质疑，供应商须一次性提出。</w:t>
      </w:r>
    </w:p>
    <w:p>
      <w:pPr>
        <w:tabs>
          <w:tab w:val="left" w:pos="0"/>
        </w:tabs>
        <w:spacing w:line="360" w:lineRule="auto"/>
        <w:ind w:firstLine="480"/>
        <w:rPr>
          <w:rFonts w:hint="eastAsia" w:ascii="宋体" w:hAnsi="宋体" w:eastAsia="宋体" w:cs="宋体"/>
          <w:color w:val="000000"/>
          <w:sz w:val="21"/>
          <w:szCs w:val="21"/>
        </w:rPr>
      </w:pPr>
      <w:r>
        <w:rPr>
          <w:rFonts w:ascii="宋体" w:hAnsi="宋体" w:eastAsia="宋体" w:cs="宋体"/>
          <w:color w:val="000000"/>
          <w:sz w:val="21"/>
          <w:szCs w:val="21"/>
        </w:rPr>
        <w:t>32.2.3 对采购结果提出质疑的，质疑期限自采购结果公告期限届满之日起计算。</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32.3 采购人和采购代理机构应当在收到投标人的书面质疑后七个工作日内作出答复，并以纸质形式通知质疑投标人，但答复的内容不得涉及商业秘密。</w:t>
      </w:r>
    </w:p>
    <w:p>
      <w:pPr>
        <w:tabs>
          <w:tab w:val="left" w:pos="0"/>
        </w:tabs>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32.4 质疑人对采购人和采购代理机构的答复不满意或者采购人和采购代理机构未在规定的时间内作出答复的，可以在答复期满后十五个工作日内向同级政府采购监督管理部门提出投诉。投诉书格式详见附件。</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32.5 投诉人捏造事实或者提供虚假投诉材料的或1年内3次以上投诉均查无实据的将由财政部门列入不良行为记录名单，禁止其1至3年内参加政府采购活动。</w:t>
      </w:r>
    </w:p>
    <w:p>
      <w:pPr>
        <w:pStyle w:val="4"/>
        <w:rPr>
          <w:rFonts w:hint="eastAsia" w:ascii="宋体" w:hAnsi="宋体" w:cs="宋体"/>
          <w:color w:val="000000"/>
          <w:sz w:val="21"/>
          <w:szCs w:val="21"/>
        </w:rPr>
      </w:pPr>
      <w:r>
        <w:rPr>
          <w:rFonts w:hint="eastAsia" w:ascii="宋体" w:hAnsi="宋体" w:cs="宋体"/>
          <w:color w:val="000000"/>
          <w:sz w:val="21"/>
          <w:szCs w:val="21"/>
        </w:rPr>
        <w:t>法律责任</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33.1 供应商有下列情形之一的，依法追究相关责任：</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（1）提供虚假材料谋取中标、成交的；</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（2）采取不正当手段诋毁、排挤其他供应商的；</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（3）与采购人、其他供应商或者采购代理机构恶意串通的；</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（4）向采购人、采购代理机构行贿或者提供其他不正当利益的；</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（5）在招标采购过程中与采购人进行协商谈判的；</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（6）拒绝有关部门监督检查或者提供虚假情况的。</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中标供应商有前款第（一）至（五）项情形之一的，中标无效。</w:t>
      </w:r>
    </w:p>
    <w:p>
      <w:pPr>
        <w:pStyle w:val="4"/>
        <w:rPr>
          <w:rFonts w:hint="eastAsia" w:ascii="宋体" w:hAnsi="宋体" w:cs="宋体"/>
          <w:color w:val="000000"/>
          <w:sz w:val="21"/>
          <w:szCs w:val="21"/>
        </w:rPr>
      </w:pPr>
      <w:r>
        <w:rPr>
          <w:rFonts w:hint="eastAsia" w:ascii="宋体" w:hAnsi="宋体" w:cs="宋体"/>
          <w:color w:val="000000"/>
          <w:sz w:val="21"/>
          <w:szCs w:val="21"/>
        </w:rPr>
        <w:t>采购项目需要落实的政府采购政策</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节约能源、保护环境、扶持不发达地区和少数民族地区、促进中小企业发展、支持监狱企业发展、促进残疾人就业、支持中小企业信用融资等政府采购政策。</w:t>
      </w:r>
    </w:p>
    <w:p>
      <w:pPr>
        <w:tabs>
          <w:tab w:val="left" w:pos="0"/>
        </w:tabs>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详见前附表。</w:t>
      </w:r>
    </w:p>
    <w:p>
      <w:pPr>
        <w:pStyle w:val="4"/>
        <w:rPr>
          <w:rFonts w:hint="eastAsia" w:ascii="宋体" w:hAnsi="宋体" w:cs="宋体"/>
          <w:color w:val="000000"/>
          <w:sz w:val="21"/>
          <w:szCs w:val="21"/>
        </w:rPr>
      </w:pPr>
      <w:r>
        <w:rPr>
          <w:rFonts w:hint="eastAsia" w:ascii="宋体" w:hAnsi="宋体" w:cs="宋体"/>
          <w:color w:val="000000"/>
          <w:sz w:val="21"/>
          <w:szCs w:val="21"/>
        </w:rPr>
        <w:t>采购代理服务费</w:t>
      </w:r>
    </w:p>
    <w:p>
      <w:pPr>
        <w:tabs>
          <w:tab w:val="left" w:pos="0"/>
        </w:tabs>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详见前附表。</w:t>
      </w:r>
    </w:p>
    <w:p>
      <w:pPr>
        <w:pStyle w:val="4"/>
        <w:rPr>
          <w:rFonts w:hint="eastAsia" w:ascii="宋体" w:hAnsi="宋体" w:cs="宋体"/>
          <w:color w:val="000000"/>
          <w:sz w:val="21"/>
          <w:szCs w:val="21"/>
        </w:rPr>
      </w:pPr>
      <w:r>
        <w:rPr>
          <w:rFonts w:hint="eastAsia" w:ascii="宋体" w:hAnsi="宋体" w:cs="宋体"/>
          <w:color w:val="000000"/>
          <w:sz w:val="21"/>
          <w:szCs w:val="21"/>
        </w:rPr>
        <w:t>解释权</w:t>
      </w:r>
    </w:p>
    <w:p>
      <w:pPr>
        <w:tabs>
          <w:tab w:val="left" w:pos="0"/>
        </w:tabs>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招标文件的解释权均属于采购人和采购代理机构。</w:t>
      </w:r>
    </w:p>
    <w:p>
      <w:pPr>
        <w:tabs>
          <w:tab w:val="left" w:pos="0"/>
        </w:tabs>
        <w:spacing w:line="360" w:lineRule="auto"/>
        <w:ind w:firstLine="480"/>
        <w:rPr>
          <w:rFonts w:hint="eastAsia" w:ascii="宋体" w:hAnsi="宋体" w:eastAsia="宋体" w:cs="宋体"/>
          <w:color w:val="000000"/>
          <w:sz w:val="21"/>
          <w:szCs w:val="21"/>
        </w:rPr>
      </w:pPr>
    </w:p>
    <w:p>
      <w:pPr>
        <w:pStyle w:val="2"/>
        <w:spacing w:before="0" w:after="0" w:line="360" w:lineRule="auto"/>
        <w:ind w:left="0" w:hanging="431"/>
        <w:jc w:val="center"/>
        <w:rPr>
          <w:rFonts w:hint="eastAsia" w:ascii="宋体" w:hAnsi="宋体" w:eastAsia="宋体" w:cs="宋体"/>
          <w:color w:val="000000"/>
          <w:kern w:val="2"/>
          <w:sz w:val="36"/>
        </w:rPr>
      </w:pPr>
      <w:r>
        <w:rPr>
          <w:rFonts w:hint="eastAsia" w:ascii="宋体" w:hAnsi="宋体" w:eastAsia="宋体" w:cs="宋体"/>
          <w:color w:val="000000"/>
          <w:sz w:val="24"/>
          <w:szCs w:val="24"/>
        </w:rPr>
        <w:br w:type="page"/>
      </w:r>
      <w:bookmarkStart w:id="72" w:name="_Toc12381"/>
      <w:r>
        <w:rPr>
          <w:rFonts w:hint="eastAsia" w:ascii="宋体" w:hAnsi="宋体" w:eastAsia="宋体" w:cs="宋体"/>
          <w:color w:val="000000"/>
          <w:kern w:val="2"/>
          <w:sz w:val="36"/>
        </w:rPr>
        <w:t>第三部分 评标方法及标准</w:t>
      </w:r>
      <w:bookmarkEnd w:id="72"/>
    </w:p>
    <w:p>
      <w:pPr>
        <w:pStyle w:val="4"/>
        <w:numPr>
          <w:ilvl w:val="2"/>
          <w:numId w:val="0"/>
        </w:numPr>
        <w:rPr>
          <w:rFonts w:ascii="宋体" w:hAnsi="宋体" w:cs="宋体"/>
          <w:color w:val="000000"/>
          <w:sz w:val="21"/>
          <w:szCs w:val="21"/>
        </w:rPr>
      </w:pPr>
      <w:r>
        <w:rPr>
          <w:rFonts w:hint="eastAsia" w:ascii="宋体" w:hAnsi="宋体" w:cs="宋体"/>
          <w:color w:val="000000"/>
          <w:sz w:val="21"/>
          <w:szCs w:val="21"/>
        </w:rPr>
        <w:t>一、评标办法</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综合评分法，是指投标文件满足招标文件全部实质性要求，且按照评审因素的量化指标评审得分最高的投标人为中标候选人的评标方法。</w:t>
      </w:r>
    </w:p>
    <w:p>
      <w:pPr>
        <w:pStyle w:val="4"/>
        <w:numPr>
          <w:ilvl w:val="2"/>
          <w:numId w:val="0"/>
        </w:numPr>
        <w:rPr>
          <w:rFonts w:ascii="宋体" w:hAnsi="宋体" w:cs="宋体"/>
          <w:color w:val="000000"/>
          <w:sz w:val="21"/>
          <w:szCs w:val="21"/>
        </w:rPr>
      </w:pPr>
      <w:r>
        <w:rPr>
          <w:rFonts w:hint="eastAsia" w:ascii="宋体" w:hAnsi="宋体" w:cs="宋体"/>
          <w:color w:val="000000"/>
          <w:sz w:val="21"/>
          <w:szCs w:val="21"/>
        </w:rPr>
        <w:t>二、评标委员会组成</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1、评标委员会的组成。评标委员会由采购人代表和评审专家组成，成员人数为5人以上单数，其中评审专家不少于成员总数的三分之二。</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2、评标委员会的组成人员的回避。在政府采购活动中，评标委员会的组成人员与供应商有下列利害关系之一的，应当回避：</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2.1参加采购活动前3年内与供应商存在劳动关系；</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2.2参加采购活动前3年内担任供应商的董事、监事；</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2.3参加采购活动前3年内是供应商的控股股东或者实际控制人；</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2.4与供应商的法定代表人或者负责人有夫妻、直系血亲、三代以内旁系血亲或者近姻亲关系；</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2.5与供应商有其他可能影响政府采购活动公平、公正进行的关系。</w:t>
      </w:r>
    </w:p>
    <w:p>
      <w:pPr>
        <w:pStyle w:val="4"/>
        <w:numPr>
          <w:ilvl w:val="2"/>
          <w:numId w:val="0"/>
        </w:numPr>
        <w:rPr>
          <w:rFonts w:hint="eastAsia" w:ascii="宋体" w:hAnsi="宋体" w:cs="宋体"/>
          <w:color w:val="000000"/>
          <w:sz w:val="21"/>
          <w:szCs w:val="21"/>
        </w:rPr>
      </w:pPr>
      <w:r>
        <w:rPr>
          <w:rFonts w:hint="eastAsia" w:ascii="宋体" w:hAnsi="宋体" w:cs="宋体"/>
          <w:color w:val="000000"/>
          <w:sz w:val="21"/>
          <w:szCs w:val="21"/>
        </w:rPr>
        <w:t>三、评标委员会职责</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1、评标委员会负责具体评标事务，并独立履行下列职责：</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1.1审查、评价投标文件是否符合招标文件的商务、技术等实质性要求；</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1.2要求投标人对投标文件有关事项作出澄清或者说明；</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1.3对投标文件进行比较和评价；</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1.4确定中标候选人名单，以及根据采购人委托直接确定中标人；</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1.5向采购人、采购代理机构或者有关部门报告评标中发现的违法行为；</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1.6法律、法规、规章、招标文件等规定的其他事项。</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2、评标委员会及其成员不得有下列行为：</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2.1确定参与评标至评标结束前私自接触投标人；</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2.2接受投标人提出的与投标文件不一致的澄清或者说明，87号令第五十一条规定的情形除外；</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2.3违反评标纪律发表倾向性意见或者征询采购人的倾向性意见；</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2.4对需要专业判断的主观评审因素协商评分；</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2.5在评标过程中擅离职守，影响评标程序正常进行的；</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2.6记录、复制或者带走任何评标资料；</w:t>
      </w:r>
    </w:p>
    <w:p>
      <w:pPr>
        <w:pStyle w:val="23"/>
        <w:spacing w:line="360" w:lineRule="auto"/>
        <w:ind w:left="240" w:leftChars="100" w:firstLine="420" w:firstLineChars="200"/>
        <w:rPr>
          <w:rFonts w:hint="eastAsia" w:hAnsi="宋体" w:eastAsia="宋体" w:cs="宋体"/>
          <w:color w:val="000000"/>
          <w:sz w:val="21"/>
          <w:szCs w:val="21"/>
        </w:rPr>
      </w:pPr>
      <w:r>
        <w:rPr>
          <w:rFonts w:hint="eastAsia" w:hAnsi="宋体" w:eastAsia="宋体" w:cs="宋体"/>
          <w:color w:val="000000"/>
          <w:sz w:val="21"/>
          <w:szCs w:val="21"/>
        </w:rPr>
        <w:t>2.7其他不遵守评标纪律的行为。</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评标委员会成员有2.1-2.5行为之一的，其评审意见无效，并不得获取评审劳务报酬和报销异地评审差旅费。</w:t>
      </w:r>
    </w:p>
    <w:p>
      <w:pPr>
        <w:pStyle w:val="4"/>
        <w:numPr>
          <w:ilvl w:val="2"/>
          <w:numId w:val="0"/>
        </w:numPr>
        <w:rPr>
          <w:rFonts w:ascii="宋体" w:hAnsi="宋体" w:cs="宋体"/>
          <w:color w:val="000000"/>
          <w:sz w:val="21"/>
          <w:szCs w:val="21"/>
        </w:rPr>
      </w:pPr>
      <w:r>
        <w:rPr>
          <w:rFonts w:hint="eastAsia" w:ascii="宋体" w:hAnsi="宋体" w:cs="宋体"/>
          <w:color w:val="000000"/>
          <w:sz w:val="21"/>
          <w:szCs w:val="21"/>
        </w:rPr>
        <w:t>四、评审前准备</w:t>
      </w:r>
    </w:p>
    <w:p>
      <w:pPr>
        <w:pStyle w:val="23"/>
        <w:spacing w:line="360" w:lineRule="auto"/>
        <w:ind w:firstLine="422" w:firstLineChars="200"/>
        <w:rPr>
          <w:rFonts w:hint="eastAsia" w:hAnsi="宋体" w:eastAsia="宋体" w:cs="宋体"/>
          <w:b/>
          <w:bCs/>
          <w:color w:val="000000"/>
          <w:sz w:val="21"/>
          <w:szCs w:val="21"/>
        </w:rPr>
      </w:pPr>
      <w:r>
        <w:rPr>
          <w:rFonts w:hint="eastAsia" w:hAnsi="宋体" w:eastAsia="宋体" w:cs="宋体"/>
          <w:b/>
          <w:bCs/>
          <w:color w:val="000000"/>
          <w:sz w:val="21"/>
          <w:szCs w:val="21"/>
        </w:rPr>
        <w:t>1、评审人员签到</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出席评审活动现场人员凭有效身份证件登记、签到，签订《政府采购评审人员廉洁自律承诺书》。</w:t>
      </w:r>
    </w:p>
    <w:p>
      <w:pPr>
        <w:pStyle w:val="23"/>
        <w:spacing w:line="360" w:lineRule="auto"/>
        <w:ind w:firstLine="422" w:firstLineChars="200"/>
        <w:rPr>
          <w:rFonts w:hint="eastAsia" w:hAnsi="宋体" w:eastAsia="宋体" w:cs="宋体"/>
          <w:b/>
          <w:bCs/>
          <w:color w:val="000000"/>
          <w:sz w:val="21"/>
          <w:szCs w:val="21"/>
        </w:rPr>
      </w:pPr>
      <w:r>
        <w:rPr>
          <w:rFonts w:hint="eastAsia" w:hAnsi="宋体" w:eastAsia="宋体" w:cs="宋体"/>
          <w:b/>
          <w:bCs/>
          <w:color w:val="000000"/>
          <w:sz w:val="21"/>
          <w:szCs w:val="21"/>
        </w:rPr>
        <w:t>2、宣读工作纪律和回避情形</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采购代理机构工作人员介绍评审现场的人员情况，宣布评审工作纪律，告知评审人员应当回避情形，通报参加本项目采购的投标人名单，宣读最终提交投标文件的投标人名单。</w:t>
      </w:r>
    </w:p>
    <w:p>
      <w:pPr>
        <w:pStyle w:val="23"/>
        <w:spacing w:line="360" w:lineRule="auto"/>
        <w:ind w:firstLine="422" w:firstLineChars="200"/>
        <w:rPr>
          <w:rFonts w:hint="eastAsia" w:hAnsi="宋体" w:eastAsia="宋体" w:cs="宋体"/>
          <w:b/>
          <w:bCs/>
          <w:color w:val="000000"/>
          <w:sz w:val="21"/>
          <w:szCs w:val="21"/>
        </w:rPr>
      </w:pPr>
      <w:r>
        <w:rPr>
          <w:rFonts w:hint="eastAsia" w:hAnsi="宋体" w:eastAsia="宋体" w:cs="宋体"/>
          <w:b/>
          <w:bCs/>
          <w:color w:val="000000"/>
          <w:sz w:val="21"/>
          <w:szCs w:val="21"/>
        </w:rPr>
        <w:t>3、推选组长</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组长由评标委员会各成员推选产生。组长负责主持评审工作，组织评标委员会进行有关评审的讨论和表决，负责组织询标工作，负责审核评标委员会各成员的评审情况，负责评分汇总审核，负责审核询标记录、废标决议、评标报告、授标结果意见等评标记录文件，负责组织评标委员会各成员对相关文件的签字确认。</w:t>
      </w:r>
    </w:p>
    <w:p>
      <w:pPr>
        <w:pStyle w:val="23"/>
        <w:spacing w:line="360" w:lineRule="auto"/>
        <w:ind w:firstLine="422" w:firstLineChars="200"/>
        <w:rPr>
          <w:rFonts w:hint="eastAsia" w:hAnsi="宋体" w:eastAsia="宋体" w:cs="宋体"/>
          <w:b/>
          <w:bCs/>
          <w:color w:val="000000"/>
          <w:sz w:val="21"/>
          <w:szCs w:val="21"/>
        </w:rPr>
      </w:pPr>
      <w:r>
        <w:rPr>
          <w:rFonts w:hint="eastAsia" w:hAnsi="宋体" w:eastAsia="宋体" w:cs="宋体"/>
          <w:b/>
          <w:bCs/>
          <w:color w:val="000000"/>
          <w:sz w:val="21"/>
          <w:szCs w:val="21"/>
        </w:rPr>
        <w:t>4、招标文件及评分细则审阅、确认</w:t>
      </w:r>
    </w:p>
    <w:p>
      <w:pPr>
        <w:pStyle w:val="23"/>
        <w:spacing w:line="360" w:lineRule="auto"/>
        <w:ind w:firstLine="420" w:firstLineChars="200"/>
        <w:rPr>
          <w:rFonts w:hint="eastAsia" w:hAnsi="宋体" w:eastAsia="宋体" w:cs="宋体"/>
          <w:color w:val="000000"/>
          <w:sz w:val="21"/>
          <w:szCs w:val="21"/>
        </w:rPr>
      </w:pPr>
      <w:r>
        <w:rPr>
          <w:rFonts w:hint="eastAsia" w:hAnsi="宋体" w:eastAsia="宋体" w:cs="宋体"/>
          <w:color w:val="000000"/>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3"/>
        <w:spacing w:line="360" w:lineRule="auto"/>
        <w:ind w:firstLine="422" w:firstLineChars="200"/>
        <w:rPr>
          <w:rFonts w:hAnsi="宋体" w:eastAsia="宋体" w:cs="宋体"/>
          <w:b/>
          <w:bCs/>
          <w:color w:val="000000"/>
          <w:sz w:val="21"/>
          <w:szCs w:val="21"/>
        </w:rPr>
      </w:pPr>
      <w:r>
        <w:rPr>
          <w:rFonts w:hint="eastAsia" w:hAnsi="宋体" w:eastAsia="宋体" w:cs="宋体"/>
          <w:b/>
          <w:bCs/>
          <w:color w:val="000000"/>
          <w:sz w:val="21"/>
          <w:szCs w:val="21"/>
        </w:rPr>
        <w:t>5、项目说明</w:t>
      </w:r>
    </w:p>
    <w:p>
      <w:pPr>
        <w:pStyle w:val="23"/>
        <w:spacing w:line="360" w:lineRule="auto"/>
        <w:ind w:firstLine="420" w:firstLineChars="200"/>
        <w:rPr>
          <w:rFonts w:hAnsi="宋体" w:eastAsia="宋体" w:cs="宋体"/>
          <w:color w:val="000000"/>
          <w:sz w:val="21"/>
          <w:szCs w:val="21"/>
        </w:rPr>
      </w:pPr>
      <w:r>
        <w:rPr>
          <w:rFonts w:hAnsi="宋体" w:eastAsia="宋体" w:cs="宋体"/>
          <w:color w:val="000000"/>
          <w:sz w:val="21"/>
          <w:szCs w:val="21"/>
        </w:rPr>
        <w:t>采购人可以在评标前</w:t>
      </w:r>
      <w:r>
        <w:rPr>
          <w:rFonts w:hint="eastAsia" w:hAnsi="宋体" w:eastAsia="宋体" w:cs="宋体"/>
          <w:color w:val="000000"/>
          <w:sz w:val="21"/>
          <w:szCs w:val="21"/>
        </w:rPr>
        <w:t>根据评标委员会要求</w:t>
      </w:r>
      <w:r>
        <w:rPr>
          <w:rFonts w:hAnsi="宋体" w:eastAsia="宋体" w:cs="宋体"/>
          <w:color w:val="000000"/>
          <w:sz w:val="21"/>
          <w:szCs w:val="21"/>
        </w:rPr>
        <w:t>说明项目背景和采购需求，说明内容不得含有歧视性、倾向性意见，不得超出招标文件所述范围。说明应当提交书面材料，并随采购文件一并存档。</w:t>
      </w:r>
    </w:p>
    <w:p>
      <w:pPr>
        <w:pStyle w:val="4"/>
        <w:numPr>
          <w:ilvl w:val="2"/>
          <w:numId w:val="0"/>
        </w:numPr>
        <w:rPr>
          <w:rFonts w:ascii="宋体" w:hAnsi="宋体" w:cs="宋体"/>
          <w:color w:val="000000"/>
          <w:sz w:val="21"/>
          <w:szCs w:val="21"/>
        </w:rPr>
      </w:pPr>
      <w:r>
        <w:rPr>
          <w:rFonts w:hint="eastAsia" w:ascii="宋体" w:hAnsi="宋体" w:cs="宋体"/>
          <w:color w:val="000000"/>
          <w:sz w:val="21"/>
          <w:szCs w:val="21"/>
        </w:rPr>
        <w:t>五、评审程序</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1、符合性审查</w:t>
      </w:r>
    </w:p>
    <w:p>
      <w:pPr>
        <w:pStyle w:val="213"/>
        <w:widowControl w:val="0"/>
        <w:snapToGrid/>
        <w:spacing w:after="0" w:afterLines="0" w:line="360" w:lineRule="auto"/>
        <w:ind w:firstLine="420"/>
        <w:rPr>
          <w:rFonts w:hint="eastAsia" w:ascii="宋体" w:hAnsi="宋体" w:eastAsia="宋体" w:cs="宋体"/>
          <w:b/>
          <w:bCs/>
          <w:color w:val="000000"/>
          <w:sz w:val="21"/>
          <w:szCs w:val="21"/>
        </w:rPr>
      </w:pPr>
      <w:r>
        <w:rPr>
          <w:rFonts w:hint="eastAsia" w:ascii="宋体" w:hAnsi="宋体" w:eastAsia="宋体" w:cs="宋体"/>
          <w:color w:val="000000"/>
          <w:sz w:val="21"/>
          <w:szCs w:val="21"/>
        </w:rPr>
        <w:t>评标委员会应当对符合资格的投标人的投标文件进行符合性审查，以确定其是否满足招标文件的实质性要求。</w:t>
      </w:r>
      <w:r>
        <w:rPr>
          <w:rFonts w:hint="eastAsia" w:ascii="宋体" w:hAnsi="宋体" w:eastAsia="宋体" w:cs="宋体"/>
          <w:b/>
          <w:bCs/>
          <w:color w:val="000000"/>
          <w:sz w:val="21"/>
          <w:szCs w:val="21"/>
        </w:rPr>
        <w:t>符合投标无效情形的，投标无效。评标委员会对拟认定为投标文件无效的，组织相关投标人进行陈述、澄清或申辩，投标人应在规定截止时间前在线回复相关内容并经电子签章后提交，逾期不确认的视为认可。</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2、投标人澄清、说明或者补正</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对于投标文件中含义不明确、同类问题表述不一致或者有明显文字和计算错误的内容，</w:t>
      </w:r>
      <w:r>
        <w:rPr>
          <w:rFonts w:hint="eastAsia" w:ascii="宋体" w:hAnsi="宋体" w:eastAsia="宋体" w:cs="宋体"/>
          <w:b/>
          <w:bCs/>
          <w:color w:val="000000"/>
          <w:sz w:val="21"/>
          <w:szCs w:val="21"/>
        </w:rPr>
        <w:t>评审中需要投标人对投标文件作出澄清、说明或者补正的，评标委员会和投标人应当通过电子交易平台交换数据电文。提交澄清说明或补正须经电子签章。提交澄清说明或补正的时间不少于半小时，投标人已经明确表示澄清说明或补正完毕的除外。</w:t>
      </w:r>
      <w:r>
        <w:rPr>
          <w:rFonts w:hint="eastAsia" w:ascii="宋体" w:hAnsi="宋体" w:eastAsia="宋体" w:cs="宋体"/>
          <w:color w:val="000000"/>
          <w:sz w:val="21"/>
          <w:szCs w:val="21"/>
        </w:rPr>
        <w:t>投标人的澄清、说明或者补正不得超出投标文件的范围或者改变投标文件的实质性内容。</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3、比较与评价</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评标委员会应当按照评标标准，对符合性审查合格的投标文件进行商务和技术评估，综合比较与评价。</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4、汇总（商务技术得分情况）</w:t>
      </w:r>
    </w:p>
    <w:p>
      <w:pPr>
        <w:pStyle w:val="213"/>
        <w:widowControl w:val="0"/>
        <w:snapToGrid/>
        <w:spacing w:after="0" w:afterLines="0" w:line="360" w:lineRule="auto"/>
        <w:ind w:firstLine="420"/>
        <w:rPr>
          <w:rFonts w:hint="eastAsia" w:ascii="宋体" w:hAnsi="宋体" w:eastAsia="宋体" w:cs="宋体"/>
          <w:b/>
          <w:bCs/>
          <w:color w:val="000000"/>
          <w:sz w:val="21"/>
          <w:szCs w:val="21"/>
        </w:rPr>
      </w:pPr>
      <w:r>
        <w:rPr>
          <w:rFonts w:hint="eastAsia" w:ascii="宋体" w:hAnsi="宋体" w:eastAsia="宋体" w:cs="宋体"/>
          <w:color w:val="000000"/>
          <w:sz w:val="21"/>
          <w:szCs w:val="21"/>
        </w:rPr>
        <w:t>评标委员会各成员应当独立对每个投标人的商务和技术文件进行评价，并汇总商务技术得分情况。</w:t>
      </w:r>
      <w:r>
        <w:rPr>
          <w:rFonts w:hint="eastAsia" w:ascii="宋体" w:hAnsi="宋体" w:eastAsia="宋体" w:cs="宋体"/>
          <w:b/>
          <w:bCs/>
          <w:color w:val="000000"/>
          <w:sz w:val="21"/>
          <w:szCs w:val="21"/>
        </w:rPr>
        <w:t>客观分值由评标委员会统一意见后打分。</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5、核对评标结果</w:t>
      </w:r>
    </w:p>
    <w:p>
      <w:pPr>
        <w:pStyle w:val="213"/>
        <w:widowControl w:val="0"/>
        <w:snapToGrid/>
        <w:spacing w:after="0" w:afterLines="0" w:line="360" w:lineRule="auto"/>
        <w:ind w:firstLine="420"/>
        <w:rPr>
          <w:rFonts w:ascii="宋体" w:hAnsi="宋体" w:eastAsia="宋体" w:cs="宋体"/>
          <w:color w:val="000000"/>
          <w:sz w:val="21"/>
          <w:szCs w:val="21"/>
        </w:rPr>
      </w:pPr>
      <w:r>
        <w:rPr>
          <w:rFonts w:ascii="宋体" w:hAnsi="宋体" w:eastAsia="宋体" w:cs="宋体"/>
          <w:color w:val="000000"/>
          <w:sz w:val="21"/>
          <w:szCs w:val="21"/>
        </w:rPr>
        <w:t>评标结果汇总完成后，除下列情形外，任何人不得修改评标结果：</w:t>
      </w:r>
    </w:p>
    <w:p>
      <w:pPr>
        <w:pStyle w:val="213"/>
        <w:widowControl w:val="0"/>
        <w:snapToGrid/>
        <w:spacing w:after="0" w:afterLines="0" w:line="36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分值汇总计算错误的；</w:t>
      </w:r>
    </w:p>
    <w:p>
      <w:pPr>
        <w:pStyle w:val="213"/>
        <w:widowControl w:val="0"/>
        <w:snapToGrid/>
        <w:spacing w:after="0" w:afterLines="0" w:line="36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分项评分超出评分标准范围的；</w:t>
      </w:r>
    </w:p>
    <w:p>
      <w:pPr>
        <w:pStyle w:val="213"/>
        <w:widowControl w:val="0"/>
        <w:snapToGrid/>
        <w:spacing w:after="0" w:afterLines="0" w:line="36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（3）</w:t>
      </w:r>
      <w:r>
        <w:rPr>
          <w:rFonts w:ascii="宋体" w:hAnsi="宋体" w:eastAsia="宋体" w:cs="宋体"/>
          <w:color w:val="000000"/>
          <w:sz w:val="21"/>
          <w:szCs w:val="21"/>
        </w:rPr>
        <w:t>评标委员会成员对客观评审因素评分不一致的；</w:t>
      </w:r>
    </w:p>
    <w:p>
      <w:pPr>
        <w:pStyle w:val="213"/>
        <w:widowControl w:val="0"/>
        <w:snapToGrid/>
        <w:spacing w:after="0" w:afterLines="0" w:line="36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（4）</w:t>
      </w:r>
      <w:r>
        <w:rPr>
          <w:rFonts w:ascii="宋体" w:hAnsi="宋体" w:eastAsia="宋体" w:cs="宋体"/>
          <w:color w:val="000000"/>
          <w:sz w:val="21"/>
          <w:szCs w:val="21"/>
        </w:rPr>
        <w:t>经评标委员会认定评分畸高、畸低的。</w:t>
      </w:r>
    </w:p>
    <w:p>
      <w:pPr>
        <w:pStyle w:val="213"/>
        <w:widowControl w:val="0"/>
        <w:snapToGrid/>
        <w:spacing w:after="0" w:afterLines="0" w:line="360" w:lineRule="auto"/>
        <w:ind w:firstLine="420"/>
        <w:rPr>
          <w:rFonts w:ascii="宋体" w:hAnsi="宋体" w:eastAsia="宋体" w:cs="宋体"/>
          <w:color w:val="000000"/>
          <w:sz w:val="21"/>
          <w:szCs w:val="21"/>
        </w:rPr>
      </w:pPr>
      <w:r>
        <w:rPr>
          <w:rFonts w:ascii="宋体" w:hAnsi="宋体" w:eastAsia="宋体" w:cs="宋体"/>
          <w:color w:val="000000"/>
          <w:sz w:val="2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6、报价审核</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对经商务和技术评审符合采购需求的投标人的报价的合理性、准确性等进行审查核实：</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6.1评标委员会认为投标人的报价明显低于其他通过符合性审查投标人的报价，有可能影响产品质量或者不能诚信履约的，应当要求其</w:t>
      </w:r>
      <w:r>
        <w:rPr>
          <w:rFonts w:hint="eastAsia" w:ascii="宋体" w:hAnsi="宋体" w:eastAsia="宋体" w:cs="宋体"/>
          <w:b/>
          <w:bCs/>
          <w:color w:val="000000"/>
          <w:sz w:val="21"/>
          <w:szCs w:val="21"/>
        </w:rPr>
        <w:t>在规定截止时间前在线回复相关内容并经电子签章后提交</w:t>
      </w:r>
      <w:r>
        <w:rPr>
          <w:rFonts w:hint="eastAsia" w:ascii="宋体" w:hAnsi="宋体" w:eastAsia="宋体" w:cs="宋体"/>
          <w:color w:val="000000"/>
          <w:sz w:val="21"/>
          <w:szCs w:val="21"/>
        </w:rPr>
        <w:t>，必要时提交相关证明材料。</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6.2根据财政部发布的《政府采购促进中小企业发展暂行办法》规定，对于非专门面向中小企业的项目，对小型和微型企业产品的价格给予一定的扣除，用扣除后的价格参与评审。</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6.3投标价格的修正原则。投标文件报价出现前后不一致的，按照下列规定修正：</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（1）投标文件中开标一览表(报价表)内容与投标文件中相应内容不一致的，以开标一览表(报价表)为准;</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（2）大写金额和小写金额不一致的，以大写金额为准;</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（3）单价金额小数点或者百分比有明显错位的，以开标一览表的总价为准，并修改单价;</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（4）总价金额与按单价汇总金额不一致的，以单价金额计算结果为准。</w:t>
      </w:r>
    </w:p>
    <w:p>
      <w:pPr>
        <w:pStyle w:val="213"/>
        <w:widowControl w:val="0"/>
        <w:snapToGrid/>
        <w:spacing w:after="0" w:afterLines="0" w:line="36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（5）对不同文字文本投标文件的解释发生异议的，以中文文本为准。</w:t>
      </w:r>
    </w:p>
    <w:p>
      <w:pPr>
        <w:pStyle w:val="213"/>
        <w:widowControl w:val="0"/>
        <w:snapToGrid/>
        <w:spacing w:after="0" w:afterLines="0" w:line="360" w:lineRule="auto"/>
        <w:ind w:firstLine="420"/>
        <w:rPr>
          <w:rFonts w:ascii="宋体" w:hAnsi="宋体" w:eastAsia="宋体" w:cs="宋体"/>
          <w:b/>
          <w:bCs/>
          <w:color w:val="000000"/>
          <w:sz w:val="21"/>
          <w:szCs w:val="21"/>
        </w:rPr>
      </w:pPr>
      <w:r>
        <w:rPr>
          <w:rFonts w:hint="eastAsia" w:ascii="宋体" w:hAnsi="宋体" w:eastAsia="宋体" w:cs="宋体"/>
          <w:color w:val="000000"/>
          <w:sz w:val="21"/>
          <w:szCs w:val="21"/>
        </w:rPr>
        <w:t>同时出现两种以上不一致的，按照前款规定的顺序修正。</w:t>
      </w:r>
      <w:r>
        <w:rPr>
          <w:rFonts w:hint="eastAsia" w:ascii="宋体" w:hAnsi="宋体" w:eastAsia="宋体" w:cs="宋体"/>
          <w:b/>
          <w:bCs/>
          <w:color w:val="000000"/>
          <w:sz w:val="21"/>
          <w:szCs w:val="21"/>
        </w:rPr>
        <w:t>投标人对根据修正原则修正后的报价不确认的，其投标无效。</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7、汇总得分</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评标委员会各成员应当独立对每个投标人的投标文件进行评价，并汇总每个投标人的得分。</w:t>
      </w:r>
    </w:p>
    <w:p>
      <w:pPr>
        <w:pStyle w:val="213"/>
        <w:widowControl w:val="0"/>
        <w:snapToGrid/>
        <w:spacing w:after="0" w:afterLines="0" w:line="360" w:lineRule="auto"/>
        <w:ind w:firstLine="420"/>
        <w:rPr>
          <w:rFonts w:hint="eastAsia" w:ascii="宋体" w:hAnsi="宋体" w:eastAsia="宋体" w:cs="宋体"/>
          <w:b/>
          <w:bCs/>
          <w:color w:val="000000"/>
          <w:sz w:val="21"/>
          <w:szCs w:val="21"/>
        </w:rPr>
      </w:pPr>
      <w:r>
        <w:rPr>
          <w:rFonts w:hint="eastAsia" w:ascii="宋体" w:hAnsi="宋体" w:eastAsia="宋体" w:cs="宋体"/>
          <w:color w:val="000000"/>
          <w:sz w:val="21"/>
          <w:szCs w:val="21"/>
        </w:rPr>
        <w:t>8、</w:t>
      </w:r>
      <w:r>
        <w:rPr>
          <w:rFonts w:hint="eastAsia" w:ascii="宋体" w:hAnsi="宋体" w:eastAsia="宋体" w:cs="宋体"/>
          <w:b/>
          <w:bCs/>
          <w:color w:val="000000"/>
          <w:sz w:val="21"/>
          <w:szCs w:val="21"/>
        </w:rPr>
        <w:t>顺序排列与中标候选推荐</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9、投标无效</w:t>
      </w:r>
    </w:p>
    <w:p>
      <w:pPr>
        <w:pStyle w:val="213"/>
        <w:widowControl w:val="0"/>
        <w:snapToGrid/>
        <w:spacing w:after="0" w:afterLines="0" w:line="360" w:lineRule="auto"/>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有下列情况之一的，投标无效：</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（1）投标文件未按照招标文件的规定提交投标保证金的；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（2）投标文件未按招标文件要求签署、盖章的；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（3）不具备招标文件中规定的资格要求的；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（4）报价超过招标文件中规定的预算金额或者最高限价的；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（5）投标文件含有采购人不能接受的附加条件的;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（6）法律、法规和招标文件规定的其他无效情形。</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9.1 其中，商务技术文件符合性审查的无效情形有：</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（1）单位负责人为同一人或者存在直接控股、管理关系的不同供应商参加同一合同项下的政府采购活动的（均无效）；</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（2）为采购项目提供整体设计、规范编制或者项目管理、监理、检测等服务的供应商再参加该采购项目的其他采购活动的；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（3）投标人不具备招标文件中规定的资格要求的（投标人未提供有效的资格证明文件的，视为投标人不具备招标文件中规定的资格要求）；</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（4）如以联合体形式参加政府采购活动的，联合体协议不符合招标文件规定的联合体协议要求的；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（5）投标文件未按照招标文件要求签署、盖章的；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（6）经评标委员会审核，投标文件不满足招标文件中实质性响应条款的（具体条文前标注“▲”的为实质性响应条款）；</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（7）经评标委员会审核，投标人符合财政部87号令第三十七条规定情形之一的，视为投标人串通投标的，其投标无效：</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（a）不同投标人的投标文件由同一单位或者个人编制；</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（b）不同投标人委托同一单位或者个人办理投标事宜；</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（c）不同投标人的投标文件载明的项目管理成员或者联系人员为同一人；</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（d）不同投标人的投标文件异常一致或者投标报价呈规律性差异；</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（e）不同投标人的投标文件相互混装。</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（8）仅提交“备份投标文件”的；</w:t>
      </w:r>
    </w:p>
    <w:p>
      <w:pPr>
        <w:pStyle w:val="213"/>
        <w:widowControl w:val="0"/>
        <w:snapToGrid/>
        <w:spacing w:after="0" w:afterLines="0" w:line="360" w:lineRule="auto"/>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（9）采购人拟采购的产品属于政府强制采购的节能产品品目清单，投标文件未响应的；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（10）投标人有恶意串通、妨碍其他投标人的竞争行为、损害采购人或者其他投标人的合法权益情形的；有下列情形之一的，属于或视为恶意串通，其投标无效：</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（a）供应商直接或者间接从采购人或者采购代理机构处获得其他供应商的相关情况并修改其投标文件或者响应文件；</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（b）供应商按照采购人或者采购代理机构的授意撤换、修改投标文件或者响应文件；</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（c）供应商之间协商报价、技术方案等投标文件或者响应文件的实质性内容；</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（d）属于同一集团、协会、商会等组织成员的供应商按照该组织要求协同参加政府采购活动；</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（e）供应商之间事先约定由某一特定供应商中标、成交；</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（f）供应商之间商定部分供应商放弃参加政府采购活动或者放弃中标、成交；</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（g）供应商与采购人或者采购代理机构之间、供应商相互之间，为谋求特定供应商中标、成交或者排斥其他供应商的其他串通行为。</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（11）投标人提供虚假材料投标的（包括但不限于以下情节）；</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（a）使用伪造、变造的许可证件；</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（b）提供虚假的财务状况或者业绩；</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（c）提供虚假的项目负责人或者主要技术人员简历、劳动关系证明；</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（d）提供虚假的信用状况；</w:t>
      </w:r>
    </w:p>
    <w:p>
      <w:pPr>
        <w:pStyle w:val="213"/>
        <w:widowControl w:val="0"/>
        <w:snapToGrid/>
        <w:spacing w:after="0" w:afterLines="0" w:line="360" w:lineRule="auto"/>
        <w:ind w:left="240" w:leftChars="100"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（e）其他弄虚作假的行为。</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（12）投标文件含有采购人不能接受的附加条件的；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（13）法律、法规和招标文件规定的其他无效情形。</w:t>
      </w:r>
    </w:p>
    <w:p>
      <w:pPr>
        <w:pStyle w:val="213"/>
        <w:widowControl w:val="0"/>
        <w:snapToGrid/>
        <w:spacing w:after="0" w:afterLines="0" w:line="360" w:lineRule="auto"/>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9.2 报价文件符合性审查的无效情形有：</w:t>
      </w:r>
    </w:p>
    <w:p>
      <w:pPr>
        <w:pStyle w:val="213"/>
        <w:widowControl w:val="0"/>
        <w:snapToGrid/>
        <w:spacing w:after="0" w:afterLines="0" w:line="360" w:lineRule="auto"/>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（1）报价超过招标文件中规定的预算金额或者最高限价的；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（2）报价内容前后不一致，且投标人拒绝按修正原则对报价内容进行确认的；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（3）投标文件出现不是唯一的、有选择性投标报价的；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（4）不同投标人的投标报价呈规律性差异；（均无效）</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（5）报价为零元报价或出现赠送行为的；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（6）报价明显低于其他通过符合性审查投标人的报价，有可能影响产品质量或者不能诚信履约的且不能提供书面说明的；</w:t>
      </w:r>
    </w:p>
    <w:p>
      <w:pPr>
        <w:pStyle w:val="213"/>
        <w:widowControl w:val="0"/>
        <w:snapToGrid/>
        <w:spacing w:after="0" w:afterLines="0" w:line="360" w:lineRule="auto"/>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（7）投标人提供虚假材料投标的；</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（8）报价含有采购人不能接受的附加条件的；</w:t>
      </w:r>
    </w:p>
    <w:p>
      <w:pPr>
        <w:pStyle w:val="213"/>
        <w:widowControl w:val="0"/>
        <w:snapToGrid/>
        <w:spacing w:after="0" w:afterLines="0" w:line="360" w:lineRule="auto"/>
        <w:ind w:firstLine="422"/>
        <w:rPr>
          <w:rFonts w:ascii="宋体" w:hAnsi="宋体" w:eastAsia="宋体" w:cs="宋体"/>
          <w:b/>
          <w:bCs/>
          <w:color w:val="000000"/>
          <w:sz w:val="21"/>
          <w:szCs w:val="21"/>
        </w:rPr>
      </w:pPr>
      <w:r>
        <w:rPr>
          <w:rFonts w:hint="eastAsia" w:ascii="宋体" w:hAnsi="宋体" w:eastAsia="宋体" w:cs="宋体"/>
          <w:b/>
          <w:bCs/>
          <w:color w:val="000000"/>
          <w:sz w:val="21"/>
          <w:szCs w:val="21"/>
        </w:rPr>
        <w:t>（9）法律、法规和招标文件规定的其他无效情形。</w:t>
      </w:r>
    </w:p>
    <w:p>
      <w:pPr>
        <w:pStyle w:val="4"/>
        <w:numPr>
          <w:ilvl w:val="2"/>
          <w:numId w:val="0"/>
        </w:numPr>
        <w:rPr>
          <w:rFonts w:ascii="宋体" w:hAnsi="宋体" w:cs="宋体"/>
          <w:color w:val="000000"/>
          <w:sz w:val="21"/>
          <w:szCs w:val="21"/>
        </w:rPr>
      </w:pPr>
      <w:r>
        <w:rPr>
          <w:rFonts w:hint="eastAsia" w:ascii="宋体" w:hAnsi="宋体" w:cs="宋体"/>
          <w:color w:val="000000"/>
          <w:sz w:val="21"/>
          <w:szCs w:val="21"/>
        </w:rPr>
        <w:t>六、评审报告</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1、评审报告</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评标委员会根据全体评标成员签字的原始评标记录和评标结果编写报告，并推荐中标候选人。评审报告的主要内容包括：</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（1）招标公告刊登的媒体名称、开标日期和地点；</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（2）投标人名单和评标委员会成员名单；</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（3）评标方法和标准；</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（4）开标记录和评标情况及说明，包括无效投标人名单及原因；</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（5）评标结果，确定的中标候选人名单或经采购人委托直接确定的中标人；</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（6）其他需要说明的情况，包括评标过程中投标人根据评标委员会要求进行的澄清、说明或者补正，评标委员会成员的更换等。</w:t>
      </w:r>
    </w:p>
    <w:p>
      <w:pPr>
        <w:pStyle w:val="213"/>
        <w:widowControl w:val="0"/>
        <w:snapToGrid/>
        <w:spacing w:after="0" w:afterLines="0" w:line="360" w:lineRule="auto"/>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2、评审争议事项处理</w:t>
      </w:r>
    </w:p>
    <w:p>
      <w:pPr>
        <w:pStyle w:val="213"/>
        <w:widowControl w:val="0"/>
        <w:snapToGrid/>
        <w:spacing w:after="0" w:afterLines="0" w:line="360" w:lineRule="auto"/>
        <w:ind w:firstLine="420"/>
        <w:rPr>
          <w:rFonts w:ascii="宋体" w:hAnsi="宋体" w:eastAsia="宋体" w:cs="宋体"/>
          <w:color w:val="000000"/>
          <w:sz w:val="21"/>
          <w:szCs w:val="21"/>
        </w:rPr>
      </w:pPr>
      <w:r>
        <w:rPr>
          <w:rFonts w:ascii="宋体" w:hAnsi="宋体" w:eastAsia="宋体" w:cs="宋体"/>
          <w:color w:val="000000"/>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4"/>
        <w:numPr>
          <w:ilvl w:val="2"/>
          <w:numId w:val="0"/>
        </w:numPr>
        <w:rPr>
          <w:rFonts w:ascii="宋体" w:hAnsi="宋体" w:cs="宋体"/>
          <w:color w:val="000000"/>
          <w:sz w:val="21"/>
          <w:szCs w:val="21"/>
        </w:rPr>
      </w:pPr>
      <w:r>
        <w:rPr>
          <w:rFonts w:hint="eastAsia" w:ascii="宋体" w:hAnsi="宋体" w:cs="宋体"/>
          <w:color w:val="000000"/>
          <w:sz w:val="21"/>
          <w:szCs w:val="21"/>
        </w:rPr>
        <w:t>七、废标情形</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根据《中华人民共和国政府采购法》第三十六条之规定，在采购中，出现下列情形之一的，应予废标：</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（1）符合专业条件的供应商或者对招标文件作实质响应的供应商不足3家的；</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（2）出现影响采购公正的违法、违规行为的；</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（3）投标人的报价均超过了采购预算，采购人不能支付的；</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（4）因重大变故，采购任务取消的。</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废标后，采购代理机构应当将废标理由通知所有投标人。</w:t>
      </w:r>
    </w:p>
    <w:p>
      <w:pPr>
        <w:pStyle w:val="4"/>
        <w:numPr>
          <w:ilvl w:val="2"/>
          <w:numId w:val="0"/>
        </w:numPr>
        <w:rPr>
          <w:rFonts w:ascii="宋体" w:hAnsi="宋体" w:cs="宋体"/>
          <w:color w:val="000000"/>
          <w:sz w:val="21"/>
          <w:szCs w:val="21"/>
        </w:rPr>
      </w:pPr>
      <w:r>
        <w:rPr>
          <w:rFonts w:hint="eastAsia" w:ascii="宋体" w:hAnsi="宋体" w:cs="宋体"/>
          <w:color w:val="000000"/>
          <w:sz w:val="21"/>
          <w:szCs w:val="21"/>
        </w:rPr>
        <w:t>八、重新组织采购</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2、存在政府采购法第七十一条、第七十二条规定的违法行为之一，影响或者可能影响中标、成交结果的，依照下列规定处理：</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（1）未确定中标或者成交供应商的，终止本次政府采购活动，重新开展政府采购活动。</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（3）政府采购合同已签订但尚未履行的，撤销合同，从合格的中标或者成交候选人中另行确定中标或者成交供应商；没有合格的中标或者成交候选人的，重新开展政府采购活动。</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（4）政府采购合同已经履行，给采购人、供应商造成损失的，由责任人承担赔偿责任。</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政府采购当事人有其他违反政府采购法或者本条例规定的行为，经改正后仍然影响或者可能影响中标、成交结果或者依法被认定为中标、成交无效的，依照前款规定处理。</w:t>
      </w:r>
    </w:p>
    <w:p>
      <w:pPr>
        <w:pStyle w:val="4"/>
        <w:numPr>
          <w:ilvl w:val="2"/>
          <w:numId w:val="0"/>
        </w:numPr>
        <w:rPr>
          <w:rFonts w:ascii="宋体" w:hAnsi="宋体" w:cs="宋体"/>
          <w:color w:val="000000"/>
          <w:sz w:val="21"/>
          <w:szCs w:val="21"/>
        </w:rPr>
      </w:pPr>
      <w:r>
        <w:rPr>
          <w:rFonts w:hint="eastAsia" w:ascii="宋体" w:hAnsi="宋体" w:cs="宋体"/>
          <w:color w:val="000000"/>
          <w:sz w:val="21"/>
          <w:szCs w:val="21"/>
        </w:rPr>
        <w:t>九、保密和录像</w:t>
      </w:r>
    </w:p>
    <w:p>
      <w:pPr>
        <w:pStyle w:val="213"/>
        <w:widowControl w:val="0"/>
        <w:snapToGrid/>
        <w:spacing w:after="0" w:afterLines="0" w:line="360" w:lineRule="auto"/>
        <w:ind w:firstLine="422"/>
        <w:rPr>
          <w:rFonts w:hint="eastAsia" w:ascii="宋体" w:hAnsi="宋体" w:eastAsia="宋体" w:cs="宋体"/>
          <w:color w:val="000000"/>
          <w:sz w:val="21"/>
          <w:szCs w:val="21"/>
        </w:rPr>
      </w:pPr>
      <w:r>
        <w:rPr>
          <w:rFonts w:hint="eastAsia" w:ascii="宋体" w:hAnsi="宋体" w:eastAsia="宋体" w:cs="宋体"/>
          <w:b/>
          <w:bCs/>
          <w:color w:val="000000"/>
          <w:sz w:val="21"/>
          <w:szCs w:val="21"/>
        </w:rPr>
        <w:t>1、保密。</w:t>
      </w:r>
      <w:r>
        <w:rPr>
          <w:rFonts w:hint="eastAsia" w:ascii="宋体" w:hAnsi="宋体" w:eastAsia="宋体" w:cs="宋体"/>
          <w:color w:val="000000"/>
          <w:sz w:val="21"/>
          <w:szCs w:val="21"/>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pPr>
        <w:pStyle w:val="213"/>
        <w:widowControl w:val="0"/>
        <w:snapToGrid/>
        <w:spacing w:after="0" w:afterLines="0" w:line="360" w:lineRule="auto"/>
        <w:ind w:firstLine="422"/>
        <w:rPr>
          <w:rFonts w:hint="eastAsia" w:ascii="宋体" w:hAnsi="宋体" w:eastAsia="宋体" w:cs="宋体"/>
          <w:color w:val="000000"/>
          <w:sz w:val="21"/>
          <w:szCs w:val="21"/>
        </w:rPr>
      </w:pPr>
      <w:r>
        <w:rPr>
          <w:rFonts w:hint="eastAsia" w:ascii="宋体" w:hAnsi="宋体" w:eastAsia="宋体" w:cs="宋体"/>
          <w:b/>
          <w:bCs/>
          <w:color w:val="000000"/>
          <w:sz w:val="21"/>
          <w:szCs w:val="21"/>
        </w:rPr>
        <w:t>2、录音录像。</w:t>
      </w:r>
      <w:r>
        <w:rPr>
          <w:rFonts w:hint="eastAsia" w:ascii="宋体" w:hAnsi="宋体" w:eastAsia="宋体" w:cs="宋体"/>
          <w:color w:val="000000"/>
          <w:sz w:val="21"/>
          <w:szCs w:val="21"/>
        </w:rPr>
        <w:t>采购代理机构对评审工作现场进行全过程录音录像，录音录像资料作为采购项目文件随其他文件一并存档。</w:t>
      </w:r>
    </w:p>
    <w:p>
      <w:pPr>
        <w:pStyle w:val="4"/>
        <w:numPr>
          <w:ilvl w:val="2"/>
          <w:numId w:val="0"/>
        </w:numPr>
        <w:rPr>
          <w:rFonts w:ascii="宋体" w:hAnsi="宋体" w:cs="宋体"/>
          <w:color w:val="000000"/>
          <w:sz w:val="21"/>
          <w:szCs w:val="21"/>
        </w:rPr>
      </w:pPr>
      <w:r>
        <w:rPr>
          <w:rFonts w:hint="eastAsia" w:ascii="宋体" w:hAnsi="宋体" w:cs="宋体"/>
          <w:color w:val="000000"/>
          <w:sz w:val="21"/>
          <w:szCs w:val="21"/>
        </w:rPr>
        <w:t>十、评标标准</w:t>
      </w:r>
    </w:p>
    <w:p>
      <w:pPr>
        <w:spacing w:line="360" w:lineRule="auto"/>
        <w:ind w:firstLine="373" w:firstLineChars="178"/>
        <w:rPr>
          <w:rFonts w:hint="eastAsia" w:ascii="宋体" w:hAnsi="宋体" w:eastAsia="宋体" w:cs="宋体"/>
          <w:color w:val="000000"/>
          <w:sz w:val="21"/>
          <w:szCs w:val="21"/>
        </w:rPr>
      </w:pPr>
      <w:r>
        <w:rPr>
          <w:rFonts w:hint="eastAsia" w:ascii="宋体" w:hAnsi="宋体" w:eastAsia="宋体" w:cs="宋体"/>
          <w:color w:val="000000"/>
          <w:sz w:val="21"/>
          <w:szCs w:val="21"/>
        </w:rPr>
        <w:t>各有效投标人的综合得分为：投标价格得分+商务技术得分之和，总分为100分，其中：投标价格得分20分，技术得分70分，商务得分10分。</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经统计，各有效投标人的最终评审分为评标委员会成员评分的算术平均值</w:t>
      </w:r>
      <w:r>
        <w:rPr>
          <w:rFonts w:hint="eastAsia" w:ascii="宋体" w:hAnsi="宋体" w:eastAsia="宋体" w:cs="宋体"/>
          <w:color w:val="000000"/>
          <w:sz w:val="21"/>
          <w:szCs w:val="21"/>
          <w:lang w:val="zh-CN"/>
        </w:rPr>
        <w:t>（四舍五入保留到小数点后两位）</w:t>
      </w:r>
      <w:r>
        <w:rPr>
          <w:rFonts w:hint="eastAsia" w:ascii="宋体" w:hAnsi="宋体" w:eastAsia="宋体" w:cs="宋体"/>
          <w:color w:val="000000"/>
          <w:sz w:val="21"/>
          <w:szCs w:val="21"/>
        </w:rPr>
        <w:t>。投标人得分排序：按最终评审分由高到低顺序排列。得分相同的，按投标报价由低到高顺序排列。得分且投标报价相同的并列。</w:t>
      </w:r>
    </w:p>
    <w:p>
      <w:pPr>
        <w:pStyle w:val="213"/>
        <w:widowControl w:val="0"/>
        <w:snapToGrid/>
        <w:spacing w:after="0" w:afterLines="0" w:line="360" w:lineRule="auto"/>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根据上述评标办法，分值安排如下：</w:t>
      </w:r>
    </w:p>
    <w:p>
      <w:pPr>
        <w:pStyle w:val="23"/>
        <w:spacing w:line="360" w:lineRule="auto"/>
        <w:ind w:firstLine="422" w:firstLineChars="200"/>
        <w:rPr>
          <w:rFonts w:hint="eastAsia" w:hAnsi="宋体" w:eastAsia="宋体" w:cs="宋体"/>
          <w:b/>
          <w:color w:val="000000"/>
          <w:kern w:val="28"/>
          <w:sz w:val="21"/>
          <w:szCs w:val="21"/>
        </w:rPr>
      </w:pPr>
      <w:r>
        <w:rPr>
          <w:rFonts w:hint="eastAsia" w:hAnsi="宋体" w:eastAsia="宋体" w:cs="宋体"/>
          <w:b/>
          <w:color w:val="000000"/>
          <w:sz w:val="21"/>
          <w:szCs w:val="21"/>
        </w:rPr>
        <w:t>价格得分（20分）：</w:t>
      </w:r>
    </w:p>
    <w:p>
      <w:pPr>
        <w:autoSpaceDE w:val="0"/>
        <w:autoSpaceDN w:val="0"/>
        <w:spacing w:line="360" w:lineRule="auto"/>
        <w:ind w:firstLine="482"/>
        <w:rPr>
          <w:rFonts w:hint="eastAsia" w:ascii="宋体" w:hAnsi="宋体" w:eastAsia="宋体" w:cs="宋体"/>
          <w:color w:val="000000"/>
          <w:sz w:val="21"/>
          <w:szCs w:val="21"/>
          <w:lang w:val="zh-CN"/>
        </w:rPr>
      </w:pPr>
      <w:r>
        <w:rPr>
          <w:rFonts w:hint="eastAsia" w:ascii="宋体" w:hAnsi="宋体" w:eastAsia="宋体" w:cs="宋体"/>
          <w:b/>
          <w:color w:val="000000"/>
          <w:sz w:val="21"/>
          <w:szCs w:val="21"/>
          <w:lang w:val="zh-CN"/>
        </w:rPr>
        <w:t>报价的合理性：</w:t>
      </w:r>
      <w:r>
        <w:rPr>
          <w:rFonts w:hint="eastAsia" w:ascii="宋体" w:hAnsi="宋体" w:eastAsia="宋体" w:cs="宋体"/>
          <w:color w:val="000000"/>
          <w:sz w:val="21"/>
          <w:szCs w:val="21"/>
          <w:lang w:val="zh-CN"/>
        </w:rPr>
        <w:t>分析总报价及各个分项报价是否合理，报价范围是否完整，有否重大错漏项</w:t>
      </w:r>
      <w:r>
        <w:rPr>
          <w:rFonts w:hint="eastAsia" w:ascii="宋体" w:hAnsi="宋体" w:eastAsia="宋体" w:cs="宋体"/>
          <w:color w:val="000000"/>
          <w:sz w:val="21"/>
          <w:szCs w:val="21"/>
        </w:rPr>
        <w:t>，评标委员会认为投标报价出现异常时，有权要求投标人在评标期间对投标报价的详细组成等事项作出解释和澄清，并确认其投标报价是否有效</w:t>
      </w:r>
      <w:r>
        <w:rPr>
          <w:rFonts w:hint="eastAsia" w:ascii="宋体" w:hAnsi="宋体" w:eastAsia="宋体" w:cs="宋体"/>
          <w:color w:val="000000"/>
          <w:sz w:val="21"/>
          <w:szCs w:val="21"/>
          <w:lang w:val="zh-CN"/>
        </w:rPr>
        <w:t>。</w:t>
      </w:r>
    </w:p>
    <w:p>
      <w:pPr>
        <w:spacing w:line="360" w:lineRule="auto"/>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报价分计算方法：根据各投标人的有效投标报价，以满足招标文件要求且有效投标价格的最低的投标报价为评标基准价，其价格分为满分。其他投标人的价格分统一按照下列公式计算：投标报价得分＝（评标基准价/有效投标报价）</w:t>
      </w:r>
      <w:r>
        <w:rPr>
          <w:rFonts w:hint="eastAsia" w:ascii="宋体" w:hAnsi="宋体" w:eastAsia="宋体" w:cs="宋体"/>
          <w:color w:val="000000"/>
          <w:sz w:val="21"/>
          <w:szCs w:val="21"/>
        </w:rPr>
        <w:t>×价格分权值×100</w:t>
      </w:r>
      <w:r>
        <w:rPr>
          <w:rFonts w:hint="eastAsia" w:ascii="宋体" w:hAnsi="宋体" w:eastAsia="宋体" w:cs="宋体"/>
          <w:color w:val="000000"/>
          <w:sz w:val="21"/>
          <w:szCs w:val="21"/>
          <w:lang w:val="zh-CN"/>
        </w:rPr>
        <w:t>（保留到小数点后两位（四舍五入），当场统一计算）。</w:t>
      </w:r>
    </w:p>
    <w:p>
      <w:pPr>
        <w:spacing w:line="360" w:lineRule="auto"/>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根据《政府采购促进中小企业发展管理办法》（财库〔2020〕46号）文件、《浙江省财政厅、浙江省中小企业局转发财政部、工业和信息化部关于印发&lt;政府采购促进中小企业发展暂行办法&gt;的通知》（浙财采监[2012]11号）及《浙江省财政厅 浙江省经济和信息化委员会关于简化中小企业类别确认流程有关事项的通知》（浙财采监〔2018〕2号），对小型、微型企业或监狱企业、残疾人福利性单位的投标报价给予</w:t>
      </w:r>
      <w:r>
        <w:rPr>
          <w:rFonts w:hint="eastAsia" w:ascii="宋体" w:hAnsi="宋体" w:eastAsia="宋体" w:cs="宋体"/>
          <w:color w:val="000000"/>
          <w:sz w:val="21"/>
          <w:szCs w:val="21"/>
        </w:rPr>
        <w:t>8</w:t>
      </w:r>
      <w:r>
        <w:rPr>
          <w:rFonts w:hint="eastAsia" w:ascii="宋体" w:hAnsi="宋体" w:eastAsia="宋体" w:cs="宋体"/>
          <w:color w:val="000000"/>
          <w:sz w:val="21"/>
          <w:szCs w:val="21"/>
          <w:lang w:val="zh-CN"/>
        </w:rPr>
        <w:t>%的扣除，并用扣除后的价格计算价格评分。</w:t>
      </w:r>
      <w:r>
        <w:rPr>
          <w:rFonts w:hint="eastAsia" w:ascii="宋体" w:hAnsi="宋体" w:eastAsia="宋体" w:cs="宋体"/>
          <w:b/>
          <w:bCs/>
          <w:color w:val="000000"/>
          <w:sz w:val="21"/>
          <w:szCs w:val="21"/>
          <w:lang w:val="zh-CN"/>
        </w:rPr>
        <w:t>投标人需提供的相关证明材料，未提供的不享受上述扶持政策。</w:t>
      </w:r>
    </w:p>
    <w:p>
      <w:pPr>
        <w:pStyle w:val="23"/>
        <w:spacing w:line="360" w:lineRule="auto"/>
        <w:ind w:firstLine="422" w:firstLineChars="200"/>
        <w:rPr>
          <w:rFonts w:hAnsi="宋体" w:eastAsia="宋体" w:cs="宋体"/>
          <w:bCs/>
          <w:color w:val="000000"/>
          <w:sz w:val="21"/>
          <w:szCs w:val="21"/>
        </w:rPr>
      </w:pPr>
      <w:r>
        <w:rPr>
          <w:rFonts w:hint="eastAsia" w:hAnsi="宋体" w:eastAsia="宋体" w:cs="宋体"/>
          <w:b/>
          <w:bCs/>
          <w:color w:val="000000"/>
          <w:sz w:val="21"/>
          <w:szCs w:val="21"/>
        </w:rPr>
        <w:t>技术得分（70分）：</w:t>
      </w:r>
      <w:r>
        <w:rPr>
          <w:rFonts w:hint="eastAsia" w:hAnsi="宋体" w:eastAsia="宋体" w:cs="宋体"/>
          <w:bCs/>
          <w:color w:val="000000"/>
          <w:sz w:val="21"/>
          <w:szCs w:val="21"/>
        </w:rPr>
        <w:t>包括投标方案的先进性、科学性和完整性，技术和服务方案与需求的吻合程度等情况，以及技术或者服务水平、履约能力、售后服务等方面的因素。</w:t>
      </w:r>
      <w:r>
        <w:rPr>
          <w:rFonts w:hint="eastAsia" w:hAnsi="宋体" w:eastAsia="宋体" w:cs="宋体"/>
          <w:b/>
          <w:color w:val="000000"/>
          <w:sz w:val="21"/>
          <w:szCs w:val="21"/>
        </w:rPr>
        <w:t>其中</w:t>
      </w:r>
      <w:r>
        <w:rPr>
          <w:rFonts w:hint="eastAsia" w:hAnsi="宋体" w:eastAsia="宋体" w:cs="宋体"/>
          <w:b/>
          <w:color w:val="000000"/>
          <w:kern w:val="0"/>
          <w:sz w:val="21"/>
          <w:szCs w:val="21"/>
          <w:lang w:bidi="ar"/>
        </w:rPr>
        <w:t>投标人员应提供证明材料，主要包括：相应证书、近三个月社保证明、合同复印件等。</w:t>
      </w:r>
    </w:p>
    <w:tbl>
      <w:tblPr>
        <w:tblStyle w:val="45"/>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3"/>
        <w:gridCol w:w="1487"/>
        <w:gridCol w:w="6865"/>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Header/>
        </w:trPr>
        <w:tc>
          <w:tcPr>
            <w:tcW w:w="573"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序号</w:t>
            </w:r>
          </w:p>
        </w:tc>
        <w:tc>
          <w:tcPr>
            <w:tcW w:w="1487"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评分内容</w:t>
            </w:r>
          </w:p>
        </w:tc>
        <w:tc>
          <w:tcPr>
            <w:tcW w:w="6865"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评分标准</w:t>
            </w:r>
          </w:p>
        </w:tc>
        <w:tc>
          <w:tcPr>
            <w:tcW w:w="564"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573" w:type="dxa"/>
            <w:vMerge w:val="restart"/>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487" w:type="dxa"/>
            <w:vMerge w:val="restart"/>
            <w:noWrap w:val="0"/>
            <w:tcMar>
              <w:top w:w="15" w:type="dxa"/>
              <w:left w:w="15" w:type="dxa"/>
              <w:right w:w="15" w:type="dxa"/>
            </w:tcMar>
            <w:vAlign w:val="center"/>
          </w:tcPr>
          <w:p>
            <w:pPr>
              <w:widowControl/>
              <w:spacing w:line="46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项目组人员配置</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▲总要求：</w:t>
            </w:r>
          </w:p>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1、项目经理、安全生产岗不得兼任其他岗位。闸门运行岗和电站运行岗互不兼岗。其余人员最多担任2个岗位。</w:t>
            </w:r>
          </w:p>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2、闸门运行岗：不得少于4人，要求具有“闸门运行工”技能证书。</w:t>
            </w:r>
          </w:p>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3、电站运行岗：不得少于8人，其中4人要求具有“电气、电力、电厂、电站、水利水电”相关专业大专及以上学历证书。</w:t>
            </w:r>
          </w:p>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4、高压电工岗：不得少于3人，要求具有“高压电工证”。</w:t>
            </w:r>
          </w:p>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5、安全生产岗：不得少于1人，要求具有“行政主管部门颁发的安全生产考核合格证书C证”。</w:t>
            </w:r>
          </w:p>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6、运行部分总人数不得少于19人，其中现场机构管理人员（项目经理、技术负责人）2人，运维人员不少于17人。除上述岗位外，其余巡查、维护保养、保洁等岗位由投标人根据工程实际及合理分析后自行设置。</w:t>
            </w:r>
          </w:p>
          <w:p>
            <w:pPr>
              <w:widowControl/>
              <w:spacing w:line="460" w:lineRule="exact"/>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7、安保部分总人数不得少于12人。</w:t>
            </w:r>
          </w:p>
        </w:tc>
        <w:tc>
          <w:tcPr>
            <w:tcW w:w="564"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73" w:type="dxa"/>
            <w:vMerge w:val="continue"/>
            <w:noWrap w:val="0"/>
            <w:tcMar>
              <w:top w:w="15" w:type="dxa"/>
              <w:left w:w="15" w:type="dxa"/>
              <w:right w:w="15" w:type="dxa"/>
            </w:tcMar>
            <w:vAlign w:val="center"/>
          </w:tcPr>
          <w:p>
            <w:pPr>
              <w:spacing w:line="460" w:lineRule="exact"/>
              <w:jc w:val="center"/>
              <w:rPr>
                <w:rFonts w:hint="eastAsia" w:ascii="宋体" w:hAnsi="宋体" w:eastAsia="宋体" w:cs="宋体"/>
                <w:color w:val="000000"/>
                <w:sz w:val="21"/>
                <w:szCs w:val="21"/>
              </w:rPr>
            </w:pPr>
          </w:p>
        </w:tc>
        <w:tc>
          <w:tcPr>
            <w:tcW w:w="1487" w:type="dxa"/>
            <w:vMerge w:val="continue"/>
            <w:noWrap w:val="0"/>
            <w:tcMar>
              <w:top w:w="15" w:type="dxa"/>
              <w:left w:w="15" w:type="dxa"/>
              <w:right w:w="15" w:type="dxa"/>
            </w:tcMar>
            <w:vAlign w:val="center"/>
          </w:tcPr>
          <w:p>
            <w:pPr>
              <w:spacing w:line="460" w:lineRule="exact"/>
              <w:rPr>
                <w:rFonts w:hint="eastAsia" w:ascii="宋体" w:hAnsi="宋体" w:eastAsia="宋体" w:cs="宋体"/>
                <w:color w:val="000000"/>
                <w:sz w:val="21"/>
                <w:szCs w:val="21"/>
              </w:rPr>
            </w:pP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（1）项目经理岗</w:t>
            </w:r>
          </w:p>
        </w:tc>
        <w:tc>
          <w:tcPr>
            <w:tcW w:w="564" w:type="dxa"/>
            <w:vMerge w:val="restart"/>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573" w:type="dxa"/>
            <w:vMerge w:val="continue"/>
            <w:noWrap w:val="0"/>
            <w:tcMar>
              <w:top w:w="15" w:type="dxa"/>
              <w:left w:w="15" w:type="dxa"/>
              <w:right w:w="15" w:type="dxa"/>
            </w:tcMar>
            <w:vAlign w:val="center"/>
          </w:tcPr>
          <w:p>
            <w:pPr>
              <w:spacing w:line="460" w:lineRule="exact"/>
              <w:jc w:val="center"/>
              <w:rPr>
                <w:rFonts w:hint="eastAsia" w:ascii="宋体" w:hAnsi="宋体" w:eastAsia="宋体" w:cs="宋体"/>
                <w:color w:val="000000"/>
                <w:sz w:val="21"/>
                <w:szCs w:val="21"/>
              </w:rPr>
            </w:pPr>
          </w:p>
        </w:tc>
        <w:tc>
          <w:tcPr>
            <w:tcW w:w="1487" w:type="dxa"/>
            <w:vMerge w:val="continue"/>
            <w:noWrap w:val="0"/>
            <w:tcMar>
              <w:top w:w="15" w:type="dxa"/>
              <w:left w:w="15" w:type="dxa"/>
              <w:right w:w="15" w:type="dxa"/>
            </w:tcMar>
            <w:vAlign w:val="center"/>
          </w:tcPr>
          <w:p>
            <w:pPr>
              <w:spacing w:line="460" w:lineRule="exact"/>
              <w:rPr>
                <w:rFonts w:hint="eastAsia" w:ascii="宋体" w:hAnsi="宋体" w:eastAsia="宋体" w:cs="宋体"/>
                <w:color w:val="000000"/>
                <w:sz w:val="21"/>
                <w:szCs w:val="21"/>
              </w:rPr>
            </w:pP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具有水利或机电专业中级职称的，得2分，具有高级及以上职称，得3分，最高得3分。持有行政主管部门颁发的安全生产考核合格证书C证得1分，B证得2分，最高得2分。</w:t>
            </w:r>
            <w:r>
              <w:rPr>
                <w:rFonts w:hint="eastAsia" w:ascii="宋体" w:hAnsi="宋体" w:eastAsia="宋体" w:cs="宋体"/>
                <w:b/>
                <w:bCs/>
                <w:color w:val="000000"/>
                <w:kern w:val="0"/>
                <w:sz w:val="21"/>
                <w:szCs w:val="21"/>
                <w:lang w:bidi="ar"/>
              </w:rPr>
              <w:t>本项最高得5分。</w:t>
            </w:r>
          </w:p>
        </w:tc>
        <w:tc>
          <w:tcPr>
            <w:tcW w:w="564" w:type="dxa"/>
            <w:vMerge w:val="continue"/>
            <w:noWrap w:val="0"/>
            <w:tcMar>
              <w:top w:w="15" w:type="dxa"/>
              <w:left w:w="15" w:type="dxa"/>
              <w:right w:w="15" w:type="dxa"/>
            </w:tcMar>
            <w:vAlign w:val="center"/>
          </w:tcPr>
          <w:p>
            <w:pPr>
              <w:spacing w:line="4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vMerge w:val="continue"/>
            <w:noWrap w:val="0"/>
            <w:tcMar>
              <w:top w:w="15" w:type="dxa"/>
              <w:left w:w="15" w:type="dxa"/>
              <w:right w:w="15" w:type="dxa"/>
            </w:tcMar>
            <w:vAlign w:val="center"/>
          </w:tcPr>
          <w:p>
            <w:pPr>
              <w:spacing w:line="460" w:lineRule="exact"/>
              <w:jc w:val="center"/>
              <w:rPr>
                <w:rFonts w:hint="eastAsia" w:ascii="宋体" w:hAnsi="宋体" w:eastAsia="宋体" w:cs="宋体"/>
                <w:color w:val="000000"/>
                <w:sz w:val="21"/>
                <w:szCs w:val="21"/>
              </w:rPr>
            </w:pPr>
          </w:p>
        </w:tc>
        <w:tc>
          <w:tcPr>
            <w:tcW w:w="1487" w:type="dxa"/>
            <w:vMerge w:val="continue"/>
            <w:noWrap w:val="0"/>
            <w:tcMar>
              <w:top w:w="15" w:type="dxa"/>
              <w:left w:w="15" w:type="dxa"/>
              <w:right w:w="15" w:type="dxa"/>
            </w:tcMar>
            <w:vAlign w:val="center"/>
          </w:tcPr>
          <w:p>
            <w:pPr>
              <w:spacing w:line="460" w:lineRule="exact"/>
              <w:rPr>
                <w:rFonts w:hint="eastAsia" w:ascii="宋体" w:hAnsi="宋体" w:eastAsia="宋体" w:cs="宋体"/>
                <w:color w:val="000000"/>
                <w:sz w:val="21"/>
                <w:szCs w:val="21"/>
              </w:rPr>
            </w:pP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（2）技术负责岗</w:t>
            </w:r>
          </w:p>
        </w:tc>
        <w:tc>
          <w:tcPr>
            <w:tcW w:w="564" w:type="dxa"/>
            <w:vMerge w:val="restart"/>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573" w:type="dxa"/>
            <w:vMerge w:val="continue"/>
            <w:noWrap w:val="0"/>
            <w:tcMar>
              <w:top w:w="15" w:type="dxa"/>
              <w:left w:w="15" w:type="dxa"/>
              <w:right w:w="15" w:type="dxa"/>
            </w:tcMar>
            <w:vAlign w:val="center"/>
          </w:tcPr>
          <w:p>
            <w:pPr>
              <w:spacing w:line="460" w:lineRule="exact"/>
              <w:jc w:val="center"/>
              <w:rPr>
                <w:rFonts w:hint="eastAsia" w:ascii="宋体" w:hAnsi="宋体" w:eastAsia="宋体" w:cs="宋体"/>
                <w:color w:val="000000"/>
                <w:sz w:val="21"/>
                <w:szCs w:val="21"/>
              </w:rPr>
            </w:pPr>
          </w:p>
        </w:tc>
        <w:tc>
          <w:tcPr>
            <w:tcW w:w="1487" w:type="dxa"/>
            <w:vMerge w:val="continue"/>
            <w:noWrap w:val="0"/>
            <w:tcMar>
              <w:top w:w="15" w:type="dxa"/>
              <w:left w:w="15" w:type="dxa"/>
              <w:right w:w="15" w:type="dxa"/>
            </w:tcMar>
            <w:vAlign w:val="center"/>
          </w:tcPr>
          <w:p>
            <w:pPr>
              <w:spacing w:line="460" w:lineRule="exact"/>
              <w:rPr>
                <w:rFonts w:hint="eastAsia" w:ascii="宋体" w:hAnsi="宋体" w:eastAsia="宋体" w:cs="宋体"/>
                <w:color w:val="000000"/>
                <w:sz w:val="21"/>
                <w:szCs w:val="21"/>
              </w:rPr>
            </w:pP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有水利或机电专业中级职称的，得2分，具有高级及以上职称，得3分。</w:t>
            </w:r>
            <w:r>
              <w:rPr>
                <w:rFonts w:hint="eastAsia" w:ascii="宋体" w:hAnsi="宋体" w:eastAsia="宋体" w:cs="宋体"/>
                <w:b/>
                <w:bCs/>
                <w:color w:val="000000"/>
                <w:kern w:val="0"/>
                <w:sz w:val="21"/>
                <w:szCs w:val="21"/>
                <w:lang w:bidi="ar"/>
              </w:rPr>
              <w:t>最高得3分。</w:t>
            </w:r>
          </w:p>
        </w:tc>
        <w:tc>
          <w:tcPr>
            <w:tcW w:w="564" w:type="dxa"/>
            <w:vMerge w:val="continue"/>
            <w:noWrap w:val="0"/>
            <w:tcMar>
              <w:top w:w="15" w:type="dxa"/>
              <w:left w:w="15" w:type="dxa"/>
              <w:right w:w="15" w:type="dxa"/>
            </w:tcMar>
            <w:vAlign w:val="center"/>
          </w:tcPr>
          <w:p>
            <w:pPr>
              <w:spacing w:line="4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vMerge w:val="restart"/>
            <w:noWrap w:val="0"/>
            <w:tcMar>
              <w:top w:w="15" w:type="dxa"/>
              <w:left w:w="15" w:type="dxa"/>
              <w:right w:w="15" w:type="dxa"/>
            </w:tcMar>
            <w:vAlign w:val="center"/>
          </w:tcPr>
          <w:p>
            <w:pPr>
              <w:spacing w:line="4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487" w:type="dxa"/>
            <w:vMerge w:val="restart"/>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项目组专业能力</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▲总要求：</w:t>
            </w:r>
            <w:r>
              <w:rPr>
                <w:rFonts w:hint="eastAsia" w:ascii="宋体" w:hAnsi="宋体" w:eastAsia="宋体" w:cs="宋体"/>
                <w:b/>
                <w:bCs/>
                <w:color w:val="000000"/>
                <w:kern w:val="0"/>
                <w:sz w:val="21"/>
                <w:szCs w:val="21"/>
                <w:lang w:bidi="ar"/>
              </w:rPr>
              <w:t>不与项目经理岗和技术负责岗重复。</w:t>
            </w:r>
          </w:p>
        </w:tc>
        <w:tc>
          <w:tcPr>
            <w:tcW w:w="564"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vMerge w:val="continue"/>
            <w:noWrap w:val="0"/>
            <w:tcMar>
              <w:top w:w="15" w:type="dxa"/>
              <w:left w:w="15" w:type="dxa"/>
              <w:right w:w="15" w:type="dxa"/>
            </w:tcMar>
            <w:vAlign w:val="center"/>
          </w:tcPr>
          <w:p>
            <w:pPr>
              <w:spacing w:line="460" w:lineRule="exact"/>
              <w:jc w:val="center"/>
              <w:rPr>
                <w:rFonts w:hint="eastAsia" w:ascii="宋体" w:hAnsi="宋体" w:eastAsia="宋体" w:cs="宋体"/>
                <w:color w:val="000000"/>
                <w:sz w:val="21"/>
                <w:szCs w:val="21"/>
              </w:rPr>
            </w:pPr>
          </w:p>
        </w:tc>
        <w:tc>
          <w:tcPr>
            <w:tcW w:w="1487" w:type="dxa"/>
            <w:vMerge w:val="continue"/>
            <w:noWrap w:val="0"/>
            <w:tcMar>
              <w:top w:w="15" w:type="dxa"/>
              <w:left w:w="15" w:type="dxa"/>
              <w:right w:w="15" w:type="dxa"/>
            </w:tcMar>
            <w:vAlign w:val="center"/>
          </w:tcPr>
          <w:p>
            <w:pPr>
              <w:widowControl/>
              <w:spacing w:line="460" w:lineRule="exact"/>
              <w:textAlignment w:val="center"/>
              <w:rPr>
                <w:rFonts w:hint="eastAsia" w:ascii="宋体" w:hAnsi="宋体" w:eastAsia="宋体" w:cs="宋体"/>
                <w:color w:val="000000"/>
                <w:sz w:val="21"/>
                <w:szCs w:val="21"/>
              </w:rPr>
            </w:pP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Cs/>
                <w:color w:val="000000"/>
                <w:kern w:val="0"/>
                <w:sz w:val="21"/>
                <w:szCs w:val="21"/>
                <w:lang w:bidi="ar"/>
              </w:rPr>
              <w:t>拟派人员中具有“水文、计算机、电气、电力、机电、水工”等专业的“工程师”及以上职称。每1个得2分。</w:t>
            </w:r>
            <w:r>
              <w:rPr>
                <w:rFonts w:hint="eastAsia" w:ascii="宋体" w:hAnsi="宋体" w:eastAsia="宋体" w:cs="宋体"/>
                <w:b/>
                <w:color w:val="000000"/>
                <w:kern w:val="0"/>
                <w:sz w:val="21"/>
                <w:szCs w:val="21"/>
                <w:lang w:bidi="ar"/>
              </w:rPr>
              <w:t>最高得4分。</w:t>
            </w:r>
          </w:p>
        </w:tc>
        <w:tc>
          <w:tcPr>
            <w:tcW w:w="564"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vMerge w:val="restart"/>
            <w:noWrap w:val="0"/>
            <w:tcMar>
              <w:top w:w="15" w:type="dxa"/>
              <w:left w:w="15" w:type="dxa"/>
              <w:right w:w="15" w:type="dxa"/>
            </w:tcMar>
            <w:vAlign w:val="center"/>
          </w:tcPr>
          <w:p>
            <w:pPr>
              <w:spacing w:line="4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87" w:type="dxa"/>
            <w:vMerge w:val="restart"/>
            <w:noWrap w:val="0"/>
            <w:tcMar>
              <w:top w:w="15" w:type="dxa"/>
              <w:left w:w="15" w:type="dxa"/>
              <w:right w:w="15" w:type="dxa"/>
            </w:tcMar>
            <w:vAlign w:val="center"/>
          </w:tcPr>
          <w:p>
            <w:pPr>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现场方案讲解</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Cs/>
                <w:color w:val="000000"/>
                <w:kern w:val="0"/>
                <w:sz w:val="21"/>
                <w:szCs w:val="21"/>
                <w:lang w:bidi="ar"/>
              </w:rPr>
            </w:pPr>
            <w:r>
              <w:rPr>
                <w:rFonts w:hint="eastAsia" w:ascii="宋体" w:hAnsi="宋体" w:eastAsia="宋体" w:cs="宋体"/>
                <w:b/>
                <w:color w:val="000000"/>
                <w:kern w:val="0"/>
                <w:sz w:val="21"/>
                <w:szCs w:val="21"/>
                <w:lang w:bidi="ar"/>
              </w:rPr>
              <w:t>▲投标人必须派人参加，讲解地点：杭州市滨江区长河街道长河路351号三号楼B215室。</w:t>
            </w:r>
          </w:p>
        </w:tc>
        <w:tc>
          <w:tcPr>
            <w:tcW w:w="564"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vMerge w:val="continue"/>
            <w:noWrap w:val="0"/>
            <w:tcMar>
              <w:top w:w="15" w:type="dxa"/>
              <w:left w:w="15" w:type="dxa"/>
              <w:right w:w="15" w:type="dxa"/>
            </w:tcMar>
            <w:vAlign w:val="center"/>
          </w:tcPr>
          <w:p>
            <w:pPr>
              <w:spacing w:line="460" w:lineRule="exact"/>
              <w:jc w:val="center"/>
              <w:rPr>
                <w:rFonts w:ascii="宋体" w:hAnsi="宋体" w:eastAsia="宋体" w:cs="宋体"/>
                <w:color w:val="000000"/>
                <w:sz w:val="21"/>
                <w:szCs w:val="21"/>
              </w:rPr>
            </w:pPr>
          </w:p>
        </w:tc>
        <w:tc>
          <w:tcPr>
            <w:tcW w:w="1487" w:type="dxa"/>
            <w:vMerge w:val="continue"/>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sz w:val="21"/>
                <w:szCs w:val="21"/>
              </w:rPr>
            </w:pP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Cs/>
                <w:color w:val="000000"/>
                <w:kern w:val="0"/>
                <w:sz w:val="21"/>
                <w:szCs w:val="21"/>
                <w:lang w:bidi="ar"/>
              </w:rPr>
              <w:t>投标人的现场方案讲解是否全面，对本项目的采购内容是否清晰明了，对工程运行管理的要点是否清楚，对工程设施、机电设备、水文、监测、巡查、维修、**等方面的重难点是否分析得当，对应当投入的设施设备是否合理，对突发事件的应对处置方案是否恰当。</w:t>
            </w:r>
            <w:r>
              <w:rPr>
                <w:rFonts w:hint="eastAsia" w:ascii="宋体" w:hAnsi="宋体" w:eastAsia="宋体" w:cs="宋体"/>
                <w:b/>
                <w:color w:val="000000"/>
                <w:kern w:val="0"/>
                <w:sz w:val="21"/>
                <w:szCs w:val="21"/>
                <w:lang w:bidi="ar"/>
              </w:rPr>
              <w:t>最高得10分。</w:t>
            </w:r>
          </w:p>
        </w:tc>
        <w:tc>
          <w:tcPr>
            <w:tcW w:w="564"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noWrap w:val="0"/>
            <w:tcMar>
              <w:top w:w="15" w:type="dxa"/>
              <w:left w:w="15" w:type="dxa"/>
              <w:right w:w="15" w:type="dxa"/>
            </w:tcMar>
            <w:vAlign w:val="center"/>
          </w:tcPr>
          <w:p>
            <w:pPr>
              <w:spacing w:line="4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487"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电站运行及维护部分</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投标人对现有电站设备的原理及电站的运行模式是否清晰，现场岗位分工是否合理，岗位制度是否完善，维修养护和故障处理方案是否可行，工器具配备及定期检验方案是否合理，管理目标是否合理清晰，安全机制是否健全。</w:t>
            </w:r>
            <w:r>
              <w:rPr>
                <w:rFonts w:hint="eastAsia" w:ascii="宋体" w:hAnsi="宋体" w:eastAsia="宋体" w:cs="宋体"/>
                <w:b/>
                <w:color w:val="000000"/>
                <w:kern w:val="0"/>
                <w:sz w:val="21"/>
                <w:szCs w:val="21"/>
                <w:lang w:bidi="ar"/>
              </w:rPr>
              <w:t>最高得9分。</w:t>
            </w:r>
          </w:p>
        </w:tc>
        <w:tc>
          <w:tcPr>
            <w:tcW w:w="564"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noWrap w:val="0"/>
            <w:tcMar>
              <w:top w:w="15" w:type="dxa"/>
              <w:left w:w="15" w:type="dxa"/>
              <w:right w:w="15" w:type="dxa"/>
            </w:tcMar>
            <w:vAlign w:val="center"/>
          </w:tcPr>
          <w:p>
            <w:pPr>
              <w:spacing w:line="4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1487"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工程设施设备运行及维护部分</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投标人对大坝、副坝、启闭机、发电机等重要运行参数是否了解，现场岗位分工是否合理，岗位制度是否完善，维修养护和故障处理方案是否可行，工器具配备及定期检验方案是否合理，管理目标是否合理清晰，安全机制是否健全。</w:t>
            </w:r>
            <w:r>
              <w:rPr>
                <w:rFonts w:hint="eastAsia" w:ascii="宋体" w:hAnsi="宋体" w:eastAsia="宋体" w:cs="宋体"/>
                <w:b/>
                <w:color w:val="000000"/>
                <w:kern w:val="0"/>
                <w:sz w:val="21"/>
                <w:szCs w:val="21"/>
                <w:lang w:bidi="ar"/>
              </w:rPr>
              <w:t>最高得8分。</w:t>
            </w:r>
          </w:p>
        </w:tc>
        <w:tc>
          <w:tcPr>
            <w:tcW w:w="564"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noWrap w:val="0"/>
            <w:tcMar>
              <w:top w:w="15" w:type="dxa"/>
              <w:left w:w="15" w:type="dxa"/>
              <w:right w:w="15" w:type="dxa"/>
            </w:tcMar>
            <w:vAlign w:val="center"/>
          </w:tcPr>
          <w:p>
            <w:pPr>
              <w:spacing w:line="4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1487"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**怖安全保卫部分</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Cs/>
                <w:color w:val="000000"/>
                <w:kern w:val="0"/>
                <w:sz w:val="21"/>
                <w:szCs w:val="21"/>
                <w:lang w:bidi="ar"/>
              </w:rPr>
            </w:pPr>
            <w:r>
              <w:rPr>
                <w:rFonts w:hint="eastAsia" w:ascii="宋体" w:hAnsi="宋体" w:eastAsia="宋体" w:cs="宋体"/>
                <w:color w:val="000000"/>
                <w:kern w:val="0"/>
                <w:sz w:val="21"/>
                <w:szCs w:val="21"/>
                <w:lang w:bidi="ar"/>
              </w:rPr>
              <w:t>投标人对本项目的安全保卫认识是否充分，安全保卫服务方案是否科学、可行，安全保卫岗及班次设置是否合理可行，应对突发事件的应急响应方案是否恰当、可行。</w:t>
            </w:r>
            <w:r>
              <w:rPr>
                <w:rFonts w:hint="eastAsia" w:ascii="宋体" w:hAnsi="宋体" w:eastAsia="宋体" w:cs="宋体"/>
                <w:b/>
                <w:color w:val="000000"/>
                <w:kern w:val="0"/>
                <w:sz w:val="21"/>
                <w:szCs w:val="21"/>
                <w:lang w:bidi="ar"/>
              </w:rPr>
              <w:t>最高得6分。</w:t>
            </w:r>
          </w:p>
        </w:tc>
        <w:tc>
          <w:tcPr>
            <w:tcW w:w="564"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noWrap w:val="0"/>
            <w:tcMar>
              <w:top w:w="15" w:type="dxa"/>
              <w:left w:w="15" w:type="dxa"/>
              <w:right w:w="15" w:type="dxa"/>
            </w:tcMar>
            <w:vAlign w:val="center"/>
          </w:tcPr>
          <w:p>
            <w:pPr>
              <w:spacing w:line="4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1487"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水文观测及设施维护部分</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bCs/>
                <w:color w:val="000000"/>
                <w:kern w:val="0"/>
                <w:sz w:val="21"/>
                <w:szCs w:val="21"/>
                <w:lang w:bidi="ar"/>
              </w:rPr>
              <w:t>投标人对工程水文设施的认识是否充分，现场岗位分工是否合理，岗位制度是否完善，维修养护和故障处理方案是否可行，管理目标是否合理清晰，安全机制是否健全。</w:t>
            </w:r>
            <w:r>
              <w:rPr>
                <w:rFonts w:hint="eastAsia" w:ascii="宋体" w:hAnsi="宋体" w:eastAsia="宋体" w:cs="宋体"/>
                <w:b/>
                <w:color w:val="000000"/>
                <w:kern w:val="0"/>
                <w:sz w:val="21"/>
                <w:szCs w:val="21"/>
                <w:lang w:bidi="ar"/>
              </w:rPr>
              <w:t>最高得5分。</w:t>
            </w:r>
          </w:p>
        </w:tc>
        <w:tc>
          <w:tcPr>
            <w:tcW w:w="564"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noWrap w:val="0"/>
            <w:tcMar>
              <w:top w:w="15" w:type="dxa"/>
              <w:left w:w="15" w:type="dxa"/>
              <w:right w:w="15" w:type="dxa"/>
            </w:tcMar>
            <w:vAlign w:val="center"/>
          </w:tcPr>
          <w:p>
            <w:pPr>
              <w:spacing w:line="4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1487"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防汛值班和信息化维护部分</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投标人对工程防汛值班重要性的认识是否充分，对防汛值班的安排计划是否合理，防汛值班制度是否完善，对防汛值班中的重点内容和注意事项是否清楚，对信息化平台、相关水利平台的运用需求是否认识充分，对信息化设备的维护方案是否合理，对信息化平台运行的目标是否清楚。</w:t>
            </w:r>
            <w:r>
              <w:rPr>
                <w:rFonts w:hint="eastAsia" w:ascii="宋体" w:hAnsi="宋体" w:eastAsia="宋体" w:cs="宋体"/>
                <w:b/>
                <w:color w:val="000000"/>
                <w:kern w:val="0"/>
                <w:sz w:val="21"/>
                <w:szCs w:val="21"/>
                <w:lang w:bidi="ar"/>
              </w:rPr>
              <w:t>最高得5分。</w:t>
            </w:r>
          </w:p>
        </w:tc>
        <w:tc>
          <w:tcPr>
            <w:tcW w:w="564"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noWrap w:val="0"/>
            <w:tcMar>
              <w:top w:w="15" w:type="dxa"/>
              <w:left w:w="15" w:type="dxa"/>
              <w:right w:w="15" w:type="dxa"/>
            </w:tcMar>
            <w:vAlign w:val="center"/>
          </w:tcPr>
          <w:p>
            <w:pPr>
              <w:spacing w:line="4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1487"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环境保洁部分</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投标人对工程的环境保洁认识是否充分，现场岗位分工是否合理，岗位制度是否完善，管理目标是否合理清晰，安全机制是否健全。</w:t>
            </w:r>
            <w:r>
              <w:rPr>
                <w:rFonts w:hint="eastAsia" w:ascii="宋体" w:hAnsi="宋体" w:eastAsia="宋体" w:cs="宋体"/>
                <w:b/>
                <w:color w:val="000000"/>
                <w:kern w:val="0"/>
                <w:sz w:val="21"/>
                <w:szCs w:val="21"/>
                <w:lang w:bidi="ar"/>
              </w:rPr>
              <w:t>最高得4分。</w:t>
            </w:r>
          </w:p>
        </w:tc>
        <w:tc>
          <w:tcPr>
            <w:tcW w:w="564"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3" w:type="dxa"/>
            <w:noWrap w:val="0"/>
            <w:tcMar>
              <w:top w:w="15" w:type="dxa"/>
              <w:left w:w="15" w:type="dxa"/>
              <w:right w:w="15" w:type="dxa"/>
            </w:tcMar>
            <w:vAlign w:val="center"/>
          </w:tcPr>
          <w:p>
            <w:pPr>
              <w:spacing w:line="4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487"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库区巡查部分</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投标人对工程的库区巡查认识是否充分，现场岗位分工是否合理，岗位制度是否完善，对巡查中的注意事项、重点部分、关键环节是否清晰，管理目标是否合理，安全机制是否健全。</w:t>
            </w:r>
            <w:r>
              <w:rPr>
                <w:rFonts w:hint="eastAsia" w:ascii="宋体" w:hAnsi="宋体" w:eastAsia="宋体" w:cs="宋体"/>
                <w:b/>
                <w:color w:val="000000"/>
                <w:kern w:val="0"/>
                <w:sz w:val="21"/>
                <w:szCs w:val="21"/>
                <w:lang w:bidi="ar"/>
              </w:rPr>
              <w:t>最高得3分。</w:t>
            </w:r>
          </w:p>
        </w:tc>
        <w:tc>
          <w:tcPr>
            <w:tcW w:w="564"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573"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1487" w:type="dxa"/>
            <w:noWrap w:val="0"/>
            <w:tcMar>
              <w:top w:w="15" w:type="dxa"/>
              <w:left w:w="15" w:type="dxa"/>
              <w:right w:w="15" w:type="dxa"/>
            </w:tcMar>
            <w:vAlign w:val="center"/>
          </w:tcPr>
          <w:p>
            <w:pPr>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办公、设施、设备、维养工器具等投入计划</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投入本项目的安全生产、作业办公、运行管理、维修养护、检查巡查、环境保洁、设施设备及工器具是否满足工程运行管理需要，最高得2分。投标人配备一辆运行保障用车，配备一辆四轮巡查用车，得4分。</w:t>
            </w:r>
            <w:r>
              <w:rPr>
                <w:rFonts w:hint="eastAsia" w:ascii="宋体" w:hAnsi="宋体" w:eastAsia="宋体" w:cs="宋体"/>
                <w:b/>
                <w:bCs/>
                <w:color w:val="000000"/>
                <w:sz w:val="21"/>
                <w:szCs w:val="21"/>
              </w:rPr>
              <w:t>本项最高得6分</w:t>
            </w:r>
            <w:r>
              <w:rPr>
                <w:rFonts w:hint="eastAsia" w:ascii="宋体" w:hAnsi="宋体" w:eastAsia="宋体" w:cs="宋体"/>
                <w:color w:val="000000"/>
                <w:sz w:val="21"/>
                <w:szCs w:val="21"/>
              </w:rPr>
              <w:t>。</w:t>
            </w:r>
          </w:p>
        </w:tc>
        <w:tc>
          <w:tcPr>
            <w:tcW w:w="564" w:type="dxa"/>
            <w:noWrap w:val="0"/>
            <w:tcMar>
              <w:top w:w="15" w:type="dxa"/>
              <w:left w:w="15" w:type="dxa"/>
              <w:right w:w="15" w:type="dxa"/>
            </w:tcMar>
            <w:vAlign w:val="center"/>
          </w:tcPr>
          <w:p>
            <w:pPr>
              <w:spacing w:line="4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rPr>
        <w:tc>
          <w:tcPr>
            <w:tcW w:w="573" w:type="dxa"/>
            <w:noWrap w:val="0"/>
            <w:tcMar>
              <w:top w:w="15" w:type="dxa"/>
              <w:left w:w="15" w:type="dxa"/>
              <w:right w:w="15" w:type="dxa"/>
            </w:tcMar>
            <w:vAlign w:val="center"/>
          </w:tcPr>
          <w:p>
            <w:pPr>
              <w:widowControl/>
              <w:spacing w:line="4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w:t>
            </w:r>
          </w:p>
        </w:tc>
        <w:tc>
          <w:tcPr>
            <w:tcW w:w="1487" w:type="dxa"/>
            <w:noWrap w:val="0"/>
            <w:tcMar>
              <w:top w:w="15" w:type="dxa"/>
              <w:left w:w="15" w:type="dxa"/>
              <w:right w:w="15" w:type="dxa"/>
            </w:tcMar>
            <w:vAlign w:val="center"/>
          </w:tcPr>
          <w:p>
            <w:pPr>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档案管理</w:t>
            </w:r>
          </w:p>
        </w:tc>
        <w:tc>
          <w:tcPr>
            <w:tcW w:w="6865" w:type="dxa"/>
            <w:noWrap w:val="0"/>
            <w:tcMar>
              <w:top w:w="15" w:type="dxa"/>
              <w:left w:w="15" w:type="dxa"/>
              <w:right w:w="15" w:type="dxa"/>
            </w:tcMar>
            <w:vAlign w:val="center"/>
          </w:tcPr>
          <w:p>
            <w:pPr>
              <w:widowControl/>
              <w:spacing w:line="4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投标人对档案管理的安排是否合理，档案管理制度是否健全。</w:t>
            </w:r>
            <w:r>
              <w:rPr>
                <w:rFonts w:hint="eastAsia" w:ascii="宋体" w:hAnsi="宋体" w:eastAsia="宋体" w:cs="宋体"/>
                <w:b/>
                <w:bCs/>
                <w:color w:val="000000"/>
                <w:kern w:val="0"/>
                <w:sz w:val="21"/>
                <w:szCs w:val="21"/>
                <w:lang w:bidi="ar"/>
              </w:rPr>
              <w:t>最高得2分</w:t>
            </w:r>
            <w:r>
              <w:rPr>
                <w:rFonts w:hint="eastAsia" w:ascii="宋体" w:hAnsi="宋体" w:eastAsia="宋体" w:cs="宋体"/>
                <w:color w:val="000000"/>
                <w:kern w:val="0"/>
                <w:sz w:val="21"/>
                <w:szCs w:val="21"/>
                <w:lang w:bidi="ar"/>
              </w:rPr>
              <w:t>。</w:t>
            </w:r>
          </w:p>
        </w:tc>
        <w:tc>
          <w:tcPr>
            <w:tcW w:w="564"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r>
    </w:tbl>
    <w:p>
      <w:pPr>
        <w:pStyle w:val="23"/>
        <w:spacing w:line="360" w:lineRule="auto"/>
        <w:ind w:firstLine="420" w:firstLineChars="200"/>
        <w:rPr>
          <w:rFonts w:hint="eastAsia" w:hAnsi="宋体" w:eastAsia="宋体" w:cs="宋体"/>
          <w:bCs/>
          <w:color w:val="000000"/>
          <w:sz w:val="21"/>
          <w:szCs w:val="21"/>
        </w:rPr>
      </w:pPr>
    </w:p>
    <w:p>
      <w:pPr>
        <w:keepNext/>
        <w:keepLines/>
        <w:tabs>
          <w:tab w:val="left" w:pos="432"/>
        </w:tabs>
        <w:spacing w:line="360" w:lineRule="auto"/>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商务得分（10分）：</w:t>
      </w:r>
      <w:r>
        <w:rPr>
          <w:rFonts w:hint="eastAsia" w:ascii="宋体" w:hAnsi="宋体" w:eastAsia="宋体" w:cs="宋体"/>
          <w:color w:val="000000"/>
          <w:sz w:val="21"/>
          <w:szCs w:val="21"/>
        </w:rPr>
        <w:t>包括投标人的技术资质水平，投标人的类似业绩，管理体系认证证书等方面的因素</w:t>
      </w:r>
      <w:r>
        <w:rPr>
          <w:rFonts w:hint="eastAsia" w:ascii="宋体" w:hAnsi="宋体" w:eastAsia="宋体" w:cs="宋体"/>
          <w:b/>
          <w:bCs/>
          <w:color w:val="000000"/>
          <w:sz w:val="21"/>
          <w:szCs w:val="21"/>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1240"/>
        <w:gridCol w:w="659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26"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240"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评分项目</w:t>
            </w:r>
          </w:p>
        </w:tc>
        <w:tc>
          <w:tcPr>
            <w:tcW w:w="6597"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评分内容</w:t>
            </w:r>
          </w:p>
        </w:tc>
        <w:tc>
          <w:tcPr>
            <w:tcW w:w="831"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trPr>
        <w:tc>
          <w:tcPr>
            <w:tcW w:w="826"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240"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投标人资质情况</w:t>
            </w:r>
          </w:p>
        </w:tc>
        <w:tc>
          <w:tcPr>
            <w:tcW w:w="6597" w:type="dxa"/>
            <w:noWrap w:val="0"/>
            <w:tcMar>
              <w:top w:w="15" w:type="dxa"/>
              <w:left w:w="15" w:type="dxa"/>
              <w:right w:w="15" w:type="dxa"/>
            </w:tcMar>
            <w:vAlign w:val="center"/>
          </w:tcPr>
          <w:p>
            <w:pPr>
              <w:widowControl/>
              <w:spacing w:line="460" w:lineRule="exac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标人具备水利水电工程施工总承包贰级资质或水利水电机电安装工程专业承包贰级资质或具有省级及以上水利水电工程物业管理服务能力评价证书乙级的，得3分；投标人具备水利水电工程施工总承包壹级及以上资质或水利水电机电安装工程专业承包壹级及以上资质的或具有省级及以上水利水电工程物业管理服务能力评价证书甲级的，得5分。</w:t>
            </w:r>
          </w:p>
          <w:p>
            <w:pPr>
              <w:widowControl/>
              <w:spacing w:line="460" w:lineRule="exac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本项最高得5分。</w:t>
            </w:r>
          </w:p>
          <w:p>
            <w:pPr>
              <w:widowControl/>
              <w:spacing w:line="460" w:lineRule="exact"/>
              <w:textAlignment w:val="center"/>
              <w:rPr>
                <w:rFonts w:hint="eastAsia" w:ascii="宋体" w:hAnsi="宋体" w:eastAsia="宋体" w:cs="宋体"/>
                <w:color w:val="000000"/>
                <w:sz w:val="21"/>
                <w:szCs w:val="21"/>
              </w:rPr>
            </w:pPr>
            <w:r>
              <w:rPr>
                <w:rFonts w:hint="eastAsia" w:ascii="宋体" w:hAnsi="宋体" w:eastAsia="宋体" w:cs="宋体"/>
                <w:b/>
                <w:color w:val="000000"/>
                <w:kern w:val="0"/>
                <w:sz w:val="21"/>
                <w:szCs w:val="21"/>
                <w:lang w:bidi="ar"/>
              </w:rPr>
              <w:t>（证明材料：资质证书复印件，原件备查）</w:t>
            </w:r>
          </w:p>
        </w:tc>
        <w:tc>
          <w:tcPr>
            <w:tcW w:w="831"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trPr>
        <w:tc>
          <w:tcPr>
            <w:tcW w:w="826"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240"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投标人类似项目管理经验</w:t>
            </w:r>
          </w:p>
        </w:tc>
        <w:tc>
          <w:tcPr>
            <w:tcW w:w="6597" w:type="dxa"/>
            <w:noWrap w:val="0"/>
            <w:tcMar>
              <w:top w:w="15" w:type="dxa"/>
              <w:left w:w="15" w:type="dxa"/>
              <w:right w:w="15" w:type="dxa"/>
            </w:tcMar>
            <w:vAlign w:val="center"/>
          </w:tcPr>
          <w:p>
            <w:pPr>
              <w:widowControl/>
              <w:spacing w:line="460" w:lineRule="exac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投标人自2016年1月1日（以合同签订时间为准）以来承揽过中型及以上水利工程运行维修养护项目且合同考核优秀的，每个项目得1分，最高得3分。承揽过电站运行且合同考核优秀的，每个项目得1分，最高得2分。同一工程业绩不得重复，本项最高得5分。</w:t>
            </w:r>
            <w:r>
              <w:rPr>
                <w:rFonts w:hint="eastAsia" w:ascii="宋体" w:hAnsi="宋体" w:eastAsia="宋体" w:cs="宋体"/>
                <w:b/>
                <w:color w:val="000000"/>
                <w:kern w:val="0"/>
                <w:sz w:val="21"/>
                <w:szCs w:val="21"/>
                <w:lang w:bidi="ar"/>
              </w:rPr>
              <w:t>（证明材料：合同复印件和考核材料，原件备查）</w:t>
            </w:r>
          </w:p>
        </w:tc>
        <w:tc>
          <w:tcPr>
            <w:tcW w:w="831" w:type="dxa"/>
            <w:noWrap w:val="0"/>
            <w:tcMar>
              <w:top w:w="15" w:type="dxa"/>
              <w:left w:w="15" w:type="dxa"/>
              <w:right w:w="15" w:type="dxa"/>
            </w:tcMar>
            <w:vAlign w:val="center"/>
          </w:tcPr>
          <w:p>
            <w:pPr>
              <w:widowControl/>
              <w:spacing w:line="4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r>
    </w:tbl>
    <w:p>
      <w:pPr>
        <w:pStyle w:val="19"/>
        <w:ind w:firstLine="0" w:firstLineChars="0"/>
        <w:rPr>
          <w:rFonts w:hint="eastAsia"/>
          <w:color w:val="000000"/>
        </w:rPr>
      </w:pPr>
    </w:p>
    <w:p>
      <w:pPr>
        <w:pStyle w:val="2"/>
        <w:spacing w:before="0" w:after="0" w:line="360" w:lineRule="auto"/>
        <w:ind w:left="431" w:hanging="431"/>
        <w:jc w:val="center"/>
        <w:rPr>
          <w:rFonts w:ascii="宋体" w:hAnsi="宋体" w:eastAsia="宋体" w:cs="宋体"/>
          <w:color w:val="000000"/>
          <w:kern w:val="2"/>
          <w:sz w:val="36"/>
        </w:rPr>
      </w:pPr>
      <w:r>
        <w:rPr>
          <w:rFonts w:hint="eastAsia" w:ascii="宋体" w:hAnsi="宋体" w:eastAsia="宋体" w:cs="宋体"/>
          <w:color w:val="000000"/>
          <w:sz w:val="24"/>
          <w:szCs w:val="24"/>
        </w:rPr>
        <w:br w:type="page"/>
      </w:r>
      <w:bookmarkStart w:id="73" w:name="_Toc15197"/>
      <w:r>
        <w:rPr>
          <w:rFonts w:hint="eastAsia" w:ascii="宋体" w:hAnsi="宋体" w:eastAsia="宋体" w:cs="宋体"/>
          <w:color w:val="000000"/>
          <w:kern w:val="2"/>
          <w:sz w:val="36"/>
        </w:rPr>
        <w:t>第四部分 采购需求</w:t>
      </w:r>
      <w:bookmarkEnd w:id="73"/>
    </w:p>
    <w:p>
      <w:pPr>
        <w:pStyle w:val="18"/>
        <w:rPr>
          <w:rFonts w:hint="eastAsia" w:hAnsi="宋体" w:eastAsia="宋体" w:cs="宋体"/>
          <w:color w:val="000000"/>
          <w:szCs w:val="24"/>
        </w:rPr>
      </w:pPr>
    </w:p>
    <w:p>
      <w:pPr>
        <w:snapToGrid w:val="0"/>
        <w:spacing w:line="360" w:lineRule="auto"/>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一、工程概况</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青山水库位于东苕溪干流的南苕溪的中下游，地处杭嘉湖平原与浙西山区的结合部，坝址在临安区青山湖街道境内，东距杭州市区约40km，西离临安区约8km。青山水库是一座以防洪为主，结合灌溉、发电等综合利用的大（2）型水库，总库容2.13亿m</w:t>
      </w:r>
      <w:r>
        <w:rPr>
          <w:rFonts w:hint="eastAsia" w:ascii="宋体" w:hAnsi="宋体" w:eastAsia="宋体" w:cs="宋体"/>
          <w:color w:val="000000"/>
          <w:vertAlign w:val="superscript"/>
        </w:rPr>
        <w:t>3</w:t>
      </w:r>
      <w:r>
        <w:rPr>
          <w:rFonts w:hint="eastAsia" w:ascii="宋体" w:hAnsi="宋体" w:eastAsia="宋体" w:cs="宋体"/>
          <w:color w:val="000000"/>
        </w:rPr>
        <w:t>，控制流域面积603km</w:t>
      </w:r>
      <w:r>
        <w:rPr>
          <w:rFonts w:hint="eastAsia" w:ascii="宋体" w:hAnsi="宋体" w:eastAsia="宋体" w:cs="宋体"/>
          <w:color w:val="000000"/>
          <w:vertAlign w:val="superscript"/>
        </w:rPr>
        <w:t>2</w:t>
      </w:r>
      <w:r>
        <w:rPr>
          <w:rFonts w:hint="eastAsia" w:ascii="宋体" w:hAnsi="宋体" w:eastAsia="宋体" w:cs="宋体"/>
          <w:color w:val="000000"/>
        </w:rPr>
        <w:t>，为东苕溪流域上游的控制性水利枢纽工程，控制了南苕溪主要的洪水，承担整个流域拦蓄洪水的重任，是杭嘉湖平原尤其是省城杭州的防洪屏障，保护杭长铁路、杭昱、杭宁等主要交通线，保护下游400多万人口和190万亩农田，并保障下游生态、生产、生活用水等。</w:t>
      </w:r>
    </w:p>
    <w:p>
      <w:pPr>
        <w:autoSpaceDE w:val="0"/>
        <w:autoSpaceDN w:val="0"/>
        <w:spacing w:line="500" w:lineRule="exact"/>
        <w:ind w:firstLine="482" w:firstLineChars="200"/>
        <w:rPr>
          <w:rFonts w:hint="eastAsia" w:ascii="宋体" w:hAnsi="宋体" w:eastAsia="宋体" w:cs="宋体"/>
          <w:b/>
          <w:bCs/>
          <w:color w:val="000000"/>
        </w:rPr>
      </w:pPr>
      <w:r>
        <w:rPr>
          <w:rFonts w:hint="eastAsia" w:ascii="宋体" w:hAnsi="宋体" w:eastAsia="宋体" w:cs="宋体"/>
          <w:b/>
          <w:bCs/>
          <w:color w:val="000000"/>
        </w:rPr>
        <w:t>1.1大坝水工建筑物及机电设备概况</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大坝等主体工程建于1958年，并于1988和2002年分别进行扩建和加固，青山水库枢纽工程由拦河大坝、泄洪闸、泄洪放空洞、副坝及发电站等组成，工程规模属大（二）型，工程等级为II等，主要建筑物为2级，水库设计洪水标准为百年一遇，校核洪水标准为万年一遇。</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拦河大坝：坝高24.1m，相应坝顶高程36.3m，坝顶长575m，坝顶宽10m，底宽178m，防浪墙墙顶高程37.5m。上游坝坡为1:2，1:2.3，1:3；下游坝坡为1:2，1:2.3。上游坝坡采用预制块石护坡，下游坝坡采用干砌条石护坡，同时在下游坝坡上设置绿化带，绿化面积占下游坝坡面积的30%。</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溢洪道：位于大坝右侧，老溢洪闸共5孔，每孔净宽7.7m，高5.8m，装有弧形钢闸门，上接胸墙挡水，最大泄量2030m</w:t>
      </w:r>
      <w:r>
        <w:rPr>
          <w:rFonts w:hint="eastAsia" w:ascii="宋体" w:hAnsi="宋体" w:eastAsia="宋体" w:cs="宋体"/>
          <w:color w:val="000000"/>
          <w:vertAlign w:val="superscript"/>
        </w:rPr>
        <w:t>3</w:t>
      </w:r>
      <w:r>
        <w:rPr>
          <w:rFonts w:hint="eastAsia" w:ascii="宋体" w:hAnsi="宋体" w:eastAsia="宋体" w:cs="宋体"/>
          <w:color w:val="000000"/>
        </w:rPr>
        <w:t>/s。新溢洪闸共5孔，每孔净宽8m，位于老闸右侧，装有8×10.5m开敞式弧形钢闸门，最大泄量3155m</w:t>
      </w:r>
      <w:r>
        <w:rPr>
          <w:rFonts w:hint="eastAsia" w:ascii="宋体" w:hAnsi="宋体" w:eastAsia="宋体" w:cs="宋体"/>
          <w:color w:val="000000"/>
          <w:vertAlign w:val="superscript"/>
        </w:rPr>
        <w:t>3</w:t>
      </w:r>
      <w:r>
        <w:rPr>
          <w:rFonts w:hint="eastAsia" w:ascii="宋体" w:hAnsi="宋体" w:eastAsia="宋体" w:cs="宋体"/>
          <w:color w:val="000000"/>
        </w:rPr>
        <w:t>/s。新老闸之间设6m宽的分隔墩，每孔闸门均配有启闭机，启闭力为２×１５Ｔ，均为电动卷扬式启闭机。闸后设三级消力池消能，后接泄洪渠并与老河道相接。</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输水隧洞：位于大坝左侧，全长203.85m，洞径3.9m，洞身采用钢衬加固（厚度12mm、16Mn的钢板衬砌），进口底高程14.7m，洞前装有平板检修钢闸门，配有2×40T卷扬式启闭机，泄洪洞最大泄流量为144m</w:t>
      </w:r>
      <w:r>
        <w:rPr>
          <w:rFonts w:hint="eastAsia" w:ascii="宋体" w:hAnsi="宋体" w:eastAsia="宋体" w:cs="宋体"/>
          <w:color w:val="000000"/>
          <w:vertAlign w:val="superscript"/>
        </w:rPr>
        <w:t>3</w:t>
      </w:r>
      <w:r>
        <w:rPr>
          <w:rFonts w:hint="eastAsia" w:ascii="宋体" w:hAnsi="宋体" w:eastAsia="宋体" w:cs="宋体"/>
          <w:color w:val="000000"/>
        </w:rPr>
        <w:t>/s。隧洞出口设置弧形工作钢闸门，出口底高程8.2m</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副坝：位于距主坝左侧3.5公里的后园里山岙分水岭处，坝高8.8米，坝顶长84.5m，宽度8.0m，上下游坝坡均为1:2，副坝采用在迎水面用粘土贴坡防渗加固方式，在坝顶迎水侧设置C15砼防浪墙，防浪墙顶高程36.50m。迎水面采用土料填筑，坝坡设浆砌石护坡，厚35cm。</w:t>
      </w:r>
    </w:p>
    <w:p>
      <w:pPr>
        <w:autoSpaceDE w:val="0"/>
        <w:autoSpaceDN w:val="0"/>
        <w:spacing w:line="500" w:lineRule="exact"/>
        <w:ind w:firstLine="482" w:firstLineChars="200"/>
        <w:rPr>
          <w:rFonts w:hint="eastAsia" w:ascii="宋体" w:hAnsi="宋体" w:eastAsia="宋体" w:cs="宋体"/>
          <w:b/>
          <w:bCs/>
          <w:color w:val="000000"/>
        </w:rPr>
      </w:pPr>
      <w:r>
        <w:rPr>
          <w:rFonts w:hint="eastAsia" w:ascii="宋体" w:hAnsi="宋体" w:eastAsia="宋体" w:cs="宋体"/>
          <w:b/>
          <w:bCs/>
          <w:color w:val="000000"/>
        </w:rPr>
        <w:t>1.2电站情况</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青山水库电站位于大坝北侧，由泄洪放空洞分五路岔管分供5台机组，主要利用库水位进行发电。电站装机容量4×630kW+1×400kW，均采用自动化控制。电站现有厂房2处、附属建筑物3处，有水轮发电机组5套、调速器5台、引水钢管及蝶阀5套、励磁及励磁变压器5套、10吨单梁行车1台、10吨手拉葫芦2台、空气压缩系统1套、主变3台、厂变2台、各类屏柜58套、水阻设备2套等。电站近3年平均年发电量800万度以上，平均年发电收入达350万元以上。</w:t>
      </w:r>
    </w:p>
    <w:p>
      <w:pPr>
        <w:autoSpaceDE w:val="0"/>
        <w:autoSpaceDN w:val="0"/>
        <w:spacing w:line="500" w:lineRule="exact"/>
        <w:ind w:firstLine="482" w:firstLineChars="200"/>
        <w:rPr>
          <w:rFonts w:hint="eastAsia" w:ascii="宋体" w:hAnsi="宋体" w:eastAsia="宋体" w:cs="宋体"/>
          <w:b/>
          <w:bCs/>
          <w:color w:val="000000"/>
        </w:rPr>
      </w:pPr>
      <w:r>
        <w:rPr>
          <w:rFonts w:hint="eastAsia" w:ascii="宋体" w:hAnsi="宋体" w:eastAsia="宋体" w:cs="宋体"/>
          <w:b/>
          <w:bCs/>
          <w:color w:val="000000"/>
        </w:rPr>
        <w:t>1.3**怖防范情况</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青山水库**怖防范项目始于2016年。2016年G20峰会在杭州召开。青山水库被划定为临安市**怖重点防范单位，**怖防范专项相应产生。目前水库**布置主要是水库主体工程大坝南北端分设立两个岗亭，限制外来人员与车辆的随意通行。设立巡逻岗，每天在工程管理范围昼夜巡逻、检查；办公大院，设立门卫治安岗；防汛楼调度中心值班室，设立安防值班制度，加强值班防守。专项建立以来，工程范围内，外来人员聚众活动得到有效地劝阻与规范，安全性得到保障。管理区域安全治安也得到有效保障，无任何治安隐患与情况发生。</w:t>
      </w:r>
    </w:p>
    <w:p>
      <w:pPr>
        <w:autoSpaceDE w:val="0"/>
        <w:autoSpaceDN w:val="0"/>
        <w:spacing w:line="500" w:lineRule="exact"/>
        <w:ind w:firstLine="482" w:firstLineChars="200"/>
        <w:rPr>
          <w:rFonts w:hint="eastAsia" w:ascii="宋体" w:hAnsi="宋体" w:eastAsia="宋体" w:cs="宋体"/>
          <w:b/>
          <w:bCs/>
          <w:color w:val="000000"/>
        </w:rPr>
        <w:sectPr>
          <w:footerReference r:id="rId11" w:type="first"/>
          <w:footerReference r:id="rId10" w:type="default"/>
          <w:pgSz w:w="11906" w:h="16838"/>
          <w:pgMar w:top="1162" w:right="1276" w:bottom="992" w:left="1701" w:header="851" w:footer="850" w:gutter="0"/>
          <w:pgNumType w:start="1"/>
          <w:cols w:space="720" w:num="1"/>
          <w:titlePg/>
          <w:docGrid w:linePitch="312" w:charSpace="0"/>
        </w:sectPr>
      </w:pPr>
    </w:p>
    <w:p>
      <w:pPr>
        <w:spacing w:before="120" w:beforeLines="50"/>
        <w:ind w:firstLine="720" w:firstLineChars="300"/>
        <w:rPr>
          <w:rFonts w:hint="eastAsia" w:ascii="宋体" w:hAnsi="宋体" w:eastAsia="宋体" w:cs="宋体"/>
          <w:b/>
          <w:bCs/>
          <w:color w:val="000000"/>
          <w:sz w:val="28"/>
          <w:szCs w:val="28"/>
        </w:rPr>
      </w:pPr>
      <w:r>
        <w:rPr>
          <w:rFonts w:hint="eastAsia" w:ascii="宋体" w:hAnsi="宋体" w:eastAsia="宋体" w:cs="宋体"/>
          <w:color w:val="000000"/>
        </w:rPr>
        <w:t xml:space="preserve">附表1              </w:t>
      </w:r>
      <w:r>
        <w:rPr>
          <w:rFonts w:hint="eastAsia" w:ascii="宋体" w:hAnsi="宋体" w:eastAsia="宋体" w:cs="宋体"/>
          <w:b/>
          <w:bCs/>
          <w:color w:val="000000"/>
        </w:rPr>
        <w:t xml:space="preserve"> 青山水库工程主要特征表</w:t>
      </w:r>
    </w:p>
    <w:tbl>
      <w:tblPr>
        <w:tblStyle w:val="45"/>
        <w:tblW w:w="0" w:type="auto"/>
        <w:jc w:val="center"/>
        <w:tblLayout w:type="fixed"/>
        <w:tblCellMar>
          <w:top w:w="0" w:type="dxa"/>
          <w:left w:w="0" w:type="dxa"/>
          <w:bottom w:w="0" w:type="dxa"/>
          <w:right w:w="0" w:type="dxa"/>
        </w:tblCellMar>
      </w:tblPr>
      <w:tblGrid>
        <w:gridCol w:w="1056"/>
        <w:gridCol w:w="2759"/>
        <w:gridCol w:w="1399"/>
        <w:gridCol w:w="2090"/>
        <w:gridCol w:w="1646"/>
      </w:tblGrid>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序号</w:t>
            </w: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名　　称</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单位</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数　　值</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备注</w:t>
            </w: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一</w:t>
            </w: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left"/>
              <w:rPr>
                <w:rFonts w:hint="eastAsia" w:ascii="宋体" w:hAnsi="宋体" w:eastAsia="宋体" w:cs="宋体"/>
                <w:color w:val="000000"/>
              </w:rPr>
            </w:pPr>
            <w:r>
              <w:rPr>
                <w:rFonts w:hint="eastAsia" w:ascii="宋体" w:hAnsi="宋体" w:eastAsia="宋体" w:cs="宋体"/>
                <w:color w:val="000000"/>
              </w:rPr>
              <w:t>水文</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vertAlign w:val="superscript"/>
              </w:rPr>
            </w:pP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集雨面积</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vertAlign w:val="superscript"/>
              </w:rPr>
            </w:pPr>
            <w:r>
              <w:rPr>
                <w:rFonts w:hint="eastAsia" w:ascii="宋体" w:hAnsi="宋体" w:eastAsia="宋体" w:cs="宋体"/>
                <w:color w:val="000000"/>
              </w:rPr>
              <w:t>km</w:t>
            </w:r>
            <w:r>
              <w:rPr>
                <w:rFonts w:hint="eastAsia" w:ascii="宋体" w:hAnsi="宋体" w:eastAsia="宋体" w:cs="宋体"/>
                <w:color w:val="000000"/>
                <w:vertAlign w:val="superscript"/>
              </w:rPr>
              <w:t>2</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603</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多年平均径流量</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vertAlign w:val="superscript"/>
              </w:rPr>
            </w:pPr>
            <w:r>
              <w:rPr>
                <w:rFonts w:hint="eastAsia" w:ascii="宋体" w:hAnsi="宋体" w:eastAsia="宋体" w:cs="宋体"/>
                <w:color w:val="000000"/>
              </w:rPr>
              <w:t>万m</w:t>
            </w:r>
            <w:r>
              <w:rPr>
                <w:rFonts w:hint="eastAsia" w:ascii="宋体" w:hAnsi="宋体" w:eastAsia="宋体" w:cs="宋体"/>
                <w:color w:val="000000"/>
                <w:vertAlign w:val="superscript"/>
              </w:rPr>
              <w:t>3</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49518</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多年平均流量</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r>
              <w:rPr>
                <w:rFonts w:hint="eastAsia" w:ascii="宋体" w:hAnsi="宋体" w:eastAsia="宋体" w:cs="宋体"/>
                <w:color w:val="000000"/>
                <w:vertAlign w:val="superscript"/>
              </w:rPr>
              <w:t>3</w:t>
            </w:r>
            <w:r>
              <w:rPr>
                <w:rFonts w:hint="eastAsia" w:ascii="宋体" w:hAnsi="宋体" w:eastAsia="宋体" w:cs="宋体"/>
                <w:color w:val="000000"/>
              </w:rPr>
              <w:t>/s</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15.1</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设计洪水洪峰流量</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r>
              <w:rPr>
                <w:rFonts w:hint="eastAsia" w:ascii="宋体" w:hAnsi="宋体" w:eastAsia="宋体" w:cs="宋体"/>
                <w:color w:val="000000"/>
                <w:vertAlign w:val="superscript"/>
              </w:rPr>
              <w:t>3</w:t>
            </w:r>
            <w:r>
              <w:rPr>
                <w:rFonts w:hint="eastAsia" w:ascii="宋体" w:hAnsi="宋体" w:eastAsia="宋体" w:cs="宋体"/>
                <w:color w:val="000000"/>
              </w:rPr>
              <w:t>/s</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4428</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校核洪水洪峰流量</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r>
              <w:rPr>
                <w:rFonts w:hint="eastAsia" w:ascii="宋体" w:hAnsi="宋体" w:eastAsia="宋体" w:cs="宋体"/>
                <w:color w:val="000000"/>
                <w:vertAlign w:val="superscript"/>
              </w:rPr>
              <w:t>3</w:t>
            </w:r>
            <w:r>
              <w:rPr>
                <w:rFonts w:hint="eastAsia" w:ascii="宋体" w:hAnsi="宋体" w:eastAsia="宋体" w:cs="宋体"/>
                <w:color w:val="000000"/>
              </w:rPr>
              <w:t>/s</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8326</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三天设计雨量</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mm</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499</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308"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三天校核雨量</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mm</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645</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七天校核洪量</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jc w:val="center"/>
              <w:rPr>
                <w:rFonts w:hint="eastAsia" w:ascii="宋体" w:hAnsi="宋体" w:eastAsia="宋体" w:cs="宋体"/>
                <w:color w:val="000000"/>
              </w:rPr>
            </w:pPr>
            <w:r>
              <w:rPr>
                <w:rFonts w:hint="eastAsia" w:ascii="宋体" w:hAnsi="宋体" w:eastAsia="宋体" w:cs="宋体"/>
                <w:color w:val="000000"/>
              </w:rPr>
              <w:t>亿m</w:t>
            </w:r>
            <w:r>
              <w:rPr>
                <w:rFonts w:hint="eastAsia" w:ascii="宋体" w:hAnsi="宋体" w:eastAsia="宋体" w:cs="宋体"/>
                <w:color w:val="000000"/>
                <w:vertAlign w:val="superscript"/>
              </w:rPr>
              <w:t>3</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3.58</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二</w:t>
            </w: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水库</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vertAlign w:val="superscript"/>
              </w:rPr>
            </w:pP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总库容</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vertAlign w:val="superscript"/>
              </w:rPr>
            </w:pPr>
            <w:r>
              <w:rPr>
                <w:rFonts w:hint="eastAsia" w:ascii="宋体" w:hAnsi="宋体" w:eastAsia="宋体" w:cs="宋体"/>
                <w:color w:val="000000"/>
              </w:rPr>
              <w:t>万m</w:t>
            </w:r>
            <w:r>
              <w:rPr>
                <w:rFonts w:hint="eastAsia" w:ascii="宋体" w:hAnsi="宋体" w:eastAsia="宋体" w:cs="宋体"/>
                <w:color w:val="000000"/>
                <w:vertAlign w:val="superscript"/>
              </w:rPr>
              <w:t>3</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21300</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兴利库容</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万m</w:t>
            </w:r>
            <w:r>
              <w:rPr>
                <w:rFonts w:hint="eastAsia" w:ascii="宋体" w:hAnsi="宋体" w:eastAsia="宋体" w:cs="宋体"/>
                <w:color w:val="000000"/>
                <w:vertAlign w:val="superscript"/>
              </w:rPr>
              <w:t>3</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3193</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调洪库容</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万m</w:t>
            </w:r>
            <w:r>
              <w:rPr>
                <w:rFonts w:hint="eastAsia" w:ascii="宋体" w:hAnsi="宋体" w:eastAsia="宋体" w:cs="宋体"/>
                <w:color w:val="000000"/>
                <w:vertAlign w:val="superscript"/>
              </w:rPr>
              <w:t>3</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17700</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死库容</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万m</w:t>
            </w:r>
            <w:r>
              <w:rPr>
                <w:rFonts w:hint="eastAsia" w:ascii="宋体" w:hAnsi="宋体" w:eastAsia="宋体" w:cs="宋体"/>
                <w:color w:val="000000"/>
                <w:vertAlign w:val="superscript"/>
              </w:rPr>
              <w:t>3</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407</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死水位</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17.16</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防洪库容</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万m</w:t>
            </w:r>
            <w:r>
              <w:rPr>
                <w:rFonts w:hint="eastAsia" w:ascii="宋体" w:hAnsi="宋体" w:eastAsia="宋体" w:cs="宋体"/>
                <w:color w:val="000000"/>
                <w:vertAlign w:val="superscript"/>
              </w:rPr>
              <w:t>3</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10100</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正常蓄水位</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23.16</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梅汛期防洪限制水位</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23.16</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台汛期防洪限制水位</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23.16</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防洪高水位</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 xml:space="preserve">31.16 </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设计洪水位</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32.56</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校核洪水位</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35.03</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历史最高水位</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 xml:space="preserve">32.02 </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移民高程</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31.16</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征地用高程</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29.86</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防洪保护面积</w:t>
            </w:r>
          </w:p>
        </w:tc>
        <w:tc>
          <w:tcPr>
            <w:tcW w:w="1399" w:type="dxa"/>
            <w:tcBorders>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万亩</w:t>
            </w:r>
          </w:p>
        </w:tc>
        <w:tc>
          <w:tcPr>
            <w:tcW w:w="2090" w:type="dxa"/>
            <w:tcBorders>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190</w:t>
            </w:r>
          </w:p>
        </w:tc>
        <w:tc>
          <w:tcPr>
            <w:tcW w:w="1646"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防洪保护人口</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万人</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400</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90"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设计频率</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90"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校核频率</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0.01</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90"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三</w:t>
            </w: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主要建筑物及设备</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0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　</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w:t>
            </w: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挡水建筑物</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0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主坝坝型</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0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土坝</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设混凝土防渗墙</w:t>
            </w: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地基特性</w:t>
            </w:r>
          </w:p>
        </w:tc>
        <w:tc>
          <w:tcPr>
            <w:tcW w:w="1399" w:type="dxa"/>
            <w:tcBorders>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090"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壤土/砂砾石</w:t>
            </w:r>
          </w:p>
        </w:tc>
        <w:tc>
          <w:tcPr>
            <w:tcW w:w="1646"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地震基本烈度</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≤Ⅳ</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坝顶高程</w:t>
            </w:r>
          </w:p>
        </w:tc>
        <w:tc>
          <w:tcPr>
            <w:tcW w:w="1399" w:type="dxa"/>
            <w:tcBorders>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36.26</w:t>
            </w:r>
          </w:p>
        </w:tc>
        <w:tc>
          <w:tcPr>
            <w:tcW w:w="1646"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left w:val="nil"/>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坝顶宽度</w:t>
            </w:r>
          </w:p>
        </w:tc>
        <w:tc>
          <w:tcPr>
            <w:tcW w:w="1399" w:type="dxa"/>
            <w:tcBorders>
              <w:left w:val="nil"/>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left w:val="nil"/>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10</w:t>
            </w:r>
          </w:p>
        </w:tc>
        <w:tc>
          <w:tcPr>
            <w:tcW w:w="1646" w:type="dxa"/>
            <w:tcBorders>
              <w:left w:val="nil"/>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最大坝高</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24.1</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坝顶长度</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575</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284"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上游坡度(高程24.17以上)</w:t>
            </w:r>
          </w:p>
        </w:tc>
        <w:tc>
          <w:tcPr>
            <w:tcW w:w="139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09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1:2.0</w:t>
            </w:r>
          </w:p>
        </w:tc>
        <w:tc>
          <w:tcPr>
            <w:tcW w:w="164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90"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下游坡度</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1:2.0</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156"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防浪墙高度</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1.20</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与防渗体相连</w:t>
            </w:r>
          </w:p>
        </w:tc>
      </w:tr>
      <w:tr>
        <w:tblPrEx>
          <w:tblCellMar>
            <w:top w:w="0" w:type="dxa"/>
            <w:left w:w="0" w:type="dxa"/>
            <w:bottom w:w="0" w:type="dxa"/>
            <w:right w:w="0" w:type="dxa"/>
          </w:tblCellMar>
        </w:tblPrEx>
        <w:trPr>
          <w:cantSplit/>
          <w:trHeight w:val="238"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w:t>
            </w: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泄洪闸</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cantSplit/>
          <w:trHeight w:val="166" w:hRule="atLeast"/>
          <w:jc w:val="center"/>
        </w:trPr>
        <w:tc>
          <w:tcPr>
            <w:tcW w:w="10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75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堰顶高程</w:t>
            </w:r>
          </w:p>
        </w:tc>
        <w:tc>
          <w:tcPr>
            <w:tcW w:w="139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209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23.16</w:t>
            </w:r>
          </w:p>
        </w:tc>
        <w:tc>
          <w:tcPr>
            <w:tcW w:w="16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bl>
    <w:p>
      <w:pPr>
        <w:spacing w:before="120" w:beforeLines="50" w:after="120" w:afterLines="50"/>
        <w:rPr>
          <w:rFonts w:hint="eastAsia" w:ascii="宋体" w:hAnsi="宋体" w:eastAsia="宋体" w:cs="宋体"/>
          <w:color w:val="000000"/>
        </w:rPr>
        <w:sectPr>
          <w:pgSz w:w="11906" w:h="16838"/>
          <w:pgMar w:top="1106" w:right="1276" w:bottom="992" w:left="1701" w:header="851" w:footer="794" w:gutter="0"/>
          <w:cols w:space="720" w:num="1"/>
          <w:titlePg/>
          <w:docGrid w:linePitch="312" w:charSpace="0"/>
        </w:sectPr>
      </w:pPr>
    </w:p>
    <w:p>
      <w:pPr>
        <w:spacing w:before="156" w:beforeLines="50" w:after="156" w:afterLines="50"/>
        <w:rPr>
          <w:rFonts w:hint="eastAsia" w:ascii="宋体" w:hAnsi="宋体" w:eastAsia="宋体" w:cs="宋体"/>
          <w:b/>
          <w:bCs/>
          <w:color w:val="000000"/>
        </w:rPr>
      </w:pPr>
      <w:r>
        <w:rPr>
          <w:rFonts w:hint="eastAsia" w:ascii="宋体" w:hAnsi="宋体" w:eastAsia="宋体" w:cs="宋体"/>
          <w:color w:val="000000"/>
        </w:rPr>
        <w:t xml:space="preserve">附表1（续表）          </w:t>
      </w:r>
      <w:r>
        <w:rPr>
          <w:rFonts w:hint="eastAsia" w:ascii="宋体" w:hAnsi="宋体" w:eastAsia="宋体" w:cs="宋体"/>
          <w:b/>
          <w:bCs/>
          <w:color w:val="000000"/>
        </w:rPr>
        <w:t xml:space="preserve">   青山水库工程主要特征表</w:t>
      </w:r>
    </w:p>
    <w:tbl>
      <w:tblPr>
        <w:tblStyle w:val="45"/>
        <w:tblW w:w="0" w:type="auto"/>
        <w:jc w:val="center"/>
        <w:tblLayout w:type="fixed"/>
        <w:tblCellMar>
          <w:top w:w="0" w:type="dxa"/>
          <w:left w:w="0" w:type="dxa"/>
          <w:bottom w:w="0" w:type="dxa"/>
          <w:right w:w="0" w:type="dxa"/>
        </w:tblCellMar>
      </w:tblPr>
      <w:tblGrid>
        <w:gridCol w:w="983"/>
        <w:gridCol w:w="2568"/>
        <w:gridCol w:w="1301"/>
        <w:gridCol w:w="1944"/>
        <w:gridCol w:w="1532"/>
      </w:tblGrid>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老泄洪道单宽</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7.7</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共5孔</w:t>
            </w: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新泄洪道单宽</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8.0</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共5孔</w:t>
            </w: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消能方式</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消力池消能</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泄洪方式</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　</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泄洪闸、泄洪放空洞</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闸门形式</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弧形钢闸门</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老闸门尺寸(宽×高)</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7.7×5.8</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新闸门尺寸(宽×高)</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8×10.5</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启闭机形式</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2×15T卷扬式</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台数</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台</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10</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w:t>
            </w: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泄洪放空洞</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形式</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压力隧洞</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洞长</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203.85</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洞径</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3.9</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钢管衬砌</w:t>
            </w: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洞进口尺寸</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m×m</w:t>
            </w: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3.2×4.0</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洞进口底高程</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14.66</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洞出口底高程</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9.16</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设计最大下泄流量</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r>
              <w:rPr>
                <w:rFonts w:hint="eastAsia" w:ascii="宋体" w:hAnsi="宋体" w:eastAsia="宋体" w:cs="宋体"/>
                <w:color w:val="000000"/>
                <w:vertAlign w:val="superscript"/>
              </w:rPr>
              <w:t>3</w:t>
            </w:r>
            <w:r>
              <w:rPr>
                <w:rFonts w:hint="eastAsia" w:ascii="宋体" w:hAnsi="宋体" w:eastAsia="宋体" w:cs="宋体"/>
                <w:color w:val="000000"/>
              </w:rPr>
              <w:t>/s</w:t>
            </w: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122</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4</w:t>
            </w: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副坝</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坝顶高程</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36.16</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最大坝高</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10.0</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坝顶长</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84.5</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坝顶宽</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8.0</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坝坡</w:t>
            </w:r>
          </w:p>
        </w:tc>
        <w:tc>
          <w:tcPr>
            <w:tcW w:w="1301" w:type="dxa"/>
            <w:tcBorders>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944" w:type="dxa"/>
            <w:tcBorders>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1:2</w:t>
            </w:r>
          </w:p>
        </w:tc>
        <w:tc>
          <w:tcPr>
            <w:tcW w:w="1532"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四</w:t>
            </w: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电站</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装机容量</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2.92</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r>
              <w:rPr>
                <w:rFonts w:hint="eastAsia" w:ascii="宋体" w:hAnsi="宋体" w:eastAsia="宋体" w:cs="宋体"/>
                <w:color w:val="000000"/>
              </w:rPr>
              <w:t>630×4+400×1</w:t>
            </w:r>
          </w:p>
        </w:tc>
      </w:tr>
      <w:tr>
        <w:tblPrEx>
          <w:tblCellMar>
            <w:top w:w="0" w:type="dxa"/>
            <w:left w:w="0" w:type="dxa"/>
            <w:bottom w:w="0" w:type="dxa"/>
            <w:right w:w="0" w:type="dxa"/>
          </w:tblCellMar>
        </w:tblPrEx>
        <w:trPr>
          <w:trHeight w:val="284" w:hRule="atLeast"/>
          <w:jc w:val="center"/>
        </w:trPr>
        <w:tc>
          <w:tcPr>
            <w:tcW w:w="983"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设计水头</w:t>
            </w:r>
          </w:p>
        </w:tc>
        <w:tc>
          <w:tcPr>
            <w:tcW w:w="130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p>
        </w:tc>
        <w:tc>
          <w:tcPr>
            <w:tcW w:w="194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12.0</w:t>
            </w:r>
          </w:p>
        </w:tc>
        <w:tc>
          <w:tcPr>
            <w:tcW w:w="153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发电流量</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m</w:t>
            </w:r>
            <w:r>
              <w:rPr>
                <w:rFonts w:hint="eastAsia" w:ascii="宋体" w:hAnsi="宋体" w:eastAsia="宋体" w:cs="宋体"/>
                <w:color w:val="000000"/>
                <w:vertAlign w:val="superscript"/>
              </w:rPr>
              <w:t>3</w:t>
            </w:r>
            <w:r>
              <w:rPr>
                <w:rFonts w:hint="eastAsia" w:ascii="宋体" w:hAnsi="宋体" w:eastAsia="宋体" w:cs="宋体"/>
                <w:color w:val="000000"/>
              </w:rPr>
              <w:t>/s</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7.47</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多年平均发电量</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万kW·h</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790</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r>
        <w:tblPrEx>
          <w:tblCellMar>
            <w:top w:w="0" w:type="dxa"/>
            <w:left w:w="0" w:type="dxa"/>
            <w:bottom w:w="0" w:type="dxa"/>
            <w:right w:w="0" w:type="dxa"/>
          </w:tblCellMar>
        </w:tblPrEx>
        <w:trPr>
          <w:trHeight w:val="284"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p>
        </w:tc>
        <w:tc>
          <w:tcPr>
            <w:tcW w:w="256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rPr>
                <w:rFonts w:hint="eastAsia" w:ascii="宋体" w:hAnsi="宋体" w:eastAsia="宋体" w:cs="宋体"/>
                <w:color w:val="000000"/>
              </w:rPr>
            </w:pPr>
            <w:r>
              <w:rPr>
                <w:rFonts w:hint="eastAsia" w:ascii="宋体" w:hAnsi="宋体" w:eastAsia="宋体" w:cs="宋体"/>
                <w:color w:val="000000"/>
              </w:rPr>
              <w:t>实际灌溉面积</w:t>
            </w:r>
          </w:p>
        </w:tc>
        <w:tc>
          <w:tcPr>
            <w:tcW w:w="130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万亩</w:t>
            </w:r>
          </w:p>
        </w:tc>
        <w:tc>
          <w:tcPr>
            <w:tcW w:w="194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color w:val="000000"/>
              </w:rPr>
            </w:pPr>
            <w:r>
              <w:rPr>
                <w:rFonts w:hint="eastAsia" w:ascii="宋体" w:hAnsi="宋体" w:eastAsia="宋体" w:cs="宋体"/>
                <w:color w:val="000000"/>
              </w:rPr>
              <w:t>3.0</w:t>
            </w:r>
          </w:p>
        </w:tc>
        <w:tc>
          <w:tcPr>
            <w:tcW w:w="153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rPr>
            </w:pPr>
          </w:p>
        </w:tc>
      </w:tr>
    </w:tbl>
    <w:p>
      <w:pPr>
        <w:rPr>
          <w:rFonts w:hint="eastAsia" w:ascii="宋体" w:hAnsi="宋体" w:eastAsia="宋体" w:cs="宋体"/>
          <w:color w:val="000000"/>
        </w:rPr>
        <w:sectPr>
          <w:pgSz w:w="11906" w:h="16838"/>
          <w:pgMar w:top="1440" w:right="1800" w:bottom="1440" w:left="1800" w:header="851" w:footer="992" w:gutter="0"/>
          <w:cols w:space="720" w:num="1"/>
          <w:titlePg/>
          <w:docGrid w:type="lines" w:linePitch="312" w:charSpace="0"/>
        </w:sect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附表2              </w:t>
      </w:r>
      <w:r>
        <w:rPr>
          <w:rFonts w:hint="eastAsia" w:ascii="宋体" w:hAnsi="宋体" w:eastAsia="宋体" w:cs="宋体"/>
          <w:b/>
          <w:bCs/>
          <w:color w:val="000000"/>
        </w:rPr>
        <w:t xml:space="preserve"> 泄洪闸、泄洪洞启闭设备参数表</w:t>
      </w:r>
    </w:p>
    <w:tbl>
      <w:tblPr>
        <w:tblStyle w:val="45"/>
        <w:tblW w:w="0" w:type="auto"/>
        <w:tblInd w:w="0" w:type="dxa"/>
        <w:tblLayout w:type="fixed"/>
        <w:tblCellMar>
          <w:top w:w="0" w:type="dxa"/>
          <w:left w:w="108" w:type="dxa"/>
          <w:bottom w:w="0" w:type="dxa"/>
          <w:right w:w="108" w:type="dxa"/>
        </w:tblCellMar>
      </w:tblPr>
      <w:tblGrid>
        <w:gridCol w:w="1658"/>
        <w:gridCol w:w="1696"/>
        <w:gridCol w:w="1928"/>
        <w:gridCol w:w="1658"/>
        <w:gridCol w:w="1579"/>
      </w:tblGrid>
      <w:tr>
        <w:tblPrEx>
          <w:tblCellMar>
            <w:top w:w="0" w:type="dxa"/>
            <w:left w:w="108" w:type="dxa"/>
            <w:bottom w:w="0" w:type="dxa"/>
            <w:right w:w="108" w:type="dxa"/>
          </w:tblCellMar>
        </w:tblPrEx>
        <w:trPr>
          <w:trHeight w:val="23" w:hRule="atLeast"/>
        </w:trPr>
        <w:tc>
          <w:tcPr>
            <w:tcW w:w="1658"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1#-5#泄洪闸</w:t>
            </w:r>
          </w:p>
        </w:tc>
        <w:tc>
          <w:tcPr>
            <w:tcW w:w="1696"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启闭机型号</w:t>
            </w:r>
          </w:p>
        </w:tc>
        <w:tc>
          <w:tcPr>
            <w:tcW w:w="1928"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QXQ2×15T</w:t>
            </w:r>
          </w:p>
        </w:tc>
        <w:tc>
          <w:tcPr>
            <w:tcW w:w="1658"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启闭机形式</w:t>
            </w:r>
          </w:p>
        </w:tc>
        <w:tc>
          <w:tcPr>
            <w:tcW w:w="1579"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卷扬式</w:t>
            </w:r>
          </w:p>
        </w:tc>
      </w:tr>
      <w:tr>
        <w:tblPrEx>
          <w:tblCellMar>
            <w:top w:w="0" w:type="dxa"/>
            <w:left w:w="108" w:type="dxa"/>
            <w:bottom w:w="0" w:type="dxa"/>
            <w:right w:w="108" w:type="dxa"/>
          </w:tblCellMar>
        </w:tblPrEx>
        <w:trPr>
          <w:trHeight w:val="23" w:hRule="atLeast"/>
        </w:trPr>
        <w:tc>
          <w:tcPr>
            <w:tcW w:w="16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电动机型号</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JZ</w:t>
            </w:r>
            <w:r>
              <w:rPr>
                <w:rStyle w:val="69"/>
                <w:rFonts w:hint="default"/>
                <w:bCs/>
                <w:sz w:val="21"/>
                <w:szCs w:val="21"/>
                <w:lang w:bidi="ar"/>
              </w:rPr>
              <w:t>2</w:t>
            </w:r>
            <w:r>
              <w:rPr>
                <w:rStyle w:val="54"/>
                <w:rFonts w:hint="default"/>
                <w:bCs/>
                <w:sz w:val="21"/>
                <w:szCs w:val="21"/>
                <w:lang w:bidi="ar"/>
              </w:rPr>
              <w:t>-41-8</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频率（HZ）</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50</w:t>
            </w:r>
          </w:p>
        </w:tc>
      </w:tr>
      <w:tr>
        <w:tblPrEx>
          <w:tblCellMar>
            <w:top w:w="0" w:type="dxa"/>
            <w:left w:w="108" w:type="dxa"/>
            <w:bottom w:w="0" w:type="dxa"/>
            <w:right w:w="108" w:type="dxa"/>
          </w:tblCellMar>
        </w:tblPrEx>
        <w:trPr>
          <w:trHeight w:val="23" w:hRule="atLeast"/>
        </w:trPr>
        <w:tc>
          <w:tcPr>
            <w:tcW w:w="16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启(闭)门力(T)</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2×15</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起门高度（m）</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5.8</w:t>
            </w:r>
          </w:p>
        </w:tc>
      </w:tr>
      <w:tr>
        <w:tblPrEx>
          <w:tblCellMar>
            <w:top w:w="0" w:type="dxa"/>
            <w:left w:w="108" w:type="dxa"/>
            <w:bottom w:w="0" w:type="dxa"/>
            <w:right w:w="108" w:type="dxa"/>
          </w:tblCellMar>
        </w:tblPrEx>
        <w:trPr>
          <w:trHeight w:val="23" w:hRule="atLeast"/>
        </w:trPr>
        <w:tc>
          <w:tcPr>
            <w:tcW w:w="16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启门速度（m/分）</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1.42</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总传动比</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1250</w:t>
            </w:r>
          </w:p>
        </w:tc>
      </w:tr>
      <w:tr>
        <w:tblPrEx>
          <w:tblCellMar>
            <w:top w:w="0" w:type="dxa"/>
            <w:left w:w="108" w:type="dxa"/>
            <w:bottom w:w="0" w:type="dxa"/>
            <w:right w:w="108" w:type="dxa"/>
          </w:tblCellMar>
        </w:tblPrEx>
        <w:trPr>
          <w:trHeight w:val="23" w:hRule="atLeast"/>
        </w:trPr>
        <w:tc>
          <w:tcPr>
            <w:tcW w:w="165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转速(转/分)</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710</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功率(kW)</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11</w:t>
            </w:r>
          </w:p>
        </w:tc>
      </w:tr>
      <w:tr>
        <w:tblPrEx>
          <w:tblCellMar>
            <w:top w:w="0" w:type="dxa"/>
            <w:left w:w="108" w:type="dxa"/>
            <w:bottom w:w="0" w:type="dxa"/>
            <w:right w:w="108" w:type="dxa"/>
          </w:tblCellMar>
        </w:tblPrEx>
        <w:trPr>
          <w:trHeight w:val="23" w:hRule="atLeast"/>
        </w:trPr>
        <w:tc>
          <w:tcPr>
            <w:tcW w:w="1658" w:type="dxa"/>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6#-10#泄洪闸</w:t>
            </w: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启闭机型号</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QXQ2×15T</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启闭机形式</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卷扬式</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电动机型号</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JZ</w:t>
            </w:r>
            <w:r>
              <w:rPr>
                <w:rStyle w:val="69"/>
                <w:rFonts w:hint="default"/>
                <w:bCs/>
                <w:sz w:val="21"/>
                <w:szCs w:val="21"/>
                <w:lang w:bidi="ar"/>
              </w:rPr>
              <w:t>2</w:t>
            </w:r>
            <w:r>
              <w:rPr>
                <w:rStyle w:val="54"/>
                <w:rFonts w:hint="default"/>
                <w:bCs/>
                <w:sz w:val="21"/>
                <w:szCs w:val="21"/>
                <w:lang w:bidi="ar"/>
              </w:rPr>
              <w:t>-41-8</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频率（HZ）</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50</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启(闭)门力(T)</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2×15</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起门高度（m）</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10</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启门速度（m/分）</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1.42</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总传动比</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1250</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转速(转/分)</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710</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功率(kW)</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11</w:t>
            </w:r>
          </w:p>
        </w:tc>
      </w:tr>
      <w:tr>
        <w:tblPrEx>
          <w:tblCellMar>
            <w:top w:w="0" w:type="dxa"/>
            <w:left w:w="108" w:type="dxa"/>
            <w:bottom w:w="0" w:type="dxa"/>
            <w:right w:w="108" w:type="dxa"/>
          </w:tblCellMar>
        </w:tblPrEx>
        <w:trPr>
          <w:trHeight w:val="23" w:hRule="atLeast"/>
        </w:trPr>
        <w:tc>
          <w:tcPr>
            <w:tcW w:w="1658" w:type="dxa"/>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泄洪洞进口</w:t>
            </w: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启闭机型号</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QPQ2×40T</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启闭机形式</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卷扬式</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电动机型号</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YZ200L-8</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频率（HZ)</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50</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启(闭)门力(T)</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2×40</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起门高度（m）</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17</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启门速度（m/分）</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1.8</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总传动比</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600</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转速(转/分)</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686</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功率(kW)</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22</w:t>
            </w:r>
          </w:p>
        </w:tc>
      </w:tr>
      <w:tr>
        <w:tblPrEx>
          <w:tblCellMar>
            <w:top w:w="0" w:type="dxa"/>
            <w:left w:w="108" w:type="dxa"/>
            <w:bottom w:w="0" w:type="dxa"/>
            <w:right w:w="108" w:type="dxa"/>
          </w:tblCellMar>
        </w:tblPrEx>
        <w:trPr>
          <w:trHeight w:val="23" w:hRule="atLeast"/>
        </w:trPr>
        <w:tc>
          <w:tcPr>
            <w:tcW w:w="1658" w:type="dxa"/>
            <w:vMerge w:val="restart"/>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泄洪洞出口</w:t>
            </w: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启闭机型号</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2A-30T</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启闭机形式</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螺杆式</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电动机型号</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Y160L-6</w:t>
            </w:r>
          </w:p>
        </w:tc>
        <w:tc>
          <w:tcPr>
            <w:tcW w:w="1658" w:type="dxa"/>
            <w:tcBorders>
              <w:top w:val="nil"/>
              <w:left w:val="nil"/>
              <w:bottom w:val="single" w:color="000000" w:sz="8" w:space="0"/>
              <w:right w:val="single" w:color="000000" w:sz="8" w:space="0"/>
            </w:tcBorders>
            <w:noWrap w:val="0"/>
            <w:vAlign w:val="center"/>
          </w:tcPr>
          <w:p>
            <w:pPr>
              <w:widowControl/>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 xml:space="preserve">   频率（HZ）</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50</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启(闭)门力(T)</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30(25)</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起门高度（m）</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6.5</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启门速度（m/分）</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0.5</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总传动比</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w:t>
            </w:r>
          </w:p>
        </w:tc>
      </w:tr>
      <w:tr>
        <w:tblPrEx>
          <w:tblCellMar>
            <w:top w:w="0" w:type="dxa"/>
            <w:left w:w="108" w:type="dxa"/>
            <w:bottom w:w="0" w:type="dxa"/>
            <w:right w:w="108" w:type="dxa"/>
          </w:tblCellMar>
        </w:tblPrEx>
        <w:trPr>
          <w:trHeight w:val="23" w:hRule="atLeast"/>
        </w:trPr>
        <w:tc>
          <w:tcPr>
            <w:tcW w:w="1658"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Cs/>
                <w:color w:val="000000"/>
                <w:sz w:val="21"/>
                <w:szCs w:val="21"/>
              </w:rPr>
            </w:pPr>
          </w:p>
        </w:tc>
        <w:tc>
          <w:tcPr>
            <w:tcW w:w="16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转速(转/分)</w:t>
            </w:r>
          </w:p>
        </w:tc>
        <w:tc>
          <w:tcPr>
            <w:tcW w:w="192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w:t>
            </w:r>
          </w:p>
        </w:tc>
        <w:tc>
          <w:tcPr>
            <w:tcW w:w="165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功率(kW)</w:t>
            </w:r>
          </w:p>
        </w:tc>
        <w:tc>
          <w:tcPr>
            <w:tcW w:w="157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11</w:t>
            </w:r>
          </w:p>
        </w:tc>
      </w:tr>
    </w:tbl>
    <w:p>
      <w:pPr>
        <w:pStyle w:val="19"/>
        <w:rPr>
          <w:rFonts w:hint="eastAsia"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附表3              </w:t>
      </w:r>
      <w:r>
        <w:rPr>
          <w:rFonts w:hint="eastAsia" w:ascii="宋体" w:hAnsi="宋体" w:eastAsia="宋体" w:cs="宋体"/>
          <w:b/>
          <w:bCs/>
          <w:color w:val="000000"/>
        </w:rPr>
        <w:t xml:space="preserve"> 备用发电机设备参数表</w:t>
      </w:r>
    </w:p>
    <w:tbl>
      <w:tblPr>
        <w:tblStyle w:val="45"/>
        <w:tblW w:w="0" w:type="auto"/>
        <w:tblInd w:w="0" w:type="dxa"/>
        <w:tblLayout w:type="fixed"/>
        <w:tblCellMar>
          <w:top w:w="0" w:type="dxa"/>
          <w:left w:w="108" w:type="dxa"/>
          <w:bottom w:w="0" w:type="dxa"/>
          <w:right w:w="108" w:type="dxa"/>
        </w:tblCellMar>
      </w:tblPr>
      <w:tblGrid>
        <w:gridCol w:w="1899"/>
        <w:gridCol w:w="2430"/>
        <w:gridCol w:w="1938"/>
        <w:gridCol w:w="2255"/>
      </w:tblGrid>
      <w:tr>
        <w:tblPrEx>
          <w:tblCellMar>
            <w:top w:w="0" w:type="dxa"/>
            <w:left w:w="108" w:type="dxa"/>
            <w:bottom w:w="0" w:type="dxa"/>
            <w:right w:w="108" w:type="dxa"/>
          </w:tblCellMar>
        </w:tblPrEx>
        <w:trPr>
          <w:trHeight w:val="23" w:hRule="atLeast"/>
        </w:trPr>
        <w:tc>
          <w:tcPr>
            <w:tcW w:w="8522"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柴油机</w:t>
            </w:r>
          </w:p>
        </w:tc>
      </w:tr>
      <w:tr>
        <w:tblPrEx>
          <w:tblCellMar>
            <w:top w:w="0" w:type="dxa"/>
            <w:left w:w="108" w:type="dxa"/>
            <w:bottom w:w="0" w:type="dxa"/>
            <w:right w:w="108" w:type="dxa"/>
          </w:tblCellMar>
        </w:tblPrEx>
        <w:trPr>
          <w:trHeight w:val="23" w:hRule="atLeast"/>
        </w:trPr>
        <w:tc>
          <w:tcPr>
            <w:tcW w:w="189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型号</w:t>
            </w:r>
          </w:p>
        </w:tc>
        <w:tc>
          <w:tcPr>
            <w:tcW w:w="2430"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6CTA8.3-G2</w:t>
            </w:r>
          </w:p>
        </w:tc>
        <w:tc>
          <w:tcPr>
            <w:tcW w:w="1938"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12H功率</w:t>
            </w:r>
          </w:p>
        </w:tc>
        <w:tc>
          <w:tcPr>
            <w:tcW w:w="225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150kW</w:t>
            </w:r>
          </w:p>
        </w:tc>
      </w:tr>
      <w:tr>
        <w:tblPrEx>
          <w:tblCellMar>
            <w:top w:w="0" w:type="dxa"/>
            <w:left w:w="108" w:type="dxa"/>
            <w:bottom w:w="0" w:type="dxa"/>
            <w:right w:w="108" w:type="dxa"/>
          </w:tblCellMar>
        </w:tblPrEx>
        <w:trPr>
          <w:trHeight w:val="23" w:hRule="atLeast"/>
        </w:trPr>
        <w:tc>
          <w:tcPr>
            <w:tcW w:w="189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标定转速</w:t>
            </w:r>
          </w:p>
        </w:tc>
        <w:tc>
          <w:tcPr>
            <w:tcW w:w="243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1500转/分钟</w:t>
            </w:r>
          </w:p>
        </w:tc>
        <w:tc>
          <w:tcPr>
            <w:tcW w:w="193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缸径</w:t>
            </w:r>
          </w:p>
        </w:tc>
        <w:tc>
          <w:tcPr>
            <w:tcW w:w="22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135mm</w:t>
            </w:r>
          </w:p>
        </w:tc>
      </w:tr>
      <w:tr>
        <w:tblPrEx>
          <w:tblCellMar>
            <w:top w:w="0" w:type="dxa"/>
            <w:left w:w="108" w:type="dxa"/>
            <w:bottom w:w="0" w:type="dxa"/>
            <w:right w:w="108" w:type="dxa"/>
          </w:tblCellMar>
        </w:tblPrEx>
        <w:trPr>
          <w:trHeight w:val="23" w:hRule="atLeast"/>
        </w:trPr>
        <w:tc>
          <w:tcPr>
            <w:tcW w:w="189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行程</w:t>
            </w:r>
          </w:p>
        </w:tc>
        <w:tc>
          <w:tcPr>
            <w:tcW w:w="243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135mm</w:t>
            </w:r>
          </w:p>
        </w:tc>
        <w:tc>
          <w:tcPr>
            <w:tcW w:w="193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净重</w:t>
            </w:r>
          </w:p>
        </w:tc>
        <w:tc>
          <w:tcPr>
            <w:tcW w:w="22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1.8T</w:t>
            </w:r>
          </w:p>
        </w:tc>
      </w:tr>
      <w:tr>
        <w:tblPrEx>
          <w:tblCellMar>
            <w:top w:w="0" w:type="dxa"/>
            <w:left w:w="108" w:type="dxa"/>
            <w:bottom w:w="0" w:type="dxa"/>
            <w:right w:w="108" w:type="dxa"/>
          </w:tblCellMar>
        </w:tblPrEx>
        <w:trPr>
          <w:trHeight w:val="23" w:hRule="atLeast"/>
        </w:trPr>
        <w:tc>
          <w:tcPr>
            <w:tcW w:w="8522" w:type="dxa"/>
            <w:gridSpan w:val="4"/>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发电机</w:t>
            </w:r>
          </w:p>
        </w:tc>
      </w:tr>
      <w:tr>
        <w:tblPrEx>
          <w:tblCellMar>
            <w:top w:w="0" w:type="dxa"/>
            <w:left w:w="108" w:type="dxa"/>
            <w:bottom w:w="0" w:type="dxa"/>
            <w:right w:w="108" w:type="dxa"/>
          </w:tblCellMar>
        </w:tblPrEx>
        <w:trPr>
          <w:trHeight w:val="23" w:hRule="atLeast"/>
        </w:trPr>
        <w:tc>
          <w:tcPr>
            <w:tcW w:w="189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型号</w:t>
            </w:r>
          </w:p>
        </w:tc>
        <w:tc>
          <w:tcPr>
            <w:tcW w:w="2430"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DF-150</w:t>
            </w:r>
          </w:p>
        </w:tc>
        <w:tc>
          <w:tcPr>
            <w:tcW w:w="1938"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额定功率</w:t>
            </w:r>
          </w:p>
        </w:tc>
        <w:tc>
          <w:tcPr>
            <w:tcW w:w="225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150kW</w:t>
            </w:r>
          </w:p>
        </w:tc>
      </w:tr>
      <w:tr>
        <w:tblPrEx>
          <w:tblCellMar>
            <w:top w:w="0" w:type="dxa"/>
            <w:left w:w="108" w:type="dxa"/>
            <w:bottom w:w="0" w:type="dxa"/>
            <w:right w:w="108" w:type="dxa"/>
          </w:tblCellMar>
        </w:tblPrEx>
        <w:trPr>
          <w:trHeight w:val="23" w:hRule="atLeast"/>
        </w:trPr>
        <w:tc>
          <w:tcPr>
            <w:tcW w:w="1899" w:type="dxa"/>
            <w:tcBorders>
              <w:top w:val="nil"/>
              <w:left w:val="single" w:color="000000" w:sz="8" w:space="0"/>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额定频率</w:t>
            </w:r>
          </w:p>
        </w:tc>
        <w:tc>
          <w:tcPr>
            <w:tcW w:w="2430"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50HZ</w:t>
            </w:r>
          </w:p>
        </w:tc>
        <w:tc>
          <w:tcPr>
            <w:tcW w:w="1938"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额定电压</w:t>
            </w:r>
          </w:p>
        </w:tc>
        <w:tc>
          <w:tcPr>
            <w:tcW w:w="2255"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400V</w:t>
            </w:r>
          </w:p>
        </w:tc>
      </w:tr>
      <w:tr>
        <w:tblPrEx>
          <w:tblCellMar>
            <w:top w:w="0" w:type="dxa"/>
            <w:left w:w="108" w:type="dxa"/>
            <w:bottom w:w="0" w:type="dxa"/>
            <w:right w:w="108" w:type="dxa"/>
          </w:tblCellMar>
        </w:tblPrEx>
        <w:trPr>
          <w:trHeight w:val="23" w:hRule="atLeast"/>
        </w:trPr>
        <w:tc>
          <w:tcPr>
            <w:tcW w:w="1899" w:type="dxa"/>
            <w:tcBorders>
              <w:top w:val="single" w:color="auto" w:sz="4" w:space="0"/>
              <w:left w:val="single" w:color="auto" w:sz="4" w:space="0"/>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额定电流</w:t>
            </w:r>
          </w:p>
        </w:tc>
        <w:tc>
          <w:tcPr>
            <w:tcW w:w="2430" w:type="dxa"/>
            <w:tcBorders>
              <w:top w:val="single" w:color="auto" w:sz="4" w:space="0"/>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270A</w:t>
            </w:r>
          </w:p>
        </w:tc>
        <w:tc>
          <w:tcPr>
            <w:tcW w:w="1938" w:type="dxa"/>
            <w:tcBorders>
              <w:top w:val="single" w:color="auto" w:sz="4" w:space="0"/>
              <w:left w:val="nil"/>
              <w:bottom w:val="single" w:color="auto" w:sz="4"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额定功率因数</w:t>
            </w:r>
          </w:p>
        </w:tc>
        <w:tc>
          <w:tcPr>
            <w:tcW w:w="225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0.8</w:t>
            </w:r>
          </w:p>
        </w:tc>
      </w:tr>
      <w:tr>
        <w:tblPrEx>
          <w:tblCellMar>
            <w:top w:w="0" w:type="dxa"/>
            <w:left w:w="108" w:type="dxa"/>
            <w:bottom w:w="0" w:type="dxa"/>
            <w:right w:w="108" w:type="dxa"/>
          </w:tblCellMar>
        </w:tblPrEx>
        <w:trPr>
          <w:trHeight w:val="23" w:hRule="atLeast"/>
        </w:trPr>
        <w:tc>
          <w:tcPr>
            <w:tcW w:w="1899"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额定转速</w:t>
            </w:r>
          </w:p>
        </w:tc>
        <w:tc>
          <w:tcPr>
            <w:tcW w:w="2430"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1500r/min</w:t>
            </w:r>
          </w:p>
        </w:tc>
        <w:tc>
          <w:tcPr>
            <w:tcW w:w="1938"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励磁电压</w:t>
            </w:r>
          </w:p>
        </w:tc>
        <w:tc>
          <w:tcPr>
            <w:tcW w:w="2255"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45V</w:t>
            </w:r>
          </w:p>
        </w:tc>
      </w:tr>
      <w:tr>
        <w:tblPrEx>
          <w:tblCellMar>
            <w:top w:w="0" w:type="dxa"/>
            <w:left w:w="108" w:type="dxa"/>
            <w:bottom w:w="0" w:type="dxa"/>
            <w:right w:w="108" w:type="dxa"/>
          </w:tblCellMar>
        </w:tblPrEx>
        <w:trPr>
          <w:trHeight w:val="23" w:hRule="atLeast"/>
        </w:trPr>
        <w:tc>
          <w:tcPr>
            <w:tcW w:w="1899"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励磁电流</w:t>
            </w:r>
          </w:p>
        </w:tc>
        <w:tc>
          <w:tcPr>
            <w:tcW w:w="243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2.5A</w:t>
            </w:r>
          </w:p>
        </w:tc>
        <w:tc>
          <w:tcPr>
            <w:tcW w:w="193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重量</w:t>
            </w:r>
          </w:p>
        </w:tc>
        <w:tc>
          <w:tcPr>
            <w:tcW w:w="225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635-658KG</w:t>
            </w:r>
          </w:p>
        </w:tc>
      </w:tr>
    </w:tbl>
    <w:p>
      <w:pPr>
        <w:pStyle w:val="19"/>
        <w:rPr>
          <w:rFonts w:hint="eastAsia" w:eastAsia="宋体" w:cs="宋体"/>
          <w:color w:val="000000"/>
        </w:rPr>
        <w:sectPr>
          <w:pgSz w:w="11906" w:h="16838"/>
          <w:pgMar w:top="1440" w:right="1800" w:bottom="1440" w:left="1800" w:header="851" w:footer="992" w:gutter="0"/>
          <w:cols w:space="720" w:num="1"/>
          <w:titlePg/>
          <w:docGrid w:type="lines" w:linePitch="312" w:charSpace="0"/>
        </w:sect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电站主要机电设备表（1―4#水轮发电机组）</w:t>
      </w:r>
    </w:p>
    <w:tbl>
      <w:tblPr>
        <w:tblStyle w:val="45"/>
        <w:tblW w:w="0" w:type="auto"/>
        <w:tblInd w:w="0" w:type="dxa"/>
        <w:tblLayout w:type="fixed"/>
        <w:tblCellMar>
          <w:top w:w="0" w:type="dxa"/>
          <w:left w:w="108" w:type="dxa"/>
          <w:bottom w:w="0" w:type="dxa"/>
          <w:right w:w="108" w:type="dxa"/>
        </w:tblCellMar>
      </w:tblPr>
      <w:tblGrid>
        <w:gridCol w:w="3098"/>
        <w:gridCol w:w="2851"/>
        <w:gridCol w:w="2570"/>
      </w:tblGrid>
      <w:tr>
        <w:tblPrEx>
          <w:tblCellMar>
            <w:top w:w="0" w:type="dxa"/>
            <w:left w:w="108" w:type="dxa"/>
            <w:bottom w:w="0" w:type="dxa"/>
            <w:right w:w="108" w:type="dxa"/>
          </w:tblCellMar>
        </w:tblPrEx>
        <w:trPr>
          <w:trHeight w:val="23" w:hRule="atLeast"/>
        </w:trPr>
        <w:tc>
          <w:tcPr>
            <w:tcW w:w="309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水轮机：</w:t>
            </w:r>
          </w:p>
        </w:tc>
        <w:tc>
          <w:tcPr>
            <w:tcW w:w="5421" w:type="dxa"/>
            <w:gridSpan w:val="2"/>
            <w:tcBorders>
              <w:top w:val="single" w:color="000000" w:sz="8" w:space="0"/>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发电机：SF―J630―16∕1730</w:t>
            </w:r>
          </w:p>
        </w:tc>
      </w:tr>
      <w:tr>
        <w:tblPrEx>
          <w:tblCellMar>
            <w:top w:w="0" w:type="dxa"/>
            <w:left w:w="108" w:type="dxa"/>
            <w:bottom w:w="0" w:type="dxa"/>
            <w:right w:w="108" w:type="dxa"/>
          </w:tblCellMar>
        </w:tblPrEx>
        <w:trPr>
          <w:trHeight w:val="23" w:hRule="atLeast"/>
        </w:trPr>
        <w:tc>
          <w:tcPr>
            <w:tcW w:w="309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最大功率：750 kW</w:t>
            </w:r>
          </w:p>
        </w:tc>
        <w:tc>
          <w:tcPr>
            <w:tcW w:w="2851"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额定容量：787.5 KVA</w:t>
            </w:r>
          </w:p>
        </w:tc>
        <w:tc>
          <w:tcPr>
            <w:tcW w:w="2570" w:type="dxa"/>
            <w:tcBorders>
              <w:top w:val="single" w:color="000000" w:sz="8" w:space="0"/>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功率因数：0.8</w:t>
            </w:r>
          </w:p>
        </w:tc>
      </w:tr>
      <w:tr>
        <w:tblPrEx>
          <w:tblCellMar>
            <w:top w:w="0" w:type="dxa"/>
            <w:left w:w="108" w:type="dxa"/>
            <w:bottom w:w="0" w:type="dxa"/>
            <w:right w:w="108" w:type="dxa"/>
          </w:tblCellMar>
        </w:tblPrEx>
        <w:trPr>
          <w:trHeight w:val="23" w:hRule="atLeast"/>
        </w:trPr>
        <w:tc>
          <w:tcPr>
            <w:tcW w:w="309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额定功率：681 kW</w:t>
            </w:r>
          </w:p>
        </w:tc>
        <w:tc>
          <w:tcPr>
            <w:tcW w:w="2851"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额定电压：6300 V</w:t>
            </w:r>
          </w:p>
        </w:tc>
        <w:tc>
          <w:tcPr>
            <w:tcW w:w="2570"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励磁电压：51 V</w:t>
            </w:r>
          </w:p>
        </w:tc>
      </w:tr>
      <w:tr>
        <w:tblPrEx>
          <w:tblCellMar>
            <w:top w:w="0" w:type="dxa"/>
            <w:left w:w="108" w:type="dxa"/>
            <w:bottom w:w="0" w:type="dxa"/>
            <w:right w:w="108" w:type="dxa"/>
          </w:tblCellMar>
        </w:tblPrEx>
        <w:trPr>
          <w:trHeight w:val="23" w:hRule="atLeast"/>
        </w:trPr>
        <w:tc>
          <w:tcPr>
            <w:tcW w:w="309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最大水头：15.05 M</w:t>
            </w:r>
          </w:p>
        </w:tc>
        <w:tc>
          <w:tcPr>
            <w:tcW w:w="2851"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额定电流：72.2 A</w:t>
            </w:r>
          </w:p>
        </w:tc>
        <w:tc>
          <w:tcPr>
            <w:tcW w:w="2570"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励磁电流：215 A</w:t>
            </w:r>
          </w:p>
        </w:tc>
      </w:tr>
      <w:tr>
        <w:tblPrEx>
          <w:tblCellMar>
            <w:top w:w="0" w:type="dxa"/>
            <w:left w:w="108" w:type="dxa"/>
            <w:bottom w:w="0" w:type="dxa"/>
            <w:right w:w="108" w:type="dxa"/>
          </w:tblCellMar>
        </w:tblPrEx>
        <w:trPr>
          <w:trHeight w:val="23" w:hRule="atLeast"/>
        </w:trPr>
        <w:tc>
          <w:tcPr>
            <w:tcW w:w="309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额定水头：10.5 M</w:t>
            </w:r>
          </w:p>
        </w:tc>
        <w:tc>
          <w:tcPr>
            <w:tcW w:w="2851"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额定频率：50 HZ</w:t>
            </w:r>
          </w:p>
        </w:tc>
        <w:tc>
          <w:tcPr>
            <w:tcW w:w="2570"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绝缘等级：F∕F</w:t>
            </w:r>
          </w:p>
        </w:tc>
      </w:tr>
      <w:tr>
        <w:tblPrEx>
          <w:tblCellMar>
            <w:top w:w="0" w:type="dxa"/>
            <w:left w:w="108" w:type="dxa"/>
            <w:bottom w:w="0" w:type="dxa"/>
            <w:right w:w="108" w:type="dxa"/>
          </w:tblCellMar>
        </w:tblPrEx>
        <w:trPr>
          <w:trHeight w:val="23" w:hRule="atLeast"/>
        </w:trPr>
        <w:tc>
          <w:tcPr>
            <w:tcW w:w="309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最小水头：8.84 M</w:t>
            </w:r>
          </w:p>
        </w:tc>
        <w:tc>
          <w:tcPr>
            <w:tcW w:w="2851"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额定转速：375 r∕min</w:t>
            </w:r>
          </w:p>
        </w:tc>
        <w:tc>
          <w:tcPr>
            <w:tcW w:w="2570"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接法：Y</w:t>
            </w:r>
          </w:p>
        </w:tc>
      </w:tr>
      <w:tr>
        <w:tblPrEx>
          <w:tblCellMar>
            <w:top w:w="0" w:type="dxa"/>
            <w:left w:w="108" w:type="dxa"/>
            <w:bottom w:w="0" w:type="dxa"/>
            <w:right w:w="108" w:type="dxa"/>
          </w:tblCellMar>
        </w:tblPrEx>
        <w:trPr>
          <w:trHeight w:val="23" w:hRule="atLeast"/>
        </w:trPr>
        <w:tc>
          <w:tcPr>
            <w:tcW w:w="309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额定流量：7.47立方米∕S</w:t>
            </w:r>
          </w:p>
        </w:tc>
        <w:tc>
          <w:tcPr>
            <w:tcW w:w="2851"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飞速转速：970 r∕min</w:t>
            </w:r>
          </w:p>
        </w:tc>
        <w:tc>
          <w:tcPr>
            <w:tcW w:w="2570"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相数：3</w:t>
            </w:r>
          </w:p>
        </w:tc>
      </w:tr>
    </w:tbl>
    <w:p>
      <w:pPr>
        <w:spacing w:before="156" w:beforeLines="50"/>
        <w:ind w:firstLine="720" w:firstLineChars="300"/>
        <w:rPr>
          <w:rFonts w:hint="eastAsia" w:ascii="宋体" w:hAnsi="宋体"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电站主要机电设备表（5#水轮发电机组）</w:t>
      </w:r>
    </w:p>
    <w:tbl>
      <w:tblPr>
        <w:tblStyle w:val="45"/>
        <w:tblW w:w="0" w:type="auto"/>
        <w:tblInd w:w="0" w:type="dxa"/>
        <w:tblLayout w:type="fixed"/>
        <w:tblCellMar>
          <w:top w:w="0" w:type="dxa"/>
          <w:left w:w="108" w:type="dxa"/>
          <w:bottom w:w="0" w:type="dxa"/>
          <w:right w:w="108" w:type="dxa"/>
        </w:tblCellMar>
      </w:tblPr>
      <w:tblGrid>
        <w:gridCol w:w="3338"/>
        <w:gridCol w:w="2747"/>
        <w:gridCol w:w="2434"/>
      </w:tblGrid>
      <w:tr>
        <w:tblPrEx>
          <w:tblCellMar>
            <w:top w:w="0" w:type="dxa"/>
            <w:left w:w="108" w:type="dxa"/>
            <w:bottom w:w="0" w:type="dxa"/>
            <w:right w:w="108" w:type="dxa"/>
          </w:tblCellMar>
        </w:tblPrEx>
        <w:trPr>
          <w:trHeight w:val="23" w:hRule="atLeast"/>
        </w:trPr>
        <w:tc>
          <w:tcPr>
            <w:tcW w:w="333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水轮机：GDJ3-WZ-120</w:t>
            </w:r>
          </w:p>
        </w:tc>
        <w:tc>
          <w:tcPr>
            <w:tcW w:w="5181" w:type="dxa"/>
            <w:gridSpan w:val="2"/>
            <w:tcBorders>
              <w:top w:val="single" w:color="000000" w:sz="8" w:space="0"/>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发电机：SFW400-16P/1430</w:t>
            </w:r>
          </w:p>
        </w:tc>
      </w:tr>
      <w:tr>
        <w:tblPrEx>
          <w:tblCellMar>
            <w:top w:w="0" w:type="dxa"/>
            <w:left w:w="108" w:type="dxa"/>
            <w:bottom w:w="0" w:type="dxa"/>
            <w:right w:w="108" w:type="dxa"/>
          </w:tblCellMar>
        </w:tblPrEx>
        <w:trPr>
          <w:trHeight w:val="23" w:hRule="atLeast"/>
        </w:trPr>
        <w:tc>
          <w:tcPr>
            <w:tcW w:w="333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额定转速:375r/min</w:t>
            </w:r>
          </w:p>
        </w:tc>
        <w:tc>
          <w:tcPr>
            <w:tcW w:w="2747"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额定容量：400kW</w:t>
            </w:r>
          </w:p>
        </w:tc>
        <w:tc>
          <w:tcPr>
            <w:tcW w:w="2434" w:type="dxa"/>
            <w:tcBorders>
              <w:top w:val="single" w:color="000000" w:sz="8" w:space="0"/>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功率因数：0.8</w:t>
            </w:r>
          </w:p>
        </w:tc>
      </w:tr>
      <w:tr>
        <w:tblPrEx>
          <w:tblCellMar>
            <w:top w:w="0" w:type="dxa"/>
            <w:left w:w="108" w:type="dxa"/>
            <w:bottom w:w="0" w:type="dxa"/>
            <w:right w:w="108" w:type="dxa"/>
          </w:tblCellMar>
        </w:tblPrEx>
        <w:trPr>
          <w:trHeight w:val="23" w:hRule="atLeast"/>
        </w:trPr>
        <w:tc>
          <w:tcPr>
            <w:tcW w:w="333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额定出力：532kW</w:t>
            </w:r>
          </w:p>
        </w:tc>
        <w:tc>
          <w:tcPr>
            <w:tcW w:w="2747"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额定电压：400V</w:t>
            </w:r>
          </w:p>
        </w:tc>
        <w:tc>
          <w:tcPr>
            <w:tcW w:w="2434"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励磁电压：59V</w:t>
            </w:r>
          </w:p>
        </w:tc>
      </w:tr>
      <w:tr>
        <w:tblPrEx>
          <w:tblCellMar>
            <w:top w:w="0" w:type="dxa"/>
            <w:left w:w="108" w:type="dxa"/>
            <w:bottom w:w="0" w:type="dxa"/>
            <w:right w:w="108" w:type="dxa"/>
          </w:tblCellMar>
        </w:tblPrEx>
        <w:trPr>
          <w:trHeight w:val="23" w:hRule="atLeast"/>
        </w:trPr>
        <w:tc>
          <w:tcPr>
            <w:tcW w:w="333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最大水头：15m</w:t>
            </w:r>
          </w:p>
        </w:tc>
        <w:tc>
          <w:tcPr>
            <w:tcW w:w="2747"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额定电流：722 A</w:t>
            </w:r>
          </w:p>
        </w:tc>
        <w:tc>
          <w:tcPr>
            <w:tcW w:w="2434"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励磁电流：255 A</w:t>
            </w:r>
          </w:p>
        </w:tc>
      </w:tr>
      <w:tr>
        <w:tblPrEx>
          <w:tblCellMar>
            <w:top w:w="0" w:type="dxa"/>
            <w:left w:w="108" w:type="dxa"/>
            <w:bottom w:w="0" w:type="dxa"/>
            <w:right w:w="108" w:type="dxa"/>
          </w:tblCellMar>
        </w:tblPrEx>
        <w:trPr>
          <w:trHeight w:val="23" w:hRule="atLeast"/>
        </w:trPr>
        <w:tc>
          <w:tcPr>
            <w:tcW w:w="333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设计水头：9.2 M</w:t>
            </w:r>
          </w:p>
        </w:tc>
        <w:tc>
          <w:tcPr>
            <w:tcW w:w="2747"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额定频率：50 HZ</w:t>
            </w:r>
          </w:p>
        </w:tc>
        <w:tc>
          <w:tcPr>
            <w:tcW w:w="2434"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绝缘等级：B∕B</w:t>
            </w:r>
          </w:p>
        </w:tc>
      </w:tr>
      <w:tr>
        <w:tblPrEx>
          <w:tblCellMar>
            <w:top w:w="0" w:type="dxa"/>
            <w:left w:w="108" w:type="dxa"/>
            <w:bottom w:w="0" w:type="dxa"/>
            <w:right w:w="108" w:type="dxa"/>
          </w:tblCellMar>
        </w:tblPrEx>
        <w:trPr>
          <w:trHeight w:val="23" w:hRule="atLeast"/>
        </w:trPr>
        <w:tc>
          <w:tcPr>
            <w:tcW w:w="333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最小水头：6m</w:t>
            </w:r>
          </w:p>
        </w:tc>
        <w:tc>
          <w:tcPr>
            <w:tcW w:w="2747"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额定转速：375 r∕min</w:t>
            </w:r>
          </w:p>
        </w:tc>
        <w:tc>
          <w:tcPr>
            <w:tcW w:w="2434"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接法：Y</w:t>
            </w:r>
          </w:p>
        </w:tc>
      </w:tr>
      <w:tr>
        <w:tblPrEx>
          <w:tblCellMar>
            <w:top w:w="0" w:type="dxa"/>
            <w:left w:w="108" w:type="dxa"/>
            <w:bottom w:w="0" w:type="dxa"/>
            <w:right w:w="108" w:type="dxa"/>
          </w:tblCellMar>
        </w:tblPrEx>
        <w:trPr>
          <w:trHeight w:val="23" w:hRule="atLeast"/>
        </w:trPr>
        <w:tc>
          <w:tcPr>
            <w:tcW w:w="3338"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设计流量：5.86立方米/秒</w:t>
            </w:r>
          </w:p>
        </w:tc>
        <w:tc>
          <w:tcPr>
            <w:tcW w:w="2747"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飞速转速：900 r∕min</w:t>
            </w:r>
          </w:p>
        </w:tc>
        <w:tc>
          <w:tcPr>
            <w:tcW w:w="2434"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相数：3</w:t>
            </w:r>
          </w:p>
        </w:tc>
      </w:tr>
    </w:tbl>
    <w:p>
      <w:pPr>
        <w:spacing w:before="156" w:beforeLines="50"/>
        <w:ind w:firstLine="720" w:firstLineChars="300"/>
        <w:rPr>
          <w:rFonts w:hint="eastAsia" w:ascii="宋体" w:hAnsi="宋体"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电站主要机电设备表（1#―5#调速器）</w:t>
      </w:r>
    </w:p>
    <w:tbl>
      <w:tblPr>
        <w:tblStyle w:val="45"/>
        <w:tblW w:w="0" w:type="auto"/>
        <w:tblInd w:w="0" w:type="dxa"/>
        <w:tblLayout w:type="fixed"/>
        <w:tblCellMar>
          <w:top w:w="0" w:type="dxa"/>
          <w:left w:w="108" w:type="dxa"/>
          <w:bottom w:w="0" w:type="dxa"/>
          <w:right w:w="108" w:type="dxa"/>
        </w:tblCellMar>
      </w:tblPr>
      <w:tblGrid>
        <w:gridCol w:w="2011"/>
        <w:gridCol w:w="6508"/>
      </w:tblGrid>
      <w:tr>
        <w:tblPrEx>
          <w:tblCellMar>
            <w:top w:w="0" w:type="dxa"/>
            <w:left w:w="108" w:type="dxa"/>
            <w:bottom w:w="0" w:type="dxa"/>
            <w:right w:w="108" w:type="dxa"/>
          </w:tblCellMar>
        </w:tblPrEx>
        <w:trPr>
          <w:trHeight w:val="23" w:hRule="atLeast"/>
        </w:trPr>
        <w:tc>
          <w:tcPr>
            <w:tcW w:w="201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型号</w:t>
            </w:r>
          </w:p>
        </w:tc>
        <w:tc>
          <w:tcPr>
            <w:tcW w:w="6508" w:type="dxa"/>
            <w:tcBorders>
              <w:top w:val="single" w:color="000000" w:sz="8" w:space="0"/>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LYWT―PLC―1000</w:t>
            </w:r>
          </w:p>
        </w:tc>
      </w:tr>
      <w:tr>
        <w:tblPrEx>
          <w:tblCellMar>
            <w:top w:w="0" w:type="dxa"/>
            <w:left w:w="108" w:type="dxa"/>
            <w:bottom w:w="0" w:type="dxa"/>
            <w:right w:w="108" w:type="dxa"/>
          </w:tblCellMar>
        </w:tblPrEx>
        <w:trPr>
          <w:trHeight w:val="23" w:hRule="atLeast"/>
        </w:trPr>
        <w:tc>
          <w:tcPr>
            <w:tcW w:w="2011"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输入电压</w:t>
            </w:r>
          </w:p>
        </w:tc>
        <w:tc>
          <w:tcPr>
            <w:tcW w:w="6508"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AC220V+10%DC220V+10%</w:t>
            </w:r>
          </w:p>
        </w:tc>
      </w:tr>
      <w:tr>
        <w:tblPrEx>
          <w:tblCellMar>
            <w:top w:w="0" w:type="dxa"/>
            <w:left w:w="108" w:type="dxa"/>
            <w:bottom w:w="0" w:type="dxa"/>
            <w:right w:w="108" w:type="dxa"/>
          </w:tblCellMar>
        </w:tblPrEx>
        <w:trPr>
          <w:trHeight w:val="23" w:hRule="atLeast"/>
        </w:trPr>
        <w:tc>
          <w:tcPr>
            <w:tcW w:w="2011"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测频方式</w:t>
            </w:r>
          </w:p>
        </w:tc>
        <w:tc>
          <w:tcPr>
            <w:tcW w:w="6508"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残压测频</w:t>
            </w:r>
          </w:p>
        </w:tc>
      </w:tr>
      <w:tr>
        <w:tblPrEx>
          <w:tblCellMar>
            <w:top w:w="0" w:type="dxa"/>
            <w:left w:w="108" w:type="dxa"/>
            <w:bottom w:w="0" w:type="dxa"/>
            <w:right w:w="108" w:type="dxa"/>
          </w:tblCellMar>
        </w:tblPrEx>
        <w:trPr>
          <w:trHeight w:val="23" w:hRule="atLeast"/>
        </w:trPr>
        <w:tc>
          <w:tcPr>
            <w:tcW w:w="2011"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接力器行程</w:t>
            </w:r>
          </w:p>
        </w:tc>
        <w:tc>
          <w:tcPr>
            <w:tcW w:w="6508"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170mm</w:t>
            </w:r>
          </w:p>
        </w:tc>
      </w:tr>
      <w:tr>
        <w:tblPrEx>
          <w:tblCellMar>
            <w:top w:w="0" w:type="dxa"/>
            <w:left w:w="108" w:type="dxa"/>
            <w:bottom w:w="0" w:type="dxa"/>
            <w:right w:w="108" w:type="dxa"/>
          </w:tblCellMar>
        </w:tblPrEx>
        <w:trPr>
          <w:trHeight w:val="23" w:hRule="atLeast"/>
        </w:trPr>
        <w:tc>
          <w:tcPr>
            <w:tcW w:w="2011"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最高油压</w:t>
            </w:r>
          </w:p>
        </w:tc>
        <w:tc>
          <w:tcPr>
            <w:tcW w:w="6508"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2.55MPa</w:t>
            </w:r>
          </w:p>
        </w:tc>
      </w:tr>
      <w:tr>
        <w:tblPrEx>
          <w:tblCellMar>
            <w:top w:w="0" w:type="dxa"/>
            <w:left w:w="108" w:type="dxa"/>
            <w:bottom w:w="0" w:type="dxa"/>
            <w:right w:w="108" w:type="dxa"/>
          </w:tblCellMar>
        </w:tblPrEx>
        <w:trPr>
          <w:trHeight w:val="23" w:hRule="atLeast"/>
        </w:trPr>
        <w:tc>
          <w:tcPr>
            <w:tcW w:w="2011"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工作油压</w:t>
            </w:r>
          </w:p>
        </w:tc>
        <w:tc>
          <w:tcPr>
            <w:tcW w:w="6508"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2.2∽2.5MPa</w:t>
            </w:r>
          </w:p>
        </w:tc>
      </w:tr>
      <w:tr>
        <w:tblPrEx>
          <w:tblCellMar>
            <w:top w:w="0" w:type="dxa"/>
            <w:left w:w="108" w:type="dxa"/>
            <w:bottom w:w="0" w:type="dxa"/>
            <w:right w:w="108" w:type="dxa"/>
          </w:tblCellMar>
        </w:tblPrEx>
        <w:trPr>
          <w:trHeight w:val="23" w:hRule="atLeast"/>
        </w:trPr>
        <w:tc>
          <w:tcPr>
            <w:tcW w:w="2011"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全程关闭时间</w:t>
            </w:r>
          </w:p>
        </w:tc>
        <w:tc>
          <w:tcPr>
            <w:tcW w:w="6508"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 s</w:t>
            </w:r>
          </w:p>
        </w:tc>
      </w:tr>
    </w:tbl>
    <w:p>
      <w:pPr>
        <w:spacing w:before="156" w:beforeLines="50"/>
        <w:ind w:firstLine="720" w:firstLineChars="300"/>
        <w:rPr>
          <w:rFonts w:hint="eastAsia" w:ascii="宋体" w:hAnsi="宋体"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电站主要机电设备表（1―2#主变压器）</w:t>
      </w:r>
    </w:p>
    <w:tbl>
      <w:tblPr>
        <w:tblStyle w:val="45"/>
        <w:tblW w:w="0" w:type="auto"/>
        <w:tblInd w:w="0" w:type="dxa"/>
        <w:tblLayout w:type="fixed"/>
        <w:tblCellMar>
          <w:top w:w="0" w:type="dxa"/>
          <w:left w:w="108" w:type="dxa"/>
          <w:bottom w:w="0" w:type="dxa"/>
          <w:right w:w="108" w:type="dxa"/>
        </w:tblCellMar>
      </w:tblPr>
      <w:tblGrid>
        <w:gridCol w:w="3384"/>
        <w:gridCol w:w="2601"/>
        <w:gridCol w:w="2534"/>
      </w:tblGrid>
      <w:tr>
        <w:tblPrEx>
          <w:tblCellMar>
            <w:top w:w="0" w:type="dxa"/>
            <w:left w:w="108" w:type="dxa"/>
            <w:bottom w:w="0" w:type="dxa"/>
            <w:right w:w="108" w:type="dxa"/>
          </w:tblCellMar>
        </w:tblPrEx>
        <w:trPr>
          <w:trHeight w:val="23" w:hRule="atLeast"/>
        </w:trPr>
        <w:tc>
          <w:tcPr>
            <w:tcW w:w="3384" w:type="dxa"/>
            <w:tcBorders>
              <w:top w:val="single" w:color="000000" w:sz="8" w:space="0"/>
              <w:left w:val="single" w:color="000000" w:sz="8" w:space="0"/>
              <w:bottom w:val="single" w:color="auto" w:sz="4"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型号</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SC10-1600/11/6.3</w:t>
            </w:r>
          </w:p>
        </w:tc>
        <w:tc>
          <w:tcPr>
            <w:tcW w:w="2601" w:type="dxa"/>
            <w:tcBorders>
              <w:top w:val="single" w:color="000000" w:sz="8" w:space="0"/>
              <w:left w:val="nil"/>
              <w:bottom w:val="single" w:color="auto" w:sz="4"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二次电流</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147A</w:t>
            </w:r>
          </w:p>
        </w:tc>
        <w:tc>
          <w:tcPr>
            <w:tcW w:w="2534" w:type="dxa"/>
            <w:tcBorders>
              <w:top w:val="single" w:color="000000" w:sz="8" w:space="0"/>
              <w:left w:val="nil"/>
              <w:bottom w:val="single" w:color="auto" w:sz="4"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绝缘水平</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L175AC/35</w:t>
            </w:r>
          </w:p>
        </w:tc>
      </w:tr>
      <w:tr>
        <w:tblPrEx>
          <w:tblCellMar>
            <w:top w:w="0" w:type="dxa"/>
            <w:left w:w="108" w:type="dxa"/>
            <w:bottom w:w="0" w:type="dxa"/>
            <w:right w:w="108" w:type="dxa"/>
          </w:tblCellMar>
        </w:tblPrEx>
        <w:trPr>
          <w:trHeight w:val="23" w:hRule="atLeast"/>
        </w:trPr>
        <w:tc>
          <w:tcPr>
            <w:tcW w:w="3384" w:type="dxa"/>
            <w:tcBorders>
              <w:top w:val="single" w:color="auto" w:sz="4" w:space="0"/>
              <w:left w:val="single" w:color="auto" w:sz="4" w:space="0"/>
              <w:bottom w:val="single" w:color="auto" w:sz="4"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额定容量</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1600KVA</w:t>
            </w:r>
          </w:p>
        </w:tc>
        <w:tc>
          <w:tcPr>
            <w:tcW w:w="2601" w:type="dxa"/>
            <w:tcBorders>
              <w:top w:val="single" w:color="auto" w:sz="4" w:space="0"/>
              <w:left w:val="nil"/>
              <w:bottom w:val="single" w:color="auto" w:sz="4"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温升</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80K</w:t>
            </w:r>
          </w:p>
        </w:tc>
        <w:tc>
          <w:tcPr>
            <w:tcW w:w="2534" w:type="dxa"/>
            <w:tcBorders>
              <w:top w:val="single" w:color="auto" w:sz="4" w:space="0"/>
              <w:left w:val="nil"/>
              <w:bottom w:val="single" w:color="auto" w:sz="4" w:space="0"/>
              <w:right w:val="single" w:color="auto" w:sz="4"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连接组标号：YD11</w:t>
            </w:r>
          </w:p>
        </w:tc>
      </w:tr>
      <w:tr>
        <w:tblPrEx>
          <w:tblCellMar>
            <w:top w:w="0" w:type="dxa"/>
            <w:left w:w="108" w:type="dxa"/>
            <w:bottom w:w="0" w:type="dxa"/>
            <w:right w:w="108" w:type="dxa"/>
          </w:tblCellMar>
        </w:tblPrEx>
        <w:trPr>
          <w:trHeight w:val="23" w:hRule="atLeast"/>
        </w:trPr>
        <w:tc>
          <w:tcPr>
            <w:tcW w:w="3384"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一次电压</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11550V-10450V五档</w:t>
            </w:r>
          </w:p>
        </w:tc>
        <w:tc>
          <w:tcPr>
            <w:tcW w:w="2601" w:type="dxa"/>
            <w:tcBorders>
              <w:top w:val="single" w:color="auto" w:sz="4" w:space="0"/>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冷却方式</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AN/AF</w:t>
            </w:r>
          </w:p>
        </w:tc>
        <w:tc>
          <w:tcPr>
            <w:tcW w:w="253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3" w:hRule="atLeast"/>
        </w:trPr>
        <w:tc>
          <w:tcPr>
            <w:tcW w:w="3384"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一次电流</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84A</w:t>
            </w:r>
          </w:p>
        </w:tc>
        <w:tc>
          <w:tcPr>
            <w:tcW w:w="2601"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使用条件</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户内式</w:t>
            </w:r>
          </w:p>
        </w:tc>
        <w:tc>
          <w:tcPr>
            <w:tcW w:w="2534"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3" w:hRule="atLeast"/>
        </w:trPr>
        <w:tc>
          <w:tcPr>
            <w:tcW w:w="3384"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额定频率</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50HZ</w:t>
            </w:r>
          </w:p>
        </w:tc>
        <w:tc>
          <w:tcPr>
            <w:tcW w:w="2601"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总重量</w:t>
            </w:r>
            <w:r>
              <w:rPr>
                <w:rFonts w:hint="eastAsia" w:ascii="宋体" w:hAnsi="宋体" w:eastAsia="宋体" w:cs="宋体"/>
                <w:color w:val="000000"/>
                <w:kern w:val="0"/>
                <w:sz w:val="21"/>
                <w:szCs w:val="21"/>
                <w:lang w:val="en" w:bidi="ar"/>
              </w:rPr>
              <w:t>：j</w:t>
            </w:r>
            <w:r>
              <w:rPr>
                <w:rFonts w:hint="eastAsia" w:ascii="宋体" w:hAnsi="宋体" w:eastAsia="宋体" w:cs="宋体"/>
                <w:color w:val="000000"/>
                <w:kern w:val="0"/>
                <w:sz w:val="21"/>
                <w:szCs w:val="21"/>
                <w:lang w:bidi="ar"/>
              </w:rPr>
              <w:t>5830KG</w:t>
            </w:r>
          </w:p>
        </w:tc>
        <w:tc>
          <w:tcPr>
            <w:tcW w:w="2534"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3" w:hRule="atLeast"/>
        </w:trPr>
        <w:tc>
          <w:tcPr>
            <w:tcW w:w="3384"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二次电压</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6300V</w:t>
            </w:r>
          </w:p>
        </w:tc>
        <w:tc>
          <w:tcPr>
            <w:tcW w:w="2601"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相数 </w:t>
            </w:r>
            <w:r>
              <w:rPr>
                <w:rFonts w:hint="eastAsia" w:ascii="宋体" w:hAnsi="宋体" w:eastAsia="宋体" w:cs="宋体"/>
                <w:color w:val="000000"/>
                <w:kern w:val="0"/>
                <w:sz w:val="21"/>
                <w:szCs w:val="21"/>
                <w:lang w:val="en" w:bidi="ar"/>
              </w:rPr>
              <w:t>：</w:t>
            </w:r>
            <w:r>
              <w:rPr>
                <w:rFonts w:hint="eastAsia" w:ascii="宋体" w:hAnsi="宋体" w:eastAsia="宋体" w:cs="宋体"/>
                <w:color w:val="000000"/>
                <w:kern w:val="0"/>
                <w:sz w:val="21"/>
                <w:szCs w:val="21"/>
                <w:lang w:bidi="ar"/>
              </w:rPr>
              <w:t>三相</w:t>
            </w:r>
          </w:p>
        </w:tc>
        <w:tc>
          <w:tcPr>
            <w:tcW w:w="2534"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color w:val="000000"/>
                <w:sz w:val="21"/>
                <w:szCs w:val="21"/>
              </w:rPr>
            </w:pPr>
          </w:p>
        </w:tc>
      </w:tr>
    </w:tbl>
    <w:p>
      <w:pPr>
        <w:snapToGrid w:val="0"/>
        <w:spacing w:line="360" w:lineRule="auto"/>
        <w:rPr>
          <w:rFonts w:hint="eastAsia" w:ascii="宋体" w:hAnsi="宋体" w:eastAsia="宋体" w:cs="宋体"/>
          <w:b/>
          <w:color w:val="000000"/>
          <w:sz w:val="28"/>
          <w:szCs w:val="28"/>
        </w:rPr>
        <w:sectPr>
          <w:pgSz w:w="11906" w:h="16838"/>
          <w:pgMar w:top="1440" w:right="1800" w:bottom="1440" w:left="1800" w:header="851" w:footer="992" w:gutter="0"/>
          <w:cols w:space="720" w:num="1"/>
          <w:titlePg/>
          <w:docGrid w:type="lines" w:linePitch="312" w:charSpace="0"/>
        </w:sect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电站主要机电设备表（3#主变压器）</w:t>
      </w:r>
    </w:p>
    <w:tbl>
      <w:tblPr>
        <w:tblStyle w:val="45"/>
        <w:tblW w:w="0" w:type="auto"/>
        <w:tblInd w:w="0" w:type="dxa"/>
        <w:tblLayout w:type="fixed"/>
        <w:tblCellMar>
          <w:top w:w="0" w:type="dxa"/>
          <w:left w:w="108" w:type="dxa"/>
          <w:bottom w:w="0" w:type="dxa"/>
          <w:right w:w="108" w:type="dxa"/>
        </w:tblCellMar>
      </w:tblPr>
      <w:tblGrid>
        <w:gridCol w:w="3604"/>
        <w:gridCol w:w="2575"/>
        <w:gridCol w:w="2340"/>
      </w:tblGrid>
      <w:tr>
        <w:tblPrEx>
          <w:tblCellMar>
            <w:top w:w="0" w:type="dxa"/>
            <w:left w:w="108" w:type="dxa"/>
            <w:bottom w:w="0" w:type="dxa"/>
            <w:right w:w="108" w:type="dxa"/>
          </w:tblCellMar>
        </w:tblPrEx>
        <w:trPr>
          <w:trHeight w:val="23" w:hRule="atLeast"/>
        </w:trPr>
        <w:tc>
          <w:tcPr>
            <w:tcW w:w="3604"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型号：SＨ１５-500/1１</w:t>
            </w:r>
          </w:p>
        </w:tc>
        <w:tc>
          <w:tcPr>
            <w:tcW w:w="2575" w:type="dxa"/>
            <w:tcBorders>
              <w:top w:val="single" w:color="000000" w:sz="8" w:space="0"/>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额定频率：50HZ</w:t>
            </w:r>
          </w:p>
        </w:tc>
        <w:tc>
          <w:tcPr>
            <w:tcW w:w="2340" w:type="dxa"/>
            <w:tcBorders>
              <w:top w:val="single" w:color="000000" w:sz="8" w:space="0"/>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绝缘水平：L175 AC35</w:t>
            </w:r>
          </w:p>
        </w:tc>
      </w:tr>
      <w:tr>
        <w:tblPrEx>
          <w:tblCellMar>
            <w:top w:w="0" w:type="dxa"/>
            <w:left w:w="108" w:type="dxa"/>
            <w:bottom w:w="0" w:type="dxa"/>
            <w:right w:w="108" w:type="dxa"/>
          </w:tblCellMar>
        </w:tblPrEx>
        <w:trPr>
          <w:trHeight w:val="23" w:hRule="atLeast"/>
        </w:trPr>
        <w:tc>
          <w:tcPr>
            <w:tcW w:w="3604"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额定容量：500KVA</w:t>
            </w:r>
          </w:p>
        </w:tc>
        <w:tc>
          <w:tcPr>
            <w:tcW w:w="2575"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联络组标号：Y·yno</w:t>
            </w:r>
          </w:p>
        </w:tc>
        <w:tc>
          <w:tcPr>
            <w:tcW w:w="23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3" w:hRule="atLeast"/>
        </w:trPr>
        <w:tc>
          <w:tcPr>
            <w:tcW w:w="3604"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定额电压：11500－１０５００/400v</w:t>
            </w:r>
          </w:p>
        </w:tc>
        <w:tc>
          <w:tcPr>
            <w:tcW w:w="2575"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相数：3相</w:t>
            </w:r>
          </w:p>
        </w:tc>
        <w:tc>
          <w:tcPr>
            <w:tcW w:w="23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3" w:hRule="atLeast"/>
        </w:trPr>
        <w:tc>
          <w:tcPr>
            <w:tcW w:w="3604" w:type="dxa"/>
            <w:tcBorders>
              <w:top w:val="nil"/>
              <w:left w:val="single" w:color="000000" w:sz="8" w:space="0"/>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额定电流：26.2/721.7A</w:t>
            </w:r>
          </w:p>
        </w:tc>
        <w:tc>
          <w:tcPr>
            <w:tcW w:w="2575" w:type="dxa"/>
            <w:tcBorders>
              <w:top w:val="nil"/>
              <w:left w:val="nil"/>
              <w:bottom w:val="single" w:color="000000" w:sz="8" w:space="0"/>
              <w:right w:val="single" w:color="000000" w:sz="8" w:space="0"/>
            </w:tcBorders>
            <w:noWrap w:val="0"/>
            <w:vAlign w:val="center"/>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冷却方式：ONAN</w:t>
            </w:r>
          </w:p>
        </w:tc>
        <w:tc>
          <w:tcPr>
            <w:tcW w:w="23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000000"/>
                <w:sz w:val="21"/>
                <w:szCs w:val="21"/>
              </w:rPr>
            </w:pPr>
          </w:p>
        </w:tc>
      </w:tr>
    </w:tbl>
    <w:p>
      <w:pPr>
        <w:spacing w:before="156" w:beforeLines="50"/>
        <w:ind w:firstLine="720" w:firstLineChars="300"/>
        <w:rPr>
          <w:rFonts w:hint="eastAsia" w:ascii="宋体" w:hAnsi="宋体"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电站主要机电设备表（1#厂变）</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43"/>
        <w:gridCol w:w="1229"/>
        <w:gridCol w:w="1650"/>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9" w:type="dxa"/>
            <w:gridSpan w:val="5"/>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型号：SC10―125∕6.3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8" w:type="dxa"/>
            <w:gridSpan w:val="4"/>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额定容量：125 KVA</w:t>
            </w:r>
          </w:p>
        </w:tc>
        <w:tc>
          <w:tcPr>
            <w:tcW w:w="33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额定频率：50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gridSpan w:val="2"/>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额定电压</w:t>
            </w:r>
          </w:p>
        </w:tc>
        <w:tc>
          <w:tcPr>
            <w:tcW w:w="122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额定电流</w:t>
            </w:r>
          </w:p>
        </w:tc>
        <w:tc>
          <w:tcPr>
            <w:tcW w:w="1650"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短路阻抗</w:t>
            </w:r>
          </w:p>
        </w:tc>
        <w:tc>
          <w:tcPr>
            <w:tcW w:w="33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连接组标号：Dyn1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w:t>
            </w:r>
          </w:p>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次</w:t>
            </w:r>
          </w:p>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侧</w:t>
            </w:r>
          </w:p>
          <w:p>
            <w:pPr>
              <w:autoSpaceDE w:val="0"/>
              <w:autoSpaceDN w:val="0"/>
              <w:spacing w:line="360" w:lineRule="exact"/>
              <w:jc w:val="center"/>
              <w:rPr>
                <w:rFonts w:hint="eastAsia" w:ascii="宋体" w:hAnsi="宋体" w:eastAsia="宋体" w:cs="宋体"/>
                <w:color w:val="000000"/>
                <w:sz w:val="21"/>
                <w:szCs w:val="21"/>
              </w:rPr>
            </w:pPr>
          </w:p>
        </w:tc>
        <w:tc>
          <w:tcPr>
            <w:tcW w:w="144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6600 V</w:t>
            </w:r>
          </w:p>
        </w:tc>
        <w:tc>
          <w:tcPr>
            <w:tcW w:w="1229"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650"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33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绝缘等级：H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44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6450 V</w:t>
            </w:r>
          </w:p>
        </w:tc>
        <w:tc>
          <w:tcPr>
            <w:tcW w:w="1229"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650"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33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温升限值：80Ｃ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44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6300 V</w:t>
            </w:r>
          </w:p>
        </w:tc>
        <w:tc>
          <w:tcPr>
            <w:tcW w:w="122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11.5 A</w:t>
            </w:r>
          </w:p>
        </w:tc>
        <w:tc>
          <w:tcPr>
            <w:tcW w:w="1650"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3.99%</w:t>
            </w:r>
          </w:p>
        </w:tc>
        <w:tc>
          <w:tcPr>
            <w:tcW w:w="33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防护等级：IP20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44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6150 V</w:t>
            </w:r>
          </w:p>
        </w:tc>
        <w:tc>
          <w:tcPr>
            <w:tcW w:w="1229"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650"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33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冷却方式：AN∕AF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44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6000 V</w:t>
            </w:r>
          </w:p>
        </w:tc>
        <w:tc>
          <w:tcPr>
            <w:tcW w:w="1229"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650"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33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使用条件：户内式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二次</w:t>
            </w:r>
          </w:p>
        </w:tc>
        <w:tc>
          <w:tcPr>
            <w:tcW w:w="144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 V</w:t>
            </w:r>
          </w:p>
        </w:tc>
        <w:tc>
          <w:tcPr>
            <w:tcW w:w="122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180 A</w:t>
            </w:r>
          </w:p>
        </w:tc>
        <w:tc>
          <w:tcPr>
            <w:tcW w:w="1650"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33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总重:960 kg</w:t>
            </w:r>
          </w:p>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绝缘水平：L1 75 AC35∕L1 0 AC 3</w:t>
            </w:r>
          </w:p>
        </w:tc>
      </w:tr>
    </w:tbl>
    <w:p>
      <w:pPr>
        <w:spacing w:before="156" w:beforeLines="50"/>
        <w:ind w:firstLine="720" w:firstLineChars="300"/>
        <w:rPr>
          <w:rFonts w:hint="eastAsia" w:ascii="宋体" w:hAnsi="宋体"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电站主要机电设备表（2#厂变）</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702"/>
        <w:gridCol w:w="1263"/>
        <w:gridCol w:w="1258"/>
        <w:gridCol w:w="125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24" w:type="dxa"/>
            <w:gridSpan w:val="2"/>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型号：S11―MR―125∕10</w:t>
            </w:r>
          </w:p>
        </w:tc>
        <w:tc>
          <w:tcPr>
            <w:tcW w:w="2521" w:type="dxa"/>
            <w:gridSpan w:val="2"/>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电压</w:t>
            </w:r>
          </w:p>
        </w:tc>
        <w:tc>
          <w:tcPr>
            <w:tcW w:w="2475" w:type="dxa"/>
            <w:gridSpan w:val="2"/>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24" w:type="dxa"/>
            <w:gridSpan w:val="2"/>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额定容量：125 KVA</w:t>
            </w:r>
          </w:p>
        </w:tc>
        <w:tc>
          <w:tcPr>
            <w:tcW w:w="126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高压</w:t>
            </w:r>
          </w:p>
        </w:tc>
        <w:tc>
          <w:tcPr>
            <w:tcW w:w="125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低压</w:t>
            </w:r>
          </w:p>
        </w:tc>
        <w:tc>
          <w:tcPr>
            <w:tcW w:w="125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高压</w:t>
            </w:r>
          </w:p>
        </w:tc>
        <w:tc>
          <w:tcPr>
            <w:tcW w:w="121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低压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24" w:type="dxa"/>
            <w:gridSpan w:val="2"/>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额定频率：50 HZ</w:t>
            </w:r>
          </w:p>
        </w:tc>
        <w:tc>
          <w:tcPr>
            <w:tcW w:w="126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10500V</w:t>
            </w:r>
          </w:p>
        </w:tc>
        <w:tc>
          <w:tcPr>
            <w:tcW w:w="1258" w:type="dxa"/>
            <w:vMerge w:val="restart"/>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 V</w:t>
            </w:r>
          </w:p>
        </w:tc>
        <w:tc>
          <w:tcPr>
            <w:tcW w:w="1258" w:type="dxa"/>
            <w:vMerge w:val="restart"/>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7.22 A</w:t>
            </w:r>
          </w:p>
        </w:tc>
        <w:tc>
          <w:tcPr>
            <w:tcW w:w="1217" w:type="dxa"/>
            <w:vMerge w:val="restart"/>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24" w:type="dxa"/>
            <w:gridSpan w:val="2"/>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相数：3</w:t>
            </w:r>
          </w:p>
        </w:tc>
        <w:tc>
          <w:tcPr>
            <w:tcW w:w="126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10250V</w:t>
            </w:r>
          </w:p>
        </w:tc>
        <w:tc>
          <w:tcPr>
            <w:tcW w:w="1258"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258"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217"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24" w:type="dxa"/>
            <w:gridSpan w:val="2"/>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连接组标号：Dyn11</w:t>
            </w:r>
          </w:p>
        </w:tc>
        <w:tc>
          <w:tcPr>
            <w:tcW w:w="126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10000V</w:t>
            </w:r>
          </w:p>
        </w:tc>
        <w:tc>
          <w:tcPr>
            <w:tcW w:w="1258"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258"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217"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vMerge w:val="restart"/>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绝缘</w:t>
            </w:r>
          </w:p>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水平</w:t>
            </w:r>
          </w:p>
        </w:tc>
        <w:tc>
          <w:tcPr>
            <w:tcW w:w="270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H.V LI∕AC 75∕35</w:t>
            </w:r>
          </w:p>
        </w:tc>
        <w:tc>
          <w:tcPr>
            <w:tcW w:w="126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9750 V</w:t>
            </w:r>
          </w:p>
        </w:tc>
        <w:tc>
          <w:tcPr>
            <w:tcW w:w="1258"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258"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217"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2"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270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I.V AC 5</w:t>
            </w:r>
          </w:p>
        </w:tc>
        <w:tc>
          <w:tcPr>
            <w:tcW w:w="126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9500 V</w:t>
            </w:r>
          </w:p>
          <w:p>
            <w:pPr>
              <w:autoSpaceDE w:val="0"/>
              <w:autoSpaceDN w:val="0"/>
              <w:spacing w:line="360" w:lineRule="exact"/>
              <w:jc w:val="center"/>
              <w:rPr>
                <w:rFonts w:hint="eastAsia" w:ascii="宋体" w:hAnsi="宋体" w:eastAsia="宋体" w:cs="宋体"/>
                <w:color w:val="000000"/>
                <w:sz w:val="21"/>
                <w:szCs w:val="21"/>
              </w:rPr>
            </w:pPr>
          </w:p>
        </w:tc>
        <w:tc>
          <w:tcPr>
            <w:tcW w:w="1258"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258"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c>
          <w:tcPr>
            <w:tcW w:w="1217" w:type="dxa"/>
            <w:vMerge w:val="continue"/>
            <w:noWrap w:val="0"/>
            <w:vAlign w:val="center"/>
          </w:tcPr>
          <w:p>
            <w:pPr>
              <w:autoSpaceDE w:val="0"/>
              <w:autoSpaceDN w:val="0"/>
              <w:spacing w:line="360" w:lineRule="exact"/>
              <w:jc w:val="center"/>
              <w:rPr>
                <w:rFonts w:hint="eastAsia" w:ascii="宋体" w:hAnsi="宋体" w:eastAsia="宋体" w:cs="宋体"/>
                <w:color w:val="000000"/>
                <w:sz w:val="21"/>
                <w:szCs w:val="21"/>
              </w:rPr>
            </w:pPr>
          </w:p>
        </w:tc>
      </w:tr>
    </w:tbl>
    <w:p>
      <w:pPr>
        <w:pStyle w:val="19"/>
        <w:rPr>
          <w:rFonts w:hint="eastAsia"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电站主要机电设备表（1#-4#励磁变压器）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5"/>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5"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型号：ZLC―50∕6.3</w:t>
            </w:r>
          </w:p>
        </w:tc>
        <w:tc>
          <w:tcPr>
            <w:tcW w:w="397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相数：3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5"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容量：50 KVA</w:t>
            </w:r>
          </w:p>
        </w:tc>
        <w:tc>
          <w:tcPr>
            <w:tcW w:w="397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接法：Y∕△―11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5"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电压：6300∕91 V</w:t>
            </w:r>
          </w:p>
        </w:tc>
        <w:tc>
          <w:tcPr>
            <w:tcW w:w="397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频率：50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5"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电流：4.58∕37.2 A</w:t>
            </w:r>
          </w:p>
        </w:tc>
        <w:tc>
          <w:tcPr>
            <w:tcW w:w="3977"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r>
    </w:tbl>
    <w:p>
      <w:pPr>
        <w:pStyle w:val="19"/>
        <w:rPr>
          <w:rFonts w:hint="eastAsia" w:eastAsia="宋体" w:cs="宋体"/>
          <w:color w:val="000000"/>
        </w:rPr>
        <w:sectPr>
          <w:pgSz w:w="11906" w:h="16838"/>
          <w:pgMar w:top="1440" w:right="1800" w:bottom="1440" w:left="1800" w:header="851" w:footer="992" w:gutter="0"/>
          <w:cols w:space="720" w:num="1"/>
          <w:titlePg/>
          <w:docGrid w:type="lines" w:linePitch="312" w:charSpace="0"/>
        </w:sect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电站主要机电设备表（5#励磁变压器）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8"/>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型号：ZLSG-50/0.4</w:t>
            </w:r>
          </w:p>
        </w:tc>
        <w:tc>
          <w:tcPr>
            <w:tcW w:w="2844"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相数：3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容量：50 KVA</w:t>
            </w:r>
          </w:p>
        </w:tc>
        <w:tc>
          <w:tcPr>
            <w:tcW w:w="2844"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接法：Y∕△―11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额定电压：高压400V  低压109V</w:t>
            </w:r>
          </w:p>
        </w:tc>
        <w:tc>
          <w:tcPr>
            <w:tcW w:w="2844"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频率：50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额定电流：高压72.17A  低压264.8A</w:t>
            </w:r>
          </w:p>
        </w:tc>
        <w:tc>
          <w:tcPr>
            <w:tcW w:w="2844" w:type="dxa"/>
            <w:noWrap w:val="0"/>
            <w:vAlign w:val="center"/>
          </w:tcPr>
          <w:p>
            <w:pPr>
              <w:autoSpaceDE w:val="0"/>
              <w:autoSpaceDN w:val="0"/>
              <w:spacing w:line="360" w:lineRule="exact"/>
              <w:jc w:val="center"/>
              <w:rPr>
                <w:rFonts w:hint="eastAsia" w:ascii="宋体" w:hAnsi="宋体" w:eastAsia="宋体" w:cs="宋体"/>
                <w:color w:val="000000"/>
                <w:sz w:val="21"/>
                <w:szCs w:val="21"/>
              </w:rPr>
            </w:pPr>
          </w:p>
        </w:tc>
      </w:tr>
    </w:tbl>
    <w:p>
      <w:pPr>
        <w:pStyle w:val="19"/>
        <w:rPr>
          <w:rFonts w:hint="eastAsia"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电站主要机电设备表（蝶阀）</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8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1―4#蝶阀</w:t>
            </w:r>
          </w:p>
        </w:tc>
        <w:tc>
          <w:tcPr>
            <w:tcW w:w="5740"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φ1500mm手电两蝶阀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8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5#蝶阀</w:t>
            </w:r>
          </w:p>
        </w:tc>
        <w:tc>
          <w:tcPr>
            <w:tcW w:w="5740"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φ1600mm SD941-10手电两用</w:t>
            </w:r>
          </w:p>
        </w:tc>
      </w:tr>
    </w:tbl>
    <w:p>
      <w:pPr>
        <w:pStyle w:val="19"/>
        <w:rPr>
          <w:rFonts w:hint="eastAsia"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电站主要机电设备表（单梁行车）</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187"/>
        <w:gridCol w:w="2156"/>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218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LDA10t―7.18m</w:t>
            </w:r>
          </w:p>
        </w:tc>
        <w:tc>
          <w:tcPr>
            <w:tcW w:w="215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出厂编号</w:t>
            </w:r>
          </w:p>
        </w:tc>
        <w:tc>
          <w:tcPr>
            <w:tcW w:w="240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04单-3-5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起重量</w:t>
            </w:r>
          </w:p>
        </w:tc>
        <w:tc>
          <w:tcPr>
            <w:tcW w:w="218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10t</w:t>
            </w:r>
          </w:p>
        </w:tc>
        <w:tc>
          <w:tcPr>
            <w:tcW w:w="215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跨度</w:t>
            </w:r>
          </w:p>
        </w:tc>
        <w:tc>
          <w:tcPr>
            <w:tcW w:w="240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7.185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工作级别</w:t>
            </w:r>
          </w:p>
        </w:tc>
        <w:tc>
          <w:tcPr>
            <w:tcW w:w="218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A4</w:t>
            </w:r>
          </w:p>
        </w:tc>
        <w:tc>
          <w:tcPr>
            <w:tcW w:w="215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操作形式</w:t>
            </w:r>
          </w:p>
        </w:tc>
        <w:tc>
          <w:tcPr>
            <w:tcW w:w="240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起升高度</w:t>
            </w:r>
          </w:p>
        </w:tc>
        <w:tc>
          <w:tcPr>
            <w:tcW w:w="218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 m</w:t>
            </w:r>
          </w:p>
        </w:tc>
        <w:tc>
          <w:tcPr>
            <w:tcW w:w="215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起升速度</w:t>
            </w:r>
          </w:p>
        </w:tc>
        <w:tc>
          <w:tcPr>
            <w:tcW w:w="240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6.7∕0.67 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小车速度</w:t>
            </w:r>
          </w:p>
        </w:tc>
        <w:tc>
          <w:tcPr>
            <w:tcW w:w="218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 m∕min</w:t>
            </w:r>
          </w:p>
        </w:tc>
        <w:tc>
          <w:tcPr>
            <w:tcW w:w="215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起重机运行速度</w:t>
            </w:r>
          </w:p>
        </w:tc>
        <w:tc>
          <w:tcPr>
            <w:tcW w:w="240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 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出厂日期</w:t>
            </w:r>
          </w:p>
        </w:tc>
        <w:tc>
          <w:tcPr>
            <w:tcW w:w="218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2004―9</w:t>
            </w:r>
          </w:p>
        </w:tc>
        <w:tc>
          <w:tcPr>
            <w:tcW w:w="215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电动葫芦型号</w:t>
            </w:r>
          </w:p>
        </w:tc>
        <w:tc>
          <w:tcPr>
            <w:tcW w:w="2406"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MD1型</w:t>
            </w:r>
          </w:p>
        </w:tc>
      </w:tr>
    </w:tbl>
    <w:p>
      <w:pPr>
        <w:pStyle w:val="19"/>
        <w:rPr>
          <w:rFonts w:hint="eastAsia"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电站主要机电设备表（空压机）</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w:t>
            </w:r>
          </w:p>
        </w:tc>
        <w:tc>
          <w:tcPr>
            <w:tcW w:w="424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LM10008A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额定排气压力</w:t>
            </w:r>
          </w:p>
        </w:tc>
        <w:tc>
          <w:tcPr>
            <w:tcW w:w="424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0.8 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电机功率</w:t>
            </w:r>
          </w:p>
        </w:tc>
        <w:tc>
          <w:tcPr>
            <w:tcW w:w="424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工程容积流量</w:t>
            </w:r>
          </w:p>
        </w:tc>
        <w:tc>
          <w:tcPr>
            <w:tcW w:w="424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0.9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转速</w:t>
            </w:r>
          </w:p>
        </w:tc>
        <w:tc>
          <w:tcPr>
            <w:tcW w:w="424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830 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储气罐</w:t>
            </w:r>
          </w:p>
        </w:tc>
        <w:tc>
          <w:tcPr>
            <w:tcW w:w="424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         1-1.0</w:t>
            </w:r>
          </w:p>
          <w:p>
            <w:pPr>
              <w:autoSpaceDE w:val="0"/>
              <w:autoSpaceDN w:val="0"/>
              <w:spacing w:line="360" w:lineRule="exact"/>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设计压力     1.05MP</w:t>
            </w:r>
          </w:p>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工作压力     1.0MP</w:t>
            </w:r>
          </w:p>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试验压力     1.32MP</w:t>
            </w:r>
          </w:p>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容积         1立方</w:t>
            </w:r>
          </w:p>
        </w:tc>
      </w:tr>
    </w:tbl>
    <w:p>
      <w:pPr>
        <w:pStyle w:val="19"/>
        <w:rPr>
          <w:rFonts w:hint="eastAsia" w:eastAsia="宋体" w:cs="宋体"/>
          <w:color w:val="000000"/>
        </w:rPr>
        <w:sectPr>
          <w:pgSz w:w="11906" w:h="16838"/>
          <w:pgMar w:top="1440" w:right="1800" w:bottom="1440" w:left="1800" w:header="851" w:footer="992" w:gutter="0"/>
          <w:cols w:space="720" w:num="1"/>
          <w:titlePg/>
          <w:docGrid w:type="lines" w:linePitch="312" w:charSpace="0"/>
        </w:sect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电站主要机电设备表（6KV开关柜）</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3"/>
        <w:gridCol w:w="4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5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w:t>
            </w:r>
          </w:p>
        </w:tc>
        <w:tc>
          <w:tcPr>
            <w:tcW w:w="406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KYN25A―12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5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五防实现方式</w:t>
            </w:r>
          </w:p>
        </w:tc>
        <w:tc>
          <w:tcPr>
            <w:tcW w:w="406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机械连锁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5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本柜内</w:t>
            </w:r>
          </w:p>
        </w:tc>
        <w:tc>
          <w:tcPr>
            <w:tcW w:w="406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5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两柜间</w:t>
            </w:r>
          </w:p>
        </w:tc>
        <w:tc>
          <w:tcPr>
            <w:tcW w:w="406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机械连锁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5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额定瞬时耐受电流∕流通时间</w:t>
            </w:r>
          </w:p>
        </w:tc>
        <w:tc>
          <w:tcPr>
            <w:tcW w:w="406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25KA∕4S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53"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额定峰值耐受电流</w:t>
            </w:r>
          </w:p>
        </w:tc>
        <w:tc>
          <w:tcPr>
            <w:tcW w:w="4067"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63KA</w:t>
            </w:r>
          </w:p>
        </w:tc>
      </w:tr>
    </w:tbl>
    <w:p>
      <w:pPr>
        <w:pStyle w:val="19"/>
        <w:rPr>
          <w:rFonts w:hint="eastAsia"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电站主要机电设备表（10KV开关柜）</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8"/>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w:t>
            </w:r>
          </w:p>
        </w:tc>
        <w:tc>
          <w:tcPr>
            <w:tcW w:w="387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KYN28A―12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五防实现方式</w:t>
            </w:r>
          </w:p>
        </w:tc>
        <w:tc>
          <w:tcPr>
            <w:tcW w:w="387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机械连锁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本柜内</w:t>
            </w:r>
          </w:p>
        </w:tc>
        <w:tc>
          <w:tcPr>
            <w:tcW w:w="387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两柜间</w:t>
            </w:r>
          </w:p>
        </w:tc>
        <w:tc>
          <w:tcPr>
            <w:tcW w:w="387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机械连锁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额定瞬时耐受电流∕流通时间</w:t>
            </w:r>
          </w:p>
        </w:tc>
        <w:tc>
          <w:tcPr>
            <w:tcW w:w="387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25KA∕4S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额定峰值耐受电流</w:t>
            </w:r>
          </w:p>
        </w:tc>
        <w:tc>
          <w:tcPr>
            <w:tcW w:w="3872"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63KA</w:t>
            </w:r>
          </w:p>
        </w:tc>
      </w:tr>
    </w:tbl>
    <w:p>
      <w:pPr>
        <w:pStyle w:val="19"/>
        <w:rPr>
          <w:rFonts w:hint="eastAsia"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电站主要机电设备表（直流成套设备）</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1"/>
        <w:gridCol w:w="4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型号：PZG8―180∕220―T</w:t>
            </w:r>
          </w:p>
        </w:tc>
        <w:tc>
          <w:tcPr>
            <w:tcW w:w="43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G型充电模块稳压精度：≤±0.5%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输入交流电压：380V±15%</w:t>
            </w:r>
          </w:p>
        </w:tc>
        <w:tc>
          <w:tcPr>
            <w:tcW w:w="43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G型充电模块稳流精度：≤±0.5%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电网频率:50HZ±2%</w:t>
            </w:r>
          </w:p>
        </w:tc>
        <w:tc>
          <w:tcPr>
            <w:tcW w:w="43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G型充电模块波纹系数：≤0.1%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绝缘电阻：≧10 MΩ</w:t>
            </w:r>
          </w:p>
        </w:tc>
        <w:tc>
          <w:tcPr>
            <w:tcW w:w="43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均流不平衡度：≤±5%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温升：≤65 K</w:t>
            </w:r>
          </w:p>
        </w:tc>
        <w:tc>
          <w:tcPr>
            <w:tcW w:w="43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可闻噪声：≤55dB</w:t>
            </w:r>
          </w:p>
        </w:tc>
      </w:tr>
    </w:tbl>
    <w:p>
      <w:pPr>
        <w:pStyle w:val="19"/>
        <w:rPr>
          <w:rFonts w:hint="eastAsia"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电站主要机电设备表（阀控式铅酸蓄电池）</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5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w:t>
            </w:r>
          </w:p>
        </w:tc>
        <w:tc>
          <w:tcPr>
            <w:tcW w:w="50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A412∕180A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容量</w:t>
            </w:r>
          </w:p>
        </w:tc>
        <w:tc>
          <w:tcPr>
            <w:tcW w:w="50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180 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总电压</w:t>
            </w:r>
          </w:p>
        </w:tc>
        <w:tc>
          <w:tcPr>
            <w:tcW w:w="50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245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接线方式</w:t>
            </w:r>
          </w:p>
        </w:tc>
        <w:tc>
          <w:tcPr>
            <w:tcW w:w="50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串联</w:t>
            </w:r>
          </w:p>
        </w:tc>
      </w:tr>
    </w:tbl>
    <w:p>
      <w:pPr>
        <w:pStyle w:val="19"/>
        <w:rPr>
          <w:rFonts w:hint="eastAsia" w:eastAsia="宋体" w:cs="宋体"/>
          <w:color w:val="000000"/>
        </w:rPr>
      </w:pPr>
    </w:p>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电站主要机电设备表（启闭机二台）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5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w:t>
            </w:r>
          </w:p>
        </w:tc>
        <w:tc>
          <w:tcPr>
            <w:tcW w:w="5081"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启闭方式</w:t>
            </w:r>
          </w:p>
        </w:tc>
        <w:tc>
          <w:tcPr>
            <w:tcW w:w="50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启门压</w:t>
            </w:r>
          </w:p>
        </w:tc>
        <w:tc>
          <w:tcPr>
            <w:tcW w:w="5081"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9"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电机功率</w:t>
            </w:r>
          </w:p>
        </w:tc>
        <w:tc>
          <w:tcPr>
            <w:tcW w:w="5081"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2.2kW</w:t>
            </w:r>
          </w:p>
        </w:tc>
      </w:tr>
    </w:tbl>
    <w:p>
      <w:pPr>
        <w:spacing w:before="156" w:beforeLines="50"/>
        <w:ind w:firstLine="720" w:firstLineChars="300"/>
        <w:rPr>
          <w:rFonts w:hint="eastAsia" w:ascii="宋体" w:hAnsi="宋体" w:eastAsia="宋体" w:cs="宋体"/>
          <w:color w:val="000000"/>
        </w:rPr>
      </w:pPr>
      <w:r>
        <w:rPr>
          <w:rFonts w:hint="eastAsia" w:ascii="宋体" w:hAnsi="宋体" w:eastAsia="宋体" w:cs="宋体"/>
          <w:color w:val="000000"/>
        </w:rPr>
        <w:t xml:space="preserve">附表4              </w:t>
      </w:r>
      <w:r>
        <w:rPr>
          <w:rFonts w:hint="eastAsia" w:ascii="宋体" w:hAnsi="宋体" w:eastAsia="宋体" w:cs="宋体"/>
          <w:b/>
          <w:bCs/>
          <w:color w:val="000000"/>
        </w:rPr>
        <w:t xml:space="preserve"> 电站主要机电设备表（设备清单）</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534"/>
        <w:gridCol w:w="2448"/>
        <w:gridCol w:w="660"/>
        <w:gridCol w:w="643"/>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17" w:type="dxa"/>
            <w:gridSpan w:val="2"/>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设备名称</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型号</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51"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17" w:type="dxa"/>
            <w:gridSpan w:val="2"/>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主机组设备</w:t>
            </w:r>
          </w:p>
        </w:tc>
        <w:tc>
          <w:tcPr>
            <w:tcW w:w="2448" w:type="dxa"/>
            <w:noWrap w:val="0"/>
            <w:vAlign w:val="center"/>
          </w:tcPr>
          <w:p>
            <w:pPr>
              <w:spacing w:line="360" w:lineRule="exact"/>
              <w:jc w:val="center"/>
              <w:rPr>
                <w:rFonts w:hint="eastAsia" w:ascii="宋体" w:hAnsi="宋体" w:eastAsia="宋体" w:cs="宋体"/>
                <w:color w:val="000000"/>
                <w:sz w:val="21"/>
                <w:szCs w:val="21"/>
              </w:rPr>
            </w:pPr>
          </w:p>
        </w:tc>
        <w:tc>
          <w:tcPr>
            <w:tcW w:w="660" w:type="dxa"/>
            <w:noWrap w:val="0"/>
            <w:vAlign w:val="center"/>
          </w:tcPr>
          <w:p>
            <w:pPr>
              <w:spacing w:line="360" w:lineRule="exact"/>
              <w:jc w:val="center"/>
              <w:rPr>
                <w:rFonts w:hint="eastAsia" w:ascii="宋体" w:hAnsi="宋体" w:eastAsia="宋体" w:cs="宋体"/>
                <w:color w:val="000000"/>
                <w:sz w:val="21"/>
                <w:szCs w:val="21"/>
              </w:rPr>
            </w:pPr>
          </w:p>
        </w:tc>
        <w:tc>
          <w:tcPr>
            <w:tcW w:w="643" w:type="dxa"/>
            <w:noWrap w:val="0"/>
            <w:vAlign w:val="center"/>
          </w:tcPr>
          <w:p>
            <w:pPr>
              <w:spacing w:line="360" w:lineRule="exact"/>
              <w:jc w:val="center"/>
              <w:rPr>
                <w:rFonts w:hint="eastAsia" w:ascii="宋体" w:hAnsi="宋体" w:eastAsia="宋体" w:cs="宋体"/>
                <w:color w:val="000000"/>
                <w:sz w:val="21"/>
                <w:szCs w:val="21"/>
              </w:rPr>
            </w:pP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水轮发电机组</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1-4号发电机</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SF―J630―16/1730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5#发电机</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SFW400-16P/1430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1-4号水轮机</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ZDJP502―LH―120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5号水轮机</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GDJ3-WZ-120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变压器</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1号主变</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SC10―1600∕11∕6.3</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2号主变</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SC10―1600∕11∕6.3</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3号主变</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S9-500/10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1号厂变</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SC10―125∕6.3</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2号厂变</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S11―MR―125∕10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1-4号励磁变</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ZLC―50∕6.3</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5号励磁变</w:t>
            </w:r>
          </w:p>
        </w:tc>
        <w:tc>
          <w:tcPr>
            <w:tcW w:w="24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ZLSG-50/0.4</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蝶阀</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1-4号机蝶阀</w:t>
            </w:r>
          </w:p>
        </w:tc>
        <w:tc>
          <w:tcPr>
            <w:tcW w:w="24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直径1.5米</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5号机蝶阀</w:t>
            </w:r>
          </w:p>
        </w:tc>
        <w:tc>
          <w:tcPr>
            <w:tcW w:w="24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SD941-10直径1.6米手电两用</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5号机放水阀</w:t>
            </w:r>
          </w:p>
        </w:tc>
        <w:tc>
          <w:tcPr>
            <w:tcW w:w="2448" w:type="dxa"/>
            <w:noWrap w:val="0"/>
            <w:vAlign w:val="center"/>
          </w:tcPr>
          <w:p>
            <w:pPr>
              <w:autoSpaceDE w:val="0"/>
              <w:autoSpaceDN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直径0.8米</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调速系统</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1-5号机调速器</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LYWT―PLC―1000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机组LCU屏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1-5号机组LCU控制屏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触摸屏（7台）VIEW1001</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1-5号机组LCU保护屏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MGT100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5#机开关屏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5#机开关屏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400V开关</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励磁屏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1-5号机励磁屏</w:t>
            </w:r>
          </w:p>
        </w:tc>
        <w:tc>
          <w:tcPr>
            <w:tcW w:w="2448" w:type="dxa"/>
            <w:noWrap w:val="0"/>
            <w:vAlign w:val="center"/>
          </w:tcPr>
          <w:p>
            <w:pPr>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EXC6000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制动屏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1-4号机制动屏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NWBK-30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5#机制动屏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西安江河</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V</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柜</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主变10KV断路器柜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KYN28A―12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10KV线路断路器（保护）柜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KYN28A―12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10KV母线PT柜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KYN28A―12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10KV出线计量柜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KYN28A―12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5#机10KV开关柜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KYN28A―12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5#机10KV出线断路器（保护）柜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KYN28A―12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V</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柜</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1-4号发电机断路器柜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KYN25A―12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vMerge w:val="restart"/>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主变6KV断路器柜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KYN25A―12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vMerge w:val="continue"/>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水阻断路器（保护）柜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KYN25A―12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1号厂变6KV断路器（保护）柜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KYN25A―12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6KV母线PT柜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KYN25A―12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1-4号机励磁隔离开关柜</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KYN25A―12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低压屏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厂变切换屏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ABB开关</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低压配电屏</w:t>
            </w:r>
          </w:p>
        </w:tc>
        <w:tc>
          <w:tcPr>
            <w:tcW w:w="2448" w:type="dxa"/>
            <w:noWrap w:val="0"/>
            <w:vAlign w:val="center"/>
          </w:tcPr>
          <w:p>
            <w:pPr>
              <w:spacing w:line="360" w:lineRule="exact"/>
              <w:jc w:val="center"/>
              <w:rPr>
                <w:rFonts w:hint="eastAsia" w:ascii="宋体" w:hAnsi="宋体" w:eastAsia="宋体" w:cs="宋体"/>
                <w:color w:val="000000"/>
                <w:sz w:val="21"/>
                <w:szCs w:val="21"/>
              </w:rPr>
            </w:pP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直流成套设备</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充、放电控制屏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ZVT-PR2900-220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绝缘监测-馈电屏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BWDJ-6</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阀控式铅酸蓄电池屏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蓄电池（18只）A412-180A</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UPS屏</w:t>
            </w:r>
          </w:p>
        </w:tc>
        <w:tc>
          <w:tcPr>
            <w:tcW w:w="2534"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UPS电源</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UPS2台C3KS</w:t>
            </w:r>
          </w:p>
        </w:tc>
        <w:tc>
          <w:tcPr>
            <w:tcW w:w="660"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vMerge w:val="restart"/>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蓄电池（16只）12V/38A</w:t>
            </w:r>
          </w:p>
        </w:tc>
        <w:tc>
          <w:tcPr>
            <w:tcW w:w="660"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64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651" w:type="dxa"/>
            <w:vMerge w:val="continue"/>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公用LCU屏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公用LCU屏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触摸屏（1台）VIEW1001</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开关站LCU屏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开关站LCU屏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触摸屏（1台）VIEW1001</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主变保护屏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1#、2#主变保护屏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保护装置（6套）MGT100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网络屏</w:t>
            </w:r>
          </w:p>
        </w:tc>
        <w:tc>
          <w:tcPr>
            <w:tcW w:w="2534" w:type="dxa"/>
            <w:noWrap w:val="0"/>
            <w:vAlign w:val="center"/>
          </w:tcPr>
          <w:p>
            <w:pPr>
              <w:spacing w:line="360" w:lineRule="exact"/>
              <w:jc w:val="center"/>
              <w:rPr>
                <w:rFonts w:hint="eastAsia" w:ascii="宋体" w:hAnsi="宋体" w:eastAsia="宋体" w:cs="宋体"/>
                <w:color w:val="000000"/>
                <w:sz w:val="21"/>
                <w:szCs w:val="21"/>
              </w:rPr>
            </w:pPr>
          </w:p>
        </w:tc>
        <w:tc>
          <w:tcPr>
            <w:tcW w:w="2448" w:type="dxa"/>
            <w:noWrap w:val="0"/>
            <w:vAlign w:val="center"/>
          </w:tcPr>
          <w:p>
            <w:pPr>
              <w:spacing w:line="360" w:lineRule="exact"/>
              <w:jc w:val="center"/>
              <w:rPr>
                <w:rFonts w:hint="eastAsia" w:ascii="宋体" w:hAnsi="宋体" w:eastAsia="宋体" w:cs="宋体"/>
                <w:color w:val="000000"/>
                <w:sz w:val="21"/>
                <w:szCs w:val="21"/>
              </w:rPr>
            </w:pP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主接线模拟屏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主接线模拟屏</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2.6米*4.3米*0.55米</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水阻设备</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1号水阻</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GZYQ-1000/6-YS</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2号水阻</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GZYQ-1000/6-YS</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上位机</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主用机</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DELL</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工程师计算机</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DELL</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视频监控系统</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视频监控</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DELL（2台）</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排</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供</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系</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统</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1-4号机集水井排水泵</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SOZW65——25</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5号机集水井排水泵</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SOZW50-15</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1-4号机机坑排水泵</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2TC-22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1-4号机技术供水泵</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SL65</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1-4号机技术供水电磁阀</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Q10-1W</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1-5号机技术供水过滤器</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DN50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空气压缩系统</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空压机</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LM10008A</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储气筒</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行</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单梁行车</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LDA10t</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10吨手拉葫芦</w:t>
            </w:r>
          </w:p>
        </w:tc>
        <w:tc>
          <w:tcPr>
            <w:tcW w:w="2448" w:type="dxa"/>
            <w:noWrap w:val="0"/>
            <w:vAlign w:val="center"/>
          </w:tcPr>
          <w:p>
            <w:pPr>
              <w:spacing w:line="360" w:lineRule="exact"/>
              <w:jc w:val="center"/>
              <w:rPr>
                <w:rFonts w:hint="eastAsia" w:ascii="宋体" w:hAnsi="宋体" w:eastAsia="宋体" w:cs="宋体"/>
                <w:color w:val="000000"/>
                <w:sz w:val="21"/>
                <w:szCs w:val="21"/>
              </w:rPr>
            </w:pP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消防系统</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火灾报警系统</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JB-1501A/B64</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消火栓</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SS100/65</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组</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灭火器</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CO2</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组</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应急预警广播系统</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应急预警广播系统</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HQ-Y503</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restart"/>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箱</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插座箱</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DCXR</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动力电源配电箱</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JXF3</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控制箱、开关箱</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JXF3</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vMerge w:val="continue"/>
            <w:noWrap w:val="0"/>
            <w:vAlign w:val="center"/>
          </w:tcPr>
          <w:p>
            <w:pPr>
              <w:spacing w:line="360" w:lineRule="exact"/>
              <w:jc w:val="center"/>
              <w:rPr>
                <w:rFonts w:hint="eastAsia" w:ascii="宋体" w:hAnsi="宋体" w:eastAsia="宋体" w:cs="宋体"/>
                <w:color w:val="000000"/>
                <w:sz w:val="21"/>
                <w:szCs w:val="21"/>
              </w:rPr>
            </w:pP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交直流切换控制箱</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JXF3</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水位测量</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水文自动站</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YR-3011</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顶机装置</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顶机油泵</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GL-160</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端子箱</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水机端子箱</w:t>
            </w:r>
          </w:p>
        </w:tc>
        <w:tc>
          <w:tcPr>
            <w:tcW w:w="2448" w:type="dxa"/>
            <w:noWrap w:val="0"/>
            <w:vAlign w:val="center"/>
          </w:tcPr>
          <w:p>
            <w:pPr>
              <w:spacing w:line="360" w:lineRule="exact"/>
              <w:jc w:val="center"/>
              <w:rPr>
                <w:rFonts w:hint="eastAsia" w:ascii="宋体" w:hAnsi="宋体" w:eastAsia="宋体" w:cs="宋体"/>
                <w:color w:val="000000"/>
                <w:sz w:val="21"/>
                <w:szCs w:val="21"/>
              </w:rPr>
            </w:pP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只</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接地设备</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接地小车</w:t>
            </w:r>
          </w:p>
        </w:tc>
        <w:tc>
          <w:tcPr>
            <w:tcW w:w="2448" w:type="dxa"/>
            <w:noWrap w:val="0"/>
            <w:vAlign w:val="center"/>
          </w:tcPr>
          <w:p>
            <w:pPr>
              <w:spacing w:line="360" w:lineRule="exact"/>
              <w:jc w:val="center"/>
              <w:rPr>
                <w:rFonts w:hint="eastAsia" w:ascii="宋体" w:hAnsi="宋体" w:eastAsia="宋体" w:cs="宋体"/>
                <w:color w:val="000000"/>
                <w:sz w:val="21"/>
                <w:szCs w:val="21"/>
              </w:rPr>
            </w:pP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机组排风系统</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排风扇</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YS</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照明系统</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厂房、厂区</w:t>
            </w:r>
          </w:p>
        </w:tc>
        <w:tc>
          <w:tcPr>
            <w:tcW w:w="2448" w:type="dxa"/>
            <w:noWrap w:val="0"/>
            <w:vAlign w:val="center"/>
          </w:tcPr>
          <w:p>
            <w:pPr>
              <w:spacing w:line="360" w:lineRule="exact"/>
              <w:jc w:val="center"/>
              <w:rPr>
                <w:rFonts w:hint="eastAsia" w:ascii="宋体" w:hAnsi="宋体" w:eastAsia="宋体" w:cs="宋体"/>
                <w:color w:val="000000"/>
                <w:sz w:val="21"/>
                <w:szCs w:val="21"/>
              </w:rPr>
            </w:pP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启闭机</w:t>
            </w:r>
          </w:p>
        </w:tc>
        <w:tc>
          <w:tcPr>
            <w:tcW w:w="2534"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5#机出口</w:t>
            </w: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2A-3</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8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渠道放水蝶阀</w:t>
            </w:r>
          </w:p>
        </w:tc>
        <w:tc>
          <w:tcPr>
            <w:tcW w:w="2534" w:type="dxa"/>
            <w:noWrap w:val="0"/>
            <w:vAlign w:val="center"/>
          </w:tcPr>
          <w:p>
            <w:pPr>
              <w:spacing w:line="360" w:lineRule="exact"/>
              <w:jc w:val="center"/>
              <w:rPr>
                <w:rFonts w:hint="eastAsia" w:ascii="宋体" w:hAnsi="宋体" w:eastAsia="宋体" w:cs="宋体"/>
                <w:color w:val="000000"/>
                <w:sz w:val="21"/>
                <w:szCs w:val="21"/>
              </w:rPr>
            </w:pPr>
          </w:p>
        </w:tc>
        <w:tc>
          <w:tcPr>
            <w:tcW w:w="2448"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直径0.8米</w:t>
            </w:r>
          </w:p>
        </w:tc>
        <w:tc>
          <w:tcPr>
            <w:tcW w:w="660"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43" w:type="dxa"/>
            <w:noWrap w:val="0"/>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51" w:type="dxa"/>
            <w:noWrap w:val="0"/>
            <w:vAlign w:val="center"/>
          </w:tcPr>
          <w:p>
            <w:pPr>
              <w:spacing w:line="360" w:lineRule="exact"/>
              <w:jc w:val="center"/>
              <w:rPr>
                <w:rFonts w:hint="eastAsia" w:ascii="宋体" w:hAnsi="宋体" w:eastAsia="宋体" w:cs="宋体"/>
                <w:color w:val="000000"/>
                <w:sz w:val="21"/>
                <w:szCs w:val="21"/>
              </w:rPr>
            </w:pPr>
          </w:p>
        </w:tc>
      </w:tr>
    </w:tbl>
    <w:p>
      <w:pPr>
        <w:pStyle w:val="19"/>
        <w:rPr>
          <w:rFonts w:hint="eastAsia" w:eastAsia="宋体" w:cs="宋体"/>
          <w:color w:val="000000"/>
        </w:rPr>
      </w:pPr>
    </w:p>
    <w:p>
      <w:pPr>
        <w:pStyle w:val="19"/>
        <w:ind w:firstLine="0" w:firstLineChars="0"/>
        <w:rPr>
          <w:rFonts w:hint="eastAsia" w:eastAsia="宋体" w:cs="宋体"/>
          <w:b/>
          <w:color w:val="000000"/>
          <w:sz w:val="28"/>
          <w:szCs w:val="28"/>
        </w:rPr>
        <w:sectPr>
          <w:pgSz w:w="11906" w:h="16838"/>
          <w:pgMar w:top="1440" w:right="1800" w:bottom="1440" w:left="1800" w:header="851" w:footer="992" w:gutter="0"/>
          <w:cols w:space="720" w:num="1"/>
          <w:titlePg/>
          <w:docGrid w:type="lines" w:linePitch="312" w:charSpace="0"/>
        </w:sectPr>
      </w:pPr>
    </w:p>
    <w:p>
      <w:pPr>
        <w:snapToGrid w:val="0"/>
        <w:spacing w:line="360" w:lineRule="auto"/>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二、合同内容及目标</w:t>
      </w:r>
    </w:p>
    <w:p>
      <w:pPr>
        <w:autoSpaceDE w:val="0"/>
        <w:autoSpaceDN w:val="0"/>
        <w:spacing w:line="500" w:lineRule="exact"/>
        <w:ind w:firstLine="482" w:firstLineChars="200"/>
        <w:rPr>
          <w:rFonts w:ascii="宋体" w:hAnsi="宋体" w:cs="宋体"/>
          <w:b/>
          <w:bCs/>
          <w:color w:val="000000"/>
        </w:rPr>
      </w:pPr>
      <w:r>
        <w:rPr>
          <w:rFonts w:hint="eastAsia" w:ascii="宋体" w:hAnsi="宋体" w:eastAsia="宋体" w:cs="宋体"/>
          <w:b/>
          <w:bCs/>
          <w:color w:val="000000"/>
        </w:rPr>
        <w:t>2.1大坝运行及维修养护</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2.1.1大坝运行</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主要为泄洪闸、泄洪洞、备用发电机、水工建筑物及相应的机电设备。设备包括：12台启闭机组、12扇闸门、1台150kW的柴油发电机。运行管理的主要内容：一是泄洪闸启闭机的运行管理；二是泄洪渠启闭机的运行管理；三是柴油发电机的运行管理；四是水工建筑物的运行管理。</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2.1.2大坝维修养护</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大坝设备：启闭机、闸门金属结构、机电设备、备用发电机、船坞电动行车、隧洞进出口启闭机和闸门金属结构、钢丝绳更换及附属设施的日常维修养护和卫生保洁。</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坝区：大坝坝顶、迎水坡、背水坡、坝前200米库水面（包括泄洪闸闸前水体）、左岸上坝公路（与绿城红枫园交接处至坝上水文站），右岸上坝公路（绿城云杉郡至渔场码头三岔口）、坝下公路、三角洲堤顶、泄洪渠（包括防汛桥至自来水厂的堤顶、迎水坡、背水坡及坡脚10米平台）等管理范围内的日常巡查、养护及卫生保洁。</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副坝：副坝坝顶、迎水坡（包括坝脚外延30米范围）、背水坡等的日常养护和卫生保洁。</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管理房：闸门启闭机房、隧洞进出口管理房、备用发电机房、船坞仓库、测流堰管理房、变形观测房及坝脚卫生间等的日常养护和卫生保洁。</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水文设施：坝上、坝下、库下水文观测房、河道测验断面及设备等的维修养护和卫生保洁。</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建筑物：坝区管理范围内的水工建筑物，包括溢洪道、导墙、溢流面、消力池、泄洪渠以及隧洞等的检查和养护。</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附属设施：警示牌、界桩、左坝围墙、照明设施、钢网墙等其他附属设施的养护。</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其他：坝区和院内的环境保洁和管理。40亩茶山养护管理。坝区自来水水泵、管道、水池等养护管理。泄洪期间巡查及参与24小时防汛值班。</w:t>
      </w:r>
    </w:p>
    <w:p>
      <w:pPr>
        <w:pStyle w:val="19"/>
        <w:rPr>
          <w:rFonts w:hint="eastAsia" w:eastAsia="宋体" w:cs="宋体"/>
          <w:color w:val="000000"/>
        </w:rPr>
      </w:pPr>
      <w:r>
        <w:rPr>
          <w:rFonts w:hint="eastAsia" w:eastAsia="宋体" w:cs="宋体"/>
          <w:color w:val="000000"/>
        </w:rPr>
        <w:t>2.1.3协助库区巡查</w:t>
      </w:r>
    </w:p>
    <w:p>
      <w:pPr>
        <w:pStyle w:val="19"/>
        <w:rPr>
          <w:rFonts w:hint="eastAsia" w:eastAsia="宋体" w:cs="宋体"/>
          <w:color w:val="000000"/>
        </w:rPr>
      </w:pPr>
      <w:r>
        <w:rPr>
          <w:rFonts w:hint="eastAsia" w:eastAsia="宋体" w:cs="宋体"/>
          <w:color w:val="000000"/>
        </w:rPr>
        <w:t>主要内容及要求：对水库库区协助巡查，重点对涉库、临库项目进行跟踪巡查，发现违法行为应当立即制止并上报。当水库中心开展库区巡查时，应当予以配合。</w:t>
      </w:r>
    </w:p>
    <w:p>
      <w:pPr>
        <w:pStyle w:val="19"/>
        <w:rPr>
          <w:rFonts w:eastAsia="宋体" w:cs="宋体"/>
          <w:color w:val="000000"/>
        </w:rPr>
      </w:pPr>
      <w:r>
        <w:rPr>
          <w:rFonts w:hint="eastAsia" w:eastAsia="宋体" w:cs="宋体"/>
          <w:color w:val="000000"/>
        </w:rPr>
        <w:t>巡查频次：每周不少于2次，特殊情况下应当加密巡查次数。</w:t>
      </w:r>
    </w:p>
    <w:p>
      <w:pPr>
        <w:widowControl/>
        <w:spacing w:line="500" w:lineRule="exact"/>
        <w:ind w:firstLine="482" w:firstLineChars="200"/>
        <w:rPr>
          <w:rFonts w:hint="eastAsia" w:ascii="宋体" w:hAnsi="宋体" w:eastAsia="宋体" w:cs="宋体"/>
          <w:b/>
          <w:color w:val="000000"/>
        </w:rPr>
      </w:pPr>
      <w:r>
        <w:rPr>
          <w:rFonts w:hint="eastAsia" w:ascii="宋体" w:hAnsi="宋体" w:eastAsia="宋体" w:cs="宋体"/>
          <w:b/>
          <w:color w:val="000000"/>
        </w:rPr>
        <w:t>2.2水文观测及设施维护</w:t>
      </w:r>
    </w:p>
    <w:p>
      <w:pPr>
        <w:widowControl/>
        <w:spacing w:line="500" w:lineRule="exact"/>
        <w:ind w:firstLine="480" w:firstLineChars="200"/>
        <w:rPr>
          <w:rFonts w:hint="eastAsia" w:ascii="宋体" w:hAnsi="宋体" w:eastAsia="宋体" w:cs="宋体"/>
          <w:bCs/>
          <w:color w:val="000000"/>
        </w:rPr>
      </w:pPr>
      <w:r>
        <w:rPr>
          <w:rFonts w:hint="eastAsia" w:ascii="宋体" w:hAnsi="宋体" w:eastAsia="宋体" w:cs="宋体"/>
          <w:bCs/>
          <w:color w:val="000000"/>
        </w:rPr>
        <w:t>2.2.1水文观测</w:t>
      </w:r>
    </w:p>
    <w:p>
      <w:pPr>
        <w:widowControl/>
        <w:spacing w:line="500" w:lineRule="exact"/>
        <w:ind w:firstLine="480" w:firstLineChars="200"/>
        <w:rPr>
          <w:rFonts w:hint="eastAsia" w:ascii="宋体" w:hAnsi="宋体" w:eastAsia="宋体" w:cs="宋体"/>
          <w:bCs/>
          <w:color w:val="000000"/>
        </w:rPr>
      </w:pPr>
      <w:r>
        <w:rPr>
          <w:rFonts w:hint="eastAsia" w:ascii="宋体" w:hAnsi="宋体" w:eastAsia="宋体" w:cs="宋体"/>
          <w:bCs/>
          <w:color w:val="000000"/>
        </w:rPr>
        <w:t>主要内容：汛期和非汛期的雨量、蒸发观测、水雨情拍报、水位流量测验等。</w:t>
      </w:r>
    </w:p>
    <w:p>
      <w:pPr>
        <w:widowControl/>
        <w:spacing w:line="500" w:lineRule="exact"/>
        <w:ind w:firstLine="480" w:firstLineChars="200"/>
        <w:rPr>
          <w:rFonts w:hint="eastAsia" w:ascii="宋体" w:hAnsi="宋体" w:eastAsia="宋体" w:cs="宋体"/>
          <w:bCs/>
          <w:color w:val="000000"/>
        </w:rPr>
      </w:pPr>
      <w:r>
        <w:rPr>
          <w:rFonts w:hint="eastAsia" w:ascii="宋体" w:hAnsi="宋体" w:eastAsia="宋体" w:cs="宋体"/>
          <w:bCs/>
          <w:color w:val="000000"/>
        </w:rPr>
        <w:t>2.2.2水文设施维护</w:t>
      </w:r>
    </w:p>
    <w:p>
      <w:pPr>
        <w:widowControl/>
        <w:spacing w:line="500" w:lineRule="exact"/>
        <w:ind w:firstLine="480" w:firstLineChars="200"/>
        <w:rPr>
          <w:rFonts w:hint="eastAsia" w:ascii="宋体" w:hAnsi="宋体" w:eastAsia="宋体" w:cs="宋体"/>
          <w:bCs/>
          <w:color w:val="000000"/>
        </w:rPr>
      </w:pPr>
      <w:r>
        <w:rPr>
          <w:rFonts w:hint="eastAsia" w:ascii="宋体" w:hAnsi="宋体" w:eastAsia="宋体" w:cs="宋体"/>
          <w:bCs/>
          <w:color w:val="000000"/>
        </w:rPr>
        <w:t>维护坝上站、隧洞站、库下站、雨量场、室内所有设备的正常运行。</w:t>
      </w:r>
    </w:p>
    <w:p>
      <w:pPr>
        <w:widowControl/>
        <w:spacing w:line="500" w:lineRule="exact"/>
        <w:ind w:firstLine="480" w:firstLineChars="200"/>
        <w:rPr>
          <w:rFonts w:hint="eastAsia" w:ascii="宋体" w:hAnsi="宋体" w:eastAsia="宋体" w:cs="宋体"/>
          <w:bCs/>
          <w:color w:val="000000"/>
        </w:rPr>
      </w:pPr>
      <w:r>
        <w:rPr>
          <w:rFonts w:hint="eastAsia" w:ascii="宋体" w:hAnsi="宋体" w:eastAsia="宋体" w:cs="宋体"/>
          <w:bCs/>
          <w:color w:val="000000"/>
        </w:rPr>
        <w:t>2000型设备仅需维护更换蓄电池；雨润3000、在线测流多普勒、河猫、自动蒸发以及太阳能板需要保证设备的正常运行，保障部分维修更换（包括且不仅限所有设备蓄电池）。</w:t>
      </w:r>
    </w:p>
    <w:p>
      <w:pPr>
        <w:widowControl/>
        <w:spacing w:line="500" w:lineRule="exact"/>
        <w:ind w:firstLine="480" w:firstLineChars="200"/>
        <w:rPr>
          <w:rFonts w:hint="eastAsia" w:ascii="宋体" w:hAnsi="宋体" w:eastAsia="宋体" w:cs="宋体"/>
          <w:bCs/>
          <w:color w:val="000000"/>
        </w:rPr>
      </w:pPr>
      <w:r>
        <w:rPr>
          <w:rFonts w:hint="eastAsia" w:ascii="宋体" w:hAnsi="宋体" w:eastAsia="宋体" w:cs="宋体"/>
          <w:bCs/>
          <w:color w:val="000000"/>
        </w:rPr>
        <w:t>每三个月检测蓄电池容量1次。平时发生故障经告知，白天通知当天解决，晚上通知次日解决。无故障报告，无需定期检查。维护情况上传标准化平台。</w:t>
      </w:r>
    </w:p>
    <w:p>
      <w:pPr>
        <w:widowControl/>
        <w:spacing w:line="500" w:lineRule="exact"/>
        <w:ind w:firstLine="480" w:firstLineChars="200"/>
        <w:rPr>
          <w:rFonts w:hint="eastAsia" w:ascii="宋体" w:hAnsi="宋体" w:eastAsia="宋体" w:cs="宋体"/>
          <w:bCs/>
          <w:color w:val="000000"/>
        </w:rPr>
      </w:pPr>
      <w:r>
        <w:rPr>
          <w:rFonts w:hint="eastAsia" w:ascii="宋体" w:hAnsi="宋体" w:eastAsia="宋体" w:cs="宋体"/>
          <w:bCs/>
          <w:color w:val="000000"/>
        </w:rPr>
        <w:t>水文设备维护的其它情况按大坝维修养护执行。</w:t>
      </w:r>
    </w:p>
    <w:p>
      <w:pPr>
        <w:widowControl/>
        <w:spacing w:line="500" w:lineRule="exact"/>
        <w:ind w:firstLine="482" w:firstLineChars="200"/>
        <w:rPr>
          <w:rFonts w:hint="eastAsia" w:ascii="宋体" w:hAnsi="宋体" w:eastAsia="宋体" w:cs="宋体"/>
          <w:b/>
          <w:color w:val="000000"/>
        </w:rPr>
      </w:pPr>
      <w:r>
        <w:rPr>
          <w:rFonts w:hint="eastAsia" w:ascii="宋体" w:hAnsi="宋体" w:eastAsia="宋体" w:cs="宋体"/>
          <w:b/>
          <w:color w:val="000000"/>
        </w:rPr>
        <w:t>2.3电站运行</w:t>
      </w:r>
    </w:p>
    <w:p>
      <w:pPr>
        <w:widowControl/>
        <w:spacing w:line="500" w:lineRule="exact"/>
        <w:ind w:firstLine="480" w:firstLineChars="200"/>
        <w:rPr>
          <w:rFonts w:hint="eastAsia" w:ascii="宋体" w:hAnsi="宋体" w:eastAsia="宋体" w:cs="宋体"/>
          <w:bCs/>
          <w:color w:val="000000"/>
        </w:rPr>
      </w:pPr>
      <w:r>
        <w:rPr>
          <w:rFonts w:hint="eastAsia" w:ascii="宋体" w:hAnsi="宋体" w:eastAsia="宋体" w:cs="宋体"/>
          <w:bCs/>
          <w:color w:val="000000"/>
        </w:rPr>
        <w:t>2.3.1电站运行</w:t>
      </w:r>
    </w:p>
    <w:p>
      <w:pPr>
        <w:widowControl/>
        <w:spacing w:line="500" w:lineRule="exact"/>
        <w:ind w:firstLine="480" w:firstLineChars="200"/>
        <w:rPr>
          <w:rFonts w:hint="eastAsia" w:ascii="宋体" w:hAnsi="宋体" w:eastAsia="宋体" w:cs="宋体"/>
          <w:color w:val="000000"/>
        </w:rPr>
      </w:pPr>
      <w:r>
        <w:rPr>
          <w:rFonts w:hint="eastAsia" w:ascii="宋体" w:hAnsi="宋体" w:eastAsia="宋体" w:cs="宋体"/>
          <w:bCs/>
          <w:color w:val="000000"/>
        </w:rPr>
        <w:t>青山水库电站5台机组运行及相应的机电设备。设备包括：</w:t>
      </w:r>
      <w:r>
        <w:rPr>
          <w:rFonts w:hint="eastAsia" w:ascii="宋体" w:hAnsi="宋体" w:eastAsia="宋体" w:cs="宋体"/>
          <w:color w:val="000000"/>
        </w:rPr>
        <w:t>厂房2处、附属建筑物3处，有水轮发电机组5套、调速器5台、引水钢管及蝶阀5套、励磁及励磁变压器5套、10吨单梁行车1台、10吨手拉葫芦2台、空气压缩系统1套、主变3台、厂变2台、各类屏柜58套、水阻设备2套等。电站运行管理主要内容：一是5台发电机组的运行管理；二是南干渠渠首闸门的运行管理；三是1#、2#、3#主变的运行管理；四是水工建筑物的运行管理。</w:t>
      </w:r>
    </w:p>
    <w:p>
      <w:pPr>
        <w:widowControl/>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2.3.2电站维修养护</w:t>
      </w:r>
    </w:p>
    <w:p>
      <w:pPr>
        <w:widowControl/>
        <w:spacing w:line="500" w:lineRule="exact"/>
        <w:ind w:firstLine="480" w:firstLineChars="200"/>
        <w:rPr>
          <w:rFonts w:ascii="宋体" w:hAnsi="宋体" w:eastAsia="宋体" w:cs="宋体"/>
          <w:color w:val="000000"/>
        </w:rPr>
      </w:pPr>
      <w:r>
        <w:rPr>
          <w:rFonts w:hint="eastAsia" w:ascii="宋体" w:hAnsi="宋体" w:eastAsia="宋体" w:cs="宋体"/>
          <w:color w:val="000000"/>
        </w:rPr>
        <w:t>厂房、厂区及附属建筑物卫生保洁、垃圾处理工作；PLC柜、励磁柜等设备清扫；设备的加油加气，主供水滤水器清理疏通；常规备品配件的更换；主设备年度定期大修（一年一台机组）；绝缘工器具安全检测。</w:t>
      </w:r>
    </w:p>
    <w:p>
      <w:pPr>
        <w:widowControl/>
        <w:spacing w:line="500" w:lineRule="exact"/>
        <w:ind w:firstLine="482" w:firstLineChars="200"/>
        <w:rPr>
          <w:rFonts w:hint="eastAsia" w:ascii="宋体" w:hAnsi="宋体" w:eastAsia="宋体" w:cs="宋体"/>
          <w:b/>
          <w:color w:val="000000"/>
        </w:rPr>
      </w:pPr>
      <w:r>
        <w:rPr>
          <w:rFonts w:hint="eastAsia" w:ascii="宋体" w:hAnsi="宋体" w:eastAsia="宋体" w:cs="宋体"/>
          <w:b/>
          <w:color w:val="000000"/>
        </w:rPr>
        <w:t>2.4**怖防范</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负责采购人指定的区域的安全保卫工作，担负消防、治安的防范和处置。安保服务工作主要包括坝区守护，做好管理区域内及坝区防火、防盗、防破坏、防事故等安全工作。</w:t>
      </w:r>
      <w:r>
        <w:rPr>
          <w:rFonts w:hint="eastAsia" w:ascii="宋体" w:hAnsi="宋体" w:eastAsia="宋体" w:cs="宋体"/>
          <w:color w:val="000000"/>
          <w:kern w:val="0"/>
          <w:lang w:val="zh-CN"/>
        </w:rPr>
        <w:t>岗亭满足安防管理条例要求实行24小时执勤，同时做好服务区域内巡逻工作</w:t>
      </w:r>
      <w:r>
        <w:rPr>
          <w:rFonts w:hint="eastAsia" w:ascii="宋体" w:hAnsi="宋体" w:eastAsia="宋体" w:cs="宋体"/>
          <w:color w:val="000000"/>
        </w:rPr>
        <w:t>。</w:t>
      </w:r>
    </w:p>
    <w:p>
      <w:pPr>
        <w:widowControl/>
        <w:spacing w:line="500" w:lineRule="exact"/>
        <w:ind w:firstLine="482" w:firstLineChars="200"/>
        <w:rPr>
          <w:rFonts w:hint="eastAsia" w:ascii="宋体" w:hAnsi="宋体" w:eastAsia="宋体" w:cs="宋体"/>
          <w:b/>
          <w:color w:val="000000"/>
        </w:rPr>
      </w:pPr>
      <w:r>
        <w:rPr>
          <w:rFonts w:hint="eastAsia" w:ascii="宋体" w:hAnsi="宋体" w:eastAsia="宋体" w:cs="宋体"/>
          <w:b/>
          <w:color w:val="000000"/>
        </w:rPr>
        <w:t>2.5其它工作内容</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（1）对青山管理所防汛会商系统、视频监控系统及相关电脑、打印机等进行维护。</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（2）供应商应负责管理范围内人员、设备等安全责任，与所有员工签订安全风险告知书，为其配备必要的安全防护用具。</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（3）供应商应定期组织消防检查，经常性地组织开展消防演练，能够熟练使用消防器具，所有消防器具由专人管理，定点放置，定期保养，应委托有资质的单位进行检测和维保。</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（4）协助做好发包人上级部门指导，外单位参观、调研等接待工作。</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（5）做好中控室24小时值守工作。</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（6）做好泄洪洞及消力池进人检查、抽水工作。</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（7）主动配合，认真做好专项检查、特别检查、稽查以及各类检查工作，按时提交工作报告和相关的备查资料。</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（8）供应商负责工程保护范围内的日常监管，及时发现和处置违规违法行为。</w:t>
      </w:r>
    </w:p>
    <w:p>
      <w:pPr>
        <w:pStyle w:val="19"/>
        <w:rPr>
          <w:rFonts w:hint="eastAsia" w:eastAsia="宋体" w:cs="宋体"/>
          <w:color w:val="000000"/>
        </w:rPr>
      </w:pPr>
      <w:r>
        <w:rPr>
          <w:rFonts w:hint="eastAsia" w:eastAsia="宋体" w:cs="宋体"/>
          <w:color w:val="000000"/>
        </w:rPr>
        <w:t>（9）供应商应加强安全生产措施投入，每年投入费用不低于合同价的1.5%，并逐项整理台账。</w:t>
      </w:r>
    </w:p>
    <w:p>
      <w:pPr>
        <w:pStyle w:val="19"/>
        <w:rPr>
          <w:rFonts w:hint="eastAsia" w:eastAsia="宋体" w:cs="宋体"/>
          <w:color w:val="000000"/>
        </w:rPr>
      </w:pPr>
      <w:r>
        <w:rPr>
          <w:rFonts w:hint="eastAsia" w:eastAsia="宋体" w:cs="宋体"/>
          <w:color w:val="000000"/>
        </w:rPr>
        <w:t>（10）供应商应当根据工程运行实际需要及发包人的运行管理要求，加强设施设备的维修及相关必要设施设备采购，其中每年维护费不得低于合同价中运行维护部分的3%。</w:t>
      </w:r>
    </w:p>
    <w:p>
      <w:pPr>
        <w:pStyle w:val="19"/>
        <w:rPr>
          <w:rFonts w:eastAsia="宋体" w:cs="宋体"/>
          <w:color w:val="000000"/>
        </w:rPr>
      </w:pPr>
      <w:r>
        <w:rPr>
          <w:rFonts w:hint="eastAsia" w:eastAsia="宋体" w:cs="宋体"/>
          <w:color w:val="000000"/>
        </w:rPr>
        <w:t>（11）供应商必须为拟派本项目从业人员投保人身意外伤害保险（含安保人员）。</w:t>
      </w:r>
    </w:p>
    <w:p>
      <w:pPr>
        <w:pStyle w:val="19"/>
        <w:rPr>
          <w:rFonts w:hint="eastAsia"/>
          <w:color w:val="000000"/>
        </w:rPr>
        <w:sectPr>
          <w:pgSz w:w="11906" w:h="16838"/>
          <w:pgMar w:top="1440" w:right="1800" w:bottom="1440" w:left="1800" w:header="851" w:footer="992" w:gutter="0"/>
          <w:cols w:space="720" w:num="1"/>
          <w:titlePg/>
          <w:docGrid w:type="lines" w:linePitch="312" w:charSpace="0"/>
        </w:sectPr>
      </w:pPr>
    </w:p>
    <w:p>
      <w:pPr>
        <w:snapToGrid w:val="0"/>
        <w:spacing w:line="360" w:lineRule="auto"/>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三、水库运行及日常维护的要求</w:t>
      </w:r>
    </w:p>
    <w:p>
      <w:pPr>
        <w:spacing w:line="560" w:lineRule="exact"/>
        <w:ind w:firstLine="562"/>
        <w:rPr>
          <w:rFonts w:hint="eastAsia" w:ascii="宋体" w:hAnsi="宋体" w:eastAsia="宋体" w:cs="宋体"/>
          <w:b/>
          <w:bCs/>
          <w:color w:val="000000"/>
        </w:rPr>
      </w:pPr>
      <w:r>
        <w:rPr>
          <w:rFonts w:hint="eastAsia" w:ascii="宋体" w:hAnsi="宋体" w:eastAsia="宋体" w:cs="宋体"/>
          <w:b/>
          <w:bCs/>
          <w:color w:val="000000"/>
        </w:rPr>
        <w:t>3.1适用的规范和标准</w:t>
      </w:r>
    </w:p>
    <w:p>
      <w:pPr>
        <w:spacing w:line="560" w:lineRule="exact"/>
        <w:ind w:firstLine="562"/>
        <w:rPr>
          <w:rFonts w:hint="eastAsia" w:ascii="宋体" w:hAnsi="宋体" w:eastAsia="宋体" w:cs="宋体"/>
          <w:color w:val="000000"/>
        </w:rPr>
      </w:pPr>
      <w:r>
        <w:rPr>
          <w:rFonts w:hint="eastAsia" w:ascii="宋体" w:hAnsi="宋体" w:eastAsia="宋体" w:cs="宋体"/>
          <w:color w:val="000000"/>
        </w:rPr>
        <w:t>工程日常运行维护管理行为应满足以下规范要求（以最新发布的规程规范为准但不限于）：</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《土石坝养护修理规程》</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《水工钢闸门和启闭机安全检测技术规程》</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《水利水电工程闸门及启闭机、升船机设备管理登记评定标准》</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《水库大坝安全管理条例》</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《水闸技术管理规程》</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《中华人民国和国机械行业标准》</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《电业安全工作规程》</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《中型水库管理规程》（浙江省）</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《浙江省水利工程维修养护定额标准》</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《堤坝白蚁防治管理规范》</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《电力安全工作规程》（发电厂和变电站电气部分）</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《水轮机运行规程》</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《水轮发电机运行规程》</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《水轮发电机安装技术规范》</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《农村水电站技术管理规程》</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《小型水电站运行维护技术规范》</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《农村水电站管理技术规程》</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《小型水电站机组综合运行性能质量评定标准》</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杭州市水库管理服务中心制定的相关手册、标准、要求等</w:t>
      </w:r>
    </w:p>
    <w:p>
      <w:pPr>
        <w:autoSpaceDE w:val="0"/>
        <w:autoSpaceDN w:val="0"/>
        <w:spacing w:line="500" w:lineRule="exact"/>
        <w:ind w:firstLine="482" w:firstLineChars="200"/>
        <w:rPr>
          <w:rFonts w:hint="eastAsia" w:ascii="宋体" w:hAnsi="宋体" w:eastAsia="宋体" w:cs="宋体"/>
          <w:b/>
          <w:bCs/>
          <w:color w:val="000000"/>
        </w:rPr>
      </w:pPr>
      <w:r>
        <w:rPr>
          <w:rFonts w:hint="eastAsia" w:ascii="宋体" w:hAnsi="宋体" w:eastAsia="宋体" w:cs="宋体"/>
          <w:b/>
          <w:bCs/>
          <w:color w:val="000000"/>
        </w:rPr>
        <w:t>3.2组织保障</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（1）根据采购人的要求和工程管理的实际需要，成立相应的管理组织机构。</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（2）拟投入的人员年龄不得超过58周岁（不包括安保人员，安保人员具体要求见下文）。</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（3）运维总人员不少于19人（不包括安保人员），其中现场机构管理人员2人，运维人员不少于17人</w:t>
      </w:r>
      <w:r>
        <w:rPr>
          <w:rFonts w:hint="eastAsia" w:ascii="宋体" w:hAnsi="宋体" w:eastAsia="宋体" w:cs="宋体"/>
          <w:color w:val="000000"/>
          <w:szCs w:val="22"/>
        </w:rPr>
        <w:t>。a</w:t>
      </w:r>
      <w:r>
        <w:rPr>
          <w:rFonts w:hint="eastAsia" w:ascii="宋体" w:hAnsi="宋体" w:eastAsia="宋体" w:cs="宋体"/>
          <w:color w:val="000000"/>
          <w:szCs w:val="22"/>
          <w:lang w:bidi="ar"/>
        </w:rPr>
        <w:t>、项目经理、安全生产岗不得兼任其他岗位。闸门运行岗和电站运行岗互不兼岗。其余人员最多担任2个岗位。b、闸门运行岗：不得少于4人，要求具有“闸门运行工”技能证书。c、电站运行岗：不得少于8人，其中4人要求具有“电气、电力、电厂、电站”相关专业大专及以上学历证书。d、高压电工岗：不得少于3人，要求具有“高压电工证”。e、安全生产岗：不得少于1人，要求具有“行政主管部门颁发的安全生产考核合格证书C证”。e、除上述岗位外，其余巡查、</w:t>
      </w:r>
      <w:r>
        <w:rPr>
          <w:rFonts w:hint="eastAsia" w:ascii="宋体" w:hAnsi="宋体" w:eastAsia="宋体" w:cs="宋体"/>
          <w:color w:val="000000"/>
          <w:szCs w:val="22"/>
        </w:rPr>
        <w:t>维护保养、</w:t>
      </w:r>
      <w:r>
        <w:rPr>
          <w:rFonts w:hint="eastAsia" w:ascii="宋体" w:hAnsi="宋体" w:eastAsia="宋体" w:cs="宋体"/>
          <w:color w:val="000000"/>
          <w:szCs w:val="22"/>
          <w:lang w:bidi="ar"/>
        </w:rPr>
        <w:t>保洁等岗位由投标人根据工程实际及合理分析后自行设置。</w:t>
      </w:r>
      <w:r>
        <w:rPr>
          <w:rFonts w:hint="eastAsia" w:ascii="宋体" w:hAnsi="宋体" w:eastAsia="宋体" w:cs="宋体"/>
          <w:color w:val="000000"/>
          <w:szCs w:val="22"/>
        </w:rPr>
        <w:t>闸门启闭操作、高配操作等重要岗位全部实行持证上岗，主要需持有电工证、闸门运行工证或相应的上岗培训证。</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4）拟投入工程的现场管理机构人数，技术力量配置应满足工程管理的需要，主要岗位人员相对固定，因特殊原因需要更换时需提前一周报采购人派驻现场机构同意。采购人派驻现场机构有权审核供应商的运维人员，并有权要求供应商更换不合格的运维人员。</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5）项目经理、技术负责人离开现场需报采购人派驻现场机构同意后方可离开，且每月在现场时间应满15天，每天不少于8小时。项目经理、技术负责人原则上不能同时离开现场。采购人根据管理需要要求项目经理到场的时候，项目经理必须到场。</w:t>
      </w:r>
    </w:p>
    <w:p>
      <w:pPr>
        <w:autoSpaceDE w:val="0"/>
        <w:autoSpaceDN w:val="0"/>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（6）供应商应充分考虑项目实施需要，配备一辆运行保障用车，配备一辆四轮巡查用车，以满足项目管理需要。</w:t>
      </w:r>
    </w:p>
    <w:p>
      <w:pPr>
        <w:autoSpaceDE w:val="0"/>
        <w:autoSpaceDN w:val="0"/>
        <w:spacing w:line="500" w:lineRule="exact"/>
        <w:ind w:firstLine="482" w:firstLineChars="200"/>
        <w:rPr>
          <w:rFonts w:hint="eastAsia" w:ascii="宋体" w:hAnsi="宋体" w:eastAsia="宋体" w:cs="宋体"/>
          <w:b/>
          <w:bCs/>
          <w:color w:val="000000"/>
        </w:rPr>
      </w:pPr>
      <w:r>
        <w:rPr>
          <w:rFonts w:hint="eastAsia" w:ascii="宋体" w:hAnsi="宋体" w:eastAsia="宋体" w:cs="宋体"/>
          <w:b/>
          <w:bCs/>
          <w:color w:val="000000"/>
        </w:rPr>
        <w:t>3.3日常运行养护管理要求</w:t>
      </w:r>
    </w:p>
    <w:p>
      <w:pPr>
        <w:pStyle w:val="19"/>
        <w:rPr>
          <w:rFonts w:hint="eastAsia" w:eastAsia="宋体" w:cs="宋体"/>
          <w:color w:val="000000"/>
          <w:szCs w:val="22"/>
        </w:rPr>
      </w:pPr>
      <w:r>
        <w:rPr>
          <w:rFonts w:hint="eastAsia" w:eastAsia="宋体" w:cs="宋体"/>
          <w:color w:val="000000"/>
          <w:szCs w:val="22"/>
        </w:rPr>
        <w:t>承包养护期限内，供应商按照维修养护质量标准，制定养护方案，合理组织，精心养护，服从业主的管理和考核。并根据工作需要，灵活派出多名有经验的人员，保质保量完成卫生保洁和维修养护任务。安全运行率100%，设备完好率98%。</w:t>
      </w:r>
    </w:p>
    <w:p>
      <w:pPr>
        <w:pStyle w:val="19"/>
        <w:rPr>
          <w:rFonts w:hint="eastAsia" w:eastAsia="宋体" w:cs="宋体"/>
          <w:color w:val="000000"/>
          <w:szCs w:val="22"/>
        </w:rPr>
      </w:pPr>
      <w:r>
        <w:rPr>
          <w:rFonts w:hint="eastAsia" w:eastAsia="宋体" w:cs="宋体"/>
          <w:color w:val="000000"/>
          <w:szCs w:val="22"/>
        </w:rPr>
        <w:t>运维管理按照采购单位的制度手册、操作规程等要求开展运行维护。</w:t>
      </w:r>
    </w:p>
    <w:p>
      <w:pPr>
        <w:pStyle w:val="19"/>
        <w:rPr>
          <w:rFonts w:hint="eastAsia" w:eastAsia="宋体" w:cs="宋体"/>
          <w:color w:val="000000"/>
          <w:szCs w:val="22"/>
        </w:rPr>
      </w:pPr>
      <w:r>
        <w:rPr>
          <w:rFonts w:hint="eastAsia" w:eastAsia="宋体" w:cs="宋体"/>
          <w:color w:val="000000"/>
          <w:szCs w:val="22"/>
        </w:rPr>
        <w:t>养护内容详见以下养护细则。</w:t>
      </w:r>
    </w:p>
    <w:p>
      <w:pPr>
        <w:autoSpaceDE w:val="0"/>
        <w:autoSpaceDN w:val="0"/>
        <w:spacing w:line="500" w:lineRule="exact"/>
        <w:ind w:firstLine="482"/>
        <w:rPr>
          <w:rFonts w:hint="eastAsia" w:ascii="宋体" w:hAnsi="宋体" w:eastAsia="宋体" w:cs="宋体"/>
          <w:b/>
          <w:bCs/>
          <w:color w:val="000000"/>
          <w:szCs w:val="22"/>
        </w:rPr>
      </w:pPr>
      <w:r>
        <w:rPr>
          <w:rFonts w:hint="eastAsia" w:ascii="宋体" w:hAnsi="宋体" w:eastAsia="宋体" w:cs="宋体"/>
          <w:b/>
          <w:bCs/>
          <w:color w:val="000000"/>
          <w:szCs w:val="22"/>
        </w:rPr>
        <w:t>3.4水库日常运行维护考核</w:t>
      </w:r>
    </w:p>
    <w:p>
      <w:pPr>
        <w:pStyle w:val="19"/>
        <w:rPr>
          <w:rFonts w:hint="eastAsia" w:eastAsia="宋体" w:cs="宋体"/>
          <w:color w:val="000000"/>
          <w:szCs w:val="22"/>
        </w:rPr>
      </w:pPr>
      <w:r>
        <w:rPr>
          <w:rFonts w:hint="eastAsia" w:eastAsia="宋体" w:cs="宋体"/>
          <w:color w:val="000000"/>
          <w:szCs w:val="22"/>
        </w:rPr>
        <w:t>3.4.1考核周期</w:t>
      </w:r>
    </w:p>
    <w:p>
      <w:pPr>
        <w:pStyle w:val="19"/>
        <w:rPr>
          <w:rFonts w:hint="eastAsia" w:eastAsia="宋体" w:cs="宋体"/>
          <w:color w:val="000000"/>
          <w:szCs w:val="22"/>
        </w:rPr>
      </w:pPr>
      <w:r>
        <w:rPr>
          <w:rFonts w:hint="eastAsia" w:eastAsia="宋体" w:cs="宋体"/>
          <w:color w:val="000000"/>
          <w:szCs w:val="22"/>
        </w:rPr>
        <w:t>12个月，具体起止时间以合同签订为准。</w:t>
      </w:r>
    </w:p>
    <w:p>
      <w:pPr>
        <w:pStyle w:val="19"/>
        <w:rPr>
          <w:rFonts w:hint="eastAsia" w:eastAsia="宋体" w:cs="宋体"/>
          <w:color w:val="000000"/>
          <w:szCs w:val="22"/>
        </w:rPr>
      </w:pPr>
      <w:r>
        <w:rPr>
          <w:rFonts w:hint="eastAsia" w:eastAsia="宋体" w:cs="宋体"/>
          <w:color w:val="000000"/>
          <w:szCs w:val="22"/>
        </w:rPr>
        <w:t>采购人根据供应商的履约情况和实际养护运行效果，经年度综合考评不合格的，采购人有权终止合同。</w:t>
      </w:r>
    </w:p>
    <w:p>
      <w:pPr>
        <w:pStyle w:val="19"/>
        <w:rPr>
          <w:rFonts w:hint="eastAsia" w:eastAsia="宋体" w:cs="宋体"/>
          <w:color w:val="000000"/>
          <w:szCs w:val="22"/>
        </w:rPr>
      </w:pPr>
      <w:r>
        <w:rPr>
          <w:rFonts w:hint="eastAsia" w:eastAsia="宋体" w:cs="宋体"/>
          <w:color w:val="000000"/>
          <w:szCs w:val="22"/>
        </w:rPr>
        <w:t>3.4.2考核方式：</w:t>
      </w:r>
    </w:p>
    <w:p>
      <w:pPr>
        <w:pStyle w:val="19"/>
        <w:rPr>
          <w:rFonts w:hint="eastAsia" w:eastAsia="宋体" w:cs="宋体"/>
          <w:color w:val="000000"/>
          <w:szCs w:val="22"/>
        </w:rPr>
      </w:pPr>
      <w:r>
        <w:rPr>
          <w:rFonts w:hint="eastAsia" w:eastAsia="宋体" w:cs="宋体"/>
          <w:color w:val="000000"/>
          <w:szCs w:val="22"/>
        </w:rPr>
        <w:t>采取月度考核评分和年度考核评分相结合，总分1000分：900分（含）为合格，950分（含）以上为优秀。月度考核占考核总成绩的70%，年度考核占考核总成绩30%，合同考核结果为月度考核平均分*0.7+年度考核*0.3。具体赋分标准见附表。</w:t>
      </w:r>
    </w:p>
    <w:p>
      <w:pPr>
        <w:pStyle w:val="19"/>
        <w:rPr>
          <w:rFonts w:hint="eastAsia" w:eastAsia="宋体" w:cs="宋体"/>
          <w:color w:val="000000"/>
          <w:szCs w:val="22"/>
        </w:rPr>
      </w:pPr>
      <w:r>
        <w:rPr>
          <w:rFonts w:hint="eastAsia" w:eastAsia="宋体" w:cs="宋体"/>
          <w:color w:val="000000"/>
          <w:szCs w:val="22"/>
        </w:rPr>
        <w:t>1、月度考核。每月月底前由采购人组织对运维单位进行考核。</w:t>
      </w:r>
    </w:p>
    <w:p>
      <w:pPr>
        <w:pStyle w:val="19"/>
        <w:rPr>
          <w:rFonts w:hint="eastAsia" w:eastAsia="宋体" w:cs="宋体"/>
          <w:color w:val="000000"/>
          <w:szCs w:val="22"/>
        </w:rPr>
      </w:pPr>
      <w:r>
        <w:rPr>
          <w:rFonts w:hint="eastAsia" w:eastAsia="宋体" w:cs="宋体"/>
          <w:color w:val="000000"/>
          <w:szCs w:val="22"/>
        </w:rPr>
        <w:t>2、年度考核。年度考核由年度考核工作小组在合同运行年度最后一个月进行考核。</w:t>
      </w:r>
    </w:p>
    <w:p>
      <w:pPr>
        <w:pStyle w:val="19"/>
        <w:rPr>
          <w:rFonts w:hint="eastAsia" w:eastAsia="宋体" w:cs="宋体"/>
          <w:color w:val="000000"/>
          <w:szCs w:val="22"/>
        </w:rPr>
      </w:pPr>
      <w:r>
        <w:rPr>
          <w:rFonts w:hint="eastAsia" w:eastAsia="宋体" w:cs="宋体"/>
          <w:color w:val="000000"/>
          <w:szCs w:val="22"/>
        </w:rPr>
        <w:t>3、合同考核结果报市林水局审定备案。</w:t>
      </w:r>
    </w:p>
    <w:p>
      <w:pPr>
        <w:pStyle w:val="19"/>
        <w:rPr>
          <w:rFonts w:hint="eastAsia" w:eastAsia="宋体" w:cs="宋体"/>
          <w:color w:val="000000"/>
          <w:szCs w:val="22"/>
        </w:rPr>
      </w:pPr>
      <w:r>
        <w:rPr>
          <w:rFonts w:hint="eastAsia" w:eastAsia="宋体" w:cs="宋体"/>
          <w:color w:val="000000"/>
          <w:szCs w:val="22"/>
        </w:rPr>
        <w:t>3.4.3主要罚责条款：</w:t>
      </w:r>
    </w:p>
    <w:p>
      <w:pPr>
        <w:pStyle w:val="19"/>
        <w:rPr>
          <w:rFonts w:hint="eastAsia" w:eastAsia="宋体" w:cs="宋体"/>
          <w:color w:val="000000"/>
        </w:rPr>
      </w:pPr>
      <w:r>
        <w:rPr>
          <w:rFonts w:hint="eastAsia" w:eastAsia="宋体" w:cs="宋体"/>
          <w:color w:val="000000"/>
        </w:rPr>
        <w:t>1.发生以下情况不符合续签条件：合同期内出现两个月度考核不合格、月度考核优秀次数少于9次，合同考核优秀标准以下、发生人员伤亡或损失10万元以上的安全责任事故、出现违法或违反廉政合同的行为等情况。</w:t>
      </w:r>
    </w:p>
    <w:p>
      <w:pPr>
        <w:pStyle w:val="19"/>
        <w:rPr>
          <w:rFonts w:cs="宋体"/>
          <w:color w:val="000000"/>
        </w:rPr>
      </w:pPr>
      <w:r>
        <w:rPr>
          <w:rFonts w:hint="eastAsia" w:eastAsia="宋体" w:cs="宋体"/>
          <w:color w:val="000000"/>
        </w:rPr>
        <w:t>2.扣款约定：月度考核低于900分，每低1分扣200元；合同考核低于900分，每低1分扣除合同额的1%；发生公众监督投诉处理不当，或整改不及时，扣除合同额的1%。</w:t>
      </w:r>
    </w:p>
    <w:p>
      <w:pPr>
        <w:pStyle w:val="19"/>
        <w:rPr>
          <w:rFonts w:hint="eastAsia"/>
          <w:color w:val="000000"/>
        </w:rPr>
        <w:sectPr>
          <w:pgSz w:w="11906" w:h="16838"/>
          <w:pgMar w:top="1440" w:right="1800" w:bottom="1440" w:left="1800" w:header="851" w:footer="992" w:gutter="0"/>
          <w:cols w:space="720" w:num="1"/>
          <w:titlePg/>
          <w:docGrid w:type="lines" w:linePitch="312" w:charSpace="0"/>
        </w:sectPr>
      </w:pPr>
    </w:p>
    <w:p>
      <w:pPr>
        <w:jc w:val="left"/>
        <w:rPr>
          <w:rFonts w:ascii="仿宋_GB2312" w:hAnsi="仿宋_GB2312" w:cs="仿宋_GB2312"/>
          <w:b/>
          <w:bCs/>
          <w:color w:val="000000"/>
          <w:sz w:val="30"/>
          <w:szCs w:val="30"/>
        </w:rPr>
      </w:pPr>
      <w:r>
        <w:rPr>
          <w:rFonts w:hint="eastAsia" w:ascii="仿宋_GB2312" w:hAnsi="仿宋_GB2312" w:cs="仿宋_GB2312"/>
          <w:b/>
          <w:bCs/>
          <w:color w:val="000000"/>
          <w:sz w:val="30"/>
          <w:szCs w:val="30"/>
        </w:rPr>
        <w:t>附表：                              物业化管理考核评分表</w:t>
      </w:r>
    </w:p>
    <w:tbl>
      <w:tblPr>
        <w:tblStyle w:val="45"/>
        <w:tblW w:w="0" w:type="auto"/>
        <w:tblInd w:w="0" w:type="dxa"/>
        <w:tblLayout w:type="fixed"/>
        <w:tblCellMar>
          <w:top w:w="0" w:type="dxa"/>
          <w:left w:w="0" w:type="dxa"/>
          <w:bottom w:w="0" w:type="dxa"/>
          <w:right w:w="0" w:type="dxa"/>
        </w:tblCellMar>
      </w:tblPr>
      <w:tblGrid>
        <w:gridCol w:w="1012"/>
        <w:gridCol w:w="1189"/>
        <w:gridCol w:w="2552"/>
        <w:gridCol w:w="1030"/>
        <w:gridCol w:w="6452"/>
        <w:gridCol w:w="633"/>
        <w:gridCol w:w="1120"/>
      </w:tblGrid>
      <w:tr>
        <w:tblPrEx>
          <w:tblCellMar>
            <w:top w:w="0" w:type="dxa"/>
            <w:left w:w="0" w:type="dxa"/>
            <w:bottom w:w="0" w:type="dxa"/>
            <w:right w:w="0" w:type="dxa"/>
          </w:tblCellMar>
        </w:tblPrEx>
        <w:trPr>
          <w:trHeight w:val="23" w:hRule="atLeast"/>
        </w:trPr>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b/>
                <w:color w:val="000000"/>
              </w:rPr>
            </w:pPr>
            <w:r>
              <w:rPr>
                <w:rFonts w:hint="eastAsia" w:ascii="仿宋_GB2312" w:hAnsi="仿宋_GB2312" w:cs="仿宋_GB2312"/>
                <w:b/>
                <w:color w:val="000000"/>
                <w:kern w:val="0"/>
              </w:rPr>
              <w:t>考核类别</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b/>
                <w:color w:val="000000"/>
              </w:rPr>
            </w:pPr>
            <w:r>
              <w:rPr>
                <w:rFonts w:hint="eastAsia" w:ascii="仿宋_GB2312" w:hAnsi="仿宋_GB2312" w:cs="仿宋_GB2312"/>
                <w:b/>
                <w:color w:val="000000"/>
                <w:kern w:val="0"/>
              </w:rPr>
              <w:t>考核项目</w:t>
            </w:r>
          </w:p>
        </w:tc>
        <w:tc>
          <w:tcPr>
            <w:tcW w:w="2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b/>
                <w:color w:val="000000"/>
              </w:rPr>
            </w:pPr>
            <w:r>
              <w:rPr>
                <w:rFonts w:hint="eastAsia" w:ascii="仿宋_GB2312" w:hAnsi="仿宋_GB2312" w:cs="仿宋_GB2312"/>
                <w:b/>
                <w:color w:val="000000"/>
                <w:kern w:val="0"/>
              </w:rPr>
              <w:t>考核标准</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b/>
                <w:color w:val="000000"/>
              </w:rPr>
            </w:pPr>
            <w:r>
              <w:rPr>
                <w:rFonts w:hint="eastAsia" w:ascii="仿宋_GB2312" w:hAnsi="仿宋_GB2312" w:cs="仿宋_GB2312"/>
                <w:b/>
                <w:color w:val="000000"/>
                <w:kern w:val="0"/>
              </w:rPr>
              <w:t>标准分</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b/>
                <w:color w:val="000000"/>
              </w:rPr>
            </w:pPr>
            <w:r>
              <w:rPr>
                <w:rFonts w:hint="eastAsia" w:ascii="仿宋_GB2312" w:hAnsi="仿宋_GB2312" w:cs="仿宋_GB2312"/>
                <w:b/>
                <w:color w:val="000000"/>
                <w:kern w:val="0"/>
              </w:rPr>
              <w:t>考核扣分原则</w:t>
            </w:r>
          </w:p>
        </w:tc>
        <w:tc>
          <w:tcPr>
            <w:tcW w:w="63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cs="仿宋_GB2312"/>
                <w:b/>
                <w:color w:val="000000"/>
              </w:rPr>
            </w:pPr>
            <w:r>
              <w:rPr>
                <w:rFonts w:hint="eastAsia" w:ascii="仿宋_GB2312" w:hAnsi="仿宋_GB2312" w:cs="仿宋_GB2312"/>
                <w:b/>
                <w:color w:val="000000"/>
                <w:kern w:val="0"/>
              </w:rPr>
              <w:t>考核扣分</w:t>
            </w: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cs="仿宋_GB2312"/>
                <w:b/>
                <w:color w:val="000000"/>
                <w:kern w:val="0"/>
              </w:rPr>
            </w:pPr>
            <w:r>
              <w:rPr>
                <w:rFonts w:hint="eastAsia" w:ascii="仿宋_GB2312" w:hAnsi="仿宋_GB2312" w:cs="仿宋_GB2312"/>
                <w:b/>
                <w:color w:val="000000"/>
                <w:kern w:val="0"/>
              </w:rPr>
              <w:t>备注</w:t>
            </w:r>
          </w:p>
        </w:tc>
      </w:tr>
      <w:tr>
        <w:tblPrEx>
          <w:tblCellMar>
            <w:top w:w="0" w:type="dxa"/>
            <w:left w:w="0" w:type="dxa"/>
            <w:bottom w:w="0" w:type="dxa"/>
            <w:right w:w="0" w:type="dxa"/>
          </w:tblCellMar>
        </w:tblPrEx>
        <w:trPr>
          <w:trHeight w:val="23" w:hRule="atLeast"/>
        </w:trPr>
        <w:tc>
          <w:tcPr>
            <w:tcW w:w="10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一、组织管理（200分）</w:t>
            </w: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1.管理人员</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成立技能成熟、功能健全的项目部；配备项目经理、技术负责人，项目经理和技术负责人需对工程的重要技术参数、工程运行要求有充分的了解。</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60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（1）项目经理、技术负责人履职不到位，本项不得分。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b/>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b/>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（2）项目经理、技术负责人到岗率不够或存在2人都不在岗情况，每少1天扣20分。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（3）项目经理和技术负责人对设备运行、安全生产、防汛抢险、工程巡查、工程养护、设备养护、台账管理等有关情况管理不到位的，每发现一项扣10分。</w:t>
            </w:r>
          </w:p>
        </w:tc>
        <w:tc>
          <w:tcPr>
            <w:tcW w:w="633"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（4）当有运行要求或其他特殊情况时，项目经理或技术负责人需在2小时内到场，未达到情况，发生一次扣30分。</w:t>
            </w:r>
          </w:p>
        </w:tc>
        <w:tc>
          <w:tcPr>
            <w:tcW w:w="633"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2.运行人员</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人员配备到位，相关专业岗位人员取得国家职业资格或专业技术职务；人员全面到岗履职。</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40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（1）人员未按合同配备到位，本项不得分。</w:t>
            </w:r>
          </w:p>
        </w:tc>
        <w:tc>
          <w:tcPr>
            <w:tcW w:w="633"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（2）上班时间未统一着装或未佩戴工作证，工作时间做与工作无关事项，发现一次扣5分；</w:t>
            </w:r>
          </w:p>
        </w:tc>
        <w:tc>
          <w:tcPr>
            <w:tcW w:w="633"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 xml:space="preserve">（3）工作人员不服从业主管理，发生一次扣20分。                            </w:t>
            </w:r>
          </w:p>
        </w:tc>
        <w:tc>
          <w:tcPr>
            <w:tcW w:w="633"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（4）人员变更需经业主同意，未经同意擅自变更人员，该项不得分。</w:t>
            </w:r>
          </w:p>
        </w:tc>
        <w:tc>
          <w:tcPr>
            <w:tcW w:w="633"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3.人员培训</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制定人员教育培训计划，组织人员培训。</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20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（1）未制定合理的培训计划，或计划中少于2次安全应急演练，或当月未开展安全教育培训，本项不得分。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 xml:space="preserve">（2）未按计划落实培训，发生一次扣10分。                                   </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rPr>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（3）培训效果质量不佳，发生一次扣10分。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4.管理制度</w:t>
            </w:r>
          </w:p>
        </w:tc>
        <w:tc>
          <w:tcPr>
            <w:tcW w:w="2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编制各项管理制度，形成制度手册；各项制度内容完整、要求明确、合理</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10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（1）人员考核、运行管理、应急预案、日常养护、环境与保洁、台账管理、安全保卫等相关制度未建立、未汇编成册、未上墙明示，该项不得分。</w:t>
            </w:r>
          </w:p>
        </w:tc>
        <w:tc>
          <w:tcPr>
            <w:tcW w:w="63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5.台账管理</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按要求做好台账、报告等管理。</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50</w:t>
            </w:r>
          </w:p>
        </w:tc>
        <w:tc>
          <w:tcPr>
            <w:tcW w:w="64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rPr>
              <w:t>（1）未按水利部水利工程管理考核要求分类整理台账的，本项不得分。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p>
        </w:tc>
        <w:tc>
          <w:tcPr>
            <w:tcW w:w="2552" w:type="dxa"/>
            <w:vMerge w:val="continue"/>
            <w:tcBorders>
              <w:left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kern w:val="0"/>
              </w:rPr>
            </w:pPr>
          </w:p>
        </w:tc>
        <w:tc>
          <w:tcPr>
            <w:tcW w:w="103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p>
        </w:tc>
        <w:tc>
          <w:tcPr>
            <w:tcW w:w="645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kern w:val="0"/>
              </w:rPr>
            </w:pPr>
            <w:r>
              <w:rPr>
                <w:rFonts w:hint="eastAsia" w:ascii="仿宋_GB2312" w:hAnsi="仿宋_GB2312" w:cs="仿宋_GB2312"/>
                <w:color w:val="000000"/>
                <w:kern w:val="0"/>
              </w:rPr>
              <w:t>（2）存在虚假数据、台账不按时归档，本项不得分。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（3）台账分类不清楚、存放杂乱，发现一次扣5分；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（4）台账未由专岗人员填写，发现一次扣10分；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（5）台账字迹潦草、涂改严重，发现一次扣5分；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（6）台账未由技术负责人或项目经理定期检查并签字确认，发现一次扣20分。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6.问题整改</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根据检查情况进行整改。</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20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（1）未落实整改，本项不得分。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（2）整改不到位，发现一次扣10分。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二、运行管理（250分）</w:t>
            </w: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7.操作运行</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仿宋_GB2312" w:cs="仿宋_GB2312"/>
                <w:color w:val="000000"/>
              </w:rPr>
            </w:pPr>
            <w:r>
              <w:rPr>
                <w:rFonts w:hint="eastAsia" w:ascii="仿宋_GB2312" w:hAnsi="仿宋_GB2312" w:cs="仿宋_GB2312"/>
                <w:color w:val="000000"/>
                <w:kern w:val="0"/>
              </w:rPr>
              <w:t>重要设备实行双人上岗制度，落实闸门操作人员、配电系统等操作人员；严格按照操作规程和指令进行操作，记录规范。</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50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（1）因操作不当造成严重后果、未按调度指令操作，本项不得分。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 xml:space="preserve">（2）重要岗位未实行双人上岗制度，未持证上岗，本项不得分；操作前未唱票，发现一次扣10分。   </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（3）操作人员对制度、规程等了解不清楚，发现一次扣10分；未按操作规程、操作前后未检查，发现一次扣30分。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（4）无运行操作记录的、记录不准确，发现一次扣20分。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8.工程检查</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按要求开展日常巡查、定期检查、特别检查、设备检查、调度运行期巡查检查等。</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70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（1）未开展巡查检查，本项不得分。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（2）未落实相对应的检查人员，扣10分。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（3）检查人员对制度、要求等了解不清楚，发现一次扣10分。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（4）检查过程中未发现问题、隐患所在，扣10分；检查中发现影响工程运行安全的行为不制止，扣30分；发现重要问题不记录、不上报，扣30分。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9.值班值守</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按要求做好工程值班值守。</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70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（1）值班期间因疏忽发生重大事情，本项不得分。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（2）未按要求落实值班人员，发现一次扣20分；值班人员脱岗、玩忽职守，发现一次扣10分；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（3）值班人员不清楚值班要求、不会操作防汛通信、不会视频监控设备，发现一次扣10分；值班期间不使用视频监控设备，发现一次扣10分。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（4）值班人员未按要求填写值班记录本，发现一次扣10分；发现重大问题不记录、不上报，发现一次扣30分。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10.平台管理</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按标准化管理要求做好平台的运行管理。</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60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（1）不使用平台、未按要求使用平台、弄虚作假，本项不得分。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（2）项目经理、技术负责对平台功能使用不了解，使用率不够，发现一次扣20分。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（3）工作人员对相对应的平台功能使用不了解，发现一次扣10分。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（4）一般性故障处理不及时，发现一次扣10分。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三、维修养护（300分）</w:t>
            </w: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11.维养计划</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制定维修养护计划，并按计划实施。</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50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（1）制定合理的维修养护计划，并提交业主单位审核，未开展落实，本项不得分。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（2）未按维修养护计划开展，发现一次扣20分；未科学合理地开展维护，发现一次扣10分。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12.工程维养</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水工设施维养。</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60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（1）因维养不及时导致工程出现安全隐患、发生生产事故、设备无法运行，发现工程隐患且处理不及时，本分项不得分。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（2）未按制度、规程、规范开展维修养护，本分项不得分。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（3）因养护不到位，造成大坝、泄水消能、输水、进出水池等设施出现破坏、隐患点，发现一处扣20分。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（4）观测仪器、设施出现人为损坏，发现一处扣20分。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（5）安全监测仪器、设施不能正确使用和保养，发现一次扣10分。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机电设备维养。</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70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（1）因维养不及时导致安全生产事故、设备无法运行，发生故障且维修养护不及时，本分项不得分。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（2）未按制度、规程、规范开展维修养护，本分项不得分。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（3）设备出现大面积锈蚀、渗油漏油、破损、变形等，发现一次扣20分。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（4）配电系统、备用电源系统发现故障、隐患点未及时上报和处理，发现一处扣20分。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（5）电气控制系统、设备操作系统发现故障、隐患点，发现一处扣20分。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（6）辅助设备发现故障、隐患点，发现一处扣10分。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防汛物资维养。</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50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（1）防汛物资丢失，因维养不及时导致防汛设施设备无法运行、发生故障且维修养护不及时，本分项不得分。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（2）未按制度、规程、规范开展维修养护，发现一次扣20分。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（3）擅自领用防汛物资，发现一次扣20分。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（4）防汛物资放置混乱，维护记录不全的，发现一处扣10分。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建筑物、围墙围栏等维养。</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70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（1）因维养不及时导致安全生产事故，发生故障且维修养护不及时，本分项不得分。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（2）检修间、设备机房、仓库、生产厂房、控制用房等建筑物良好，照明、给排水、窗户、电缆管沟、护栏等应良好，围墙围栏封闭、结构良好，出现破损后未及时修复，发现一处扣10分。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四、安全管理（150分）</w:t>
            </w: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13.库区管理</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对库区、管理区、站区进行安全管理。</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60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（1）年度安全生产经费投入不足，本项不得分。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cs="仿宋_GB2312"/>
                <w:color w:val="000000"/>
                <w:kern w:val="0"/>
              </w:rPr>
            </w:pPr>
            <w:r>
              <w:rPr>
                <w:rFonts w:hint="eastAsia" w:ascii="仿宋_GB2312" w:hAnsi="仿宋_GB2312" w:cs="仿宋_GB2312"/>
                <w:color w:val="000000"/>
                <w:kern w:val="0"/>
              </w:rPr>
              <w:t>（2）未执行、未按制度开展库区安全管理导致安全生产事故，本分项不得分。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（3）发现库区管理范围内发生影响蓄水、行洪、水质等情况，未及时制止、未及时上报，发现一次扣20分。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（4）放任、擅自允许无关人员进出设备机房等重要区域，对进出人员不登记管理，发现一次扣20分。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14.现场管理</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对管理区内相关项目的实施进行安全管理。</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60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（1）对工程现场监督、管理不到位，导致存在安全隐患，发现一次扣20分。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（2）对工程现场监督、管理不到位，导致现场脏乱差，发现一次扣10分。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15.器具管理</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对安全用具、专用工具进行安全管理。</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30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（1）未配备齐全合格的安全用具、劳保用品，发现一项扣10分。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（2）高配等高危作业安全用具未检验、超过检验期的，发现一项扣20分。</w:t>
            </w:r>
          </w:p>
        </w:tc>
        <w:tc>
          <w:tcPr>
            <w:tcW w:w="633"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cs="仿宋_GB2312"/>
                <w:color w:val="000000"/>
                <w:kern w:val="0"/>
              </w:rPr>
            </w:pPr>
            <w:r>
              <w:rPr>
                <w:rFonts w:hint="eastAsia" w:ascii="仿宋_GB2312" w:hAnsi="仿宋_GB2312" w:cs="仿宋_GB2312"/>
                <w:color w:val="000000"/>
                <w:kern w:val="0"/>
              </w:rPr>
              <w:t>（3）安全器具、专用工具摆放不整齐，发现一次扣10分。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color w:val="000000"/>
              </w:rPr>
            </w:pP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rPr>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color w:val="000000"/>
              </w:rPr>
            </w:pPr>
          </w:p>
        </w:tc>
      </w:tr>
      <w:tr>
        <w:tblPrEx>
          <w:tblCellMar>
            <w:top w:w="0" w:type="dxa"/>
            <w:left w:w="0" w:type="dxa"/>
            <w:bottom w:w="0" w:type="dxa"/>
            <w:right w:w="0" w:type="dxa"/>
          </w:tblCellMar>
        </w:tblPrEx>
        <w:trPr>
          <w:trHeight w:val="23" w:hRule="atLeast"/>
        </w:trPr>
        <w:tc>
          <w:tcPr>
            <w:tcW w:w="10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五、环境保洁（100分）</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r>
              <w:rPr>
                <w:rFonts w:hint="eastAsia" w:ascii="仿宋_GB2312" w:hAnsi="仿宋_GB2312" w:cs="仿宋_GB2312"/>
                <w:color w:val="000000"/>
                <w:kern w:val="0"/>
              </w:rPr>
              <w:t>16.生产用房</w:t>
            </w:r>
          </w:p>
        </w:tc>
        <w:tc>
          <w:tcPr>
            <w:tcW w:w="2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kern w:val="0"/>
              </w:rPr>
            </w:pPr>
            <w:r>
              <w:rPr>
                <w:rFonts w:hint="eastAsia" w:ascii="仿宋_GB2312" w:hAnsi="仿宋_GB2312" w:cs="仿宋_GB2312"/>
                <w:color w:val="000000"/>
                <w:kern w:val="0"/>
              </w:rPr>
              <w:t>各启闭机房、设备机房、生产用房保洁。</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r>
              <w:rPr>
                <w:rFonts w:hint="eastAsia" w:ascii="仿宋_GB2312" w:hAnsi="仿宋_GB2312" w:cs="仿宋_GB2312"/>
                <w:color w:val="000000"/>
                <w:kern w:val="0"/>
              </w:rPr>
              <w:t>20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kern w:val="0"/>
              </w:rPr>
            </w:pPr>
            <w:r>
              <w:rPr>
                <w:rFonts w:hint="eastAsia" w:ascii="仿宋_GB2312" w:hAnsi="仿宋_GB2312" w:cs="仿宋_GB2312"/>
                <w:color w:val="000000"/>
                <w:kern w:val="0"/>
              </w:rPr>
              <w:t>墙壁、门窗、扶手栏杆、地面、室内标识牌等存在污渍，物资堆放不整齐、不合理，发现一次扣10分。</w:t>
            </w:r>
          </w:p>
        </w:tc>
        <w:tc>
          <w:tcPr>
            <w:tcW w:w="633"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r>
              <w:rPr>
                <w:rFonts w:hint="eastAsia" w:ascii="仿宋_GB2312" w:hAnsi="仿宋_GB2312" w:cs="仿宋_GB2312"/>
                <w:color w:val="000000"/>
                <w:kern w:val="0"/>
              </w:rPr>
              <w:t>17.设备设施</w:t>
            </w:r>
          </w:p>
        </w:tc>
        <w:tc>
          <w:tcPr>
            <w:tcW w:w="2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kern w:val="0"/>
              </w:rPr>
            </w:pPr>
            <w:r>
              <w:rPr>
                <w:rFonts w:hint="eastAsia" w:ascii="仿宋_GB2312" w:hAnsi="仿宋_GB2312" w:cs="仿宋_GB2312"/>
                <w:color w:val="000000"/>
                <w:kern w:val="0"/>
              </w:rPr>
              <w:t>各机电设备、附属设备设施保洁。</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r>
              <w:rPr>
                <w:rFonts w:hint="eastAsia" w:ascii="仿宋_GB2312" w:hAnsi="仿宋_GB2312" w:cs="仿宋_GB2312"/>
                <w:color w:val="000000"/>
                <w:kern w:val="0"/>
              </w:rPr>
              <w:t>20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kern w:val="0"/>
              </w:rPr>
            </w:pPr>
            <w:r>
              <w:rPr>
                <w:rFonts w:hint="eastAsia" w:ascii="仿宋_GB2312" w:hAnsi="仿宋_GB2312" w:cs="仿宋_GB2312"/>
                <w:color w:val="000000"/>
                <w:kern w:val="0"/>
              </w:rPr>
              <w:t>设备设施存在积灰、油渍、蛛网、无关物品等，发现一次扣10分。</w:t>
            </w:r>
          </w:p>
        </w:tc>
        <w:tc>
          <w:tcPr>
            <w:tcW w:w="633"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r>
              <w:rPr>
                <w:rFonts w:hint="eastAsia" w:ascii="仿宋_GB2312" w:hAnsi="仿宋_GB2312" w:cs="仿宋_GB2312"/>
                <w:color w:val="000000"/>
                <w:kern w:val="0"/>
              </w:rPr>
              <w:t>18.水工建筑</w:t>
            </w:r>
          </w:p>
        </w:tc>
        <w:tc>
          <w:tcPr>
            <w:tcW w:w="2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kern w:val="0"/>
              </w:rPr>
            </w:pPr>
            <w:r>
              <w:rPr>
                <w:rFonts w:hint="eastAsia" w:ascii="仿宋_GB2312" w:hAnsi="仿宋_GB2312" w:cs="仿宋_GB2312"/>
                <w:color w:val="000000"/>
                <w:kern w:val="0"/>
              </w:rPr>
              <w:t>大坝等各水工建筑的保洁。</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kern w:val="0"/>
              </w:rPr>
            </w:pPr>
            <w:r>
              <w:rPr>
                <w:rFonts w:hint="eastAsia" w:ascii="仿宋_GB2312" w:hAnsi="仿宋_GB2312" w:cs="仿宋_GB2312"/>
                <w:color w:val="000000"/>
                <w:kern w:val="0"/>
              </w:rPr>
              <w:t>20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kern w:val="0"/>
              </w:rPr>
            </w:pPr>
            <w:r>
              <w:rPr>
                <w:rFonts w:hint="eastAsia" w:ascii="仿宋_GB2312" w:hAnsi="仿宋_GB2312" w:cs="仿宋_GB2312"/>
                <w:color w:val="000000"/>
                <w:kern w:val="0"/>
              </w:rPr>
              <w:t>大坝、副坝、消力池、防浪墙等各水工建筑物存在淤泥沉积、青苔附着、油污等，发现一次扣10分。</w:t>
            </w:r>
          </w:p>
        </w:tc>
        <w:tc>
          <w:tcPr>
            <w:tcW w:w="633"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19.环境保洁</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水库库面保洁工作。</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40</w:t>
            </w: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（1）库面保洁保障不到位的，发现一次扣10分。</w:t>
            </w:r>
          </w:p>
        </w:tc>
        <w:tc>
          <w:tcPr>
            <w:tcW w:w="633"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cs="仿宋_GB2312"/>
                <w:color w:val="000000"/>
                <w:kern w:val="0"/>
              </w:rPr>
            </w:pPr>
            <w:r>
              <w:rPr>
                <w:rFonts w:hint="eastAsia" w:ascii="仿宋_GB2312" w:hAnsi="仿宋_GB2312" w:cs="仿宋_GB2312"/>
                <w:color w:val="000000"/>
                <w:kern w:val="0"/>
              </w:rPr>
              <w:t>（2）库面存在大型漂浮物，影响工程运行安全，发现一次扣40分。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仿宋_GB2312" w:cs="仿宋_GB2312"/>
                <w:color w:val="000000"/>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（3）环境养护不到位，发现一处扣10分。</w:t>
            </w:r>
          </w:p>
        </w:tc>
        <w:tc>
          <w:tcPr>
            <w:tcW w:w="633"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六、附加分</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20.创新建议</w:t>
            </w:r>
          </w:p>
        </w:tc>
        <w:tc>
          <w:tcPr>
            <w:tcW w:w="2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cs="仿宋_GB2312"/>
                <w:color w:val="000000"/>
              </w:rPr>
            </w:pPr>
            <w:r>
              <w:rPr>
                <w:rFonts w:hint="eastAsia" w:ascii="仿宋_GB2312" w:hAnsi="仿宋_GB2312" w:cs="仿宋_GB2312"/>
                <w:color w:val="000000"/>
                <w:kern w:val="0"/>
              </w:rPr>
              <w:t>为工程运行管理提出好的运行管理建议。</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6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仿宋_GB2312" w:cs="仿宋_GB2312"/>
                <w:color w:val="000000"/>
              </w:rPr>
            </w:pPr>
            <w:r>
              <w:rPr>
                <w:rFonts w:hint="eastAsia" w:ascii="仿宋_GB2312" w:hAnsi="仿宋_GB2312" w:cs="仿宋_GB2312"/>
                <w:color w:val="000000"/>
                <w:kern w:val="0"/>
              </w:rPr>
              <w:t>根据工程运行管理的实际情况，提出好的运行管理建议，经水库中心审核采纳，每次加50分。</w:t>
            </w:r>
          </w:p>
        </w:tc>
        <w:tc>
          <w:tcPr>
            <w:tcW w:w="63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c>
          <w:tcPr>
            <w:tcW w:w="11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cs="仿宋_GB2312"/>
                <w:color w:val="000000"/>
              </w:rPr>
            </w:pPr>
            <w:r>
              <w:rPr>
                <w:rFonts w:hint="eastAsia" w:ascii="仿宋_GB2312" w:hAnsi="仿宋_GB2312" w:cs="仿宋_GB2312"/>
                <w:color w:val="000000"/>
                <w:kern w:val="0"/>
              </w:rPr>
              <w:t>总得分</w:t>
            </w:r>
          </w:p>
        </w:tc>
        <w:tc>
          <w:tcPr>
            <w:tcW w:w="12976" w:type="dxa"/>
            <w:gridSpan w:val="6"/>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ascii="仿宋_GB2312" w:hAnsi="仿宋_GB2312" w:cs="仿宋_GB2312"/>
                <w:color w:val="000000"/>
              </w:rPr>
            </w:pPr>
          </w:p>
        </w:tc>
      </w:tr>
      <w:tr>
        <w:tblPrEx>
          <w:tblCellMar>
            <w:top w:w="0" w:type="dxa"/>
            <w:left w:w="0" w:type="dxa"/>
            <w:bottom w:w="0" w:type="dxa"/>
            <w:right w:w="0" w:type="dxa"/>
          </w:tblCellMar>
        </w:tblPrEx>
        <w:trPr>
          <w:trHeight w:val="23" w:hRule="atLeast"/>
        </w:trPr>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cs="仿宋_GB2312"/>
                <w:color w:val="000000"/>
                <w:kern w:val="0"/>
              </w:rPr>
            </w:pPr>
            <w:r>
              <w:rPr>
                <w:rFonts w:hint="eastAsia" w:ascii="仿宋_GB2312" w:hAnsi="仿宋_GB2312" w:cs="仿宋_GB2312"/>
                <w:color w:val="000000"/>
                <w:kern w:val="0"/>
              </w:rPr>
              <w:t>考核人</w:t>
            </w:r>
          </w:p>
        </w:tc>
        <w:tc>
          <w:tcPr>
            <w:tcW w:w="12976" w:type="dxa"/>
            <w:gridSpan w:val="6"/>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ascii="仿宋_GB2312" w:hAnsi="仿宋_GB2312" w:cs="仿宋_GB2312"/>
                <w:color w:val="000000"/>
              </w:rPr>
            </w:pPr>
          </w:p>
        </w:tc>
      </w:tr>
    </w:tbl>
    <w:p>
      <w:pPr>
        <w:pStyle w:val="19"/>
        <w:ind w:firstLine="560"/>
        <w:rPr>
          <w:rFonts w:hint="eastAsia" w:eastAsia="宋体" w:cs="宋体"/>
          <w:color w:val="000000"/>
        </w:rPr>
      </w:pPr>
      <w:r>
        <w:rPr>
          <w:rFonts w:hint="eastAsia" w:ascii="仿宋_GB2312" w:hAnsi="仿宋_GB2312" w:cs="仿宋_GB2312"/>
          <w:bCs/>
          <w:color w:val="000000"/>
          <w:sz w:val="28"/>
          <w:szCs w:val="28"/>
        </w:rPr>
        <w:t>注：本考核办法在具体实施过程中不断补充、修正和完善。</w:t>
      </w:r>
    </w:p>
    <w:p>
      <w:pPr>
        <w:pStyle w:val="19"/>
        <w:rPr>
          <w:rFonts w:hint="eastAsia" w:eastAsia="宋体" w:cs="宋体"/>
          <w:color w:val="000000"/>
        </w:rPr>
      </w:pPr>
    </w:p>
    <w:p>
      <w:pPr>
        <w:pStyle w:val="19"/>
        <w:rPr>
          <w:rFonts w:hint="eastAsia" w:eastAsia="宋体" w:cs="宋体"/>
          <w:color w:val="000000"/>
        </w:rPr>
        <w:sectPr>
          <w:pgSz w:w="16838" w:h="11906" w:orient="landscape"/>
          <w:pgMar w:top="1800" w:right="1440" w:bottom="1800" w:left="1440" w:header="851" w:footer="992" w:gutter="0"/>
          <w:cols w:space="720" w:num="1"/>
          <w:titlePg/>
          <w:docGrid w:type="lines" w:linePitch="312" w:charSpace="0"/>
        </w:sectPr>
      </w:pPr>
    </w:p>
    <w:p>
      <w:pPr>
        <w:widowControl/>
        <w:spacing w:line="500" w:lineRule="exact"/>
        <w:jc w:val="center"/>
        <w:outlineLvl w:val="2"/>
        <w:rPr>
          <w:rFonts w:hint="eastAsia" w:ascii="宋体" w:hAnsi="宋体" w:eastAsia="宋体" w:cs="宋体"/>
          <w:b/>
          <w:color w:val="000000"/>
        </w:rPr>
      </w:pPr>
      <w:r>
        <w:rPr>
          <w:rFonts w:hint="eastAsia" w:ascii="宋体" w:hAnsi="宋体" w:eastAsia="宋体" w:cs="宋体"/>
          <w:b/>
          <w:color w:val="000000"/>
        </w:rPr>
        <w:t>大坝日常养护细则</w:t>
      </w: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总则</w:t>
      </w:r>
    </w:p>
    <w:p>
      <w:pPr>
        <w:numPr>
          <w:ilvl w:val="0"/>
          <w:numId w:val="12"/>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目的及意义</w:t>
      </w:r>
    </w:p>
    <w:p>
      <w:pPr>
        <w:spacing w:line="500" w:lineRule="exact"/>
        <w:ind w:firstLine="560"/>
        <w:rPr>
          <w:rFonts w:hint="eastAsia" w:ascii="宋体" w:hAnsi="宋体" w:eastAsia="宋体" w:cs="宋体"/>
          <w:color w:val="000000"/>
        </w:rPr>
      </w:pPr>
      <w:r>
        <w:rPr>
          <w:rFonts w:hint="eastAsia" w:ascii="宋体" w:hAnsi="宋体" w:eastAsia="宋体" w:cs="宋体"/>
          <w:color w:val="000000"/>
        </w:rPr>
        <w:t>为加强水库大坝工程技术管理，促进水库、大坝工程养护及保洁操作运行和技术管理规范化，充分发挥工程效益，更好的为工农业生产和社会发展服务，特制定本细则。</w:t>
      </w:r>
    </w:p>
    <w:p>
      <w:pPr>
        <w:numPr>
          <w:ilvl w:val="0"/>
          <w:numId w:val="12"/>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依据</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《土石坝养护修理规程》</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《水工钢闸门和启闭机安全检测技术规程》</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《水利水电工程闸门及启闭机、升船机设备管理登记评定标准》</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《水库大坝安全管理条例》</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《水闸技术管理规程》</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《中华人民国和国机械行业标准》</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《园林植物养护管理技术规程》</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《电业安全工作规程》</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《中型水库管理规程》（浙江省）</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《浙江省水利工程维修养护定额标准（试行）》（浙江省水利厅、财政厅）</w:t>
      </w:r>
    </w:p>
    <w:p>
      <w:pPr>
        <w:numPr>
          <w:ilvl w:val="0"/>
          <w:numId w:val="13"/>
        </w:numPr>
        <w:spacing w:line="500" w:lineRule="exact"/>
        <w:ind w:firstLine="480" w:firstLineChars="200"/>
        <w:rPr>
          <w:rFonts w:hint="eastAsia" w:ascii="宋体" w:hAnsi="宋体" w:eastAsia="宋体" w:cs="宋体"/>
          <w:color w:val="000000"/>
        </w:rPr>
      </w:pPr>
      <w:r>
        <w:rPr>
          <w:rFonts w:hint="eastAsia" w:ascii="宋体" w:hAnsi="宋体" w:eastAsia="宋体" w:cs="宋体"/>
          <w:color w:val="000000"/>
        </w:rPr>
        <w:t>《堤坝白蚁防治管理规范》</w:t>
      </w:r>
    </w:p>
    <w:p>
      <w:pPr>
        <w:pStyle w:val="19"/>
        <w:spacing w:line="500" w:lineRule="exact"/>
        <w:rPr>
          <w:rFonts w:hint="eastAsia" w:eastAsia="宋体" w:cs="宋体"/>
          <w:color w:val="000000"/>
          <w:szCs w:val="22"/>
        </w:rPr>
      </w:pPr>
      <w:r>
        <w:rPr>
          <w:rFonts w:hint="eastAsia" w:eastAsia="宋体" w:cs="宋体"/>
          <w:color w:val="000000"/>
          <w:szCs w:val="22"/>
        </w:rPr>
        <w:t>12、杭州市水库管理服务中心制定的相关手册、标准、要求等</w:t>
      </w:r>
    </w:p>
    <w:p>
      <w:pPr>
        <w:spacing w:line="500" w:lineRule="exact"/>
        <w:rPr>
          <w:rFonts w:hint="eastAsia" w:ascii="宋体" w:hAnsi="宋体" w:eastAsia="宋体" w:cs="宋体"/>
          <w:color w:val="000000"/>
        </w:rPr>
        <w:sectPr>
          <w:headerReference r:id="rId12" w:type="default"/>
          <w:footerReference r:id="rId13" w:type="default"/>
          <w:pgSz w:w="11906" w:h="16838"/>
          <w:pgMar w:top="1803" w:right="1440" w:bottom="1803" w:left="1440" w:header="851" w:footer="992" w:gutter="0"/>
          <w:cols w:space="720" w:num="1"/>
          <w:titlePg/>
          <w:docGrid w:type="lines" w:linePitch="312" w:charSpace="0"/>
        </w:sectPr>
      </w:pP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大坝设备养护细则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总体要求：</w:t>
      </w:r>
    </w:p>
    <w:p>
      <w:pPr>
        <w:numPr>
          <w:ilvl w:val="0"/>
          <w:numId w:val="14"/>
        </w:numPr>
        <w:spacing w:line="500" w:lineRule="exact"/>
        <w:ind w:firstLine="523"/>
        <w:rPr>
          <w:rFonts w:hint="eastAsia" w:ascii="宋体" w:hAnsi="宋体" w:eastAsia="宋体" w:cs="宋体"/>
          <w:color w:val="000000"/>
          <w:szCs w:val="24"/>
        </w:rPr>
      </w:pPr>
      <w:r>
        <w:rPr>
          <w:rFonts w:hint="eastAsia" w:ascii="宋体" w:hAnsi="宋体" w:eastAsia="宋体" w:cs="宋体"/>
          <w:color w:val="000000"/>
          <w:szCs w:val="24"/>
        </w:rPr>
        <w:t>启闭机的所有机械部件、连接装置、润滑系统等都必须处于正常工作状态，注油量符合要求。启闭机表面如有锈蚀，需及时补漆。过负荷保护装置、制动器、限位开关、终点（极限）行程开关、信号装置等零部件完好，动作正确、可靠。</w:t>
      </w:r>
    </w:p>
    <w:p>
      <w:pPr>
        <w:numPr>
          <w:ilvl w:val="0"/>
          <w:numId w:val="14"/>
        </w:numPr>
        <w:spacing w:line="500" w:lineRule="exact"/>
        <w:ind w:firstLine="523"/>
        <w:rPr>
          <w:rFonts w:hint="eastAsia" w:ascii="宋体" w:hAnsi="宋体" w:eastAsia="宋体" w:cs="宋体"/>
          <w:color w:val="000000"/>
          <w:szCs w:val="24"/>
        </w:rPr>
      </w:pPr>
      <w:r>
        <w:rPr>
          <w:rFonts w:hint="eastAsia" w:ascii="宋体" w:hAnsi="宋体" w:eastAsia="宋体" w:cs="宋体"/>
          <w:color w:val="000000"/>
          <w:szCs w:val="24"/>
        </w:rPr>
        <w:t>闸门表面干净整洁，无锈蚀现象，止水、侧轮等活动部件运行正常，无卡阻现象。</w:t>
      </w:r>
    </w:p>
    <w:p>
      <w:pPr>
        <w:numPr>
          <w:ilvl w:val="0"/>
          <w:numId w:val="14"/>
        </w:numPr>
        <w:spacing w:line="500" w:lineRule="exact"/>
        <w:ind w:firstLine="523"/>
        <w:rPr>
          <w:rFonts w:hint="eastAsia" w:ascii="宋体" w:hAnsi="宋体" w:eastAsia="宋体" w:cs="宋体"/>
          <w:color w:val="000000"/>
          <w:szCs w:val="24"/>
        </w:rPr>
      </w:pPr>
      <w:r>
        <w:rPr>
          <w:rFonts w:hint="eastAsia" w:ascii="宋体" w:hAnsi="宋体" w:eastAsia="宋体" w:cs="宋体"/>
          <w:color w:val="000000"/>
          <w:szCs w:val="24"/>
        </w:rPr>
        <w:t>电气设备接线正确，接地可靠，绝缘符合有关电力规程的要求。电动机、开关箱、操作台、变配电设备、指示仪表、避雷设施、闸上动力线路、照明、自动监控系统等设备运行正常、可靠。</w:t>
      </w:r>
    </w:p>
    <w:p>
      <w:pPr>
        <w:numPr>
          <w:ilvl w:val="0"/>
          <w:numId w:val="14"/>
        </w:numPr>
        <w:spacing w:line="500" w:lineRule="exact"/>
        <w:ind w:firstLine="523"/>
        <w:rPr>
          <w:rFonts w:hint="eastAsia" w:ascii="宋体" w:hAnsi="宋体" w:eastAsia="宋体" w:cs="宋体"/>
          <w:color w:val="000000"/>
          <w:szCs w:val="24"/>
        </w:rPr>
      </w:pPr>
      <w:r>
        <w:rPr>
          <w:rFonts w:hint="eastAsia" w:ascii="宋体" w:hAnsi="宋体" w:eastAsia="宋体" w:cs="宋体"/>
          <w:color w:val="000000"/>
          <w:szCs w:val="24"/>
        </w:rPr>
        <w:t>定期对备用柴油发电机清洗保养和试机，定期更换易损件、蓄电池等，不包括柴油机大修。</w:t>
      </w:r>
    </w:p>
    <w:p>
      <w:pPr>
        <w:numPr>
          <w:ilvl w:val="0"/>
          <w:numId w:val="14"/>
        </w:numPr>
        <w:spacing w:line="500" w:lineRule="exact"/>
        <w:ind w:firstLine="523"/>
        <w:rPr>
          <w:rFonts w:hint="eastAsia" w:ascii="宋体" w:hAnsi="宋体" w:eastAsia="宋体" w:cs="宋体"/>
          <w:color w:val="000000"/>
          <w:szCs w:val="24"/>
        </w:rPr>
      </w:pPr>
      <w:r>
        <w:rPr>
          <w:rFonts w:hint="eastAsia" w:ascii="宋体" w:hAnsi="宋体" w:eastAsia="宋体" w:cs="宋体"/>
          <w:color w:val="000000"/>
          <w:szCs w:val="24"/>
        </w:rPr>
        <w:t>确保船坞电动行车正常运行，按照相关规范要求及时加油保养。</w:t>
      </w:r>
    </w:p>
    <w:p>
      <w:pPr>
        <w:numPr>
          <w:ilvl w:val="0"/>
          <w:numId w:val="14"/>
        </w:numPr>
        <w:spacing w:line="500" w:lineRule="exact"/>
        <w:ind w:firstLine="523"/>
        <w:rPr>
          <w:rFonts w:hint="eastAsia" w:ascii="宋体" w:hAnsi="宋体" w:eastAsia="宋体" w:cs="宋体"/>
          <w:color w:val="000000"/>
          <w:szCs w:val="24"/>
        </w:rPr>
      </w:pPr>
      <w:r>
        <w:rPr>
          <w:rFonts w:hint="eastAsia" w:ascii="宋体" w:hAnsi="宋体" w:eastAsia="宋体" w:cs="宋体"/>
          <w:color w:val="000000"/>
          <w:szCs w:val="24"/>
        </w:rPr>
        <w:t>钢丝绳在卷筒和滑轮上缠绕正确，绳端固定牢固，钢丝绳安全可靠。</w:t>
      </w:r>
    </w:p>
    <w:p>
      <w:pPr>
        <w:numPr>
          <w:ilvl w:val="0"/>
          <w:numId w:val="15"/>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启闭机维修养护细则</w:t>
      </w:r>
    </w:p>
    <w:p>
      <w:pPr>
        <w:spacing w:line="500" w:lineRule="exact"/>
        <w:rPr>
          <w:rFonts w:hint="eastAsia" w:ascii="宋体" w:hAnsi="宋体" w:eastAsia="宋体" w:cs="宋体"/>
          <w:color w:val="000000"/>
          <w:szCs w:val="24"/>
        </w:rPr>
      </w:pPr>
      <w:r>
        <w:rPr>
          <w:rFonts w:hint="eastAsia" w:ascii="宋体" w:hAnsi="宋体" w:eastAsia="宋体" w:cs="宋体"/>
          <w:color w:val="000000"/>
          <w:szCs w:val="24"/>
        </w:rPr>
        <w:t>该细则适用于泄洪闸启闭机及泄洪洞进出口启闭机。</w:t>
      </w:r>
    </w:p>
    <w:p>
      <w:pPr>
        <w:numPr>
          <w:ilvl w:val="0"/>
          <w:numId w:val="16"/>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操作系统</w:t>
      </w:r>
    </w:p>
    <w:p>
      <w:pPr>
        <w:numPr>
          <w:ilvl w:val="0"/>
          <w:numId w:val="17"/>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每周巡查操作系统的线路、闸上动力线路，如出现破损、受潮、老化等情况，需在7天内处理完毕，如影响到工程运行的，应报水库中心并立即处理。</w:t>
      </w:r>
    </w:p>
    <w:p>
      <w:pPr>
        <w:numPr>
          <w:ilvl w:val="0"/>
          <w:numId w:val="17"/>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每周1次巡查操作柜、避雷设施和LCU柜等设备，确保设备正常可靠，如有问题，及时进行处理，并上报管备案。</w:t>
      </w:r>
    </w:p>
    <w:p>
      <w:pPr>
        <w:numPr>
          <w:ilvl w:val="0"/>
          <w:numId w:val="16"/>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润滑要求</w:t>
      </w:r>
    </w:p>
    <w:p>
      <w:pPr>
        <w:numPr>
          <w:ilvl w:val="0"/>
          <w:numId w:val="1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发现变速箱油位过低，及时加油。</w:t>
      </w:r>
    </w:p>
    <w:p>
      <w:pPr>
        <w:numPr>
          <w:ilvl w:val="0"/>
          <w:numId w:val="1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齿轮联轴承及滚动轴承60天添加润滑油。</w:t>
      </w:r>
    </w:p>
    <w:p>
      <w:pPr>
        <w:numPr>
          <w:ilvl w:val="0"/>
          <w:numId w:val="1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泄洪洞出口闸门启闭机机座支铰每年加2次润滑油，根据使用情况，如有需要，随时添加润滑油。</w:t>
      </w:r>
    </w:p>
    <w:p>
      <w:pPr>
        <w:numPr>
          <w:ilvl w:val="0"/>
          <w:numId w:val="1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钢丝绳每年添加4次润滑油，根据使用情况，如有需要，随时添加润滑油。</w:t>
      </w:r>
    </w:p>
    <w:p>
      <w:pPr>
        <w:numPr>
          <w:ilvl w:val="0"/>
          <w:numId w:val="1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泄洪洞出口螺杆式启闭机螺杆每年添加4次润滑油，根据使用情况，如有需要，随时添加润滑油。</w:t>
      </w:r>
    </w:p>
    <w:p>
      <w:pPr>
        <w:numPr>
          <w:ilvl w:val="0"/>
          <w:numId w:val="1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所用润滑油的油质、油量应符合规定。</w:t>
      </w:r>
    </w:p>
    <w:p>
      <w:pPr>
        <w:numPr>
          <w:ilvl w:val="0"/>
          <w:numId w:val="16"/>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制动系统和传动系统</w:t>
      </w:r>
    </w:p>
    <w:p>
      <w:pPr>
        <w:numPr>
          <w:ilvl w:val="0"/>
          <w:numId w:val="19"/>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每周对制动器进行检查，制动轮表面是否有划痕、裂纹等缺陷，如有问题，应立即上报，并做好修理工作。</w:t>
      </w:r>
    </w:p>
    <w:p>
      <w:pPr>
        <w:numPr>
          <w:ilvl w:val="0"/>
          <w:numId w:val="19"/>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每周对传动系统进行检查，如发现传动轴出现裂纹、斑坑、锈蚀等，应立即上报，并做好修理工作。</w:t>
      </w:r>
    </w:p>
    <w:p>
      <w:pPr>
        <w:numPr>
          <w:ilvl w:val="0"/>
          <w:numId w:val="19"/>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每周检查减速器内的油位是否正常，如油位降低，应在3天内添加完毕。</w:t>
      </w:r>
    </w:p>
    <w:p>
      <w:pPr>
        <w:numPr>
          <w:ilvl w:val="0"/>
          <w:numId w:val="16"/>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启闭机构</w:t>
      </w:r>
    </w:p>
    <w:p>
      <w:pPr>
        <w:numPr>
          <w:ilvl w:val="0"/>
          <w:numId w:val="20"/>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每周检查启闭机构，如发现卷筒表面、轮缘、轮毂等出现裂纹或明显伤损的应立即上报，并做好修理工作。</w:t>
      </w:r>
    </w:p>
    <w:p>
      <w:pPr>
        <w:numPr>
          <w:ilvl w:val="0"/>
          <w:numId w:val="20"/>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每周对钢丝绳进行检查，如发现断丝现象，应立即上报，并做好钢丝绳更换工作。</w:t>
      </w:r>
    </w:p>
    <w:p>
      <w:pPr>
        <w:numPr>
          <w:ilvl w:val="0"/>
          <w:numId w:val="20"/>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每周对隧洞出口螺杆式启闭机螺杆、螺母进行检查，如发现裂纹或严重伤痕，导致螺杆弯曲变形的，应上报，并做好修理工作。</w:t>
      </w:r>
    </w:p>
    <w:p>
      <w:pPr>
        <w:numPr>
          <w:ilvl w:val="0"/>
          <w:numId w:val="16"/>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防腐蚀要求</w:t>
      </w:r>
    </w:p>
    <w:p>
      <w:pPr>
        <w:numPr>
          <w:ilvl w:val="0"/>
          <w:numId w:val="21"/>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每月对启闭机表面进行全面检查，如发现锈蚀，应在5天内进行补漆。</w:t>
      </w:r>
    </w:p>
    <w:p>
      <w:pPr>
        <w:numPr>
          <w:ilvl w:val="0"/>
          <w:numId w:val="15"/>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闸门及金属结构维修养护细则</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该规程适用于泄洪闸及泄洪洞进出口闸门及金属结构。</w:t>
      </w:r>
    </w:p>
    <w:p>
      <w:pPr>
        <w:numPr>
          <w:ilvl w:val="0"/>
          <w:numId w:val="22"/>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润滑要求</w:t>
      </w:r>
    </w:p>
    <w:p>
      <w:pPr>
        <w:numPr>
          <w:ilvl w:val="0"/>
          <w:numId w:val="23"/>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每月对闸门上的转动轴、转动轮、转动铰等需要润滑的部位进行检查，每3个月加一次润滑油脂，检查中发现问题，需及时加油。</w:t>
      </w:r>
    </w:p>
    <w:p>
      <w:pPr>
        <w:numPr>
          <w:ilvl w:val="0"/>
          <w:numId w:val="23"/>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润滑油脂应选择合理，油质合格。</w:t>
      </w:r>
    </w:p>
    <w:p>
      <w:pPr>
        <w:numPr>
          <w:ilvl w:val="0"/>
          <w:numId w:val="22"/>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防腐蚀要求</w:t>
      </w:r>
    </w:p>
    <w:p>
      <w:pPr>
        <w:numPr>
          <w:ilvl w:val="0"/>
          <w:numId w:val="24"/>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每月对金属结构进行检查，如发现锈蚀现象，必须在7天内进行补漆。</w:t>
      </w:r>
    </w:p>
    <w:p>
      <w:pPr>
        <w:numPr>
          <w:ilvl w:val="0"/>
          <w:numId w:val="24"/>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闸门附属设施每1年一次，局部出现锈蚀，必须在7天内处理完毕。</w:t>
      </w:r>
    </w:p>
    <w:p>
      <w:pPr>
        <w:numPr>
          <w:ilvl w:val="0"/>
          <w:numId w:val="24"/>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每月对闸门槽附近的扶梯、栏杆、盖板等部位进行检查，如发现锈蚀，应在7天内进行补漆。</w:t>
      </w:r>
    </w:p>
    <w:p>
      <w:pPr>
        <w:numPr>
          <w:ilvl w:val="0"/>
          <w:numId w:val="22"/>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门体状况</w:t>
      </w:r>
    </w:p>
    <w:p>
      <w:pPr>
        <w:numPr>
          <w:ilvl w:val="0"/>
          <w:numId w:val="2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每周对门叶结构、闸门支臂及支臂的各杆件进行检查，如发现有明显变形的情况，需及时上报，并进行修理。</w:t>
      </w:r>
    </w:p>
    <w:p>
      <w:pPr>
        <w:numPr>
          <w:ilvl w:val="0"/>
          <w:numId w:val="2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每周对紧固件进行检查，看是否有松动、缺件等问题，如有问题，需及时上报，并进行修理。</w:t>
      </w:r>
    </w:p>
    <w:p>
      <w:pPr>
        <w:numPr>
          <w:ilvl w:val="0"/>
          <w:numId w:val="2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每周对焊缝进行检查，如出现焊缝开裂现象，需及时上报，并进行修理。</w:t>
      </w:r>
    </w:p>
    <w:p>
      <w:pPr>
        <w:numPr>
          <w:ilvl w:val="0"/>
          <w:numId w:val="2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每周对闸门外形进行检查，看外形是否完整，防护涂层是否完整、光滑，如有起皮、锈痕等情况，需及时上报，并进行修理。</w:t>
      </w:r>
    </w:p>
    <w:p>
      <w:pPr>
        <w:numPr>
          <w:ilvl w:val="0"/>
          <w:numId w:val="22"/>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行走支承装置</w:t>
      </w:r>
    </w:p>
    <w:p>
      <w:pPr>
        <w:numPr>
          <w:ilvl w:val="0"/>
          <w:numId w:val="26"/>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每周对闸门的侧轮等进行检查，看是否有缺损、丢失，如有问题，需及时上报，并进行修理。</w:t>
      </w:r>
    </w:p>
    <w:p>
      <w:pPr>
        <w:numPr>
          <w:ilvl w:val="0"/>
          <w:numId w:val="26"/>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每周对闸门支铰轴及轴承进行检查，确保支铰转动灵活，支铰轴及轴承不得有裂纹、锈痕，如有问题，需上报并立即处理。</w:t>
      </w:r>
    </w:p>
    <w:p>
      <w:pPr>
        <w:numPr>
          <w:ilvl w:val="0"/>
          <w:numId w:val="26"/>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每周对紧固件进行检查，看是否有松动、缺件等问题，如有问题，需及时上报，并进行修理。</w:t>
      </w:r>
    </w:p>
    <w:p>
      <w:pPr>
        <w:numPr>
          <w:ilvl w:val="0"/>
          <w:numId w:val="22"/>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止水装置</w:t>
      </w:r>
    </w:p>
    <w:p>
      <w:pPr>
        <w:numPr>
          <w:ilvl w:val="0"/>
          <w:numId w:val="27"/>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每周对止水装置进行检查，看止水是否严密，是否出现卷曲、脱落、凹陷、撕裂等破损，表面是否出现老化现象，如有问题，需及时上报，并进行修理。</w:t>
      </w:r>
    </w:p>
    <w:p>
      <w:pPr>
        <w:numPr>
          <w:ilvl w:val="0"/>
          <w:numId w:val="22"/>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闸门槽</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（1）每周检查闸门槽及底板处是否有石块、沉木、漂木或树枝等杂物。</w:t>
      </w:r>
    </w:p>
    <w:p>
      <w:pPr>
        <w:numPr>
          <w:ilvl w:val="0"/>
          <w:numId w:val="15"/>
        </w:numPr>
        <w:tabs>
          <w:tab w:val="left" w:pos="1110"/>
        </w:tabs>
        <w:spacing w:line="500" w:lineRule="exact"/>
        <w:rPr>
          <w:rFonts w:hint="eastAsia" w:ascii="宋体" w:hAnsi="宋体" w:eastAsia="宋体" w:cs="宋体"/>
          <w:color w:val="000000"/>
          <w:szCs w:val="24"/>
        </w:rPr>
      </w:pPr>
      <w:r>
        <w:rPr>
          <w:rFonts w:hint="eastAsia" w:ascii="宋体" w:hAnsi="宋体" w:eastAsia="宋体" w:cs="宋体"/>
          <w:color w:val="000000"/>
          <w:szCs w:val="24"/>
        </w:rPr>
        <w:t>备用发电机维修养护细则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1、运行维护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（1）每周检查机油油面高度和冷却液液面高度，检查是否有泄漏、松动或者损坏的部件、磨损或损坏的皮带、动机外观的任何改变，如有问题，应立即处理。</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机组运行100小时或者6个月，更换机油和滤清器；检查进气系统，检查进气管道有无可能会损坏发动机的破裂的软管，松动的管夹或刺孔；检查空气滤清器，是否需要更换滤芯或者进行清洁；如有问题，应立即处理。</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（3）机组运行400小时或者一年，更换机油和滤清器，检查进气系统，更换燃油滤清器，检查冷却液和防冻液。</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（4）机组运行1年，更换机油和滤清器以及燃油滤清器，检查并调节气门间隙，检查风扇轴壳，检查皮带张紧轮轴承及皮带张力，检查减震器，检查中冷器是否泄漏；如有问题，应立即处理。</w:t>
      </w:r>
    </w:p>
    <w:p>
      <w:pPr>
        <w:pStyle w:val="212"/>
        <w:widowControl/>
        <w:numPr>
          <w:ilvl w:val="0"/>
          <w:numId w:val="28"/>
        </w:numPr>
        <w:spacing w:line="500" w:lineRule="exact"/>
        <w:ind w:firstLine="480"/>
        <w:jc w:val="left"/>
        <w:rPr>
          <w:rFonts w:hint="eastAsia" w:eastAsia="宋体" w:cs="宋体"/>
          <w:color w:val="000000"/>
          <w:szCs w:val="24"/>
        </w:rPr>
      </w:pPr>
      <w:r>
        <w:rPr>
          <w:rFonts w:hint="eastAsia" w:eastAsia="宋体" w:cs="宋体"/>
          <w:color w:val="000000"/>
          <w:szCs w:val="24"/>
        </w:rPr>
        <w:t>发电机的维护保养</w:t>
      </w:r>
    </w:p>
    <w:p>
      <w:pPr>
        <w:numPr>
          <w:ilvl w:val="0"/>
          <w:numId w:val="29"/>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每年2次对发电机绕组间对地测量绝缘电阻，绝缘不低于规定标准。发电机回潮而引起绝缘电阻降低，必须将发电机进行烘干。</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每周进行交流发电机的内外部都应定期清洁。柴油机、发电机、各附件的积尘和油垢。清洁时，可按下列步骤进行：将所有电源断开，把外表所有的灰尘、污物、油渍、水或任何液体擦掉，通风网也要清洁干净，因为这些东西进入线圈，就会使线圈过热或破坏绝缘。灰尘和污物最好用吸尘器吸掉，不要用吹气或高压喷水来清洁。</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3、控制屏的保养</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（1）机组控制屏日常维护应保证其表面的清洁，使仪表显示直观清楚，操作按钮（键）灵活可靠。</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（2）机组在运行中，振动会引起控制屏仪表零位偏离，紧固件松动，所以定期对控制屏校表、紧固连接件、电器连接线。</w:t>
      </w:r>
    </w:p>
    <w:p>
      <w:pPr>
        <w:pStyle w:val="212"/>
        <w:spacing w:line="500" w:lineRule="exact"/>
        <w:ind w:firstLine="480"/>
        <w:rPr>
          <w:rFonts w:hint="eastAsia" w:eastAsia="宋体" w:cs="宋体"/>
          <w:color w:val="000000"/>
          <w:szCs w:val="24"/>
        </w:rPr>
      </w:pPr>
      <w:r>
        <w:rPr>
          <w:rFonts w:hint="eastAsia" w:eastAsia="宋体" w:cs="宋体"/>
          <w:color w:val="000000"/>
          <w:szCs w:val="24"/>
        </w:rPr>
        <w:t>4、蓄电池的维护保养</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（1）检查蓄电池的浮充装置是否正常，每年汛期前蓄电池充放电一次。</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（2）每月二次进行对蓄电池检查、触摸屏显示电压24V、蓄电池两端电压、浮充模块显示正常。</w:t>
      </w:r>
    </w:p>
    <w:p>
      <w:pPr>
        <w:numPr>
          <w:ilvl w:val="0"/>
          <w:numId w:val="15"/>
        </w:numPr>
        <w:tabs>
          <w:tab w:val="left" w:pos="1110"/>
        </w:tabs>
        <w:spacing w:line="500" w:lineRule="exact"/>
        <w:rPr>
          <w:rFonts w:hint="eastAsia" w:ascii="宋体" w:hAnsi="宋体" w:eastAsia="宋体" w:cs="宋体"/>
          <w:color w:val="000000"/>
          <w:szCs w:val="24"/>
        </w:rPr>
      </w:pPr>
      <w:r>
        <w:rPr>
          <w:rFonts w:hint="eastAsia" w:ascii="宋体" w:hAnsi="宋体" w:eastAsia="宋体" w:cs="宋体"/>
          <w:color w:val="000000"/>
          <w:szCs w:val="24"/>
        </w:rPr>
        <w:t>船坞电动行车养护规范</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1、每周对船坞电动行车进行一次日常巡查。</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2、每月对限位器进行测试，确保限位器动作要灵活可靠，如有问题，应立即进行修理。</w:t>
      </w:r>
    </w:p>
    <w:p>
      <w:pPr>
        <w:spacing w:line="500" w:lineRule="exact"/>
        <w:ind w:firstLine="480" w:firstLineChars="200"/>
        <w:jc w:val="left"/>
        <w:rPr>
          <w:rFonts w:hint="eastAsia" w:ascii="宋体" w:hAnsi="宋体" w:eastAsia="宋体" w:cs="宋体"/>
          <w:color w:val="000000"/>
          <w:szCs w:val="24"/>
        </w:rPr>
      </w:pPr>
      <w:r>
        <w:rPr>
          <w:rFonts w:hint="eastAsia" w:ascii="宋体" w:hAnsi="宋体" w:eastAsia="宋体" w:cs="宋体"/>
          <w:color w:val="000000"/>
          <w:szCs w:val="24"/>
        </w:rPr>
        <w:t>3、每月检查吊钩上升到限位时，吊钩外壳到卷筒外壳是否有安全距离，如有问题，应立即进行修理。</w:t>
      </w:r>
    </w:p>
    <w:p>
      <w:pPr>
        <w:spacing w:line="500" w:lineRule="exact"/>
        <w:ind w:firstLine="480" w:firstLineChars="200"/>
        <w:jc w:val="left"/>
        <w:rPr>
          <w:rFonts w:hint="eastAsia" w:ascii="宋体" w:hAnsi="宋体" w:eastAsia="宋体" w:cs="宋体"/>
          <w:color w:val="000000"/>
          <w:szCs w:val="24"/>
        </w:rPr>
      </w:pPr>
      <w:r>
        <w:rPr>
          <w:rFonts w:hint="eastAsia" w:ascii="宋体" w:hAnsi="宋体" w:eastAsia="宋体" w:cs="宋体"/>
          <w:color w:val="000000"/>
          <w:szCs w:val="24"/>
        </w:rPr>
        <w:t>4、每月对主升电机进行测试，吊重时有无异常响声，运行时有无异常响声或气味，如有问题，应立即进行修理。</w:t>
      </w:r>
    </w:p>
    <w:p>
      <w:pPr>
        <w:spacing w:line="500" w:lineRule="exact"/>
        <w:ind w:firstLine="480" w:firstLineChars="200"/>
        <w:jc w:val="left"/>
        <w:rPr>
          <w:rFonts w:hint="eastAsia" w:ascii="宋体" w:hAnsi="宋体" w:eastAsia="宋体" w:cs="宋体"/>
          <w:color w:val="000000"/>
          <w:szCs w:val="24"/>
        </w:rPr>
      </w:pPr>
      <w:r>
        <w:rPr>
          <w:rFonts w:hint="eastAsia" w:ascii="宋体" w:hAnsi="宋体" w:eastAsia="宋体" w:cs="宋体"/>
          <w:color w:val="000000"/>
          <w:szCs w:val="24"/>
        </w:rPr>
        <w:t>5、每月对电机安装螺栓、电气接线进行检查，发现如有松动，应立即进行处理。</w:t>
      </w:r>
    </w:p>
    <w:p>
      <w:pPr>
        <w:spacing w:line="500" w:lineRule="exact"/>
        <w:ind w:firstLine="480" w:firstLineChars="200"/>
        <w:jc w:val="left"/>
        <w:rPr>
          <w:rFonts w:hint="eastAsia" w:ascii="宋体" w:hAnsi="宋体" w:eastAsia="宋体" w:cs="宋体"/>
          <w:color w:val="000000"/>
          <w:szCs w:val="24"/>
        </w:rPr>
      </w:pPr>
      <w:r>
        <w:rPr>
          <w:rFonts w:hint="eastAsia" w:ascii="宋体" w:hAnsi="宋体" w:eastAsia="宋体" w:cs="宋体"/>
          <w:color w:val="000000"/>
          <w:szCs w:val="24"/>
        </w:rPr>
        <w:t>6、每月检查减速机齿轮、轴承是否磨损，如有问题，应立即进行修理。</w:t>
      </w:r>
    </w:p>
    <w:p>
      <w:pPr>
        <w:spacing w:line="500" w:lineRule="exact"/>
        <w:ind w:firstLine="480" w:firstLineChars="200"/>
        <w:jc w:val="left"/>
        <w:rPr>
          <w:rFonts w:hint="eastAsia" w:ascii="宋体" w:hAnsi="宋体" w:eastAsia="宋体" w:cs="宋体"/>
          <w:color w:val="000000"/>
          <w:szCs w:val="24"/>
        </w:rPr>
      </w:pPr>
      <w:r>
        <w:rPr>
          <w:rFonts w:hint="eastAsia" w:ascii="宋体" w:hAnsi="宋体" w:eastAsia="宋体" w:cs="宋体"/>
          <w:color w:val="000000"/>
          <w:szCs w:val="24"/>
        </w:rPr>
        <w:t>7、每月检查钢丝绳是否正确缠绕，不得有松动乱绕等情况，确保钢丝绳无断丝、磨损、弯曲变形现象，如有问题，应立即进行修理。</w:t>
      </w:r>
    </w:p>
    <w:p>
      <w:pPr>
        <w:spacing w:line="500" w:lineRule="exact"/>
        <w:ind w:firstLine="560"/>
        <w:jc w:val="left"/>
        <w:rPr>
          <w:rFonts w:hint="eastAsia" w:ascii="宋体" w:hAnsi="宋体" w:eastAsia="宋体" w:cs="宋体"/>
          <w:color w:val="000000"/>
          <w:szCs w:val="24"/>
        </w:rPr>
      </w:pPr>
      <w:r>
        <w:rPr>
          <w:rFonts w:hint="eastAsia" w:ascii="宋体" w:hAnsi="宋体" w:eastAsia="宋体" w:cs="宋体"/>
          <w:color w:val="000000"/>
          <w:szCs w:val="24"/>
        </w:rPr>
        <w:t>8、每月检查吊钩有无裂痕，吊钩危险断面、吊钩颈部有无变形，如有问题，应立即进行修理。</w:t>
      </w:r>
    </w:p>
    <w:p>
      <w:pPr>
        <w:spacing w:line="500" w:lineRule="exact"/>
        <w:ind w:firstLine="560"/>
        <w:jc w:val="left"/>
        <w:rPr>
          <w:rFonts w:hint="eastAsia" w:ascii="宋体" w:hAnsi="宋体" w:eastAsia="宋体" w:cs="宋体"/>
          <w:color w:val="000000"/>
          <w:szCs w:val="24"/>
        </w:rPr>
      </w:pPr>
      <w:r>
        <w:rPr>
          <w:rFonts w:hint="eastAsia" w:ascii="宋体" w:hAnsi="宋体" w:eastAsia="宋体" w:cs="宋体"/>
          <w:color w:val="000000"/>
          <w:szCs w:val="24"/>
        </w:rPr>
        <w:t>9、每月检查小车车轮有无磨损，滑动自由，如有问题，应立即进行修理。</w:t>
      </w:r>
    </w:p>
    <w:p>
      <w:pPr>
        <w:spacing w:line="500" w:lineRule="exact"/>
        <w:ind w:firstLine="480" w:firstLineChars="200"/>
        <w:jc w:val="left"/>
        <w:rPr>
          <w:rFonts w:hint="eastAsia" w:ascii="宋体" w:hAnsi="宋体" w:eastAsia="宋体" w:cs="宋体"/>
          <w:color w:val="000000"/>
          <w:szCs w:val="24"/>
        </w:rPr>
      </w:pPr>
      <w:r>
        <w:rPr>
          <w:rFonts w:hint="eastAsia" w:ascii="宋体" w:hAnsi="宋体" w:eastAsia="宋体" w:cs="宋体"/>
          <w:color w:val="000000"/>
          <w:szCs w:val="24"/>
        </w:rPr>
        <w:t>10、每1年要求进行有特种设备资质检测机构进行一次检测。</w:t>
      </w:r>
    </w:p>
    <w:p>
      <w:pPr>
        <w:spacing w:line="500" w:lineRule="exact"/>
        <w:jc w:val="left"/>
        <w:outlineLvl w:val="3"/>
        <w:rPr>
          <w:rFonts w:hint="eastAsia" w:ascii="宋体" w:hAnsi="宋体" w:eastAsia="宋体" w:cs="宋体"/>
          <w:b/>
          <w:bCs/>
          <w:color w:val="000000"/>
          <w:szCs w:val="24"/>
        </w:rPr>
      </w:pPr>
      <w:r>
        <w:rPr>
          <w:rFonts w:hint="eastAsia" w:ascii="宋体" w:hAnsi="宋体" w:eastAsia="宋体" w:cs="宋体"/>
          <w:b/>
          <w:bCs/>
          <w:color w:val="000000"/>
          <w:szCs w:val="24"/>
        </w:rPr>
        <w:t>坝区范围养护细则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总体要求：</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1、坝顶平整、无积水、无裂缝、无坑洼、无杂草杂树、无弃物；防浪墙、坝肩完整，轮廓鲜明。无各类机动车辆行驶。</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2、坝坡坡面平整，无杂草杂树滋生现象；护坡砌块完好，砌缝紧密，填料密实，无松动、塌陷、脱落、风化、破碎、架空现象。</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3、坝区范围的排水设施通畅、完好。</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4、坝前200米库水面范围无垃圾及漂浮物。</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5、坝区公路的完好、整洁。</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6、泄洪渠坝坡坡面平整，无杂草杂树滋生现象；护坡砌块完好，砌缝紧密，填料密实，无松动、塌陷、脱落、风化、破碎、架空现象；路面满足防汛抢险通车要求，路面完整、平坦，无坑、无明显凹陷和波状起伏，堤肩线直、弧圆，雨后无积水，便于防汛检查和抢险。</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7、保持三角洲堤顶完整、无裂缝、无破损、无杂物垃圾堆放。</w:t>
      </w:r>
    </w:p>
    <w:p>
      <w:pPr>
        <w:numPr>
          <w:ilvl w:val="0"/>
          <w:numId w:val="30"/>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坝顶、坝坡养护细则</w:t>
      </w:r>
    </w:p>
    <w:p>
      <w:pPr>
        <w:numPr>
          <w:ilvl w:val="0"/>
          <w:numId w:val="31"/>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每2天检查一次坝顶是否出现坑洼和雨淋沟缺等，出现损坏时应在7天内按原路面要求修复，破损严重的话，必须及时上报。</w:t>
      </w:r>
    </w:p>
    <w:p>
      <w:pPr>
        <w:numPr>
          <w:ilvl w:val="0"/>
          <w:numId w:val="31"/>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每2天检查一次防浪墙、坝肩、踏步、栏杆、路缘石等是否出现破损，出现局部破损时应在7天内修补或更换，破损严重的话，必须及时上报。</w:t>
      </w:r>
    </w:p>
    <w:p>
      <w:pPr>
        <w:numPr>
          <w:ilvl w:val="0"/>
          <w:numId w:val="31"/>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每周检查一次坝顶灯柱、线路及其他照明设备，出现损坏时，应在7天内修复或更换，破损严重的话，必须及时上报。</w:t>
      </w:r>
    </w:p>
    <w:p>
      <w:pPr>
        <w:numPr>
          <w:ilvl w:val="0"/>
          <w:numId w:val="31"/>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每周检查排水系统是否出现堵塞、淤积或损坏，出现问题时，应在7天内进行清除或修复，破损严重的话，必须及时上报。</w:t>
      </w:r>
    </w:p>
    <w:p>
      <w:pPr>
        <w:numPr>
          <w:ilvl w:val="0"/>
          <w:numId w:val="31"/>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每2天检查一次坝坡是否平整，有无雨淋沟，有无杂草丛生现象，如有杂草，必须及时处理，其他问题，应在7天内处理完毕，破损严重的话，必须及时上报。</w:t>
      </w:r>
    </w:p>
    <w:p>
      <w:pPr>
        <w:numPr>
          <w:ilvl w:val="0"/>
          <w:numId w:val="31"/>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每2天检查一次护坡砌块是否完好，有无松动、塌陷、脱落、架空现象，如砌块不完整，需在7天内进行填补或楔紧个别脱落或松动的护坡石料，更换风化或冻毁的块石，破损严重的话，必须及时上报。</w:t>
      </w:r>
    </w:p>
    <w:p>
      <w:pPr>
        <w:numPr>
          <w:ilvl w:val="0"/>
          <w:numId w:val="31"/>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护坡局部发生剥落、裂缝或破碎时，应在7天内采用水泥砂浆表面抹补、喷浆或填塞处理。处理时应将表面清洗干净，破损严重的话，必须及时上报。</w:t>
      </w:r>
    </w:p>
    <w:p>
      <w:pPr>
        <w:numPr>
          <w:ilvl w:val="0"/>
          <w:numId w:val="30"/>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坝区养护细则</w:t>
      </w:r>
    </w:p>
    <w:p>
      <w:pPr>
        <w:numPr>
          <w:ilvl w:val="0"/>
          <w:numId w:val="32"/>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每周检查一次坝区范围的排水设施是否通畅、完好，如出现堵塞、破损的情况，应在7天内进行疏通、修补完毕，破损严重的话，必须及时上报。</w:t>
      </w:r>
    </w:p>
    <w:p>
      <w:pPr>
        <w:numPr>
          <w:ilvl w:val="0"/>
          <w:numId w:val="32"/>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每周对坝前200米库水位范围内的垃圾及漂浮物进行打捞，做好日常保洁，发现垃圾及时打捞。</w:t>
      </w:r>
    </w:p>
    <w:p>
      <w:pPr>
        <w:numPr>
          <w:ilvl w:val="0"/>
          <w:numId w:val="32"/>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每周检查一次坝区公路（包括左右岸上坝公路、左坝进库道路、坝下公路、三角洲堤顶），如有破损，应在7天内修补完毕。</w:t>
      </w:r>
    </w:p>
    <w:p>
      <w:pPr>
        <w:numPr>
          <w:ilvl w:val="0"/>
          <w:numId w:val="30"/>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泄洪渠养护细则</w:t>
      </w:r>
    </w:p>
    <w:p>
      <w:pPr>
        <w:numPr>
          <w:ilvl w:val="0"/>
          <w:numId w:val="33"/>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每周一次巡查泄洪渠。</w:t>
      </w:r>
    </w:p>
    <w:p>
      <w:pPr>
        <w:numPr>
          <w:ilvl w:val="0"/>
          <w:numId w:val="33"/>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每周检查泄洪渠护坡护底是否平整，有无杂草滋生现象，如有杂草，必须及时处理，其他问题，应在7天内处理完毕，破损严重的话，必须及时上报。</w:t>
      </w:r>
    </w:p>
    <w:p>
      <w:pPr>
        <w:numPr>
          <w:ilvl w:val="0"/>
          <w:numId w:val="33"/>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每周检查一次护坡砌块是否完好，砌缝是否紧密，有无松动、塌陷、脱落、破损、架空等现象，如有，应在7天内处理完毕，破损严重的话，必须及时上报。</w:t>
      </w:r>
    </w:p>
    <w:p>
      <w:pPr>
        <w:numPr>
          <w:ilvl w:val="0"/>
          <w:numId w:val="33"/>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每周检查一次泄洪渠路面是否完整、平坦，有无明显凹陷和波状起伏，如有，应在7天内修补完毕，破损严重的话，必须及时上报。</w:t>
      </w:r>
    </w:p>
    <w:p>
      <w:pPr>
        <w:numPr>
          <w:ilvl w:val="0"/>
          <w:numId w:val="33"/>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每周检查一次堤肩砌石是否完好，堤脚保护平台有无杂草滋生，有无垃圾堆积与开垦种植果疏等现象，如有，应在7天内处理完毕，破损严重的话，必须及时上报。</w:t>
      </w:r>
    </w:p>
    <w:p>
      <w:pPr>
        <w:numPr>
          <w:ilvl w:val="0"/>
          <w:numId w:val="30"/>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安全监测设施维护细则</w:t>
      </w:r>
    </w:p>
    <w:p>
      <w:pPr>
        <w:numPr>
          <w:ilvl w:val="0"/>
          <w:numId w:val="34"/>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及时清除动物在大坝变形监测设施筑的巢窝和表面的粪便等，每月清除两次。</w:t>
      </w:r>
    </w:p>
    <w:p>
      <w:pPr>
        <w:numPr>
          <w:ilvl w:val="0"/>
          <w:numId w:val="34"/>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每月一次用湿毛巾对大坝变形观测标段的棱镜面进行擦拭。</w:t>
      </w:r>
    </w:p>
    <w:p>
      <w:pPr>
        <w:numPr>
          <w:ilvl w:val="0"/>
          <w:numId w:val="34"/>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每个月对变形与渗流观测房进行清扫一次，保持整洁。</w:t>
      </w:r>
    </w:p>
    <w:p>
      <w:pPr>
        <w:numPr>
          <w:ilvl w:val="0"/>
          <w:numId w:val="34"/>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每年2次对山上四个基点前可能存在遮挡的树枝草木进行砍除，确保大坝变形监测仪器视线畅通，遇到监测不能顺利进行的时候，随时进行砍除。</w:t>
      </w:r>
    </w:p>
    <w:p>
      <w:pPr>
        <w:numPr>
          <w:ilvl w:val="0"/>
          <w:numId w:val="30"/>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坝区日常巡查细则</w:t>
      </w:r>
    </w:p>
    <w:p>
      <w:pPr>
        <w:spacing w:line="500" w:lineRule="exact"/>
        <w:ind w:firstLine="480" w:firstLineChars="200"/>
        <w:rPr>
          <w:rFonts w:hint="eastAsia" w:ascii="宋体" w:hAnsi="宋体" w:eastAsia="宋体" w:cs="宋体"/>
          <w:bCs/>
          <w:color w:val="000000"/>
          <w:szCs w:val="24"/>
        </w:rPr>
      </w:pPr>
      <w:r>
        <w:rPr>
          <w:rFonts w:hint="eastAsia" w:ascii="宋体" w:hAnsi="宋体" w:eastAsia="宋体" w:cs="宋体"/>
          <w:bCs/>
          <w:color w:val="000000"/>
          <w:szCs w:val="24"/>
        </w:rPr>
        <w:t>1、巡查范围：</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包括主坝坝体、坝趾、坝端与近坝岸坡，各类泄洪、输水设施与闸门，以及其他与大坝安全有直接关系的建筑物和设施。</w:t>
      </w:r>
    </w:p>
    <w:p>
      <w:pPr>
        <w:numPr>
          <w:ilvl w:val="0"/>
          <w:numId w:val="3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巡查线路：</w:t>
      </w:r>
    </w:p>
    <w:p>
      <w:pPr>
        <w:spacing w:line="500" w:lineRule="exact"/>
        <w:ind w:firstLine="464" w:firstLineChars="200"/>
        <w:rPr>
          <w:rFonts w:hint="eastAsia" w:ascii="宋体" w:hAnsi="宋体" w:eastAsia="宋体" w:cs="宋体"/>
          <w:color w:val="000000"/>
          <w:spacing w:val="-4"/>
          <w:szCs w:val="24"/>
        </w:rPr>
      </w:pPr>
      <w:r>
        <w:rPr>
          <w:rFonts w:hint="eastAsia" w:ascii="宋体" w:hAnsi="宋体" w:eastAsia="宋体" w:cs="宋体"/>
          <w:color w:val="000000"/>
          <w:spacing w:val="-4"/>
          <w:szCs w:val="24"/>
        </w:rPr>
        <w:t>溢洪道→坝顶→坝坡→坝脚→泄洪洞→泄洪渠。</w:t>
      </w:r>
    </w:p>
    <w:p>
      <w:pPr>
        <w:numPr>
          <w:ilvl w:val="0"/>
          <w:numId w:val="3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巡查频率：</w:t>
      </w:r>
    </w:p>
    <w:p>
      <w:pPr>
        <w:spacing w:line="500" w:lineRule="exact"/>
        <w:ind w:left="480" w:leftChars="200"/>
        <w:rPr>
          <w:rFonts w:hint="eastAsia" w:ascii="宋体" w:hAnsi="宋体" w:eastAsia="宋体" w:cs="宋体"/>
          <w:color w:val="000000"/>
          <w:szCs w:val="24"/>
        </w:rPr>
      </w:pPr>
      <w:r>
        <w:rPr>
          <w:rFonts w:hint="eastAsia" w:ascii="宋体" w:hAnsi="宋体" w:eastAsia="宋体" w:cs="宋体"/>
          <w:color w:val="000000"/>
          <w:szCs w:val="24"/>
        </w:rPr>
        <w:t xml:space="preserve"> 每逢双休日、节假日等，必须配合做好日常巡查。</w:t>
      </w:r>
    </w:p>
    <w:p>
      <w:pPr>
        <w:numPr>
          <w:ilvl w:val="0"/>
          <w:numId w:val="3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每次巡查必须做好记录，并上报水库综合管理信息平台。</w:t>
      </w:r>
    </w:p>
    <w:p>
      <w:pPr>
        <w:numPr>
          <w:ilvl w:val="0"/>
          <w:numId w:val="3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遇暴雨、台风等恶劣天气，视情况加强巡查。</w:t>
      </w:r>
    </w:p>
    <w:p>
      <w:pPr>
        <w:numPr>
          <w:ilvl w:val="0"/>
          <w:numId w:val="30"/>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泄洪期间巡查细则</w:t>
      </w:r>
    </w:p>
    <w:p>
      <w:pPr>
        <w:numPr>
          <w:ilvl w:val="0"/>
          <w:numId w:val="36"/>
        </w:numPr>
        <w:spacing w:line="500" w:lineRule="exact"/>
        <w:rPr>
          <w:rFonts w:hint="eastAsia" w:ascii="宋体" w:hAnsi="宋体" w:eastAsia="宋体" w:cs="宋体"/>
          <w:color w:val="000000"/>
          <w:szCs w:val="24"/>
        </w:rPr>
      </w:pPr>
      <w:r>
        <w:rPr>
          <w:rFonts w:hint="eastAsia" w:ascii="宋体" w:hAnsi="宋体" w:eastAsia="宋体" w:cs="宋体"/>
          <w:color w:val="000000"/>
          <w:szCs w:val="24"/>
        </w:rPr>
        <w:t>泄洪期间，必须配合进行巡查和防汛值班。</w:t>
      </w:r>
    </w:p>
    <w:p>
      <w:pPr>
        <w:numPr>
          <w:ilvl w:val="0"/>
          <w:numId w:val="36"/>
        </w:numPr>
        <w:spacing w:line="500" w:lineRule="exact"/>
        <w:ind w:left="0" w:firstLine="480" w:firstLineChars="200"/>
        <w:rPr>
          <w:rFonts w:hint="eastAsia" w:ascii="宋体" w:hAnsi="宋体" w:eastAsia="宋体" w:cs="宋体"/>
          <w:color w:val="000000"/>
          <w:szCs w:val="24"/>
        </w:rPr>
      </w:pPr>
      <w:r>
        <w:rPr>
          <w:rFonts w:hint="eastAsia" w:ascii="宋体" w:hAnsi="宋体" w:eastAsia="宋体" w:cs="宋体"/>
          <w:color w:val="000000"/>
          <w:szCs w:val="24"/>
        </w:rPr>
        <w:t>当库水位在23.17m至29.17m时，必须根据水库中心的要求，配备1~2名工作人员，配合进行巡查；当库水位在29.17m至31.17m时，必须根据水库中心的要求，配备2~3名工作人员，配合进行巡查；当库水位在31.17m以上时，全体工作人员必须随时待命，由水库中心统一调配。</w:t>
      </w:r>
    </w:p>
    <w:p>
      <w:pPr>
        <w:numPr>
          <w:ilvl w:val="0"/>
          <w:numId w:val="36"/>
        </w:numPr>
        <w:spacing w:line="500" w:lineRule="exact"/>
        <w:rPr>
          <w:rFonts w:hint="eastAsia" w:ascii="宋体" w:hAnsi="宋体" w:eastAsia="宋体" w:cs="宋体"/>
          <w:color w:val="000000"/>
          <w:szCs w:val="24"/>
        </w:rPr>
      </w:pPr>
      <w:r>
        <w:rPr>
          <w:rFonts w:hint="eastAsia" w:ascii="宋体" w:hAnsi="宋体" w:eastAsia="宋体" w:cs="宋体"/>
          <w:color w:val="000000"/>
          <w:szCs w:val="24"/>
        </w:rPr>
        <w:t>每天巡查不少于4次，具体时间、次数根据库水位进行调整。</w:t>
      </w:r>
    </w:p>
    <w:p>
      <w:pPr>
        <w:numPr>
          <w:ilvl w:val="0"/>
          <w:numId w:val="36"/>
        </w:numPr>
        <w:spacing w:line="500" w:lineRule="exact"/>
        <w:rPr>
          <w:rFonts w:hint="eastAsia" w:ascii="宋体" w:hAnsi="宋体" w:eastAsia="宋体" w:cs="宋体"/>
          <w:color w:val="000000"/>
          <w:szCs w:val="24"/>
        </w:rPr>
      </w:pPr>
      <w:r>
        <w:rPr>
          <w:rFonts w:hint="eastAsia" w:ascii="宋体" w:hAnsi="宋体" w:eastAsia="宋体" w:cs="宋体"/>
          <w:color w:val="000000"/>
          <w:szCs w:val="24"/>
        </w:rPr>
        <w:t>发现问题及时报告负责人，并填写泄洪期间巡查记录表。</w:t>
      </w:r>
    </w:p>
    <w:p>
      <w:pPr>
        <w:numPr>
          <w:ilvl w:val="0"/>
          <w:numId w:val="36"/>
        </w:numPr>
        <w:spacing w:line="500" w:lineRule="exact"/>
        <w:rPr>
          <w:rFonts w:hint="eastAsia" w:ascii="宋体" w:hAnsi="宋体" w:eastAsia="宋体" w:cs="宋体"/>
          <w:color w:val="000000"/>
          <w:szCs w:val="24"/>
        </w:rPr>
      </w:pPr>
      <w:r>
        <w:rPr>
          <w:rFonts w:hint="eastAsia" w:ascii="宋体" w:hAnsi="宋体" w:eastAsia="宋体" w:cs="宋体"/>
          <w:color w:val="000000"/>
          <w:szCs w:val="24"/>
        </w:rPr>
        <w:t>认真做好巡查记录，整理归档。</w:t>
      </w:r>
    </w:p>
    <w:p>
      <w:pPr>
        <w:spacing w:line="500" w:lineRule="exact"/>
        <w:jc w:val="left"/>
        <w:outlineLvl w:val="3"/>
        <w:rPr>
          <w:rFonts w:hint="eastAsia" w:ascii="宋体" w:hAnsi="宋体" w:eastAsia="宋体" w:cs="宋体"/>
          <w:b/>
          <w:bCs/>
          <w:color w:val="000000"/>
          <w:szCs w:val="24"/>
        </w:rPr>
      </w:pPr>
      <w:r>
        <w:rPr>
          <w:rFonts w:hint="eastAsia" w:ascii="宋体" w:hAnsi="宋体" w:eastAsia="宋体" w:cs="宋体"/>
          <w:b/>
          <w:bCs/>
          <w:color w:val="000000"/>
          <w:szCs w:val="24"/>
        </w:rPr>
        <w:t>副坝养护细则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总体要求：</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1、坝顶平整、无积水、无裂缝、无坑洼、无杂草杂树、无弃物；防浪墙、坝肩完整，轮廓鲜明。</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2、坝坡坡面平整，无杂草杂树滋生现象；护坡砌块完好，砌缝紧密，填料密实，无松动、塌陷、脱落、风化、破碎、架空现象。</w:t>
      </w:r>
    </w:p>
    <w:p>
      <w:pPr>
        <w:numPr>
          <w:ilvl w:val="0"/>
          <w:numId w:val="37"/>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副坝坝顶、坝坡养护细则</w:t>
      </w:r>
    </w:p>
    <w:p>
      <w:pPr>
        <w:numPr>
          <w:ilvl w:val="0"/>
          <w:numId w:val="3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坝顶、坝坡根据规范每周巡查一次。</w:t>
      </w:r>
    </w:p>
    <w:p>
      <w:pPr>
        <w:numPr>
          <w:ilvl w:val="0"/>
          <w:numId w:val="3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每周检查一次坝顶是否出现坑洼和雨淋沟缺等，出现损坏时应在7天内按原路面要求修复，破损严重的话，必须及时上报。</w:t>
      </w:r>
    </w:p>
    <w:p>
      <w:pPr>
        <w:numPr>
          <w:ilvl w:val="0"/>
          <w:numId w:val="3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每周检查一次防浪墙、坝肩、路缘石等是否出现破损，出现破损，出现局部破损时应在7天内修补或更换，破损严重的话，必须及时上报。</w:t>
      </w:r>
    </w:p>
    <w:p>
      <w:pPr>
        <w:numPr>
          <w:ilvl w:val="0"/>
          <w:numId w:val="3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每周检查排水系统是否出现堵塞、淤积或损坏，出现问题时，应在7天内进行清除或修复，破损严重的话，必须及时上报。</w:t>
      </w:r>
    </w:p>
    <w:p>
      <w:pPr>
        <w:numPr>
          <w:ilvl w:val="0"/>
          <w:numId w:val="3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每周检查一次坝坡是否平整，有无雨淋沟，有无杂草丛生现象，如有杂草，必须及时处理，其他问题，应在7天内处理完毕，破损严重的话，必须及时上报。</w:t>
      </w:r>
    </w:p>
    <w:p>
      <w:pPr>
        <w:numPr>
          <w:ilvl w:val="0"/>
          <w:numId w:val="38"/>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每周检查一次护坡砌块是否完好，有无松动、塌陷、脱落、架空现象，如砌块不完整，需在7天内进行填补或楔紧个别脱落或松动的护坡石料，更换风化或冻毁的块石，破损严重的话，必须及时上报。</w:t>
      </w: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管理房养护细则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总体要求：</w:t>
      </w:r>
    </w:p>
    <w:p>
      <w:pPr>
        <w:numPr>
          <w:ilvl w:val="0"/>
          <w:numId w:val="39"/>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保持泄洪闸启闭机管理房、隧洞进出口管理房、备用发电机房、船坞仓库、测流堰管理房及坝脚卫生间房屋整洁，墙面无破损、屋面无渗漏，室内无灰尘、杂物，注意防火防盗。</w:t>
      </w:r>
    </w:p>
    <w:p>
      <w:pPr>
        <w:spacing w:line="500" w:lineRule="exact"/>
        <w:rPr>
          <w:rFonts w:hint="eastAsia" w:ascii="宋体" w:hAnsi="宋体" w:eastAsia="宋体" w:cs="宋体"/>
          <w:color w:val="000000"/>
          <w:szCs w:val="24"/>
        </w:rPr>
      </w:pPr>
    </w:p>
    <w:p>
      <w:pPr>
        <w:spacing w:line="500" w:lineRule="exact"/>
        <w:rPr>
          <w:rFonts w:hint="eastAsia" w:ascii="宋体" w:hAnsi="宋体" w:eastAsia="宋体" w:cs="宋体"/>
          <w:color w:val="000000"/>
          <w:szCs w:val="24"/>
        </w:rPr>
      </w:pPr>
      <w:r>
        <w:rPr>
          <w:rFonts w:hint="eastAsia" w:ascii="宋体" w:hAnsi="宋体" w:eastAsia="宋体" w:cs="宋体"/>
          <w:color w:val="000000"/>
          <w:szCs w:val="24"/>
        </w:rPr>
        <w:t>管理房养护管理细则</w:t>
      </w:r>
    </w:p>
    <w:p>
      <w:pPr>
        <w:numPr>
          <w:ilvl w:val="0"/>
          <w:numId w:val="40"/>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每周检查管理房内外墙壁是否有脱落、起壳、裂缝，如有，应在7天内修补完毕，破损严重的话，必须及时上报。</w:t>
      </w:r>
    </w:p>
    <w:p>
      <w:pPr>
        <w:numPr>
          <w:ilvl w:val="0"/>
          <w:numId w:val="40"/>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每周检查管理房的门窗，是否有破损，如有，应在7天内更换，破损严重的话，必须及时上报。</w:t>
      </w:r>
    </w:p>
    <w:p>
      <w:pPr>
        <w:numPr>
          <w:ilvl w:val="0"/>
          <w:numId w:val="40"/>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每周检查管理房内的消防器材，是否完好，如破损或者过期等，需当天上报主要负责人，由水库中心统一进行更换。</w:t>
      </w:r>
    </w:p>
    <w:p>
      <w:pPr>
        <w:numPr>
          <w:ilvl w:val="0"/>
          <w:numId w:val="40"/>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管理房要做到随时上锁，钥匙妥善保管，不能随便开门让非相关人员进入管理房。</w:t>
      </w: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水文设施养护细则</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一、水尺及测验断面维护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（1）水尺</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坝上站，隧洞站、库下站，均要求水尺一周擦两次（周一，周四早上），擦水尺只能用湿布轻柔擦试，以防损坏水尺；</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坝上站要经常关注水位下降水尺片出露水面部分的清晰状况，视情况随时擦试；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隧洞站、库下站要经常关注水位下降水尺片出露水面部分，并随时清理水尺桩缠绕的水草等垃圾。</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（2）河道测验断面维护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隧洞站：测井沉砂池每年清淤维护一次；测流断面河底硬化部分，每月清扫砂泥、清除水草一次；如出现妨碍测量的情况，必须随时进行清理和维护。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库下站：测井沉砂池每年清淤维护一次；测流断面河底硬化部分，每月清扫砂泥、清除水草一次；如出现妨碍测量的情况，必须随时进行清理和维护。</w:t>
      </w:r>
    </w:p>
    <w:p>
      <w:pPr>
        <w:pStyle w:val="19"/>
        <w:rPr>
          <w:rFonts w:hint="eastAsia" w:eastAsia="宋体" w:cs="宋体"/>
          <w:color w:val="000000"/>
          <w:szCs w:val="24"/>
        </w:rPr>
      </w:pPr>
      <w:r>
        <w:rPr>
          <w:rFonts w:hint="eastAsia" w:eastAsia="宋体" w:cs="宋体"/>
          <w:color w:val="000000"/>
          <w:szCs w:val="24"/>
        </w:rPr>
        <w:t>（3）水位流量测验</w:t>
      </w:r>
    </w:p>
    <w:p>
      <w:pPr>
        <w:pStyle w:val="19"/>
        <w:rPr>
          <w:rFonts w:hint="eastAsia" w:eastAsia="宋体" w:cs="宋体"/>
          <w:color w:val="000000"/>
          <w:szCs w:val="24"/>
        </w:rPr>
      </w:pPr>
      <w:r>
        <w:rPr>
          <w:rFonts w:hint="eastAsia" w:eastAsia="宋体" w:cs="宋体"/>
          <w:color w:val="000000"/>
          <w:szCs w:val="24"/>
        </w:rPr>
        <w:t>每周至少1次对自记水位进行现场人工校核，其余时段可采用视频校核。流量测验按青山水库水文测站任务书要求进行。一般每月至少1次，泄洪期间加密测次。</w:t>
      </w:r>
    </w:p>
    <w:p>
      <w:pPr>
        <w:pStyle w:val="19"/>
        <w:rPr>
          <w:rFonts w:hint="eastAsia" w:eastAsia="宋体" w:cs="宋体"/>
          <w:color w:val="000000"/>
          <w:szCs w:val="24"/>
        </w:rPr>
      </w:pPr>
      <w:r>
        <w:rPr>
          <w:rFonts w:hint="eastAsia" w:eastAsia="宋体" w:cs="宋体"/>
          <w:color w:val="000000"/>
          <w:szCs w:val="24"/>
        </w:rPr>
        <w:t>（4）水文测量</w:t>
      </w:r>
    </w:p>
    <w:p>
      <w:pPr>
        <w:pStyle w:val="19"/>
        <w:rPr>
          <w:rFonts w:hint="eastAsia" w:eastAsia="宋体"/>
          <w:color w:val="000000"/>
        </w:rPr>
      </w:pPr>
      <w:r>
        <w:rPr>
          <w:rFonts w:hint="eastAsia" w:eastAsia="宋体" w:cs="宋体"/>
          <w:color w:val="000000"/>
          <w:szCs w:val="24"/>
        </w:rPr>
        <w:t>大断面测量、水尺零高校测，每年汛前、汛后各开展一次。</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二、水文设备、设施维护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（1）所有室外水文设备、设施每月检查一次。</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水文缆道外部设备检查：立柱、锚桩、拉线、工作篮的状况，砼底座情况；</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站房建筑物室外部分检查：站房整体情况，基础沉降情况，外墙壁裂缝剥落情况等；</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水文室外安全设施检查：安全护栏状况，标识标牌状况。</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如检查到室外设备设施生锈，即时安排除锈和涂油漆防锈；如发现有设施的砼破损，即时安排修复；发现水文缆道室外部件有安全隐患，标识标牌有被破坏，及时向水库中心汇报修复。</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（2）隧洞站、库下站测流缆道钢丝绳每年汛期前加黄油一次。主索和细索均应完成防锈涂裹黄油作业。</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（3）隧洞站、库下站水文绞车每年汛期前维护一次。重点检查维护齿轮润滑状况，变速箱的润滑运行状况。</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三、水文测验环境维护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定期清除水文站房周边及水文测验河段及河堤两岸斜坡的杂草等影响水文测验的物件。</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四、水文观测及拍报，设备维护要求</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1、雨量、蒸发观测</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全年每天7：55携带观测记载本到雨量观测场，检查周围环境及设备情况，如有异常或声响，记录并马上报告水库水文人员。8：00准时观测，先观测雨量，再观测蒸发，记录到记载本上，严禁追记。</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2、水雨情拍报</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汛期（4.15-10.15）每天早上观测好雨量和蒸发量后，在8：10前把水雨情电报通过微信报汛方式报出，遇微信报不出，用电话报汛。</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非汛期（1.1-4.14；10.16-12.31）每月1日，11日，21日报旬报和月报。</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3、有情况及不明白，及时找水文人员解决。</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4、水雨情设备维护</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维护坝上站、隧洞站、库下站、雨量场、室内所有设备的正常运行。</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2000型设备仅需维护更换蓄电池；雨润3000、在线测流多普勒、河猫、自动蒸发以及太阳能板需要保证设备的正常运行，部分设施设备维修更换。</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每三个月检测蓄电池容量1次，容量少于40%时需要更换蓄电池。平时发生故障经告知，白天通知当天解决，晚上通知次日解决。无故障报告，无需定期检查。维护情况上传标准化平台。</w:t>
      </w: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水工建筑物养护细则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总体要求：</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1、本细则所指的水工建筑物，主要包括溢洪道、导墙、溢流面、消力池、泄洪渠以及隧洞等。</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2、保持各类水工建筑物的过水面光滑平整，混凝土无破损现象。</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3、保持表面排水设施完整通畅。</w:t>
      </w:r>
    </w:p>
    <w:p>
      <w:pPr>
        <w:numPr>
          <w:ilvl w:val="0"/>
          <w:numId w:val="41"/>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水工建筑物养护管理细则</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1、每周对各类水工建筑物进行巡查，如表面出现裂缝、破损等问题，必须在7天内整修、修补完毕，破损严重的话，必须及时上报。</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2、每次泄洪结束后，配合对溢洪道、导墙、溢流面、泄洪渠等水工建筑物进行详细检查，是否有冲刷、破损，如有破损，需在7天内进行修补。</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3、泄洪洞洞身常规每年检查一次，当水位25.7m以上泄洪或连续泄洪超过240小时，配合进行检查。</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4、消力池每两年检查一次，或每次泄洪流量超过600立方米/秒的泄洪结束时，应负责及时抽干消力池，配合全面检查消力池各部位情况。</w:t>
      </w: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附属设施养护细则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总体要求：</w:t>
      </w:r>
    </w:p>
    <w:p>
      <w:pPr>
        <w:numPr>
          <w:ilvl w:val="0"/>
          <w:numId w:val="42"/>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防护栏杆、爬梯等防护设施无锈蚀现象，安全可靠，无隐患。</w:t>
      </w:r>
    </w:p>
    <w:p>
      <w:pPr>
        <w:numPr>
          <w:ilvl w:val="0"/>
          <w:numId w:val="42"/>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警示等标志标牌完整，无损坏，清晰明了。</w:t>
      </w:r>
    </w:p>
    <w:p>
      <w:pPr>
        <w:numPr>
          <w:ilvl w:val="0"/>
          <w:numId w:val="42"/>
        </w:num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周边界址界桩完整，无破坏、缺损现象。</w:t>
      </w:r>
    </w:p>
    <w:p>
      <w:pPr>
        <w:numPr>
          <w:ilvl w:val="0"/>
          <w:numId w:val="42"/>
        </w:numPr>
        <w:spacing w:line="500" w:lineRule="exact"/>
        <w:ind w:firstLine="480"/>
        <w:rPr>
          <w:rFonts w:hint="eastAsia" w:ascii="宋体" w:hAnsi="宋体" w:eastAsia="宋体" w:cs="宋体"/>
          <w:color w:val="000000"/>
          <w:szCs w:val="24"/>
        </w:rPr>
      </w:pPr>
      <w:r>
        <w:rPr>
          <w:rFonts w:hint="eastAsia" w:ascii="宋体" w:hAnsi="宋体" w:eastAsia="宋体" w:cs="宋体"/>
          <w:color w:val="000000"/>
          <w:szCs w:val="24"/>
        </w:rPr>
        <w:t>坝区管理范围内的各类照明器具及路灯外观、线路完好，运行正常。</w:t>
      </w:r>
    </w:p>
    <w:p>
      <w:pPr>
        <w:numPr>
          <w:ilvl w:val="0"/>
          <w:numId w:val="43"/>
        </w:numPr>
        <w:tabs>
          <w:tab w:val="left" w:pos="1110"/>
        </w:tabs>
        <w:spacing w:line="500" w:lineRule="exact"/>
        <w:ind w:left="106" w:firstLine="454"/>
        <w:rPr>
          <w:rFonts w:hint="eastAsia" w:ascii="宋体" w:hAnsi="宋体" w:eastAsia="宋体" w:cs="宋体"/>
          <w:color w:val="000000"/>
          <w:szCs w:val="24"/>
        </w:rPr>
      </w:pPr>
      <w:r>
        <w:rPr>
          <w:rFonts w:hint="eastAsia" w:ascii="宋体" w:hAnsi="宋体" w:eastAsia="宋体" w:cs="宋体"/>
          <w:color w:val="000000"/>
          <w:szCs w:val="24"/>
        </w:rPr>
        <w:t>照明设施养护细则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1、照明设备维护内容主要包括路灯照明、室内照明、开关箱、电缆线路等。</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2、每周对照明设备进行巡检，记录运行设备状态的变化，设备是否完好，如有问题，应在7天内处理完毕。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3、每周检查配电箱是否受损，箱内开关及电器是否良好，各电缆电线连接是否良好，如有问题，应在7天内处理完毕。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4、每周检查路灯照明设备，各路灯是否受损，接线端子是否紧固，如有问题，应在7天内处理完毕。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5、每年对低压电缆进行一次绝缘测试。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6、每年要求对双回路自控电源控制回路动作可靠切换检查，对接地线的螺栓固定可靠，如有松动、锈蚀等情况，应在7天内处理完毕，问题较严重的，及时上报水库中心进行处理。</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7、固定和重大节日，遇有异常自然条件，人为损坏的进行特别检查。</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二、其它设施养护规程</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1、每周对大坝上设置的防护栏杆、爬梯等防护设施进行检查，确保安全可靠，无隐患。</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2、发现油漆脱落，需及时涂刷。</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3、每周对标志牌、警示牌进行检查，每月进行一次擦洗，有破损的应在7天内更换或修补，破损严重的，及时上报水库中心进行处理。</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4、每周对左坝头围墙进行检查，如有破损、脱落现象，应在7天内修补完毕。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5、每周对钢网墙进行检查，如有破损现象，应及时修补，破损严重的应上报水库中心并进行修理。</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6、每周对枢纽区的界桩进行检查，是否有破坏、缺损现象，如有垃圾在界桩边上堆积等情况，需马上处理，界桩破损的，应及时上报。</w:t>
      </w: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坝区自来水水泵及管道养护细则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总体要求：</w:t>
      </w:r>
    </w:p>
    <w:p>
      <w:pPr>
        <w:numPr>
          <w:ilvl w:val="0"/>
          <w:numId w:val="44"/>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确保坝区自来水水泵、管道出水流畅，始终处于良好的运行或备用状态。</w:t>
      </w:r>
    </w:p>
    <w:p>
      <w:pPr>
        <w:numPr>
          <w:ilvl w:val="0"/>
          <w:numId w:val="44"/>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确保水泵泵体外观整洁、油漆完好、标志清楚、铭牌字迹清晰。</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具体细则：</w:t>
      </w:r>
    </w:p>
    <w:p>
      <w:pPr>
        <w:numPr>
          <w:ilvl w:val="0"/>
          <w:numId w:val="4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每周检查一次坝区的水泵是否完好，如出现问题，应上报水库中心并及时处理。</w:t>
      </w:r>
    </w:p>
    <w:p>
      <w:pPr>
        <w:numPr>
          <w:ilvl w:val="0"/>
          <w:numId w:val="4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每周检查一次水塔是否完好，水塔必须保持时刻有水状态，如出现裂缝、渗水等问题，需及时处理。</w:t>
      </w:r>
    </w:p>
    <w:p>
      <w:pPr>
        <w:numPr>
          <w:ilvl w:val="0"/>
          <w:numId w:val="4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运行状态时，每天检查2次，观察水泵输出水压是否正常，运转是否平稳无跳动，是否无异声，如有问题，应立即处理。</w:t>
      </w:r>
    </w:p>
    <w:p>
      <w:pPr>
        <w:numPr>
          <w:ilvl w:val="0"/>
          <w:numId w:val="4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寒冷季节，要做好管道防护措施，如管道出现冻伤破裂或者渗漏的情况，需立即对管道进行更换或修复。</w:t>
      </w:r>
    </w:p>
    <w:p>
      <w:pPr>
        <w:numPr>
          <w:ilvl w:val="0"/>
          <w:numId w:val="45"/>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每三个月进行一次电机，水泵维护（连轴器、加油）。</w:t>
      </w: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卫生保洁要求</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总体要求：</w:t>
      </w:r>
    </w:p>
    <w:p>
      <w:pPr>
        <w:numPr>
          <w:ilvl w:val="0"/>
          <w:numId w:val="46"/>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室外保持整洁、无垃圾和白色污染。</w:t>
      </w:r>
    </w:p>
    <w:p>
      <w:pPr>
        <w:numPr>
          <w:ilvl w:val="0"/>
          <w:numId w:val="46"/>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室内地面及各设施设备表面无灰尘、无油污。</w:t>
      </w:r>
    </w:p>
    <w:p>
      <w:pPr>
        <w:numPr>
          <w:ilvl w:val="0"/>
          <w:numId w:val="46"/>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必须做到随时保洁，重大节日及活动等及时保洁。</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一、大坝设备卫生保洁要求</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1、保洁要求：</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（1）启闭机（包括泄洪洞进出口启闭机）、备用发电机等设备表面每周擦拭两次。</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（2）启闭机中控柜、现地控制柜、发电机外箱表面每周擦拭一次。</w:t>
      </w:r>
    </w:p>
    <w:p>
      <w:pPr>
        <w:tabs>
          <w:tab w:val="left" w:pos="432"/>
        </w:tabs>
        <w:spacing w:line="500" w:lineRule="exact"/>
        <w:ind w:left="240" w:leftChars="100"/>
        <w:rPr>
          <w:rFonts w:hint="eastAsia" w:ascii="宋体" w:hAnsi="宋体" w:eastAsia="宋体" w:cs="宋体"/>
          <w:color w:val="000000"/>
          <w:szCs w:val="24"/>
        </w:rPr>
      </w:pPr>
      <w:r>
        <w:rPr>
          <w:rFonts w:hint="eastAsia" w:ascii="宋体" w:hAnsi="宋体" w:eastAsia="宋体" w:cs="宋体"/>
          <w:color w:val="000000"/>
          <w:szCs w:val="24"/>
        </w:rPr>
        <w:t>二、坝区卫生保洁要求</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1、大坝保洁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（1）大坝上下游坝坡保洁每周一次，保洁人员应穿戴好防滑用品。清扫完毕后应安排相关人员巡回保洁。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（2）坝坡砌块的杂草每季度喷洒除草剂，确保无明显杂草。</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2、坝前水面保洁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（1）每次保洁须2人以上作业，作业员须穿戴好救生衣。</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（2）应做到日常巡逻结合季节性重点打捞。</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（3）打捞垃圾、杂物打捞上岸后送到垃圾处理站或自行环保的处理。</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（4）应做到垃圾、杂物日产日清，保洁船舱无积存垃圾。</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3、道路保洁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（1）每天对坝顶路面及上坝公路、进库道路、三角洲堤顶、泄洪渠清扫1遍，清扫完毕后应安排相关人员巡回保洁。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（2）雨雪天应及时清扫路面，确保路面无积水。</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（3）发现路面有油污应及时用清洁剂清洁。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（4）用铲刀清除粘在地面上的口香糖等杂物。</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（5）道路排水沟及时清理，确保泄水畅通。</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三、副坝坝区卫生保洁要求</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1、副坝保洁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（1）大坝上下游坝坡保洁每周一次，保洁人员应穿戴好防滑用品。清扫完毕后应安排相关人员巡回保洁。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（2）坝坡砌块的杂草每季度喷洒除草剂，确保无明显杂草。</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3、道路保洁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（1）每周对坝顶路面清扫1遍，清扫完毕后应安排相关人员巡回保洁。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（2）雨雪天应及时清扫路面，确保路面无积水。</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（3）发现路面有油污应及时用清洁剂清洁。</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（4）用铲刀清除粘在地面上的口香糖等杂物。</w:t>
      </w:r>
    </w:p>
    <w:p>
      <w:pPr>
        <w:spacing w:line="500" w:lineRule="exact"/>
        <w:ind w:firstLine="420"/>
        <w:rPr>
          <w:rFonts w:hint="eastAsia" w:ascii="宋体" w:hAnsi="宋体" w:eastAsia="宋体" w:cs="宋体"/>
          <w:color w:val="000000"/>
          <w:szCs w:val="24"/>
        </w:rPr>
      </w:pPr>
      <w:r>
        <w:rPr>
          <w:rFonts w:hint="eastAsia" w:ascii="宋体" w:hAnsi="宋体" w:eastAsia="宋体" w:cs="宋体"/>
          <w:color w:val="000000"/>
          <w:szCs w:val="24"/>
        </w:rPr>
        <w:t>（5）道路排水沟及时清理，确保不堵塞。</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四、管理房保洁要求</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1、管理房每周清洁一次并拖洗干净。</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2、楼梯扶手、各类常用开关、指示牌等每周擦拭一次。</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3、用干净的毛巾擦拭各层和通道的防火门、消防栓柜、玻璃窗内侧、灯具、护栏、墙面、墙根部分地脚线等设施，应保证每周保洁一次。</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4、每周用抹布擦拭一遍室内标识牌、各类弱电箱门、各类常用开关盒等部位，对有污迹的地方着重用清洁剂清洗。</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5、每周清扫一遍地脚线。</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6、每周清洁一次室内玻璃窗、墙角等地方。</w:t>
      </w:r>
    </w:p>
    <w:p>
      <w:pPr>
        <w:spacing w:line="500" w:lineRule="exact"/>
        <w:ind w:firstLine="560"/>
        <w:rPr>
          <w:rFonts w:hint="eastAsia" w:ascii="宋体" w:hAnsi="宋体" w:eastAsia="宋体" w:cs="宋体"/>
          <w:color w:val="000000"/>
          <w:szCs w:val="24"/>
        </w:rPr>
      </w:pPr>
      <w:r>
        <w:rPr>
          <w:rFonts w:hint="eastAsia" w:ascii="宋体" w:hAnsi="宋体" w:eastAsia="宋体" w:cs="宋体"/>
          <w:color w:val="000000"/>
          <w:szCs w:val="24"/>
        </w:rPr>
        <w:t>7、坝脚卫生间需每天清扫一遍，厕所内垃圾及时清理。</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五、水文站房内外环境卫生</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坝上站：水位台站房内部，一周搞一次卫生，地面，门、窗，仪器台、箱、盒等都要擦试，不留卫生死角，搞卫生时注意不要碰到仪器接口和悬挂在仪器上的线；屋顶太阳能板一周擦一次；站房外部周边及水尺桩台阶每天均要清捡和扫除垃圾以及清除散落石块。</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隧洞站：水位台站房内部，一周搞一次卫生，地面，门、窗，仪器台、箱、盒、绞车等都要擦试，不留卫生死角，搞卫生时注意不要碰到仪器接口和悬挂在仪器上的线；屋顶太阳能板一周擦一次；站房外部周边及水尺桩旁每周清捡扫除垃圾两次，清除乱扔的石块等。</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库下站：水位台站房内部，一周搞一次卫生，地面，门、窗台、百页窗，仪器台、箱、盒、绞车等都要擦试，不留卫生死角，搞卫生时注意不要碰到仪器接口和悬挂在仪器上的线；太阳能板一周擦一次；站房外部周边及水尺桩旁每周清捡扫除垃圾两次，清除乱扔的石块等。</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六、保洁其它要求</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1、遇重要活动期间，随时进行保洁，发现垃圾、污物及时清除。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2、保洁过程中如损坏业主单位物品，则应照价赔偿。</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3、必须做好水面打捞作业人员的安全生产教育和管理，作业人员要求身体健康，会游泳，遵守水上安全生产的各项规定，如发生安全以外事故，所有责任均由供应商承担。</w:t>
      </w: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青山水库会商、视频及办公室设备维护</w:t>
      </w:r>
    </w:p>
    <w:p>
      <w:pPr>
        <w:tabs>
          <w:tab w:val="left" w:pos="432"/>
        </w:tabs>
        <w:spacing w:line="500" w:lineRule="exact"/>
        <w:ind w:left="560"/>
        <w:rPr>
          <w:rFonts w:hint="eastAsia" w:ascii="宋体" w:hAnsi="宋体" w:eastAsia="宋体" w:cs="宋体"/>
          <w:color w:val="000000"/>
          <w:szCs w:val="24"/>
        </w:rPr>
      </w:pPr>
      <w:bookmarkStart w:id="74" w:name="_Toc536528268"/>
      <w:r>
        <w:rPr>
          <w:rFonts w:hint="eastAsia" w:ascii="宋体" w:hAnsi="宋体" w:eastAsia="宋体" w:cs="宋体"/>
          <w:color w:val="000000"/>
          <w:szCs w:val="24"/>
        </w:rPr>
        <w:t>一、办公设备</w:t>
      </w:r>
      <w:bookmarkEnd w:id="74"/>
      <w:r>
        <w:rPr>
          <w:rFonts w:hint="eastAsia" w:ascii="宋体" w:hAnsi="宋体" w:eastAsia="宋体" w:cs="宋体"/>
          <w:color w:val="000000"/>
          <w:szCs w:val="24"/>
        </w:rPr>
        <w:t>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计算机（包含组装机、品牌机）和笔记本维护管理内容：</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1、常操作系统、应用软件安装、调试；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2、防病毒软件的安装和定期升级；</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3、每个季度进行一次台式计算机、笔记本操作系统维护、检查、升级；</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4、每个月对计算机病毒检查和杀毒；</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5、每半年用屏保液体清理和养护显示器；</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6、协助解决品牌机或者组装机在保修期内出现的故障，包括联系厂家或者供应商，尽快排除故障，完成修理，保证使用。</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打印机、传真机、扫描仪维护管理内容：</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1、日常墨盒的更换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2、每月对打印机导轴进行擦拭清理，保证打印头或者墨盒移动正常，每季度保养一次硒鼓与墨盒；</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3、每个季度对传真机进行一次维护，将合纸舱盖打开使用干净柔软的布或使用纱沾酒精擦拭打印机头、滚筒或扫描仪部件；</w:t>
      </w:r>
    </w:p>
    <w:p>
      <w:pPr>
        <w:tabs>
          <w:tab w:val="left" w:pos="432"/>
        </w:tabs>
        <w:spacing w:line="500" w:lineRule="exact"/>
        <w:ind w:left="560"/>
        <w:rPr>
          <w:rFonts w:hint="eastAsia" w:ascii="宋体" w:hAnsi="宋体" w:eastAsia="宋体" w:cs="宋体"/>
          <w:color w:val="000000"/>
          <w:szCs w:val="24"/>
        </w:rPr>
      </w:pPr>
      <w:bookmarkStart w:id="75" w:name="_Toc536528269"/>
      <w:r>
        <w:rPr>
          <w:rFonts w:hint="eastAsia" w:ascii="宋体" w:hAnsi="宋体" w:eastAsia="宋体" w:cs="宋体"/>
          <w:color w:val="000000"/>
          <w:szCs w:val="24"/>
        </w:rPr>
        <w:t>二、会商系统</w:t>
      </w:r>
      <w:bookmarkEnd w:id="75"/>
      <w:r>
        <w:rPr>
          <w:rFonts w:hint="eastAsia" w:ascii="宋体" w:hAnsi="宋体" w:eastAsia="宋体" w:cs="宋体"/>
          <w:color w:val="000000"/>
          <w:szCs w:val="24"/>
        </w:rPr>
        <w:t>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1、每周五设备开机巡检，测试全套系统运行状态，检查是否达到正常会商会议要求，检查设备性能、辅件工作情况，发现问题的及时联系厂商检修处理。</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2、会场场景巡查，进行日常会议联调测试时进行，结合设开机联调测试时，对会场场景布置进行灯、光、视角效果等全面检查。发现问题及时整改落实。</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3、水利视频会商保障专项巡检，在汛情到来前要对系统进行全面巡检巡查，每年5月至10月期间，对水利视频会商系统每周进行一次全面巡检。</w:t>
      </w:r>
    </w:p>
    <w:p>
      <w:pPr>
        <w:tabs>
          <w:tab w:val="left" w:pos="432"/>
        </w:tabs>
        <w:spacing w:line="500" w:lineRule="exact"/>
        <w:ind w:left="560"/>
        <w:rPr>
          <w:rFonts w:hint="eastAsia" w:ascii="宋体" w:hAnsi="宋体" w:eastAsia="宋体" w:cs="宋体"/>
          <w:color w:val="000000"/>
          <w:szCs w:val="24"/>
        </w:rPr>
      </w:pPr>
      <w:bookmarkStart w:id="76" w:name="_Toc536528270"/>
      <w:r>
        <w:rPr>
          <w:rFonts w:hint="eastAsia" w:ascii="宋体" w:hAnsi="宋体" w:eastAsia="宋体" w:cs="宋体"/>
          <w:color w:val="000000"/>
          <w:szCs w:val="24"/>
        </w:rPr>
        <w:t>三、视频监控系统</w:t>
      </w:r>
      <w:bookmarkEnd w:id="76"/>
      <w:r>
        <w:rPr>
          <w:rFonts w:hint="eastAsia" w:ascii="宋体" w:hAnsi="宋体" w:eastAsia="宋体" w:cs="宋体"/>
          <w:color w:val="000000"/>
          <w:szCs w:val="24"/>
        </w:rPr>
        <w:t>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1、每日远程平台巡检视频点，做好巡检记录表；</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2、对出现故障的视频的维护要做记录；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3、每周对前端监控摄像头、监控电源、支架做一次巡检，并做好记录；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4、每个季度对解码器、录像机、监控硬盘等设备除尘和容量检查；5、每季度对视频信号、摄像头供电线路的检查、故障排除、隐患排查。</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6、设备故障维护，在合同有效期内，设备故障维修，维修费用小于500元时，报备业主单位，由维护单位承担，维护费用大于等于500元，维护人员需报备业主单位，维护费用由业主单位承担。</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7、年中、年末提供巡检报告、维护记录表、和总结报给业主单位。</w:t>
      </w:r>
    </w:p>
    <w:p>
      <w:pPr>
        <w:tabs>
          <w:tab w:val="left" w:pos="432"/>
        </w:tabs>
        <w:spacing w:line="500" w:lineRule="exact"/>
        <w:ind w:left="560"/>
        <w:rPr>
          <w:rFonts w:hint="eastAsia" w:ascii="宋体" w:hAnsi="宋体" w:eastAsia="宋体" w:cs="宋体"/>
          <w:color w:val="000000"/>
          <w:szCs w:val="24"/>
        </w:rPr>
      </w:pPr>
      <w:bookmarkStart w:id="77" w:name="_Toc536528271"/>
      <w:r>
        <w:rPr>
          <w:rFonts w:hint="eastAsia" w:ascii="宋体" w:hAnsi="宋体" w:eastAsia="宋体" w:cs="宋体"/>
          <w:color w:val="000000"/>
          <w:szCs w:val="24"/>
        </w:rPr>
        <w:t>四、机房设备</w:t>
      </w:r>
      <w:bookmarkEnd w:id="77"/>
      <w:r>
        <w:rPr>
          <w:rFonts w:hint="eastAsia" w:ascii="宋体" w:hAnsi="宋体" w:eastAsia="宋体" w:cs="宋体"/>
          <w:color w:val="000000"/>
          <w:szCs w:val="24"/>
        </w:rPr>
        <w:t>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1、每日对机房巡检（含机房设供电系统、UPS系统、精密空调系统、录像系统等设备进行检查，及时发现设备隐患、排除故障）；</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2、每周对服务器进行杀毒软件更新杀毒、检查系统日志等；检查服务器运行状态，定期远程清除系统垃圾；检查设备是否异常，检查服务器运行日志，着重查看磁盘空间、内存等使用情况。</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3、设备故障维护，在合同有效期内，设备故障维修，维修费用小于500元时，报备业主单位，由维护单位承担，维护费用大于等于500元，维护人员需报备业主单位，维护费用由业主单位承担。</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4、做好网络维护和安全检查，做好安全防范措施。</w:t>
      </w:r>
    </w:p>
    <w:p>
      <w:pPr>
        <w:tabs>
          <w:tab w:val="left" w:pos="432"/>
        </w:tabs>
        <w:spacing w:line="500" w:lineRule="exact"/>
        <w:ind w:left="560"/>
        <w:rPr>
          <w:rFonts w:hint="eastAsia" w:ascii="宋体" w:hAnsi="宋体" w:eastAsia="宋体" w:cs="宋体"/>
          <w:color w:val="000000"/>
          <w:szCs w:val="24"/>
        </w:rPr>
      </w:pPr>
      <w:r>
        <w:rPr>
          <w:rFonts w:hint="eastAsia" w:ascii="宋体" w:hAnsi="宋体" w:eastAsia="宋体" w:cs="宋体"/>
          <w:color w:val="000000"/>
          <w:szCs w:val="24"/>
        </w:rPr>
        <w:t>五、LED维护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在大院、防汛桥头、隧洞水文站房、防汛会议室设有彩色和单基色LED屏，维护方负责上述LED屏的操作及日常维护和故障解决。</w:t>
      </w:r>
    </w:p>
    <w:p>
      <w:pPr>
        <w:spacing w:line="500" w:lineRule="exact"/>
        <w:outlineLvl w:val="3"/>
        <w:rPr>
          <w:rFonts w:hint="eastAsia" w:ascii="宋体" w:hAnsi="宋体" w:eastAsia="宋体" w:cs="宋体"/>
          <w:b/>
          <w:bCs/>
          <w:color w:val="000000"/>
          <w:szCs w:val="24"/>
        </w:rPr>
      </w:pPr>
      <w:r>
        <w:rPr>
          <w:rFonts w:hint="eastAsia" w:ascii="宋体" w:hAnsi="宋体" w:eastAsia="宋体" w:cs="宋体"/>
          <w:b/>
          <w:bCs/>
          <w:color w:val="000000"/>
          <w:szCs w:val="24"/>
        </w:rPr>
        <w:t>其它要求</w:t>
      </w:r>
    </w:p>
    <w:p>
      <w:pPr>
        <w:numPr>
          <w:ilvl w:val="0"/>
          <w:numId w:val="47"/>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人员配备方面，养护单位必须要根据水库中心的防汛应急预案起草防汛工作预案，包括泄洪期间巡查，汛期值班等。</w:t>
      </w:r>
    </w:p>
    <w:p>
      <w:pPr>
        <w:numPr>
          <w:ilvl w:val="0"/>
          <w:numId w:val="47"/>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要及时提交汛前、汛后工程检查报告，年度管理工作总结及专项维修工作报告等。</w:t>
      </w:r>
    </w:p>
    <w:p>
      <w:pPr>
        <w:numPr>
          <w:ilvl w:val="0"/>
          <w:numId w:val="47"/>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工作人员巡查期间，发现毁坏水工程设施、树木花草、违章建筑等不良行为的，必须及时制止和举报。</w:t>
      </w:r>
    </w:p>
    <w:p>
      <w:pPr>
        <w:numPr>
          <w:ilvl w:val="0"/>
          <w:numId w:val="47"/>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不发生上级领导批评、新闻媒体曝光或群众投诉等造成较大社会影响的事件。</w:t>
      </w:r>
    </w:p>
    <w:p>
      <w:pPr>
        <w:numPr>
          <w:ilvl w:val="0"/>
          <w:numId w:val="47"/>
        </w:num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供应商必须落实好安全生产管理制度，并上墙公示。对有外业操作的人员做好安全保护措施。</w:t>
      </w:r>
    </w:p>
    <w:p>
      <w:pPr>
        <w:numPr>
          <w:ilvl w:val="0"/>
          <w:numId w:val="47"/>
        </w:numPr>
        <w:spacing w:line="500" w:lineRule="exact"/>
        <w:ind w:firstLine="480" w:firstLineChars="200"/>
        <w:rPr>
          <w:rFonts w:hint="eastAsia" w:ascii="宋体" w:hAnsi="宋体" w:eastAsia="宋体" w:cs="宋体"/>
          <w:color w:val="000000"/>
          <w:szCs w:val="24"/>
        </w:rPr>
        <w:sectPr>
          <w:headerReference r:id="rId15" w:type="first"/>
          <w:footerReference r:id="rId17" w:type="first"/>
          <w:headerReference r:id="rId14" w:type="default"/>
          <w:footerReference r:id="rId16" w:type="default"/>
          <w:pgSz w:w="11906" w:h="16838"/>
          <w:pgMar w:top="680" w:right="1418" w:bottom="471" w:left="1418" w:header="851" w:footer="992" w:gutter="0"/>
          <w:cols w:space="720" w:num="1"/>
          <w:titlePg/>
          <w:docGrid w:linePitch="312" w:charSpace="0"/>
        </w:sectPr>
      </w:pPr>
    </w:p>
    <w:p>
      <w:pPr>
        <w:widowControl/>
        <w:spacing w:line="500" w:lineRule="exact"/>
        <w:jc w:val="center"/>
        <w:outlineLvl w:val="2"/>
        <w:rPr>
          <w:rFonts w:hint="eastAsia" w:ascii="宋体" w:hAnsi="宋体" w:eastAsia="宋体" w:cs="宋体"/>
          <w:b/>
          <w:color w:val="000000"/>
        </w:rPr>
      </w:pPr>
      <w:r>
        <w:rPr>
          <w:rFonts w:hint="eastAsia" w:ascii="宋体" w:hAnsi="宋体" w:eastAsia="宋体" w:cs="宋体"/>
          <w:b/>
          <w:color w:val="000000"/>
        </w:rPr>
        <w:t>电站运行和日常维修、养护、安保有关技术要求</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电站管理应满足安全运行要求，实现全年安全生产无事故，确保电站安全生产标准化二级达标。</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承包合同期限内，供应商按照运行和日常维修、养护、安保质量标准，制定运行和日常维修、养护、安保方案，合理组织，精心养护和运行，服从业主的管理和考核。并根据工作需要，灵活派出多名有经验的人员，确保电站设备维修养护质量和安全运行。</w:t>
      </w:r>
    </w:p>
    <w:p>
      <w:pPr>
        <w:autoSpaceDE w:val="0"/>
        <w:autoSpaceDN w:val="0"/>
        <w:spacing w:line="50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1 运行和日常维修、养护、安保服务基本要求</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电站运行维护人员必须熟悉和严格执行有关规程、制度，掌握必要的电工、机械基础知识，熟悉电站设备参数。运行值班及其他特种作业人员须经岗位培训合格，持证上岗。持证上岗率应达到100%；</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严格执行电力调度和水库中心调度命令，调度令执行率应达100%，</w:t>
      </w:r>
    </w:p>
    <w:p>
      <w:pPr>
        <w:autoSpaceDE w:val="0"/>
        <w:autoSpaceDN w:val="0"/>
        <w:spacing w:line="500" w:lineRule="exact"/>
        <w:ind w:firstLine="480" w:firstLineChars="200"/>
        <w:rPr>
          <w:rFonts w:hint="eastAsia" w:ascii="宋体" w:hAnsi="宋体" w:eastAsia="宋体" w:cs="宋体"/>
          <w:color w:val="000000"/>
          <w:szCs w:val="24"/>
          <w:u w:val="single"/>
        </w:rPr>
      </w:pPr>
      <w:r>
        <w:rPr>
          <w:rFonts w:hint="eastAsia" w:ascii="宋体" w:hAnsi="宋体" w:eastAsia="宋体" w:cs="宋体"/>
          <w:color w:val="000000"/>
          <w:szCs w:val="24"/>
          <w:u w:val="single"/>
        </w:rPr>
        <w:t>严格执行“两票三制”，“两票”合格率和执行率达到100%；</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电站所有设备应有明确标志及编号。</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按规定进行设备、设施评级，电站设备、设施完好率应达到98%，</w:t>
      </w:r>
    </w:p>
    <w:p>
      <w:pPr>
        <w:autoSpaceDE w:val="0"/>
        <w:autoSpaceDN w:val="0"/>
        <w:spacing w:line="50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2 维修养护方面</w:t>
      </w:r>
    </w:p>
    <w:p>
      <w:pPr>
        <w:autoSpaceDE w:val="0"/>
        <w:autoSpaceDN w:val="0"/>
        <w:spacing w:line="500" w:lineRule="exact"/>
        <w:ind w:firstLine="480" w:firstLineChars="200"/>
        <w:rPr>
          <w:rFonts w:hint="eastAsia" w:ascii="宋体" w:hAnsi="宋体" w:eastAsia="宋体" w:cs="宋体"/>
          <w:color w:val="000000"/>
          <w:szCs w:val="24"/>
          <w:u w:val="single"/>
        </w:rPr>
      </w:pPr>
      <w:r>
        <w:rPr>
          <w:rFonts w:hint="eastAsia" w:ascii="宋体" w:hAnsi="宋体" w:eastAsia="宋体" w:cs="宋体"/>
          <w:color w:val="000000"/>
          <w:szCs w:val="24"/>
        </w:rPr>
        <w:t>养护工作应做到及时消除电站设施及设备表面的缺陷和局部工程问题，</w:t>
      </w:r>
      <w:r>
        <w:rPr>
          <w:rFonts w:hint="eastAsia" w:ascii="宋体" w:hAnsi="宋体" w:eastAsia="宋体" w:cs="宋体"/>
          <w:color w:val="000000"/>
          <w:szCs w:val="24"/>
          <w:u w:val="single"/>
        </w:rPr>
        <w:t>主设备消缺率达到100%。防止</w:t>
      </w:r>
      <w:r>
        <w:rPr>
          <w:rFonts w:hint="eastAsia" w:ascii="宋体" w:hAnsi="宋体" w:eastAsia="宋体" w:cs="宋体"/>
          <w:color w:val="000000"/>
          <w:szCs w:val="24"/>
        </w:rPr>
        <w:t>随时可能发生的损坏，保持电站全部设备设施的整洁、安全、完好和正常运用。</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（1）水力机械</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水力机械设备应严格按照规程规定维护、试验，发现缺陷要及时处理。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技术供水泵、消防水泵、排水泵应按照规程规定维护、试验，发现缺陷要及时处理。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油、气、水系统按规定涂色，并标明流动方向。</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电站的计量器具、指示仪表、安全阀、压力容器维护、试验，应符合有关部门规定。</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（2）电气设备</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发电机、主变压器设备及直流系统应按照规程规定周期进行维护。</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一次、二次设备及水阻设备应按照规程规定周期进行维护。</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（3）金属结构</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蝶阀、压力钢管应按照规程规定周期进行维护。</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起吊设备应按规定周期进行检修。</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（4）水工建筑物</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电站厂房和其它建筑物应按照相关规定进行维护和观测，并满足安全生产和文明生产要求。</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（5）通讯</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电站通讯应保证畅通，通讯设备应符合有关规程要求，满足运行需要。</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电站应保证站与上级管理部门、站与调度之间通讯可靠性。</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（6）维护工器具及备品备件</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工具、仪器仪表应按规定周期进行试验、鉴定。</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备品备件应配置合理，应满足运行维护需要。</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备品备件分类存放，摆放位置合理、整齐。</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库房通风、湿度应满足存放要求，照明灯具应采用防爆型。</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库房消防、防盗措施应满足有关要求。</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装置性设备材料和备品备件材料费由甲供。</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（7）电站设备设施评级</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设备、设施应按照设备评级标准由电站进行评级,每年评定一次，并填写“水电站设备、设施评级表”和“水电站设备、设施评级汇总表”，根据水电站设备、设施评级报告，应制定三类设备整改计划，并按计划完成整改。</w:t>
      </w:r>
    </w:p>
    <w:p>
      <w:pPr>
        <w:autoSpaceDE w:val="0"/>
        <w:autoSpaceDN w:val="0"/>
        <w:spacing w:line="50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3 运行管理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（1）项目经理或技术负责人必须是电气中级职称以上（含中级职称）或者电气技师。</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（2）值班管理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严格履行值班人员岗位职责，完成当值运行、维护、操作和日常管理工作。</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值班人员在执行工作票、操作票时要认真审核，工作结束后应及时交回。</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严格执行交接班制度，交接时值班人员应掌握全厂设备运行情况。</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值班人员应按设备巡回检查制度要求，对运行设备定时、定点按巡视路线进行巡视检查。</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值班人员发现设备缺陷，按照设备缺陷管理制度要求进行处理。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值班人员按照要求应认真填写各种记录。</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（3）应具备相应的法规及规程、具备适应本站运行需要的其他法律和规程（《小型水电站运行维护技术规范》规定的目录）</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（4）应悬挂的图表</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电气主接线模拟板；安全运行揭示板；调速系统及油、水、气系统图；水轮机运行特性曲线图；电气防误闭锁装置模拟图；设备巡视路线图，消防器材布置（应急疏散通道）示意图，厂用电系统图，直流系统图等。</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（5）应具备的提示图表</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设备主要运行参数表；有权签发工作票人员、工作负责人和工作许可人名单；接地选择顺位表；继电保护及自动装置定值表；紧急停机操作顺序表；事故处理紧急使用电话表等。</w:t>
      </w:r>
    </w:p>
    <w:p>
      <w:pPr>
        <w:autoSpaceDE w:val="0"/>
        <w:autoSpaceDN w:val="0"/>
        <w:spacing w:line="500" w:lineRule="exact"/>
        <w:ind w:firstLine="600" w:firstLineChars="250"/>
        <w:rPr>
          <w:rFonts w:hint="eastAsia" w:ascii="宋体" w:hAnsi="宋体" w:eastAsia="宋体" w:cs="宋体"/>
          <w:color w:val="000000"/>
          <w:szCs w:val="24"/>
        </w:rPr>
      </w:pPr>
      <w:r>
        <w:rPr>
          <w:rFonts w:hint="eastAsia" w:ascii="宋体" w:hAnsi="宋体" w:eastAsia="宋体" w:cs="宋体"/>
          <w:color w:val="000000"/>
          <w:szCs w:val="24"/>
        </w:rPr>
        <w:t>(6)应具备并填写的记录（表，不限）</w:t>
      </w:r>
    </w:p>
    <w:p>
      <w:pPr>
        <w:autoSpaceDE w:val="0"/>
        <w:autoSpaceDN w:val="0"/>
        <w:spacing w:line="500" w:lineRule="exact"/>
        <w:ind w:firstLine="600" w:firstLineChars="250"/>
        <w:rPr>
          <w:rFonts w:hint="eastAsia" w:ascii="宋体" w:hAnsi="宋体" w:eastAsia="宋体" w:cs="宋体"/>
          <w:color w:val="000000"/>
          <w:szCs w:val="24"/>
        </w:rPr>
      </w:pPr>
      <w:r>
        <w:rPr>
          <w:rFonts w:hint="eastAsia" w:ascii="宋体" w:hAnsi="宋体" w:eastAsia="宋体" w:cs="宋体"/>
          <w:color w:val="000000"/>
          <w:szCs w:val="24"/>
        </w:rPr>
        <w:t>运行记录（格式自定）；交接班记录；运行分析记录；安全活动工作记录；设备检修试验记录；万用钥匙使用记录；反事故演习记录；设备事故处理记录；设备缺陷及处理记录；电气绝缘工具和安全用具检查试验记录；避雷器动作记录；指令、指示记录；电站机组启停记录；水轮机自动装置故障动作记录；开关、继电保护及自动装置动作记录继电保护及自动装置调试记录；工具及备品备件清册记录；蓄电池测试记录；水电站设备、设施评级表；水电站设备、设施评级汇总表；外来人员记录；上岗人员考核记录等。</w:t>
      </w:r>
    </w:p>
    <w:p>
      <w:pPr>
        <w:autoSpaceDE w:val="0"/>
        <w:autoSpaceDN w:val="0"/>
        <w:spacing w:line="500" w:lineRule="exact"/>
        <w:ind w:firstLine="600" w:firstLineChars="250"/>
        <w:rPr>
          <w:rFonts w:hint="eastAsia" w:ascii="宋体" w:hAnsi="宋体" w:eastAsia="宋体" w:cs="宋体"/>
          <w:color w:val="000000"/>
          <w:szCs w:val="24"/>
        </w:rPr>
      </w:pPr>
      <w:r>
        <w:rPr>
          <w:rFonts w:hint="eastAsia" w:ascii="宋体" w:hAnsi="宋体" w:eastAsia="宋体" w:cs="宋体"/>
          <w:color w:val="000000"/>
          <w:szCs w:val="24"/>
        </w:rPr>
        <w:t>(7)应具备的管理制度</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工作票制度；操作票制度;交接班制度；设备巡视检查制度；设备缺陷管理制度；设备定期轮换制度；设备检修管理制度；设备验收管理制度；设备、设施缺陷及处理管理制度；备品备件管理制度；安全管理制度；防汛及突发事件管理制度；应急设备管理制度；消防管理制度；设备、设施评级管理制度；其它适应本站的管理制度。</w:t>
      </w:r>
    </w:p>
    <w:p>
      <w:pPr>
        <w:autoSpaceDE w:val="0"/>
        <w:autoSpaceDN w:val="0"/>
        <w:spacing w:line="50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4 检修管理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（1）一般检修</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设备检修，必须贯彻“预防为主”的方针，坚持“应修必修，修必修好”的原则，按照设备检测、数据分析，逐步过渡到状态检修。</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设备检修应采用先进工艺和检修工器具，缩短检修工期，按照规程要求，确保检修质量。</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运行维护单位应根据发电设备的健康状况，制定检修计划，经批准后严格按计划执行。</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（2）事故抢修</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运行维护单位应建立健全事故、突发事件的抢修机制、应急机制，以保证发电设备事故、突发事件出现时能快速组织抢修与处理。抢修机制包括：指挥系统及人员组成、通信工具和联系方式、作业机具、抢修材料的准备等。</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用于发电设备及突发事件抢修的工器具、照明设施应设专人保管、维护，并定期进行检查、试验，使之经常处于完好状态。</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运行维护单位应结合实际制定典型事故抢修预案，预案的确立应经本单位生产主管部门审核批准。典型事故抢修预案一经批准，应尽快贯彻落实到每个抢修人员，使其能熟悉抢修过程及所担负的岗位职责。</w:t>
      </w:r>
    </w:p>
    <w:p>
      <w:pPr>
        <w:autoSpaceDE w:val="0"/>
        <w:autoSpaceDN w:val="0"/>
        <w:spacing w:line="500" w:lineRule="exact"/>
        <w:ind w:firstLine="602" w:firstLineChars="250"/>
        <w:rPr>
          <w:rFonts w:hint="eastAsia" w:ascii="宋体" w:hAnsi="宋体" w:eastAsia="宋体" w:cs="宋体"/>
          <w:b/>
          <w:color w:val="000000"/>
          <w:szCs w:val="24"/>
        </w:rPr>
      </w:pPr>
      <w:r>
        <w:rPr>
          <w:rFonts w:hint="eastAsia" w:ascii="宋体" w:hAnsi="宋体" w:eastAsia="宋体" w:cs="宋体"/>
          <w:b/>
          <w:color w:val="000000"/>
          <w:szCs w:val="24"/>
        </w:rPr>
        <w:t>5 机组设备年度大修</w:t>
      </w:r>
    </w:p>
    <w:p>
      <w:pPr>
        <w:autoSpaceDE w:val="0"/>
        <w:autoSpaceDN w:val="0"/>
        <w:spacing w:line="500" w:lineRule="exact"/>
        <w:ind w:firstLine="602" w:firstLineChars="250"/>
        <w:rPr>
          <w:rFonts w:hint="eastAsia" w:ascii="宋体" w:hAnsi="宋体" w:eastAsia="宋体" w:cs="宋体"/>
          <w:b/>
          <w:color w:val="000000"/>
          <w:szCs w:val="24"/>
        </w:rPr>
      </w:pPr>
      <w:r>
        <w:rPr>
          <w:rFonts w:hint="eastAsia" w:ascii="宋体" w:hAnsi="宋体" w:eastAsia="宋体" w:cs="宋体"/>
          <w:b/>
          <w:color w:val="000000"/>
          <w:szCs w:val="24"/>
        </w:rPr>
        <w:t>运行维护单位应根据《农村水电站管理技术规程》7.15定期检修（表2）“机电设备大修间隔”的规定和设备运行状况,每年制定一台机组设备大修计划和方案，按照规程要求，定期进行设备的大修，做好大修安全管理工作，确保大修质量和人身、设备安全。</w:t>
      </w:r>
    </w:p>
    <w:p>
      <w:pPr>
        <w:autoSpaceDE w:val="0"/>
        <w:autoSpaceDN w:val="0"/>
        <w:spacing w:line="500" w:lineRule="exact"/>
        <w:ind w:firstLine="602" w:firstLineChars="250"/>
        <w:rPr>
          <w:rFonts w:hint="eastAsia" w:ascii="宋体" w:hAnsi="宋体" w:eastAsia="宋体" w:cs="宋体"/>
          <w:b/>
          <w:color w:val="000000"/>
          <w:szCs w:val="24"/>
        </w:rPr>
      </w:pPr>
      <w:r>
        <w:rPr>
          <w:rFonts w:hint="eastAsia" w:ascii="宋体" w:hAnsi="宋体" w:eastAsia="宋体" w:cs="宋体"/>
          <w:b/>
          <w:color w:val="000000"/>
          <w:szCs w:val="24"/>
        </w:rPr>
        <w:t>定期大修宜安排在枯水季节。大修结束后，应提交机组设备年度大修报告。</w:t>
      </w:r>
    </w:p>
    <w:p>
      <w:pPr>
        <w:autoSpaceDE w:val="0"/>
        <w:autoSpaceDN w:val="0"/>
        <w:spacing w:line="50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6 安全管理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（1）基本要求</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坚持“安全第一、预防为主”的方针，根据本站实际制定防洪预案和突发事件预案，并经有关部门批准，应进行实际演练。</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发生事故应及时上报，按照有关规定进行等级区分。对隐瞒不报或降低事故等级及阻碍事故调查的要追究有关项目部责任。</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严格执行工作票、操作票制度，严禁无票作业、无票操作。</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根据设备状况制定反事故组织措施、技术措施，定期进行检查、督促。</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结合水力发电行业分析与本站运行方式相似的事故案例，找出事故原因，制定反事故措施。</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定期开展反事故演习，并记录演习情况。</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(2)安全工器具管理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安全工器具按规定配齐，要有专柜存放，摆放位置要有相对应的编号，并设有安全负责人。</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安全工器具编号清晰，粘贴的合格证不影响使用性能，试验报告单齐全。</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安全工器具应按规定配备，定期试验合格方可使用;已损坏的应及时报废并及时更换补齐。</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交接班和使用前应认真检查，发现损坏禁止使用。</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绝缘杆、验电器应标明使用电压等级。</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接地线数量，按能满足最大检修方式配置。</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(3)消防、保卫管理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按照消防管理部门的法规及要求，制定消防措施并认真执行。</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消防器具的配置应符合消防部门的规定，消防器具摆放位置要科学合理。定期检查消防器具完好情况并清点数量，记入相关记录。</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设备室或设备区不得存放易燃、易爆物品，确因工作需要在设备区使用易燃、易爆物品，应加强管理，并按规定要求使用，工作结束后立即撤出。</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运行值班人员，应掌握消防知识和消防器材的正确使用方法。</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要做好安全保卫工作，装设防盗报警系统的应定期检查、试验报警装置完好性。</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运行值班人员，应熟知报警电话和报警方法。</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定期开展反事故演习，并记录演习情况。</w:t>
      </w:r>
    </w:p>
    <w:p>
      <w:pPr>
        <w:autoSpaceDE w:val="0"/>
        <w:autoSpaceDN w:val="0"/>
        <w:spacing w:line="50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7 岗位培训管理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（1）一般要求</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应按有关规定制定年度培训计划，由项目或技术负责人监督培训计划的落实。</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结合工作实际，采取多种形式对职工进行专业技术培训。</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新入厂运行、检修人员应进行专业技术、安全培训，合格后方可从事相应工作，履行上岗手续，持证上岗。</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运行人员因工作调动或其他原因离岗超过三个月以上者，必须履行考试和审批手续，符合要求方可准许从事运行工作。</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在新设备、新技术、新工艺使用之前应对所有运行、检修人员进行重点培训。</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根据本单位实际情况安排规程和现场运行规程学习。</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（2）培训要求</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掌握电站设备运行情况、设备技术参数和设备布置情况，一、二次设备的接线和运行方式；掌握油气水系统布置方式和运行方式，设备的运行、维护、倒闸操作方法和注意事项，输水系统运行方式、电站突发事件应急预案及自己所执行的任务；掌握调度、运行、安全工作规程和运行管理制度；掌握检修、试验、继电保护规程的有关内容；掌握本站现场运行规程和各种规章制度。</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了解设备结构、原理，熟练掌握现场操作技术。能够根据设备运行情况和巡视结果，分析判断设备健康状况，掌握设备缺陷和运行薄弱环节。能根据仪表、信号指示和设备异常情况，正确判断事故原因，并能做到迅速、正确地处理事故。</w:t>
      </w:r>
    </w:p>
    <w:p>
      <w:pPr>
        <w:autoSpaceDE w:val="0"/>
        <w:autoSpaceDN w:val="0"/>
        <w:spacing w:line="50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8 文明生产管理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确保环境美化，厂区内路面平整，排水沟畅通。护坡挡土墙完好，无杂草。有清洁顺畅的巡视通道，标志清晰、名称准确。</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设备干净整洁，厂房门窗玻璃完好，房屋无渗漏水现象，厂房内卫生清洁。</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仪器仪表、备品备件，各种资料书籍及记录簿设有专柜或专架，分类存放，摆放整齐。</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各种图表（板）悬挂整齐，各种盘柜、钥匙箱、值班桌及各种用具完好整洁。</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电缆沟内清洁，电缆沟盖板齐全完好，防火性能良好。</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禁止在中控室、主机室等重要场所从事与生产无关的工作。</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值班人员应服装整洁、规范，并佩带值班标志，严禁穿拖鞋、高跟鞋、裙子、短裤值班，女同志长发者应盘发戴工作帽。严禁上班饮酒和酒后值班。严禁在厂区内抽烟。</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生产区应设有围墙（围栏），厂区内照明灯具齐全完好。</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厂区内不准饲养家禽、家畜。</w:t>
      </w:r>
    </w:p>
    <w:p>
      <w:pPr>
        <w:autoSpaceDE w:val="0"/>
        <w:autoSpaceDN w:val="0"/>
        <w:spacing w:line="50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9 档案管理</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接受上级管理部门检查和业务指导。</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档案管理设有专用档案柜，满足档案管理要求。</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按年度归档立卷，分类存放。</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使用微机化档案管理的要有备份档案。</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建立技术档案和技术资料管理制度。</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按电站标准化要求做好台帐资料，装订成册归档。</w:t>
      </w:r>
    </w:p>
    <w:p>
      <w:pPr>
        <w:autoSpaceDE w:val="0"/>
        <w:autoSpaceDN w:val="0"/>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应具备技术资料：施工设计报告及全套图纸；竣工报告及竣工全套图纸；设备出厂说明书及图纸资料；出厂试验记录；安装图纸、安装记录及有关资料;交接试验报告及有关资料;历年电气设备预防性试验报告;设备台帐、设备缺陷管理档案;设备改造和大、小修记录及其试验报告；设备事故、故障及运行专题分析报告；历年设备等级评定报告；历年安全管理分类报告；在岗人员培训考核记录等</w:t>
      </w:r>
      <w:r>
        <w:rPr>
          <w:rFonts w:hint="eastAsia" w:ascii="宋体" w:hAnsi="宋体" w:cs="宋体"/>
          <w:color w:val="000000"/>
          <w:szCs w:val="24"/>
        </w:rPr>
        <w:t>。</w:t>
      </w:r>
    </w:p>
    <w:p>
      <w:pPr>
        <w:autoSpaceDE w:val="0"/>
        <w:autoSpaceDN w:val="0"/>
        <w:spacing w:line="500" w:lineRule="exact"/>
        <w:ind w:firstLine="480" w:firstLineChars="200"/>
        <w:rPr>
          <w:rFonts w:hint="eastAsia" w:ascii="宋体" w:hAnsi="宋体" w:eastAsia="宋体" w:cs="宋体"/>
          <w:color w:val="000000"/>
          <w:szCs w:val="24"/>
        </w:rPr>
        <w:sectPr>
          <w:headerReference r:id="rId18" w:type="default"/>
          <w:footerReference r:id="rId19" w:type="default"/>
          <w:pgSz w:w="11907" w:h="16840"/>
          <w:pgMar w:top="1418" w:right="1418" w:bottom="1418" w:left="1474" w:header="907" w:footer="964" w:gutter="0"/>
          <w:cols w:space="720" w:num="1"/>
          <w:titlePg/>
          <w:docGrid w:linePitch="457" w:charSpace="2270"/>
        </w:sectPr>
      </w:pPr>
    </w:p>
    <w:p>
      <w:pPr>
        <w:widowControl/>
        <w:spacing w:line="500" w:lineRule="exact"/>
        <w:jc w:val="center"/>
        <w:outlineLvl w:val="2"/>
        <w:rPr>
          <w:rFonts w:hint="eastAsia" w:ascii="宋体" w:hAnsi="宋体" w:eastAsia="宋体" w:cs="宋体"/>
          <w:b/>
          <w:color w:val="000000"/>
          <w:szCs w:val="24"/>
        </w:rPr>
      </w:pPr>
      <w:r>
        <w:rPr>
          <w:rFonts w:hint="eastAsia" w:ascii="宋体" w:hAnsi="宋体" w:eastAsia="宋体" w:cs="宋体"/>
          <w:b/>
          <w:color w:val="000000"/>
          <w:szCs w:val="24"/>
        </w:rPr>
        <w:t>**怖防范要求</w:t>
      </w:r>
    </w:p>
    <w:p>
      <w:pPr>
        <w:spacing w:line="500" w:lineRule="exact"/>
        <w:rPr>
          <w:rFonts w:hint="eastAsia" w:ascii="宋体" w:hAnsi="宋体" w:eastAsia="宋体" w:cs="宋体"/>
          <w:b/>
          <w:color w:val="000000"/>
          <w:szCs w:val="24"/>
        </w:rPr>
      </w:pPr>
      <w:r>
        <w:rPr>
          <w:rFonts w:hint="eastAsia" w:ascii="宋体" w:hAnsi="宋体" w:eastAsia="宋体" w:cs="宋体"/>
          <w:b/>
          <w:color w:val="000000"/>
          <w:szCs w:val="24"/>
        </w:rPr>
        <w:t>1 服务内容：</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负责采购人指定的区域的安全保卫工作，担负消防、治安的防范和处置。安保服务工作主要包括坝区守护，做好管理区域内及坝区防火、防盗、防破坏、防事故等安全工作，</w:t>
      </w:r>
      <w:r>
        <w:rPr>
          <w:rFonts w:hint="eastAsia" w:ascii="宋体" w:hAnsi="宋体" w:eastAsia="宋体" w:cs="宋体"/>
          <w:b/>
          <w:i/>
          <w:color w:val="000000"/>
          <w:szCs w:val="24"/>
        </w:rPr>
        <w:t>配备保安人员数不得少于12人</w:t>
      </w:r>
      <w:r>
        <w:rPr>
          <w:rFonts w:hint="eastAsia" w:ascii="宋体" w:hAnsi="宋体" w:eastAsia="宋体" w:cs="宋体"/>
          <w:color w:val="000000"/>
          <w:szCs w:val="24"/>
        </w:rPr>
        <w:t>。</w:t>
      </w:r>
      <w:r>
        <w:rPr>
          <w:rFonts w:hint="eastAsia" w:ascii="宋体" w:hAnsi="宋体" w:eastAsia="宋体" w:cs="宋体"/>
          <w:b/>
          <w:color w:val="000000"/>
          <w:kern w:val="0"/>
          <w:szCs w:val="24"/>
          <w:lang w:val="zh-CN"/>
        </w:rPr>
        <w:t>岗亭满足安防管理条例要求实行24小时执勤，同时做好服务区域内巡逻工作</w:t>
      </w:r>
      <w:r>
        <w:rPr>
          <w:rFonts w:hint="eastAsia" w:ascii="宋体" w:hAnsi="宋体" w:eastAsia="宋体" w:cs="宋体"/>
          <w:b/>
          <w:color w:val="000000"/>
          <w:szCs w:val="24"/>
        </w:rPr>
        <w:t>。</w:t>
      </w:r>
      <w:r>
        <w:rPr>
          <w:rFonts w:hint="eastAsia" w:ascii="宋体" w:hAnsi="宋体" w:eastAsia="宋体" w:cs="宋体"/>
          <w:color w:val="000000"/>
          <w:szCs w:val="24"/>
        </w:rPr>
        <w:t>保安人员的主要职责是：具体工作参照保安公司执勤工作规范及采购人的规章制度。</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1）保安员应严格履行保安人员规定的岗位职责要求，并遵守采购人符合法律规定的各项规章制度。</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2）发生在执勤区域内的事故案件时，保安员应及时处理并报告采购人和当地公安机关，采取措施保护发案现场，协助公安机关侦查各类治安刑事案件，依法妥善处理责任范围内的其它突发事件。</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3）保安员应落实防火、防盗、防破坏等安全防范措施，发现责任区域内的安全隐患，及时报告采购人并协助处理。</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4）供应商选派的保安员,按“保安服务管理条例”的要求进行培训，无违法犯罪前科，并向采购人提供保安人员的人事简历及相关证明材料。</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5）供应商应为保安人员配备制服及基本保安装备。供应商应与派出的保安人员建立正式劳动用工关系，签订劳动合同并缴纳养老、医疗等国家规定的劳动保险，承担一切劳动用工法律责任。在成交合同签订时，供应商应将与派出保安人员签订的劳动合同及相关劳动保险缴费凭证提交采购人备案。</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6）供应商应加强对保安员的在岗培训、监督和管理，确保安全服务的优质高效。</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7）保安人员在执勤期间，必须按规定佩带标志，严格执行采购人的规章制度，接受采购人主管领导的指导和管理，做到遵纪守法、文明执勤、礼貌待人、认真负责。保安人员严禁将外来人员带入值勤区域。</w:t>
      </w:r>
    </w:p>
    <w:p>
      <w:pPr>
        <w:spacing w:line="500" w:lineRule="exact"/>
        <w:ind w:firstLine="480" w:firstLineChars="200"/>
        <w:rPr>
          <w:rFonts w:hint="eastAsia" w:ascii="宋体" w:hAnsi="宋体" w:eastAsia="宋体" w:cs="宋体"/>
          <w:b/>
          <w:color w:val="000000"/>
          <w:kern w:val="0"/>
          <w:szCs w:val="24"/>
          <w:lang w:val="zh-CN"/>
        </w:rPr>
      </w:pPr>
      <w:r>
        <w:rPr>
          <w:rFonts w:hint="eastAsia" w:ascii="宋体" w:hAnsi="宋体" w:eastAsia="宋体" w:cs="宋体"/>
          <w:color w:val="000000"/>
          <w:szCs w:val="24"/>
        </w:rPr>
        <w:t>8）</w:t>
      </w:r>
      <w:r>
        <w:rPr>
          <w:rFonts w:hint="eastAsia" w:ascii="宋体" w:hAnsi="宋体" w:eastAsia="宋体" w:cs="宋体"/>
          <w:b/>
          <w:color w:val="000000"/>
          <w:szCs w:val="24"/>
        </w:rPr>
        <w:t>所有</w:t>
      </w:r>
      <w:r>
        <w:rPr>
          <w:rFonts w:hint="eastAsia" w:ascii="宋体" w:hAnsi="宋体" w:eastAsia="宋体" w:cs="宋体"/>
          <w:b/>
          <w:color w:val="000000"/>
          <w:kern w:val="0"/>
          <w:szCs w:val="24"/>
          <w:lang w:val="zh-CN"/>
        </w:rPr>
        <w:t>保安人员均应当持有保安员证。</w:t>
      </w:r>
    </w:p>
    <w:p>
      <w:pPr>
        <w:spacing w:line="500" w:lineRule="exact"/>
        <w:rPr>
          <w:rFonts w:hint="eastAsia" w:ascii="宋体" w:hAnsi="宋体" w:eastAsia="宋体" w:cs="宋体"/>
          <w:b/>
          <w:color w:val="000000"/>
          <w:szCs w:val="24"/>
        </w:rPr>
      </w:pPr>
      <w:r>
        <w:rPr>
          <w:rFonts w:hint="eastAsia" w:ascii="宋体" w:hAnsi="宋体" w:eastAsia="宋体" w:cs="宋体"/>
          <w:b/>
          <w:color w:val="000000"/>
          <w:szCs w:val="24"/>
        </w:rPr>
        <w:t>2 服务工作要求：</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1）质量目标要求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⑴ 依照行业标准，根据本区域管理规定与服务要求，制订切实可行的安保服务整体方案和应急预案，确保突发、应急事件反应迅速，处置有力。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⑵ 依法办事，文明值勤，严格管理，维护正常的工作秩序；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⑶ 全年无责任事故和责任案件发生，对安保服务满意率达85% 以上。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2）服务要求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⑴ 配备岗亭值勤、安全巡逻所需的防护器械等。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⑵ 按治安管理要求，派驻贵单位的安保人员应持身份证登记备案。值班、巡逻人员值班表每月提前报送水库中心。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⑶ 坚持文明执勤、文明上岗。上岗人员要仪表整洁卫生，站岗姿势要端正规范，指挥车辆动作要准确、标准，执勤语言要文明。</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⑷积极主动协调处理治安、消防等方面的突发事件，迅速排除各种险情，及时制止违法犯罪行为，及时报告各类案件、事故及其他重大问题和重要情况。</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⑸加强值班，创建文明值班室。值班场所做到整洁、卫生、有序，负责门前三包：“包安全、包卫生、包秩序”；上岗人员做到“六不”：不擅离岗位，不打瞌睡，不闲聊嬉闹，不打牌下棋，不聚众喝酒，不干私活会客。</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3）队伍建设与管理要求</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⑴ 负责提供派驻安保人员值勤所需的装备、器材、常用办公耗材等，派驻贵单位值勤的安保人员须持有专业上岗证。</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⑵ 从水库安全实际出发，经常性开展在岗人员业务培训和应急预案演练。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⑶ 内部管理体制健全，设立安保部负责人，全面负责日常安保队伍的规范化管理。 </w:t>
      </w:r>
    </w:p>
    <w:p>
      <w:pPr>
        <w:spacing w:line="500" w:lineRule="exact"/>
        <w:ind w:firstLine="480" w:firstLineChars="200"/>
        <w:rPr>
          <w:rFonts w:hint="eastAsia" w:ascii="宋体" w:hAnsi="宋体" w:eastAsia="宋体" w:cs="宋体"/>
          <w:b/>
          <w:color w:val="000000"/>
          <w:szCs w:val="24"/>
        </w:rPr>
      </w:pPr>
      <w:r>
        <w:rPr>
          <w:rFonts w:hint="eastAsia" w:ascii="宋体" w:hAnsi="宋体" w:eastAsia="宋体" w:cs="宋体"/>
          <w:color w:val="000000"/>
          <w:szCs w:val="24"/>
        </w:rPr>
        <w:t xml:space="preserve">⑷ </w:t>
      </w:r>
      <w:r>
        <w:rPr>
          <w:rFonts w:hint="eastAsia" w:ascii="宋体" w:hAnsi="宋体" w:eastAsia="宋体" w:cs="宋体"/>
          <w:b/>
          <w:color w:val="000000"/>
          <w:szCs w:val="24"/>
        </w:rPr>
        <w:t>保持保安队伍的稳定，严格控制非违纪人员轮换岗比例，合同期限内轮换岗保安人数不得超过合同约定的30%，并在响应文件中作出承诺；更换安保队伍主要管理员的，应提前一个月以书面形式通知水库中心，更换其他队员的，应提前三天告知，确保服务质量不因人员变动而受影响。</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⑸ 保安应聘、录用、离职等管理档案规范，手续齐全，相应资料必须报备备案，禁止聘用离职保安人员。</w:t>
      </w:r>
    </w:p>
    <w:p>
      <w:pPr>
        <w:spacing w:line="500" w:lineRule="exact"/>
        <w:ind w:firstLine="480" w:firstLineChars="200"/>
        <w:rPr>
          <w:rFonts w:hint="eastAsia" w:ascii="宋体" w:hAnsi="宋体" w:eastAsia="宋体" w:cs="宋体"/>
          <w:bCs/>
          <w:color w:val="000000"/>
          <w:szCs w:val="24"/>
        </w:rPr>
      </w:pPr>
      <w:r>
        <w:rPr>
          <w:rFonts w:hint="eastAsia" w:ascii="宋体" w:hAnsi="宋体" w:eastAsia="宋体" w:cs="宋体"/>
          <w:bCs/>
          <w:color w:val="000000"/>
          <w:szCs w:val="24"/>
        </w:rPr>
        <w:t>4）人员素质要求</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⑴ 派驻安保人员应知法、懂法、守法、依法办事，必须严格遵守保安从业规范，规范遵守采购人安全管理规定。</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⑵ 负责人有较高的政治思想素养和业务水平，有较强的组织协调能力，受过专门的保安业务培训。</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⑶ 派驻的安保人员应具备的个人素质条件：具有初中以上文化程度，退伍军人为佳，年龄 18-55周岁，身体健康，无传染病及精神病史，体貌端正，无犯罪记录。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⑷ 派驻安保人员应有高度的责任感和吃苦耐劳精神，受过不少于 24 课时的岗前专业培训，熟知水库中心的管理规定，恪尽职守，善于发现各类问题，具备一定的管理经验和处理突发事件能力。</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⑸ 供应商负责人负责对派驻的安保人员进行业务指导、管理与监督，确保安保人员在贵单位内无违规、违纪事件发生。</w:t>
      </w:r>
    </w:p>
    <w:p>
      <w:pPr>
        <w:spacing w:line="500" w:lineRule="exact"/>
        <w:ind w:firstLine="480" w:firstLineChars="200"/>
        <w:rPr>
          <w:rFonts w:hint="eastAsia" w:ascii="宋体" w:hAnsi="宋体" w:eastAsia="宋体" w:cs="宋体"/>
          <w:bCs/>
          <w:color w:val="000000"/>
          <w:szCs w:val="24"/>
        </w:rPr>
      </w:pPr>
      <w:r>
        <w:rPr>
          <w:rFonts w:hint="eastAsia" w:ascii="宋体" w:hAnsi="宋体" w:eastAsia="宋体" w:cs="宋体"/>
          <w:bCs/>
          <w:color w:val="000000"/>
          <w:szCs w:val="24"/>
        </w:rPr>
        <w:t>5）工作衔接要求</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⑴ 根据行业服务标准与水库规定要求，独立运作，落实安全保卫整体方案，并结合实际在实践中不断完善。</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⑵ 供应商负责人须与水库中心保持必要的工作交流，每月一次向水库中心口头汇报所承担的安保工作开展情况及信息反馈，重大情况须及时报告。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⑶ 做好详细的执勤记录，原始台帐保存完好，以备核查。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⑷ 协同治安协防组织，形成群防群治体系。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⑸ 与当地***、综治办加强合作与交流并接受其业务指导。 </w:t>
      </w:r>
    </w:p>
    <w:p>
      <w:pPr>
        <w:spacing w:line="500" w:lineRule="exact"/>
        <w:ind w:firstLine="480" w:firstLineChars="200"/>
        <w:rPr>
          <w:rFonts w:hint="eastAsia" w:ascii="宋体" w:hAnsi="宋体" w:eastAsia="宋体" w:cs="宋体"/>
          <w:bCs/>
          <w:color w:val="000000"/>
          <w:szCs w:val="24"/>
        </w:rPr>
      </w:pPr>
      <w:r>
        <w:rPr>
          <w:rFonts w:hint="eastAsia" w:ascii="宋体" w:hAnsi="宋体" w:eastAsia="宋体" w:cs="宋体"/>
          <w:bCs/>
          <w:color w:val="000000"/>
          <w:szCs w:val="24"/>
        </w:rPr>
        <w:t xml:space="preserve">6）岗位工作职责要求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⑴ 供应商保安部负责人：代表供应商全面负责安保队伍的日常管理事务，严格队伍纪律管理，奖优罚劣；承担保安违规违纪连带责任；实行人性化管理，关心队员的疾苦和思想动态，充分调动队员积极性，努力保证队伍稳定；传达落实采购人的服务要求与管理规定，组织实施并不断完善采购人安全保卫整体方案；结合实际情况，适时做出岗位调整，完善各岗位职责；有针对性地开展安全教育和警示；定期向采购人汇报工作开展情况及治安信息，重大情况随时报告；配合处理坝区内违规事件；组织开展安保业务培训和预案演练；建立健全录用安保人员档案资料。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⑵ 保安班长：以身作则、吃苦在先、讲求奉献；贯彻落实采购人任务要求和水库中心负责人的工作安排，组织实施水库中心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设备器材，严格交接班制度；组织指挥保安队员做好重大活动的安全保卫与秩序保障工作；将各岗位的执勤情况汇总记录；承担保安违规违纪的连带责任。 </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 xml:space="preserve">⑶ 执勤管理：严格人员、车辆、物资进出管理；礼貌待人，树立良好的窗口形象；对来访人员实行验证登记制度，禁止可疑人员和可疑物品混入坝区；维护责任区域秩序，与各岗位互通信息；值班室无闲杂人员滞留，保持内外环境整洁卫生和门前三包；完成水库中心交办的其他事项。 </w:t>
      </w:r>
      <w:bookmarkStart w:id="78" w:name="_Toc81102411"/>
    </w:p>
    <w:p>
      <w:pPr>
        <w:snapToGrid w:val="0"/>
        <w:spacing w:line="500" w:lineRule="exact"/>
        <w:rPr>
          <w:rFonts w:hint="eastAsia" w:ascii="宋体" w:hAnsi="宋体" w:eastAsia="宋体" w:cs="宋体"/>
          <w:b/>
          <w:color w:val="000000"/>
          <w:szCs w:val="24"/>
        </w:rPr>
      </w:pPr>
      <w:r>
        <w:rPr>
          <w:rFonts w:hint="eastAsia" w:ascii="宋体" w:hAnsi="宋体" w:eastAsia="宋体" w:cs="宋体"/>
          <w:b/>
          <w:color w:val="000000"/>
          <w:szCs w:val="24"/>
        </w:rPr>
        <w:t>3 保安工作相关规定</w:t>
      </w:r>
    </w:p>
    <w:p>
      <w:pPr>
        <w:numPr>
          <w:ilvl w:val="0"/>
          <w:numId w:val="48"/>
        </w:numPr>
        <w:spacing w:line="500" w:lineRule="exact"/>
        <w:rPr>
          <w:rFonts w:hint="eastAsia" w:ascii="宋体" w:hAnsi="宋体" w:eastAsia="宋体" w:cs="宋体"/>
          <w:b/>
          <w:bCs/>
          <w:color w:val="000000"/>
          <w:szCs w:val="24"/>
        </w:rPr>
      </w:pPr>
      <w:r>
        <w:rPr>
          <w:rFonts w:hint="eastAsia" w:ascii="宋体" w:hAnsi="宋体" w:eastAsia="宋体" w:cs="宋体"/>
          <w:b/>
          <w:bCs/>
          <w:color w:val="000000"/>
          <w:szCs w:val="24"/>
        </w:rPr>
        <w:t>岗亭保安人员岗位</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1）保安人员必须按时上下班，上班时严守岗位。接班认真查阅上一班的值勤记录，了解是否有任务安排移交。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2）管理好人员车辆进出情况，遇事用语要文明，说服要耐心。</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3）对来访或联系工作者要做到及时联系相关部门，并指引正确位置。对夜间来访或受托安全检查一定要验看有关证件，联系24小时值班人员并在征得同意后方可放行进入，履行登记手续。</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4）正确使用和保管好岗位内的器具和警械物品、记录薄册，并对其完好无损负有责任，交班时应对器材、物品的种类、数量及完好程度进行登记和交接。</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5）待处理工作，应做好书面及口头移交。</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6）保持好执勤点周围的环境清洁卫生。</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7）发挥工作主动性，搞好同队员之间的团结合作，积极参加训练，完成上级交办的任务。</w:t>
      </w:r>
    </w:p>
    <w:p>
      <w:pPr>
        <w:numPr>
          <w:ilvl w:val="0"/>
          <w:numId w:val="48"/>
        </w:numPr>
        <w:spacing w:line="500" w:lineRule="exact"/>
        <w:rPr>
          <w:rFonts w:hint="eastAsia" w:ascii="宋体" w:hAnsi="宋体" w:eastAsia="宋体" w:cs="宋体"/>
          <w:color w:val="000000"/>
          <w:szCs w:val="24"/>
        </w:rPr>
      </w:pPr>
      <w:r>
        <w:rPr>
          <w:rFonts w:hint="eastAsia" w:ascii="宋体" w:hAnsi="宋体" w:eastAsia="宋体" w:cs="宋体"/>
          <w:b/>
          <w:bCs/>
          <w:color w:val="000000"/>
          <w:szCs w:val="24"/>
        </w:rPr>
        <w:t>巡逻保安人员岗位</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1）熟悉坝区的各个区域情况，保持高度的警惕性，坚守岗位。</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2）巡查人员应时刻注意坝区情况，防止和减少各类问题的发生。</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3）注意发现是否有可疑人员、车辆、物品，若发现异常立即处理并报告。</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4）熟悉区域的周边环境，发现隐患及时上报，保证各类设施处于良好状态。</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5）协助处理各类突发事件。遇突发性事件或紧急报警要沉着冷静，快速将出事地点通知保安班长和客户单位领导。</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6）熟练掌握区域内各种设备的性能，学会使用相关器材。</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7）遵守交接班制度，不得迟到、早退、擅离职守，详细做好各种记录。</w:t>
      </w:r>
    </w:p>
    <w:p>
      <w:pPr>
        <w:spacing w:line="500" w:lineRule="exact"/>
        <w:ind w:firstLine="480" w:firstLineChars="200"/>
        <w:rPr>
          <w:rFonts w:hint="eastAsia" w:ascii="宋体" w:hAnsi="宋体" w:eastAsia="宋体" w:cs="宋体"/>
          <w:color w:val="000000"/>
          <w:szCs w:val="24"/>
        </w:rPr>
      </w:pPr>
      <w:r>
        <w:rPr>
          <w:rFonts w:hint="eastAsia" w:ascii="宋体" w:hAnsi="宋体" w:eastAsia="宋体" w:cs="宋体"/>
          <w:color w:val="000000"/>
          <w:szCs w:val="24"/>
        </w:rPr>
        <w:t>8）掌握一般救护知识和紧急应变能力。</w:t>
      </w:r>
      <w:bookmarkEnd w:id="78"/>
    </w:p>
    <w:p>
      <w:pPr>
        <w:spacing w:line="500" w:lineRule="exact"/>
        <w:rPr>
          <w:rFonts w:hint="eastAsia" w:ascii="宋体" w:hAnsi="宋体" w:eastAsia="宋体" w:cs="宋体"/>
          <w:b/>
          <w:color w:val="000000"/>
          <w:szCs w:val="24"/>
        </w:rPr>
      </w:pPr>
      <w:r>
        <w:rPr>
          <w:rFonts w:hint="eastAsia" w:ascii="宋体" w:hAnsi="宋体" w:eastAsia="宋体" w:cs="宋体"/>
          <w:b/>
          <w:color w:val="000000"/>
          <w:szCs w:val="24"/>
        </w:rPr>
        <w:t xml:space="preserve">五、其他 </w:t>
      </w:r>
    </w:p>
    <w:p>
      <w:pPr>
        <w:pStyle w:val="19"/>
        <w:rPr>
          <w:rFonts w:hint="eastAsia" w:eastAsia="宋体" w:cs="宋体"/>
          <w:color w:val="000000"/>
          <w:szCs w:val="24"/>
        </w:rPr>
      </w:pPr>
      <w:r>
        <w:rPr>
          <w:rFonts w:hint="eastAsia" w:eastAsia="宋体" w:cs="宋体"/>
          <w:color w:val="000000"/>
          <w:szCs w:val="24"/>
        </w:rPr>
        <w:t>有关服务要求的未尽之处按《保安服务管理条例》。</w:t>
      </w:r>
    </w:p>
    <w:p>
      <w:pPr>
        <w:pStyle w:val="19"/>
        <w:rPr>
          <w:rFonts w:hint="eastAsia"/>
          <w:color w:val="000000"/>
        </w:rPr>
        <w:sectPr>
          <w:pgSz w:w="11906" w:h="16838"/>
          <w:pgMar w:top="1134" w:right="1134" w:bottom="1134" w:left="1304" w:header="567" w:footer="567" w:gutter="0"/>
          <w:cols w:space="720" w:num="1"/>
          <w:titlePg/>
          <w:docGrid w:linePitch="312" w:charSpace="0"/>
        </w:sectPr>
      </w:pPr>
    </w:p>
    <w:p>
      <w:pPr>
        <w:pStyle w:val="2"/>
        <w:spacing w:before="0" w:after="0" w:line="360" w:lineRule="auto"/>
        <w:ind w:left="431" w:hanging="431"/>
        <w:jc w:val="center"/>
        <w:rPr>
          <w:rFonts w:ascii="宋体" w:hAnsi="宋体" w:eastAsia="宋体" w:cs="宋体"/>
          <w:color w:val="000000"/>
          <w:kern w:val="2"/>
          <w:sz w:val="36"/>
        </w:rPr>
      </w:pPr>
      <w:bookmarkStart w:id="79" w:name="_Toc8291"/>
      <w:r>
        <w:rPr>
          <w:rFonts w:hint="eastAsia" w:ascii="宋体" w:hAnsi="宋体" w:eastAsia="宋体" w:cs="宋体"/>
          <w:color w:val="000000"/>
          <w:kern w:val="2"/>
          <w:sz w:val="36"/>
        </w:rPr>
        <w:t>第五部分 拟签订的合同文本</w:t>
      </w:r>
      <w:bookmarkEnd w:id="79"/>
    </w:p>
    <w:p>
      <w:pPr>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说明：合同将由杭州市水库管理服务中心（以下简称甲方）与经评审最终确定的中标人（以下简称乙方）结合本项目具体情况协商后签订。</w:t>
      </w:r>
    </w:p>
    <w:p>
      <w:pPr>
        <w:spacing w:line="360" w:lineRule="auto"/>
        <w:ind w:firstLine="480"/>
        <w:rPr>
          <w:rFonts w:hint="eastAsia" w:ascii="宋体" w:hAnsi="宋体" w:eastAsia="宋体" w:cs="宋体"/>
          <w:color w:val="000000"/>
          <w:sz w:val="21"/>
          <w:szCs w:val="21"/>
        </w:rPr>
      </w:pPr>
    </w:p>
    <w:p>
      <w:pPr>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2021年度青山水库运行维护及工程维修项目——运行管理及日常维护项目</w:t>
      </w:r>
    </w:p>
    <w:p>
      <w:pPr>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政府采购合同</w:t>
      </w:r>
    </w:p>
    <w:p>
      <w:pPr>
        <w:spacing w:line="360" w:lineRule="auto"/>
        <w:ind w:firstLine="480" w:firstLineChars="200"/>
        <w:jc w:val="center"/>
        <w:rPr>
          <w:rFonts w:hint="eastAsia" w:ascii="宋体" w:hAnsi="宋体" w:eastAsia="宋体" w:cs="宋体"/>
          <w:color w:val="000000"/>
          <w:szCs w:val="24"/>
        </w:rPr>
      </w:pPr>
    </w:p>
    <w:p>
      <w:pPr>
        <w:spacing w:line="360" w:lineRule="auto"/>
        <w:ind w:firstLine="420" w:firstLineChars="200"/>
        <w:jc w:val="center"/>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                                     采购编号：</w:t>
      </w:r>
      <w:r>
        <w:rPr>
          <w:rFonts w:hint="eastAsia" w:ascii="宋体" w:hAnsi="宋体" w:eastAsia="宋体" w:cs="宋体"/>
          <w:color w:val="000000"/>
          <w:sz w:val="21"/>
          <w:szCs w:val="21"/>
          <w:u w:val="single"/>
        </w:rPr>
        <w:t xml:space="preserve">             </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合同编号：</w:t>
      </w:r>
      <w:r>
        <w:rPr>
          <w:rFonts w:hint="eastAsia" w:ascii="宋体" w:hAnsi="宋体" w:eastAsia="宋体" w:cs="宋体"/>
          <w:color w:val="000000"/>
          <w:sz w:val="21"/>
          <w:szCs w:val="21"/>
          <w:u w:val="single"/>
        </w:rPr>
        <w:t xml:space="preserve">             </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签订地点：</w:t>
      </w:r>
      <w:r>
        <w:rPr>
          <w:rFonts w:hint="eastAsia" w:ascii="宋体" w:hAnsi="宋体" w:eastAsia="宋体" w:cs="宋体"/>
          <w:color w:val="000000"/>
          <w:sz w:val="21"/>
          <w:szCs w:val="21"/>
          <w:u w:val="single"/>
        </w:rPr>
        <w:t xml:space="preserve">杭州         </w:t>
      </w:r>
    </w:p>
    <w:p>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甲方：</w:t>
      </w:r>
      <w:r>
        <w:rPr>
          <w:rFonts w:hint="eastAsia" w:ascii="宋体" w:hAnsi="宋体" w:eastAsia="宋体" w:cs="宋体"/>
          <w:color w:val="000000"/>
          <w:sz w:val="21"/>
          <w:szCs w:val="21"/>
          <w:u w:val="single"/>
        </w:rPr>
        <w:t xml:space="preserve">  杭州市水库管理服务中心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w:t>
      </w:r>
      <w:r>
        <w:rPr>
          <w:rFonts w:hint="eastAsia" w:ascii="宋体" w:hAnsi="宋体" w:eastAsia="宋体" w:cs="宋体"/>
          <w:color w:val="000000"/>
          <w:sz w:val="21"/>
          <w:szCs w:val="21"/>
          <w:u w:val="single"/>
        </w:rPr>
        <w:t xml:space="preserve">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甲方通过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方式，向乙方采购关于</w:t>
      </w:r>
      <w:r>
        <w:rPr>
          <w:rFonts w:hint="eastAsia" w:ascii="宋体" w:hAnsi="宋体" w:eastAsia="宋体" w:cs="宋体"/>
          <w:b/>
          <w:color w:val="000000"/>
          <w:sz w:val="21"/>
          <w:szCs w:val="21"/>
          <w:u w:val="single"/>
        </w:rPr>
        <w:t>2021年度青山水库运行维护及工程维修项目——运行管理及日常维护项目</w:t>
      </w:r>
      <w:r>
        <w:rPr>
          <w:rFonts w:hint="eastAsia" w:ascii="宋体" w:hAnsi="宋体" w:eastAsia="宋体" w:cs="宋体"/>
          <w:color w:val="000000"/>
          <w:sz w:val="21"/>
          <w:szCs w:val="21"/>
        </w:rPr>
        <w:t>的相关服务，为明确双方权利义务，依据《中华人民共和国合同法》等有关法律规定，经甲、乙双方友好协商，签订本合同并遵照执行。</w:t>
      </w:r>
    </w:p>
    <w:p>
      <w:pPr>
        <w:spacing w:line="360" w:lineRule="auto"/>
        <w:ind w:firstLine="420" w:firstLineChars="200"/>
        <w:rPr>
          <w:rFonts w:hint="eastAsia" w:ascii="宋体" w:hAnsi="宋体" w:eastAsia="宋体" w:cs="宋体"/>
          <w:color w:val="000000"/>
          <w:sz w:val="21"/>
          <w:szCs w:val="21"/>
        </w:rPr>
      </w:pP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1、定义</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在本合同中，除非上下文另有说明，下列词语分别具有本条所指含义：</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 “工作日”，指中国法定节假日之外的日期。</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 “年”，指日历年；一年按365天计算。</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 “元”，指中国法定货币人民币元。</w:t>
      </w:r>
    </w:p>
    <w:p>
      <w:pPr>
        <w:spacing w:line="360" w:lineRule="auto"/>
        <w:rPr>
          <w:rFonts w:hint="eastAsia" w:ascii="宋体" w:hAnsi="宋体" w:eastAsia="宋体" w:cs="宋体"/>
          <w:color w:val="000000"/>
          <w:sz w:val="21"/>
          <w:szCs w:val="21"/>
        </w:rPr>
      </w:pPr>
      <w:r>
        <w:rPr>
          <w:rFonts w:hint="eastAsia" w:ascii="宋体" w:hAnsi="宋体" w:eastAsia="宋体" w:cs="宋体"/>
          <w:b/>
          <w:color w:val="000000"/>
          <w:sz w:val="21"/>
          <w:szCs w:val="21"/>
        </w:rPr>
        <w:t>2、服务内容与期限</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2.1服务内容</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2.1.1</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2.1.2</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2.1.3</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2.2服务期限：</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。（具体以双方约定为准）</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3、合同金额及保证金：（以最终中标人中标价格经计算后为准）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 合同总金额（大写）:       　　      　　元（￥          元）人民币。</w:t>
      </w:r>
    </w:p>
    <w:p>
      <w:pPr>
        <w:tabs>
          <w:tab w:val="left" w:pos="567"/>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 本合同项下的费用为固定总价，除另有约定，甲方不再向乙方支付其他任何费用。</w:t>
      </w:r>
    </w:p>
    <w:p>
      <w:pPr>
        <w:tabs>
          <w:tab w:val="left" w:pos="567"/>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bCs/>
          <w:color w:val="000000"/>
          <w:sz w:val="21"/>
          <w:szCs w:val="21"/>
        </w:rPr>
        <w:t>3.3 履约保证金：</w:t>
      </w:r>
      <w:r>
        <w:rPr>
          <w:rFonts w:hint="eastAsia" w:ascii="宋体" w:hAnsi="宋体" w:eastAsia="宋体" w:cs="宋体"/>
          <w:color w:val="000000"/>
          <w:sz w:val="21"/>
          <w:szCs w:val="21"/>
        </w:rPr>
        <w:t>无。</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4、税费</w:t>
      </w:r>
    </w:p>
    <w:p>
      <w:pPr>
        <w:tabs>
          <w:tab w:val="left" w:pos="567"/>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本合同执行中相关的一切税费均由乙方承担。</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5、乙方的责任与义务</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5.1 根据投标文件的承诺，乙方向甲方委派项目组人员，人员应当固定。乙方更换人员必须经甲方书面同意，否则甲方有权解除本合同。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5.2 在履行本合同期间，应运用合理的技能，认真、勤奋的工作。</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5.3乙方针对该项目出具的工作方案，均须事先经甲方书面确认后方可实施。乙方应当负责本项目的所有外部关系联系与协调。</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5.4 乙方应指派一名授权项目代表，负责与甲方的联络。代表更换应至少提前两天通知甲方。</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5.5其他：</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。（按投标文件承诺内容在合同签署过程中补充填写）</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6、甲方的责任与义务</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6.1为乙方工作提供良好的外部条件，并按照合同约定支付款项。</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6.2 甲方按双方约定的内容和时间，向乙方提供与项目有关的可以提供的资料。</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6.3 甲方授权一名熟悉本项目情况的代表，负责与乙方联系，更换代表前将提前通知乙方。</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6.4 甲方对乙方提供的项目工作方案具有审定权、修改权，并有权要求乙方按甲方的要求修改方案,乙方不得以此为由要求增加任何费用。</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6.5 根据实际情况，甲方有权要求乙方对已经确认的方案进行修改、变通，乙方应当配合执行，以保证项目顺利进行。</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7、验收</w:t>
      </w:r>
    </w:p>
    <w:p>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7.1 验收方式：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7.2甲方在乙方提供服务的过程中，有权不定期对服务内容和质量进行考核。乙方应当配合进行。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7.3 乙方在项目完成后，应当及时向甲方发出验收申请，内容包括书面验收申请、相关说明、报告等，甲方收到乙方申请后，组织进行验收考核，乙方应当协助进行。验收结果可以作为甲方付款的考虑依据。</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7.4乙方在提供服务过程中如存在违反合同相关约定情况的，甲方有权要求乙方立即整改，乙方未按甲方要求整改的，甲方有权拒绝验收，并可中止合同履行，乙方承担因此发生的一切损失、费用及延误责任。</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7.5 经验收后，乙方服务成果不合格的（或未通过评审的），甲方有权要求乙方进行整改，相关费用由乙方承担；如整改后仍不合格的，甲方有权解除合同，并可以拒绝支付未支付的款项，乙方已经收取的款项应退还给甲方。</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8、结算原则</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招标文件及其补充文件、投标文件、中标通知书、采购合同等作为结算依据；</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9、付款方式</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9.1预付款：合同金额30%，合同签订后支付。</w:t>
      </w:r>
    </w:p>
    <w:p>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进度款：9月，支付2021年预算下拨资金的差额数，即最高支付至149万元；2022年项目预算下达后，支付实际完成月份应付的进度款项；完成合同考核后，一次性付清剩余款项。</w:t>
      </w:r>
    </w:p>
    <w:p>
      <w:pPr>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乙方根据甲方核定服务费用结果提供正规等额发票，甲方收到乙方正规合法等额发票之日起【7】个工作日内，按约定向乙方支付合同项目价款。资金支付若受财政预算下达影响，造成延迟支付的甲方不承担责任。</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9.2付款方式为【银行转账】，乙方银行账户信息：</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开 户 名：</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9.3财政政策：</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付款按财政政策执行，因乙方迟延履行以及不符合财政资金支付时间要求等原因造成不能及时支付款的，甲方不承担责任。</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10、无市场开发权</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10.2 乙方承诺，将严格遵守甲方知识产权保护等方面的法律法规和市场开发的相关规则，坚持依法诚信经营，全面履行合同义务；未经权利人许可，不得从事市场开发活动。</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11、保密义务</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11.2 乙方可仅为本合同目的向其确有知悉必要的员工披露甲方提供的保密资料，但同时须指示其员工遵守本条规定的保密及不披露义务。乙方应仅为本合同目的而复制和使用保密资料。</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12、知识产权</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12.4 如乙方发现任何交付成果的知识产权可能有瑕疵，应立即书面通知甲方，并立即采取一切必要措施使交付成果合法化。</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12.5 本条规定自本合同生效之日起即应履行，长期有效，并且不受本合同届满、提前终止或本合同中其他条款的无效或履行完毕等情形的影响。</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13、合同的转让、变更及解除</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13.1 未经甲方事先书面同意，乙方不得将本合同的权利或义务全部或部分转移给第三人。</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13.2 经审批，且双方协商一致，可以变更、解除本合同。任何一方欲变更、解除本合同，必须提前15日以书面形式提出，双方协商一致后签署补充合同。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13.3 一方有下列情形之一的，另一方可以解除本合同：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13.3.1因不可抗力致使不能实现本合同的目的。</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13.3.2在履行期限届满之前，一方明确表示或者以自己的行为表明不履行主要义务。</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13.3.3一方迟延履行主要义务，经催告后在合理期限内【15日】仍未履行。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13.3.4一方迟延履行义务或者有其他违约行为致使不能实现合同目的。</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13.3.5法律规定或本合同约定的其他情形。</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13.4 采购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报价明细单中的单价进行结算。</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14、违约责任</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14.1 本合同签订后，任何一方不履行或不完全履行本合同约定条款的，即构成违约。任何一方违约时，守约方有权要求违约方继续履行本合同，同时有权要求违约方支付违约金。</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14.2 如果甲方未按照合同约定支付价款，乙方有权要求其承担应付未付金额【10%】的违约金。</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14.3 如因乙方原因造成项目不能如期实施，则每延迟一日，乙方应向甲方支付合同总额【千分之一】的违约金，同时应将延迟期间的费用退还甲方，延期超过【15】日，甲方有权选择解除本合同或要求延长项目实施期限。</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14.4 若乙方工作成果未通过甲方验收的，甲方有权拒绝支付该工作成果的服务费用，乙方应向甲方支付合同综合【10%】的违约金，甲方有权解除本合同。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14.5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14.6 乙方应当根据合同约定的履约时间以支票、汇票、本票或者金融机构、担保机构出具的保函（见索即付保函）等非现金形式提交履约保证金，数额为合同总金额的【5%】。</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乙方违约，且其提交的履约担保为支票、汇票或本票的，甲方有权在该票据的付款期限届满前以提示付款、背书等方式使用或处置该票据，无须向乙方返还票据或该票据项下款项；若乙方违约，且其提交的履约担保为保函的，则甲方有权凭该保函原件直接向保函出具机构请求支付保函项下全部担保金额的款项。</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15、争议解决</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15.1 本合同应适用中国法律并应根据中国法律解释。</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15.2 因本合同引起的或与本合同有关的任何争议，双方应当协商解决。经双方协商不能解决的，均提请杭州仲裁委员会,按照其仲裁规则进行仲裁。仲裁裁决是终局的，对双方均有约束力。</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16、不可抗力</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16.1 不可抗力是指因无法预见、无法避免且无法克服之原因发生的事项，包括但不限于地震、台风、海啸、瘟疫、火灾、洪水、重大疫情、政府行为、战争、恐怖袭击、蓄意破坏等客观情况。</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16.2 本合同项下任何一方对于因不可抗力致使本合同不能履行或不能全部履行而给对方造成的任何损失不承担违约责任。</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16.3 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16.4 不可抗力影响因素消失以后，双方应协商是否继续履行合同。如果不可抗力因素对合同一方的义务产生实质性、无法补救的影响，导致合同已无法履行，双方应通过书面形式终止本合同。</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pPr>
        <w:tabs>
          <w:tab w:val="left" w:pos="567"/>
        </w:tabs>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17、其他</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17.1 本合同由甲乙双方签署之日起生效。</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17.2 对本合同的任何修改和补充均应以补充合同的形式作出，由双方签署后生效。本合同的附件、补充合同与本合同具有同等法律效力。</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17.3 本合同一式拾份，甲方执柒份，乙方执叁份，各份具有同等法律效力。</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17.4 本合同文件、中标通知书、招标文件及其补充文件、投标文件、技术标准和要求、合同补充条款或说明（如有）构成本合同的组成部分。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（以下无正文）</w:t>
      </w: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color w:val="000000"/>
          <w:sz w:val="21"/>
          <w:szCs w:val="21"/>
        </w:rPr>
        <w:t>（本页无正文，为本合同签署页）</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甲方（盖章）：                            乙方（盖章）：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                              法定代表人：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或受委托人（签字）：                      或受委托人（签字）：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联系人：                                  联系人：</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地址：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电话：                                    电话：</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传真：                                    传真：</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开户银行：                                开户银行：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帐号：                                    帐号：</w:t>
      </w:r>
    </w:p>
    <w:p>
      <w:pPr>
        <w:pStyle w:val="147"/>
        <w:spacing w:line="360" w:lineRule="auto"/>
        <w:rPr>
          <w:rFonts w:hint="eastAsia" w:ascii="宋体" w:hAnsi="宋体" w:eastAsia="宋体" w:cs="宋体"/>
          <w:lang w:val="zh-TW" w:eastAsia="zh-TW"/>
        </w:rPr>
      </w:pPr>
    </w:p>
    <w:p>
      <w:pPr>
        <w:pStyle w:val="147"/>
        <w:spacing w:line="360" w:lineRule="auto"/>
        <w:rPr>
          <w:rFonts w:hint="eastAsia" w:ascii="宋体" w:hAnsi="宋体" w:eastAsia="宋体" w:cs="宋体"/>
          <w:lang w:val="zh-TW" w:eastAsia="zh-TW"/>
        </w:rPr>
      </w:pPr>
    </w:p>
    <w:p>
      <w:pPr>
        <w:pStyle w:val="147"/>
        <w:spacing w:line="360" w:lineRule="auto"/>
        <w:rPr>
          <w:rFonts w:hint="eastAsia" w:ascii="宋体" w:hAnsi="宋体" w:eastAsia="宋体" w:cs="宋体"/>
          <w:lang w:val="zh-TW"/>
        </w:rPr>
      </w:pPr>
      <w:r>
        <w:rPr>
          <w:rFonts w:hint="eastAsia" w:ascii="宋体" w:hAnsi="宋体" w:eastAsia="宋体" w:cs="宋体"/>
          <w:lang w:val="zh-TW"/>
        </w:rPr>
        <w:t>合同鉴证方（盖章）：华联世纪工程咨询股份有限公司</w:t>
      </w:r>
    </w:p>
    <w:p>
      <w:pPr>
        <w:pStyle w:val="147"/>
        <w:spacing w:line="360" w:lineRule="auto"/>
        <w:rPr>
          <w:rFonts w:hint="eastAsia" w:ascii="宋体" w:hAnsi="宋体" w:eastAsia="宋体" w:cs="宋体"/>
          <w:lang w:val="zh-TW"/>
        </w:rPr>
      </w:pPr>
      <w:r>
        <w:rPr>
          <w:rFonts w:hint="eastAsia" w:ascii="宋体" w:hAnsi="宋体" w:eastAsia="宋体" w:cs="宋体"/>
          <w:lang w:val="zh-TW"/>
        </w:rPr>
        <w:t>经办人（签字）：</w:t>
      </w:r>
    </w:p>
    <w:p>
      <w:pPr>
        <w:pStyle w:val="147"/>
        <w:spacing w:line="360" w:lineRule="auto"/>
        <w:rPr>
          <w:rFonts w:hint="eastAsia" w:ascii="宋体" w:hAnsi="宋体" w:eastAsia="宋体" w:cs="宋体"/>
          <w:lang w:val="zh-TW"/>
        </w:rPr>
      </w:pPr>
    </w:p>
    <w:p>
      <w:pPr>
        <w:pStyle w:val="147"/>
        <w:spacing w:line="360" w:lineRule="auto"/>
        <w:rPr>
          <w:rFonts w:hint="eastAsia" w:ascii="宋体" w:hAnsi="宋体" w:eastAsia="宋体" w:cs="宋体"/>
          <w:lang w:val="zh-TW"/>
        </w:rPr>
      </w:pPr>
    </w:p>
    <w:p>
      <w:pPr>
        <w:spacing w:line="360" w:lineRule="auto"/>
        <w:ind w:firstLine="4620" w:firstLineChars="2200"/>
        <w:rPr>
          <w:rFonts w:hint="eastAsia" w:ascii="宋体" w:hAnsi="宋体" w:eastAsia="宋体" w:cs="宋体"/>
          <w:color w:val="000000"/>
          <w:sz w:val="21"/>
          <w:szCs w:val="21"/>
        </w:rPr>
      </w:pPr>
      <w:r>
        <w:rPr>
          <w:rFonts w:hint="eastAsia" w:ascii="宋体" w:hAnsi="宋体" w:eastAsia="宋体" w:cs="宋体"/>
          <w:color w:val="000000"/>
          <w:sz w:val="21"/>
          <w:szCs w:val="21"/>
        </w:rPr>
        <w:t>签 约 地：</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签约日期：      年   月    日</w:t>
      </w:r>
    </w:p>
    <w:p>
      <w:pPr>
        <w:spacing w:line="360" w:lineRule="auto"/>
        <w:ind w:firstLine="4620" w:firstLineChars="2200"/>
        <w:rPr>
          <w:rFonts w:hint="eastAsia" w:ascii="宋体" w:hAnsi="宋体" w:eastAsia="宋体" w:cs="宋体"/>
          <w:color w:val="000000"/>
          <w:sz w:val="21"/>
          <w:szCs w:val="21"/>
        </w:rPr>
      </w:pPr>
    </w:p>
    <w:p>
      <w:pPr>
        <w:spacing w:line="360" w:lineRule="auto"/>
        <w:ind w:firstLine="4620" w:firstLineChars="2200"/>
        <w:rPr>
          <w:rFonts w:hint="eastAsia" w:ascii="宋体" w:hAnsi="宋体" w:eastAsia="宋体" w:cs="宋体"/>
          <w:color w:val="000000"/>
          <w:sz w:val="21"/>
          <w:szCs w:val="21"/>
        </w:rPr>
      </w:pPr>
    </w:p>
    <w:p>
      <w:pPr>
        <w:spacing w:line="360" w:lineRule="auto"/>
        <w:jc w:val="center"/>
        <w:outlineLvl w:val="0"/>
        <w:rPr>
          <w:rFonts w:hint="eastAsia" w:ascii="宋体" w:hAnsi="宋体" w:eastAsia="宋体" w:cs="宋体"/>
          <w:color w:val="000000"/>
          <w:sz w:val="36"/>
        </w:rPr>
      </w:pPr>
      <w:r>
        <w:rPr>
          <w:rFonts w:hint="eastAsia" w:ascii="宋体" w:hAnsi="宋体" w:eastAsia="宋体" w:cs="宋体"/>
          <w:color w:val="000000"/>
          <w:sz w:val="21"/>
          <w:szCs w:val="21"/>
        </w:rPr>
        <w:br w:type="page"/>
      </w:r>
      <w:bookmarkEnd w:id="68"/>
      <w:bookmarkEnd w:id="69"/>
      <w:bookmarkStart w:id="80" w:name="_Toc86217003"/>
      <w:bookmarkStart w:id="81" w:name="_Toc9776"/>
      <w:r>
        <w:rPr>
          <w:rFonts w:hint="eastAsia" w:ascii="宋体" w:hAnsi="宋体" w:eastAsia="宋体" w:cs="宋体"/>
          <w:b/>
          <w:color w:val="000000"/>
          <w:sz w:val="36"/>
        </w:rPr>
        <w:t xml:space="preserve">第六部分 </w:t>
      </w:r>
      <w:bookmarkEnd w:id="80"/>
      <w:r>
        <w:rPr>
          <w:rFonts w:hint="eastAsia" w:ascii="宋体" w:hAnsi="宋体" w:eastAsia="宋体" w:cs="宋体"/>
          <w:b/>
          <w:color w:val="000000"/>
          <w:sz w:val="36"/>
        </w:rPr>
        <w:t>投标文件格式</w:t>
      </w:r>
      <w:bookmarkEnd w:id="81"/>
    </w:p>
    <w:p>
      <w:pPr>
        <w:spacing w:line="360" w:lineRule="auto"/>
        <w:ind w:firstLine="482" w:firstLineChars="200"/>
        <w:rPr>
          <w:rFonts w:hint="eastAsia" w:ascii="宋体" w:hAnsi="宋体" w:eastAsia="宋体" w:cs="宋体"/>
          <w:b/>
          <w:color w:val="000000"/>
          <w:szCs w:val="24"/>
          <w:lang w:val="zh-CN"/>
        </w:rPr>
      </w:pPr>
      <w:bookmarkStart w:id="82" w:name="_Toc2520"/>
    </w:p>
    <w:p>
      <w:pPr>
        <w:spacing w:line="360" w:lineRule="auto"/>
        <w:rPr>
          <w:rFonts w:hint="eastAsia" w:ascii="宋体" w:hAnsi="宋体" w:eastAsia="宋体" w:cs="宋体"/>
          <w:b/>
          <w:color w:val="000000"/>
          <w:szCs w:val="24"/>
          <w:lang w:val="zh-CN"/>
        </w:rPr>
      </w:pPr>
      <w:r>
        <w:rPr>
          <w:rFonts w:hint="eastAsia" w:ascii="宋体" w:hAnsi="宋体" w:eastAsia="宋体" w:cs="宋体"/>
          <w:b/>
          <w:color w:val="000000"/>
          <w:szCs w:val="24"/>
          <w:lang w:val="zh-CN"/>
        </w:rPr>
        <w:t>一、投标人提交投标文件须知：</w:t>
      </w:r>
      <w:bookmarkEnd w:id="82"/>
    </w:p>
    <w:p>
      <w:pPr>
        <w:spacing w:line="360" w:lineRule="auto"/>
        <w:ind w:left="2" w:leftChars="1" w:firstLine="600" w:firstLineChars="250"/>
        <w:rPr>
          <w:rFonts w:hint="eastAsia" w:ascii="宋体" w:hAnsi="宋体" w:eastAsia="宋体" w:cs="宋体"/>
          <w:color w:val="000000"/>
          <w:szCs w:val="24"/>
        </w:rPr>
      </w:pPr>
      <w:r>
        <w:rPr>
          <w:rFonts w:hint="eastAsia" w:ascii="宋体" w:hAnsi="宋体" w:eastAsia="宋体" w:cs="宋体"/>
          <w:color w:val="000000"/>
          <w:szCs w:val="24"/>
        </w:rPr>
        <w:t>1、投标人应严格按照以下顺序填写和提交下述规定的全部格式文件以及其他有关资料，混乱的编排导致投标文件被误读或评标委员会查找不到有效文件是投标人的风险。</w:t>
      </w:r>
    </w:p>
    <w:p>
      <w:pPr>
        <w:spacing w:line="360" w:lineRule="auto"/>
        <w:ind w:left="2" w:leftChars="1" w:firstLine="600" w:firstLineChars="250"/>
        <w:rPr>
          <w:rFonts w:hint="eastAsia" w:ascii="宋体" w:hAnsi="宋体" w:eastAsia="宋体" w:cs="宋体"/>
          <w:color w:val="000000"/>
          <w:szCs w:val="24"/>
        </w:rPr>
      </w:pPr>
      <w:r>
        <w:rPr>
          <w:rFonts w:hint="eastAsia" w:ascii="宋体" w:hAnsi="宋体" w:eastAsia="宋体" w:cs="宋体"/>
          <w:color w:val="000000"/>
          <w:szCs w:val="24"/>
        </w:rPr>
        <w:t>2、所附表格中要求回答的全部问题和/或信息都必须正面回答。</w:t>
      </w:r>
    </w:p>
    <w:p>
      <w:pPr>
        <w:spacing w:line="360" w:lineRule="auto"/>
        <w:ind w:left="2" w:leftChars="1" w:firstLine="600" w:firstLineChars="250"/>
        <w:rPr>
          <w:rFonts w:hint="eastAsia" w:ascii="宋体" w:hAnsi="宋体" w:eastAsia="宋体" w:cs="宋体"/>
          <w:color w:val="000000"/>
          <w:szCs w:val="24"/>
        </w:rPr>
      </w:pPr>
      <w:r>
        <w:rPr>
          <w:rFonts w:hint="eastAsia" w:ascii="宋体" w:hAnsi="宋体" w:eastAsia="宋体" w:cs="宋体"/>
          <w:color w:val="000000"/>
          <w:szCs w:val="24"/>
        </w:rPr>
        <w:t>3、本声明书的签章人应保证全部声明和问题的回答是真实的和准确的。</w:t>
      </w:r>
    </w:p>
    <w:p>
      <w:pPr>
        <w:spacing w:line="360" w:lineRule="auto"/>
        <w:ind w:left="2" w:leftChars="1" w:firstLine="600" w:firstLineChars="250"/>
        <w:rPr>
          <w:rFonts w:hint="eastAsia" w:ascii="宋体" w:hAnsi="宋体" w:eastAsia="宋体" w:cs="宋体"/>
          <w:color w:val="000000"/>
          <w:szCs w:val="24"/>
        </w:rPr>
      </w:pPr>
      <w:r>
        <w:rPr>
          <w:rFonts w:hint="eastAsia" w:ascii="宋体" w:hAnsi="宋体" w:eastAsia="宋体" w:cs="宋体"/>
          <w:color w:val="000000"/>
          <w:szCs w:val="24"/>
        </w:rPr>
        <w:t>4、评标委员会将应用投标人提交的资料作出自己的判断。</w:t>
      </w:r>
    </w:p>
    <w:p>
      <w:pPr>
        <w:spacing w:line="360" w:lineRule="auto"/>
        <w:ind w:left="2" w:leftChars="1" w:firstLine="600" w:firstLineChars="250"/>
        <w:rPr>
          <w:rFonts w:hint="eastAsia" w:ascii="宋体" w:hAnsi="宋体" w:eastAsia="宋体" w:cs="宋体"/>
          <w:color w:val="000000"/>
          <w:szCs w:val="24"/>
        </w:rPr>
      </w:pPr>
      <w:r>
        <w:rPr>
          <w:rFonts w:hint="eastAsia" w:ascii="宋体" w:hAnsi="宋体" w:eastAsia="宋体" w:cs="宋体"/>
          <w:color w:val="000000"/>
          <w:szCs w:val="24"/>
        </w:rPr>
        <w:t>5、投标人提交的材料将在一定期限内被保密保存，但不退还。</w:t>
      </w:r>
    </w:p>
    <w:p>
      <w:pPr>
        <w:spacing w:line="360" w:lineRule="auto"/>
        <w:ind w:left="2" w:leftChars="1" w:firstLine="600" w:firstLineChars="250"/>
        <w:rPr>
          <w:rFonts w:hint="eastAsia" w:ascii="宋体" w:hAnsi="宋体" w:eastAsia="宋体" w:cs="宋体"/>
          <w:color w:val="000000"/>
          <w:szCs w:val="24"/>
        </w:rPr>
      </w:pPr>
      <w:r>
        <w:rPr>
          <w:rFonts w:hint="eastAsia" w:ascii="宋体" w:hAnsi="宋体" w:eastAsia="宋体" w:cs="宋体"/>
          <w:color w:val="000000"/>
          <w:szCs w:val="24"/>
        </w:rPr>
        <w:t>6、全部文件应按投标人须知中规定的语言和份数提交。</w:t>
      </w:r>
    </w:p>
    <w:p>
      <w:pPr>
        <w:spacing w:line="360" w:lineRule="auto"/>
        <w:ind w:left="2" w:leftChars="1" w:firstLine="600" w:firstLineChars="250"/>
        <w:rPr>
          <w:rFonts w:hint="eastAsia" w:ascii="宋体" w:hAnsi="宋体" w:eastAsia="宋体" w:cs="宋体"/>
          <w:b/>
          <w:bCs/>
          <w:color w:val="000000"/>
          <w:szCs w:val="24"/>
        </w:rPr>
      </w:pPr>
      <w:r>
        <w:rPr>
          <w:rFonts w:hint="eastAsia" w:ascii="宋体" w:hAnsi="宋体" w:eastAsia="宋体" w:cs="宋体"/>
          <w:color w:val="000000"/>
          <w:szCs w:val="24"/>
        </w:rPr>
        <w:t>7、</w:t>
      </w:r>
      <w:r>
        <w:rPr>
          <w:rFonts w:hint="eastAsia" w:ascii="宋体" w:hAnsi="宋体" w:eastAsia="宋体" w:cs="宋体"/>
          <w:b/>
          <w:bCs/>
          <w:color w:val="000000"/>
          <w:szCs w:val="24"/>
        </w:rPr>
        <w:t>投标人在使用电子交易平台进行投标的过程中遇到涉及平台使用的任何问题，可致电平台技术支持热线咨询，联系方式：400-881-7190。</w:t>
      </w:r>
    </w:p>
    <w:p>
      <w:pPr>
        <w:pStyle w:val="18"/>
        <w:rPr>
          <w:rFonts w:hint="eastAsia"/>
          <w:color w:val="000000"/>
        </w:rPr>
      </w:pPr>
    </w:p>
    <w:p>
      <w:pPr>
        <w:spacing w:line="360" w:lineRule="auto"/>
        <w:rPr>
          <w:rFonts w:hint="eastAsia" w:ascii="宋体" w:hAnsi="宋体" w:eastAsia="宋体" w:cs="宋体"/>
          <w:b/>
          <w:color w:val="000000"/>
          <w:szCs w:val="24"/>
          <w:lang w:val="zh-CN"/>
        </w:rPr>
      </w:pPr>
      <w:bookmarkStart w:id="83" w:name="_Toc16674"/>
      <w:r>
        <w:rPr>
          <w:rFonts w:hint="eastAsia" w:ascii="宋体" w:hAnsi="宋体" w:eastAsia="宋体" w:cs="宋体"/>
          <w:b/>
          <w:color w:val="000000"/>
          <w:szCs w:val="24"/>
          <w:lang w:val="zh-CN"/>
        </w:rPr>
        <w:t>二、投标文件编制格式及规范要求：</w:t>
      </w:r>
      <w:bookmarkEnd w:id="83"/>
    </w:p>
    <w:p>
      <w:pPr>
        <w:spacing w:line="360" w:lineRule="auto"/>
        <w:ind w:left="2" w:leftChars="1" w:firstLine="602" w:firstLineChars="250"/>
        <w:rPr>
          <w:rFonts w:ascii="宋体" w:hAnsi="宋体" w:eastAsia="宋体" w:cs="宋体"/>
          <w:b/>
          <w:bCs/>
          <w:color w:val="000000"/>
          <w:szCs w:val="24"/>
        </w:rPr>
      </w:pPr>
      <w:r>
        <w:rPr>
          <w:rFonts w:hint="eastAsia" w:ascii="宋体" w:hAnsi="宋体" w:eastAsia="宋体" w:cs="宋体"/>
          <w:b/>
          <w:bCs/>
          <w:color w:val="000000"/>
          <w:szCs w:val="24"/>
        </w:rPr>
        <w:t>1、投标文件应使用电子交易平台客户端软件，并按照本招标文件和电子交易平台要求编制并加密投标文件。未按规定加密的投标文件，电子交易平台将拒收。</w:t>
      </w:r>
    </w:p>
    <w:p>
      <w:pPr>
        <w:spacing w:line="360" w:lineRule="auto"/>
        <w:ind w:left="2" w:leftChars="1" w:firstLine="602" w:firstLineChars="250"/>
        <w:rPr>
          <w:rFonts w:hint="eastAsia" w:ascii="宋体" w:hAnsi="宋体" w:eastAsia="宋体" w:cs="宋体"/>
          <w:b/>
          <w:bCs/>
          <w:color w:val="000000"/>
          <w:szCs w:val="24"/>
        </w:rPr>
      </w:pPr>
      <w:r>
        <w:rPr>
          <w:rFonts w:hint="eastAsia" w:ascii="宋体" w:hAnsi="宋体" w:eastAsia="宋体" w:cs="宋体"/>
          <w:b/>
          <w:bCs/>
          <w:color w:val="000000"/>
          <w:szCs w:val="24"/>
        </w:rPr>
        <w:t>2、投标文件制作并加密完成后应在电子交易平台上传完成。</w:t>
      </w:r>
    </w:p>
    <w:p>
      <w:pPr>
        <w:spacing w:line="360" w:lineRule="auto"/>
        <w:ind w:left="2" w:leftChars="1" w:firstLine="602" w:firstLineChars="250"/>
        <w:rPr>
          <w:rFonts w:hint="eastAsia" w:ascii="宋体" w:hAnsi="宋体" w:eastAsia="宋体" w:cs="宋体"/>
          <w:b/>
          <w:bCs/>
          <w:color w:val="000000"/>
          <w:szCs w:val="24"/>
        </w:rPr>
      </w:pPr>
      <w:r>
        <w:rPr>
          <w:rFonts w:hint="eastAsia" w:ascii="宋体" w:hAnsi="宋体" w:eastAsia="宋体" w:cs="宋体"/>
          <w:b/>
          <w:bCs/>
          <w:color w:val="000000"/>
          <w:szCs w:val="24"/>
        </w:rPr>
        <w:t>3、投标文件应使用电子交易平台CA数字证书进行电子签章。</w:t>
      </w:r>
    </w:p>
    <w:p>
      <w:pPr>
        <w:spacing w:line="360" w:lineRule="auto"/>
        <w:ind w:left="2" w:leftChars="1" w:firstLine="602" w:firstLineChars="250"/>
        <w:rPr>
          <w:rFonts w:hint="eastAsia" w:ascii="宋体" w:hAnsi="宋体" w:eastAsia="宋体" w:cs="宋体"/>
          <w:b/>
          <w:bCs/>
          <w:color w:val="000000"/>
          <w:szCs w:val="24"/>
        </w:rPr>
      </w:pPr>
      <w:r>
        <w:rPr>
          <w:rFonts w:hint="eastAsia" w:ascii="宋体" w:hAnsi="宋体" w:eastAsia="宋体" w:cs="宋体"/>
          <w:b/>
          <w:bCs/>
          <w:color w:val="000000"/>
          <w:szCs w:val="24"/>
        </w:rPr>
        <w:t>4、资格文件和商务技术文件部分不得出现本项目投标报价，如因投标人原因提前泄露投标报价，是投标人的责任。</w:t>
      </w:r>
    </w:p>
    <w:p>
      <w:pPr>
        <w:spacing w:line="360" w:lineRule="auto"/>
        <w:ind w:left="2" w:leftChars="1" w:firstLine="602" w:firstLineChars="250"/>
        <w:rPr>
          <w:rFonts w:hint="eastAsia" w:ascii="宋体" w:hAnsi="宋体" w:eastAsia="宋体" w:cs="宋体"/>
          <w:b/>
          <w:bCs/>
          <w:color w:val="000000"/>
          <w:szCs w:val="24"/>
        </w:rPr>
      </w:pPr>
      <w:r>
        <w:rPr>
          <w:rFonts w:hint="eastAsia" w:ascii="宋体" w:hAnsi="宋体" w:eastAsia="宋体" w:cs="宋体"/>
          <w:b/>
          <w:bCs/>
          <w:color w:val="000000"/>
          <w:szCs w:val="24"/>
        </w:rPr>
        <w:t>5、投标人应准确设置评审关联点。未设置或设置错误导致投标文件被误读、漏读或者查找不到相关内容的，是投标人的责任。</w:t>
      </w:r>
    </w:p>
    <w:p>
      <w:pPr>
        <w:spacing w:line="360" w:lineRule="auto"/>
        <w:ind w:left="2" w:leftChars="1" w:firstLine="602" w:firstLineChars="250"/>
        <w:rPr>
          <w:rFonts w:hint="eastAsia" w:ascii="宋体" w:hAnsi="宋体" w:eastAsia="宋体" w:cs="宋体"/>
          <w:b/>
          <w:bCs/>
          <w:color w:val="000000"/>
          <w:szCs w:val="24"/>
        </w:rPr>
      </w:pPr>
      <w:r>
        <w:rPr>
          <w:rFonts w:hint="eastAsia" w:ascii="宋体" w:hAnsi="宋体" w:eastAsia="宋体" w:cs="宋体"/>
          <w:b/>
          <w:bCs/>
          <w:color w:val="000000"/>
          <w:szCs w:val="24"/>
        </w:rPr>
        <w:t>6、投标文件所提供的相关材料的尺寸和清晰度应该能够在电脑上被阅读、识别和判断。投标文件内容无法阅读、识别和判断的，视为未提供。</w:t>
      </w:r>
    </w:p>
    <w:p>
      <w:pPr>
        <w:spacing w:line="360" w:lineRule="auto"/>
        <w:ind w:left="2" w:leftChars="1" w:firstLine="602" w:firstLineChars="250"/>
        <w:rPr>
          <w:rFonts w:hint="eastAsia" w:ascii="宋体" w:hAnsi="宋体" w:eastAsia="宋体" w:cs="宋体"/>
          <w:b/>
          <w:bCs/>
          <w:color w:val="000000"/>
          <w:szCs w:val="24"/>
        </w:rPr>
      </w:pPr>
      <w:r>
        <w:rPr>
          <w:rFonts w:hint="eastAsia" w:ascii="宋体" w:hAnsi="宋体" w:eastAsia="宋体" w:cs="宋体"/>
          <w:b/>
          <w:bCs/>
          <w:color w:val="000000"/>
          <w:szCs w:val="24"/>
        </w:rPr>
        <w:t>7、投标文件的容量大小须符合电子交易平台规定。</w:t>
      </w:r>
    </w:p>
    <w:p>
      <w:pPr>
        <w:spacing w:line="360" w:lineRule="auto"/>
        <w:rPr>
          <w:rFonts w:ascii="宋体" w:hAnsi="宋体" w:eastAsia="宋体" w:cs="宋体"/>
          <w:b/>
          <w:color w:val="000000"/>
          <w:kern w:val="0"/>
          <w:szCs w:val="24"/>
        </w:rPr>
      </w:pPr>
      <w:r>
        <w:rPr>
          <w:rFonts w:hint="eastAsia" w:ascii="宋体" w:hAnsi="宋体" w:eastAsia="宋体" w:cs="宋体"/>
          <w:b/>
          <w:bCs/>
          <w:color w:val="000000"/>
          <w:szCs w:val="24"/>
        </w:rPr>
        <w:br w:type="page"/>
      </w:r>
      <w:r>
        <w:rPr>
          <w:rFonts w:hint="eastAsia" w:ascii="宋体" w:hAnsi="宋体" w:eastAsia="宋体" w:cs="宋体"/>
          <w:b/>
          <w:color w:val="000000"/>
          <w:kern w:val="0"/>
          <w:sz w:val="32"/>
          <w:szCs w:val="32"/>
        </w:rPr>
        <w:t xml:space="preserve">封面                                                      </w:t>
      </w: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bCs/>
          <w:color w:val="000000"/>
          <w:kern w:val="0"/>
          <w:sz w:val="52"/>
          <w:szCs w:val="52"/>
        </w:rPr>
      </w:pPr>
      <w:r>
        <w:rPr>
          <w:rFonts w:hint="eastAsia" w:ascii="宋体" w:hAnsi="宋体" w:eastAsia="宋体" w:cs="宋体"/>
          <w:b/>
          <w:bCs/>
          <w:color w:val="000000"/>
          <w:sz w:val="52"/>
          <w:szCs w:val="52"/>
        </w:rPr>
        <w:t>2021年度青山水库运行维护及工程维修项目——运行管理及日常维护项目</w:t>
      </w:r>
    </w:p>
    <w:p>
      <w:pPr>
        <w:spacing w:line="360" w:lineRule="auto"/>
        <w:jc w:val="center"/>
        <w:rPr>
          <w:rFonts w:hint="eastAsia" w:ascii="宋体" w:hAnsi="宋体" w:eastAsia="宋体" w:cs="宋体"/>
          <w:b/>
          <w:color w:val="000000"/>
          <w:kern w:val="0"/>
          <w:sz w:val="32"/>
          <w:szCs w:val="32"/>
        </w:rPr>
      </w:pPr>
    </w:p>
    <w:p>
      <w:pPr>
        <w:spacing w:line="360" w:lineRule="auto"/>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资格文件</w:t>
      </w:r>
    </w:p>
    <w:p>
      <w:pPr>
        <w:spacing w:line="360" w:lineRule="auto"/>
        <w:jc w:val="center"/>
        <w:rPr>
          <w:rFonts w:hint="eastAsia" w:ascii="宋体" w:hAnsi="宋体" w:eastAsia="宋体" w:cs="宋体"/>
          <w:b/>
          <w:color w:val="000000"/>
          <w:kern w:val="0"/>
          <w:sz w:val="32"/>
          <w:szCs w:val="32"/>
        </w:rPr>
      </w:pPr>
    </w:p>
    <w:p>
      <w:pPr>
        <w:spacing w:line="360" w:lineRule="auto"/>
        <w:rPr>
          <w:rFonts w:hint="eastAsia" w:ascii="宋体" w:hAnsi="宋体" w:eastAsia="宋体" w:cs="宋体"/>
          <w:b/>
          <w:color w:val="000000"/>
          <w:kern w:val="0"/>
          <w:szCs w:val="24"/>
        </w:rPr>
      </w:pPr>
      <w:r>
        <w:rPr>
          <w:rFonts w:hint="eastAsia" w:ascii="宋体" w:hAnsi="宋体" w:eastAsia="宋体" w:cs="宋体"/>
          <w:b/>
          <w:color w:val="000000"/>
          <w:kern w:val="0"/>
          <w:sz w:val="32"/>
          <w:szCs w:val="32"/>
        </w:rPr>
        <w:t xml:space="preserve">             采购编号：</w:t>
      </w: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投标人名称：</w:t>
      </w:r>
    </w:p>
    <w:p>
      <w:pPr>
        <w:spacing w:line="360" w:lineRule="auto"/>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年  月  日</w:t>
      </w:r>
    </w:p>
    <w:p>
      <w:pPr>
        <w:spacing w:line="360" w:lineRule="auto"/>
        <w:jc w:val="center"/>
        <w:rPr>
          <w:rFonts w:hint="eastAsia" w:ascii="宋体" w:hAnsi="宋体" w:eastAsia="宋体" w:cs="宋体"/>
          <w:b/>
          <w:color w:val="000000"/>
          <w:kern w:val="0"/>
          <w:sz w:val="32"/>
          <w:szCs w:val="32"/>
        </w:rPr>
      </w:pPr>
    </w:p>
    <w:p>
      <w:pPr>
        <w:spacing w:line="360" w:lineRule="auto"/>
        <w:jc w:val="center"/>
        <w:rPr>
          <w:rFonts w:hint="eastAsia" w:ascii="宋体" w:hAnsi="宋体" w:eastAsia="宋体" w:cs="宋体"/>
          <w:b/>
          <w:color w:val="000000"/>
          <w:kern w:val="0"/>
          <w:sz w:val="32"/>
          <w:szCs w:val="32"/>
        </w:rPr>
      </w:pPr>
    </w:p>
    <w:p>
      <w:pPr>
        <w:spacing w:line="360" w:lineRule="auto"/>
        <w:jc w:val="center"/>
        <w:rPr>
          <w:rFonts w:hint="eastAsia" w:ascii="宋体" w:hAnsi="宋体" w:eastAsia="宋体" w:cs="宋体"/>
          <w:b/>
          <w:color w:val="000000"/>
          <w:kern w:val="0"/>
          <w:sz w:val="32"/>
          <w:szCs w:val="32"/>
        </w:rPr>
      </w:pPr>
    </w:p>
    <w:p>
      <w:pPr>
        <w:pageBreakBefore/>
        <w:spacing w:line="360" w:lineRule="auto"/>
        <w:jc w:val="center"/>
        <w:outlineLvl w:val="1"/>
        <w:rPr>
          <w:rFonts w:hint="eastAsia" w:ascii="宋体" w:hAnsi="宋体" w:eastAsia="宋体" w:cs="宋体"/>
          <w:b/>
          <w:bCs/>
          <w:color w:val="000000"/>
          <w:sz w:val="36"/>
          <w:szCs w:val="36"/>
          <w:lang w:val="zh-CN"/>
        </w:rPr>
      </w:pPr>
      <w:bookmarkStart w:id="84" w:name="_Toc24919"/>
      <w:r>
        <w:rPr>
          <w:rFonts w:hint="eastAsia" w:ascii="宋体" w:hAnsi="宋体" w:eastAsia="宋体" w:cs="宋体"/>
          <w:b/>
          <w:bCs/>
          <w:color w:val="000000"/>
          <w:sz w:val="36"/>
          <w:szCs w:val="36"/>
          <w:lang w:val="zh-CN"/>
        </w:rPr>
        <w:t>资格文件</w:t>
      </w:r>
      <w:bookmarkEnd w:id="84"/>
    </w:p>
    <w:p>
      <w:pPr>
        <w:adjustRightInd w:val="0"/>
        <w:spacing w:line="360" w:lineRule="auto"/>
        <w:jc w:val="center"/>
        <w:rPr>
          <w:rFonts w:hint="eastAsia" w:ascii="宋体" w:hAnsi="宋体" w:eastAsia="宋体" w:cs="宋体"/>
          <w:bCs/>
          <w:color w:val="000000"/>
        </w:rPr>
      </w:pPr>
    </w:p>
    <w:p>
      <w:pPr>
        <w:snapToGrid w:val="0"/>
        <w:spacing w:line="360" w:lineRule="auto"/>
        <w:rPr>
          <w:rFonts w:hint="eastAsia" w:ascii="宋体" w:hAnsi="宋体" w:eastAsia="宋体" w:cs="宋体"/>
          <w:b/>
          <w:bCs/>
          <w:color w:val="000000"/>
          <w:kern w:val="0"/>
          <w:szCs w:val="22"/>
        </w:rPr>
      </w:pPr>
    </w:p>
    <w:p>
      <w:pPr>
        <w:spacing w:line="360" w:lineRule="auto"/>
        <w:jc w:val="center"/>
        <w:outlineLvl w:val="2"/>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目录</w:t>
      </w:r>
    </w:p>
    <w:p>
      <w:pPr>
        <w:spacing w:line="360" w:lineRule="auto"/>
        <w:jc w:val="left"/>
        <w:rPr>
          <w:rFonts w:hint="eastAsia" w:ascii="宋体" w:hAnsi="宋体" w:eastAsia="宋体" w:cs="宋体"/>
          <w:color w:val="000000"/>
          <w:kern w:val="0"/>
        </w:rPr>
      </w:pPr>
    </w:p>
    <w:p>
      <w:pPr>
        <w:spacing w:line="360" w:lineRule="auto"/>
        <w:jc w:val="left"/>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szCs w:val="24"/>
        </w:rPr>
        <w:t>投标人的营业执照</w:t>
      </w:r>
      <w:r>
        <w:rPr>
          <w:rFonts w:hint="eastAsia" w:ascii="宋体" w:hAnsi="宋体" w:eastAsia="宋体" w:cs="宋体"/>
          <w:color w:val="000000"/>
          <w:kern w:val="0"/>
        </w:rPr>
        <w:t>……</w:t>
      </w:r>
      <w:bookmarkStart w:id="85" w:name="OLE_LINK12"/>
      <w:r>
        <w:rPr>
          <w:rFonts w:hint="eastAsia" w:ascii="宋体" w:hAnsi="宋体" w:eastAsia="宋体" w:cs="宋体"/>
          <w:color w:val="000000"/>
          <w:kern w:val="0"/>
        </w:rPr>
        <w:t>…………</w:t>
      </w:r>
      <w:bookmarkEnd w:id="85"/>
      <w:r>
        <w:rPr>
          <w:rFonts w:hint="eastAsia" w:ascii="宋体" w:hAnsi="宋体" w:eastAsia="宋体" w:cs="宋体"/>
          <w:color w:val="000000"/>
          <w:kern w:val="0"/>
        </w:rPr>
        <w:t>……………………………………………………（页码）</w:t>
      </w:r>
    </w:p>
    <w:p>
      <w:pPr>
        <w:spacing w:line="360" w:lineRule="auto"/>
        <w:jc w:val="left"/>
        <w:rPr>
          <w:rFonts w:hint="eastAsia" w:ascii="宋体" w:hAnsi="宋体" w:eastAsia="宋体" w:cs="宋体"/>
          <w:color w:val="000000"/>
          <w:kern w:val="0"/>
        </w:rPr>
      </w:pPr>
      <w:r>
        <w:rPr>
          <w:rFonts w:hint="eastAsia" w:ascii="宋体" w:hAnsi="宋体" w:eastAsia="宋体" w:cs="宋体"/>
          <w:color w:val="000000"/>
          <w:kern w:val="0"/>
        </w:rPr>
        <w:t>（2）财务状况报告…………………………………………………………………………（页码）</w:t>
      </w:r>
    </w:p>
    <w:p>
      <w:pPr>
        <w:spacing w:line="360" w:lineRule="auto"/>
        <w:jc w:val="left"/>
        <w:rPr>
          <w:rFonts w:hint="eastAsia" w:ascii="宋体" w:hAnsi="宋体" w:eastAsia="宋体" w:cs="宋体"/>
          <w:color w:val="000000"/>
          <w:kern w:val="0"/>
        </w:rPr>
      </w:pPr>
      <w:r>
        <w:rPr>
          <w:rFonts w:hint="eastAsia" w:ascii="宋体" w:hAnsi="宋体" w:eastAsia="宋体" w:cs="宋体"/>
          <w:color w:val="000000"/>
          <w:kern w:val="0"/>
        </w:rPr>
        <w:t>（3）依法缴纳税收证明材料………………………………………………………………（页码）</w:t>
      </w:r>
    </w:p>
    <w:p>
      <w:pPr>
        <w:spacing w:line="360" w:lineRule="auto"/>
        <w:jc w:val="left"/>
        <w:rPr>
          <w:rFonts w:hint="eastAsia" w:ascii="宋体" w:hAnsi="宋体" w:eastAsia="宋体" w:cs="宋体"/>
          <w:color w:val="000000"/>
          <w:kern w:val="0"/>
        </w:rPr>
      </w:pPr>
      <w:r>
        <w:rPr>
          <w:rFonts w:hint="eastAsia" w:ascii="宋体" w:hAnsi="宋体" w:eastAsia="宋体" w:cs="宋体"/>
          <w:color w:val="000000"/>
          <w:kern w:val="0"/>
        </w:rPr>
        <w:t>（4）依法缴纳社会保障资金证明材料……………………………………………………（页码）</w:t>
      </w:r>
    </w:p>
    <w:p>
      <w:pPr>
        <w:spacing w:line="360" w:lineRule="auto"/>
        <w:jc w:val="left"/>
        <w:rPr>
          <w:rFonts w:hint="eastAsia" w:ascii="宋体" w:hAnsi="宋体" w:eastAsia="宋体" w:cs="宋体"/>
          <w:color w:val="000000"/>
          <w:kern w:val="0"/>
        </w:rPr>
      </w:pPr>
      <w:r>
        <w:rPr>
          <w:rFonts w:hint="eastAsia" w:ascii="宋体" w:hAnsi="宋体" w:eastAsia="宋体" w:cs="宋体"/>
          <w:color w:val="000000"/>
          <w:kern w:val="0"/>
        </w:rPr>
        <w:t>（5）投标人资格声明………………………………………………………………………（页码）</w:t>
      </w:r>
    </w:p>
    <w:p>
      <w:pPr>
        <w:snapToGrid w:val="0"/>
        <w:spacing w:line="360" w:lineRule="auto"/>
        <w:ind w:firstLine="723" w:firstLineChars="300"/>
        <w:rPr>
          <w:rFonts w:hint="eastAsia" w:ascii="宋体" w:hAnsi="宋体" w:eastAsia="宋体" w:cs="宋体"/>
          <w:b/>
          <w:bCs/>
          <w:color w:val="000000"/>
          <w:kern w:val="0"/>
          <w:szCs w:val="22"/>
        </w:rPr>
      </w:pPr>
    </w:p>
    <w:p>
      <w:pPr>
        <w:snapToGrid w:val="0"/>
        <w:spacing w:line="360" w:lineRule="auto"/>
        <w:ind w:firstLine="723" w:firstLineChars="300"/>
        <w:rPr>
          <w:rFonts w:hint="eastAsia" w:ascii="宋体" w:hAnsi="宋体" w:eastAsia="宋体" w:cs="宋体"/>
          <w:b/>
          <w:bCs/>
          <w:color w:val="000000"/>
          <w:szCs w:val="22"/>
        </w:rPr>
      </w:pPr>
      <w:r>
        <w:rPr>
          <w:rFonts w:hint="eastAsia" w:ascii="宋体" w:hAnsi="宋体" w:eastAsia="宋体" w:cs="宋体"/>
          <w:b/>
          <w:bCs/>
          <w:color w:val="000000"/>
          <w:kern w:val="0"/>
          <w:szCs w:val="22"/>
          <w:lang w:val="zh-CN"/>
        </w:rPr>
        <w:br w:type="page"/>
      </w:r>
      <w:r>
        <w:rPr>
          <w:rFonts w:hint="eastAsia" w:ascii="宋体" w:hAnsi="宋体" w:eastAsia="宋体" w:cs="宋体"/>
          <w:b/>
          <w:color w:val="000000"/>
          <w:sz w:val="30"/>
          <w:szCs w:val="30"/>
        </w:rPr>
        <w:t>一、投标人的营业执照（复印件加盖公章）</w:t>
      </w:r>
    </w:p>
    <w:p>
      <w:pPr>
        <w:snapToGrid w:val="0"/>
        <w:spacing w:line="360" w:lineRule="auto"/>
        <w:rPr>
          <w:rFonts w:hint="eastAsia" w:ascii="宋体" w:hAnsi="宋体" w:eastAsia="宋体" w:cs="宋体"/>
          <w:color w:val="000000"/>
          <w:kern w:val="0"/>
          <w:szCs w:val="22"/>
        </w:rPr>
      </w:pPr>
    </w:p>
    <w:p>
      <w:pPr>
        <w:snapToGrid w:val="0"/>
        <w:spacing w:line="360" w:lineRule="auto"/>
        <w:rPr>
          <w:rFonts w:ascii="宋体" w:hAnsi="宋体" w:eastAsia="宋体" w:cs="宋体"/>
          <w:color w:val="000000"/>
          <w:kern w:val="0"/>
          <w:sz w:val="21"/>
          <w:szCs w:val="21"/>
        </w:rPr>
      </w:pPr>
      <w:r>
        <w:rPr>
          <w:rFonts w:hint="eastAsia" w:ascii="宋体" w:hAnsi="宋体" w:eastAsia="宋体" w:cs="宋体"/>
          <w:color w:val="000000"/>
          <w:kern w:val="0"/>
          <w:sz w:val="21"/>
          <w:szCs w:val="21"/>
        </w:rPr>
        <w:t>说明：1、法人、其他组织或者自然人投标的须提供：</w:t>
      </w:r>
    </w:p>
    <w:p>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（1）投标人为法人的，应提交营业执照或法人登记证书的复印件；</w:t>
      </w:r>
    </w:p>
    <w:p>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（2）投标人为非法人组织的，应提交依法登记证书复印件；</w:t>
      </w:r>
    </w:p>
    <w:p>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（3）投标人为个体工商户的，应提交个体工商户营业执照复印件；</w:t>
      </w:r>
    </w:p>
    <w:p>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（4）投标人为自然人的，应提交自然人的身份证明复印件；</w:t>
      </w:r>
    </w:p>
    <w:p>
      <w:pPr>
        <w:spacing w:line="360" w:lineRule="auto"/>
        <w:rPr>
          <w:rFonts w:hint="eastAsia" w:ascii="宋体" w:hAnsi="宋体" w:eastAsia="宋体" w:cs="宋体"/>
          <w:b/>
          <w:bCs/>
          <w:color w:val="000000"/>
          <w:szCs w:val="22"/>
        </w:rPr>
      </w:pPr>
    </w:p>
    <w:p>
      <w:pPr>
        <w:spacing w:line="360" w:lineRule="auto"/>
        <w:jc w:val="center"/>
        <w:outlineLvl w:val="2"/>
        <w:rPr>
          <w:rFonts w:hint="eastAsia" w:ascii="宋体" w:hAnsi="宋体" w:eastAsia="宋体" w:cs="宋体"/>
          <w:b/>
          <w:color w:val="000000"/>
          <w:sz w:val="30"/>
          <w:szCs w:val="30"/>
        </w:rPr>
      </w:pPr>
      <w:r>
        <w:rPr>
          <w:rFonts w:hint="eastAsia" w:ascii="宋体" w:hAnsi="宋体" w:eastAsia="宋体" w:cs="宋体"/>
          <w:b/>
          <w:color w:val="000000"/>
          <w:sz w:val="30"/>
          <w:szCs w:val="30"/>
        </w:rPr>
        <w:t>二、财务状况报告（复印件加盖公章）</w:t>
      </w:r>
    </w:p>
    <w:p>
      <w:pPr>
        <w:snapToGrid w:val="0"/>
        <w:spacing w:line="360" w:lineRule="auto"/>
        <w:rPr>
          <w:rFonts w:hint="eastAsia" w:ascii="宋体" w:hAnsi="宋体" w:eastAsia="宋体" w:cs="宋体"/>
          <w:color w:val="000000"/>
          <w:kern w:val="0"/>
          <w:sz w:val="21"/>
          <w:szCs w:val="21"/>
        </w:rPr>
      </w:pPr>
    </w:p>
    <w:p>
      <w:pPr>
        <w:snapToGrid w:val="0"/>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说明：</w:t>
      </w:r>
    </w:p>
    <w:p>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（1）投标人上年度能全面清晰的反映财务状况的财务报表材料（包括损益表、资产负债表等资料）。</w:t>
      </w:r>
    </w:p>
    <w:p>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（2）若成立时间不足1年的，则提供从成立之日起至今的符合本项前款规定的财务报表资料；</w:t>
      </w:r>
    </w:p>
    <w:p>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（3）新成立的公司，提供相关情况说明材料；</w:t>
      </w:r>
    </w:p>
    <w:p>
      <w:pPr>
        <w:spacing w:line="360" w:lineRule="auto"/>
        <w:rPr>
          <w:rFonts w:hint="eastAsia" w:ascii="宋体" w:hAnsi="宋体" w:eastAsia="宋体" w:cs="宋体"/>
          <w:b/>
          <w:bCs/>
          <w:color w:val="000000"/>
          <w:szCs w:val="22"/>
        </w:rPr>
      </w:pPr>
    </w:p>
    <w:p>
      <w:pPr>
        <w:spacing w:line="360" w:lineRule="auto"/>
        <w:jc w:val="center"/>
        <w:outlineLvl w:val="2"/>
        <w:rPr>
          <w:rFonts w:hint="eastAsia" w:ascii="宋体" w:hAnsi="宋体" w:eastAsia="宋体" w:cs="宋体"/>
          <w:b/>
          <w:color w:val="000000"/>
          <w:sz w:val="30"/>
          <w:szCs w:val="30"/>
        </w:rPr>
      </w:pPr>
      <w:r>
        <w:rPr>
          <w:rFonts w:hint="eastAsia" w:ascii="宋体" w:hAnsi="宋体" w:eastAsia="宋体" w:cs="宋体"/>
          <w:b/>
          <w:color w:val="000000"/>
          <w:sz w:val="30"/>
          <w:szCs w:val="30"/>
        </w:rPr>
        <w:t>三、依法缴纳税收证明材料（复印件加盖公章）</w:t>
      </w:r>
    </w:p>
    <w:p>
      <w:pPr>
        <w:snapToGrid w:val="0"/>
        <w:spacing w:line="360" w:lineRule="auto"/>
        <w:ind w:firstLine="420" w:firstLineChars="200"/>
        <w:rPr>
          <w:rFonts w:hint="eastAsia" w:ascii="宋体" w:hAnsi="宋体" w:eastAsia="宋体" w:cs="宋体"/>
          <w:color w:val="000000"/>
          <w:kern w:val="0"/>
          <w:sz w:val="21"/>
          <w:szCs w:val="21"/>
        </w:rPr>
      </w:pPr>
    </w:p>
    <w:p>
      <w:pPr>
        <w:snapToGrid w:val="0"/>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说明：</w:t>
      </w:r>
    </w:p>
    <w:p>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（1）提供投标截止时间前3个月内任意一个月的依法纳税证明材料。</w:t>
      </w:r>
    </w:p>
    <w:p>
      <w:pPr>
        <w:snapToGrid w:val="0"/>
        <w:spacing w:line="360" w:lineRule="auto"/>
        <w:ind w:firstLine="420" w:firstLineChars="200"/>
        <w:rPr>
          <w:rFonts w:hint="eastAsia" w:ascii="宋体" w:hAnsi="宋体" w:eastAsia="宋体" w:cs="宋体"/>
          <w:color w:val="000000"/>
          <w:kern w:val="0"/>
          <w:sz w:val="21"/>
          <w:szCs w:val="21"/>
        </w:rPr>
      </w:pPr>
    </w:p>
    <w:p>
      <w:pPr>
        <w:snapToGrid w:val="0"/>
        <w:spacing w:line="360" w:lineRule="auto"/>
        <w:ind w:firstLine="420" w:firstLineChars="200"/>
        <w:rPr>
          <w:rFonts w:hint="eastAsia" w:ascii="宋体" w:hAnsi="宋体" w:eastAsia="宋体" w:cs="宋体"/>
          <w:color w:val="000000"/>
          <w:kern w:val="0"/>
          <w:sz w:val="21"/>
          <w:szCs w:val="21"/>
        </w:rPr>
      </w:pPr>
    </w:p>
    <w:p>
      <w:pPr>
        <w:spacing w:line="360" w:lineRule="auto"/>
        <w:jc w:val="center"/>
        <w:outlineLvl w:val="2"/>
        <w:rPr>
          <w:rFonts w:hint="eastAsia" w:ascii="宋体" w:hAnsi="宋体" w:eastAsia="宋体" w:cs="宋体"/>
          <w:b/>
          <w:color w:val="000000"/>
          <w:sz w:val="30"/>
          <w:szCs w:val="30"/>
        </w:rPr>
      </w:pPr>
      <w:r>
        <w:rPr>
          <w:rFonts w:hint="eastAsia" w:ascii="宋体" w:hAnsi="宋体" w:eastAsia="宋体" w:cs="宋体"/>
          <w:b/>
          <w:color w:val="000000"/>
          <w:sz w:val="30"/>
          <w:szCs w:val="30"/>
        </w:rPr>
        <w:t>四、依法缴纳社会保障资金证明材料（复印件加盖公章）</w:t>
      </w:r>
    </w:p>
    <w:p>
      <w:pPr>
        <w:snapToGrid w:val="0"/>
        <w:spacing w:line="360" w:lineRule="auto"/>
        <w:rPr>
          <w:rFonts w:hint="eastAsia" w:ascii="宋体" w:hAnsi="宋体" w:eastAsia="宋体" w:cs="宋体"/>
          <w:color w:val="000000"/>
          <w:kern w:val="0"/>
          <w:szCs w:val="22"/>
        </w:rPr>
      </w:pPr>
    </w:p>
    <w:p>
      <w:pPr>
        <w:snapToGrid w:val="0"/>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说明：</w:t>
      </w:r>
    </w:p>
    <w:p>
      <w:pPr>
        <w:snapToGri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（1）提供投标截止时间前3个月内任意一个月的社保缴纳证明材料。</w:t>
      </w:r>
    </w:p>
    <w:p>
      <w:pPr>
        <w:snapToGrid w:val="0"/>
        <w:spacing w:line="360" w:lineRule="auto"/>
        <w:ind w:firstLine="420" w:firstLineChars="200"/>
        <w:rPr>
          <w:rFonts w:hint="eastAsia" w:ascii="宋体" w:hAnsi="宋体" w:eastAsia="宋体" w:cs="宋体"/>
          <w:color w:val="000000"/>
          <w:kern w:val="0"/>
          <w:sz w:val="21"/>
          <w:szCs w:val="21"/>
        </w:rPr>
      </w:pPr>
    </w:p>
    <w:p>
      <w:pPr>
        <w:spacing w:line="360" w:lineRule="auto"/>
        <w:jc w:val="center"/>
        <w:outlineLvl w:val="2"/>
        <w:rPr>
          <w:rFonts w:hint="eastAsia" w:ascii="宋体" w:hAnsi="宋体" w:eastAsia="宋体" w:cs="宋体"/>
          <w:b/>
          <w:color w:val="000000"/>
          <w:sz w:val="30"/>
          <w:szCs w:val="30"/>
        </w:rPr>
      </w:pPr>
      <w:r>
        <w:rPr>
          <w:rFonts w:hint="eastAsia" w:ascii="宋体" w:hAnsi="宋体" w:eastAsia="宋体" w:cs="宋体"/>
          <w:b/>
          <w:color w:val="000000"/>
          <w:sz w:val="30"/>
          <w:szCs w:val="30"/>
        </w:rPr>
        <w:t>五、投标人资格声明</w:t>
      </w:r>
    </w:p>
    <w:p>
      <w:pPr>
        <w:adjustRightInd w:val="0"/>
        <w:spacing w:line="360" w:lineRule="auto"/>
        <w:rPr>
          <w:rFonts w:hint="eastAsia" w:ascii="宋体" w:hAnsi="宋体" w:eastAsia="宋体" w:cs="宋体"/>
          <w:color w:val="000000"/>
          <w:kern w:val="0"/>
        </w:rPr>
      </w:pPr>
      <w:r>
        <w:rPr>
          <w:rFonts w:hint="eastAsia" w:ascii="宋体" w:hAnsi="宋体" w:eastAsia="宋体" w:cs="宋体"/>
          <w:color w:val="000000"/>
        </w:rPr>
        <w:t>杭州市水库管理服务中心、华联世纪工程咨询股份有限公司</w:t>
      </w:r>
      <w:r>
        <w:rPr>
          <w:rFonts w:hint="eastAsia" w:ascii="宋体" w:hAnsi="宋体" w:eastAsia="宋体" w:cs="宋体"/>
          <w:color w:val="000000"/>
          <w:kern w:val="0"/>
          <w:lang w:val="zh-CN"/>
        </w:rPr>
        <w:t>：</w:t>
      </w:r>
    </w:p>
    <w:p>
      <w:pPr>
        <w:adjustRightInd w:val="0"/>
        <w:spacing w:line="360" w:lineRule="auto"/>
        <w:ind w:firstLine="480"/>
        <w:rPr>
          <w:rFonts w:hint="eastAsia" w:ascii="宋体" w:hAnsi="宋体" w:eastAsia="宋体" w:cs="宋体"/>
          <w:color w:val="000000"/>
          <w:kern w:val="0"/>
          <w:szCs w:val="22"/>
          <w:lang w:val="zh-CN"/>
        </w:rPr>
      </w:pPr>
      <w:r>
        <w:rPr>
          <w:rFonts w:hint="eastAsia" w:ascii="宋体" w:hAnsi="宋体" w:eastAsia="宋体" w:cs="宋体"/>
          <w:color w:val="000000"/>
          <w:kern w:val="0"/>
          <w:szCs w:val="22"/>
          <w:lang w:val="zh-CN"/>
        </w:rPr>
        <w:t>按照《中华人民共和国政府采购法》第二十二条和招标文件的规定，我单位郑重声明如下：</w:t>
      </w:r>
    </w:p>
    <w:p>
      <w:pPr>
        <w:widowControl/>
        <w:adjustRightInd w:val="0"/>
        <w:spacing w:line="360" w:lineRule="auto"/>
        <w:ind w:firstLine="480" w:firstLineChars="200"/>
        <w:jc w:val="left"/>
        <w:rPr>
          <w:rFonts w:hint="eastAsia" w:ascii="宋体" w:hAnsi="宋体" w:eastAsia="宋体" w:cs="宋体"/>
          <w:color w:val="000000"/>
          <w:kern w:val="0"/>
          <w:szCs w:val="21"/>
        </w:rPr>
      </w:pPr>
      <w:r>
        <w:rPr>
          <w:rFonts w:hint="eastAsia" w:ascii="宋体" w:hAnsi="宋体" w:eastAsia="宋体" w:cs="宋体"/>
          <w:color w:val="000000"/>
          <w:szCs w:val="21"/>
        </w:rPr>
        <w:t>一、我单位是按照中华人民共和国法律规定登记注册的，注册地点为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，全称为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，统一社会信用代码为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，法定代表人</w:t>
      </w:r>
      <w:r>
        <w:rPr>
          <w:rFonts w:hint="eastAsia" w:ascii="宋体" w:hAnsi="宋体" w:eastAsia="宋体" w:cs="宋体"/>
          <w:color w:val="000000"/>
          <w:kern w:val="0"/>
          <w:szCs w:val="21"/>
        </w:rPr>
        <w:t>（</w:t>
      </w:r>
      <w:r>
        <w:rPr>
          <w:rFonts w:hint="eastAsia" w:ascii="宋体" w:hAnsi="宋体" w:eastAsia="宋体" w:cs="宋体"/>
          <w:color w:val="000000"/>
          <w:spacing w:val="-2"/>
          <w:kern w:val="0"/>
          <w:szCs w:val="21"/>
        </w:rPr>
        <w:t>单</w:t>
      </w:r>
      <w:r>
        <w:rPr>
          <w:rFonts w:hint="eastAsia" w:ascii="宋体" w:hAnsi="宋体" w:eastAsia="宋体" w:cs="宋体"/>
          <w:color w:val="000000"/>
          <w:kern w:val="0"/>
          <w:szCs w:val="21"/>
        </w:rPr>
        <w:t>位</w:t>
      </w:r>
      <w:r>
        <w:rPr>
          <w:rFonts w:hint="eastAsia" w:ascii="宋体" w:hAnsi="宋体" w:eastAsia="宋体" w:cs="宋体"/>
          <w:color w:val="000000"/>
          <w:spacing w:val="-2"/>
          <w:kern w:val="0"/>
          <w:szCs w:val="21"/>
        </w:rPr>
        <w:t>负</w:t>
      </w:r>
      <w:r>
        <w:rPr>
          <w:rFonts w:hint="eastAsia" w:ascii="宋体" w:hAnsi="宋体" w:eastAsia="宋体" w:cs="宋体"/>
          <w:color w:val="000000"/>
          <w:kern w:val="0"/>
          <w:szCs w:val="21"/>
        </w:rPr>
        <w:t>责人</w:t>
      </w:r>
      <w:r>
        <w:rPr>
          <w:rFonts w:hint="eastAsia" w:ascii="宋体" w:hAnsi="宋体" w:eastAsia="宋体" w:cs="宋体"/>
          <w:color w:val="000000"/>
          <w:spacing w:val="-2"/>
          <w:kern w:val="0"/>
          <w:szCs w:val="21"/>
        </w:rPr>
        <w:t>）</w:t>
      </w:r>
      <w:r>
        <w:rPr>
          <w:rFonts w:hint="eastAsia" w:ascii="宋体" w:hAnsi="宋体" w:eastAsia="宋体" w:cs="宋体"/>
          <w:color w:val="000000"/>
          <w:szCs w:val="21"/>
        </w:rPr>
        <w:t>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，具有独立承担民事责任的能力。</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rPr>
        <w:t>二、</w:t>
      </w:r>
      <w:r>
        <w:rPr>
          <w:rFonts w:hint="eastAsia" w:ascii="宋体" w:hAnsi="宋体" w:eastAsia="宋体" w:cs="宋体"/>
          <w:color w:val="000000"/>
          <w:szCs w:val="21"/>
        </w:rPr>
        <w:t>我单位具有良好的商业信誉和健全的财务会计制度。</w:t>
      </w:r>
    </w:p>
    <w:p>
      <w:pPr>
        <w:widowControl/>
        <w:adjustRightInd w:val="0"/>
        <w:spacing w:line="360" w:lineRule="auto"/>
        <w:ind w:firstLine="48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三、我</w:t>
      </w:r>
      <w:r>
        <w:rPr>
          <w:rFonts w:hint="eastAsia" w:ascii="宋体" w:hAnsi="宋体" w:eastAsia="宋体" w:cs="宋体"/>
          <w:color w:val="000000"/>
          <w:szCs w:val="21"/>
        </w:rPr>
        <w:t>单位</w:t>
      </w:r>
      <w:r>
        <w:rPr>
          <w:rFonts w:hint="eastAsia" w:ascii="宋体" w:hAnsi="宋体" w:eastAsia="宋体" w:cs="宋体"/>
          <w:color w:val="000000"/>
          <w:kern w:val="0"/>
          <w:szCs w:val="21"/>
        </w:rPr>
        <w:t>依法进行纳税和社会保险申报并实际履行了义务。</w:t>
      </w:r>
    </w:p>
    <w:p>
      <w:pPr>
        <w:widowControl/>
        <w:adjustRightInd w:val="0"/>
        <w:spacing w:line="360" w:lineRule="auto"/>
        <w:ind w:firstLine="480" w:firstLineChars="200"/>
        <w:jc w:val="left"/>
        <w:rPr>
          <w:rFonts w:hint="eastAsia" w:ascii="宋体" w:hAnsi="宋体" w:eastAsia="宋体" w:cs="宋体"/>
          <w:color w:val="000000"/>
          <w:kern w:val="0"/>
          <w:szCs w:val="21"/>
        </w:rPr>
      </w:pPr>
      <w:r>
        <w:rPr>
          <w:rFonts w:hint="eastAsia" w:ascii="宋体" w:hAnsi="宋体" w:eastAsia="宋体" w:cs="宋体"/>
          <w:color w:val="000000"/>
          <w:szCs w:val="21"/>
        </w:rPr>
        <w:t>四、我单位具有履行本项目采购合同所必需的设备和专业技术能力，并具有履行合同的良好记录。</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供应商在参加政府采购活动前3年内因违法经营被禁止在一定期限内参加政府采购活动，期限届满的，可以参加政府采购活动。</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六、我单位具备法律、行政法规规定的其他条件。</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rPr>
        <w:t>七、</w:t>
      </w:r>
      <w:r>
        <w:rPr>
          <w:rFonts w:hint="eastAsia" w:ascii="宋体" w:hAnsi="宋体" w:eastAsia="宋体" w:cs="宋体"/>
          <w:color w:val="000000"/>
          <w:szCs w:val="21"/>
        </w:rPr>
        <w:t>与我单位存在“单位负责人为同一人或者存在直接控股、管理关系”的其他单位信息如下（如无，填写“无”）：</w:t>
      </w:r>
    </w:p>
    <w:p>
      <w:pPr>
        <w:adjustRightInd w:val="0"/>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1、与我单位的法定代表人（单位负责人）为同一人的其他单位如下：</w:t>
      </w:r>
      <w:r>
        <w:rPr>
          <w:rFonts w:hint="eastAsia" w:ascii="宋体" w:hAnsi="宋体" w:eastAsia="宋体" w:cs="宋体"/>
          <w:color w:val="000000"/>
          <w:szCs w:val="21"/>
          <w:u w:val="single"/>
        </w:rPr>
        <w:t xml:space="preserve">               。</w:t>
      </w:r>
    </w:p>
    <w:p>
      <w:pPr>
        <w:adjustRightInd w:val="0"/>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2、我单位直接控股的其他单位如下：</w:t>
      </w:r>
      <w:r>
        <w:rPr>
          <w:rFonts w:hint="eastAsia" w:ascii="宋体" w:hAnsi="宋体" w:eastAsia="宋体" w:cs="宋体"/>
          <w:color w:val="000000"/>
          <w:szCs w:val="21"/>
          <w:u w:val="single"/>
        </w:rPr>
        <w:t xml:space="preserve">               。</w:t>
      </w:r>
    </w:p>
    <w:p>
      <w:pPr>
        <w:adjustRightInd w:val="0"/>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3、与我单位存在管理关系的其他单位如下：</w:t>
      </w:r>
      <w:r>
        <w:rPr>
          <w:rFonts w:hint="eastAsia" w:ascii="宋体" w:hAnsi="宋体" w:eastAsia="宋体" w:cs="宋体"/>
          <w:color w:val="000000"/>
          <w:szCs w:val="21"/>
          <w:u w:val="single"/>
        </w:rPr>
        <w:t xml:space="preserve">               。</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八、我单位不属于为本项目提供整体设计、规范编制或者项目管理、监理、检测等服务的投标人。</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九、我单位无以下不良信用记录情形：</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1、在“信用中国”网站被列入失信被执行人和重大税收违法案件当事人名单；</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2、在“中国政府采购网”网站被列入政府采购严重违法失信行为记录名单；</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3、不符合《政府采购法》第二十二条规定的条件。</w:t>
      </w:r>
    </w:p>
    <w:p>
      <w:pPr>
        <w:widowControl/>
        <w:adjustRightInd w:val="0"/>
        <w:spacing w:line="360" w:lineRule="auto"/>
        <w:ind w:firstLine="480" w:firstLineChars="200"/>
        <w:jc w:val="left"/>
        <w:rPr>
          <w:rFonts w:hint="eastAsia" w:ascii="宋体" w:hAnsi="宋体" w:eastAsia="宋体" w:cs="宋体"/>
          <w:color w:val="000000"/>
          <w:szCs w:val="21"/>
        </w:rPr>
      </w:pPr>
      <w:r>
        <w:rPr>
          <w:rFonts w:hint="eastAsia" w:ascii="宋体" w:hAnsi="宋体" w:eastAsia="宋体" w:cs="宋体"/>
          <w:color w:val="000000"/>
          <w:szCs w:val="21"/>
        </w:rPr>
        <w:t>我单位保证上述声明的事项都是真实的，如有虚假，我单位愿意承担相应的法律责任，并承担因此所造成的一切损失。</w:t>
      </w:r>
    </w:p>
    <w:p>
      <w:pPr>
        <w:widowControl/>
        <w:adjustRightInd w:val="0"/>
        <w:spacing w:line="360" w:lineRule="auto"/>
        <w:ind w:firstLine="480" w:firstLineChars="200"/>
        <w:jc w:val="left"/>
        <w:rPr>
          <w:rFonts w:hint="eastAsia" w:ascii="宋体" w:hAnsi="宋体" w:eastAsia="宋体" w:cs="宋体"/>
          <w:color w:val="000000"/>
          <w:szCs w:val="21"/>
          <w:lang w:val="zh-CN"/>
        </w:rPr>
      </w:pPr>
      <w:r>
        <w:rPr>
          <w:rFonts w:hint="eastAsia" w:ascii="宋体" w:hAnsi="宋体" w:eastAsia="宋体" w:cs="宋体"/>
          <w:color w:val="000000"/>
          <w:szCs w:val="21"/>
        </w:rPr>
        <w:t>注：第二条“良好的商业信誉”是指投标人经营状况良好，无本资格声明第九条情形。</w:t>
      </w:r>
    </w:p>
    <w:p>
      <w:pPr>
        <w:widowControl/>
        <w:adjustRightInd w:val="0"/>
        <w:spacing w:line="360" w:lineRule="auto"/>
        <w:ind w:firstLine="480" w:firstLineChars="200"/>
        <w:jc w:val="left"/>
        <w:rPr>
          <w:rFonts w:hint="eastAsia" w:ascii="宋体" w:hAnsi="宋体" w:eastAsia="宋体" w:cs="宋体"/>
          <w:color w:val="000000"/>
          <w:szCs w:val="21"/>
          <w:lang w:val="zh-CN"/>
        </w:rPr>
      </w:pPr>
    </w:p>
    <w:p>
      <w:pPr>
        <w:autoSpaceDE w:val="0"/>
        <w:autoSpaceDN w:val="0"/>
        <w:adjustRightInd w:val="0"/>
        <w:spacing w:line="360" w:lineRule="auto"/>
        <w:ind w:firstLine="5160" w:firstLineChars="2150"/>
        <w:rPr>
          <w:rFonts w:hint="eastAsia" w:ascii="宋体" w:hAnsi="宋体" w:eastAsia="宋体" w:cs="宋体"/>
          <w:color w:val="000000"/>
          <w:kern w:val="0"/>
          <w:szCs w:val="24"/>
        </w:rPr>
      </w:pPr>
      <w:r>
        <w:rPr>
          <w:rFonts w:hint="eastAsia" w:ascii="宋体" w:hAnsi="宋体" w:eastAsia="宋体" w:cs="宋体"/>
          <w:color w:val="000000"/>
          <w:kern w:val="0"/>
          <w:szCs w:val="24"/>
          <w:lang w:val="zh-CN"/>
        </w:rPr>
        <w:t>投标人名称（盖章）：</w:t>
      </w:r>
    </w:p>
    <w:p>
      <w:pPr>
        <w:tabs>
          <w:tab w:val="left" w:pos="540"/>
        </w:tabs>
        <w:autoSpaceDE w:val="0"/>
        <w:autoSpaceDN w:val="0"/>
        <w:adjustRightInd w:val="0"/>
        <w:spacing w:line="360" w:lineRule="auto"/>
        <w:ind w:firstLine="480" w:firstLineChars="200"/>
        <w:rPr>
          <w:rFonts w:hint="eastAsia" w:ascii="宋体" w:hAnsi="宋体" w:eastAsia="宋体" w:cs="宋体"/>
          <w:color w:val="000000"/>
          <w:kern w:val="0"/>
          <w:szCs w:val="24"/>
          <w:lang w:val="zh-CN"/>
        </w:rPr>
      </w:pPr>
      <w:r>
        <w:rPr>
          <w:rFonts w:hint="eastAsia" w:ascii="宋体" w:hAnsi="宋体" w:eastAsia="宋体" w:cs="宋体"/>
          <w:color w:val="000000"/>
          <w:kern w:val="0"/>
          <w:szCs w:val="24"/>
          <w:lang w:val="zh-CN"/>
        </w:rPr>
        <w:t xml:space="preserve">                                       日期：     年  月   日</w:t>
      </w:r>
    </w:p>
    <w:p>
      <w:pPr>
        <w:spacing w:line="360" w:lineRule="auto"/>
        <w:rPr>
          <w:rFonts w:ascii="宋体" w:hAnsi="宋体" w:eastAsia="宋体" w:cs="宋体"/>
          <w:b/>
          <w:color w:val="000000"/>
          <w:kern w:val="0"/>
          <w:szCs w:val="24"/>
        </w:rPr>
      </w:pPr>
      <w:r>
        <w:rPr>
          <w:rFonts w:hint="eastAsia" w:ascii="宋体" w:hAnsi="宋体" w:eastAsia="宋体" w:cs="宋体"/>
          <w:b/>
          <w:color w:val="000000"/>
        </w:rPr>
        <w:br w:type="page"/>
      </w:r>
      <w:r>
        <w:rPr>
          <w:rFonts w:hint="eastAsia" w:ascii="宋体" w:hAnsi="宋体" w:eastAsia="宋体" w:cs="宋体"/>
          <w:b/>
          <w:color w:val="000000"/>
          <w:kern w:val="0"/>
          <w:sz w:val="32"/>
          <w:szCs w:val="32"/>
        </w:rPr>
        <w:t xml:space="preserve">封面                                                     </w:t>
      </w: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bCs/>
          <w:color w:val="000000"/>
          <w:kern w:val="0"/>
          <w:sz w:val="52"/>
          <w:szCs w:val="52"/>
        </w:rPr>
      </w:pPr>
      <w:r>
        <w:rPr>
          <w:rFonts w:hint="eastAsia" w:ascii="宋体" w:hAnsi="宋体" w:eastAsia="宋体" w:cs="宋体"/>
          <w:b/>
          <w:bCs/>
          <w:color w:val="000000"/>
          <w:sz w:val="52"/>
          <w:szCs w:val="52"/>
        </w:rPr>
        <w:t>2021年度青山水库运行维护及工程维修项目——运行管理及日常维护项目</w:t>
      </w:r>
    </w:p>
    <w:p>
      <w:pPr>
        <w:spacing w:line="360" w:lineRule="auto"/>
        <w:jc w:val="center"/>
        <w:rPr>
          <w:rFonts w:hint="eastAsia" w:ascii="宋体" w:hAnsi="宋体" w:eastAsia="宋体" w:cs="宋体"/>
          <w:b/>
          <w:color w:val="000000"/>
          <w:kern w:val="0"/>
          <w:sz w:val="32"/>
          <w:szCs w:val="32"/>
        </w:rPr>
      </w:pPr>
    </w:p>
    <w:p>
      <w:pPr>
        <w:spacing w:line="360" w:lineRule="auto"/>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商务技术文件</w:t>
      </w:r>
    </w:p>
    <w:p>
      <w:pPr>
        <w:spacing w:line="360" w:lineRule="auto"/>
        <w:jc w:val="center"/>
        <w:rPr>
          <w:rFonts w:hint="eastAsia" w:ascii="宋体" w:hAnsi="宋体" w:eastAsia="宋体" w:cs="宋体"/>
          <w:b/>
          <w:color w:val="000000"/>
          <w:kern w:val="0"/>
          <w:sz w:val="32"/>
          <w:szCs w:val="32"/>
        </w:rPr>
      </w:pPr>
    </w:p>
    <w:p>
      <w:pPr>
        <w:spacing w:line="360" w:lineRule="auto"/>
        <w:rPr>
          <w:rFonts w:hint="eastAsia" w:ascii="宋体" w:hAnsi="宋体" w:eastAsia="宋体" w:cs="宋体"/>
          <w:b/>
          <w:color w:val="000000"/>
          <w:kern w:val="0"/>
          <w:szCs w:val="24"/>
        </w:rPr>
      </w:pPr>
      <w:r>
        <w:rPr>
          <w:rFonts w:hint="eastAsia" w:ascii="宋体" w:hAnsi="宋体" w:eastAsia="宋体" w:cs="宋体"/>
          <w:b/>
          <w:color w:val="000000"/>
          <w:kern w:val="0"/>
          <w:sz w:val="32"/>
          <w:szCs w:val="32"/>
        </w:rPr>
        <w:t xml:space="preserve">             采购编号：</w:t>
      </w: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投标人名称：</w:t>
      </w:r>
    </w:p>
    <w:p>
      <w:pPr>
        <w:spacing w:line="360" w:lineRule="auto"/>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年  月  日</w:t>
      </w:r>
    </w:p>
    <w:p>
      <w:pPr>
        <w:spacing w:line="360" w:lineRule="auto"/>
        <w:jc w:val="center"/>
        <w:rPr>
          <w:rFonts w:hint="eastAsia" w:ascii="宋体" w:hAnsi="宋体" w:eastAsia="宋体" w:cs="宋体"/>
          <w:b/>
          <w:color w:val="000000"/>
          <w:kern w:val="0"/>
          <w:sz w:val="32"/>
          <w:szCs w:val="32"/>
        </w:rPr>
      </w:pPr>
    </w:p>
    <w:p>
      <w:pPr>
        <w:adjustRightInd w:val="0"/>
        <w:spacing w:line="360" w:lineRule="auto"/>
        <w:rPr>
          <w:rFonts w:hint="eastAsia" w:ascii="宋体" w:hAnsi="宋体" w:eastAsia="宋体" w:cs="宋体"/>
          <w:b/>
          <w:color w:val="000000"/>
        </w:rPr>
      </w:pPr>
    </w:p>
    <w:p>
      <w:pPr>
        <w:spacing w:line="360" w:lineRule="auto"/>
        <w:jc w:val="center"/>
        <w:outlineLvl w:val="1"/>
        <w:rPr>
          <w:rFonts w:ascii="宋体" w:hAnsi="宋体" w:eastAsia="宋体" w:cs="宋体"/>
          <w:b/>
          <w:color w:val="000000"/>
          <w:kern w:val="0"/>
          <w:sz w:val="36"/>
          <w:szCs w:val="36"/>
        </w:rPr>
      </w:pPr>
      <w:r>
        <w:rPr>
          <w:rFonts w:hint="eastAsia" w:ascii="宋体" w:hAnsi="宋体" w:eastAsia="宋体" w:cs="宋体"/>
          <w:color w:val="000000"/>
          <w:sz w:val="36"/>
          <w:szCs w:val="36"/>
          <w:lang w:val="zh-CN"/>
        </w:rPr>
        <w:br w:type="page"/>
      </w:r>
      <w:bookmarkStart w:id="86" w:name="_Toc18604"/>
      <w:r>
        <w:rPr>
          <w:rFonts w:hint="eastAsia" w:ascii="宋体" w:hAnsi="宋体" w:eastAsia="宋体" w:cs="宋体"/>
          <w:b/>
          <w:color w:val="000000"/>
          <w:kern w:val="0"/>
          <w:sz w:val="36"/>
          <w:szCs w:val="36"/>
        </w:rPr>
        <w:t>商务技术文件</w:t>
      </w:r>
      <w:bookmarkEnd w:id="86"/>
    </w:p>
    <w:p>
      <w:pPr>
        <w:adjustRightInd w:val="0"/>
        <w:spacing w:line="360" w:lineRule="auto"/>
        <w:jc w:val="center"/>
        <w:rPr>
          <w:rFonts w:hint="eastAsia" w:ascii="宋体" w:hAnsi="宋体" w:eastAsia="宋体" w:cs="宋体"/>
          <w:bCs/>
          <w:color w:val="000000"/>
          <w:szCs w:val="24"/>
        </w:rPr>
      </w:pPr>
    </w:p>
    <w:p>
      <w:pPr>
        <w:pStyle w:val="23"/>
        <w:snapToGrid w:val="0"/>
        <w:spacing w:line="360" w:lineRule="auto"/>
        <w:jc w:val="center"/>
        <w:rPr>
          <w:rFonts w:hint="eastAsia" w:hAnsi="宋体" w:eastAsia="宋体" w:cs="宋体"/>
          <w:b/>
          <w:snapToGrid w:val="0"/>
          <w:color w:val="000000"/>
          <w:kern w:val="0"/>
          <w:sz w:val="28"/>
          <w:szCs w:val="28"/>
        </w:rPr>
      </w:pPr>
      <w:r>
        <w:rPr>
          <w:rFonts w:hint="eastAsia" w:hAnsi="宋体" w:eastAsia="宋体" w:cs="宋体"/>
          <w:b/>
          <w:snapToGrid w:val="0"/>
          <w:color w:val="000000"/>
          <w:kern w:val="0"/>
          <w:sz w:val="28"/>
          <w:szCs w:val="28"/>
        </w:rPr>
        <w:t>评分索引表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165"/>
        <w:gridCol w:w="1215"/>
        <w:gridCol w:w="1248"/>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序号</w:t>
            </w:r>
          </w:p>
        </w:tc>
        <w:tc>
          <w:tcPr>
            <w:tcW w:w="5165" w:type="dxa"/>
            <w:noWrap w:val="0"/>
            <w:vAlign w:val="center"/>
          </w:tcPr>
          <w:p>
            <w:pPr>
              <w:adjustRightInd w:val="0"/>
              <w:snapToGrid w:val="0"/>
              <w:spacing w:line="460" w:lineRule="exact"/>
              <w:jc w:val="center"/>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评分细则内容</w:t>
            </w: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投标响应情况</w:t>
            </w: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证明材料所在页码</w:t>
            </w: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snapToGrid w:val="0"/>
                <w:color w:val="000000"/>
                <w:kern w:val="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color w:val="00000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color w:val="00000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color w:val="00000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color w:val="00000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color w:val="00000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color w:val="00000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color w:val="00000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color w:val="00000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spacing w:line="460" w:lineRule="exact"/>
              <w:jc w:val="center"/>
              <w:rPr>
                <w:rFonts w:hint="eastAsia" w:ascii="宋体" w:hAnsi="宋体" w:eastAsia="宋体" w:cs="宋体"/>
                <w:snapToGrid w:val="0"/>
                <w:color w:val="000000"/>
                <w:kern w:val="0"/>
                <w:szCs w:val="21"/>
              </w:rPr>
            </w:pPr>
          </w:p>
        </w:tc>
        <w:tc>
          <w:tcPr>
            <w:tcW w:w="5165" w:type="dxa"/>
            <w:noWrap w:val="0"/>
            <w:vAlign w:val="center"/>
          </w:tcPr>
          <w:p>
            <w:pPr>
              <w:adjustRightInd w:val="0"/>
              <w:snapToGrid w:val="0"/>
              <w:spacing w:line="460" w:lineRule="exact"/>
              <w:rPr>
                <w:rFonts w:hint="eastAsia" w:ascii="宋体" w:hAnsi="宋体" w:eastAsia="宋体" w:cs="宋体"/>
                <w:color w:val="000000"/>
                <w:szCs w:val="21"/>
              </w:rPr>
            </w:pPr>
          </w:p>
        </w:tc>
        <w:tc>
          <w:tcPr>
            <w:tcW w:w="1215"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48"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c>
          <w:tcPr>
            <w:tcW w:w="1200" w:type="dxa"/>
            <w:noWrap w:val="0"/>
            <w:vAlign w:val="center"/>
          </w:tcPr>
          <w:p>
            <w:pPr>
              <w:adjustRightInd w:val="0"/>
              <w:snapToGrid w:val="0"/>
              <w:spacing w:line="460" w:lineRule="exact"/>
              <w:jc w:val="center"/>
              <w:rPr>
                <w:rFonts w:hint="eastAsia" w:ascii="宋体" w:hAnsi="宋体" w:eastAsia="宋体" w:cs="宋体"/>
                <w:b/>
                <w:snapToGrid w:val="0"/>
                <w:color w:val="000000"/>
                <w:kern w:val="0"/>
                <w:szCs w:val="21"/>
              </w:rPr>
            </w:pPr>
          </w:p>
        </w:tc>
      </w:tr>
    </w:tbl>
    <w:p>
      <w:pPr>
        <w:pStyle w:val="18"/>
        <w:rPr>
          <w:rFonts w:hint="eastAsia" w:hAnsi="宋体" w:eastAsia="宋体" w:cs="宋体"/>
          <w:bCs/>
          <w:color w:val="000000"/>
          <w:szCs w:val="24"/>
        </w:rPr>
      </w:pPr>
    </w:p>
    <w:p>
      <w:pPr>
        <w:pStyle w:val="18"/>
        <w:rPr>
          <w:rFonts w:hint="eastAsia" w:hAnsi="宋体" w:eastAsia="宋体" w:cs="宋体"/>
          <w:bCs/>
          <w:color w:val="000000"/>
          <w:szCs w:val="24"/>
        </w:rPr>
      </w:pPr>
    </w:p>
    <w:p>
      <w:pPr>
        <w:pStyle w:val="18"/>
        <w:rPr>
          <w:rFonts w:hint="eastAsia" w:hAnsi="宋体" w:eastAsia="宋体" w:cs="宋体"/>
          <w:bCs/>
          <w:color w:val="000000"/>
          <w:szCs w:val="24"/>
        </w:rPr>
      </w:pPr>
      <w:r>
        <w:rPr>
          <w:rFonts w:hint="eastAsia" w:hAnsi="宋体" w:eastAsia="宋体" w:cs="宋体"/>
          <w:bCs/>
          <w:color w:val="000000"/>
          <w:szCs w:val="24"/>
        </w:rPr>
        <w:br w:type="page"/>
      </w:r>
    </w:p>
    <w:p>
      <w:pPr>
        <w:spacing w:line="360" w:lineRule="auto"/>
        <w:jc w:val="center"/>
        <w:outlineLvl w:val="2"/>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目录</w:t>
      </w:r>
    </w:p>
    <w:p>
      <w:pPr>
        <w:spacing w:line="360" w:lineRule="auto"/>
        <w:jc w:val="distribute"/>
        <w:rPr>
          <w:rFonts w:hint="eastAsia" w:ascii="宋体" w:hAnsi="宋体" w:eastAsia="宋体" w:cs="宋体"/>
          <w:color w:val="000000"/>
          <w:kern w:val="0"/>
        </w:rPr>
      </w:pPr>
      <w:bookmarkStart w:id="87" w:name="_Toc394482271"/>
      <w:bookmarkStart w:id="88" w:name="_Toc394482332"/>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rPr>
        <w:t>授权委托书</w:t>
      </w:r>
      <w:r>
        <w:rPr>
          <w:rFonts w:hint="eastAsia" w:ascii="宋体" w:hAnsi="宋体" w:eastAsia="宋体" w:cs="宋体"/>
          <w:color w:val="000000"/>
          <w:kern w:val="0"/>
        </w:rPr>
        <w:t>……………………</w:t>
      </w:r>
      <w:bookmarkStart w:id="89" w:name="OLE_LINK11"/>
      <w:r>
        <w:rPr>
          <w:rFonts w:hint="eastAsia" w:ascii="宋体" w:hAnsi="宋体" w:eastAsia="宋体" w:cs="宋体"/>
          <w:color w:val="000000"/>
          <w:kern w:val="0"/>
        </w:rPr>
        <w:t>……</w:t>
      </w:r>
      <w:bookmarkEnd w:id="89"/>
      <w:r>
        <w:rPr>
          <w:rFonts w:hint="eastAsia" w:ascii="宋体" w:hAnsi="宋体" w:eastAsia="宋体" w:cs="宋体"/>
          <w:color w:val="000000"/>
          <w:kern w:val="0"/>
        </w:rPr>
        <w:t>…………………………………………………（页码）</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（2）法定代表人及其授权代表的身份证明………………………………………………（页码）</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（3）声明书…………………………………………………………………………………（页码）</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（4）采购需求响应…………………………………………………………………………（页码）</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（5）</w:t>
      </w:r>
      <w:r>
        <w:rPr>
          <w:rFonts w:hint="eastAsia" w:ascii="宋体" w:hAnsi="宋体" w:eastAsia="宋体" w:cs="宋体"/>
          <w:color w:val="000000"/>
          <w:szCs w:val="24"/>
        </w:rPr>
        <w:t>采购需求偏离说明表</w:t>
      </w:r>
      <w:r>
        <w:rPr>
          <w:rFonts w:hint="eastAsia" w:ascii="宋体" w:hAnsi="宋体" w:eastAsia="宋体" w:cs="宋体"/>
          <w:color w:val="000000"/>
          <w:kern w:val="0"/>
        </w:rPr>
        <w:t>…………………………………………………………………（页码）</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（6）</w:t>
      </w:r>
      <w:r>
        <w:rPr>
          <w:rFonts w:hint="eastAsia" w:ascii="宋体" w:hAnsi="宋体" w:eastAsia="宋体" w:cs="宋体"/>
          <w:color w:val="000000"/>
          <w:szCs w:val="24"/>
        </w:rPr>
        <w:t>合同条款偏离说明表</w:t>
      </w:r>
      <w:r>
        <w:rPr>
          <w:rFonts w:hint="eastAsia" w:ascii="宋体" w:hAnsi="宋体" w:eastAsia="宋体" w:cs="宋体"/>
          <w:color w:val="000000"/>
          <w:kern w:val="0"/>
        </w:rPr>
        <w:t>…………………………………………………………………（页码）</w:t>
      </w:r>
      <w:bookmarkEnd w:id="87"/>
      <w:bookmarkEnd w:id="88"/>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（7）</w:t>
      </w:r>
      <w:r>
        <w:rPr>
          <w:rFonts w:hint="eastAsia" w:ascii="宋体" w:hAnsi="宋体" w:eastAsia="宋体" w:cs="宋体"/>
          <w:color w:val="000000"/>
          <w:kern w:val="0"/>
          <w:lang w:val="zh-CN"/>
        </w:rPr>
        <w:t>廉政承诺书……………</w:t>
      </w:r>
      <w:r>
        <w:rPr>
          <w:rFonts w:hint="eastAsia" w:ascii="宋体" w:hAnsi="宋体" w:eastAsia="宋体" w:cs="宋体"/>
          <w:color w:val="000000"/>
          <w:kern w:val="0"/>
        </w:rPr>
        <w:t>… …………</w:t>
      </w:r>
      <w:r>
        <w:rPr>
          <w:rFonts w:hint="eastAsia" w:ascii="宋体" w:hAnsi="宋体" w:eastAsia="宋体" w:cs="宋体"/>
          <w:color w:val="000000"/>
          <w:kern w:val="0"/>
          <w:lang w:val="zh-CN"/>
        </w:rPr>
        <w:t>……</w:t>
      </w:r>
      <w:r>
        <w:rPr>
          <w:rFonts w:hint="eastAsia" w:ascii="宋体" w:hAnsi="宋体" w:eastAsia="宋体" w:cs="宋体"/>
          <w:color w:val="000000"/>
          <w:kern w:val="0"/>
        </w:rPr>
        <w:t>…………</w:t>
      </w:r>
      <w:r>
        <w:rPr>
          <w:rFonts w:hint="eastAsia" w:ascii="宋体" w:hAnsi="宋体" w:eastAsia="宋体" w:cs="宋体"/>
          <w:color w:val="000000"/>
          <w:kern w:val="0"/>
          <w:lang w:val="zh-CN"/>
        </w:rPr>
        <w:t>…</w:t>
      </w:r>
      <w:r>
        <w:rPr>
          <w:rFonts w:hint="eastAsia" w:ascii="宋体" w:hAnsi="宋体" w:eastAsia="宋体" w:cs="宋体"/>
          <w:color w:val="000000"/>
          <w:kern w:val="0"/>
        </w:rPr>
        <w:t>…</w:t>
      </w:r>
      <w:r>
        <w:rPr>
          <w:rFonts w:hint="eastAsia" w:ascii="宋体" w:hAnsi="宋体" w:eastAsia="宋体" w:cs="宋体"/>
          <w:color w:val="000000"/>
          <w:kern w:val="0"/>
          <w:lang w:val="zh-CN"/>
        </w:rPr>
        <w:t>……</w:t>
      </w:r>
      <w:r>
        <w:rPr>
          <w:rFonts w:hint="eastAsia" w:ascii="宋体" w:hAnsi="宋体" w:eastAsia="宋体" w:cs="宋体"/>
          <w:color w:val="000000"/>
          <w:kern w:val="0"/>
        </w:rPr>
        <w:t>…</w:t>
      </w:r>
      <w:r>
        <w:rPr>
          <w:rFonts w:hint="eastAsia" w:ascii="宋体" w:hAnsi="宋体" w:eastAsia="宋体" w:cs="宋体"/>
          <w:color w:val="000000"/>
          <w:kern w:val="0"/>
          <w:lang w:val="zh-CN"/>
        </w:rPr>
        <w:t>……</w:t>
      </w:r>
      <w:r>
        <w:rPr>
          <w:rFonts w:hint="eastAsia" w:ascii="宋体" w:hAnsi="宋体" w:eastAsia="宋体" w:cs="宋体"/>
          <w:color w:val="000000"/>
          <w:kern w:val="0"/>
        </w:rPr>
        <w:t>…</w:t>
      </w:r>
      <w:r>
        <w:rPr>
          <w:rFonts w:hint="eastAsia" w:ascii="宋体" w:hAnsi="宋体" w:eastAsia="宋体" w:cs="宋体"/>
          <w:color w:val="000000"/>
          <w:kern w:val="0"/>
          <w:lang w:val="zh-CN"/>
        </w:rPr>
        <w:t>…………</w:t>
      </w:r>
      <w:r>
        <w:rPr>
          <w:rFonts w:hint="eastAsia" w:ascii="宋体" w:hAnsi="宋体" w:eastAsia="宋体" w:cs="宋体"/>
          <w:color w:val="000000"/>
          <w:kern w:val="0"/>
        </w:rPr>
        <w:t>（页码）</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（8）</w:t>
      </w:r>
      <w:r>
        <w:rPr>
          <w:rFonts w:hint="eastAsia" w:ascii="宋体" w:hAnsi="宋体" w:eastAsia="宋体" w:cs="宋体"/>
          <w:color w:val="000000"/>
          <w:kern w:val="0"/>
          <w:lang w:val="zh-CN"/>
        </w:rPr>
        <w:t>关于对招标文件中有关条款的拒绝声明………</w:t>
      </w:r>
      <w:r>
        <w:rPr>
          <w:rFonts w:hint="eastAsia" w:ascii="宋体" w:hAnsi="宋体" w:eastAsia="宋体" w:cs="宋体"/>
          <w:color w:val="000000"/>
          <w:kern w:val="0"/>
        </w:rPr>
        <w:t>……………………</w:t>
      </w:r>
      <w:r>
        <w:rPr>
          <w:rFonts w:hint="eastAsia" w:ascii="宋体" w:hAnsi="宋体" w:eastAsia="宋体" w:cs="宋体"/>
          <w:color w:val="000000"/>
          <w:kern w:val="0"/>
          <w:lang w:val="zh-CN"/>
        </w:rPr>
        <w:t>………………</w:t>
      </w:r>
      <w:r>
        <w:rPr>
          <w:rFonts w:hint="eastAsia" w:ascii="宋体" w:hAnsi="宋体" w:eastAsia="宋体" w:cs="宋体"/>
          <w:color w:val="000000"/>
          <w:kern w:val="0"/>
        </w:rPr>
        <w:t>（页码）</w:t>
      </w:r>
    </w:p>
    <w:p>
      <w:pPr>
        <w:spacing w:line="360" w:lineRule="auto"/>
        <w:rPr>
          <w:rFonts w:hint="eastAsia" w:ascii="宋体" w:hAnsi="宋体" w:eastAsia="宋体" w:cs="宋体"/>
          <w:b/>
          <w:bCs/>
          <w:color w:val="000000"/>
        </w:rPr>
      </w:pPr>
      <w:r>
        <w:rPr>
          <w:rFonts w:hint="eastAsia" w:ascii="宋体" w:hAnsi="宋体" w:eastAsia="宋体" w:cs="宋体"/>
          <w:color w:val="000000"/>
          <w:kern w:val="0"/>
        </w:rPr>
        <w:t>（9）</w:t>
      </w:r>
      <w:r>
        <w:rPr>
          <w:rFonts w:hint="eastAsia" w:ascii="宋体" w:hAnsi="宋体" w:eastAsia="宋体" w:cs="宋体"/>
          <w:color w:val="000000"/>
          <w:kern w:val="0"/>
          <w:lang w:val="zh-CN"/>
        </w:rPr>
        <w:t>认为需要的其他商务技术文件或说明………………</w:t>
      </w:r>
      <w:r>
        <w:rPr>
          <w:rFonts w:hint="eastAsia" w:ascii="宋体" w:hAnsi="宋体" w:eastAsia="宋体" w:cs="宋体"/>
          <w:color w:val="000000"/>
          <w:kern w:val="0"/>
        </w:rPr>
        <w:t>……………</w:t>
      </w:r>
      <w:r>
        <w:rPr>
          <w:rFonts w:hint="eastAsia" w:ascii="宋体" w:hAnsi="宋体" w:eastAsia="宋体" w:cs="宋体"/>
          <w:color w:val="000000"/>
          <w:kern w:val="0"/>
          <w:lang w:val="zh-CN"/>
        </w:rPr>
        <w:t>………………</w:t>
      </w:r>
      <w:r>
        <w:rPr>
          <w:rFonts w:hint="eastAsia" w:ascii="宋体" w:hAnsi="宋体" w:eastAsia="宋体" w:cs="宋体"/>
          <w:color w:val="000000"/>
          <w:kern w:val="0"/>
        </w:rPr>
        <w:t>（页码）</w:t>
      </w:r>
    </w:p>
    <w:p>
      <w:pPr>
        <w:adjustRightInd w:val="0"/>
        <w:spacing w:line="360" w:lineRule="auto"/>
        <w:rPr>
          <w:rFonts w:hint="eastAsia" w:ascii="宋体" w:hAnsi="宋体" w:eastAsia="宋体" w:cs="宋体"/>
          <w:b/>
          <w:bCs/>
          <w:color w:val="000000"/>
        </w:rPr>
      </w:pPr>
      <w:r>
        <w:rPr>
          <w:rFonts w:hint="eastAsia" w:ascii="宋体" w:hAnsi="宋体" w:eastAsia="宋体" w:cs="宋体"/>
          <w:b/>
          <w:bCs/>
          <w:color w:val="000000"/>
        </w:rPr>
        <w:t>注：以上目录是编制投标商务技术文件的基本格式要求，各投标人可根据自身情况进一步细化。</w:t>
      </w:r>
    </w:p>
    <w:p>
      <w:pPr>
        <w:adjustRightInd w:val="0"/>
        <w:spacing w:line="360" w:lineRule="auto"/>
        <w:rPr>
          <w:rFonts w:hint="eastAsia" w:ascii="宋体" w:hAnsi="宋体" w:eastAsia="宋体" w:cs="宋体"/>
          <w:b/>
          <w:bCs/>
          <w:color w:val="000000"/>
        </w:rPr>
      </w:pPr>
    </w:p>
    <w:p>
      <w:pPr>
        <w:adjustRightInd w:val="0"/>
        <w:spacing w:line="360" w:lineRule="auto"/>
        <w:jc w:val="center"/>
        <w:outlineLvl w:val="2"/>
        <w:rPr>
          <w:rFonts w:hint="eastAsia" w:ascii="宋体" w:hAnsi="宋体" w:eastAsia="宋体" w:cs="宋体"/>
          <w:b/>
          <w:color w:val="000000"/>
          <w:kern w:val="0"/>
          <w:sz w:val="30"/>
          <w:szCs w:val="30"/>
          <w:lang w:val="zh-CN"/>
        </w:rPr>
      </w:pPr>
      <w:r>
        <w:rPr>
          <w:rFonts w:hint="eastAsia" w:ascii="宋体" w:hAnsi="宋体" w:eastAsia="宋体" w:cs="宋体"/>
          <w:b/>
          <w:bCs/>
          <w:color w:val="000000"/>
          <w:sz w:val="30"/>
          <w:szCs w:val="30"/>
        </w:rPr>
        <w:br w:type="page"/>
      </w:r>
      <w:r>
        <w:rPr>
          <w:rFonts w:hint="eastAsia" w:ascii="宋体" w:hAnsi="宋体" w:eastAsia="宋体" w:cs="宋体"/>
          <w:b/>
          <w:color w:val="000000"/>
          <w:kern w:val="0"/>
          <w:sz w:val="30"/>
          <w:szCs w:val="30"/>
          <w:lang w:val="zh-CN"/>
        </w:rPr>
        <w:t>一、授权委托书</w:t>
      </w:r>
    </w:p>
    <w:p>
      <w:pPr>
        <w:adjustRightInd w:val="0"/>
        <w:spacing w:line="360" w:lineRule="auto"/>
        <w:rPr>
          <w:rFonts w:hint="eastAsia" w:ascii="宋体" w:hAnsi="宋体" w:eastAsia="宋体" w:cs="宋体"/>
          <w:color w:val="000000"/>
          <w:kern w:val="0"/>
        </w:rPr>
      </w:pPr>
      <w:r>
        <w:rPr>
          <w:rFonts w:hint="eastAsia" w:ascii="宋体" w:hAnsi="宋体" w:eastAsia="宋体" w:cs="宋体"/>
          <w:color w:val="000000"/>
          <w:u w:val="single"/>
        </w:rPr>
        <w:t>杭州市水库管理服务中心</w:t>
      </w:r>
      <w:r>
        <w:rPr>
          <w:rFonts w:hint="eastAsia" w:ascii="宋体" w:hAnsi="宋体" w:eastAsia="宋体" w:cs="宋体"/>
          <w:color w:val="000000"/>
        </w:rPr>
        <w:t>、华联世纪工程咨询股份有限公司</w:t>
      </w:r>
      <w:r>
        <w:rPr>
          <w:rFonts w:hint="eastAsia" w:ascii="宋体" w:hAnsi="宋体" w:eastAsia="宋体" w:cs="宋体"/>
          <w:color w:val="000000"/>
          <w:kern w:val="0"/>
          <w:lang w:val="zh-CN"/>
        </w:rPr>
        <w:t>：</w:t>
      </w:r>
    </w:p>
    <w:p>
      <w:pPr>
        <w:pStyle w:val="23"/>
        <w:adjustRightInd w:val="0"/>
        <w:spacing w:line="360" w:lineRule="auto"/>
        <w:ind w:firstLine="480" w:firstLineChars="200"/>
        <w:rPr>
          <w:rFonts w:hint="eastAsia" w:hAnsi="宋体" w:eastAsia="宋体" w:cs="宋体"/>
          <w:color w:val="000000"/>
          <w:kern w:val="0"/>
          <w:lang w:val="zh-CN"/>
        </w:rPr>
      </w:pPr>
      <w:r>
        <w:rPr>
          <w:rFonts w:hint="eastAsia" w:hAnsi="宋体" w:eastAsia="宋体" w:cs="宋体"/>
          <w:color w:val="000000"/>
          <w:kern w:val="0"/>
          <w:lang w:val="zh-CN"/>
        </w:rPr>
        <w:t>兹委派</w:t>
      </w:r>
      <w:r>
        <w:rPr>
          <w:rFonts w:hint="eastAsia" w:hAnsi="宋体" w:eastAsia="宋体" w:cs="宋体"/>
          <w:color w:val="000000"/>
          <w:kern w:val="0"/>
        </w:rPr>
        <w:t>本</w:t>
      </w:r>
      <w:r>
        <w:rPr>
          <w:rFonts w:hint="eastAsia" w:hAnsi="宋体" w:eastAsia="宋体" w:cs="宋体"/>
          <w:color w:val="000000"/>
          <w:kern w:val="0"/>
          <w:lang w:val="zh-CN"/>
        </w:rPr>
        <w:t>公司</w:t>
      </w:r>
      <w:r>
        <w:rPr>
          <w:rFonts w:hint="eastAsia" w:hAnsi="宋体" w:eastAsia="宋体" w:cs="宋体"/>
          <w:color w:val="000000"/>
          <w:kern w:val="0"/>
          <w:u w:val="single"/>
          <w:lang w:val="zh-CN"/>
        </w:rPr>
        <w:t xml:space="preserve">                </w:t>
      </w:r>
      <w:r>
        <w:rPr>
          <w:rFonts w:hint="eastAsia" w:hAnsi="宋体" w:eastAsia="宋体" w:cs="宋体"/>
          <w:color w:val="000000"/>
          <w:kern w:val="0"/>
          <w:lang w:val="zh-CN"/>
        </w:rPr>
        <w:t>先生/女士（身份证号：</w:t>
      </w:r>
      <w:r>
        <w:rPr>
          <w:rFonts w:hint="eastAsia" w:hAnsi="宋体" w:eastAsia="宋体" w:cs="宋体"/>
          <w:color w:val="000000"/>
          <w:kern w:val="0"/>
          <w:u w:val="single"/>
        </w:rPr>
        <w:t xml:space="preserve">           </w:t>
      </w:r>
      <w:r>
        <w:rPr>
          <w:rFonts w:hint="eastAsia" w:hAnsi="宋体" w:eastAsia="宋体" w:cs="宋体"/>
          <w:color w:val="000000"/>
          <w:kern w:val="0"/>
        </w:rPr>
        <w:t>，</w:t>
      </w:r>
      <w:r>
        <w:rPr>
          <w:rFonts w:hint="eastAsia" w:hAnsi="宋体" w:eastAsia="宋体" w:cs="宋体"/>
          <w:color w:val="000000"/>
          <w:kern w:val="0"/>
          <w:lang w:val="zh-CN"/>
        </w:rPr>
        <w:t>其在本公司的职务是：</w:t>
      </w:r>
      <w:r>
        <w:rPr>
          <w:rFonts w:hint="eastAsia" w:hAnsi="宋体" w:eastAsia="宋体" w:cs="宋体"/>
          <w:color w:val="000000"/>
          <w:kern w:val="0"/>
          <w:u w:val="single"/>
          <w:lang w:val="zh-CN"/>
        </w:rPr>
        <w:t xml:space="preserve">                </w:t>
      </w:r>
      <w:r>
        <w:rPr>
          <w:rFonts w:hint="eastAsia" w:hAnsi="宋体" w:eastAsia="宋体" w:cs="宋体"/>
          <w:color w:val="000000"/>
          <w:kern w:val="0"/>
          <w:lang w:val="zh-CN"/>
        </w:rPr>
        <w:t xml:space="preserve"> ，联系电话：</w:t>
      </w:r>
      <w:r>
        <w:rPr>
          <w:rFonts w:hint="eastAsia" w:hAnsi="宋体" w:eastAsia="宋体" w:cs="宋体"/>
          <w:color w:val="000000"/>
          <w:kern w:val="0"/>
          <w:u w:val="single"/>
          <w:lang w:val="zh-CN"/>
        </w:rPr>
        <w:t xml:space="preserve">       </w:t>
      </w:r>
      <w:r>
        <w:rPr>
          <w:rFonts w:hint="eastAsia" w:hAnsi="宋体" w:eastAsia="宋体" w:cs="宋体"/>
          <w:color w:val="000000"/>
          <w:kern w:val="0"/>
          <w:lang w:val="zh-CN"/>
        </w:rPr>
        <w:t>手机：</w:t>
      </w:r>
      <w:r>
        <w:rPr>
          <w:rFonts w:hint="eastAsia" w:hAnsi="宋体" w:eastAsia="宋体" w:cs="宋体"/>
          <w:color w:val="000000"/>
          <w:kern w:val="0"/>
          <w:u w:val="single"/>
          <w:lang w:val="zh-CN"/>
        </w:rPr>
        <w:t xml:space="preserve">        </w:t>
      </w:r>
      <w:r>
        <w:rPr>
          <w:rFonts w:hint="eastAsia" w:hAnsi="宋体" w:eastAsia="宋体" w:cs="宋体"/>
          <w:color w:val="000000"/>
          <w:kern w:val="0"/>
          <w:lang w:val="zh-CN"/>
        </w:rPr>
        <w:t>传真：</w:t>
      </w:r>
      <w:r>
        <w:rPr>
          <w:rFonts w:hint="eastAsia" w:hAnsi="宋体" w:eastAsia="宋体" w:cs="宋体"/>
          <w:color w:val="000000"/>
          <w:kern w:val="0"/>
          <w:u w:val="single"/>
          <w:lang w:val="zh-CN"/>
        </w:rPr>
        <w:t xml:space="preserve">           </w:t>
      </w:r>
      <w:r>
        <w:rPr>
          <w:rFonts w:hint="eastAsia" w:hAnsi="宋体" w:eastAsia="宋体" w:cs="宋体"/>
          <w:color w:val="000000"/>
          <w:kern w:val="0"/>
          <w:lang w:val="zh-CN"/>
        </w:rPr>
        <w:t>）</w:t>
      </w:r>
      <w:r>
        <w:rPr>
          <w:rFonts w:hint="eastAsia" w:hAnsi="宋体" w:eastAsia="宋体" w:cs="宋体"/>
          <w:color w:val="000000"/>
          <w:kern w:val="0"/>
        </w:rPr>
        <w:t>作为代理人。</w:t>
      </w:r>
      <w:r>
        <w:rPr>
          <w:rFonts w:hint="eastAsia" w:hAnsi="宋体" w:eastAsia="宋体" w:cs="宋体"/>
          <w:color w:val="000000"/>
          <w:kern w:val="0"/>
          <w:lang w:val="zh-CN"/>
        </w:rPr>
        <w:t>代理人根据授权，以</w:t>
      </w:r>
      <w:r>
        <w:rPr>
          <w:rFonts w:hint="eastAsia" w:hAnsi="宋体" w:eastAsia="宋体" w:cs="宋体"/>
          <w:color w:val="000000"/>
          <w:kern w:val="0"/>
        </w:rPr>
        <w:t>本公司</w:t>
      </w:r>
      <w:r>
        <w:rPr>
          <w:rFonts w:hint="eastAsia" w:hAnsi="宋体" w:eastAsia="宋体" w:cs="宋体"/>
          <w:color w:val="000000"/>
          <w:kern w:val="0"/>
          <w:lang w:val="zh-CN"/>
        </w:rPr>
        <w:t>名义签署、澄清、说明、补正、递交、撤回、修改</w:t>
      </w:r>
      <w:r>
        <w:rPr>
          <w:rFonts w:hint="eastAsia" w:hAnsi="宋体" w:eastAsia="宋体" w:cs="宋体"/>
          <w:color w:val="000000"/>
        </w:rPr>
        <w:t>杭州市水库管理服务中心2021年度青山水库运行维护及工程维修项目——运行管理及日常维护项目</w:t>
      </w:r>
      <w:r>
        <w:rPr>
          <w:rFonts w:hint="eastAsia" w:hAnsi="宋体" w:eastAsia="宋体" w:cs="宋体"/>
          <w:color w:val="000000"/>
          <w:kern w:val="0"/>
          <w:lang w:val="zh-CN"/>
        </w:rPr>
        <w:t>（项目名称）（采购编号：</w:t>
      </w:r>
      <w:r>
        <w:rPr>
          <w:rFonts w:hint="eastAsia" w:hAnsi="宋体" w:eastAsia="宋体" w:cs="宋体"/>
          <w:color w:val="000000"/>
        </w:rPr>
        <w:t>HLSJHZ-2021-002</w:t>
      </w:r>
      <w:r>
        <w:rPr>
          <w:rFonts w:hint="eastAsia" w:hAnsi="宋体" w:eastAsia="宋体" w:cs="宋体"/>
          <w:color w:val="000000"/>
          <w:kern w:val="0"/>
          <w:lang w:val="zh-CN"/>
        </w:rPr>
        <w:t>）</w:t>
      </w:r>
      <w:r>
        <w:rPr>
          <w:rFonts w:hint="eastAsia" w:hAnsi="宋体" w:eastAsia="宋体" w:cs="宋体"/>
          <w:color w:val="000000"/>
          <w:kern w:val="0"/>
        </w:rPr>
        <w:t>的</w:t>
      </w:r>
      <w:r>
        <w:rPr>
          <w:rFonts w:hint="eastAsia" w:hAnsi="宋体" w:eastAsia="宋体" w:cs="宋体"/>
          <w:color w:val="000000"/>
          <w:kern w:val="0"/>
          <w:lang w:val="zh-CN"/>
        </w:rPr>
        <w:t>投标文件、</w:t>
      </w:r>
      <w:r>
        <w:rPr>
          <w:rFonts w:hint="eastAsia" w:hAnsi="宋体" w:eastAsia="宋体" w:cs="宋体"/>
          <w:color w:val="000000"/>
          <w:kern w:val="0"/>
        </w:rPr>
        <w:t>签订政府采购合同、</w:t>
      </w:r>
      <w:r>
        <w:rPr>
          <w:rFonts w:hint="eastAsia" w:hAnsi="宋体" w:eastAsia="宋体" w:cs="宋体"/>
          <w:color w:val="000000"/>
          <w:kern w:val="0"/>
          <w:lang w:val="zh-CN"/>
        </w:rPr>
        <w:t>询问、</w:t>
      </w:r>
      <w:r>
        <w:rPr>
          <w:rFonts w:hint="eastAsia" w:hAnsi="宋体" w:eastAsia="宋体" w:cs="宋体"/>
          <w:color w:val="000000"/>
          <w:kern w:val="0"/>
        </w:rPr>
        <w:t>质疑、投诉</w:t>
      </w:r>
      <w:r>
        <w:rPr>
          <w:rFonts w:hint="eastAsia" w:hAnsi="宋体" w:eastAsia="宋体" w:cs="宋体"/>
          <w:color w:val="000000"/>
          <w:kern w:val="0"/>
          <w:lang w:val="zh-CN"/>
        </w:rPr>
        <w:t>等有关事宜。</w:t>
      </w:r>
    </w:p>
    <w:p>
      <w:pPr>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本委托书有效期：自     年 月  日起至     年  月  日止。</w:t>
      </w:r>
    </w:p>
    <w:p>
      <w:pPr>
        <w:adjustRightInd w:val="0"/>
        <w:spacing w:line="360" w:lineRule="auto"/>
        <w:ind w:firstLine="480"/>
        <w:rPr>
          <w:rFonts w:hint="eastAsia" w:ascii="宋体" w:hAnsi="宋体" w:eastAsia="宋体" w:cs="宋体"/>
          <w:color w:val="000000"/>
          <w:kern w:val="0"/>
          <w:szCs w:val="22"/>
          <w:lang w:val="zh-CN"/>
        </w:rPr>
      </w:pPr>
      <w:r>
        <w:rPr>
          <w:rFonts w:hint="eastAsia" w:ascii="宋体" w:hAnsi="宋体" w:eastAsia="宋体" w:cs="宋体"/>
          <w:color w:val="000000"/>
          <w:kern w:val="0"/>
          <w:szCs w:val="22"/>
          <w:lang w:val="zh-CN"/>
        </w:rPr>
        <w:t>被授权委托人无转委托权。</w:t>
      </w:r>
    </w:p>
    <w:p>
      <w:pPr>
        <w:adjustRightInd w:val="0"/>
        <w:spacing w:line="360" w:lineRule="auto"/>
        <w:jc w:val="left"/>
        <w:rPr>
          <w:rFonts w:hint="eastAsia" w:ascii="宋体" w:hAnsi="宋体" w:eastAsia="宋体" w:cs="宋体"/>
          <w:color w:val="000000"/>
          <w:kern w:val="0"/>
          <w:lang w:val="zh-CN"/>
        </w:rPr>
      </w:pPr>
    </w:p>
    <w:p>
      <w:pPr>
        <w:adjustRightInd w:val="0"/>
        <w:spacing w:line="360" w:lineRule="auto"/>
        <w:jc w:val="left"/>
        <w:rPr>
          <w:rFonts w:hint="eastAsia" w:ascii="宋体" w:hAnsi="宋体" w:eastAsia="宋体" w:cs="宋体"/>
          <w:color w:val="000000"/>
          <w:kern w:val="0"/>
        </w:rPr>
      </w:pPr>
      <w:r>
        <w:rPr>
          <w:rFonts w:hint="eastAsia" w:ascii="宋体" w:hAnsi="宋体" w:eastAsia="宋体" w:cs="宋体"/>
          <w:color w:val="000000"/>
          <w:kern w:val="0"/>
          <w:lang w:val="zh-CN"/>
        </w:rPr>
        <w:t>投标人名称（盖章）：</w:t>
      </w:r>
    </w:p>
    <w:p>
      <w:pPr>
        <w:adjustRightInd w:val="0"/>
        <w:spacing w:line="360" w:lineRule="auto"/>
        <w:jc w:val="left"/>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法定代表人（签</w:t>
      </w:r>
      <w:r>
        <w:rPr>
          <w:rFonts w:hint="eastAsia" w:ascii="宋体" w:hAnsi="宋体" w:eastAsia="宋体" w:cs="宋体"/>
          <w:b/>
          <w:bCs/>
          <w:color w:val="000000"/>
          <w:kern w:val="0"/>
        </w:rPr>
        <w:t>字</w:t>
      </w:r>
      <w:r>
        <w:rPr>
          <w:rFonts w:ascii="宋体" w:hAnsi="宋体" w:eastAsia="宋体" w:cs="宋体"/>
          <w:b/>
          <w:bCs/>
          <w:color w:val="000000"/>
          <w:kern w:val="0"/>
        </w:rPr>
        <w:t>或盖章或电子签章</w:t>
      </w:r>
      <w:r>
        <w:rPr>
          <w:rFonts w:hint="eastAsia" w:ascii="宋体" w:hAnsi="宋体" w:eastAsia="宋体" w:cs="宋体"/>
          <w:b/>
          <w:bCs/>
          <w:color w:val="000000"/>
          <w:kern w:val="0"/>
          <w:lang w:val="zh-CN"/>
        </w:rPr>
        <w:t>）：</w:t>
      </w:r>
    </w:p>
    <w:p>
      <w:pPr>
        <w:adjustRightInd w:val="0"/>
        <w:spacing w:line="360" w:lineRule="auto"/>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法定代表人身份证号：</w:t>
      </w:r>
    </w:p>
    <w:p>
      <w:pPr>
        <w:adjustRightInd w:val="0"/>
        <w:spacing w:line="360" w:lineRule="auto"/>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签发日期：     年  月   日</w:t>
      </w:r>
    </w:p>
    <w:p>
      <w:pPr>
        <w:pStyle w:val="18"/>
        <w:tabs>
          <w:tab w:val="left" w:pos="960"/>
        </w:tabs>
        <w:ind w:right="3207"/>
        <w:rPr>
          <w:rFonts w:hint="eastAsia" w:hAnsi="宋体" w:eastAsia="宋体" w:cs="宋体"/>
          <w:b/>
          <w:bCs/>
          <w:color w:val="000000"/>
        </w:rPr>
      </w:pPr>
    </w:p>
    <w:p>
      <w:pPr>
        <w:pStyle w:val="18"/>
        <w:tabs>
          <w:tab w:val="left" w:pos="960"/>
        </w:tabs>
        <w:rPr>
          <w:rFonts w:hint="eastAsia" w:hAnsi="宋体" w:eastAsia="宋体" w:cs="宋体"/>
          <w:b/>
          <w:bCs/>
          <w:color w:val="000000"/>
        </w:rPr>
      </w:pPr>
      <w:r>
        <w:rPr>
          <w:rFonts w:hint="eastAsia" w:hAnsi="宋体" w:eastAsia="宋体" w:cs="宋体"/>
          <w:b/>
          <w:bCs/>
          <w:color w:val="000000"/>
          <w:lang w:val="en-US"/>
        </w:rPr>
        <w:t>说明</w:t>
      </w:r>
      <w:r>
        <w:rPr>
          <w:rFonts w:hint="eastAsia" w:hAnsi="宋体" w:eastAsia="宋体" w:cs="宋体"/>
          <w:b/>
          <w:bCs/>
          <w:color w:val="000000"/>
        </w:rPr>
        <w:t>：（</w:t>
      </w:r>
      <w:r>
        <w:rPr>
          <w:rFonts w:hint="eastAsia" w:hAnsi="宋体" w:eastAsia="宋体" w:cs="宋体"/>
          <w:b/>
          <w:bCs/>
          <w:color w:val="000000"/>
          <w:lang w:val="en-US"/>
        </w:rPr>
        <w:t>1</w:t>
      </w:r>
      <w:r>
        <w:rPr>
          <w:rFonts w:hint="eastAsia" w:hAnsi="宋体" w:eastAsia="宋体" w:cs="宋体"/>
          <w:b/>
          <w:bCs/>
          <w:color w:val="000000"/>
        </w:rPr>
        <w:t>）授权委托书应按上述内容及格式填写，不得修改。</w:t>
      </w:r>
    </w:p>
    <w:p>
      <w:pPr>
        <w:pStyle w:val="18"/>
        <w:tabs>
          <w:tab w:val="left" w:pos="960"/>
        </w:tabs>
        <w:ind w:right="3207"/>
        <w:rPr>
          <w:rFonts w:hAnsi="宋体" w:eastAsia="宋体" w:cs="宋体"/>
          <w:b/>
          <w:bCs/>
          <w:color w:val="000000"/>
          <w:lang w:val="en-US"/>
        </w:rPr>
      </w:pPr>
    </w:p>
    <w:p>
      <w:pPr>
        <w:pStyle w:val="18"/>
        <w:tabs>
          <w:tab w:val="left" w:pos="960"/>
        </w:tabs>
        <w:ind w:right="3207"/>
        <w:rPr>
          <w:rFonts w:hAnsi="宋体" w:eastAsia="宋体" w:cs="宋体"/>
          <w:b/>
          <w:bCs/>
          <w:color w:val="000000"/>
          <w:lang w:val="en-US"/>
        </w:rPr>
      </w:pPr>
    </w:p>
    <w:p>
      <w:pPr>
        <w:adjustRightInd w:val="0"/>
        <w:spacing w:line="360" w:lineRule="auto"/>
        <w:jc w:val="center"/>
        <w:rPr>
          <w:rFonts w:hint="eastAsia" w:ascii="宋体" w:hAnsi="宋体" w:eastAsia="宋体" w:cs="宋体"/>
          <w:b/>
          <w:color w:val="000000"/>
          <w:sz w:val="30"/>
          <w:szCs w:val="30"/>
        </w:rPr>
      </w:pPr>
      <w:r>
        <w:rPr>
          <w:rFonts w:ascii="宋体" w:hAnsi="宋体" w:eastAsia="宋体" w:cs="宋体"/>
          <w:b/>
          <w:bCs/>
          <w:color w:val="000000"/>
        </w:rPr>
        <w:br w:type="page"/>
      </w:r>
      <w:r>
        <w:rPr>
          <w:rFonts w:hint="eastAsia" w:ascii="宋体" w:hAnsi="宋体" w:eastAsia="宋体" w:cs="宋体"/>
          <w:b/>
          <w:color w:val="000000"/>
          <w:sz w:val="30"/>
          <w:szCs w:val="30"/>
        </w:rPr>
        <w:t>二、法定代表人及其授权代表的身份证明（加盖公章）</w:t>
      </w:r>
    </w:p>
    <w:p>
      <w:pPr>
        <w:adjustRightInd w:val="0"/>
        <w:spacing w:line="360" w:lineRule="auto"/>
        <w:ind w:right="-2"/>
        <w:rPr>
          <w:rFonts w:hint="eastAsia" w:ascii="宋体" w:hAnsi="宋体" w:eastAsia="宋体" w:cs="宋体"/>
          <w:b/>
          <w:color w:val="000000"/>
          <w:kern w:val="0"/>
          <w:szCs w:val="24"/>
          <w:lang w:val="zh-CN"/>
        </w:rPr>
      </w:pPr>
    </w:p>
    <w:p>
      <w:pPr>
        <w:adjustRightInd w:val="0"/>
        <w:spacing w:line="360" w:lineRule="auto"/>
        <w:ind w:right="-2"/>
        <w:jc w:val="center"/>
        <w:rPr>
          <w:rFonts w:hint="eastAsia" w:ascii="宋体" w:hAnsi="宋体" w:eastAsia="宋体" w:cs="宋体"/>
          <w:b/>
          <w:color w:val="000000"/>
          <w:kern w:val="0"/>
          <w:sz w:val="32"/>
          <w:szCs w:val="32"/>
          <w:lang w:val="zh-CN"/>
        </w:rPr>
      </w:pPr>
      <w:r>
        <w:rPr>
          <w:rFonts w:hint="eastAsia" w:ascii="宋体" w:hAnsi="宋体" w:eastAsia="宋体" w:cs="宋体"/>
          <w:b/>
          <w:color w:val="000000"/>
          <w:spacing w:val="-12"/>
          <w:sz w:val="32"/>
          <w:szCs w:val="32"/>
        </w:rPr>
        <w:t>法定代表人资格证明书</w:t>
      </w:r>
    </w:p>
    <w:p>
      <w:pPr>
        <w:tabs>
          <w:tab w:val="left" w:pos="3880"/>
        </w:tabs>
        <w:autoSpaceDE w:val="0"/>
        <w:autoSpaceDN w:val="0"/>
        <w:adjustRightInd w:val="0"/>
        <w:snapToGrid w:val="0"/>
        <w:spacing w:line="360" w:lineRule="auto"/>
        <w:ind w:left="100" w:right="-20"/>
        <w:jc w:val="left"/>
        <w:rPr>
          <w:rFonts w:ascii="宋体" w:hAnsi="宋体" w:eastAsia="宋体" w:cs="微软雅黑"/>
          <w:color w:val="000000"/>
          <w:kern w:val="0"/>
          <w:szCs w:val="21"/>
        </w:rPr>
      </w:pPr>
      <w:r>
        <w:rPr>
          <w:rFonts w:hint="eastAsia" w:ascii="宋体" w:hAnsi="宋体" w:eastAsia="宋体" w:cs="微软雅黑"/>
          <w:color w:val="000000"/>
          <w:kern w:val="0"/>
          <w:position w:val="-4"/>
          <w:szCs w:val="21"/>
        </w:rPr>
        <w:t>投标</w:t>
      </w:r>
      <w:r>
        <w:rPr>
          <w:rFonts w:hint="eastAsia" w:ascii="宋体" w:hAnsi="宋体" w:eastAsia="宋体" w:cs="微软雅黑"/>
          <w:color w:val="000000"/>
          <w:spacing w:val="-2"/>
          <w:kern w:val="0"/>
          <w:position w:val="-4"/>
          <w:szCs w:val="21"/>
        </w:rPr>
        <w:t>人</w:t>
      </w:r>
      <w:r>
        <w:rPr>
          <w:rFonts w:hint="eastAsia" w:ascii="宋体" w:hAnsi="宋体" w:eastAsia="宋体" w:cs="微软雅黑"/>
          <w:color w:val="000000"/>
          <w:kern w:val="0"/>
          <w:position w:val="-4"/>
          <w:szCs w:val="21"/>
        </w:rPr>
        <w:t>名</w:t>
      </w:r>
      <w:r>
        <w:rPr>
          <w:rFonts w:hint="eastAsia" w:ascii="宋体" w:hAnsi="宋体" w:eastAsia="宋体" w:cs="微软雅黑"/>
          <w:color w:val="000000"/>
          <w:spacing w:val="-2"/>
          <w:kern w:val="0"/>
          <w:position w:val="-4"/>
          <w:szCs w:val="21"/>
        </w:rPr>
        <w:t>称</w:t>
      </w:r>
      <w:r>
        <w:rPr>
          <w:rFonts w:hint="eastAsia" w:ascii="宋体" w:hAnsi="宋体" w:eastAsia="宋体" w:cs="微软雅黑"/>
          <w:color w:val="000000"/>
          <w:kern w:val="0"/>
          <w:position w:val="-4"/>
          <w:szCs w:val="21"/>
        </w:rPr>
        <w:t>：</w:t>
      </w:r>
      <w:r>
        <w:rPr>
          <w:rFonts w:hint="eastAsia" w:ascii="宋体" w:hAnsi="宋体"/>
          <w:color w:val="000000"/>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eastAsia="宋体" w:cs="微软雅黑"/>
          <w:color w:val="000000"/>
          <w:kern w:val="0"/>
          <w:position w:val="-2"/>
          <w:szCs w:val="21"/>
        </w:rPr>
      </w:pPr>
      <w:r>
        <w:rPr>
          <w:rFonts w:hint="eastAsia" w:ascii="宋体" w:hAnsi="宋体" w:eastAsia="宋体" w:cs="微软雅黑"/>
          <w:color w:val="000000"/>
          <w:kern w:val="0"/>
          <w:position w:val="-2"/>
          <w:szCs w:val="21"/>
        </w:rPr>
        <w:t>统一社会信用代码：</w:t>
      </w:r>
      <w:r>
        <w:rPr>
          <w:rFonts w:hint="eastAsia" w:ascii="宋体" w:hAnsi="宋体"/>
          <w:color w:val="000000"/>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eastAsia="宋体" w:cs="微软雅黑"/>
          <w:color w:val="000000"/>
          <w:kern w:val="0"/>
          <w:position w:val="-2"/>
          <w:szCs w:val="21"/>
        </w:rPr>
      </w:pPr>
      <w:r>
        <w:rPr>
          <w:rFonts w:hint="eastAsia" w:ascii="宋体" w:hAnsi="宋体" w:eastAsia="宋体" w:cs="微软雅黑"/>
          <w:color w:val="000000"/>
          <w:kern w:val="0"/>
          <w:position w:val="-2"/>
          <w:szCs w:val="21"/>
        </w:rPr>
        <w:t>注册地址：</w:t>
      </w:r>
      <w:r>
        <w:rPr>
          <w:rFonts w:hint="eastAsia" w:ascii="宋体" w:hAnsi="宋体"/>
          <w:color w:val="000000"/>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80" w:firstLineChars="200"/>
        <w:jc w:val="left"/>
        <w:rPr>
          <w:rFonts w:hint="eastAsia" w:ascii="宋体" w:hAnsi="宋体" w:eastAsia="宋体" w:cs="微软雅黑"/>
          <w:color w:val="000000"/>
          <w:kern w:val="0"/>
          <w:szCs w:val="21"/>
        </w:rPr>
      </w:pPr>
      <w:r>
        <w:rPr>
          <w:rFonts w:hint="eastAsia" w:ascii="宋体" w:hAnsi="宋体" w:eastAsia="宋体" w:cs="微软雅黑"/>
          <w:color w:val="000000"/>
          <w:kern w:val="0"/>
          <w:position w:val="-2"/>
          <w:szCs w:val="21"/>
        </w:rPr>
        <w:t>姓名</w:t>
      </w:r>
      <w:r>
        <w:rPr>
          <w:rFonts w:hint="eastAsia" w:ascii="宋体" w:hAnsi="宋体" w:eastAsia="宋体" w:cs="微软雅黑"/>
          <w:color w:val="000000"/>
          <w:spacing w:val="-2"/>
          <w:kern w:val="0"/>
          <w:position w:val="-2"/>
          <w:szCs w:val="21"/>
        </w:rPr>
        <w:t>：</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eastAsia="宋体" w:cs="宋体"/>
          <w:snapToGrid w:val="0"/>
          <w:color w:val="000000"/>
          <w:kern w:val="0"/>
          <w:szCs w:val="24"/>
        </w:rPr>
        <w:t>身份证号：</w:t>
      </w:r>
      <w:r>
        <w:rPr>
          <w:rFonts w:hint="eastAsia" w:ascii="宋体" w:hAnsi="宋体" w:eastAsia="宋体" w:cs="宋体"/>
          <w:snapToGrid w:val="0"/>
          <w:color w:val="000000"/>
          <w:kern w:val="0"/>
          <w:szCs w:val="24"/>
          <w:u w:val="single"/>
        </w:rPr>
        <w:t xml:space="preserve">    </w:t>
      </w:r>
      <w:r>
        <w:rPr>
          <w:rFonts w:hint="eastAsia" w:ascii="宋体" w:hAnsi="宋体"/>
          <w:color w:val="000000"/>
          <w:szCs w:val="21"/>
        </w:rPr>
        <w:t>）</w:t>
      </w:r>
      <w:r>
        <w:rPr>
          <w:rFonts w:hint="eastAsia" w:ascii="宋体" w:hAnsi="宋体" w:eastAsia="宋体" w:cs="微软雅黑"/>
          <w:color w:val="000000"/>
          <w:kern w:val="0"/>
          <w:position w:val="-2"/>
          <w:szCs w:val="21"/>
        </w:rPr>
        <w:t>性别</w:t>
      </w:r>
      <w:r>
        <w:rPr>
          <w:rFonts w:hint="eastAsia" w:ascii="宋体" w:hAnsi="宋体" w:eastAsia="宋体" w:cs="微软雅黑"/>
          <w:color w:val="000000"/>
          <w:spacing w:val="-2"/>
          <w:kern w:val="0"/>
          <w:position w:val="-2"/>
          <w:szCs w:val="21"/>
        </w:rPr>
        <w:t>：</w:t>
      </w:r>
      <w:r>
        <w:rPr>
          <w:rFonts w:hint="eastAsia" w:ascii="宋体" w:hAnsi="宋体"/>
          <w:color w:val="000000"/>
          <w:szCs w:val="21"/>
          <w:u w:val="single"/>
        </w:rPr>
        <w:t xml:space="preserve">    </w:t>
      </w:r>
      <w:r>
        <w:rPr>
          <w:rFonts w:hint="eastAsia" w:ascii="宋体" w:hAnsi="宋体" w:eastAsia="宋体" w:cs="微软雅黑"/>
          <w:color w:val="000000"/>
          <w:kern w:val="0"/>
          <w:position w:val="-2"/>
          <w:szCs w:val="21"/>
        </w:rPr>
        <w:t>年</w:t>
      </w:r>
      <w:r>
        <w:rPr>
          <w:rFonts w:hint="eastAsia" w:ascii="宋体" w:hAnsi="宋体" w:eastAsia="宋体" w:cs="微软雅黑"/>
          <w:color w:val="000000"/>
          <w:spacing w:val="-2"/>
          <w:kern w:val="0"/>
          <w:position w:val="-2"/>
          <w:szCs w:val="21"/>
        </w:rPr>
        <w:t>龄</w:t>
      </w:r>
      <w:r>
        <w:rPr>
          <w:rFonts w:hint="eastAsia" w:ascii="宋体" w:hAnsi="宋体" w:eastAsia="宋体" w:cs="微软雅黑"/>
          <w:color w:val="000000"/>
          <w:kern w:val="0"/>
          <w:position w:val="-2"/>
          <w:szCs w:val="21"/>
        </w:rPr>
        <w:t>：</w:t>
      </w:r>
      <w:r>
        <w:rPr>
          <w:rFonts w:hint="eastAsia" w:ascii="宋体" w:hAnsi="宋体"/>
          <w:color w:val="000000"/>
          <w:szCs w:val="21"/>
          <w:u w:val="single"/>
        </w:rPr>
        <w:t xml:space="preserve">    </w:t>
      </w:r>
      <w:r>
        <w:rPr>
          <w:rFonts w:hint="eastAsia" w:ascii="宋体" w:hAnsi="宋体" w:eastAsia="宋体" w:cs="微软雅黑"/>
          <w:color w:val="000000"/>
          <w:kern w:val="0"/>
          <w:position w:val="-2"/>
          <w:szCs w:val="21"/>
        </w:rPr>
        <w:t>职</w:t>
      </w:r>
      <w:r>
        <w:rPr>
          <w:rFonts w:hint="eastAsia" w:ascii="宋体" w:hAnsi="宋体" w:eastAsia="宋体" w:cs="微软雅黑"/>
          <w:color w:val="000000"/>
          <w:spacing w:val="-2"/>
          <w:kern w:val="0"/>
          <w:position w:val="-2"/>
          <w:szCs w:val="21"/>
        </w:rPr>
        <w:t>务</w:t>
      </w:r>
      <w:r>
        <w:rPr>
          <w:rFonts w:hint="eastAsia" w:ascii="宋体" w:hAnsi="宋体" w:eastAsia="宋体" w:cs="微软雅黑"/>
          <w:color w:val="000000"/>
          <w:kern w:val="0"/>
          <w:position w:val="-2"/>
          <w:szCs w:val="21"/>
        </w:rPr>
        <w:t>：</w:t>
      </w:r>
      <w:r>
        <w:rPr>
          <w:rFonts w:hint="eastAsia" w:ascii="宋体" w:hAnsi="宋体"/>
          <w:color w:val="000000"/>
          <w:szCs w:val="21"/>
          <w:u w:val="single"/>
        </w:rPr>
        <w:t xml:space="preserve">     </w:t>
      </w:r>
      <w:r>
        <w:rPr>
          <w:rFonts w:hint="eastAsia" w:ascii="宋体" w:hAnsi="宋体" w:eastAsia="宋体" w:cs="微软雅黑"/>
          <w:color w:val="000000"/>
          <w:kern w:val="0"/>
          <w:position w:val="-2"/>
          <w:szCs w:val="21"/>
        </w:rPr>
        <w:t>系</w:t>
      </w:r>
      <w:r>
        <w:rPr>
          <w:rFonts w:hint="eastAsia" w:ascii="宋体" w:hAnsi="宋体"/>
          <w:color w:val="000000"/>
          <w:szCs w:val="21"/>
          <w:u w:val="single"/>
        </w:rPr>
        <w:t xml:space="preserve">    </w:t>
      </w:r>
      <w:r>
        <w:rPr>
          <w:rFonts w:hint="eastAsia" w:ascii="宋体" w:hAnsi="宋体" w:eastAsia="宋体" w:cs="微软雅黑"/>
          <w:color w:val="000000"/>
          <w:spacing w:val="-2"/>
          <w:kern w:val="0"/>
          <w:position w:val="-2"/>
          <w:szCs w:val="21"/>
        </w:rPr>
        <w:t>（</w:t>
      </w:r>
      <w:r>
        <w:rPr>
          <w:rFonts w:hint="eastAsia" w:ascii="宋体" w:hAnsi="宋体" w:eastAsia="宋体" w:cs="微软雅黑"/>
          <w:color w:val="000000"/>
          <w:kern w:val="0"/>
          <w:position w:val="-2"/>
          <w:szCs w:val="21"/>
        </w:rPr>
        <w:t>投</w:t>
      </w:r>
      <w:r>
        <w:rPr>
          <w:rFonts w:hint="eastAsia" w:ascii="宋体" w:hAnsi="宋体" w:eastAsia="宋体" w:cs="微软雅黑"/>
          <w:color w:val="000000"/>
          <w:spacing w:val="-2"/>
          <w:kern w:val="0"/>
          <w:position w:val="-2"/>
          <w:szCs w:val="21"/>
        </w:rPr>
        <w:t>标</w:t>
      </w:r>
      <w:r>
        <w:rPr>
          <w:rFonts w:hint="eastAsia" w:ascii="宋体" w:hAnsi="宋体" w:eastAsia="宋体" w:cs="微软雅黑"/>
          <w:color w:val="000000"/>
          <w:kern w:val="0"/>
          <w:position w:val="-2"/>
          <w:szCs w:val="21"/>
        </w:rPr>
        <w:t>人</w:t>
      </w:r>
      <w:r>
        <w:rPr>
          <w:rFonts w:hint="eastAsia" w:ascii="宋体" w:hAnsi="宋体" w:eastAsia="宋体" w:cs="微软雅黑"/>
          <w:color w:val="000000"/>
          <w:spacing w:val="-2"/>
          <w:kern w:val="0"/>
          <w:position w:val="-2"/>
          <w:szCs w:val="21"/>
        </w:rPr>
        <w:t>名</w:t>
      </w:r>
      <w:r>
        <w:rPr>
          <w:rFonts w:hint="eastAsia" w:ascii="宋体" w:hAnsi="宋体" w:eastAsia="宋体" w:cs="微软雅黑"/>
          <w:color w:val="000000"/>
          <w:kern w:val="0"/>
          <w:position w:val="-2"/>
          <w:szCs w:val="21"/>
        </w:rPr>
        <w:t>称</w:t>
      </w:r>
      <w:r>
        <w:rPr>
          <w:rFonts w:hint="eastAsia" w:ascii="宋体" w:hAnsi="宋体" w:eastAsia="宋体" w:cs="微软雅黑"/>
          <w:color w:val="000000"/>
          <w:spacing w:val="-2"/>
          <w:kern w:val="0"/>
          <w:position w:val="-2"/>
          <w:szCs w:val="21"/>
        </w:rPr>
        <w:t>）</w:t>
      </w:r>
      <w:r>
        <w:rPr>
          <w:rFonts w:hint="eastAsia" w:ascii="宋体" w:hAnsi="宋体" w:eastAsia="宋体" w:cs="微软雅黑"/>
          <w:color w:val="000000"/>
          <w:kern w:val="0"/>
          <w:position w:val="-2"/>
          <w:szCs w:val="21"/>
        </w:rPr>
        <w:t>的</w:t>
      </w:r>
      <w:r>
        <w:rPr>
          <w:rFonts w:hint="eastAsia" w:ascii="宋体" w:hAnsi="宋体" w:eastAsia="宋体" w:cs="微软雅黑"/>
          <w:color w:val="000000"/>
          <w:spacing w:val="-2"/>
          <w:kern w:val="0"/>
          <w:position w:val="-2"/>
          <w:szCs w:val="21"/>
        </w:rPr>
        <w:t>法定</w:t>
      </w:r>
      <w:r>
        <w:rPr>
          <w:rFonts w:hint="eastAsia" w:ascii="宋体" w:hAnsi="宋体" w:eastAsia="宋体" w:cs="微软雅黑"/>
          <w:color w:val="000000"/>
          <w:kern w:val="0"/>
          <w:position w:val="-2"/>
          <w:szCs w:val="21"/>
        </w:rPr>
        <w:t>代表</w:t>
      </w:r>
      <w:r>
        <w:rPr>
          <w:rFonts w:hint="eastAsia" w:ascii="宋体" w:hAnsi="宋体" w:eastAsia="宋体" w:cs="微软雅黑"/>
          <w:color w:val="000000"/>
          <w:spacing w:val="-2"/>
          <w:kern w:val="0"/>
          <w:position w:val="-2"/>
          <w:szCs w:val="21"/>
        </w:rPr>
        <w:t>人（单</w:t>
      </w:r>
      <w:r>
        <w:rPr>
          <w:rFonts w:hint="eastAsia" w:ascii="宋体" w:hAnsi="宋体" w:eastAsia="宋体" w:cs="微软雅黑"/>
          <w:color w:val="000000"/>
          <w:kern w:val="0"/>
          <w:position w:val="-2"/>
          <w:szCs w:val="21"/>
        </w:rPr>
        <w:t>位</w:t>
      </w:r>
      <w:r>
        <w:rPr>
          <w:rFonts w:hint="eastAsia" w:ascii="宋体" w:hAnsi="宋体" w:eastAsia="宋体" w:cs="微软雅黑"/>
          <w:color w:val="000000"/>
          <w:spacing w:val="-2"/>
          <w:kern w:val="0"/>
          <w:position w:val="-2"/>
          <w:szCs w:val="21"/>
        </w:rPr>
        <w:t>负</w:t>
      </w:r>
      <w:r>
        <w:rPr>
          <w:rFonts w:hint="eastAsia" w:ascii="宋体" w:hAnsi="宋体" w:eastAsia="宋体" w:cs="微软雅黑"/>
          <w:color w:val="000000"/>
          <w:kern w:val="0"/>
          <w:position w:val="-2"/>
          <w:szCs w:val="21"/>
        </w:rPr>
        <w:t>责</w:t>
      </w:r>
      <w:r>
        <w:rPr>
          <w:rFonts w:hint="eastAsia" w:ascii="宋体" w:hAnsi="宋体" w:eastAsia="宋体" w:cs="微软雅黑"/>
          <w:color w:val="000000"/>
          <w:spacing w:val="-2"/>
          <w:kern w:val="0"/>
          <w:position w:val="-2"/>
          <w:szCs w:val="21"/>
        </w:rPr>
        <w:t>人）</w:t>
      </w:r>
      <w:r>
        <w:rPr>
          <w:rFonts w:hint="eastAsia" w:ascii="宋体" w:hAnsi="宋体" w:eastAsia="宋体" w:cs="微软雅黑"/>
          <w:color w:val="000000"/>
          <w:kern w:val="0"/>
          <w:position w:val="-2"/>
          <w:szCs w:val="21"/>
        </w:rPr>
        <w:t>。</w:t>
      </w:r>
    </w:p>
    <w:p>
      <w:pPr>
        <w:pStyle w:val="19"/>
        <w:spacing w:line="600" w:lineRule="exact"/>
        <w:rPr>
          <w:rFonts w:hint="eastAsia" w:eastAsia="宋体" w:cs="宋体"/>
          <w:snapToGrid w:val="0"/>
          <w:color w:val="000000"/>
          <w:kern w:val="0"/>
          <w:szCs w:val="24"/>
        </w:rPr>
      </w:pPr>
      <w:r>
        <w:rPr>
          <w:rFonts w:hint="eastAsia" w:eastAsia="宋体" w:cs="宋体"/>
          <w:snapToGrid w:val="0"/>
          <w:color w:val="000000"/>
          <w:kern w:val="0"/>
          <w:szCs w:val="24"/>
        </w:rPr>
        <w:t>特此证明</w:t>
      </w:r>
    </w:p>
    <w:p>
      <w:pPr>
        <w:pStyle w:val="19"/>
        <w:spacing w:line="600" w:lineRule="exact"/>
        <w:rPr>
          <w:rFonts w:hint="eastAsia" w:eastAsia="宋体" w:cs="宋体"/>
          <w:snapToGrid w:val="0"/>
          <w:color w:val="000000"/>
          <w:kern w:val="0"/>
          <w:szCs w:val="24"/>
        </w:rPr>
      </w:pPr>
    </w:p>
    <w:p>
      <w:pPr>
        <w:pStyle w:val="19"/>
        <w:spacing w:line="600" w:lineRule="exact"/>
        <w:rPr>
          <w:rFonts w:hint="eastAsia" w:eastAsia="宋体" w:cs="宋体"/>
          <w:snapToGrid w:val="0"/>
          <w:color w:val="000000"/>
          <w:kern w:val="0"/>
          <w:szCs w:val="24"/>
        </w:rPr>
      </w:pPr>
      <w:r>
        <w:rPr>
          <w:rFonts w:hint="eastAsia" w:eastAsia="宋体" w:cs="宋体"/>
          <w:snapToGrid w:val="0"/>
          <w:color w:val="000000"/>
          <w:kern w:val="0"/>
          <w:szCs w:val="24"/>
        </w:rPr>
        <w:t>投标人名称(盖章)：</w:t>
      </w:r>
    </w:p>
    <w:p>
      <w:pPr>
        <w:pStyle w:val="19"/>
        <w:spacing w:line="600" w:lineRule="exact"/>
        <w:rPr>
          <w:rFonts w:hint="eastAsia" w:eastAsia="宋体" w:cs="宋体"/>
          <w:snapToGrid w:val="0"/>
          <w:color w:val="000000"/>
          <w:kern w:val="0"/>
          <w:szCs w:val="24"/>
        </w:rPr>
      </w:pPr>
      <w:r>
        <w:rPr>
          <w:rFonts w:hint="eastAsia" w:eastAsia="宋体" w:cs="宋体"/>
          <w:snapToGrid w:val="0"/>
          <w:color w:val="000000"/>
          <w:kern w:val="0"/>
          <w:szCs w:val="24"/>
        </w:rPr>
        <w:t>日期：</w:t>
      </w:r>
      <w:r>
        <w:rPr>
          <w:rFonts w:hint="eastAsia" w:eastAsia="宋体" w:cs="宋体"/>
          <w:snapToGrid w:val="0"/>
          <w:color w:val="000000"/>
          <w:kern w:val="0"/>
          <w:szCs w:val="24"/>
          <w:u w:val="single"/>
        </w:rPr>
        <w:t xml:space="preserve">      </w:t>
      </w:r>
      <w:r>
        <w:rPr>
          <w:rFonts w:hint="eastAsia" w:eastAsia="宋体" w:cs="宋体"/>
          <w:snapToGrid w:val="0"/>
          <w:color w:val="000000"/>
          <w:kern w:val="0"/>
          <w:szCs w:val="24"/>
        </w:rPr>
        <w:t>年</w:t>
      </w:r>
      <w:r>
        <w:rPr>
          <w:rFonts w:hint="eastAsia" w:eastAsia="宋体" w:cs="宋体"/>
          <w:snapToGrid w:val="0"/>
          <w:color w:val="000000"/>
          <w:kern w:val="0"/>
          <w:szCs w:val="24"/>
          <w:u w:val="single"/>
        </w:rPr>
        <w:t xml:space="preserve">    </w:t>
      </w:r>
      <w:r>
        <w:rPr>
          <w:rFonts w:hint="eastAsia" w:eastAsia="宋体" w:cs="宋体"/>
          <w:snapToGrid w:val="0"/>
          <w:color w:val="000000"/>
          <w:kern w:val="0"/>
          <w:szCs w:val="24"/>
        </w:rPr>
        <w:t>月</w:t>
      </w:r>
      <w:r>
        <w:rPr>
          <w:rFonts w:hint="eastAsia" w:eastAsia="宋体" w:cs="宋体"/>
          <w:snapToGrid w:val="0"/>
          <w:color w:val="000000"/>
          <w:kern w:val="0"/>
          <w:szCs w:val="24"/>
          <w:u w:val="single"/>
        </w:rPr>
        <w:t xml:space="preserve">     </w:t>
      </w:r>
      <w:r>
        <w:rPr>
          <w:rFonts w:hint="eastAsia" w:eastAsia="宋体" w:cs="宋体"/>
          <w:snapToGrid w:val="0"/>
          <w:color w:val="000000"/>
          <w:kern w:val="0"/>
          <w:szCs w:val="24"/>
        </w:rPr>
        <w:t>日</w:t>
      </w:r>
    </w:p>
    <w:p>
      <w:pPr>
        <w:adjustRightInd w:val="0"/>
        <w:spacing w:line="360" w:lineRule="auto"/>
        <w:ind w:right="-2"/>
        <w:rPr>
          <w:rFonts w:hint="eastAsia" w:ascii="宋体" w:hAnsi="宋体" w:eastAsia="宋体" w:cs="宋体"/>
          <w:b/>
          <w:color w:val="000000"/>
          <w:kern w:val="0"/>
          <w:szCs w:val="24"/>
        </w:rPr>
      </w:pPr>
    </w:p>
    <w:p>
      <w:pPr>
        <w:adjustRightInd w:val="0"/>
        <w:spacing w:line="360" w:lineRule="auto"/>
        <w:ind w:right="-2"/>
        <w:rPr>
          <w:rFonts w:ascii="宋体" w:hAnsi="宋体" w:eastAsia="宋体" w:cs="宋体"/>
          <w:b/>
          <w:color w:val="000000"/>
          <w:kern w:val="0"/>
          <w:szCs w:val="24"/>
        </w:rPr>
      </w:pPr>
      <w:r>
        <w:rPr>
          <w:rFonts w:hint="eastAsia" w:ascii="宋体" w:hAnsi="宋体" w:eastAsia="宋体" w:cs="宋体"/>
          <w:b/>
          <w:color w:val="000000"/>
          <w:kern w:val="0"/>
          <w:szCs w:val="24"/>
        </w:rPr>
        <w:t>附：法定代表人身份证复印件（正反面）</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2"/>
        <w:gridCol w:w="4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2" w:type="dxa"/>
            <w:shd w:val="clear" w:color="auto" w:fill="auto"/>
            <w:noWrap w:val="0"/>
            <w:vAlign w:val="top"/>
          </w:tcPr>
          <w:p>
            <w:pPr>
              <w:adjustRightInd w:val="0"/>
              <w:spacing w:line="360" w:lineRule="auto"/>
              <w:ind w:right="-2"/>
              <w:rPr>
                <w:rFonts w:ascii="宋体" w:hAnsi="宋体" w:eastAsia="宋体" w:cs="宋体"/>
                <w:color w:val="000000"/>
              </w:rPr>
            </w:pPr>
            <w:r>
              <w:rPr>
                <w:rFonts w:hint="eastAsia" w:ascii="宋体" w:hAnsi="宋体" w:eastAsia="宋体" w:cs="宋体"/>
                <w:color w:val="000000"/>
              </w:rPr>
              <w:t>法定代表人身份证复印件（或扫描件）正面</w:t>
            </w: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tc>
        <w:tc>
          <w:tcPr>
            <w:tcW w:w="4842" w:type="dxa"/>
            <w:shd w:val="clear" w:color="auto" w:fill="auto"/>
            <w:noWrap w:val="0"/>
            <w:vAlign w:val="top"/>
          </w:tcPr>
          <w:p>
            <w:pPr>
              <w:adjustRightInd w:val="0"/>
              <w:spacing w:line="360" w:lineRule="auto"/>
              <w:ind w:right="-2"/>
              <w:rPr>
                <w:rFonts w:ascii="宋体" w:hAnsi="宋体" w:eastAsia="宋体" w:cs="宋体"/>
                <w:color w:val="000000"/>
              </w:rPr>
            </w:pPr>
            <w:r>
              <w:rPr>
                <w:rFonts w:hint="eastAsia" w:ascii="宋体" w:hAnsi="宋体" w:eastAsia="宋体" w:cs="宋体"/>
                <w:color w:val="000000"/>
              </w:rPr>
              <w:t>法定代表人身份证复印件（或扫描件）反面</w:t>
            </w:r>
          </w:p>
          <w:p>
            <w:pPr>
              <w:adjustRightInd w:val="0"/>
              <w:spacing w:line="360" w:lineRule="auto"/>
              <w:ind w:right="-2"/>
              <w:rPr>
                <w:rFonts w:hint="eastAsia" w:ascii="宋体" w:hAnsi="宋体" w:eastAsia="宋体" w:cs="宋体"/>
                <w:b/>
                <w:color w:val="000000"/>
                <w:kern w:val="0"/>
                <w:szCs w:val="24"/>
              </w:rPr>
            </w:pPr>
          </w:p>
        </w:tc>
      </w:tr>
    </w:tbl>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jc w:val="center"/>
        <w:rPr>
          <w:rFonts w:hint="eastAsia" w:hAnsi="宋体" w:eastAsia="宋体" w:cs="宋体"/>
          <w:b/>
          <w:color w:val="000000"/>
          <w:kern w:val="0"/>
          <w:szCs w:val="24"/>
        </w:rPr>
      </w:pPr>
      <w:r>
        <w:rPr>
          <w:rFonts w:hint="eastAsia" w:hAnsi="宋体" w:eastAsia="宋体" w:cs="宋体"/>
          <w:b/>
          <w:color w:val="000000"/>
          <w:sz w:val="30"/>
          <w:szCs w:val="30"/>
        </w:rPr>
        <w:br w:type="page"/>
      </w:r>
      <w:r>
        <w:rPr>
          <w:rFonts w:hint="eastAsia" w:hAnsi="宋体" w:eastAsia="宋体" w:cs="宋体"/>
          <w:b/>
          <w:color w:val="000000"/>
          <w:sz w:val="30"/>
          <w:szCs w:val="30"/>
        </w:rPr>
        <w:t>授权代表的身份证</w:t>
      </w:r>
      <w:r>
        <w:rPr>
          <w:rFonts w:hint="eastAsia" w:hAnsi="宋体" w:eastAsia="宋体" w:cs="宋体"/>
          <w:b/>
          <w:color w:val="000000"/>
          <w:sz w:val="30"/>
          <w:szCs w:val="30"/>
          <w:lang w:val="en-US"/>
        </w:rPr>
        <w:t>明（加盖公章）</w:t>
      </w:r>
    </w:p>
    <w:p>
      <w:pPr>
        <w:pStyle w:val="18"/>
        <w:rPr>
          <w:rFonts w:hint="eastAsia" w:hAnsi="宋体" w:eastAsia="宋体" w:cs="宋体"/>
          <w:b/>
          <w:color w:val="000000"/>
          <w:kern w:val="0"/>
          <w:szCs w:val="24"/>
          <w:lang w:val="en-US"/>
        </w:rPr>
      </w:pPr>
    </w:p>
    <w:p>
      <w:pPr>
        <w:pStyle w:val="18"/>
        <w:rPr>
          <w:rFonts w:hAnsi="宋体" w:eastAsia="宋体" w:cs="宋体"/>
          <w:b/>
          <w:color w:val="000000"/>
          <w:kern w:val="0"/>
          <w:szCs w:val="24"/>
          <w:lang w:val="en-US"/>
        </w:rPr>
      </w:pPr>
      <w:r>
        <w:rPr>
          <w:rFonts w:hint="eastAsia" w:hAnsi="宋体" w:eastAsia="宋体" w:cs="宋体"/>
          <w:b/>
          <w:color w:val="000000"/>
          <w:kern w:val="0"/>
          <w:szCs w:val="24"/>
          <w:lang w:val="en-US"/>
        </w:rPr>
        <w:t>1、授权代表社保缴纳证明复印件（近3个月内出具）</w:t>
      </w: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Ansi="宋体" w:eastAsia="宋体" w:cs="宋体"/>
          <w:b/>
          <w:color w:val="000000"/>
          <w:kern w:val="0"/>
          <w:szCs w:val="24"/>
          <w:lang w:val="en-US"/>
        </w:rPr>
      </w:pPr>
      <w:r>
        <w:rPr>
          <w:rFonts w:hint="eastAsia" w:hAnsi="宋体" w:eastAsia="宋体" w:cs="宋体"/>
          <w:b/>
          <w:color w:val="000000"/>
          <w:kern w:val="0"/>
          <w:szCs w:val="24"/>
          <w:lang w:val="en-US"/>
        </w:rPr>
        <w:t>说明：授权代表须为投标人正式员工。</w:t>
      </w: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int="eastAsia" w:hAnsi="宋体" w:eastAsia="宋体" w:cs="宋体"/>
          <w:b/>
          <w:color w:val="000000"/>
          <w:kern w:val="0"/>
          <w:szCs w:val="24"/>
          <w:lang w:val="en-US"/>
        </w:rPr>
      </w:pPr>
    </w:p>
    <w:p>
      <w:pPr>
        <w:pStyle w:val="18"/>
        <w:rPr>
          <w:rFonts w:hAnsi="宋体" w:eastAsia="宋体" w:cs="宋体"/>
          <w:b/>
          <w:color w:val="000000"/>
          <w:kern w:val="0"/>
          <w:szCs w:val="24"/>
          <w:lang w:val="en-US"/>
        </w:rPr>
      </w:pPr>
      <w:r>
        <w:rPr>
          <w:rFonts w:hint="eastAsia" w:hAnsi="宋体" w:eastAsia="宋体" w:cs="宋体"/>
          <w:b/>
          <w:color w:val="000000"/>
          <w:kern w:val="0"/>
          <w:szCs w:val="24"/>
          <w:lang w:val="en-US"/>
        </w:rPr>
        <w:t>2、授权代表身份证复印件</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2"/>
        <w:gridCol w:w="4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2" w:type="dxa"/>
            <w:shd w:val="clear" w:color="auto" w:fill="auto"/>
            <w:noWrap w:val="0"/>
            <w:vAlign w:val="top"/>
          </w:tcPr>
          <w:p>
            <w:pPr>
              <w:pStyle w:val="18"/>
              <w:rPr>
                <w:rFonts w:hAnsi="宋体" w:eastAsia="宋体" w:cs="宋体"/>
                <w:b/>
                <w:color w:val="000000"/>
                <w:kern w:val="0"/>
                <w:szCs w:val="24"/>
                <w:lang w:val="en-US"/>
              </w:rPr>
            </w:pPr>
            <w:r>
              <w:rPr>
                <w:rFonts w:hint="eastAsia" w:hAnsi="宋体" w:eastAsia="宋体" w:cs="宋体"/>
                <w:b/>
                <w:color w:val="000000"/>
                <w:kern w:val="0"/>
                <w:szCs w:val="24"/>
                <w:lang w:val="en-US"/>
              </w:rPr>
              <w:t>授权代表身份证复印件（或扫描件）正面</w:t>
            </w: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p>
            <w:pPr>
              <w:pStyle w:val="18"/>
              <w:rPr>
                <w:rFonts w:hint="eastAsia" w:hAnsi="宋体" w:eastAsia="宋体" w:cs="宋体"/>
                <w:b/>
                <w:color w:val="000000"/>
                <w:kern w:val="0"/>
                <w:szCs w:val="24"/>
              </w:rPr>
            </w:pPr>
          </w:p>
        </w:tc>
        <w:tc>
          <w:tcPr>
            <w:tcW w:w="4842" w:type="dxa"/>
            <w:shd w:val="clear" w:color="auto" w:fill="auto"/>
            <w:noWrap w:val="0"/>
            <w:vAlign w:val="top"/>
          </w:tcPr>
          <w:p>
            <w:pPr>
              <w:adjustRightInd w:val="0"/>
              <w:spacing w:line="360" w:lineRule="auto"/>
              <w:ind w:right="-2"/>
              <w:rPr>
                <w:rFonts w:ascii="宋体" w:hAnsi="宋体" w:eastAsia="宋体" w:cs="宋体"/>
                <w:b/>
                <w:color w:val="000000"/>
                <w:kern w:val="0"/>
                <w:szCs w:val="24"/>
              </w:rPr>
            </w:pPr>
            <w:r>
              <w:rPr>
                <w:rFonts w:hint="eastAsia" w:ascii="宋体" w:hAnsi="宋体" w:eastAsia="宋体" w:cs="宋体"/>
                <w:b/>
                <w:color w:val="000000"/>
                <w:kern w:val="0"/>
                <w:szCs w:val="24"/>
              </w:rPr>
              <w:t>授权代表身份证复印件（或扫描件）反面</w:t>
            </w:r>
          </w:p>
        </w:tc>
      </w:tr>
    </w:tbl>
    <w:p>
      <w:pPr>
        <w:adjustRightInd w:val="0"/>
        <w:spacing w:line="360" w:lineRule="auto"/>
        <w:ind w:right="-2"/>
        <w:jc w:val="center"/>
        <w:rPr>
          <w:rFonts w:hint="eastAsia" w:ascii="宋体" w:hAnsi="宋体" w:eastAsia="宋体" w:cs="宋体"/>
          <w:b/>
          <w:color w:val="000000"/>
          <w:kern w:val="0"/>
          <w:szCs w:val="24"/>
          <w:lang w:val="zh-CN"/>
        </w:rPr>
      </w:pPr>
    </w:p>
    <w:p>
      <w:pPr>
        <w:spacing w:line="360" w:lineRule="auto"/>
        <w:rPr>
          <w:rFonts w:hint="eastAsia" w:ascii="宋体" w:hAnsi="宋体" w:eastAsia="宋体" w:cs="宋体"/>
          <w:color w:val="000000"/>
          <w:lang w:val="zh-CN"/>
        </w:rPr>
      </w:pPr>
      <w:r>
        <w:rPr>
          <w:rFonts w:hint="eastAsia" w:ascii="宋体" w:hAnsi="宋体" w:eastAsia="宋体" w:cs="宋体"/>
          <w:b/>
          <w:color w:val="000000"/>
          <w:sz w:val="30"/>
          <w:szCs w:val="30"/>
        </w:rPr>
        <w:br w:type="page"/>
      </w:r>
    </w:p>
    <w:p>
      <w:pPr>
        <w:adjustRightInd w:val="0"/>
        <w:spacing w:line="360" w:lineRule="auto"/>
        <w:ind w:right="480"/>
        <w:jc w:val="center"/>
        <w:outlineLvl w:val="2"/>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lang w:val="zh-CN"/>
        </w:rPr>
        <w:t>三、声明书</w:t>
      </w:r>
    </w:p>
    <w:p>
      <w:pPr>
        <w:adjustRightInd w:val="0"/>
        <w:spacing w:line="360" w:lineRule="auto"/>
        <w:rPr>
          <w:rFonts w:hint="eastAsia" w:ascii="宋体" w:hAnsi="宋体" w:eastAsia="宋体" w:cs="宋体"/>
          <w:color w:val="000000"/>
          <w:kern w:val="0"/>
        </w:rPr>
      </w:pPr>
      <w:r>
        <w:rPr>
          <w:rFonts w:hint="eastAsia" w:ascii="宋体" w:hAnsi="宋体" w:eastAsia="宋体" w:cs="宋体"/>
          <w:color w:val="000000"/>
        </w:rPr>
        <w:t>杭州市水库管理服务中心、华联世纪工程咨询股份有限公司</w:t>
      </w:r>
      <w:r>
        <w:rPr>
          <w:rFonts w:hint="eastAsia" w:ascii="宋体" w:hAnsi="宋体" w:eastAsia="宋体" w:cs="宋体"/>
          <w:color w:val="000000"/>
          <w:kern w:val="0"/>
          <w:lang w:val="zh-CN"/>
        </w:rPr>
        <w:t>：</w:t>
      </w:r>
    </w:p>
    <w:p>
      <w:pPr>
        <w:pStyle w:val="23"/>
        <w:adjustRightInd w:val="0"/>
        <w:spacing w:line="360" w:lineRule="auto"/>
        <w:ind w:firstLine="480" w:firstLineChars="200"/>
        <w:rPr>
          <w:rFonts w:hint="eastAsia" w:hAnsi="宋体" w:eastAsia="宋体" w:cs="宋体"/>
          <w:color w:val="000000"/>
          <w:kern w:val="0"/>
        </w:rPr>
      </w:pPr>
      <w:r>
        <w:rPr>
          <w:rFonts w:hint="eastAsia" w:hAnsi="宋体" w:eastAsia="宋体" w:cs="宋体"/>
          <w:color w:val="000000"/>
          <w:kern w:val="0"/>
          <w:lang w:val="zh-CN"/>
        </w:rPr>
        <w:t>本单位自愿参加</w:t>
      </w:r>
      <w:r>
        <w:rPr>
          <w:rFonts w:hint="eastAsia" w:hAnsi="宋体" w:eastAsia="宋体" w:cs="宋体"/>
          <w:color w:val="000000"/>
        </w:rPr>
        <w:t>杭州市水库管理服务中心2021年度青山水库运行维护及工程维修项目——运行管理及日常维护项目（</w:t>
      </w:r>
      <w:r>
        <w:rPr>
          <w:rFonts w:hint="eastAsia" w:hAnsi="宋体" w:eastAsia="宋体" w:cs="宋体"/>
          <w:color w:val="000000"/>
          <w:kern w:val="0"/>
          <w:lang w:val="zh-CN"/>
        </w:rPr>
        <w:t>编号：</w:t>
      </w:r>
      <w:r>
        <w:rPr>
          <w:rFonts w:hint="eastAsia" w:hAnsi="宋体" w:eastAsia="宋体" w:cs="宋体"/>
          <w:color w:val="000000"/>
          <w:kern w:val="0"/>
        </w:rPr>
        <w:t>HLSJHZ-2021-002</w:t>
      </w:r>
      <w:r>
        <w:rPr>
          <w:rFonts w:hint="eastAsia" w:hAnsi="宋体" w:eastAsia="宋体" w:cs="宋体"/>
          <w:color w:val="000000"/>
          <w:kern w:val="0"/>
          <w:lang w:val="zh-CN"/>
        </w:rPr>
        <w:t>）政府采购项目的投标，并保证投标文件中所列举的投标报价文件、商务技术文件和资格文件及相关资料和公司基本情况资料是真实的、合法的。</w:t>
      </w:r>
    </w:p>
    <w:p>
      <w:pPr>
        <w:adjustRightInd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同意此次招标文件中的各项内容。</w:t>
      </w:r>
    </w:p>
    <w:p>
      <w:pPr>
        <w:adjustRightInd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同意提供按照贵方可能要求的与投标有关的一切数据或资料等。</w:t>
      </w:r>
    </w:p>
    <w:p>
      <w:pPr>
        <w:adjustRightInd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本单位如中标，保证按照投标文件的承诺与贵方签订合同，保证履行合同条款并缴纳履约保证金。</w:t>
      </w:r>
    </w:p>
    <w:p>
      <w:pPr>
        <w:autoSpaceDE w:val="0"/>
        <w:autoSpaceDN w:val="0"/>
        <w:adjustRightInd w:val="0"/>
        <w:spacing w:line="360" w:lineRule="auto"/>
        <w:ind w:firstLine="5160" w:firstLineChars="2150"/>
        <w:rPr>
          <w:rFonts w:hint="eastAsia" w:ascii="宋体" w:hAnsi="宋体" w:eastAsia="宋体" w:cs="宋体"/>
          <w:color w:val="000000"/>
          <w:kern w:val="0"/>
          <w:szCs w:val="24"/>
        </w:rPr>
      </w:pPr>
      <w:r>
        <w:rPr>
          <w:rFonts w:hint="eastAsia" w:ascii="宋体" w:hAnsi="宋体" w:eastAsia="宋体" w:cs="宋体"/>
          <w:color w:val="000000"/>
          <w:kern w:val="0"/>
          <w:szCs w:val="24"/>
          <w:lang w:val="zh-CN"/>
        </w:rPr>
        <w:t>投标人名称（盖章）：</w:t>
      </w:r>
    </w:p>
    <w:p>
      <w:pPr>
        <w:tabs>
          <w:tab w:val="left" w:pos="540"/>
        </w:tabs>
        <w:autoSpaceDE w:val="0"/>
        <w:autoSpaceDN w:val="0"/>
        <w:adjustRightInd w:val="0"/>
        <w:spacing w:line="360" w:lineRule="auto"/>
        <w:ind w:firstLine="480" w:firstLineChars="200"/>
        <w:rPr>
          <w:rFonts w:hint="eastAsia" w:ascii="宋体" w:hAnsi="宋体" w:eastAsia="宋体" w:cs="宋体"/>
          <w:b/>
          <w:bCs/>
          <w:color w:val="000000"/>
          <w:sz w:val="30"/>
          <w:szCs w:val="30"/>
        </w:rPr>
      </w:pPr>
      <w:r>
        <w:rPr>
          <w:rFonts w:hint="eastAsia" w:ascii="宋体" w:hAnsi="宋体" w:eastAsia="宋体" w:cs="宋体"/>
          <w:color w:val="000000"/>
          <w:kern w:val="0"/>
          <w:szCs w:val="24"/>
          <w:lang w:val="zh-CN"/>
        </w:rPr>
        <w:t xml:space="preserve">                                       日期：     年  月   日</w:t>
      </w:r>
    </w:p>
    <w:p>
      <w:pPr>
        <w:spacing w:line="360" w:lineRule="auto"/>
        <w:jc w:val="center"/>
        <w:outlineLvl w:val="2"/>
        <w:rPr>
          <w:rFonts w:hint="eastAsia" w:ascii="宋体" w:hAnsi="宋体" w:eastAsia="宋体" w:cs="宋体"/>
          <w:b/>
          <w:color w:val="000000"/>
          <w:kern w:val="0"/>
          <w:sz w:val="30"/>
          <w:szCs w:val="30"/>
          <w:lang w:val="zh-CN"/>
        </w:rPr>
      </w:pPr>
      <w:r>
        <w:rPr>
          <w:rFonts w:hint="eastAsia" w:ascii="宋体" w:hAnsi="宋体" w:eastAsia="宋体" w:cs="宋体"/>
          <w:b/>
          <w:color w:val="000000"/>
          <w:sz w:val="30"/>
          <w:szCs w:val="30"/>
        </w:rPr>
        <w:t>四、</w:t>
      </w:r>
      <w:r>
        <w:rPr>
          <w:rFonts w:hint="eastAsia" w:ascii="宋体" w:hAnsi="宋体" w:eastAsia="宋体" w:cs="宋体"/>
          <w:b/>
          <w:color w:val="000000"/>
          <w:kern w:val="0"/>
          <w:sz w:val="30"/>
          <w:szCs w:val="30"/>
          <w:lang w:val="zh-CN"/>
        </w:rPr>
        <w:t>采购需求响应</w:t>
      </w:r>
    </w:p>
    <w:p>
      <w:pPr>
        <w:spacing w:line="360" w:lineRule="auto"/>
        <w:jc w:val="center"/>
        <w:rPr>
          <w:rFonts w:hint="eastAsia" w:ascii="宋体" w:hAnsi="宋体" w:eastAsia="宋体" w:cs="宋体"/>
          <w:b/>
          <w:bCs/>
          <w:color w:val="000000"/>
          <w:sz w:val="28"/>
          <w:szCs w:val="28"/>
        </w:rPr>
      </w:pPr>
    </w:p>
    <w:p>
      <w:pPr>
        <w:tabs>
          <w:tab w:val="left" w:pos="540"/>
        </w:tabs>
        <w:autoSpaceDE w:val="0"/>
        <w:autoSpaceDN w:val="0"/>
        <w:adjustRightInd w:val="0"/>
        <w:spacing w:line="360" w:lineRule="auto"/>
        <w:rPr>
          <w:rFonts w:hint="eastAsia" w:ascii="宋体" w:hAnsi="宋体" w:eastAsia="宋体" w:cs="宋体"/>
          <w:color w:val="000000"/>
          <w:kern w:val="0"/>
          <w:szCs w:val="24"/>
          <w:lang w:val="zh-CN"/>
        </w:rPr>
      </w:pPr>
      <w:r>
        <w:rPr>
          <w:rFonts w:hint="eastAsia" w:ascii="宋体" w:hAnsi="宋体" w:eastAsia="宋体" w:cs="宋体"/>
          <w:color w:val="000000"/>
          <w:kern w:val="0"/>
          <w:szCs w:val="24"/>
        </w:rPr>
        <w:t>编制说明：投标人应按招标文件采购需求及评分标准自行编写采购需求响应文件（其内容可包括，且不限于详细的技术指标和性能、售后服务和技术服务的组织及保证措施等。格式自拟）。</w:t>
      </w:r>
    </w:p>
    <w:p>
      <w:pPr>
        <w:autoSpaceDE w:val="0"/>
        <w:autoSpaceDN w:val="0"/>
        <w:adjustRightInd w:val="0"/>
        <w:spacing w:line="360" w:lineRule="auto"/>
        <w:jc w:val="center"/>
        <w:outlineLvl w:val="2"/>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五、</w:t>
      </w:r>
      <w:r>
        <w:rPr>
          <w:rFonts w:hint="eastAsia" w:ascii="宋体" w:hAnsi="宋体" w:eastAsia="宋体" w:cs="宋体"/>
          <w:b/>
          <w:color w:val="000000"/>
          <w:kern w:val="0"/>
          <w:sz w:val="30"/>
          <w:szCs w:val="30"/>
        </w:rPr>
        <w:t>采购需求偏离</w:t>
      </w:r>
      <w:r>
        <w:rPr>
          <w:rFonts w:hint="eastAsia" w:ascii="宋体" w:hAnsi="宋体" w:eastAsia="宋体" w:cs="宋体"/>
          <w:b/>
          <w:color w:val="000000"/>
          <w:kern w:val="0"/>
          <w:sz w:val="30"/>
          <w:szCs w:val="30"/>
          <w:lang w:val="zh-CN"/>
        </w:rPr>
        <w:t>说明表</w:t>
      </w:r>
    </w:p>
    <w:p>
      <w:pPr>
        <w:spacing w:line="360" w:lineRule="auto"/>
        <w:rPr>
          <w:rFonts w:ascii="宋体" w:hAnsi="宋体" w:eastAsia="宋体" w:cs="宋体"/>
          <w:color w:val="000000"/>
        </w:rPr>
      </w:pPr>
      <w:r>
        <w:rPr>
          <w:rFonts w:hint="eastAsia" w:ascii="宋体" w:hAnsi="宋体" w:eastAsia="宋体" w:cs="宋体"/>
          <w:color w:val="000000"/>
        </w:rPr>
        <w:t>项目名称：2021年度青山水库运行维护及工程维修项目——运行管理及日常维护项目</w:t>
      </w:r>
    </w:p>
    <w:p>
      <w:pPr>
        <w:spacing w:line="360" w:lineRule="auto"/>
        <w:rPr>
          <w:rFonts w:hint="eastAsia" w:ascii="宋体" w:hAnsi="宋体" w:eastAsia="宋体" w:cs="宋体"/>
          <w:color w:val="000000"/>
          <w:sz w:val="28"/>
        </w:rPr>
      </w:pPr>
      <w:r>
        <w:rPr>
          <w:rFonts w:hint="eastAsia" w:ascii="宋体" w:hAnsi="宋体" w:eastAsia="宋体" w:cs="宋体"/>
          <w:color w:val="000000"/>
        </w:rPr>
        <w:t>采购编号：HLSJHZ-2021-002</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3"/>
        <w:gridCol w:w="2223"/>
        <w:gridCol w:w="1980"/>
        <w:gridCol w:w="3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招标文件要求</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投标文件响应</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偏离</w:t>
            </w:r>
          </w:p>
        </w:tc>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331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331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331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331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331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222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c>
          <w:tcPr>
            <w:tcW w:w="3312"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宋体" w:cs="宋体"/>
                <w:color w:val="000000"/>
              </w:rPr>
            </w:pPr>
          </w:p>
        </w:tc>
      </w:tr>
    </w:tbl>
    <w:p>
      <w:pPr>
        <w:autoSpaceDE w:val="0"/>
        <w:autoSpaceDN w:val="0"/>
        <w:adjustRightInd w:val="0"/>
        <w:spacing w:line="360" w:lineRule="auto"/>
        <w:ind w:firstLine="5160" w:firstLineChars="2150"/>
        <w:rPr>
          <w:rFonts w:hint="eastAsia" w:ascii="宋体" w:hAnsi="宋体" w:eastAsia="宋体" w:cs="宋体"/>
          <w:color w:val="000000"/>
          <w:kern w:val="0"/>
          <w:szCs w:val="24"/>
        </w:rPr>
      </w:pPr>
      <w:r>
        <w:rPr>
          <w:rFonts w:hint="eastAsia" w:ascii="宋体" w:hAnsi="宋体" w:eastAsia="宋体" w:cs="宋体"/>
          <w:color w:val="000000"/>
          <w:kern w:val="0"/>
          <w:szCs w:val="24"/>
          <w:lang w:val="zh-CN"/>
        </w:rPr>
        <w:t>投标人名称（盖章）：</w:t>
      </w:r>
    </w:p>
    <w:p>
      <w:pPr>
        <w:tabs>
          <w:tab w:val="left" w:pos="540"/>
        </w:tabs>
        <w:autoSpaceDE w:val="0"/>
        <w:autoSpaceDN w:val="0"/>
        <w:adjustRightInd w:val="0"/>
        <w:spacing w:line="360" w:lineRule="auto"/>
        <w:ind w:firstLine="480" w:firstLineChars="200"/>
        <w:rPr>
          <w:rFonts w:hint="eastAsia" w:ascii="宋体" w:hAnsi="宋体" w:eastAsia="宋体" w:cs="宋体"/>
          <w:color w:val="000000"/>
          <w:kern w:val="0"/>
          <w:szCs w:val="24"/>
          <w:lang w:val="zh-CN"/>
        </w:rPr>
      </w:pPr>
      <w:r>
        <w:rPr>
          <w:rFonts w:hint="eastAsia" w:ascii="宋体" w:hAnsi="宋体" w:eastAsia="宋体" w:cs="宋体"/>
          <w:color w:val="000000"/>
          <w:kern w:val="0"/>
          <w:szCs w:val="24"/>
          <w:lang w:val="zh-CN"/>
        </w:rPr>
        <w:t xml:space="preserve">                                       日期：     年  月   日</w:t>
      </w:r>
    </w:p>
    <w:p>
      <w:pPr>
        <w:tabs>
          <w:tab w:val="left" w:pos="540"/>
        </w:tabs>
        <w:autoSpaceDE w:val="0"/>
        <w:autoSpaceDN w:val="0"/>
        <w:adjustRightInd w:val="0"/>
        <w:spacing w:line="360" w:lineRule="auto"/>
        <w:rPr>
          <w:rFonts w:hint="eastAsia" w:ascii="宋体" w:hAnsi="宋体" w:eastAsia="宋体" w:cs="宋体"/>
          <w:color w:val="000000"/>
          <w:kern w:val="0"/>
          <w:szCs w:val="24"/>
          <w:lang w:val="zh-CN"/>
        </w:rPr>
      </w:pPr>
    </w:p>
    <w:p>
      <w:pPr>
        <w:spacing w:line="360" w:lineRule="auto"/>
        <w:jc w:val="center"/>
        <w:outlineLvl w:val="2"/>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六、合同条款偏离说明表</w:t>
      </w:r>
    </w:p>
    <w:p>
      <w:pPr>
        <w:adjustRightInd w:val="0"/>
        <w:spacing w:line="360" w:lineRule="auto"/>
        <w:rPr>
          <w:rFonts w:hint="eastAsia" w:ascii="宋体" w:hAnsi="宋体" w:eastAsia="宋体" w:cs="宋体"/>
          <w:color w:val="000000"/>
          <w:szCs w:val="22"/>
          <w:lang w:val="zh-CN"/>
        </w:rPr>
      </w:pPr>
      <w:r>
        <w:rPr>
          <w:rFonts w:hint="eastAsia" w:ascii="宋体" w:hAnsi="宋体" w:eastAsia="宋体" w:cs="宋体"/>
          <w:color w:val="000000"/>
          <w:szCs w:val="22"/>
          <w:lang w:val="zh-CN"/>
        </w:rPr>
        <w:t>项目名称：</w:t>
      </w:r>
      <w:r>
        <w:rPr>
          <w:rFonts w:hint="eastAsia" w:ascii="宋体" w:hAnsi="宋体" w:eastAsia="宋体" w:cs="宋体"/>
          <w:color w:val="000000"/>
        </w:rPr>
        <w:t>2021年度青山水库运行维护及工程维修项目——运行管理及日常维护项目（委托运行部分）</w:t>
      </w:r>
    </w:p>
    <w:p>
      <w:pPr>
        <w:adjustRightInd w:val="0"/>
        <w:spacing w:line="360" w:lineRule="auto"/>
        <w:rPr>
          <w:rFonts w:ascii="宋体" w:hAnsi="宋体" w:eastAsia="宋体" w:cs="宋体"/>
          <w:color w:val="000000"/>
          <w:szCs w:val="22"/>
        </w:rPr>
      </w:pPr>
      <w:r>
        <w:rPr>
          <w:rFonts w:hint="eastAsia" w:ascii="宋体" w:hAnsi="宋体" w:eastAsia="宋体" w:cs="宋体"/>
          <w:color w:val="000000"/>
          <w:szCs w:val="22"/>
        </w:rPr>
        <w:t>采购</w:t>
      </w:r>
      <w:r>
        <w:rPr>
          <w:rFonts w:hint="eastAsia" w:ascii="宋体" w:hAnsi="宋体" w:eastAsia="宋体" w:cs="宋体"/>
          <w:color w:val="000000"/>
          <w:szCs w:val="22"/>
          <w:lang w:val="zh-CN"/>
        </w:rPr>
        <w:t>编号：</w:t>
      </w:r>
      <w:r>
        <w:rPr>
          <w:rFonts w:hint="eastAsia" w:ascii="宋体" w:hAnsi="宋体" w:eastAsia="宋体" w:cs="宋体"/>
          <w:color w:val="000000"/>
          <w:szCs w:val="22"/>
        </w:rPr>
        <w:t>HLSJHZ-2021-002</w:t>
      </w:r>
    </w:p>
    <w:tbl>
      <w:tblPr>
        <w:tblStyle w:val="4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032"/>
        <w:gridCol w:w="2410"/>
        <w:gridCol w:w="1985"/>
        <w:gridCol w:w="2082"/>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1032"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r>
              <w:rPr>
                <w:rFonts w:hint="eastAsia" w:ascii="宋体" w:hAnsi="宋体" w:eastAsia="宋体" w:cs="宋体"/>
                <w:bCs/>
                <w:color w:val="000000"/>
                <w:szCs w:val="24"/>
              </w:rPr>
              <w:t>序</w:t>
            </w:r>
            <w:r>
              <w:rPr>
                <w:rFonts w:hint="eastAsia" w:ascii="宋体" w:hAnsi="宋体" w:eastAsia="宋体" w:cs="宋体"/>
                <w:color w:val="000000"/>
                <w:szCs w:val="24"/>
              </w:rPr>
              <w:t>号</w:t>
            </w:r>
          </w:p>
        </w:tc>
        <w:tc>
          <w:tcPr>
            <w:tcW w:w="2410"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r>
              <w:rPr>
                <w:rFonts w:hint="eastAsia" w:ascii="宋体" w:hAnsi="宋体" w:eastAsia="宋体" w:cs="宋体"/>
                <w:color w:val="000000"/>
                <w:szCs w:val="24"/>
              </w:rPr>
              <w:t>招标文件章节</w:t>
            </w:r>
            <w:r>
              <w:rPr>
                <w:rFonts w:hint="eastAsia" w:ascii="宋体" w:hAnsi="宋体" w:eastAsia="宋体" w:cs="宋体"/>
                <w:bCs/>
                <w:color w:val="000000"/>
                <w:szCs w:val="24"/>
              </w:rPr>
              <w:t>条</w:t>
            </w:r>
            <w:r>
              <w:rPr>
                <w:rFonts w:hint="eastAsia" w:ascii="宋体" w:hAnsi="宋体" w:eastAsia="宋体" w:cs="宋体"/>
                <w:color w:val="000000"/>
                <w:szCs w:val="24"/>
              </w:rPr>
              <w:t>款号</w:t>
            </w:r>
          </w:p>
        </w:tc>
        <w:tc>
          <w:tcPr>
            <w:tcW w:w="1985"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r>
              <w:rPr>
                <w:rFonts w:hint="eastAsia" w:ascii="宋体" w:hAnsi="宋体" w:eastAsia="宋体" w:cs="宋体"/>
                <w:color w:val="000000"/>
                <w:szCs w:val="24"/>
              </w:rPr>
              <w:t>招标文件要求</w:t>
            </w:r>
          </w:p>
        </w:tc>
        <w:tc>
          <w:tcPr>
            <w:tcW w:w="2082" w:type="dxa"/>
            <w:tcBorders>
              <w:right w:val="single" w:color="auto" w:sz="4" w:space="0"/>
            </w:tcBorders>
            <w:noWrap w:val="0"/>
            <w:vAlign w:val="center"/>
          </w:tcPr>
          <w:p>
            <w:pPr>
              <w:adjustRightInd w:val="0"/>
              <w:snapToGrid w:val="0"/>
              <w:spacing w:before="50" w:line="360" w:lineRule="auto"/>
              <w:jc w:val="center"/>
              <w:rPr>
                <w:rFonts w:hint="eastAsia" w:ascii="宋体" w:hAnsi="宋体" w:eastAsia="宋体" w:cs="宋体"/>
                <w:color w:val="000000"/>
                <w:szCs w:val="24"/>
              </w:rPr>
            </w:pPr>
            <w:r>
              <w:rPr>
                <w:rFonts w:hint="eastAsia" w:ascii="宋体" w:hAnsi="宋体" w:eastAsia="宋体" w:cs="宋体"/>
                <w:color w:val="000000"/>
                <w:szCs w:val="24"/>
              </w:rPr>
              <w:t>投标文件的应答</w:t>
            </w:r>
          </w:p>
        </w:tc>
        <w:tc>
          <w:tcPr>
            <w:tcW w:w="1942" w:type="dxa"/>
            <w:tcBorders>
              <w:lef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r>
              <w:rPr>
                <w:rFonts w:hint="eastAsia" w:ascii="宋体" w:hAnsi="宋体" w:eastAsia="宋体" w:cs="宋体"/>
                <w:color w:val="000000"/>
                <w:szCs w:val="24"/>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032"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410"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85" w:type="dxa"/>
            <w:noWrap w:val="0"/>
            <w:vAlign w:val="top"/>
          </w:tcPr>
          <w:p>
            <w:pPr>
              <w:adjustRightInd w:val="0"/>
              <w:snapToGrid w:val="0"/>
              <w:spacing w:before="50" w:line="360" w:lineRule="auto"/>
              <w:rPr>
                <w:rFonts w:hint="eastAsia" w:ascii="宋体" w:hAnsi="宋体" w:eastAsia="宋体" w:cs="宋体"/>
                <w:color w:val="000000"/>
                <w:szCs w:val="24"/>
              </w:rPr>
            </w:pPr>
          </w:p>
        </w:tc>
        <w:tc>
          <w:tcPr>
            <w:tcW w:w="2082" w:type="dxa"/>
            <w:tcBorders>
              <w:right w:val="single" w:color="auto" w:sz="4" w:space="0"/>
            </w:tcBorders>
            <w:noWrap w:val="0"/>
            <w:vAlign w:val="top"/>
          </w:tcPr>
          <w:p>
            <w:pPr>
              <w:adjustRightInd w:val="0"/>
              <w:snapToGrid w:val="0"/>
              <w:spacing w:before="50" w:line="360" w:lineRule="auto"/>
              <w:rPr>
                <w:rFonts w:hint="eastAsia" w:ascii="宋体" w:hAnsi="宋体" w:eastAsia="宋体" w:cs="宋体"/>
                <w:color w:val="000000"/>
                <w:szCs w:val="24"/>
              </w:rPr>
            </w:pPr>
          </w:p>
        </w:tc>
        <w:tc>
          <w:tcPr>
            <w:tcW w:w="1942" w:type="dxa"/>
            <w:tcBorders>
              <w:left w:val="single" w:color="auto" w:sz="4" w:space="0"/>
            </w:tcBorders>
            <w:noWrap w:val="0"/>
            <w:vAlign w:val="top"/>
          </w:tcPr>
          <w:p>
            <w:pPr>
              <w:adjustRightInd w:val="0"/>
              <w:snapToGrid w:val="0"/>
              <w:spacing w:before="50" w:line="360" w:lineRule="auto"/>
              <w:ind w:left="-101" w:leftChars="-42"/>
              <w:jc w:val="center"/>
              <w:rPr>
                <w:rFonts w:hint="eastAsia" w:ascii="宋体" w:hAnsi="宋体" w:eastAsia="宋体" w:cs="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032"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410"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85"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082" w:type="dxa"/>
            <w:tcBorders>
              <w:righ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42" w:type="dxa"/>
            <w:tcBorders>
              <w:lef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032"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410"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85"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082" w:type="dxa"/>
            <w:tcBorders>
              <w:righ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42" w:type="dxa"/>
            <w:tcBorders>
              <w:lef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032"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410"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85"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082" w:type="dxa"/>
            <w:tcBorders>
              <w:righ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42" w:type="dxa"/>
            <w:tcBorders>
              <w:lef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032"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410"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85"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082" w:type="dxa"/>
            <w:tcBorders>
              <w:righ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42" w:type="dxa"/>
            <w:tcBorders>
              <w:lef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032"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410"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85"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082" w:type="dxa"/>
            <w:tcBorders>
              <w:righ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42" w:type="dxa"/>
            <w:tcBorders>
              <w:left w:val="single" w:color="auto" w:sz="4" w:space="0"/>
            </w:tcBorders>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032"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2410"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1985" w:type="dxa"/>
            <w:noWrap w:val="0"/>
            <w:vAlign w:val="center"/>
          </w:tcPr>
          <w:p>
            <w:pPr>
              <w:adjustRightInd w:val="0"/>
              <w:snapToGrid w:val="0"/>
              <w:spacing w:before="50" w:line="360" w:lineRule="auto"/>
              <w:ind w:left="-101" w:leftChars="-42"/>
              <w:jc w:val="center"/>
              <w:rPr>
                <w:rFonts w:hint="eastAsia" w:ascii="宋体" w:hAnsi="宋体" w:eastAsia="宋体" w:cs="宋体"/>
                <w:color w:val="000000"/>
                <w:szCs w:val="24"/>
              </w:rPr>
            </w:pPr>
          </w:p>
        </w:tc>
        <w:tc>
          <w:tcPr>
            <w:tcW w:w="4024" w:type="dxa"/>
            <w:gridSpan w:val="2"/>
            <w:noWrap w:val="0"/>
            <w:vAlign w:val="center"/>
          </w:tcPr>
          <w:p>
            <w:pPr>
              <w:adjustRightInd w:val="0"/>
              <w:snapToGrid w:val="0"/>
              <w:spacing w:before="50" w:line="360" w:lineRule="auto"/>
              <w:jc w:val="left"/>
              <w:rPr>
                <w:rFonts w:hint="eastAsia" w:ascii="宋体" w:hAnsi="宋体" w:eastAsia="宋体" w:cs="宋体"/>
                <w:b/>
                <w:color w:val="000000"/>
                <w:szCs w:val="24"/>
              </w:rPr>
            </w:pPr>
            <w:r>
              <w:rPr>
                <w:rFonts w:hint="eastAsia" w:ascii="宋体" w:hAnsi="宋体" w:eastAsia="宋体" w:cs="宋体"/>
                <w:b/>
                <w:color w:val="000000"/>
                <w:szCs w:val="24"/>
              </w:rPr>
              <w:t>投标人保证：除本合同条款偏离表列出的偏离外，我单位对招标文件的其他商务、合同条款完全响应，无偏离。</w:t>
            </w:r>
          </w:p>
        </w:tc>
      </w:tr>
    </w:tbl>
    <w:p>
      <w:pPr>
        <w:adjustRightInd w:val="0"/>
        <w:snapToGrid w:val="0"/>
        <w:spacing w:before="50" w:line="360" w:lineRule="auto"/>
        <w:ind w:left="-101" w:leftChars="-42"/>
        <w:rPr>
          <w:rFonts w:hint="eastAsia" w:ascii="宋体" w:hAnsi="宋体" w:eastAsia="宋体" w:cs="宋体"/>
          <w:color w:val="000000"/>
          <w:szCs w:val="24"/>
        </w:rPr>
      </w:pPr>
      <w:r>
        <w:rPr>
          <w:rFonts w:hint="eastAsia" w:ascii="宋体" w:hAnsi="宋体" w:eastAsia="宋体" w:cs="宋体"/>
          <w:b/>
          <w:color w:val="000000"/>
          <w:szCs w:val="24"/>
        </w:rPr>
        <w:t>备注</w:t>
      </w:r>
      <w:r>
        <w:rPr>
          <w:rFonts w:hint="eastAsia" w:ascii="宋体" w:hAnsi="宋体" w:eastAsia="宋体" w:cs="宋体"/>
          <w:color w:val="000000"/>
          <w:szCs w:val="24"/>
        </w:rPr>
        <w:t>：（1）投标人应根据招标文件第五部分“拟签订的合同文本”填写本表；</w:t>
      </w:r>
    </w:p>
    <w:p>
      <w:pPr>
        <w:adjustRightInd w:val="0"/>
        <w:snapToGrid w:val="0"/>
        <w:spacing w:before="50" w:line="360" w:lineRule="auto"/>
        <w:ind w:left="-101" w:leftChars="-42" w:firstLine="723" w:firstLineChars="300"/>
        <w:rPr>
          <w:rFonts w:hint="eastAsia" w:ascii="宋体" w:hAnsi="宋体" w:eastAsia="宋体" w:cs="宋体"/>
          <w:b/>
          <w:bCs/>
          <w:color w:val="000000"/>
          <w:szCs w:val="24"/>
        </w:rPr>
      </w:pPr>
      <w:r>
        <w:rPr>
          <w:rFonts w:hint="eastAsia" w:ascii="宋体" w:hAnsi="宋体" w:eastAsia="宋体" w:cs="宋体"/>
          <w:b/>
          <w:bCs/>
          <w:color w:val="000000"/>
          <w:szCs w:val="24"/>
        </w:rPr>
        <w:t>（2）投标人如果对招标文件第五部分“拟签订的合同文本”的响应有偏离，应将偏离条款逐条如实应答，并作出说明；</w:t>
      </w:r>
    </w:p>
    <w:p>
      <w:pPr>
        <w:adjustRightInd w:val="0"/>
        <w:snapToGrid w:val="0"/>
        <w:spacing w:before="50" w:line="360" w:lineRule="auto"/>
        <w:ind w:left="-101" w:leftChars="-42" w:firstLine="720" w:firstLineChars="300"/>
        <w:rPr>
          <w:rFonts w:hint="eastAsia" w:ascii="宋体" w:hAnsi="宋体" w:eastAsia="宋体" w:cs="宋体"/>
          <w:color w:val="000000"/>
          <w:szCs w:val="24"/>
        </w:rPr>
      </w:pPr>
      <w:r>
        <w:rPr>
          <w:rFonts w:hint="eastAsia" w:ascii="宋体" w:hAnsi="宋体" w:eastAsia="宋体" w:cs="宋体"/>
          <w:color w:val="000000"/>
          <w:szCs w:val="24"/>
        </w:rPr>
        <w:t>（3）在采购人与中标人签订合同时，如中标人未在投标文件“合同条款偏离表”中列出偏离说明，无论已发生或即将发生任何情形，均视为完全符合招标文件要求，并写入合同。若中标人在合同签订前，以上述事项为借口而不履行合同签订手续及执行合同，则视作拒绝与采购人签订合同。</w:t>
      </w:r>
    </w:p>
    <w:p>
      <w:pPr>
        <w:adjustRightInd w:val="0"/>
        <w:snapToGrid w:val="0"/>
        <w:spacing w:before="50" w:line="360" w:lineRule="auto"/>
        <w:rPr>
          <w:rFonts w:hint="eastAsia" w:ascii="宋体" w:hAnsi="宋体" w:eastAsia="宋体" w:cs="宋体"/>
          <w:color w:val="000000"/>
          <w:szCs w:val="24"/>
        </w:rPr>
      </w:pPr>
    </w:p>
    <w:p>
      <w:pPr>
        <w:adjustRightInd w:val="0"/>
        <w:snapToGrid w:val="0"/>
        <w:spacing w:before="50" w:line="360" w:lineRule="auto"/>
        <w:rPr>
          <w:rFonts w:hint="eastAsia" w:ascii="宋体" w:hAnsi="宋体" w:eastAsia="宋体" w:cs="宋体"/>
          <w:color w:val="000000"/>
          <w:szCs w:val="24"/>
        </w:rPr>
      </w:pPr>
      <w:r>
        <w:rPr>
          <w:rFonts w:hint="eastAsia" w:ascii="宋体" w:hAnsi="宋体" w:eastAsia="宋体" w:cs="宋体"/>
          <w:color w:val="000000"/>
          <w:szCs w:val="24"/>
        </w:rPr>
        <w:t>投标人名称（盖章）：</w:t>
      </w:r>
    </w:p>
    <w:p>
      <w:pPr>
        <w:autoSpaceDE w:val="0"/>
        <w:autoSpaceDN w:val="0"/>
        <w:adjustRightInd w:val="0"/>
        <w:spacing w:line="360" w:lineRule="auto"/>
        <w:rPr>
          <w:rFonts w:hint="eastAsia" w:ascii="宋体" w:hAnsi="宋体" w:eastAsia="宋体" w:cs="宋体"/>
          <w:color w:val="000000"/>
          <w:kern w:val="0"/>
          <w:szCs w:val="24"/>
          <w:lang w:val="zh-CN"/>
        </w:rPr>
      </w:pPr>
      <w:r>
        <w:rPr>
          <w:rFonts w:hint="eastAsia" w:ascii="宋体" w:hAnsi="宋体" w:eastAsia="宋体" w:cs="宋体"/>
          <w:color w:val="000000"/>
          <w:szCs w:val="24"/>
        </w:rPr>
        <w:t>日       期：</w:t>
      </w:r>
      <w:r>
        <w:rPr>
          <w:rFonts w:hint="eastAsia" w:ascii="宋体" w:hAnsi="宋体" w:eastAsia="宋体" w:cs="宋体"/>
          <w:color w:val="000000"/>
          <w:szCs w:val="24"/>
          <w:u w:val="single"/>
        </w:rPr>
        <w:t xml:space="preserve">          </w:t>
      </w:r>
      <w:r>
        <w:rPr>
          <w:rFonts w:hint="eastAsia" w:ascii="宋体" w:hAnsi="宋体" w:eastAsia="宋体" w:cs="宋体"/>
          <w:color w:val="000000"/>
          <w:szCs w:val="24"/>
        </w:rPr>
        <w:t>年</w:t>
      </w:r>
      <w:r>
        <w:rPr>
          <w:rFonts w:hint="eastAsia" w:ascii="宋体" w:hAnsi="宋体" w:eastAsia="宋体" w:cs="宋体"/>
          <w:color w:val="000000"/>
          <w:szCs w:val="24"/>
          <w:u w:val="single"/>
        </w:rPr>
        <w:t xml:space="preserve">        </w:t>
      </w:r>
      <w:r>
        <w:rPr>
          <w:rFonts w:hint="eastAsia" w:ascii="宋体" w:hAnsi="宋体" w:eastAsia="宋体" w:cs="宋体"/>
          <w:color w:val="000000"/>
          <w:szCs w:val="24"/>
        </w:rPr>
        <w:t>月</w:t>
      </w:r>
      <w:r>
        <w:rPr>
          <w:rFonts w:hint="eastAsia" w:ascii="宋体" w:hAnsi="宋体" w:eastAsia="宋体" w:cs="宋体"/>
          <w:color w:val="000000"/>
          <w:szCs w:val="24"/>
          <w:u w:val="single"/>
        </w:rPr>
        <w:t xml:space="preserve">      </w:t>
      </w:r>
      <w:r>
        <w:rPr>
          <w:rFonts w:hint="eastAsia" w:ascii="宋体" w:hAnsi="宋体" w:eastAsia="宋体" w:cs="宋体"/>
          <w:color w:val="000000"/>
          <w:szCs w:val="24"/>
        </w:rPr>
        <w:t>_日</w:t>
      </w:r>
    </w:p>
    <w:p>
      <w:pPr>
        <w:pStyle w:val="18"/>
        <w:rPr>
          <w:rFonts w:hint="eastAsia" w:hAnsi="宋体" w:eastAsia="宋体" w:cs="宋体"/>
          <w:color w:val="000000"/>
          <w:kern w:val="0"/>
          <w:szCs w:val="24"/>
        </w:rPr>
      </w:pPr>
    </w:p>
    <w:p>
      <w:pPr>
        <w:pStyle w:val="18"/>
        <w:rPr>
          <w:rFonts w:hint="eastAsia" w:hAnsi="宋体" w:eastAsia="宋体" w:cs="宋体"/>
          <w:color w:val="000000"/>
          <w:kern w:val="0"/>
          <w:szCs w:val="24"/>
        </w:rPr>
      </w:pPr>
    </w:p>
    <w:p>
      <w:pPr>
        <w:pStyle w:val="18"/>
        <w:rPr>
          <w:rFonts w:hint="eastAsia" w:hAnsi="宋体" w:eastAsia="宋体" w:cs="宋体"/>
          <w:color w:val="000000"/>
          <w:kern w:val="0"/>
          <w:szCs w:val="24"/>
        </w:rPr>
      </w:pPr>
    </w:p>
    <w:p>
      <w:pPr>
        <w:pStyle w:val="18"/>
        <w:rPr>
          <w:rFonts w:hint="eastAsia" w:hAnsi="宋体" w:eastAsia="宋体" w:cs="宋体"/>
          <w:color w:val="000000"/>
          <w:kern w:val="0"/>
          <w:szCs w:val="24"/>
        </w:rPr>
      </w:pPr>
    </w:p>
    <w:p>
      <w:pPr>
        <w:pStyle w:val="18"/>
        <w:rPr>
          <w:rFonts w:hint="eastAsia" w:hAnsi="宋体" w:eastAsia="宋体" w:cs="宋体"/>
          <w:color w:val="000000"/>
          <w:kern w:val="0"/>
          <w:szCs w:val="24"/>
        </w:rPr>
      </w:pPr>
    </w:p>
    <w:p>
      <w:pPr>
        <w:spacing w:line="360" w:lineRule="auto"/>
        <w:jc w:val="center"/>
        <w:outlineLvl w:val="2"/>
        <w:rPr>
          <w:rFonts w:hint="eastAsia" w:ascii="宋体" w:hAnsi="宋体" w:eastAsia="宋体" w:cs="宋体"/>
          <w:b/>
          <w:color w:val="000000"/>
          <w:sz w:val="30"/>
          <w:szCs w:val="30"/>
        </w:rPr>
      </w:pPr>
      <w:r>
        <w:rPr>
          <w:rFonts w:hint="eastAsia" w:ascii="宋体" w:hAnsi="宋体" w:eastAsia="宋体" w:cs="宋体"/>
          <w:b/>
          <w:color w:val="000000"/>
          <w:sz w:val="30"/>
          <w:szCs w:val="30"/>
        </w:rPr>
        <w:t>七、廉政承诺书</w:t>
      </w:r>
    </w:p>
    <w:p>
      <w:pPr>
        <w:adjustRightInd w:val="0"/>
        <w:spacing w:line="360" w:lineRule="auto"/>
        <w:rPr>
          <w:rFonts w:hint="eastAsia" w:ascii="宋体" w:hAnsi="宋体" w:eastAsia="宋体" w:cs="宋体"/>
          <w:color w:val="000000"/>
          <w:kern w:val="0"/>
        </w:rPr>
      </w:pPr>
      <w:r>
        <w:rPr>
          <w:rFonts w:hint="eastAsia" w:ascii="宋体" w:hAnsi="宋体" w:eastAsia="宋体" w:cs="宋体"/>
          <w:color w:val="000000"/>
        </w:rPr>
        <w:t>杭州市水库管理服务中心、华联世纪工程咨询股份有限公司</w:t>
      </w:r>
      <w:r>
        <w:rPr>
          <w:rFonts w:hint="eastAsia" w:ascii="宋体" w:hAnsi="宋体" w:eastAsia="宋体" w:cs="宋体"/>
          <w:color w:val="000000"/>
          <w:kern w:val="0"/>
          <w:lang w:val="zh-CN"/>
        </w:rPr>
        <w:t>：</w:t>
      </w:r>
    </w:p>
    <w:p>
      <w:pPr>
        <w:adjustRightInd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rPr>
        <w:t>为加强采购活动中的廉政建设，防止发生违法违纪行为，体现公开、公平、公正的原则，根据国家有关法律、法规和廉政建设责任制的规定，本投标人特作如下承诺</w:t>
      </w:r>
      <w:r>
        <w:rPr>
          <w:rFonts w:hint="eastAsia" w:ascii="宋体" w:hAnsi="宋体" w:eastAsia="宋体" w:cs="宋体"/>
          <w:color w:val="000000"/>
          <w:kern w:val="0"/>
          <w:lang w:val="zh-CN"/>
        </w:rPr>
        <w:t>：</w:t>
      </w:r>
    </w:p>
    <w:p>
      <w:pPr>
        <w:adjustRightInd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一、不与采购人、采购代理机构及其他投标人私下串通协商，进行围标、串标、抬标，控制投标价格。</w:t>
      </w:r>
    </w:p>
    <w:p>
      <w:pPr>
        <w:adjustRightInd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二、不向采购人、采购代理机构、评标专家行贿，以不正当手段谋取中标。</w:t>
      </w:r>
    </w:p>
    <w:p>
      <w:pPr>
        <w:adjustRightInd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三、不向监管人员请客、送礼及组织其他有可能影响客观公正监管的活动。</w:t>
      </w:r>
    </w:p>
    <w:p>
      <w:pPr>
        <w:adjustRightInd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四、自觉遵守开标、评标现场工作纪律，不私下接触评标专家，不干扰正常的开标评标秩序。</w:t>
      </w:r>
    </w:p>
    <w:p>
      <w:pPr>
        <w:adjustRightInd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五、不给责任人的违法违规行为说情、解脱。</w:t>
      </w:r>
    </w:p>
    <w:p>
      <w:pPr>
        <w:adjustRightInd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pPr>
        <w:adjustRightInd w:val="0"/>
        <w:spacing w:line="360" w:lineRule="auto"/>
        <w:ind w:firstLine="480" w:firstLineChars="200"/>
        <w:rPr>
          <w:rFonts w:hint="eastAsia" w:ascii="宋体" w:hAnsi="宋体" w:eastAsia="宋体" w:cs="宋体"/>
          <w:color w:val="000000"/>
          <w:kern w:val="0"/>
        </w:rPr>
      </w:pPr>
    </w:p>
    <w:p>
      <w:pPr>
        <w:autoSpaceDE w:val="0"/>
        <w:autoSpaceDN w:val="0"/>
        <w:adjustRightInd w:val="0"/>
        <w:spacing w:line="360" w:lineRule="auto"/>
        <w:ind w:firstLine="5160" w:firstLineChars="2150"/>
        <w:rPr>
          <w:rFonts w:hint="eastAsia" w:ascii="宋体" w:hAnsi="宋体" w:eastAsia="宋体" w:cs="宋体"/>
          <w:color w:val="000000"/>
          <w:kern w:val="0"/>
          <w:szCs w:val="24"/>
        </w:rPr>
      </w:pPr>
      <w:r>
        <w:rPr>
          <w:rFonts w:hint="eastAsia" w:ascii="宋体" w:hAnsi="宋体" w:eastAsia="宋体" w:cs="宋体"/>
          <w:color w:val="000000"/>
          <w:kern w:val="0"/>
          <w:szCs w:val="24"/>
          <w:lang w:val="zh-CN"/>
        </w:rPr>
        <w:t>投标人名称（盖章）：</w:t>
      </w:r>
    </w:p>
    <w:p>
      <w:pPr>
        <w:tabs>
          <w:tab w:val="left" w:pos="540"/>
        </w:tabs>
        <w:autoSpaceDE w:val="0"/>
        <w:autoSpaceDN w:val="0"/>
        <w:adjustRightInd w:val="0"/>
        <w:spacing w:line="360" w:lineRule="auto"/>
        <w:ind w:firstLine="480" w:firstLineChars="200"/>
        <w:rPr>
          <w:rFonts w:hint="eastAsia" w:ascii="宋体" w:hAnsi="宋体" w:eastAsia="宋体" w:cs="宋体"/>
          <w:b/>
          <w:color w:val="000000"/>
          <w:kern w:val="0"/>
          <w:lang w:val="zh-CN"/>
        </w:rPr>
      </w:pPr>
      <w:r>
        <w:rPr>
          <w:rFonts w:hint="eastAsia" w:ascii="宋体" w:hAnsi="宋体" w:eastAsia="宋体" w:cs="宋体"/>
          <w:color w:val="000000"/>
          <w:kern w:val="0"/>
          <w:szCs w:val="24"/>
          <w:lang w:val="zh-CN"/>
        </w:rPr>
        <w:t xml:space="preserve">                                       日期：     年  月   日</w:t>
      </w:r>
    </w:p>
    <w:p>
      <w:pPr>
        <w:spacing w:line="360" w:lineRule="auto"/>
        <w:rPr>
          <w:rFonts w:hint="eastAsia" w:ascii="宋体" w:hAnsi="宋体" w:eastAsia="宋体" w:cs="宋体"/>
          <w:color w:val="000000"/>
          <w:kern w:val="0"/>
          <w:lang w:val="zh-CN"/>
        </w:rPr>
      </w:pPr>
    </w:p>
    <w:p>
      <w:pPr>
        <w:spacing w:line="360" w:lineRule="auto"/>
        <w:jc w:val="center"/>
        <w:outlineLvl w:val="2"/>
        <w:rPr>
          <w:rFonts w:hint="eastAsia" w:ascii="宋体" w:hAnsi="宋体" w:eastAsia="宋体" w:cs="宋体"/>
          <w:b/>
          <w:color w:val="000000"/>
          <w:kern w:val="0"/>
          <w:sz w:val="30"/>
          <w:szCs w:val="30"/>
          <w:lang w:val="zh-CN"/>
        </w:rPr>
      </w:pPr>
      <w:r>
        <w:rPr>
          <w:rFonts w:hint="eastAsia" w:ascii="宋体" w:hAnsi="宋体" w:eastAsia="宋体" w:cs="宋体"/>
          <w:b/>
          <w:bCs/>
          <w:color w:val="000000"/>
          <w:sz w:val="30"/>
          <w:szCs w:val="30"/>
        </w:rPr>
        <w:t>八、</w:t>
      </w:r>
      <w:r>
        <w:rPr>
          <w:rFonts w:hint="eastAsia" w:ascii="宋体" w:hAnsi="宋体" w:eastAsia="宋体" w:cs="宋体"/>
          <w:b/>
          <w:color w:val="000000"/>
          <w:kern w:val="0"/>
          <w:sz w:val="30"/>
          <w:szCs w:val="30"/>
          <w:lang w:val="zh-CN"/>
        </w:rPr>
        <w:t>对招标文件中有关条款的拒绝声明</w:t>
      </w:r>
    </w:p>
    <w:p>
      <w:pPr>
        <w:spacing w:line="360" w:lineRule="auto"/>
        <w:jc w:val="center"/>
        <w:rPr>
          <w:rFonts w:hint="eastAsia" w:ascii="宋体" w:hAnsi="宋体" w:eastAsia="宋体" w:cs="宋体"/>
          <w:color w:val="000000"/>
          <w:sz w:val="28"/>
        </w:rPr>
      </w:pPr>
      <w:r>
        <w:rPr>
          <w:rFonts w:hint="eastAsia" w:ascii="宋体" w:hAnsi="宋体" w:eastAsia="宋体" w:cs="宋体"/>
          <w:color w:val="000000"/>
          <w:sz w:val="28"/>
        </w:rPr>
        <w:t>（根据招标文件要求自行编制）</w:t>
      </w:r>
    </w:p>
    <w:p>
      <w:pPr>
        <w:autoSpaceDE w:val="0"/>
        <w:autoSpaceDN w:val="0"/>
        <w:adjustRightInd w:val="0"/>
        <w:spacing w:line="360" w:lineRule="auto"/>
        <w:ind w:firstLine="5160" w:firstLineChars="2150"/>
        <w:rPr>
          <w:rFonts w:hint="eastAsia" w:ascii="宋体" w:hAnsi="宋体" w:eastAsia="宋体" w:cs="宋体"/>
          <w:color w:val="000000"/>
          <w:kern w:val="0"/>
          <w:szCs w:val="24"/>
        </w:rPr>
      </w:pPr>
      <w:r>
        <w:rPr>
          <w:rFonts w:hint="eastAsia" w:ascii="宋体" w:hAnsi="宋体" w:eastAsia="宋体" w:cs="宋体"/>
          <w:color w:val="000000"/>
          <w:kern w:val="0"/>
          <w:szCs w:val="24"/>
          <w:lang w:val="zh-CN"/>
        </w:rPr>
        <w:t>投标人名称（盖章）：</w:t>
      </w:r>
    </w:p>
    <w:p>
      <w:pPr>
        <w:tabs>
          <w:tab w:val="left" w:pos="540"/>
        </w:tabs>
        <w:autoSpaceDE w:val="0"/>
        <w:autoSpaceDN w:val="0"/>
        <w:adjustRightInd w:val="0"/>
        <w:spacing w:line="360" w:lineRule="auto"/>
        <w:ind w:firstLine="480" w:firstLineChars="200"/>
        <w:rPr>
          <w:rFonts w:hint="eastAsia" w:ascii="宋体" w:hAnsi="宋体" w:eastAsia="宋体" w:cs="宋体"/>
          <w:b/>
          <w:color w:val="000000"/>
          <w:kern w:val="0"/>
          <w:lang w:val="zh-CN"/>
        </w:rPr>
      </w:pPr>
      <w:r>
        <w:rPr>
          <w:rFonts w:hint="eastAsia" w:ascii="宋体" w:hAnsi="宋体" w:eastAsia="宋体" w:cs="宋体"/>
          <w:color w:val="000000"/>
          <w:kern w:val="0"/>
          <w:szCs w:val="24"/>
          <w:lang w:val="zh-CN"/>
        </w:rPr>
        <w:t xml:space="preserve">                                       日期：     年  月   日</w:t>
      </w:r>
    </w:p>
    <w:p>
      <w:pPr>
        <w:spacing w:line="360" w:lineRule="auto"/>
        <w:rPr>
          <w:rFonts w:hint="eastAsia" w:ascii="宋体" w:hAnsi="宋体" w:eastAsia="宋体" w:cs="宋体"/>
          <w:color w:val="000000"/>
          <w:kern w:val="0"/>
          <w:lang w:val="zh-CN"/>
        </w:rPr>
      </w:pPr>
    </w:p>
    <w:p>
      <w:pPr>
        <w:spacing w:line="360" w:lineRule="auto"/>
        <w:jc w:val="center"/>
        <w:outlineLvl w:val="2"/>
        <w:rPr>
          <w:rFonts w:hint="eastAsia" w:ascii="宋体" w:hAnsi="宋体" w:eastAsia="宋体" w:cs="宋体"/>
          <w:b/>
          <w:color w:val="000000"/>
          <w:kern w:val="0"/>
          <w:sz w:val="30"/>
          <w:szCs w:val="30"/>
          <w:lang w:val="zh-CN"/>
        </w:rPr>
      </w:pPr>
      <w:r>
        <w:rPr>
          <w:rFonts w:hint="eastAsia" w:ascii="宋体" w:hAnsi="宋体" w:eastAsia="宋体" w:cs="宋体"/>
          <w:b/>
          <w:bCs/>
          <w:color w:val="000000"/>
          <w:sz w:val="30"/>
          <w:szCs w:val="30"/>
        </w:rPr>
        <w:t>九、</w:t>
      </w:r>
      <w:r>
        <w:rPr>
          <w:rFonts w:hint="eastAsia" w:ascii="宋体" w:hAnsi="宋体" w:eastAsia="宋体" w:cs="宋体"/>
          <w:b/>
          <w:color w:val="000000"/>
          <w:kern w:val="0"/>
          <w:sz w:val="30"/>
          <w:szCs w:val="30"/>
          <w:lang w:val="zh-CN"/>
        </w:rPr>
        <w:t>其他商务技术文件或说明</w:t>
      </w:r>
    </w:p>
    <w:p>
      <w:pPr>
        <w:spacing w:line="360" w:lineRule="auto"/>
        <w:jc w:val="center"/>
        <w:rPr>
          <w:rFonts w:hint="eastAsia" w:ascii="宋体" w:hAnsi="宋体" w:eastAsia="宋体" w:cs="宋体"/>
          <w:color w:val="000000"/>
          <w:sz w:val="28"/>
        </w:rPr>
      </w:pPr>
      <w:r>
        <w:rPr>
          <w:rFonts w:hint="eastAsia" w:ascii="宋体" w:hAnsi="宋体" w:eastAsia="宋体" w:cs="宋体"/>
          <w:color w:val="000000"/>
          <w:sz w:val="28"/>
        </w:rPr>
        <w:t>（根据招标文件要求自行编制）</w:t>
      </w:r>
    </w:p>
    <w:p>
      <w:pPr>
        <w:autoSpaceDE w:val="0"/>
        <w:autoSpaceDN w:val="0"/>
        <w:adjustRightInd w:val="0"/>
        <w:spacing w:line="360" w:lineRule="auto"/>
        <w:ind w:firstLine="5160" w:firstLineChars="2150"/>
        <w:rPr>
          <w:rFonts w:hint="eastAsia" w:ascii="宋体" w:hAnsi="宋体" w:eastAsia="宋体" w:cs="宋体"/>
          <w:color w:val="000000"/>
          <w:kern w:val="0"/>
          <w:szCs w:val="24"/>
          <w:lang w:val="zh-CN"/>
        </w:rPr>
      </w:pPr>
    </w:p>
    <w:p>
      <w:pPr>
        <w:autoSpaceDE w:val="0"/>
        <w:autoSpaceDN w:val="0"/>
        <w:adjustRightInd w:val="0"/>
        <w:spacing w:line="360" w:lineRule="auto"/>
        <w:ind w:firstLine="5160" w:firstLineChars="2150"/>
        <w:rPr>
          <w:rFonts w:hint="eastAsia" w:ascii="宋体" w:hAnsi="宋体" w:eastAsia="宋体" w:cs="宋体"/>
          <w:color w:val="000000"/>
          <w:kern w:val="0"/>
          <w:szCs w:val="24"/>
        </w:rPr>
      </w:pPr>
      <w:r>
        <w:rPr>
          <w:rFonts w:hint="eastAsia" w:ascii="宋体" w:hAnsi="宋体" w:eastAsia="宋体" w:cs="宋体"/>
          <w:color w:val="000000"/>
          <w:kern w:val="0"/>
          <w:szCs w:val="24"/>
          <w:lang w:val="zh-CN"/>
        </w:rPr>
        <w:t>投标人名称（盖章）：</w:t>
      </w:r>
    </w:p>
    <w:p>
      <w:pPr>
        <w:tabs>
          <w:tab w:val="left" w:pos="540"/>
        </w:tabs>
        <w:autoSpaceDE w:val="0"/>
        <w:autoSpaceDN w:val="0"/>
        <w:adjustRightInd w:val="0"/>
        <w:spacing w:line="360" w:lineRule="auto"/>
        <w:ind w:firstLine="480" w:firstLineChars="200"/>
        <w:rPr>
          <w:rFonts w:hint="eastAsia" w:ascii="宋体" w:hAnsi="宋体" w:eastAsia="宋体" w:cs="宋体"/>
          <w:b/>
          <w:color w:val="000000"/>
          <w:kern w:val="0"/>
          <w:lang w:val="zh-CN"/>
        </w:rPr>
      </w:pPr>
      <w:r>
        <w:rPr>
          <w:rFonts w:hint="eastAsia" w:ascii="宋体" w:hAnsi="宋体" w:eastAsia="宋体" w:cs="宋体"/>
          <w:color w:val="000000"/>
          <w:kern w:val="0"/>
          <w:szCs w:val="24"/>
          <w:lang w:val="zh-CN"/>
        </w:rPr>
        <w:t xml:space="preserve">                                       日期：     年  月   日</w:t>
      </w:r>
    </w:p>
    <w:p>
      <w:pPr>
        <w:spacing w:line="360" w:lineRule="auto"/>
        <w:rPr>
          <w:rFonts w:ascii="宋体" w:hAnsi="宋体" w:eastAsia="宋体" w:cs="宋体"/>
          <w:b/>
          <w:color w:val="000000"/>
          <w:kern w:val="0"/>
          <w:szCs w:val="24"/>
        </w:rPr>
      </w:pPr>
      <w:r>
        <w:rPr>
          <w:rFonts w:hint="eastAsia" w:ascii="宋体" w:hAnsi="宋体" w:eastAsia="宋体" w:cs="宋体"/>
          <w:b/>
          <w:color w:val="000000"/>
          <w:sz w:val="30"/>
          <w:szCs w:val="30"/>
        </w:rPr>
        <w:br w:type="page"/>
      </w:r>
      <w:r>
        <w:rPr>
          <w:rFonts w:hint="eastAsia" w:ascii="宋体" w:hAnsi="宋体" w:eastAsia="宋体" w:cs="宋体"/>
          <w:b/>
          <w:color w:val="000000"/>
          <w:kern w:val="0"/>
          <w:sz w:val="32"/>
          <w:szCs w:val="32"/>
        </w:rPr>
        <w:t>封面</w:t>
      </w: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bCs/>
          <w:color w:val="000000"/>
          <w:kern w:val="0"/>
          <w:sz w:val="52"/>
          <w:szCs w:val="52"/>
        </w:rPr>
      </w:pPr>
      <w:r>
        <w:rPr>
          <w:rFonts w:hint="eastAsia" w:ascii="宋体" w:hAnsi="宋体" w:eastAsia="宋体" w:cs="宋体"/>
          <w:b/>
          <w:bCs/>
          <w:color w:val="000000"/>
          <w:sz w:val="52"/>
          <w:szCs w:val="52"/>
        </w:rPr>
        <w:t>2021年度青山水库运行维护及工程维修项目——运行管理及日常维护项目</w:t>
      </w:r>
    </w:p>
    <w:p>
      <w:pPr>
        <w:spacing w:line="360" w:lineRule="auto"/>
        <w:jc w:val="center"/>
        <w:rPr>
          <w:rFonts w:hint="eastAsia" w:ascii="宋体" w:hAnsi="宋体" w:eastAsia="宋体" w:cs="宋体"/>
          <w:b/>
          <w:color w:val="000000"/>
          <w:kern w:val="0"/>
          <w:sz w:val="32"/>
          <w:szCs w:val="32"/>
        </w:rPr>
      </w:pPr>
    </w:p>
    <w:p>
      <w:pPr>
        <w:spacing w:line="360" w:lineRule="auto"/>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报价文件</w:t>
      </w:r>
    </w:p>
    <w:p>
      <w:pPr>
        <w:spacing w:line="360" w:lineRule="auto"/>
        <w:jc w:val="center"/>
        <w:rPr>
          <w:rFonts w:hint="eastAsia" w:ascii="宋体" w:hAnsi="宋体" w:eastAsia="宋体" w:cs="宋体"/>
          <w:b/>
          <w:color w:val="000000"/>
          <w:kern w:val="0"/>
          <w:sz w:val="32"/>
          <w:szCs w:val="32"/>
        </w:rPr>
      </w:pPr>
    </w:p>
    <w:p>
      <w:pPr>
        <w:spacing w:line="360" w:lineRule="auto"/>
        <w:rPr>
          <w:rFonts w:hint="eastAsia" w:ascii="宋体" w:hAnsi="宋体" w:eastAsia="宋体" w:cs="宋体"/>
          <w:b/>
          <w:color w:val="000000"/>
          <w:kern w:val="0"/>
          <w:szCs w:val="24"/>
        </w:rPr>
      </w:pPr>
      <w:r>
        <w:rPr>
          <w:rFonts w:hint="eastAsia" w:ascii="宋体" w:hAnsi="宋体" w:eastAsia="宋体" w:cs="宋体"/>
          <w:b/>
          <w:color w:val="000000"/>
          <w:kern w:val="0"/>
          <w:sz w:val="32"/>
          <w:szCs w:val="32"/>
        </w:rPr>
        <w:t xml:space="preserve">                采购编号：</w:t>
      </w: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Cs w:val="24"/>
        </w:rPr>
      </w:pPr>
    </w:p>
    <w:p>
      <w:pPr>
        <w:spacing w:line="360" w:lineRule="auto"/>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投标人名称：</w:t>
      </w:r>
    </w:p>
    <w:p>
      <w:pPr>
        <w:spacing w:line="360" w:lineRule="auto"/>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年  月  日</w:t>
      </w:r>
    </w:p>
    <w:p>
      <w:pPr>
        <w:spacing w:line="360" w:lineRule="auto"/>
        <w:jc w:val="center"/>
        <w:rPr>
          <w:rFonts w:hint="eastAsia" w:ascii="宋体" w:hAnsi="宋体" w:eastAsia="宋体" w:cs="宋体"/>
          <w:b/>
          <w:color w:val="000000"/>
          <w:kern w:val="0"/>
          <w:sz w:val="32"/>
          <w:szCs w:val="32"/>
        </w:rPr>
      </w:pPr>
    </w:p>
    <w:p>
      <w:pPr>
        <w:pageBreakBefore/>
        <w:spacing w:line="360" w:lineRule="auto"/>
        <w:jc w:val="center"/>
        <w:outlineLvl w:val="1"/>
        <w:rPr>
          <w:rFonts w:hint="eastAsia" w:ascii="宋体" w:hAnsi="宋体" w:eastAsia="宋体" w:cs="宋体"/>
          <w:b/>
          <w:color w:val="000000"/>
          <w:kern w:val="0"/>
          <w:sz w:val="36"/>
          <w:szCs w:val="36"/>
        </w:rPr>
      </w:pPr>
      <w:bookmarkStart w:id="90" w:name="_Toc3329"/>
      <w:r>
        <w:rPr>
          <w:rFonts w:hint="eastAsia" w:ascii="宋体" w:hAnsi="宋体" w:eastAsia="宋体" w:cs="宋体"/>
          <w:b/>
          <w:color w:val="000000"/>
          <w:kern w:val="0"/>
          <w:sz w:val="36"/>
          <w:szCs w:val="36"/>
        </w:rPr>
        <w:t>报价文件</w:t>
      </w:r>
      <w:bookmarkEnd w:id="90"/>
    </w:p>
    <w:p>
      <w:pPr>
        <w:spacing w:line="360" w:lineRule="auto"/>
        <w:jc w:val="center"/>
        <w:rPr>
          <w:rFonts w:hint="eastAsia" w:ascii="宋体" w:hAnsi="宋体" w:eastAsia="宋体" w:cs="宋体"/>
          <w:b/>
          <w:color w:val="000000"/>
          <w:kern w:val="0"/>
          <w:sz w:val="32"/>
          <w:szCs w:val="32"/>
        </w:rPr>
      </w:pPr>
    </w:p>
    <w:p>
      <w:pPr>
        <w:spacing w:line="360" w:lineRule="auto"/>
        <w:jc w:val="center"/>
        <w:outlineLvl w:val="2"/>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目录</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（1）投标响应函……………………………………………………………………………（页码）</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（2）开标一览表（报价表）………………………………………………………………（页码）</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（3）分项报价表或报价明细表……………………………………………………………（页码）</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rPr>
        <w:t>（4）享受政府采购政策优惠的证明资料（如有）………………………………………（页码）</w:t>
      </w:r>
    </w:p>
    <w:p>
      <w:pPr>
        <w:pStyle w:val="18"/>
        <w:rPr>
          <w:rFonts w:hint="eastAsia" w:hAnsi="宋体" w:eastAsia="宋体" w:cs="宋体"/>
          <w:color w:val="000000"/>
          <w:kern w:val="0"/>
        </w:rPr>
      </w:pPr>
    </w:p>
    <w:p>
      <w:pPr>
        <w:spacing w:line="360" w:lineRule="auto"/>
        <w:jc w:val="center"/>
        <w:outlineLvl w:val="2"/>
        <w:rPr>
          <w:rFonts w:hint="eastAsia" w:ascii="宋体" w:hAnsi="宋体" w:eastAsia="宋体" w:cs="宋体"/>
          <w:b/>
          <w:color w:val="000000"/>
          <w:sz w:val="36"/>
        </w:rPr>
      </w:pPr>
      <w:r>
        <w:rPr>
          <w:rFonts w:hint="eastAsia" w:ascii="宋体" w:hAnsi="宋体" w:eastAsia="宋体" w:cs="宋体"/>
          <w:color w:val="000000"/>
          <w:kern w:val="0"/>
        </w:rPr>
        <w:br w:type="page"/>
      </w:r>
      <w:r>
        <w:rPr>
          <w:rFonts w:hint="eastAsia" w:ascii="宋体" w:hAnsi="宋体" w:eastAsia="宋体" w:cs="宋体"/>
          <w:b/>
          <w:color w:val="000000"/>
          <w:kern w:val="0"/>
          <w:sz w:val="36"/>
        </w:rPr>
        <w:t>一、投标响应</w:t>
      </w:r>
      <w:r>
        <w:rPr>
          <w:rFonts w:hint="eastAsia" w:ascii="宋体" w:hAnsi="宋体" w:eastAsia="宋体" w:cs="宋体"/>
          <w:b/>
          <w:color w:val="000000"/>
          <w:sz w:val="36"/>
        </w:rPr>
        <w:t>函</w:t>
      </w:r>
    </w:p>
    <w:p>
      <w:pPr>
        <w:spacing w:line="360" w:lineRule="auto"/>
        <w:rPr>
          <w:rFonts w:hint="eastAsia" w:ascii="宋体" w:hAnsi="宋体" w:eastAsia="宋体" w:cs="宋体"/>
          <w:color w:val="000000"/>
        </w:rPr>
      </w:pPr>
      <w:r>
        <w:rPr>
          <w:rFonts w:hint="eastAsia" w:ascii="宋体" w:hAnsi="宋体" w:eastAsia="宋体" w:cs="宋体"/>
          <w:color w:val="000000"/>
          <w:u w:val="single"/>
        </w:rPr>
        <w:t>杭州市水库管理服务中心</w:t>
      </w:r>
      <w:r>
        <w:rPr>
          <w:rFonts w:hint="eastAsia" w:ascii="宋体" w:hAnsi="宋体" w:eastAsia="宋体" w:cs="宋体"/>
          <w:color w:val="000000"/>
        </w:rPr>
        <w:t>、华联世纪工程咨询股份有限公司：</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kern w:val="0"/>
          <w:u w:val="single"/>
        </w:rPr>
        <w:t xml:space="preserve"> </w:t>
      </w:r>
      <w:r>
        <w:rPr>
          <w:rFonts w:hint="eastAsia" w:ascii="宋体" w:hAnsi="宋体" w:eastAsia="宋体" w:cs="宋体"/>
          <w:color w:val="000000"/>
          <w:kern w:val="0"/>
          <w:u w:val="single"/>
          <w:lang w:val="zh-CN"/>
        </w:rPr>
        <w:t xml:space="preserve">                              </w:t>
      </w:r>
      <w:r>
        <w:rPr>
          <w:rFonts w:hint="eastAsia" w:ascii="宋体" w:hAnsi="宋体" w:eastAsia="宋体" w:cs="宋体"/>
          <w:color w:val="000000"/>
        </w:rPr>
        <w:t>（投标人全称）授权</w:t>
      </w:r>
      <w:r>
        <w:rPr>
          <w:rFonts w:hint="eastAsia" w:ascii="宋体" w:hAnsi="宋体" w:eastAsia="宋体" w:cs="宋体"/>
          <w:color w:val="000000"/>
          <w:kern w:val="0"/>
          <w:u w:val="single"/>
          <w:lang w:val="zh-CN"/>
        </w:rPr>
        <w:t xml:space="preserve">                    </w:t>
      </w:r>
      <w:r>
        <w:rPr>
          <w:rFonts w:hint="eastAsia" w:ascii="宋体" w:hAnsi="宋体" w:eastAsia="宋体" w:cs="宋体"/>
          <w:color w:val="000000"/>
        </w:rPr>
        <w:t>（全权代表姓名）</w:t>
      </w:r>
      <w:r>
        <w:rPr>
          <w:rFonts w:hint="eastAsia" w:ascii="宋体" w:hAnsi="宋体" w:eastAsia="宋体" w:cs="宋体"/>
          <w:color w:val="000000"/>
          <w:kern w:val="0"/>
          <w:u w:val="single"/>
          <w:lang w:val="zh-CN"/>
        </w:rPr>
        <w:t xml:space="preserve">              </w:t>
      </w:r>
      <w:r>
        <w:rPr>
          <w:rFonts w:hint="eastAsia" w:ascii="宋体" w:hAnsi="宋体" w:eastAsia="宋体" w:cs="宋体"/>
          <w:color w:val="000000"/>
        </w:rPr>
        <w:t>（职务、职称）为全权代表，参加贵方组织的</w:t>
      </w:r>
      <w:bookmarkStart w:id="91" w:name="OLE_LINK3"/>
      <w:bookmarkStart w:id="92" w:name="OLE_LINK2"/>
      <w:r>
        <w:rPr>
          <w:rFonts w:hint="eastAsia" w:ascii="宋体" w:hAnsi="宋体" w:eastAsia="宋体" w:cs="宋体"/>
          <w:color w:val="000000"/>
          <w:u w:val="single"/>
        </w:rPr>
        <w:t>2021年度青山水库运行维护及工程维修项目——运行管理及日常维护项目</w:t>
      </w:r>
      <w:r>
        <w:rPr>
          <w:rFonts w:hint="eastAsia" w:ascii="宋体" w:hAnsi="宋体" w:eastAsia="宋体" w:cs="宋体"/>
          <w:color w:val="000000"/>
        </w:rPr>
        <w:t>（采购编号：</w:t>
      </w:r>
      <w:bookmarkEnd w:id="91"/>
      <w:bookmarkEnd w:id="92"/>
      <w:r>
        <w:rPr>
          <w:rFonts w:hint="eastAsia" w:ascii="宋体" w:hAnsi="宋体" w:eastAsia="宋体" w:cs="宋体"/>
          <w:color w:val="000000"/>
        </w:rPr>
        <w:t>HLSJHZ-2021-002）招标的有关活动，并对此项目进行投标。为此：</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1、我方同意在投标</w:t>
      </w:r>
      <w:r>
        <w:rPr>
          <w:rFonts w:hint="eastAsia" w:ascii="宋体" w:hAnsi="宋体" w:eastAsia="宋体" w:cs="宋体"/>
          <w:color w:val="000000"/>
          <w:kern w:val="44"/>
        </w:rPr>
        <w:t>须知</w:t>
      </w:r>
      <w:r>
        <w:rPr>
          <w:rFonts w:hint="eastAsia" w:ascii="宋体" w:hAnsi="宋体" w:eastAsia="宋体" w:cs="宋体"/>
          <w:color w:val="000000"/>
        </w:rPr>
        <w:t>规定的开标日期起遵守本投标文件中的承诺且在投标有效期满之前均具有约束力。</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2、我方承诺已经具备《中华人民共和国政府采购法》及相关法律法规规定的参加政府采购活动的投标人应当具备的条件：</w:t>
      </w:r>
    </w:p>
    <w:p>
      <w:pPr>
        <w:spacing w:line="360" w:lineRule="auto"/>
        <w:ind w:firstLine="480" w:firstLineChars="200"/>
        <w:rPr>
          <w:rFonts w:hint="eastAsia" w:ascii="宋体" w:hAnsi="宋体" w:eastAsia="宋体" w:cs="宋体"/>
          <w:color w:val="000000"/>
          <w:lang w:val="zh-TW" w:eastAsia="zh-TW"/>
        </w:rPr>
      </w:pPr>
      <w:r>
        <w:rPr>
          <w:rFonts w:hint="eastAsia" w:ascii="宋体" w:hAnsi="宋体" w:eastAsia="宋体" w:cs="宋体"/>
          <w:color w:val="000000"/>
          <w:lang w:val="zh-TW" w:eastAsia="zh-TW"/>
        </w:rPr>
        <w:t>（1）基本资格条件：符合《中华人民共和国政府采购法》第二十二条的规定；</w:t>
      </w:r>
    </w:p>
    <w:p>
      <w:pPr>
        <w:spacing w:line="360" w:lineRule="auto"/>
        <w:ind w:firstLine="480" w:firstLineChars="200"/>
        <w:rPr>
          <w:rFonts w:hint="eastAsia" w:ascii="宋体" w:hAnsi="宋体" w:eastAsia="宋体" w:cs="宋体"/>
          <w:color w:val="000000"/>
          <w:lang w:val="zh-TW" w:eastAsia="zh-TW"/>
        </w:rPr>
      </w:pPr>
      <w:r>
        <w:rPr>
          <w:rFonts w:hint="eastAsia" w:ascii="宋体" w:hAnsi="宋体" w:eastAsia="宋体" w:cs="宋体"/>
          <w:color w:val="000000"/>
          <w:lang w:val="zh-TW" w:eastAsia="zh-TW"/>
        </w:rPr>
        <w:t>（2）特定资格条件：</w:t>
      </w:r>
      <w:r>
        <w:rPr>
          <w:rFonts w:hint="eastAsia" w:ascii="宋体" w:hAnsi="宋体" w:eastAsia="宋体" w:cs="宋体"/>
          <w:color w:val="000000"/>
          <w:u w:val="single"/>
        </w:rPr>
        <w:t xml:space="preserve">        </w:t>
      </w:r>
      <w:r>
        <w:rPr>
          <w:rFonts w:hint="eastAsia" w:ascii="宋体" w:hAnsi="宋体" w:eastAsia="宋体" w:cs="宋体"/>
          <w:color w:val="000000"/>
          <w:lang w:val="zh-TW" w:eastAsia="zh-TW"/>
        </w:rPr>
        <w:t>。</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3、提供</w:t>
      </w:r>
      <w:r>
        <w:rPr>
          <w:rFonts w:hint="eastAsia" w:ascii="宋体" w:hAnsi="宋体" w:eastAsia="宋体" w:cs="宋体"/>
          <w:color w:val="000000"/>
          <w:kern w:val="44"/>
        </w:rPr>
        <w:t>投标须知</w:t>
      </w:r>
      <w:r>
        <w:rPr>
          <w:rFonts w:hint="eastAsia" w:ascii="宋体" w:hAnsi="宋体" w:eastAsia="宋体" w:cs="宋体"/>
          <w:color w:val="000000"/>
        </w:rPr>
        <w:t>规定的全部投标文件，具体内容为：</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（1）报价文件；</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kern w:val="0"/>
          <w:lang w:val="zh-CN"/>
        </w:rPr>
        <w:t>商务技术文件；</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w:t>
      </w:r>
      <w:r>
        <w:rPr>
          <w:rFonts w:hint="eastAsia" w:ascii="宋体" w:hAnsi="宋体" w:eastAsia="宋体" w:cs="宋体"/>
          <w:color w:val="000000"/>
          <w:lang w:val="zh-CN"/>
        </w:rPr>
        <w:t>资格文件。</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4、我方保证忠实地执行双方所签订的合同，并承担合同规定的责任和义务；保证遵守招标文件中的其他有关规定。我方完全理解贵方不一定要接受最低价的投标。</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5、如果在开标后规定的投标有效期内撤回投标，我方同意贵方按</w:t>
      </w:r>
      <w:r>
        <w:rPr>
          <w:rFonts w:hint="eastAsia" w:ascii="宋体" w:hAnsi="宋体" w:eastAsia="宋体" w:cs="宋体"/>
          <w:bCs/>
          <w:color w:val="000000"/>
          <w:szCs w:val="22"/>
        </w:rPr>
        <w:t>《浙江省政府采购供应商注册及诚信管理暂行办法》的规定上报我方诚信状况。</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6、我方愿意向贵方提供任何与该项投标有关的数据、情况和技术资料。若贵方需要，我方愿意提供我方作出的一切承诺的证明材料。</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7、我方已详细审核全部招标文件，包括招标文件澄清、修改通知（如果有）、参考资料及有关附件，确认无误。</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8、我方将严格遵守《中华人民共和国政府采购法》第七十七条规定：</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a）提供虚假材料谋取中标的；</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b）采取不正当手段诋毁、排挤其他供应商的；</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c）与采购人、其他供应商或者采购代理机构恶意串通的；</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d）向采购人、采购代理机构行贿或者提供其他不正当利益的；</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e）在招标采购过程中与采购人进行协商谈判的；</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f）拒绝有关部门监督检查或提供虚假情况的；</w:t>
      </w:r>
    </w:p>
    <w:p>
      <w:pPr>
        <w:spacing w:line="360" w:lineRule="auto"/>
        <w:ind w:left="480" w:leftChars="200"/>
        <w:rPr>
          <w:rFonts w:hint="eastAsia" w:ascii="宋体" w:hAnsi="宋体" w:eastAsia="宋体" w:cs="宋体"/>
          <w:color w:val="000000"/>
        </w:rPr>
      </w:pPr>
      <w:r>
        <w:rPr>
          <w:rFonts w:hint="eastAsia" w:ascii="宋体" w:hAnsi="宋体" w:eastAsia="宋体" w:cs="宋体"/>
          <w:color w:val="000000"/>
        </w:rPr>
        <w:t>供应商有前款第a）至e）项情形之一的，中标无效。</w:t>
      </w:r>
    </w:p>
    <w:p>
      <w:pPr>
        <w:spacing w:line="360" w:lineRule="auto"/>
        <w:ind w:left="480" w:leftChars="200"/>
        <w:rPr>
          <w:rFonts w:hint="eastAsia" w:ascii="宋体" w:hAnsi="宋体" w:eastAsia="宋体" w:cs="宋体"/>
          <w:color w:val="000000"/>
        </w:rPr>
      </w:pPr>
    </w:p>
    <w:p>
      <w:pPr>
        <w:spacing w:line="360" w:lineRule="auto"/>
        <w:ind w:left="480" w:leftChars="200"/>
        <w:rPr>
          <w:rFonts w:hint="eastAsia" w:ascii="宋体" w:hAnsi="宋体" w:eastAsia="宋体" w:cs="宋体"/>
          <w:color w:val="000000"/>
        </w:rPr>
      </w:pPr>
    </w:p>
    <w:p>
      <w:pPr>
        <w:spacing w:line="360" w:lineRule="auto"/>
        <w:rPr>
          <w:rFonts w:hint="eastAsia" w:ascii="宋体" w:hAnsi="宋体" w:eastAsia="宋体" w:cs="宋体"/>
          <w:color w:val="000000"/>
          <w:kern w:val="0"/>
          <w:lang w:val="zh-CN"/>
        </w:rPr>
      </w:pPr>
    </w:p>
    <w:p>
      <w:pPr>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投标人名称（盖章）：</w:t>
      </w:r>
      <w:r>
        <w:rPr>
          <w:rFonts w:hint="eastAsia" w:ascii="宋体" w:hAnsi="宋体" w:eastAsia="宋体" w:cs="宋体"/>
          <w:color w:val="000000"/>
          <w:kern w:val="0"/>
          <w:u w:val="single"/>
          <w:lang w:val="zh-CN"/>
        </w:rPr>
        <w:t xml:space="preserve">                   </w:t>
      </w:r>
    </w:p>
    <w:p>
      <w:pPr>
        <w:spacing w:line="360" w:lineRule="auto"/>
        <w:rPr>
          <w:rFonts w:hint="eastAsia" w:ascii="宋体" w:hAnsi="宋体" w:eastAsia="宋体" w:cs="宋体"/>
          <w:color w:val="000000"/>
          <w:kern w:val="0"/>
          <w:lang w:val="zh-CN"/>
        </w:rPr>
      </w:pPr>
    </w:p>
    <w:p>
      <w:pPr>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联</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系</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 xml:space="preserve">人：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 xml:space="preserve">联系电话： </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rPr>
        <w:t xml:space="preserve">     </w:t>
      </w:r>
      <w:r>
        <w:rPr>
          <w:rFonts w:hint="eastAsia" w:ascii="宋体" w:hAnsi="宋体" w:eastAsia="宋体" w:cs="宋体"/>
          <w:color w:val="000000"/>
          <w:kern w:val="0"/>
          <w:u w:val="single"/>
          <w:lang w:val="zh-CN"/>
        </w:rPr>
        <w:t xml:space="preserve">    </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联系地址：</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rPr>
        <w:t xml:space="preserve"> </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邮政编码：                     传真号码：</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rPr>
        <w:t xml:space="preserve"> </w:t>
      </w:r>
    </w:p>
    <w:p>
      <w:pPr>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日</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期</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年</w:t>
      </w:r>
      <w:r>
        <w:rPr>
          <w:rFonts w:hint="eastAsia" w:ascii="宋体" w:hAnsi="宋体" w:eastAsia="宋体" w:cs="宋体"/>
          <w:color w:val="000000"/>
          <w:kern w:val="0"/>
        </w:rPr>
        <w:t xml:space="preserve">     </w:t>
      </w:r>
      <w:r>
        <w:rPr>
          <w:rFonts w:hint="eastAsia" w:ascii="宋体" w:hAnsi="宋体" w:eastAsia="宋体" w:cs="宋体"/>
          <w:color w:val="000000"/>
          <w:kern w:val="0"/>
        </w:rPr>
        <w:tab/>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 xml:space="preserve">月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 xml:space="preserve"> 日</w:t>
      </w:r>
    </w:p>
    <w:p>
      <w:pPr>
        <w:spacing w:line="360" w:lineRule="auto"/>
        <w:rPr>
          <w:rFonts w:hint="eastAsia" w:ascii="宋体" w:hAnsi="宋体" w:eastAsia="宋体" w:cs="宋体"/>
          <w:b/>
          <w:color w:val="000000"/>
          <w:kern w:val="0"/>
          <w:lang w:val="zh-CN"/>
        </w:rPr>
      </w:pPr>
    </w:p>
    <w:p>
      <w:pPr>
        <w:spacing w:line="360" w:lineRule="auto"/>
        <w:jc w:val="center"/>
        <w:outlineLvl w:val="2"/>
        <w:rPr>
          <w:rFonts w:hint="eastAsia" w:ascii="宋体" w:hAnsi="宋体" w:eastAsia="宋体" w:cs="宋体"/>
          <w:b/>
          <w:color w:val="000000"/>
          <w:sz w:val="36"/>
        </w:rPr>
      </w:pPr>
      <w:r>
        <w:rPr>
          <w:rFonts w:hint="eastAsia" w:ascii="宋体" w:hAnsi="宋体" w:eastAsia="宋体" w:cs="宋体"/>
          <w:b/>
          <w:color w:val="000000"/>
          <w:kern w:val="0"/>
          <w:lang w:val="zh-CN"/>
        </w:rPr>
        <w:br w:type="page"/>
      </w:r>
      <w:r>
        <w:rPr>
          <w:rFonts w:hint="eastAsia" w:ascii="宋体" w:hAnsi="宋体" w:eastAsia="宋体" w:cs="宋体"/>
          <w:b/>
          <w:color w:val="000000"/>
          <w:kern w:val="0"/>
          <w:sz w:val="36"/>
        </w:rPr>
        <w:t>二、开标一览表（报价表）</w:t>
      </w:r>
    </w:p>
    <w:p>
      <w:pPr>
        <w:adjustRightInd w:val="0"/>
        <w:spacing w:line="360" w:lineRule="auto"/>
        <w:rPr>
          <w:rFonts w:hint="eastAsia" w:ascii="宋体" w:hAnsi="宋体" w:eastAsia="宋体" w:cs="宋体"/>
          <w:color w:val="000000"/>
          <w:kern w:val="0"/>
        </w:rPr>
      </w:pPr>
      <w:bookmarkStart w:id="93" w:name="_Toc86217005"/>
      <w:r>
        <w:rPr>
          <w:rFonts w:hint="eastAsia" w:ascii="宋体" w:hAnsi="宋体" w:eastAsia="宋体" w:cs="宋体"/>
          <w:color w:val="000000"/>
        </w:rPr>
        <w:t>杭州市水库管理服务中心、华联世纪工程咨询股份有限公司</w:t>
      </w:r>
      <w:r>
        <w:rPr>
          <w:rFonts w:hint="eastAsia" w:ascii="宋体" w:hAnsi="宋体" w:eastAsia="宋体" w:cs="宋体"/>
          <w:color w:val="000000"/>
          <w:kern w:val="0"/>
          <w:lang w:val="zh-CN"/>
        </w:rPr>
        <w:t>：</w:t>
      </w:r>
    </w:p>
    <w:p>
      <w:pPr>
        <w:adjustRightInd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按你方招标文件要求，我们，本投标文件</w:t>
      </w:r>
      <w:r>
        <w:rPr>
          <w:rFonts w:hint="eastAsia" w:ascii="宋体" w:hAnsi="宋体" w:eastAsia="宋体" w:cs="宋体"/>
          <w:color w:val="000000"/>
          <w:kern w:val="0"/>
        </w:rPr>
        <w:t>签章</w:t>
      </w:r>
      <w:r>
        <w:rPr>
          <w:rFonts w:hint="eastAsia" w:ascii="宋体" w:hAnsi="宋体" w:eastAsia="宋体" w:cs="宋体"/>
          <w:color w:val="000000"/>
          <w:kern w:val="0"/>
          <w:lang w:val="zh-CN"/>
        </w:rPr>
        <w:t>方，谨此向你方发出要约如下：如你方接受本投标，我方承诺按照如下开标一览表（报价表）的价格完成采购编号为</w:t>
      </w:r>
      <w:r>
        <w:rPr>
          <w:rFonts w:hint="eastAsia" w:ascii="宋体" w:hAnsi="宋体" w:eastAsia="宋体" w:cs="宋体"/>
          <w:color w:val="000000"/>
          <w:u w:val="single"/>
        </w:rPr>
        <w:t>HLSJHZ-2021-002</w:t>
      </w:r>
      <w:r>
        <w:rPr>
          <w:rFonts w:hint="eastAsia" w:ascii="宋体" w:hAnsi="宋体" w:eastAsia="宋体" w:cs="宋体"/>
          <w:color w:val="000000"/>
          <w:kern w:val="0"/>
          <w:lang w:val="zh-CN"/>
        </w:rPr>
        <w:t>的招标文件[项目名称：</w:t>
      </w:r>
      <w:r>
        <w:rPr>
          <w:rFonts w:hint="eastAsia" w:ascii="宋体" w:hAnsi="宋体" w:eastAsia="宋体" w:cs="宋体"/>
          <w:color w:val="000000"/>
        </w:rPr>
        <w:t>2021年度青山水库运行维护及工程维修项目——运行管理及日常维护项目]</w:t>
      </w:r>
      <w:r>
        <w:rPr>
          <w:rFonts w:hint="eastAsia" w:ascii="宋体" w:hAnsi="宋体" w:eastAsia="宋体" w:cs="宋体"/>
          <w:color w:val="000000"/>
          <w:kern w:val="0"/>
          <w:lang w:val="zh-CN"/>
        </w:rPr>
        <w:t>的实施。</w:t>
      </w:r>
    </w:p>
    <w:p>
      <w:pPr>
        <w:pStyle w:val="19"/>
        <w:rPr>
          <w:rFonts w:hint="eastAsia"/>
          <w:color w:val="000000"/>
          <w:lang w:val="zh-CN"/>
        </w:rPr>
      </w:pPr>
    </w:p>
    <w:p>
      <w:pPr>
        <w:jc w:val="right"/>
        <w:rPr>
          <w:rFonts w:hint="eastAsia" w:ascii="宋体" w:hAnsi="宋体" w:eastAsia="宋体" w:cs="宋体"/>
          <w:b/>
          <w:color w:val="000000"/>
          <w:kern w:val="0"/>
          <w:lang w:val="zh-CN"/>
        </w:rPr>
      </w:pPr>
      <w:r>
        <w:rPr>
          <w:rFonts w:hint="eastAsia" w:ascii="宋体" w:hAnsi="宋体" w:eastAsia="宋体" w:cs="宋体"/>
          <w:b/>
          <w:color w:val="000000"/>
          <w:kern w:val="0"/>
          <w:lang w:val="zh-CN"/>
        </w:rPr>
        <w:t>单位：人民币元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417"/>
        <w:gridCol w:w="457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92" w:type="dxa"/>
            <w:noWrap w:val="0"/>
            <w:vAlign w:val="center"/>
          </w:tcPr>
          <w:p>
            <w:pPr>
              <w:tabs>
                <w:tab w:val="left" w:pos="2670"/>
              </w:tabs>
              <w:adjustRightInd w:val="0"/>
              <w:spacing w:line="460" w:lineRule="exact"/>
              <w:jc w:val="center"/>
              <w:rPr>
                <w:rFonts w:ascii="宋体" w:hAnsi="宋体" w:eastAsia="宋体" w:cs="宋体"/>
                <w:b/>
                <w:bCs/>
                <w:color w:val="000000"/>
                <w:szCs w:val="24"/>
              </w:rPr>
            </w:pPr>
            <w:r>
              <w:rPr>
                <w:rFonts w:hint="eastAsia" w:ascii="宋体" w:hAnsi="宋体" w:eastAsia="宋体" w:cs="宋体"/>
                <w:b/>
                <w:bCs/>
                <w:color w:val="000000"/>
                <w:szCs w:val="24"/>
              </w:rPr>
              <w:t>序号</w:t>
            </w:r>
          </w:p>
        </w:tc>
        <w:tc>
          <w:tcPr>
            <w:tcW w:w="2417" w:type="dxa"/>
            <w:noWrap w:val="0"/>
            <w:vAlign w:val="center"/>
          </w:tcPr>
          <w:p>
            <w:pPr>
              <w:tabs>
                <w:tab w:val="left" w:pos="2670"/>
              </w:tabs>
              <w:adjustRightInd w:val="0"/>
              <w:spacing w:line="460" w:lineRule="exact"/>
              <w:jc w:val="center"/>
              <w:rPr>
                <w:rFonts w:hint="eastAsia" w:ascii="宋体" w:hAnsi="宋体" w:eastAsia="宋体" w:cs="宋体"/>
                <w:b/>
                <w:bCs/>
                <w:color w:val="000000"/>
                <w:szCs w:val="24"/>
                <w:lang w:val="zh-CN"/>
              </w:rPr>
            </w:pPr>
            <w:r>
              <w:rPr>
                <w:rFonts w:hint="eastAsia" w:ascii="宋体" w:hAnsi="宋体" w:eastAsia="宋体" w:cs="宋体"/>
                <w:b/>
                <w:bCs/>
                <w:color w:val="000000"/>
                <w:szCs w:val="24"/>
                <w:lang w:val="zh-CN"/>
              </w:rPr>
              <w:t>项目名称</w:t>
            </w:r>
          </w:p>
        </w:tc>
        <w:tc>
          <w:tcPr>
            <w:tcW w:w="4572" w:type="dxa"/>
            <w:noWrap w:val="0"/>
            <w:vAlign w:val="center"/>
          </w:tcPr>
          <w:p>
            <w:pPr>
              <w:tabs>
                <w:tab w:val="left" w:pos="2670"/>
              </w:tabs>
              <w:adjustRightInd w:val="0"/>
              <w:spacing w:line="460" w:lineRule="exact"/>
              <w:jc w:val="center"/>
              <w:rPr>
                <w:rFonts w:hint="eastAsia" w:ascii="宋体" w:hAnsi="宋体" w:eastAsia="宋体" w:cs="宋体"/>
                <w:b/>
                <w:bCs/>
                <w:color w:val="000000"/>
                <w:szCs w:val="24"/>
                <w:lang w:val="zh-CN"/>
              </w:rPr>
            </w:pPr>
            <w:r>
              <w:rPr>
                <w:rFonts w:hint="eastAsia" w:ascii="宋体" w:hAnsi="宋体" w:eastAsia="宋体" w:cs="宋体"/>
                <w:b/>
                <w:bCs/>
                <w:color w:val="000000"/>
                <w:szCs w:val="24"/>
                <w:lang w:val="zh-CN"/>
              </w:rPr>
              <w:t>报价</w:t>
            </w:r>
          </w:p>
        </w:tc>
        <w:tc>
          <w:tcPr>
            <w:tcW w:w="1200" w:type="dxa"/>
            <w:noWrap w:val="0"/>
            <w:vAlign w:val="center"/>
          </w:tcPr>
          <w:p>
            <w:pPr>
              <w:tabs>
                <w:tab w:val="left" w:pos="2670"/>
              </w:tabs>
              <w:adjustRightInd w:val="0"/>
              <w:spacing w:line="460" w:lineRule="exact"/>
              <w:jc w:val="center"/>
              <w:rPr>
                <w:rFonts w:hint="eastAsia" w:ascii="宋体" w:hAnsi="宋体" w:eastAsia="宋体" w:cs="宋体"/>
                <w:b/>
                <w:bCs/>
                <w:color w:val="000000"/>
                <w:szCs w:val="24"/>
                <w:lang w:val="zh-CN"/>
              </w:rPr>
            </w:pPr>
            <w:r>
              <w:rPr>
                <w:rFonts w:hint="eastAsia" w:ascii="宋体" w:hAnsi="宋体" w:eastAsia="宋体" w:cs="宋体"/>
                <w:b/>
                <w:bCs/>
                <w:color w:val="000000"/>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392" w:type="dxa"/>
            <w:noWrap w:val="0"/>
            <w:vAlign w:val="center"/>
          </w:tcPr>
          <w:p>
            <w:pPr>
              <w:tabs>
                <w:tab w:val="left" w:pos="2670"/>
              </w:tabs>
              <w:adjustRightInd w:val="0"/>
              <w:spacing w:line="460" w:lineRule="exact"/>
              <w:jc w:val="center"/>
              <w:rPr>
                <w:rFonts w:ascii="宋体" w:hAnsi="宋体" w:eastAsia="宋体" w:cs="宋体"/>
                <w:color w:val="000000"/>
                <w:szCs w:val="24"/>
              </w:rPr>
            </w:pPr>
            <w:r>
              <w:rPr>
                <w:rFonts w:hint="eastAsia" w:ascii="宋体" w:hAnsi="宋体" w:eastAsia="宋体" w:cs="宋体"/>
                <w:color w:val="000000"/>
                <w:szCs w:val="24"/>
              </w:rPr>
              <w:t>1</w:t>
            </w:r>
          </w:p>
        </w:tc>
        <w:tc>
          <w:tcPr>
            <w:tcW w:w="2417" w:type="dxa"/>
            <w:noWrap w:val="0"/>
            <w:vAlign w:val="center"/>
          </w:tcPr>
          <w:p>
            <w:pPr>
              <w:tabs>
                <w:tab w:val="left" w:pos="2670"/>
              </w:tabs>
              <w:adjustRightInd w:val="0"/>
              <w:spacing w:line="460" w:lineRule="exact"/>
              <w:jc w:val="center"/>
              <w:rPr>
                <w:rFonts w:hint="eastAsia" w:ascii="宋体" w:hAnsi="宋体" w:eastAsia="宋体" w:cs="宋体"/>
                <w:bCs/>
                <w:color w:val="000000"/>
                <w:szCs w:val="24"/>
                <w:lang w:val="zh-CN"/>
              </w:rPr>
            </w:pPr>
            <w:r>
              <w:rPr>
                <w:rFonts w:hint="eastAsia" w:ascii="宋体" w:hAnsi="宋体" w:eastAsia="宋体" w:cs="宋体"/>
                <w:color w:val="000000"/>
                <w:szCs w:val="24"/>
              </w:rPr>
              <w:t>2021年度青山水库运行维护及工程维修项目——运行管理及日常维护项目</w:t>
            </w:r>
          </w:p>
        </w:tc>
        <w:tc>
          <w:tcPr>
            <w:tcW w:w="4572" w:type="dxa"/>
            <w:noWrap w:val="0"/>
            <w:vAlign w:val="center"/>
          </w:tcPr>
          <w:p>
            <w:pPr>
              <w:tabs>
                <w:tab w:val="left" w:pos="2670"/>
              </w:tabs>
              <w:adjustRightInd w:val="0"/>
              <w:spacing w:line="460" w:lineRule="exact"/>
              <w:jc w:val="left"/>
              <w:rPr>
                <w:rFonts w:hint="eastAsia" w:ascii="宋体" w:hAnsi="宋体" w:eastAsia="宋体" w:cs="宋体"/>
                <w:bCs/>
                <w:color w:val="000000"/>
                <w:szCs w:val="24"/>
                <w:u w:val="single"/>
              </w:rPr>
            </w:pPr>
            <w:r>
              <w:rPr>
                <w:rFonts w:hint="eastAsia" w:ascii="宋体" w:hAnsi="宋体" w:eastAsia="宋体" w:cs="宋体"/>
                <w:bCs/>
                <w:color w:val="000000"/>
                <w:szCs w:val="24"/>
                <w:lang w:val="zh-CN"/>
              </w:rPr>
              <w:t>投标报价（大写）</w:t>
            </w:r>
            <w:r>
              <w:rPr>
                <w:rFonts w:hint="eastAsia" w:ascii="宋体" w:hAnsi="宋体" w:eastAsia="宋体" w:cs="宋体"/>
                <w:bCs/>
                <w:color w:val="000000"/>
                <w:szCs w:val="24"/>
                <w:u w:val="single"/>
              </w:rPr>
              <w:t xml:space="preserve">          。</w:t>
            </w:r>
          </w:p>
          <w:p>
            <w:pPr>
              <w:tabs>
                <w:tab w:val="left" w:pos="2670"/>
              </w:tabs>
              <w:adjustRightInd w:val="0"/>
              <w:spacing w:line="460" w:lineRule="exact"/>
              <w:rPr>
                <w:rFonts w:hint="eastAsia" w:ascii="宋体" w:hAnsi="宋体" w:eastAsia="宋体" w:cs="宋体"/>
                <w:bCs/>
                <w:color w:val="000000"/>
                <w:szCs w:val="24"/>
                <w:u w:val="single"/>
              </w:rPr>
            </w:pPr>
            <w:r>
              <w:rPr>
                <w:rFonts w:hint="eastAsia" w:ascii="宋体" w:hAnsi="宋体" w:eastAsia="宋体" w:cs="宋体"/>
                <w:bCs/>
                <w:color w:val="000000"/>
                <w:szCs w:val="24"/>
                <w:lang w:val="zh-CN"/>
              </w:rPr>
              <w:t>投标报价（小写）</w:t>
            </w:r>
            <w:r>
              <w:rPr>
                <w:rFonts w:hint="eastAsia" w:ascii="宋体" w:hAnsi="宋体" w:eastAsia="宋体" w:cs="宋体"/>
                <w:bCs/>
                <w:color w:val="000000"/>
                <w:szCs w:val="24"/>
                <w:u w:val="single"/>
              </w:rPr>
              <w:t xml:space="preserve">          。</w:t>
            </w:r>
          </w:p>
        </w:tc>
        <w:tc>
          <w:tcPr>
            <w:tcW w:w="1200" w:type="dxa"/>
            <w:noWrap w:val="0"/>
            <w:vAlign w:val="center"/>
          </w:tcPr>
          <w:p>
            <w:pPr>
              <w:tabs>
                <w:tab w:val="left" w:pos="2670"/>
              </w:tabs>
              <w:adjustRightInd w:val="0"/>
              <w:spacing w:line="460" w:lineRule="exact"/>
              <w:ind w:firstLine="470" w:firstLineChars="196"/>
              <w:jc w:val="center"/>
              <w:rPr>
                <w:rFonts w:hint="eastAsia" w:ascii="宋体" w:hAnsi="宋体" w:eastAsia="宋体" w:cs="宋体"/>
                <w:bCs/>
                <w:color w:val="000000"/>
                <w:szCs w:val="24"/>
                <w:lang w:val="zh-CN"/>
              </w:rPr>
            </w:pPr>
          </w:p>
        </w:tc>
      </w:tr>
    </w:tbl>
    <w:p>
      <w:pPr>
        <w:snapToGrid w:val="0"/>
        <w:spacing w:line="360" w:lineRule="auto"/>
        <w:ind w:left="480"/>
        <w:rPr>
          <w:rFonts w:hint="eastAsia" w:ascii="宋体" w:hAnsi="宋体" w:eastAsia="宋体" w:cs="宋体"/>
          <w:color w:val="000000"/>
          <w:kern w:val="0"/>
          <w:lang w:val="zh-CN"/>
        </w:rPr>
      </w:pPr>
      <w:r>
        <w:rPr>
          <w:rFonts w:hint="eastAsia" w:ascii="宋体" w:hAnsi="宋体" w:eastAsia="宋体" w:cs="宋体"/>
          <w:color w:val="000000"/>
          <w:kern w:val="0"/>
          <w:lang w:val="zh-CN"/>
        </w:rPr>
        <w:t>有关本项目实施所涉及的一切费用均</w:t>
      </w:r>
      <w:r>
        <w:rPr>
          <w:rFonts w:hint="eastAsia" w:ascii="宋体" w:hAnsi="宋体" w:eastAsia="宋体" w:cs="宋体"/>
          <w:color w:val="000000"/>
          <w:kern w:val="0"/>
        </w:rPr>
        <w:t>已</w:t>
      </w:r>
      <w:r>
        <w:rPr>
          <w:rFonts w:hint="eastAsia" w:ascii="宋体" w:hAnsi="宋体" w:eastAsia="宋体" w:cs="宋体"/>
          <w:color w:val="000000"/>
          <w:kern w:val="0"/>
          <w:lang w:val="zh-CN"/>
        </w:rPr>
        <w:t>计入报价。</w:t>
      </w:r>
    </w:p>
    <w:p>
      <w:pPr>
        <w:autoSpaceDE w:val="0"/>
        <w:autoSpaceDN w:val="0"/>
        <w:adjustRightInd w:val="0"/>
        <w:spacing w:line="360" w:lineRule="auto"/>
        <w:rPr>
          <w:rFonts w:hint="eastAsia" w:ascii="宋体" w:hAnsi="宋体" w:eastAsia="宋体" w:cs="宋体"/>
          <w:color w:val="000000"/>
          <w:kern w:val="0"/>
          <w:lang w:val="zh-CN"/>
        </w:rPr>
      </w:pPr>
    </w:p>
    <w:p>
      <w:pPr>
        <w:autoSpaceDE w:val="0"/>
        <w:autoSpaceDN w:val="0"/>
        <w:adjustRightInd w:val="0"/>
        <w:spacing w:line="360" w:lineRule="auto"/>
        <w:rPr>
          <w:rFonts w:hint="eastAsia" w:ascii="宋体" w:hAnsi="宋体" w:eastAsia="宋体" w:cs="宋体"/>
          <w:color w:val="000000"/>
          <w:kern w:val="0"/>
          <w:lang w:val="zh-CN"/>
        </w:rPr>
      </w:pPr>
    </w:p>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投标人名称（</w:t>
      </w:r>
      <w:r>
        <w:rPr>
          <w:rFonts w:hint="eastAsia" w:ascii="宋体" w:hAnsi="宋体" w:eastAsia="宋体" w:cs="宋体"/>
          <w:color w:val="000000"/>
          <w:kern w:val="0"/>
        </w:rPr>
        <w:t>盖章</w:t>
      </w:r>
      <w:r>
        <w:rPr>
          <w:rFonts w:hint="eastAsia" w:ascii="宋体" w:hAnsi="宋体" w:eastAsia="宋体" w:cs="宋体"/>
          <w:color w:val="000000"/>
          <w:kern w:val="0"/>
          <w:lang w:val="zh-CN"/>
        </w:rPr>
        <w:t xml:space="preserve">）：                       </w:t>
      </w:r>
    </w:p>
    <w:p>
      <w:pPr>
        <w:adjustRightInd w:val="0"/>
        <w:spacing w:line="360" w:lineRule="auto"/>
        <w:rPr>
          <w:rFonts w:hint="eastAsia" w:ascii="宋体" w:hAnsi="宋体" w:eastAsia="宋体" w:cs="宋体"/>
          <w:color w:val="000000"/>
          <w:kern w:val="0"/>
          <w:lang w:val="zh-CN"/>
        </w:rPr>
      </w:pPr>
    </w:p>
    <w:p>
      <w:pPr>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日</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期</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年</w:t>
      </w:r>
      <w:r>
        <w:rPr>
          <w:rFonts w:hint="eastAsia" w:ascii="宋体" w:hAnsi="宋体" w:eastAsia="宋体" w:cs="宋体"/>
          <w:color w:val="000000"/>
          <w:kern w:val="0"/>
        </w:rPr>
        <w:t xml:space="preserve">    </w:t>
      </w:r>
      <w:r>
        <w:rPr>
          <w:rFonts w:hint="eastAsia" w:ascii="宋体" w:hAnsi="宋体" w:eastAsia="宋体" w:cs="宋体"/>
          <w:color w:val="000000"/>
          <w:kern w:val="0"/>
        </w:rPr>
        <w:tab/>
      </w:r>
      <w:r>
        <w:rPr>
          <w:rFonts w:hint="eastAsia" w:ascii="宋体" w:hAnsi="宋体" w:eastAsia="宋体" w:cs="宋体"/>
          <w:color w:val="000000"/>
          <w:kern w:val="0"/>
          <w:lang w:val="zh-CN"/>
        </w:rPr>
        <w:t>月</w:t>
      </w:r>
      <w:r>
        <w:rPr>
          <w:rFonts w:hint="eastAsia" w:ascii="宋体" w:hAnsi="宋体" w:eastAsia="宋体" w:cs="宋体"/>
          <w:color w:val="000000"/>
          <w:kern w:val="0"/>
        </w:rPr>
        <w:t xml:space="preserve">   </w:t>
      </w:r>
      <w:r>
        <w:rPr>
          <w:rFonts w:hint="eastAsia" w:ascii="宋体" w:hAnsi="宋体" w:eastAsia="宋体" w:cs="宋体"/>
          <w:color w:val="000000"/>
          <w:kern w:val="0"/>
        </w:rPr>
        <w:tab/>
      </w:r>
      <w:r>
        <w:rPr>
          <w:rFonts w:hint="eastAsia" w:ascii="宋体" w:hAnsi="宋体" w:eastAsia="宋体" w:cs="宋体"/>
          <w:color w:val="000000"/>
          <w:kern w:val="0"/>
        </w:rPr>
        <w:tab/>
      </w:r>
      <w:r>
        <w:rPr>
          <w:rFonts w:hint="eastAsia" w:ascii="宋体" w:hAnsi="宋体" w:eastAsia="宋体" w:cs="宋体"/>
          <w:color w:val="000000"/>
          <w:kern w:val="0"/>
          <w:lang w:val="zh-CN"/>
        </w:rPr>
        <w:t>日</w:t>
      </w:r>
    </w:p>
    <w:p>
      <w:pPr>
        <w:adjustRightInd w:val="0"/>
        <w:spacing w:line="360" w:lineRule="auto"/>
        <w:jc w:val="center"/>
        <w:outlineLvl w:val="2"/>
        <w:rPr>
          <w:rFonts w:ascii="宋体" w:hAnsi="宋体" w:eastAsia="宋体" w:cs="宋体"/>
          <w:b/>
          <w:color w:val="000000"/>
          <w:sz w:val="32"/>
          <w:szCs w:val="32"/>
        </w:rPr>
      </w:pPr>
      <w:r>
        <w:rPr>
          <w:rFonts w:hint="eastAsia" w:ascii="宋体" w:hAnsi="宋体" w:eastAsia="宋体" w:cs="宋体"/>
          <w:color w:val="000000"/>
          <w:kern w:val="0"/>
          <w:lang w:val="zh-CN"/>
        </w:rPr>
        <w:br w:type="page"/>
      </w:r>
      <w:r>
        <w:rPr>
          <w:rFonts w:hint="eastAsia" w:ascii="宋体" w:hAnsi="宋体" w:eastAsia="宋体" w:cs="宋体"/>
          <w:b/>
          <w:color w:val="000000"/>
          <w:sz w:val="32"/>
          <w:szCs w:val="32"/>
        </w:rPr>
        <w:t>三、分项报价表或报价明细表</w:t>
      </w:r>
    </w:p>
    <w:tbl>
      <w:tblPr>
        <w:tblStyle w:val="45"/>
        <w:tblW w:w="0" w:type="auto"/>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3"/>
        <w:gridCol w:w="1265"/>
        <w:gridCol w:w="211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序号</w:t>
            </w:r>
          </w:p>
        </w:tc>
        <w:tc>
          <w:tcPr>
            <w:tcW w:w="2551"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名称</w:t>
            </w:r>
          </w:p>
        </w:tc>
        <w:tc>
          <w:tcPr>
            <w:tcW w:w="1659"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数量</w:t>
            </w:r>
          </w:p>
        </w:tc>
        <w:tc>
          <w:tcPr>
            <w:tcW w:w="1133"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单价</w:t>
            </w:r>
          </w:p>
        </w:tc>
        <w:tc>
          <w:tcPr>
            <w:tcW w:w="1265"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总价</w:t>
            </w:r>
          </w:p>
        </w:tc>
        <w:tc>
          <w:tcPr>
            <w:tcW w:w="2119"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ascii="宋体" w:hAnsi="宋体" w:eastAsia="宋体" w:cs="宋体"/>
                <w:color w:val="000000"/>
              </w:rPr>
            </w:pPr>
            <w:r>
              <w:rPr>
                <w:rFonts w:hint="eastAsia" w:ascii="宋体" w:hAnsi="宋体" w:eastAsia="宋体" w:cs="宋体"/>
                <w:color w:val="000000"/>
              </w:rPr>
              <w:t>一</w:t>
            </w:r>
          </w:p>
        </w:tc>
        <w:tc>
          <w:tcPr>
            <w:tcW w:w="2551" w:type="dxa"/>
            <w:noWrap w:val="0"/>
            <w:vAlign w:val="center"/>
          </w:tcPr>
          <w:p>
            <w:pPr>
              <w:spacing w:line="460" w:lineRule="exact"/>
              <w:rPr>
                <w:rFonts w:ascii="宋体" w:hAnsi="宋体" w:eastAsia="宋体" w:cs="宋体"/>
                <w:color w:val="000000"/>
              </w:rPr>
            </w:pPr>
            <w:r>
              <w:rPr>
                <w:rFonts w:hint="eastAsia" w:ascii="宋体" w:hAnsi="宋体" w:eastAsia="宋体" w:cs="宋体"/>
                <w:color w:val="000000"/>
              </w:rPr>
              <w:t>运行维护部分</w:t>
            </w: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ascii="宋体" w:hAnsi="宋体" w:eastAsia="宋体" w:cs="宋体"/>
                <w:color w:val="000000"/>
              </w:rPr>
            </w:pPr>
            <w:r>
              <w:rPr>
                <w:rFonts w:hint="eastAsia" w:ascii="宋体" w:hAnsi="宋体" w:eastAsia="宋体" w:cs="宋体"/>
                <w:color w:val="000000"/>
              </w:rPr>
              <w:t>1</w:t>
            </w:r>
          </w:p>
        </w:tc>
        <w:tc>
          <w:tcPr>
            <w:tcW w:w="2551" w:type="dxa"/>
            <w:noWrap w:val="0"/>
            <w:vAlign w:val="center"/>
          </w:tcPr>
          <w:p>
            <w:pPr>
              <w:adjustRightInd w:val="0"/>
              <w:snapToGrid w:val="0"/>
              <w:spacing w:line="460" w:lineRule="exact"/>
              <w:rPr>
                <w:rFonts w:ascii="宋体" w:hAnsi="宋体" w:eastAsia="宋体" w:cs="宋体"/>
                <w:color w:val="000000"/>
              </w:rPr>
            </w:pPr>
            <w:r>
              <w:rPr>
                <w:rFonts w:hint="eastAsia" w:ascii="宋体" w:hAnsi="宋体" w:eastAsia="宋体" w:cs="宋体"/>
                <w:color w:val="000000"/>
              </w:rPr>
              <w:t>电站运行维护</w:t>
            </w:r>
          </w:p>
        </w:tc>
        <w:tc>
          <w:tcPr>
            <w:tcW w:w="1659"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1</w:t>
            </w: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2</w:t>
            </w:r>
          </w:p>
        </w:tc>
        <w:tc>
          <w:tcPr>
            <w:tcW w:w="2551" w:type="dxa"/>
            <w:noWrap w:val="0"/>
            <w:vAlign w:val="center"/>
          </w:tcPr>
          <w:p>
            <w:pPr>
              <w:adjustRightInd w:val="0"/>
              <w:snapToGrid w:val="0"/>
              <w:spacing w:line="460" w:lineRule="exact"/>
              <w:rPr>
                <w:rFonts w:ascii="宋体" w:hAnsi="宋体" w:eastAsia="宋体" w:cs="宋体"/>
                <w:color w:val="000000"/>
              </w:rPr>
            </w:pPr>
            <w:r>
              <w:rPr>
                <w:rFonts w:hint="eastAsia" w:ascii="宋体" w:hAnsi="宋体" w:eastAsia="宋体" w:cs="宋体"/>
                <w:color w:val="000000"/>
              </w:rPr>
              <w:t>工程设施设备运行维护</w:t>
            </w:r>
          </w:p>
        </w:tc>
        <w:tc>
          <w:tcPr>
            <w:tcW w:w="1659"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1</w:t>
            </w: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3</w:t>
            </w:r>
          </w:p>
        </w:tc>
        <w:tc>
          <w:tcPr>
            <w:tcW w:w="2551" w:type="dxa"/>
            <w:noWrap w:val="0"/>
            <w:vAlign w:val="center"/>
          </w:tcPr>
          <w:p>
            <w:pPr>
              <w:spacing w:line="460" w:lineRule="exact"/>
              <w:rPr>
                <w:rFonts w:ascii="宋体" w:hAnsi="宋体" w:eastAsia="宋体" w:cs="宋体"/>
                <w:color w:val="000000"/>
              </w:rPr>
            </w:pPr>
            <w:r>
              <w:rPr>
                <w:rFonts w:hint="eastAsia" w:ascii="宋体" w:hAnsi="宋体" w:eastAsia="宋体" w:cs="宋体"/>
                <w:color w:val="000000"/>
              </w:rPr>
              <w:t>水文设施运行维护</w:t>
            </w:r>
          </w:p>
        </w:tc>
        <w:tc>
          <w:tcPr>
            <w:tcW w:w="1659"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1</w:t>
            </w: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eastAsia="宋体" w:cs="宋体"/>
                <w:color w:val="000000"/>
              </w:rPr>
            </w:pPr>
            <w:r>
              <w:rPr>
                <w:rFonts w:hint="eastAsia" w:ascii="宋体" w:hAnsi="宋体" w:eastAsia="宋体" w:cs="宋体"/>
                <w:color w:val="000000"/>
              </w:rPr>
              <w:t>4</w:t>
            </w:r>
          </w:p>
        </w:tc>
        <w:tc>
          <w:tcPr>
            <w:tcW w:w="2551" w:type="dxa"/>
            <w:noWrap w:val="0"/>
            <w:vAlign w:val="top"/>
          </w:tcPr>
          <w:p>
            <w:pPr>
              <w:spacing w:line="460" w:lineRule="exact"/>
              <w:rPr>
                <w:rFonts w:hint="eastAsia" w:ascii="宋体" w:hAnsi="宋体" w:eastAsia="宋体" w:cs="宋体"/>
                <w:color w:val="000000"/>
              </w:rPr>
            </w:pPr>
            <w:r>
              <w:rPr>
                <w:rFonts w:hint="eastAsia" w:ascii="宋体" w:hAnsi="宋体" w:eastAsia="宋体" w:cs="宋体"/>
                <w:color w:val="000000"/>
              </w:rPr>
              <w:t>环境保洁</w:t>
            </w:r>
          </w:p>
        </w:tc>
        <w:tc>
          <w:tcPr>
            <w:tcW w:w="1659"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1</w:t>
            </w: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eastAsia="宋体" w:cs="宋体"/>
                <w:color w:val="000000"/>
              </w:rPr>
            </w:pPr>
            <w:r>
              <w:rPr>
                <w:rFonts w:hint="eastAsia" w:ascii="宋体" w:hAnsi="宋体" w:eastAsia="宋体" w:cs="宋体"/>
                <w:color w:val="000000"/>
              </w:rPr>
              <w:t>二</w:t>
            </w:r>
          </w:p>
        </w:tc>
        <w:tc>
          <w:tcPr>
            <w:tcW w:w="2551" w:type="dxa"/>
            <w:noWrap w:val="0"/>
            <w:vAlign w:val="top"/>
          </w:tcPr>
          <w:p>
            <w:pPr>
              <w:spacing w:line="460" w:lineRule="exact"/>
              <w:rPr>
                <w:rFonts w:ascii="宋体" w:hAnsi="宋体" w:eastAsia="宋体" w:cs="宋体"/>
                <w:color w:val="000000"/>
              </w:rPr>
            </w:pPr>
            <w:r>
              <w:rPr>
                <w:rFonts w:hint="eastAsia" w:ascii="宋体" w:hAnsi="宋体" w:eastAsia="宋体" w:cs="宋体"/>
                <w:color w:val="000000"/>
              </w:rPr>
              <w:t>**安全保卫部分</w:t>
            </w:r>
          </w:p>
        </w:tc>
        <w:tc>
          <w:tcPr>
            <w:tcW w:w="1659" w:type="dxa"/>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1</w:t>
            </w: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eastAsia="宋体" w:cs="宋体"/>
                <w:color w:val="000000"/>
              </w:rPr>
            </w:pPr>
          </w:p>
        </w:tc>
        <w:tc>
          <w:tcPr>
            <w:tcW w:w="2551" w:type="dxa"/>
            <w:noWrap w:val="0"/>
            <w:vAlign w:val="top"/>
          </w:tcPr>
          <w:p>
            <w:pPr>
              <w:adjustRightInd w:val="0"/>
              <w:snapToGrid w:val="0"/>
              <w:spacing w:line="460" w:lineRule="exact"/>
              <w:rPr>
                <w:rFonts w:hint="eastAsia" w:ascii="宋体" w:hAnsi="宋体" w:eastAsia="宋体" w:cs="宋体"/>
                <w:color w:val="000000"/>
              </w:rPr>
            </w:pP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eastAsia="宋体" w:cs="宋体"/>
                <w:color w:val="000000"/>
              </w:rPr>
            </w:pPr>
          </w:p>
        </w:tc>
        <w:tc>
          <w:tcPr>
            <w:tcW w:w="2551" w:type="dxa"/>
            <w:noWrap w:val="0"/>
            <w:vAlign w:val="top"/>
          </w:tcPr>
          <w:p>
            <w:pPr>
              <w:adjustRightInd w:val="0"/>
              <w:snapToGrid w:val="0"/>
              <w:spacing w:line="460" w:lineRule="exact"/>
              <w:rPr>
                <w:rFonts w:hint="eastAsia" w:ascii="宋体" w:hAnsi="宋体" w:eastAsia="宋体" w:cs="宋体"/>
                <w:color w:val="000000"/>
              </w:rPr>
            </w:pP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eastAsia="宋体" w:cs="宋体"/>
                <w:color w:val="000000"/>
              </w:rPr>
            </w:pPr>
          </w:p>
        </w:tc>
        <w:tc>
          <w:tcPr>
            <w:tcW w:w="2551" w:type="dxa"/>
            <w:noWrap w:val="0"/>
            <w:vAlign w:val="top"/>
          </w:tcPr>
          <w:p>
            <w:pPr>
              <w:adjustRightInd w:val="0"/>
              <w:snapToGrid w:val="0"/>
              <w:spacing w:line="460" w:lineRule="exact"/>
              <w:rPr>
                <w:rFonts w:hint="eastAsia" w:ascii="宋体" w:hAnsi="宋体" w:eastAsia="宋体" w:cs="宋体"/>
                <w:color w:val="000000"/>
              </w:rPr>
            </w:pP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eastAsia="宋体" w:cs="宋体"/>
                <w:color w:val="000000"/>
              </w:rPr>
            </w:pPr>
          </w:p>
        </w:tc>
        <w:tc>
          <w:tcPr>
            <w:tcW w:w="2551" w:type="dxa"/>
            <w:noWrap w:val="0"/>
            <w:vAlign w:val="top"/>
          </w:tcPr>
          <w:p>
            <w:pPr>
              <w:adjustRightInd w:val="0"/>
              <w:snapToGrid w:val="0"/>
              <w:spacing w:line="460" w:lineRule="exact"/>
              <w:rPr>
                <w:rFonts w:hint="eastAsia" w:ascii="宋体" w:hAnsi="宋体" w:eastAsia="宋体" w:cs="宋体"/>
                <w:color w:val="000000"/>
              </w:rPr>
            </w:pP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eastAsia="宋体" w:cs="宋体"/>
                <w:color w:val="000000"/>
              </w:rPr>
            </w:pPr>
          </w:p>
        </w:tc>
        <w:tc>
          <w:tcPr>
            <w:tcW w:w="2551" w:type="dxa"/>
            <w:noWrap w:val="0"/>
            <w:vAlign w:val="top"/>
          </w:tcPr>
          <w:p>
            <w:pPr>
              <w:adjustRightInd w:val="0"/>
              <w:snapToGrid w:val="0"/>
              <w:spacing w:line="460" w:lineRule="exact"/>
              <w:rPr>
                <w:rFonts w:hint="eastAsia" w:ascii="宋体" w:hAnsi="宋体" w:eastAsia="宋体" w:cs="宋体"/>
                <w:color w:val="000000"/>
              </w:rPr>
            </w:pP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eastAsia="宋体" w:cs="宋体"/>
                <w:color w:val="000000"/>
              </w:rPr>
            </w:pPr>
          </w:p>
        </w:tc>
        <w:tc>
          <w:tcPr>
            <w:tcW w:w="2551" w:type="dxa"/>
            <w:noWrap w:val="0"/>
            <w:vAlign w:val="top"/>
          </w:tcPr>
          <w:p>
            <w:pPr>
              <w:spacing w:line="460" w:lineRule="exact"/>
              <w:rPr>
                <w:rFonts w:hint="eastAsia" w:ascii="宋体" w:hAnsi="宋体" w:eastAsia="宋体" w:cs="宋体"/>
                <w:color w:val="000000"/>
              </w:rPr>
            </w:pP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pPr>
              <w:spacing w:line="460" w:lineRule="exact"/>
              <w:jc w:val="center"/>
              <w:rPr>
                <w:rFonts w:hint="eastAsia" w:ascii="宋体" w:hAnsi="宋体" w:eastAsia="宋体" w:cs="宋体"/>
                <w:color w:val="000000"/>
              </w:rPr>
            </w:pPr>
          </w:p>
        </w:tc>
        <w:tc>
          <w:tcPr>
            <w:tcW w:w="2551" w:type="dxa"/>
            <w:noWrap w:val="0"/>
            <w:vAlign w:val="top"/>
          </w:tcPr>
          <w:p>
            <w:pPr>
              <w:spacing w:line="460" w:lineRule="exact"/>
              <w:jc w:val="center"/>
              <w:rPr>
                <w:rFonts w:ascii="宋体" w:hAnsi="宋体" w:eastAsia="宋体" w:cs="宋体"/>
                <w:b/>
                <w:bCs/>
                <w:color w:val="000000"/>
              </w:rPr>
            </w:pP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eastAsia="宋体" w:cs="宋体"/>
                <w:color w:val="000000"/>
              </w:rPr>
            </w:pPr>
          </w:p>
        </w:tc>
        <w:tc>
          <w:tcPr>
            <w:tcW w:w="2551" w:type="dxa"/>
            <w:noWrap w:val="0"/>
            <w:vAlign w:val="center"/>
          </w:tcPr>
          <w:p>
            <w:pPr>
              <w:spacing w:line="460" w:lineRule="exact"/>
              <w:rPr>
                <w:rFonts w:hint="eastAsia" w:ascii="宋体" w:hAnsi="宋体" w:eastAsia="宋体" w:cs="宋体"/>
                <w:b/>
                <w:bCs/>
                <w:color w:val="000000"/>
              </w:rPr>
            </w:pP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pPr>
              <w:spacing w:line="460" w:lineRule="exact"/>
              <w:jc w:val="center"/>
              <w:rPr>
                <w:rFonts w:hint="eastAsia" w:ascii="宋体" w:hAnsi="宋体" w:eastAsia="宋体" w:cs="宋体"/>
                <w:color w:val="000000"/>
              </w:rPr>
            </w:pPr>
          </w:p>
        </w:tc>
        <w:tc>
          <w:tcPr>
            <w:tcW w:w="2551" w:type="dxa"/>
            <w:noWrap w:val="0"/>
            <w:vAlign w:val="center"/>
          </w:tcPr>
          <w:p>
            <w:pPr>
              <w:spacing w:line="460" w:lineRule="exact"/>
              <w:jc w:val="center"/>
              <w:rPr>
                <w:rFonts w:hint="eastAsia" w:ascii="宋体" w:hAnsi="宋体" w:eastAsia="宋体" w:cs="宋体"/>
                <w:color w:val="000000"/>
              </w:rPr>
            </w:pPr>
          </w:p>
        </w:tc>
        <w:tc>
          <w:tcPr>
            <w:tcW w:w="1659" w:type="dxa"/>
            <w:noWrap w:val="0"/>
            <w:vAlign w:val="center"/>
          </w:tcPr>
          <w:p>
            <w:pPr>
              <w:spacing w:line="460" w:lineRule="exact"/>
              <w:jc w:val="center"/>
              <w:rPr>
                <w:rFonts w:hint="eastAsia" w:ascii="宋体" w:hAnsi="宋体" w:eastAsia="宋体" w:cs="宋体"/>
                <w:color w:val="000000"/>
              </w:rPr>
            </w:pPr>
          </w:p>
        </w:tc>
        <w:tc>
          <w:tcPr>
            <w:tcW w:w="1133" w:type="dxa"/>
            <w:noWrap w:val="0"/>
            <w:vAlign w:val="center"/>
          </w:tcPr>
          <w:p>
            <w:pPr>
              <w:spacing w:line="460" w:lineRule="exact"/>
              <w:jc w:val="center"/>
              <w:rPr>
                <w:rFonts w:hint="eastAsia" w:ascii="宋体" w:hAnsi="宋体" w:eastAsia="宋体" w:cs="宋体"/>
                <w:color w:val="000000"/>
              </w:rPr>
            </w:pPr>
          </w:p>
        </w:tc>
        <w:tc>
          <w:tcPr>
            <w:tcW w:w="1265" w:type="dxa"/>
            <w:noWrap w:val="0"/>
            <w:vAlign w:val="center"/>
          </w:tcPr>
          <w:p>
            <w:pPr>
              <w:spacing w:line="460" w:lineRule="exact"/>
              <w:jc w:val="center"/>
              <w:rPr>
                <w:rFonts w:hint="eastAsia" w:ascii="宋体" w:hAnsi="宋体" w:eastAsia="宋体" w:cs="宋体"/>
                <w:color w:val="000000"/>
              </w:rPr>
            </w:pPr>
          </w:p>
        </w:tc>
        <w:tc>
          <w:tcPr>
            <w:tcW w:w="2119" w:type="dxa"/>
            <w:noWrap w:val="0"/>
            <w:vAlign w:val="center"/>
          </w:tcPr>
          <w:p>
            <w:pPr>
              <w:spacing w:line="460" w:lineRule="exact"/>
              <w:jc w:val="center"/>
              <w:rPr>
                <w:rFonts w:hint="eastAsia" w:ascii="宋体" w:hAnsi="宋体" w:eastAsia="宋体" w:cs="宋体"/>
                <w:color w:val="00000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noWrap w:val="0"/>
            <w:vAlign w:val="center"/>
          </w:tcPr>
          <w:p>
            <w:pPr>
              <w:spacing w:line="460" w:lineRule="exact"/>
              <w:jc w:val="center"/>
              <w:rPr>
                <w:rFonts w:hint="eastAsia" w:ascii="宋体" w:hAnsi="宋体" w:eastAsia="宋体" w:cs="宋体"/>
                <w:color w:val="000000"/>
              </w:rPr>
            </w:pPr>
            <w:r>
              <w:rPr>
                <w:rFonts w:hint="eastAsia" w:ascii="宋体" w:hAnsi="宋体" w:eastAsia="宋体" w:cs="宋体"/>
                <w:color w:val="000000"/>
              </w:rPr>
              <w:t>投标总价（小写）</w:t>
            </w:r>
          </w:p>
        </w:tc>
        <w:tc>
          <w:tcPr>
            <w:tcW w:w="6176" w:type="dxa"/>
            <w:gridSpan w:val="4"/>
            <w:noWrap w:val="0"/>
            <w:vAlign w:val="center"/>
          </w:tcPr>
          <w:p>
            <w:pPr>
              <w:spacing w:line="460" w:lineRule="exact"/>
              <w:jc w:val="center"/>
              <w:rPr>
                <w:rFonts w:hint="eastAsia" w:ascii="宋体" w:hAnsi="宋体" w:eastAsia="宋体" w:cs="宋体"/>
                <w:color w:val="000000"/>
              </w:rPr>
            </w:pPr>
          </w:p>
        </w:tc>
      </w:tr>
    </w:tbl>
    <w:p>
      <w:pPr>
        <w:pStyle w:val="18"/>
        <w:rPr>
          <w:rFonts w:hint="eastAsia" w:hAnsi="宋体" w:eastAsia="宋体" w:cs="宋体"/>
          <w:color w:val="000000"/>
          <w:kern w:val="0"/>
        </w:rPr>
      </w:pPr>
      <w:r>
        <w:rPr>
          <w:rFonts w:hint="eastAsia" w:hAnsi="宋体" w:eastAsia="宋体" w:cs="宋体"/>
          <w:color w:val="000000"/>
          <w:kern w:val="0"/>
        </w:rPr>
        <w:t>注：以上表格中各项可进一步细分，栏数不够可自加，投标人的报价应包括但不限于投标人的各项成本支出、合理的利润、应交纳的税金等，以及为完成本项目所可能发生的全部费用。投标人对合同内容的费用、质量、安全、文明服务等实行全面承包。</w:t>
      </w:r>
    </w:p>
    <w:p>
      <w:pPr>
        <w:pStyle w:val="18"/>
        <w:rPr>
          <w:rFonts w:hint="eastAsia" w:hAnsi="宋体" w:eastAsia="宋体" w:cs="宋体"/>
          <w:color w:val="000000"/>
          <w:kern w:val="0"/>
        </w:rPr>
      </w:pPr>
    </w:p>
    <w:p>
      <w:pPr>
        <w:pStyle w:val="18"/>
        <w:rPr>
          <w:rFonts w:hint="eastAsia" w:hAnsi="宋体" w:eastAsia="宋体" w:cs="宋体"/>
          <w:color w:val="000000"/>
          <w:kern w:val="0"/>
        </w:rPr>
      </w:pPr>
      <w:r>
        <w:rPr>
          <w:rFonts w:hint="eastAsia" w:hAnsi="宋体" w:eastAsia="宋体" w:cs="宋体"/>
          <w:color w:val="000000"/>
          <w:kern w:val="0"/>
        </w:rPr>
        <w:t>投标人名称（盖章）：</w:t>
      </w:r>
    </w:p>
    <w:p>
      <w:pPr>
        <w:pStyle w:val="18"/>
        <w:rPr>
          <w:rFonts w:hint="eastAsia" w:hAnsi="宋体" w:eastAsia="宋体" w:cs="宋体"/>
          <w:color w:val="000000"/>
          <w:kern w:val="0"/>
        </w:rPr>
      </w:pPr>
    </w:p>
    <w:p>
      <w:pPr>
        <w:pStyle w:val="18"/>
        <w:rPr>
          <w:rFonts w:hint="eastAsia" w:hAnsi="宋体" w:eastAsia="宋体" w:cs="宋体"/>
          <w:color w:val="000000"/>
          <w:kern w:val="0"/>
        </w:rPr>
      </w:pPr>
      <w:r>
        <w:rPr>
          <w:rFonts w:hint="eastAsia" w:hAnsi="宋体" w:eastAsia="宋体" w:cs="宋体"/>
          <w:color w:val="000000"/>
          <w:kern w:val="0"/>
        </w:rPr>
        <w:t>日期：    年  月   日</w:t>
      </w:r>
    </w:p>
    <w:p>
      <w:pPr>
        <w:pStyle w:val="18"/>
        <w:rPr>
          <w:rFonts w:hint="eastAsia" w:hAnsi="宋体" w:eastAsia="宋体" w:cs="宋体"/>
          <w:color w:val="000000"/>
          <w:kern w:val="0"/>
        </w:rPr>
      </w:pPr>
    </w:p>
    <w:p>
      <w:pPr>
        <w:adjustRightInd w:val="0"/>
        <w:spacing w:line="360" w:lineRule="auto"/>
        <w:rPr>
          <w:rFonts w:hint="eastAsia" w:ascii="宋体" w:hAnsi="宋体" w:eastAsia="宋体" w:cs="宋体"/>
          <w:b/>
          <w:color w:val="000000"/>
        </w:rPr>
      </w:pPr>
      <w:r>
        <w:rPr>
          <w:rFonts w:hint="eastAsia" w:ascii="宋体" w:hAnsi="宋体" w:eastAsia="宋体" w:cs="宋体"/>
          <w:b/>
          <w:color w:val="000000"/>
          <w:sz w:val="32"/>
          <w:szCs w:val="32"/>
        </w:rPr>
        <w:br w:type="page"/>
      </w:r>
      <w:bookmarkEnd w:id="93"/>
    </w:p>
    <w:p>
      <w:pPr>
        <w:adjustRightInd w:val="0"/>
        <w:spacing w:line="360" w:lineRule="auto"/>
        <w:jc w:val="center"/>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四、享受政府采购政策优惠的证明资料</w:t>
      </w:r>
    </w:p>
    <w:p>
      <w:pPr>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（如有,以下文件均需加盖公章）</w:t>
      </w:r>
    </w:p>
    <w:p>
      <w:pPr>
        <w:adjustRightInd w:val="0"/>
        <w:spacing w:line="360" w:lineRule="auto"/>
        <w:rPr>
          <w:rFonts w:hint="eastAsia" w:ascii="宋体" w:hAnsi="宋体" w:eastAsia="宋体" w:cs="宋体"/>
          <w:b/>
          <w:color w:val="000000"/>
        </w:rPr>
      </w:pPr>
    </w:p>
    <w:p>
      <w:pPr>
        <w:adjustRightInd w:val="0"/>
        <w:spacing w:line="360" w:lineRule="auto"/>
        <w:rPr>
          <w:rFonts w:hint="eastAsia" w:ascii="宋体" w:hAnsi="宋体" w:eastAsia="宋体" w:cs="宋体"/>
          <w:bCs/>
          <w:color w:val="000000"/>
        </w:rPr>
      </w:pPr>
      <w:r>
        <w:rPr>
          <w:rFonts w:hint="eastAsia" w:ascii="宋体" w:hAnsi="宋体" w:eastAsia="宋体" w:cs="宋体"/>
          <w:bCs/>
          <w:color w:val="000000"/>
        </w:rPr>
        <w:t>附件1：《中小企业声明函》；</w:t>
      </w:r>
    </w:p>
    <w:p>
      <w:pPr>
        <w:adjustRightInd w:val="0"/>
        <w:spacing w:line="360" w:lineRule="auto"/>
        <w:ind w:firstLine="960" w:firstLineChars="400"/>
        <w:rPr>
          <w:rFonts w:hint="eastAsia" w:ascii="宋体" w:hAnsi="宋体" w:eastAsia="宋体" w:cs="宋体"/>
          <w:bCs/>
          <w:color w:val="000000"/>
        </w:rPr>
      </w:pPr>
      <w:r>
        <w:rPr>
          <w:rFonts w:hint="eastAsia" w:ascii="宋体" w:hAnsi="宋体" w:eastAsia="宋体" w:cs="宋体"/>
          <w:bCs/>
          <w:color w:val="000000"/>
        </w:rPr>
        <w:t>或监狱企业相关证明材料；</w:t>
      </w:r>
    </w:p>
    <w:p>
      <w:pPr>
        <w:adjustRightInd w:val="0"/>
        <w:spacing w:line="360" w:lineRule="auto"/>
        <w:ind w:firstLine="960" w:firstLineChars="400"/>
        <w:rPr>
          <w:rFonts w:hint="eastAsia" w:ascii="宋体" w:hAnsi="宋体" w:eastAsia="宋体" w:cs="宋体"/>
          <w:bCs/>
          <w:color w:val="000000"/>
        </w:rPr>
      </w:pPr>
      <w:r>
        <w:rPr>
          <w:rFonts w:hint="eastAsia" w:ascii="宋体" w:hAnsi="宋体" w:eastAsia="宋体" w:cs="宋体"/>
          <w:bCs/>
          <w:color w:val="000000"/>
        </w:rPr>
        <w:t>或《残疾人福利性单位声明函》。</w:t>
      </w:r>
    </w:p>
    <w:p>
      <w:pPr>
        <w:adjustRightInd w:val="0"/>
        <w:spacing w:line="360" w:lineRule="auto"/>
        <w:rPr>
          <w:rFonts w:hint="eastAsia" w:ascii="宋体" w:hAnsi="宋体" w:eastAsia="宋体" w:cs="宋体"/>
          <w:bCs/>
          <w:color w:val="000000"/>
        </w:rPr>
      </w:pPr>
    </w:p>
    <w:p>
      <w:pPr>
        <w:widowControl/>
        <w:adjustRightInd w:val="0"/>
        <w:spacing w:line="360" w:lineRule="auto"/>
        <w:rPr>
          <w:rFonts w:hint="eastAsia" w:ascii="宋体" w:hAnsi="宋体" w:eastAsia="宋体" w:cs="宋体"/>
          <w:bCs/>
          <w:color w:val="000000"/>
        </w:rPr>
      </w:pPr>
      <w:r>
        <w:rPr>
          <w:rFonts w:hint="eastAsia" w:ascii="宋体" w:hAnsi="宋体" w:eastAsia="宋体" w:cs="宋体"/>
          <w:bCs/>
          <w:color w:val="000000"/>
        </w:rPr>
        <w:t>说明：1.小微企业参与政府采购活动的，提供《中小企业声明函》以及浙江政府采购网入库供应商网页截图（企业规模为小型、微型企业）等证明材料的，报价分计算时对报价给予相应的扣除。</w:t>
      </w:r>
    </w:p>
    <w:p>
      <w:pPr>
        <w:widowControl/>
        <w:adjustRightInd w:val="0"/>
        <w:spacing w:line="360" w:lineRule="auto"/>
        <w:ind w:firstLine="480" w:firstLineChars="200"/>
        <w:rPr>
          <w:rFonts w:ascii="宋体" w:hAnsi="宋体" w:eastAsia="宋体" w:cs="宋体"/>
          <w:bCs/>
          <w:color w:val="000000"/>
        </w:rPr>
      </w:pPr>
      <w:r>
        <w:rPr>
          <w:rFonts w:hint="eastAsia" w:ascii="宋体" w:hAnsi="宋体" w:eastAsia="宋体" w:cs="宋体"/>
          <w:bCs/>
          <w:color w:val="000000"/>
        </w:rPr>
        <w:t>2.残疾人福利性单位参与政府采购活动的，提供《残疾人福利性单位声明函》以及浙江政府采购网入库供应商网页截图等证明材料的，视为小微企业，报价分计算时对报价给予相应的扣除。如成交，《残疾人福利性单位声明函》将随成交结果公告一同公告。</w:t>
      </w:r>
    </w:p>
    <w:p>
      <w:pPr>
        <w:widowControl/>
        <w:adjustRightInd w:val="0"/>
        <w:spacing w:line="360" w:lineRule="auto"/>
        <w:ind w:firstLine="480" w:firstLineChars="200"/>
        <w:rPr>
          <w:rFonts w:ascii="宋体" w:hAnsi="宋体" w:eastAsia="宋体" w:cs="宋体"/>
          <w:bCs/>
          <w:color w:val="000000"/>
        </w:rPr>
      </w:pPr>
      <w:r>
        <w:rPr>
          <w:rFonts w:hint="eastAsia" w:ascii="宋体" w:hAnsi="宋体" w:eastAsia="宋体" w:cs="宋体"/>
          <w:bCs/>
          <w:color w:val="000000"/>
        </w:rPr>
        <w:t>3.监狱企业参与政府采购活动的，提供由省级以上监狱管理局、戒毒管理局（含新疆生产建设兵团）出具的属于监狱企业的证明文件以及浙江政府采购网入库供应商网页截图等证明材料的，视为小微企业，报价分计算时对报价给予相应的扣除。</w:t>
      </w:r>
    </w:p>
    <w:p>
      <w:pPr>
        <w:widowControl/>
        <w:adjustRightInd w:val="0"/>
        <w:spacing w:line="360" w:lineRule="auto"/>
        <w:ind w:firstLine="480" w:firstLineChars="200"/>
        <w:rPr>
          <w:rFonts w:ascii="宋体" w:hAnsi="宋体" w:eastAsia="宋体" w:cs="宋体"/>
          <w:bCs/>
          <w:color w:val="000000"/>
        </w:rPr>
      </w:pPr>
      <w:r>
        <w:rPr>
          <w:rFonts w:hint="eastAsia" w:ascii="宋体" w:hAnsi="宋体" w:eastAsia="宋体" w:cs="宋体"/>
          <w:bCs/>
          <w:color w:val="000000"/>
        </w:rPr>
        <w:t>4.获得政府采购合同后，已享受政策的小微企业（监狱企业、残疾人福利单位）不得分包或转包给大型、中型企业。</w:t>
      </w:r>
    </w:p>
    <w:p>
      <w:pPr>
        <w:widowControl/>
        <w:adjustRightInd w:val="0"/>
        <w:spacing w:line="360" w:lineRule="auto"/>
        <w:ind w:firstLine="480" w:firstLineChars="200"/>
        <w:rPr>
          <w:rFonts w:ascii="宋体" w:hAnsi="宋体" w:eastAsia="宋体" w:cs="宋体"/>
          <w:bCs/>
          <w:color w:val="000000"/>
        </w:rPr>
      </w:pPr>
      <w:r>
        <w:rPr>
          <w:rFonts w:hint="eastAsia" w:ascii="宋体" w:hAnsi="宋体" w:eastAsia="宋体" w:cs="宋体"/>
          <w:bCs/>
          <w:color w:val="000000"/>
        </w:rPr>
        <w:t>5、小微企业（监狱企业、残疾人福利单位）采用中大型企业所制造的货物（承担工程/提供服务）的，不享受相关政策。</w:t>
      </w:r>
    </w:p>
    <w:p>
      <w:pPr>
        <w:widowControl/>
        <w:adjustRightInd w:val="0"/>
        <w:spacing w:line="360" w:lineRule="auto"/>
        <w:ind w:firstLine="482" w:firstLineChars="200"/>
        <w:rPr>
          <w:rFonts w:ascii="宋体" w:hAnsi="宋体" w:eastAsia="宋体" w:cs="宋体"/>
          <w:b/>
          <w:color w:val="000000"/>
        </w:rPr>
      </w:pPr>
      <w:r>
        <w:rPr>
          <w:rFonts w:hint="eastAsia" w:ascii="宋体" w:hAnsi="宋体" w:eastAsia="宋体" w:cs="宋体"/>
          <w:b/>
          <w:color w:val="000000"/>
        </w:rPr>
        <w:t>如中标，《中小企业声明函》或《残疾人福利性单位声明函》将随中标结果公告一同公告。</w:t>
      </w:r>
    </w:p>
    <w:p>
      <w:pPr>
        <w:widowControl/>
        <w:adjustRightInd w:val="0"/>
        <w:spacing w:line="360" w:lineRule="auto"/>
        <w:ind w:firstLine="480" w:firstLineChars="200"/>
        <w:rPr>
          <w:rFonts w:hint="eastAsia" w:ascii="宋体" w:hAnsi="宋体" w:eastAsia="宋体" w:cs="宋体"/>
          <w:bCs/>
          <w:color w:val="000000"/>
        </w:rPr>
      </w:pPr>
    </w:p>
    <w:p>
      <w:pPr>
        <w:widowControl/>
        <w:adjustRightInd w:val="0"/>
        <w:spacing w:line="360" w:lineRule="auto"/>
        <w:rPr>
          <w:rFonts w:hint="eastAsia" w:ascii="宋体" w:hAnsi="宋体" w:eastAsia="宋体" w:cs="宋体"/>
          <w:bCs/>
          <w:color w:val="000000"/>
        </w:rPr>
      </w:pPr>
    </w:p>
    <w:p>
      <w:pPr>
        <w:widowControl/>
        <w:adjustRightInd w:val="0"/>
        <w:spacing w:line="360" w:lineRule="auto"/>
        <w:ind w:firstLine="480" w:firstLineChars="200"/>
        <w:rPr>
          <w:rFonts w:hint="eastAsia" w:ascii="宋体" w:hAnsi="宋体" w:eastAsia="宋体" w:cs="宋体"/>
          <w:bCs/>
          <w:color w:val="000000"/>
        </w:rPr>
      </w:pPr>
    </w:p>
    <w:p>
      <w:pPr>
        <w:adjustRightInd w:val="0"/>
        <w:spacing w:line="360" w:lineRule="auto"/>
        <w:jc w:val="center"/>
        <w:rPr>
          <w:rFonts w:hint="eastAsia" w:ascii="宋体" w:hAnsi="宋体" w:eastAsia="宋体" w:cs="宋体"/>
          <w:bCs/>
          <w:color w:val="000000"/>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《中小企业声明函》</w:t>
      </w:r>
    </w:p>
    <w:p>
      <w:pPr>
        <w:adjustRightInd w:val="0"/>
        <w:spacing w:line="360" w:lineRule="auto"/>
        <w:jc w:val="center"/>
        <w:rPr>
          <w:rFonts w:hint="eastAsia" w:ascii="宋体" w:hAnsi="宋体" w:eastAsia="宋体" w:cs="宋体"/>
          <w:bCs/>
          <w:color w:val="000000"/>
        </w:rPr>
      </w:pPr>
      <w:r>
        <w:rPr>
          <w:rFonts w:hint="eastAsia" w:ascii="宋体" w:hAnsi="宋体" w:eastAsia="宋体" w:cs="宋体"/>
          <w:bCs/>
          <w:color w:val="000000"/>
        </w:rPr>
        <w:t>（不属于中小企业的无需填写、递交）</w:t>
      </w:r>
    </w:p>
    <w:p>
      <w:pPr>
        <w:widowControl/>
        <w:adjustRightInd w:val="0"/>
        <w:snapToGrid w:val="0"/>
        <w:spacing w:line="360" w:lineRule="exact"/>
        <w:ind w:firstLine="480" w:firstLineChars="200"/>
        <w:jc w:val="left"/>
        <w:rPr>
          <w:rFonts w:hint="eastAsia" w:ascii="宋体" w:hAnsi="宋体" w:eastAsia="宋体" w:cs="Arial"/>
          <w:color w:val="000000"/>
          <w:kern w:val="0"/>
          <w:sz w:val="21"/>
          <w:szCs w:val="21"/>
        </w:rPr>
      </w:pPr>
      <w:r>
        <w:rPr>
          <w:rFonts w:hint="eastAsia" w:ascii="宋体" w:hAnsi="宋体" w:eastAsia="宋体" w:cs="Arial"/>
          <w:color w:val="000000"/>
          <w:kern w:val="0"/>
          <w:szCs w:val="21"/>
        </w:rPr>
        <w:t>本公司郑重声明，根据《政府采购促进中小企业发展管理办法》（财库﹝2020﹞46 号）的规定，本公司参加</w:t>
      </w:r>
      <w:r>
        <w:rPr>
          <w:rFonts w:hint="eastAsia" w:ascii="宋体" w:hAnsi="宋体" w:eastAsia="宋体" w:cs="Arial"/>
          <w:color w:val="000000"/>
          <w:kern w:val="0"/>
          <w:szCs w:val="21"/>
          <w:u w:val="single"/>
        </w:rPr>
        <w:t xml:space="preserve">   （单位名称）    </w:t>
      </w:r>
      <w:r>
        <w:rPr>
          <w:rFonts w:hint="eastAsia" w:ascii="宋体" w:hAnsi="宋体" w:eastAsia="宋体" w:cs="Arial"/>
          <w:color w:val="000000"/>
          <w:kern w:val="0"/>
          <w:szCs w:val="21"/>
        </w:rPr>
        <w:t>的</w:t>
      </w:r>
      <w:r>
        <w:rPr>
          <w:rFonts w:hint="eastAsia" w:ascii="宋体" w:hAnsi="宋体" w:eastAsia="宋体" w:cs="Arial"/>
          <w:color w:val="000000"/>
          <w:kern w:val="0"/>
          <w:szCs w:val="21"/>
          <w:u w:val="single"/>
        </w:rPr>
        <w:t xml:space="preserve"> （项目名称）     </w:t>
      </w:r>
      <w:r>
        <w:rPr>
          <w:rFonts w:hint="eastAsia" w:ascii="宋体" w:hAnsi="宋体" w:eastAsia="宋体" w:cs="Arial"/>
          <w:color w:val="000000"/>
          <w:kern w:val="0"/>
          <w:szCs w:val="21"/>
        </w:rPr>
        <w:t>采购活动，提供的服务全部由符合政策要求的中小企业承接。相关企业（含联合体中的中小企业、签订分包意向协议的中小企业）的具体情况如下：</w:t>
      </w:r>
    </w:p>
    <w:p>
      <w:pPr>
        <w:widowControl/>
        <w:adjustRightInd w:val="0"/>
        <w:snapToGrid w:val="0"/>
        <w:spacing w:line="360" w:lineRule="exact"/>
        <w:ind w:firstLine="480" w:firstLineChars="200"/>
        <w:jc w:val="left"/>
        <w:rPr>
          <w:rFonts w:hint="eastAsia" w:ascii="宋体" w:hAnsi="宋体" w:eastAsia="宋体" w:cs="Arial"/>
          <w:color w:val="000000"/>
          <w:kern w:val="0"/>
          <w:szCs w:val="21"/>
        </w:rPr>
      </w:pPr>
      <w:r>
        <w:rPr>
          <w:rFonts w:hint="eastAsia" w:ascii="宋体" w:hAnsi="宋体" w:eastAsia="宋体" w:cs="Arial"/>
          <w:color w:val="000000"/>
          <w:kern w:val="0"/>
          <w:szCs w:val="21"/>
        </w:rPr>
        <w:t>1.</w:t>
      </w:r>
      <w:r>
        <w:rPr>
          <w:rFonts w:hint="eastAsia" w:ascii="宋体" w:hAnsi="宋体" w:eastAsia="宋体" w:cs="Arial"/>
          <w:color w:val="000000"/>
          <w:kern w:val="0"/>
          <w:szCs w:val="21"/>
          <w:u w:val="single"/>
        </w:rPr>
        <w:t xml:space="preserve"> （标的名称）   </w:t>
      </w:r>
      <w:r>
        <w:rPr>
          <w:rFonts w:hint="eastAsia" w:ascii="宋体" w:hAnsi="宋体" w:eastAsia="宋体" w:cs="Arial"/>
          <w:color w:val="000000"/>
          <w:kern w:val="0"/>
          <w:szCs w:val="21"/>
        </w:rPr>
        <w:t>，属于</w:t>
      </w:r>
      <w:r>
        <w:rPr>
          <w:rFonts w:hint="eastAsia" w:ascii="宋体" w:hAnsi="宋体" w:eastAsia="宋体" w:cs="Arial"/>
          <w:color w:val="000000"/>
          <w:kern w:val="0"/>
          <w:szCs w:val="21"/>
          <w:u w:val="single"/>
        </w:rPr>
        <w:t xml:space="preserve">    （采购文件中明确的所属行业）   </w:t>
      </w:r>
      <w:r>
        <w:rPr>
          <w:rFonts w:hint="eastAsia" w:ascii="宋体" w:hAnsi="宋体" w:eastAsia="宋体" w:cs="Arial"/>
          <w:color w:val="000000"/>
          <w:kern w:val="0"/>
          <w:szCs w:val="21"/>
        </w:rPr>
        <w:t xml:space="preserve">行业 ；承接企业为 </w:t>
      </w:r>
      <w:r>
        <w:rPr>
          <w:rFonts w:hint="eastAsia" w:ascii="宋体" w:hAnsi="宋体" w:eastAsia="宋体" w:cs="Arial"/>
          <w:color w:val="000000"/>
          <w:kern w:val="0"/>
          <w:szCs w:val="21"/>
          <w:u w:val="single"/>
        </w:rPr>
        <w:t xml:space="preserve">（企业名称）        </w:t>
      </w:r>
      <w:r>
        <w:rPr>
          <w:rFonts w:hint="eastAsia" w:ascii="宋体" w:hAnsi="宋体" w:eastAsia="宋体" w:cs="Arial"/>
          <w:color w:val="000000"/>
          <w:kern w:val="0"/>
          <w:szCs w:val="21"/>
        </w:rPr>
        <w:t>，从业人员</w:t>
      </w:r>
      <w:r>
        <w:rPr>
          <w:rFonts w:hint="eastAsia" w:ascii="宋体" w:hAnsi="宋体" w:eastAsia="宋体" w:cs="Arial"/>
          <w:color w:val="000000"/>
          <w:kern w:val="0"/>
          <w:szCs w:val="21"/>
          <w:u w:val="single"/>
        </w:rPr>
        <w:t xml:space="preserve">          </w:t>
      </w:r>
      <w:r>
        <w:rPr>
          <w:rFonts w:hint="eastAsia" w:ascii="宋体" w:hAnsi="宋体" w:eastAsia="宋体" w:cs="Arial"/>
          <w:color w:val="000000"/>
          <w:kern w:val="0"/>
          <w:szCs w:val="21"/>
        </w:rPr>
        <w:t>人，营业收入为</w:t>
      </w:r>
      <w:r>
        <w:rPr>
          <w:rFonts w:hint="eastAsia" w:ascii="宋体" w:hAnsi="宋体" w:eastAsia="宋体" w:cs="Arial"/>
          <w:color w:val="000000"/>
          <w:kern w:val="0"/>
          <w:szCs w:val="21"/>
          <w:u w:val="single"/>
        </w:rPr>
        <w:t xml:space="preserve">          </w:t>
      </w:r>
      <w:r>
        <w:rPr>
          <w:rFonts w:hint="eastAsia" w:ascii="宋体" w:hAnsi="宋体" w:eastAsia="宋体" w:cs="Arial"/>
          <w:color w:val="000000"/>
          <w:kern w:val="0"/>
          <w:szCs w:val="21"/>
        </w:rPr>
        <w:t>万元，资产总额为</w:t>
      </w:r>
      <w:r>
        <w:rPr>
          <w:rFonts w:hint="eastAsia" w:ascii="宋体" w:hAnsi="宋体" w:eastAsia="宋体" w:cs="Arial"/>
          <w:color w:val="000000"/>
          <w:kern w:val="0"/>
          <w:szCs w:val="21"/>
          <w:u w:val="single"/>
        </w:rPr>
        <w:t xml:space="preserve">         </w:t>
      </w:r>
      <w:r>
        <w:rPr>
          <w:rFonts w:hint="eastAsia" w:ascii="宋体" w:hAnsi="宋体" w:eastAsia="宋体" w:cs="Arial"/>
          <w:color w:val="000000"/>
          <w:kern w:val="0"/>
          <w:szCs w:val="21"/>
        </w:rPr>
        <w:t>万元，属于</w:t>
      </w:r>
      <w:r>
        <w:rPr>
          <w:rFonts w:hint="eastAsia" w:ascii="宋体" w:hAnsi="宋体" w:eastAsia="宋体" w:cs="Arial"/>
          <w:color w:val="000000"/>
          <w:kern w:val="0"/>
          <w:szCs w:val="21"/>
          <w:u w:val="single"/>
        </w:rPr>
        <w:t xml:space="preserve">        （中型企业、小型企业、微型企业） </w:t>
      </w:r>
      <w:r>
        <w:rPr>
          <w:rFonts w:hint="eastAsia" w:ascii="宋体" w:hAnsi="宋体" w:eastAsia="宋体" w:cs="Arial"/>
          <w:color w:val="000000"/>
          <w:kern w:val="0"/>
          <w:szCs w:val="21"/>
        </w:rPr>
        <w:t>；</w:t>
      </w:r>
    </w:p>
    <w:p>
      <w:pPr>
        <w:widowControl/>
        <w:adjustRightInd w:val="0"/>
        <w:snapToGrid w:val="0"/>
        <w:spacing w:line="360" w:lineRule="exact"/>
        <w:ind w:firstLine="480" w:firstLineChars="200"/>
        <w:jc w:val="left"/>
        <w:rPr>
          <w:rFonts w:hint="eastAsia" w:ascii="宋体" w:hAnsi="宋体" w:eastAsia="宋体" w:cs="Arial"/>
          <w:color w:val="000000"/>
          <w:kern w:val="0"/>
          <w:szCs w:val="21"/>
        </w:rPr>
      </w:pPr>
      <w:r>
        <w:rPr>
          <w:rFonts w:hint="eastAsia" w:ascii="宋体" w:hAnsi="宋体" w:eastAsia="宋体" w:cs="Arial"/>
          <w:color w:val="000000"/>
          <w:kern w:val="0"/>
          <w:szCs w:val="21"/>
        </w:rPr>
        <w:t>2.</w:t>
      </w:r>
      <w:r>
        <w:rPr>
          <w:rFonts w:hint="eastAsia" w:ascii="宋体" w:hAnsi="宋体" w:eastAsia="宋体" w:cs="Arial"/>
          <w:color w:val="000000"/>
          <w:kern w:val="0"/>
          <w:szCs w:val="21"/>
          <w:u w:val="single"/>
        </w:rPr>
        <w:t xml:space="preserve">        （标的名称）        </w:t>
      </w:r>
      <w:r>
        <w:rPr>
          <w:rFonts w:hint="eastAsia" w:ascii="宋体" w:hAnsi="宋体" w:eastAsia="宋体" w:cs="Arial"/>
          <w:color w:val="000000"/>
          <w:kern w:val="0"/>
          <w:szCs w:val="21"/>
        </w:rPr>
        <w:t>，属于</w:t>
      </w:r>
      <w:r>
        <w:rPr>
          <w:rFonts w:hint="eastAsia" w:ascii="宋体" w:hAnsi="宋体" w:eastAsia="宋体" w:cs="Arial"/>
          <w:color w:val="000000"/>
          <w:kern w:val="0"/>
          <w:szCs w:val="21"/>
          <w:u w:val="single"/>
        </w:rPr>
        <w:t xml:space="preserve">        （采购文件中明确的所属行业）     </w:t>
      </w:r>
      <w:r>
        <w:rPr>
          <w:rFonts w:hint="eastAsia" w:ascii="宋体" w:hAnsi="宋体" w:eastAsia="宋体" w:cs="Arial"/>
          <w:color w:val="000000"/>
          <w:kern w:val="0"/>
          <w:szCs w:val="21"/>
        </w:rPr>
        <w:t>行业 ；承接企业为</w:t>
      </w:r>
      <w:r>
        <w:rPr>
          <w:rFonts w:hint="eastAsia" w:ascii="宋体" w:hAnsi="宋体" w:eastAsia="宋体" w:cs="Arial"/>
          <w:color w:val="000000"/>
          <w:kern w:val="0"/>
          <w:szCs w:val="21"/>
          <w:u w:val="single"/>
        </w:rPr>
        <w:t xml:space="preserve">     （企业名称）    </w:t>
      </w:r>
      <w:r>
        <w:rPr>
          <w:rFonts w:hint="eastAsia" w:ascii="宋体" w:hAnsi="宋体" w:eastAsia="宋体" w:cs="Arial"/>
          <w:color w:val="000000"/>
          <w:kern w:val="0"/>
          <w:szCs w:val="21"/>
        </w:rPr>
        <w:t>，从业人员</w:t>
      </w:r>
      <w:r>
        <w:rPr>
          <w:rFonts w:hint="eastAsia" w:ascii="宋体" w:hAnsi="宋体" w:eastAsia="宋体" w:cs="Arial"/>
          <w:color w:val="000000"/>
          <w:kern w:val="0"/>
          <w:szCs w:val="21"/>
          <w:u w:val="single"/>
        </w:rPr>
        <w:t xml:space="preserve">          </w:t>
      </w:r>
      <w:r>
        <w:rPr>
          <w:rFonts w:hint="eastAsia" w:ascii="宋体" w:hAnsi="宋体" w:eastAsia="宋体" w:cs="Arial"/>
          <w:color w:val="000000"/>
          <w:kern w:val="0"/>
          <w:szCs w:val="21"/>
        </w:rPr>
        <w:t>人，营业收入为</w:t>
      </w:r>
      <w:r>
        <w:rPr>
          <w:rFonts w:hint="eastAsia" w:ascii="宋体" w:hAnsi="宋体" w:eastAsia="宋体" w:cs="Arial"/>
          <w:color w:val="000000"/>
          <w:kern w:val="0"/>
          <w:szCs w:val="21"/>
          <w:u w:val="single"/>
        </w:rPr>
        <w:t xml:space="preserve">          </w:t>
      </w:r>
      <w:r>
        <w:rPr>
          <w:rFonts w:hint="eastAsia" w:ascii="宋体" w:hAnsi="宋体" w:eastAsia="宋体" w:cs="Arial"/>
          <w:color w:val="000000"/>
          <w:kern w:val="0"/>
          <w:szCs w:val="21"/>
        </w:rPr>
        <w:t>万元，资产总额为</w:t>
      </w:r>
      <w:r>
        <w:rPr>
          <w:rFonts w:hint="eastAsia" w:ascii="宋体" w:hAnsi="宋体" w:eastAsia="宋体" w:cs="Arial"/>
          <w:color w:val="000000"/>
          <w:kern w:val="0"/>
          <w:szCs w:val="21"/>
          <w:u w:val="single"/>
        </w:rPr>
        <w:t xml:space="preserve">         </w:t>
      </w:r>
      <w:r>
        <w:rPr>
          <w:rFonts w:hint="eastAsia" w:ascii="宋体" w:hAnsi="宋体" w:eastAsia="宋体" w:cs="Arial"/>
          <w:color w:val="000000"/>
          <w:kern w:val="0"/>
          <w:szCs w:val="21"/>
        </w:rPr>
        <w:t>万元，属于</w:t>
      </w:r>
      <w:r>
        <w:rPr>
          <w:rFonts w:hint="eastAsia" w:ascii="宋体" w:hAnsi="宋体" w:eastAsia="宋体" w:cs="Arial"/>
          <w:color w:val="000000"/>
          <w:kern w:val="0"/>
          <w:szCs w:val="21"/>
          <w:u w:val="single"/>
        </w:rPr>
        <w:t xml:space="preserve">        （中型企业、小型企业、微型企业） </w:t>
      </w:r>
      <w:r>
        <w:rPr>
          <w:rFonts w:hint="eastAsia" w:ascii="宋体" w:hAnsi="宋体" w:eastAsia="宋体" w:cs="Arial"/>
          <w:color w:val="000000"/>
          <w:kern w:val="0"/>
          <w:szCs w:val="21"/>
        </w:rPr>
        <w:t>；</w:t>
      </w:r>
    </w:p>
    <w:p>
      <w:pPr>
        <w:widowControl/>
        <w:adjustRightInd w:val="0"/>
        <w:snapToGrid w:val="0"/>
        <w:spacing w:line="360" w:lineRule="exact"/>
        <w:ind w:firstLine="480" w:firstLineChars="200"/>
        <w:jc w:val="left"/>
        <w:rPr>
          <w:rFonts w:hint="eastAsia" w:ascii="宋体" w:hAnsi="宋体" w:eastAsia="宋体" w:cs="Arial"/>
          <w:color w:val="000000"/>
          <w:kern w:val="0"/>
          <w:szCs w:val="21"/>
        </w:rPr>
      </w:pPr>
      <w:r>
        <w:rPr>
          <w:rFonts w:hint="eastAsia" w:ascii="宋体" w:hAnsi="宋体" w:eastAsia="宋体" w:cs="Arial"/>
          <w:color w:val="000000"/>
          <w:kern w:val="0"/>
          <w:szCs w:val="21"/>
        </w:rPr>
        <w:t>……</w:t>
      </w:r>
    </w:p>
    <w:p>
      <w:pPr>
        <w:widowControl/>
        <w:adjustRightInd w:val="0"/>
        <w:snapToGrid w:val="0"/>
        <w:spacing w:line="360" w:lineRule="exact"/>
        <w:ind w:firstLine="482" w:firstLineChars="200"/>
        <w:jc w:val="left"/>
        <w:rPr>
          <w:rFonts w:hint="eastAsia" w:ascii="宋体" w:hAnsi="宋体" w:eastAsia="宋体" w:cs="Arial"/>
          <w:b/>
          <w:color w:val="000000"/>
          <w:kern w:val="0"/>
          <w:szCs w:val="21"/>
        </w:rPr>
      </w:pPr>
      <w:r>
        <w:rPr>
          <w:rFonts w:hint="eastAsia" w:ascii="宋体" w:hAnsi="宋体" w:eastAsia="宋体" w:cs="Arial"/>
          <w:b/>
          <w:color w:val="000000"/>
          <w:kern w:val="0"/>
          <w:szCs w:val="21"/>
        </w:rPr>
        <w:t>以上企业，不属于大企业的分支机构，不存在控股股东为大企业的情形，也不存在与大企业的负责人为同一人的情形。</w:t>
      </w:r>
    </w:p>
    <w:p>
      <w:pPr>
        <w:widowControl/>
        <w:adjustRightInd w:val="0"/>
        <w:snapToGrid w:val="0"/>
        <w:spacing w:line="360" w:lineRule="exact"/>
        <w:ind w:firstLine="562" w:firstLineChars="200"/>
        <w:jc w:val="left"/>
        <w:rPr>
          <w:rFonts w:hint="eastAsia" w:ascii="宋体" w:hAnsi="宋体" w:eastAsia="宋体" w:cs="Arial"/>
          <w:b/>
          <w:color w:val="000000"/>
          <w:kern w:val="0"/>
          <w:sz w:val="28"/>
          <w:szCs w:val="28"/>
        </w:rPr>
      </w:pPr>
      <w:r>
        <w:rPr>
          <w:rFonts w:hint="eastAsia" w:ascii="宋体" w:hAnsi="宋体" w:eastAsia="宋体" w:cs="Arial"/>
          <w:b/>
          <w:color w:val="000000"/>
          <w:kern w:val="0"/>
          <w:sz w:val="28"/>
          <w:szCs w:val="28"/>
        </w:rPr>
        <w:t>本企业对上述声明内容的真实性负责。如有虚假，将依法承担相应责任。</w:t>
      </w:r>
    </w:p>
    <w:p>
      <w:pPr>
        <w:widowControl/>
        <w:adjustRightInd w:val="0"/>
        <w:snapToGrid w:val="0"/>
        <w:ind w:firstLine="4560" w:firstLineChars="1900"/>
        <w:jc w:val="left"/>
        <w:rPr>
          <w:rFonts w:hint="eastAsia" w:ascii="宋体" w:hAnsi="宋体" w:eastAsia="宋体" w:cs="Arial"/>
          <w:color w:val="000000"/>
          <w:kern w:val="0"/>
          <w:sz w:val="21"/>
          <w:szCs w:val="21"/>
        </w:rPr>
      </w:pPr>
      <w:r>
        <w:rPr>
          <w:rFonts w:hint="eastAsia" w:ascii="宋体" w:hAnsi="宋体" w:eastAsia="宋体" w:cs="Arial"/>
          <w:color w:val="000000"/>
          <w:kern w:val="0"/>
          <w:szCs w:val="21"/>
        </w:rPr>
        <w:t>企业名称（盖章）：</w:t>
      </w:r>
    </w:p>
    <w:p>
      <w:pPr>
        <w:widowControl/>
        <w:adjustRightInd w:val="0"/>
        <w:snapToGrid w:val="0"/>
        <w:ind w:firstLine="4560" w:firstLineChars="1900"/>
        <w:jc w:val="left"/>
        <w:rPr>
          <w:rFonts w:hint="eastAsia" w:ascii="宋体" w:hAnsi="宋体" w:eastAsia="宋体" w:cs="Arial"/>
          <w:color w:val="000000"/>
          <w:kern w:val="0"/>
          <w:szCs w:val="21"/>
        </w:rPr>
      </w:pPr>
      <w:r>
        <w:rPr>
          <w:rFonts w:hint="eastAsia" w:ascii="宋体" w:hAnsi="宋体" w:eastAsia="宋体" w:cs="Arial"/>
          <w:color w:val="000000"/>
          <w:kern w:val="0"/>
          <w:szCs w:val="21"/>
        </w:rPr>
        <w:t>日 期：</w:t>
      </w:r>
    </w:p>
    <w:p>
      <w:pPr>
        <w:widowControl/>
        <w:adjustRightInd w:val="0"/>
        <w:snapToGrid w:val="0"/>
        <w:ind w:firstLine="482" w:firstLineChars="200"/>
        <w:jc w:val="left"/>
        <w:rPr>
          <w:rFonts w:hint="eastAsia" w:ascii="宋体" w:hAnsi="宋体" w:eastAsia="宋体" w:cs="Arial"/>
          <w:color w:val="000000"/>
          <w:kern w:val="0"/>
          <w:szCs w:val="21"/>
        </w:rPr>
      </w:pPr>
      <w:r>
        <w:rPr>
          <w:rFonts w:hint="eastAsia" w:ascii="宋体" w:hAnsi="宋体" w:eastAsia="宋体" w:cs="Arial"/>
          <w:b/>
          <w:color w:val="000000"/>
          <w:kern w:val="0"/>
          <w:szCs w:val="21"/>
        </w:rPr>
        <w:t>从业人员、营业收入、资产总额填报上一年度数据，无上一年度数据的新成立企业可不填报。</w:t>
      </w:r>
    </w:p>
    <w:p>
      <w:pPr>
        <w:adjustRightInd w:val="0"/>
        <w:snapToGrid w:val="0"/>
        <w:spacing w:line="360" w:lineRule="auto"/>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请登录</w:t>
      </w:r>
      <w:r>
        <w:rPr>
          <w:rFonts w:ascii="宋体" w:hAnsi="宋体" w:eastAsia="宋体" w:cs="宋体"/>
          <w:b/>
          <w:bCs/>
          <w:color w:val="000000"/>
          <w:kern w:val="0"/>
          <w:szCs w:val="21"/>
        </w:rPr>
        <w:fldChar w:fldCharType="begin"/>
      </w:r>
      <w:r>
        <w:rPr>
          <w:rFonts w:ascii="宋体" w:hAnsi="宋体" w:eastAsia="宋体" w:cs="宋体"/>
          <w:b/>
          <w:bCs/>
          <w:color w:val="000000"/>
          <w:kern w:val="0"/>
          <w:szCs w:val="21"/>
        </w:rPr>
        <w:instrText xml:space="preserve"> HYPERLINK "http://gks.mof.gov.cn/guizhangzhidu/202012/t20201228_3637419.htm" </w:instrText>
      </w:r>
      <w:r>
        <w:rPr>
          <w:rFonts w:ascii="宋体" w:hAnsi="宋体" w:eastAsia="宋体" w:cs="宋体"/>
          <w:b/>
          <w:bCs/>
          <w:color w:val="000000"/>
          <w:kern w:val="0"/>
          <w:szCs w:val="21"/>
        </w:rPr>
        <w:fldChar w:fldCharType="separate"/>
      </w:r>
      <w:r>
        <w:rPr>
          <w:rStyle w:val="52"/>
          <w:rFonts w:hint="eastAsia" w:ascii="宋体" w:hAnsi="宋体" w:eastAsia="宋体" w:cs="宋体"/>
          <w:b/>
          <w:bCs/>
          <w:color w:val="000000"/>
          <w:kern w:val="0"/>
        </w:rPr>
        <w:t>http://gks.mof.gov.cn/guizhangzhidu/202012/t20201228_3637419.htm</w:t>
      </w:r>
      <w:r>
        <w:rPr>
          <w:rFonts w:ascii="宋体" w:hAnsi="宋体" w:eastAsia="宋体" w:cs="宋体"/>
          <w:b/>
          <w:bCs/>
          <w:color w:val="000000"/>
          <w:kern w:val="0"/>
          <w:szCs w:val="21"/>
        </w:rPr>
        <w:fldChar w:fldCharType="end"/>
      </w:r>
      <w:r>
        <w:rPr>
          <w:rFonts w:hint="eastAsia" w:ascii="宋体" w:hAnsi="宋体" w:eastAsia="宋体" w:cs="宋体"/>
          <w:b/>
          <w:bCs/>
          <w:color w:val="000000"/>
          <w:kern w:val="0"/>
          <w:szCs w:val="21"/>
        </w:rPr>
        <w:t>认真阅读理解财库〔2020〕46号关于印发《政府采购促进中小企业发展管理办法》的通知</w:t>
      </w:r>
    </w:p>
    <w:p>
      <w:pPr>
        <w:adjustRightInd w:val="0"/>
        <w:snapToGrid w:val="0"/>
        <w:spacing w:line="360" w:lineRule="auto"/>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可登录http://www.ccgp.gov.cn/zcfg/mof/201310/t20131029_3587674.htm查阅工信部联企业〔2011〕300号《关于印发中小企业划型标准规定的通知》</w:t>
      </w:r>
    </w:p>
    <w:p>
      <w:pPr>
        <w:adjustRightInd w:val="0"/>
        <w:snapToGrid w:val="0"/>
        <w:spacing w:line="360" w:lineRule="auto"/>
        <w:jc w:val="left"/>
        <w:rPr>
          <w:rFonts w:hint="eastAsia" w:ascii="宋体" w:hAnsi="宋体" w:eastAsia="宋体"/>
          <w:color w:val="000000"/>
          <w:szCs w:val="24"/>
        </w:rPr>
      </w:pPr>
      <w:r>
        <w:rPr>
          <w:rFonts w:hint="eastAsia" w:ascii="宋体" w:hAnsi="宋体" w:eastAsia="宋体"/>
          <w:b/>
          <w:color w:val="000000"/>
        </w:rPr>
        <w:t>企业从业人员、营业收入、资产总额确定后，如何认定是否属于投标产品所属行业中的中小微企业？</w:t>
      </w:r>
      <w:r>
        <w:rPr>
          <w:rFonts w:hint="eastAsia" w:ascii="宋体" w:hAnsi="宋体" w:eastAsia="宋体"/>
          <w:b/>
          <w:color w:val="000000"/>
        </w:rPr>
        <w:br w:type="textWrapping"/>
      </w:r>
      <w:r>
        <w:rPr>
          <w:rFonts w:hint="eastAsia" w:ascii="宋体" w:hAnsi="宋体" w:eastAsia="宋体"/>
          <w:b/>
          <w:color w:val="000000"/>
        </w:rPr>
        <w:t> 请登录工业和信息化部</w:t>
      </w:r>
      <w:r>
        <w:rPr>
          <w:rFonts w:ascii="宋体" w:hAnsi="宋体" w:eastAsia="宋体"/>
          <w:b/>
          <w:color w:val="000000"/>
        </w:rPr>
        <w:drawing>
          <wp:inline distT="0" distB="0" distL="114300" distR="114300">
            <wp:extent cx="190500" cy="142875"/>
            <wp:effectExtent l="0" t="0" r="7620" b="9525"/>
            <wp:docPr id="1" name="图片 1" descr="C:\Documents and Settings\Administrator\Application Data\Tencent\QQTempSys\[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Application Data\Tencent\QQTempSys\[5UQ[BL(6~BS2JV6W}N6[%S.png"/>
                    <pic:cNvPicPr>
                      <a:picLocks noChangeAspect="1"/>
                    </pic:cNvPicPr>
                  </pic:nvPicPr>
                  <pic:blipFill>
                    <a:blip r:embed="rId21" r:link="rId2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b/>
          <w:color w:val="000000"/>
        </w:rPr>
        <w:t>https://www.miit.gov.cn/网站，</w:t>
      </w:r>
      <w:r>
        <w:rPr>
          <w:rFonts w:ascii="宋体" w:hAnsi="宋体" w:eastAsia="宋体"/>
          <w:color w:val="000000"/>
        </w:rPr>
        <w:drawing>
          <wp:inline distT="0" distB="0" distL="114300" distR="114300">
            <wp:extent cx="5505450" cy="1304925"/>
            <wp:effectExtent l="0" t="0" r="11430" b="5715"/>
            <wp:docPr id="2" name="图片 2" descr="C:\Program Files\Tencent\QQ\Users\1121991092\Image\Group2\6N\K6\6NK6[U(5_DT(HU5(T4EZ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Program Files\Tencent\QQ\Users\1121991092\Image\Group2\6N\K6\6NK6[U(5_DT(HU5(T4EZ222.png"/>
                    <pic:cNvPicPr>
                      <a:picLocks noChangeAspect="1"/>
                    </pic:cNvPicPr>
                  </pic:nvPicPr>
                  <pic:blipFill>
                    <a:blip r:embed="rId23" r:link="rId24"/>
                    <a:stretch>
                      <a:fillRect/>
                    </a:stretch>
                  </pic:blipFill>
                  <pic:spPr>
                    <a:xfrm>
                      <a:off x="0" y="0"/>
                      <a:ext cx="5505450" cy="1304925"/>
                    </a:xfrm>
                    <a:prstGeom prst="rect">
                      <a:avLst/>
                    </a:prstGeom>
                    <a:noFill/>
                    <a:ln>
                      <a:noFill/>
                    </a:ln>
                  </pic:spPr>
                </pic:pic>
              </a:graphicData>
            </a:graphic>
          </wp:inline>
        </w:drawing>
      </w:r>
      <w:r>
        <w:rPr>
          <w:rFonts w:hint="eastAsia" w:ascii="宋体" w:hAnsi="宋体" w:eastAsia="宋体"/>
          <w:b/>
          <w:color w:val="000000"/>
        </w:rPr>
        <w:t>点开“中小企业规模类型自测小程序”，填写投标产品所属的行业和投标企业从业人员交社保职工人数及上年末资产总额指标数据自动生成企业规模类型测试结果。</w:t>
      </w:r>
    </w:p>
    <w:p>
      <w:pPr>
        <w:adjustRightInd w:val="0"/>
        <w:spacing w:line="360" w:lineRule="auto"/>
        <w:jc w:val="center"/>
        <w:rPr>
          <w:rFonts w:ascii="宋体" w:hAnsi="宋体" w:eastAsia="宋体" w:cs="宋体"/>
          <w:bCs/>
          <w:color w:val="000000"/>
        </w:rPr>
      </w:pPr>
    </w:p>
    <w:p>
      <w:pPr>
        <w:adjustRightInd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《残疾人福利性单位声明函》</w:t>
      </w:r>
    </w:p>
    <w:p>
      <w:pPr>
        <w:pStyle w:val="144"/>
        <w:widowControl w:val="0"/>
        <w:spacing w:line="360" w:lineRule="auto"/>
        <w:jc w:val="center"/>
        <w:rPr>
          <w:rFonts w:ascii="宋体" w:hAnsi="宋体" w:eastAsia="宋体" w:cs="宋体"/>
          <w:color w:val="000000"/>
          <w:szCs w:val="24"/>
        </w:rPr>
      </w:pPr>
      <w:r>
        <w:rPr>
          <w:rFonts w:ascii="宋体" w:hAnsi="宋体" w:eastAsia="宋体" w:cs="宋体"/>
          <w:bCs/>
          <w:color w:val="000000"/>
        </w:rPr>
        <w:t>（非残疾人福利性单位不用提供）</w:t>
      </w:r>
    </w:p>
    <w:p>
      <w:pPr>
        <w:pStyle w:val="144"/>
        <w:widowControl w:val="0"/>
        <w:spacing w:line="360" w:lineRule="auto"/>
        <w:ind w:firstLine="601"/>
        <w:rPr>
          <w:rFonts w:ascii="宋体" w:hAnsi="宋体" w:eastAsia="宋体" w:cs="宋体"/>
          <w:color w:val="000000"/>
          <w:szCs w:val="24"/>
        </w:rPr>
      </w:pPr>
    </w:p>
    <w:p>
      <w:pPr>
        <w:pStyle w:val="144"/>
        <w:widowControl w:val="0"/>
        <w:spacing w:line="360" w:lineRule="auto"/>
        <w:ind w:firstLine="601"/>
        <w:rPr>
          <w:rFonts w:ascii="宋体" w:hAnsi="宋体" w:eastAsia="宋体" w:cs="宋体"/>
          <w:color w:val="000000"/>
          <w:szCs w:val="24"/>
        </w:rPr>
      </w:pPr>
      <w:r>
        <w:rPr>
          <w:rFonts w:ascii="宋体" w:hAnsi="宋体" w:eastAsia="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采购人）的______项目（项目名称）采购活动提供本单位制造的货物（由本单位承担工程/提供服务），或者提供其他残疾人福利性单位制造的货物（不包括使用非残疾人福利性单位注册商标的货物）。</w:t>
      </w:r>
    </w:p>
    <w:p>
      <w:pPr>
        <w:pStyle w:val="144"/>
        <w:widowControl w:val="0"/>
        <w:spacing w:line="360" w:lineRule="auto"/>
        <w:ind w:firstLine="600"/>
        <w:rPr>
          <w:rFonts w:ascii="宋体" w:hAnsi="宋体" w:eastAsia="宋体" w:cs="宋体"/>
          <w:color w:val="000000"/>
          <w:szCs w:val="24"/>
        </w:rPr>
      </w:pPr>
      <w:r>
        <w:rPr>
          <w:rFonts w:ascii="宋体" w:hAnsi="宋体" w:eastAsia="宋体" w:cs="宋体"/>
          <w:color w:val="000000"/>
          <w:szCs w:val="24"/>
        </w:rPr>
        <w:t>本单位对上述声明的真实性负责。如有虚假，将依法承担相应责任。</w:t>
      </w:r>
    </w:p>
    <w:p>
      <w:pPr>
        <w:pStyle w:val="144"/>
        <w:widowControl w:val="0"/>
        <w:spacing w:line="360" w:lineRule="auto"/>
        <w:ind w:firstLine="600"/>
        <w:rPr>
          <w:rFonts w:ascii="宋体" w:hAnsi="宋体" w:eastAsia="宋体" w:cs="宋体"/>
          <w:color w:val="000000"/>
          <w:szCs w:val="24"/>
        </w:rPr>
      </w:pPr>
    </w:p>
    <w:p>
      <w:pPr>
        <w:adjustRightInd w:val="0"/>
        <w:spacing w:line="360" w:lineRule="auto"/>
        <w:rPr>
          <w:rFonts w:hint="eastAsia" w:ascii="宋体" w:hAnsi="宋体" w:eastAsia="宋体" w:cs="宋体"/>
          <w:bCs/>
          <w:color w:val="000000"/>
        </w:rPr>
      </w:pPr>
      <w:r>
        <w:rPr>
          <w:rFonts w:hint="eastAsia" w:ascii="宋体" w:hAnsi="宋体" w:eastAsia="宋体" w:cs="宋体"/>
          <w:bCs/>
          <w:color w:val="000000"/>
        </w:rPr>
        <w:t>投标人（盖章）：</w:t>
      </w:r>
    </w:p>
    <w:p>
      <w:pPr>
        <w:pStyle w:val="144"/>
        <w:widowControl w:val="0"/>
        <w:spacing w:line="360" w:lineRule="auto"/>
        <w:ind w:right="1560"/>
        <w:rPr>
          <w:rFonts w:ascii="宋体" w:hAnsi="宋体" w:eastAsia="宋体" w:cs="宋体"/>
          <w:color w:val="000000"/>
          <w:szCs w:val="24"/>
        </w:rPr>
      </w:pPr>
      <w:r>
        <w:rPr>
          <w:rFonts w:ascii="宋体" w:hAnsi="宋体" w:eastAsia="宋体" w:cs="宋体"/>
          <w:color w:val="000000"/>
          <w:szCs w:val="24"/>
        </w:rPr>
        <w:t>日  期：</w:t>
      </w:r>
    </w:p>
    <w:p>
      <w:pPr>
        <w:spacing w:line="360" w:lineRule="auto"/>
        <w:rPr>
          <w:rFonts w:hint="eastAsia" w:ascii="宋体" w:hAnsi="宋体" w:eastAsia="宋体" w:cs="宋体"/>
          <w:b/>
          <w:bCs/>
          <w:color w:val="000000"/>
          <w:szCs w:val="24"/>
        </w:rPr>
      </w:pPr>
    </w:p>
    <w:p>
      <w:pPr>
        <w:spacing w:line="360" w:lineRule="auto"/>
        <w:rPr>
          <w:rFonts w:hint="eastAsia" w:ascii="宋体" w:hAnsi="宋体" w:eastAsia="宋体" w:cs="宋体"/>
          <w:color w:val="000000"/>
          <w:szCs w:val="24"/>
        </w:rPr>
      </w:pPr>
      <w:r>
        <w:rPr>
          <w:rFonts w:hint="eastAsia" w:ascii="宋体" w:hAnsi="宋体" w:eastAsia="宋体" w:cs="宋体"/>
          <w:b/>
          <w:bCs/>
          <w:color w:val="000000"/>
          <w:szCs w:val="24"/>
        </w:rPr>
        <w:t>注：1、声明函应按上述内容及格式填写，不得修改。</w:t>
      </w:r>
    </w:p>
    <w:p>
      <w:pPr>
        <w:widowControl/>
        <w:numPr>
          <w:ilvl w:val="0"/>
          <w:numId w:val="49"/>
        </w:numPr>
        <w:adjustRightInd w:val="0"/>
        <w:spacing w:line="360" w:lineRule="auto"/>
        <w:ind w:firstLine="480" w:firstLineChars="200"/>
        <w:rPr>
          <w:rFonts w:hint="eastAsia" w:ascii="宋体" w:hAnsi="宋体" w:eastAsia="宋体" w:cs="宋体"/>
          <w:b/>
          <w:color w:val="000000"/>
        </w:rPr>
      </w:pPr>
      <w:r>
        <w:rPr>
          <w:rFonts w:hint="eastAsia" w:ascii="宋体" w:hAnsi="宋体" w:eastAsia="宋体" w:cs="宋体"/>
          <w:bCs/>
          <w:color w:val="000000"/>
        </w:rPr>
        <w:t>残疾人福利性单位参与政府采购活动的，提供《残疾人福利性单位声明函》证明材料的，视为小微企业，报价分计算时对投标报价给予相应的扣除。</w:t>
      </w:r>
      <w:r>
        <w:rPr>
          <w:rFonts w:hint="eastAsia" w:ascii="宋体" w:hAnsi="宋体" w:eastAsia="宋体" w:cs="宋体"/>
          <w:b/>
          <w:color w:val="000000"/>
          <w:u w:val="single"/>
        </w:rPr>
        <w:t>如中标，《残疾人福利性单位声明函》将随中标结果公告一同公告</w:t>
      </w:r>
      <w:r>
        <w:rPr>
          <w:rFonts w:hint="eastAsia" w:ascii="宋体" w:hAnsi="宋体" w:eastAsia="宋体" w:cs="宋体"/>
          <w:b/>
          <w:color w:val="000000"/>
        </w:rPr>
        <w:t>。</w:t>
      </w:r>
    </w:p>
    <w:p>
      <w:pPr>
        <w:numPr>
          <w:ilvl w:val="0"/>
          <w:numId w:val="49"/>
        </w:numPr>
        <w:spacing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享受政府采购支持政策的残疾人福利性单位应当同时满足以下条件：</w:t>
      </w:r>
    </w:p>
    <w:p>
      <w:pPr>
        <w:pStyle w:val="18"/>
        <w:ind w:firstLine="480"/>
        <w:rPr>
          <w:rFonts w:hint="eastAsia" w:hAnsi="宋体" w:eastAsia="宋体" w:cs="宋体"/>
          <w:color w:val="000000"/>
          <w:szCs w:val="22"/>
          <w:lang w:val="en-US"/>
        </w:rPr>
      </w:pPr>
      <w:r>
        <w:rPr>
          <w:rFonts w:hint="eastAsia" w:hAnsi="宋体" w:eastAsia="宋体" w:cs="宋体"/>
          <w:color w:val="000000"/>
          <w:szCs w:val="22"/>
          <w:lang w:val="en-US"/>
        </w:rPr>
        <w:t>（一）安置的残疾人占本单位在职职工人数的比例不低于25%（含25%），并且安置的残疾人人数不少于10人（含10人）；</w:t>
      </w:r>
    </w:p>
    <w:p>
      <w:pPr>
        <w:pStyle w:val="18"/>
        <w:ind w:firstLine="480"/>
        <w:rPr>
          <w:rFonts w:hint="eastAsia" w:hAnsi="宋体" w:eastAsia="宋体" w:cs="宋体"/>
          <w:color w:val="000000"/>
          <w:szCs w:val="22"/>
          <w:lang w:val="en-US"/>
        </w:rPr>
      </w:pPr>
      <w:r>
        <w:rPr>
          <w:rFonts w:hint="eastAsia" w:hAnsi="宋体" w:eastAsia="宋体" w:cs="宋体"/>
          <w:color w:val="000000"/>
          <w:szCs w:val="22"/>
          <w:lang w:val="en-US"/>
        </w:rPr>
        <w:t>（二）依法与安置的每位残疾人签订了一年以上（含一年）的劳动合同或服务协议；</w:t>
      </w:r>
    </w:p>
    <w:p>
      <w:pPr>
        <w:pStyle w:val="18"/>
        <w:ind w:firstLine="480"/>
        <w:rPr>
          <w:rFonts w:hint="eastAsia" w:hAnsi="宋体" w:eastAsia="宋体" w:cs="宋体"/>
          <w:color w:val="000000"/>
          <w:szCs w:val="22"/>
          <w:lang w:val="en-US"/>
        </w:rPr>
      </w:pPr>
      <w:r>
        <w:rPr>
          <w:rFonts w:hint="eastAsia" w:hAnsi="宋体" w:eastAsia="宋体" w:cs="宋体"/>
          <w:color w:val="000000"/>
          <w:szCs w:val="22"/>
          <w:lang w:val="en-US"/>
        </w:rPr>
        <w:t>（三）为安置的每位残疾人按月足额缴纳了基本养老保险、基本医疗保险、失业保险、工伤保险和生育保险等社会保险费；</w:t>
      </w:r>
    </w:p>
    <w:p>
      <w:pPr>
        <w:pStyle w:val="18"/>
        <w:ind w:firstLine="480"/>
        <w:rPr>
          <w:rFonts w:hint="eastAsia" w:hAnsi="宋体" w:eastAsia="宋体" w:cs="宋体"/>
          <w:color w:val="000000"/>
          <w:szCs w:val="22"/>
          <w:lang w:val="en-US"/>
        </w:rPr>
      </w:pPr>
      <w:r>
        <w:rPr>
          <w:rFonts w:hint="eastAsia" w:hAnsi="宋体" w:eastAsia="宋体" w:cs="宋体"/>
          <w:color w:val="000000"/>
          <w:szCs w:val="22"/>
          <w:lang w:val="en-US"/>
        </w:rPr>
        <w:t>（四）通过银行等金融机构向安置的每位残疾人，按月支付了不低于单位所在区县适用的经省级人民政府批准的月最低工资标准的工资；</w:t>
      </w:r>
    </w:p>
    <w:p>
      <w:pPr>
        <w:pStyle w:val="18"/>
        <w:ind w:firstLine="480"/>
        <w:rPr>
          <w:rFonts w:hint="eastAsia" w:hAnsi="宋体" w:eastAsia="宋体" w:cs="宋体"/>
          <w:color w:val="000000"/>
          <w:szCs w:val="22"/>
          <w:lang w:val="en-US"/>
        </w:rPr>
      </w:pPr>
      <w:r>
        <w:rPr>
          <w:rFonts w:hint="eastAsia" w:hAnsi="宋体" w:eastAsia="宋体" w:cs="宋体"/>
          <w:color w:val="000000"/>
          <w:szCs w:val="22"/>
          <w:lang w:val="en-US"/>
        </w:rPr>
        <w:t>（五）提供本单位制造的货物、承担的工程或者服务（以下简称产品），或者提供其他残疾人福利性单位制造的货物（不包括使用非残疾人福利性单位注册商标的货物）。</w:t>
      </w:r>
    </w:p>
    <w:p>
      <w:pPr>
        <w:pStyle w:val="18"/>
        <w:ind w:firstLine="480"/>
        <w:rPr>
          <w:rFonts w:hint="eastAsia" w:hAnsi="宋体" w:eastAsia="宋体" w:cs="宋体"/>
          <w:color w:val="000000"/>
          <w:szCs w:val="22"/>
          <w:lang w:val="en-US"/>
        </w:rPr>
      </w:pPr>
      <w:r>
        <w:rPr>
          <w:rFonts w:hint="eastAsia" w:hAnsi="宋体" w:eastAsia="宋体" w:cs="宋体"/>
          <w:color w:val="000000"/>
          <w:szCs w:val="22"/>
          <w:lang w:val="en-US"/>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pacing w:line="360" w:lineRule="auto"/>
        <w:jc w:val="center"/>
        <w:outlineLvl w:val="2"/>
        <w:rPr>
          <w:rFonts w:hint="eastAsia" w:ascii="宋体" w:hAnsi="宋体" w:eastAsia="宋体" w:cs="宋体"/>
          <w:b/>
          <w:color w:val="000000"/>
          <w:sz w:val="30"/>
          <w:szCs w:val="30"/>
        </w:rPr>
      </w:pPr>
      <w:r>
        <w:rPr>
          <w:rFonts w:hint="eastAsia" w:ascii="宋体" w:hAnsi="宋体" w:eastAsia="宋体" w:cs="宋体"/>
          <w:b/>
          <w:color w:val="000000"/>
        </w:rPr>
        <w:br w:type="page"/>
      </w:r>
      <w:bookmarkStart w:id="94" w:name="_Toc17141"/>
      <w:bookmarkStart w:id="95" w:name="_Toc16098"/>
      <w:r>
        <w:rPr>
          <w:rFonts w:hint="eastAsia" w:ascii="宋体" w:hAnsi="宋体" w:eastAsia="宋体" w:cs="宋体"/>
          <w:b/>
          <w:color w:val="000000"/>
          <w:sz w:val="30"/>
          <w:szCs w:val="30"/>
        </w:rPr>
        <w:t>政府采购支持中小企业信用融资相关事项通知</w:t>
      </w:r>
      <w:bookmarkEnd w:id="94"/>
      <w:bookmarkEnd w:id="95"/>
    </w:p>
    <w:p>
      <w:pPr>
        <w:spacing w:line="360" w:lineRule="auto"/>
        <w:jc w:val="center"/>
        <w:rPr>
          <w:rFonts w:hint="eastAsia" w:ascii="宋体" w:hAnsi="宋体" w:eastAsia="宋体" w:cs="宋体"/>
          <w:b/>
          <w:color w:val="000000"/>
          <w:sz w:val="30"/>
          <w:szCs w:val="30"/>
        </w:rPr>
      </w:pP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hint="eastAsia" w:ascii="宋体" w:hAnsi="宋体" w:eastAsia="宋体" w:cs="宋体"/>
          <w:b/>
          <w:color w:val="000000"/>
          <w:szCs w:val="24"/>
        </w:rPr>
      </w:pPr>
      <w:r>
        <w:rPr>
          <w:rFonts w:hint="eastAsia" w:ascii="宋体" w:hAnsi="宋体" w:eastAsia="宋体" w:cs="宋体"/>
          <w:b/>
          <w:color w:val="000000"/>
          <w:szCs w:val="24"/>
        </w:rPr>
        <w:t>一、适用对象</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在浙江政府采购网注册入库，并取得杭州市政府采购合同的杭州市内中小企业供应商。</w:t>
      </w:r>
    </w:p>
    <w:p>
      <w:pPr>
        <w:spacing w:line="360" w:lineRule="auto"/>
        <w:ind w:firstLine="482" w:firstLineChars="200"/>
        <w:rPr>
          <w:rFonts w:hint="eastAsia" w:ascii="宋体" w:hAnsi="宋体" w:eastAsia="宋体" w:cs="宋体"/>
          <w:b/>
          <w:color w:val="000000"/>
          <w:szCs w:val="24"/>
        </w:rPr>
      </w:pPr>
      <w:r>
        <w:rPr>
          <w:rFonts w:hint="eastAsia" w:ascii="宋体" w:hAnsi="宋体" w:eastAsia="宋体" w:cs="宋体"/>
          <w:b/>
          <w:color w:val="000000"/>
          <w:szCs w:val="24"/>
        </w:rPr>
        <w:t>二、相关信息获取方式</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请登陆杭州市政府采购网“中小企业信用融资”模块，查看信用融资政策文件及各相关银行服务方案。</w:t>
      </w:r>
    </w:p>
    <w:p>
      <w:pPr>
        <w:spacing w:line="360" w:lineRule="auto"/>
        <w:ind w:firstLine="482" w:firstLineChars="200"/>
        <w:rPr>
          <w:rFonts w:hint="eastAsia" w:ascii="宋体" w:hAnsi="宋体" w:eastAsia="宋体" w:cs="宋体"/>
          <w:b/>
          <w:color w:val="000000"/>
          <w:szCs w:val="24"/>
        </w:rPr>
      </w:pPr>
      <w:r>
        <w:rPr>
          <w:rFonts w:hint="eastAsia" w:ascii="宋体" w:hAnsi="宋体" w:eastAsia="宋体" w:cs="宋体"/>
          <w:b/>
          <w:color w:val="000000"/>
          <w:szCs w:val="24"/>
        </w:rPr>
        <w:t>三、申请方式和步骤</w:t>
      </w:r>
    </w:p>
    <w:p>
      <w:pPr>
        <w:spacing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（一）“云采贷”融资</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1、供应商先与银行对接，办理融资前期手续；</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2、供应商中标后，登录“中小企业信用融资”模块测算授信额度，并向银行发出融资申请；</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3、银行线上审批通过后，办理放贷手续。</w:t>
      </w:r>
    </w:p>
    <w:p>
      <w:pPr>
        <w:spacing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（二）一般融资</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1、供应商先与银行对接，办理融资前期手续；</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2、供应商中标后，登陆杭州市政府采购网“中小企业信用融资”模块，向相关合作银行发出融资申请；</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3、银行在“中小企业信用融资”模块受理申请；</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4、银行、供应商线下办理审批、放贷事宜。</w:t>
      </w:r>
    </w:p>
    <w:p>
      <w:pPr>
        <w:spacing w:line="360" w:lineRule="auto"/>
        <w:ind w:firstLine="482" w:firstLineChars="200"/>
        <w:rPr>
          <w:rFonts w:hint="eastAsia" w:ascii="宋体" w:hAnsi="宋体" w:eastAsia="宋体" w:cs="宋体"/>
          <w:b/>
          <w:color w:val="000000"/>
          <w:szCs w:val="24"/>
        </w:rPr>
      </w:pPr>
      <w:r>
        <w:rPr>
          <w:rFonts w:hint="eastAsia" w:ascii="宋体" w:hAnsi="宋体" w:eastAsia="宋体" w:cs="宋体"/>
          <w:b/>
          <w:color w:val="000000"/>
          <w:szCs w:val="24"/>
        </w:rPr>
        <w:t>四、注意事项</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1、供应商需确保政府采购合同的收款银行与融资银行一致。</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2、请各采购单位积极支持和配合政府采购信用融资工作，在合同备案环节仔细核对收款银行、账号信息等内容，一旦录入将无法修改。</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Cs w:val="24"/>
        </w:rPr>
        <w:t>3、技术服务热线：87210880；如有业务问题可与各合作银行联系。</w:t>
      </w:r>
    </w:p>
    <w:p>
      <w:pPr>
        <w:spacing w:line="360" w:lineRule="auto"/>
        <w:ind w:firstLine="480" w:firstLineChars="200"/>
        <w:rPr>
          <w:rFonts w:hint="eastAsia" w:ascii="宋体" w:hAnsi="宋体" w:eastAsia="宋体" w:cs="宋体"/>
          <w:color w:val="000000"/>
        </w:rPr>
      </w:pPr>
    </w:p>
    <w:p>
      <w:pPr>
        <w:spacing w:line="360" w:lineRule="auto"/>
        <w:rPr>
          <w:rFonts w:hint="eastAsia" w:ascii="宋体" w:hAnsi="宋体" w:eastAsia="宋体" w:cs="宋体"/>
          <w:color w:val="000000"/>
        </w:rPr>
      </w:pPr>
    </w:p>
    <w:p>
      <w:pPr>
        <w:autoSpaceDE w:val="0"/>
        <w:autoSpaceDN w:val="0"/>
        <w:adjustRightInd w:val="0"/>
        <w:spacing w:line="360" w:lineRule="auto"/>
        <w:rPr>
          <w:rFonts w:hint="eastAsia" w:ascii="宋体" w:hAnsi="宋体" w:eastAsia="宋体" w:cs="宋体"/>
          <w:b/>
          <w:color w:val="000000"/>
        </w:rPr>
      </w:pPr>
      <w:r>
        <w:rPr>
          <w:rFonts w:hint="eastAsia" w:ascii="宋体" w:hAnsi="宋体" w:eastAsia="宋体" w:cs="宋体"/>
          <w:b/>
          <w:color w:val="000000"/>
        </w:rPr>
        <w:br w:type="page"/>
      </w:r>
      <w:r>
        <w:rPr>
          <w:rFonts w:hint="eastAsia" w:ascii="宋体" w:hAnsi="宋体" w:eastAsia="宋体" w:cs="宋体"/>
          <w:b/>
          <w:color w:val="000000"/>
          <w:sz w:val="28"/>
          <w:szCs w:val="28"/>
        </w:rPr>
        <w:t>附件：质疑函范本及制作说明</w:t>
      </w:r>
    </w:p>
    <w:p>
      <w:pPr>
        <w:spacing w:line="360" w:lineRule="auto"/>
        <w:jc w:val="left"/>
        <w:rPr>
          <w:rFonts w:hint="eastAsia" w:ascii="宋体" w:hAnsi="宋体" w:eastAsia="宋体" w:cs="宋体"/>
          <w:b/>
          <w:color w:val="000000"/>
          <w:spacing w:val="6"/>
          <w:sz w:val="32"/>
          <w:szCs w:val="32"/>
        </w:rPr>
      </w:pPr>
    </w:p>
    <w:p>
      <w:pPr>
        <w:spacing w:line="360" w:lineRule="auto"/>
        <w:jc w:val="center"/>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t>质疑函范本</w:t>
      </w:r>
    </w:p>
    <w:p>
      <w:pPr>
        <w:snapToGrid w:val="0"/>
        <w:spacing w:before="240" w:beforeLines="100" w:line="360" w:lineRule="auto"/>
        <w:rPr>
          <w:rFonts w:hint="eastAsia" w:ascii="宋体" w:hAnsi="宋体" w:eastAsia="宋体" w:cs="宋体"/>
          <w:bCs/>
          <w:color w:val="000000"/>
        </w:rPr>
      </w:pPr>
      <w:r>
        <w:rPr>
          <w:rFonts w:hint="eastAsia" w:ascii="宋体" w:hAnsi="宋体" w:eastAsia="宋体" w:cs="宋体"/>
          <w:bCs/>
          <w:color w:val="000000"/>
        </w:rPr>
        <w:t>一、质疑供应商基本信息</w:t>
      </w:r>
    </w:p>
    <w:p>
      <w:pPr>
        <w:snapToGrid w:val="0"/>
        <w:spacing w:line="360" w:lineRule="auto"/>
        <w:rPr>
          <w:rFonts w:hint="eastAsia" w:ascii="宋体" w:hAnsi="宋体" w:eastAsia="宋体" w:cs="宋体"/>
          <w:color w:val="000000"/>
          <w:u w:val="dotted"/>
        </w:rPr>
      </w:pPr>
      <w:r>
        <w:rPr>
          <w:rFonts w:hint="eastAsia" w:ascii="宋体" w:hAnsi="宋体" w:eastAsia="宋体" w:cs="宋体"/>
          <w:color w:val="000000"/>
        </w:rPr>
        <w:t>质疑供应商：</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rPr>
      </w:pPr>
      <w:r>
        <w:rPr>
          <w:rFonts w:hint="eastAsia" w:ascii="宋体" w:hAnsi="宋体" w:eastAsia="宋体" w:cs="宋体"/>
          <w:color w:val="000000"/>
        </w:rPr>
        <w:t>地址：</w:t>
      </w:r>
      <w:r>
        <w:rPr>
          <w:rFonts w:hint="eastAsia" w:ascii="宋体" w:hAnsi="宋体" w:eastAsia="宋体" w:cs="宋体"/>
          <w:color w:val="000000"/>
          <w:u w:val="dotted"/>
        </w:rPr>
        <w:t xml:space="preserve">                          </w:t>
      </w:r>
      <w:r>
        <w:rPr>
          <w:rFonts w:hint="eastAsia" w:ascii="宋体" w:hAnsi="宋体" w:eastAsia="宋体" w:cs="宋体"/>
          <w:color w:val="000000"/>
        </w:rPr>
        <w:t>邮编：</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rPr>
      </w:pPr>
      <w:r>
        <w:rPr>
          <w:rFonts w:hint="eastAsia" w:ascii="宋体" w:hAnsi="宋体" w:eastAsia="宋体" w:cs="宋体"/>
          <w:color w:val="000000"/>
        </w:rPr>
        <w:t>联系人：</w:t>
      </w:r>
      <w:r>
        <w:rPr>
          <w:rFonts w:hint="eastAsia" w:ascii="宋体" w:hAnsi="宋体" w:eastAsia="宋体" w:cs="宋体"/>
          <w:color w:val="000000"/>
          <w:u w:val="dotted"/>
        </w:rPr>
        <w:t xml:space="preserve">                      </w:t>
      </w:r>
      <w:r>
        <w:rPr>
          <w:rFonts w:hint="eastAsia" w:ascii="宋体" w:hAnsi="宋体" w:eastAsia="宋体" w:cs="宋体"/>
          <w:color w:val="000000"/>
        </w:rPr>
        <w:t>联系电话：</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u w:val="dotted"/>
        </w:rPr>
      </w:pPr>
      <w:r>
        <w:rPr>
          <w:rFonts w:hint="eastAsia" w:ascii="宋体" w:hAnsi="宋体" w:eastAsia="宋体" w:cs="宋体"/>
          <w:color w:val="000000"/>
        </w:rPr>
        <w:t>授权代表：</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rPr>
      </w:pPr>
      <w:r>
        <w:rPr>
          <w:rFonts w:hint="eastAsia" w:ascii="宋体" w:hAnsi="宋体" w:eastAsia="宋体" w:cs="宋体"/>
          <w:color w:val="000000"/>
        </w:rPr>
        <w:t>联系电话：</w:t>
      </w:r>
      <w:r>
        <w:rPr>
          <w:rFonts w:hint="eastAsia" w:ascii="宋体" w:hAnsi="宋体" w:eastAsia="宋体" w:cs="宋体"/>
          <w:color w:val="000000"/>
          <w:u w:val="dotted"/>
        </w:rPr>
        <w:t xml:space="preserve">                                           </w:t>
      </w:r>
      <w:r>
        <w:rPr>
          <w:rFonts w:hint="eastAsia" w:ascii="宋体" w:hAnsi="宋体" w:eastAsia="宋体" w:cs="宋体"/>
          <w:color w:val="000000"/>
        </w:rPr>
        <w:t xml:space="preserve"> </w:t>
      </w:r>
    </w:p>
    <w:p>
      <w:pPr>
        <w:snapToGrid w:val="0"/>
        <w:spacing w:line="360" w:lineRule="auto"/>
        <w:rPr>
          <w:rFonts w:hint="eastAsia" w:ascii="宋体" w:hAnsi="宋体" w:eastAsia="宋体" w:cs="宋体"/>
          <w:color w:val="000000"/>
        </w:rPr>
      </w:pPr>
      <w:r>
        <w:rPr>
          <w:rFonts w:hint="eastAsia" w:ascii="宋体" w:hAnsi="宋体" w:eastAsia="宋体" w:cs="宋体"/>
          <w:color w:val="000000"/>
        </w:rPr>
        <w:t xml:space="preserve">地址： </w:t>
      </w:r>
      <w:r>
        <w:rPr>
          <w:rFonts w:hint="eastAsia" w:ascii="宋体" w:hAnsi="宋体" w:eastAsia="宋体" w:cs="宋体"/>
          <w:color w:val="000000"/>
          <w:u w:val="dotted"/>
        </w:rPr>
        <w:t xml:space="preserve">                        </w:t>
      </w:r>
      <w:r>
        <w:rPr>
          <w:rFonts w:hint="eastAsia" w:ascii="宋体" w:hAnsi="宋体" w:eastAsia="宋体" w:cs="宋体"/>
          <w:color w:val="000000"/>
        </w:rPr>
        <w:t>邮编：</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bCs/>
          <w:color w:val="000000"/>
        </w:rPr>
      </w:pPr>
      <w:r>
        <w:rPr>
          <w:rFonts w:hint="eastAsia" w:ascii="宋体" w:hAnsi="宋体" w:eastAsia="宋体" w:cs="宋体"/>
          <w:bCs/>
          <w:color w:val="000000"/>
        </w:rPr>
        <w:t>二、质疑项目基本情况</w:t>
      </w:r>
    </w:p>
    <w:p>
      <w:pPr>
        <w:snapToGrid w:val="0"/>
        <w:spacing w:line="360" w:lineRule="auto"/>
        <w:rPr>
          <w:rFonts w:hint="eastAsia" w:ascii="宋体" w:hAnsi="宋体" w:eastAsia="宋体" w:cs="宋体"/>
          <w:color w:val="000000"/>
        </w:rPr>
      </w:pPr>
      <w:r>
        <w:rPr>
          <w:rFonts w:hint="eastAsia" w:ascii="宋体" w:hAnsi="宋体" w:eastAsia="宋体" w:cs="宋体"/>
          <w:color w:val="000000"/>
        </w:rPr>
        <w:t>质疑项目的名称：</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rPr>
      </w:pPr>
      <w:r>
        <w:rPr>
          <w:rFonts w:hint="eastAsia" w:ascii="宋体" w:hAnsi="宋体" w:eastAsia="宋体" w:cs="宋体"/>
          <w:color w:val="000000"/>
        </w:rPr>
        <w:t>质疑项目的编号：</w:t>
      </w:r>
      <w:r>
        <w:rPr>
          <w:rFonts w:hint="eastAsia" w:ascii="宋体" w:hAnsi="宋体" w:eastAsia="宋体" w:cs="宋体"/>
          <w:color w:val="000000"/>
          <w:u w:val="dotted"/>
        </w:rPr>
        <w:t xml:space="preserve">               </w:t>
      </w:r>
      <w:r>
        <w:rPr>
          <w:rFonts w:hint="eastAsia" w:ascii="宋体" w:hAnsi="宋体" w:eastAsia="宋体" w:cs="宋体"/>
          <w:color w:val="000000"/>
        </w:rPr>
        <w:t>包号：</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u w:val="dotted"/>
        </w:rPr>
      </w:pPr>
      <w:r>
        <w:rPr>
          <w:rFonts w:hint="eastAsia" w:ascii="宋体" w:hAnsi="宋体" w:eastAsia="宋体" w:cs="宋体"/>
          <w:color w:val="000000"/>
        </w:rPr>
        <w:t>采购人名称：</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rPr>
      </w:pPr>
      <w:r>
        <w:rPr>
          <w:rFonts w:hint="eastAsia" w:ascii="宋体" w:hAnsi="宋体" w:eastAsia="宋体" w:cs="宋体"/>
          <w:color w:val="000000"/>
        </w:rPr>
        <w:t>采购文件获取日期：</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bCs/>
          <w:color w:val="000000"/>
        </w:rPr>
      </w:pPr>
      <w:r>
        <w:rPr>
          <w:rFonts w:hint="eastAsia" w:ascii="宋体" w:hAnsi="宋体" w:eastAsia="宋体" w:cs="宋体"/>
          <w:bCs/>
          <w:color w:val="000000"/>
        </w:rPr>
        <w:t>三、质疑事项具体内容</w:t>
      </w:r>
    </w:p>
    <w:p>
      <w:pPr>
        <w:snapToGrid w:val="0"/>
        <w:spacing w:line="360" w:lineRule="auto"/>
        <w:rPr>
          <w:rFonts w:hint="eastAsia" w:ascii="宋体" w:hAnsi="宋体" w:eastAsia="宋体" w:cs="宋体"/>
          <w:color w:val="000000"/>
          <w:u w:val="dotted"/>
        </w:rPr>
      </w:pPr>
      <w:r>
        <w:rPr>
          <w:rFonts w:hint="eastAsia" w:ascii="宋体" w:hAnsi="宋体" w:eastAsia="宋体" w:cs="宋体"/>
          <w:color w:val="000000"/>
        </w:rPr>
        <w:t>质疑事项1：</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u w:val="dotted"/>
        </w:rPr>
      </w:pPr>
      <w:r>
        <w:rPr>
          <w:rFonts w:hint="eastAsia" w:ascii="宋体" w:hAnsi="宋体" w:eastAsia="宋体" w:cs="宋体"/>
          <w:color w:val="000000"/>
        </w:rPr>
        <w:t>事实依据：</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rPr>
      </w:pP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u w:val="dotted"/>
        </w:rPr>
      </w:pPr>
      <w:r>
        <w:rPr>
          <w:rFonts w:hint="eastAsia" w:ascii="宋体" w:hAnsi="宋体" w:eastAsia="宋体" w:cs="宋体"/>
          <w:color w:val="000000"/>
        </w:rPr>
        <w:t>法律依据：</w:t>
      </w: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u w:val="dotted"/>
        </w:rPr>
      </w:pPr>
      <w:r>
        <w:rPr>
          <w:rFonts w:hint="eastAsia" w:ascii="宋体" w:hAnsi="宋体" w:eastAsia="宋体" w:cs="宋体"/>
          <w:color w:val="000000"/>
          <w:u w:val="dotted"/>
        </w:rPr>
        <w:t xml:space="preserve">                                                     </w:t>
      </w:r>
    </w:p>
    <w:p>
      <w:pPr>
        <w:snapToGrid w:val="0"/>
        <w:spacing w:line="360" w:lineRule="auto"/>
        <w:rPr>
          <w:rFonts w:hint="eastAsia" w:ascii="宋体" w:hAnsi="宋体" w:eastAsia="宋体" w:cs="宋体"/>
          <w:color w:val="000000"/>
          <w:u w:val="dotted"/>
        </w:rPr>
      </w:pPr>
      <w:r>
        <w:rPr>
          <w:rFonts w:hint="eastAsia" w:ascii="宋体" w:hAnsi="宋体" w:eastAsia="宋体" w:cs="宋体"/>
          <w:color w:val="000000"/>
        </w:rPr>
        <w:t>质疑事项2</w:t>
      </w:r>
    </w:p>
    <w:p>
      <w:pPr>
        <w:snapToGrid w:val="0"/>
        <w:spacing w:line="360" w:lineRule="auto"/>
        <w:rPr>
          <w:rFonts w:hint="eastAsia" w:ascii="宋体" w:hAnsi="宋体" w:eastAsia="宋体" w:cs="宋体"/>
          <w:color w:val="000000"/>
        </w:rPr>
      </w:pPr>
      <w:r>
        <w:rPr>
          <w:rFonts w:hint="eastAsia" w:ascii="宋体" w:hAnsi="宋体" w:eastAsia="宋体" w:cs="宋体"/>
          <w:color w:val="000000"/>
        </w:rPr>
        <w:t>……</w:t>
      </w:r>
    </w:p>
    <w:p>
      <w:pPr>
        <w:snapToGrid w:val="0"/>
        <w:spacing w:line="360" w:lineRule="auto"/>
        <w:rPr>
          <w:rFonts w:hint="eastAsia" w:ascii="宋体" w:hAnsi="宋体" w:eastAsia="宋体" w:cs="宋体"/>
          <w:bCs/>
          <w:color w:val="000000"/>
        </w:rPr>
      </w:pPr>
      <w:r>
        <w:rPr>
          <w:rFonts w:hint="eastAsia" w:ascii="宋体" w:hAnsi="宋体" w:eastAsia="宋体" w:cs="宋体"/>
          <w:bCs/>
          <w:color w:val="000000"/>
        </w:rPr>
        <w:t>四、与质疑事项相关的质疑请求</w:t>
      </w:r>
    </w:p>
    <w:p>
      <w:pPr>
        <w:snapToGrid w:val="0"/>
        <w:spacing w:line="360" w:lineRule="auto"/>
        <w:rPr>
          <w:rFonts w:hint="eastAsia" w:ascii="宋体" w:hAnsi="宋体" w:eastAsia="宋体" w:cs="宋体"/>
          <w:color w:val="000000"/>
          <w:u w:val="dotted"/>
        </w:rPr>
      </w:pPr>
      <w:r>
        <w:rPr>
          <w:rFonts w:hint="eastAsia" w:ascii="宋体" w:hAnsi="宋体" w:eastAsia="宋体" w:cs="宋体"/>
          <w:color w:val="000000"/>
        </w:rPr>
        <w:t>请求：</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 xml:space="preserve">签字(签章)：                   公章：                      </w:t>
      </w:r>
    </w:p>
    <w:p>
      <w:pPr>
        <w:spacing w:line="360" w:lineRule="auto"/>
        <w:rPr>
          <w:rFonts w:hint="eastAsia" w:ascii="宋体" w:hAnsi="宋体" w:eastAsia="宋体" w:cs="宋体"/>
          <w:color w:val="000000"/>
        </w:rPr>
      </w:pPr>
      <w:r>
        <w:rPr>
          <w:rFonts w:hint="eastAsia" w:ascii="宋体" w:hAnsi="宋体" w:eastAsia="宋体" w:cs="宋体"/>
          <w:color w:val="000000"/>
        </w:rPr>
        <w:t xml:space="preserve">日期：    </w:t>
      </w:r>
    </w:p>
    <w:p>
      <w:pPr>
        <w:spacing w:line="360" w:lineRule="auto"/>
        <w:jc w:val="center"/>
        <w:rPr>
          <w:rFonts w:hint="eastAsia" w:ascii="宋体" w:hAnsi="宋体" w:eastAsia="宋体" w:cs="宋体"/>
          <w:b/>
          <w:bCs/>
          <w:color w:val="000000"/>
        </w:rPr>
      </w:pPr>
    </w:p>
    <w:p>
      <w:pPr>
        <w:spacing w:line="360" w:lineRule="auto"/>
        <w:rPr>
          <w:rFonts w:hint="eastAsia" w:ascii="宋体" w:hAnsi="宋体" w:eastAsia="宋体" w:cs="宋体"/>
          <w:b/>
          <w:color w:val="000000"/>
        </w:rPr>
      </w:pPr>
    </w:p>
    <w:p>
      <w:pPr>
        <w:spacing w:line="360" w:lineRule="auto"/>
        <w:rPr>
          <w:rFonts w:hint="eastAsia" w:ascii="宋体" w:hAnsi="宋体" w:eastAsia="宋体" w:cs="宋体"/>
          <w:b/>
          <w:color w:val="000000"/>
        </w:rPr>
      </w:pPr>
    </w:p>
    <w:p>
      <w:pPr>
        <w:spacing w:line="360" w:lineRule="auto"/>
        <w:rPr>
          <w:rFonts w:hint="eastAsia" w:ascii="宋体" w:hAnsi="宋体" w:eastAsia="宋体" w:cs="宋体"/>
          <w:b/>
          <w:color w:val="000000"/>
        </w:rPr>
      </w:pPr>
    </w:p>
    <w:p>
      <w:pPr>
        <w:spacing w:line="360" w:lineRule="auto"/>
        <w:rPr>
          <w:rFonts w:hint="eastAsia" w:ascii="宋体" w:hAnsi="宋体" w:eastAsia="宋体" w:cs="宋体"/>
          <w:b/>
          <w:color w:val="000000"/>
        </w:rPr>
      </w:pPr>
      <w:r>
        <w:rPr>
          <w:rFonts w:hint="eastAsia" w:ascii="宋体" w:hAnsi="宋体" w:eastAsia="宋体" w:cs="宋体"/>
          <w:b/>
          <w:color w:val="000000"/>
        </w:rPr>
        <w:t>质疑函制作说明：</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1.供应商提出质疑时，应提交质疑函和必要的证明材料。</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2.质疑供应商若委托代理人进行质疑的，质疑函应按要求列明“授权代表”的有关内容，并在附件中提交由质疑</w:t>
      </w:r>
      <w:r>
        <w:rPr>
          <w:rFonts w:hint="eastAsia" w:ascii="宋体" w:hAnsi="宋体" w:eastAsia="宋体" w:cs="宋体"/>
          <w:color w:val="000000"/>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5.质疑函的质疑请求应与质疑事项相关。</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000000"/>
          <w:sz w:val="30"/>
          <w:szCs w:val="30"/>
        </w:rPr>
      </w:pPr>
    </w:p>
    <w:p>
      <w:pPr>
        <w:spacing w:line="360" w:lineRule="auto"/>
        <w:jc w:val="left"/>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br w:type="page"/>
      </w:r>
      <w:r>
        <w:rPr>
          <w:rFonts w:hint="eastAsia" w:ascii="宋体" w:hAnsi="宋体" w:eastAsia="宋体" w:cs="宋体"/>
          <w:b/>
          <w:color w:val="000000"/>
          <w:spacing w:val="6"/>
          <w:sz w:val="28"/>
          <w:szCs w:val="28"/>
        </w:rPr>
        <w:t>附件：投诉书范本及制作说明</w:t>
      </w:r>
    </w:p>
    <w:p>
      <w:pPr>
        <w:spacing w:line="360" w:lineRule="auto"/>
        <w:jc w:val="center"/>
        <w:rPr>
          <w:rFonts w:hint="eastAsia" w:ascii="宋体" w:hAnsi="宋体" w:eastAsia="宋体" w:cs="宋体"/>
          <w:b/>
          <w:color w:val="000000"/>
        </w:rPr>
      </w:pPr>
    </w:p>
    <w:p>
      <w:pPr>
        <w:spacing w:line="360" w:lineRule="auto"/>
        <w:jc w:val="center"/>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t>投诉书范本</w:t>
      </w:r>
    </w:p>
    <w:p>
      <w:pPr>
        <w:spacing w:line="360" w:lineRule="auto"/>
        <w:rPr>
          <w:rFonts w:hint="eastAsia" w:ascii="宋体" w:hAnsi="宋体" w:eastAsia="宋体" w:cs="宋体"/>
          <w:color w:val="000000"/>
        </w:rPr>
      </w:pPr>
      <w:r>
        <w:rPr>
          <w:rFonts w:hint="eastAsia" w:ascii="宋体" w:hAnsi="宋体" w:eastAsia="宋体" w:cs="宋体"/>
          <w:color w:val="000000"/>
        </w:rPr>
        <w:t>一、投诉相关主体基本情况</w:t>
      </w:r>
    </w:p>
    <w:p>
      <w:pPr>
        <w:spacing w:line="360" w:lineRule="auto"/>
        <w:rPr>
          <w:rFonts w:hint="eastAsia" w:ascii="宋体" w:hAnsi="宋体" w:eastAsia="宋体" w:cs="宋体"/>
          <w:color w:val="000000"/>
          <w:u w:val="dotted"/>
        </w:rPr>
      </w:pPr>
      <w:r>
        <w:rPr>
          <w:rFonts w:hint="eastAsia" w:ascii="宋体" w:hAnsi="宋体" w:eastAsia="宋体" w:cs="宋体"/>
          <w:color w:val="000000"/>
        </w:rPr>
        <w:t>投诉人：</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地     址：</w:t>
      </w:r>
      <w:r>
        <w:rPr>
          <w:rFonts w:hint="eastAsia" w:ascii="宋体" w:hAnsi="宋体" w:eastAsia="宋体" w:cs="宋体"/>
          <w:color w:val="000000"/>
          <w:u w:val="dotted"/>
        </w:rPr>
        <w:t xml:space="preserve">                             </w:t>
      </w:r>
      <w:r>
        <w:rPr>
          <w:rFonts w:hint="eastAsia" w:ascii="宋体" w:hAnsi="宋体" w:eastAsia="宋体" w:cs="宋体"/>
          <w:color w:val="000000"/>
        </w:rPr>
        <w:t>邮编：</w:t>
      </w:r>
      <w:r>
        <w:rPr>
          <w:rFonts w:hint="eastAsia" w:ascii="宋体" w:hAnsi="宋体" w:eastAsia="宋体" w:cs="宋体"/>
          <w:color w:val="000000"/>
          <w:u w:val="dotted"/>
        </w:rPr>
        <w:t xml:space="preserve">         </w:t>
      </w:r>
    </w:p>
    <w:p>
      <w:pPr>
        <w:tabs>
          <w:tab w:val="left" w:pos="6510"/>
        </w:tabs>
        <w:spacing w:line="360" w:lineRule="auto"/>
        <w:jc w:val="left"/>
        <w:rPr>
          <w:rFonts w:hint="eastAsia" w:ascii="宋体" w:hAnsi="宋体" w:eastAsia="宋体" w:cs="宋体"/>
          <w:color w:val="000000"/>
        </w:rPr>
      </w:pPr>
      <w:r>
        <w:rPr>
          <w:rFonts w:hint="eastAsia" w:ascii="宋体" w:hAnsi="宋体" w:eastAsia="宋体" w:cs="宋体"/>
          <w:color w:val="000000"/>
        </w:rPr>
        <w:t>法定代表人/主要负责人：</w:t>
      </w:r>
      <w:r>
        <w:rPr>
          <w:rFonts w:hint="eastAsia" w:ascii="宋体" w:hAnsi="宋体" w:eastAsia="宋体" w:cs="宋体"/>
          <w:color w:val="000000"/>
          <w:u w:val="dotted"/>
        </w:rPr>
        <w:t xml:space="preserve">                                </w:t>
      </w:r>
    </w:p>
    <w:p>
      <w:pPr>
        <w:tabs>
          <w:tab w:val="left" w:pos="6510"/>
        </w:tabs>
        <w:spacing w:line="360" w:lineRule="auto"/>
        <w:rPr>
          <w:rFonts w:hint="eastAsia" w:ascii="宋体" w:hAnsi="宋体" w:eastAsia="宋体" w:cs="宋体"/>
          <w:color w:val="000000"/>
          <w:u w:val="dotted"/>
        </w:rPr>
      </w:pPr>
      <w:r>
        <w:rPr>
          <w:rFonts w:hint="eastAsia" w:ascii="宋体" w:hAnsi="宋体" w:eastAsia="宋体" w:cs="宋体"/>
          <w:color w:val="000000"/>
        </w:rPr>
        <w:t>联系电话：</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dotted"/>
        </w:rPr>
      </w:pPr>
      <w:r>
        <w:rPr>
          <w:rFonts w:hint="eastAsia" w:ascii="宋体" w:hAnsi="宋体" w:eastAsia="宋体" w:cs="宋体"/>
          <w:color w:val="000000"/>
        </w:rPr>
        <w:t>授权代表：</w:t>
      </w:r>
      <w:r>
        <w:rPr>
          <w:rFonts w:hint="eastAsia" w:ascii="宋体" w:hAnsi="宋体" w:eastAsia="宋体" w:cs="宋体"/>
          <w:color w:val="000000"/>
          <w:u w:val="dotted"/>
        </w:rPr>
        <w:t xml:space="preserve">             </w:t>
      </w:r>
      <w:r>
        <w:rPr>
          <w:rFonts w:hint="eastAsia" w:ascii="宋体" w:hAnsi="宋体" w:eastAsia="宋体" w:cs="宋体"/>
          <w:color w:val="000000"/>
        </w:rPr>
        <w:t>联系电话</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dotted"/>
        </w:rPr>
      </w:pPr>
      <w:r>
        <w:rPr>
          <w:rFonts w:hint="eastAsia" w:ascii="宋体" w:hAnsi="宋体" w:eastAsia="宋体" w:cs="宋体"/>
          <w:color w:val="000000"/>
        </w:rPr>
        <w:t>地     址：</w:t>
      </w:r>
      <w:r>
        <w:rPr>
          <w:rFonts w:hint="eastAsia" w:ascii="宋体" w:hAnsi="宋体" w:eastAsia="宋体" w:cs="宋体"/>
          <w:color w:val="000000"/>
          <w:u w:val="dotted"/>
        </w:rPr>
        <w:t xml:space="preserve">                             </w:t>
      </w:r>
      <w:r>
        <w:rPr>
          <w:rFonts w:hint="eastAsia" w:ascii="宋体" w:hAnsi="宋体" w:eastAsia="宋体" w:cs="宋体"/>
          <w:color w:val="000000"/>
        </w:rPr>
        <w:t>邮编：</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被投诉人1：</w:t>
      </w:r>
      <w:r>
        <w:rPr>
          <w:rFonts w:hint="eastAsia" w:ascii="宋体" w:hAnsi="宋体" w:eastAsia="宋体" w:cs="宋体"/>
          <w:color w:val="000000"/>
          <w:u w:val="dotted"/>
        </w:rPr>
        <w:t xml:space="preserve">                                           </w:t>
      </w:r>
      <w:r>
        <w:rPr>
          <w:rFonts w:hint="eastAsia" w:ascii="宋体" w:hAnsi="宋体" w:eastAsia="宋体" w:cs="宋体"/>
          <w:color w:val="000000"/>
          <w:u w:val="single"/>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地     址：</w:t>
      </w:r>
      <w:r>
        <w:rPr>
          <w:rFonts w:hint="eastAsia" w:ascii="宋体" w:hAnsi="宋体" w:eastAsia="宋体" w:cs="宋体"/>
          <w:color w:val="000000"/>
          <w:u w:val="dotted"/>
        </w:rPr>
        <w:t xml:space="preserve">                             </w:t>
      </w:r>
      <w:r>
        <w:rPr>
          <w:rFonts w:hint="eastAsia" w:ascii="宋体" w:hAnsi="宋体" w:eastAsia="宋体" w:cs="宋体"/>
          <w:color w:val="000000"/>
        </w:rPr>
        <w:t>邮编：</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联系人：</w:t>
      </w:r>
      <w:r>
        <w:rPr>
          <w:rFonts w:hint="eastAsia" w:ascii="宋体" w:hAnsi="宋体" w:eastAsia="宋体" w:cs="宋体"/>
          <w:color w:val="000000"/>
          <w:u w:val="dotted"/>
        </w:rPr>
        <w:t xml:space="preserve">               </w:t>
      </w:r>
      <w:r>
        <w:rPr>
          <w:rFonts w:hint="eastAsia" w:ascii="宋体" w:hAnsi="宋体" w:eastAsia="宋体" w:cs="宋体"/>
          <w:color w:val="000000"/>
        </w:rPr>
        <w:t>联系电话：</w:t>
      </w:r>
      <w:r>
        <w:rPr>
          <w:rFonts w:hint="eastAsia" w:ascii="宋体" w:hAnsi="宋体" w:eastAsia="宋体" w:cs="宋体"/>
          <w:color w:val="000000"/>
          <w:u w:val="dotted"/>
        </w:rPr>
        <w:t xml:space="preserve">                      </w:t>
      </w:r>
      <w:r>
        <w:rPr>
          <w:rFonts w:hint="eastAsia" w:ascii="宋体" w:hAnsi="宋体" w:eastAsia="宋体" w:cs="宋体"/>
          <w:color w:val="000000"/>
          <w:u w:val="single"/>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被投诉人2</w:t>
      </w:r>
    </w:p>
    <w:p>
      <w:pPr>
        <w:spacing w:line="360" w:lineRule="auto"/>
        <w:rPr>
          <w:rFonts w:hint="eastAsia" w:ascii="宋体" w:hAnsi="宋体" w:eastAsia="宋体" w:cs="宋体"/>
          <w:color w:val="000000"/>
          <w:u w:val="dotted"/>
        </w:rPr>
      </w:pPr>
      <w:r>
        <w:rPr>
          <w:rFonts w:hint="eastAsia" w:ascii="宋体" w:hAnsi="宋体" w:eastAsia="宋体" w:cs="宋体"/>
          <w:color w:val="000000"/>
        </w:rPr>
        <w:t>……</w:t>
      </w:r>
    </w:p>
    <w:p>
      <w:pPr>
        <w:spacing w:line="360" w:lineRule="auto"/>
        <w:rPr>
          <w:rFonts w:hint="eastAsia" w:ascii="宋体" w:hAnsi="宋体" w:eastAsia="宋体" w:cs="宋体"/>
          <w:color w:val="000000"/>
          <w:u w:val="single"/>
        </w:rPr>
      </w:pPr>
      <w:r>
        <w:rPr>
          <w:rFonts w:hint="eastAsia" w:ascii="宋体" w:hAnsi="宋体" w:eastAsia="宋体" w:cs="宋体"/>
          <w:color w:val="000000"/>
        </w:rPr>
        <w:t>相关供应商：</w:t>
      </w:r>
      <w:r>
        <w:rPr>
          <w:rFonts w:hint="eastAsia" w:ascii="宋体" w:hAnsi="宋体" w:eastAsia="宋体" w:cs="宋体"/>
          <w:color w:val="000000"/>
          <w:u w:val="dotted"/>
        </w:rPr>
        <w:t xml:space="preserve">                                           </w:t>
      </w:r>
      <w:r>
        <w:rPr>
          <w:rFonts w:hint="eastAsia" w:ascii="宋体" w:hAnsi="宋体" w:eastAsia="宋体" w:cs="宋体"/>
          <w:color w:val="000000"/>
          <w:u w:val="single"/>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地     址：</w:t>
      </w:r>
      <w:r>
        <w:rPr>
          <w:rFonts w:hint="eastAsia" w:ascii="宋体" w:hAnsi="宋体" w:eastAsia="宋体" w:cs="宋体"/>
          <w:color w:val="000000"/>
          <w:u w:val="dotted"/>
        </w:rPr>
        <w:t xml:space="preserve">                             </w:t>
      </w:r>
      <w:r>
        <w:rPr>
          <w:rFonts w:hint="eastAsia" w:ascii="宋体" w:hAnsi="宋体" w:eastAsia="宋体" w:cs="宋体"/>
          <w:color w:val="000000"/>
        </w:rPr>
        <w:t>邮编：</w:t>
      </w:r>
      <w:r>
        <w:rPr>
          <w:rFonts w:hint="eastAsia" w:ascii="宋体" w:hAnsi="宋体" w:eastAsia="宋体" w:cs="宋体"/>
          <w:color w:val="000000"/>
          <w:u w:val="dotted"/>
        </w:rPr>
        <w:t xml:space="preserve">          </w:t>
      </w:r>
      <w:r>
        <w:rPr>
          <w:rFonts w:hint="eastAsia" w:ascii="宋体" w:hAnsi="宋体" w:eastAsia="宋体" w:cs="宋体"/>
          <w:color w:val="000000"/>
          <w:u w:val="single"/>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联系人：</w:t>
      </w:r>
      <w:r>
        <w:rPr>
          <w:rFonts w:hint="eastAsia" w:ascii="宋体" w:hAnsi="宋体" w:eastAsia="宋体" w:cs="宋体"/>
          <w:color w:val="000000"/>
          <w:u w:val="dotted"/>
        </w:rPr>
        <w:t xml:space="preserve">               </w:t>
      </w:r>
      <w:r>
        <w:rPr>
          <w:rFonts w:hint="eastAsia" w:ascii="宋体" w:hAnsi="宋体" w:eastAsia="宋体" w:cs="宋体"/>
          <w:color w:val="000000"/>
        </w:rPr>
        <w:t>联系电话：</w:t>
      </w:r>
      <w:r>
        <w:rPr>
          <w:rFonts w:hint="eastAsia" w:ascii="宋体" w:hAnsi="宋体" w:eastAsia="宋体" w:cs="宋体"/>
          <w:color w:val="000000"/>
          <w:u w:val="dotted"/>
        </w:rPr>
        <w:t xml:space="preserve">                      </w:t>
      </w:r>
      <w:r>
        <w:rPr>
          <w:rFonts w:hint="eastAsia" w:ascii="宋体" w:hAnsi="宋体" w:eastAsia="宋体" w:cs="宋体"/>
          <w:color w:val="000000"/>
          <w:u w:val="single"/>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二、投诉项目基本情况</w:t>
      </w:r>
    </w:p>
    <w:p>
      <w:pPr>
        <w:spacing w:line="360" w:lineRule="auto"/>
        <w:rPr>
          <w:rFonts w:hint="eastAsia" w:ascii="宋体" w:hAnsi="宋体" w:eastAsia="宋体" w:cs="宋体"/>
          <w:color w:val="000000"/>
          <w:u w:val="dotted"/>
        </w:rPr>
      </w:pPr>
      <w:r>
        <w:rPr>
          <w:rFonts w:hint="eastAsia" w:ascii="宋体" w:hAnsi="宋体" w:eastAsia="宋体" w:cs="宋体"/>
          <w:color w:val="000000"/>
        </w:rPr>
        <w:t>采购项目名称：</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采购项目编号：</w:t>
      </w:r>
      <w:r>
        <w:rPr>
          <w:rFonts w:hint="eastAsia" w:ascii="宋体" w:hAnsi="宋体" w:eastAsia="宋体" w:cs="宋体"/>
          <w:color w:val="000000"/>
          <w:u w:val="dotted"/>
        </w:rPr>
        <w:t xml:space="preserve">                 </w:t>
      </w:r>
      <w:r>
        <w:rPr>
          <w:rFonts w:hint="eastAsia" w:ascii="宋体" w:hAnsi="宋体" w:eastAsia="宋体" w:cs="宋体"/>
          <w:color w:val="000000"/>
        </w:rPr>
        <w:t>包号：</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采购人名称：</w:t>
      </w:r>
      <w:r>
        <w:rPr>
          <w:rFonts w:hint="eastAsia" w:ascii="宋体" w:hAnsi="宋体" w:eastAsia="宋体" w:cs="宋体"/>
          <w:color w:val="000000"/>
          <w:u w:val="dotted"/>
        </w:rPr>
        <w:t xml:space="preserve">                                           </w:t>
      </w:r>
      <w:r>
        <w:rPr>
          <w:rFonts w:hint="eastAsia" w:ascii="宋体" w:hAnsi="宋体" w:eastAsia="宋体" w:cs="宋体"/>
          <w:color w:val="000000"/>
          <w:u w:val="single"/>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代理机构名称：</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dotted"/>
        </w:rPr>
      </w:pPr>
      <w:r>
        <w:rPr>
          <w:rFonts w:hint="eastAsia" w:ascii="宋体" w:hAnsi="宋体" w:eastAsia="宋体" w:cs="宋体"/>
          <w:color w:val="000000"/>
        </w:rPr>
        <w:t>采购文件公告:</w:t>
      </w:r>
      <w:r>
        <w:rPr>
          <w:rFonts w:hint="eastAsia" w:ascii="宋体" w:hAnsi="宋体" w:eastAsia="宋体" w:cs="宋体"/>
          <w:color w:val="000000"/>
          <w:u w:val="dotted"/>
        </w:rPr>
        <w:t xml:space="preserve">是/否 </w:t>
      </w:r>
      <w:r>
        <w:rPr>
          <w:rFonts w:hint="eastAsia" w:ascii="宋体" w:hAnsi="宋体" w:eastAsia="宋体" w:cs="宋体"/>
          <w:color w:val="000000"/>
        </w:rPr>
        <w:t>公告期限：</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采购结果公告:</w:t>
      </w:r>
      <w:r>
        <w:rPr>
          <w:rFonts w:hint="eastAsia" w:ascii="宋体" w:hAnsi="宋体" w:eastAsia="宋体" w:cs="宋体"/>
          <w:color w:val="000000"/>
          <w:u w:val="dotted"/>
        </w:rPr>
        <w:t xml:space="preserve">是/否 </w:t>
      </w:r>
      <w:r>
        <w:rPr>
          <w:rFonts w:hint="eastAsia" w:ascii="宋体" w:hAnsi="宋体" w:eastAsia="宋体" w:cs="宋体"/>
          <w:color w:val="000000"/>
        </w:rPr>
        <w:t>公告期限：</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三、质疑基本情况</w:t>
      </w:r>
    </w:p>
    <w:p>
      <w:pPr>
        <w:spacing w:line="360" w:lineRule="auto"/>
        <w:ind w:firstLine="480" w:firstLineChars="200"/>
        <w:rPr>
          <w:rFonts w:hint="eastAsia" w:ascii="宋体" w:hAnsi="宋体" w:eastAsia="宋体" w:cs="宋体"/>
          <w:color w:val="000000"/>
          <w:u w:val="dotted"/>
        </w:rPr>
      </w:pPr>
      <w:r>
        <w:rPr>
          <w:rFonts w:hint="eastAsia" w:ascii="宋体" w:hAnsi="宋体" w:eastAsia="宋体" w:cs="宋体"/>
          <w:color w:val="000000"/>
        </w:rPr>
        <w:t>投诉人于</w:t>
      </w:r>
      <w:r>
        <w:rPr>
          <w:rFonts w:hint="eastAsia" w:ascii="宋体" w:hAnsi="宋体" w:eastAsia="宋体" w:cs="宋体"/>
          <w:color w:val="000000"/>
          <w:u w:val="dotted"/>
        </w:rPr>
        <w:t xml:space="preserve">   </w:t>
      </w:r>
      <w:r>
        <w:rPr>
          <w:rFonts w:hint="eastAsia" w:ascii="宋体" w:hAnsi="宋体" w:eastAsia="宋体" w:cs="宋体"/>
          <w:color w:val="000000"/>
        </w:rPr>
        <w:t>年</w:t>
      </w:r>
      <w:r>
        <w:rPr>
          <w:rFonts w:hint="eastAsia" w:ascii="宋体" w:hAnsi="宋体" w:eastAsia="宋体" w:cs="宋体"/>
          <w:color w:val="000000"/>
          <w:u w:val="dotted"/>
        </w:rPr>
        <w:t xml:space="preserve">   </w:t>
      </w:r>
      <w:r>
        <w:rPr>
          <w:rFonts w:hint="eastAsia" w:ascii="宋体" w:hAnsi="宋体" w:eastAsia="宋体" w:cs="宋体"/>
          <w:color w:val="000000"/>
        </w:rPr>
        <w:t>月</w:t>
      </w:r>
      <w:r>
        <w:rPr>
          <w:rFonts w:hint="eastAsia" w:ascii="宋体" w:hAnsi="宋体" w:eastAsia="宋体" w:cs="宋体"/>
          <w:color w:val="000000"/>
          <w:u w:val="dotted"/>
        </w:rPr>
        <w:t xml:space="preserve">  </w:t>
      </w:r>
      <w:r>
        <w:rPr>
          <w:rFonts w:hint="eastAsia" w:ascii="宋体" w:hAnsi="宋体" w:eastAsia="宋体" w:cs="宋体"/>
          <w:color w:val="000000"/>
        </w:rPr>
        <w:t>日,向</w:t>
      </w:r>
      <w:r>
        <w:rPr>
          <w:rFonts w:hint="eastAsia" w:ascii="宋体" w:hAnsi="宋体" w:eastAsia="宋体" w:cs="宋体"/>
          <w:color w:val="000000"/>
          <w:u w:val="dotted"/>
        </w:rPr>
        <w:t xml:space="preserve">                   </w:t>
      </w:r>
      <w:r>
        <w:rPr>
          <w:rFonts w:hint="eastAsia" w:ascii="宋体" w:hAnsi="宋体" w:eastAsia="宋体" w:cs="宋体"/>
          <w:color w:val="000000"/>
        </w:rPr>
        <w:t>提出质疑，质疑事项为：</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dotted"/>
        </w:rPr>
      </w:pPr>
      <w:r>
        <w:rPr>
          <w:rFonts w:hint="eastAsia" w:ascii="宋体" w:hAnsi="宋体" w:eastAsia="宋体" w:cs="宋体"/>
          <w:color w:val="000000"/>
          <w:u w:val="dotted"/>
        </w:rPr>
        <w:t xml:space="preserve">                                                     </w:t>
      </w:r>
      <w:r>
        <w:rPr>
          <w:rFonts w:hint="eastAsia" w:ascii="宋体" w:hAnsi="宋体" w:eastAsia="宋体" w:cs="宋体"/>
          <w:color w:val="000000"/>
        </w:rPr>
        <w:t xml:space="preserve">  </w:t>
      </w:r>
    </w:p>
    <w:p>
      <w:pPr>
        <w:spacing w:line="360" w:lineRule="auto"/>
        <w:ind w:firstLine="360" w:firstLineChars="150"/>
        <w:rPr>
          <w:rFonts w:hint="eastAsia" w:ascii="宋体" w:hAnsi="宋体" w:eastAsia="宋体" w:cs="宋体"/>
          <w:color w:val="000000"/>
        </w:rPr>
      </w:pPr>
      <w:r>
        <w:rPr>
          <w:rFonts w:hint="eastAsia" w:ascii="宋体" w:hAnsi="宋体" w:eastAsia="宋体" w:cs="宋体"/>
          <w:color w:val="000000"/>
          <w:u w:val="dotted"/>
        </w:rPr>
        <w:t>采购人/代理机构</w:t>
      </w:r>
      <w:r>
        <w:rPr>
          <w:rFonts w:hint="eastAsia" w:ascii="宋体" w:hAnsi="宋体" w:eastAsia="宋体" w:cs="宋体"/>
          <w:color w:val="000000"/>
        </w:rPr>
        <w:t>于</w:t>
      </w:r>
      <w:r>
        <w:rPr>
          <w:rFonts w:hint="eastAsia" w:ascii="宋体" w:hAnsi="宋体" w:eastAsia="宋体" w:cs="宋体"/>
          <w:color w:val="000000"/>
          <w:u w:val="dotted"/>
        </w:rPr>
        <w:t xml:space="preserve">   </w:t>
      </w:r>
      <w:r>
        <w:rPr>
          <w:rFonts w:hint="eastAsia" w:ascii="宋体" w:hAnsi="宋体" w:eastAsia="宋体" w:cs="宋体"/>
          <w:color w:val="000000"/>
        </w:rPr>
        <w:t>年</w:t>
      </w:r>
      <w:r>
        <w:rPr>
          <w:rFonts w:hint="eastAsia" w:ascii="宋体" w:hAnsi="宋体" w:eastAsia="宋体" w:cs="宋体"/>
          <w:color w:val="000000"/>
          <w:u w:val="dotted"/>
        </w:rPr>
        <w:t xml:space="preserve">   </w:t>
      </w:r>
      <w:r>
        <w:rPr>
          <w:rFonts w:hint="eastAsia" w:ascii="宋体" w:hAnsi="宋体" w:eastAsia="宋体" w:cs="宋体"/>
          <w:color w:val="000000"/>
        </w:rPr>
        <w:t>月</w:t>
      </w:r>
      <w:r>
        <w:rPr>
          <w:rFonts w:hint="eastAsia" w:ascii="宋体" w:hAnsi="宋体" w:eastAsia="宋体" w:cs="宋体"/>
          <w:color w:val="000000"/>
          <w:u w:val="dotted"/>
        </w:rPr>
        <w:t xml:space="preserve">   </w:t>
      </w:r>
      <w:r>
        <w:rPr>
          <w:rFonts w:hint="eastAsia" w:ascii="宋体" w:hAnsi="宋体" w:eastAsia="宋体" w:cs="宋体"/>
          <w:color w:val="000000"/>
        </w:rPr>
        <w:t>日,就质疑事项作出了答复/没有在法定期限内作出答复。</w:t>
      </w:r>
    </w:p>
    <w:p>
      <w:pPr>
        <w:spacing w:line="360" w:lineRule="auto"/>
        <w:rPr>
          <w:rFonts w:hint="eastAsia" w:ascii="宋体" w:hAnsi="宋体" w:eastAsia="宋体" w:cs="宋体"/>
          <w:color w:val="000000"/>
        </w:rPr>
      </w:pPr>
      <w:r>
        <w:rPr>
          <w:rFonts w:hint="eastAsia" w:ascii="宋体" w:hAnsi="宋体" w:eastAsia="宋体" w:cs="宋体"/>
          <w:color w:val="000000"/>
        </w:rPr>
        <w:t>四、投诉事项具体内容</w:t>
      </w:r>
    </w:p>
    <w:p>
      <w:pPr>
        <w:spacing w:line="360" w:lineRule="auto"/>
        <w:rPr>
          <w:rFonts w:hint="eastAsia" w:ascii="宋体" w:hAnsi="宋体" w:eastAsia="宋体" w:cs="宋体"/>
          <w:color w:val="000000"/>
          <w:u w:val="single"/>
        </w:rPr>
      </w:pPr>
      <w:r>
        <w:rPr>
          <w:rFonts w:hint="eastAsia" w:ascii="宋体" w:hAnsi="宋体" w:eastAsia="宋体" w:cs="宋体"/>
          <w:color w:val="000000"/>
        </w:rPr>
        <w:t>投诉事项 1：</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事实依据：</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dotted"/>
        </w:rPr>
      </w:pP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法律依据：</w:t>
      </w: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u w:val="dotted"/>
        </w:rPr>
      </w:pPr>
      <w:r>
        <w:rPr>
          <w:rFonts w:hint="eastAsia" w:ascii="宋体" w:hAnsi="宋体" w:eastAsia="宋体" w:cs="宋体"/>
          <w:color w:val="000000"/>
          <w:u w:val="dotted"/>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投诉事项2</w:t>
      </w:r>
    </w:p>
    <w:p>
      <w:pPr>
        <w:spacing w:line="360" w:lineRule="auto"/>
        <w:rPr>
          <w:rFonts w:hint="eastAsia" w:ascii="宋体" w:hAnsi="宋体" w:eastAsia="宋体" w:cs="宋体"/>
          <w:color w:val="000000"/>
          <w:u w:val="dotted"/>
        </w:rPr>
      </w:pPr>
      <w:r>
        <w:rPr>
          <w:rFonts w:hint="eastAsia" w:ascii="宋体" w:hAnsi="宋体" w:eastAsia="宋体" w:cs="宋体"/>
          <w:color w:val="000000"/>
        </w:rPr>
        <w:t>……</w:t>
      </w:r>
    </w:p>
    <w:p>
      <w:pPr>
        <w:spacing w:line="360" w:lineRule="auto"/>
        <w:rPr>
          <w:rFonts w:hint="eastAsia" w:ascii="宋体" w:hAnsi="宋体" w:eastAsia="宋体" w:cs="宋体"/>
          <w:color w:val="000000"/>
        </w:rPr>
      </w:pPr>
      <w:r>
        <w:rPr>
          <w:rFonts w:hint="eastAsia" w:ascii="宋体" w:hAnsi="宋体" w:eastAsia="宋体" w:cs="宋体"/>
          <w:color w:val="000000"/>
        </w:rPr>
        <w:t>五、与投诉事项相关的投诉请求</w:t>
      </w:r>
    </w:p>
    <w:p>
      <w:pPr>
        <w:spacing w:line="360" w:lineRule="auto"/>
        <w:rPr>
          <w:rFonts w:hint="eastAsia" w:ascii="宋体" w:hAnsi="宋体" w:eastAsia="宋体" w:cs="宋体"/>
          <w:color w:val="000000"/>
        </w:rPr>
      </w:pPr>
      <w:r>
        <w:rPr>
          <w:rFonts w:hint="eastAsia" w:ascii="宋体" w:hAnsi="宋体" w:eastAsia="宋体" w:cs="宋体"/>
          <w:color w:val="000000"/>
        </w:rPr>
        <w:t>请求：</w:t>
      </w:r>
      <w:r>
        <w:rPr>
          <w:rFonts w:hint="eastAsia" w:ascii="宋体" w:hAnsi="宋体" w:eastAsia="宋体" w:cs="宋体"/>
          <w:color w:val="000000"/>
          <w:u w:val="dotted"/>
        </w:rPr>
        <w:t xml:space="preserve">                                              </w:t>
      </w:r>
      <w:r>
        <w:rPr>
          <w:rFonts w:hint="eastAsia" w:ascii="宋体" w:hAnsi="宋体" w:eastAsia="宋体" w:cs="宋体"/>
          <w:color w:val="000000"/>
        </w:rPr>
        <w:t xml:space="preserve"> </w:t>
      </w:r>
    </w:p>
    <w:p>
      <w:pPr>
        <w:spacing w:line="360" w:lineRule="auto"/>
        <w:rPr>
          <w:rFonts w:hint="eastAsia" w:ascii="宋体" w:hAnsi="宋体" w:eastAsia="宋体" w:cs="宋体"/>
          <w:color w:val="000000"/>
          <w:u w:val="single"/>
        </w:rPr>
      </w:pPr>
      <w:r>
        <w:rPr>
          <w:rFonts w:hint="eastAsia" w:ascii="宋体" w:hAnsi="宋体" w:eastAsia="宋体" w:cs="宋体"/>
          <w:color w:val="000000"/>
        </w:rPr>
        <w:t xml:space="preserve">                                                       </w:t>
      </w:r>
    </w:p>
    <w:p>
      <w:pPr>
        <w:spacing w:line="360" w:lineRule="auto"/>
        <w:rPr>
          <w:rFonts w:hint="eastAsia" w:ascii="宋体" w:hAnsi="宋体" w:eastAsia="宋体" w:cs="宋体"/>
          <w:color w:val="000000"/>
        </w:rPr>
      </w:pPr>
      <w:r>
        <w:rPr>
          <w:rFonts w:hint="eastAsia" w:ascii="宋体" w:hAnsi="宋体" w:eastAsia="宋体" w:cs="宋体"/>
          <w:color w:val="000000"/>
        </w:rPr>
        <w:t xml:space="preserve">签字(签章)：                   公章：                  </w:t>
      </w:r>
    </w:p>
    <w:p>
      <w:pPr>
        <w:spacing w:line="360" w:lineRule="auto"/>
        <w:rPr>
          <w:rFonts w:hint="eastAsia" w:ascii="宋体" w:hAnsi="宋体" w:eastAsia="宋体" w:cs="宋体"/>
          <w:color w:val="000000"/>
        </w:rPr>
      </w:pPr>
      <w:r>
        <w:rPr>
          <w:rFonts w:hint="eastAsia" w:ascii="宋体" w:hAnsi="宋体" w:eastAsia="宋体" w:cs="宋体"/>
          <w:color w:val="000000"/>
        </w:rPr>
        <w:t xml:space="preserve">日期：    </w:t>
      </w:r>
    </w:p>
    <w:p>
      <w:pPr>
        <w:spacing w:line="360" w:lineRule="auto"/>
        <w:rPr>
          <w:rFonts w:hint="eastAsia" w:ascii="宋体" w:hAnsi="宋体" w:eastAsia="宋体" w:cs="宋体"/>
          <w:b/>
          <w:color w:val="000000"/>
        </w:rPr>
      </w:pPr>
    </w:p>
    <w:p>
      <w:pPr>
        <w:spacing w:line="360" w:lineRule="auto"/>
        <w:rPr>
          <w:rFonts w:hint="eastAsia" w:ascii="宋体" w:hAnsi="宋体" w:eastAsia="宋体" w:cs="宋体"/>
          <w:b/>
          <w:color w:val="000000"/>
        </w:rPr>
      </w:pPr>
    </w:p>
    <w:p>
      <w:pPr>
        <w:spacing w:line="360" w:lineRule="auto"/>
        <w:rPr>
          <w:rFonts w:hint="eastAsia" w:ascii="宋体" w:hAnsi="宋体" w:eastAsia="宋体" w:cs="宋体"/>
          <w:b/>
          <w:color w:val="000000"/>
        </w:rPr>
      </w:pPr>
      <w:r>
        <w:rPr>
          <w:rFonts w:hint="eastAsia" w:ascii="宋体" w:hAnsi="宋体" w:eastAsia="宋体" w:cs="宋体"/>
          <w:b/>
          <w:color w:val="000000"/>
        </w:rPr>
        <w:t>投诉书制作说明：</w:t>
      </w:r>
    </w:p>
    <w:p>
      <w:pPr>
        <w:widowControl/>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000000"/>
          <w:kern w:val="0"/>
        </w:rPr>
      </w:pPr>
      <w:r>
        <w:rPr>
          <w:rFonts w:hint="eastAsia" w:ascii="宋体" w:hAnsi="宋体" w:eastAsia="宋体" w:cs="宋体"/>
          <w:color w:val="000000"/>
        </w:rPr>
        <w:t>2.投诉人若委托代理人进行投诉的，投诉书应按照要求列明“授权代表”的有关内容，并在附件中提交由</w:t>
      </w:r>
      <w:r>
        <w:rPr>
          <w:rFonts w:hint="eastAsia" w:ascii="宋体" w:hAnsi="宋体" w:eastAsia="宋体" w:cs="宋体"/>
          <w:color w:val="000000"/>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6.投诉书的投诉请求应与投诉事项相关。</w:t>
      </w:r>
    </w:p>
    <w:p>
      <w:pPr>
        <w:widowControl/>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000000"/>
          <w:szCs w:val="22"/>
        </w:rPr>
      </w:pPr>
      <w:r>
        <w:rPr>
          <w:rFonts w:hint="eastAsia" w:ascii="宋体" w:hAnsi="宋体" w:eastAsia="宋体" w:cs="宋体"/>
          <w:color w:val="000000"/>
          <w:szCs w:val="22"/>
        </w:rPr>
        <w:t>8.以联合体形式参加政府采购活动的，其投诉应当由组成联合体的所有供应商共同提出。</w:t>
      </w:r>
    </w:p>
    <w:p>
      <w:pPr>
        <w:widowControl/>
        <w:spacing w:line="360" w:lineRule="auto"/>
        <w:ind w:firstLine="480" w:firstLineChars="200"/>
        <w:jc w:val="left"/>
        <w:rPr>
          <w:rFonts w:hint="eastAsia" w:ascii="宋体" w:hAnsi="宋体" w:eastAsia="宋体" w:cs="宋体"/>
          <w:color w:val="000000"/>
          <w:szCs w:val="22"/>
        </w:rPr>
      </w:pPr>
    </w:p>
    <w:p>
      <w:pPr>
        <w:pStyle w:val="19"/>
        <w:ind w:firstLine="0" w:firstLineChars="0"/>
        <w:rPr>
          <w:rFonts w:hint="eastAsia" w:eastAsia="宋体" w:cs="宋体"/>
          <w:color w:val="000000"/>
        </w:rPr>
      </w:pPr>
    </w:p>
    <w:p>
      <w:pPr>
        <w:pStyle w:val="19"/>
        <w:ind w:firstLine="0" w:firstLineChars="0"/>
        <w:rPr>
          <w:rFonts w:hint="eastAsia" w:eastAsia="宋体" w:cs="宋体"/>
          <w:color w:val="000000"/>
        </w:rPr>
      </w:pPr>
    </w:p>
    <w:p>
      <w:pPr>
        <w:pStyle w:val="124"/>
        <w:widowControl w:val="0"/>
        <w:snapToGrid w:val="0"/>
        <w:spacing w:line="500" w:lineRule="exact"/>
        <w:jc w:val="center"/>
        <w:rPr>
          <w:rFonts w:hAnsi="宋体" w:cs="方正小标宋简体"/>
          <w:b/>
          <w:color w:val="000000"/>
          <w:sz w:val="28"/>
          <w:szCs w:val="28"/>
        </w:rPr>
      </w:pPr>
      <w:r>
        <w:rPr>
          <w:rFonts w:hAnsi="宋体" w:cs="方正小标宋简体"/>
          <w:b/>
          <w:color w:val="000000"/>
          <w:sz w:val="28"/>
          <w:szCs w:val="28"/>
        </w:rPr>
        <w:t>政府采购活动现场确认声明书</w:t>
      </w:r>
    </w:p>
    <w:p>
      <w:pPr>
        <w:pStyle w:val="124"/>
        <w:widowControl w:val="0"/>
        <w:snapToGrid w:val="0"/>
        <w:spacing w:line="500" w:lineRule="exact"/>
        <w:jc w:val="center"/>
        <w:rPr>
          <w:rFonts w:hAnsi="宋体" w:cs="方正小标宋简体"/>
          <w:b/>
          <w:color w:val="000000"/>
          <w:sz w:val="28"/>
          <w:szCs w:val="28"/>
        </w:rPr>
      </w:pPr>
      <w:r>
        <w:rPr>
          <w:rFonts w:hAnsi="宋体" w:cs="方正小标宋简体"/>
          <w:b/>
          <w:color w:val="000000"/>
          <w:sz w:val="28"/>
          <w:szCs w:val="28"/>
        </w:rPr>
        <w:t>（开标后提供）</w:t>
      </w:r>
    </w:p>
    <w:p>
      <w:pPr>
        <w:pStyle w:val="124"/>
        <w:widowControl w:val="0"/>
        <w:adjustRightInd w:val="0"/>
        <w:snapToGrid w:val="0"/>
        <w:spacing w:line="360" w:lineRule="auto"/>
        <w:jc w:val="both"/>
        <w:rPr>
          <w:rFonts w:ascii="仿宋" w:hAnsi="仿宋"/>
          <w:color w:val="000000"/>
          <w:kern w:val="0"/>
          <w:szCs w:val="21"/>
          <w:u w:val="single"/>
        </w:rPr>
      </w:pPr>
    </w:p>
    <w:p>
      <w:pPr>
        <w:pStyle w:val="124"/>
        <w:widowControl w:val="0"/>
        <w:adjustRightInd w:val="0"/>
        <w:snapToGrid w:val="0"/>
        <w:spacing w:line="360" w:lineRule="auto"/>
        <w:jc w:val="both"/>
        <w:rPr>
          <w:rFonts w:hAnsi="宋体" w:cs="宋体"/>
          <w:b/>
          <w:color w:val="000000"/>
          <w:sz w:val="24"/>
          <w:szCs w:val="24"/>
        </w:rPr>
      </w:pPr>
      <w:r>
        <w:rPr>
          <w:rFonts w:hAnsi="宋体" w:cs="宋体"/>
          <w:color w:val="000000"/>
          <w:kern w:val="0"/>
          <w:sz w:val="24"/>
          <w:szCs w:val="24"/>
          <w:u w:val="single"/>
        </w:rPr>
        <w:t>杭州市水库管理服务中心、华联世纪工程咨询股份有限公司</w:t>
      </w:r>
      <w:r>
        <w:rPr>
          <w:rFonts w:hAnsi="宋体" w:cs="宋体"/>
          <w:color w:val="000000"/>
          <w:kern w:val="0"/>
          <w:sz w:val="24"/>
          <w:szCs w:val="24"/>
        </w:rPr>
        <w:t>：</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本人经由</w:t>
      </w:r>
      <w:r>
        <w:rPr>
          <w:rFonts w:hAnsi="宋体" w:cs="宋体"/>
          <w:color w:val="000000"/>
          <w:spacing w:val="6"/>
          <w:sz w:val="24"/>
          <w:szCs w:val="24"/>
          <w:u w:val="single"/>
        </w:rPr>
        <w:t xml:space="preserve">                    （单位）</w:t>
      </w:r>
      <w:r>
        <w:rPr>
          <w:rFonts w:hAnsi="宋体" w:cs="宋体"/>
          <w:color w:val="000000"/>
          <w:spacing w:val="6"/>
          <w:sz w:val="24"/>
          <w:szCs w:val="24"/>
        </w:rPr>
        <w:t>负责人</w:t>
      </w:r>
      <w:r>
        <w:rPr>
          <w:rFonts w:hAnsi="宋体" w:cs="宋体"/>
          <w:color w:val="000000"/>
          <w:spacing w:val="6"/>
          <w:sz w:val="24"/>
          <w:szCs w:val="24"/>
          <w:u w:val="single"/>
        </w:rPr>
        <w:t xml:space="preserve">        （姓名）</w:t>
      </w:r>
      <w:r>
        <w:rPr>
          <w:rFonts w:hAnsi="宋体" w:cs="宋体"/>
          <w:color w:val="000000"/>
          <w:spacing w:val="6"/>
          <w:sz w:val="24"/>
          <w:szCs w:val="24"/>
        </w:rPr>
        <w:t>合法授权参加</w:t>
      </w:r>
      <w:r>
        <w:rPr>
          <w:rFonts w:hAnsi="宋体" w:cs="宋体"/>
          <w:color w:val="000000"/>
          <w:spacing w:val="6"/>
          <w:sz w:val="24"/>
          <w:szCs w:val="24"/>
          <w:u w:val="single"/>
        </w:rPr>
        <w:t xml:space="preserve"> 2021年度青山水库运行维护及工程维修项目——运行管理及日常维护项目（编号：HLSJHZ-2021-002）</w:t>
      </w:r>
      <w:r>
        <w:rPr>
          <w:rFonts w:hAnsi="宋体" w:cs="宋体"/>
          <w:color w:val="000000"/>
          <w:spacing w:val="6"/>
          <w:sz w:val="24"/>
          <w:szCs w:val="24"/>
        </w:rPr>
        <w:t>政府采购活动，经与本单位法人代表（负责人）联系确认，现就有关公平竞争事项郑重声明如下：</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一、本单位与采购人之间 □不存在利害关系 □存在下列利害关系</w:t>
      </w:r>
      <w:r>
        <w:rPr>
          <w:rFonts w:hAnsi="宋体" w:cs="宋体"/>
          <w:color w:val="000000"/>
          <w:spacing w:val="6"/>
          <w:sz w:val="24"/>
          <w:szCs w:val="24"/>
          <w:u w:val="single"/>
        </w:rPr>
        <w:t xml:space="preserve">           </w:t>
      </w:r>
      <w:r>
        <w:rPr>
          <w:rFonts w:hAnsi="宋体" w:cs="宋体"/>
          <w:color w:val="000000"/>
          <w:spacing w:val="6"/>
          <w:sz w:val="24"/>
          <w:szCs w:val="24"/>
        </w:rPr>
        <w:t>：</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A.投资关系    B.行政隶属关系    C.业务指导关系</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D.其他可能影响采购公正的利害关系（如有，请如实说明）</w:t>
      </w:r>
      <w:r>
        <w:rPr>
          <w:rFonts w:hAnsi="宋体" w:cs="宋体"/>
          <w:color w:val="000000"/>
          <w:spacing w:val="6"/>
          <w:sz w:val="24"/>
          <w:szCs w:val="24"/>
          <w:u w:val="single"/>
        </w:rPr>
        <w:t xml:space="preserve">                 </w:t>
      </w:r>
      <w:r>
        <w:rPr>
          <w:rFonts w:hAnsi="宋体" w:cs="宋体"/>
          <w:color w:val="000000"/>
          <w:spacing w:val="6"/>
          <w:sz w:val="24"/>
          <w:szCs w:val="24"/>
        </w:rPr>
        <w:t>。</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二、现已清楚知道参加本项目采购活动的其他所有供应商名称，本单位 □与其他所有供应商之间均不存在利害关系 □与</w:t>
      </w:r>
      <w:r>
        <w:rPr>
          <w:rFonts w:hAnsi="宋体" w:cs="宋体"/>
          <w:color w:val="000000"/>
          <w:spacing w:val="6"/>
          <w:sz w:val="24"/>
          <w:szCs w:val="24"/>
          <w:u w:val="single"/>
        </w:rPr>
        <w:t xml:space="preserve">           （供应商名称）</w:t>
      </w:r>
      <w:r>
        <w:rPr>
          <w:rFonts w:hAnsi="宋体" w:cs="宋体"/>
          <w:color w:val="000000"/>
          <w:spacing w:val="6"/>
          <w:sz w:val="24"/>
          <w:szCs w:val="24"/>
        </w:rPr>
        <w:t>之间存在下列利害关系</w:t>
      </w:r>
      <w:r>
        <w:rPr>
          <w:rFonts w:hAnsi="宋体" w:cs="宋体"/>
          <w:color w:val="000000"/>
          <w:spacing w:val="6"/>
          <w:sz w:val="24"/>
          <w:szCs w:val="24"/>
          <w:u w:val="single"/>
        </w:rPr>
        <w:t xml:space="preserve">          </w:t>
      </w:r>
      <w:r>
        <w:rPr>
          <w:rFonts w:hAnsi="宋体" w:cs="宋体"/>
          <w:color w:val="000000"/>
          <w:spacing w:val="6"/>
          <w:sz w:val="24"/>
          <w:szCs w:val="24"/>
        </w:rPr>
        <w:t>：</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A.法定代表人或负责人或实际控制人是同一人；</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B.法定代表人或负责人或实际控制人是夫妻关系；</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C.法定代表人或负责人或实际控制人是直系血亲关系；</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D.法定代表人或负责人或实际控制人存在三代以内旁系血亲关系；</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E.法定代表人或负责人或实际控制人存在近姻亲关系；</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F.法定代表人或负责人或实际控制人存在股份控制或实际控制关系；</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G.存在共同直接或间接投资设立子公司、联营企业和合营企业情况；</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H.存在分级代理或代销关系、同一生产制造商关系、管理关系、重要业务（占主营业务收入50%以上）或重要财务往来关系（如融资）等其他实质性控制关系；</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I.其他利害关系情况</w:t>
      </w:r>
      <w:r>
        <w:rPr>
          <w:rFonts w:hAnsi="宋体" w:cs="宋体"/>
          <w:color w:val="000000"/>
          <w:spacing w:val="6"/>
          <w:sz w:val="24"/>
          <w:szCs w:val="24"/>
          <w:u w:val="single"/>
        </w:rPr>
        <w:t xml:space="preserve">                              </w:t>
      </w:r>
      <w:r>
        <w:rPr>
          <w:rFonts w:hAnsi="宋体" w:cs="宋体"/>
          <w:color w:val="000000"/>
          <w:spacing w:val="6"/>
          <w:sz w:val="24"/>
          <w:szCs w:val="24"/>
        </w:rPr>
        <w:t>。</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三、现已清楚知道并严格遵守政府采购法律法规和现场纪律。</w:t>
      </w:r>
    </w:p>
    <w:p>
      <w:pPr>
        <w:pStyle w:val="124"/>
        <w:widowControl w:val="0"/>
        <w:adjustRightInd w:val="0"/>
        <w:snapToGrid w:val="0"/>
        <w:spacing w:line="360" w:lineRule="auto"/>
        <w:ind w:firstLine="504" w:firstLineChars="200"/>
        <w:jc w:val="both"/>
        <w:rPr>
          <w:rFonts w:hAnsi="宋体" w:cs="宋体"/>
          <w:color w:val="000000"/>
          <w:spacing w:val="6"/>
          <w:sz w:val="24"/>
          <w:szCs w:val="24"/>
        </w:rPr>
      </w:pPr>
      <w:r>
        <w:rPr>
          <w:rFonts w:hAnsi="宋体" w:cs="宋体"/>
          <w:color w:val="000000"/>
          <w:spacing w:val="6"/>
          <w:sz w:val="24"/>
          <w:szCs w:val="24"/>
        </w:rPr>
        <w:t>四、我发现</w:t>
      </w:r>
      <w:r>
        <w:rPr>
          <w:rFonts w:hAnsi="宋体" w:cs="宋体"/>
          <w:color w:val="000000"/>
          <w:spacing w:val="6"/>
          <w:sz w:val="24"/>
          <w:szCs w:val="24"/>
          <w:u w:val="single"/>
        </w:rPr>
        <w:t xml:space="preserve">            </w:t>
      </w:r>
      <w:r>
        <w:rPr>
          <w:rFonts w:hAnsi="宋体" w:cs="宋体"/>
          <w:color w:val="000000"/>
          <w:spacing w:val="6"/>
          <w:sz w:val="24"/>
          <w:szCs w:val="24"/>
        </w:rPr>
        <w:t>供应商之间存在或可能存在上述第二条第</w:t>
      </w:r>
      <w:r>
        <w:rPr>
          <w:rFonts w:hAnsi="宋体" w:cs="宋体"/>
          <w:color w:val="000000"/>
          <w:spacing w:val="6"/>
          <w:sz w:val="24"/>
          <w:szCs w:val="24"/>
          <w:u w:val="single"/>
        </w:rPr>
        <w:t xml:space="preserve">        </w:t>
      </w:r>
      <w:r>
        <w:rPr>
          <w:rFonts w:hAnsi="宋体" w:cs="宋体"/>
          <w:color w:val="000000"/>
          <w:spacing w:val="6"/>
          <w:sz w:val="24"/>
          <w:szCs w:val="24"/>
        </w:rPr>
        <w:t>项利害关系。</w:t>
      </w:r>
    </w:p>
    <w:p>
      <w:pPr>
        <w:pStyle w:val="124"/>
        <w:widowControl w:val="0"/>
        <w:ind w:firstLine="504" w:firstLineChars="200"/>
        <w:rPr>
          <w:rFonts w:hAnsi="宋体" w:cs="宋体"/>
          <w:color w:val="000000"/>
          <w:kern w:val="0"/>
          <w:sz w:val="24"/>
          <w:szCs w:val="24"/>
        </w:rPr>
      </w:pPr>
      <w:r>
        <w:rPr>
          <w:rFonts w:hAnsi="宋体" w:cs="宋体"/>
          <w:color w:val="000000"/>
          <w:spacing w:val="6"/>
          <w:sz w:val="24"/>
          <w:szCs w:val="24"/>
        </w:rPr>
        <w:t>五、经检查确认所有投标人投标文件□不存在密封包装问题  □存在密封包装问题（具体指出）</w:t>
      </w:r>
      <w:r>
        <w:rPr>
          <w:rFonts w:hAnsi="宋体" w:cs="宋体"/>
          <w:color w:val="000000"/>
          <w:spacing w:val="6"/>
          <w:sz w:val="24"/>
          <w:szCs w:val="24"/>
          <w:u w:val="single"/>
        </w:rPr>
        <w:t xml:space="preserve">                            </w:t>
      </w:r>
      <w:r>
        <w:rPr>
          <w:rFonts w:hAnsi="宋体" w:cs="宋体"/>
          <w:color w:val="000000"/>
          <w:spacing w:val="6"/>
          <w:sz w:val="24"/>
          <w:szCs w:val="24"/>
        </w:rPr>
        <w:t>。</w:t>
      </w:r>
    </w:p>
    <w:p>
      <w:pPr>
        <w:pStyle w:val="124"/>
        <w:widowControl w:val="0"/>
        <w:adjustRightInd w:val="0"/>
        <w:snapToGrid w:val="0"/>
        <w:spacing w:line="360" w:lineRule="auto"/>
        <w:ind w:firstLine="480" w:firstLineChars="200"/>
        <w:jc w:val="both"/>
        <w:rPr>
          <w:rFonts w:hAnsi="宋体" w:cs="宋体"/>
          <w:color w:val="000000"/>
          <w:sz w:val="24"/>
          <w:szCs w:val="24"/>
        </w:rPr>
      </w:pPr>
      <w:r>
        <w:rPr>
          <w:rFonts w:hAnsi="宋体" w:cs="宋体"/>
          <w:color w:val="000000"/>
          <w:sz w:val="24"/>
          <w:szCs w:val="24"/>
        </w:rPr>
        <w:t xml:space="preserve">                                       （供应商代表签名）：</w:t>
      </w:r>
    </w:p>
    <w:p>
      <w:pPr>
        <w:adjustRightInd w:val="0"/>
        <w:snapToGrid w:val="0"/>
        <w:spacing w:line="360" w:lineRule="auto"/>
        <w:jc w:val="right"/>
        <w:rPr>
          <w:rFonts w:hint="eastAsia" w:ascii="宋体" w:hAnsi="宋体" w:eastAsia="宋体" w:cs="宋体"/>
          <w:color w:val="000000"/>
        </w:rPr>
      </w:pPr>
      <w:r>
        <w:rPr>
          <w:rFonts w:hint="eastAsia" w:ascii="宋体" w:hAnsi="宋体" w:eastAsia="宋体" w:cs="宋体"/>
          <w:color w:val="000000"/>
          <w:szCs w:val="24"/>
        </w:rPr>
        <w:t xml:space="preserve">                                       年  月  日</w:t>
      </w:r>
    </w:p>
    <w:sectPr>
      <w:pgSz w:w="11906" w:h="16838"/>
      <w:pgMar w:top="1134" w:right="1134" w:bottom="1134" w:left="1304" w:header="567" w:footer="567"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ヒラギノ角ゴ Pro W3">
    <w:altName w:val="微软雅黑"/>
    <w:panose1 w:val="00000000000000000000"/>
    <w:charset w:val="00"/>
    <w:family w:val="roman"/>
    <w:pitch w:val="default"/>
    <w:sig w:usb0="00000000" w:usb1="00000000" w:usb2="00000000" w:usb3="00000000" w:csb0="00040001" w:csb1="00000000"/>
  </w:font>
  <w:font w:name="方正仿宋简体">
    <w:altName w:val="微软雅黑"/>
    <w:panose1 w:val="02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宋体" w:hAnsi="宋体" w:eastAsia="方正仿宋简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9"/>
      </w:rPr>
    </w:pPr>
    <w:r>
      <w:fldChar w:fldCharType="begin"/>
    </w:r>
    <w:r>
      <w:rPr>
        <w:rStyle w:val="49"/>
      </w:rPr>
      <w:instrText xml:space="preserve">PAGE  </w:instrText>
    </w:r>
    <w:r>
      <w:fldChar w:fldCharType="separate"/>
    </w:r>
    <w:r>
      <w:rPr>
        <w:rStyle w:val="49"/>
      </w:rPr>
      <w:t>1</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宋体" w:hAnsi="宋体" w:eastAsia="方正仿宋简体"/>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宋体" w:hAnsi="宋体" w:eastAsia="方正仿宋简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7Qo4MkBAACZAwAADgAAAGRycy9lMm9Eb2MueG1srVPNjtMwEL4j8Q6W 79TZg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dv sj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DtCjgyQEAAJk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ascii="宋体" w:hAnsi="宋体" w:eastAsia="方正仿宋简体"/>
        <w:sz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RrHPckBAACZAwAADgAAAGRycy9lMm9Eb2MueG1srVPNjtMwEL4j8Q6W 79TZC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dv sj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VGsc9yQEAAJk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bWPMkBAACZAwAADgAAAGRycy9lMm9Eb2MueG1srVPNjtMwEL4j8Q6W 79TZSqy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X1L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n9tY8yQEAAJk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depUsgBAACZAwAADgAAAGRycy9lMm9Eb2MueG1srVPNjtMwEL4j8Q6W 79TZHpYqarpaVC1CQoC08ACuYzeW/CeP26QvAG/AiQt3nqvPwdhJusty2cNenPHM+Jv5vpmsbwZr yFFG0N419GpRUSKd8K12+4Z++3r3ZkUJJO5abryTDT1JoDeb16/Wfajl0nfetDISBHFQ96GhXUqh ZgxEJy2HhQ/SYVD5aHnCa9yzNvIe0a1hy6q6Zr2PbYheSAD0bscgnRDjcwC9UlrIrRcHK10aUaM0 PCEl6HQAuindKiVF+qwUyERMQ5FpKicWQXuXT7ZZ83ofeei0mFrgz2nhCSfLtcOiF6gtT5wcov4P ymoRPXiVFsJbNhIpiiCLq+qJNvcdD7JwQakhXESHl4MVn45fItFtQ68pcdziwM8/f5x//Tn//k7e Znn6ADVm3QfMS8M7P+DSzH5AZ2Y9qGjzF/kQjKO4p4u4ckhE5Eer5WpVYUhgbL4gPnt4HiKk99Jb ko2GRpxeEZUfP0IaU+eUXM35O21MmaBx/zgQM3tY7n3sMVtp2A0ToZ1vT8inx8E31OGeU2I+ONQ1 78hsxNnYzcYhRL3vyhLlehBuDwmbKL3lCiPsVBgnVthN25VX4vG9ZD38UZ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DXXqVLIAQAAmQMAAA4AAAAAAAAAAQAgAAAAHgEAAGRycy9lMm9Eb2Mu eG1sUEsFBgAAAAAGAAYAWQEAAFg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mc:Fallback>
      </mc:AlternateConten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wdv5McBAACZAwAADgAAAGRycy9lMm9Eb2MueG1srVPNjtMwEL4j8Q6W 79TZHiCKmq5A1SIkBEgLD+A6dmPJf/K4TfoC8AacuHDnufocjJ2kC8tlD1yc8cz4m/m+mWxuR2vI SUbQ3rX0ZlVRIp3wnXaHln75fPeipgQSdx033smWniXQ2+3zZ5shNHLte286GQmCOGiG0NI+pdAw BqKXlsPKB+kwqHy0POE1HlgX+YDo1rB1Vb1kg49diF5IAPTupiCdEeNTAL1SWsidF0crXZpQozQ8 ISXodQC6Ld0qJUX6qBTIRExLkWkqJxZBe59Ptt3w5hB56LWYW+BPaeERJ8u1w6JXqB1PnByj/gfK ahE9eJVWwls2ESmKIIub6pE29z0PsnBBqSFcRYf/Bys+nD5ForuWvqLEcYsDv3z/dvnx6/LzK6mz PEOABrPuA+al8Y0fcWkWP6Azsx5VtPmLfAjGUdzzVVw5JiLyo3pd1xWGBMaWC+Kzh+chQnorvSXZ aGnE6RVR+ek9pCl1ScnVnL/TxpQJGveXAzGzh+Xepx6zlcb9OBPa++6MfAYcfEsd7jkl5p1DXfOO LEZcjP1iHEPUh74sUa4H4fUxYROlt1xhgp0L48QKu3m78kr8eS9ZD3/U9jd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ywdv5McBAACZAwAADgAAAAAAAAABACAAAAAeAQAAZHJzL2Uyb0RvYy54 bWxQSwUGAAAAAAYABgBZAQAAVw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sz w:val="16"/>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LDQhcgBAACZAwAADgAAAGRycy9lMm9Eb2MueG1srVPNjtMwEL4j7TtY vm+d7WFVoqYrULUrJARICw/gOnZjyX/yuE36AvAGnLhw57n6HIydpAvLZQ9cnPHM+Jv5vpms7wZr yFFG0N419GZRUSKd8K12+4Z++Xx/vaIEEnctN97Jhp4k0LvN1at1H2q59J03rYwEQRzUfWhol1Ko GQPRScth4YN0GFQ+Wp7wGvesjbxHdGvYsqpuWe9jG6IXEgC92zFIJ8T4EkCvlBZy68XBSpdG1CgN T0gJOh2Abkq3SkmRPioFMhHTUGSayolF0N7lk23WvN5HHjotphb4S1p4xsly7bDoBWrLEyeHqP+B slpED16lhfCWjUSKIsjipnqmzWPHgyxcUGoIF9Hh/8GKD8dPkei2oTh2xy0O/Pz92/nHr/PPr+R1 lqcPUGPWY8C8NLz1Ay7N7Ad0ZtaDijZ/kQ/BOIp7uogrh0REfrRarlYVhgTG5gvis6fnIUJ6kN6S bDQ04vSKqPz4HtKYOqfkas7fa2PKBI37y4GY2cNy72OP2UrDbpgI7Xx7Qj49Dr6hDvecEvPOoa55 R2YjzsZuNg4h6n1XlijXg/DmkLCJ0luuMMJOhXFihd20XXkl/ryXrKc/avM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NSw0IXIAQAAmQMAAA4AAAAAAAAAAQAgAAAAHgEAAGRycy9lMm9Eb2Mu eG1sUEsFBgAAAAAGAAYAWQEAAFg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181" w:firstLineChars="100"/>
      <w:jc w:val="left"/>
      <w:rPr>
        <w:rFonts w:hint="eastAsia" w:ascii="仿宋_GB2312"/>
        <w:b w:val="0"/>
        <w:i/>
        <w:sz w:val="18"/>
        <w:u w:val="single"/>
      </w:rPr>
    </w:pPr>
    <w:r>
      <w:rPr>
        <w:sz w:val="18"/>
      </w:rPr>
      <w:pict>
        <v:shape id="PowerPlusWaterMarkObject22669" o:spid="_x0000_s4099" o:spt="136" type="#_x0000_t136" style="position:absolute;left:0pt;height:221.45pt;width:459.95pt;mso-position-horizontal:center;mso-position-horizontal-relative:margin;mso-position-vertical:center;mso-position-vertical-relative:margin;rotation:20643840f;z-index:-251657216;mso-width-relative:page;mso-height-relative:page;" fillcolor="#FFFFFF" filled="t" stroked="f" coordsize="21600,21600">
          <v:path/>
          <v:fill on="t" opacity="32112f" focussize="0,0"/>
          <v:stroke on="f"/>
          <v:imagedata o:title=""/>
          <o:lock v:ext="edit" grouping="f" rotation="f" text="f" aspectratio="t"/>
          <v:textpath on="t" fitshape="t" fitpath="t" trim="t" xscale="f" string="HZTH"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rPr>
        <w:rFonts w:eastAsia="方正仿宋简体"/>
      </w:rPr>
    </w:pPr>
    <w:r>
      <w:pict>
        <v:shape id="PowerPlusWaterMarkObject63649" o:spid="_x0000_s4097" o:spt="136" type="#_x0000_t136" style="position:absolute;left:0pt;height:221.45pt;width:459.95pt;mso-position-horizontal:center;mso-position-horizontal-relative:margin;mso-position-vertical:center;mso-position-vertical-relative:margin;rotation:20643840f;z-index:-251655168;mso-width-relative:page;mso-height-relative:page;" fillcolor="#FFFFFF" filled="t" stroked="f" coordsize="21600,21600">
          <v:path/>
          <v:fill on="t" opacity="32112f" focussize="0,0"/>
          <v:stroke on="f"/>
          <v:imagedata o:title=""/>
          <o:lock v:ext="edit" grouping="f" rotation="f" text="f" aspectratio="t"/>
          <v:textpath on="t" fitshape="t" fitpath="t" trim="t" xscale="f" string="HZTH" style="font-family:微软雅黑;font-size:36pt;v-text-align:center;"/>
        </v:shape>
      </w:pict>
    </w:r>
    <w:r>
      <w:pict>
        <v:shape id="PowerPlusWaterMarkObject53834" o:spid="_x0000_s4098" o:spt="136" type="#_x0000_t136" style="position:absolute;left:0pt;height:221.45pt;width:459.95pt;mso-position-horizontal:center;mso-position-horizontal-relative:margin;mso-position-vertical:center;mso-position-vertical-relative:margin;rotation:20643840f;z-index:-251656192;mso-width-relative:page;mso-height-relative:page;" fillcolor="#FFFFFF" filled="t" stroked="f" coordsize="21600,21600">
          <v:path/>
          <v:fill on="t" opacity="32112f" focussize="0,0"/>
          <v:stroke on="f"/>
          <v:imagedata o:title=""/>
          <o:lock v:ext="edit" grouping="f" rotation="f" text="f" aspectratio="t"/>
          <v:textpath on="t" fitshape="t" fitpath="t" trim="t" xscale="f" string="HZTH" style="font-family:微软雅黑;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b w:val="0"/>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b w:val="0"/>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C9662"/>
    <w:multiLevelType w:val="multilevel"/>
    <w:tmpl w:val="823C966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pStyle w:val="4"/>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DEAA1B0"/>
    <w:multiLevelType w:val="multilevel"/>
    <w:tmpl w:val="9DEAA1B0"/>
    <w:lvl w:ilvl="0" w:tentative="0">
      <w:start w:val="1"/>
      <w:numFmt w:val="chineseCounting"/>
      <w:suff w:val="nothing"/>
      <w:lvlText w:val="第%1章 "/>
      <w:lvlJc w:val="left"/>
      <w:pPr>
        <w:ind w:left="0" w:firstLine="402"/>
      </w:pPr>
      <w:rPr>
        <w:rFonts w:hint="eastAsia"/>
      </w:rPr>
    </w:lvl>
    <w:lvl w:ilvl="1" w:tentative="0">
      <w:start w:val="1"/>
      <w:numFmt w:val="chineseCounting"/>
      <w:pStyle w:val="3"/>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000000B"/>
    <w:multiLevelType w:val="multilevel"/>
    <w:tmpl w:val="0000000B"/>
    <w:lvl w:ilvl="0" w:tentative="0">
      <w:start w:val="1"/>
      <w:numFmt w:val="decimal"/>
      <w:pStyle w:val="221"/>
      <w:suff w:val="nothing"/>
      <w:lvlText w:val="表%1　"/>
      <w:lvlJc w:val="left"/>
      <w:pPr>
        <w:ind w:left="3240" w:firstLine="0"/>
      </w:pPr>
      <w:rPr>
        <w:rFonts w:hint="eastAsia" w:ascii="黑体" w:hAnsi="Times New Roman" w:eastAsia="黑体"/>
        <w:b w:val="0"/>
        <w:i w:val="0"/>
        <w:sz w:val="21"/>
        <w:lang w:val="en-US"/>
      </w:rPr>
    </w:lvl>
    <w:lvl w:ilvl="1" w:tentative="0">
      <w:start w:val="1"/>
      <w:numFmt w:val="decimal"/>
      <w:lvlText w:val="%1.%2"/>
      <w:lvlJc w:val="left"/>
      <w:pPr>
        <w:tabs>
          <w:tab w:val="left" w:pos="872"/>
        </w:tabs>
        <w:ind w:left="872" w:hanging="567"/>
      </w:pPr>
      <w:rPr>
        <w:rFonts w:hint="eastAsia"/>
      </w:rPr>
    </w:lvl>
    <w:lvl w:ilvl="2" w:tentative="0">
      <w:start w:val="1"/>
      <w:numFmt w:val="decimal"/>
      <w:lvlText w:val="%1.%2.%3"/>
      <w:lvlJc w:val="left"/>
      <w:pPr>
        <w:tabs>
          <w:tab w:val="left" w:pos="1298"/>
        </w:tabs>
        <w:ind w:left="1298" w:hanging="567"/>
      </w:pPr>
      <w:rPr>
        <w:rFonts w:hint="eastAsia"/>
      </w:rPr>
    </w:lvl>
    <w:lvl w:ilvl="3" w:tentative="0">
      <w:start w:val="1"/>
      <w:numFmt w:val="decimal"/>
      <w:lvlText w:val="%1.%2.%3.%4"/>
      <w:lvlJc w:val="left"/>
      <w:pPr>
        <w:tabs>
          <w:tab w:val="left" w:pos="1864"/>
        </w:tabs>
        <w:ind w:left="1864" w:hanging="708"/>
      </w:pPr>
      <w:rPr>
        <w:rFonts w:hint="eastAsia"/>
      </w:rPr>
    </w:lvl>
    <w:lvl w:ilvl="4" w:tentative="0">
      <w:start w:val="1"/>
      <w:numFmt w:val="decimal"/>
      <w:lvlText w:val="%1.%2.%3.%4.%5"/>
      <w:lvlJc w:val="left"/>
      <w:pPr>
        <w:tabs>
          <w:tab w:val="left" w:pos="2431"/>
        </w:tabs>
        <w:ind w:left="2431" w:hanging="850"/>
      </w:pPr>
      <w:rPr>
        <w:rFonts w:hint="eastAsia"/>
      </w:rPr>
    </w:lvl>
    <w:lvl w:ilvl="5" w:tentative="0">
      <w:start w:val="1"/>
      <w:numFmt w:val="decimal"/>
      <w:lvlText w:val="%1.%2.%3.%4.%5.%6"/>
      <w:lvlJc w:val="left"/>
      <w:pPr>
        <w:tabs>
          <w:tab w:val="left" w:pos="3140"/>
        </w:tabs>
        <w:ind w:left="3140" w:hanging="1134"/>
      </w:pPr>
      <w:rPr>
        <w:rFonts w:hint="eastAsia"/>
      </w:rPr>
    </w:lvl>
    <w:lvl w:ilvl="6" w:tentative="0">
      <w:start w:val="1"/>
      <w:numFmt w:val="decimal"/>
      <w:lvlText w:val="%1.%2.%3.%4.%5.%6.%7"/>
      <w:lvlJc w:val="left"/>
      <w:pPr>
        <w:tabs>
          <w:tab w:val="left" w:pos="3707"/>
        </w:tabs>
        <w:ind w:left="3707" w:hanging="1276"/>
      </w:pPr>
      <w:rPr>
        <w:rFonts w:hint="eastAsia"/>
      </w:rPr>
    </w:lvl>
    <w:lvl w:ilvl="7" w:tentative="0">
      <w:start w:val="1"/>
      <w:numFmt w:val="decimal"/>
      <w:lvlText w:val="%1.%2.%3.%4.%5.%6.%7.%8"/>
      <w:lvlJc w:val="left"/>
      <w:pPr>
        <w:tabs>
          <w:tab w:val="left" w:pos="4274"/>
        </w:tabs>
        <w:ind w:left="4274" w:hanging="1418"/>
      </w:pPr>
      <w:rPr>
        <w:rFonts w:hint="eastAsia"/>
      </w:rPr>
    </w:lvl>
    <w:lvl w:ilvl="8" w:tentative="0">
      <w:start w:val="1"/>
      <w:numFmt w:val="decimal"/>
      <w:lvlText w:val="%1.%2.%3.%4.%5.%6.%7.%8.%9"/>
      <w:lvlJc w:val="left"/>
      <w:pPr>
        <w:tabs>
          <w:tab w:val="left" w:pos="4982"/>
        </w:tabs>
        <w:ind w:left="4982" w:hanging="1700"/>
      </w:pPr>
      <w:rPr>
        <w:rFonts w:hint="eastAsia"/>
      </w:rPr>
    </w:lvl>
  </w:abstractNum>
  <w:abstractNum w:abstractNumId="3">
    <w:nsid w:val="0000000C"/>
    <w:multiLevelType w:val="singleLevel"/>
    <w:tmpl w:val="0000000C"/>
    <w:lvl w:ilvl="0" w:tentative="0">
      <w:start w:val="3"/>
      <w:numFmt w:val="chineseCounting"/>
      <w:pStyle w:val="156"/>
      <w:suff w:val="nothing"/>
      <w:lvlText w:val="%1、"/>
      <w:lvlJc w:val="left"/>
    </w:lvl>
  </w:abstractNum>
  <w:abstractNum w:abstractNumId="4">
    <w:nsid w:val="0000000D"/>
    <w:multiLevelType w:val="multilevel"/>
    <w:tmpl w:val="0000000D"/>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E"/>
    <w:multiLevelType w:val="singleLevel"/>
    <w:tmpl w:val="0000000E"/>
    <w:lvl w:ilvl="0" w:tentative="0">
      <w:start w:val="1"/>
      <w:numFmt w:val="bullet"/>
      <w:pStyle w:val="20"/>
      <w:lvlText w:val=""/>
      <w:lvlJc w:val="left"/>
      <w:pPr>
        <w:tabs>
          <w:tab w:val="left" w:pos="2260"/>
        </w:tabs>
        <w:ind w:left="2260" w:hanging="340"/>
      </w:pPr>
      <w:rPr>
        <w:rFonts w:hint="default" w:ascii="Wingdings" w:hAnsi="Wingdings" w:eastAsia="宋体"/>
      </w:rPr>
    </w:lvl>
  </w:abstractNum>
  <w:abstractNum w:abstractNumId="6">
    <w:nsid w:val="0000000F"/>
    <w:multiLevelType w:val="multilevel"/>
    <w:tmpl w:val="0000000F"/>
    <w:lvl w:ilvl="0" w:tentative="0">
      <w:start w:val="1"/>
      <w:numFmt w:val="decimal"/>
      <w:pStyle w:val="136"/>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1"/>
    <w:multiLevelType w:val="multilevel"/>
    <w:tmpl w:val="00000011"/>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pStyle w:val="96"/>
      <w:suff w:val="nothing"/>
      <w:lvlText w:val="%1%2　"/>
      <w:lvlJc w:val="left"/>
      <w:pPr>
        <w:ind w:left="0" w:firstLine="0"/>
      </w:pPr>
      <w:rPr>
        <w:rFonts w:hint="eastAsia" w:ascii="黑体" w:hAnsi="Times New Roman" w:eastAsia="黑体"/>
        <w:b w:val="0"/>
        <w:i w:val="0"/>
        <w:sz w:val="21"/>
      </w:rPr>
    </w:lvl>
    <w:lvl w:ilvl="2" w:tentative="0">
      <w:start w:val="1"/>
      <w:numFmt w:val="decimal"/>
      <w:pStyle w:val="106"/>
      <w:suff w:val="nothing"/>
      <w:lvlText w:val="%1%2.%3　"/>
      <w:lvlJc w:val="left"/>
      <w:pPr>
        <w:ind w:left="525" w:firstLine="0"/>
      </w:pPr>
      <w:rPr>
        <w:rFonts w:hint="eastAsia" w:ascii="黑体" w:hAnsi="Times New Roman" w:eastAsia="黑体"/>
        <w:b w:val="0"/>
        <w:i w:val="0"/>
        <w:sz w:val="21"/>
      </w:rPr>
    </w:lvl>
    <w:lvl w:ilvl="3" w:tentative="0">
      <w:start w:val="1"/>
      <w:numFmt w:val="decimal"/>
      <w:pStyle w:val="123"/>
      <w:suff w:val="nothing"/>
      <w:lvlText w:val="%1%2.%3.%4　"/>
      <w:lvlJc w:val="left"/>
      <w:pPr>
        <w:ind w:left="180" w:firstLine="0"/>
      </w:pPr>
      <w:rPr>
        <w:rFonts w:hint="eastAsia" w:ascii="黑体" w:hAnsi="Times New Roman" w:eastAsia="黑体"/>
        <w:b w:val="0"/>
        <w:i w:val="0"/>
        <w:sz w:val="21"/>
      </w:rPr>
    </w:lvl>
    <w:lvl w:ilvl="4" w:tentative="0">
      <w:start w:val="1"/>
      <w:numFmt w:val="decimal"/>
      <w:pStyle w:val="150"/>
      <w:suff w:val="nothing"/>
      <w:lvlText w:val="%1%2.%3.%4.%5　"/>
      <w:lvlJc w:val="left"/>
      <w:pPr>
        <w:ind w:left="0" w:firstLine="0"/>
      </w:pPr>
      <w:rPr>
        <w:rFonts w:hint="eastAsia" w:ascii="黑体" w:hAnsi="Times New Roman" w:eastAsia="黑体"/>
        <w:b w:val="0"/>
        <w:i w:val="0"/>
        <w:sz w:val="21"/>
      </w:rPr>
    </w:lvl>
    <w:lvl w:ilvl="5" w:tentative="0">
      <w:start w:val="1"/>
      <w:numFmt w:val="decimal"/>
      <w:pStyle w:val="163"/>
      <w:suff w:val="nothing"/>
      <w:lvlText w:val="%1%2.%3.%4.%5.%6　"/>
      <w:lvlJc w:val="left"/>
      <w:pPr>
        <w:ind w:left="0" w:firstLine="0"/>
      </w:pPr>
      <w:rPr>
        <w:rFonts w:hint="eastAsia" w:ascii="黑体" w:hAnsi="Times New Roman" w:eastAsia="黑体"/>
        <w:b w:val="0"/>
        <w:i w:val="0"/>
        <w:sz w:val="21"/>
      </w:rPr>
    </w:lvl>
    <w:lvl w:ilvl="6" w:tentative="0">
      <w:start w:val="1"/>
      <w:numFmt w:val="decimal"/>
      <w:pStyle w:val="1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3"/>
    <w:multiLevelType w:val="multilevel"/>
    <w:tmpl w:val="00000013"/>
    <w:lvl w:ilvl="0" w:tentative="0">
      <w:start w:val="1"/>
      <w:numFmt w:val="decimal"/>
      <w:pStyle w:val="199"/>
      <w:lvlText w:val="%1."/>
      <w:lvlJc w:val="left"/>
      <w:pPr>
        <w:tabs>
          <w:tab w:val="left" w:pos="425"/>
        </w:tabs>
        <w:ind w:left="425" w:hanging="425"/>
      </w:pPr>
    </w:lvl>
    <w:lvl w:ilvl="1" w:tentative="0">
      <w:start w:val="1"/>
      <w:numFmt w:val="decimal"/>
      <w:pStyle w:val="135"/>
      <w:lvlText w:val="%1.%2."/>
      <w:lvlJc w:val="left"/>
      <w:pPr>
        <w:tabs>
          <w:tab w:val="left" w:pos="567"/>
        </w:tabs>
        <w:ind w:left="567" w:hanging="567"/>
      </w:pPr>
    </w:lvl>
    <w:lvl w:ilvl="2" w:tentative="0">
      <w:start w:val="1"/>
      <w:numFmt w:val="decimal"/>
      <w:pStyle w:val="177"/>
      <w:lvlText w:val="%1.%2.%3."/>
      <w:lvlJc w:val="left"/>
      <w:pPr>
        <w:tabs>
          <w:tab w:val="left" w:pos="709"/>
        </w:tabs>
        <w:ind w:left="709" w:hanging="709"/>
      </w:pPr>
    </w:lvl>
    <w:lvl w:ilvl="3" w:tentative="0">
      <w:start w:val="1"/>
      <w:numFmt w:val="decimal"/>
      <w:pStyle w:val="157"/>
      <w:lvlText w:val="%1.%2.%3.%4."/>
      <w:lvlJc w:val="left"/>
      <w:pPr>
        <w:tabs>
          <w:tab w:val="left" w:pos="851"/>
        </w:tabs>
        <w:ind w:left="851" w:hanging="851"/>
      </w:pPr>
    </w:lvl>
    <w:lvl w:ilvl="4" w:tentative="0">
      <w:start w:val="1"/>
      <w:numFmt w:val="decimal"/>
      <w:pStyle w:val="139"/>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0000014"/>
    <w:multiLevelType w:val="multilevel"/>
    <w:tmpl w:val="00000014"/>
    <w:lvl w:ilvl="0" w:tentative="0">
      <w:start w:val="1"/>
      <w:numFmt w:val="decimal"/>
      <w:pStyle w:val="11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065919C0"/>
    <w:multiLevelType w:val="multilevel"/>
    <w:tmpl w:val="065919C0"/>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1">
    <w:nsid w:val="54D68CDC"/>
    <w:multiLevelType w:val="singleLevel"/>
    <w:tmpl w:val="54D68CDC"/>
    <w:lvl w:ilvl="0" w:tentative="0">
      <w:start w:val="2"/>
      <w:numFmt w:val="decimal"/>
      <w:suff w:val="nothing"/>
      <w:lvlText w:val="%1、"/>
      <w:lvlJc w:val="left"/>
    </w:lvl>
  </w:abstractNum>
  <w:abstractNum w:abstractNumId="12">
    <w:nsid w:val="597836F4"/>
    <w:multiLevelType w:val="singleLevel"/>
    <w:tmpl w:val="597836F4"/>
    <w:lvl w:ilvl="0" w:tentative="0">
      <w:start w:val="1"/>
      <w:numFmt w:val="decimal"/>
      <w:suff w:val="nothing"/>
      <w:lvlText w:val="%1、"/>
      <w:lvlJc w:val="left"/>
    </w:lvl>
  </w:abstractNum>
  <w:abstractNum w:abstractNumId="13">
    <w:nsid w:val="59783F8A"/>
    <w:multiLevelType w:val="singleLevel"/>
    <w:tmpl w:val="59783F8A"/>
    <w:lvl w:ilvl="0" w:tentative="0">
      <w:start w:val="1"/>
      <w:numFmt w:val="decimal"/>
      <w:suff w:val="nothing"/>
      <w:lvlText w:val="%1、"/>
      <w:lvlJc w:val="left"/>
    </w:lvl>
  </w:abstractNum>
  <w:abstractNum w:abstractNumId="14">
    <w:nsid w:val="597842BB"/>
    <w:multiLevelType w:val="singleLevel"/>
    <w:tmpl w:val="597842BB"/>
    <w:lvl w:ilvl="0" w:tentative="0">
      <w:start w:val="1"/>
      <w:numFmt w:val="decimal"/>
      <w:suff w:val="nothing"/>
      <w:lvlText w:val="%1、"/>
      <w:lvlJc w:val="left"/>
    </w:lvl>
  </w:abstractNum>
  <w:abstractNum w:abstractNumId="15">
    <w:nsid w:val="59DED506"/>
    <w:multiLevelType w:val="singleLevel"/>
    <w:tmpl w:val="59DED506"/>
    <w:lvl w:ilvl="0" w:tentative="0">
      <w:start w:val="1"/>
      <w:numFmt w:val="chineseCounting"/>
      <w:suff w:val="nothing"/>
      <w:lvlText w:val="%1、"/>
      <w:lvlJc w:val="left"/>
    </w:lvl>
  </w:abstractNum>
  <w:abstractNum w:abstractNumId="16">
    <w:nsid w:val="59E95635"/>
    <w:multiLevelType w:val="singleLevel"/>
    <w:tmpl w:val="59E95635"/>
    <w:lvl w:ilvl="0" w:tentative="0">
      <w:start w:val="1"/>
      <w:numFmt w:val="chineseCounting"/>
      <w:suff w:val="nothing"/>
      <w:lvlText w:val="%1、"/>
      <w:lvlJc w:val="left"/>
    </w:lvl>
  </w:abstractNum>
  <w:abstractNum w:abstractNumId="17">
    <w:nsid w:val="59F148CF"/>
    <w:multiLevelType w:val="singleLevel"/>
    <w:tmpl w:val="59F148CF"/>
    <w:lvl w:ilvl="0" w:tentative="0">
      <w:start w:val="1"/>
      <w:numFmt w:val="chineseCounting"/>
      <w:suff w:val="nothing"/>
      <w:lvlText w:val="%1、"/>
      <w:lvlJc w:val="left"/>
    </w:lvl>
  </w:abstractNum>
  <w:abstractNum w:abstractNumId="18">
    <w:nsid w:val="59F191D7"/>
    <w:multiLevelType w:val="singleLevel"/>
    <w:tmpl w:val="59F191D7"/>
    <w:lvl w:ilvl="0" w:tentative="0">
      <w:start w:val="1"/>
      <w:numFmt w:val="chineseCounting"/>
      <w:suff w:val="nothing"/>
      <w:lvlText w:val="%1、"/>
      <w:lvlJc w:val="left"/>
    </w:lvl>
  </w:abstractNum>
  <w:abstractNum w:abstractNumId="19">
    <w:nsid w:val="59F2A5C3"/>
    <w:multiLevelType w:val="singleLevel"/>
    <w:tmpl w:val="59F2A5C3"/>
    <w:lvl w:ilvl="0" w:tentative="0">
      <w:start w:val="1"/>
      <w:numFmt w:val="decimal"/>
      <w:suff w:val="nothing"/>
      <w:lvlText w:val="%1、"/>
      <w:lvlJc w:val="left"/>
      <w:rPr>
        <w:b w:val="0"/>
      </w:rPr>
    </w:lvl>
  </w:abstractNum>
  <w:abstractNum w:abstractNumId="20">
    <w:nsid w:val="59F2A76E"/>
    <w:multiLevelType w:val="singleLevel"/>
    <w:tmpl w:val="59F2A76E"/>
    <w:lvl w:ilvl="0" w:tentative="0">
      <w:start w:val="1"/>
      <w:numFmt w:val="chineseCounting"/>
      <w:suff w:val="nothing"/>
      <w:lvlText w:val="%1、"/>
      <w:lvlJc w:val="left"/>
    </w:lvl>
  </w:abstractNum>
  <w:abstractNum w:abstractNumId="21">
    <w:nsid w:val="59F2CB9D"/>
    <w:multiLevelType w:val="singleLevel"/>
    <w:tmpl w:val="59F2CB9D"/>
    <w:lvl w:ilvl="0" w:tentative="0">
      <w:start w:val="1"/>
      <w:numFmt w:val="decimal"/>
      <w:suff w:val="nothing"/>
      <w:lvlText w:val="%1、"/>
      <w:lvlJc w:val="left"/>
    </w:lvl>
  </w:abstractNum>
  <w:abstractNum w:abstractNumId="22">
    <w:nsid w:val="5A1B6980"/>
    <w:multiLevelType w:val="singleLevel"/>
    <w:tmpl w:val="5A1B6980"/>
    <w:lvl w:ilvl="0" w:tentative="0">
      <w:start w:val="2"/>
      <w:numFmt w:val="decimal"/>
      <w:suff w:val="nothing"/>
      <w:lvlText w:val="%1、"/>
      <w:lvlJc w:val="left"/>
    </w:lvl>
  </w:abstractNum>
  <w:abstractNum w:abstractNumId="23">
    <w:nsid w:val="5A2758E3"/>
    <w:multiLevelType w:val="singleLevel"/>
    <w:tmpl w:val="5A2758E3"/>
    <w:lvl w:ilvl="0" w:tentative="0">
      <w:start w:val="1"/>
      <w:numFmt w:val="decimal"/>
      <w:suff w:val="nothing"/>
      <w:lvlText w:val="%1、"/>
      <w:lvlJc w:val="left"/>
    </w:lvl>
  </w:abstractNum>
  <w:abstractNum w:abstractNumId="24">
    <w:nsid w:val="5A279458"/>
    <w:multiLevelType w:val="singleLevel"/>
    <w:tmpl w:val="5A279458"/>
    <w:lvl w:ilvl="0" w:tentative="0">
      <w:start w:val="1"/>
      <w:numFmt w:val="decimal"/>
      <w:suff w:val="nothing"/>
      <w:lvlText w:val="%1、"/>
      <w:lvlJc w:val="left"/>
      <w:pPr>
        <w:ind w:left="560" w:firstLine="0"/>
      </w:pPr>
    </w:lvl>
  </w:abstractNum>
  <w:abstractNum w:abstractNumId="25">
    <w:nsid w:val="5A279DD4"/>
    <w:multiLevelType w:val="singleLevel"/>
    <w:tmpl w:val="5A279DD4"/>
    <w:lvl w:ilvl="0" w:tentative="0">
      <w:start w:val="1"/>
      <w:numFmt w:val="decimal"/>
      <w:suff w:val="nothing"/>
      <w:lvlText w:val="%1、"/>
      <w:lvlJc w:val="left"/>
      <w:pPr>
        <w:ind w:left="560" w:firstLine="0"/>
      </w:pPr>
    </w:lvl>
  </w:abstractNum>
  <w:abstractNum w:abstractNumId="26">
    <w:nsid w:val="5A27A760"/>
    <w:multiLevelType w:val="singleLevel"/>
    <w:tmpl w:val="5A27A760"/>
    <w:lvl w:ilvl="0" w:tentative="0">
      <w:start w:val="1"/>
      <w:numFmt w:val="decimal"/>
      <w:suff w:val="nothing"/>
      <w:lvlText w:val="%1、"/>
      <w:lvlJc w:val="left"/>
      <w:pPr>
        <w:ind w:left="560" w:firstLine="0"/>
      </w:pPr>
    </w:lvl>
  </w:abstractNum>
  <w:abstractNum w:abstractNumId="27">
    <w:nsid w:val="5A27A9AE"/>
    <w:multiLevelType w:val="singleLevel"/>
    <w:tmpl w:val="5A27A9AE"/>
    <w:lvl w:ilvl="0" w:tentative="0">
      <w:start w:val="2"/>
      <w:numFmt w:val="decimal"/>
      <w:suff w:val="nothing"/>
      <w:lvlText w:val="%1、"/>
      <w:lvlJc w:val="left"/>
    </w:lvl>
  </w:abstractNum>
  <w:abstractNum w:abstractNumId="28">
    <w:nsid w:val="5A27AB24"/>
    <w:multiLevelType w:val="singleLevel"/>
    <w:tmpl w:val="5A27AB24"/>
    <w:lvl w:ilvl="0" w:tentative="0">
      <w:start w:val="1"/>
      <w:numFmt w:val="decimal"/>
      <w:suff w:val="nothing"/>
      <w:lvlText w:val="%1、"/>
      <w:lvlJc w:val="left"/>
      <w:pPr>
        <w:ind w:left="560" w:firstLine="0"/>
      </w:pPr>
    </w:lvl>
  </w:abstractNum>
  <w:abstractNum w:abstractNumId="29">
    <w:nsid w:val="5A38BE17"/>
    <w:multiLevelType w:val="singleLevel"/>
    <w:tmpl w:val="5A38BE17"/>
    <w:lvl w:ilvl="0" w:tentative="0">
      <w:start w:val="1"/>
      <w:numFmt w:val="decimal"/>
      <w:suff w:val="nothing"/>
      <w:lvlText w:val="%1、"/>
      <w:lvlJc w:val="left"/>
    </w:lvl>
  </w:abstractNum>
  <w:abstractNum w:abstractNumId="30">
    <w:nsid w:val="5A38BE42"/>
    <w:multiLevelType w:val="singleLevel"/>
    <w:tmpl w:val="5A38BE42"/>
    <w:lvl w:ilvl="0" w:tentative="0">
      <w:start w:val="1"/>
      <w:numFmt w:val="decimal"/>
      <w:suff w:val="nothing"/>
      <w:lvlText w:val="%1、"/>
      <w:lvlJc w:val="left"/>
    </w:lvl>
  </w:abstractNum>
  <w:abstractNum w:abstractNumId="31">
    <w:nsid w:val="5A38BE67"/>
    <w:multiLevelType w:val="singleLevel"/>
    <w:tmpl w:val="5A38BE67"/>
    <w:lvl w:ilvl="0" w:tentative="0">
      <w:start w:val="1"/>
      <w:numFmt w:val="chineseCounting"/>
      <w:suff w:val="nothing"/>
      <w:lvlText w:val="%1、"/>
      <w:lvlJc w:val="left"/>
    </w:lvl>
  </w:abstractNum>
  <w:abstractNum w:abstractNumId="32">
    <w:nsid w:val="5A38C017"/>
    <w:multiLevelType w:val="singleLevel"/>
    <w:tmpl w:val="5A38C017"/>
    <w:lvl w:ilvl="0" w:tentative="0">
      <w:start w:val="1"/>
      <w:numFmt w:val="decimal"/>
      <w:suff w:val="nothing"/>
      <w:lvlText w:val="%1、"/>
      <w:lvlJc w:val="left"/>
    </w:lvl>
  </w:abstractNum>
  <w:abstractNum w:abstractNumId="33">
    <w:nsid w:val="5A38C1B3"/>
    <w:multiLevelType w:val="singleLevel"/>
    <w:tmpl w:val="5A38C1B3"/>
    <w:lvl w:ilvl="0" w:tentative="0">
      <w:start w:val="1"/>
      <w:numFmt w:val="decimal"/>
      <w:suff w:val="nothing"/>
      <w:lvlText w:val="%1、"/>
      <w:lvlJc w:val="left"/>
    </w:lvl>
  </w:abstractNum>
  <w:abstractNum w:abstractNumId="34">
    <w:nsid w:val="5A38C982"/>
    <w:multiLevelType w:val="singleLevel"/>
    <w:tmpl w:val="5A38C982"/>
    <w:lvl w:ilvl="0" w:tentative="0">
      <w:start w:val="1"/>
      <w:numFmt w:val="decimal"/>
      <w:suff w:val="nothing"/>
      <w:lvlText w:val="%1、"/>
      <w:lvlJc w:val="left"/>
      <w:pPr>
        <w:ind w:left="280" w:firstLine="0"/>
      </w:pPr>
    </w:lvl>
  </w:abstractNum>
  <w:abstractNum w:abstractNumId="35">
    <w:nsid w:val="5A38CB08"/>
    <w:multiLevelType w:val="singleLevel"/>
    <w:tmpl w:val="5A38CB08"/>
    <w:lvl w:ilvl="0" w:tentative="0">
      <w:start w:val="1"/>
      <w:numFmt w:val="decimal"/>
      <w:suff w:val="nothing"/>
      <w:lvlText w:val="（%1）"/>
      <w:lvlJc w:val="left"/>
    </w:lvl>
  </w:abstractNum>
  <w:abstractNum w:abstractNumId="36">
    <w:nsid w:val="5A3A0896"/>
    <w:multiLevelType w:val="singleLevel"/>
    <w:tmpl w:val="5A3A0896"/>
    <w:lvl w:ilvl="0" w:tentative="0">
      <w:start w:val="1"/>
      <w:numFmt w:val="decimal"/>
      <w:suff w:val="nothing"/>
      <w:lvlText w:val="（%1）"/>
      <w:lvlJc w:val="left"/>
    </w:lvl>
  </w:abstractNum>
  <w:abstractNum w:abstractNumId="37">
    <w:nsid w:val="5A3B4EDE"/>
    <w:multiLevelType w:val="singleLevel"/>
    <w:tmpl w:val="5A3B4EDE"/>
    <w:lvl w:ilvl="0" w:tentative="0">
      <w:start w:val="1"/>
      <w:numFmt w:val="decimal"/>
      <w:suff w:val="nothing"/>
      <w:lvlText w:val="（%1）"/>
      <w:lvlJc w:val="left"/>
    </w:lvl>
  </w:abstractNum>
  <w:abstractNum w:abstractNumId="38">
    <w:nsid w:val="5A3B516F"/>
    <w:multiLevelType w:val="singleLevel"/>
    <w:tmpl w:val="5A3B516F"/>
    <w:lvl w:ilvl="0" w:tentative="0">
      <w:start w:val="1"/>
      <w:numFmt w:val="decimal"/>
      <w:suff w:val="nothing"/>
      <w:lvlText w:val="（%1）"/>
      <w:lvlJc w:val="left"/>
    </w:lvl>
  </w:abstractNum>
  <w:abstractNum w:abstractNumId="39">
    <w:nsid w:val="5A3B5306"/>
    <w:multiLevelType w:val="singleLevel"/>
    <w:tmpl w:val="5A3B5306"/>
    <w:lvl w:ilvl="0" w:tentative="0">
      <w:start w:val="1"/>
      <w:numFmt w:val="decimal"/>
      <w:suff w:val="nothing"/>
      <w:lvlText w:val="（%1）"/>
      <w:lvlJc w:val="left"/>
    </w:lvl>
  </w:abstractNum>
  <w:abstractNum w:abstractNumId="40">
    <w:nsid w:val="5A3B544B"/>
    <w:multiLevelType w:val="singleLevel"/>
    <w:tmpl w:val="5A3B544B"/>
    <w:lvl w:ilvl="0" w:tentative="0">
      <w:start w:val="1"/>
      <w:numFmt w:val="decimal"/>
      <w:suff w:val="nothing"/>
      <w:lvlText w:val="%1、"/>
      <w:lvlJc w:val="left"/>
    </w:lvl>
  </w:abstractNum>
  <w:abstractNum w:abstractNumId="41">
    <w:nsid w:val="5A3B54C9"/>
    <w:multiLevelType w:val="singleLevel"/>
    <w:tmpl w:val="5A3B54C9"/>
    <w:lvl w:ilvl="0" w:tentative="0">
      <w:start w:val="1"/>
      <w:numFmt w:val="decimal"/>
      <w:suff w:val="nothing"/>
      <w:lvlText w:val="（%1）"/>
      <w:lvlJc w:val="left"/>
      <w:pPr>
        <w:ind w:left="560" w:firstLine="0"/>
      </w:pPr>
    </w:lvl>
  </w:abstractNum>
  <w:abstractNum w:abstractNumId="42">
    <w:nsid w:val="5A3B556E"/>
    <w:multiLevelType w:val="singleLevel"/>
    <w:tmpl w:val="5A3B556E"/>
    <w:lvl w:ilvl="0" w:tentative="0">
      <w:start w:val="1"/>
      <w:numFmt w:val="decimal"/>
      <w:suff w:val="nothing"/>
      <w:lvlText w:val="（%1）"/>
      <w:lvlJc w:val="left"/>
    </w:lvl>
  </w:abstractNum>
  <w:abstractNum w:abstractNumId="43">
    <w:nsid w:val="5A3B5717"/>
    <w:multiLevelType w:val="singleLevel"/>
    <w:tmpl w:val="5A3B5717"/>
    <w:lvl w:ilvl="0" w:tentative="0">
      <w:start w:val="1"/>
      <w:numFmt w:val="decimal"/>
      <w:suff w:val="nothing"/>
      <w:lvlText w:val="（%1）"/>
      <w:lvlJc w:val="left"/>
    </w:lvl>
  </w:abstractNum>
  <w:abstractNum w:abstractNumId="44">
    <w:nsid w:val="5A3B5855"/>
    <w:multiLevelType w:val="singleLevel"/>
    <w:tmpl w:val="5A3B5855"/>
    <w:lvl w:ilvl="0" w:tentative="0">
      <w:start w:val="1"/>
      <w:numFmt w:val="decimal"/>
      <w:suff w:val="nothing"/>
      <w:lvlText w:val="（%1）"/>
      <w:lvlJc w:val="left"/>
    </w:lvl>
  </w:abstractNum>
  <w:abstractNum w:abstractNumId="45">
    <w:nsid w:val="5A3B592A"/>
    <w:multiLevelType w:val="singleLevel"/>
    <w:tmpl w:val="5A3B592A"/>
    <w:lvl w:ilvl="0" w:tentative="0">
      <w:start w:val="1"/>
      <w:numFmt w:val="decimal"/>
      <w:suff w:val="nothing"/>
      <w:lvlText w:val="（%1）"/>
      <w:lvlJc w:val="left"/>
    </w:lvl>
  </w:abstractNum>
  <w:abstractNum w:abstractNumId="46">
    <w:nsid w:val="5A3C672E"/>
    <w:multiLevelType w:val="singleLevel"/>
    <w:tmpl w:val="5A3C672E"/>
    <w:lvl w:ilvl="0" w:tentative="0">
      <w:start w:val="1"/>
      <w:numFmt w:val="decimal"/>
      <w:suff w:val="nothing"/>
      <w:lvlText w:val="（%1）"/>
      <w:lvlJc w:val="left"/>
      <w:pPr>
        <w:ind w:left="700" w:firstLine="0"/>
      </w:pPr>
    </w:lvl>
  </w:abstractNum>
  <w:abstractNum w:abstractNumId="47">
    <w:nsid w:val="5A4DAED4"/>
    <w:multiLevelType w:val="singleLevel"/>
    <w:tmpl w:val="5A4DAED4"/>
    <w:lvl w:ilvl="0" w:tentative="0">
      <w:start w:val="1"/>
      <w:numFmt w:val="decimal"/>
      <w:suff w:val="nothing"/>
      <w:lvlText w:val="%1、"/>
      <w:lvlJc w:val="left"/>
    </w:lvl>
  </w:abstractNum>
  <w:abstractNum w:abstractNumId="48">
    <w:nsid w:val="645841EC"/>
    <w:multiLevelType w:val="multilevel"/>
    <w:tmpl w:val="645841EC"/>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1"/>
  </w:num>
  <w:num w:numId="2">
    <w:abstractNumId w:val="0"/>
  </w:num>
  <w:num w:numId="3">
    <w:abstractNumId w:val="10"/>
  </w:num>
  <w:num w:numId="4">
    <w:abstractNumId w:val="7"/>
  </w:num>
  <w:num w:numId="5">
    <w:abstractNumId w:val="5"/>
  </w:num>
  <w:num w:numId="6">
    <w:abstractNumId w:val="4"/>
  </w:num>
  <w:num w:numId="7">
    <w:abstractNumId w:val="9"/>
  </w:num>
  <w:num w:numId="8">
    <w:abstractNumId w:val="3"/>
  </w:num>
  <w:num w:numId="9">
    <w:abstractNumId w:val="8"/>
  </w:num>
  <w:num w:numId="10">
    <w:abstractNumId w:val="6"/>
  </w:num>
  <w:num w:numId="11">
    <w:abstractNumId w:val="2"/>
  </w:num>
  <w:num w:numId="12">
    <w:abstractNumId w:val="20"/>
  </w:num>
  <w:num w:numId="13">
    <w:abstractNumId w:val="21"/>
  </w:num>
  <w:num w:numId="14">
    <w:abstractNumId w:val="12"/>
  </w:num>
  <w:num w:numId="15">
    <w:abstractNumId w:val="16"/>
  </w:num>
  <w:num w:numId="16">
    <w:abstractNumId w:val="34"/>
  </w:num>
  <w:num w:numId="17">
    <w:abstractNumId w:val="35"/>
  </w:num>
  <w:num w:numId="18">
    <w:abstractNumId w:val="36"/>
  </w:num>
  <w:num w:numId="19">
    <w:abstractNumId w:val="37"/>
  </w:num>
  <w:num w:numId="20">
    <w:abstractNumId w:val="38"/>
  </w:num>
  <w:num w:numId="21">
    <w:abstractNumId w:val="39"/>
  </w:num>
  <w:num w:numId="22">
    <w:abstractNumId w:val="40"/>
  </w:num>
  <w:num w:numId="23">
    <w:abstractNumId w:val="41"/>
  </w:num>
  <w:num w:numId="24">
    <w:abstractNumId w:val="42"/>
  </w:num>
  <w:num w:numId="25">
    <w:abstractNumId w:val="43"/>
  </w:num>
  <w:num w:numId="26">
    <w:abstractNumId w:val="44"/>
  </w:num>
  <w:num w:numId="27">
    <w:abstractNumId w:val="45"/>
  </w:num>
  <w:num w:numId="28">
    <w:abstractNumId w:val="22"/>
  </w:num>
  <w:num w:numId="29">
    <w:abstractNumId w:val="46"/>
  </w:num>
  <w:num w:numId="30">
    <w:abstractNumId w:val="15"/>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17"/>
  </w:num>
  <w:num w:numId="38">
    <w:abstractNumId w:val="29"/>
  </w:num>
  <w:num w:numId="39">
    <w:abstractNumId w:val="13"/>
  </w:num>
  <w:num w:numId="40">
    <w:abstractNumId w:val="30"/>
  </w:num>
  <w:num w:numId="41">
    <w:abstractNumId w:val="31"/>
  </w:num>
  <w:num w:numId="42">
    <w:abstractNumId w:val="14"/>
  </w:num>
  <w:num w:numId="43">
    <w:abstractNumId w:val="18"/>
  </w:num>
  <w:num w:numId="44">
    <w:abstractNumId w:val="32"/>
  </w:num>
  <w:num w:numId="45">
    <w:abstractNumId w:val="33"/>
  </w:num>
  <w:num w:numId="46">
    <w:abstractNumId w:val="47"/>
  </w:num>
  <w:num w:numId="47">
    <w:abstractNumId w:val="19"/>
  </w:num>
  <w:num w:numId="48">
    <w:abstractNumId w:val="48"/>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522"/>
    <w:rsid w:val="000165A1"/>
    <w:rsid w:val="00021538"/>
    <w:rsid w:val="000512B6"/>
    <w:rsid w:val="000521D4"/>
    <w:rsid w:val="00057252"/>
    <w:rsid w:val="0007362A"/>
    <w:rsid w:val="00075690"/>
    <w:rsid w:val="000975D1"/>
    <w:rsid w:val="000C047B"/>
    <w:rsid w:val="000C0511"/>
    <w:rsid w:val="000C5601"/>
    <w:rsid w:val="000D65DA"/>
    <w:rsid w:val="000E13DE"/>
    <w:rsid w:val="000E24D9"/>
    <w:rsid w:val="000E5A15"/>
    <w:rsid w:val="00125F96"/>
    <w:rsid w:val="00133BD5"/>
    <w:rsid w:val="00142EA9"/>
    <w:rsid w:val="00145513"/>
    <w:rsid w:val="0015225B"/>
    <w:rsid w:val="0018116A"/>
    <w:rsid w:val="001966A0"/>
    <w:rsid w:val="001B398E"/>
    <w:rsid w:val="001C4C65"/>
    <w:rsid w:val="001C6013"/>
    <w:rsid w:val="001D27CB"/>
    <w:rsid w:val="001D2C04"/>
    <w:rsid w:val="001D7AF4"/>
    <w:rsid w:val="001D7E9A"/>
    <w:rsid w:val="001E0C02"/>
    <w:rsid w:val="001E4AFB"/>
    <w:rsid w:val="001F395F"/>
    <w:rsid w:val="001F5CA6"/>
    <w:rsid w:val="002007E9"/>
    <w:rsid w:val="00204274"/>
    <w:rsid w:val="00206BEC"/>
    <w:rsid w:val="002175BE"/>
    <w:rsid w:val="00232A56"/>
    <w:rsid w:val="00235841"/>
    <w:rsid w:val="002359C7"/>
    <w:rsid w:val="00244F09"/>
    <w:rsid w:val="00250DC6"/>
    <w:rsid w:val="002530FF"/>
    <w:rsid w:val="00263570"/>
    <w:rsid w:val="002739DB"/>
    <w:rsid w:val="002A20B3"/>
    <w:rsid w:val="002B0A7F"/>
    <w:rsid w:val="002B1996"/>
    <w:rsid w:val="002B2690"/>
    <w:rsid w:val="002C46E1"/>
    <w:rsid w:val="002D1ACD"/>
    <w:rsid w:val="002F7EE8"/>
    <w:rsid w:val="0031322C"/>
    <w:rsid w:val="00320B03"/>
    <w:rsid w:val="00332A16"/>
    <w:rsid w:val="00333744"/>
    <w:rsid w:val="0033765F"/>
    <w:rsid w:val="00354D17"/>
    <w:rsid w:val="00355756"/>
    <w:rsid w:val="00355FC5"/>
    <w:rsid w:val="00360F39"/>
    <w:rsid w:val="00362C52"/>
    <w:rsid w:val="00372C2F"/>
    <w:rsid w:val="00381AB5"/>
    <w:rsid w:val="0038707D"/>
    <w:rsid w:val="00393693"/>
    <w:rsid w:val="00394A46"/>
    <w:rsid w:val="003C63F6"/>
    <w:rsid w:val="003F6AC6"/>
    <w:rsid w:val="00402F13"/>
    <w:rsid w:val="0040415F"/>
    <w:rsid w:val="0040440C"/>
    <w:rsid w:val="00426458"/>
    <w:rsid w:val="004376FD"/>
    <w:rsid w:val="00463A57"/>
    <w:rsid w:val="00465D3B"/>
    <w:rsid w:val="004B6645"/>
    <w:rsid w:val="004C0C47"/>
    <w:rsid w:val="004D0784"/>
    <w:rsid w:val="004D0B12"/>
    <w:rsid w:val="004E2765"/>
    <w:rsid w:val="004E4734"/>
    <w:rsid w:val="004E65BE"/>
    <w:rsid w:val="004F2E01"/>
    <w:rsid w:val="0050706E"/>
    <w:rsid w:val="00514669"/>
    <w:rsid w:val="00520F5D"/>
    <w:rsid w:val="00566CD1"/>
    <w:rsid w:val="00595A78"/>
    <w:rsid w:val="00596E63"/>
    <w:rsid w:val="00596EDC"/>
    <w:rsid w:val="005B49DE"/>
    <w:rsid w:val="005C7C54"/>
    <w:rsid w:val="005D3171"/>
    <w:rsid w:val="005E437E"/>
    <w:rsid w:val="005E655E"/>
    <w:rsid w:val="00622035"/>
    <w:rsid w:val="00623719"/>
    <w:rsid w:val="00651AF6"/>
    <w:rsid w:val="006535C5"/>
    <w:rsid w:val="00666DD0"/>
    <w:rsid w:val="00677970"/>
    <w:rsid w:val="00677F57"/>
    <w:rsid w:val="00687087"/>
    <w:rsid w:val="00695D4E"/>
    <w:rsid w:val="006B3171"/>
    <w:rsid w:val="006B6FBE"/>
    <w:rsid w:val="006D0DF1"/>
    <w:rsid w:val="006D5BF6"/>
    <w:rsid w:val="00742B20"/>
    <w:rsid w:val="007440C3"/>
    <w:rsid w:val="00744F58"/>
    <w:rsid w:val="00756EAF"/>
    <w:rsid w:val="00762367"/>
    <w:rsid w:val="00786F50"/>
    <w:rsid w:val="0079409E"/>
    <w:rsid w:val="007A5505"/>
    <w:rsid w:val="007C7BAA"/>
    <w:rsid w:val="007E4DFC"/>
    <w:rsid w:val="007F3E05"/>
    <w:rsid w:val="00806B01"/>
    <w:rsid w:val="008074CE"/>
    <w:rsid w:val="00820519"/>
    <w:rsid w:val="00820B6D"/>
    <w:rsid w:val="00821D2E"/>
    <w:rsid w:val="00834556"/>
    <w:rsid w:val="008353FD"/>
    <w:rsid w:val="0084164F"/>
    <w:rsid w:val="00846209"/>
    <w:rsid w:val="008547C4"/>
    <w:rsid w:val="00855C4D"/>
    <w:rsid w:val="00855CCD"/>
    <w:rsid w:val="00865558"/>
    <w:rsid w:val="00870B61"/>
    <w:rsid w:val="00871AE1"/>
    <w:rsid w:val="00873747"/>
    <w:rsid w:val="00875409"/>
    <w:rsid w:val="008A07C7"/>
    <w:rsid w:val="008A6798"/>
    <w:rsid w:val="008A6CD7"/>
    <w:rsid w:val="008B7BBE"/>
    <w:rsid w:val="008C519F"/>
    <w:rsid w:val="008F0616"/>
    <w:rsid w:val="008F1CE5"/>
    <w:rsid w:val="009066AC"/>
    <w:rsid w:val="00911EC5"/>
    <w:rsid w:val="00942D61"/>
    <w:rsid w:val="00972CF3"/>
    <w:rsid w:val="009975FB"/>
    <w:rsid w:val="00997E36"/>
    <w:rsid w:val="009A7D40"/>
    <w:rsid w:val="009B38E7"/>
    <w:rsid w:val="009C70A3"/>
    <w:rsid w:val="009F2E2C"/>
    <w:rsid w:val="00A079C9"/>
    <w:rsid w:val="00A07FC6"/>
    <w:rsid w:val="00A1113C"/>
    <w:rsid w:val="00A11489"/>
    <w:rsid w:val="00A35AFB"/>
    <w:rsid w:val="00A36C4E"/>
    <w:rsid w:val="00A4654A"/>
    <w:rsid w:val="00A57D7D"/>
    <w:rsid w:val="00A730C8"/>
    <w:rsid w:val="00A856DE"/>
    <w:rsid w:val="00A8637A"/>
    <w:rsid w:val="00AA1712"/>
    <w:rsid w:val="00AA69A2"/>
    <w:rsid w:val="00AB3292"/>
    <w:rsid w:val="00AB3A4F"/>
    <w:rsid w:val="00AB52C2"/>
    <w:rsid w:val="00AC1A40"/>
    <w:rsid w:val="00AC62AF"/>
    <w:rsid w:val="00AE71A8"/>
    <w:rsid w:val="00AF543C"/>
    <w:rsid w:val="00B06C64"/>
    <w:rsid w:val="00B27C83"/>
    <w:rsid w:val="00B3495E"/>
    <w:rsid w:val="00B35B38"/>
    <w:rsid w:val="00B36DC5"/>
    <w:rsid w:val="00B72661"/>
    <w:rsid w:val="00B87759"/>
    <w:rsid w:val="00B91B4F"/>
    <w:rsid w:val="00B93EF1"/>
    <w:rsid w:val="00BA36C1"/>
    <w:rsid w:val="00BA65DB"/>
    <w:rsid w:val="00BB30EC"/>
    <w:rsid w:val="00BB3338"/>
    <w:rsid w:val="00BB6C5C"/>
    <w:rsid w:val="00BC41B0"/>
    <w:rsid w:val="00BE0989"/>
    <w:rsid w:val="00BE2F73"/>
    <w:rsid w:val="00BE5031"/>
    <w:rsid w:val="00BF3C18"/>
    <w:rsid w:val="00BF41ED"/>
    <w:rsid w:val="00BF5189"/>
    <w:rsid w:val="00C03D0F"/>
    <w:rsid w:val="00C062A1"/>
    <w:rsid w:val="00C16CAD"/>
    <w:rsid w:val="00C22B5B"/>
    <w:rsid w:val="00C517BD"/>
    <w:rsid w:val="00C70B7C"/>
    <w:rsid w:val="00C977AC"/>
    <w:rsid w:val="00CA22D1"/>
    <w:rsid w:val="00CA73ED"/>
    <w:rsid w:val="00CB0D51"/>
    <w:rsid w:val="00CC6C8D"/>
    <w:rsid w:val="00CC73FD"/>
    <w:rsid w:val="00CF5D64"/>
    <w:rsid w:val="00CF6F5D"/>
    <w:rsid w:val="00D01045"/>
    <w:rsid w:val="00D06900"/>
    <w:rsid w:val="00D16850"/>
    <w:rsid w:val="00D21FE9"/>
    <w:rsid w:val="00D61EAE"/>
    <w:rsid w:val="00DA03B2"/>
    <w:rsid w:val="00DC30E1"/>
    <w:rsid w:val="00DC4B84"/>
    <w:rsid w:val="00DC7E05"/>
    <w:rsid w:val="00DE38A7"/>
    <w:rsid w:val="00DE5B97"/>
    <w:rsid w:val="00E00B1A"/>
    <w:rsid w:val="00E0519D"/>
    <w:rsid w:val="00E15754"/>
    <w:rsid w:val="00E15D01"/>
    <w:rsid w:val="00E1643B"/>
    <w:rsid w:val="00E1685D"/>
    <w:rsid w:val="00E1718E"/>
    <w:rsid w:val="00E25F18"/>
    <w:rsid w:val="00E47E7D"/>
    <w:rsid w:val="00E511B1"/>
    <w:rsid w:val="00E5467D"/>
    <w:rsid w:val="00E705F6"/>
    <w:rsid w:val="00E70BE5"/>
    <w:rsid w:val="00E80A49"/>
    <w:rsid w:val="00E84C54"/>
    <w:rsid w:val="00E917B7"/>
    <w:rsid w:val="00EA114C"/>
    <w:rsid w:val="00EB50FA"/>
    <w:rsid w:val="00EC78A1"/>
    <w:rsid w:val="00ED5587"/>
    <w:rsid w:val="00EE1015"/>
    <w:rsid w:val="00EE5F5A"/>
    <w:rsid w:val="00EE7233"/>
    <w:rsid w:val="00F07A17"/>
    <w:rsid w:val="00F114CE"/>
    <w:rsid w:val="00F1396C"/>
    <w:rsid w:val="00F314B6"/>
    <w:rsid w:val="00F36F91"/>
    <w:rsid w:val="00F412BE"/>
    <w:rsid w:val="00FA558E"/>
    <w:rsid w:val="00FA7D3D"/>
    <w:rsid w:val="00FB0582"/>
    <w:rsid w:val="00FC24FF"/>
    <w:rsid w:val="00FD0223"/>
    <w:rsid w:val="00FF4C83"/>
    <w:rsid w:val="00FF60C8"/>
    <w:rsid w:val="01031B66"/>
    <w:rsid w:val="01602B3E"/>
    <w:rsid w:val="016F2951"/>
    <w:rsid w:val="017D394B"/>
    <w:rsid w:val="019D534C"/>
    <w:rsid w:val="01FF6F9A"/>
    <w:rsid w:val="021F5996"/>
    <w:rsid w:val="02655ECC"/>
    <w:rsid w:val="029A317C"/>
    <w:rsid w:val="02C82888"/>
    <w:rsid w:val="02C94C87"/>
    <w:rsid w:val="02E01190"/>
    <w:rsid w:val="02E10975"/>
    <w:rsid w:val="02FF30B9"/>
    <w:rsid w:val="0333594B"/>
    <w:rsid w:val="0343502A"/>
    <w:rsid w:val="03986975"/>
    <w:rsid w:val="03B05427"/>
    <w:rsid w:val="03E511B6"/>
    <w:rsid w:val="03E62827"/>
    <w:rsid w:val="046738A6"/>
    <w:rsid w:val="048E0B45"/>
    <w:rsid w:val="04FE32ED"/>
    <w:rsid w:val="053707F7"/>
    <w:rsid w:val="05445B6B"/>
    <w:rsid w:val="05616EC5"/>
    <w:rsid w:val="05C56E0C"/>
    <w:rsid w:val="06010068"/>
    <w:rsid w:val="063107F7"/>
    <w:rsid w:val="06341138"/>
    <w:rsid w:val="064033D0"/>
    <w:rsid w:val="06694DE8"/>
    <w:rsid w:val="068564BB"/>
    <w:rsid w:val="07094013"/>
    <w:rsid w:val="07372DCC"/>
    <w:rsid w:val="07B54155"/>
    <w:rsid w:val="07B722D0"/>
    <w:rsid w:val="07D15107"/>
    <w:rsid w:val="07D26A02"/>
    <w:rsid w:val="07DE345F"/>
    <w:rsid w:val="08235D70"/>
    <w:rsid w:val="08500BB1"/>
    <w:rsid w:val="08692BA6"/>
    <w:rsid w:val="08962522"/>
    <w:rsid w:val="08D71537"/>
    <w:rsid w:val="08EA7763"/>
    <w:rsid w:val="08FF4AE9"/>
    <w:rsid w:val="09167FF8"/>
    <w:rsid w:val="091B5FF3"/>
    <w:rsid w:val="094E752F"/>
    <w:rsid w:val="095B0028"/>
    <w:rsid w:val="096E7CEC"/>
    <w:rsid w:val="097245AA"/>
    <w:rsid w:val="09991AE6"/>
    <w:rsid w:val="09D60D17"/>
    <w:rsid w:val="09EF5F6A"/>
    <w:rsid w:val="0A026267"/>
    <w:rsid w:val="0A122434"/>
    <w:rsid w:val="0A2A310A"/>
    <w:rsid w:val="0A47450A"/>
    <w:rsid w:val="0A8E7278"/>
    <w:rsid w:val="0AD02BE0"/>
    <w:rsid w:val="0B165557"/>
    <w:rsid w:val="0B205252"/>
    <w:rsid w:val="0B21262F"/>
    <w:rsid w:val="0B2749FF"/>
    <w:rsid w:val="0B2E1EE3"/>
    <w:rsid w:val="0B4B3CE9"/>
    <w:rsid w:val="0B5259CF"/>
    <w:rsid w:val="0B7A4B53"/>
    <w:rsid w:val="0B7B64BF"/>
    <w:rsid w:val="0B844E71"/>
    <w:rsid w:val="0BFD799A"/>
    <w:rsid w:val="0C506B43"/>
    <w:rsid w:val="0C6C372B"/>
    <w:rsid w:val="0C764610"/>
    <w:rsid w:val="0C921571"/>
    <w:rsid w:val="0CB47CAF"/>
    <w:rsid w:val="0CD3092E"/>
    <w:rsid w:val="0CEB35EE"/>
    <w:rsid w:val="0D194701"/>
    <w:rsid w:val="0D280DA5"/>
    <w:rsid w:val="0D4F242B"/>
    <w:rsid w:val="0D615E2D"/>
    <w:rsid w:val="0D8456D3"/>
    <w:rsid w:val="0D8620E2"/>
    <w:rsid w:val="0D885AC6"/>
    <w:rsid w:val="0D957CE4"/>
    <w:rsid w:val="0DA03F2A"/>
    <w:rsid w:val="0DB1240C"/>
    <w:rsid w:val="0DC179B2"/>
    <w:rsid w:val="0E2C05F0"/>
    <w:rsid w:val="0E474B3F"/>
    <w:rsid w:val="0E8C5F7E"/>
    <w:rsid w:val="0E9262CC"/>
    <w:rsid w:val="0E9776EC"/>
    <w:rsid w:val="0EE44D05"/>
    <w:rsid w:val="0EEC7695"/>
    <w:rsid w:val="0EEC778C"/>
    <w:rsid w:val="0EF64ED0"/>
    <w:rsid w:val="0F0E0272"/>
    <w:rsid w:val="0F125C86"/>
    <w:rsid w:val="0F17023B"/>
    <w:rsid w:val="0FB53ADD"/>
    <w:rsid w:val="0FC14A26"/>
    <w:rsid w:val="103703DC"/>
    <w:rsid w:val="10480D6E"/>
    <w:rsid w:val="105713A3"/>
    <w:rsid w:val="1088281B"/>
    <w:rsid w:val="10B751FA"/>
    <w:rsid w:val="11635573"/>
    <w:rsid w:val="11666B9B"/>
    <w:rsid w:val="118151C6"/>
    <w:rsid w:val="11854451"/>
    <w:rsid w:val="119D1273"/>
    <w:rsid w:val="11A11594"/>
    <w:rsid w:val="11A1646E"/>
    <w:rsid w:val="11BF0C39"/>
    <w:rsid w:val="11F071FD"/>
    <w:rsid w:val="11FD45C2"/>
    <w:rsid w:val="126359E3"/>
    <w:rsid w:val="12793FA3"/>
    <w:rsid w:val="12EE72A7"/>
    <w:rsid w:val="12FB4D08"/>
    <w:rsid w:val="131D6311"/>
    <w:rsid w:val="131E1680"/>
    <w:rsid w:val="133324BC"/>
    <w:rsid w:val="134646BB"/>
    <w:rsid w:val="136C249C"/>
    <w:rsid w:val="13A96E45"/>
    <w:rsid w:val="13BA6BB4"/>
    <w:rsid w:val="13BC0792"/>
    <w:rsid w:val="13F14F43"/>
    <w:rsid w:val="13F63FDC"/>
    <w:rsid w:val="1415393E"/>
    <w:rsid w:val="1458505C"/>
    <w:rsid w:val="14AC0B76"/>
    <w:rsid w:val="14DE5051"/>
    <w:rsid w:val="14EF0840"/>
    <w:rsid w:val="150E0918"/>
    <w:rsid w:val="15335288"/>
    <w:rsid w:val="154B0A80"/>
    <w:rsid w:val="155471A0"/>
    <w:rsid w:val="155E60F3"/>
    <w:rsid w:val="157D4848"/>
    <w:rsid w:val="157F21D3"/>
    <w:rsid w:val="158C1505"/>
    <w:rsid w:val="15A4097B"/>
    <w:rsid w:val="15D84B8C"/>
    <w:rsid w:val="16170B25"/>
    <w:rsid w:val="16212E57"/>
    <w:rsid w:val="165E770E"/>
    <w:rsid w:val="16A21305"/>
    <w:rsid w:val="16A72452"/>
    <w:rsid w:val="16B6169B"/>
    <w:rsid w:val="16CC5EDB"/>
    <w:rsid w:val="16ED2B7C"/>
    <w:rsid w:val="16FF541C"/>
    <w:rsid w:val="177D37DD"/>
    <w:rsid w:val="17995A20"/>
    <w:rsid w:val="17CE7365"/>
    <w:rsid w:val="18584E7F"/>
    <w:rsid w:val="186C563F"/>
    <w:rsid w:val="18C4784E"/>
    <w:rsid w:val="18C60ADD"/>
    <w:rsid w:val="18FF5E7A"/>
    <w:rsid w:val="1912448B"/>
    <w:rsid w:val="19174441"/>
    <w:rsid w:val="19195C2A"/>
    <w:rsid w:val="191F615A"/>
    <w:rsid w:val="19812505"/>
    <w:rsid w:val="19997183"/>
    <w:rsid w:val="19C42BF4"/>
    <w:rsid w:val="19CC27E2"/>
    <w:rsid w:val="19F07723"/>
    <w:rsid w:val="1A0245F4"/>
    <w:rsid w:val="1A024637"/>
    <w:rsid w:val="1A19705E"/>
    <w:rsid w:val="1A3E181D"/>
    <w:rsid w:val="1A4431B1"/>
    <w:rsid w:val="1A613A36"/>
    <w:rsid w:val="1A873ADB"/>
    <w:rsid w:val="1AC0150E"/>
    <w:rsid w:val="1ACB0904"/>
    <w:rsid w:val="1AD55C85"/>
    <w:rsid w:val="1B3B71EF"/>
    <w:rsid w:val="1B977D1C"/>
    <w:rsid w:val="1BC73847"/>
    <w:rsid w:val="1BD53502"/>
    <w:rsid w:val="1BD9317D"/>
    <w:rsid w:val="1C050F39"/>
    <w:rsid w:val="1C1C79D3"/>
    <w:rsid w:val="1C404465"/>
    <w:rsid w:val="1C663E35"/>
    <w:rsid w:val="1C6900CC"/>
    <w:rsid w:val="1C8661A1"/>
    <w:rsid w:val="1C870732"/>
    <w:rsid w:val="1C8B63A6"/>
    <w:rsid w:val="1C9017A5"/>
    <w:rsid w:val="1CAC1C1F"/>
    <w:rsid w:val="1D1A1B76"/>
    <w:rsid w:val="1D453D13"/>
    <w:rsid w:val="1D4D5420"/>
    <w:rsid w:val="1D58208D"/>
    <w:rsid w:val="1D657FE1"/>
    <w:rsid w:val="1D98122E"/>
    <w:rsid w:val="1DAE2A57"/>
    <w:rsid w:val="1DCD2110"/>
    <w:rsid w:val="1E135967"/>
    <w:rsid w:val="1E256E7B"/>
    <w:rsid w:val="1E28272F"/>
    <w:rsid w:val="1E360E36"/>
    <w:rsid w:val="1E36109D"/>
    <w:rsid w:val="1E451A02"/>
    <w:rsid w:val="1E48604F"/>
    <w:rsid w:val="1E5E1C98"/>
    <w:rsid w:val="1E660148"/>
    <w:rsid w:val="1E6939BC"/>
    <w:rsid w:val="1E8C42AA"/>
    <w:rsid w:val="1E95273B"/>
    <w:rsid w:val="1E966084"/>
    <w:rsid w:val="1EA12378"/>
    <w:rsid w:val="1EA206FD"/>
    <w:rsid w:val="1EB80C15"/>
    <w:rsid w:val="1EC27D92"/>
    <w:rsid w:val="1ED55B5D"/>
    <w:rsid w:val="1EDD27BE"/>
    <w:rsid w:val="1EFFED28"/>
    <w:rsid w:val="1F193C8E"/>
    <w:rsid w:val="1F2E333C"/>
    <w:rsid w:val="1F64556E"/>
    <w:rsid w:val="1FAF12A1"/>
    <w:rsid w:val="1FE60CB6"/>
    <w:rsid w:val="1FEA19E8"/>
    <w:rsid w:val="1FF7379F"/>
    <w:rsid w:val="20170FC3"/>
    <w:rsid w:val="201B129C"/>
    <w:rsid w:val="20404975"/>
    <w:rsid w:val="206B6ABE"/>
    <w:rsid w:val="2093661C"/>
    <w:rsid w:val="209E0750"/>
    <w:rsid w:val="20D52756"/>
    <w:rsid w:val="20DD75C8"/>
    <w:rsid w:val="20E37A02"/>
    <w:rsid w:val="210464F8"/>
    <w:rsid w:val="21342575"/>
    <w:rsid w:val="21A7104E"/>
    <w:rsid w:val="21EF7EBF"/>
    <w:rsid w:val="220A4BF4"/>
    <w:rsid w:val="22237983"/>
    <w:rsid w:val="22331554"/>
    <w:rsid w:val="22811A2C"/>
    <w:rsid w:val="22BF662D"/>
    <w:rsid w:val="22DC1B73"/>
    <w:rsid w:val="22FB2FCF"/>
    <w:rsid w:val="232A27B4"/>
    <w:rsid w:val="23440A1A"/>
    <w:rsid w:val="23474C6D"/>
    <w:rsid w:val="23A73C04"/>
    <w:rsid w:val="23BC6422"/>
    <w:rsid w:val="23D65744"/>
    <w:rsid w:val="23DA3826"/>
    <w:rsid w:val="23E30906"/>
    <w:rsid w:val="23F37EF1"/>
    <w:rsid w:val="23F53C5B"/>
    <w:rsid w:val="23F9691B"/>
    <w:rsid w:val="2428132C"/>
    <w:rsid w:val="24363D3A"/>
    <w:rsid w:val="24380424"/>
    <w:rsid w:val="24474810"/>
    <w:rsid w:val="24501B91"/>
    <w:rsid w:val="247C73D2"/>
    <w:rsid w:val="24BC6153"/>
    <w:rsid w:val="24BF4E06"/>
    <w:rsid w:val="24DA6EC6"/>
    <w:rsid w:val="24F90F73"/>
    <w:rsid w:val="252E47AE"/>
    <w:rsid w:val="25361AC2"/>
    <w:rsid w:val="2555246F"/>
    <w:rsid w:val="25A63DE8"/>
    <w:rsid w:val="25A91937"/>
    <w:rsid w:val="25AF354B"/>
    <w:rsid w:val="25BC4CC3"/>
    <w:rsid w:val="25F51464"/>
    <w:rsid w:val="26043539"/>
    <w:rsid w:val="261D7F56"/>
    <w:rsid w:val="262C11AD"/>
    <w:rsid w:val="26625D05"/>
    <w:rsid w:val="26813DED"/>
    <w:rsid w:val="26901453"/>
    <w:rsid w:val="26AA1A7C"/>
    <w:rsid w:val="26B52F2D"/>
    <w:rsid w:val="26BE1479"/>
    <w:rsid w:val="271B7A3C"/>
    <w:rsid w:val="27495EF7"/>
    <w:rsid w:val="276A6636"/>
    <w:rsid w:val="277457A1"/>
    <w:rsid w:val="279C38F6"/>
    <w:rsid w:val="27A1417B"/>
    <w:rsid w:val="27DF5383"/>
    <w:rsid w:val="281727A9"/>
    <w:rsid w:val="282E4C8D"/>
    <w:rsid w:val="28457986"/>
    <w:rsid w:val="284F397D"/>
    <w:rsid w:val="28647E16"/>
    <w:rsid w:val="2872130D"/>
    <w:rsid w:val="2874585E"/>
    <w:rsid w:val="287D4C02"/>
    <w:rsid w:val="289C41FE"/>
    <w:rsid w:val="28B45DC3"/>
    <w:rsid w:val="28B57A7E"/>
    <w:rsid w:val="28CB1F37"/>
    <w:rsid w:val="28CB65FE"/>
    <w:rsid w:val="28E260C0"/>
    <w:rsid w:val="28F24012"/>
    <w:rsid w:val="28F73F4B"/>
    <w:rsid w:val="28FD58F4"/>
    <w:rsid w:val="293A46B3"/>
    <w:rsid w:val="29577609"/>
    <w:rsid w:val="297D4B64"/>
    <w:rsid w:val="29BC3B38"/>
    <w:rsid w:val="29C363B4"/>
    <w:rsid w:val="29D73A2D"/>
    <w:rsid w:val="2A077E8B"/>
    <w:rsid w:val="2A203832"/>
    <w:rsid w:val="2A261D32"/>
    <w:rsid w:val="2A3D476B"/>
    <w:rsid w:val="2AA9450A"/>
    <w:rsid w:val="2AC106CA"/>
    <w:rsid w:val="2B3D6DCA"/>
    <w:rsid w:val="2B4B4492"/>
    <w:rsid w:val="2B900A11"/>
    <w:rsid w:val="2BAA4ABB"/>
    <w:rsid w:val="2BAD78FD"/>
    <w:rsid w:val="2BB33753"/>
    <w:rsid w:val="2BE17199"/>
    <w:rsid w:val="2C06064F"/>
    <w:rsid w:val="2C4038A8"/>
    <w:rsid w:val="2C785D30"/>
    <w:rsid w:val="2C863E1B"/>
    <w:rsid w:val="2C976CFA"/>
    <w:rsid w:val="2C982F5B"/>
    <w:rsid w:val="2CC57CF4"/>
    <w:rsid w:val="2CD15194"/>
    <w:rsid w:val="2CE15E0C"/>
    <w:rsid w:val="2CF905D7"/>
    <w:rsid w:val="2D1A1A9A"/>
    <w:rsid w:val="2D326685"/>
    <w:rsid w:val="2D352DA5"/>
    <w:rsid w:val="2D467AFF"/>
    <w:rsid w:val="2D48483D"/>
    <w:rsid w:val="2D55766D"/>
    <w:rsid w:val="2D964C6C"/>
    <w:rsid w:val="2D99369F"/>
    <w:rsid w:val="2DC567FE"/>
    <w:rsid w:val="2E001B2E"/>
    <w:rsid w:val="2E2958EA"/>
    <w:rsid w:val="2E3C05C2"/>
    <w:rsid w:val="2E507D59"/>
    <w:rsid w:val="2E57A125"/>
    <w:rsid w:val="2E8C7949"/>
    <w:rsid w:val="2E99666E"/>
    <w:rsid w:val="2EC952CF"/>
    <w:rsid w:val="2EDB0700"/>
    <w:rsid w:val="2EE94578"/>
    <w:rsid w:val="2EEF2F90"/>
    <w:rsid w:val="2F0F0B86"/>
    <w:rsid w:val="2F370452"/>
    <w:rsid w:val="2F5B86DD"/>
    <w:rsid w:val="2F631C4A"/>
    <w:rsid w:val="2F6A40D4"/>
    <w:rsid w:val="2F7C4805"/>
    <w:rsid w:val="2FF77CEA"/>
    <w:rsid w:val="303E6963"/>
    <w:rsid w:val="304A73ED"/>
    <w:rsid w:val="30683DA3"/>
    <w:rsid w:val="30993C15"/>
    <w:rsid w:val="30AE28C9"/>
    <w:rsid w:val="30BA4592"/>
    <w:rsid w:val="30D5591B"/>
    <w:rsid w:val="31224DB4"/>
    <w:rsid w:val="31960346"/>
    <w:rsid w:val="31BE1F8E"/>
    <w:rsid w:val="31C53E8E"/>
    <w:rsid w:val="31CB6BC1"/>
    <w:rsid w:val="31E03B10"/>
    <w:rsid w:val="31EF64C9"/>
    <w:rsid w:val="31FA5AB7"/>
    <w:rsid w:val="31FB44C4"/>
    <w:rsid w:val="32592A44"/>
    <w:rsid w:val="325C209F"/>
    <w:rsid w:val="326635C0"/>
    <w:rsid w:val="326844C0"/>
    <w:rsid w:val="32704F4B"/>
    <w:rsid w:val="327556F5"/>
    <w:rsid w:val="3278255C"/>
    <w:rsid w:val="32797FDE"/>
    <w:rsid w:val="328B377B"/>
    <w:rsid w:val="32A2479A"/>
    <w:rsid w:val="32AA30DB"/>
    <w:rsid w:val="32DD50FE"/>
    <w:rsid w:val="32FA275B"/>
    <w:rsid w:val="330902E8"/>
    <w:rsid w:val="33C07F10"/>
    <w:rsid w:val="33CB0B7A"/>
    <w:rsid w:val="34020DF0"/>
    <w:rsid w:val="342347B7"/>
    <w:rsid w:val="343B1913"/>
    <w:rsid w:val="345C7651"/>
    <w:rsid w:val="347B7376"/>
    <w:rsid w:val="34A23CCA"/>
    <w:rsid w:val="34A55DB0"/>
    <w:rsid w:val="34C05005"/>
    <w:rsid w:val="34D86625"/>
    <w:rsid w:val="34E71A94"/>
    <w:rsid w:val="34EF4233"/>
    <w:rsid w:val="35274144"/>
    <w:rsid w:val="352B75EC"/>
    <w:rsid w:val="354A729F"/>
    <w:rsid w:val="3566192B"/>
    <w:rsid w:val="356A792C"/>
    <w:rsid w:val="35BF7E64"/>
    <w:rsid w:val="35C472C7"/>
    <w:rsid w:val="35CD579E"/>
    <w:rsid w:val="35F3F7AD"/>
    <w:rsid w:val="35FB060D"/>
    <w:rsid w:val="36001ED3"/>
    <w:rsid w:val="36003313"/>
    <w:rsid w:val="3604356F"/>
    <w:rsid w:val="360714B4"/>
    <w:rsid w:val="362E44F5"/>
    <w:rsid w:val="36433B11"/>
    <w:rsid w:val="36460612"/>
    <w:rsid w:val="36467506"/>
    <w:rsid w:val="36E872A4"/>
    <w:rsid w:val="36EE137F"/>
    <w:rsid w:val="37110CAE"/>
    <w:rsid w:val="371C2887"/>
    <w:rsid w:val="37223D33"/>
    <w:rsid w:val="37286D2A"/>
    <w:rsid w:val="37295936"/>
    <w:rsid w:val="374B6EB7"/>
    <w:rsid w:val="375A3E1D"/>
    <w:rsid w:val="377FD737"/>
    <w:rsid w:val="378828AA"/>
    <w:rsid w:val="37DC343A"/>
    <w:rsid w:val="3837026E"/>
    <w:rsid w:val="38496804"/>
    <w:rsid w:val="385E5F1D"/>
    <w:rsid w:val="38BE0C5C"/>
    <w:rsid w:val="38C134CE"/>
    <w:rsid w:val="38C36149"/>
    <w:rsid w:val="38EE5EF1"/>
    <w:rsid w:val="390B6F9A"/>
    <w:rsid w:val="390B7133"/>
    <w:rsid w:val="39575AB7"/>
    <w:rsid w:val="396D3706"/>
    <w:rsid w:val="397A34AC"/>
    <w:rsid w:val="397F0D5E"/>
    <w:rsid w:val="398B337B"/>
    <w:rsid w:val="3A0E1D45"/>
    <w:rsid w:val="3A2549CA"/>
    <w:rsid w:val="3A2D08CB"/>
    <w:rsid w:val="3A39072A"/>
    <w:rsid w:val="3A4C16A1"/>
    <w:rsid w:val="3A8A4C6E"/>
    <w:rsid w:val="3A8F5FD1"/>
    <w:rsid w:val="3A956357"/>
    <w:rsid w:val="3AE55F49"/>
    <w:rsid w:val="3AF924A5"/>
    <w:rsid w:val="3B203573"/>
    <w:rsid w:val="3B5C7FAA"/>
    <w:rsid w:val="3B60555B"/>
    <w:rsid w:val="3B740255"/>
    <w:rsid w:val="3B7C2A13"/>
    <w:rsid w:val="3B944F5E"/>
    <w:rsid w:val="3BA506CA"/>
    <w:rsid w:val="3BAB2075"/>
    <w:rsid w:val="3BCDE38D"/>
    <w:rsid w:val="3C1B03B5"/>
    <w:rsid w:val="3C363E67"/>
    <w:rsid w:val="3C664431"/>
    <w:rsid w:val="3CA778DF"/>
    <w:rsid w:val="3CC042FC"/>
    <w:rsid w:val="3CC53322"/>
    <w:rsid w:val="3CCB46CA"/>
    <w:rsid w:val="3CE91978"/>
    <w:rsid w:val="3CF27686"/>
    <w:rsid w:val="3CF32D85"/>
    <w:rsid w:val="3CFB01DB"/>
    <w:rsid w:val="3D1B668E"/>
    <w:rsid w:val="3D1E5807"/>
    <w:rsid w:val="3D521A76"/>
    <w:rsid w:val="3D625A7F"/>
    <w:rsid w:val="3D700423"/>
    <w:rsid w:val="3D7643CD"/>
    <w:rsid w:val="3D7732A0"/>
    <w:rsid w:val="3D947997"/>
    <w:rsid w:val="3DA70C6A"/>
    <w:rsid w:val="3DC85DDB"/>
    <w:rsid w:val="3DD84B66"/>
    <w:rsid w:val="3DDC71C5"/>
    <w:rsid w:val="3DF43034"/>
    <w:rsid w:val="3E297D3C"/>
    <w:rsid w:val="3E3F202E"/>
    <w:rsid w:val="3E430B3D"/>
    <w:rsid w:val="3E6134E6"/>
    <w:rsid w:val="3E8030AD"/>
    <w:rsid w:val="3EAD2662"/>
    <w:rsid w:val="3F146478"/>
    <w:rsid w:val="3F1D3ABB"/>
    <w:rsid w:val="3F226C75"/>
    <w:rsid w:val="3F254087"/>
    <w:rsid w:val="3F666ADD"/>
    <w:rsid w:val="3F786FAF"/>
    <w:rsid w:val="3FC7528F"/>
    <w:rsid w:val="3FCD9009"/>
    <w:rsid w:val="3FD45298"/>
    <w:rsid w:val="3FEE167A"/>
    <w:rsid w:val="3FFA1DAF"/>
    <w:rsid w:val="3FFB26B2"/>
    <w:rsid w:val="406E1D3C"/>
    <w:rsid w:val="408A727B"/>
    <w:rsid w:val="40E51552"/>
    <w:rsid w:val="40FB061B"/>
    <w:rsid w:val="412D6A98"/>
    <w:rsid w:val="414D37C0"/>
    <w:rsid w:val="41846638"/>
    <w:rsid w:val="41A03BFD"/>
    <w:rsid w:val="41CD39C6"/>
    <w:rsid w:val="41F17477"/>
    <w:rsid w:val="41F219DD"/>
    <w:rsid w:val="42046303"/>
    <w:rsid w:val="422048F6"/>
    <w:rsid w:val="422122E7"/>
    <w:rsid w:val="42310953"/>
    <w:rsid w:val="423A6165"/>
    <w:rsid w:val="42943C2F"/>
    <w:rsid w:val="42A32982"/>
    <w:rsid w:val="42C12165"/>
    <w:rsid w:val="42CB0F0B"/>
    <w:rsid w:val="42E67E6E"/>
    <w:rsid w:val="42F71DD3"/>
    <w:rsid w:val="42F82099"/>
    <w:rsid w:val="42F9196C"/>
    <w:rsid w:val="43026F44"/>
    <w:rsid w:val="431411E2"/>
    <w:rsid w:val="43153F88"/>
    <w:rsid w:val="432F497A"/>
    <w:rsid w:val="434F237B"/>
    <w:rsid w:val="43BE0119"/>
    <w:rsid w:val="43CB3D39"/>
    <w:rsid w:val="43DF41E8"/>
    <w:rsid w:val="43EF1C9E"/>
    <w:rsid w:val="43FF31C3"/>
    <w:rsid w:val="44202A53"/>
    <w:rsid w:val="443D3C27"/>
    <w:rsid w:val="4440036C"/>
    <w:rsid w:val="4449207E"/>
    <w:rsid w:val="44680967"/>
    <w:rsid w:val="446A0D8B"/>
    <w:rsid w:val="44797C3D"/>
    <w:rsid w:val="447F37AB"/>
    <w:rsid w:val="449611CD"/>
    <w:rsid w:val="44B1665C"/>
    <w:rsid w:val="44BD34A6"/>
    <w:rsid w:val="44CC6B5E"/>
    <w:rsid w:val="44E7498A"/>
    <w:rsid w:val="44FC0F6B"/>
    <w:rsid w:val="45266C3F"/>
    <w:rsid w:val="457A1A0B"/>
    <w:rsid w:val="45815266"/>
    <w:rsid w:val="458F2D2C"/>
    <w:rsid w:val="45972603"/>
    <w:rsid w:val="459B291E"/>
    <w:rsid w:val="45B8165C"/>
    <w:rsid w:val="45FB0E4A"/>
    <w:rsid w:val="461C0CD7"/>
    <w:rsid w:val="461D4A97"/>
    <w:rsid w:val="465005F2"/>
    <w:rsid w:val="467F5A35"/>
    <w:rsid w:val="46BA56C0"/>
    <w:rsid w:val="470222F3"/>
    <w:rsid w:val="471D32E7"/>
    <w:rsid w:val="4729506A"/>
    <w:rsid w:val="47A44994"/>
    <w:rsid w:val="47E0246E"/>
    <w:rsid w:val="47E3539C"/>
    <w:rsid w:val="480D1D44"/>
    <w:rsid w:val="483F4818"/>
    <w:rsid w:val="48491D49"/>
    <w:rsid w:val="485F078B"/>
    <w:rsid w:val="486F2FF7"/>
    <w:rsid w:val="48726D26"/>
    <w:rsid w:val="48966E03"/>
    <w:rsid w:val="48AB2B47"/>
    <w:rsid w:val="48AD71E2"/>
    <w:rsid w:val="48B35B30"/>
    <w:rsid w:val="48CA262D"/>
    <w:rsid w:val="48D702E1"/>
    <w:rsid w:val="490557CC"/>
    <w:rsid w:val="49213E0B"/>
    <w:rsid w:val="493255FD"/>
    <w:rsid w:val="494D224A"/>
    <w:rsid w:val="494E3E7C"/>
    <w:rsid w:val="49706421"/>
    <w:rsid w:val="497A1458"/>
    <w:rsid w:val="49857905"/>
    <w:rsid w:val="499B5D38"/>
    <w:rsid w:val="49B82F43"/>
    <w:rsid w:val="49CD445B"/>
    <w:rsid w:val="49D96D8F"/>
    <w:rsid w:val="49FB4C66"/>
    <w:rsid w:val="4A08641D"/>
    <w:rsid w:val="4A1A0004"/>
    <w:rsid w:val="4A234F32"/>
    <w:rsid w:val="4A325FBA"/>
    <w:rsid w:val="4A6044DC"/>
    <w:rsid w:val="4A824568"/>
    <w:rsid w:val="4A90369D"/>
    <w:rsid w:val="4AC87DD6"/>
    <w:rsid w:val="4ADB2919"/>
    <w:rsid w:val="4ADF5F4B"/>
    <w:rsid w:val="4AE079EE"/>
    <w:rsid w:val="4AF05342"/>
    <w:rsid w:val="4B334AEF"/>
    <w:rsid w:val="4B5808E3"/>
    <w:rsid w:val="4B5936AA"/>
    <w:rsid w:val="4B7060AE"/>
    <w:rsid w:val="4BA15123"/>
    <w:rsid w:val="4BB15ECA"/>
    <w:rsid w:val="4BB43326"/>
    <w:rsid w:val="4BC93077"/>
    <w:rsid w:val="4BD22FE4"/>
    <w:rsid w:val="4BE1614F"/>
    <w:rsid w:val="4BE51DF6"/>
    <w:rsid w:val="4C2A5842"/>
    <w:rsid w:val="4C442D06"/>
    <w:rsid w:val="4C7B4302"/>
    <w:rsid w:val="4C847271"/>
    <w:rsid w:val="4CAD55C6"/>
    <w:rsid w:val="4CAD675C"/>
    <w:rsid w:val="4CC952C9"/>
    <w:rsid w:val="4D0F52FA"/>
    <w:rsid w:val="4D1B264A"/>
    <w:rsid w:val="4D2126FC"/>
    <w:rsid w:val="4D5015E7"/>
    <w:rsid w:val="4D734D08"/>
    <w:rsid w:val="4DA51E40"/>
    <w:rsid w:val="4DC46616"/>
    <w:rsid w:val="4DDB5EC9"/>
    <w:rsid w:val="4DEF660C"/>
    <w:rsid w:val="4E175B2C"/>
    <w:rsid w:val="4E2E289F"/>
    <w:rsid w:val="4E732369"/>
    <w:rsid w:val="4E985A0A"/>
    <w:rsid w:val="4EA350E1"/>
    <w:rsid w:val="4EFC3315"/>
    <w:rsid w:val="4F066183"/>
    <w:rsid w:val="4F0A482D"/>
    <w:rsid w:val="4F165097"/>
    <w:rsid w:val="4F2A27B4"/>
    <w:rsid w:val="4F2A4044"/>
    <w:rsid w:val="4F797A64"/>
    <w:rsid w:val="4F9BFAB6"/>
    <w:rsid w:val="4FE33B1E"/>
    <w:rsid w:val="50281C6B"/>
    <w:rsid w:val="503B2903"/>
    <w:rsid w:val="50746A7C"/>
    <w:rsid w:val="50855005"/>
    <w:rsid w:val="5091713A"/>
    <w:rsid w:val="509E39AB"/>
    <w:rsid w:val="50A303E3"/>
    <w:rsid w:val="50C64FD5"/>
    <w:rsid w:val="50E03E6D"/>
    <w:rsid w:val="50FF0A7C"/>
    <w:rsid w:val="514711E7"/>
    <w:rsid w:val="5151426B"/>
    <w:rsid w:val="51555D1C"/>
    <w:rsid w:val="5174509D"/>
    <w:rsid w:val="51877A52"/>
    <w:rsid w:val="51BEAE1C"/>
    <w:rsid w:val="51D035C7"/>
    <w:rsid w:val="51E51D1A"/>
    <w:rsid w:val="523A3487"/>
    <w:rsid w:val="5260057E"/>
    <w:rsid w:val="527765EB"/>
    <w:rsid w:val="52782602"/>
    <w:rsid w:val="52AC66FB"/>
    <w:rsid w:val="52B57B8E"/>
    <w:rsid w:val="52DA6ED9"/>
    <w:rsid w:val="533B1C30"/>
    <w:rsid w:val="535B2E50"/>
    <w:rsid w:val="53626B1C"/>
    <w:rsid w:val="536551B9"/>
    <w:rsid w:val="5365637C"/>
    <w:rsid w:val="53714FF4"/>
    <w:rsid w:val="5371664C"/>
    <w:rsid w:val="537223B1"/>
    <w:rsid w:val="537517FC"/>
    <w:rsid w:val="538D10A1"/>
    <w:rsid w:val="53A94E1F"/>
    <w:rsid w:val="53E35D2D"/>
    <w:rsid w:val="53ED3D74"/>
    <w:rsid w:val="5452003A"/>
    <w:rsid w:val="545A7C29"/>
    <w:rsid w:val="55150B26"/>
    <w:rsid w:val="551F307F"/>
    <w:rsid w:val="552C6AB3"/>
    <w:rsid w:val="553F588D"/>
    <w:rsid w:val="55403F67"/>
    <w:rsid w:val="55CF9C09"/>
    <w:rsid w:val="55EF7E74"/>
    <w:rsid w:val="55FC0956"/>
    <w:rsid w:val="568F41C3"/>
    <w:rsid w:val="56B327E4"/>
    <w:rsid w:val="56BF452C"/>
    <w:rsid w:val="57103437"/>
    <w:rsid w:val="57420E3F"/>
    <w:rsid w:val="57627F54"/>
    <w:rsid w:val="57B45F2A"/>
    <w:rsid w:val="57BB37AA"/>
    <w:rsid w:val="57F12428"/>
    <w:rsid w:val="57F325DA"/>
    <w:rsid w:val="58340AC7"/>
    <w:rsid w:val="583971C3"/>
    <w:rsid w:val="583C24CF"/>
    <w:rsid w:val="58687CB9"/>
    <w:rsid w:val="588B2974"/>
    <w:rsid w:val="58D33572"/>
    <w:rsid w:val="58E13B9E"/>
    <w:rsid w:val="58E37D92"/>
    <w:rsid w:val="58F3A450"/>
    <w:rsid w:val="58F96F83"/>
    <w:rsid w:val="591B1085"/>
    <w:rsid w:val="592002A9"/>
    <w:rsid w:val="59544C6A"/>
    <w:rsid w:val="595E2F9E"/>
    <w:rsid w:val="59876166"/>
    <w:rsid w:val="59985290"/>
    <w:rsid w:val="59AE14DA"/>
    <w:rsid w:val="59C11D78"/>
    <w:rsid w:val="59D9329F"/>
    <w:rsid w:val="59DE649E"/>
    <w:rsid w:val="5A2939C5"/>
    <w:rsid w:val="5A345A6E"/>
    <w:rsid w:val="5A80574D"/>
    <w:rsid w:val="5A893518"/>
    <w:rsid w:val="5A8F716D"/>
    <w:rsid w:val="5AA41AB0"/>
    <w:rsid w:val="5ABC7C90"/>
    <w:rsid w:val="5ACF0EFE"/>
    <w:rsid w:val="5ADB78EE"/>
    <w:rsid w:val="5AE625AD"/>
    <w:rsid w:val="5B3A3AF9"/>
    <w:rsid w:val="5B8B5628"/>
    <w:rsid w:val="5BB7234C"/>
    <w:rsid w:val="5BBF1C57"/>
    <w:rsid w:val="5BDD6D25"/>
    <w:rsid w:val="5BE8B917"/>
    <w:rsid w:val="5C0935D6"/>
    <w:rsid w:val="5C144EFB"/>
    <w:rsid w:val="5C4246CE"/>
    <w:rsid w:val="5C4646D6"/>
    <w:rsid w:val="5C485896"/>
    <w:rsid w:val="5C5725C9"/>
    <w:rsid w:val="5CA52F3E"/>
    <w:rsid w:val="5CBF6E77"/>
    <w:rsid w:val="5CCF0765"/>
    <w:rsid w:val="5CD34356"/>
    <w:rsid w:val="5CFFE53B"/>
    <w:rsid w:val="5D263CA1"/>
    <w:rsid w:val="5D4C4124"/>
    <w:rsid w:val="5D765DC4"/>
    <w:rsid w:val="5D767BED"/>
    <w:rsid w:val="5D78082F"/>
    <w:rsid w:val="5D797E9B"/>
    <w:rsid w:val="5D7B3CEA"/>
    <w:rsid w:val="5D9A4896"/>
    <w:rsid w:val="5D9F65D7"/>
    <w:rsid w:val="5DA767DC"/>
    <w:rsid w:val="5DC23E96"/>
    <w:rsid w:val="5E1326D8"/>
    <w:rsid w:val="5E2A16B4"/>
    <w:rsid w:val="5E314175"/>
    <w:rsid w:val="5E464238"/>
    <w:rsid w:val="5E546F23"/>
    <w:rsid w:val="5E5757D7"/>
    <w:rsid w:val="5E5B635F"/>
    <w:rsid w:val="5E5F1CB8"/>
    <w:rsid w:val="5E9C57DE"/>
    <w:rsid w:val="5E9CE94E"/>
    <w:rsid w:val="5EF7639D"/>
    <w:rsid w:val="5F013FE1"/>
    <w:rsid w:val="5F692D1B"/>
    <w:rsid w:val="5F7B3EC4"/>
    <w:rsid w:val="5FAD134F"/>
    <w:rsid w:val="5FAF13DB"/>
    <w:rsid w:val="5FDC46DF"/>
    <w:rsid w:val="5FF13D09"/>
    <w:rsid w:val="5FFE4C1B"/>
    <w:rsid w:val="600D772E"/>
    <w:rsid w:val="60120493"/>
    <w:rsid w:val="60191BB5"/>
    <w:rsid w:val="6055781B"/>
    <w:rsid w:val="6064077B"/>
    <w:rsid w:val="606F36FE"/>
    <w:rsid w:val="609041E1"/>
    <w:rsid w:val="60C14E47"/>
    <w:rsid w:val="60C52E1B"/>
    <w:rsid w:val="60C82794"/>
    <w:rsid w:val="60E96A45"/>
    <w:rsid w:val="611465AC"/>
    <w:rsid w:val="613A39CD"/>
    <w:rsid w:val="61591709"/>
    <w:rsid w:val="615D5B25"/>
    <w:rsid w:val="615F75B4"/>
    <w:rsid w:val="61903600"/>
    <w:rsid w:val="619B5B54"/>
    <w:rsid w:val="61AB669D"/>
    <w:rsid w:val="61CF66C4"/>
    <w:rsid w:val="61D43383"/>
    <w:rsid w:val="621D4037"/>
    <w:rsid w:val="625A6351"/>
    <w:rsid w:val="6267758A"/>
    <w:rsid w:val="626F2D65"/>
    <w:rsid w:val="627F2389"/>
    <w:rsid w:val="62831F0E"/>
    <w:rsid w:val="62A87EE4"/>
    <w:rsid w:val="62A91B74"/>
    <w:rsid w:val="62BA4296"/>
    <w:rsid w:val="62C73966"/>
    <w:rsid w:val="62D7033F"/>
    <w:rsid w:val="62DD2156"/>
    <w:rsid w:val="62E3635F"/>
    <w:rsid w:val="62F010BA"/>
    <w:rsid w:val="632661E0"/>
    <w:rsid w:val="63304F03"/>
    <w:rsid w:val="63600718"/>
    <w:rsid w:val="63A7246B"/>
    <w:rsid w:val="63C2712A"/>
    <w:rsid w:val="63CB74B0"/>
    <w:rsid w:val="63E73E74"/>
    <w:rsid w:val="643C077D"/>
    <w:rsid w:val="647F39F3"/>
    <w:rsid w:val="64817115"/>
    <w:rsid w:val="64AF02BE"/>
    <w:rsid w:val="64B5256F"/>
    <w:rsid w:val="64CA2811"/>
    <w:rsid w:val="64CC7892"/>
    <w:rsid w:val="64D70BA8"/>
    <w:rsid w:val="64DF1697"/>
    <w:rsid w:val="64E73A17"/>
    <w:rsid w:val="65577C31"/>
    <w:rsid w:val="655C1FBF"/>
    <w:rsid w:val="6571166A"/>
    <w:rsid w:val="65A95C81"/>
    <w:rsid w:val="65B80A70"/>
    <w:rsid w:val="65CE3E87"/>
    <w:rsid w:val="65D071EC"/>
    <w:rsid w:val="65DFFE5A"/>
    <w:rsid w:val="65E05554"/>
    <w:rsid w:val="65F451E6"/>
    <w:rsid w:val="660002BE"/>
    <w:rsid w:val="661316F3"/>
    <w:rsid w:val="66162A1D"/>
    <w:rsid w:val="661E5A2B"/>
    <w:rsid w:val="66210A4E"/>
    <w:rsid w:val="66297FF0"/>
    <w:rsid w:val="6670498B"/>
    <w:rsid w:val="66A302D7"/>
    <w:rsid w:val="66CD101C"/>
    <w:rsid w:val="66CD3C37"/>
    <w:rsid w:val="66F72CE5"/>
    <w:rsid w:val="670113A2"/>
    <w:rsid w:val="672900D0"/>
    <w:rsid w:val="6739726C"/>
    <w:rsid w:val="673A09E8"/>
    <w:rsid w:val="674006B5"/>
    <w:rsid w:val="67451218"/>
    <w:rsid w:val="6752164A"/>
    <w:rsid w:val="675C236C"/>
    <w:rsid w:val="6799794C"/>
    <w:rsid w:val="67CD57CA"/>
    <w:rsid w:val="67D63EA2"/>
    <w:rsid w:val="67ED44F9"/>
    <w:rsid w:val="682311E2"/>
    <w:rsid w:val="68490005"/>
    <w:rsid w:val="68523349"/>
    <w:rsid w:val="685D6D5F"/>
    <w:rsid w:val="68972964"/>
    <w:rsid w:val="68BD38EB"/>
    <w:rsid w:val="68CC03D2"/>
    <w:rsid w:val="68E60A86"/>
    <w:rsid w:val="68EB5134"/>
    <w:rsid w:val="690D4166"/>
    <w:rsid w:val="692830E5"/>
    <w:rsid w:val="693D2737"/>
    <w:rsid w:val="696A4500"/>
    <w:rsid w:val="69713271"/>
    <w:rsid w:val="69E60D52"/>
    <w:rsid w:val="6A2B6B3C"/>
    <w:rsid w:val="6A35246C"/>
    <w:rsid w:val="6A636C96"/>
    <w:rsid w:val="6A6B1145"/>
    <w:rsid w:val="6A6C55FE"/>
    <w:rsid w:val="6A89577D"/>
    <w:rsid w:val="6AE55AA7"/>
    <w:rsid w:val="6B3B2548"/>
    <w:rsid w:val="6B406FFB"/>
    <w:rsid w:val="6B632F5F"/>
    <w:rsid w:val="6B7F562C"/>
    <w:rsid w:val="6B8425F1"/>
    <w:rsid w:val="6B8A49A4"/>
    <w:rsid w:val="6BDA52BB"/>
    <w:rsid w:val="6BE271F3"/>
    <w:rsid w:val="6BED141B"/>
    <w:rsid w:val="6BEF1CA0"/>
    <w:rsid w:val="6BFB2279"/>
    <w:rsid w:val="6BFB5862"/>
    <w:rsid w:val="6C1D5384"/>
    <w:rsid w:val="6C823873"/>
    <w:rsid w:val="6C8C7917"/>
    <w:rsid w:val="6D20576D"/>
    <w:rsid w:val="6D2A4150"/>
    <w:rsid w:val="6D370C60"/>
    <w:rsid w:val="6D565D6F"/>
    <w:rsid w:val="6D61509F"/>
    <w:rsid w:val="6D7F5D7B"/>
    <w:rsid w:val="6D8116D8"/>
    <w:rsid w:val="6D932351"/>
    <w:rsid w:val="6D9E29A9"/>
    <w:rsid w:val="6DAF1C81"/>
    <w:rsid w:val="6DAF7887"/>
    <w:rsid w:val="6DBFC13A"/>
    <w:rsid w:val="6DDB5FC9"/>
    <w:rsid w:val="6DE94157"/>
    <w:rsid w:val="6DEB15D0"/>
    <w:rsid w:val="6E23540C"/>
    <w:rsid w:val="6E695CD4"/>
    <w:rsid w:val="6E763C49"/>
    <w:rsid w:val="6EC14E76"/>
    <w:rsid w:val="6EDD277F"/>
    <w:rsid w:val="6EE047A9"/>
    <w:rsid w:val="6F155942"/>
    <w:rsid w:val="6F1F59DF"/>
    <w:rsid w:val="6F3F60BB"/>
    <w:rsid w:val="6F634051"/>
    <w:rsid w:val="6F6D675F"/>
    <w:rsid w:val="6FA6221C"/>
    <w:rsid w:val="6FBF45E3"/>
    <w:rsid w:val="6FD70E7F"/>
    <w:rsid w:val="6FDA2BDC"/>
    <w:rsid w:val="6FE749CA"/>
    <w:rsid w:val="701449F3"/>
    <w:rsid w:val="70233134"/>
    <w:rsid w:val="704370CA"/>
    <w:rsid w:val="704E51E3"/>
    <w:rsid w:val="705D6214"/>
    <w:rsid w:val="70674967"/>
    <w:rsid w:val="70E87F4F"/>
    <w:rsid w:val="711836D4"/>
    <w:rsid w:val="711E4923"/>
    <w:rsid w:val="71391EC4"/>
    <w:rsid w:val="71900045"/>
    <w:rsid w:val="71A82806"/>
    <w:rsid w:val="71D72D48"/>
    <w:rsid w:val="71E52361"/>
    <w:rsid w:val="71EF0531"/>
    <w:rsid w:val="725D023E"/>
    <w:rsid w:val="72753C86"/>
    <w:rsid w:val="72811B89"/>
    <w:rsid w:val="728A0F72"/>
    <w:rsid w:val="72B27677"/>
    <w:rsid w:val="72C23224"/>
    <w:rsid w:val="72CF3D86"/>
    <w:rsid w:val="72F62D70"/>
    <w:rsid w:val="73445932"/>
    <w:rsid w:val="73473909"/>
    <w:rsid w:val="7370565C"/>
    <w:rsid w:val="73755B01"/>
    <w:rsid w:val="73A93ABC"/>
    <w:rsid w:val="73AE771A"/>
    <w:rsid w:val="73E13587"/>
    <w:rsid w:val="741740CD"/>
    <w:rsid w:val="743450A0"/>
    <w:rsid w:val="746279EF"/>
    <w:rsid w:val="747C5A4D"/>
    <w:rsid w:val="74AD62A3"/>
    <w:rsid w:val="74B95807"/>
    <w:rsid w:val="74CC3E68"/>
    <w:rsid w:val="74D6713B"/>
    <w:rsid w:val="74E046F8"/>
    <w:rsid w:val="74ED517C"/>
    <w:rsid w:val="75012684"/>
    <w:rsid w:val="75076653"/>
    <w:rsid w:val="75076FCC"/>
    <w:rsid w:val="750D5A74"/>
    <w:rsid w:val="755E4530"/>
    <w:rsid w:val="757A188C"/>
    <w:rsid w:val="758C66DE"/>
    <w:rsid w:val="75932D71"/>
    <w:rsid w:val="759A059D"/>
    <w:rsid w:val="75FF7EA2"/>
    <w:rsid w:val="76084694"/>
    <w:rsid w:val="761323C6"/>
    <w:rsid w:val="76195523"/>
    <w:rsid w:val="761F185D"/>
    <w:rsid w:val="766F6701"/>
    <w:rsid w:val="76865C1A"/>
    <w:rsid w:val="7689084F"/>
    <w:rsid w:val="768A3309"/>
    <w:rsid w:val="76DB77B5"/>
    <w:rsid w:val="76F71D26"/>
    <w:rsid w:val="770038DC"/>
    <w:rsid w:val="77343E96"/>
    <w:rsid w:val="774731E0"/>
    <w:rsid w:val="775064AC"/>
    <w:rsid w:val="777C32EF"/>
    <w:rsid w:val="778C1664"/>
    <w:rsid w:val="778C5322"/>
    <w:rsid w:val="779C3051"/>
    <w:rsid w:val="77A07933"/>
    <w:rsid w:val="77B61CCC"/>
    <w:rsid w:val="77B6E910"/>
    <w:rsid w:val="77D00884"/>
    <w:rsid w:val="77FD5AC9"/>
    <w:rsid w:val="77FF455C"/>
    <w:rsid w:val="78073D13"/>
    <w:rsid w:val="781902B5"/>
    <w:rsid w:val="78212EB8"/>
    <w:rsid w:val="783007CB"/>
    <w:rsid w:val="78564584"/>
    <w:rsid w:val="787850B3"/>
    <w:rsid w:val="787C552C"/>
    <w:rsid w:val="78C669FB"/>
    <w:rsid w:val="78CFD51B"/>
    <w:rsid w:val="78D05E42"/>
    <w:rsid w:val="78E77199"/>
    <w:rsid w:val="78FD0B8F"/>
    <w:rsid w:val="7920386B"/>
    <w:rsid w:val="794A5123"/>
    <w:rsid w:val="795E7FA6"/>
    <w:rsid w:val="796A12E6"/>
    <w:rsid w:val="7982677F"/>
    <w:rsid w:val="798F7A7D"/>
    <w:rsid w:val="79E854B2"/>
    <w:rsid w:val="79FD17D7"/>
    <w:rsid w:val="7A105D2C"/>
    <w:rsid w:val="7A1E059A"/>
    <w:rsid w:val="7A213F51"/>
    <w:rsid w:val="7A6377D8"/>
    <w:rsid w:val="7A7F49E6"/>
    <w:rsid w:val="7A911575"/>
    <w:rsid w:val="7A984D30"/>
    <w:rsid w:val="7AA61879"/>
    <w:rsid w:val="7AC20AEA"/>
    <w:rsid w:val="7AE56FCF"/>
    <w:rsid w:val="7AEA326E"/>
    <w:rsid w:val="7AFD7E19"/>
    <w:rsid w:val="7AFE5565"/>
    <w:rsid w:val="7AFF0D69"/>
    <w:rsid w:val="7B767A1E"/>
    <w:rsid w:val="7B8E7BC4"/>
    <w:rsid w:val="7B9228CD"/>
    <w:rsid w:val="7BB17907"/>
    <w:rsid w:val="7BC2406C"/>
    <w:rsid w:val="7BC57D1D"/>
    <w:rsid w:val="7BE93CFF"/>
    <w:rsid w:val="7BEF50C9"/>
    <w:rsid w:val="7BF304B9"/>
    <w:rsid w:val="7BFD6031"/>
    <w:rsid w:val="7C2648BF"/>
    <w:rsid w:val="7C3603F3"/>
    <w:rsid w:val="7CDD5EE8"/>
    <w:rsid w:val="7CF72625"/>
    <w:rsid w:val="7D020FC6"/>
    <w:rsid w:val="7D3C4CE9"/>
    <w:rsid w:val="7D572265"/>
    <w:rsid w:val="7D71C29D"/>
    <w:rsid w:val="7D8B1C08"/>
    <w:rsid w:val="7D953955"/>
    <w:rsid w:val="7DA33104"/>
    <w:rsid w:val="7DCD2A75"/>
    <w:rsid w:val="7DE07113"/>
    <w:rsid w:val="7DF115AC"/>
    <w:rsid w:val="7E050318"/>
    <w:rsid w:val="7E100C82"/>
    <w:rsid w:val="7E117C53"/>
    <w:rsid w:val="7E146459"/>
    <w:rsid w:val="7E19389B"/>
    <w:rsid w:val="7E207EFD"/>
    <w:rsid w:val="7E3B2D2C"/>
    <w:rsid w:val="7E8F5587"/>
    <w:rsid w:val="7EA7341E"/>
    <w:rsid w:val="7EB27620"/>
    <w:rsid w:val="7EBD629F"/>
    <w:rsid w:val="7EE36D19"/>
    <w:rsid w:val="7EE64404"/>
    <w:rsid w:val="7EE7F377"/>
    <w:rsid w:val="7EF74454"/>
    <w:rsid w:val="7F25D227"/>
    <w:rsid w:val="7F26469E"/>
    <w:rsid w:val="7F3F3D65"/>
    <w:rsid w:val="7F4A129B"/>
    <w:rsid w:val="7F4D6194"/>
    <w:rsid w:val="7F5B3177"/>
    <w:rsid w:val="7F875FF7"/>
    <w:rsid w:val="7F9A460D"/>
    <w:rsid w:val="7FBDA938"/>
    <w:rsid w:val="7FC9049B"/>
    <w:rsid w:val="7FD553FC"/>
    <w:rsid w:val="7FD57392"/>
    <w:rsid w:val="7FE158FD"/>
    <w:rsid w:val="7FED79ED"/>
    <w:rsid w:val="7FEDBCE2"/>
    <w:rsid w:val="7FEE3124"/>
    <w:rsid w:val="7FFD4A54"/>
    <w:rsid w:val="7FFF483F"/>
    <w:rsid w:val="7FFF7D17"/>
    <w:rsid w:val="7FFF9785"/>
    <w:rsid w:val="9BF6EA70"/>
    <w:rsid w:val="AB1FCFBB"/>
    <w:rsid w:val="AE6F34A4"/>
    <w:rsid w:val="B4C9867A"/>
    <w:rsid w:val="B5FBCD37"/>
    <w:rsid w:val="B6DA0066"/>
    <w:rsid w:val="BA7B23C6"/>
    <w:rsid w:val="BBD4290B"/>
    <w:rsid w:val="BBDE29AB"/>
    <w:rsid w:val="BEBF0651"/>
    <w:rsid w:val="BFAE13A1"/>
    <w:rsid w:val="BFFBFCBE"/>
    <w:rsid w:val="C72FF60E"/>
    <w:rsid w:val="C77FDAA0"/>
    <w:rsid w:val="CA8F9F34"/>
    <w:rsid w:val="CCFF7362"/>
    <w:rsid w:val="CFDF812E"/>
    <w:rsid w:val="D1FFDBB1"/>
    <w:rsid w:val="D9CD4E58"/>
    <w:rsid w:val="DBFBED3C"/>
    <w:rsid w:val="DCBA939C"/>
    <w:rsid w:val="DD1F434C"/>
    <w:rsid w:val="DDDB180F"/>
    <w:rsid w:val="DE979B26"/>
    <w:rsid w:val="DF1FC9E5"/>
    <w:rsid w:val="DF5BC885"/>
    <w:rsid w:val="DFFDE517"/>
    <w:rsid w:val="DFFFCB56"/>
    <w:rsid w:val="ED77BF67"/>
    <w:rsid w:val="EF6F5A46"/>
    <w:rsid w:val="F737B0F8"/>
    <w:rsid w:val="F7BDB728"/>
    <w:rsid w:val="F7DDA86D"/>
    <w:rsid w:val="F7FDEB80"/>
    <w:rsid w:val="F7FE7DA8"/>
    <w:rsid w:val="F7FF021F"/>
    <w:rsid w:val="F96F77E6"/>
    <w:rsid w:val="FA0F4078"/>
    <w:rsid w:val="FAE7111D"/>
    <w:rsid w:val="FAEF2D68"/>
    <w:rsid w:val="FBFA7E30"/>
    <w:rsid w:val="FBFBDCE5"/>
    <w:rsid w:val="FBFBDD60"/>
    <w:rsid w:val="FBFEB762"/>
    <w:rsid w:val="FCBF0BBD"/>
    <w:rsid w:val="FD0BF7A0"/>
    <w:rsid w:val="FDE93BA2"/>
    <w:rsid w:val="FDFF782E"/>
    <w:rsid w:val="FE734873"/>
    <w:rsid w:val="FE773C96"/>
    <w:rsid w:val="FEE38601"/>
    <w:rsid w:val="FEEDA620"/>
    <w:rsid w:val="FEF6D5A1"/>
    <w:rsid w:val="FF3FDF98"/>
    <w:rsid w:val="FFB78A7E"/>
    <w:rsid w:val="FFF3C894"/>
    <w:rsid w:val="FFF3FC9D"/>
    <w:rsid w:val="FFFFB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2">
    <w:name w:val="heading 1"/>
    <w:basedOn w:val="1"/>
    <w:next w:val="1"/>
    <w:link w:val="84"/>
    <w:qFormat/>
    <w:uiPriority w:val="0"/>
    <w:pPr>
      <w:keepNext/>
      <w:keepLines/>
      <w:numPr>
        <w:ilvl w:val="0"/>
        <w:numId w:val="0"/>
      </w:numPr>
      <w:tabs>
        <w:tab w:val="left" w:pos="432"/>
      </w:tabs>
      <w:spacing w:before="340" w:beforeLines="0" w:after="330" w:afterLines="0" w:line="480" w:lineRule="auto"/>
      <w:ind w:left="432" w:hanging="432"/>
      <w:outlineLvl w:val="0"/>
    </w:pPr>
    <w:rPr>
      <w:b/>
      <w:kern w:val="44"/>
      <w:sz w:val="32"/>
    </w:rPr>
  </w:style>
  <w:style w:type="paragraph" w:styleId="3">
    <w:name w:val="heading 2"/>
    <w:basedOn w:val="1"/>
    <w:next w:val="1"/>
    <w:link w:val="63"/>
    <w:qFormat/>
    <w:uiPriority w:val="0"/>
    <w:pPr>
      <w:keepNext/>
      <w:keepLines/>
      <w:numPr>
        <w:ilvl w:val="1"/>
        <w:numId w:val="1"/>
      </w:numPr>
      <w:spacing w:before="200" w:after="200" w:line="360" w:lineRule="auto"/>
      <w:ind w:left="575" w:hanging="575"/>
      <w:jc w:val="center"/>
      <w:outlineLvl w:val="1"/>
    </w:pPr>
    <w:rPr>
      <w:rFonts w:ascii="仿宋_GB2312" w:hAnsi="仿宋_GB2312" w:eastAsia="宋体"/>
      <w:b/>
      <w:sz w:val="32"/>
      <w:lang w:val="zh-CN"/>
    </w:rPr>
  </w:style>
  <w:style w:type="paragraph" w:styleId="4">
    <w:name w:val="heading 3"/>
    <w:basedOn w:val="1"/>
    <w:next w:val="1"/>
    <w:link w:val="78"/>
    <w:qFormat/>
    <w:uiPriority w:val="0"/>
    <w:pPr>
      <w:keepNext/>
      <w:keepLines/>
      <w:numPr>
        <w:ilvl w:val="2"/>
        <w:numId w:val="2"/>
      </w:numPr>
      <w:tabs>
        <w:tab w:val="left" w:pos="-945"/>
        <w:tab w:val="left" w:pos="0"/>
      </w:tabs>
      <w:spacing w:before="300" w:beforeLines="0" w:after="200" w:afterLines="0" w:line="360" w:lineRule="auto"/>
      <w:ind w:left="720" w:hanging="720"/>
      <w:outlineLvl w:val="2"/>
    </w:pPr>
    <w:rPr>
      <w:rFonts w:eastAsia="宋体"/>
      <w:b/>
    </w:rPr>
  </w:style>
  <w:style w:type="paragraph" w:styleId="5">
    <w:name w:val="heading 4"/>
    <w:basedOn w:val="1"/>
    <w:next w:val="1"/>
    <w:qFormat/>
    <w:uiPriority w:val="0"/>
    <w:pPr>
      <w:keepNext/>
      <w:keepLines/>
      <w:numPr>
        <w:ilvl w:val="3"/>
        <w:numId w:val="3"/>
      </w:numPr>
      <w:tabs>
        <w:tab w:val="left" w:pos="0"/>
        <w:tab w:val="left" w:pos="864"/>
      </w:tabs>
      <w:spacing w:beforeLines="0" w:afterLines="0" w:line="360" w:lineRule="auto"/>
      <w:ind w:left="864" w:hanging="864"/>
      <w:outlineLvl w:val="3"/>
    </w:pPr>
    <w:rPr>
      <w:rFonts w:ascii="Arial" w:hAnsi="Arial" w:eastAsia="宋体"/>
      <w:sz w:val="24"/>
      <w:lang w:val="zh-CN"/>
    </w:rPr>
  </w:style>
  <w:style w:type="paragraph" w:styleId="6">
    <w:name w:val="heading 5"/>
    <w:basedOn w:val="1"/>
    <w:next w:val="1"/>
    <w:qFormat/>
    <w:uiPriority w:val="0"/>
    <w:pPr>
      <w:keepNext/>
      <w:keepLines/>
      <w:numPr>
        <w:ilvl w:val="4"/>
        <w:numId w:val="3"/>
      </w:numPr>
      <w:tabs>
        <w:tab w:val="left" w:pos="1008"/>
      </w:tabs>
      <w:spacing w:before="280" w:beforeLines="0" w:after="290" w:afterLines="0" w:line="372" w:lineRule="auto"/>
      <w:ind w:left="1008" w:hanging="1008"/>
      <w:outlineLvl w:val="4"/>
    </w:pPr>
    <w:rPr>
      <w:b/>
      <w:sz w:val="28"/>
    </w:rPr>
  </w:style>
  <w:style w:type="paragraph" w:styleId="7">
    <w:name w:val="heading 6"/>
    <w:basedOn w:val="1"/>
    <w:next w:val="1"/>
    <w:autoRedefine/>
    <w:qFormat/>
    <w:uiPriority w:val="0"/>
    <w:pPr>
      <w:keepNext/>
      <w:keepLines/>
      <w:numPr>
        <w:ilvl w:val="5"/>
        <w:numId w:val="3"/>
      </w:numPr>
      <w:tabs>
        <w:tab w:val="left" w:pos="1152"/>
      </w:tabs>
      <w:spacing w:before="240" w:beforeLines="0" w:after="64" w:afterLines="0" w:line="317" w:lineRule="auto"/>
      <w:ind w:left="1151" w:hanging="1151"/>
      <w:outlineLvl w:val="5"/>
    </w:pPr>
    <w:rPr>
      <w:rFonts w:ascii="Arial" w:hAnsi="Arial" w:eastAsia="黑体"/>
      <w:b/>
      <w:sz w:val="24"/>
    </w:rPr>
  </w:style>
  <w:style w:type="paragraph" w:styleId="8">
    <w:name w:val="heading 7"/>
    <w:basedOn w:val="1"/>
    <w:next w:val="1"/>
    <w:autoRedefine/>
    <w:qFormat/>
    <w:uiPriority w:val="0"/>
    <w:pPr>
      <w:keepNext/>
      <w:keepLines/>
      <w:numPr>
        <w:ilvl w:val="6"/>
        <w:numId w:val="3"/>
      </w:numPr>
      <w:tabs>
        <w:tab w:val="left" w:pos="1296"/>
      </w:tabs>
      <w:spacing w:before="240" w:beforeLines="0" w:after="64" w:afterLines="0" w:line="317" w:lineRule="auto"/>
      <w:ind w:left="1296" w:hanging="1296"/>
      <w:outlineLvl w:val="6"/>
    </w:pPr>
    <w:rPr>
      <w:b/>
      <w:sz w:val="24"/>
    </w:rPr>
  </w:style>
  <w:style w:type="paragraph" w:styleId="9">
    <w:name w:val="heading 8"/>
    <w:basedOn w:val="1"/>
    <w:next w:val="1"/>
    <w:qFormat/>
    <w:uiPriority w:val="0"/>
    <w:pPr>
      <w:keepNext/>
      <w:keepLines/>
      <w:numPr>
        <w:ilvl w:val="7"/>
        <w:numId w:val="3"/>
      </w:numPr>
      <w:tabs>
        <w:tab w:val="left" w:pos="1440"/>
      </w:tabs>
      <w:spacing w:before="240" w:beforeLines="0" w:after="64" w:afterLines="0" w:line="317" w:lineRule="auto"/>
      <w:ind w:left="1440" w:hanging="1440"/>
      <w:outlineLvl w:val="7"/>
    </w:pPr>
    <w:rPr>
      <w:rFonts w:ascii="Arial" w:hAnsi="Arial" w:eastAsia="黑体"/>
      <w:sz w:val="24"/>
    </w:rPr>
  </w:style>
  <w:style w:type="paragraph" w:styleId="10">
    <w:name w:val="heading 9"/>
    <w:basedOn w:val="1"/>
    <w:next w:val="1"/>
    <w:autoRedefine/>
    <w:qFormat/>
    <w:uiPriority w:val="0"/>
    <w:pPr>
      <w:keepNext/>
      <w:keepLines/>
      <w:numPr>
        <w:ilvl w:val="8"/>
        <w:numId w:val="3"/>
      </w:numPr>
      <w:tabs>
        <w:tab w:val="left" w:pos="1584"/>
      </w:tabs>
      <w:spacing w:before="240" w:beforeLines="0" w:after="64" w:afterLines="0" w:line="317" w:lineRule="auto"/>
      <w:ind w:left="1583" w:hanging="1583"/>
      <w:outlineLvl w:val="8"/>
    </w:pPr>
    <w:rPr>
      <w:rFonts w:ascii="Arial" w:hAnsi="Arial" w:eastAsia="黑体"/>
    </w:rPr>
  </w:style>
  <w:style w:type="character" w:default="1" w:styleId="47">
    <w:name w:val="Default Paragraph Font"/>
    <w:autoRedefine/>
    <w:qFormat/>
    <w:uiPriority w:val="0"/>
  </w:style>
  <w:style w:type="table" w:default="1" w:styleId="45">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Normal Indent"/>
    <w:basedOn w:val="1"/>
    <w:uiPriority w:val="0"/>
    <w:pPr>
      <w:widowControl/>
      <w:adjustRightInd w:val="0"/>
      <w:snapToGrid w:val="0"/>
      <w:spacing w:line="480" w:lineRule="exact"/>
      <w:ind w:firstLine="567"/>
    </w:pPr>
    <w:rPr>
      <w:rFonts w:ascii="宋体" w:hAnsi="Courier New" w:eastAsia="宋体"/>
      <w:kern w:val="2"/>
      <w:sz w:val="21"/>
      <w:lang w:val="en-US" w:eastAsia="zh-CN"/>
    </w:rPr>
  </w:style>
  <w:style w:type="paragraph" w:styleId="13">
    <w:name w:val="caption"/>
    <w:basedOn w:val="1"/>
    <w:next w:val="1"/>
    <w:qFormat/>
    <w:uiPriority w:val="0"/>
    <w:pPr>
      <w:shd w:val="clear" w:color="C0C0C0" w:fill="FFFFFF"/>
      <w:tabs>
        <w:tab w:val="left" w:pos="9000"/>
      </w:tabs>
      <w:ind w:firstLine="180" w:firstLineChars="75"/>
    </w:pPr>
    <w:rPr>
      <w:rFonts w:ascii="Arial Narrow" w:hAnsi="Arial Narrow" w:eastAsia="微软繁隶书"/>
      <w:b/>
      <w:color w:val="FF0000"/>
      <w:sz w:val="24"/>
      <w:szCs w:val="24"/>
    </w:rPr>
  </w:style>
  <w:style w:type="paragraph" w:styleId="14">
    <w:name w:val="Document Map"/>
    <w:basedOn w:val="1"/>
    <w:autoRedefine/>
    <w:qFormat/>
    <w:uiPriority w:val="0"/>
    <w:pPr>
      <w:shd w:val="clear" w:color="auto" w:fill="000080"/>
    </w:pPr>
  </w:style>
  <w:style w:type="paragraph" w:styleId="15">
    <w:name w:val="annotation text"/>
    <w:basedOn w:val="1"/>
    <w:uiPriority w:val="0"/>
    <w:pPr>
      <w:jc w:val="left"/>
    </w:pPr>
    <w:rPr>
      <w:rFonts w:ascii="宋体" w:hAnsi="Courier New" w:eastAsia="宋体"/>
      <w:kern w:val="2"/>
      <w:sz w:val="21"/>
      <w:lang w:val="en-US" w:eastAsia="zh-CN"/>
    </w:rPr>
  </w:style>
  <w:style w:type="paragraph" w:styleId="16">
    <w:name w:val="Salutation"/>
    <w:basedOn w:val="1"/>
    <w:next w:val="1"/>
    <w:autoRedefine/>
    <w:uiPriority w:val="0"/>
    <w:pPr>
      <w:numPr>
        <w:ilvl w:val="0"/>
        <w:numId w:val="4"/>
      </w:numPr>
      <w:tabs>
        <w:tab w:val="left" w:pos="840"/>
      </w:tabs>
    </w:pPr>
    <w:rPr>
      <w:sz w:val="24"/>
      <w:szCs w:val="24"/>
    </w:rPr>
  </w:style>
  <w:style w:type="paragraph" w:styleId="17">
    <w:name w:val="Body Text 3"/>
    <w:basedOn w:val="1"/>
    <w:uiPriority w:val="0"/>
    <w:pPr>
      <w:jc w:val="center"/>
    </w:pPr>
  </w:style>
  <w:style w:type="paragraph" w:styleId="18">
    <w:name w:val="Body Text"/>
    <w:basedOn w:val="1"/>
    <w:uiPriority w:val="0"/>
    <w:pPr>
      <w:autoSpaceDE w:val="0"/>
      <w:autoSpaceDN w:val="0"/>
      <w:adjustRightInd w:val="0"/>
      <w:spacing w:line="360" w:lineRule="auto"/>
    </w:pPr>
    <w:rPr>
      <w:rFonts w:ascii="宋体"/>
      <w:sz w:val="24"/>
      <w:lang w:val="zh-CN"/>
    </w:rPr>
  </w:style>
  <w:style w:type="paragraph" w:styleId="19">
    <w:name w:val="Body Text Indent"/>
    <w:basedOn w:val="1"/>
    <w:uiPriority w:val="0"/>
    <w:pPr>
      <w:spacing w:line="480" w:lineRule="exact"/>
      <w:ind w:firstLine="480" w:firstLineChars="200"/>
    </w:pPr>
    <w:rPr>
      <w:rFonts w:ascii="宋体" w:hAnsi="宋体"/>
      <w:sz w:val="24"/>
    </w:rPr>
  </w:style>
  <w:style w:type="paragraph" w:styleId="20">
    <w:name w:val="List Number 3"/>
    <w:basedOn w:val="1"/>
    <w:uiPriority w:val="0"/>
    <w:pPr>
      <w:widowControl/>
      <w:numPr>
        <w:ilvl w:val="0"/>
        <w:numId w:val="5"/>
      </w:numPr>
      <w:spacing w:after="156" w:afterLines="50"/>
      <w:jc w:val="left"/>
    </w:pPr>
    <w:rPr>
      <w:kern w:val="0"/>
      <w:sz w:val="24"/>
    </w:rPr>
  </w:style>
  <w:style w:type="paragraph" w:styleId="21">
    <w:name w:val="toc 5"/>
    <w:basedOn w:val="1"/>
    <w:next w:val="1"/>
    <w:uiPriority w:val="0"/>
    <w:pPr>
      <w:ind w:left="1680" w:leftChars="800"/>
    </w:pPr>
  </w:style>
  <w:style w:type="paragraph" w:styleId="22">
    <w:name w:val="toc 3"/>
    <w:basedOn w:val="1"/>
    <w:next w:val="1"/>
    <w:uiPriority w:val="0"/>
    <w:pPr>
      <w:ind w:left="840" w:leftChars="400"/>
    </w:pPr>
  </w:style>
  <w:style w:type="paragraph" w:styleId="23">
    <w:name w:val="Plain Text"/>
    <w:basedOn w:val="1"/>
    <w:link w:val="71"/>
    <w:uiPriority w:val="0"/>
    <w:rPr>
      <w:rFonts w:ascii="宋体" w:hAnsi="Courier New"/>
    </w:rPr>
  </w:style>
  <w:style w:type="paragraph" w:styleId="24">
    <w:name w:val="toc 8"/>
    <w:basedOn w:val="1"/>
    <w:next w:val="1"/>
    <w:uiPriority w:val="0"/>
    <w:pPr>
      <w:ind w:left="2940" w:leftChars="1400"/>
    </w:pPr>
  </w:style>
  <w:style w:type="paragraph" w:styleId="25">
    <w:name w:val="Date"/>
    <w:basedOn w:val="1"/>
    <w:next w:val="1"/>
    <w:uiPriority w:val="0"/>
    <w:pPr>
      <w:ind w:left="100" w:leftChars="2500"/>
    </w:pPr>
    <w:rPr>
      <w:rFonts w:ascii="宋体"/>
      <w:sz w:val="24"/>
      <w:lang w:val="zh-CN"/>
    </w:rPr>
  </w:style>
  <w:style w:type="paragraph" w:styleId="26">
    <w:name w:val="Body Text Indent 2"/>
    <w:basedOn w:val="1"/>
    <w:uiPriority w:val="0"/>
    <w:pPr>
      <w:adjustRightInd w:val="0"/>
      <w:spacing w:line="360" w:lineRule="auto"/>
      <w:ind w:firstLine="601"/>
      <w:textAlignment w:val="baseline"/>
    </w:pPr>
    <w:rPr>
      <w:rFonts w:ascii="宋体"/>
      <w:kern w:val="0"/>
      <w:sz w:val="28"/>
    </w:rPr>
  </w:style>
  <w:style w:type="paragraph" w:styleId="27">
    <w:name w:val="Balloon Text"/>
    <w:basedOn w:val="1"/>
    <w:uiPriority w:val="0"/>
    <w:rPr>
      <w:sz w:val="18"/>
    </w:rPr>
  </w:style>
  <w:style w:type="paragraph" w:styleId="28">
    <w:name w:val="footer"/>
    <w:basedOn w:val="1"/>
    <w:uiPriority w:val="0"/>
    <w:pPr>
      <w:tabs>
        <w:tab w:val="center" w:pos="4153"/>
        <w:tab w:val="right" w:pos="8306"/>
      </w:tabs>
      <w:snapToGrid w:val="0"/>
      <w:jc w:val="left"/>
    </w:pPr>
    <w:rPr>
      <w:sz w:val="18"/>
    </w:rPr>
  </w:style>
  <w:style w:type="paragraph" w:styleId="29">
    <w:name w:val="header"/>
    <w:basedOn w:val="1"/>
    <w:uiPriority w:val="0"/>
    <w:pPr>
      <w:pBdr>
        <w:bottom w:val="single" w:color="auto" w:sz="6" w:space="1"/>
      </w:pBdr>
      <w:tabs>
        <w:tab w:val="center" w:pos="4153"/>
        <w:tab w:val="right" w:pos="8306"/>
      </w:tabs>
      <w:snapToGrid w:val="0"/>
      <w:jc w:val="center"/>
    </w:pPr>
    <w:rPr>
      <w:sz w:val="18"/>
    </w:rPr>
  </w:style>
  <w:style w:type="paragraph" w:styleId="30">
    <w:name w:val="Signature"/>
    <w:basedOn w:val="1"/>
    <w:uiPriority w:val="0"/>
    <w:pPr>
      <w:adjustRightInd w:val="0"/>
      <w:spacing w:after="600" w:afterLines="0" w:line="312" w:lineRule="atLeast"/>
      <w:jc w:val="center"/>
      <w:textAlignment w:val="baseline"/>
    </w:pPr>
    <w:rPr>
      <w:rFonts w:eastAsia="仿宋_GB2312"/>
      <w:kern w:val="0"/>
      <w:sz w:val="24"/>
    </w:rPr>
  </w:style>
  <w:style w:type="paragraph" w:styleId="31">
    <w:name w:val="toc 1"/>
    <w:basedOn w:val="1"/>
    <w:next w:val="1"/>
    <w:uiPriority w:val="0"/>
  </w:style>
  <w:style w:type="paragraph" w:styleId="32">
    <w:name w:val="toc 4"/>
    <w:basedOn w:val="1"/>
    <w:next w:val="1"/>
    <w:uiPriority w:val="0"/>
    <w:pPr>
      <w:ind w:left="1260" w:leftChars="600"/>
    </w:pPr>
  </w:style>
  <w:style w:type="paragraph" w:styleId="33">
    <w:name w:val="List Number 5"/>
    <w:basedOn w:val="1"/>
    <w:uiPriority w:val="0"/>
    <w:pPr>
      <w:numPr>
        <w:ilvl w:val="0"/>
        <w:numId w:val="6"/>
      </w:numPr>
      <w:tabs>
        <w:tab w:val="left" w:pos="2040"/>
        <w:tab w:val="clear" w:pos="840"/>
      </w:tabs>
      <w:spacing w:line="400" w:lineRule="exact"/>
    </w:pPr>
    <w:rPr>
      <w:sz w:val="24"/>
    </w:rPr>
  </w:style>
  <w:style w:type="paragraph" w:styleId="34">
    <w:name w:val="toc 6"/>
    <w:basedOn w:val="1"/>
    <w:next w:val="1"/>
    <w:uiPriority w:val="0"/>
    <w:pPr>
      <w:ind w:left="2100" w:leftChars="1000"/>
    </w:pPr>
  </w:style>
  <w:style w:type="paragraph" w:styleId="35">
    <w:name w:val="Body Text Indent 3"/>
    <w:basedOn w:val="1"/>
    <w:uiPriority w:val="0"/>
    <w:pPr>
      <w:spacing w:line="360" w:lineRule="auto"/>
      <w:ind w:firstLine="420"/>
    </w:pPr>
    <w:rPr>
      <w:sz w:val="24"/>
    </w:rPr>
  </w:style>
  <w:style w:type="paragraph" w:styleId="36">
    <w:name w:val="toc 2"/>
    <w:basedOn w:val="1"/>
    <w:next w:val="1"/>
    <w:uiPriority w:val="0"/>
    <w:pPr>
      <w:ind w:left="420" w:leftChars="200"/>
    </w:pPr>
  </w:style>
  <w:style w:type="paragraph" w:styleId="37">
    <w:name w:val="toc 9"/>
    <w:basedOn w:val="1"/>
    <w:next w:val="1"/>
    <w:uiPriority w:val="0"/>
    <w:pPr>
      <w:ind w:left="3360" w:leftChars="1600"/>
    </w:pPr>
  </w:style>
  <w:style w:type="paragraph" w:styleId="38">
    <w:name w:val="Body Text 2"/>
    <w:basedOn w:val="1"/>
    <w:uiPriority w:val="0"/>
    <w:pPr>
      <w:spacing w:after="120" w:afterLines="0" w:afterAutospacing="0" w:line="480" w:lineRule="auto"/>
    </w:pPr>
  </w:style>
  <w:style w:type="paragraph" w:styleId="39">
    <w:name w:val="HTML Preformatted"/>
    <w:basedOn w:val="1"/>
    <w:link w:val="223"/>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0">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41">
    <w:name w:val="Title"/>
    <w:basedOn w:val="1"/>
    <w:qFormat/>
    <w:uiPriority w:val="0"/>
    <w:pPr>
      <w:widowControl/>
      <w:overflowPunct w:val="0"/>
      <w:autoSpaceDE w:val="0"/>
      <w:autoSpaceDN w:val="0"/>
      <w:adjustRightInd w:val="0"/>
      <w:jc w:val="center"/>
      <w:textAlignment w:val="baseline"/>
    </w:pPr>
    <w:rPr>
      <w:b/>
      <w:kern w:val="0"/>
      <w:sz w:val="24"/>
      <w:lang w:val="en-GB"/>
    </w:rPr>
  </w:style>
  <w:style w:type="paragraph" w:styleId="42">
    <w:name w:val="annotation subject"/>
    <w:basedOn w:val="15"/>
    <w:next w:val="15"/>
    <w:uiPriority w:val="0"/>
    <w:rPr>
      <w:b/>
      <w:bCs/>
    </w:rPr>
  </w:style>
  <w:style w:type="paragraph" w:styleId="43">
    <w:name w:val="Body Text First Indent"/>
    <w:basedOn w:val="18"/>
    <w:uiPriority w:val="0"/>
    <w:pPr>
      <w:ind w:firstLine="420"/>
    </w:pPr>
  </w:style>
  <w:style w:type="paragraph" w:styleId="44">
    <w:name w:val="Body Text First Indent 2"/>
    <w:basedOn w:val="19"/>
    <w:qFormat/>
    <w:uiPriority w:val="99"/>
    <w:pPr>
      <w:widowControl/>
      <w:spacing w:afterLines="100" w:line="360" w:lineRule="auto"/>
      <w:ind w:left="200" w:firstLine="210" w:firstLineChars="200"/>
      <w:jc w:val="left"/>
    </w:pPr>
    <w:rPr>
      <w:kern w:val="28"/>
      <w:lang w:val="zh-CN"/>
    </w:rPr>
  </w:style>
  <w:style w:type="table" w:styleId="46">
    <w:name w:val="Table Grid"/>
    <w:basedOn w:val="4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rPr>
  </w:style>
  <w:style w:type="character" w:styleId="49">
    <w:name w:val="page number"/>
    <w:basedOn w:val="47"/>
    <w:uiPriority w:val="0"/>
  </w:style>
  <w:style w:type="character" w:styleId="50">
    <w:name w:val="FollowedHyperlink"/>
    <w:uiPriority w:val="0"/>
    <w:rPr>
      <w:color w:val="800080"/>
      <w:u w:val="single"/>
    </w:rPr>
  </w:style>
  <w:style w:type="character" w:styleId="51">
    <w:name w:val="Emphasis"/>
    <w:qFormat/>
    <w:uiPriority w:val="0"/>
    <w:rPr>
      <w:i/>
    </w:rPr>
  </w:style>
  <w:style w:type="character" w:styleId="52">
    <w:name w:val="Hyperlink"/>
    <w:qFormat/>
    <w:uiPriority w:val="0"/>
    <w:rPr>
      <w:color w:val="0000FF"/>
      <w:u w:val="single"/>
    </w:rPr>
  </w:style>
  <w:style w:type="character" w:styleId="53">
    <w:name w:val="annotation reference"/>
    <w:uiPriority w:val="0"/>
    <w:rPr>
      <w:sz w:val="21"/>
    </w:rPr>
  </w:style>
  <w:style w:type="character" w:customStyle="1" w:styleId="54">
    <w:name w:val="font01"/>
    <w:uiPriority w:val="0"/>
    <w:rPr>
      <w:rFonts w:hint="eastAsia" w:ascii="宋体" w:hAnsi="宋体" w:eastAsia="宋体" w:cs="宋体"/>
      <w:color w:val="000000"/>
      <w:sz w:val="24"/>
      <w:szCs w:val="24"/>
      <w:u w:val="none"/>
    </w:rPr>
  </w:style>
  <w:style w:type="character" w:customStyle="1" w:styleId="55">
    <w:name w:val="公文正文 Char Char"/>
    <w:link w:val="56"/>
    <w:uiPriority w:val="0"/>
    <w:rPr>
      <w:rFonts w:ascii="仿宋_GB2312" w:eastAsia="仿宋_GB2312"/>
      <w:kern w:val="2"/>
      <w:sz w:val="24"/>
      <w:szCs w:val="24"/>
      <w:lang w:val="en-US" w:eastAsia="zh-CN" w:bidi="ar-SA"/>
    </w:rPr>
  </w:style>
  <w:style w:type="paragraph" w:customStyle="1" w:styleId="56">
    <w:name w:val="公文正文"/>
    <w:basedOn w:val="1"/>
    <w:link w:val="55"/>
    <w:uiPriority w:val="0"/>
    <w:pPr>
      <w:spacing w:before="156" w:beforeLines="0" w:line="360" w:lineRule="auto"/>
      <w:ind w:firstLine="360" w:firstLineChars="200"/>
    </w:pPr>
    <w:rPr>
      <w:rFonts w:ascii="仿宋_GB2312" w:eastAsia="仿宋_GB2312"/>
      <w:sz w:val="24"/>
      <w:szCs w:val="24"/>
    </w:rPr>
  </w:style>
  <w:style w:type="character" w:customStyle="1" w:styleId="57">
    <w:name w:val=" Char Char Char"/>
    <w:link w:val="58"/>
    <w:uiPriority w:val="0"/>
    <w:rPr>
      <w:rFonts w:ascii="宋体" w:hAnsi="Courier New" w:eastAsia="宋体"/>
      <w:kern w:val="2"/>
      <w:sz w:val="21"/>
      <w:lang w:val="en-US" w:eastAsia="zh-CN"/>
    </w:rPr>
  </w:style>
  <w:style w:type="paragraph" w:customStyle="1" w:styleId="58">
    <w:name w:val=" Char"/>
    <w:basedOn w:val="1"/>
    <w:link w:val="57"/>
    <w:uiPriority w:val="0"/>
    <w:rPr>
      <w:rFonts w:ascii="宋体" w:hAnsi="Courier New"/>
    </w:rPr>
  </w:style>
  <w:style w:type="character" w:customStyle="1" w:styleId="59">
    <w:name w:val="unnamed11"/>
    <w:uiPriority w:val="0"/>
    <w:rPr>
      <w:sz w:val="20"/>
      <w:szCs w:val="20"/>
    </w:rPr>
  </w:style>
  <w:style w:type="character" w:customStyle="1" w:styleId="60">
    <w:name w:val="表格 Char Char"/>
    <w:uiPriority w:val="0"/>
    <w:rPr>
      <w:rFonts w:ascii="宋体" w:hAnsi="宋体" w:eastAsia="宋体"/>
      <w:lang w:val="en-US" w:eastAsia="zh-CN" w:bidi="ar-SA"/>
    </w:rPr>
  </w:style>
  <w:style w:type="character" w:customStyle="1" w:styleId="61">
    <w:name w:val=" Char Char"/>
    <w:uiPriority w:val="0"/>
    <w:rPr>
      <w:rFonts w:ascii="宋体" w:hAnsi="Courier New" w:eastAsia="宋体"/>
      <w:kern w:val="2"/>
      <w:sz w:val="21"/>
      <w:lang w:val="en-US" w:eastAsia="zh-CN"/>
    </w:rPr>
  </w:style>
  <w:style w:type="character" w:customStyle="1" w:styleId="62">
    <w:name w:val="md"/>
    <w:basedOn w:val="47"/>
    <w:uiPriority w:val="0"/>
  </w:style>
  <w:style w:type="character" w:customStyle="1" w:styleId="63">
    <w:name w:val="标题 2 字符"/>
    <w:link w:val="3"/>
    <w:uiPriority w:val="0"/>
    <w:rPr>
      <w:rFonts w:ascii="仿宋_GB2312" w:hAnsi="仿宋_GB2312" w:eastAsia="宋体"/>
      <w:b/>
      <w:sz w:val="32"/>
      <w:lang w:val="zh-CN"/>
    </w:rPr>
  </w:style>
  <w:style w:type="character" w:customStyle="1" w:styleId="64">
    <w:name w:val="pt141"/>
    <w:uiPriority w:val="0"/>
    <w:rPr>
      <w:color w:val="330066"/>
      <w:sz w:val="22"/>
      <w:szCs w:val="22"/>
    </w:rPr>
  </w:style>
  <w:style w:type="character" w:customStyle="1" w:styleId="65">
    <w:name w:val="gray6"/>
    <w:basedOn w:val="47"/>
    <w:uiPriority w:val="0"/>
  </w:style>
  <w:style w:type="character" w:customStyle="1" w:styleId="66">
    <w:name w:val="普通文字 Char"/>
    <w:uiPriority w:val="0"/>
    <w:rPr>
      <w:rFonts w:ascii="宋体" w:hAnsi="Courier New" w:eastAsia="宋体"/>
      <w:kern w:val="2"/>
      <w:sz w:val="21"/>
      <w:lang w:val="en-US" w:eastAsia="zh-CN"/>
    </w:rPr>
  </w:style>
  <w:style w:type="character" w:customStyle="1" w:styleId="67">
    <w:name w:val="表正文 Char"/>
    <w:uiPriority w:val="0"/>
    <w:rPr>
      <w:rFonts w:ascii="宋体" w:eastAsia="宋体"/>
      <w:snapToGrid w:val="0"/>
      <w:color w:val="000000"/>
      <w:kern w:val="28"/>
      <w:sz w:val="28"/>
      <w:lang w:val="en-US" w:eastAsia="zh-CN" w:bidi="ar-SA"/>
    </w:rPr>
  </w:style>
  <w:style w:type="character" w:customStyle="1" w:styleId="68">
    <w:name w:val="NormalCharacter"/>
    <w:semiHidden/>
    <w:qFormat/>
    <w:uiPriority w:val="0"/>
  </w:style>
  <w:style w:type="character" w:customStyle="1" w:styleId="69">
    <w:name w:val="font11"/>
    <w:autoRedefine/>
    <w:uiPriority w:val="0"/>
    <w:rPr>
      <w:rFonts w:hint="eastAsia" w:ascii="宋体" w:hAnsi="宋体" w:eastAsia="宋体" w:cs="宋体"/>
      <w:color w:val="000000"/>
      <w:sz w:val="24"/>
      <w:szCs w:val="24"/>
      <w:u w:val="none"/>
      <w:vertAlign w:val="subscript"/>
    </w:rPr>
  </w:style>
  <w:style w:type="character" w:customStyle="1" w:styleId="70">
    <w:name w:val="普通文字 Char Char1"/>
    <w:uiPriority w:val="0"/>
    <w:rPr>
      <w:rFonts w:ascii="宋体" w:hAnsi="Courier New"/>
      <w:kern w:val="2"/>
      <w:sz w:val="21"/>
    </w:rPr>
  </w:style>
  <w:style w:type="character" w:customStyle="1" w:styleId="71">
    <w:name w:val="纯文本 字符"/>
    <w:link w:val="23"/>
    <w:uiPriority w:val="0"/>
    <w:rPr>
      <w:rFonts w:ascii="宋体" w:hAnsi="Courier New" w:eastAsia="宋体"/>
      <w:kern w:val="2"/>
      <w:sz w:val="21"/>
      <w:lang w:val="en-US" w:eastAsia="zh-CN"/>
    </w:rPr>
  </w:style>
  <w:style w:type="character" w:customStyle="1" w:styleId="72">
    <w:name w:val="正文非缩进 Char"/>
    <w:uiPriority w:val="0"/>
    <w:rPr>
      <w:rFonts w:ascii="宋体" w:eastAsia="宋体"/>
      <w:snapToGrid w:val="0"/>
      <w:color w:val="000000"/>
      <w:kern w:val="28"/>
      <w:sz w:val="28"/>
      <w:lang w:val="en-US" w:eastAsia="zh-CN" w:bidi="ar-SA"/>
    </w:rPr>
  </w:style>
  <w:style w:type="character" w:customStyle="1" w:styleId="73">
    <w:name w:val="h3 Char"/>
    <w:uiPriority w:val="0"/>
    <w:rPr>
      <w:rFonts w:eastAsia="宋体"/>
      <w:b/>
      <w:kern w:val="2"/>
      <w:sz w:val="32"/>
      <w:lang w:val="en-US" w:eastAsia="zh-CN" w:bidi="ar-SA"/>
    </w:rPr>
  </w:style>
  <w:style w:type="character" w:customStyle="1" w:styleId="74">
    <w:name w:val="shadow11"/>
    <w:uiPriority w:val="0"/>
    <w:rPr>
      <w:color w:val="000000"/>
      <w:sz w:val="21"/>
    </w:rPr>
  </w:style>
  <w:style w:type="character" w:customStyle="1" w:styleId="75">
    <w:name w:val="blue1"/>
    <w:basedOn w:val="47"/>
    <w:autoRedefine/>
    <w:qFormat/>
    <w:uiPriority w:val="0"/>
  </w:style>
  <w:style w:type="character" w:customStyle="1" w:styleId="76">
    <w:name w:val="style36"/>
    <w:basedOn w:val="47"/>
    <w:uiPriority w:val="0"/>
  </w:style>
  <w:style w:type="character" w:customStyle="1" w:styleId="77">
    <w:name w:val="dectext1"/>
    <w:autoRedefine/>
    <w:qFormat/>
    <w:uiPriority w:val="0"/>
    <w:rPr>
      <w:rFonts w:ascii="宋体" w:hAnsi="宋体" w:eastAsia="宋体"/>
      <w:color w:val="333333"/>
      <w:sz w:val="21"/>
      <w:szCs w:val="21"/>
      <w:u w:val="none"/>
    </w:rPr>
  </w:style>
  <w:style w:type="character" w:customStyle="1" w:styleId="78">
    <w:name w:val="标题 3 字符"/>
    <w:link w:val="4"/>
    <w:uiPriority w:val="0"/>
    <w:rPr>
      <w:rFonts w:eastAsia="宋体"/>
      <w:b/>
      <w:kern w:val="2"/>
      <w:sz w:val="24"/>
      <w:lang w:val="en-US" w:eastAsia="zh-CN" w:bidi="ar-SA"/>
    </w:rPr>
  </w:style>
  <w:style w:type="character" w:customStyle="1" w:styleId="79">
    <w:name w:val="15"/>
    <w:uiPriority w:val="0"/>
    <w:rPr>
      <w:rFonts w:hint="default" w:ascii="Arial" w:hAnsi="Arial" w:eastAsia="黑体" w:cs="Arial"/>
    </w:rPr>
  </w:style>
  <w:style w:type="character" w:customStyle="1" w:styleId="80">
    <w:name w:val="gf正文1 Char Char"/>
    <w:link w:val="81"/>
    <w:uiPriority w:val="0"/>
    <w:rPr>
      <w:rFonts w:ascii="宋体" w:hAnsi="宋体" w:eastAsia="宋体" w:cs="宋体"/>
      <w:kern w:val="2"/>
      <w:sz w:val="24"/>
      <w:szCs w:val="24"/>
      <w:lang w:val="en-US" w:eastAsia="zh-CN" w:bidi="ar-SA"/>
    </w:rPr>
  </w:style>
  <w:style w:type="paragraph" w:customStyle="1" w:styleId="81">
    <w:name w:val="gf正文1"/>
    <w:basedOn w:val="1"/>
    <w:link w:val="80"/>
    <w:uiPriority w:val="0"/>
    <w:pPr>
      <w:adjustRightInd w:val="0"/>
      <w:snapToGrid w:val="0"/>
      <w:spacing w:before="156" w:beforeLines="50" w:line="360" w:lineRule="auto"/>
      <w:ind w:firstLine="480" w:firstLineChars="200"/>
    </w:pPr>
    <w:rPr>
      <w:rFonts w:ascii="宋体" w:hAnsi="宋体" w:cs="宋体"/>
      <w:sz w:val="24"/>
      <w:szCs w:val="24"/>
    </w:rPr>
  </w:style>
  <w:style w:type="character" w:customStyle="1" w:styleId="82">
    <w:name w:val="font21"/>
    <w:uiPriority w:val="0"/>
    <w:rPr>
      <w:rFonts w:hint="eastAsia" w:ascii="宋体" w:hAnsi="宋体" w:eastAsia="宋体"/>
      <w:kern w:val="2"/>
      <w:sz w:val="28"/>
      <w:szCs w:val="28"/>
      <w:lang w:val="en-US" w:eastAsia="zh-CN" w:bidi="ar-SA"/>
    </w:rPr>
  </w:style>
  <w:style w:type="character" w:customStyle="1" w:styleId="83">
    <w:name w:val="dandyren_title1"/>
    <w:uiPriority w:val="0"/>
    <w:rPr>
      <w:b/>
      <w:bCs/>
      <w:color w:val="FF6633"/>
      <w:sz w:val="18"/>
      <w:szCs w:val="18"/>
    </w:rPr>
  </w:style>
  <w:style w:type="character" w:customStyle="1" w:styleId="84">
    <w:name w:val="标题 1 字符"/>
    <w:link w:val="2"/>
    <w:uiPriority w:val="0"/>
    <w:rPr>
      <w:rFonts w:eastAsia="仿宋_GB2312"/>
      <w:b/>
      <w:kern w:val="44"/>
      <w:sz w:val="32"/>
    </w:rPr>
  </w:style>
  <w:style w:type="character" w:customStyle="1" w:styleId="85">
    <w:name w:val="正文文本 Char Char"/>
    <w:uiPriority w:val="0"/>
    <w:rPr>
      <w:rFonts w:eastAsia="宋体"/>
      <w:kern w:val="2"/>
      <w:sz w:val="24"/>
      <w:szCs w:val="24"/>
      <w:lang w:val="en-US" w:eastAsia="zh-CN" w:bidi="ar-SA"/>
    </w:rPr>
  </w:style>
  <w:style w:type="character" w:customStyle="1" w:styleId="86">
    <w:name w:val="10"/>
    <w:uiPriority w:val="0"/>
    <w:rPr>
      <w:rFonts w:hint="default" w:ascii="Arial" w:hAnsi="Arial" w:eastAsia="黑体" w:cs="Arial"/>
    </w:rPr>
  </w:style>
  <w:style w:type="character" w:customStyle="1" w:styleId="87">
    <w:name w:val="FA正文 Char Char"/>
    <w:link w:val="88"/>
    <w:uiPriority w:val="0"/>
    <w:rPr>
      <w:rFonts w:hAnsi="宋体"/>
      <w:kern w:val="2"/>
      <w:sz w:val="24"/>
    </w:rPr>
  </w:style>
  <w:style w:type="paragraph" w:customStyle="1" w:styleId="88">
    <w:name w:val="FA正文"/>
    <w:basedOn w:val="1"/>
    <w:link w:val="87"/>
    <w:uiPriority w:val="0"/>
    <w:pPr>
      <w:spacing w:line="360" w:lineRule="auto"/>
      <w:ind w:firstLine="480" w:firstLineChars="200"/>
    </w:pPr>
    <w:rPr>
      <w:rFonts w:hAnsi="宋体"/>
      <w:sz w:val="24"/>
    </w:rPr>
  </w:style>
  <w:style w:type="character" w:customStyle="1" w:styleId="89">
    <w:name w:val="普通文字 Char1"/>
    <w:uiPriority w:val="0"/>
    <w:rPr>
      <w:rFonts w:ascii="宋体" w:hAnsi="Courier New" w:eastAsia="宋体"/>
      <w:kern w:val="2"/>
      <w:sz w:val="21"/>
      <w:lang w:val="en-US" w:eastAsia="zh-CN"/>
    </w:rPr>
  </w:style>
  <w:style w:type="character" w:customStyle="1" w:styleId="90">
    <w:name w:val="普通文字 Char Char"/>
    <w:uiPriority w:val="0"/>
    <w:rPr>
      <w:rFonts w:ascii="宋体" w:hAnsi="Courier New" w:eastAsia="宋体"/>
      <w:kern w:val="2"/>
      <w:sz w:val="21"/>
      <w:lang w:val="en-US" w:eastAsia="zh-CN"/>
    </w:rPr>
  </w:style>
  <w:style w:type="character" w:customStyle="1" w:styleId="91">
    <w:name w:val="纯文本 Char1"/>
    <w:uiPriority w:val="0"/>
    <w:rPr>
      <w:rFonts w:ascii="宋体" w:hAnsi="Courier New" w:eastAsia="宋体" w:cs="Courier New"/>
      <w:kern w:val="2"/>
      <w:sz w:val="21"/>
      <w:szCs w:val="21"/>
      <w:lang w:val="en-US" w:eastAsia="zh-CN" w:bidi="ar-SA"/>
    </w:rPr>
  </w:style>
  <w:style w:type="character" w:customStyle="1" w:styleId="92">
    <w:name w:val="chs1"/>
    <w:uiPriority w:val="0"/>
    <w:rPr>
      <w:rFonts w:hint="default" w:ascii="_x000B__x000C_" w:hAnsi="_x000B__x000C_"/>
      <w:sz w:val="18"/>
      <w:szCs w:val="18"/>
    </w:rPr>
  </w:style>
  <w:style w:type="character" w:customStyle="1" w:styleId="93">
    <w:name w:val="正文1 Char Char"/>
    <w:uiPriority w:val="0"/>
    <w:rPr>
      <w:rFonts w:ascii="宋体" w:hAnsi="宋体" w:eastAsia="宋体" w:cs="宋体"/>
      <w:sz w:val="21"/>
      <w:lang w:val="en-US" w:eastAsia="zh-CN" w:bidi="ar-SA"/>
    </w:rPr>
  </w:style>
  <w:style w:type="character" w:customStyle="1" w:styleId="94">
    <w:name w:val="正文2 Char Char"/>
    <w:link w:val="95"/>
    <w:uiPriority w:val="0"/>
    <w:rPr>
      <w:rFonts w:eastAsia="宋体"/>
      <w:kern w:val="2"/>
      <w:sz w:val="24"/>
      <w:lang w:val="en-US" w:eastAsia="zh-CN" w:bidi="ar-SA"/>
    </w:rPr>
  </w:style>
  <w:style w:type="paragraph" w:customStyle="1" w:styleId="95">
    <w:name w:val="正文2"/>
    <w:basedOn w:val="1"/>
    <w:link w:val="94"/>
    <w:uiPriority w:val="0"/>
    <w:pPr>
      <w:spacing w:before="156" w:beforeLines="0" w:beforeAutospacing="0" w:line="360" w:lineRule="auto"/>
      <w:ind w:firstLine="510" w:firstLineChars="200"/>
    </w:pPr>
    <w:rPr>
      <w:sz w:val="24"/>
    </w:rPr>
  </w:style>
  <w:style w:type="paragraph" w:customStyle="1" w:styleId="96">
    <w:name w:val="章标题"/>
    <w:next w:val="97"/>
    <w:uiPriority w:val="0"/>
    <w:pPr>
      <w:numPr>
        <w:ilvl w:val="1"/>
        <w:numId w:val="4"/>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9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8">
    <w:name w:val="表正文"/>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9">
    <w:name w:val="Char Char1 Char Char Char"/>
    <w:basedOn w:val="1"/>
    <w:uiPriority w:val="0"/>
    <w:rPr>
      <w:rFonts w:ascii="仿宋_GB2312" w:eastAsia="仿宋_GB2312"/>
      <w:b/>
      <w:sz w:val="32"/>
    </w:rPr>
  </w:style>
  <w:style w:type="paragraph" w:customStyle="1" w:styleId="100">
    <w:name w:val="CM25"/>
    <w:basedOn w:val="101"/>
    <w:next w:val="101"/>
    <w:uiPriority w:val="0"/>
    <w:pPr>
      <w:spacing w:line="400" w:lineRule="atLeast"/>
    </w:pPr>
    <w:rPr>
      <w:rFonts w:cs="Times New Roman"/>
      <w:color w:val="auto"/>
    </w:rPr>
  </w:style>
  <w:style w:type="paragraph" w:customStyle="1" w:styleId="101">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_10_6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默认段落字体 Para Char"/>
    <w:basedOn w:val="1"/>
    <w:uiPriority w:val="0"/>
    <w:rPr>
      <w:rFonts w:ascii="Tahoma" w:hAnsi="Tahoma"/>
      <w:sz w:val="24"/>
    </w:rPr>
  </w:style>
  <w:style w:type="paragraph" w:customStyle="1" w:styleId="104">
    <w:name w:val="表格（小）"/>
    <w:basedOn w:val="1"/>
    <w:uiPriority w:val="0"/>
    <w:pPr>
      <w:snapToGrid w:val="0"/>
      <w:spacing w:line="300" w:lineRule="auto"/>
    </w:pPr>
    <w:rPr>
      <w:rFonts w:eastAsia="仿宋"/>
      <w:szCs w:val="21"/>
    </w:rPr>
  </w:style>
  <w:style w:type="paragraph" w:customStyle="1" w:styleId="105">
    <w:name w:val="默认段落字体 Para Char Char Char1 Char"/>
    <w:basedOn w:val="1"/>
    <w:uiPriority w:val="0"/>
    <w:pPr>
      <w:spacing w:line="240" w:lineRule="atLeast"/>
      <w:ind w:left="420" w:firstLine="420"/>
    </w:pPr>
    <w:rPr>
      <w:sz w:val="24"/>
      <w:szCs w:val="24"/>
    </w:rPr>
  </w:style>
  <w:style w:type="paragraph" w:customStyle="1" w:styleId="106">
    <w:name w:val="一级条标题"/>
    <w:basedOn w:val="96"/>
    <w:next w:val="97"/>
    <w:uiPriority w:val="0"/>
    <w:pPr>
      <w:numPr>
        <w:ilvl w:val="2"/>
        <w:numId w:val="4"/>
      </w:numPr>
      <w:spacing w:before="0" w:beforeLines="0" w:after="0" w:afterLines="0"/>
      <w:outlineLvl w:val="2"/>
    </w:pPr>
  </w:style>
  <w:style w:type="paragraph" w:customStyle="1" w:styleId="107">
    <w:name w:val="正文文字表格居中"/>
    <w:basedOn w:val="1"/>
    <w:next w:val="38"/>
    <w:autoRedefine/>
    <w:uiPriority w:val="0"/>
    <w:pPr>
      <w:snapToGrid w:val="0"/>
      <w:spacing w:line="360" w:lineRule="auto"/>
    </w:pPr>
    <w:rPr>
      <w:rFonts w:ascii="宋体"/>
      <w:b/>
      <w:sz w:val="24"/>
    </w:rPr>
  </w:style>
  <w:style w:type="paragraph" w:customStyle="1" w:styleId="108">
    <w:name w:val="xl30"/>
    <w:basedOn w:val="1"/>
    <w:uiPriority w:val="0"/>
    <w:pPr>
      <w:widowControl/>
      <w:pBdr>
        <w:left w:val="single" w:color="auto" w:sz="4" w:space="0"/>
        <w:right w:val="single" w:color="auto" w:sz="4" w:space="0"/>
      </w:pBdr>
      <w:spacing w:before="100" w:beforeLines="0" w:beforeAutospacing="1" w:after="100" w:afterLines="0" w:afterAutospacing="1"/>
      <w:jc w:val="center"/>
    </w:pPr>
    <w:rPr>
      <w:rFonts w:eastAsia="Arial Unicode MS"/>
      <w:kern w:val="0"/>
      <w:szCs w:val="21"/>
    </w:rPr>
  </w:style>
  <w:style w:type="paragraph" w:customStyle="1" w:styleId="109">
    <w:name w:val="部分1"/>
    <w:basedOn w:val="1"/>
    <w:uiPriority w:val="0"/>
    <w:pPr>
      <w:keepNext/>
      <w:pageBreakBefore/>
      <w:tabs>
        <w:tab w:val="left" w:pos="720"/>
      </w:tabs>
      <w:spacing w:line="360" w:lineRule="auto"/>
      <w:jc w:val="center"/>
      <w:outlineLvl w:val="0"/>
    </w:pPr>
    <w:rPr>
      <w:rFonts w:eastAsia="黑体"/>
      <w:b/>
      <w:kern w:val="44"/>
      <w:sz w:val="36"/>
    </w:rPr>
  </w:style>
  <w:style w:type="paragraph" w:customStyle="1" w:styleId="110">
    <w:name w:val=" Char1 Char Char Char"/>
    <w:basedOn w:val="1"/>
    <w:uiPriority w:val="0"/>
    <w:rPr>
      <w:rFonts w:ascii="Tahoma" w:hAnsi="Tahoma"/>
      <w:sz w:val="24"/>
    </w:rPr>
  </w:style>
  <w:style w:type="paragraph" w:customStyle="1" w:styleId="111">
    <w:name w:val="前言、引言标题"/>
    <w:next w:val="1"/>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Char Char Char Char Char Char Char"/>
    <w:basedOn w:val="1"/>
    <w:uiPriority w:val="0"/>
    <w:pPr>
      <w:numPr>
        <w:ilvl w:val="0"/>
        <w:numId w:val="7"/>
      </w:numPr>
      <w:spacing w:line="360" w:lineRule="auto"/>
    </w:pPr>
    <w:rPr>
      <w:rFonts w:ascii="仿宋_GB2312" w:eastAsia="仿宋_GB2312"/>
      <w:kern w:val="0"/>
      <w:sz w:val="24"/>
      <w:szCs w:val="24"/>
      <w:lang w:val="zh-CN"/>
    </w:rPr>
  </w:style>
  <w:style w:type="paragraph" w:customStyle="1" w:styleId="11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4">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5">
    <w:name w:val="正文_10_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数字标题4"/>
    <w:basedOn w:val="5"/>
    <w:uiPriority w:val="0"/>
    <w:pPr>
      <w:numPr>
        <w:ilvl w:val="3"/>
        <w:numId w:val="0"/>
      </w:numPr>
      <w:tabs>
        <w:tab w:val="clear" w:pos="0"/>
        <w:tab w:val="clear" w:pos="864"/>
      </w:tabs>
      <w:spacing w:line="240" w:lineRule="auto"/>
    </w:pPr>
    <w:rPr>
      <w:rFonts w:ascii="仿宋_GB2312" w:hAnsi="Times New Roman" w:eastAsia="仿宋_GB2312"/>
      <w:sz w:val="24"/>
      <w:lang w:val="en-US"/>
    </w:rPr>
  </w:style>
  <w:style w:type="paragraph" w:customStyle="1" w:styleId="117">
    <w:name w:val="正文_10_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0_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样式1"/>
    <w:basedOn w:val="1"/>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120">
    <w:name w:val="Char Char Char"/>
    <w:basedOn w:val="1"/>
    <w:uiPriority w:val="0"/>
    <w:pPr>
      <w:widowControl/>
      <w:spacing w:after="160" w:afterLines="0" w:line="240" w:lineRule="exact"/>
      <w:jc w:val="left"/>
    </w:pPr>
    <w:rPr>
      <w:rFonts w:ascii="Verdana" w:hAnsi="Verdana"/>
      <w:kern w:val="0"/>
      <w:sz w:val="20"/>
      <w:lang w:eastAsia="en-US"/>
    </w:rPr>
  </w:style>
  <w:style w:type="paragraph" w:customStyle="1" w:styleId="121">
    <w:name w:val="0"/>
    <w:basedOn w:val="1"/>
    <w:uiPriority w:val="0"/>
    <w:pPr>
      <w:widowControl/>
    </w:pPr>
    <w:rPr>
      <w:kern w:val="0"/>
      <w:sz w:val="24"/>
    </w:rPr>
  </w:style>
  <w:style w:type="paragraph" w:customStyle="1" w:styleId="122">
    <w:name w:val="正文_10_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二级条标题"/>
    <w:basedOn w:val="106"/>
    <w:next w:val="97"/>
    <w:uiPriority w:val="0"/>
    <w:pPr>
      <w:numPr>
        <w:ilvl w:val="3"/>
        <w:numId w:val="4"/>
      </w:numPr>
      <w:ind w:left="0"/>
      <w:outlineLvl w:val="3"/>
    </w:pPr>
  </w:style>
  <w:style w:type="paragraph" w:customStyle="1" w:styleId="124">
    <w:name w:val="Plain Text"/>
    <w:basedOn w:val="113"/>
    <w:qFormat/>
    <w:uiPriority w:val="0"/>
    <w:pPr>
      <w:widowControl/>
      <w:jc w:val="left"/>
    </w:pPr>
    <w:rPr>
      <w:rFonts w:ascii="宋体" w:hAnsi="Courier New"/>
    </w:rPr>
  </w:style>
  <w:style w:type="paragraph" w:customStyle="1" w:styleId="125">
    <w:name w:val=" Char1"/>
    <w:basedOn w:val="1"/>
    <w:uiPriority w:val="0"/>
    <w:rPr>
      <w:rFonts w:ascii="仿宋_GB2312" w:eastAsia="仿宋_GB2312"/>
      <w:b/>
      <w:sz w:val="32"/>
    </w:rPr>
  </w:style>
  <w:style w:type="paragraph" w:customStyle="1" w:styleId="126">
    <w:name w:val="Char"/>
    <w:basedOn w:val="1"/>
    <w:uiPriority w:val="0"/>
    <w:rPr>
      <w:rFonts w:ascii="仿宋_GB2312" w:eastAsia="仿宋_GB2312"/>
      <w:b/>
      <w:sz w:val="32"/>
    </w:rPr>
  </w:style>
  <w:style w:type="paragraph" w:customStyle="1" w:styleId="127">
    <w:name w:val="CM2"/>
    <w:basedOn w:val="101"/>
    <w:next w:val="101"/>
    <w:uiPriority w:val="0"/>
    <w:pPr>
      <w:spacing w:line="400" w:lineRule="atLeast"/>
    </w:pPr>
    <w:rPr>
      <w:rFonts w:cs="Times New Roman"/>
      <w:color w:val="auto"/>
    </w:rPr>
  </w:style>
  <w:style w:type="paragraph" w:customStyle="1" w:styleId="128">
    <w:name w:val="Char Char1 Char"/>
    <w:basedOn w:val="1"/>
    <w:uiPriority w:val="0"/>
    <w:pPr>
      <w:widowControl/>
      <w:snapToGrid w:val="0"/>
      <w:spacing w:before="120" w:beforeLines="0" w:after="160" w:afterLines="0" w:line="360" w:lineRule="auto"/>
      <w:ind w:right="-360"/>
      <w:jc w:val="left"/>
    </w:pPr>
    <w:rPr>
      <w:rFonts w:ascii="Arial" w:hAnsi="Arial"/>
      <w:kern w:val="0"/>
      <w:sz w:val="24"/>
      <w:szCs w:val="24"/>
      <w:lang w:eastAsia="en-US"/>
    </w:rPr>
  </w:style>
  <w:style w:type="paragraph" w:customStyle="1" w:styleId="129">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130">
    <w:name w:val=" Char Char1 Char Char Char"/>
    <w:basedOn w:val="1"/>
    <w:uiPriority w:val="0"/>
    <w:rPr>
      <w:rFonts w:ascii="仿宋_GB2312" w:eastAsia="仿宋_GB2312"/>
      <w:b/>
      <w:sz w:val="32"/>
    </w:rPr>
  </w:style>
  <w:style w:type="paragraph" w:customStyle="1" w:styleId="131">
    <w:name w:val="CM6"/>
    <w:basedOn w:val="101"/>
    <w:next w:val="101"/>
    <w:uiPriority w:val="0"/>
    <w:pPr>
      <w:spacing w:line="400" w:lineRule="atLeast"/>
    </w:pPr>
    <w:rPr>
      <w:rFonts w:cs="Times New Roman"/>
      <w:color w:val="auto"/>
    </w:rPr>
  </w:style>
  <w:style w:type="paragraph" w:customStyle="1" w:styleId="132">
    <w:name w:val="正文首行缩进1"/>
    <w:basedOn w:val="18"/>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133">
    <w:name w:val="标题五"/>
    <w:basedOn w:val="1"/>
    <w:uiPriority w:val="0"/>
    <w:pPr>
      <w:numPr>
        <w:ilvl w:val="0"/>
        <w:numId w:val="8"/>
      </w:numPr>
      <w:tabs>
        <w:tab w:val="left" w:pos="1440"/>
      </w:tabs>
      <w:spacing w:before="156" w:beforeLines="50" w:line="360" w:lineRule="auto"/>
    </w:pPr>
    <w:rPr>
      <w:b/>
      <w:sz w:val="24"/>
      <w:szCs w:val="24"/>
    </w:rPr>
  </w:style>
  <w:style w:type="paragraph" w:customStyle="1" w:styleId="134">
    <w:name w:val=" Char2 Char Char Char"/>
    <w:basedOn w:val="1"/>
    <w:uiPriority w:val="0"/>
    <w:rPr>
      <w:rFonts w:ascii="仿宋_GB2312" w:eastAsia="仿宋_GB2312"/>
      <w:b/>
      <w:sz w:val="32"/>
      <w:szCs w:val="32"/>
    </w:rPr>
  </w:style>
  <w:style w:type="paragraph" w:customStyle="1" w:styleId="135">
    <w:name w:val="MM Topic 2"/>
    <w:basedOn w:val="3"/>
    <w:uiPriority w:val="0"/>
    <w:pPr>
      <w:numPr>
        <w:ilvl w:val="1"/>
        <w:numId w:val="9"/>
      </w:numPr>
      <w:spacing w:before="260" w:beforeLines="0" w:after="260" w:afterLines="0" w:line="413" w:lineRule="auto"/>
    </w:pPr>
    <w:rPr>
      <w:rFonts w:ascii="Arial" w:hAnsi="Arial" w:eastAsia="黑体"/>
      <w:bCs/>
      <w:sz w:val="32"/>
      <w:szCs w:val="32"/>
      <w:lang w:val="en-US"/>
    </w:rPr>
  </w:style>
  <w:style w:type="paragraph" w:customStyle="1" w:styleId="136">
    <w:name w:val="规范正文"/>
    <w:basedOn w:val="1"/>
    <w:uiPriority w:val="0"/>
    <w:pPr>
      <w:numPr>
        <w:ilvl w:val="0"/>
        <w:numId w:val="10"/>
      </w:numPr>
      <w:adjustRightInd w:val="0"/>
      <w:spacing w:before="156" w:beforeLines="50" w:line="360" w:lineRule="auto"/>
      <w:textAlignment w:val="baseline"/>
    </w:pPr>
  </w:style>
  <w:style w:type="paragraph" w:customStyle="1" w:styleId="137">
    <w:name w:val=" Char3 Char Char"/>
    <w:basedOn w:val="1"/>
    <w:uiPriority w:val="0"/>
    <w:pPr>
      <w:widowControl/>
      <w:spacing w:after="160" w:afterLines="0" w:line="240" w:lineRule="exact"/>
      <w:jc w:val="left"/>
    </w:pPr>
    <w:rPr>
      <w:rFonts w:ascii="Arial" w:hAnsi="Arial" w:eastAsia="Times New Roman" w:cs="Verdana"/>
      <w:b/>
      <w:kern w:val="0"/>
      <w:sz w:val="24"/>
      <w:lang w:eastAsia="en-US"/>
    </w:rPr>
  </w:style>
  <w:style w:type="paragraph" w:customStyle="1" w:styleId="138">
    <w:name w:val=" Char Char Char Char Char Char Char Char Char Char"/>
    <w:basedOn w:val="1"/>
    <w:uiPriority w:val="0"/>
    <w:rPr>
      <w:rFonts w:ascii="仿宋_GB2312" w:eastAsia="仿宋_GB2312"/>
      <w:b/>
      <w:sz w:val="32"/>
      <w:szCs w:val="32"/>
    </w:rPr>
  </w:style>
  <w:style w:type="paragraph" w:customStyle="1" w:styleId="139">
    <w:name w:val="MM Topic 5"/>
    <w:basedOn w:val="6"/>
    <w:uiPriority w:val="0"/>
    <w:pPr>
      <w:numPr>
        <w:ilvl w:val="4"/>
        <w:numId w:val="9"/>
      </w:numPr>
      <w:tabs>
        <w:tab w:val="clear" w:pos="1008"/>
      </w:tabs>
    </w:pPr>
    <w:rPr>
      <w:bCs/>
      <w:szCs w:val="28"/>
    </w:rPr>
  </w:style>
  <w:style w:type="paragraph" w:customStyle="1" w:styleId="140">
    <w:name w:val="CM5"/>
    <w:basedOn w:val="101"/>
    <w:next w:val="101"/>
    <w:uiPriority w:val="0"/>
    <w:pPr>
      <w:spacing w:line="400" w:lineRule="atLeast"/>
    </w:pPr>
    <w:rPr>
      <w:rFonts w:cs="Times New Roman"/>
      <w:color w:val="auto"/>
    </w:rPr>
  </w:style>
  <w:style w:type="paragraph" w:customStyle="1" w:styleId="141">
    <w:name w:val="正文_10_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1"/>
    <w:basedOn w:val="1"/>
    <w:next w:val="1"/>
    <w:uiPriority w:val="0"/>
    <w:pPr>
      <w:spacing w:before="156" w:beforeLines="0" w:line="360" w:lineRule="auto"/>
      <w:ind w:left="426"/>
    </w:pPr>
    <w:rPr>
      <w:sz w:val="24"/>
    </w:rPr>
  </w:style>
  <w:style w:type="paragraph" w:customStyle="1" w:styleId="143">
    <w:name w:val="CM7"/>
    <w:basedOn w:val="1"/>
    <w:next w:val="1"/>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144">
    <w:name w:val="p0"/>
    <w:basedOn w:val="1"/>
    <w:unhideWhenUsed/>
    <w:uiPriority w:val="0"/>
    <w:pPr>
      <w:widowControl/>
    </w:pPr>
    <w:rPr>
      <w:rFonts w:hint="eastAsia"/>
    </w:rPr>
  </w:style>
  <w:style w:type="paragraph" w:customStyle="1" w:styleId="145">
    <w:name w:val="MM Title"/>
    <w:basedOn w:val="41"/>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146">
    <w:name w:val="正文_10_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 A"/>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148">
    <w:name w:val="小标题"/>
    <w:basedOn w:val="1"/>
    <w:uiPriority w:val="0"/>
    <w:pPr>
      <w:adjustRightInd w:val="0"/>
      <w:spacing w:before="120" w:beforeLines="0" w:line="360" w:lineRule="atLeast"/>
      <w:ind w:left="1134"/>
      <w:jc w:val="left"/>
      <w:textAlignment w:val="baseline"/>
    </w:pPr>
    <w:rPr>
      <w:rFonts w:eastAsia="黑体"/>
      <w:kern w:val="0"/>
    </w:rPr>
  </w:style>
  <w:style w:type="paragraph" w:customStyle="1" w:styleId="149">
    <w:name w:val="正文3"/>
    <w:basedOn w:val="1"/>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150">
    <w:name w:val="三级条标题"/>
    <w:basedOn w:val="123"/>
    <w:next w:val="97"/>
    <w:uiPriority w:val="0"/>
    <w:pPr>
      <w:numPr>
        <w:ilvl w:val="4"/>
        <w:numId w:val="4"/>
      </w:numPr>
      <w:outlineLvl w:val="4"/>
    </w:pPr>
  </w:style>
  <w:style w:type="paragraph" w:customStyle="1" w:styleId="151">
    <w:name w:val=" Char2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52">
    <w:name w:val="CM4"/>
    <w:basedOn w:val="1"/>
    <w:next w:val="1"/>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153">
    <w:name w:val="CM19"/>
    <w:basedOn w:val="101"/>
    <w:next w:val="101"/>
    <w:uiPriority w:val="0"/>
    <w:pPr>
      <w:spacing w:line="400" w:lineRule="atLeast"/>
    </w:pPr>
    <w:rPr>
      <w:rFonts w:cs="Times New Roman"/>
      <w:color w:val="auto"/>
    </w:rPr>
  </w:style>
  <w:style w:type="paragraph" w:customStyle="1" w:styleId="154">
    <w:name w:val="CM8"/>
    <w:basedOn w:val="101"/>
    <w:next w:val="101"/>
    <w:uiPriority w:val="0"/>
    <w:pPr>
      <w:spacing w:line="400" w:lineRule="atLeast"/>
    </w:pPr>
    <w:rPr>
      <w:rFonts w:cs="Times New Roman"/>
      <w:color w:val="auto"/>
    </w:rPr>
  </w:style>
  <w:style w:type="paragraph" w:customStyle="1" w:styleId="155">
    <w:name w:val="正文_10_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正文（首行缩进）"/>
    <w:basedOn w:val="19"/>
    <w:uiPriority w:val="0"/>
    <w:pPr>
      <w:widowControl/>
      <w:numPr>
        <w:ilvl w:val="0"/>
        <w:numId w:val="8"/>
      </w:numPr>
      <w:overflowPunct w:val="0"/>
      <w:autoSpaceDE w:val="0"/>
      <w:autoSpaceDN w:val="0"/>
      <w:adjustRightInd w:val="0"/>
      <w:spacing w:before="156" w:beforeLines="50" w:after="120" w:afterLines="0" w:line="400" w:lineRule="exact"/>
      <w:ind w:left="200" w:leftChars="200" w:firstLine="200"/>
      <w:jc w:val="left"/>
      <w:textAlignment w:val="baseline"/>
    </w:pPr>
    <w:rPr>
      <w:rFonts w:ascii="Times New Roman" w:hAnsi="Times New Roman"/>
      <w:spacing w:val="10"/>
      <w:kern w:val="0"/>
    </w:rPr>
  </w:style>
  <w:style w:type="paragraph" w:customStyle="1" w:styleId="157">
    <w:name w:val="MM Topic 4"/>
    <w:basedOn w:val="5"/>
    <w:uiPriority w:val="0"/>
    <w:pPr>
      <w:numPr>
        <w:ilvl w:val="3"/>
        <w:numId w:val="9"/>
      </w:numPr>
      <w:tabs>
        <w:tab w:val="clear" w:pos="0"/>
        <w:tab w:val="clear" w:pos="864"/>
      </w:tabs>
    </w:pPr>
    <w:rPr>
      <w:bCs/>
      <w:szCs w:val="28"/>
      <w:lang w:val="en-US"/>
    </w:rPr>
  </w:style>
  <w:style w:type="paragraph" w:customStyle="1" w:styleId="158">
    <w:name w:val="规划正文"/>
    <w:basedOn w:val="1"/>
    <w:uiPriority w:val="0"/>
    <w:pPr>
      <w:spacing w:before="312" w:beforeLines="100" w:line="360" w:lineRule="auto"/>
      <w:jc w:val="left"/>
    </w:pPr>
    <w:rPr>
      <w:rFonts w:ascii="Arial" w:hAnsi="Arial" w:eastAsia="仿宋_GB2312"/>
      <w:bCs/>
      <w:sz w:val="28"/>
      <w:szCs w:val="24"/>
    </w:rPr>
  </w:style>
  <w:style w:type="paragraph" w:customStyle="1" w:styleId="159">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160">
    <w:name w:val="Char Char Char Char Char Char Char Char Char Char Char1 Char"/>
    <w:basedOn w:val="1"/>
    <w:uiPriority w:val="0"/>
    <w:rPr>
      <w:rFonts w:ascii="Tahoma" w:hAnsi="Tahoma"/>
      <w:sz w:val="24"/>
      <w:szCs w:val="24"/>
    </w:rPr>
  </w:style>
  <w:style w:type="paragraph" w:customStyle="1" w:styleId="161">
    <w:name w:val="正文_10_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列表内容"/>
    <w:basedOn w:val="1"/>
    <w:next w:val="1"/>
    <w:uiPriority w:val="0"/>
    <w:pPr>
      <w:widowControl/>
      <w:numPr>
        <w:ilvl w:val="0"/>
        <w:numId w:val="11"/>
      </w:numPr>
      <w:ind w:left="0" w:firstLine="200"/>
      <w:jc w:val="left"/>
    </w:pPr>
    <w:rPr>
      <w:kern w:val="0"/>
      <w:sz w:val="18"/>
      <w:szCs w:val="24"/>
    </w:rPr>
  </w:style>
  <w:style w:type="paragraph" w:customStyle="1" w:styleId="163">
    <w:name w:val="四级条标题"/>
    <w:basedOn w:val="150"/>
    <w:next w:val="97"/>
    <w:uiPriority w:val="0"/>
    <w:pPr>
      <w:numPr>
        <w:ilvl w:val="5"/>
        <w:numId w:val="4"/>
      </w:numPr>
      <w:outlineLvl w:val="5"/>
    </w:pPr>
  </w:style>
  <w:style w:type="paragraph" w:customStyle="1" w:styleId="164">
    <w:name w:val="文档正文"/>
    <w:basedOn w:val="1"/>
    <w:uiPriority w:val="0"/>
    <w:pPr>
      <w:adjustRightInd w:val="0"/>
      <w:spacing w:line="440" w:lineRule="exact"/>
      <w:ind w:firstLine="567"/>
      <w:textAlignment w:val="baseline"/>
    </w:pPr>
    <w:rPr>
      <w:rFonts w:ascii="Arial Narrow" w:hAnsi="Arial Narrow"/>
      <w:kern w:val="0"/>
      <w:sz w:val="24"/>
      <w:szCs w:val="24"/>
    </w:rPr>
  </w:style>
  <w:style w:type="paragraph" w:customStyle="1" w:styleId="165">
    <w:name w:val="CM11"/>
    <w:basedOn w:val="1"/>
    <w:next w:val="1"/>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166">
    <w:name w:val=" Char3"/>
    <w:basedOn w:val="1"/>
    <w:uiPriority w:val="0"/>
    <w:rPr>
      <w:rFonts w:ascii="Tahoma" w:hAnsi="Tahoma"/>
      <w:sz w:val="24"/>
    </w:rPr>
  </w:style>
  <w:style w:type="paragraph" w:customStyle="1" w:styleId="167">
    <w:name w:val="正文_10_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_10_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标准正文"/>
    <w:basedOn w:val="1"/>
    <w:uiPriority w:val="0"/>
    <w:pPr>
      <w:spacing w:before="60" w:beforeLines="0" w:after="60" w:afterLines="0" w:line="360" w:lineRule="auto"/>
      <w:ind w:firstLine="482" w:firstLineChars="200"/>
    </w:pPr>
    <w:rPr>
      <w:rFonts w:ascii="Arial" w:hAnsi="Arial"/>
      <w:b/>
      <w:sz w:val="24"/>
    </w:rPr>
  </w:style>
  <w:style w:type="paragraph" w:customStyle="1" w:styleId="170">
    <w:name w:val="正文缩进HS-正文1"/>
    <w:basedOn w:val="1"/>
    <w:uiPriority w:val="0"/>
    <w:pPr>
      <w:suppressAutoHyphens/>
      <w:spacing w:line="360" w:lineRule="auto"/>
      <w:ind w:firstLine="480"/>
    </w:pPr>
    <w:rPr>
      <w:rFonts w:ascii="宋体" w:hAnsi="宋体"/>
      <w:color w:val="000000"/>
      <w:kern w:val="1"/>
      <w:lang w:eastAsia="ar-SA"/>
    </w:rPr>
  </w:style>
  <w:style w:type="paragraph" w:customStyle="1" w:styleId="171">
    <w:name w:val="CM3"/>
    <w:basedOn w:val="101"/>
    <w:next w:val="101"/>
    <w:uiPriority w:val="0"/>
    <w:pPr>
      <w:spacing w:line="400" w:lineRule="atLeast"/>
    </w:pPr>
    <w:rPr>
      <w:rFonts w:cs="Times New Roman"/>
      <w:color w:val="auto"/>
    </w:rPr>
  </w:style>
  <w:style w:type="paragraph" w:customStyle="1" w:styleId="172">
    <w:name w:val="默认段落样式"/>
    <w:basedOn w:val="95"/>
    <w:uiPriority w:val="0"/>
    <w:pPr>
      <w:spacing w:before="0" w:beforeLines="0"/>
      <w:ind w:firstLine="480"/>
      <w:outlineLvl w:val="2"/>
    </w:pPr>
    <w:rPr>
      <w:rFonts w:ascii="仿宋_GB2312" w:hAnsi="宋体" w:eastAsia="仿宋_GB2312"/>
      <w:color w:val="000000"/>
      <w:szCs w:val="24"/>
    </w:rPr>
  </w:style>
  <w:style w:type="paragraph" w:customStyle="1" w:styleId="173">
    <w:name w:val="正文_10_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p15"/>
    <w:basedOn w:val="1"/>
    <w:unhideWhenUsed/>
    <w:uiPriority w:val="99"/>
    <w:pPr>
      <w:widowControl/>
    </w:pPr>
    <w:rPr>
      <w:rFonts w:hint="eastAsia" w:ascii="宋体" w:hAnsi="宋体"/>
      <w:b/>
    </w:rPr>
  </w:style>
  <w:style w:type="paragraph" w:customStyle="1" w:styleId="175">
    <w:name w:val=" Char Char Char Char"/>
    <w:basedOn w:val="1"/>
    <w:uiPriority w:val="0"/>
    <w:rPr>
      <w:rFonts w:ascii="Tahoma" w:hAnsi="Tahoma"/>
      <w:sz w:val="24"/>
    </w:rPr>
  </w:style>
  <w:style w:type="paragraph" w:customStyle="1" w:styleId="176">
    <w:name w:val="正文_10_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MM Topic 3"/>
    <w:basedOn w:val="4"/>
    <w:uiPriority w:val="0"/>
    <w:pPr>
      <w:numPr>
        <w:ilvl w:val="2"/>
        <w:numId w:val="9"/>
      </w:numPr>
      <w:tabs>
        <w:tab w:val="left" w:pos="720"/>
        <w:tab w:val="clear" w:pos="709"/>
        <w:tab w:val="clear" w:pos="-945"/>
        <w:tab w:val="clear" w:pos="0"/>
      </w:tabs>
    </w:pPr>
    <w:rPr>
      <w:bCs/>
      <w:szCs w:val="32"/>
    </w:rPr>
  </w:style>
  <w:style w:type="paragraph" w:customStyle="1" w:styleId="178">
    <w:name w:val="CM10"/>
    <w:basedOn w:val="101"/>
    <w:next w:val="101"/>
    <w:uiPriority w:val="0"/>
    <w:rPr>
      <w:rFonts w:cs="Times New Roman"/>
      <w:color w:val="auto"/>
    </w:rPr>
  </w:style>
  <w:style w:type="paragraph" w:customStyle="1" w:styleId="179">
    <w:name w:val=" Char Char1 Char Char Char Char Char Char"/>
    <w:basedOn w:val="1"/>
    <w:uiPriority w:val="0"/>
    <w:rPr>
      <w:rFonts w:ascii="仿宋_GB2312" w:eastAsia="仿宋_GB2312"/>
      <w:b/>
      <w:sz w:val="32"/>
    </w:rPr>
  </w:style>
  <w:style w:type="paragraph" w:customStyle="1" w:styleId="180">
    <w:name w:val="注释"/>
    <w:basedOn w:val="1"/>
    <w:uiPriority w:val="0"/>
    <w:pPr>
      <w:spacing w:line="360" w:lineRule="auto"/>
      <w:ind w:firstLine="480"/>
    </w:pPr>
    <w:rPr>
      <w:sz w:val="24"/>
      <w:szCs w:val="24"/>
    </w:rPr>
  </w:style>
  <w:style w:type="paragraph" w:customStyle="1" w:styleId="181">
    <w:name w:val="样式 标题 3标题 3 Char第二层条h33Bold Headbh章标题1小标题level_3PIM 3..."/>
    <w:basedOn w:val="4"/>
    <w:uiPriority w:val="0"/>
    <w:pPr>
      <w:numPr>
        <w:ilvl w:val="2"/>
        <w:numId w:val="0"/>
      </w:numPr>
      <w:tabs>
        <w:tab w:val="left" w:pos="720"/>
        <w:tab w:val="clear" w:pos="-945"/>
        <w:tab w:val="clear" w:pos="0"/>
      </w:tabs>
      <w:adjustRightInd w:val="0"/>
      <w:snapToGrid w:val="0"/>
      <w:spacing w:before="0" w:beforeLines="0" w:after="0" w:afterLines="0" w:line="360" w:lineRule="auto"/>
    </w:pPr>
    <w:rPr>
      <w:rFonts w:ascii="黑体" w:hAnsi="宋体" w:eastAsia="黑体" w:cs="宋体"/>
      <w:b w:val="0"/>
      <w:color w:val="000000"/>
      <w:kern w:val="0"/>
      <w:sz w:val="28"/>
    </w:rPr>
  </w:style>
  <w:style w:type="paragraph" w:customStyle="1" w:styleId="182">
    <w:name w:val="正文_10_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 Char Char1"/>
    <w:basedOn w:val="1"/>
    <w:uiPriority w:val="0"/>
    <w:pPr>
      <w:widowControl/>
      <w:spacing w:after="160" w:afterLines="0" w:afterAutospacing="0" w:line="240" w:lineRule="exact"/>
      <w:jc w:val="left"/>
    </w:pPr>
    <w:rPr>
      <w:rFonts w:eastAsia="仿宋_GB2312"/>
      <w:sz w:val="28"/>
    </w:rPr>
  </w:style>
  <w:style w:type="paragraph" w:customStyle="1" w:styleId="184">
    <w:name w:val="ÕýÎÄÊ×ÐÐËõ½ø"/>
    <w:basedOn w:val="1"/>
    <w:uiPriority w:val="0"/>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185">
    <w:name w:val="MM Empty"/>
    <w:basedOn w:val="1"/>
    <w:uiPriority w:val="0"/>
    <w:rPr>
      <w:szCs w:val="24"/>
    </w:rPr>
  </w:style>
  <w:style w:type="paragraph" w:customStyle="1" w:styleId="186">
    <w:name w:val="五级条标题"/>
    <w:basedOn w:val="163"/>
    <w:next w:val="97"/>
    <w:uiPriority w:val="0"/>
    <w:pPr>
      <w:numPr>
        <w:ilvl w:val="6"/>
        <w:numId w:val="4"/>
      </w:numPr>
      <w:outlineLvl w:val="6"/>
    </w:pPr>
  </w:style>
  <w:style w:type="paragraph" w:customStyle="1" w:styleId="187">
    <w:name w:val="表格"/>
    <w:basedOn w:val="1"/>
    <w:uiPriority w:val="0"/>
    <w:pPr>
      <w:snapToGrid w:val="0"/>
      <w:ind w:firstLine="42" w:firstLineChars="21"/>
    </w:pPr>
    <w:rPr>
      <w:rFonts w:ascii="宋体" w:hAnsi="宋体"/>
      <w:kern w:val="0"/>
      <w:sz w:val="20"/>
    </w:rPr>
  </w:style>
  <w:style w:type="paragraph" w:customStyle="1" w:styleId="188">
    <w:name w:val="正文缩进1"/>
    <w:basedOn w:val="1"/>
    <w:next w:val="19"/>
    <w:uiPriority w:val="0"/>
    <w:pPr>
      <w:autoSpaceDE w:val="0"/>
      <w:autoSpaceDN w:val="0"/>
      <w:adjustRightInd w:val="0"/>
      <w:snapToGrid w:val="0"/>
      <w:spacing w:after="120" w:afterLines="0" w:afterAutospacing="0" w:line="360" w:lineRule="auto"/>
      <w:ind w:left="420" w:leftChars="200" w:firstLine="480" w:firstLineChars="200"/>
    </w:pPr>
    <w:rPr>
      <w:sz w:val="24"/>
    </w:rPr>
  </w:style>
  <w:style w:type="paragraph" w:customStyle="1" w:styleId="189">
    <w:name w:val="a1"/>
    <w:basedOn w:val="1"/>
    <w:uiPriority w:val="0"/>
    <w:pPr>
      <w:widowControl/>
      <w:spacing w:line="300" w:lineRule="atLeast"/>
      <w:jc w:val="left"/>
    </w:pPr>
    <w:rPr>
      <w:rFonts w:ascii="宋体" w:hAnsi="宋体"/>
      <w:kern w:val="0"/>
      <w:sz w:val="18"/>
    </w:rPr>
  </w:style>
  <w:style w:type="paragraph" w:customStyle="1" w:styleId="190">
    <w:name w:val="4"/>
    <w:basedOn w:val="1"/>
    <w:next w:val="26"/>
    <w:uiPriority w:val="0"/>
    <w:pPr>
      <w:spacing w:after="120" w:afterLines="0" w:afterAutospacing="0" w:line="480" w:lineRule="auto"/>
      <w:ind w:left="420" w:leftChars="200"/>
    </w:pPr>
    <w:rPr>
      <w:sz w:val="24"/>
    </w:rPr>
  </w:style>
  <w:style w:type="paragraph" w:customStyle="1" w:styleId="191">
    <w:name w:val="Char Char1 Char Char Char Char Char Char"/>
    <w:basedOn w:val="1"/>
    <w:uiPriority w:val="0"/>
    <w:pPr>
      <w:widowControl/>
      <w:adjustRightInd w:val="0"/>
      <w:snapToGrid w:val="0"/>
      <w:spacing w:before="78" w:beforeLines="25" w:after="78" w:afterLines="25" w:line="240" w:lineRule="exact"/>
      <w:ind w:firstLine="560" w:firstLineChars="192"/>
      <w:jc w:val="left"/>
    </w:pPr>
    <w:rPr>
      <w:rFonts w:ascii="宋体" w:hAnsi="宋体"/>
      <w:kern w:val="0"/>
      <w:sz w:val="28"/>
      <w:szCs w:val="28"/>
      <w:lang w:eastAsia="en-US"/>
    </w:rPr>
  </w:style>
  <w:style w:type="paragraph" w:customStyle="1" w:styleId="192">
    <w:name w:val="xl2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kern w:val="0"/>
      <w:sz w:val="24"/>
    </w:rPr>
  </w:style>
  <w:style w:type="paragraph" w:customStyle="1" w:styleId="193">
    <w:name w:val="正文样式 首行缩进:  0.74 厘米"/>
    <w:basedOn w:val="1"/>
    <w:uiPriority w:val="0"/>
    <w:pPr>
      <w:spacing w:before="156" w:beforeLines="50" w:line="360" w:lineRule="auto"/>
      <w:ind w:firstLine="420"/>
    </w:pPr>
    <w:rPr>
      <w:rFonts w:cs="宋体"/>
      <w:sz w:val="24"/>
    </w:rPr>
  </w:style>
  <w:style w:type="paragraph" w:customStyle="1" w:styleId="194">
    <w:name w:val="title11"/>
    <w:basedOn w:val="1"/>
    <w:uiPriority w:val="0"/>
    <w:pPr>
      <w:spacing w:before="100" w:beforeAutospacing="0" w:after="0" w:afterAutospacing="0"/>
      <w:ind w:left="0" w:right="0" w:firstLine="0"/>
      <w:jc w:val="left"/>
    </w:pPr>
    <w:rPr>
      <w:b/>
      <w:kern w:val="0"/>
      <w:lang w:val="en-US" w:eastAsia="zh-CN" w:bidi="ar"/>
    </w:rPr>
  </w:style>
  <w:style w:type="paragraph" w:customStyle="1" w:styleId="195">
    <w:name w:val="9"/>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styleId="196">
    <w:name w:val="List Paragraph"/>
    <w:basedOn w:val="1"/>
    <w:qFormat/>
    <w:uiPriority w:val="0"/>
    <w:pPr>
      <w:spacing w:line="360" w:lineRule="auto"/>
      <w:ind w:firstLine="200" w:firstLineChars="200"/>
    </w:pPr>
    <w:rPr>
      <w:rFonts w:eastAsia="楷体_GB2312" w:cs="Lucida Sans"/>
      <w:sz w:val="24"/>
      <w:szCs w:val="24"/>
    </w:rPr>
  </w:style>
  <w:style w:type="paragraph" w:customStyle="1" w:styleId="197">
    <w:name w:val=" Char Char Char Char Char Char Char"/>
    <w:basedOn w:val="1"/>
    <w:uiPriority w:val="0"/>
    <w:rPr>
      <w:rFonts w:ascii="仿宋_GB2312" w:eastAsia="仿宋_GB2312"/>
      <w:b/>
      <w:sz w:val="32"/>
      <w:szCs w:val="32"/>
    </w:rPr>
  </w:style>
  <w:style w:type="paragraph" w:customStyle="1" w:styleId="198">
    <w:name w:val="Char Char Char Char Char Char Char Char Char Char"/>
    <w:basedOn w:val="1"/>
    <w:uiPriority w:val="0"/>
    <w:rPr>
      <w:rFonts w:ascii="仿宋_GB2312" w:eastAsia="仿宋_GB2312"/>
      <w:b/>
      <w:sz w:val="32"/>
      <w:szCs w:val="32"/>
    </w:rPr>
  </w:style>
  <w:style w:type="paragraph" w:customStyle="1" w:styleId="199">
    <w:name w:val="MM Topic 1"/>
    <w:basedOn w:val="2"/>
    <w:uiPriority w:val="0"/>
    <w:pPr>
      <w:numPr>
        <w:ilvl w:val="0"/>
        <w:numId w:val="9"/>
      </w:numPr>
      <w:tabs>
        <w:tab w:val="clear" w:pos="432"/>
      </w:tabs>
    </w:pPr>
    <w:rPr>
      <w:bCs/>
      <w:szCs w:val="44"/>
    </w:rPr>
  </w:style>
  <w:style w:type="paragraph" w:customStyle="1" w:styleId="200">
    <w:name w:val="Char1"/>
    <w:basedOn w:val="1"/>
    <w:uiPriority w:val="0"/>
    <w:rPr>
      <w:rFonts w:ascii="仿宋_GB2312" w:eastAsia="仿宋_GB2312"/>
      <w:b/>
      <w:sz w:val="32"/>
      <w:szCs w:val="32"/>
    </w:rPr>
  </w:style>
  <w:style w:type="paragraph" w:customStyle="1" w:styleId="201">
    <w:name w:val="样式 左侧:  0.85 厘米 首行缩进:  0.85 厘米"/>
    <w:basedOn w:val="1"/>
    <w:uiPriority w:val="0"/>
    <w:pPr>
      <w:spacing w:line="360" w:lineRule="auto"/>
      <w:ind w:firstLine="482"/>
    </w:pPr>
    <w:rPr>
      <w:rFonts w:cs="宋体"/>
      <w:sz w:val="24"/>
    </w:rPr>
  </w:style>
  <w:style w:type="paragraph" w:customStyle="1" w:styleId="202">
    <w:name w:val="2"/>
    <w:basedOn w:val="1"/>
    <w:uiPriority w:val="0"/>
    <w:rPr>
      <w:rFonts w:ascii="Tahoma" w:hAnsi="Tahoma"/>
      <w:sz w:val="24"/>
    </w:rPr>
  </w:style>
  <w:style w:type="paragraph" w:customStyle="1" w:styleId="203">
    <w:name w:val="Test2"/>
    <w:basedOn w:val="3"/>
    <w:uiPriority w:val="0"/>
    <w:pPr>
      <w:widowControl/>
      <w:adjustRightInd w:val="0"/>
      <w:snapToGrid w:val="0"/>
      <w:spacing w:before="360" w:beforeLines="0" w:beforeAutospacing="0" w:after="360" w:afterLines="0" w:afterAutospacing="0" w:line="240" w:lineRule="atLeast"/>
      <w:jc w:val="left"/>
    </w:pPr>
    <w:rPr>
      <w:rFonts w:ascii="宋体" w:hAnsi="Arial" w:eastAsia="宋体"/>
      <w:snapToGrid w:val="0"/>
      <w:kern w:val="0"/>
      <w:sz w:val="28"/>
      <w:lang w:val="en-US"/>
    </w:rPr>
  </w:style>
  <w:style w:type="paragraph" w:customStyle="1" w:styleId="204">
    <w:name w:val="标准小四"/>
    <w:basedOn w:val="1"/>
    <w:uiPriority w:val="0"/>
    <w:pPr>
      <w:spacing w:line="360" w:lineRule="auto"/>
      <w:ind w:firstLine="480" w:firstLineChars="200"/>
    </w:pPr>
    <w:rPr>
      <w:rFonts w:ascii="Arial" w:hAnsi="Arial"/>
      <w:sz w:val="24"/>
      <w:szCs w:val="21"/>
    </w:rPr>
  </w:style>
  <w:style w:type="paragraph" w:customStyle="1" w:styleId="205">
    <w:name w:val="样式 正文文本缩进 2 + 仿宋_GB2312 黑色 行距: 1.5 倍行距"/>
    <w:basedOn w:val="1"/>
    <w:next w:val="7"/>
    <w:uiPriority w:val="0"/>
    <w:pPr>
      <w:spacing w:line="360" w:lineRule="auto"/>
      <w:ind w:firstLine="560" w:firstLineChars="200"/>
    </w:pPr>
    <w:rPr>
      <w:rFonts w:ascii="宋体" w:hAnsi="宋体" w:cs="宋体"/>
      <w:color w:val="000000"/>
      <w:sz w:val="24"/>
    </w:rPr>
  </w:style>
  <w:style w:type="paragraph" w:customStyle="1" w:styleId="206">
    <w:name w:val="此正文"/>
    <w:basedOn w:val="1"/>
    <w:uiPriority w:val="0"/>
    <w:pPr>
      <w:spacing w:line="360" w:lineRule="auto"/>
      <w:ind w:firstLine="200" w:firstLineChars="200"/>
    </w:pPr>
    <w:rPr>
      <w:sz w:val="24"/>
      <w:szCs w:val="24"/>
    </w:rPr>
  </w:style>
  <w:style w:type="paragraph" w:customStyle="1" w:styleId="207">
    <w:name w:val="样式"/>
    <w:basedOn w:val="1"/>
    <w:uiPriority w:val="0"/>
    <w:pPr>
      <w:autoSpaceDE w:val="0"/>
      <w:autoSpaceDN w:val="0"/>
      <w:snapToGrid w:val="0"/>
      <w:spacing w:before="120" w:beforeLines="0" w:after="120" w:afterLines="0" w:line="360" w:lineRule="auto"/>
    </w:pPr>
    <w:rPr>
      <w:rFonts w:ascii="宋体"/>
      <w:sz w:val="24"/>
    </w:rPr>
  </w:style>
  <w:style w:type="paragraph" w:customStyle="1" w:styleId="208">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9">
    <w:name w:val="List Paragraph1"/>
    <w:uiPriority w:val="0"/>
    <w:pPr>
      <w:ind w:left="720"/>
    </w:pPr>
    <w:rPr>
      <w:rFonts w:ascii="Cambria" w:hAnsi="Cambria" w:eastAsia="ヒラギノ角ゴ Pro W3" w:cs="Times New Roman"/>
      <w:color w:val="000000"/>
      <w:sz w:val="24"/>
      <w:lang w:val="en-US" w:eastAsia="zh-CN" w:bidi="ar-SA"/>
    </w:rPr>
  </w:style>
  <w:style w:type="paragraph" w:customStyle="1" w:styleId="210">
    <w:name w:val="CM66"/>
    <w:basedOn w:val="101"/>
    <w:next w:val="101"/>
    <w:uiPriority w:val="0"/>
    <w:rPr>
      <w:rFonts w:cs="Times New Roman"/>
      <w:color w:val="auto"/>
    </w:rPr>
  </w:style>
  <w:style w:type="paragraph" w:customStyle="1" w:styleId="211">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2">
    <w:name w:val="列出段落2"/>
    <w:basedOn w:val="1"/>
    <w:qFormat/>
    <w:uiPriority w:val="0"/>
    <w:pPr>
      <w:ind w:firstLine="420" w:firstLineChars="200"/>
    </w:pPr>
    <w:rPr>
      <w:rFonts w:ascii="宋体" w:hAnsi="宋体"/>
      <w:sz w:val="24"/>
    </w:rPr>
  </w:style>
  <w:style w:type="paragraph" w:customStyle="1" w:styleId="213">
    <w:name w:val="正文段"/>
    <w:basedOn w:val="1"/>
    <w:uiPriority w:val="0"/>
    <w:pPr>
      <w:widowControl/>
      <w:snapToGrid w:val="0"/>
      <w:spacing w:after="156" w:afterLines="50"/>
      <w:ind w:firstLine="200" w:firstLineChars="200"/>
    </w:pPr>
    <w:rPr>
      <w:kern w:val="0"/>
      <w:sz w:val="24"/>
    </w:rPr>
  </w:style>
  <w:style w:type="paragraph" w:customStyle="1" w:styleId="214">
    <w:name w:val="Body Text 2"/>
    <w:basedOn w:val="1"/>
    <w:uiPriority w:val="0"/>
    <w:pPr>
      <w:widowControl/>
      <w:overflowPunct w:val="0"/>
      <w:autoSpaceDE w:val="0"/>
      <w:autoSpaceDN w:val="0"/>
      <w:adjustRightInd w:val="0"/>
      <w:ind w:left="720" w:hanging="720"/>
      <w:textAlignment w:val="baseline"/>
    </w:pPr>
    <w:rPr>
      <w:kern w:val="0"/>
      <w:sz w:val="24"/>
      <w:lang w:val="en-GB"/>
    </w:rPr>
  </w:style>
  <w:style w:type="paragraph" w:customStyle="1" w:styleId="215">
    <w:name w:val="正文_10_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217">
    <w:name w:val=" Char2"/>
    <w:basedOn w:val="1"/>
    <w:uiPriority w:val="0"/>
    <w:rPr>
      <w:rFonts w:ascii="仿宋_GB2312" w:eastAsia="仿宋_GB2312"/>
      <w:b/>
      <w:sz w:val="32"/>
      <w:szCs w:val="32"/>
    </w:rPr>
  </w:style>
  <w:style w:type="paragraph" w:customStyle="1" w:styleId="218">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19">
    <w:name w:val="正文－恩普"/>
    <w:basedOn w:val="12"/>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220">
    <w:name w:val="默认段落字体 Para Char Char Char Char Char Char Char"/>
    <w:basedOn w:val="1"/>
    <w:uiPriority w:val="0"/>
    <w:rPr>
      <w:rFonts w:eastAsia="仿宋_GB2312"/>
      <w:sz w:val="28"/>
    </w:rPr>
  </w:style>
  <w:style w:type="paragraph" w:customStyle="1" w:styleId="221">
    <w:name w:val="正文表标题"/>
    <w:next w:val="97"/>
    <w:uiPriority w:val="0"/>
    <w:pPr>
      <w:numPr>
        <w:ilvl w:val="0"/>
        <w:numId w:val="11"/>
      </w:numPr>
      <w:jc w:val="center"/>
    </w:pPr>
    <w:rPr>
      <w:rFonts w:ascii="黑体" w:hAnsi="Times New Roman" w:eastAsia="黑体" w:cs="Times New Roman"/>
      <w:sz w:val="21"/>
      <w:lang w:val="en-US" w:eastAsia="zh-CN" w:bidi="ar-SA"/>
    </w:rPr>
  </w:style>
  <w:style w:type="character" w:customStyle="1" w:styleId="222">
    <w:name w:val="_Style 221"/>
    <w:semiHidden/>
    <w:unhideWhenUsed/>
    <w:uiPriority w:val="99"/>
    <w:rPr>
      <w:color w:val="605E5C"/>
      <w:shd w:val="clear" w:color="auto" w:fill="E1DFDD"/>
    </w:rPr>
  </w:style>
  <w:style w:type="character" w:customStyle="1" w:styleId="223">
    <w:name w:val="HTML 预设格式 字符"/>
    <w:link w:val="39"/>
    <w:uiPriority w:val="99"/>
    <w:rPr>
      <w:rFonts w:ascii="宋体" w:hAnsi="宋体"/>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3.xml" Type="http://schemas.openxmlformats.org/officeDocument/2006/relationships/header"/><Relationship Id="rId13" Target="footer6.xml" Type="http://schemas.openxmlformats.org/officeDocument/2006/relationships/footer"/><Relationship Id="rId14" Target="header4.xml" Type="http://schemas.openxmlformats.org/officeDocument/2006/relationships/header"/><Relationship Id="rId15" Target="header5.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6.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media/image1.png" Type="http://schemas.openxmlformats.org/officeDocument/2006/relationships/image"/><Relationship Id="rId22" Target="file:///C:/Documents%2520and%2520Settings/Administrator/Application%2520Data/Tencent/QQTempSys/%255B5UQ%255BBL(6~BS2JV6W%257DN6%255B%2525S.png" TargetMode="External" Type="http://schemas.openxmlformats.org/officeDocument/2006/relationships/image"/><Relationship Id="rId23" Target="media/image2.png" Type="http://schemas.openxmlformats.org/officeDocument/2006/relationships/image"/><Relationship Id="rId24" Target="file:///C:/Program%2520Files/Tencent/QQ/Users/1121991092/Image/Group2/6N/K6/6NK6%255BU(5_DT(HU5(T4EZ222.png" TargetMode="External" Type="http://schemas.openxmlformats.org/officeDocument/2006/relationships/image"/><Relationship Id="rId25" Target="../customXml/item1.xml" Type="http://schemas.openxmlformats.org/officeDocument/2006/relationships/customXml"/><Relationship Id="rId26" Target="numbering.xml" Type="http://schemas.openxmlformats.org/officeDocument/2006/relationships/numbering"/><Relationship Id="rId27"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097"/>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133</Pages>
  <Words>12364</Words>
  <Characters>70479</Characters>
  <Lines>587</Lines>
  <Paragraphs>165</Paragraphs>
  <TotalTime>0</TotalTime>
  <ScaleCrop>false</ScaleCrop>
  <LinksUpToDate>false</LinksUpToDate>
  <CharactersWithSpaces>82678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2015-08-29T06:13:00Z</dcterms:created>
  <dc:creator>HZTH</dc:creator>
  <cp:lastModifiedBy>WPS_1701756769</cp:lastModifiedBy>
  <cp:lastPrinted>2021-04-07T21:29:00Z</cp:lastPrinted>
  <dcterms:modified xsi:type="dcterms:W3CDTF">2024-02-26T03:17:59Z</dcterms:modified>
  <cp:revision>8</cp:revision>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31FC831D2F0042C6B6F2BBEFBC0AC768_13</vt:lpwstr>
  </property>
</Properties>
</file>